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3A1AA8" w:rsidRDefault="00DA186E" w:rsidP="00B05CF4">
      <w:pPr>
        <w:rPr>
          <w:sz w:val="28"/>
        </w:rPr>
      </w:pPr>
      <w:r w:rsidRPr="003A1AA8">
        <w:rPr>
          <w:noProof/>
          <w:lang w:eastAsia="en-AU"/>
        </w:rPr>
        <w:drawing>
          <wp:inline distT="0" distB="0" distL="0" distR="0" wp14:anchorId="5948635C" wp14:editId="4918ACB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3A1AA8" w:rsidRDefault="00715914" w:rsidP="00715914">
      <w:pPr>
        <w:rPr>
          <w:sz w:val="19"/>
        </w:rPr>
      </w:pPr>
    </w:p>
    <w:p w:rsidR="00715914" w:rsidRPr="003A1AA8" w:rsidRDefault="004C2A09" w:rsidP="00715914">
      <w:pPr>
        <w:pStyle w:val="ShortT"/>
      </w:pPr>
      <w:r w:rsidRPr="003A1AA8">
        <w:t>Carbon Credits (Carbon Farming Initiative</w:t>
      </w:r>
      <w:r w:rsidR="00924649" w:rsidRPr="003A1AA8">
        <w:t xml:space="preserve">—Landfill Gas) Methodology </w:t>
      </w:r>
      <w:r w:rsidRPr="003A1AA8">
        <w:t>Determination</w:t>
      </w:r>
      <w:r w:rsidR="003A1AA8" w:rsidRPr="003A1AA8">
        <w:t> </w:t>
      </w:r>
      <w:r w:rsidR="00862DD7" w:rsidRPr="003A1AA8">
        <w:t>2015</w:t>
      </w:r>
    </w:p>
    <w:p w:rsidR="004C2A09" w:rsidRPr="003A1AA8" w:rsidRDefault="004C2A09" w:rsidP="005E2282">
      <w:pPr>
        <w:pStyle w:val="SignCoverPageStart"/>
        <w:rPr>
          <w:szCs w:val="22"/>
        </w:rPr>
      </w:pPr>
      <w:r w:rsidRPr="003A1AA8">
        <w:rPr>
          <w:szCs w:val="22"/>
        </w:rPr>
        <w:t xml:space="preserve">I, Greg Hunt, Minister for the Environment, make the following </w:t>
      </w:r>
      <w:r w:rsidR="00D618AC" w:rsidRPr="003A1AA8">
        <w:rPr>
          <w:szCs w:val="22"/>
        </w:rPr>
        <w:t>determination</w:t>
      </w:r>
      <w:r w:rsidRPr="003A1AA8">
        <w:rPr>
          <w:szCs w:val="22"/>
        </w:rPr>
        <w:t>.</w:t>
      </w:r>
    </w:p>
    <w:p w:rsidR="004C2A09" w:rsidRPr="003A1AA8" w:rsidRDefault="004C2A09" w:rsidP="005E2282">
      <w:pPr>
        <w:keepNext/>
        <w:spacing w:before="300" w:line="240" w:lineRule="atLeast"/>
        <w:ind w:right="397"/>
        <w:jc w:val="both"/>
        <w:rPr>
          <w:szCs w:val="22"/>
        </w:rPr>
      </w:pPr>
      <w:r w:rsidRPr="003A1AA8">
        <w:rPr>
          <w:szCs w:val="22"/>
        </w:rPr>
        <w:t>Dated</w:t>
      </w:r>
      <w:r w:rsidRPr="003A1AA8">
        <w:rPr>
          <w:szCs w:val="22"/>
        </w:rPr>
        <w:tab/>
      </w:r>
      <w:r w:rsidR="00EE0EA8">
        <w:rPr>
          <w:szCs w:val="22"/>
        </w:rPr>
        <w:t>12 January</w:t>
      </w:r>
      <w:bookmarkStart w:id="0" w:name="BKCheck15B_1"/>
      <w:bookmarkEnd w:id="0"/>
      <w:r w:rsidR="00EE0EA8">
        <w:rPr>
          <w:szCs w:val="22"/>
        </w:rPr>
        <w:t xml:space="preserve"> </w:t>
      </w:r>
      <w:r w:rsidR="00862DD7" w:rsidRPr="003A1AA8">
        <w:rPr>
          <w:szCs w:val="22"/>
        </w:rPr>
        <w:fldChar w:fldCharType="begin"/>
      </w:r>
      <w:r w:rsidR="00862DD7" w:rsidRPr="003A1AA8">
        <w:rPr>
          <w:szCs w:val="22"/>
        </w:rPr>
        <w:instrText xml:space="preserve"> DATE  \@ "2015" </w:instrText>
      </w:r>
      <w:r w:rsidR="00862DD7" w:rsidRPr="003A1AA8">
        <w:rPr>
          <w:szCs w:val="22"/>
        </w:rPr>
        <w:fldChar w:fldCharType="separate"/>
      </w:r>
      <w:r w:rsidR="00EE0EA8">
        <w:rPr>
          <w:noProof/>
          <w:szCs w:val="22"/>
        </w:rPr>
        <w:t>2015</w:t>
      </w:r>
      <w:r w:rsidR="00862DD7" w:rsidRPr="003A1AA8">
        <w:rPr>
          <w:szCs w:val="22"/>
        </w:rPr>
        <w:fldChar w:fldCharType="end"/>
      </w:r>
    </w:p>
    <w:p w:rsidR="004C2A09" w:rsidRPr="003A1AA8" w:rsidRDefault="004C2A09" w:rsidP="005E2282">
      <w:pPr>
        <w:keepNext/>
        <w:tabs>
          <w:tab w:val="left" w:pos="3402"/>
        </w:tabs>
        <w:spacing w:before="1440" w:line="300" w:lineRule="atLeast"/>
        <w:ind w:right="397"/>
        <w:rPr>
          <w:szCs w:val="22"/>
        </w:rPr>
      </w:pPr>
      <w:r w:rsidRPr="003A1AA8">
        <w:rPr>
          <w:szCs w:val="22"/>
        </w:rPr>
        <w:t>Greg Hunt</w:t>
      </w:r>
      <w:bookmarkStart w:id="1" w:name="_GoBack"/>
      <w:bookmarkEnd w:id="1"/>
    </w:p>
    <w:p w:rsidR="004C2A09" w:rsidRPr="003A1AA8" w:rsidRDefault="004C2A09" w:rsidP="005E2282">
      <w:pPr>
        <w:pStyle w:val="SignCoverPageEnd"/>
        <w:rPr>
          <w:szCs w:val="22"/>
        </w:rPr>
      </w:pPr>
      <w:r w:rsidRPr="003A1AA8">
        <w:rPr>
          <w:szCs w:val="22"/>
        </w:rPr>
        <w:t>Minister for the Environment</w:t>
      </w:r>
    </w:p>
    <w:p w:rsidR="004C2A09" w:rsidRPr="003A1AA8" w:rsidRDefault="004C2A09" w:rsidP="004C2A09"/>
    <w:p w:rsidR="00715914" w:rsidRPr="003A1AA8" w:rsidRDefault="00715914" w:rsidP="00715914">
      <w:pPr>
        <w:pStyle w:val="Header"/>
        <w:tabs>
          <w:tab w:val="clear" w:pos="4150"/>
          <w:tab w:val="clear" w:pos="8307"/>
        </w:tabs>
      </w:pPr>
      <w:r w:rsidRPr="003A1AA8">
        <w:rPr>
          <w:rStyle w:val="CharChapNo"/>
        </w:rPr>
        <w:t xml:space="preserve"> </w:t>
      </w:r>
      <w:r w:rsidRPr="003A1AA8">
        <w:rPr>
          <w:rStyle w:val="CharChapText"/>
        </w:rPr>
        <w:t xml:space="preserve"> </w:t>
      </w:r>
    </w:p>
    <w:p w:rsidR="00715914" w:rsidRPr="003A1AA8" w:rsidRDefault="00715914" w:rsidP="00715914">
      <w:pPr>
        <w:pStyle w:val="Header"/>
        <w:tabs>
          <w:tab w:val="clear" w:pos="4150"/>
          <w:tab w:val="clear" w:pos="8307"/>
        </w:tabs>
      </w:pPr>
      <w:r w:rsidRPr="003A1AA8">
        <w:rPr>
          <w:rStyle w:val="CharPartNo"/>
        </w:rPr>
        <w:t xml:space="preserve"> </w:t>
      </w:r>
      <w:r w:rsidRPr="003A1AA8">
        <w:rPr>
          <w:rStyle w:val="CharPartText"/>
        </w:rPr>
        <w:t xml:space="preserve"> </w:t>
      </w:r>
    </w:p>
    <w:p w:rsidR="00715914" w:rsidRPr="003A1AA8" w:rsidRDefault="00715914" w:rsidP="00715914">
      <w:pPr>
        <w:pStyle w:val="Header"/>
        <w:tabs>
          <w:tab w:val="clear" w:pos="4150"/>
          <w:tab w:val="clear" w:pos="8307"/>
        </w:tabs>
      </w:pPr>
      <w:r w:rsidRPr="003A1AA8">
        <w:rPr>
          <w:rStyle w:val="CharDivNo"/>
        </w:rPr>
        <w:t xml:space="preserve"> </w:t>
      </w:r>
      <w:r w:rsidRPr="003A1AA8">
        <w:rPr>
          <w:rStyle w:val="CharDivText"/>
        </w:rPr>
        <w:t xml:space="preserve"> </w:t>
      </w:r>
    </w:p>
    <w:p w:rsidR="00715914" w:rsidRPr="003A1AA8" w:rsidRDefault="00715914" w:rsidP="00715914">
      <w:pPr>
        <w:sectPr w:rsidR="00715914" w:rsidRPr="003A1AA8" w:rsidSect="00B42CA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3A1AA8" w:rsidRDefault="00715914" w:rsidP="00351E05">
      <w:pPr>
        <w:rPr>
          <w:sz w:val="36"/>
        </w:rPr>
      </w:pPr>
      <w:r w:rsidRPr="003A1AA8">
        <w:rPr>
          <w:sz w:val="36"/>
        </w:rPr>
        <w:lastRenderedPageBreak/>
        <w:t>Contents</w:t>
      </w:r>
    </w:p>
    <w:bookmarkStart w:id="2" w:name="BKCheck15B_2"/>
    <w:bookmarkEnd w:id="2"/>
    <w:p w:rsidR="000347F6" w:rsidRPr="003A1AA8" w:rsidRDefault="000347F6">
      <w:pPr>
        <w:pStyle w:val="TOC2"/>
        <w:rPr>
          <w:rFonts w:asciiTheme="minorHAnsi" w:eastAsiaTheme="minorEastAsia" w:hAnsiTheme="minorHAnsi" w:cstheme="minorBidi"/>
          <w:b w:val="0"/>
          <w:noProof/>
          <w:kern w:val="0"/>
          <w:sz w:val="22"/>
          <w:szCs w:val="22"/>
        </w:rPr>
      </w:pPr>
      <w:r w:rsidRPr="003A1AA8">
        <w:fldChar w:fldCharType="begin"/>
      </w:r>
      <w:r w:rsidRPr="003A1AA8">
        <w:instrText xml:space="preserve"> TOC \o "1-9" </w:instrText>
      </w:r>
      <w:r w:rsidRPr="003A1AA8">
        <w:fldChar w:fldCharType="separate"/>
      </w:r>
      <w:r w:rsidRPr="003A1AA8">
        <w:rPr>
          <w:noProof/>
        </w:rPr>
        <w:t>Part</w:t>
      </w:r>
      <w:r w:rsidR="003A1AA8" w:rsidRPr="003A1AA8">
        <w:rPr>
          <w:noProof/>
        </w:rPr>
        <w:t> </w:t>
      </w:r>
      <w:r w:rsidRPr="003A1AA8">
        <w:rPr>
          <w:noProof/>
        </w:rPr>
        <w:t>1—Preliminary</w:t>
      </w:r>
      <w:r w:rsidRPr="003A1AA8">
        <w:rPr>
          <w:b w:val="0"/>
          <w:noProof/>
          <w:sz w:val="18"/>
        </w:rPr>
        <w:tab/>
      </w:r>
      <w:r w:rsidRPr="003A1AA8">
        <w:rPr>
          <w:b w:val="0"/>
          <w:noProof/>
          <w:sz w:val="18"/>
        </w:rPr>
        <w:fldChar w:fldCharType="begin"/>
      </w:r>
      <w:r w:rsidRPr="003A1AA8">
        <w:rPr>
          <w:b w:val="0"/>
          <w:noProof/>
          <w:sz w:val="18"/>
        </w:rPr>
        <w:instrText xml:space="preserve"> PAGEREF _Toc407104136 \h </w:instrText>
      </w:r>
      <w:r w:rsidRPr="003A1AA8">
        <w:rPr>
          <w:b w:val="0"/>
          <w:noProof/>
          <w:sz w:val="18"/>
        </w:rPr>
      </w:r>
      <w:r w:rsidRPr="003A1AA8">
        <w:rPr>
          <w:b w:val="0"/>
          <w:noProof/>
          <w:sz w:val="18"/>
        </w:rPr>
        <w:fldChar w:fldCharType="separate"/>
      </w:r>
      <w:r w:rsidR="00EE0EA8">
        <w:rPr>
          <w:b w:val="0"/>
          <w:noProof/>
          <w:sz w:val="18"/>
        </w:rPr>
        <w:t>1</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1</w:t>
      </w:r>
      <w:r w:rsidRPr="003A1AA8">
        <w:rPr>
          <w:noProof/>
        </w:rPr>
        <w:tab/>
        <w:t>Name of determination</w:t>
      </w:r>
      <w:r w:rsidRPr="003A1AA8">
        <w:rPr>
          <w:noProof/>
        </w:rPr>
        <w:tab/>
      </w:r>
      <w:r w:rsidRPr="003A1AA8">
        <w:rPr>
          <w:noProof/>
        </w:rPr>
        <w:fldChar w:fldCharType="begin"/>
      </w:r>
      <w:r w:rsidRPr="003A1AA8">
        <w:rPr>
          <w:noProof/>
        </w:rPr>
        <w:instrText xml:space="preserve"> PAGEREF _Toc407104137 \h </w:instrText>
      </w:r>
      <w:r w:rsidRPr="003A1AA8">
        <w:rPr>
          <w:noProof/>
        </w:rPr>
      </w:r>
      <w:r w:rsidRPr="003A1AA8">
        <w:rPr>
          <w:noProof/>
        </w:rPr>
        <w:fldChar w:fldCharType="separate"/>
      </w:r>
      <w:r w:rsidR="00EE0EA8">
        <w:rPr>
          <w:noProof/>
        </w:rPr>
        <w:t>1</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2</w:t>
      </w:r>
      <w:r w:rsidRPr="003A1AA8">
        <w:rPr>
          <w:noProof/>
        </w:rPr>
        <w:tab/>
        <w:t>Commencement</w:t>
      </w:r>
      <w:r w:rsidRPr="003A1AA8">
        <w:rPr>
          <w:noProof/>
        </w:rPr>
        <w:tab/>
      </w:r>
      <w:r w:rsidRPr="003A1AA8">
        <w:rPr>
          <w:noProof/>
        </w:rPr>
        <w:fldChar w:fldCharType="begin"/>
      </w:r>
      <w:r w:rsidRPr="003A1AA8">
        <w:rPr>
          <w:noProof/>
        </w:rPr>
        <w:instrText xml:space="preserve"> PAGEREF _Toc407104138 \h </w:instrText>
      </w:r>
      <w:r w:rsidRPr="003A1AA8">
        <w:rPr>
          <w:noProof/>
        </w:rPr>
      </w:r>
      <w:r w:rsidRPr="003A1AA8">
        <w:rPr>
          <w:noProof/>
        </w:rPr>
        <w:fldChar w:fldCharType="separate"/>
      </w:r>
      <w:r w:rsidR="00EE0EA8">
        <w:rPr>
          <w:noProof/>
        </w:rPr>
        <w:t>1</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3</w:t>
      </w:r>
      <w:r w:rsidRPr="003A1AA8">
        <w:rPr>
          <w:noProof/>
        </w:rPr>
        <w:tab/>
        <w:t>Authority</w:t>
      </w:r>
      <w:r w:rsidRPr="003A1AA8">
        <w:rPr>
          <w:noProof/>
        </w:rPr>
        <w:tab/>
      </w:r>
      <w:r w:rsidRPr="003A1AA8">
        <w:rPr>
          <w:noProof/>
        </w:rPr>
        <w:fldChar w:fldCharType="begin"/>
      </w:r>
      <w:r w:rsidRPr="003A1AA8">
        <w:rPr>
          <w:noProof/>
        </w:rPr>
        <w:instrText xml:space="preserve"> PAGEREF _Toc407104139 \h </w:instrText>
      </w:r>
      <w:r w:rsidRPr="003A1AA8">
        <w:rPr>
          <w:noProof/>
        </w:rPr>
      </w:r>
      <w:r w:rsidRPr="003A1AA8">
        <w:rPr>
          <w:noProof/>
        </w:rPr>
        <w:fldChar w:fldCharType="separate"/>
      </w:r>
      <w:r w:rsidR="00EE0EA8">
        <w:rPr>
          <w:noProof/>
        </w:rPr>
        <w:t>1</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4</w:t>
      </w:r>
      <w:r w:rsidRPr="003A1AA8">
        <w:rPr>
          <w:noProof/>
        </w:rPr>
        <w:tab/>
        <w:t>Duration</w:t>
      </w:r>
      <w:r w:rsidRPr="003A1AA8">
        <w:rPr>
          <w:noProof/>
        </w:rPr>
        <w:tab/>
      </w:r>
      <w:r w:rsidRPr="003A1AA8">
        <w:rPr>
          <w:noProof/>
        </w:rPr>
        <w:fldChar w:fldCharType="begin"/>
      </w:r>
      <w:r w:rsidRPr="003A1AA8">
        <w:rPr>
          <w:noProof/>
        </w:rPr>
        <w:instrText xml:space="preserve"> PAGEREF _Toc407104140 \h </w:instrText>
      </w:r>
      <w:r w:rsidRPr="003A1AA8">
        <w:rPr>
          <w:noProof/>
        </w:rPr>
      </w:r>
      <w:r w:rsidRPr="003A1AA8">
        <w:rPr>
          <w:noProof/>
        </w:rPr>
        <w:fldChar w:fldCharType="separate"/>
      </w:r>
      <w:r w:rsidR="00EE0EA8">
        <w:rPr>
          <w:noProof/>
        </w:rPr>
        <w:t>1</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5</w:t>
      </w:r>
      <w:r w:rsidRPr="003A1AA8">
        <w:rPr>
          <w:noProof/>
        </w:rPr>
        <w:tab/>
        <w:t>Definitions</w:t>
      </w:r>
      <w:r w:rsidRPr="003A1AA8">
        <w:rPr>
          <w:noProof/>
        </w:rPr>
        <w:tab/>
      </w:r>
      <w:r w:rsidRPr="003A1AA8">
        <w:rPr>
          <w:noProof/>
        </w:rPr>
        <w:fldChar w:fldCharType="begin"/>
      </w:r>
      <w:r w:rsidRPr="003A1AA8">
        <w:rPr>
          <w:noProof/>
        </w:rPr>
        <w:instrText xml:space="preserve"> PAGEREF _Toc407104141 \h </w:instrText>
      </w:r>
      <w:r w:rsidRPr="003A1AA8">
        <w:rPr>
          <w:noProof/>
        </w:rPr>
      </w:r>
      <w:r w:rsidRPr="003A1AA8">
        <w:rPr>
          <w:noProof/>
        </w:rPr>
        <w:fldChar w:fldCharType="separate"/>
      </w:r>
      <w:r w:rsidR="00EE0EA8">
        <w:rPr>
          <w:noProof/>
        </w:rPr>
        <w:t>1</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6</w:t>
      </w:r>
      <w:r w:rsidRPr="003A1AA8">
        <w:rPr>
          <w:noProof/>
        </w:rPr>
        <w:tab/>
        <w:t>References to factors and parameters from external sources</w:t>
      </w:r>
      <w:r w:rsidRPr="003A1AA8">
        <w:rPr>
          <w:noProof/>
        </w:rPr>
        <w:tab/>
      </w:r>
      <w:r w:rsidRPr="003A1AA8">
        <w:rPr>
          <w:noProof/>
        </w:rPr>
        <w:fldChar w:fldCharType="begin"/>
      </w:r>
      <w:r w:rsidRPr="003A1AA8">
        <w:rPr>
          <w:noProof/>
        </w:rPr>
        <w:instrText xml:space="preserve"> PAGEREF _Toc407104142 \h </w:instrText>
      </w:r>
      <w:r w:rsidRPr="003A1AA8">
        <w:rPr>
          <w:noProof/>
        </w:rPr>
      </w:r>
      <w:r w:rsidRPr="003A1AA8">
        <w:rPr>
          <w:noProof/>
        </w:rPr>
        <w:fldChar w:fldCharType="separate"/>
      </w:r>
      <w:r w:rsidR="00EE0EA8">
        <w:rPr>
          <w:noProof/>
        </w:rPr>
        <w:t>3</w:t>
      </w:r>
      <w:r w:rsidRPr="003A1AA8">
        <w:rPr>
          <w:noProof/>
        </w:rPr>
        <w:fldChar w:fldCharType="end"/>
      </w:r>
    </w:p>
    <w:p w:rsidR="000347F6" w:rsidRPr="003A1AA8" w:rsidRDefault="000347F6">
      <w:pPr>
        <w:pStyle w:val="TOC2"/>
        <w:rPr>
          <w:rFonts w:asciiTheme="minorHAnsi" w:eastAsiaTheme="minorEastAsia" w:hAnsiTheme="minorHAnsi" w:cstheme="minorBidi"/>
          <w:b w:val="0"/>
          <w:noProof/>
          <w:kern w:val="0"/>
          <w:sz w:val="22"/>
          <w:szCs w:val="22"/>
        </w:rPr>
      </w:pPr>
      <w:r w:rsidRPr="003A1AA8">
        <w:rPr>
          <w:noProof/>
        </w:rPr>
        <w:t>Part</w:t>
      </w:r>
      <w:r w:rsidR="003A1AA8" w:rsidRPr="003A1AA8">
        <w:rPr>
          <w:noProof/>
        </w:rPr>
        <w:t> </w:t>
      </w:r>
      <w:r w:rsidRPr="003A1AA8">
        <w:rPr>
          <w:noProof/>
        </w:rPr>
        <w:t>2—Landfill gas projects</w:t>
      </w:r>
      <w:r w:rsidRPr="003A1AA8">
        <w:rPr>
          <w:b w:val="0"/>
          <w:noProof/>
          <w:sz w:val="18"/>
        </w:rPr>
        <w:tab/>
      </w:r>
      <w:r w:rsidRPr="003A1AA8">
        <w:rPr>
          <w:b w:val="0"/>
          <w:noProof/>
          <w:sz w:val="18"/>
        </w:rPr>
        <w:fldChar w:fldCharType="begin"/>
      </w:r>
      <w:r w:rsidRPr="003A1AA8">
        <w:rPr>
          <w:b w:val="0"/>
          <w:noProof/>
          <w:sz w:val="18"/>
        </w:rPr>
        <w:instrText xml:space="preserve"> PAGEREF _Toc407104143 \h </w:instrText>
      </w:r>
      <w:r w:rsidRPr="003A1AA8">
        <w:rPr>
          <w:b w:val="0"/>
          <w:noProof/>
          <w:sz w:val="18"/>
        </w:rPr>
      </w:r>
      <w:r w:rsidRPr="003A1AA8">
        <w:rPr>
          <w:b w:val="0"/>
          <w:noProof/>
          <w:sz w:val="18"/>
        </w:rPr>
        <w:fldChar w:fldCharType="separate"/>
      </w:r>
      <w:r w:rsidR="00EE0EA8">
        <w:rPr>
          <w:b w:val="0"/>
          <w:noProof/>
          <w:sz w:val="18"/>
        </w:rPr>
        <w:t>4</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7</w:t>
      </w:r>
      <w:r w:rsidRPr="003A1AA8">
        <w:rPr>
          <w:noProof/>
        </w:rPr>
        <w:tab/>
        <w:t>Landfill gas projects</w:t>
      </w:r>
      <w:r w:rsidRPr="003A1AA8">
        <w:rPr>
          <w:noProof/>
        </w:rPr>
        <w:tab/>
      </w:r>
      <w:r w:rsidRPr="003A1AA8">
        <w:rPr>
          <w:noProof/>
        </w:rPr>
        <w:fldChar w:fldCharType="begin"/>
      </w:r>
      <w:r w:rsidRPr="003A1AA8">
        <w:rPr>
          <w:noProof/>
        </w:rPr>
        <w:instrText xml:space="preserve"> PAGEREF _Toc407104144 \h </w:instrText>
      </w:r>
      <w:r w:rsidRPr="003A1AA8">
        <w:rPr>
          <w:noProof/>
        </w:rPr>
      </w:r>
      <w:r w:rsidRPr="003A1AA8">
        <w:rPr>
          <w:noProof/>
        </w:rPr>
        <w:fldChar w:fldCharType="separate"/>
      </w:r>
      <w:r w:rsidR="00EE0EA8">
        <w:rPr>
          <w:noProof/>
        </w:rPr>
        <w:t>4</w:t>
      </w:r>
      <w:r w:rsidRPr="003A1AA8">
        <w:rPr>
          <w:noProof/>
        </w:rPr>
        <w:fldChar w:fldCharType="end"/>
      </w:r>
    </w:p>
    <w:p w:rsidR="000347F6" w:rsidRPr="003A1AA8" w:rsidRDefault="000347F6">
      <w:pPr>
        <w:pStyle w:val="TOC2"/>
        <w:rPr>
          <w:rFonts w:asciiTheme="minorHAnsi" w:eastAsiaTheme="minorEastAsia" w:hAnsiTheme="minorHAnsi" w:cstheme="minorBidi"/>
          <w:b w:val="0"/>
          <w:noProof/>
          <w:kern w:val="0"/>
          <w:sz w:val="22"/>
          <w:szCs w:val="22"/>
        </w:rPr>
      </w:pPr>
      <w:r w:rsidRPr="003A1AA8">
        <w:rPr>
          <w:noProof/>
        </w:rPr>
        <w:t>Part</w:t>
      </w:r>
      <w:r w:rsidR="003A1AA8" w:rsidRPr="003A1AA8">
        <w:rPr>
          <w:noProof/>
        </w:rPr>
        <w:t> </w:t>
      </w:r>
      <w:r w:rsidRPr="003A1AA8">
        <w:rPr>
          <w:noProof/>
        </w:rPr>
        <w:t>3—Project requirements</w:t>
      </w:r>
      <w:r w:rsidRPr="003A1AA8">
        <w:rPr>
          <w:b w:val="0"/>
          <w:noProof/>
          <w:sz w:val="18"/>
        </w:rPr>
        <w:tab/>
      </w:r>
      <w:r w:rsidRPr="003A1AA8">
        <w:rPr>
          <w:b w:val="0"/>
          <w:noProof/>
          <w:sz w:val="18"/>
        </w:rPr>
        <w:fldChar w:fldCharType="begin"/>
      </w:r>
      <w:r w:rsidRPr="003A1AA8">
        <w:rPr>
          <w:b w:val="0"/>
          <w:noProof/>
          <w:sz w:val="18"/>
        </w:rPr>
        <w:instrText xml:space="preserve"> PAGEREF _Toc407104145 \h </w:instrText>
      </w:r>
      <w:r w:rsidRPr="003A1AA8">
        <w:rPr>
          <w:b w:val="0"/>
          <w:noProof/>
          <w:sz w:val="18"/>
        </w:rPr>
      </w:r>
      <w:r w:rsidRPr="003A1AA8">
        <w:rPr>
          <w:b w:val="0"/>
          <w:noProof/>
          <w:sz w:val="18"/>
        </w:rPr>
        <w:fldChar w:fldCharType="separate"/>
      </w:r>
      <w:r w:rsidR="00EE0EA8">
        <w:rPr>
          <w:b w:val="0"/>
          <w:noProof/>
          <w:sz w:val="18"/>
        </w:rPr>
        <w:t>5</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8</w:t>
      </w:r>
      <w:r w:rsidRPr="003A1AA8">
        <w:rPr>
          <w:noProof/>
        </w:rPr>
        <w:tab/>
        <w:t>Operation of this Part</w:t>
      </w:r>
      <w:r w:rsidRPr="003A1AA8">
        <w:rPr>
          <w:noProof/>
        </w:rPr>
        <w:tab/>
      </w:r>
      <w:r w:rsidRPr="003A1AA8">
        <w:rPr>
          <w:noProof/>
        </w:rPr>
        <w:fldChar w:fldCharType="begin"/>
      </w:r>
      <w:r w:rsidRPr="003A1AA8">
        <w:rPr>
          <w:noProof/>
        </w:rPr>
        <w:instrText xml:space="preserve"> PAGEREF _Toc407104146 \h </w:instrText>
      </w:r>
      <w:r w:rsidRPr="003A1AA8">
        <w:rPr>
          <w:noProof/>
        </w:rPr>
      </w:r>
      <w:r w:rsidRPr="003A1AA8">
        <w:rPr>
          <w:noProof/>
        </w:rPr>
        <w:fldChar w:fldCharType="separate"/>
      </w:r>
      <w:r w:rsidR="00EE0EA8">
        <w:rPr>
          <w:noProof/>
        </w:rPr>
        <w:t>5</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9</w:t>
      </w:r>
      <w:r w:rsidRPr="003A1AA8">
        <w:rPr>
          <w:noProof/>
        </w:rPr>
        <w:tab/>
        <w:t>Requirements for a new project</w:t>
      </w:r>
      <w:r w:rsidRPr="003A1AA8">
        <w:rPr>
          <w:noProof/>
        </w:rPr>
        <w:tab/>
      </w:r>
      <w:r w:rsidRPr="003A1AA8">
        <w:rPr>
          <w:noProof/>
        </w:rPr>
        <w:fldChar w:fldCharType="begin"/>
      </w:r>
      <w:r w:rsidRPr="003A1AA8">
        <w:rPr>
          <w:noProof/>
        </w:rPr>
        <w:instrText xml:space="preserve"> PAGEREF _Toc407104147 \h </w:instrText>
      </w:r>
      <w:r w:rsidRPr="003A1AA8">
        <w:rPr>
          <w:noProof/>
        </w:rPr>
      </w:r>
      <w:r w:rsidRPr="003A1AA8">
        <w:rPr>
          <w:noProof/>
        </w:rPr>
        <w:fldChar w:fldCharType="separate"/>
      </w:r>
      <w:r w:rsidR="00EE0EA8">
        <w:rPr>
          <w:noProof/>
        </w:rPr>
        <w:t>5</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10</w:t>
      </w:r>
      <w:r w:rsidRPr="003A1AA8">
        <w:rPr>
          <w:noProof/>
        </w:rPr>
        <w:tab/>
        <w:t>Requirements for a recommencing project</w:t>
      </w:r>
      <w:r w:rsidRPr="003A1AA8">
        <w:rPr>
          <w:noProof/>
        </w:rPr>
        <w:tab/>
      </w:r>
      <w:r w:rsidRPr="003A1AA8">
        <w:rPr>
          <w:noProof/>
        </w:rPr>
        <w:fldChar w:fldCharType="begin"/>
      </w:r>
      <w:r w:rsidRPr="003A1AA8">
        <w:rPr>
          <w:noProof/>
        </w:rPr>
        <w:instrText xml:space="preserve"> PAGEREF _Toc407104148 \h </w:instrText>
      </w:r>
      <w:r w:rsidRPr="003A1AA8">
        <w:rPr>
          <w:noProof/>
        </w:rPr>
      </w:r>
      <w:r w:rsidRPr="003A1AA8">
        <w:rPr>
          <w:noProof/>
        </w:rPr>
        <w:fldChar w:fldCharType="separate"/>
      </w:r>
      <w:r w:rsidR="00EE0EA8">
        <w:rPr>
          <w:noProof/>
        </w:rPr>
        <w:t>5</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11</w:t>
      </w:r>
      <w:r w:rsidRPr="003A1AA8">
        <w:rPr>
          <w:noProof/>
        </w:rPr>
        <w:tab/>
        <w:t>Requirements for an upgrade project</w:t>
      </w:r>
      <w:r w:rsidRPr="003A1AA8">
        <w:rPr>
          <w:noProof/>
        </w:rPr>
        <w:tab/>
      </w:r>
      <w:r w:rsidRPr="003A1AA8">
        <w:rPr>
          <w:noProof/>
        </w:rPr>
        <w:fldChar w:fldCharType="begin"/>
      </w:r>
      <w:r w:rsidRPr="003A1AA8">
        <w:rPr>
          <w:noProof/>
        </w:rPr>
        <w:instrText xml:space="preserve"> PAGEREF _Toc407104149 \h </w:instrText>
      </w:r>
      <w:r w:rsidRPr="003A1AA8">
        <w:rPr>
          <w:noProof/>
        </w:rPr>
      </w:r>
      <w:r w:rsidRPr="003A1AA8">
        <w:rPr>
          <w:noProof/>
        </w:rPr>
        <w:fldChar w:fldCharType="separate"/>
      </w:r>
      <w:r w:rsidR="00EE0EA8">
        <w:rPr>
          <w:noProof/>
        </w:rPr>
        <w:t>5</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12</w:t>
      </w:r>
      <w:r w:rsidRPr="003A1AA8">
        <w:rPr>
          <w:noProof/>
        </w:rPr>
        <w:tab/>
        <w:t>Requirements for a transitioning project</w:t>
      </w:r>
      <w:r w:rsidRPr="003A1AA8">
        <w:rPr>
          <w:noProof/>
        </w:rPr>
        <w:tab/>
      </w:r>
      <w:r w:rsidRPr="003A1AA8">
        <w:rPr>
          <w:noProof/>
        </w:rPr>
        <w:fldChar w:fldCharType="begin"/>
      </w:r>
      <w:r w:rsidRPr="003A1AA8">
        <w:rPr>
          <w:noProof/>
        </w:rPr>
        <w:instrText xml:space="preserve"> PAGEREF _Toc407104150 \h </w:instrText>
      </w:r>
      <w:r w:rsidRPr="003A1AA8">
        <w:rPr>
          <w:noProof/>
        </w:rPr>
      </w:r>
      <w:r w:rsidRPr="003A1AA8">
        <w:rPr>
          <w:noProof/>
        </w:rPr>
        <w:fldChar w:fldCharType="separate"/>
      </w:r>
      <w:r w:rsidR="00EE0EA8">
        <w:rPr>
          <w:noProof/>
        </w:rPr>
        <w:t>6</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13</w:t>
      </w:r>
      <w:r w:rsidRPr="003A1AA8">
        <w:rPr>
          <w:noProof/>
        </w:rPr>
        <w:tab/>
        <w:t>Additionality requirements</w:t>
      </w:r>
      <w:r w:rsidRPr="003A1AA8">
        <w:rPr>
          <w:noProof/>
        </w:rPr>
        <w:tab/>
      </w:r>
      <w:r w:rsidRPr="003A1AA8">
        <w:rPr>
          <w:noProof/>
        </w:rPr>
        <w:fldChar w:fldCharType="begin"/>
      </w:r>
      <w:r w:rsidRPr="003A1AA8">
        <w:rPr>
          <w:noProof/>
        </w:rPr>
        <w:instrText xml:space="preserve"> PAGEREF _Toc407104151 \h </w:instrText>
      </w:r>
      <w:r w:rsidRPr="003A1AA8">
        <w:rPr>
          <w:noProof/>
        </w:rPr>
      </w:r>
      <w:r w:rsidRPr="003A1AA8">
        <w:rPr>
          <w:noProof/>
        </w:rPr>
        <w:fldChar w:fldCharType="separate"/>
      </w:r>
      <w:r w:rsidR="00EE0EA8">
        <w:rPr>
          <w:noProof/>
        </w:rPr>
        <w:t>6</w:t>
      </w:r>
      <w:r w:rsidRPr="003A1AA8">
        <w:rPr>
          <w:noProof/>
        </w:rPr>
        <w:fldChar w:fldCharType="end"/>
      </w:r>
    </w:p>
    <w:p w:rsidR="000347F6" w:rsidRPr="003A1AA8" w:rsidRDefault="000347F6">
      <w:pPr>
        <w:pStyle w:val="TOC2"/>
        <w:rPr>
          <w:rFonts w:asciiTheme="minorHAnsi" w:eastAsiaTheme="minorEastAsia" w:hAnsiTheme="minorHAnsi" w:cstheme="minorBidi"/>
          <w:b w:val="0"/>
          <w:noProof/>
          <w:kern w:val="0"/>
          <w:sz w:val="22"/>
          <w:szCs w:val="22"/>
        </w:rPr>
      </w:pPr>
      <w:r w:rsidRPr="003A1AA8">
        <w:rPr>
          <w:noProof/>
        </w:rPr>
        <w:t>Part</w:t>
      </w:r>
      <w:r w:rsidR="003A1AA8" w:rsidRPr="003A1AA8">
        <w:rPr>
          <w:noProof/>
        </w:rPr>
        <w:t> </w:t>
      </w:r>
      <w:r w:rsidRPr="003A1AA8">
        <w:rPr>
          <w:noProof/>
        </w:rPr>
        <w:t>4—Net abatement amounts</w:t>
      </w:r>
      <w:r w:rsidRPr="003A1AA8">
        <w:rPr>
          <w:b w:val="0"/>
          <w:noProof/>
          <w:sz w:val="18"/>
        </w:rPr>
        <w:tab/>
      </w:r>
      <w:r w:rsidRPr="003A1AA8">
        <w:rPr>
          <w:b w:val="0"/>
          <w:noProof/>
          <w:sz w:val="18"/>
        </w:rPr>
        <w:fldChar w:fldCharType="begin"/>
      </w:r>
      <w:r w:rsidRPr="003A1AA8">
        <w:rPr>
          <w:b w:val="0"/>
          <w:noProof/>
          <w:sz w:val="18"/>
        </w:rPr>
        <w:instrText xml:space="preserve"> PAGEREF _Toc407104152 \h </w:instrText>
      </w:r>
      <w:r w:rsidRPr="003A1AA8">
        <w:rPr>
          <w:b w:val="0"/>
          <w:noProof/>
          <w:sz w:val="18"/>
        </w:rPr>
      </w:r>
      <w:r w:rsidRPr="003A1AA8">
        <w:rPr>
          <w:b w:val="0"/>
          <w:noProof/>
          <w:sz w:val="18"/>
        </w:rPr>
        <w:fldChar w:fldCharType="separate"/>
      </w:r>
      <w:r w:rsidR="00EE0EA8">
        <w:rPr>
          <w:b w:val="0"/>
          <w:noProof/>
          <w:sz w:val="18"/>
        </w:rPr>
        <w:t>7</w:t>
      </w:r>
      <w:r w:rsidRPr="003A1AA8">
        <w:rPr>
          <w:b w:val="0"/>
          <w:noProof/>
          <w:sz w:val="18"/>
        </w:rPr>
        <w:fldChar w:fldCharType="end"/>
      </w:r>
    </w:p>
    <w:p w:rsidR="000347F6" w:rsidRPr="003A1AA8" w:rsidRDefault="000347F6">
      <w:pPr>
        <w:pStyle w:val="TOC3"/>
        <w:rPr>
          <w:rFonts w:asciiTheme="minorHAnsi" w:eastAsiaTheme="minorEastAsia" w:hAnsiTheme="minorHAnsi" w:cstheme="minorBidi"/>
          <w:b w:val="0"/>
          <w:noProof/>
          <w:kern w:val="0"/>
          <w:szCs w:val="22"/>
        </w:rPr>
      </w:pPr>
      <w:r w:rsidRPr="003A1AA8">
        <w:rPr>
          <w:noProof/>
        </w:rPr>
        <w:t>Division</w:t>
      </w:r>
      <w:r w:rsidR="003A1AA8" w:rsidRPr="003A1AA8">
        <w:rPr>
          <w:noProof/>
        </w:rPr>
        <w:t> </w:t>
      </w:r>
      <w:r w:rsidRPr="003A1AA8">
        <w:rPr>
          <w:noProof/>
        </w:rPr>
        <w:t>1—Operation of this Part</w:t>
      </w:r>
      <w:r w:rsidRPr="003A1AA8">
        <w:rPr>
          <w:b w:val="0"/>
          <w:noProof/>
          <w:sz w:val="18"/>
        </w:rPr>
        <w:tab/>
      </w:r>
      <w:r w:rsidRPr="003A1AA8">
        <w:rPr>
          <w:b w:val="0"/>
          <w:noProof/>
          <w:sz w:val="18"/>
        </w:rPr>
        <w:fldChar w:fldCharType="begin"/>
      </w:r>
      <w:r w:rsidRPr="003A1AA8">
        <w:rPr>
          <w:b w:val="0"/>
          <w:noProof/>
          <w:sz w:val="18"/>
        </w:rPr>
        <w:instrText xml:space="preserve"> PAGEREF _Toc407104153 \h </w:instrText>
      </w:r>
      <w:r w:rsidRPr="003A1AA8">
        <w:rPr>
          <w:b w:val="0"/>
          <w:noProof/>
          <w:sz w:val="18"/>
        </w:rPr>
      </w:r>
      <w:r w:rsidRPr="003A1AA8">
        <w:rPr>
          <w:b w:val="0"/>
          <w:noProof/>
          <w:sz w:val="18"/>
        </w:rPr>
        <w:fldChar w:fldCharType="separate"/>
      </w:r>
      <w:r w:rsidR="00EE0EA8">
        <w:rPr>
          <w:b w:val="0"/>
          <w:noProof/>
          <w:sz w:val="18"/>
        </w:rPr>
        <w:t>7</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14</w:t>
      </w:r>
      <w:r w:rsidRPr="003A1AA8">
        <w:rPr>
          <w:noProof/>
        </w:rPr>
        <w:tab/>
        <w:t>Operation of this Part</w:t>
      </w:r>
      <w:r w:rsidRPr="003A1AA8">
        <w:rPr>
          <w:noProof/>
        </w:rPr>
        <w:tab/>
      </w:r>
      <w:r w:rsidRPr="003A1AA8">
        <w:rPr>
          <w:noProof/>
        </w:rPr>
        <w:fldChar w:fldCharType="begin"/>
      </w:r>
      <w:r w:rsidRPr="003A1AA8">
        <w:rPr>
          <w:noProof/>
        </w:rPr>
        <w:instrText xml:space="preserve"> PAGEREF _Toc407104154 \h </w:instrText>
      </w:r>
      <w:r w:rsidRPr="003A1AA8">
        <w:rPr>
          <w:noProof/>
        </w:rPr>
      </w:r>
      <w:r w:rsidRPr="003A1AA8">
        <w:rPr>
          <w:noProof/>
        </w:rPr>
        <w:fldChar w:fldCharType="separate"/>
      </w:r>
      <w:r w:rsidR="00EE0EA8">
        <w:rPr>
          <w:noProof/>
        </w:rPr>
        <w:t>7</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15</w:t>
      </w:r>
      <w:r w:rsidRPr="003A1AA8">
        <w:rPr>
          <w:noProof/>
        </w:rPr>
        <w:tab/>
        <w:t>Overview of gases accounted for in abatement calculations</w:t>
      </w:r>
      <w:r w:rsidRPr="003A1AA8">
        <w:rPr>
          <w:noProof/>
        </w:rPr>
        <w:tab/>
      </w:r>
      <w:r w:rsidRPr="003A1AA8">
        <w:rPr>
          <w:noProof/>
        </w:rPr>
        <w:fldChar w:fldCharType="begin"/>
      </w:r>
      <w:r w:rsidRPr="003A1AA8">
        <w:rPr>
          <w:noProof/>
        </w:rPr>
        <w:instrText xml:space="preserve"> PAGEREF _Toc407104155 \h </w:instrText>
      </w:r>
      <w:r w:rsidRPr="003A1AA8">
        <w:rPr>
          <w:noProof/>
        </w:rPr>
      </w:r>
      <w:r w:rsidRPr="003A1AA8">
        <w:rPr>
          <w:noProof/>
        </w:rPr>
        <w:fldChar w:fldCharType="separate"/>
      </w:r>
      <w:r w:rsidR="00EE0EA8">
        <w:rPr>
          <w:noProof/>
        </w:rPr>
        <w:t>7</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16</w:t>
      </w:r>
      <w:r w:rsidRPr="003A1AA8">
        <w:rPr>
          <w:noProof/>
        </w:rPr>
        <w:tab/>
        <w:t>Inputs and parameters</w:t>
      </w:r>
      <w:r w:rsidRPr="003A1AA8">
        <w:rPr>
          <w:noProof/>
        </w:rPr>
        <w:tab/>
      </w:r>
      <w:r w:rsidRPr="003A1AA8">
        <w:rPr>
          <w:noProof/>
        </w:rPr>
        <w:fldChar w:fldCharType="begin"/>
      </w:r>
      <w:r w:rsidRPr="003A1AA8">
        <w:rPr>
          <w:noProof/>
        </w:rPr>
        <w:instrText xml:space="preserve"> PAGEREF _Toc407104156 \h </w:instrText>
      </w:r>
      <w:r w:rsidRPr="003A1AA8">
        <w:rPr>
          <w:noProof/>
        </w:rPr>
      </w:r>
      <w:r w:rsidRPr="003A1AA8">
        <w:rPr>
          <w:noProof/>
        </w:rPr>
        <w:fldChar w:fldCharType="separate"/>
      </w:r>
      <w:r w:rsidR="00EE0EA8">
        <w:rPr>
          <w:noProof/>
        </w:rPr>
        <w:t>7</w:t>
      </w:r>
      <w:r w:rsidRPr="003A1AA8">
        <w:rPr>
          <w:noProof/>
        </w:rPr>
        <w:fldChar w:fldCharType="end"/>
      </w:r>
    </w:p>
    <w:p w:rsidR="000347F6" w:rsidRPr="003A1AA8" w:rsidRDefault="000347F6">
      <w:pPr>
        <w:pStyle w:val="TOC3"/>
        <w:rPr>
          <w:rFonts w:asciiTheme="minorHAnsi" w:eastAsiaTheme="minorEastAsia" w:hAnsiTheme="minorHAnsi" w:cstheme="minorBidi"/>
          <w:b w:val="0"/>
          <w:noProof/>
          <w:kern w:val="0"/>
          <w:szCs w:val="22"/>
        </w:rPr>
      </w:pPr>
      <w:r w:rsidRPr="003A1AA8">
        <w:rPr>
          <w:noProof/>
        </w:rPr>
        <w:t>Division</w:t>
      </w:r>
      <w:r w:rsidR="003A1AA8" w:rsidRPr="003A1AA8">
        <w:rPr>
          <w:noProof/>
        </w:rPr>
        <w:t> </w:t>
      </w:r>
      <w:r w:rsidRPr="003A1AA8">
        <w:rPr>
          <w:noProof/>
        </w:rPr>
        <w:t>2—Method for calculating net abatement amount</w:t>
      </w:r>
      <w:r w:rsidRPr="003A1AA8">
        <w:rPr>
          <w:b w:val="0"/>
          <w:noProof/>
          <w:sz w:val="18"/>
        </w:rPr>
        <w:tab/>
      </w:r>
      <w:r w:rsidRPr="003A1AA8">
        <w:rPr>
          <w:b w:val="0"/>
          <w:noProof/>
          <w:sz w:val="18"/>
        </w:rPr>
        <w:fldChar w:fldCharType="begin"/>
      </w:r>
      <w:r w:rsidRPr="003A1AA8">
        <w:rPr>
          <w:b w:val="0"/>
          <w:noProof/>
          <w:sz w:val="18"/>
        </w:rPr>
        <w:instrText xml:space="preserve"> PAGEREF _Toc407104157 \h </w:instrText>
      </w:r>
      <w:r w:rsidRPr="003A1AA8">
        <w:rPr>
          <w:b w:val="0"/>
          <w:noProof/>
          <w:sz w:val="18"/>
        </w:rPr>
      </w:r>
      <w:r w:rsidRPr="003A1AA8">
        <w:rPr>
          <w:b w:val="0"/>
          <w:noProof/>
          <w:sz w:val="18"/>
        </w:rPr>
        <w:fldChar w:fldCharType="separate"/>
      </w:r>
      <w:r w:rsidR="00EE0EA8">
        <w:rPr>
          <w:b w:val="0"/>
          <w:noProof/>
          <w:sz w:val="18"/>
        </w:rPr>
        <w:t>8</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17</w:t>
      </w:r>
      <w:r w:rsidRPr="003A1AA8">
        <w:rPr>
          <w:noProof/>
        </w:rPr>
        <w:tab/>
        <w:t>Summary</w:t>
      </w:r>
      <w:r w:rsidRPr="003A1AA8">
        <w:rPr>
          <w:noProof/>
        </w:rPr>
        <w:tab/>
      </w:r>
      <w:r w:rsidRPr="003A1AA8">
        <w:rPr>
          <w:noProof/>
        </w:rPr>
        <w:fldChar w:fldCharType="begin"/>
      </w:r>
      <w:r w:rsidRPr="003A1AA8">
        <w:rPr>
          <w:noProof/>
        </w:rPr>
        <w:instrText xml:space="preserve"> PAGEREF _Toc407104158 \h </w:instrText>
      </w:r>
      <w:r w:rsidRPr="003A1AA8">
        <w:rPr>
          <w:noProof/>
        </w:rPr>
      </w:r>
      <w:r w:rsidRPr="003A1AA8">
        <w:rPr>
          <w:noProof/>
        </w:rPr>
        <w:fldChar w:fldCharType="separate"/>
      </w:r>
      <w:r w:rsidR="00EE0EA8">
        <w:rPr>
          <w:noProof/>
        </w:rPr>
        <w:t>8</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18</w:t>
      </w:r>
      <w:r w:rsidRPr="003A1AA8">
        <w:rPr>
          <w:noProof/>
        </w:rPr>
        <w:tab/>
        <w:t>Net abatement amount</w:t>
      </w:r>
      <w:r w:rsidRPr="003A1AA8">
        <w:rPr>
          <w:noProof/>
        </w:rPr>
        <w:tab/>
      </w:r>
      <w:r w:rsidRPr="003A1AA8">
        <w:rPr>
          <w:noProof/>
        </w:rPr>
        <w:fldChar w:fldCharType="begin"/>
      </w:r>
      <w:r w:rsidRPr="003A1AA8">
        <w:rPr>
          <w:noProof/>
        </w:rPr>
        <w:instrText xml:space="preserve"> PAGEREF _Toc407104159 \h </w:instrText>
      </w:r>
      <w:r w:rsidRPr="003A1AA8">
        <w:rPr>
          <w:noProof/>
        </w:rPr>
      </w:r>
      <w:r w:rsidRPr="003A1AA8">
        <w:rPr>
          <w:noProof/>
        </w:rPr>
        <w:fldChar w:fldCharType="separate"/>
      </w:r>
      <w:r w:rsidR="00EE0EA8">
        <w:rPr>
          <w:noProof/>
        </w:rPr>
        <w:t>8</w:t>
      </w:r>
      <w:r w:rsidRPr="003A1AA8">
        <w:rPr>
          <w:noProof/>
        </w:rPr>
        <w:fldChar w:fldCharType="end"/>
      </w:r>
    </w:p>
    <w:p w:rsidR="000347F6" w:rsidRPr="003A1AA8" w:rsidRDefault="000347F6">
      <w:pPr>
        <w:pStyle w:val="TOC3"/>
        <w:rPr>
          <w:rFonts w:asciiTheme="minorHAnsi" w:eastAsiaTheme="minorEastAsia" w:hAnsiTheme="minorHAnsi" w:cstheme="minorBidi"/>
          <w:b w:val="0"/>
          <w:noProof/>
          <w:kern w:val="0"/>
          <w:szCs w:val="22"/>
        </w:rPr>
      </w:pPr>
      <w:r w:rsidRPr="003A1AA8">
        <w:rPr>
          <w:noProof/>
        </w:rPr>
        <w:t>Division</w:t>
      </w:r>
      <w:r w:rsidR="003A1AA8" w:rsidRPr="003A1AA8">
        <w:rPr>
          <w:noProof/>
        </w:rPr>
        <w:t> </w:t>
      </w:r>
      <w:r w:rsidRPr="003A1AA8">
        <w:rPr>
          <w:noProof/>
        </w:rPr>
        <w:t>3—Method for calculating project abatement</w:t>
      </w:r>
      <w:r w:rsidRPr="003A1AA8">
        <w:rPr>
          <w:b w:val="0"/>
          <w:noProof/>
          <w:sz w:val="18"/>
        </w:rPr>
        <w:tab/>
      </w:r>
      <w:r w:rsidRPr="003A1AA8">
        <w:rPr>
          <w:b w:val="0"/>
          <w:noProof/>
          <w:sz w:val="18"/>
        </w:rPr>
        <w:fldChar w:fldCharType="begin"/>
      </w:r>
      <w:r w:rsidRPr="003A1AA8">
        <w:rPr>
          <w:b w:val="0"/>
          <w:noProof/>
          <w:sz w:val="18"/>
        </w:rPr>
        <w:instrText xml:space="preserve"> PAGEREF _Toc407104160 \h </w:instrText>
      </w:r>
      <w:r w:rsidRPr="003A1AA8">
        <w:rPr>
          <w:b w:val="0"/>
          <w:noProof/>
          <w:sz w:val="18"/>
        </w:rPr>
      </w:r>
      <w:r w:rsidRPr="003A1AA8">
        <w:rPr>
          <w:b w:val="0"/>
          <w:noProof/>
          <w:sz w:val="18"/>
        </w:rPr>
        <w:fldChar w:fldCharType="separate"/>
      </w:r>
      <w:r w:rsidR="00EE0EA8">
        <w:rPr>
          <w:b w:val="0"/>
          <w:noProof/>
          <w:sz w:val="18"/>
        </w:rPr>
        <w:t>9</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19</w:t>
      </w:r>
      <w:r w:rsidRPr="003A1AA8">
        <w:rPr>
          <w:noProof/>
        </w:rPr>
        <w:tab/>
        <w:t>Summary</w:t>
      </w:r>
      <w:r w:rsidRPr="003A1AA8">
        <w:rPr>
          <w:noProof/>
        </w:rPr>
        <w:tab/>
      </w:r>
      <w:r w:rsidRPr="003A1AA8">
        <w:rPr>
          <w:noProof/>
        </w:rPr>
        <w:fldChar w:fldCharType="begin"/>
      </w:r>
      <w:r w:rsidRPr="003A1AA8">
        <w:rPr>
          <w:noProof/>
        </w:rPr>
        <w:instrText xml:space="preserve"> PAGEREF _Toc407104161 \h </w:instrText>
      </w:r>
      <w:r w:rsidRPr="003A1AA8">
        <w:rPr>
          <w:noProof/>
        </w:rPr>
      </w:r>
      <w:r w:rsidRPr="003A1AA8">
        <w:rPr>
          <w:noProof/>
        </w:rPr>
        <w:fldChar w:fldCharType="separate"/>
      </w:r>
      <w:r w:rsidR="00EE0EA8">
        <w:rPr>
          <w:noProof/>
        </w:rPr>
        <w:t>9</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20</w:t>
      </w:r>
      <w:r w:rsidRPr="003A1AA8">
        <w:rPr>
          <w:noProof/>
        </w:rPr>
        <w:tab/>
        <w:t>Project abatement</w:t>
      </w:r>
      <w:r w:rsidRPr="003A1AA8">
        <w:rPr>
          <w:noProof/>
        </w:rPr>
        <w:tab/>
      </w:r>
      <w:r w:rsidRPr="003A1AA8">
        <w:rPr>
          <w:noProof/>
        </w:rPr>
        <w:fldChar w:fldCharType="begin"/>
      </w:r>
      <w:r w:rsidRPr="003A1AA8">
        <w:rPr>
          <w:noProof/>
        </w:rPr>
        <w:instrText xml:space="preserve"> PAGEREF _Toc407104162 \h </w:instrText>
      </w:r>
      <w:r w:rsidRPr="003A1AA8">
        <w:rPr>
          <w:noProof/>
        </w:rPr>
      </w:r>
      <w:r w:rsidRPr="003A1AA8">
        <w:rPr>
          <w:noProof/>
        </w:rPr>
        <w:fldChar w:fldCharType="separate"/>
      </w:r>
      <w:r w:rsidR="00EE0EA8">
        <w:rPr>
          <w:noProof/>
        </w:rPr>
        <w:t>9</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21</w:t>
      </w:r>
      <w:r w:rsidRPr="003A1AA8">
        <w:rPr>
          <w:noProof/>
        </w:rPr>
        <w:tab/>
        <w:t>Methane combusted that was not generated from carbon tax waste</w:t>
      </w:r>
      <w:r w:rsidRPr="003A1AA8">
        <w:rPr>
          <w:noProof/>
        </w:rPr>
        <w:tab/>
      </w:r>
      <w:r w:rsidRPr="003A1AA8">
        <w:rPr>
          <w:noProof/>
        </w:rPr>
        <w:fldChar w:fldCharType="begin"/>
      </w:r>
      <w:r w:rsidRPr="003A1AA8">
        <w:rPr>
          <w:noProof/>
        </w:rPr>
        <w:instrText xml:space="preserve"> PAGEREF _Toc407104163 \h </w:instrText>
      </w:r>
      <w:r w:rsidRPr="003A1AA8">
        <w:rPr>
          <w:noProof/>
        </w:rPr>
      </w:r>
      <w:r w:rsidRPr="003A1AA8">
        <w:rPr>
          <w:noProof/>
        </w:rPr>
        <w:fldChar w:fldCharType="separate"/>
      </w:r>
      <w:r w:rsidR="00EE0EA8">
        <w:rPr>
          <w:noProof/>
        </w:rPr>
        <w:t>9</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22</w:t>
      </w:r>
      <w:r w:rsidRPr="003A1AA8">
        <w:rPr>
          <w:bCs/>
          <w:iCs/>
          <w:noProof/>
        </w:rPr>
        <w:tab/>
        <w:t>Proportion of m</w:t>
      </w:r>
      <w:r w:rsidRPr="003A1AA8">
        <w:rPr>
          <w:noProof/>
        </w:rPr>
        <w:t>ethane combusted that was not generated from carbon tax waste</w:t>
      </w:r>
      <w:r w:rsidRPr="003A1AA8">
        <w:rPr>
          <w:noProof/>
        </w:rPr>
        <w:tab/>
      </w:r>
      <w:r w:rsidRPr="003A1AA8">
        <w:rPr>
          <w:noProof/>
        </w:rPr>
        <w:fldChar w:fldCharType="begin"/>
      </w:r>
      <w:r w:rsidRPr="003A1AA8">
        <w:rPr>
          <w:noProof/>
        </w:rPr>
        <w:instrText xml:space="preserve"> PAGEREF _Toc407104164 \h </w:instrText>
      </w:r>
      <w:r w:rsidRPr="003A1AA8">
        <w:rPr>
          <w:noProof/>
        </w:rPr>
      </w:r>
      <w:r w:rsidRPr="003A1AA8">
        <w:rPr>
          <w:noProof/>
        </w:rPr>
        <w:fldChar w:fldCharType="separate"/>
      </w:r>
      <w:r w:rsidR="00EE0EA8">
        <w:rPr>
          <w:noProof/>
        </w:rPr>
        <w:t>10</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23</w:t>
      </w:r>
      <w:r w:rsidRPr="003A1AA8">
        <w:rPr>
          <w:noProof/>
        </w:rPr>
        <w:tab/>
        <w:t>Methane combusted</w:t>
      </w:r>
      <w:r w:rsidRPr="003A1AA8">
        <w:rPr>
          <w:noProof/>
        </w:rPr>
        <w:tab/>
      </w:r>
      <w:r w:rsidRPr="003A1AA8">
        <w:rPr>
          <w:noProof/>
        </w:rPr>
        <w:fldChar w:fldCharType="begin"/>
      </w:r>
      <w:r w:rsidRPr="003A1AA8">
        <w:rPr>
          <w:noProof/>
        </w:rPr>
        <w:instrText xml:space="preserve"> PAGEREF _Toc407104165 \h </w:instrText>
      </w:r>
      <w:r w:rsidRPr="003A1AA8">
        <w:rPr>
          <w:noProof/>
        </w:rPr>
      </w:r>
      <w:r w:rsidRPr="003A1AA8">
        <w:rPr>
          <w:noProof/>
        </w:rPr>
        <w:fldChar w:fldCharType="separate"/>
      </w:r>
      <w:r w:rsidR="00EE0EA8">
        <w:rPr>
          <w:noProof/>
        </w:rPr>
        <w:t>11</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24</w:t>
      </w:r>
      <w:r w:rsidRPr="003A1AA8">
        <w:rPr>
          <w:noProof/>
        </w:rPr>
        <w:tab/>
        <w:t>Methane sent to combustion device</w:t>
      </w:r>
      <w:r w:rsidRPr="003A1AA8">
        <w:rPr>
          <w:noProof/>
        </w:rPr>
        <w:tab/>
      </w:r>
      <w:r w:rsidRPr="003A1AA8">
        <w:rPr>
          <w:noProof/>
        </w:rPr>
        <w:fldChar w:fldCharType="begin"/>
      </w:r>
      <w:r w:rsidRPr="003A1AA8">
        <w:rPr>
          <w:noProof/>
        </w:rPr>
        <w:instrText xml:space="preserve"> PAGEREF _Toc407104166 \h </w:instrText>
      </w:r>
      <w:r w:rsidRPr="003A1AA8">
        <w:rPr>
          <w:noProof/>
        </w:rPr>
      </w:r>
      <w:r w:rsidRPr="003A1AA8">
        <w:rPr>
          <w:noProof/>
        </w:rPr>
        <w:fldChar w:fldCharType="separate"/>
      </w:r>
      <w:r w:rsidR="00EE0EA8">
        <w:rPr>
          <w:noProof/>
        </w:rPr>
        <w:t>12</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25</w:t>
      </w:r>
      <w:r w:rsidRPr="003A1AA8">
        <w:rPr>
          <w:noProof/>
        </w:rPr>
        <w:tab/>
        <w:t>Methane combusted that was not generated from carbon tax waste and that would have been oxidised in near surface conditions</w:t>
      </w:r>
      <w:r w:rsidRPr="003A1AA8">
        <w:rPr>
          <w:noProof/>
        </w:rPr>
        <w:tab/>
      </w:r>
      <w:r w:rsidRPr="003A1AA8">
        <w:rPr>
          <w:noProof/>
        </w:rPr>
        <w:fldChar w:fldCharType="begin"/>
      </w:r>
      <w:r w:rsidRPr="003A1AA8">
        <w:rPr>
          <w:noProof/>
        </w:rPr>
        <w:instrText xml:space="preserve"> PAGEREF _Toc407104167 \h </w:instrText>
      </w:r>
      <w:r w:rsidRPr="003A1AA8">
        <w:rPr>
          <w:noProof/>
        </w:rPr>
      </w:r>
      <w:r w:rsidRPr="003A1AA8">
        <w:rPr>
          <w:noProof/>
        </w:rPr>
        <w:fldChar w:fldCharType="separate"/>
      </w:r>
      <w:r w:rsidR="00EE0EA8">
        <w:rPr>
          <w:noProof/>
        </w:rPr>
        <w:t>14</w:t>
      </w:r>
      <w:r w:rsidRPr="003A1AA8">
        <w:rPr>
          <w:noProof/>
        </w:rPr>
        <w:fldChar w:fldCharType="end"/>
      </w:r>
    </w:p>
    <w:p w:rsidR="000347F6" w:rsidRPr="003A1AA8" w:rsidRDefault="000347F6">
      <w:pPr>
        <w:pStyle w:val="TOC3"/>
        <w:rPr>
          <w:rFonts w:asciiTheme="minorHAnsi" w:eastAsiaTheme="minorEastAsia" w:hAnsiTheme="minorHAnsi" w:cstheme="minorBidi"/>
          <w:b w:val="0"/>
          <w:noProof/>
          <w:kern w:val="0"/>
          <w:szCs w:val="22"/>
        </w:rPr>
      </w:pPr>
      <w:r w:rsidRPr="003A1AA8">
        <w:rPr>
          <w:noProof/>
        </w:rPr>
        <w:t>Division</w:t>
      </w:r>
      <w:r w:rsidR="003A1AA8" w:rsidRPr="003A1AA8">
        <w:rPr>
          <w:noProof/>
        </w:rPr>
        <w:t> </w:t>
      </w:r>
      <w:r w:rsidRPr="003A1AA8">
        <w:rPr>
          <w:noProof/>
        </w:rPr>
        <w:t>4—Method for calculating baseline abatement</w:t>
      </w:r>
      <w:r w:rsidRPr="003A1AA8">
        <w:rPr>
          <w:b w:val="0"/>
          <w:noProof/>
          <w:sz w:val="18"/>
        </w:rPr>
        <w:tab/>
      </w:r>
      <w:r w:rsidRPr="003A1AA8">
        <w:rPr>
          <w:b w:val="0"/>
          <w:noProof/>
          <w:sz w:val="18"/>
        </w:rPr>
        <w:fldChar w:fldCharType="begin"/>
      </w:r>
      <w:r w:rsidRPr="003A1AA8">
        <w:rPr>
          <w:b w:val="0"/>
          <w:noProof/>
          <w:sz w:val="18"/>
        </w:rPr>
        <w:instrText xml:space="preserve"> PAGEREF _Toc407104168 \h </w:instrText>
      </w:r>
      <w:r w:rsidRPr="003A1AA8">
        <w:rPr>
          <w:b w:val="0"/>
          <w:noProof/>
          <w:sz w:val="18"/>
        </w:rPr>
      </w:r>
      <w:r w:rsidRPr="003A1AA8">
        <w:rPr>
          <w:b w:val="0"/>
          <w:noProof/>
          <w:sz w:val="18"/>
        </w:rPr>
        <w:fldChar w:fldCharType="separate"/>
      </w:r>
      <w:r w:rsidR="00EE0EA8">
        <w:rPr>
          <w:b w:val="0"/>
          <w:noProof/>
          <w:sz w:val="18"/>
        </w:rPr>
        <w:t>15</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26</w:t>
      </w:r>
      <w:r w:rsidRPr="003A1AA8">
        <w:rPr>
          <w:noProof/>
        </w:rPr>
        <w:tab/>
        <w:t>Summary</w:t>
      </w:r>
      <w:r w:rsidRPr="003A1AA8">
        <w:rPr>
          <w:noProof/>
        </w:rPr>
        <w:tab/>
      </w:r>
      <w:r w:rsidRPr="003A1AA8">
        <w:rPr>
          <w:noProof/>
        </w:rPr>
        <w:fldChar w:fldCharType="begin"/>
      </w:r>
      <w:r w:rsidRPr="003A1AA8">
        <w:rPr>
          <w:noProof/>
        </w:rPr>
        <w:instrText xml:space="preserve"> PAGEREF _Toc407104169 \h </w:instrText>
      </w:r>
      <w:r w:rsidRPr="003A1AA8">
        <w:rPr>
          <w:noProof/>
        </w:rPr>
      </w:r>
      <w:r w:rsidRPr="003A1AA8">
        <w:rPr>
          <w:noProof/>
        </w:rPr>
        <w:fldChar w:fldCharType="separate"/>
      </w:r>
      <w:r w:rsidR="00EE0EA8">
        <w:rPr>
          <w:noProof/>
        </w:rPr>
        <w:t>15</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27</w:t>
      </w:r>
      <w:r w:rsidRPr="003A1AA8">
        <w:rPr>
          <w:noProof/>
        </w:rPr>
        <w:tab/>
        <w:t>Baseline abatement</w:t>
      </w:r>
      <w:r w:rsidRPr="003A1AA8">
        <w:rPr>
          <w:noProof/>
        </w:rPr>
        <w:tab/>
      </w:r>
      <w:r w:rsidRPr="003A1AA8">
        <w:rPr>
          <w:noProof/>
        </w:rPr>
        <w:fldChar w:fldCharType="begin"/>
      </w:r>
      <w:r w:rsidRPr="003A1AA8">
        <w:rPr>
          <w:noProof/>
        </w:rPr>
        <w:instrText xml:space="preserve"> PAGEREF _Toc407104170 \h </w:instrText>
      </w:r>
      <w:r w:rsidRPr="003A1AA8">
        <w:rPr>
          <w:noProof/>
        </w:rPr>
      </w:r>
      <w:r w:rsidRPr="003A1AA8">
        <w:rPr>
          <w:noProof/>
        </w:rPr>
        <w:fldChar w:fldCharType="separate"/>
      </w:r>
      <w:r w:rsidR="00EE0EA8">
        <w:rPr>
          <w:noProof/>
        </w:rPr>
        <w:t>15</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28</w:t>
      </w:r>
      <w:r w:rsidRPr="003A1AA8">
        <w:rPr>
          <w:noProof/>
        </w:rPr>
        <w:tab/>
        <w:t>Proportion of methane that would have been combusted without the project</w:t>
      </w:r>
      <w:r w:rsidRPr="003A1AA8">
        <w:rPr>
          <w:noProof/>
        </w:rPr>
        <w:tab/>
      </w:r>
      <w:r w:rsidRPr="003A1AA8">
        <w:rPr>
          <w:noProof/>
        </w:rPr>
        <w:fldChar w:fldCharType="begin"/>
      </w:r>
      <w:r w:rsidRPr="003A1AA8">
        <w:rPr>
          <w:noProof/>
        </w:rPr>
        <w:instrText xml:space="preserve"> PAGEREF _Toc407104171 \h </w:instrText>
      </w:r>
      <w:r w:rsidRPr="003A1AA8">
        <w:rPr>
          <w:noProof/>
        </w:rPr>
      </w:r>
      <w:r w:rsidRPr="003A1AA8">
        <w:rPr>
          <w:noProof/>
        </w:rPr>
        <w:fldChar w:fldCharType="separate"/>
      </w:r>
      <w:r w:rsidR="00EE0EA8">
        <w:rPr>
          <w:noProof/>
        </w:rPr>
        <w:t>15</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29</w:t>
      </w:r>
      <w:r w:rsidRPr="003A1AA8">
        <w:rPr>
          <w:noProof/>
          <w:kern w:val="32"/>
        </w:rPr>
        <w:tab/>
      </w:r>
      <w:r w:rsidRPr="003A1AA8">
        <w:rPr>
          <w:noProof/>
        </w:rPr>
        <w:t>Proportion of methane that would have been combusted without upgrade</w:t>
      </w:r>
      <w:r w:rsidRPr="003A1AA8">
        <w:rPr>
          <w:noProof/>
        </w:rPr>
        <w:tab/>
      </w:r>
      <w:r w:rsidRPr="003A1AA8">
        <w:rPr>
          <w:noProof/>
        </w:rPr>
        <w:fldChar w:fldCharType="begin"/>
      </w:r>
      <w:r w:rsidRPr="003A1AA8">
        <w:rPr>
          <w:noProof/>
        </w:rPr>
        <w:instrText xml:space="preserve"> PAGEREF _Toc407104172 \h </w:instrText>
      </w:r>
      <w:r w:rsidRPr="003A1AA8">
        <w:rPr>
          <w:noProof/>
        </w:rPr>
      </w:r>
      <w:r w:rsidRPr="003A1AA8">
        <w:rPr>
          <w:noProof/>
        </w:rPr>
        <w:fldChar w:fldCharType="separate"/>
      </w:r>
      <w:r w:rsidR="00EE0EA8">
        <w:rPr>
          <w:noProof/>
        </w:rPr>
        <w:t>17</w:t>
      </w:r>
      <w:r w:rsidRPr="003A1AA8">
        <w:rPr>
          <w:noProof/>
        </w:rPr>
        <w:fldChar w:fldCharType="end"/>
      </w:r>
    </w:p>
    <w:p w:rsidR="000347F6" w:rsidRPr="003A1AA8" w:rsidRDefault="000347F6">
      <w:pPr>
        <w:pStyle w:val="TOC2"/>
        <w:rPr>
          <w:rFonts w:asciiTheme="minorHAnsi" w:eastAsiaTheme="minorEastAsia" w:hAnsiTheme="minorHAnsi" w:cstheme="minorBidi"/>
          <w:b w:val="0"/>
          <w:noProof/>
          <w:kern w:val="0"/>
          <w:sz w:val="22"/>
          <w:szCs w:val="22"/>
        </w:rPr>
      </w:pPr>
      <w:r w:rsidRPr="003A1AA8">
        <w:rPr>
          <w:noProof/>
        </w:rPr>
        <w:t>Part</w:t>
      </w:r>
      <w:r w:rsidR="003A1AA8" w:rsidRPr="003A1AA8">
        <w:rPr>
          <w:noProof/>
        </w:rPr>
        <w:t> </w:t>
      </w:r>
      <w:r w:rsidRPr="003A1AA8">
        <w:rPr>
          <w:noProof/>
        </w:rPr>
        <w:t>5—Reporting, record</w:t>
      </w:r>
      <w:r w:rsidR="003A1AA8">
        <w:rPr>
          <w:noProof/>
        </w:rPr>
        <w:noBreakHyphen/>
      </w:r>
      <w:r w:rsidRPr="003A1AA8">
        <w:rPr>
          <w:noProof/>
        </w:rPr>
        <w:t>keeping and monitoring requirements</w:t>
      </w:r>
      <w:r w:rsidRPr="003A1AA8">
        <w:rPr>
          <w:b w:val="0"/>
          <w:noProof/>
          <w:sz w:val="18"/>
        </w:rPr>
        <w:tab/>
      </w:r>
      <w:r w:rsidRPr="003A1AA8">
        <w:rPr>
          <w:b w:val="0"/>
          <w:noProof/>
          <w:sz w:val="18"/>
        </w:rPr>
        <w:fldChar w:fldCharType="begin"/>
      </w:r>
      <w:r w:rsidRPr="003A1AA8">
        <w:rPr>
          <w:b w:val="0"/>
          <w:noProof/>
          <w:sz w:val="18"/>
        </w:rPr>
        <w:instrText xml:space="preserve"> PAGEREF _Toc407104173 \h </w:instrText>
      </w:r>
      <w:r w:rsidRPr="003A1AA8">
        <w:rPr>
          <w:b w:val="0"/>
          <w:noProof/>
          <w:sz w:val="18"/>
        </w:rPr>
      </w:r>
      <w:r w:rsidRPr="003A1AA8">
        <w:rPr>
          <w:b w:val="0"/>
          <w:noProof/>
          <w:sz w:val="18"/>
        </w:rPr>
        <w:fldChar w:fldCharType="separate"/>
      </w:r>
      <w:r w:rsidR="00EE0EA8">
        <w:rPr>
          <w:b w:val="0"/>
          <w:noProof/>
          <w:sz w:val="18"/>
        </w:rPr>
        <w:t>20</w:t>
      </w:r>
      <w:r w:rsidRPr="003A1AA8">
        <w:rPr>
          <w:b w:val="0"/>
          <w:noProof/>
          <w:sz w:val="18"/>
        </w:rPr>
        <w:fldChar w:fldCharType="end"/>
      </w:r>
    </w:p>
    <w:p w:rsidR="000347F6" w:rsidRPr="003A1AA8" w:rsidRDefault="000347F6">
      <w:pPr>
        <w:pStyle w:val="TOC3"/>
        <w:rPr>
          <w:rFonts w:asciiTheme="minorHAnsi" w:eastAsiaTheme="minorEastAsia" w:hAnsiTheme="minorHAnsi" w:cstheme="minorBidi"/>
          <w:b w:val="0"/>
          <w:noProof/>
          <w:kern w:val="0"/>
          <w:szCs w:val="22"/>
        </w:rPr>
      </w:pPr>
      <w:r w:rsidRPr="003A1AA8">
        <w:rPr>
          <w:noProof/>
        </w:rPr>
        <w:t>Division</w:t>
      </w:r>
      <w:r w:rsidR="003A1AA8" w:rsidRPr="003A1AA8">
        <w:rPr>
          <w:noProof/>
        </w:rPr>
        <w:t> </w:t>
      </w:r>
      <w:r w:rsidRPr="003A1AA8">
        <w:rPr>
          <w:noProof/>
        </w:rPr>
        <w:t>1—Offsets report requirements</w:t>
      </w:r>
      <w:r w:rsidRPr="003A1AA8">
        <w:rPr>
          <w:b w:val="0"/>
          <w:noProof/>
          <w:sz w:val="18"/>
        </w:rPr>
        <w:tab/>
      </w:r>
      <w:r w:rsidRPr="003A1AA8">
        <w:rPr>
          <w:b w:val="0"/>
          <w:noProof/>
          <w:sz w:val="18"/>
        </w:rPr>
        <w:fldChar w:fldCharType="begin"/>
      </w:r>
      <w:r w:rsidRPr="003A1AA8">
        <w:rPr>
          <w:b w:val="0"/>
          <w:noProof/>
          <w:sz w:val="18"/>
        </w:rPr>
        <w:instrText xml:space="preserve"> PAGEREF _Toc407104174 \h </w:instrText>
      </w:r>
      <w:r w:rsidRPr="003A1AA8">
        <w:rPr>
          <w:b w:val="0"/>
          <w:noProof/>
          <w:sz w:val="18"/>
        </w:rPr>
      </w:r>
      <w:r w:rsidRPr="003A1AA8">
        <w:rPr>
          <w:b w:val="0"/>
          <w:noProof/>
          <w:sz w:val="18"/>
        </w:rPr>
        <w:fldChar w:fldCharType="separate"/>
      </w:r>
      <w:r w:rsidR="00EE0EA8">
        <w:rPr>
          <w:b w:val="0"/>
          <w:noProof/>
          <w:sz w:val="18"/>
        </w:rPr>
        <w:t>20</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30</w:t>
      </w:r>
      <w:r w:rsidRPr="003A1AA8">
        <w:rPr>
          <w:noProof/>
        </w:rPr>
        <w:tab/>
        <w:t>Operation of this Division</w:t>
      </w:r>
      <w:r w:rsidRPr="003A1AA8">
        <w:rPr>
          <w:noProof/>
        </w:rPr>
        <w:tab/>
      </w:r>
      <w:r w:rsidRPr="003A1AA8">
        <w:rPr>
          <w:noProof/>
        </w:rPr>
        <w:fldChar w:fldCharType="begin"/>
      </w:r>
      <w:r w:rsidRPr="003A1AA8">
        <w:rPr>
          <w:noProof/>
        </w:rPr>
        <w:instrText xml:space="preserve"> PAGEREF _Toc407104175 \h </w:instrText>
      </w:r>
      <w:r w:rsidRPr="003A1AA8">
        <w:rPr>
          <w:noProof/>
        </w:rPr>
      </w:r>
      <w:r w:rsidRPr="003A1AA8">
        <w:rPr>
          <w:noProof/>
        </w:rPr>
        <w:fldChar w:fldCharType="separate"/>
      </w:r>
      <w:r w:rsidR="00EE0EA8">
        <w:rPr>
          <w:noProof/>
        </w:rPr>
        <w:t>20</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31</w:t>
      </w:r>
      <w:r w:rsidRPr="003A1AA8">
        <w:rPr>
          <w:noProof/>
        </w:rPr>
        <w:tab/>
        <w:t>Determination of certain factors and parameters</w:t>
      </w:r>
      <w:r w:rsidRPr="003A1AA8">
        <w:rPr>
          <w:noProof/>
        </w:rPr>
        <w:tab/>
      </w:r>
      <w:r w:rsidRPr="003A1AA8">
        <w:rPr>
          <w:noProof/>
        </w:rPr>
        <w:fldChar w:fldCharType="begin"/>
      </w:r>
      <w:r w:rsidRPr="003A1AA8">
        <w:rPr>
          <w:noProof/>
        </w:rPr>
        <w:instrText xml:space="preserve"> PAGEREF _Toc407104176 \h </w:instrText>
      </w:r>
      <w:r w:rsidRPr="003A1AA8">
        <w:rPr>
          <w:noProof/>
        </w:rPr>
      </w:r>
      <w:r w:rsidRPr="003A1AA8">
        <w:rPr>
          <w:noProof/>
        </w:rPr>
        <w:fldChar w:fldCharType="separate"/>
      </w:r>
      <w:r w:rsidR="00EE0EA8">
        <w:rPr>
          <w:noProof/>
        </w:rPr>
        <w:t>20</w:t>
      </w:r>
      <w:r w:rsidRPr="003A1AA8">
        <w:rPr>
          <w:noProof/>
        </w:rPr>
        <w:fldChar w:fldCharType="end"/>
      </w:r>
    </w:p>
    <w:p w:rsidR="000347F6" w:rsidRPr="003A1AA8" w:rsidRDefault="000347F6">
      <w:pPr>
        <w:pStyle w:val="TOC3"/>
        <w:rPr>
          <w:rFonts w:asciiTheme="minorHAnsi" w:eastAsiaTheme="minorEastAsia" w:hAnsiTheme="minorHAnsi" w:cstheme="minorBidi"/>
          <w:b w:val="0"/>
          <w:noProof/>
          <w:kern w:val="0"/>
          <w:szCs w:val="22"/>
        </w:rPr>
      </w:pPr>
      <w:r w:rsidRPr="003A1AA8">
        <w:rPr>
          <w:noProof/>
        </w:rPr>
        <w:t>Division</w:t>
      </w:r>
      <w:r w:rsidR="003A1AA8" w:rsidRPr="003A1AA8">
        <w:rPr>
          <w:noProof/>
        </w:rPr>
        <w:t> </w:t>
      </w:r>
      <w:r w:rsidRPr="003A1AA8">
        <w:rPr>
          <w:noProof/>
        </w:rPr>
        <w:t>2—Monitoring requirements</w:t>
      </w:r>
      <w:r w:rsidRPr="003A1AA8">
        <w:rPr>
          <w:b w:val="0"/>
          <w:noProof/>
          <w:sz w:val="18"/>
        </w:rPr>
        <w:tab/>
      </w:r>
      <w:r w:rsidRPr="003A1AA8">
        <w:rPr>
          <w:b w:val="0"/>
          <w:noProof/>
          <w:sz w:val="18"/>
        </w:rPr>
        <w:fldChar w:fldCharType="begin"/>
      </w:r>
      <w:r w:rsidRPr="003A1AA8">
        <w:rPr>
          <w:b w:val="0"/>
          <w:noProof/>
          <w:sz w:val="18"/>
        </w:rPr>
        <w:instrText xml:space="preserve"> PAGEREF _Toc407104177 \h </w:instrText>
      </w:r>
      <w:r w:rsidRPr="003A1AA8">
        <w:rPr>
          <w:b w:val="0"/>
          <w:noProof/>
          <w:sz w:val="18"/>
        </w:rPr>
      </w:r>
      <w:r w:rsidRPr="003A1AA8">
        <w:rPr>
          <w:b w:val="0"/>
          <w:noProof/>
          <w:sz w:val="18"/>
        </w:rPr>
        <w:fldChar w:fldCharType="separate"/>
      </w:r>
      <w:r w:rsidR="00EE0EA8">
        <w:rPr>
          <w:b w:val="0"/>
          <w:noProof/>
          <w:sz w:val="18"/>
        </w:rPr>
        <w:t>21</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32</w:t>
      </w:r>
      <w:r w:rsidRPr="003A1AA8">
        <w:rPr>
          <w:noProof/>
        </w:rPr>
        <w:tab/>
        <w:t>Operation of this Division</w:t>
      </w:r>
      <w:r w:rsidRPr="003A1AA8">
        <w:rPr>
          <w:noProof/>
        </w:rPr>
        <w:tab/>
      </w:r>
      <w:r w:rsidRPr="003A1AA8">
        <w:rPr>
          <w:noProof/>
        </w:rPr>
        <w:fldChar w:fldCharType="begin"/>
      </w:r>
      <w:r w:rsidRPr="003A1AA8">
        <w:rPr>
          <w:noProof/>
        </w:rPr>
        <w:instrText xml:space="preserve"> PAGEREF _Toc407104178 \h </w:instrText>
      </w:r>
      <w:r w:rsidRPr="003A1AA8">
        <w:rPr>
          <w:noProof/>
        </w:rPr>
      </w:r>
      <w:r w:rsidRPr="003A1AA8">
        <w:rPr>
          <w:noProof/>
        </w:rPr>
        <w:fldChar w:fldCharType="separate"/>
      </w:r>
      <w:r w:rsidR="00EE0EA8">
        <w:rPr>
          <w:noProof/>
        </w:rPr>
        <w:t>21</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33</w:t>
      </w:r>
      <w:r w:rsidRPr="003A1AA8">
        <w:rPr>
          <w:noProof/>
        </w:rPr>
        <w:tab/>
        <w:t>Requirements to monitor certain parameters</w:t>
      </w:r>
      <w:r w:rsidRPr="003A1AA8">
        <w:rPr>
          <w:noProof/>
        </w:rPr>
        <w:tab/>
      </w:r>
      <w:r w:rsidRPr="003A1AA8">
        <w:rPr>
          <w:noProof/>
        </w:rPr>
        <w:fldChar w:fldCharType="begin"/>
      </w:r>
      <w:r w:rsidRPr="003A1AA8">
        <w:rPr>
          <w:noProof/>
        </w:rPr>
        <w:instrText xml:space="preserve"> PAGEREF _Toc407104179 \h </w:instrText>
      </w:r>
      <w:r w:rsidRPr="003A1AA8">
        <w:rPr>
          <w:noProof/>
        </w:rPr>
      </w:r>
      <w:r w:rsidRPr="003A1AA8">
        <w:rPr>
          <w:noProof/>
        </w:rPr>
        <w:fldChar w:fldCharType="separate"/>
      </w:r>
      <w:r w:rsidR="00EE0EA8">
        <w:rPr>
          <w:noProof/>
        </w:rPr>
        <w:t>21</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lastRenderedPageBreak/>
        <w:t>34</w:t>
      </w:r>
      <w:r w:rsidRPr="003A1AA8">
        <w:rPr>
          <w:noProof/>
        </w:rPr>
        <w:tab/>
        <w:t>Consequences of not meeting requirement to monitor certain parameters</w:t>
      </w:r>
      <w:r w:rsidRPr="003A1AA8">
        <w:rPr>
          <w:noProof/>
        </w:rPr>
        <w:tab/>
      </w:r>
      <w:r w:rsidRPr="003A1AA8">
        <w:rPr>
          <w:noProof/>
        </w:rPr>
        <w:fldChar w:fldCharType="begin"/>
      </w:r>
      <w:r w:rsidRPr="003A1AA8">
        <w:rPr>
          <w:noProof/>
        </w:rPr>
        <w:instrText xml:space="preserve"> PAGEREF _Toc407104180 \h </w:instrText>
      </w:r>
      <w:r w:rsidRPr="003A1AA8">
        <w:rPr>
          <w:noProof/>
        </w:rPr>
      </w:r>
      <w:r w:rsidRPr="003A1AA8">
        <w:rPr>
          <w:noProof/>
        </w:rPr>
        <w:fldChar w:fldCharType="separate"/>
      </w:r>
      <w:r w:rsidR="00EE0EA8">
        <w:rPr>
          <w:noProof/>
        </w:rPr>
        <w:t>23</w:t>
      </w:r>
      <w:r w:rsidRPr="003A1AA8">
        <w:rPr>
          <w:noProof/>
        </w:rPr>
        <w:fldChar w:fldCharType="end"/>
      </w:r>
    </w:p>
    <w:p w:rsidR="000347F6" w:rsidRPr="003A1AA8" w:rsidRDefault="000347F6">
      <w:pPr>
        <w:pStyle w:val="TOC1"/>
        <w:rPr>
          <w:rFonts w:asciiTheme="minorHAnsi" w:eastAsiaTheme="minorEastAsia" w:hAnsiTheme="minorHAnsi" w:cstheme="minorBidi"/>
          <w:b w:val="0"/>
          <w:noProof/>
          <w:kern w:val="0"/>
          <w:sz w:val="22"/>
          <w:szCs w:val="22"/>
        </w:rPr>
      </w:pPr>
      <w:r w:rsidRPr="003A1AA8">
        <w:rPr>
          <w:noProof/>
        </w:rPr>
        <w:t>Schedule</w:t>
      </w:r>
      <w:r w:rsidR="003A1AA8" w:rsidRPr="003A1AA8">
        <w:rPr>
          <w:noProof/>
        </w:rPr>
        <w:t> </w:t>
      </w:r>
      <w:r w:rsidRPr="003A1AA8">
        <w:rPr>
          <w:noProof/>
        </w:rPr>
        <w:t>1—Determining regulatory proportion</w:t>
      </w:r>
      <w:r w:rsidRPr="003A1AA8">
        <w:rPr>
          <w:b w:val="0"/>
          <w:noProof/>
          <w:sz w:val="18"/>
        </w:rPr>
        <w:tab/>
      </w:r>
      <w:r w:rsidRPr="003A1AA8">
        <w:rPr>
          <w:b w:val="0"/>
          <w:noProof/>
          <w:sz w:val="18"/>
        </w:rPr>
        <w:fldChar w:fldCharType="begin"/>
      </w:r>
      <w:r w:rsidRPr="003A1AA8">
        <w:rPr>
          <w:b w:val="0"/>
          <w:noProof/>
          <w:sz w:val="18"/>
        </w:rPr>
        <w:instrText xml:space="preserve"> PAGEREF _Toc407104181 \h </w:instrText>
      </w:r>
      <w:r w:rsidRPr="003A1AA8">
        <w:rPr>
          <w:b w:val="0"/>
          <w:noProof/>
          <w:sz w:val="18"/>
        </w:rPr>
      </w:r>
      <w:r w:rsidRPr="003A1AA8">
        <w:rPr>
          <w:b w:val="0"/>
          <w:noProof/>
          <w:sz w:val="18"/>
        </w:rPr>
        <w:fldChar w:fldCharType="separate"/>
      </w:r>
      <w:r w:rsidR="00EE0EA8">
        <w:rPr>
          <w:b w:val="0"/>
          <w:noProof/>
          <w:sz w:val="18"/>
        </w:rPr>
        <w:t>25</w:t>
      </w:r>
      <w:r w:rsidRPr="003A1AA8">
        <w:rPr>
          <w:b w:val="0"/>
          <w:noProof/>
          <w:sz w:val="18"/>
        </w:rPr>
        <w:fldChar w:fldCharType="end"/>
      </w:r>
    </w:p>
    <w:p w:rsidR="000347F6" w:rsidRPr="003A1AA8" w:rsidRDefault="000347F6">
      <w:pPr>
        <w:pStyle w:val="TOC2"/>
        <w:rPr>
          <w:rFonts w:asciiTheme="minorHAnsi" w:eastAsiaTheme="minorEastAsia" w:hAnsiTheme="minorHAnsi" w:cstheme="minorBidi"/>
          <w:b w:val="0"/>
          <w:noProof/>
          <w:kern w:val="0"/>
          <w:sz w:val="22"/>
          <w:szCs w:val="22"/>
        </w:rPr>
      </w:pPr>
      <w:r w:rsidRPr="003A1AA8">
        <w:rPr>
          <w:noProof/>
        </w:rPr>
        <w:t>Part</w:t>
      </w:r>
      <w:r w:rsidR="003A1AA8" w:rsidRPr="003A1AA8">
        <w:rPr>
          <w:noProof/>
        </w:rPr>
        <w:t> </w:t>
      </w:r>
      <w:r w:rsidRPr="003A1AA8">
        <w:rPr>
          <w:noProof/>
        </w:rPr>
        <w:t>1—Operation of this Schedule</w:t>
      </w:r>
      <w:r w:rsidRPr="003A1AA8">
        <w:rPr>
          <w:b w:val="0"/>
          <w:noProof/>
          <w:sz w:val="18"/>
        </w:rPr>
        <w:tab/>
      </w:r>
      <w:r w:rsidRPr="003A1AA8">
        <w:rPr>
          <w:b w:val="0"/>
          <w:noProof/>
          <w:sz w:val="18"/>
        </w:rPr>
        <w:fldChar w:fldCharType="begin"/>
      </w:r>
      <w:r w:rsidRPr="003A1AA8">
        <w:rPr>
          <w:b w:val="0"/>
          <w:noProof/>
          <w:sz w:val="18"/>
        </w:rPr>
        <w:instrText xml:space="preserve"> PAGEREF _Toc407104182 \h </w:instrText>
      </w:r>
      <w:r w:rsidRPr="003A1AA8">
        <w:rPr>
          <w:b w:val="0"/>
          <w:noProof/>
          <w:sz w:val="18"/>
        </w:rPr>
      </w:r>
      <w:r w:rsidRPr="003A1AA8">
        <w:rPr>
          <w:b w:val="0"/>
          <w:noProof/>
          <w:sz w:val="18"/>
        </w:rPr>
        <w:fldChar w:fldCharType="separate"/>
      </w:r>
      <w:r w:rsidR="00EE0EA8">
        <w:rPr>
          <w:b w:val="0"/>
          <w:noProof/>
          <w:sz w:val="18"/>
        </w:rPr>
        <w:t>25</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1</w:t>
      </w:r>
      <w:r w:rsidRPr="003A1AA8">
        <w:rPr>
          <w:noProof/>
        </w:rPr>
        <w:tab/>
        <w:t>Operation of this Schedule</w:t>
      </w:r>
      <w:r w:rsidRPr="003A1AA8">
        <w:rPr>
          <w:noProof/>
        </w:rPr>
        <w:tab/>
      </w:r>
      <w:r w:rsidRPr="003A1AA8">
        <w:rPr>
          <w:noProof/>
        </w:rPr>
        <w:fldChar w:fldCharType="begin"/>
      </w:r>
      <w:r w:rsidRPr="003A1AA8">
        <w:rPr>
          <w:noProof/>
        </w:rPr>
        <w:instrText xml:space="preserve"> PAGEREF _Toc407104183 \h </w:instrText>
      </w:r>
      <w:r w:rsidRPr="003A1AA8">
        <w:rPr>
          <w:noProof/>
        </w:rPr>
      </w:r>
      <w:r w:rsidRPr="003A1AA8">
        <w:rPr>
          <w:noProof/>
        </w:rPr>
        <w:fldChar w:fldCharType="separate"/>
      </w:r>
      <w:r w:rsidR="00EE0EA8">
        <w:rPr>
          <w:noProof/>
        </w:rPr>
        <w:t>25</w:t>
      </w:r>
      <w:r w:rsidRPr="003A1AA8">
        <w:rPr>
          <w:noProof/>
        </w:rPr>
        <w:fldChar w:fldCharType="end"/>
      </w:r>
    </w:p>
    <w:p w:rsidR="000347F6" w:rsidRPr="003A1AA8" w:rsidRDefault="000347F6">
      <w:pPr>
        <w:pStyle w:val="TOC2"/>
        <w:rPr>
          <w:rFonts w:asciiTheme="minorHAnsi" w:eastAsiaTheme="minorEastAsia" w:hAnsiTheme="minorHAnsi" w:cstheme="minorBidi"/>
          <w:b w:val="0"/>
          <w:noProof/>
          <w:kern w:val="0"/>
          <w:sz w:val="22"/>
          <w:szCs w:val="22"/>
        </w:rPr>
      </w:pPr>
      <w:r w:rsidRPr="003A1AA8">
        <w:rPr>
          <w:noProof/>
        </w:rPr>
        <w:t>Part</w:t>
      </w:r>
      <w:r w:rsidR="003A1AA8" w:rsidRPr="003A1AA8">
        <w:rPr>
          <w:noProof/>
        </w:rPr>
        <w:t> </w:t>
      </w:r>
      <w:r w:rsidRPr="003A1AA8">
        <w:rPr>
          <w:noProof/>
        </w:rPr>
        <w:t>2—Regulatory proportion determined using regulatory guidelines for landfill</w:t>
      </w:r>
      <w:r w:rsidRPr="003A1AA8">
        <w:rPr>
          <w:b w:val="0"/>
          <w:noProof/>
          <w:sz w:val="18"/>
        </w:rPr>
        <w:tab/>
      </w:r>
      <w:r w:rsidRPr="003A1AA8">
        <w:rPr>
          <w:b w:val="0"/>
          <w:noProof/>
          <w:sz w:val="18"/>
        </w:rPr>
        <w:fldChar w:fldCharType="begin"/>
      </w:r>
      <w:r w:rsidRPr="003A1AA8">
        <w:rPr>
          <w:b w:val="0"/>
          <w:noProof/>
          <w:sz w:val="18"/>
        </w:rPr>
        <w:instrText xml:space="preserve"> PAGEREF _Toc407104184 \h </w:instrText>
      </w:r>
      <w:r w:rsidRPr="003A1AA8">
        <w:rPr>
          <w:b w:val="0"/>
          <w:noProof/>
          <w:sz w:val="18"/>
        </w:rPr>
      </w:r>
      <w:r w:rsidRPr="003A1AA8">
        <w:rPr>
          <w:b w:val="0"/>
          <w:noProof/>
          <w:sz w:val="18"/>
        </w:rPr>
        <w:fldChar w:fldCharType="separate"/>
      </w:r>
      <w:r w:rsidR="00EE0EA8">
        <w:rPr>
          <w:b w:val="0"/>
          <w:noProof/>
          <w:sz w:val="18"/>
        </w:rPr>
        <w:t>26</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2</w:t>
      </w:r>
      <w:r w:rsidRPr="003A1AA8">
        <w:rPr>
          <w:noProof/>
        </w:rPr>
        <w:tab/>
        <w:t>Regulatory proportion determined using regulatory guidelines for landfill</w:t>
      </w:r>
      <w:r w:rsidRPr="003A1AA8">
        <w:rPr>
          <w:noProof/>
        </w:rPr>
        <w:tab/>
      </w:r>
      <w:r w:rsidRPr="003A1AA8">
        <w:rPr>
          <w:noProof/>
        </w:rPr>
        <w:fldChar w:fldCharType="begin"/>
      </w:r>
      <w:r w:rsidRPr="003A1AA8">
        <w:rPr>
          <w:noProof/>
        </w:rPr>
        <w:instrText xml:space="preserve"> PAGEREF _Toc407104185 \h </w:instrText>
      </w:r>
      <w:r w:rsidRPr="003A1AA8">
        <w:rPr>
          <w:noProof/>
        </w:rPr>
      </w:r>
      <w:r w:rsidRPr="003A1AA8">
        <w:rPr>
          <w:noProof/>
        </w:rPr>
        <w:fldChar w:fldCharType="separate"/>
      </w:r>
      <w:r w:rsidR="00EE0EA8">
        <w:rPr>
          <w:noProof/>
        </w:rPr>
        <w:t>26</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3</w:t>
      </w:r>
      <w:r w:rsidRPr="003A1AA8">
        <w:rPr>
          <w:noProof/>
        </w:rPr>
        <w:tab/>
        <w:t>Annual amount of methane permitted to be emitted</w:t>
      </w:r>
      <w:r w:rsidRPr="003A1AA8">
        <w:rPr>
          <w:noProof/>
        </w:rPr>
        <w:tab/>
      </w:r>
      <w:r w:rsidRPr="003A1AA8">
        <w:rPr>
          <w:noProof/>
        </w:rPr>
        <w:fldChar w:fldCharType="begin"/>
      </w:r>
      <w:r w:rsidRPr="003A1AA8">
        <w:rPr>
          <w:noProof/>
        </w:rPr>
        <w:instrText xml:space="preserve"> PAGEREF _Toc407104186 \h </w:instrText>
      </w:r>
      <w:r w:rsidRPr="003A1AA8">
        <w:rPr>
          <w:noProof/>
        </w:rPr>
      </w:r>
      <w:r w:rsidRPr="003A1AA8">
        <w:rPr>
          <w:noProof/>
        </w:rPr>
        <w:fldChar w:fldCharType="separate"/>
      </w:r>
      <w:r w:rsidR="00EE0EA8">
        <w:rPr>
          <w:noProof/>
        </w:rPr>
        <w:t>26</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4</w:t>
      </w:r>
      <w:r w:rsidRPr="003A1AA8">
        <w:rPr>
          <w:noProof/>
        </w:rPr>
        <w:tab/>
        <w:t>Annual amount of methane permitted to be emitted from final and intermediate cover</w:t>
      </w:r>
      <w:r w:rsidRPr="003A1AA8">
        <w:rPr>
          <w:noProof/>
        </w:rPr>
        <w:tab/>
      </w:r>
      <w:r w:rsidRPr="003A1AA8">
        <w:rPr>
          <w:noProof/>
        </w:rPr>
        <w:fldChar w:fldCharType="begin"/>
      </w:r>
      <w:r w:rsidRPr="003A1AA8">
        <w:rPr>
          <w:noProof/>
        </w:rPr>
        <w:instrText xml:space="preserve"> PAGEREF _Toc407104187 \h </w:instrText>
      </w:r>
      <w:r w:rsidRPr="003A1AA8">
        <w:rPr>
          <w:noProof/>
        </w:rPr>
      </w:r>
      <w:r w:rsidRPr="003A1AA8">
        <w:rPr>
          <w:noProof/>
        </w:rPr>
        <w:fldChar w:fldCharType="separate"/>
      </w:r>
      <w:r w:rsidR="00EE0EA8">
        <w:rPr>
          <w:noProof/>
        </w:rPr>
        <w:t>26</w:t>
      </w:r>
      <w:r w:rsidRPr="003A1AA8">
        <w:rPr>
          <w:noProof/>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5</w:t>
      </w:r>
      <w:r w:rsidRPr="003A1AA8">
        <w:rPr>
          <w:noProof/>
        </w:rPr>
        <w:tab/>
        <w:t>Annual amount of methane permitted to be emitted from daily/operational cover</w:t>
      </w:r>
      <w:r w:rsidRPr="003A1AA8">
        <w:rPr>
          <w:noProof/>
        </w:rPr>
        <w:tab/>
      </w:r>
      <w:r w:rsidRPr="003A1AA8">
        <w:rPr>
          <w:noProof/>
        </w:rPr>
        <w:fldChar w:fldCharType="begin"/>
      </w:r>
      <w:r w:rsidRPr="003A1AA8">
        <w:rPr>
          <w:noProof/>
        </w:rPr>
        <w:instrText xml:space="preserve"> PAGEREF _Toc407104188 \h </w:instrText>
      </w:r>
      <w:r w:rsidRPr="003A1AA8">
        <w:rPr>
          <w:noProof/>
        </w:rPr>
      </w:r>
      <w:r w:rsidRPr="003A1AA8">
        <w:rPr>
          <w:noProof/>
        </w:rPr>
        <w:fldChar w:fldCharType="separate"/>
      </w:r>
      <w:r w:rsidR="00EE0EA8">
        <w:rPr>
          <w:noProof/>
        </w:rPr>
        <w:t>28</w:t>
      </w:r>
      <w:r w:rsidRPr="003A1AA8">
        <w:rPr>
          <w:noProof/>
        </w:rPr>
        <w:fldChar w:fldCharType="end"/>
      </w:r>
    </w:p>
    <w:p w:rsidR="000347F6" w:rsidRPr="003A1AA8" w:rsidRDefault="000347F6">
      <w:pPr>
        <w:pStyle w:val="TOC2"/>
        <w:rPr>
          <w:rFonts w:asciiTheme="minorHAnsi" w:eastAsiaTheme="minorEastAsia" w:hAnsiTheme="minorHAnsi" w:cstheme="minorBidi"/>
          <w:b w:val="0"/>
          <w:noProof/>
          <w:kern w:val="0"/>
          <w:sz w:val="22"/>
          <w:szCs w:val="22"/>
        </w:rPr>
      </w:pPr>
      <w:r w:rsidRPr="003A1AA8">
        <w:rPr>
          <w:noProof/>
        </w:rPr>
        <w:t>Part</w:t>
      </w:r>
      <w:r w:rsidR="003A1AA8" w:rsidRPr="003A1AA8">
        <w:rPr>
          <w:noProof/>
        </w:rPr>
        <w:t> </w:t>
      </w:r>
      <w:r w:rsidRPr="003A1AA8">
        <w:rPr>
          <w:noProof/>
        </w:rPr>
        <w:t>3—Regulatory proportion determined by asking environmental regulator</w:t>
      </w:r>
      <w:r w:rsidRPr="003A1AA8">
        <w:rPr>
          <w:b w:val="0"/>
          <w:noProof/>
          <w:sz w:val="18"/>
        </w:rPr>
        <w:tab/>
      </w:r>
      <w:r w:rsidRPr="003A1AA8">
        <w:rPr>
          <w:b w:val="0"/>
          <w:noProof/>
          <w:sz w:val="18"/>
        </w:rPr>
        <w:fldChar w:fldCharType="begin"/>
      </w:r>
      <w:r w:rsidRPr="003A1AA8">
        <w:rPr>
          <w:b w:val="0"/>
          <w:noProof/>
          <w:sz w:val="18"/>
        </w:rPr>
        <w:instrText xml:space="preserve"> PAGEREF _Toc407104189 \h </w:instrText>
      </w:r>
      <w:r w:rsidRPr="003A1AA8">
        <w:rPr>
          <w:b w:val="0"/>
          <w:noProof/>
          <w:sz w:val="18"/>
        </w:rPr>
      </w:r>
      <w:r w:rsidRPr="003A1AA8">
        <w:rPr>
          <w:b w:val="0"/>
          <w:noProof/>
          <w:sz w:val="18"/>
        </w:rPr>
        <w:fldChar w:fldCharType="separate"/>
      </w:r>
      <w:r w:rsidR="00EE0EA8">
        <w:rPr>
          <w:b w:val="0"/>
          <w:noProof/>
          <w:sz w:val="18"/>
        </w:rPr>
        <w:t>29</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6</w:t>
      </w:r>
      <w:r w:rsidRPr="003A1AA8">
        <w:rPr>
          <w:noProof/>
        </w:rPr>
        <w:tab/>
        <w:t>Regulatory proportion determined by asking environmental regulator</w:t>
      </w:r>
      <w:r w:rsidRPr="003A1AA8">
        <w:rPr>
          <w:noProof/>
        </w:rPr>
        <w:tab/>
      </w:r>
      <w:r w:rsidRPr="003A1AA8">
        <w:rPr>
          <w:noProof/>
        </w:rPr>
        <w:fldChar w:fldCharType="begin"/>
      </w:r>
      <w:r w:rsidRPr="003A1AA8">
        <w:rPr>
          <w:noProof/>
        </w:rPr>
        <w:instrText xml:space="preserve"> PAGEREF _Toc407104190 \h </w:instrText>
      </w:r>
      <w:r w:rsidRPr="003A1AA8">
        <w:rPr>
          <w:noProof/>
        </w:rPr>
      </w:r>
      <w:r w:rsidRPr="003A1AA8">
        <w:rPr>
          <w:noProof/>
        </w:rPr>
        <w:fldChar w:fldCharType="separate"/>
      </w:r>
      <w:r w:rsidR="00EE0EA8">
        <w:rPr>
          <w:noProof/>
        </w:rPr>
        <w:t>29</w:t>
      </w:r>
      <w:r w:rsidRPr="003A1AA8">
        <w:rPr>
          <w:noProof/>
        </w:rPr>
        <w:fldChar w:fldCharType="end"/>
      </w:r>
    </w:p>
    <w:p w:rsidR="000347F6" w:rsidRPr="003A1AA8" w:rsidRDefault="000347F6">
      <w:pPr>
        <w:pStyle w:val="TOC2"/>
        <w:rPr>
          <w:rFonts w:asciiTheme="minorHAnsi" w:eastAsiaTheme="minorEastAsia" w:hAnsiTheme="minorHAnsi" w:cstheme="minorBidi"/>
          <w:b w:val="0"/>
          <w:noProof/>
          <w:kern w:val="0"/>
          <w:sz w:val="22"/>
          <w:szCs w:val="22"/>
        </w:rPr>
      </w:pPr>
      <w:r w:rsidRPr="003A1AA8">
        <w:rPr>
          <w:noProof/>
        </w:rPr>
        <w:t>Part</w:t>
      </w:r>
      <w:r w:rsidR="003A1AA8" w:rsidRPr="003A1AA8">
        <w:rPr>
          <w:noProof/>
        </w:rPr>
        <w:t> </w:t>
      </w:r>
      <w:r w:rsidRPr="003A1AA8">
        <w:rPr>
          <w:noProof/>
        </w:rPr>
        <w:t>4—Regulatory proportion determined by asking environmental regulator and using collection efficiency of existing landfill gas system</w:t>
      </w:r>
      <w:r w:rsidRPr="003A1AA8">
        <w:rPr>
          <w:b w:val="0"/>
          <w:noProof/>
          <w:sz w:val="18"/>
        </w:rPr>
        <w:tab/>
      </w:r>
      <w:r w:rsidRPr="003A1AA8">
        <w:rPr>
          <w:b w:val="0"/>
          <w:noProof/>
          <w:sz w:val="18"/>
        </w:rPr>
        <w:fldChar w:fldCharType="begin"/>
      </w:r>
      <w:r w:rsidRPr="003A1AA8">
        <w:rPr>
          <w:b w:val="0"/>
          <w:noProof/>
          <w:sz w:val="18"/>
        </w:rPr>
        <w:instrText xml:space="preserve"> PAGEREF _Toc407104191 \h </w:instrText>
      </w:r>
      <w:r w:rsidRPr="003A1AA8">
        <w:rPr>
          <w:b w:val="0"/>
          <w:noProof/>
          <w:sz w:val="18"/>
        </w:rPr>
      </w:r>
      <w:r w:rsidRPr="003A1AA8">
        <w:rPr>
          <w:b w:val="0"/>
          <w:noProof/>
          <w:sz w:val="18"/>
        </w:rPr>
        <w:fldChar w:fldCharType="separate"/>
      </w:r>
      <w:r w:rsidR="00EE0EA8">
        <w:rPr>
          <w:b w:val="0"/>
          <w:noProof/>
          <w:sz w:val="18"/>
        </w:rPr>
        <w:t>32</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7</w:t>
      </w:r>
      <w:r w:rsidRPr="003A1AA8">
        <w:rPr>
          <w:noProof/>
        </w:rPr>
        <w:tab/>
        <w:t>Regulatory proportion determined by asking environmental regulator and using collection efficiency of existing landfill gas system</w:t>
      </w:r>
      <w:r w:rsidRPr="003A1AA8">
        <w:rPr>
          <w:noProof/>
        </w:rPr>
        <w:tab/>
      </w:r>
      <w:r w:rsidRPr="003A1AA8">
        <w:rPr>
          <w:noProof/>
        </w:rPr>
        <w:fldChar w:fldCharType="begin"/>
      </w:r>
      <w:r w:rsidRPr="003A1AA8">
        <w:rPr>
          <w:noProof/>
        </w:rPr>
        <w:instrText xml:space="preserve"> PAGEREF _Toc407104192 \h </w:instrText>
      </w:r>
      <w:r w:rsidRPr="003A1AA8">
        <w:rPr>
          <w:noProof/>
        </w:rPr>
      </w:r>
      <w:r w:rsidRPr="003A1AA8">
        <w:rPr>
          <w:noProof/>
        </w:rPr>
        <w:fldChar w:fldCharType="separate"/>
      </w:r>
      <w:r w:rsidR="00EE0EA8">
        <w:rPr>
          <w:noProof/>
        </w:rPr>
        <w:t>32</w:t>
      </w:r>
      <w:r w:rsidRPr="003A1AA8">
        <w:rPr>
          <w:noProof/>
        </w:rPr>
        <w:fldChar w:fldCharType="end"/>
      </w:r>
    </w:p>
    <w:p w:rsidR="000347F6" w:rsidRPr="003A1AA8" w:rsidRDefault="000347F6">
      <w:pPr>
        <w:pStyle w:val="TOC2"/>
        <w:rPr>
          <w:rFonts w:asciiTheme="minorHAnsi" w:eastAsiaTheme="minorEastAsia" w:hAnsiTheme="minorHAnsi" w:cstheme="minorBidi"/>
          <w:b w:val="0"/>
          <w:noProof/>
          <w:kern w:val="0"/>
          <w:sz w:val="22"/>
          <w:szCs w:val="22"/>
        </w:rPr>
      </w:pPr>
      <w:r w:rsidRPr="003A1AA8">
        <w:rPr>
          <w:noProof/>
        </w:rPr>
        <w:t>Part</w:t>
      </w:r>
      <w:r w:rsidR="003A1AA8" w:rsidRPr="003A1AA8">
        <w:rPr>
          <w:noProof/>
        </w:rPr>
        <w:t> </w:t>
      </w:r>
      <w:r w:rsidRPr="003A1AA8">
        <w:rPr>
          <w:noProof/>
        </w:rPr>
        <w:t>5—Regulatory proportion determined by independent expert</w:t>
      </w:r>
      <w:r w:rsidRPr="003A1AA8">
        <w:rPr>
          <w:b w:val="0"/>
          <w:noProof/>
          <w:sz w:val="18"/>
        </w:rPr>
        <w:tab/>
      </w:r>
      <w:r w:rsidRPr="003A1AA8">
        <w:rPr>
          <w:b w:val="0"/>
          <w:noProof/>
          <w:sz w:val="18"/>
        </w:rPr>
        <w:fldChar w:fldCharType="begin"/>
      </w:r>
      <w:r w:rsidRPr="003A1AA8">
        <w:rPr>
          <w:b w:val="0"/>
          <w:noProof/>
          <w:sz w:val="18"/>
        </w:rPr>
        <w:instrText xml:space="preserve"> PAGEREF _Toc407104193 \h </w:instrText>
      </w:r>
      <w:r w:rsidRPr="003A1AA8">
        <w:rPr>
          <w:b w:val="0"/>
          <w:noProof/>
          <w:sz w:val="18"/>
        </w:rPr>
      </w:r>
      <w:r w:rsidRPr="003A1AA8">
        <w:rPr>
          <w:b w:val="0"/>
          <w:noProof/>
          <w:sz w:val="18"/>
        </w:rPr>
        <w:fldChar w:fldCharType="separate"/>
      </w:r>
      <w:r w:rsidR="00EE0EA8">
        <w:rPr>
          <w:b w:val="0"/>
          <w:noProof/>
          <w:sz w:val="18"/>
        </w:rPr>
        <w:t>33</w:t>
      </w:r>
      <w:r w:rsidRPr="003A1AA8">
        <w:rPr>
          <w:b w:val="0"/>
          <w:noProof/>
          <w:sz w:val="18"/>
        </w:rPr>
        <w:fldChar w:fldCharType="end"/>
      </w:r>
    </w:p>
    <w:p w:rsidR="000347F6" w:rsidRPr="003A1AA8" w:rsidRDefault="000347F6">
      <w:pPr>
        <w:pStyle w:val="TOC5"/>
        <w:rPr>
          <w:rFonts w:asciiTheme="minorHAnsi" w:eastAsiaTheme="minorEastAsia" w:hAnsiTheme="minorHAnsi" w:cstheme="minorBidi"/>
          <w:noProof/>
          <w:kern w:val="0"/>
          <w:sz w:val="22"/>
          <w:szCs w:val="22"/>
        </w:rPr>
      </w:pPr>
      <w:r w:rsidRPr="003A1AA8">
        <w:rPr>
          <w:noProof/>
        </w:rPr>
        <w:t>8</w:t>
      </w:r>
      <w:r w:rsidRPr="003A1AA8">
        <w:rPr>
          <w:noProof/>
        </w:rPr>
        <w:tab/>
        <w:t>Regulatory proportion determined by independent expert</w:t>
      </w:r>
      <w:r w:rsidRPr="003A1AA8">
        <w:rPr>
          <w:noProof/>
        </w:rPr>
        <w:tab/>
      </w:r>
      <w:r w:rsidRPr="003A1AA8">
        <w:rPr>
          <w:noProof/>
        </w:rPr>
        <w:fldChar w:fldCharType="begin"/>
      </w:r>
      <w:r w:rsidRPr="003A1AA8">
        <w:rPr>
          <w:noProof/>
        </w:rPr>
        <w:instrText xml:space="preserve"> PAGEREF _Toc407104194 \h </w:instrText>
      </w:r>
      <w:r w:rsidRPr="003A1AA8">
        <w:rPr>
          <w:noProof/>
        </w:rPr>
      </w:r>
      <w:r w:rsidRPr="003A1AA8">
        <w:rPr>
          <w:noProof/>
        </w:rPr>
        <w:fldChar w:fldCharType="separate"/>
      </w:r>
      <w:r w:rsidR="00EE0EA8">
        <w:rPr>
          <w:noProof/>
        </w:rPr>
        <w:t>33</w:t>
      </w:r>
      <w:r w:rsidRPr="003A1AA8">
        <w:rPr>
          <w:noProof/>
        </w:rPr>
        <w:fldChar w:fldCharType="end"/>
      </w:r>
    </w:p>
    <w:p w:rsidR="00670EA1" w:rsidRPr="003A1AA8" w:rsidRDefault="000347F6" w:rsidP="00715914">
      <w:r w:rsidRPr="003A1AA8">
        <w:fldChar w:fldCharType="end"/>
      </w:r>
    </w:p>
    <w:p w:rsidR="00670EA1" w:rsidRPr="003A1AA8" w:rsidRDefault="00670EA1" w:rsidP="00715914">
      <w:pPr>
        <w:sectPr w:rsidR="00670EA1" w:rsidRPr="003A1AA8" w:rsidSect="00B42CA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3A1AA8" w:rsidRDefault="00715914" w:rsidP="00715914">
      <w:pPr>
        <w:pStyle w:val="ActHead2"/>
      </w:pPr>
      <w:bookmarkStart w:id="3" w:name="_Toc407104136"/>
      <w:r w:rsidRPr="003A1AA8">
        <w:rPr>
          <w:rStyle w:val="CharPartNo"/>
        </w:rPr>
        <w:lastRenderedPageBreak/>
        <w:t>Part</w:t>
      </w:r>
      <w:r w:rsidR="003A1AA8" w:rsidRPr="003A1AA8">
        <w:rPr>
          <w:rStyle w:val="CharPartNo"/>
        </w:rPr>
        <w:t> </w:t>
      </w:r>
      <w:r w:rsidRPr="003A1AA8">
        <w:rPr>
          <w:rStyle w:val="CharPartNo"/>
        </w:rPr>
        <w:t>1</w:t>
      </w:r>
      <w:r w:rsidRPr="003A1AA8">
        <w:t>—</w:t>
      </w:r>
      <w:r w:rsidRPr="003A1AA8">
        <w:rPr>
          <w:rStyle w:val="CharPartText"/>
        </w:rPr>
        <w:t>Preliminary</w:t>
      </w:r>
      <w:bookmarkEnd w:id="3"/>
    </w:p>
    <w:p w:rsidR="00715914" w:rsidRPr="003A1AA8" w:rsidRDefault="00715914" w:rsidP="00715914">
      <w:pPr>
        <w:pStyle w:val="Header"/>
      </w:pPr>
      <w:r w:rsidRPr="003A1AA8">
        <w:rPr>
          <w:rStyle w:val="CharDivNo"/>
        </w:rPr>
        <w:t xml:space="preserve"> </w:t>
      </w:r>
      <w:r w:rsidRPr="003A1AA8">
        <w:rPr>
          <w:rStyle w:val="CharDivText"/>
        </w:rPr>
        <w:t xml:space="preserve"> </w:t>
      </w:r>
    </w:p>
    <w:p w:rsidR="00715914" w:rsidRPr="003A1AA8" w:rsidRDefault="006B1D9F" w:rsidP="00715914">
      <w:pPr>
        <w:pStyle w:val="ActHead5"/>
      </w:pPr>
      <w:bookmarkStart w:id="4" w:name="_Toc407104137"/>
      <w:r w:rsidRPr="003A1AA8">
        <w:rPr>
          <w:rStyle w:val="CharSectno"/>
        </w:rPr>
        <w:t>1</w:t>
      </w:r>
      <w:r w:rsidR="00715914" w:rsidRPr="003A1AA8">
        <w:t xml:space="preserve">  </w:t>
      </w:r>
      <w:r w:rsidR="00CE493D" w:rsidRPr="003A1AA8">
        <w:t xml:space="preserve">Name of </w:t>
      </w:r>
      <w:r w:rsidR="004C2A09" w:rsidRPr="003A1AA8">
        <w:t>determination</w:t>
      </w:r>
      <w:bookmarkEnd w:id="4"/>
    </w:p>
    <w:p w:rsidR="00715914" w:rsidRPr="003A1AA8" w:rsidRDefault="00715914" w:rsidP="00715914">
      <w:pPr>
        <w:pStyle w:val="subsection"/>
      </w:pPr>
      <w:r w:rsidRPr="003A1AA8">
        <w:tab/>
      </w:r>
      <w:r w:rsidRPr="003A1AA8">
        <w:tab/>
        <w:t xml:space="preserve">This </w:t>
      </w:r>
      <w:r w:rsidR="004C2A09" w:rsidRPr="003A1AA8">
        <w:t>determination</w:t>
      </w:r>
      <w:r w:rsidRPr="003A1AA8">
        <w:t xml:space="preserve"> </w:t>
      </w:r>
      <w:r w:rsidR="00CE493D" w:rsidRPr="003A1AA8">
        <w:t xml:space="preserve">is the </w:t>
      </w:r>
      <w:bookmarkStart w:id="5" w:name="BKCheck15B_3"/>
      <w:bookmarkEnd w:id="5"/>
      <w:r w:rsidR="00BC76AC" w:rsidRPr="003A1AA8">
        <w:rPr>
          <w:i/>
        </w:rPr>
        <w:fldChar w:fldCharType="begin"/>
      </w:r>
      <w:r w:rsidR="00BC76AC" w:rsidRPr="003A1AA8">
        <w:rPr>
          <w:i/>
        </w:rPr>
        <w:instrText xml:space="preserve"> STYLEREF  ShortT </w:instrText>
      </w:r>
      <w:r w:rsidR="00BC76AC" w:rsidRPr="003A1AA8">
        <w:rPr>
          <w:i/>
        </w:rPr>
        <w:fldChar w:fldCharType="separate"/>
      </w:r>
      <w:r w:rsidR="00EE0EA8">
        <w:rPr>
          <w:i/>
          <w:noProof/>
        </w:rPr>
        <w:t>Carbon Credits (Carbon Farming Initiative—Landfill Gas) Methodology Determination 2015</w:t>
      </w:r>
      <w:r w:rsidR="00BC76AC" w:rsidRPr="003A1AA8">
        <w:rPr>
          <w:i/>
        </w:rPr>
        <w:fldChar w:fldCharType="end"/>
      </w:r>
      <w:r w:rsidRPr="003A1AA8">
        <w:t>.</w:t>
      </w:r>
    </w:p>
    <w:p w:rsidR="004C2A09" w:rsidRPr="003A1AA8" w:rsidRDefault="006B1D9F" w:rsidP="004C2A09">
      <w:pPr>
        <w:pStyle w:val="ActHead5"/>
      </w:pPr>
      <w:bookmarkStart w:id="6" w:name="_Toc407104138"/>
      <w:r w:rsidRPr="003A1AA8">
        <w:rPr>
          <w:rStyle w:val="CharSectno"/>
        </w:rPr>
        <w:t>2</w:t>
      </w:r>
      <w:r w:rsidR="004C2A09" w:rsidRPr="003A1AA8">
        <w:t xml:space="preserve">  Commencement</w:t>
      </w:r>
      <w:bookmarkEnd w:id="6"/>
    </w:p>
    <w:p w:rsidR="004C2A09" w:rsidRPr="003A1AA8" w:rsidRDefault="004C2A09" w:rsidP="004C2A09">
      <w:pPr>
        <w:pStyle w:val="subsection"/>
      </w:pPr>
      <w:r w:rsidRPr="003A1AA8">
        <w:tab/>
      </w:r>
      <w:r w:rsidRPr="003A1AA8">
        <w:tab/>
        <w:t>This determination commences on the day after it is registered.</w:t>
      </w:r>
    </w:p>
    <w:p w:rsidR="004C2A09" w:rsidRPr="003A1AA8" w:rsidRDefault="006B1D9F" w:rsidP="004C2A09">
      <w:pPr>
        <w:pStyle w:val="ActHead5"/>
      </w:pPr>
      <w:bookmarkStart w:id="7" w:name="_Toc407104139"/>
      <w:r w:rsidRPr="003A1AA8">
        <w:rPr>
          <w:rStyle w:val="CharSectno"/>
        </w:rPr>
        <w:t>3</w:t>
      </w:r>
      <w:r w:rsidR="004C2A09" w:rsidRPr="003A1AA8">
        <w:t xml:space="preserve">  Authority</w:t>
      </w:r>
      <w:bookmarkEnd w:id="7"/>
    </w:p>
    <w:p w:rsidR="004C2A09" w:rsidRPr="003A1AA8" w:rsidRDefault="004C2A09" w:rsidP="004C2A09">
      <w:pPr>
        <w:pStyle w:val="subsection"/>
      </w:pPr>
      <w:r w:rsidRPr="003A1AA8">
        <w:tab/>
      </w:r>
      <w:r w:rsidRPr="003A1AA8">
        <w:tab/>
        <w:t>This determination is made under subsection</w:t>
      </w:r>
      <w:r w:rsidR="003A1AA8" w:rsidRPr="003A1AA8">
        <w:t> </w:t>
      </w:r>
      <w:r w:rsidRPr="003A1AA8">
        <w:t>106(1) of the</w:t>
      </w:r>
      <w:r w:rsidRPr="003A1AA8">
        <w:rPr>
          <w:i/>
        </w:rPr>
        <w:t xml:space="preserve"> Carbon Credits (Carbon Farming Initiative) Act 2011</w:t>
      </w:r>
      <w:r w:rsidRPr="003A1AA8">
        <w:t>.</w:t>
      </w:r>
    </w:p>
    <w:p w:rsidR="004C2A09" w:rsidRPr="003A1AA8" w:rsidRDefault="006B1D9F" w:rsidP="004C2A09">
      <w:pPr>
        <w:pStyle w:val="ActHead5"/>
      </w:pPr>
      <w:bookmarkStart w:id="8" w:name="_Toc407104140"/>
      <w:r w:rsidRPr="003A1AA8">
        <w:rPr>
          <w:rStyle w:val="CharSectno"/>
        </w:rPr>
        <w:t>4</w:t>
      </w:r>
      <w:r w:rsidR="004C2A09" w:rsidRPr="003A1AA8">
        <w:t xml:space="preserve">  Duration</w:t>
      </w:r>
      <w:bookmarkEnd w:id="8"/>
    </w:p>
    <w:p w:rsidR="004C2A09" w:rsidRPr="003A1AA8" w:rsidRDefault="004C2A09" w:rsidP="004C2A09">
      <w:pPr>
        <w:pStyle w:val="subsection"/>
      </w:pPr>
      <w:r w:rsidRPr="003A1AA8">
        <w:tab/>
      </w:r>
      <w:r w:rsidRPr="003A1AA8">
        <w:tab/>
        <w:t>This determination remains in force for the period that:</w:t>
      </w:r>
    </w:p>
    <w:p w:rsidR="004C2A09" w:rsidRPr="003A1AA8" w:rsidRDefault="004C2A09" w:rsidP="004C2A09">
      <w:pPr>
        <w:pStyle w:val="paragraph"/>
      </w:pPr>
      <w:r w:rsidRPr="003A1AA8">
        <w:tab/>
        <w:t>(a)</w:t>
      </w:r>
      <w:r w:rsidRPr="003A1AA8">
        <w:tab/>
        <w:t>begins when the determination commences; and</w:t>
      </w:r>
    </w:p>
    <w:p w:rsidR="004C2A09" w:rsidRPr="003A1AA8" w:rsidRDefault="004C2A09" w:rsidP="004C2A09">
      <w:pPr>
        <w:pStyle w:val="paragraph"/>
      </w:pPr>
      <w:r w:rsidRPr="003A1AA8">
        <w:tab/>
        <w:t>(b)</w:t>
      </w:r>
      <w:r w:rsidRPr="003A1AA8">
        <w:tab/>
        <w:t>ends on the day before this determination would otherwise be repealed under subsection</w:t>
      </w:r>
      <w:r w:rsidR="003A1AA8" w:rsidRPr="003A1AA8">
        <w:t> </w:t>
      </w:r>
      <w:r w:rsidRPr="003A1AA8">
        <w:t xml:space="preserve">50(1) of the </w:t>
      </w:r>
      <w:r w:rsidRPr="003A1AA8">
        <w:rPr>
          <w:i/>
        </w:rPr>
        <w:t>Legislative Instruments Act 2003</w:t>
      </w:r>
      <w:r w:rsidRPr="003A1AA8">
        <w:t>.</w:t>
      </w:r>
    </w:p>
    <w:p w:rsidR="004C2A09" w:rsidRPr="003A1AA8" w:rsidRDefault="006B1D9F" w:rsidP="004C2A09">
      <w:pPr>
        <w:pStyle w:val="ActHead5"/>
      </w:pPr>
      <w:bookmarkStart w:id="9" w:name="_Toc407104141"/>
      <w:r w:rsidRPr="003A1AA8">
        <w:rPr>
          <w:rStyle w:val="CharSectno"/>
        </w:rPr>
        <w:t>5</w:t>
      </w:r>
      <w:r w:rsidR="004C2A09" w:rsidRPr="003A1AA8">
        <w:t xml:space="preserve">  Definitions</w:t>
      </w:r>
      <w:bookmarkEnd w:id="9"/>
    </w:p>
    <w:p w:rsidR="004C2A09" w:rsidRPr="003A1AA8" w:rsidRDefault="004C2A09" w:rsidP="004C2A09">
      <w:pPr>
        <w:pStyle w:val="subsection"/>
      </w:pPr>
      <w:r w:rsidRPr="003A1AA8">
        <w:tab/>
      </w:r>
      <w:r w:rsidRPr="003A1AA8">
        <w:tab/>
        <w:t>In this determination:</w:t>
      </w:r>
    </w:p>
    <w:p w:rsidR="00F72E32" w:rsidRPr="003A1AA8" w:rsidRDefault="00F72E32" w:rsidP="00A978F9">
      <w:pPr>
        <w:pStyle w:val="Definition"/>
      </w:pPr>
      <w:r w:rsidRPr="003A1AA8">
        <w:rPr>
          <w:b/>
          <w:i/>
        </w:rPr>
        <w:t>Act</w:t>
      </w:r>
      <w:r w:rsidRPr="003A1AA8">
        <w:t xml:space="preserve"> means the </w:t>
      </w:r>
      <w:r w:rsidRPr="003A1AA8">
        <w:rPr>
          <w:i/>
        </w:rPr>
        <w:t>Carbon Credits (Carbon Farming Initiative) Act 2011</w:t>
      </w:r>
      <w:r w:rsidRPr="003A1AA8">
        <w:t>.</w:t>
      </w:r>
    </w:p>
    <w:p w:rsidR="00A978F9" w:rsidRPr="003A1AA8" w:rsidRDefault="00A978F9" w:rsidP="00A978F9">
      <w:pPr>
        <w:pStyle w:val="Definition"/>
      </w:pPr>
      <w:r w:rsidRPr="003A1AA8">
        <w:rPr>
          <w:b/>
          <w:i/>
        </w:rPr>
        <w:t>appropriate measuring requirements</w:t>
      </w:r>
      <w:r w:rsidRPr="003A1AA8">
        <w:t xml:space="preserve"> has the meaning given by subsection</w:t>
      </w:r>
      <w:r w:rsidR="003A1AA8" w:rsidRPr="003A1AA8">
        <w:t> </w:t>
      </w:r>
      <w:r w:rsidR="006B1D9F" w:rsidRPr="003A1AA8">
        <w:t>33</w:t>
      </w:r>
      <w:r w:rsidR="003E1582" w:rsidRPr="003A1AA8">
        <w:t>(3</w:t>
      </w:r>
      <w:r w:rsidRPr="003A1AA8">
        <w:t>).</w:t>
      </w:r>
    </w:p>
    <w:p w:rsidR="006332CA" w:rsidRPr="003A1AA8" w:rsidRDefault="006332CA" w:rsidP="00485CDF">
      <w:pPr>
        <w:pStyle w:val="Definition"/>
        <w:rPr>
          <w:noProof/>
        </w:rPr>
      </w:pPr>
      <w:r w:rsidRPr="003A1AA8">
        <w:rPr>
          <w:b/>
          <w:i/>
          <w:noProof/>
        </w:rPr>
        <w:t>carbon tax waste</w:t>
      </w:r>
      <w:r w:rsidR="007C7B13" w:rsidRPr="003A1AA8">
        <w:rPr>
          <w:noProof/>
        </w:rPr>
        <w:t>, in relation to a landfill, means waste that was deposited in the landfill between 1</w:t>
      </w:r>
      <w:r w:rsidR="003A1AA8" w:rsidRPr="003A1AA8">
        <w:rPr>
          <w:noProof/>
        </w:rPr>
        <w:t> </w:t>
      </w:r>
      <w:r w:rsidR="007C7B13" w:rsidRPr="003A1AA8">
        <w:rPr>
          <w:noProof/>
        </w:rPr>
        <w:t>July 2012 and 30</w:t>
      </w:r>
      <w:r w:rsidR="003A1AA8" w:rsidRPr="003A1AA8">
        <w:rPr>
          <w:noProof/>
        </w:rPr>
        <w:t> </w:t>
      </w:r>
      <w:r w:rsidR="00EE5F75" w:rsidRPr="003A1AA8">
        <w:rPr>
          <w:noProof/>
        </w:rPr>
        <w:t>June 201</w:t>
      </w:r>
      <w:r w:rsidR="007C7B13" w:rsidRPr="003A1AA8">
        <w:rPr>
          <w:noProof/>
        </w:rPr>
        <w:t>4.</w:t>
      </w:r>
    </w:p>
    <w:p w:rsidR="00044D3B" w:rsidRPr="003A1AA8" w:rsidRDefault="00044D3B" w:rsidP="00485CDF">
      <w:pPr>
        <w:pStyle w:val="Definition"/>
        <w:rPr>
          <w:noProof/>
        </w:rPr>
      </w:pPr>
      <w:r w:rsidRPr="003A1AA8">
        <w:rPr>
          <w:b/>
          <w:i/>
          <w:noProof/>
        </w:rPr>
        <w:t>collection efficiency</w:t>
      </w:r>
      <w:r w:rsidRPr="003A1AA8">
        <w:rPr>
          <w:noProof/>
        </w:rPr>
        <w:t>, of a landfill gas collection system</w:t>
      </w:r>
      <w:r w:rsidR="00DF63C8" w:rsidRPr="003A1AA8">
        <w:rPr>
          <w:noProof/>
        </w:rPr>
        <w:t xml:space="preserve"> at a landfill</w:t>
      </w:r>
      <w:r w:rsidRPr="003A1AA8">
        <w:rPr>
          <w:noProof/>
        </w:rPr>
        <w:t xml:space="preserve">, means the proportion of landfill gas generated </w:t>
      </w:r>
      <w:r w:rsidR="00DF63C8" w:rsidRPr="003A1AA8">
        <w:rPr>
          <w:noProof/>
        </w:rPr>
        <w:t xml:space="preserve">by the </w:t>
      </w:r>
      <w:r w:rsidRPr="003A1AA8">
        <w:rPr>
          <w:noProof/>
        </w:rPr>
        <w:t>landfill that is collected and combusted by the landfill gas collection system, expressed as a percentage.</w:t>
      </w:r>
    </w:p>
    <w:p w:rsidR="009A2193" w:rsidRPr="003A1AA8" w:rsidRDefault="009A2193" w:rsidP="00485CDF">
      <w:pPr>
        <w:pStyle w:val="Definition"/>
        <w:rPr>
          <w:noProof/>
        </w:rPr>
      </w:pPr>
      <w:r w:rsidRPr="003A1AA8">
        <w:rPr>
          <w:b/>
          <w:i/>
          <w:noProof/>
        </w:rPr>
        <w:t>combustion device</w:t>
      </w:r>
      <w:r w:rsidRPr="003A1AA8">
        <w:rPr>
          <w:noProof/>
        </w:rPr>
        <w:t xml:space="preserve"> means:</w:t>
      </w:r>
    </w:p>
    <w:p w:rsidR="009A2193" w:rsidRPr="003A1AA8" w:rsidRDefault="009A2193" w:rsidP="009A2193">
      <w:pPr>
        <w:pStyle w:val="paragraph"/>
      </w:pPr>
      <w:r w:rsidRPr="003A1AA8">
        <w:tab/>
        <w:t>(a)</w:t>
      </w:r>
      <w:r w:rsidRPr="003A1AA8">
        <w:tab/>
        <w:t>a flare, boiler or internal combustion engine</w:t>
      </w:r>
      <w:r w:rsidR="003D3D83" w:rsidRPr="003A1AA8">
        <w:t xml:space="preserve"> that is operated in accordance with the manufacturer’s instructions</w:t>
      </w:r>
      <w:r w:rsidRPr="003A1AA8">
        <w:t>; or</w:t>
      </w:r>
    </w:p>
    <w:p w:rsidR="009A2193" w:rsidRPr="003A1AA8" w:rsidRDefault="009A2193" w:rsidP="009A2193">
      <w:pPr>
        <w:pStyle w:val="paragraph"/>
      </w:pPr>
      <w:r w:rsidRPr="003A1AA8">
        <w:tab/>
        <w:t>(b)</w:t>
      </w:r>
      <w:r w:rsidRPr="003A1AA8">
        <w:tab/>
        <w:t>a device:</w:t>
      </w:r>
    </w:p>
    <w:p w:rsidR="009A2193" w:rsidRPr="003A1AA8" w:rsidRDefault="009A2193" w:rsidP="009A2193">
      <w:pPr>
        <w:pStyle w:val="paragraphsub"/>
      </w:pPr>
      <w:r w:rsidRPr="003A1AA8">
        <w:tab/>
        <w:t>(</w:t>
      </w:r>
      <w:proofErr w:type="spellStart"/>
      <w:r w:rsidRPr="003A1AA8">
        <w:t>i</w:t>
      </w:r>
      <w:proofErr w:type="spellEnd"/>
      <w:r w:rsidRPr="003A1AA8">
        <w:t>)</w:t>
      </w:r>
      <w:r w:rsidRPr="003A1AA8">
        <w:tab/>
        <w:t>that combusts landfill gas with a destruction efficiency of at least 98%; and</w:t>
      </w:r>
    </w:p>
    <w:p w:rsidR="009A2193" w:rsidRPr="003A1AA8" w:rsidRDefault="009A2193" w:rsidP="009A2193">
      <w:pPr>
        <w:pStyle w:val="paragraphsub"/>
      </w:pPr>
      <w:r w:rsidRPr="003A1AA8">
        <w:tab/>
        <w:t>(ii)</w:t>
      </w:r>
      <w:r w:rsidRPr="003A1AA8">
        <w:tab/>
      </w:r>
      <w:r w:rsidR="00EE5F75" w:rsidRPr="003A1AA8">
        <w:t xml:space="preserve">that </w:t>
      </w:r>
      <w:r w:rsidR="00D132BD" w:rsidRPr="003A1AA8">
        <w:t>is operated in accordance with the manufacturer’s instructions; and</w:t>
      </w:r>
    </w:p>
    <w:p w:rsidR="00D132BD" w:rsidRPr="003A1AA8" w:rsidRDefault="00D132BD" w:rsidP="009A2193">
      <w:pPr>
        <w:pStyle w:val="paragraphsub"/>
      </w:pPr>
      <w:r w:rsidRPr="003A1AA8">
        <w:tab/>
        <w:t>(iii)</w:t>
      </w:r>
      <w:r w:rsidRPr="003A1AA8">
        <w:tab/>
        <w:t xml:space="preserve">the </w:t>
      </w:r>
      <w:r w:rsidR="00992E27" w:rsidRPr="003A1AA8">
        <w:t>combustion process</w:t>
      </w:r>
      <w:r w:rsidRPr="003A1AA8">
        <w:t xml:space="preserve"> of which can be monitored on a minute</w:t>
      </w:r>
      <w:r w:rsidR="003A1AA8">
        <w:noBreakHyphen/>
      </w:r>
      <w:r w:rsidRPr="003A1AA8">
        <w:t>by</w:t>
      </w:r>
      <w:r w:rsidR="003A1AA8">
        <w:noBreakHyphen/>
      </w:r>
      <w:r w:rsidR="00FA3AEA" w:rsidRPr="003A1AA8">
        <w:t>minute basis.</w:t>
      </w:r>
    </w:p>
    <w:p w:rsidR="00C61A6C" w:rsidRPr="003A1AA8" w:rsidRDefault="004438B3" w:rsidP="00C61A6C">
      <w:pPr>
        <w:pStyle w:val="Definition"/>
      </w:pPr>
      <w:r w:rsidRPr="003A1AA8">
        <w:rPr>
          <w:b/>
          <w:i/>
        </w:rPr>
        <w:lastRenderedPageBreak/>
        <w:t>d</w:t>
      </w:r>
      <w:r w:rsidR="00C61A6C" w:rsidRPr="003A1AA8">
        <w:rPr>
          <w:b/>
          <w:i/>
        </w:rPr>
        <w:t>aily cover</w:t>
      </w:r>
      <w:r w:rsidR="00027B18" w:rsidRPr="003A1AA8">
        <w:rPr>
          <w:b/>
          <w:i/>
        </w:rPr>
        <w:t>/operational</w:t>
      </w:r>
      <w:r w:rsidRPr="003A1AA8">
        <w:rPr>
          <w:b/>
          <w:i/>
        </w:rPr>
        <w:t xml:space="preserve"> area</w:t>
      </w:r>
      <w:r w:rsidR="00EE5F75" w:rsidRPr="003A1AA8">
        <w:t>,</w:t>
      </w:r>
      <w:r w:rsidR="00CC407D" w:rsidRPr="003A1AA8">
        <w:t xml:space="preserve"> in relation to</w:t>
      </w:r>
      <w:r w:rsidRPr="003A1AA8">
        <w:t xml:space="preserve"> a landfill, means</w:t>
      </w:r>
      <w:r w:rsidR="00C61A6C" w:rsidRPr="003A1AA8">
        <w:t xml:space="preserve"> the </w:t>
      </w:r>
      <w:r w:rsidRPr="003A1AA8">
        <w:t>are</w:t>
      </w:r>
      <w:r w:rsidR="00CC407D" w:rsidRPr="003A1AA8">
        <w:t xml:space="preserve">a of the landfill normally covered by </w:t>
      </w:r>
      <w:r w:rsidR="00C61A6C" w:rsidRPr="003A1AA8">
        <w:t>material used to cover a day</w:t>
      </w:r>
      <w:r w:rsidR="00D20CE3" w:rsidRPr="003A1AA8">
        <w:t>’</w:t>
      </w:r>
      <w:r w:rsidR="00C61A6C" w:rsidRPr="003A1AA8">
        <w:t xml:space="preserve">s deposition of waste in </w:t>
      </w:r>
      <w:r w:rsidR="00CC407D" w:rsidRPr="003A1AA8">
        <w:t>active landfill waste disposal areas of the landfill.</w:t>
      </w:r>
    </w:p>
    <w:p w:rsidR="00C61A6C" w:rsidRPr="003A1AA8" w:rsidRDefault="00CC407D" w:rsidP="00C61A6C">
      <w:pPr>
        <w:pStyle w:val="Definition"/>
      </w:pPr>
      <w:r w:rsidRPr="003A1AA8">
        <w:rPr>
          <w:b/>
          <w:i/>
        </w:rPr>
        <w:t>final cover area</w:t>
      </w:r>
      <w:r w:rsidR="00EE5F75" w:rsidRPr="003A1AA8">
        <w:t>,</w:t>
      </w:r>
      <w:r w:rsidRPr="003A1AA8">
        <w:t xml:space="preserve"> in relation to a landfill, means the area of the landfill normally covered by material used to cover </w:t>
      </w:r>
      <w:r w:rsidR="00C61A6C" w:rsidRPr="003A1AA8">
        <w:t xml:space="preserve">previously active landfill waste disposal areas </w:t>
      </w:r>
      <w:r w:rsidRPr="003A1AA8">
        <w:t xml:space="preserve">of the landfill </w:t>
      </w:r>
      <w:r w:rsidR="00C61A6C" w:rsidRPr="003A1AA8">
        <w:t>that have reached final height and are unlikely to be used for waste disposal again.</w:t>
      </w:r>
    </w:p>
    <w:p w:rsidR="00C61A6C" w:rsidRPr="003A1AA8" w:rsidRDefault="00213B26" w:rsidP="00C61A6C">
      <w:pPr>
        <w:pStyle w:val="Definition"/>
      </w:pPr>
      <w:r w:rsidRPr="003A1AA8">
        <w:rPr>
          <w:b/>
          <w:i/>
        </w:rPr>
        <w:t>intermediate</w:t>
      </w:r>
      <w:r w:rsidR="00CC407D" w:rsidRPr="003A1AA8">
        <w:rPr>
          <w:b/>
          <w:i/>
        </w:rPr>
        <w:t xml:space="preserve"> cover area</w:t>
      </w:r>
      <w:r w:rsidR="00CC407D" w:rsidRPr="003A1AA8">
        <w:t>¸</w:t>
      </w:r>
      <w:r w:rsidR="00CC407D" w:rsidRPr="003A1AA8">
        <w:rPr>
          <w:b/>
        </w:rPr>
        <w:t xml:space="preserve"> </w:t>
      </w:r>
      <w:r w:rsidR="00CC407D" w:rsidRPr="003A1AA8">
        <w:t xml:space="preserve">in relation to a landfill, means the area of the landfill normally covered by material used to cover </w:t>
      </w:r>
      <w:r w:rsidR="00C61A6C" w:rsidRPr="003A1AA8">
        <w:t>previously active landfill working areas that won</w:t>
      </w:r>
      <w:r w:rsidR="00D20CE3" w:rsidRPr="003A1AA8">
        <w:t>’</w:t>
      </w:r>
      <w:r w:rsidR="00C61A6C" w:rsidRPr="003A1AA8">
        <w:t>t be used for waste disposal f</w:t>
      </w:r>
      <w:r w:rsidR="00CC407D" w:rsidRPr="003A1AA8">
        <w:t>or an extended period of time (</w:t>
      </w:r>
      <w:r w:rsidR="00C61A6C" w:rsidRPr="003A1AA8">
        <w:t>typically a few weeks to a few months</w:t>
      </w:r>
      <w:r w:rsidR="00CC407D" w:rsidRPr="003A1AA8">
        <w:t>)</w:t>
      </w:r>
      <w:r w:rsidR="00C61A6C" w:rsidRPr="003A1AA8">
        <w:t>.</w:t>
      </w:r>
    </w:p>
    <w:p w:rsidR="00B17CF4" w:rsidRPr="003A1AA8" w:rsidRDefault="00B17CF4" w:rsidP="00B17CF4">
      <w:pPr>
        <w:pStyle w:val="Definition"/>
        <w:rPr>
          <w:noProof/>
        </w:rPr>
      </w:pPr>
      <w:r w:rsidRPr="003A1AA8">
        <w:rPr>
          <w:b/>
          <w:i/>
          <w:noProof/>
        </w:rPr>
        <w:t>landfill</w:t>
      </w:r>
      <w:r w:rsidRPr="003A1AA8">
        <w:rPr>
          <w:noProof/>
        </w:rPr>
        <w:t xml:space="preserve"> means a site where waste is or was buried under a permission (however described) given under the law of a State or Territory.</w:t>
      </w:r>
    </w:p>
    <w:p w:rsidR="00A978F9" w:rsidRPr="003A1AA8" w:rsidRDefault="00A978F9" w:rsidP="00485CDF">
      <w:pPr>
        <w:pStyle w:val="Definition"/>
        <w:rPr>
          <w:noProof/>
        </w:rPr>
      </w:pPr>
      <w:r w:rsidRPr="003A1AA8">
        <w:rPr>
          <w:b/>
          <w:i/>
          <w:noProof/>
        </w:rPr>
        <w:t>landfill gas</w:t>
      </w:r>
      <w:r w:rsidRPr="003A1AA8">
        <w:rPr>
          <w:noProof/>
        </w:rPr>
        <w:t xml:space="preserve"> means gas generated from anaerobic decomposition of biological material at a landfill.</w:t>
      </w:r>
    </w:p>
    <w:p w:rsidR="00736B5A" w:rsidRPr="003A1AA8" w:rsidRDefault="00736B5A" w:rsidP="00485CDF">
      <w:pPr>
        <w:pStyle w:val="Definition"/>
        <w:rPr>
          <w:noProof/>
        </w:rPr>
      </w:pPr>
      <w:r w:rsidRPr="003A1AA8">
        <w:rPr>
          <w:b/>
          <w:i/>
          <w:noProof/>
        </w:rPr>
        <w:t>landfill gas collection system</w:t>
      </w:r>
      <w:r w:rsidRPr="003A1AA8">
        <w:rPr>
          <w:noProof/>
        </w:rPr>
        <w:t xml:space="preserve"> means a system to collect and combust landfill gas.</w:t>
      </w:r>
    </w:p>
    <w:p w:rsidR="00485CDF" w:rsidRPr="003A1AA8" w:rsidRDefault="00485CDF" w:rsidP="00485CDF">
      <w:pPr>
        <w:pStyle w:val="Definition"/>
      </w:pPr>
      <w:r w:rsidRPr="003A1AA8">
        <w:rPr>
          <w:b/>
          <w:i/>
          <w:noProof/>
        </w:rPr>
        <w:t xml:space="preserve">landfill gas </w:t>
      </w:r>
      <w:r w:rsidRPr="003A1AA8">
        <w:rPr>
          <w:b/>
          <w:i/>
        </w:rPr>
        <w:t>project</w:t>
      </w:r>
      <w:r w:rsidRPr="003A1AA8">
        <w:t xml:space="preserve"> has the meaning given by subsection</w:t>
      </w:r>
      <w:r w:rsidR="003A1AA8" w:rsidRPr="003A1AA8">
        <w:t> </w:t>
      </w:r>
      <w:r w:rsidR="006B1D9F" w:rsidRPr="003A1AA8">
        <w:t>7</w:t>
      </w:r>
      <w:r w:rsidRPr="003A1AA8">
        <w:t>(</w:t>
      </w:r>
      <w:r w:rsidR="00E71A4F" w:rsidRPr="003A1AA8">
        <w:t>2</w:t>
      </w:r>
      <w:r w:rsidRPr="003A1AA8">
        <w:t>).</w:t>
      </w:r>
    </w:p>
    <w:p w:rsidR="00603708" w:rsidRPr="003A1AA8" w:rsidRDefault="00603708" w:rsidP="00485CDF">
      <w:pPr>
        <w:pStyle w:val="Definition"/>
      </w:pPr>
      <w:r w:rsidRPr="003A1AA8">
        <w:rPr>
          <w:b/>
          <w:i/>
        </w:rPr>
        <w:t>monitoring and control system</w:t>
      </w:r>
      <w:r w:rsidRPr="003A1AA8">
        <w:t>¸ for a flare, means a system that consists of:</w:t>
      </w:r>
    </w:p>
    <w:p w:rsidR="00603708" w:rsidRPr="003A1AA8" w:rsidRDefault="00603708" w:rsidP="00603708">
      <w:pPr>
        <w:pStyle w:val="paragraph"/>
      </w:pPr>
      <w:r w:rsidRPr="003A1AA8">
        <w:tab/>
        <w:t>(a)</w:t>
      </w:r>
      <w:r w:rsidRPr="003A1AA8">
        <w:tab/>
        <w:t>a monitoring system that d</w:t>
      </w:r>
      <w:r w:rsidR="00842043" w:rsidRPr="003A1AA8">
        <w:t>etects the flame of a flare and monitors if the f</w:t>
      </w:r>
      <w:r w:rsidRPr="003A1AA8">
        <w:t xml:space="preserve">lare is operating at the </w:t>
      </w:r>
      <w:r w:rsidR="00842043" w:rsidRPr="003A1AA8">
        <w:t>manufacturer’s</w:t>
      </w:r>
      <w:r w:rsidRPr="003A1AA8">
        <w:t xml:space="preserve"> </w:t>
      </w:r>
      <w:r w:rsidR="00842043" w:rsidRPr="003A1AA8">
        <w:t>specifications</w:t>
      </w:r>
      <w:r w:rsidRPr="003A1AA8">
        <w:t xml:space="preserve"> for the complete combustion of methane; and</w:t>
      </w:r>
    </w:p>
    <w:p w:rsidR="00603708" w:rsidRPr="003A1AA8" w:rsidRDefault="00603708" w:rsidP="00603708">
      <w:pPr>
        <w:pStyle w:val="paragraph"/>
      </w:pPr>
      <w:r w:rsidRPr="003A1AA8">
        <w:tab/>
        <w:t>(b)</w:t>
      </w:r>
      <w:r w:rsidRPr="003A1AA8">
        <w:tab/>
        <w:t xml:space="preserve">an associated control system that shuts down landfill gas flow to the </w:t>
      </w:r>
      <w:r w:rsidR="00842043" w:rsidRPr="003A1AA8">
        <w:t>flare either when</w:t>
      </w:r>
      <w:r w:rsidRPr="003A1AA8">
        <w:t xml:space="preserve"> no</w:t>
      </w:r>
      <w:r w:rsidR="00842043" w:rsidRPr="003A1AA8">
        <w:t xml:space="preserve"> flame is de</w:t>
      </w:r>
      <w:r w:rsidRPr="003A1AA8">
        <w:t>t</w:t>
      </w:r>
      <w:r w:rsidR="00842043" w:rsidRPr="003A1AA8">
        <w:t>ect</w:t>
      </w:r>
      <w:r w:rsidRPr="003A1AA8">
        <w:t>ed or when the flare is not operating at the manufacturer’s specifications for the complete combustion of methane.</w:t>
      </w:r>
    </w:p>
    <w:p w:rsidR="00603708" w:rsidRPr="003A1AA8" w:rsidRDefault="00603708" w:rsidP="00603708">
      <w:pPr>
        <w:pStyle w:val="notetext"/>
      </w:pPr>
      <w:r w:rsidRPr="003A1AA8">
        <w:t>Note:</w:t>
      </w:r>
      <w:r w:rsidRPr="003A1AA8">
        <w:tab/>
        <w:t>An example of a monitoring and control system for a flare is a flare management</w:t>
      </w:r>
      <w:r w:rsidR="00842043" w:rsidRPr="003A1AA8">
        <w:t xml:space="preserve"> system</w:t>
      </w:r>
      <w:r w:rsidRPr="003A1AA8">
        <w:t xml:space="preserve"> that incorporates a UV detection sensor.</w:t>
      </w:r>
    </w:p>
    <w:p w:rsidR="00160A37" w:rsidRPr="003A1AA8" w:rsidRDefault="00160A37" w:rsidP="00485CDF">
      <w:pPr>
        <w:pStyle w:val="Definition"/>
      </w:pPr>
      <w:r w:rsidRPr="003A1AA8">
        <w:rPr>
          <w:b/>
          <w:i/>
        </w:rPr>
        <w:t>monitoring requirements</w:t>
      </w:r>
      <w:r w:rsidRPr="003A1AA8">
        <w:t xml:space="preserve"> means the requirements set out in </w:t>
      </w:r>
      <w:r w:rsidR="0021218C" w:rsidRPr="003A1AA8">
        <w:t>section</w:t>
      </w:r>
      <w:r w:rsidR="003A1AA8" w:rsidRPr="003A1AA8">
        <w:t> </w:t>
      </w:r>
      <w:r w:rsidR="006B1D9F" w:rsidRPr="003A1AA8">
        <w:t>33</w:t>
      </w:r>
      <w:r w:rsidR="00603708" w:rsidRPr="003A1AA8">
        <w:t>.</w:t>
      </w:r>
    </w:p>
    <w:p w:rsidR="00351E05" w:rsidRPr="003A1AA8" w:rsidRDefault="00351E05" w:rsidP="00351E05">
      <w:pPr>
        <w:pStyle w:val="Definition"/>
      </w:pPr>
      <w:r w:rsidRPr="003A1AA8">
        <w:rPr>
          <w:b/>
          <w:i/>
        </w:rPr>
        <w:t xml:space="preserve">new project </w:t>
      </w:r>
      <w:r w:rsidR="00B65174" w:rsidRPr="003A1AA8">
        <w:t xml:space="preserve">has the meaning given by </w:t>
      </w:r>
      <w:r w:rsidR="00AA44A5" w:rsidRPr="003A1AA8">
        <w:t>s</w:t>
      </w:r>
      <w:r w:rsidRPr="003A1AA8">
        <w:t>ection</w:t>
      </w:r>
      <w:r w:rsidR="003A1AA8" w:rsidRPr="003A1AA8">
        <w:t> </w:t>
      </w:r>
      <w:r w:rsidR="006B1D9F" w:rsidRPr="003A1AA8">
        <w:t>9</w:t>
      </w:r>
      <w:r w:rsidRPr="003A1AA8">
        <w:t>.</w:t>
      </w:r>
    </w:p>
    <w:p w:rsidR="008D6429" w:rsidRPr="003A1AA8" w:rsidRDefault="008D6429" w:rsidP="00485CDF">
      <w:pPr>
        <w:pStyle w:val="Definition"/>
        <w:rPr>
          <w:iCs/>
        </w:rPr>
      </w:pPr>
      <w:proofErr w:type="spellStart"/>
      <w:r w:rsidRPr="003A1AA8">
        <w:rPr>
          <w:b/>
          <w:i/>
          <w:iCs/>
        </w:rPr>
        <w:t>NGER</w:t>
      </w:r>
      <w:proofErr w:type="spellEnd"/>
      <w:r w:rsidRPr="003A1AA8">
        <w:rPr>
          <w:b/>
          <w:i/>
          <w:iCs/>
        </w:rPr>
        <w:t xml:space="preserve"> (Measurement) Determination</w:t>
      </w:r>
      <w:r w:rsidRPr="003A1AA8">
        <w:rPr>
          <w:iCs/>
        </w:rPr>
        <w:t xml:space="preserve"> means the </w:t>
      </w:r>
      <w:r w:rsidRPr="003A1AA8">
        <w:rPr>
          <w:i/>
        </w:rPr>
        <w:t>National Greenhouse and Energy Reporting (Measurement) Determination</w:t>
      </w:r>
      <w:r w:rsidR="003A1AA8" w:rsidRPr="003A1AA8">
        <w:rPr>
          <w:i/>
        </w:rPr>
        <w:t> </w:t>
      </w:r>
      <w:r w:rsidRPr="003A1AA8">
        <w:rPr>
          <w:i/>
        </w:rPr>
        <w:t>2008</w:t>
      </w:r>
      <w:r w:rsidRPr="003A1AA8">
        <w:t>.</w:t>
      </w:r>
    </w:p>
    <w:p w:rsidR="00690146" w:rsidRPr="003A1AA8" w:rsidRDefault="00690146" w:rsidP="00485CDF">
      <w:pPr>
        <w:pStyle w:val="Definition"/>
        <w:rPr>
          <w:i/>
        </w:rPr>
      </w:pPr>
      <w:proofErr w:type="spellStart"/>
      <w:r w:rsidRPr="003A1AA8">
        <w:rPr>
          <w:b/>
          <w:i/>
          <w:iCs/>
        </w:rPr>
        <w:t>NGER</w:t>
      </w:r>
      <w:proofErr w:type="spellEnd"/>
      <w:r w:rsidRPr="003A1AA8">
        <w:rPr>
          <w:b/>
          <w:i/>
          <w:iCs/>
        </w:rPr>
        <w:t xml:space="preserve"> Regulations</w:t>
      </w:r>
      <w:r w:rsidRPr="003A1AA8">
        <w:rPr>
          <w:iCs/>
        </w:rPr>
        <w:t xml:space="preserve"> means the </w:t>
      </w:r>
      <w:r w:rsidRPr="003A1AA8">
        <w:rPr>
          <w:i/>
        </w:rPr>
        <w:t>National Greenhouse and Energy Reporting Regulations</w:t>
      </w:r>
      <w:r w:rsidR="003A1AA8" w:rsidRPr="003A1AA8">
        <w:rPr>
          <w:i/>
        </w:rPr>
        <w:t> </w:t>
      </w:r>
      <w:r w:rsidRPr="003A1AA8">
        <w:rPr>
          <w:i/>
        </w:rPr>
        <w:t>2008.</w:t>
      </w:r>
    </w:p>
    <w:p w:rsidR="00E351F7" w:rsidRPr="003A1AA8" w:rsidRDefault="00E351F7" w:rsidP="00485CDF">
      <w:pPr>
        <w:pStyle w:val="Definition"/>
        <w:rPr>
          <w:b/>
          <w:i/>
        </w:rPr>
      </w:pPr>
      <w:r w:rsidRPr="003A1AA8">
        <w:rPr>
          <w:b/>
          <w:i/>
        </w:rPr>
        <w:t>non</w:t>
      </w:r>
      <w:r w:rsidR="003A1AA8">
        <w:rPr>
          <w:b/>
          <w:i/>
        </w:rPr>
        <w:noBreakHyphen/>
      </w:r>
      <w:r w:rsidRPr="003A1AA8">
        <w:rPr>
          <w:b/>
          <w:i/>
        </w:rPr>
        <w:t>monitored period</w:t>
      </w:r>
      <w:r w:rsidRPr="003A1AA8">
        <w:t xml:space="preserve"> has the meaning given by subsection</w:t>
      </w:r>
      <w:r w:rsidR="003A1AA8" w:rsidRPr="003A1AA8">
        <w:t> </w:t>
      </w:r>
      <w:r w:rsidR="006B1D9F" w:rsidRPr="003A1AA8">
        <w:t>34</w:t>
      </w:r>
      <w:r w:rsidRPr="003A1AA8">
        <w:t>(1).</w:t>
      </w:r>
    </w:p>
    <w:p w:rsidR="009E68E1" w:rsidRPr="003A1AA8" w:rsidRDefault="009E68E1" w:rsidP="009E68E1">
      <w:pPr>
        <w:pStyle w:val="Definition"/>
      </w:pPr>
      <w:r w:rsidRPr="003A1AA8">
        <w:rPr>
          <w:b/>
          <w:i/>
        </w:rPr>
        <w:t xml:space="preserve">recommencing project </w:t>
      </w:r>
      <w:r w:rsidR="003B6350" w:rsidRPr="003A1AA8">
        <w:t xml:space="preserve">has the meaning given by </w:t>
      </w:r>
      <w:r w:rsidRPr="003A1AA8">
        <w:t>section</w:t>
      </w:r>
      <w:r w:rsidR="003A1AA8" w:rsidRPr="003A1AA8">
        <w:t> </w:t>
      </w:r>
      <w:r w:rsidR="006B1D9F" w:rsidRPr="003A1AA8">
        <w:t>10</w:t>
      </w:r>
      <w:r w:rsidRPr="003A1AA8">
        <w:t>.</w:t>
      </w:r>
    </w:p>
    <w:p w:rsidR="000C04BB" w:rsidRPr="003A1AA8" w:rsidRDefault="000C04BB" w:rsidP="000C04BB">
      <w:pPr>
        <w:pStyle w:val="Definition"/>
      </w:pPr>
      <w:r w:rsidRPr="003A1AA8">
        <w:rPr>
          <w:b/>
          <w:i/>
        </w:rPr>
        <w:t>regulatory guidelines for landfill</w:t>
      </w:r>
      <w:r w:rsidRPr="003A1AA8">
        <w:t xml:space="preserve"> means guidelines that:</w:t>
      </w:r>
    </w:p>
    <w:p w:rsidR="000C04BB" w:rsidRPr="003A1AA8" w:rsidRDefault="000C04BB" w:rsidP="000C04BB">
      <w:pPr>
        <w:pStyle w:val="paragraph"/>
      </w:pPr>
      <w:r w:rsidRPr="003A1AA8">
        <w:tab/>
        <w:t>(a)</w:t>
      </w:r>
      <w:r w:rsidRPr="003A1AA8">
        <w:tab/>
        <w:t>establish policy and regulatory requirements for sustainable waste management and landfill performance; and</w:t>
      </w:r>
    </w:p>
    <w:p w:rsidR="000C04BB" w:rsidRPr="003A1AA8" w:rsidRDefault="000C04BB" w:rsidP="000C04BB">
      <w:pPr>
        <w:pStyle w:val="paragraph"/>
      </w:pPr>
      <w:r w:rsidRPr="003A1AA8">
        <w:tab/>
        <w:t>(b)</w:t>
      </w:r>
      <w:r w:rsidRPr="003A1AA8">
        <w:tab/>
        <w:t>are applied by environment agencies and environmental protection agencies (including such agencies in States and Territories).</w:t>
      </w:r>
    </w:p>
    <w:p w:rsidR="004E37B9" w:rsidRPr="003A1AA8" w:rsidRDefault="004E37B9" w:rsidP="004E37B9">
      <w:pPr>
        <w:pStyle w:val="notetext"/>
      </w:pPr>
      <w:r w:rsidRPr="003A1AA8">
        <w:lastRenderedPageBreak/>
        <w:t>Note:</w:t>
      </w:r>
      <w:r w:rsidRPr="003A1AA8">
        <w:tab/>
        <w:t xml:space="preserve">These </w:t>
      </w:r>
      <w:r w:rsidR="00B33DDF" w:rsidRPr="003A1AA8">
        <w:t>guidelines</w:t>
      </w:r>
      <w:r w:rsidRPr="003A1AA8">
        <w:t xml:space="preserve"> typically cover the topics of siting, design, management or operation of landfills</w:t>
      </w:r>
      <w:r w:rsidR="00B33DDF" w:rsidRPr="003A1AA8">
        <w:t>.</w:t>
      </w:r>
    </w:p>
    <w:p w:rsidR="00690146" w:rsidRPr="003A1AA8" w:rsidRDefault="00690146" w:rsidP="00485CDF">
      <w:pPr>
        <w:pStyle w:val="Definition"/>
      </w:pPr>
      <w:r w:rsidRPr="003A1AA8">
        <w:rPr>
          <w:b/>
          <w:i/>
        </w:rPr>
        <w:t>sub</w:t>
      </w:r>
      <w:r w:rsidR="003A1AA8">
        <w:rPr>
          <w:b/>
          <w:i/>
        </w:rPr>
        <w:noBreakHyphen/>
      </w:r>
      <w:r w:rsidRPr="003A1AA8">
        <w:rPr>
          <w:b/>
          <w:i/>
        </w:rPr>
        <w:t>facility zone</w:t>
      </w:r>
      <w:r w:rsidRPr="003A1AA8">
        <w:t xml:space="preserve"> has the meaning as in section</w:t>
      </w:r>
      <w:r w:rsidR="003A1AA8" w:rsidRPr="003A1AA8">
        <w:t> </w:t>
      </w:r>
      <w:r w:rsidRPr="003A1AA8">
        <w:t xml:space="preserve">5.22A of the </w:t>
      </w:r>
      <w:proofErr w:type="spellStart"/>
      <w:r w:rsidRPr="003A1AA8">
        <w:rPr>
          <w:iCs/>
        </w:rPr>
        <w:t>NGER</w:t>
      </w:r>
      <w:proofErr w:type="spellEnd"/>
      <w:r w:rsidRPr="003A1AA8">
        <w:rPr>
          <w:iCs/>
        </w:rPr>
        <w:t xml:space="preserve"> (Measurement) Determination.</w:t>
      </w:r>
    </w:p>
    <w:p w:rsidR="003D43D6" w:rsidRPr="003A1AA8" w:rsidRDefault="003D43D6" w:rsidP="003D43D6">
      <w:pPr>
        <w:pStyle w:val="Definition"/>
      </w:pPr>
      <w:r w:rsidRPr="003A1AA8">
        <w:rPr>
          <w:b/>
          <w:i/>
        </w:rPr>
        <w:t xml:space="preserve">transitioning project </w:t>
      </w:r>
      <w:r w:rsidR="003B6350" w:rsidRPr="003A1AA8">
        <w:t xml:space="preserve">has the meaning given by </w:t>
      </w:r>
      <w:r w:rsidRPr="003A1AA8">
        <w:t>section</w:t>
      </w:r>
      <w:r w:rsidR="003A1AA8" w:rsidRPr="003A1AA8">
        <w:t> </w:t>
      </w:r>
      <w:r w:rsidR="006B1D9F" w:rsidRPr="003A1AA8">
        <w:t>12</w:t>
      </w:r>
      <w:r w:rsidRPr="003A1AA8">
        <w:t>.</w:t>
      </w:r>
    </w:p>
    <w:p w:rsidR="00000D44" w:rsidRPr="003A1AA8" w:rsidRDefault="007C7B13" w:rsidP="00000D44">
      <w:pPr>
        <w:pStyle w:val="Definition"/>
      </w:pPr>
      <w:r w:rsidRPr="003A1AA8">
        <w:rPr>
          <w:b/>
          <w:i/>
        </w:rPr>
        <w:t>upgrade</w:t>
      </w:r>
      <w:r w:rsidR="00000D44" w:rsidRPr="003A1AA8">
        <w:rPr>
          <w:b/>
          <w:i/>
        </w:rPr>
        <w:t xml:space="preserve"> project</w:t>
      </w:r>
      <w:r w:rsidR="00F86790" w:rsidRPr="003A1AA8">
        <w:rPr>
          <w:b/>
          <w:i/>
        </w:rPr>
        <w:t xml:space="preserve"> </w:t>
      </w:r>
      <w:r w:rsidR="00F86790" w:rsidRPr="003A1AA8">
        <w:t>has the meaning given by subsection</w:t>
      </w:r>
      <w:r w:rsidR="003A1AA8" w:rsidRPr="003A1AA8">
        <w:t> </w:t>
      </w:r>
      <w:r w:rsidR="006B1D9F" w:rsidRPr="003A1AA8">
        <w:t>11</w:t>
      </w:r>
      <w:r w:rsidR="003D43D6" w:rsidRPr="003A1AA8">
        <w:t>(1).</w:t>
      </w:r>
    </w:p>
    <w:p w:rsidR="001739D5" w:rsidRPr="003A1AA8" w:rsidRDefault="006B1D9F" w:rsidP="001739D5">
      <w:pPr>
        <w:pStyle w:val="ActHead5"/>
      </w:pPr>
      <w:bookmarkStart w:id="10" w:name="_Toc407104142"/>
      <w:r w:rsidRPr="003A1AA8">
        <w:rPr>
          <w:rStyle w:val="CharSectno"/>
        </w:rPr>
        <w:t>6</w:t>
      </w:r>
      <w:r w:rsidR="001739D5" w:rsidRPr="003A1AA8">
        <w:t xml:space="preserve">  References to factors and parameters from external sources</w:t>
      </w:r>
      <w:bookmarkEnd w:id="10"/>
    </w:p>
    <w:p w:rsidR="001739D5" w:rsidRPr="003A1AA8" w:rsidRDefault="001739D5" w:rsidP="001739D5">
      <w:pPr>
        <w:pStyle w:val="subsection"/>
      </w:pPr>
      <w:r w:rsidRPr="003A1AA8">
        <w:tab/>
        <w:t>(1)</w:t>
      </w:r>
      <w:r w:rsidRPr="003A1AA8">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3E1582" w:rsidRPr="003A1AA8" w:rsidRDefault="007E520B" w:rsidP="007E520B">
      <w:pPr>
        <w:pStyle w:val="subsection"/>
      </w:pPr>
      <w:r w:rsidRPr="003A1AA8">
        <w:tab/>
        <w:t>(2)</w:t>
      </w:r>
      <w:r w:rsidRPr="003A1AA8">
        <w:tab/>
      </w:r>
      <w:r w:rsidR="003A1AA8" w:rsidRPr="003A1AA8">
        <w:t>Subsection (</w:t>
      </w:r>
      <w:r w:rsidRPr="003A1AA8">
        <w:t>1) does not apply if</w:t>
      </w:r>
      <w:r w:rsidR="003E1582" w:rsidRPr="003A1AA8">
        <w:t>:</w:t>
      </w:r>
    </w:p>
    <w:p w:rsidR="007E520B" w:rsidRPr="003A1AA8" w:rsidRDefault="003E1582" w:rsidP="003E1582">
      <w:pPr>
        <w:pStyle w:val="paragraph"/>
      </w:pPr>
      <w:r w:rsidRPr="003A1AA8">
        <w:tab/>
        <w:t>(a)</w:t>
      </w:r>
      <w:r w:rsidRPr="003A1AA8">
        <w:tab/>
      </w:r>
      <w:r w:rsidR="007E520B" w:rsidRPr="003A1AA8">
        <w:t>the de</w:t>
      </w:r>
      <w:r w:rsidRPr="003A1AA8">
        <w:t>termination specifies otherwise; or</w:t>
      </w:r>
    </w:p>
    <w:p w:rsidR="003E1582" w:rsidRPr="003A1AA8" w:rsidRDefault="003E1582" w:rsidP="003E1582">
      <w:pPr>
        <w:pStyle w:val="paragraph"/>
      </w:pPr>
      <w:r w:rsidRPr="003A1AA8">
        <w:tab/>
        <w:t>(b)</w:t>
      </w:r>
      <w:r w:rsidRPr="003A1AA8">
        <w:tab/>
        <w:t>it is not possible to define or calculate the factor or parameter by reference to the instrument or writing as in force at the end of the reporting period.</w:t>
      </w:r>
    </w:p>
    <w:p w:rsidR="00485CDF" w:rsidRPr="003A1AA8" w:rsidRDefault="00485CDF" w:rsidP="00485CDF">
      <w:pPr>
        <w:pStyle w:val="ActHead2"/>
        <w:pageBreakBefore/>
      </w:pPr>
      <w:bookmarkStart w:id="11" w:name="_Toc407104143"/>
      <w:r w:rsidRPr="003A1AA8">
        <w:rPr>
          <w:rStyle w:val="CharPartNo"/>
        </w:rPr>
        <w:lastRenderedPageBreak/>
        <w:t>Part</w:t>
      </w:r>
      <w:r w:rsidR="003A1AA8" w:rsidRPr="003A1AA8">
        <w:rPr>
          <w:rStyle w:val="CharPartNo"/>
        </w:rPr>
        <w:t> </w:t>
      </w:r>
      <w:r w:rsidRPr="003A1AA8">
        <w:rPr>
          <w:rStyle w:val="CharPartNo"/>
        </w:rPr>
        <w:t>2</w:t>
      </w:r>
      <w:r w:rsidRPr="003A1AA8">
        <w:t>—</w:t>
      </w:r>
      <w:r w:rsidRPr="003A1AA8">
        <w:rPr>
          <w:rStyle w:val="CharPartText"/>
        </w:rPr>
        <w:t>Landfill gas projects</w:t>
      </w:r>
      <w:bookmarkEnd w:id="11"/>
    </w:p>
    <w:p w:rsidR="00485CDF" w:rsidRPr="003A1AA8" w:rsidRDefault="00485CDF" w:rsidP="00485CDF">
      <w:pPr>
        <w:pStyle w:val="Header"/>
      </w:pPr>
      <w:r w:rsidRPr="003A1AA8">
        <w:rPr>
          <w:rStyle w:val="CharDivNo"/>
        </w:rPr>
        <w:t xml:space="preserve"> </w:t>
      </w:r>
      <w:r w:rsidRPr="003A1AA8">
        <w:rPr>
          <w:rStyle w:val="CharDivText"/>
        </w:rPr>
        <w:t xml:space="preserve"> </w:t>
      </w:r>
    </w:p>
    <w:p w:rsidR="00485CDF" w:rsidRPr="003A1AA8" w:rsidRDefault="006B1D9F" w:rsidP="00485CDF">
      <w:pPr>
        <w:pStyle w:val="ActHead5"/>
      </w:pPr>
      <w:bookmarkStart w:id="12" w:name="_Toc407104144"/>
      <w:r w:rsidRPr="003A1AA8">
        <w:rPr>
          <w:rStyle w:val="CharSectno"/>
        </w:rPr>
        <w:t>7</w:t>
      </w:r>
      <w:r w:rsidR="00485CDF" w:rsidRPr="003A1AA8">
        <w:t xml:space="preserve">  </w:t>
      </w:r>
      <w:r w:rsidR="00485CDF" w:rsidRPr="003A1AA8">
        <w:rPr>
          <w:noProof/>
        </w:rPr>
        <w:t>Landfill gas</w:t>
      </w:r>
      <w:r w:rsidR="00485CDF" w:rsidRPr="003A1AA8">
        <w:rPr>
          <w:b w:val="0"/>
          <w:noProof/>
        </w:rPr>
        <w:t xml:space="preserve"> </w:t>
      </w:r>
      <w:r w:rsidR="00485CDF" w:rsidRPr="003A1AA8">
        <w:t>projects</w:t>
      </w:r>
      <w:bookmarkEnd w:id="12"/>
    </w:p>
    <w:p w:rsidR="00225043" w:rsidRPr="003A1AA8" w:rsidRDefault="00225043" w:rsidP="00225043">
      <w:pPr>
        <w:pStyle w:val="subsection"/>
      </w:pPr>
      <w:r w:rsidRPr="003A1AA8">
        <w:tab/>
        <w:t>(1)</w:t>
      </w:r>
      <w:r w:rsidRPr="003A1AA8">
        <w:tab/>
        <w:t>For paragraph</w:t>
      </w:r>
      <w:r w:rsidR="003A1AA8" w:rsidRPr="003A1AA8">
        <w:t> </w:t>
      </w:r>
      <w:r w:rsidRPr="003A1AA8">
        <w:t xml:space="preserve">106(1)(a) of the Act, this determination applies to an offsets project that </w:t>
      </w:r>
      <w:r w:rsidR="005D0D7B" w:rsidRPr="003A1AA8">
        <w:t>aims to reduce emissions of greenhouse gas</w:t>
      </w:r>
      <w:r w:rsidR="00071231" w:rsidRPr="003A1AA8">
        <w:t>es</w:t>
      </w:r>
      <w:r w:rsidR="005D0D7B" w:rsidRPr="003A1AA8">
        <w:t xml:space="preserve"> by </w:t>
      </w:r>
      <w:r w:rsidRPr="003A1AA8">
        <w:t>collecting and combusting landfill gas</w:t>
      </w:r>
      <w:r w:rsidR="00992E27" w:rsidRPr="003A1AA8">
        <w:t xml:space="preserve"> </w:t>
      </w:r>
      <w:r w:rsidR="00B17CF4" w:rsidRPr="003A1AA8">
        <w:t>from a landfill</w:t>
      </w:r>
      <w:r w:rsidRPr="003A1AA8">
        <w:t>.</w:t>
      </w:r>
    </w:p>
    <w:p w:rsidR="00225043" w:rsidRPr="003A1AA8" w:rsidRDefault="00225043" w:rsidP="00225043">
      <w:pPr>
        <w:pStyle w:val="subsection"/>
      </w:pPr>
      <w:r w:rsidRPr="003A1AA8">
        <w:tab/>
        <w:t>(2)</w:t>
      </w:r>
      <w:r w:rsidRPr="003A1AA8">
        <w:tab/>
        <w:t xml:space="preserve">A project covered by </w:t>
      </w:r>
      <w:r w:rsidR="003A1AA8" w:rsidRPr="003A1AA8">
        <w:t>subsection (</w:t>
      </w:r>
      <w:r w:rsidRPr="003A1AA8">
        <w:t xml:space="preserve">1) is a </w:t>
      </w:r>
      <w:r w:rsidRPr="003A1AA8">
        <w:rPr>
          <w:b/>
          <w:i/>
          <w:noProof/>
        </w:rPr>
        <w:t xml:space="preserve">landfill gas </w:t>
      </w:r>
      <w:r w:rsidRPr="003A1AA8">
        <w:rPr>
          <w:b/>
          <w:i/>
        </w:rPr>
        <w:t>project</w:t>
      </w:r>
      <w:r w:rsidRPr="003A1AA8">
        <w:t>.</w:t>
      </w:r>
    </w:p>
    <w:p w:rsidR="00225043" w:rsidRPr="003A1AA8" w:rsidRDefault="00225043" w:rsidP="00225043">
      <w:pPr>
        <w:pStyle w:val="subsection"/>
      </w:pPr>
      <w:r w:rsidRPr="003A1AA8">
        <w:tab/>
        <w:t>(3)</w:t>
      </w:r>
      <w:r w:rsidRPr="003A1AA8">
        <w:tab/>
        <w:t>A landfill gas project may be:</w:t>
      </w:r>
    </w:p>
    <w:p w:rsidR="00225043" w:rsidRPr="003A1AA8" w:rsidRDefault="00225043" w:rsidP="00225043">
      <w:pPr>
        <w:pStyle w:val="paragraph"/>
      </w:pPr>
      <w:r w:rsidRPr="003A1AA8">
        <w:tab/>
        <w:t>(a)</w:t>
      </w:r>
      <w:r w:rsidRPr="003A1AA8">
        <w:tab/>
        <w:t>a new project; or</w:t>
      </w:r>
    </w:p>
    <w:p w:rsidR="00690146" w:rsidRPr="003A1AA8" w:rsidRDefault="007C7B13" w:rsidP="00225043">
      <w:pPr>
        <w:pStyle w:val="paragraph"/>
      </w:pPr>
      <w:r w:rsidRPr="003A1AA8">
        <w:tab/>
        <w:t>(b)</w:t>
      </w:r>
      <w:r w:rsidRPr="003A1AA8">
        <w:tab/>
      </w:r>
      <w:r w:rsidR="00690146" w:rsidRPr="003A1AA8">
        <w:t>a recommencing project; or</w:t>
      </w:r>
    </w:p>
    <w:p w:rsidR="00225043" w:rsidRPr="003A1AA8" w:rsidRDefault="00690146" w:rsidP="00225043">
      <w:pPr>
        <w:pStyle w:val="paragraph"/>
      </w:pPr>
      <w:r w:rsidRPr="003A1AA8">
        <w:tab/>
        <w:t>(c)</w:t>
      </w:r>
      <w:r w:rsidRPr="003A1AA8">
        <w:tab/>
      </w:r>
      <w:r w:rsidR="007C7B13" w:rsidRPr="003A1AA8">
        <w:t>an upgrade</w:t>
      </w:r>
      <w:r w:rsidR="00225043" w:rsidRPr="003A1AA8">
        <w:t xml:space="preserve"> project; or</w:t>
      </w:r>
    </w:p>
    <w:p w:rsidR="00225043" w:rsidRPr="003A1AA8" w:rsidRDefault="00690146" w:rsidP="00225043">
      <w:pPr>
        <w:pStyle w:val="paragraph"/>
      </w:pPr>
      <w:r w:rsidRPr="003A1AA8">
        <w:tab/>
        <w:t>(d</w:t>
      </w:r>
      <w:r w:rsidR="00225043" w:rsidRPr="003A1AA8">
        <w:t>)</w:t>
      </w:r>
      <w:r w:rsidR="00225043" w:rsidRPr="003A1AA8">
        <w:tab/>
        <w:t>a</w:t>
      </w:r>
      <w:r w:rsidR="00947CAC" w:rsidRPr="003A1AA8">
        <w:t xml:space="preserve"> transitioning </w:t>
      </w:r>
      <w:r w:rsidR="00225043" w:rsidRPr="003A1AA8">
        <w:t>project.</w:t>
      </w:r>
    </w:p>
    <w:p w:rsidR="00485CDF" w:rsidRPr="003A1AA8" w:rsidRDefault="00485CDF" w:rsidP="00485CDF">
      <w:pPr>
        <w:pStyle w:val="ActHead2"/>
        <w:pageBreakBefore/>
      </w:pPr>
      <w:bookmarkStart w:id="13" w:name="_Toc407104145"/>
      <w:r w:rsidRPr="003A1AA8">
        <w:rPr>
          <w:rStyle w:val="CharPartNo"/>
        </w:rPr>
        <w:lastRenderedPageBreak/>
        <w:t>Part</w:t>
      </w:r>
      <w:r w:rsidR="003A1AA8" w:rsidRPr="003A1AA8">
        <w:rPr>
          <w:rStyle w:val="CharPartNo"/>
        </w:rPr>
        <w:t> </w:t>
      </w:r>
      <w:r w:rsidRPr="003A1AA8">
        <w:rPr>
          <w:rStyle w:val="CharPartNo"/>
        </w:rPr>
        <w:t>3</w:t>
      </w:r>
      <w:r w:rsidRPr="003A1AA8">
        <w:t>—</w:t>
      </w:r>
      <w:r w:rsidRPr="003A1AA8">
        <w:rPr>
          <w:rStyle w:val="CharPartText"/>
        </w:rPr>
        <w:t>Project requirements</w:t>
      </w:r>
      <w:bookmarkEnd w:id="13"/>
    </w:p>
    <w:p w:rsidR="00485CDF" w:rsidRPr="003A1AA8" w:rsidRDefault="00485CDF" w:rsidP="00485CDF">
      <w:pPr>
        <w:pStyle w:val="Header"/>
      </w:pPr>
      <w:r w:rsidRPr="003A1AA8">
        <w:rPr>
          <w:rStyle w:val="CharDivNo"/>
        </w:rPr>
        <w:t xml:space="preserve"> </w:t>
      </w:r>
      <w:r w:rsidRPr="003A1AA8">
        <w:rPr>
          <w:rStyle w:val="CharDivText"/>
        </w:rPr>
        <w:t xml:space="preserve"> </w:t>
      </w:r>
    </w:p>
    <w:p w:rsidR="00485CDF" w:rsidRPr="003A1AA8" w:rsidRDefault="006B1D9F" w:rsidP="00485CDF">
      <w:pPr>
        <w:pStyle w:val="ActHead5"/>
      </w:pPr>
      <w:bookmarkStart w:id="14" w:name="_Toc407104146"/>
      <w:r w:rsidRPr="003A1AA8">
        <w:rPr>
          <w:rStyle w:val="CharSectno"/>
        </w:rPr>
        <w:t>8</w:t>
      </w:r>
      <w:r w:rsidR="00485CDF" w:rsidRPr="003A1AA8">
        <w:t xml:space="preserve">  Operation of this Part</w:t>
      </w:r>
      <w:bookmarkEnd w:id="14"/>
    </w:p>
    <w:p w:rsidR="00485CDF" w:rsidRPr="003A1AA8" w:rsidRDefault="00485CDF" w:rsidP="00485CDF">
      <w:pPr>
        <w:pStyle w:val="subsection"/>
      </w:pPr>
      <w:r w:rsidRPr="003A1AA8">
        <w:tab/>
      </w:r>
      <w:r w:rsidR="007A3FEC" w:rsidRPr="003A1AA8">
        <w:t>(1)</w:t>
      </w:r>
      <w:r w:rsidRPr="003A1AA8">
        <w:tab/>
        <w:t>For paragraph</w:t>
      </w:r>
      <w:r w:rsidR="003A1AA8" w:rsidRPr="003A1AA8">
        <w:t> </w:t>
      </w:r>
      <w:r w:rsidRPr="003A1AA8">
        <w:t xml:space="preserve">106(1)(b) of the Act, </w:t>
      </w:r>
      <w:r w:rsidR="005D0D7B" w:rsidRPr="003A1AA8">
        <w:t>sections</w:t>
      </w:r>
      <w:r w:rsidR="003A1AA8" w:rsidRPr="003A1AA8">
        <w:t> </w:t>
      </w:r>
      <w:r w:rsidR="006B1D9F" w:rsidRPr="003A1AA8">
        <w:t>9</w:t>
      </w:r>
      <w:r w:rsidR="005D0D7B" w:rsidRPr="003A1AA8">
        <w:t xml:space="preserve"> to</w:t>
      </w:r>
      <w:r w:rsidR="007A3FEC" w:rsidRPr="003A1AA8">
        <w:t xml:space="preserve"> </w:t>
      </w:r>
      <w:r w:rsidR="006B1D9F" w:rsidRPr="003A1AA8">
        <w:t>12</w:t>
      </w:r>
      <w:r w:rsidR="007A3FEC" w:rsidRPr="003A1AA8">
        <w:t xml:space="preserve"> set</w:t>
      </w:r>
      <w:r w:rsidRPr="003A1AA8">
        <w:t xml:space="preserve"> out requirements that must be met for a </w:t>
      </w:r>
      <w:r w:rsidRPr="003A1AA8">
        <w:rPr>
          <w:noProof/>
        </w:rPr>
        <w:t xml:space="preserve">landfill gas </w:t>
      </w:r>
      <w:r w:rsidRPr="003A1AA8">
        <w:t>project to be an eligible offsets project.</w:t>
      </w:r>
    </w:p>
    <w:p w:rsidR="007A3FEC" w:rsidRPr="003A1AA8" w:rsidRDefault="007A3FEC" w:rsidP="007A3FEC">
      <w:pPr>
        <w:pStyle w:val="subsection"/>
      </w:pPr>
      <w:r w:rsidRPr="003A1AA8">
        <w:tab/>
        <w:t>(2)</w:t>
      </w:r>
      <w:r w:rsidRPr="003A1AA8">
        <w:tab/>
        <w:t>For subparagraph</w:t>
      </w:r>
      <w:r w:rsidR="003A1AA8" w:rsidRPr="003A1AA8">
        <w:t> </w:t>
      </w:r>
      <w:r w:rsidR="00972946" w:rsidRPr="003A1AA8">
        <w:t>27(4A)(a</w:t>
      </w:r>
      <w:r w:rsidRPr="003A1AA8">
        <w:t>)(ii) of the Act, s</w:t>
      </w:r>
      <w:r w:rsidR="00972946" w:rsidRPr="003A1AA8">
        <w:t>ubs</w:t>
      </w:r>
      <w:r w:rsidRPr="003A1AA8">
        <w:t>ection</w:t>
      </w:r>
      <w:r w:rsidR="003A1AA8" w:rsidRPr="003A1AA8">
        <w:t> </w:t>
      </w:r>
      <w:r w:rsidR="006B1D9F" w:rsidRPr="003A1AA8">
        <w:t>13</w:t>
      </w:r>
      <w:r w:rsidR="00972946" w:rsidRPr="003A1AA8">
        <w:t>(1)</w:t>
      </w:r>
      <w:r w:rsidRPr="003A1AA8">
        <w:t xml:space="preserve"> sets out a requirement in lieu of the </w:t>
      </w:r>
      <w:r w:rsidR="00972946" w:rsidRPr="003A1AA8">
        <w:t>newness</w:t>
      </w:r>
      <w:r w:rsidRPr="003A1AA8">
        <w:t xml:space="preserve"> requirement.</w:t>
      </w:r>
    </w:p>
    <w:p w:rsidR="00972946" w:rsidRPr="003A1AA8" w:rsidRDefault="00972946" w:rsidP="00972946">
      <w:pPr>
        <w:pStyle w:val="subsection"/>
      </w:pPr>
      <w:r w:rsidRPr="003A1AA8">
        <w:tab/>
        <w:t>(3)</w:t>
      </w:r>
      <w:r w:rsidRPr="003A1AA8">
        <w:tab/>
        <w:t>For subparagraph</w:t>
      </w:r>
      <w:r w:rsidR="003A1AA8" w:rsidRPr="003A1AA8">
        <w:t> </w:t>
      </w:r>
      <w:r w:rsidRPr="003A1AA8">
        <w:t>27(4A)(b)(ii) of the Act, subsection</w:t>
      </w:r>
      <w:r w:rsidR="003A1AA8" w:rsidRPr="003A1AA8">
        <w:t> </w:t>
      </w:r>
      <w:r w:rsidRPr="003A1AA8">
        <w:t xml:space="preserve">13(2) sets out a requirement in lieu of the regulatory </w:t>
      </w:r>
      <w:proofErr w:type="spellStart"/>
      <w:r w:rsidRPr="003A1AA8">
        <w:t>additionality</w:t>
      </w:r>
      <w:proofErr w:type="spellEnd"/>
      <w:r w:rsidRPr="003A1AA8">
        <w:t xml:space="preserve"> requirement.</w:t>
      </w:r>
    </w:p>
    <w:p w:rsidR="00485CDF" w:rsidRPr="003A1AA8" w:rsidRDefault="006B1D9F" w:rsidP="00AC5939">
      <w:pPr>
        <w:pStyle w:val="ActHead5"/>
      </w:pPr>
      <w:bookmarkStart w:id="15" w:name="_Toc407104147"/>
      <w:r w:rsidRPr="003A1AA8">
        <w:rPr>
          <w:rStyle w:val="CharSectno"/>
        </w:rPr>
        <w:t>9</w:t>
      </w:r>
      <w:r w:rsidR="00AC5939" w:rsidRPr="003A1AA8">
        <w:t xml:space="preserve">  </w:t>
      </w:r>
      <w:r w:rsidR="00E71A4F" w:rsidRPr="003A1AA8">
        <w:t>R</w:t>
      </w:r>
      <w:r w:rsidR="00225043" w:rsidRPr="003A1AA8">
        <w:t>equirements</w:t>
      </w:r>
      <w:r w:rsidR="00E71A4F" w:rsidRPr="003A1AA8">
        <w:t xml:space="preserve"> for a new project</w:t>
      </w:r>
      <w:bookmarkEnd w:id="15"/>
    </w:p>
    <w:p w:rsidR="00AA44A5" w:rsidRPr="003A1AA8" w:rsidRDefault="00BE1DA1" w:rsidP="00225043">
      <w:pPr>
        <w:pStyle w:val="subsection"/>
      </w:pPr>
      <w:r w:rsidRPr="003A1AA8">
        <w:tab/>
      </w:r>
      <w:r w:rsidR="00225043" w:rsidRPr="003A1AA8">
        <w:tab/>
        <w:t xml:space="preserve">A </w:t>
      </w:r>
      <w:r w:rsidR="00225043" w:rsidRPr="003A1AA8">
        <w:rPr>
          <w:b/>
          <w:i/>
        </w:rPr>
        <w:t>new project</w:t>
      </w:r>
      <w:r w:rsidR="00D30D9F" w:rsidRPr="003A1AA8">
        <w:t xml:space="preserve"> </w:t>
      </w:r>
      <w:r w:rsidR="005D0D7B" w:rsidRPr="003A1AA8">
        <w:t>must</w:t>
      </w:r>
      <w:r w:rsidR="00AA44A5" w:rsidRPr="003A1AA8">
        <w:t>:</w:t>
      </w:r>
    </w:p>
    <w:p w:rsidR="00AA44A5" w:rsidRPr="003A1AA8" w:rsidRDefault="00AA44A5" w:rsidP="00AA44A5">
      <w:pPr>
        <w:pStyle w:val="paragraph"/>
      </w:pPr>
      <w:r w:rsidRPr="003A1AA8">
        <w:tab/>
        <w:t>(a)</w:t>
      </w:r>
      <w:r w:rsidRPr="003A1AA8">
        <w:tab/>
      </w:r>
      <w:r w:rsidR="00B22DBD" w:rsidRPr="003A1AA8">
        <w:t>collect</w:t>
      </w:r>
      <w:r w:rsidR="00D30D9F" w:rsidRPr="003A1AA8">
        <w:t xml:space="preserve"> landfill gas by </w:t>
      </w:r>
      <w:r w:rsidRPr="003A1AA8">
        <w:t xml:space="preserve">installing a landfill gas collection system at a landfill </w:t>
      </w:r>
      <w:r w:rsidR="000C04BB" w:rsidRPr="003A1AA8">
        <w:t>for which no such system has previously been installed</w:t>
      </w:r>
      <w:r w:rsidRPr="003A1AA8">
        <w:t>; and</w:t>
      </w:r>
    </w:p>
    <w:p w:rsidR="00AA44A5" w:rsidRPr="003A1AA8" w:rsidRDefault="005D0D7B" w:rsidP="00AA44A5">
      <w:pPr>
        <w:pStyle w:val="paragraph"/>
      </w:pPr>
      <w:r w:rsidRPr="003A1AA8">
        <w:tab/>
        <w:t>(b)</w:t>
      </w:r>
      <w:r w:rsidRPr="003A1AA8">
        <w:tab/>
        <w:t>combust</w:t>
      </w:r>
      <w:r w:rsidR="00AA44A5" w:rsidRPr="003A1AA8">
        <w:t xml:space="preserve"> the gas using a combustion device.</w:t>
      </w:r>
    </w:p>
    <w:p w:rsidR="00AA44A5" w:rsidRPr="003A1AA8" w:rsidRDefault="006B1D9F" w:rsidP="00AA44A5">
      <w:pPr>
        <w:pStyle w:val="ActHead5"/>
      </w:pPr>
      <w:bookmarkStart w:id="16" w:name="_Toc407104148"/>
      <w:r w:rsidRPr="003A1AA8">
        <w:rPr>
          <w:rStyle w:val="CharSectno"/>
        </w:rPr>
        <w:t>10</w:t>
      </w:r>
      <w:r w:rsidR="00AA44A5" w:rsidRPr="003A1AA8">
        <w:t xml:space="preserve">  Requirements for a recommencing project</w:t>
      </w:r>
      <w:bookmarkEnd w:id="16"/>
    </w:p>
    <w:p w:rsidR="00AA44A5" w:rsidRPr="003A1AA8" w:rsidRDefault="0028421D" w:rsidP="00AA44A5">
      <w:pPr>
        <w:pStyle w:val="subsection"/>
      </w:pPr>
      <w:r w:rsidRPr="003A1AA8">
        <w:tab/>
      </w:r>
      <w:r w:rsidR="00AA44A5" w:rsidRPr="003A1AA8">
        <w:tab/>
        <w:t xml:space="preserve">A </w:t>
      </w:r>
      <w:r w:rsidR="00AA44A5" w:rsidRPr="003A1AA8">
        <w:rPr>
          <w:b/>
          <w:i/>
        </w:rPr>
        <w:t>recommencing project</w:t>
      </w:r>
      <w:r w:rsidR="005D0D7B" w:rsidRPr="003A1AA8">
        <w:t xml:space="preserve"> must</w:t>
      </w:r>
      <w:r w:rsidR="00AA44A5" w:rsidRPr="003A1AA8">
        <w:t>:</w:t>
      </w:r>
    </w:p>
    <w:p w:rsidR="00B25D66" w:rsidRPr="003A1AA8" w:rsidRDefault="00044D3B" w:rsidP="00044D3B">
      <w:pPr>
        <w:pStyle w:val="paragraph"/>
      </w:pPr>
      <w:r w:rsidRPr="003A1AA8">
        <w:tab/>
        <w:t>(a</w:t>
      </w:r>
      <w:r w:rsidR="005D0D7B" w:rsidRPr="003A1AA8">
        <w:t>)</w:t>
      </w:r>
      <w:r w:rsidR="005D0D7B" w:rsidRPr="003A1AA8">
        <w:tab/>
        <w:t>recommence</w:t>
      </w:r>
      <w:r w:rsidRPr="003A1AA8">
        <w:t xml:space="preserve"> landfill gas collection, using either a new or existing landfill gas collection system, at a landfill </w:t>
      </w:r>
      <w:r w:rsidR="00B25D66" w:rsidRPr="003A1AA8">
        <w:t>that meets both of the following requirements:</w:t>
      </w:r>
    </w:p>
    <w:p w:rsidR="00044D3B" w:rsidRPr="003A1AA8" w:rsidRDefault="00044D3B" w:rsidP="00044D3B">
      <w:pPr>
        <w:pStyle w:val="paragraphsub"/>
      </w:pPr>
      <w:r w:rsidRPr="003A1AA8">
        <w:tab/>
        <w:t>(</w:t>
      </w:r>
      <w:proofErr w:type="spellStart"/>
      <w:r w:rsidRPr="003A1AA8">
        <w:t>i</w:t>
      </w:r>
      <w:proofErr w:type="spellEnd"/>
      <w:r w:rsidRPr="003A1AA8">
        <w:t>)</w:t>
      </w:r>
      <w:r w:rsidRPr="003A1AA8">
        <w:tab/>
      </w:r>
      <w:r w:rsidR="00B25D66" w:rsidRPr="003A1AA8">
        <w:t xml:space="preserve">no landfill gas collection system has operated at the landfill since </w:t>
      </w:r>
      <w:r w:rsidRPr="003A1AA8">
        <w:t>24</w:t>
      </w:r>
      <w:r w:rsidR="003A1AA8" w:rsidRPr="003A1AA8">
        <w:t> </w:t>
      </w:r>
      <w:r w:rsidR="00B25D66" w:rsidRPr="003A1AA8">
        <w:t>April 2014;</w:t>
      </w:r>
    </w:p>
    <w:p w:rsidR="00044D3B" w:rsidRPr="003A1AA8" w:rsidRDefault="00044D3B" w:rsidP="00044D3B">
      <w:pPr>
        <w:pStyle w:val="paragraphsub"/>
      </w:pPr>
      <w:r w:rsidRPr="003A1AA8">
        <w:tab/>
        <w:t>(ii)</w:t>
      </w:r>
      <w:r w:rsidRPr="003A1AA8">
        <w:tab/>
      </w:r>
      <w:r w:rsidR="00B25D66" w:rsidRPr="003A1AA8">
        <w:t xml:space="preserve">no landfill gas collection system has operated at the landfill </w:t>
      </w:r>
      <w:r w:rsidRPr="003A1AA8">
        <w:t>during the 3 years before the application for the declaration of the project as an eligible offsets project is made; and</w:t>
      </w:r>
    </w:p>
    <w:p w:rsidR="00AA44A5" w:rsidRPr="003A1AA8" w:rsidRDefault="00653AF9" w:rsidP="00AA44A5">
      <w:pPr>
        <w:pStyle w:val="paragraph"/>
      </w:pPr>
      <w:r w:rsidRPr="003A1AA8">
        <w:tab/>
        <w:t>(b)</w:t>
      </w:r>
      <w:r w:rsidRPr="003A1AA8">
        <w:tab/>
        <w:t>combust</w:t>
      </w:r>
      <w:r w:rsidR="00AA44A5" w:rsidRPr="003A1AA8">
        <w:t xml:space="preserve"> the gas using a combustion device.</w:t>
      </w:r>
    </w:p>
    <w:p w:rsidR="006B6E0C" w:rsidRPr="003A1AA8" w:rsidRDefault="006B1D9F" w:rsidP="006B6E0C">
      <w:pPr>
        <w:pStyle w:val="ActHead5"/>
      </w:pPr>
      <w:bookmarkStart w:id="17" w:name="_Toc407104149"/>
      <w:r w:rsidRPr="003A1AA8">
        <w:rPr>
          <w:rStyle w:val="CharSectno"/>
        </w:rPr>
        <w:t>11</w:t>
      </w:r>
      <w:r w:rsidR="007C7B13" w:rsidRPr="003A1AA8">
        <w:t xml:space="preserve">  Requirements for an upgrade</w:t>
      </w:r>
      <w:r w:rsidR="006B6E0C" w:rsidRPr="003A1AA8">
        <w:t xml:space="preserve"> project</w:t>
      </w:r>
      <w:bookmarkEnd w:id="17"/>
    </w:p>
    <w:p w:rsidR="006B6E0C" w:rsidRPr="003A1AA8" w:rsidRDefault="000639AD" w:rsidP="00225043">
      <w:pPr>
        <w:pStyle w:val="subsection"/>
      </w:pPr>
      <w:r w:rsidRPr="003A1AA8">
        <w:tab/>
        <w:t>(1</w:t>
      </w:r>
      <w:r w:rsidR="00225043" w:rsidRPr="003A1AA8">
        <w:t>)</w:t>
      </w:r>
      <w:r w:rsidR="00225043" w:rsidRPr="003A1AA8">
        <w:tab/>
        <w:t xml:space="preserve">An </w:t>
      </w:r>
      <w:r w:rsidR="007C7B13" w:rsidRPr="003A1AA8">
        <w:rPr>
          <w:b/>
          <w:i/>
        </w:rPr>
        <w:t>upgrade</w:t>
      </w:r>
      <w:r w:rsidR="00225043" w:rsidRPr="003A1AA8">
        <w:rPr>
          <w:b/>
          <w:i/>
        </w:rPr>
        <w:t xml:space="preserve"> project</w:t>
      </w:r>
      <w:r w:rsidR="00B22DBD" w:rsidRPr="003A1AA8">
        <w:t xml:space="preserve"> must:</w:t>
      </w:r>
    </w:p>
    <w:p w:rsidR="006B6E0C" w:rsidRPr="003A1AA8" w:rsidRDefault="006B6E0C" w:rsidP="006B6E0C">
      <w:pPr>
        <w:pStyle w:val="paragraph"/>
      </w:pPr>
      <w:r w:rsidRPr="003A1AA8">
        <w:tab/>
        <w:t>(a)</w:t>
      </w:r>
      <w:r w:rsidRPr="003A1AA8">
        <w:tab/>
      </w:r>
      <w:r w:rsidR="00BE1DA1" w:rsidRPr="003A1AA8">
        <w:t>upgrad</w:t>
      </w:r>
      <w:r w:rsidR="00653AF9" w:rsidRPr="003A1AA8">
        <w:t>e</w:t>
      </w:r>
      <w:r w:rsidRPr="003A1AA8">
        <w:t xml:space="preserve"> an existing landfill gas collection system at a landfill</w:t>
      </w:r>
      <w:r w:rsidR="00185678" w:rsidRPr="003A1AA8">
        <w:t xml:space="preserve"> to increase its </w:t>
      </w:r>
      <w:r w:rsidR="00044D3B" w:rsidRPr="003A1AA8">
        <w:t>collection</w:t>
      </w:r>
      <w:r w:rsidR="00185678" w:rsidRPr="003A1AA8">
        <w:t xml:space="preserve"> efficiency</w:t>
      </w:r>
      <w:r w:rsidRPr="003A1AA8">
        <w:t>; and</w:t>
      </w:r>
    </w:p>
    <w:p w:rsidR="009A2193" w:rsidRPr="003A1AA8" w:rsidRDefault="009A2193" w:rsidP="009A2193">
      <w:pPr>
        <w:pStyle w:val="paragraph"/>
      </w:pPr>
      <w:r w:rsidRPr="003A1AA8">
        <w:tab/>
        <w:t>(b)</w:t>
      </w:r>
      <w:r w:rsidRPr="003A1AA8">
        <w:tab/>
        <w:t xml:space="preserve">combust the gas </w:t>
      </w:r>
      <w:r w:rsidR="00653AF9" w:rsidRPr="003A1AA8">
        <w:t xml:space="preserve">collected </w:t>
      </w:r>
      <w:r w:rsidRPr="003A1AA8">
        <w:t>using a combustion device.</w:t>
      </w:r>
    </w:p>
    <w:p w:rsidR="00000D44" w:rsidRPr="003A1AA8" w:rsidRDefault="00947CAC" w:rsidP="00947CAC">
      <w:pPr>
        <w:pStyle w:val="subsection"/>
      </w:pPr>
      <w:r w:rsidRPr="003A1AA8">
        <w:tab/>
        <w:t>(2)</w:t>
      </w:r>
      <w:r w:rsidRPr="003A1AA8">
        <w:tab/>
        <w:t>An application</w:t>
      </w:r>
      <w:r w:rsidR="007C7B13" w:rsidRPr="003A1AA8">
        <w:t xml:space="preserve"> for declaration of an upgrade</w:t>
      </w:r>
      <w:r w:rsidRPr="003A1AA8">
        <w:t xml:space="preserve"> project </w:t>
      </w:r>
      <w:r w:rsidR="00000D44" w:rsidRPr="003A1AA8">
        <w:t>as an eligible offsets project must include operational records</w:t>
      </w:r>
      <w:r w:rsidR="00653AF9" w:rsidRPr="003A1AA8">
        <w:t xml:space="preserve"> that</w:t>
      </w:r>
      <w:r w:rsidR="00000D44" w:rsidRPr="003A1AA8">
        <w:t>:</w:t>
      </w:r>
    </w:p>
    <w:p w:rsidR="006B6E0C" w:rsidRPr="003A1AA8" w:rsidRDefault="00653AF9" w:rsidP="00000D44">
      <w:pPr>
        <w:pStyle w:val="paragraph"/>
      </w:pPr>
      <w:r w:rsidRPr="003A1AA8">
        <w:tab/>
        <w:t>(a)</w:t>
      </w:r>
      <w:r w:rsidRPr="003A1AA8">
        <w:tab/>
        <w:t>support</w:t>
      </w:r>
      <w:r w:rsidR="00000D44" w:rsidRPr="003A1AA8">
        <w:t xml:space="preserve"> the calculation of the </w:t>
      </w:r>
      <w:r w:rsidR="00044D3B" w:rsidRPr="003A1AA8">
        <w:t>collection</w:t>
      </w:r>
      <w:r w:rsidR="00000D44" w:rsidRPr="003A1AA8">
        <w:t xml:space="preserve"> efficiency of the existing landfill gas collection system; and</w:t>
      </w:r>
    </w:p>
    <w:p w:rsidR="00000D44" w:rsidRPr="003A1AA8" w:rsidRDefault="00653AF9" w:rsidP="00000D44">
      <w:pPr>
        <w:pStyle w:val="paragraph"/>
      </w:pPr>
      <w:r w:rsidRPr="003A1AA8">
        <w:tab/>
        <w:t>(b)</w:t>
      </w:r>
      <w:r w:rsidRPr="003A1AA8">
        <w:tab/>
        <w:t>cover</w:t>
      </w:r>
      <w:r w:rsidR="0028421D" w:rsidRPr="003A1AA8">
        <w:t xml:space="preserve"> at least</w:t>
      </w:r>
      <w:r w:rsidR="00000D44" w:rsidRPr="003A1AA8">
        <w:t xml:space="preserve"> the 2</w:t>
      </w:r>
      <w:r w:rsidR="003A1AA8">
        <w:noBreakHyphen/>
      </w:r>
      <w:r w:rsidR="00000D44" w:rsidRPr="003A1AA8">
        <w:t>year period before the application is made.</w:t>
      </w:r>
    </w:p>
    <w:p w:rsidR="00C9026F" w:rsidRPr="003A1AA8" w:rsidRDefault="007C7B13" w:rsidP="00C9026F">
      <w:pPr>
        <w:pStyle w:val="subsection"/>
      </w:pPr>
      <w:r w:rsidRPr="003A1AA8">
        <w:tab/>
        <w:t>(3)</w:t>
      </w:r>
      <w:r w:rsidRPr="003A1AA8">
        <w:tab/>
      </w:r>
      <w:r w:rsidR="009E0012" w:rsidRPr="003A1AA8">
        <w:t>T</w:t>
      </w:r>
      <w:r w:rsidR="00C9026F" w:rsidRPr="003A1AA8">
        <w:t xml:space="preserve">he first reporting period for </w:t>
      </w:r>
      <w:r w:rsidR="009E0012" w:rsidRPr="003A1AA8">
        <w:t xml:space="preserve">an upgrade project </w:t>
      </w:r>
      <w:r w:rsidR="00C9026F" w:rsidRPr="003A1AA8">
        <w:t xml:space="preserve">must </w:t>
      </w:r>
      <w:r w:rsidR="004467F0" w:rsidRPr="003A1AA8">
        <w:t xml:space="preserve">end not </w:t>
      </w:r>
      <w:r w:rsidR="008F453A" w:rsidRPr="003A1AA8">
        <w:t>less</w:t>
      </w:r>
      <w:r w:rsidR="004467F0" w:rsidRPr="003A1AA8">
        <w:t xml:space="preserve"> than 12 months after the landfill gas collection system</w:t>
      </w:r>
      <w:r w:rsidR="008F453A" w:rsidRPr="003A1AA8">
        <w:t>,</w:t>
      </w:r>
      <w:r w:rsidR="004467F0" w:rsidRPr="003A1AA8">
        <w:t xml:space="preserve"> </w:t>
      </w:r>
      <w:r w:rsidR="008F453A" w:rsidRPr="003A1AA8">
        <w:t>a</w:t>
      </w:r>
      <w:r w:rsidR="004467F0" w:rsidRPr="003A1AA8">
        <w:t>s upgraded</w:t>
      </w:r>
      <w:r w:rsidR="007E5BC9" w:rsidRPr="003A1AA8">
        <w:t xml:space="preserve">, begins </w:t>
      </w:r>
      <w:r w:rsidR="00653AF9" w:rsidRPr="003A1AA8">
        <w:t>to collect</w:t>
      </w:r>
      <w:r w:rsidR="007E5BC9" w:rsidRPr="003A1AA8">
        <w:t xml:space="preserve"> land</w:t>
      </w:r>
      <w:r w:rsidR="008F453A" w:rsidRPr="003A1AA8">
        <w:t>fill gas</w:t>
      </w:r>
      <w:r w:rsidR="004467F0" w:rsidRPr="003A1AA8">
        <w:t>.</w:t>
      </w:r>
    </w:p>
    <w:p w:rsidR="000639AD" w:rsidRPr="003A1AA8" w:rsidRDefault="006B1D9F" w:rsidP="000639AD">
      <w:pPr>
        <w:pStyle w:val="ActHead5"/>
      </w:pPr>
      <w:bookmarkStart w:id="18" w:name="_Toc407104150"/>
      <w:r w:rsidRPr="003A1AA8">
        <w:rPr>
          <w:rStyle w:val="CharSectno"/>
        </w:rPr>
        <w:lastRenderedPageBreak/>
        <w:t>12</w:t>
      </w:r>
      <w:r w:rsidR="000639AD" w:rsidRPr="003A1AA8">
        <w:t xml:space="preserve">  Requirements for a</w:t>
      </w:r>
      <w:r w:rsidR="00000D44" w:rsidRPr="003A1AA8">
        <w:t xml:space="preserve"> transitioning </w:t>
      </w:r>
      <w:r w:rsidR="000639AD" w:rsidRPr="003A1AA8">
        <w:t>project</w:t>
      </w:r>
      <w:bookmarkEnd w:id="18"/>
    </w:p>
    <w:p w:rsidR="00BE1DA1" w:rsidRPr="003A1AA8" w:rsidRDefault="00FE00FC" w:rsidP="00BE1DA1">
      <w:pPr>
        <w:pStyle w:val="subsection"/>
      </w:pPr>
      <w:r w:rsidRPr="003A1AA8">
        <w:tab/>
      </w:r>
      <w:r w:rsidR="000639AD" w:rsidRPr="003A1AA8">
        <w:tab/>
        <w:t>A</w:t>
      </w:r>
      <w:r w:rsidR="00947CAC" w:rsidRPr="003A1AA8">
        <w:t xml:space="preserve"> </w:t>
      </w:r>
      <w:r w:rsidR="00947CAC" w:rsidRPr="003A1AA8">
        <w:rPr>
          <w:b/>
          <w:i/>
        </w:rPr>
        <w:t xml:space="preserve">transitioning </w:t>
      </w:r>
      <w:r w:rsidR="000639AD" w:rsidRPr="003A1AA8">
        <w:rPr>
          <w:b/>
          <w:i/>
        </w:rPr>
        <w:t>project</w:t>
      </w:r>
      <w:r w:rsidR="00BE1DA1" w:rsidRPr="003A1AA8">
        <w:t xml:space="preserve"> </w:t>
      </w:r>
      <w:r w:rsidR="00B22DBD" w:rsidRPr="003A1AA8">
        <w:t>must:</w:t>
      </w:r>
    </w:p>
    <w:p w:rsidR="00FE00FC" w:rsidRPr="003A1AA8" w:rsidRDefault="00BE1DA1" w:rsidP="00BE1DA1">
      <w:pPr>
        <w:pStyle w:val="paragraph"/>
      </w:pPr>
      <w:r w:rsidRPr="003A1AA8">
        <w:tab/>
        <w:t>(a)</w:t>
      </w:r>
      <w:r w:rsidRPr="003A1AA8">
        <w:tab/>
      </w:r>
      <w:r w:rsidR="00B22DBD" w:rsidRPr="003A1AA8">
        <w:t xml:space="preserve">collect landfill gas by </w:t>
      </w:r>
      <w:r w:rsidRPr="003A1AA8">
        <w:t>continuing</w:t>
      </w:r>
      <w:r w:rsidR="000639AD" w:rsidRPr="003A1AA8">
        <w:t xml:space="preserve"> to operate</w:t>
      </w:r>
      <w:r w:rsidR="003D43D6" w:rsidRPr="003A1AA8">
        <w:t xml:space="preserve"> </w:t>
      </w:r>
      <w:r w:rsidR="000639AD" w:rsidRPr="003A1AA8">
        <w:t xml:space="preserve">a landfill gas collection system </w:t>
      </w:r>
      <w:r w:rsidR="003D43D6" w:rsidRPr="003A1AA8">
        <w:t xml:space="preserve">that was </w:t>
      </w:r>
      <w:r w:rsidR="000639AD" w:rsidRPr="003A1AA8">
        <w:t>operated as part of a</w:t>
      </w:r>
      <w:r w:rsidR="00FE00FC" w:rsidRPr="003A1AA8">
        <w:t xml:space="preserve"> </w:t>
      </w:r>
      <w:r w:rsidR="000639AD" w:rsidRPr="003A1AA8">
        <w:t>project</w:t>
      </w:r>
      <w:r w:rsidR="00FE00FC" w:rsidRPr="003A1AA8">
        <w:t xml:space="preserve"> that was operating under:</w:t>
      </w:r>
    </w:p>
    <w:p w:rsidR="00FE00FC" w:rsidRPr="003A1AA8" w:rsidRDefault="00FE00FC" w:rsidP="00FE00FC">
      <w:pPr>
        <w:pStyle w:val="paragraphsub"/>
      </w:pPr>
      <w:r w:rsidRPr="003A1AA8">
        <w:tab/>
        <w:t>(</w:t>
      </w:r>
      <w:proofErr w:type="spellStart"/>
      <w:r w:rsidRPr="003A1AA8">
        <w:t>i</w:t>
      </w:r>
      <w:proofErr w:type="spellEnd"/>
      <w:r w:rsidRPr="003A1AA8">
        <w:t>)</w:t>
      </w:r>
      <w:r w:rsidRPr="003A1AA8">
        <w:tab/>
        <w:t>the Carbon Farming (Capture and Combustion of Methane in Landfill Gas from Legacy Waste) Methodology Determination</w:t>
      </w:r>
      <w:r w:rsidR="003A1AA8" w:rsidRPr="003A1AA8">
        <w:t> </w:t>
      </w:r>
      <w:r w:rsidRPr="003A1AA8">
        <w:t>2012; or</w:t>
      </w:r>
    </w:p>
    <w:p w:rsidR="00FE00FC" w:rsidRPr="003A1AA8" w:rsidRDefault="00FE00FC" w:rsidP="00FE00FC">
      <w:pPr>
        <w:pStyle w:val="paragraphsub"/>
      </w:pPr>
      <w:r w:rsidRPr="003A1AA8">
        <w:tab/>
        <w:t>(ii)</w:t>
      </w:r>
      <w:r w:rsidRPr="003A1AA8">
        <w:tab/>
        <w:t>the Carbon Credits (Carbon Farming Initiative) (Capture and Combustion of Methane in Landfill Gas from Legacy Waste: Upgrade Projects) Methodology Determination</w:t>
      </w:r>
      <w:r w:rsidR="003A1AA8" w:rsidRPr="003A1AA8">
        <w:t> </w:t>
      </w:r>
      <w:r w:rsidRPr="003A1AA8">
        <w:t>2012; and</w:t>
      </w:r>
    </w:p>
    <w:p w:rsidR="000639AD" w:rsidRPr="003A1AA8" w:rsidRDefault="00B22DBD" w:rsidP="000639AD">
      <w:pPr>
        <w:pStyle w:val="paragraph"/>
      </w:pPr>
      <w:r w:rsidRPr="003A1AA8">
        <w:tab/>
        <w:t>(b)</w:t>
      </w:r>
      <w:r w:rsidRPr="003A1AA8">
        <w:tab/>
        <w:t>combust</w:t>
      </w:r>
      <w:r w:rsidR="00BE1DA1" w:rsidRPr="003A1AA8">
        <w:t xml:space="preserve"> the gas</w:t>
      </w:r>
      <w:r w:rsidR="009A2193" w:rsidRPr="003A1AA8">
        <w:t xml:space="preserve"> using a combustion device</w:t>
      </w:r>
      <w:r w:rsidR="000639AD" w:rsidRPr="003A1AA8">
        <w:t>.</w:t>
      </w:r>
    </w:p>
    <w:p w:rsidR="00B22DBD" w:rsidRPr="003A1AA8" w:rsidRDefault="006B1D9F" w:rsidP="00492C62">
      <w:pPr>
        <w:pStyle w:val="ActHead5"/>
      </w:pPr>
      <w:bookmarkStart w:id="19" w:name="_Toc407104151"/>
      <w:r w:rsidRPr="003A1AA8">
        <w:rPr>
          <w:rStyle w:val="CharSectno"/>
        </w:rPr>
        <w:t>13</w:t>
      </w:r>
      <w:r w:rsidR="00F86BAF" w:rsidRPr="003A1AA8">
        <w:t xml:space="preserve">  </w:t>
      </w:r>
      <w:proofErr w:type="spellStart"/>
      <w:r w:rsidR="00B22DBD" w:rsidRPr="003A1AA8">
        <w:t>Additionality</w:t>
      </w:r>
      <w:proofErr w:type="spellEnd"/>
      <w:r w:rsidR="00B22DBD" w:rsidRPr="003A1AA8">
        <w:t xml:space="preserve"> requirement</w:t>
      </w:r>
      <w:r w:rsidR="00653AF9" w:rsidRPr="003A1AA8">
        <w:t>s</w:t>
      </w:r>
      <w:bookmarkEnd w:id="19"/>
    </w:p>
    <w:p w:rsidR="00B33DDF" w:rsidRPr="003A1AA8" w:rsidRDefault="008E5C9A" w:rsidP="00AD755C">
      <w:pPr>
        <w:pStyle w:val="subsection"/>
      </w:pPr>
      <w:r w:rsidRPr="003A1AA8">
        <w:tab/>
        <w:t>(1</w:t>
      </w:r>
      <w:r w:rsidR="00653AF9" w:rsidRPr="003A1AA8">
        <w:t>)</w:t>
      </w:r>
      <w:r w:rsidR="00653AF9" w:rsidRPr="003A1AA8">
        <w:tab/>
        <w:t>For subparagraph</w:t>
      </w:r>
      <w:r w:rsidR="003A1AA8" w:rsidRPr="003A1AA8">
        <w:t> </w:t>
      </w:r>
      <w:r w:rsidRPr="003A1AA8">
        <w:t>27(4A)(a</w:t>
      </w:r>
      <w:r w:rsidR="00653AF9" w:rsidRPr="003A1AA8">
        <w:t xml:space="preserve">)(ii) of the Act, a requirement in lieu of the </w:t>
      </w:r>
      <w:r w:rsidR="003D7C6E" w:rsidRPr="003A1AA8">
        <w:t>newness</w:t>
      </w:r>
      <w:r w:rsidR="00653AF9" w:rsidRPr="003A1AA8">
        <w:t xml:space="preserve"> requirement for a recommencing project is that the project complies with subparagraph</w:t>
      </w:r>
      <w:r w:rsidR="003A1AA8" w:rsidRPr="003A1AA8">
        <w:t> </w:t>
      </w:r>
      <w:r w:rsidR="00653AF9" w:rsidRPr="003A1AA8">
        <w:t>27(4A)(a)(</w:t>
      </w:r>
      <w:proofErr w:type="spellStart"/>
      <w:r w:rsidR="00653AF9" w:rsidRPr="003A1AA8">
        <w:t>i</w:t>
      </w:r>
      <w:proofErr w:type="spellEnd"/>
      <w:r w:rsidR="00653AF9" w:rsidRPr="003A1AA8">
        <w:t xml:space="preserve">) of the Act, disregarding any operation of the landfill gas </w:t>
      </w:r>
      <w:r w:rsidR="005B5F67" w:rsidRPr="003A1AA8">
        <w:t>collection</w:t>
      </w:r>
      <w:r w:rsidR="00653AF9" w:rsidRPr="003A1AA8">
        <w:t xml:space="preserve"> system </w:t>
      </w:r>
      <w:r w:rsidR="00B33DDF" w:rsidRPr="003A1AA8">
        <w:t>before the earliest of the following:</w:t>
      </w:r>
    </w:p>
    <w:p w:rsidR="00653AF9" w:rsidRPr="003A1AA8" w:rsidRDefault="00B33DDF" w:rsidP="00B33DDF">
      <w:pPr>
        <w:pStyle w:val="paragraph"/>
      </w:pPr>
      <w:r w:rsidRPr="003A1AA8">
        <w:tab/>
        <w:t>(a)</w:t>
      </w:r>
      <w:r w:rsidRPr="003A1AA8">
        <w:tab/>
      </w:r>
      <w:r w:rsidR="00E17F95" w:rsidRPr="003A1AA8">
        <w:t>the beginning of the period of</w:t>
      </w:r>
      <w:r w:rsidR="00653AF9" w:rsidRPr="003A1AA8">
        <w:t xml:space="preserve"> 3 years before the application for the declaration of the project </w:t>
      </w:r>
      <w:r w:rsidR="00E17F95" w:rsidRPr="003A1AA8">
        <w:t>as an eligible offsets project wa</w:t>
      </w:r>
      <w:r w:rsidR="00653AF9" w:rsidRPr="003A1AA8">
        <w:t>s m</w:t>
      </w:r>
      <w:r w:rsidR="00B220DE" w:rsidRPr="003A1AA8">
        <w:t>ade;</w:t>
      </w:r>
    </w:p>
    <w:p w:rsidR="00B220DE" w:rsidRPr="003A1AA8" w:rsidRDefault="00B220DE" w:rsidP="00B33DDF">
      <w:pPr>
        <w:pStyle w:val="paragraph"/>
      </w:pPr>
      <w:r w:rsidRPr="003A1AA8">
        <w:tab/>
        <w:t>(b)</w:t>
      </w:r>
      <w:r w:rsidRPr="003A1AA8">
        <w:tab/>
        <w:t>the end of the day that is 24</w:t>
      </w:r>
      <w:r w:rsidR="003A1AA8" w:rsidRPr="003A1AA8">
        <w:t> </w:t>
      </w:r>
      <w:r w:rsidRPr="003A1AA8">
        <w:t>April 2014.</w:t>
      </w:r>
    </w:p>
    <w:p w:rsidR="008E5C9A" w:rsidRPr="003A1AA8" w:rsidRDefault="008E5C9A" w:rsidP="008E5C9A">
      <w:pPr>
        <w:pStyle w:val="subsection"/>
      </w:pPr>
      <w:r w:rsidRPr="003A1AA8">
        <w:tab/>
        <w:t>(2)</w:t>
      </w:r>
      <w:r w:rsidRPr="003A1AA8">
        <w:tab/>
        <w:t>For subparagraph</w:t>
      </w:r>
      <w:r w:rsidR="003A1AA8" w:rsidRPr="003A1AA8">
        <w:t> </w:t>
      </w:r>
      <w:r w:rsidRPr="003A1AA8">
        <w:t xml:space="preserve">27(4A)(b)(ii) of the Act, a requirement in lieu of the regulatory </w:t>
      </w:r>
      <w:proofErr w:type="spellStart"/>
      <w:r w:rsidRPr="003A1AA8">
        <w:t>additionality</w:t>
      </w:r>
      <w:proofErr w:type="spellEnd"/>
      <w:r w:rsidRPr="003A1AA8">
        <w:t xml:space="preserve"> requirement is that the project is a landfill gas project.</w:t>
      </w:r>
    </w:p>
    <w:p w:rsidR="00AD755C" w:rsidRPr="003A1AA8" w:rsidRDefault="00AD755C" w:rsidP="00AD755C">
      <w:pPr>
        <w:pStyle w:val="ActHead2"/>
        <w:pageBreakBefore/>
      </w:pPr>
      <w:bookmarkStart w:id="20" w:name="_Toc407104152"/>
      <w:r w:rsidRPr="003A1AA8">
        <w:rPr>
          <w:rStyle w:val="CharPartNo"/>
        </w:rPr>
        <w:lastRenderedPageBreak/>
        <w:t>Part</w:t>
      </w:r>
      <w:r w:rsidR="003A1AA8" w:rsidRPr="003A1AA8">
        <w:rPr>
          <w:rStyle w:val="CharPartNo"/>
        </w:rPr>
        <w:t> </w:t>
      </w:r>
      <w:r w:rsidR="00B22DBD" w:rsidRPr="003A1AA8">
        <w:rPr>
          <w:rStyle w:val="CharPartNo"/>
        </w:rPr>
        <w:t>4</w:t>
      </w:r>
      <w:r w:rsidRPr="003A1AA8">
        <w:t>—</w:t>
      </w:r>
      <w:r w:rsidRPr="003A1AA8">
        <w:rPr>
          <w:rStyle w:val="CharPartText"/>
        </w:rPr>
        <w:t>Net abatement amounts</w:t>
      </w:r>
      <w:bookmarkEnd w:id="20"/>
    </w:p>
    <w:p w:rsidR="00AD755C" w:rsidRPr="003A1AA8" w:rsidRDefault="00AD755C" w:rsidP="008D40A6">
      <w:pPr>
        <w:pStyle w:val="ActHead3"/>
      </w:pPr>
      <w:bookmarkStart w:id="21" w:name="_Toc407104153"/>
      <w:r w:rsidRPr="003A1AA8">
        <w:rPr>
          <w:rStyle w:val="CharDivNo"/>
        </w:rPr>
        <w:t>Division</w:t>
      </w:r>
      <w:r w:rsidR="003A1AA8" w:rsidRPr="003A1AA8">
        <w:rPr>
          <w:rStyle w:val="CharDivNo"/>
        </w:rPr>
        <w:t> </w:t>
      </w:r>
      <w:r w:rsidRPr="003A1AA8">
        <w:rPr>
          <w:rStyle w:val="CharDivNo"/>
        </w:rPr>
        <w:t>1</w:t>
      </w:r>
      <w:r w:rsidRPr="003A1AA8">
        <w:t>—</w:t>
      </w:r>
      <w:r w:rsidRPr="003A1AA8">
        <w:rPr>
          <w:rStyle w:val="CharDivText"/>
        </w:rPr>
        <w:t>Operation of this Part</w:t>
      </w:r>
      <w:bookmarkEnd w:id="21"/>
    </w:p>
    <w:p w:rsidR="00AD755C" w:rsidRPr="003A1AA8" w:rsidRDefault="006B1D9F" w:rsidP="00AD755C">
      <w:pPr>
        <w:pStyle w:val="ActHead5"/>
      </w:pPr>
      <w:bookmarkStart w:id="22" w:name="_Toc407104154"/>
      <w:r w:rsidRPr="003A1AA8">
        <w:rPr>
          <w:rStyle w:val="CharSectno"/>
        </w:rPr>
        <w:t>14</w:t>
      </w:r>
      <w:r w:rsidR="00AD755C" w:rsidRPr="003A1AA8">
        <w:t xml:space="preserve">  Operation of this Part</w:t>
      </w:r>
      <w:bookmarkEnd w:id="22"/>
    </w:p>
    <w:p w:rsidR="00FB519E" w:rsidRPr="003A1AA8" w:rsidRDefault="00AD755C" w:rsidP="00AD755C">
      <w:pPr>
        <w:pStyle w:val="subsection"/>
      </w:pPr>
      <w:r w:rsidRPr="003A1AA8">
        <w:tab/>
      </w:r>
      <w:r w:rsidRPr="003A1AA8">
        <w:tab/>
      </w:r>
      <w:r w:rsidR="00FB519E" w:rsidRPr="003A1AA8">
        <w:t>For paragraph</w:t>
      </w:r>
      <w:r w:rsidR="003A1AA8" w:rsidRPr="003A1AA8">
        <w:t> </w:t>
      </w:r>
      <w:r w:rsidR="00FB519E" w:rsidRPr="003A1AA8">
        <w:t xml:space="preserve">106(1)(c) of the Act, this Part specifies the method for working out </w:t>
      </w:r>
      <w:r w:rsidR="00922447" w:rsidRPr="003A1AA8">
        <w:t xml:space="preserve">the </w:t>
      </w:r>
      <w:r w:rsidR="00FB519E" w:rsidRPr="003A1AA8">
        <w:t xml:space="preserve">carbon dioxide </w:t>
      </w:r>
      <w:r w:rsidR="00922447" w:rsidRPr="003A1AA8">
        <w:t>equivalent net abatement amount</w:t>
      </w:r>
      <w:r w:rsidR="00FB519E" w:rsidRPr="003A1AA8">
        <w:t xml:space="preserve"> for </w:t>
      </w:r>
      <w:r w:rsidR="00922447" w:rsidRPr="003A1AA8">
        <w:t>a reporting period</w:t>
      </w:r>
      <w:r w:rsidR="00FB519E" w:rsidRPr="003A1AA8">
        <w:t xml:space="preserve"> for </w:t>
      </w:r>
      <w:r w:rsidR="00922447" w:rsidRPr="003A1AA8">
        <w:t>a landfill gas project</w:t>
      </w:r>
      <w:r w:rsidR="00FB519E" w:rsidRPr="003A1AA8">
        <w:t xml:space="preserve"> that </w:t>
      </w:r>
      <w:r w:rsidR="00922447" w:rsidRPr="003A1AA8">
        <w:t>is an</w:t>
      </w:r>
      <w:r w:rsidR="00FB519E" w:rsidRPr="003A1AA8">
        <w:t xml:space="preserve"> eligible offsets project.</w:t>
      </w:r>
    </w:p>
    <w:p w:rsidR="00476222" w:rsidRPr="003A1AA8" w:rsidRDefault="006B1D9F" w:rsidP="00476222">
      <w:pPr>
        <w:pStyle w:val="ActHead5"/>
      </w:pPr>
      <w:bookmarkStart w:id="23" w:name="_Toc407104155"/>
      <w:r w:rsidRPr="003A1AA8">
        <w:rPr>
          <w:rStyle w:val="CharSectno"/>
        </w:rPr>
        <w:t>15</w:t>
      </w:r>
      <w:r w:rsidR="00476222" w:rsidRPr="003A1AA8">
        <w:t xml:space="preserve">  Overview of gases accounted for in abatement calculations</w:t>
      </w:r>
      <w:bookmarkEnd w:id="23"/>
    </w:p>
    <w:p w:rsidR="00476222" w:rsidRPr="003A1AA8" w:rsidRDefault="00476222" w:rsidP="00476222">
      <w:pPr>
        <w:pStyle w:val="subsection"/>
      </w:pPr>
      <w:r w:rsidRPr="003A1AA8">
        <w:tab/>
      </w:r>
      <w:r w:rsidRPr="003A1AA8">
        <w:tab/>
        <w:t xml:space="preserve">The following table provides an overview of the greenhouse gas </w:t>
      </w:r>
      <w:r w:rsidR="00536990" w:rsidRPr="003A1AA8">
        <w:t xml:space="preserve">abatement and emissions </w:t>
      </w:r>
      <w:r w:rsidRPr="003A1AA8">
        <w:t>that are relevant to working out the carbon dioxide equivalent net abatement amount for a</w:t>
      </w:r>
      <w:r w:rsidR="009E0012" w:rsidRPr="003A1AA8">
        <w:t xml:space="preserve"> landfill gas</w:t>
      </w:r>
      <w:r w:rsidRPr="003A1AA8">
        <w:t xml:space="preserve"> project.</w:t>
      </w:r>
    </w:p>
    <w:p w:rsidR="00476222" w:rsidRPr="003A1AA8" w:rsidRDefault="00476222" w:rsidP="00476222">
      <w:pPr>
        <w:pStyle w:val="Tabletext"/>
      </w:pPr>
    </w:p>
    <w:tbl>
      <w:tblPr>
        <w:tblW w:w="7230"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1418"/>
        <w:gridCol w:w="2976"/>
        <w:gridCol w:w="2127"/>
      </w:tblGrid>
      <w:tr w:rsidR="00476222" w:rsidRPr="003A1AA8" w:rsidTr="00F82873">
        <w:trPr>
          <w:tblHeader/>
        </w:trPr>
        <w:tc>
          <w:tcPr>
            <w:tcW w:w="7230" w:type="dxa"/>
            <w:gridSpan w:val="4"/>
            <w:tcBorders>
              <w:top w:val="single" w:sz="12" w:space="0" w:color="auto"/>
              <w:bottom w:val="single" w:sz="6" w:space="0" w:color="auto"/>
            </w:tcBorders>
            <w:shd w:val="clear" w:color="auto" w:fill="auto"/>
          </w:tcPr>
          <w:p w:rsidR="00476222" w:rsidRPr="003A1AA8" w:rsidRDefault="00476222" w:rsidP="00536990">
            <w:pPr>
              <w:pStyle w:val="TableHeading"/>
            </w:pPr>
            <w:r w:rsidRPr="003A1AA8">
              <w:t xml:space="preserve">Greenhouse </w:t>
            </w:r>
            <w:r w:rsidR="00942403" w:rsidRPr="003A1AA8">
              <w:t xml:space="preserve">gas </w:t>
            </w:r>
            <w:r w:rsidR="00536990" w:rsidRPr="003A1AA8">
              <w:t>abatement</w:t>
            </w:r>
            <w:r w:rsidR="001E31BF" w:rsidRPr="003A1AA8">
              <w:t xml:space="preserve"> and emissions</w:t>
            </w:r>
          </w:p>
        </w:tc>
      </w:tr>
      <w:tr w:rsidR="00476222" w:rsidRPr="003A1AA8" w:rsidTr="00F82873">
        <w:trPr>
          <w:tblHeader/>
        </w:trPr>
        <w:tc>
          <w:tcPr>
            <w:tcW w:w="709" w:type="dxa"/>
            <w:tcBorders>
              <w:top w:val="single" w:sz="6" w:space="0" w:color="auto"/>
              <w:bottom w:val="single" w:sz="12" w:space="0" w:color="auto"/>
            </w:tcBorders>
            <w:shd w:val="clear" w:color="auto" w:fill="auto"/>
          </w:tcPr>
          <w:p w:rsidR="00476222" w:rsidRPr="003A1AA8" w:rsidRDefault="00476222" w:rsidP="006332CA">
            <w:pPr>
              <w:pStyle w:val="TableHeading"/>
            </w:pPr>
            <w:r w:rsidRPr="003A1AA8">
              <w:t>Item</w:t>
            </w:r>
          </w:p>
        </w:tc>
        <w:tc>
          <w:tcPr>
            <w:tcW w:w="1418" w:type="dxa"/>
            <w:tcBorders>
              <w:top w:val="single" w:sz="6" w:space="0" w:color="auto"/>
              <w:bottom w:val="single" w:sz="12" w:space="0" w:color="auto"/>
            </w:tcBorders>
            <w:shd w:val="clear" w:color="auto" w:fill="auto"/>
          </w:tcPr>
          <w:p w:rsidR="00476222" w:rsidRPr="003A1AA8" w:rsidRDefault="001E31BF" w:rsidP="006332CA">
            <w:pPr>
              <w:pStyle w:val="TableHeading"/>
            </w:pPr>
            <w:r w:rsidRPr="003A1AA8">
              <w:t>Relevant calculation</w:t>
            </w:r>
          </w:p>
        </w:tc>
        <w:tc>
          <w:tcPr>
            <w:tcW w:w="2976" w:type="dxa"/>
            <w:tcBorders>
              <w:top w:val="single" w:sz="6" w:space="0" w:color="auto"/>
              <w:bottom w:val="single" w:sz="12" w:space="0" w:color="auto"/>
            </w:tcBorders>
            <w:shd w:val="clear" w:color="auto" w:fill="auto"/>
          </w:tcPr>
          <w:p w:rsidR="00476222" w:rsidRPr="003A1AA8" w:rsidRDefault="00476222" w:rsidP="006332CA">
            <w:pPr>
              <w:pStyle w:val="TableHeading"/>
            </w:pPr>
            <w:r w:rsidRPr="003A1AA8">
              <w:t>Emissions source</w:t>
            </w:r>
          </w:p>
        </w:tc>
        <w:tc>
          <w:tcPr>
            <w:tcW w:w="2127" w:type="dxa"/>
            <w:tcBorders>
              <w:top w:val="single" w:sz="6" w:space="0" w:color="auto"/>
              <w:bottom w:val="single" w:sz="12" w:space="0" w:color="auto"/>
            </w:tcBorders>
            <w:shd w:val="clear" w:color="auto" w:fill="auto"/>
          </w:tcPr>
          <w:p w:rsidR="00476222" w:rsidRPr="003A1AA8" w:rsidRDefault="00476222" w:rsidP="006332CA">
            <w:pPr>
              <w:pStyle w:val="TableHeading"/>
            </w:pPr>
            <w:r w:rsidRPr="003A1AA8">
              <w:t>Greenhouse gas</w:t>
            </w:r>
          </w:p>
        </w:tc>
      </w:tr>
      <w:tr w:rsidR="00476222" w:rsidRPr="003A1AA8" w:rsidTr="00F82873">
        <w:tc>
          <w:tcPr>
            <w:tcW w:w="709" w:type="dxa"/>
            <w:tcBorders>
              <w:top w:val="single" w:sz="12" w:space="0" w:color="auto"/>
            </w:tcBorders>
            <w:shd w:val="clear" w:color="auto" w:fill="auto"/>
          </w:tcPr>
          <w:p w:rsidR="00476222" w:rsidRPr="003A1AA8" w:rsidRDefault="00476222" w:rsidP="006332CA">
            <w:pPr>
              <w:pStyle w:val="Tabletext"/>
            </w:pPr>
            <w:r w:rsidRPr="003A1AA8">
              <w:t>1</w:t>
            </w:r>
          </w:p>
        </w:tc>
        <w:tc>
          <w:tcPr>
            <w:tcW w:w="1418" w:type="dxa"/>
            <w:tcBorders>
              <w:top w:val="single" w:sz="12" w:space="0" w:color="auto"/>
            </w:tcBorders>
            <w:shd w:val="clear" w:color="auto" w:fill="auto"/>
          </w:tcPr>
          <w:p w:rsidR="00476222" w:rsidRPr="003A1AA8" w:rsidRDefault="00476222" w:rsidP="001E31BF">
            <w:pPr>
              <w:pStyle w:val="Tabletext"/>
            </w:pPr>
            <w:r w:rsidRPr="003A1AA8">
              <w:t xml:space="preserve">Baseline </w:t>
            </w:r>
            <w:r w:rsidR="001E31BF" w:rsidRPr="003A1AA8">
              <w:t>abatement</w:t>
            </w:r>
          </w:p>
        </w:tc>
        <w:tc>
          <w:tcPr>
            <w:tcW w:w="2976" w:type="dxa"/>
            <w:tcBorders>
              <w:top w:val="single" w:sz="12" w:space="0" w:color="auto"/>
            </w:tcBorders>
            <w:shd w:val="clear" w:color="auto" w:fill="auto"/>
          </w:tcPr>
          <w:p w:rsidR="00476222" w:rsidRPr="003A1AA8" w:rsidRDefault="004650ED" w:rsidP="004650ED">
            <w:pPr>
              <w:pStyle w:val="Tabletext"/>
            </w:pPr>
            <w:r w:rsidRPr="003A1AA8">
              <w:t>Destruction of methane in landfill gas by combustion</w:t>
            </w:r>
          </w:p>
        </w:tc>
        <w:tc>
          <w:tcPr>
            <w:tcW w:w="2127" w:type="dxa"/>
            <w:tcBorders>
              <w:top w:val="single" w:sz="12" w:space="0" w:color="auto"/>
            </w:tcBorders>
            <w:shd w:val="clear" w:color="auto" w:fill="auto"/>
          </w:tcPr>
          <w:p w:rsidR="00476222" w:rsidRPr="003A1AA8" w:rsidRDefault="004650ED" w:rsidP="001E31BF">
            <w:pPr>
              <w:pStyle w:val="Tabletext"/>
            </w:pPr>
            <w:r w:rsidRPr="003A1AA8">
              <w:t>Methane (</w:t>
            </w:r>
            <w:r w:rsidRPr="003A1AA8">
              <w:rPr>
                <w:b/>
                <w:i/>
              </w:rPr>
              <w:t>CH</w:t>
            </w:r>
            <w:r w:rsidRPr="003A1AA8">
              <w:rPr>
                <w:b/>
                <w:i/>
                <w:vertAlign w:val="subscript"/>
              </w:rPr>
              <w:t>4</w:t>
            </w:r>
            <w:r w:rsidR="001E31BF" w:rsidRPr="003A1AA8">
              <w:t>)</w:t>
            </w:r>
          </w:p>
        </w:tc>
      </w:tr>
      <w:tr w:rsidR="00476222" w:rsidRPr="003A1AA8" w:rsidTr="00F82873">
        <w:tc>
          <w:tcPr>
            <w:tcW w:w="709" w:type="dxa"/>
            <w:shd w:val="clear" w:color="auto" w:fill="auto"/>
          </w:tcPr>
          <w:p w:rsidR="00476222" w:rsidRPr="003A1AA8" w:rsidRDefault="00476222" w:rsidP="006332CA">
            <w:pPr>
              <w:pStyle w:val="Tabletext"/>
            </w:pPr>
            <w:r w:rsidRPr="003A1AA8">
              <w:t>2</w:t>
            </w:r>
          </w:p>
        </w:tc>
        <w:tc>
          <w:tcPr>
            <w:tcW w:w="1418" w:type="dxa"/>
            <w:shd w:val="clear" w:color="auto" w:fill="auto"/>
          </w:tcPr>
          <w:p w:rsidR="00476222" w:rsidRPr="003A1AA8" w:rsidRDefault="004650ED" w:rsidP="006332CA">
            <w:pPr>
              <w:pStyle w:val="Tabletext"/>
            </w:pPr>
            <w:r w:rsidRPr="003A1AA8">
              <w:t xml:space="preserve">Baseline </w:t>
            </w:r>
            <w:r w:rsidR="001E31BF" w:rsidRPr="003A1AA8">
              <w:t>abatement</w:t>
            </w:r>
          </w:p>
        </w:tc>
        <w:tc>
          <w:tcPr>
            <w:tcW w:w="2976" w:type="dxa"/>
            <w:shd w:val="clear" w:color="auto" w:fill="auto"/>
          </w:tcPr>
          <w:p w:rsidR="00476222" w:rsidRPr="003A1AA8" w:rsidRDefault="004650ED" w:rsidP="004650ED">
            <w:pPr>
              <w:pStyle w:val="Tabletext"/>
            </w:pPr>
            <w:r w:rsidRPr="003A1AA8">
              <w:t>Destruction of methane in landfill gas by oxidation in the near surface conditions of the landfill</w:t>
            </w:r>
          </w:p>
        </w:tc>
        <w:tc>
          <w:tcPr>
            <w:tcW w:w="2127" w:type="dxa"/>
            <w:shd w:val="clear" w:color="auto" w:fill="auto"/>
          </w:tcPr>
          <w:p w:rsidR="00476222" w:rsidRPr="003A1AA8" w:rsidRDefault="004650ED" w:rsidP="006332CA">
            <w:pPr>
              <w:pStyle w:val="Tabletext"/>
            </w:pPr>
            <w:r w:rsidRPr="003A1AA8">
              <w:t>Methane (</w:t>
            </w:r>
            <w:r w:rsidRPr="003A1AA8">
              <w:rPr>
                <w:b/>
                <w:i/>
              </w:rPr>
              <w:t>CH</w:t>
            </w:r>
            <w:r w:rsidRPr="003A1AA8">
              <w:rPr>
                <w:b/>
                <w:i/>
                <w:vertAlign w:val="subscript"/>
              </w:rPr>
              <w:t>4</w:t>
            </w:r>
            <w:r w:rsidR="001E31BF" w:rsidRPr="003A1AA8">
              <w:t>)</w:t>
            </w:r>
          </w:p>
        </w:tc>
      </w:tr>
      <w:tr w:rsidR="00476222" w:rsidRPr="003A1AA8" w:rsidTr="00F82873">
        <w:tc>
          <w:tcPr>
            <w:tcW w:w="709" w:type="dxa"/>
            <w:tcBorders>
              <w:bottom w:val="single" w:sz="4" w:space="0" w:color="auto"/>
            </w:tcBorders>
            <w:shd w:val="clear" w:color="auto" w:fill="auto"/>
          </w:tcPr>
          <w:p w:rsidR="00476222" w:rsidRPr="003A1AA8" w:rsidRDefault="00476222" w:rsidP="006332CA">
            <w:pPr>
              <w:pStyle w:val="Tabletext"/>
            </w:pPr>
            <w:r w:rsidRPr="003A1AA8">
              <w:t>3</w:t>
            </w:r>
          </w:p>
        </w:tc>
        <w:tc>
          <w:tcPr>
            <w:tcW w:w="1418" w:type="dxa"/>
            <w:tcBorders>
              <w:bottom w:val="single" w:sz="4" w:space="0" w:color="auto"/>
            </w:tcBorders>
            <w:shd w:val="clear" w:color="auto" w:fill="auto"/>
          </w:tcPr>
          <w:p w:rsidR="00476222" w:rsidRPr="003A1AA8" w:rsidRDefault="00476222" w:rsidP="009E0012">
            <w:pPr>
              <w:pStyle w:val="Tabletext"/>
            </w:pPr>
            <w:r w:rsidRPr="003A1AA8">
              <w:t xml:space="preserve">Project </w:t>
            </w:r>
            <w:r w:rsidR="001E31BF" w:rsidRPr="003A1AA8">
              <w:t>abatement</w:t>
            </w:r>
          </w:p>
        </w:tc>
        <w:tc>
          <w:tcPr>
            <w:tcW w:w="2976" w:type="dxa"/>
            <w:tcBorders>
              <w:bottom w:val="single" w:sz="4" w:space="0" w:color="auto"/>
            </w:tcBorders>
            <w:shd w:val="clear" w:color="auto" w:fill="auto"/>
          </w:tcPr>
          <w:p w:rsidR="00476222" w:rsidRPr="003A1AA8" w:rsidRDefault="004650ED" w:rsidP="004650ED">
            <w:pPr>
              <w:pStyle w:val="Tabletext"/>
            </w:pPr>
            <w:r w:rsidRPr="003A1AA8">
              <w:t>Destruction of methane in landfill gas by combustion</w:t>
            </w:r>
          </w:p>
        </w:tc>
        <w:tc>
          <w:tcPr>
            <w:tcW w:w="2127" w:type="dxa"/>
            <w:tcBorders>
              <w:bottom w:val="single" w:sz="4" w:space="0" w:color="auto"/>
            </w:tcBorders>
            <w:shd w:val="clear" w:color="auto" w:fill="auto"/>
          </w:tcPr>
          <w:p w:rsidR="00476222" w:rsidRPr="003A1AA8" w:rsidRDefault="004650ED" w:rsidP="001E31BF">
            <w:pPr>
              <w:pStyle w:val="Tabletext"/>
            </w:pPr>
            <w:r w:rsidRPr="003A1AA8">
              <w:t>Methane (</w:t>
            </w:r>
            <w:r w:rsidRPr="003A1AA8">
              <w:rPr>
                <w:b/>
                <w:i/>
              </w:rPr>
              <w:t>CH</w:t>
            </w:r>
            <w:r w:rsidRPr="003A1AA8">
              <w:rPr>
                <w:b/>
                <w:i/>
                <w:vertAlign w:val="subscript"/>
              </w:rPr>
              <w:t>4</w:t>
            </w:r>
            <w:r w:rsidR="001E31BF" w:rsidRPr="003A1AA8">
              <w:t>)</w:t>
            </w:r>
          </w:p>
        </w:tc>
      </w:tr>
      <w:tr w:rsidR="00476222" w:rsidRPr="003A1AA8" w:rsidTr="00F82873">
        <w:tc>
          <w:tcPr>
            <w:tcW w:w="709" w:type="dxa"/>
            <w:tcBorders>
              <w:bottom w:val="single" w:sz="12" w:space="0" w:color="auto"/>
            </w:tcBorders>
            <w:shd w:val="clear" w:color="auto" w:fill="auto"/>
          </w:tcPr>
          <w:p w:rsidR="00476222" w:rsidRPr="003A1AA8" w:rsidRDefault="00476222" w:rsidP="006332CA">
            <w:pPr>
              <w:pStyle w:val="Tabletext"/>
            </w:pPr>
            <w:r w:rsidRPr="003A1AA8">
              <w:t>4</w:t>
            </w:r>
          </w:p>
        </w:tc>
        <w:tc>
          <w:tcPr>
            <w:tcW w:w="1418" w:type="dxa"/>
            <w:tcBorders>
              <w:bottom w:val="single" w:sz="12" w:space="0" w:color="auto"/>
            </w:tcBorders>
            <w:shd w:val="clear" w:color="auto" w:fill="auto"/>
          </w:tcPr>
          <w:p w:rsidR="00476222" w:rsidRPr="003A1AA8" w:rsidRDefault="00476222" w:rsidP="00536990">
            <w:pPr>
              <w:pStyle w:val="Tabletext"/>
            </w:pPr>
            <w:r w:rsidRPr="003A1AA8">
              <w:t xml:space="preserve">Project </w:t>
            </w:r>
            <w:r w:rsidR="00536990" w:rsidRPr="003A1AA8">
              <w:t>emissions</w:t>
            </w:r>
          </w:p>
        </w:tc>
        <w:tc>
          <w:tcPr>
            <w:tcW w:w="2976" w:type="dxa"/>
            <w:tcBorders>
              <w:bottom w:val="single" w:sz="12" w:space="0" w:color="auto"/>
            </w:tcBorders>
            <w:shd w:val="clear" w:color="auto" w:fill="auto"/>
          </w:tcPr>
          <w:p w:rsidR="00476222" w:rsidRPr="003A1AA8" w:rsidRDefault="004650ED" w:rsidP="004650ED">
            <w:pPr>
              <w:pStyle w:val="Tabletext"/>
            </w:pPr>
            <w:r w:rsidRPr="003A1AA8">
              <w:t>Combustion of landfill gas</w:t>
            </w:r>
          </w:p>
        </w:tc>
        <w:tc>
          <w:tcPr>
            <w:tcW w:w="2127" w:type="dxa"/>
            <w:tcBorders>
              <w:bottom w:val="single" w:sz="12" w:space="0" w:color="auto"/>
            </w:tcBorders>
            <w:shd w:val="clear" w:color="auto" w:fill="auto"/>
          </w:tcPr>
          <w:p w:rsidR="00476222" w:rsidRPr="003A1AA8" w:rsidRDefault="004650ED" w:rsidP="001E31BF">
            <w:pPr>
              <w:pStyle w:val="Tabletext"/>
            </w:pPr>
            <w:r w:rsidRPr="003A1AA8">
              <w:t>Methane (</w:t>
            </w:r>
            <w:r w:rsidRPr="003A1AA8">
              <w:rPr>
                <w:b/>
                <w:i/>
              </w:rPr>
              <w:t>CH</w:t>
            </w:r>
            <w:r w:rsidRPr="003A1AA8">
              <w:rPr>
                <w:b/>
                <w:i/>
                <w:vertAlign w:val="subscript"/>
              </w:rPr>
              <w:t>4</w:t>
            </w:r>
            <w:r w:rsidR="001E31BF" w:rsidRPr="003A1AA8">
              <w:t>)</w:t>
            </w:r>
          </w:p>
        </w:tc>
      </w:tr>
    </w:tbl>
    <w:p w:rsidR="00476222" w:rsidRPr="003A1AA8" w:rsidRDefault="00476222" w:rsidP="00476222">
      <w:pPr>
        <w:pStyle w:val="Tabletext"/>
      </w:pPr>
    </w:p>
    <w:p w:rsidR="00CC19D0" w:rsidRPr="003A1AA8" w:rsidRDefault="006B1D9F" w:rsidP="00CC19D0">
      <w:pPr>
        <w:pStyle w:val="ActHead5"/>
      </w:pPr>
      <w:bookmarkStart w:id="24" w:name="_Toc407104156"/>
      <w:r w:rsidRPr="003A1AA8">
        <w:rPr>
          <w:rStyle w:val="CharSectno"/>
        </w:rPr>
        <w:t>16</w:t>
      </w:r>
      <w:r w:rsidR="00CC19D0" w:rsidRPr="003A1AA8">
        <w:t xml:space="preserve">  Inputs and parameters</w:t>
      </w:r>
      <w:bookmarkEnd w:id="24"/>
    </w:p>
    <w:p w:rsidR="00CC19D0" w:rsidRPr="003A1AA8" w:rsidRDefault="00CC19D0" w:rsidP="00CC19D0">
      <w:pPr>
        <w:pStyle w:val="subsection"/>
      </w:pPr>
      <w:r w:rsidRPr="003A1AA8">
        <w:tab/>
        <w:t>(1)</w:t>
      </w:r>
      <w:r w:rsidRPr="003A1AA8">
        <w:tab/>
        <w:t>Inputs for this method must cover the whole landfill.</w:t>
      </w:r>
    </w:p>
    <w:p w:rsidR="00CC19D0" w:rsidRPr="003A1AA8" w:rsidRDefault="00CC19D0" w:rsidP="00CC19D0">
      <w:pPr>
        <w:pStyle w:val="notetext"/>
      </w:pPr>
      <w:r w:rsidRPr="003A1AA8">
        <w:t>Note:</w:t>
      </w:r>
      <w:r w:rsidRPr="003A1AA8">
        <w:tab/>
        <w:t>This subsection prevents a proponent from operating a project only in relation to a selected portion of a landfill where, for example, gas might be easier to extract.</w:t>
      </w:r>
    </w:p>
    <w:p w:rsidR="00CC19D0" w:rsidRPr="003A1AA8" w:rsidRDefault="00CC19D0" w:rsidP="00CC19D0">
      <w:pPr>
        <w:pStyle w:val="subsection"/>
      </w:pPr>
      <w:r w:rsidRPr="003A1AA8">
        <w:tab/>
        <w:t>(2)</w:t>
      </w:r>
      <w:r w:rsidRPr="003A1AA8">
        <w:tab/>
        <w:t>If a parameter in an equation is worked out, or determined, in a particular way for a reporting period, then, it must be worked out, or determined, in the same way for all other equations in which it is used for the reporting period.</w:t>
      </w:r>
    </w:p>
    <w:p w:rsidR="00C00738" w:rsidRPr="003A1AA8" w:rsidRDefault="00C00738" w:rsidP="00C00738">
      <w:pPr>
        <w:pStyle w:val="ActHead3"/>
        <w:pageBreakBefore/>
      </w:pPr>
      <w:bookmarkStart w:id="25" w:name="_Toc407104157"/>
      <w:r w:rsidRPr="003A1AA8">
        <w:rPr>
          <w:rStyle w:val="CharDivNo"/>
        </w:rPr>
        <w:lastRenderedPageBreak/>
        <w:t>Division</w:t>
      </w:r>
      <w:r w:rsidR="003A1AA8" w:rsidRPr="003A1AA8">
        <w:rPr>
          <w:rStyle w:val="CharDivNo"/>
        </w:rPr>
        <w:t> </w:t>
      </w:r>
      <w:r w:rsidRPr="003A1AA8">
        <w:rPr>
          <w:rStyle w:val="CharDivNo"/>
        </w:rPr>
        <w:t>2</w:t>
      </w:r>
      <w:r w:rsidRPr="003A1AA8">
        <w:t>—</w:t>
      </w:r>
      <w:r w:rsidRPr="003A1AA8">
        <w:rPr>
          <w:rStyle w:val="CharDivText"/>
        </w:rPr>
        <w:t>Method for calculating net abatement amount</w:t>
      </w:r>
      <w:bookmarkEnd w:id="25"/>
    </w:p>
    <w:p w:rsidR="004E06FA" w:rsidRPr="003A1AA8" w:rsidRDefault="006B1D9F" w:rsidP="004E06FA">
      <w:pPr>
        <w:pStyle w:val="ActHead5"/>
      </w:pPr>
      <w:bookmarkStart w:id="26" w:name="_Toc407104158"/>
      <w:r w:rsidRPr="003A1AA8">
        <w:rPr>
          <w:rStyle w:val="CharSectno"/>
        </w:rPr>
        <w:t>17</w:t>
      </w:r>
      <w:r w:rsidR="004E06FA" w:rsidRPr="003A1AA8">
        <w:t xml:space="preserve">  Summary</w:t>
      </w:r>
      <w:bookmarkEnd w:id="26"/>
    </w:p>
    <w:p w:rsidR="004E06FA" w:rsidRPr="003A1AA8" w:rsidRDefault="003157BA" w:rsidP="004E06FA">
      <w:pPr>
        <w:pStyle w:val="SOText"/>
        <w:rPr>
          <w:rFonts w:cs="Times New Roman"/>
          <w:szCs w:val="22"/>
        </w:rPr>
      </w:pPr>
      <w:r w:rsidRPr="003A1AA8">
        <w:rPr>
          <w:rFonts w:cs="Times New Roman"/>
          <w:szCs w:val="22"/>
        </w:rPr>
        <w:t>N</w:t>
      </w:r>
      <w:r w:rsidR="004E06FA" w:rsidRPr="003A1AA8">
        <w:rPr>
          <w:rFonts w:cs="Times New Roman"/>
          <w:szCs w:val="22"/>
        </w:rPr>
        <w:t>et abatement is calculated as project abatement minus baseline abatement.</w:t>
      </w:r>
    </w:p>
    <w:p w:rsidR="005E2282" w:rsidRPr="003A1AA8" w:rsidRDefault="006B1D9F" w:rsidP="005E2282">
      <w:pPr>
        <w:pStyle w:val="ActHead5"/>
      </w:pPr>
      <w:bookmarkStart w:id="27" w:name="_Toc407104159"/>
      <w:r w:rsidRPr="003A1AA8">
        <w:rPr>
          <w:rStyle w:val="CharSectno"/>
        </w:rPr>
        <w:t>18</w:t>
      </w:r>
      <w:r w:rsidR="005E2282" w:rsidRPr="003A1AA8">
        <w:t xml:space="preserve">  </w:t>
      </w:r>
      <w:r w:rsidR="003157BA" w:rsidRPr="003A1AA8">
        <w:t>N</w:t>
      </w:r>
      <w:r w:rsidR="00C00738" w:rsidRPr="003A1AA8">
        <w:t>et abatement amount</w:t>
      </w:r>
      <w:bookmarkEnd w:id="27"/>
    </w:p>
    <w:p w:rsidR="005E2282" w:rsidRPr="003A1AA8" w:rsidRDefault="00922447" w:rsidP="005E2282">
      <w:pPr>
        <w:pStyle w:val="subsection"/>
      </w:pPr>
      <w:r w:rsidRPr="003A1AA8">
        <w:tab/>
      </w:r>
      <w:r w:rsidR="005E2282" w:rsidRPr="003A1AA8">
        <w:tab/>
        <w:t>The carbon dioxide equivalent net abatement amount</w:t>
      </w:r>
      <w:r w:rsidR="009E0012" w:rsidRPr="003A1AA8">
        <w:t xml:space="preserve"> </w:t>
      </w:r>
      <w:r w:rsidR="005E2282" w:rsidRPr="003A1AA8">
        <w:t>for the</w:t>
      </w:r>
      <w:r w:rsidRPr="003A1AA8">
        <w:t xml:space="preserve"> </w:t>
      </w:r>
      <w:r w:rsidR="005E2282" w:rsidRPr="003A1AA8">
        <w:t>reporting period</w:t>
      </w:r>
      <w:r w:rsidR="00AE2A6F" w:rsidRPr="003A1AA8">
        <w:t>,</w:t>
      </w:r>
      <w:r w:rsidR="005E2282" w:rsidRPr="003A1AA8">
        <w:t xml:space="preserve"> </w:t>
      </w:r>
      <w:r w:rsidR="009E0012" w:rsidRPr="003A1AA8">
        <w:t>in tonnes CO</w:t>
      </w:r>
      <w:r w:rsidR="009E0012" w:rsidRPr="003A1AA8">
        <w:rPr>
          <w:vertAlign w:val="subscript"/>
        </w:rPr>
        <w:t>2</w:t>
      </w:r>
      <w:r w:rsidR="003A1AA8">
        <w:noBreakHyphen/>
      </w:r>
      <w:r w:rsidR="009E0012" w:rsidRPr="003A1AA8">
        <w:t>e</w:t>
      </w:r>
      <w:r w:rsidR="00AE2A6F" w:rsidRPr="003A1AA8">
        <w:t>,</w:t>
      </w:r>
      <w:r w:rsidR="009E0012" w:rsidRPr="003A1AA8">
        <w:t xml:space="preserve"> </w:t>
      </w:r>
      <w:r w:rsidR="005E2282" w:rsidRPr="003A1AA8">
        <w:t>is worked out using the formula (</w:t>
      </w:r>
      <w:r w:rsidR="005E2282" w:rsidRPr="003A1AA8">
        <w:rPr>
          <w:b/>
          <w:i/>
        </w:rPr>
        <w:t>equation 1</w:t>
      </w:r>
      <w:r w:rsidR="00FB519E" w:rsidRPr="003A1AA8">
        <w:t>):</w:t>
      </w:r>
    </w:p>
    <w:bookmarkStart w:id="28" w:name="BKCheck15B_4"/>
    <w:bookmarkEnd w:id="28"/>
    <w:p w:rsidR="00913619" w:rsidRPr="003A1AA8" w:rsidRDefault="00FE00FC" w:rsidP="00913619">
      <w:pPr>
        <w:pStyle w:val="subsection2"/>
      </w:pPr>
      <w:r w:rsidRPr="003A1AA8">
        <w:rPr>
          <w:position w:val="-10"/>
        </w:rPr>
        <w:object w:dxaOrig="135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pt;height:21.9pt" o:ole="">
            <v:imagedata r:id="rId21" o:title=""/>
          </v:shape>
          <o:OLEObject Type="Embed" ProgID="Equation.DSMT4" ShapeID="_x0000_i1025" DrawAspect="Content" ObjectID="_1483177763" r:id="rId22"/>
        </w:object>
      </w:r>
    </w:p>
    <w:p w:rsidR="00913619" w:rsidRPr="003A1AA8" w:rsidRDefault="002B3FBF" w:rsidP="00913619">
      <w:pPr>
        <w:pStyle w:val="subsection2"/>
      </w:pPr>
      <w:r w:rsidRPr="003A1AA8">
        <w:t>w</w:t>
      </w:r>
      <w:r w:rsidR="00913619" w:rsidRPr="003A1AA8">
        <w:t>here:</w:t>
      </w:r>
    </w:p>
    <w:p w:rsidR="005E266C" w:rsidRPr="003A1AA8" w:rsidRDefault="005E266C" w:rsidP="008B36EA">
      <w:pPr>
        <w:pStyle w:val="Definition"/>
      </w:pPr>
      <w:r w:rsidRPr="003A1AA8">
        <w:rPr>
          <w:b/>
          <w:i/>
        </w:rPr>
        <w:t>A</w:t>
      </w:r>
      <w:r w:rsidR="008B36EA" w:rsidRPr="003A1AA8">
        <w:t xml:space="preserve"> means the </w:t>
      </w:r>
      <w:r w:rsidR="002B3FBF" w:rsidRPr="003A1AA8">
        <w:t xml:space="preserve">carbon dioxide equivalent net abatement amount for the reporting </w:t>
      </w:r>
      <w:r w:rsidR="006332CA" w:rsidRPr="003A1AA8">
        <w:t>period</w:t>
      </w:r>
      <w:r w:rsidR="00AE2A6F" w:rsidRPr="003A1AA8">
        <w:t>,</w:t>
      </w:r>
      <w:r w:rsidR="009E0012" w:rsidRPr="003A1AA8">
        <w:t xml:space="preserve"> in tonnes CO</w:t>
      </w:r>
      <w:r w:rsidR="009E0012" w:rsidRPr="003A1AA8">
        <w:rPr>
          <w:vertAlign w:val="subscript"/>
        </w:rPr>
        <w:t>2</w:t>
      </w:r>
      <w:r w:rsidR="003A1AA8">
        <w:noBreakHyphen/>
      </w:r>
      <w:r w:rsidR="009E0012" w:rsidRPr="003A1AA8">
        <w:t>e</w:t>
      </w:r>
      <w:r w:rsidR="008B36EA" w:rsidRPr="003A1AA8">
        <w:t>.</w:t>
      </w:r>
    </w:p>
    <w:p w:rsidR="005E266C" w:rsidRPr="003A1AA8" w:rsidRDefault="005E266C" w:rsidP="00C92C32">
      <w:pPr>
        <w:pStyle w:val="Definition"/>
        <w:rPr>
          <w:b/>
        </w:rPr>
      </w:pPr>
      <w:r w:rsidRPr="003A1AA8">
        <w:rPr>
          <w:b/>
          <w:i/>
        </w:rPr>
        <w:t>A</w:t>
      </w:r>
      <w:r w:rsidRPr="003A1AA8">
        <w:rPr>
          <w:b/>
          <w:i/>
          <w:vertAlign w:val="subscript"/>
        </w:rPr>
        <w:t>P</w:t>
      </w:r>
      <w:r w:rsidR="008B36EA" w:rsidRPr="003A1AA8">
        <w:t xml:space="preserve"> me</w:t>
      </w:r>
      <w:r w:rsidR="008B36EA" w:rsidRPr="003A1AA8">
        <w:rPr>
          <w:lang w:eastAsia="en-US"/>
        </w:rPr>
        <w:t>a</w:t>
      </w:r>
      <w:r w:rsidR="008B36EA" w:rsidRPr="003A1AA8">
        <w:t xml:space="preserve">ns </w:t>
      </w:r>
      <w:r w:rsidR="00922447" w:rsidRPr="003A1AA8">
        <w:t xml:space="preserve">the project abatement for </w:t>
      </w:r>
      <w:r w:rsidR="002B3FBF" w:rsidRPr="003A1AA8">
        <w:t>the reporting period</w:t>
      </w:r>
      <w:r w:rsidR="00AE2A6F" w:rsidRPr="003A1AA8">
        <w:t>,</w:t>
      </w:r>
      <w:r w:rsidR="002B3FBF" w:rsidRPr="003A1AA8">
        <w:t xml:space="preserve"> </w:t>
      </w:r>
      <w:r w:rsidRPr="003A1AA8">
        <w:t>in tonnes CO</w:t>
      </w:r>
      <w:r w:rsidRPr="003A1AA8">
        <w:rPr>
          <w:vertAlign w:val="subscript"/>
        </w:rPr>
        <w:t>2</w:t>
      </w:r>
      <w:r w:rsidR="003A1AA8">
        <w:noBreakHyphen/>
      </w:r>
      <w:r w:rsidR="002B3FBF" w:rsidRPr="003A1AA8">
        <w:t>e</w:t>
      </w:r>
      <w:r w:rsidR="00AE2A6F" w:rsidRPr="003A1AA8">
        <w:t>,</w:t>
      </w:r>
      <w:r w:rsidR="002B3FBF" w:rsidRPr="003A1AA8">
        <w:t xml:space="preserve"> worked out using equation 2</w:t>
      </w:r>
      <w:r w:rsidR="00813CEE" w:rsidRPr="003A1AA8">
        <w:t>.</w:t>
      </w:r>
    </w:p>
    <w:p w:rsidR="00C131FE" w:rsidRPr="003A1AA8" w:rsidRDefault="00913619" w:rsidP="00C131FE">
      <w:pPr>
        <w:pStyle w:val="Definition"/>
      </w:pPr>
      <w:r w:rsidRPr="003A1AA8">
        <w:rPr>
          <w:b/>
          <w:i/>
        </w:rPr>
        <w:t>A</w:t>
      </w:r>
      <w:r w:rsidRPr="003A1AA8">
        <w:rPr>
          <w:b/>
          <w:i/>
          <w:vertAlign w:val="subscript"/>
        </w:rPr>
        <w:t>B</w:t>
      </w:r>
      <w:r w:rsidR="002B3FBF" w:rsidRPr="003A1AA8">
        <w:t xml:space="preserve"> means the </w:t>
      </w:r>
      <w:r w:rsidR="00922447" w:rsidRPr="003A1AA8">
        <w:t xml:space="preserve">baseline </w:t>
      </w:r>
      <w:r w:rsidR="00363A30" w:rsidRPr="003A1AA8">
        <w:t xml:space="preserve">abatement </w:t>
      </w:r>
      <w:r w:rsidR="00922447" w:rsidRPr="003A1AA8">
        <w:t xml:space="preserve">for the </w:t>
      </w:r>
      <w:r w:rsidR="00C131FE" w:rsidRPr="003A1AA8">
        <w:t>reporting period</w:t>
      </w:r>
      <w:r w:rsidR="00AE2A6F" w:rsidRPr="003A1AA8">
        <w:t>,</w:t>
      </w:r>
      <w:r w:rsidRPr="003A1AA8">
        <w:t xml:space="preserve"> in tonnes CO</w:t>
      </w:r>
      <w:r w:rsidRPr="003A1AA8">
        <w:rPr>
          <w:vertAlign w:val="subscript"/>
        </w:rPr>
        <w:t>2</w:t>
      </w:r>
      <w:r w:rsidR="003A1AA8">
        <w:noBreakHyphen/>
      </w:r>
      <w:r w:rsidR="00922447" w:rsidRPr="003A1AA8">
        <w:t>e</w:t>
      </w:r>
      <w:r w:rsidR="00AE2A6F" w:rsidRPr="003A1AA8">
        <w:t>,</w:t>
      </w:r>
      <w:r w:rsidR="00922447" w:rsidRPr="003A1AA8">
        <w:t xml:space="preserve"> worked out using equation</w:t>
      </w:r>
      <w:r w:rsidR="00813CEE" w:rsidRPr="003A1AA8">
        <w:t xml:space="preserve"> </w:t>
      </w:r>
      <w:r w:rsidR="0086393B" w:rsidRPr="003A1AA8">
        <w:t>12</w:t>
      </w:r>
      <w:r w:rsidR="00C131FE" w:rsidRPr="003A1AA8">
        <w:t>.</w:t>
      </w:r>
    </w:p>
    <w:p w:rsidR="00922447" w:rsidRPr="003A1AA8" w:rsidRDefault="00922447" w:rsidP="005A78EC">
      <w:pPr>
        <w:pStyle w:val="ActHead3"/>
        <w:pageBreakBefore/>
      </w:pPr>
      <w:bookmarkStart w:id="29" w:name="_Toc407104160"/>
      <w:bookmarkStart w:id="30" w:name="_Ref380572487"/>
      <w:r w:rsidRPr="003A1AA8">
        <w:rPr>
          <w:rStyle w:val="CharDivNo"/>
        </w:rPr>
        <w:lastRenderedPageBreak/>
        <w:t>Division</w:t>
      </w:r>
      <w:r w:rsidR="003A1AA8" w:rsidRPr="003A1AA8">
        <w:rPr>
          <w:rStyle w:val="CharDivNo"/>
        </w:rPr>
        <w:t> </w:t>
      </w:r>
      <w:r w:rsidR="000B7147" w:rsidRPr="003A1AA8">
        <w:rPr>
          <w:rStyle w:val="CharDivNo"/>
        </w:rPr>
        <w:t>3</w:t>
      </w:r>
      <w:r w:rsidRPr="003A1AA8">
        <w:t>—</w:t>
      </w:r>
      <w:r w:rsidR="003157BA" w:rsidRPr="003A1AA8">
        <w:rPr>
          <w:rStyle w:val="CharDivText"/>
        </w:rPr>
        <w:t xml:space="preserve">Method for calculating </w:t>
      </w:r>
      <w:r w:rsidR="00AD227D" w:rsidRPr="003A1AA8">
        <w:rPr>
          <w:rStyle w:val="CharDivText"/>
        </w:rPr>
        <w:t xml:space="preserve">project </w:t>
      </w:r>
      <w:r w:rsidRPr="003A1AA8">
        <w:rPr>
          <w:rStyle w:val="CharDivText"/>
        </w:rPr>
        <w:t>abatement</w:t>
      </w:r>
      <w:bookmarkEnd w:id="29"/>
    </w:p>
    <w:p w:rsidR="004E06FA" w:rsidRPr="003A1AA8" w:rsidRDefault="006B1D9F" w:rsidP="004E06FA">
      <w:pPr>
        <w:pStyle w:val="ActHead5"/>
      </w:pPr>
      <w:bookmarkStart w:id="31" w:name="_Toc407104161"/>
      <w:r w:rsidRPr="003A1AA8">
        <w:rPr>
          <w:rStyle w:val="CharSectno"/>
        </w:rPr>
        <w:t>19</w:t>
      </w:r>
      <w:r w:rsidR="004E06FA" w:rsidRPr="003A1AA8">
        <w:t xml:space="preserve">  Summary</w:t>
      </w:r>
      <w:bookmarkEnd w:id="31"/>
    </w:p>
    <w:p w:rsidR="004E06FA" w:rsidRPr="003A1AA8" w:rsidRDefault="004E06FA" w:rsidP="004E06FA">
      <w:pPr>
        <w:pStyle w:val="SOText"/>
        <w:rPr>
          <w:rFonts w:cs="Times New Roman"/>
          <w:szCs w:val="22"/>
        </w:rPr>
      </w:pPr>
      <w:r w:rsidRPr="003A1AA8">
        <w:rPr>
          <w:rFonts w:cs="Times New Roman"/>
          <w:szCs w:val="22"/>
        </w:rPr>
        <w:t>Project abatement is calculated as the amount of methane combusted by the project that was not generated by carbon tax waste minus the amount that would have been oxidised in the near surface conditions of the landfill had it not been collected during the project.</w:t>
      </w:r>
    </w:p>
    <w:p w:rsidR="00913619" w:rsidRPr="003A1AA8" w:rsidRDefault="006B1D9F" w:rsidP="00150427">
      <w:pPr>
        <w:pStyle w:val="ActHead5"/>
      </w:pPr>
      <w:bookmarkStart w:id="32" w:name="_Toc407104162"/>
      <w:r w:rsidRPr="003A1AA8">
        <w:rPr>
          <w:rStyle w:val="CharSectno"/>
        </w:rPr>
        <w:t>20</w:t>
      </w:r>
      <w:r w:rsidR="00922447" w:rsidRPr="003A1AA8">
        <w:t xml:space="preserve">  Project abatemen</w:t>
      </w:r>
      <w:bookmarkEnd w:id="30"/>
      <w:r w:rsidR="00AD227D" w:rsidRPr="003A1AA8">
        <w:t>t</w:t>
      </w:r>
      <w:bookmarkEnd w:id="32"/>
    </w:p>
    <w:p w:rsidR="00813CEE" w:rsidRPr="003A1AA8" w:rsidRDefault="00913619" w:rsidP="00913619">
      <w:pPr>
        <w:pStyle w:val="subsection"/>
      </w:pPr>
      <w:r w:rsidRPr="003A1AA8">
        <w:tab/>
      </w:r>
      <w:r w:rsidRPr="003A1AA8">
        <w:tab/>
        <w:t xml:space="preserve">The </w:t>
      </w:r>
      <w:r w:rsidR="00813CEE" w:rsidRPr="003A1AA8">
        <w:t>project abatement for the reporting period</w:t>
      </w:r>
      <w:r w:rsidR="00AE2A6F" w:rsidRPr="003A1AA8">
        <w:t>,</w:t>
      </w:r>
      <w:r w:rsidR="00813CEE" w:rsidRPr="003A1AA8">
        <w:t xml:space="preserve"> in tonnes CO</w:t>
      </w:r>
      <w:r w:rsidR="00813CEE" w:rsidRPr="003A1AA8">
        <w:rPr>
          <w:vertAlign w:val="subscript"/>
        </w:rPr>
        <w:t>2</w:t>
      </w:r>
      <w:r w:rsidR="003A1AA8">
        <w:noBreakHyphen/>
      </w:r>
      <w:r w:rsidR="00813CEE" w:rsidRPr="003A1AA8">
        <w:t>e</w:t>
      </w:r>
      <w:r w:rsidR="00AE2A6F" w:rsidRPr="003A1AA8">
        <w:t>,</w:t>
      </w:r>
      <w:r w:rsidR="00813CEE" w:rsidRPr="003A1AA8">
        <w:t xml:space="preserve"> is worked out using the formula (</w:t>
      </w:r>
      <w:r w:rsidR="00813CEE" w:rsidRPr="003A1AA8">
        <w:rPr>
          <w:b/>
          <w:i/>
        </w:rPr>
        <w:t>equation 2</w:t>
      </w:r>
      <w:r w:rsidR="00813CEE" w:rsidRPr="003A1AA8">
        <w:t>):</w:t>
      </w:r>
    </w:p>
    <w:bookmarkStart w:id="33" w:name="BKCheck15B_5"/>
    <w:bookmarkEnd w:id="33"/>
    <w:p w:rsidR="00913619" w:rsidRPr="003A1AA8" w:rsidRDefault="00904529" w:rsidP="00913619">
      <w:pPr>
        <w:pStyle w:val="subsection2"/>
      </w:pPr>
      <w:r w:rsidRPr="003A1AA8">
        <w:rPr>
          <w:position w:val="-12"/>
        </w:rPr>
        <w:object w:dxaOrig="2260" w:dyaOrig="440">
          <v:shape id="_x0000_i1026" type="#_x0000_t75" style="width:113.45pt;height:20.75pt" o:ole="">
            <v:imagedata r:id="rId23" o:title=""/>
          </v:shape>
          <o:OLEObject Type="Embed" ProgID="Equation.DSMT4" ShapeID="_x0000_i1026" DrawAspect="Content" ObjectID="_1483177764" r:id="rId24"/>
        </w:object>
      </w:r>
    </w:p>
    <w:p w:rsidR="00913619" w:rsidRPr="003A1AA8" w:rsidRDefault="00813CEE" w:rsidP="00913619">
      <w:pPr>
        <w:pStyle w:val="subsection2"/>
      </w:pPr>
      <w:r w:rsidRPr="003A1AA8">
        <w:t>w</w:t>
      </w:r>
      <w:r w:rsidR="00913619" w:rsidRPr="003A1AA8">
        <w:t>here:</w:t>
      </w:r>
    </w:p>
    <w:p w:rsidR="00813CEE" w:rsidRPr="003A1AA8" w:rsidRDefault="00913619" w:rsidP="00913619">
      <w:pPr>
        <w:pStyle w:val="Definition"/>
      </w:pPr>
      <w:r w:rsidRPr="003A1AA8">
        <w:rPr>
          <w:b/>
          <w:i/>
        </w:rPr>
        <w:t>A</w:t>
      </w:r>
      <w:r w:rsidRPr="003A1AA8">
        <w:rPr>
          <w:b/>
          <w:i/>
          <w:vertAlign w:val="subscript"/>
        </w:rPr>
        <w:t>P</w:t>
      </w:r>
      <w:r w:rsidR="00813CEE" w:rsidRPr="003A1AA8">
        <w:t xml:space="preserve"> means the project abatement for the reporting period</w:t>
      </w:r>
      <w:r w:rsidR="00AE2A6F" w:rsidRPr="003A1AA8">
        <w:t>,</w:t>
      </w:r>
      <w:r w:rsidR="00813CEE" w:rsidRPr="003A1AA8">
        <w:t xml:space="preserve"> in tonnes CO</w:t>
      </w:r>
      <w:r w:rsidR="00813CEE" w:rsidRPr="003A1AA8">
        <w:rPr>
          <w:vertAlign w:val="subscript"/>
        </w:rPr>
        <w:t>2</w:t>
      </w:r>
      <w:r w:rsidR="003A1AA8">
        <w:noBreakHyphen/>
      </w:r>
      <w:r w:rsidR="00813CEE" w:rsidRPr="003A1AA8">
        <w:t>e.</w:t>
      </w:r>
    </w:p>
    <w:p w:rsidR="005E266C" w:rsidRPr="003A1AA8" w:rsidRDefault="005E266C" w:rsidP="00BD2DD4">
      <w:pPr>
        <w:pStyle w:val="Definition"/>
      </w:pPr>
      <w:proofErr w:type="spellStart"/>
      <w:r w:rsidRPr="003A1AA8">
        <w:rPr>
          <w:b/>
          <w:i/>
        </w:rPr>
        <w:t>M</w:t>
      </w:r>
      <w:r w:rsidR="00AD227D" w:rsidRPr="003A1AA8">
        <w:rPr>
          <w:b/>
          <w:i/>
          <w:vertAlign w:val="subscript"/>
        </w:rPr>
        <w:t>C</w:t>
      </w:r>
      <w:r w:rsidRPr="003A1AA8">
        <w:rPr>
          <w:b/>
          <w:i/>
          <w:vertAlign w:val="subscript"/>
        </w:rPr>
        <w:t>om,NCT</w:t>
      </w:r>
      <w:proofErr w:type="spellEnd"/>
      <w:r w:rsidR="00813CEE" w:rsidRPr="003A1AA8">
        <w:t xml:space="preserve"> means the </w:t>
      </w:r>
      <w:r w:rsidRPr="003A1AA8">
        <w:t xml:space="preserve">methane </w:t>
      </w:r>
      <w:r w:rsidR="00AD4A80" w:rsidRPr="003A1AA8">
        <w:t xml:space="preserve">combusted during the reporting period </w:t>
      </w:r>
      <w:r w:rsidR="00AD227D" w:rsidRPr="003A1AA8">
        <w:t xml:space="preserve">that was not generated from </w:t>
      </w:r>
      <w:r w:rsidR="00AD4A80" w:rsidRPr="003A1AA8">
        <w:t>carbon tax waste</w:t>
      </w:r>
      <w:r w:rsidR="00AE2A6F" w:rsidRPr="003A1AA8">
        <w:t>,</w:t>
      </w:r>
      <w:r w:rsidR="00813CEE" w:rsidRPr="003A1AA8">
        <w:t xml:space="preserve"> </w:t>
      </w:r>
      <w:r w:rsidRPr="003A1AA8">
        <w:t>in tonnes CO</w:t>
      </w:r>
      <w:r w:rsidRPr="003A1AA8">
        <w:rPr>
          <w:vertAlign w:val="subscript"/>
        </w:rPr>
        <w:t>2</w:t>
      </w:r>
      <w:r w:rsidR="003A1AA8">
        <w:noBreakHyphen/>
      </w:r>
      <w:r w:rsidR="00813CEE" w:rsidRPr="003A1AA8">
        <w:t>e</w:t>
      </w:r>
      <w:r w:rsidR="00AE2A6F" w:rsidRPr="003A1AA8">
        <w:t>,</w:t>
      </w:r>
      <w:r w:rsidR="00813CEE" w:rsidRPr="003A1AA8">
        <w:t xml:space="preserve"> worked out using equation </w:t>
      </w:r>
      <w:r w:rsidR="00656A33" w:rsidRPr="003A1AA8">
        <w:t>3</w:t>
      </w:r>
      <w:r w:rsidR="007A3FEC" w:rsidRPr="003A1AA8">
        <w:t>.</w:t>
      </w:r>
    </w:p>
    <w:p w:rsidR="005E266C" w:rsidRPr="003A1AA8" w:rsidRDefault="005E266C" w:rsidP="00BD2DD4">
      <w:pPr>
        <w:pStyle w:val="Definition"/>
      </w:pPr>
      <w:proofErr w:type="spellStart"/>
      <w:r w:rsidRPr="003A1AA8">
        <w:rPr>
          <w:b/>
          <w:i/>
        </w:rPr>
        <w:t>M</w:t>
      </w:r>
      <w:r w:rsidR="00AD227D" w:rsidRPr="003A1AA8">
        <w:rPr>
          <w:b/>
          <w:i/>
          <w:vertAlign w:val="subscript"/>
        </w:rPr>
        <w:t>Com,O</w:t>
      </w:r>
      <w:r w:rsidRPr="003A1AA8">
        <w:rPr>
          <w:b/>
          <w:i/>
          <w:vertAlign w:val="subscript"/>
        </w:rPr>
        <w:t>x</w:t>
      </w:r>
      <w:proofErr w:type="spellEnd"/>
      <w:r w:rsidR="00813CEE" w:rsidRPr="003A1AA8">
        <w:t xml:space="preserve"> means the </w:t>
      </w:r>
      <w:r w:rsidRPr="003A1AA8">
        <w:t xml:space="preserve">methane </w:t>
      </w:r>
      <w:r w:rsidR="00AD4A80" w:rsidRPr="003A1AA8">
        <w:t xml:space="preserve">combusted during the reporting period that was </w:t>
      </w:r>
      <w:r w:rsidR="005B5F67" w:rsidRPr="003A1AA8">
        <w:t xml:space="preserve">not </w:t>
      </w:r>
      <w:r w:rsidRPr="003A1AA8">
        <w:t>generated from</w:t>
      </w:r>
      <w:r w:rsidR="005B5F67" w:rsidRPr="003A1AA8">
        <w:t xml:space="preserve"> </w:t>
      </w:r>
      <w:r w:rsidRPr="003A1AA8">
        <w:t xml:space="preserve">carbon tax waste </w:t>
      </w:r>
      <w:r w:rsidR="00AD4A80" w:rsidRPr="003A1AA8">
        <w:t xml:space="preserve">and </w:t>
      </w:r>
      <w:r w:rsidR="00342CBC" w:rsidRPr="003A1AA8">
        <w:t>that</w:t>
      </w:r>
      <w:r w:rsidR="00813CEE" w:rsidRPr="003A1AA8">
        <w:t>,</w:t>
      </w:r>
      <w:r w:rsidRPr="003A1AA8">
        <w:t xml:space="preserve"> </w:t>
      </w:r>
      <w:r w:rsidR="006332CA" w:rsidRPr="003A1AA8">
        <w:t>without</w:t>
      </w:r>
      <w:r w:rsidR="00E514FB" w:rsidRPr="003A1AA8">
        <w:t xml:space="preserve"> the project</w:t>
      </w:r>
      <w:r w:rsidR="00813CEE" w:rsidRPr="003A1AA8">
        <w:t>,</w:t>
      </w:r>
      <w:r w:rsidRPr="003A1AA8">
        <w:t xml:space="preserve"> would have been oxidised in near</w:t>
      </w:r>
      <w:r w:rsidR="001C7F71" w:rsidRPr="003A1AA8">
        <w:t xml:space="preserve"> surface conditions of landfill</w:t>
      </w:r>
      <w:r w:rsidR="00AE2A6F" w:rsidRPr="003A1AA8">
        <w:t>,</w:t>
      </w:r>
      <w:r w:rsidRPr="003A1AA8">
        <w:t xml:space="preserve"> in tonnes CO</w:t>
      </w:r>
      <w:r w:rsidRPr="003A1AA8">
        <w:rPr>
          <w:vertAlign w:val="subscript"/>
        </w:rPr>
        <w:t>2</w:t>
      </w:r>
      <w:r w:rsidR="003A1AA8">
        <w:noBreakHyphen/>
      </w:r>
      <w:r w:rsidRPr="003A1AA8">
        <w:t>e</w:t>
      </w:r>
      <w:r w:rsidR="00AE2A6F" w:rsidRPr="003A1AA8">
        <w:t>,</w:t>
      </w:r>
      <w:r w:rsidR="001C7F71" w:rsidRPr="003A1AA8">
        <w:t xml:space="preserve"> worked out using equation </w:t>
      </w:r>
      <w:r w:rsidR="001E4EE7" w:rsidRPr="003A1AA8">
        <w:t>1</w:t>
      </w:r>
      <w:r w:rsidR="00656A33" w:rsidRPr="003A1AA8">
        <w:t>1</w:t>
      </w:r>
      <w:r w:rsidR="007A3FEC" w:rsidRPr="003A1AA8">
        <w:t>.</w:t>
      </w:r>
    </w:p>
    <w:p w:rsidR="00913619" w:rsidRPr="003A1AA8" w:rsidRDefault="006B1D9F" w:rsidP="001C7F71">
      <w:pPr>
        <w:pStyle w:val="ActHead5"/>
      </w:pPr>
      <w:bookmarkStart w:id="34" w:name="_Ref372282315"/>
      <w:bookmarkStart w:id="35" w:name="_Ref380572653"/>
      <w:bookmarkStart w:id="36" w:name="_Toc407104163"/>
      <w:r w:rsidRPr="003A1AA8">
        <w:rPr>
          <w:rStyle w:val="CharSectno"/>
        </w:rPr>
        <w:t>21</w:t>
      </w:r>
      <w:r w:rsidR="001C7F71" w:rsidRPr="003A1AA8">
        <w:t xml:space="preserve">  </w:t>
      </w:r>
      <w:r w:rsidR="001C7F71" w:rsidRPr="003A1AA8">
        <w:rPr>
          <w:szCs w:val="24"/>
        </w:rPr>
        <w:t xml:space="preserve">Methane </w:t>
      </w:r>
      <w:r w:rsidR="009E0012" w:rsidRPr="003A1AA8">
        <w:rPr>
          <w:szCs w:val="24"/>
        </w:rPr>
        <w:t xml:space="preserve">combusted that was not generated from </w:t>
      </w:r>
      <w:r w:rsidR="001C7F71" w:rsidRPr="003A1AA8">
        <w:rPr>
          <w:szCs w:val="24"/>
        </w:rPr>
        <w:t>carbon tax waste</w:t>
      </w:r>
      <w:bookmarkEnd w:id="34"/>
      <w:bookmarkEnd w:id="35"/>
      <w:bookmarkEnd w:id="36"/>
    </w:p>
    <w:p w:rsidR="003F5D18" w:rsidRPr="003A1AA8" w:rsidRDefault="00913619" w:rsidP="003C7EAD">
      <w:pPr>
        <w:pStyle w:val="subsection"/>
      </w:pPr>
      <w:r w:rsidRPr="003A1AA8">
        <w:tab/>
      </w:r>
      <w:r w:rsidRPr="003A1AA8">
        <w:tab/>
      </w:r>
      <w:r w:rsidR="001C7F71" w:rsidRPr="003A1AA8">
        <w:t xml:space="preserve">The methane </w:t>
      </w:r>
      <w:r w:rsidR="00AD4A80" w:rsidRPr="003A1AA8">
        <w:t xml:space="preserve">combusted during the reporting period </w:t>
      </w:r>
      <w:r w:rsidR="00904529" w:rsidRPr="003A1AA8">
        <w:t xml:space="preserve">that was not </w:t>
      </w:r>
      <w:r w:rsidR="00AD4A80" w:rsidRPr="003A1AA8">
        <w:t>generated from carbon tax waste</w:t>
      </w:r>
      <w:r w:rsidR="00AE2A6F" w:rsidRPr="003A1AA8">
        <w:t>,</w:t>
      </w:r>
      <w:r w:rsidR="001C7F71" w:rsidRPr="003A1AA8">
        <w:t xml:space="preserve"> in tonnes CO</w:t>
      </w:r>
      <w:r w:rsidR="001C7F71" w:rsidRPr="003A1AA8">
        <w:rPr>
          <w:vertAlign w:val="subscript"/>
        </w:rPr>
        <w:t>2</w:t>
      </w:r>
      <w:r w:rsidR="003A1AA8">
        <w:noBreakHyphen/>
      </w:r>
      <w:r w:rsidR="001C7F71" w:rsidRPr="003A1AA8">
        <w:t>e</w:t>
      </w:r>
      <w:r w:rsidR="00AE2A6F" w:rsidRPr="003A1AA8">
        <w:t>,</w:t>
      </w:r>
      <w:r w:rsidR="001C7F71" w:rsidRPr="003A1AA8">
        <w:t xml:space="preserve"> is worked out using the formula</w:t>
      </w:r>
      <w:r w:rsidR="003F5D18" w:rsidRPr="003A1AA8">
        <w:t xml:space="preserve"> (</w:t>
      </w:r>
      <w:r w:rsidR="003F5D18" w:rsidRPr="003A1AA8">
        <w:rPr>
          <w:b/>
          <w:i/>
        </w:rPr>
        <w:t>equation 3</w:t>
      </w:r>
      <w:r w:rsidR="003F5D18" w:rsidRPr="003A1AA8">
        <w:t>):</w:t>
      </w:r>
    </w:p>
    <w:bookmarkStart w:id="37" w:name="BKCheck15B_6"/>
    <w:bookmarkEnd w:id="37"/>
    <w:p w:rsidR="00913619" w:rsidRPr="003A1AA8" w:rsidRDefault="00904529" w:rsidP="00913619">
      <w:pPr>
        <w:pStyle w:val="subsection2"/>
      </w:pPr>
      <w:r w:rsidRPr="003A1AA8">
        <w:rPr>
          <w:position w:val="-12"/>
        </w:rPr>
        <w:object w:dxaOrig="2680" w:dyaOrig="440">
          <v:shape id="_x0000_i1027" type="#_x0000_t75" style="width:134.8pt;height:20.75pt" o:ole="">
            <v:imagedata r:id="rId25" o:title=""/>
          </v:shape>
          <o:OLEObject Type="Embed" ProgID="Equation.DSMT4" ShapeID="_x0000_i1027" DrawAspect="Content" ObjectID="_1483177765" r:id="rId26"/>
        </w:object>
      </w:r>
    </w:p>
    <w:p w:rsidR="00913619" w:rsidRPr="003A1AA8" w:rsidRDefault="003F5D18" w:rsidP="00913619">
      <w:pPr>
        <w:pStyle w:val="subsection2"/>
      </w:pPr>
      <w:r w:rsidRPr="003A1AA8">
        <w:t>w</w:t>
      </w:r>
      <w:r w:rsidR="00913619" w:rsidRPr="003A1AA8">
        <w:t>here:</w:t>
      </w:r>
    </w:p>
    <w:p w:rsidR="005E266C" w:rsidRPr="003A1AA8" w:rsidRDefault="005E266C" w:rsidP="00BD2DD4">
      <w:pPr>
        <w:pStyle w:val="Definition"/>
      </w:pPr>
      <w:proofErr w:type="spellStart"/>
      <w:r w:rsidRPr="003A1AA8">
        <w:rPr>
          <w:b/>
          <w:i/>
        </w:rPr>
        <w:t>M</w:t>
      </w:r>
      <w:r w:rsidR="00904529" w:rsidRPr="003A1AA8">
        <w:rPr>
          <w:b/>
          <w:i/>
          <w:vertAlign w:val="subscript"/>
        </w:rPr>
        <w:t>C</w:t>
      </w:r>
      <w:r w:rsidRPr="003A1AA8">
        <w:rPr>
          <w:b/>
          <w:i/>
          <w:vertAlign w:val="subscript"/>
        </w:rPr>
        <w:t>om,NCT</w:t>
      </w:r>
      <w:proofErr w:type="spellEnd"/>
      <w:r w:rsidR="003F5D18" w:rsidRPr="003A1AA8">
        <w:t xml:space="preserve"> means the methane </w:t>
      </w:r>
      <w:r w:rsidR="00AD4A80" w:rsidRPr="003A1AA8">
        <w:t xml:space="preserve">combusted during the reporting period </w:t>
      </w:r>
      <w:r w:rsidR="00904529" w:rsidRPr="003A1AA8">
        <w:t xml:space="preserve">that was not </w:t>
      </w:r>
      <w:r w:rsidR="00AD4A80" w:rsidRPr="003A1AA8">
        <w:t>generated from carbon tax waste</w:t>
      </w:r>
      <w:r w:rsidR="00AE2A6F" w:rsidRPr="003A1AA8">
        <w:t>,</w:t>
      </w:r>
      <w:r w:rsidR="003F5D18" w:rsidRPr="003A1AA8">
        <w:t xml:space="preserve"> in tonnes CO</w:t>
      </w:r>
      <w:r w:rsidR="003F5D18" w:rsidRPr="003A1AA8">
        <w:rPr>
          <w:vertAlign w:val="subscript"/>
        </w:rPr>
        <w:t>2</w:t>
      </w:r>
      <w:r w:rsidR="003A1AA8">
        <w:noBreakHyphen/>
      </w:r>
      <w:r w:rsidR="003F5D18" w:rsidRPr="003A1AA8">
        <w:t>e.</w:t>
      </w:r>
    </w:p>
    <w:p w:rsidR="00913619" w:rsidRPr="003A1AA8" w:rsidRDefault="00913619" w:rsidP="00BD2DD4">
      <w:pPr>
        <w:pStyle w:val="Definition"/>
      </w:pPr>
      <w:r w:rsidRPr="003A1AA8">
        <w:rPr>
          <w:b/>
          <w:i/>
        </w:rPr>
        <w:t>γ</w:t>
      </w:r>
      <w:r w:rsidR="003F5D18" w:rsidRPr="003A1AA8">
        <w:t xml:space="preserve"> means the f</w:t>
      </w:r>
      <w:r w:rsidRPr="003A1AA8">
        <w:t>actor to convert cubic metres of methane at standard conditions to tonnes of CO</w:t>
      </w:r>
      <w:r w:rsidRPr="003A1AA8">
        <w:rPr>
          <w:vertAlign w:val="subscript"/>
        </w:rPr>
        <w:t>2</w:t>
      </w:r>
      <w:r w:rsidR="003A1AA8">
        <w:noBreakHyphen/>
      </w:r>
      <w:r w:rsidRPr="003A1AA8">
        <w:t>e</w:t>
      </w:r>
      <w:r w:rsidR="003F5D18" w:rsidRPr="003A1AA8">
        <w:t xml:space="preserve"> worked out using </w:t>
      </w:r>
      <w:r w:rsidR="003B6350" w:rsidRPr="003A1AA8">
        <w:t>subsection</w:t>
      </w:r>
      <w:r w:rsidR="003A1AA8" w:rsidRPr="003A1AA8">
        <w:t> </w:t>
      </w:r>
      <w:r w:rsidR="003B6350" w:rsidRPr="003A1AA8">
        <w:t xml:space="preserve">5.4(1) </w:t>
      </w:r>
      <w:r w:rsidRPr="003A1AA8">
        <w:t xml:space="preserve">of the </w:t>
      </w:r>
      <w:proofErr w:type="spellStart"/>
      <w:r w:rsidRPr="003A1AA8">
        <w:t>NGER</w:t>
      </w:r>
      <w:proofErr w:type="spellEnd"/>
      <w:r w:rsidRPr="003A1AA8">
        <w:t xml:space="preserve"> (Measurement) Determination</w:t>
      </w:r>
      <w:r w:rsidR="00D0034E" w:rsidRPr="003A1AA8">
        <w:t>.</w:t>
      </w:r>
    </w:p>
    <w:p w:rsidR="006332CA" w:rsidRPr="003A1AA8" w:rsidRDefault="005E266C" w:rsidP="006332CA">
      <w:pPr>
        <w:pStyle w:val="Definition"/>
        <w:rPr>
          <w:b/>
        </w:rPr>
      </w:pPr>
      <w:proofErr w:type="spellStart"/>
      <w:r w:rsidRPr="003A1AA8">
        <w:rPr>
          <w:b/>
          <w:i/>
        </w:rPr>
        <w:t>W</w:t>
      </w:r>
      <w:r w:rsidRPr="003A1AA8">
        <w:rPr>
          <w:b/>
          <w:i/>
          <w:vertAlign w:val="subscript"/>
        </w:rPr>
        <w:t>NCT</w:t>
      </w:r>
      <w:proofErr w:type="spellEnd"/>
      <w:r w:rsidR="003F5D18" w:rsidRPr="003A1AA8">
        <w:t xml:space="preserve"> means the </w:t>
      </w:r>
      <w:r w:rsidR="00483625" w:rsidRPr="003A1AA8">
        <w:t xml:space="preserve">proportion of the methane combusted during the reporting period that was not </w:t>
      </w:r>
      <w:r w:rsidR="003F5D18" w:rsidRPr="003A1AA8">
        <w:t>generated from carbon tax waste</w:t>
      </w:r>
      <w:r w:rsidR="006332CA" w:rsidRPr="003A1AA8">
        <w:t xml:space="preserve"> </w:t>
      </w:r>
      <w:r w:rsidR="00BD2DD4" w:rsidRPr="003A1AA8">
        <w:t xml:space="preserve">worked </w:t>
      </w:r>
      <w:r w:rsidR="001D28B2" w:rsidRPr="003A1AA8">
        <w:t xml:space="preserve">out </w:t>
      </w:r>
      <w:r w:rsidR="007A3FEC" w:rsidRPr="003A1AA8">
        <w:t>using equation 4.</w:t>
      </w:r>
    </w:p>
    <w:p w:rsidR="00913619" w:rsidRPr="003A1AA8" w:rsidRDefault="00913619" w:rsidP="00BD2DD4">
      <w:pPr>
        <w:pStyle w:val="Definition"/>
      </w:pPr>
      <w:proofErr w:type="spellStart"/>
      <w:r w:rsidRPr="003A1AA8">
        <w:rPr>
          <w:b/>
          <w:i/>
        </w:rPr>
        <w:t>M</w:t>
      </w:r>
      <w:r w:rsidR="00904529" w:rsidRPr="003A1AA8">
        <w:rPr>
          <w:b/>
          <w:i/>
          <w:vertAlign w:val="subscript"/>
        </w:rPr>
        <w:t>C</w:t>
      </w:r>
      <w:r w:rsidRPr="003A1AA8">
        <w:rPr>
          <w:b/>
          <w:i/>
          <w:vertAlign w:val="subscript"/>
        </w:rPr>
        <w:t>om</w:t>
      </w:r>
      <w:proofErr w:type="spellEnd"/>
      <w:r w:rsidR="00483625" w:rsidRPr="003A1AA8">
        <w:t xml:space="preserve"> means the </w:t>
      </w:r>
      <w:r w:rsidRPr="003A1AA8">
        <w:t xml:space="preserve">methane </w:t>
      </w:r>
      <w:r w:rsidR="00904529" w:rsidRPr="003A1AA8">
        <w:t xml:space="preserve">that was </w:t>
      </w:r>
      <w:r w:rsidRPr="003A1AA8">
        <w:t xml:space="preserve">combusted </w:t>
      </w:r>
      <w:r w:rsidR="00483625" w:rsidRPr="003A1AA8">
        <w:t>during the reporting period</w:t>
      </w:r>
      <w:r w:rsidR="00AE2A6F" w:rsidRPr="003A1AA8">
        <w:t>,</w:t>
      </w:r>
      <w:r w:rsidR="00483625" w:rsidRPr="003A1AA8">
        <w:t xml:space="preserve"> in cubic metres</w:t>
      </w:r>
      <w:r w:rsidR="00AE2A6F" w:rsidRPr="003A1AA8">
        <w:t>,</w:t>
      </w:r>
      <w:r w:rsidR="00483625" w:rsidRPr="003A1AA8">
        <w:t xml:space="preserve"> worked out using equation </w:t>
      </w:r>
      <w:r w:rsidR="001D28B2" w:rsidRPr="003A1AA8">
        <w:t>5</w:t>
      </w:r>
      <w:r w:rsidR="00580A1A" w:rsidRPr="003A1AA8">
        <w:t>.</w:t>
      </w:r>
    </w:p>
    <w:p w:rsidR="00A87273" w:rsidRPr="003A1AA8" w:rsidRDefault="006B1D9F" w:rsidP="00A87273">
      <w:pPr>
        <w:pStyle w:val="ActHead5"/>
      </w:pPr>
      <w:bookmarkStart w:id="38" w:name="_Toc407104164"/>
      <w:r w:rsidRPr="003A1AA8">
        <w:rPr>
          <w:rStyle w:val="CharSectno"/>
        </w:rPr>
        <w:lastRenderedPageBreak/>
        <w:t>22</w:t>
      </w:r>
      <w:r w:rsidR="00A87273" w:rsidRPr="003A1AA8">
        <w:rPr>
          <w:bCs/>
          <w:iCs/>
        </w:rPr>
        <w:t xml:space="preserve">  </w:t>
      </w:r>
      <w:r w:rsidR="001D28B2" w:rsidRPr="003A1AA8">
        <w:rPr>
          <w:bCs/>
          <w:iCs/>
        </w:rPr>
        <w:t>Proportion of m</w:t>
      </w:r>
      <w:r w:rsidR="00A87273" w:rsidRPr="003A1AA8">
        <w:t xml:space="preserve">ethane combusted that was not generated from </w:t>
      </w:r>
      <w:r w:rsidR="00803ADC" w:rsidRPr="003A1AA8">
        <w:t>carbon tax waste</w:t>
      </w:r>
      <w:bookmarkEnd w:id="38"/>
    </w:p>
    <w:p w:rsidR="00A87273" w:rsidRPr="003A1AA8" w:rsidRDefault="00913619" w:rsidP="003C7EAD">
      <w:pPr>
        <w:pStyle w:val="subsection"/>
      </w:pPr>
      <w:r w:rsidRPr="003A1AA8">
        <w:tab/>
      </w:r>
      <w:r w:rsidR="000A26E2" w:rsidRPr="003A1AA8">
        <w:t>(1)</w:t>
      </w:r>
      <w:r w:rsidRPr="003A1AA8">
        <w:tab/>
        <w:t xml:space="preserve">The </w:t>
      </w:r>
      <w:r w:rsidR="00A87273" w:rsidRPr="003A1AA8">
        <w:t xml:space="preserve">proportion of the methane </w:t>
      </w:r>
      <w:r w:rsidR="00AD4A80" w:rsidRPr="003A1AA8">
        <w:t xml:space="preserve">combusted during the reporting period </w:t>
      </w:r>
      <w:r w:rsidR="00904529" w:rsidRPr="003A1AA8">
        <w:t xml:space="preserve">that was not </w:t>
      </w:r>
      <w:r w:rsidR="00AD4A80" w:rsidRPr="003A1AA8">
        <w:t>generated from carbon tax waste</w:t>
      </w:r>
      <w:r w:rsidR="00AE2A6F" w:rsidRPr="003A1AA8">
        <w:t>,</w:t>
      </w:r>
      <w:r w:rsidR="00904529" w:rsidRPr="003A1AA8">
        <w:t xml:space="preserve"> in cubic metres</w:t>
      </w:r>
      <w:r w:rsidR="00AE2A6F" w:rsidRPr="003A1AA8">
        <w:t>,</w:t>
      </w:r>
      <w:r w:rsidR="00A87273" w:rsidRPr="003A1AA8">
        <w:t xml:space="preserve"> is worked out using the formula (</w:t>
      </w:r>
      <w:r w:rsidR="00A87273" w:rsidRPr="003A1AA8">
        <w:rPr>
          <w:b/>
          <w:i/>
        </w:rPr>
        <w:t>equation 4</w:t>
      </w:r>
      <w:r w:rsidR="00A87273" w:rsidRPr="003A1AA8">
        <w:t>):</w:t>
      </w:r>
    </w:p>
    <w:bookmarkStart w:id="39" w:name="BKCheck15B_7"/>
    <w:bookmarkEnd w:id="39"/>
    <w:p w:rsidR="00913619" w:rsidRPr="003A1AA8" w:rsidRDefault="00E445F7" w:rsidP="00913619">
      <w:pPr>
        <w:pStyle w:val="subsection2"/>
      </w:pPr>
      <w:r w:rsidRPr="003A1AA8">
        <w:rPr>
          <w:position w:val="-42"/>
        </w:rPr>
        <w:object w:dxaOrig="2920" w:dyaOrig="940">
          <v:shape id="_x0000_i1028" type="#_x0000_t75" style="width:145.75pt;height:47.8pt" o:ole="">
            <v:imagedata r:id="rId27" o:title=""/>
          </v:shape>
          <o:OLEObject Type="Embed" ProgID="Equation.DSMT4" ShapeID="_x0000_i1028" DrawAspect="Content" ObjectID="_1483177766" r:id="rId28"/>
        </w:object>
      </w:r>
    </w:p>
    <w:p w:rsidR="00913619" w:rsidRPr="003A1AA8" w:rsidRDefault="00A87273" w:rsidP="00913619">
      <w:pPr>
        <w:pStyle w:val="subsection2"/>
      </w:pPr>
      <w:r w:rsidRPr="003A1AA8">
        <w:t>w</w:t>
      </w:r>
      <w:r w:rsidR="00913619" w:rsidRPr="003A1AA8">
        <w:t>here:</w:t>
      </w:r>
    </w:p>
    <w:p w:rsidR="00A87273" w:rsidRPr="003A1AA8" w:rsidRDefault="005E266C" w:rsidP="00BD2DD4">
      <w:pPr>
        <w:pStyle w:val="Definition"/>
      </w:pPr>
      <w:proofErr w:type="spellStart"/>
      <w:r w:rsidRPr="003A1AA8">
        <w:rPr>
          <w:b/>
          <w:i/>
        </w:rPr>
        <w:t>W</w:t>
      </w:r>
      <w:r w:rsidRPr="003A1AA8">
        <w:rPr>
          <w:b/>
          <w:i/>
          <w:vertAlign w:val="subscript"/>
        </w:rPr>
        <w:t>NCT</w:t>
      </w:r>
      <w:proofErr w:type="spellEnd"/>
      <w:r w:rsidR="00A87273" w:rsidRPr="003A1AA8">
        <w:t xml:space="preserve"> means </w:t>
      </w:r>
      <w:r w:rsidR="00803ADC" w:rsidRPr="003A1AA8">
        <w:t>the proportion of the methane combusted during the reporting period that was not generated from carbon tax waste</w:t>
      </w:r>
      <w:r w:rsidR="00A87273" w:rsidRPr="003A1AA8">
        <w:t>.</w:t>
      </w:r>
    </w:p>
    <w:p w:rsidR="001D28B2" w:rsidRPr="003A1AA8" w:rsidRDefault="001D28B2" w:rsidP="001D28B2">
      <w:pPr>
        <w:pStyle w:val="Definition"/>
      </w:pPr>
      <w:proofErr w:type="spellStart"/>
      <w:r w:rsidRPr="003A1AA8">
        <w:rPr>
          <w:b/>
          <w:i/>
        </w:rPr>
        <w:t>M</w:t>
      </w:r>
      <w:r w:rsidR="00904529" w:rsidRPr="003A1AA8">
        <w:rPr>
          <w:b/>
          <w:i/>
          <w:vertAlign w:val="subscript"/>
        </w:rPr>
        <w:t>C</w:t>
      </w:r>
      <w:r w:rsidRPr="003A1AA8">
        <w:rPr>
          <w:b/>
          <w:i/>
          <w:vertAlign w:val="subscript"/>
        </w:rPr>
        <w:t>om,y</w:t>
      </w:r>
      <w:proofErr w:type="spellEnd"/>
      <w:r w:rsidRPr="003A1AA8">
        <w:t xml:space="preserve"> means the methane combusted in financial year </w:t>
      </w:r>
      <w:r w:rsidR="00406E2F" w:rsidRPr="003A1AA8">
        <w:t>y</w:t>
      </w:r>
      <w:r w:rsidR="00AE2A6F" w:rsidRPr="003A1AA8">
        <w:t>,</w:t>
      </w:r>
      <w:r w:rsidRPr="003A1AA8">
        <w:t xml:space="preserve"> in cubic metres</w:t>
      </w:r>
      <w:r w:rsidR="00AE2A6F" w:rsidRPr="003A1AA8">
        <w:t>,</w:t>
      </w:r>
      <w:r w:rsidRPr="003A1AA8">
        <w:t xml:space="preserve"> worked out using equation 5 as if a reporting period were a f</w:t>
      </w:r>
      <w:r w:rsidR="007A3FEC" w:rsidRPr="003A1AA8">
        <w:t>inancial year.</w:t>
      </w:r>
    </w:p>
    <w:p w:rsidR="001D28B2" w:rsidRPr="003A1AA8" w:rsidRDefault="001D28B2" w:rsidP="001D28B2">
      <w:pPr>
        <w:pStyle w:val="Definition"/>
        <w:rPr>
          <w:b/>
        </w:rPr>
      </w:pPr>
      <w:proofErr w:type="spellStart"/>
      <w:r w:rsidRPr="003A1AA8">
        <w:rPr>
          <w:b/>
          <w:i/>
        </w:rPr>
        <w:t>M</w:t>
      </w:r>
      <w:r w:rsidR="00904529" w:rsidRPr="003A1AA8">
        <w:rPr>
          <w:b/>
          <w:i/>
          <w:vertAlign w:val="subscript"/>
        </w:rPr>
        <w:t>C</w:t>
      </w:r>
      <w:r w:rsidRPr="003A1AA8">
        <w:rPr>
          <w:b/>
          <w:i/>
          <w:vertAlign w:val="subscript"/>
        </w:rPr>
        <w:t>om</w:t>
      </w:r>
      <w:proofErr w:type="spellEnd"/>
      <w:r w:rsidRPr="003A1AA8">
        <w:t xml:space="preserve"> means the methane combusted during the reporting period</w:t>
      </w:r>
      <w:r w:rsidR="00AE2A6F" w:rsidRPr="003A1AA8">
        <w:t>,</w:t>
      </w:r>
      <w:r w:rsidRPr="003A1AA8">
        <w:t xml:space="preserve"> in cubic met</w:t>
      </w:r>
      <w:r w:rsidR="007A3FEC" w:rsidRPr="003A1AA8">
        <w:t>res</w:t>
      </w:r>
      <w:r w:rsidR="00AE2A6F" w:rsidRPr="003A1AA8">
        <w:t>,</w:t>
      </w:r>
      <w:r w:rsidR="007A3FEC" w:rsidRPr="003A1AA8">
        <w:t xml:space="preserve"> worked out using equation 5.</w:t>
      </w:r>
    </w:p>
    <w:p w:rsidR="001D28B2" w:rsidRPr="003A1AA8" w:rsidRDefault="001D28B2" w:rsidP="001D28B2">
      <w:pPr>
        <w:pStyle w:val="Definition"/>
      </w:pPr>
      <w:proofErr w:type="spellStart"/>
      <w:r w:rsidRPr="003A1AA8">
        <w:rPr>
          <w:b/>
          <w:i/>
        </w:rPr>
        <w:t>M</w:t>
      </w:r>
      <w:r w:rsidRPr="003A1AA8">
        <w:rPr>
          <w:b/>
          <w:i/>
          <w:vertAlign w:val="subscript"/>
        </w:rPr>
        <w:t>CTW,y</w:t>
      </w:r>
      <w:proofErr w:type="spellEnd"/>
      <w:r w:rsidRPr="003A1AA8">
        <w:t xml:space="preserve"> means the methane generated by the landfill from carbon tax waste in financial year </w:t>
      </w:r>
      <w:r w:rsidR="00406E2F" w:rsidRPr="003A1AA8">
        <w:t>y</w:t>
      </w:r>
      <w:r w:rsidRPr="003A1AA8">
        <w:t xml:space="preserve"> in tonnes of CO</w:t>
      </w:r>
      <w:r w:rsidRPr="003A1AA8">
        <w:rPr>
          <w:vertAlign w:val="subscript"/>
        </w:rPr>
        <w:t>2</w:t>
      </w:r>
      <w:r w:rsidR="003A1AA8">
        <w:noBreakHyphen/>
      </w:r>
      <w:r w:rsidRPr="003A1AA8">
        <w:t>e calculated in</w:t>
      </w:r>
      <w:r w:rsidR="007A3FEC" w:rsidRPr="003A1AA8">
        <w:t xml:space="preserve"> accordance with </w:t>
      </w:r>
      <w:r w:rsidR="003A1AA8" w:rsidRPr="003A1AA8">
        <w:t>subsection (</w:t>
      </w:r>
      <w:r w:rsidR="00904529" w:rsidRPr="003A1AA8">
        <w:t>2</w:t>
      </w:r>
      <w:r w:rsidR="007A3FEC" w:rsidRPr="003A1AA8">
        <w:t>).</w:t>
      </w:r>
    </w:p>
    <w:p w:rsidR="005E266C" w:rsidRPr="003A1AA8" w:rsidRDefault="005E266C" w:rsidP="00BD2DD4">
      <w:pPr>
        <w:pStyle w:val="Definition"/>
      </w:pPr>
      <w:proofErr w:type="spellStart"/>
      <w:r w:rsidRPr="003A1AA8">
        <w:rPr>
          <w:b/>
          <w:i/>
        </w:rPr>
        <w:t>M</w:t>
      </w:r>
      <w:r w:rsidR="005B5F67" w:rsidRPr="003A1AA8">
        <w:rPr>
          <w:b/>
          <w:i/>
          <w:vertAlign w:val="subscript"/>
        </w:rPr>
        <w:t>Gen</w:t>
      </w:r>
      <w:r w:rsidRPr="003A1AA8">
        <w:rPr>
          <w:b/>
          <w:i/>
          <w:vertAlign w:val="subscript"/>
        </w:rPr>
        <w:t>,y</w:t>
      </w:r>
      <w:proofErr w:type="spellEnd"/>
      <w:r w:rsidR="00BD2DD4" w:rsidRPr="003A1AA8">
        <w:t xml:space="preserve"> means the </w:t>
      </w:r>
      <w:r w:rsidRPr="003A1AA8">
        <w:t xml:space="preserve">methane generated by the landfill in financial year </w:t>
      </w:r>
      <w:r w:rsidR="00406E2F" w:rsidRPr="003A1AA8">
        <w:t>y</w:t>
      </w:r>
      <w:r w:rsidR="00AE2A6F" w:rsidRPr="003A1AA8">
        <w:t>,</w:t>
      </w:r>
      <w:r w:rsidRPr="003A1AA8">
        <w:t xml:space="preserve"> in tonnes CO</w:t>
      </w:r>
      <w:r w:rsidRPr="003A1AA8">
        <w:rPr>
          <w:vertAlign w:val="subscript"/>
        </w:rPr>
        <w:t>2</w:t>
      </w:r>
      <w:r w:rsidR="003A1AA8">
        <w:noBreakHyphen/>
      </w:r>
      <w:r w:rsidRPr="003A1AA8">
        <w:t>e</w:t>
      </w:r>
      <w:r w:rsidR="00AE2A6F" w:rsidRPr="003A1AA8">
        <w:t>,</w:t>
      </w:r>
      <w:r w:rsidR="00BD2DD4" w:rsidRPr="003A1AA8">
        <w:t xml:space="preserve"> </w:t>
      </w:r>
      <w:r w:rsidR="00803ADC" w:rsidRPr="003A1AA8">
        <w:t xml:space="preserve">calculated in accordance with </w:t>
      </w:r>
      <w:r w:rsidR="003A1AA8" w:rsidRPr="003A1AA8">
        <w:t>subsection (</w:t>
      </w:r>
      <w:r w:rsidR="00904529" w:rsidRPr="003A1AA8">
        <w:t>3</w:t>
      </w:r>
      <w:r w:rsidR="009C208A" w:rsidRPr="003A1AA8">
        <w:t>)</w:t>
      </w:r>
      <w:r w:rsidR="007A3FEC" w:rsidRPr="003A1AA8">
        <w:t>.</w:t>
      </w:r>
    </w:p>
    <w:p w:rsidR="00913619" w:rsidRPr="003A1AA8" w:rsidRDefault="00913619" w:rsidP="00BD2DD4">
      <w:pPr>
        <w:pStyle w:val="Definition"/>
      </w:pPr>
      <w:r w:rsidRPr="003A1AA8">
        <w:rPr>
          <w:b/>
          <w:i/>
        </w:rPr>
        <w:t>y</w:t>
      </w:r>
      <w:r w:rsidR="00BD2DD4" w:rsidRPr="003A1AA8">
        <w:t xml:space="preserve"> means </w:t>
      </w:r>
      <w:r w:rsidR="00BD7F3C" w:rsidRPr="003A1AA8">
        <w:t>a</w:t>
      </w:r>
      <w:r w:rsidR="00BD2DD4" w:rsidRPr="003A1AA8">
        <w:t xml:space="preserve"> </w:t>
      </w:r>
      <w:r w:rsidRPr="003A1AA8">
        <w:t xml:space="preserve">financial year </w:t>
      </w:r>
      <w:r w:rsidR="0097780B" w:rsidRPr="003A1AA8">
        <w:t>covered (either part</w:t>
      </w:r>
      <w:r w:rsidR="00AE2A6F" w:rsidRPr="003A1AA8">
        <w:t>l</w:t>
      </w:r>
      <w:r w:rsidR="0097780B" w:rsidRPr="003A1AA8">
        <w:t>y or fully) by the reporting period</w:t>
      </w:r>
      <w:r w:rsidR="00BD2DD4" w:rsidRPr="003A1AA8">
        <w:t>.</w:t>
      </w:r>
    </w:p>
    <w:p w:rsidR="00904529" w:rsidRPr="003A1AA8" w:rsidRDefault="00904529" w:rsidP="00904529">
      <w:pPr>
        <w:pStyle w:val="notetext"/>
      </w:pPr>
      <w:r w:rsidRPr="003A1AA8">
        <w:t>Note:</w:t>
      </w:r>
      <w:r w:rsidRPr="003A1AA8">
        <w:tab/>
        <w:t>The summation of this equation over financial years is to cover circumstances where reporting periods span financial years.</w:t>
      </w:r>
    </w:p>
    <w:p w:rsidR="00904529" w:rsidRPr="003A1AA8" w:rsidRDefault="00904529" w:rsidP="00904529">
      <w:pPr>
        <w:pStyle w:val="SubsectionHead"/>
      </w:pPr>
      <w:r w:rsidRPr="003A1AA8">
        <w:t xml:space="preserve">Methane generated from carbon tax waste in financial year </w:t>
      </w:r>
      <w:r w:rsidR="00406E2F" w:rsidRPr="003A1AA8">
        <w:t>y</w:t>
      </w:r>
    </w:p>
    <w:p w:rsidR="00904529" w:rsidRPr="003A1AA8" w:rsidRDefault="00904529" w:rsidP="00904529">
      <w:pPr>
        <w:pStyle w:val="subsection"/>
      </w:pPr>
      <w:r w:rsidRPr="003A1AA8">
        <w:tab/>
        <w:t>(2)</w:t>
      </w:r>
      <w:r w:rsidRPr="003A1AA8">
        <w:tab/>
      </w:r>
      <w:r w:rsidR="00F22761" w:rsidRPr="003A1AA8">
        <w:t>The methane generated by the landfill from carbon tax waste in financial year y</w:t>
      </w:r>
      <w:r w:rsidR="00AE2A6F" w:rsidRPr="003A1AA8">
        <w:t>,</w:t>
      </w:r>
      <w:r w:rsidR="00F22761" w:rsidRPr="003A1AA8">
        <w:t xml:space="preserve"> in tonnes of CO</w:t>
      </w:r>
      <w:r w:rsidR="00F22761" w:rsidRPr="003A1AA8">
        <w:rPr>
          <w:vertAlign w:val="subscript"/>
        </w:rPr>
        <w:t>2</w:t>
      </w:r>
      <w:r w:rsidR="003A1AA8">
        <w:noBreakHyphen/>
      </w:r>
      <w:r w:rsidR="00F22761" w:rsidRPr="003A1AA8">
        <w:t>e</w:t>
      </w:r>
      <w:r w:rsidR="00AE2A6F" w:rsidRPr="003A1AA8">
        <w:t>,</w:t>
      </w:r>
      <w:r w:rsidR="00F22761" w:rsidRPr="003A1AA8">
        <w:t xml:space="preserve"> </w:t>
      </w:r>
      <w:r w:rsidRPr="003A1AA8">
        <w:t xml:space="preserve">is equivalent to parameter </w:t>
      </w:r>
      <w:r w:rsidRPr="003A1AA8">
        <w:rPr>
          <w:bCs/>
        </w:rPr>
        <w:t>CH</w:t>
      </w:r>
      <w:r w:rsidRPr="003A1AA8">
        <w:rPr>
          <w:bCs/>
          <w:vertAlign w:val="subscript"/>
        </w:rPr>
        <w:t>4gen</w:t>
      </w:r>
      <w:r w:rsidRPr="003A1AA8">
        <w:t xml:space="preserve"> calculated:</w:t>
      </w:r>
    </w:p>
    <w:p w:rsidR="00904529" w:rsidRPr="003A1AA8" w:rsidRDefault="00904529" w:rsidP="00904529">
      <w:pPr>
        <w:pStyle w:val="paragraph"/>
        <w:rPr>
          <w:iCs/>
        </w:rPr>
      </w:pPr>
      <w:r w:rsidRPr="003A1AA8">
        <w:tab/>
        <w:t>(a)</w:t>
      </w:r>
      <w:r w:rsidRPr="003A1AA8">
        <w:tab/>
        <w:t>under Part</w:t>
      </w:r>
      <w:r w:rsidR="003A1AA8" w:rsidRPr="003A1AA8">
        <w:t> </w:t>
      </w:r>
      <w:r w:rsidRPr="003A1AA8">
        <w:t xml:space="preserve">5.2 of the </w:t>
      </w:r>
      <w:proofErr w:type="spellStart"/>
      <w:r w:rsidRPr="003A1AA8">
        <w:rPr>
          <w:iCs/>
        </w:rPr>
        <w:t>NGER</w:t>
      </w:r>
      <w:proofErr w:type="spellEnd"/>
      <w:r w:rsidRPr="003A1AA8">
        <w:rPr>
          <w:iCs/>
        </w:rPr>
        <w:t xml:space="preserve"> (Measurement) Determination; and</w:t>
      </w:r>
    </w:p>
    <w:p w:rsidR="00904529" w:rsidRPr="003A1AA8" w:rsidRDefault="00904529" w:rsidP="00904529">
      <w:pPr>
        <w:pStyle w:val="paragraph"/>
      </w:pPr>
      <w:r w:rsidRPr="003A1AA8">
        <w:tab/>
        <w:t>(b)</w:t>
      </w:r>
      <w:r w:rsidRPr="003A1AA8">
        <w:tab/>
        <w:t>in accordance with the following:</w:t>
      </w:r>
    </w:p>
    <w:p w:rsidR="00904529" w:rsidRPr="003A1AA8" w:rsidRDefault="00904529" w:rsidP="00904529">
      <w:pPr>
        <w:pStyle w:val="paragraphsub"/>
      </w:pPr>
      <w:r w:rsidRPr="003A1AA8">
        <w:tab/>
        <w:t>(</w:t>
      </w:r>
      <w:proofErr w:type="spellStart"/>
      <w:r w:rsidRPr="003A1AA8">
        <w:t>i</w:t>
      </w:r>
      <w:proofErr w:type="spellEnd"/>
      <w:r w:rsidRPr="003A1AA8">
        <w:t>)</w:t>
      </w:r>
      <w:r w:rsidRPr="003A1AA8">
        <w:tab/>
        <w:t xml:space="preserve">the year </w:t>
      </w:r>
      <w:r w:rsidR="00406E2F" w:rsidRPr="003A1AA8">
        <w:t>y</w:t>
      </w:r>
      <w:r w:rsidRPr="003A1AA8">
        <w:t xml:space="preserve"> for working out </w:t>
      </w:r>
      <w:proofErr w:type="spellStart"/>
      <w:r w:rsidRPr="003A1AA8">
        <w:t>M</w:t>
      </w:r>
      <w:r w:rsidRPr="003A1AA8">
        <w:rPr>
          <w:vertAlign w:val="subscript"/>
        </w:rPr>
        <w:t>CTW,y</w:t>
      </w:r>
      <w:proofErr w:type="spellEnd"/>
      <w:r w:rsidRPr="003A1AA8">
        <w:t xml:space="preserve"> is a financial year that the reporting period partially or fully covers;</w:t>
      </w:r>
    </w:p>
    <w:p w:rsidR="00904529" w:rsidRPr="003A1AA8" w:rsidRDefault="00904529" w:rsidP="00904529">
      <w:pPr>
        <w:pStyle w:val="paragraphsub"/>
      </w:pPr>
      <w:r w:rsidRPr="003A1AA8">
        <w:tab/>
        <w:t>(ii)</w:t>
      </w:r>
      <w:r w:rsidRPr="003A1AA8">
        <w:tab/>
        <w:t>the calculation is based only on carbon tax waste.</w:t>
      </w:r>
    </w:p>
    <w:p w:rsidR="00904529" w:rsidRPr="003A1AA8" w:rsidRDefault="00904529" w:rsidP="00904529">
      <w:pPr>
        <w:pStyle w:val="notetext"/>
      </w:pPr>
      <w:r w:rsidRPr="003A1AA8">
        <w:t>Note:</w:t>
      </w:r>
      <w:r w:rsidRPr="003A1AA8">
        <w:tab/>
        <w:t>See section</w:t>
      </w:r>
      <w:r w:rsidR="003A1AA8" w:rsidRPr="003A1AA8">
        <w:t> </w:t>
      </w:r>
      <w:r w:rsidR="006B1D9F" w:rsidRPr="003A1AA8">
        <w:t>6</w:t>
      </w:r>
      <w:r w:rsidRPr="003A1AA8">
        <w:t xml:space="preserve"> for the version of </w:t>
      </w:r>
      <w:proofErr w:type="spellStart"/>
      <w:r w:rsidRPr="003A1AA8">
        <w:rPr>
          <w:iCs/>
        </w:rPr>
        <w:t>NGER</w:t>
      </w:r>
      <w:proofErr w:type="spellEnd"/>
      <w:r w:rsidRPr="003A1AA8">
        <w:rPr>
          <w:iCs/>
        </w:rPr>
        <w:t xml:space="preserve"> (Measurement) Determination that must be used.</w:t>
      </w:r>
    </w:p>
    <w:p w:rsidR="00864D50" w:rsidRPr="003A1AA8" w:rsidRDefault="00864D50" w:rsidP="003B6E92">
      <w:pPr>
        <w:pStyle w:val="SubsectionHead"/>
        <w:rPr>
          <w:lang w:eastAsia="en-US"/>
        </w:rPr>
      </w:pPr>
      <w:r w:rsidRPr="003A1AA8">
        <w:t xml:space="preserve">Methane generated in year </w:t>
      </w:r>
      <w:r w:rsidR="00406E2F" w:rsidRPr="003A1AA8">
        <w:t>y</w:t>
      </w:r>
    </w:p>
    <w:p w:rsidR="00864D50" w:rsidRPr="003A1AA8" w:rsidRDefault="00904529" w:rsidP="00864D50">
      <w:pPr>
        <w:pStyle w:val="subsection"/>
      </w:pPr>
      <w:r w:rsidRPr="003A1AA8">
        <w:tab/>
        <w:t>(3</w:t>
      </w:r>
      <w:r w:rsidR="00864D50" w:rsidRPr="003A1AA8">
        <w:t>)</w:t>
      </w:r>
      <w:r w:rsidR="00864D50" w:rsidRPr="003A1AA8">
        <w:tab/>
      </w:r>
      <w:r w:rsidR="00F22761" w:rsidRPr="003A1AA8">
        <w:t>The methane generated by the landfill in year y</w:t>
      </w:r>
      <w:r w:rsidR="00AE2A6F" w:rsidRPr="003A1AA8">
        <w:t>,</w:t>
      </w:r>
      <w:r w:rsidR="00F22761" w:rsidRPr="003A1AA8">
        <w:t xml:space="preserve"> in tonnes CO</w:t>
      </w:r>
      <w:r w:rsidR="00F22761" w:rsidRPr="003A1AA8">
        <w:rPr>
          <w:vertAlign w:val="subscript"/>
        </w:rPr>
        <w:t>2</w:t>
      </w:r>
      <w:r w:rsidR="003A1AA8">
        <w:noBreakHyphen/>
      </w:r>
      <w:r w:rsidR="00F22761" w:rsidRPr="003A1AA8">
        <w:t>e</w:t>
      </w:r>
      <w:r w:rsidR="00AE2A6F" w:rsidRPr="003A1AA8">
        <w:t>,</w:t>
      </w:r>
      <w:r w:rsidR="00F22761" w:rsidRPr="003A1AA8">
        <w:t xml:space="preserve"> </w:t>
      </w:r>
      <w:r w:rsidR="00864D50" w:rsidRPr="003A1AA8">
        <w:t xml:space="preserve">is equivalent to parameter </w:t>
      </w:r>
      <w:r w:rsidR="00864D50" w:rsidRPr="003A1AA8">
        <w:rPr>
          <w:bCs/>
        </w:rPr>
        <w:t>CH</w:t>
      </w:r>
      <w:r w:rsidR="00B02FA3" w:rsidRPr="003A1AA8">
        <w:rPr>
          <w:bCs/>
          <w:vertAlign w:val="subscript"/>
        </w:rPr>
        <w:t>4gen</w:t>
      </w:r>
      <w:r w:rsidR="00864D50" w:rsidRPr="003A1AA8">
        <w:t xml:space="preserve"> calculated:</w:t>
      </w:r>
    </w:p>
    <w:p w:rsidR="000A26E2" w:rsidRPr="003A1AA8" w:rsidRDefault="00864D50" w:rsidP="00864D50">
      <w:pPr>
        <w:pStyle w:val="paragraph"/>
        <w:rPr>
          <w:iCs/>
        </w:rPr>
      </w:pPr>
      <w:r w:rsidRPr="003A1AA8">
        <w:tab/>
        <w:t>(a)</w:t>
      </w:r>
      <w:r w:rsidRPr="003A1AA8">
        <w:tab/>
        <w:t xml:space="preserve">under </w:t>
      </w:r>
      <w:r w:rsidR="00B02FA3" w:rsidRPr="003A1AA8">
        <w:t>Part</w:t>
      </w:r>
      <w:r w:rsidR="003A1AA8" w:rsidRPr="003A1AA8">
        <w:t> </w:t>
      </w:r>
      <w:r w:rsidR="00B02FA3" w:rsidRPr="003A1AA8">
        <w:t>5.2</w:t>
      </w:r>
      <w:r w:rsidRPr="003A1AA8">
        <w:t xml:space="preserve"> of the </w:t>
      </w:r>
      <w:proofErr w:type="spellStart"/>
      <w:r w:rsidRPr="003A1AA8">
        <w:rPr>
          <w:iCs/>
        </w:rPr>
        <w:t>NGER</w:t>
      </w:r>
      <w:proofErr w:type="spellEnd"/>
      <w:r w:rsidRPr="003A1AA8">
        <w:rPr>
          <w:iCs/>
        </w:rPr>
        <w:t xml:space="preserve"> (Measurement) Determination; and</w:t>
      </w:r>
    </w:p>
    <w:p w:rsidR="00F22761" w:rsidRPr="003A1AA8" w:rsidRDefault="00F22761" w:rsidP="00864D50">
      <w:pPr>
        <w:pStyle w:val="paragraph"/>
        <w:rPr>
          <w:iCs/>
        </w:rPr>
      </w:pPr>
      <w:r w:rsidRPr="003A1AA8">
        <w:rPr>
          <w:iCs/>
        </w:rPr>
        <w:tab/>
        <w:t>(b)</w:t>
      </w:r>
      <w:r w:rsidRPr="003A1AA8">
        <w:rPr>
          <w:iCs/>
        </w:rPr>
        <w:tab/>
        <w:t xml:space="preserve">with </w:t>
      </w:r>
      <w:r w:rsidRPr="003A1AA8">
        <w:t>methane generation determined for the whole landfill as if it were a single sub</w:t>
      </w:r>
      <w:r w:rsidR="003A1AA8">
        <w:noBreakHyphen/>
      </w:r>
      <w:r w:rsidRPr="003A1AA8">
        <w:t>facility zone; and</w:t>
      </w:r>
    </w:p>
    <w:p w:rsidR="00F22761" w:rsidRPr="003A1AA8" w:rsidRDefault="00F22761" w:rsidP="00864D50">
      <w:pPr>
        <w:pStyle w:val="paragraph"/>
      </w:pPr>
      <w:r w:rsidRPr="003A1AA8">
        <w:tab/>
        <w:t>(c</w:t>
      </w:r>
      <w:r w:rsidR="00864D50" w:rsidRPr="003A1AA8">
        <w:t>)</w:t>
      </w:r>
      <w:r w:rsidR="00864D50" w:rsidRPr="003A1AA8">
        <w:tab/>
        <w:t xml:space="preserve">in accordance with </w:t>
      </w:r>
      <w:r w:rsidR="003A1AA8" w:rsidRPr="003A1AA8">
        <w:t>subsection (</w:t>
      </w:r>
      <w:r w:rsidRPr="003A1AA8">
        <w:t>4), (5)</w:t>
      </w:r>
      <w:r w:rsidR="00BB051C" w:rsidRPr="003A1AA8">
        <w:t>, (6)</w:t>
      </w:r>
      <w:r w:rsidRPr="003A1AA8">
        <w:t xml:space="preserve"> </w:t>
      </w:r>
      <w:r w:rsidR="00BB051C" w:rsidRPr="003A1AA8">
        <w:t>or (7</w:t>
      </w:r>
      <w:r w:rsidRPr="003A1AA8">
        <w:t>), as required</w:t>
      </w:r>
      <w:r w:rsidR="007A7D32" w:rsidRPr="003A1AA8">
        <w:t xml:space="preserve">, and </w:t>
      </w:r>
      <w:r w:rsidR="003A1AA8" w:rsidRPr="003A1AA8">
        <w:t>subsection (</w:t>
      </w:r>
      <w:r w:rsidR="007A7D32" w:rsidRPr="003A1AA8">
        <w:t>8)</w:t>
      </w:r>
      <w:r w:rsidR="00CF3684" w:rsidRPr="003A1AA8">
        <w:t>, as required</w:t>
      </w:r>
      <w:r w:rsidRPr="003A1AA8">
        <w:t>.</w:t>
      </w:r>
    </w:p>
    <w:p w:rsidR="00F22761" w:rsidRPr="003A1AA8" w:rsidRDefault="00F22761" w:rsidP="00F22761">
      <w:pPr>
        <w:pStyle w:val="subsection"/>
      </w:pPr>
      <w:r w:rsidRPr="003A1AA8">
        <w:lastRenderedPageBreak/>
        <w:tab/>
        <w:t>(4)</w:t>
      </w:r>
      <w:r w:rsidRPr="003A1AA8">
        <w:tab/>
      </w:r>
      <w:r w:rsidR="00A55C22" w:rsidRPr="003A1AA8">
        <w:t>For</w:t>
      </w:r>
      <w:r w:rsidR="00BB051C" w:rsidRPr="003A1AA8">
        <w:t xml:space="preserve"> working out </w:t>
      </w:r>
      <w:proofErr w:type="spellStart"/>
      <w:r w:rsidR="00BB051C" w:rsidRPr="003A1AA8">
        <w:t>M</w:t>
      </w:r>
      <w:r w:rsidR="005B5F67" w:rsidRPr="003A1AA8">
        <w:rPr>
          <w:vertAlign w:val="subscript"/>
        </w:rPr>
        <w:t>Gen</w:t>
      </w:r>
      <w:r w:rsidR="00BB051C" w:rsidRPr="003A1AA8">
        <w:rPr>
          <w:vertAlign w:val="subscript"/>
        </w:rPr>
        <w:t>,y</w:t>
      </w:r>
      <w:proofErr w:type="spellEnd"/>
      <w:r w:rsidR="00BB051C" w:rsidRPr="003A1AA8">
        <w:t xml:space="preserve"> for equation 4, </w:t>
      </w:r>
      <w:r w:rsidR="002C78B6" w:rsidRPr="003A1AA8">
        <w:t xml:space="preserve">financial </w:t>
      </w:r>
      <w:r w:rsidR="00BB051C" w:rsidRPr="003A1AA8">
        <w:t>year y is a financ</w:t>
      </w:r>
      <w:r w:rsidR="00BC78F9" w:rsidRPr="003A1AA8">
        <w:t>ial year covered (either part</w:t>
      </w:r>
      <w:r w:rsidR="00BB051C" w:rsidRPr="003A1AA8">
        <w:t>ly or fully) by the reporting period.</w:t>
      </w:r>
    </w:p>
    <w:p w:rsidR="00BB051C" w:rsidRPr="003A1AA8" w:rsidRDefault="00BB051C" w:rsidP="00F22761">
      <w:pPr>
        <w:pStyle w:val="subsection"/>
      </w:pPr>
      <w:r w:rsidRPr="003A1AA8">
        <w:tab/>
        <w:t>(5)</w:t>
      </w:r>
      <w:r w:rsidRPr="003A1AA8">
        <w:tab/>
      </w:r>
      <w:r w:rsidR="00A55C22" w:rsidRPr="003A1AA8">
        <w:t>For</w:t>
      </w:r>
      <w:r w:rsidRPr="003A1AA8">
        <w:t xml:space="preserve"> working out </w:t>
      </w:r>
      <w:proofErr w:type="spellStart"/>
      <w:r w:rsidR="005B5F67" w:rsidRPr="003A1AA8">
        <w:t>M</w:t>
      </w:r>
      <w:r w:rsidR="005B5F67" w:rsidRPr="003A1AA8">
        <w:rPr>
          <w:vertAlign w:val="subscript"/>
        </w:rPr>
        <w:t>Gen,y</w:t>
      </w:r>
      <w:proofErr w:type="spellEnd"/>
      <w:r w:rsidR="005B5F67" w:rsidRPr="003A1AA8">
        <w:t xml:space="preserve"> </w:t>
      </w:r>
      <w:r w:rsidRPr="003A1AA8">
        <w:t>for equation 1</w:t>
      </w:r>
      <w:r w:rsidR="0086393B" w:rsidRPr="003A1AA8">
        <w:t>8</w:t>
      </w:r>
      <w:r w:rsidR="00CF3684" w:rsidRPr="003A1AA8">
        <w:t>, year y is the 12 month period immediately after the upgrade underta</w:t>
      </w:r>
      <w:r w:rsidR="002C78B6" w:rsidRPr="003A1AA8">
        <w:t>ken in the project is completed.</w:t>
      </w:r>
    </w:p>
    <w:p w:rsidR="00A55C22" w:rsidRPr="003A1AA8" w:rsidRDefault="00A55C22" w:rsidP="00A55C22">
      <w:pPr>
        <w:pStyle w:val="subsection"/>
      </w:pPr>
      <w:r w:rsidRPr="003A1AA8">
        <w:tab/>
        <w:t>(6)</w:t>
      </w:r>
      <w:r w:rsidRPr="003A1AA8">
        <w:tab/>
        <w:t xml:space="preserve">For working out </w:t>
      </w:r>
      <w:proofErr w:type="spellStart"/>
      <w:r w:rsidR="005B5F67" w:rsidRPr="003A1AA8">
        <w:t>M</w:t>
      </w:r>
      <w:r w:rsidR="005B5F67" w:rsidRPr="003A1AA8">
        <w:rPr>
          <w:vertAlign w:val="subscript"/>
        </w:rPr>
        <w:t>Gen,y</w:t>
      </w:r>
      <w:proofErr w:type="spellEnd"/>
      <w:r w:rsidR="005B5F67" w:rsidRPr="003A1AA8">
        <w:t xml:space="preserve"> </w:t>
      </w:r>
      <w:r w:rsidRPr="003A1AA8">
        <w:t xml:space="preserve">for equation </w:t>
      </w:r>
      <w:r w:rsidR="0086393B" w:rsidRPr="003A1AA8">
        <w:t>20</w:t>
      </w:r>
      <w:r w:rsidR="00BC78F9" w:rsidRPr="003A1AA8">
        <w:t xml:space="preserve"> and clause</w:t>
      </w:r>
      <w:r w:rsidR="003A1AA8" w:rsidRPr="003A1AA8">
        <w:t> </w:t>
      </w:r>
      <w:r w:rsidR="00BC78F9" w:rsidRPr="003A1AA8">
        <w:t>5 of Schedule</w:t>
      </w:r>
      <w:r w:rsidR="003A1AA8" w:rsidRPr="003A1AA8">
        <w:t> </w:t>
      </w:r>
      <w:r w:rsidR="00BC78F9" w:rsidRPr="003A1AA8">
        <w:t>1</w:t>
      </w:r>
      <w:r w:rsidR="00CF3684" w:rsidRPr="003A1AA8">
        <w:t xml:space="preserve">, year y is </w:t>
      </w:r>
      <w:r w:rsidR="003B6350" w:rsidRPr="003A1AA8">
        <w:t xml:space="preserve">the </w:t>
      </w:r>
      <w:r w:rsidR="00CF3684" w:rsidRPr="003A1AA8">
        <w:t>12 month period immediately before the project begins.</w:t>
      </w:r>
    </w:p>
    <w:p w:rsidR="007A7D32" w:rsidRPr="003A1AA8" w:rsidRDefault="007A7D32" w:rsidP="007A7D32">
      <w:pPr>
        <w:pStyle w:val="subsection"/>
      </w:pPr>
      <w:r w:rsidRPr="003A1AA8">
        <w:tab/>
        <w:t>(7)</w:t>
      </w:r>
      <w:r w:rsidRPr="003A1AA8">
        <w:tab/>
        <w:t xml:space="preserve">For working out </w:t>
      </w:r>
      <w:proofErr w:type="spellStart"/>
      <w:r w:rsidR="005B5F67" w:rsidRPr="003A1AA8">
        <w:t>M</w:t>
      </w:r>
      <w:r w:rsidR="005B5F67" w:rsidRPr="003A1AA8">
        <w:rPr>
          <w:vertAlign w:val="subscript"/>
        </w:rPr>
        <w:t>Gen,y</w:t>
      </w:r>
      <w:proofErr w:type="spellEnd"/>
      <w:r w:rsidR="005B5F67" w:rsidRPr="003A1AA8">
        <w:t xml:space="preserve"> </w:t>
      </w:r>
      <w:r w:rsidRPr="003A1AA8">
        <w:t xml:space="preserve">for </w:t>
      </w:r>
      <w:r w:rsidR="00EC6D3C" w:rsidRPr="003A1AA8">
        <w:t>clause</w:t>
      </w:r>
      <w:r w:rsidR="003A1AA8" w:rsidRPr="003A1AA8">
        <w:t> </w:t>
      </w:r>
      <w:r w:rsidR="00EC6D3C" w:rsidRPr="003A1AA8">
        <w:t>2 of Schedule</w:t>
      </w:r>
      <w:r w:rsidR="003A1AA8" w:rsidRPr="003A1AA8">
        <w:t> </w:t>
      </w:r>
      <w:r w:rsidR="00EC6D3C" w:rsidRPr="003A1AA8">
        <w:t>1</w:t>
      </w:r>
      <w:r w:rsidR="003D7C6E" w:rsidRPr="003A1AA8">
        <w:t xml:space="preserve"> </w:t>
      </w:r>
      <w:r w:rsidR="003B6350" w:rsidRPr="003A1AA8">
        <w:t>(for the purposes of items</w:t>
      </w:r>
      <w:r w:rsidR="003A1AA8" w:rsidRPr="003A1AA8">
        <w:t> </w:t>
      </w:r>
      <w:r w:rsidR="003B6350" w:rsidRPr="003A1AA8">
        <w:t>1 and 2 of the table in subclause</w:t>
      </w:r>
      <w:r w:rsidR="003A1AA8" w:rsidRPr="003A1AA8">
        <w:t> </w:t>
      </w:r>
      <w:r w:rsidR="003B6350" w:rsidRPr="003A1AA8">
        <w:t>6(2) of Schedule</w:t>
      </w:r>
      <w:r w:rsidR="003A1AA8" w:rsidRPr="003A1AA8">
        <w:t> </w:t>
      </w:r>
      <w:r w:rsidR="003B6350" w:rsidRPr="003A1AA8">
        <w:t xml:space="preserve">1) </w:t>
      </w:r>
      <w:r w:rsidR="003D7C6E" w:rsidRPr="003A1AA8">
        <w:t>and items</w:t>
      </w:r>
      <w:r w:rsidR="003A1AA8" w:rsidRPr="003A1AA8">
        <w:t> </w:t>
      </w:r>
      <w:r w:rsidR="003D7C6E" w:rsidRPr="003A1AA8">
        <w:t>5 and 6 of the table in subclause</w:t>
      </w:r>
      <w:r w:rsidR="003A1AA8" w:rsidRPr="003A1AA8">
        <w:t> </w:t>
      </w:r>
      <w:r w:rsidR="003D7C6E" w:rsidRPr="003A1AA8">
        <w:t>6(2) of Schedule</w:t>
      </w:r>
      <w:r w:rsidR="003A1AA8" w:rsidRPr="003A1AA8">
        <w:t> </w:t>
      </w:r>
      <w:r w:rsidR="003D7C6E" w:rsidRPr="003A1AA8">
        <w:t>1</w:t>
      </w:r>
      <w:r w:rsidR="00CF3684" w:rsidRPr="003A1AA8">
        <w:t>, year y is the 12 month period immediately before the advice is given by the environmental regulator.</w:t>
      </w:r>
    </w:p>
    <w:p w:rsidR="00CF3684" w:rsidRPr="003A1AA8" w:rsidRDefault="00CF3684" w:rsidP="007A7D32">
      <w:pPr>
        <w:pStyle w:val="subsection"/>
      </w:pPr>
      <w:r w:rsidRPr="003A1AA8">
        <w:tab/>
        <w:t>(8)</w:t>
      </w:r>
      <w:r w:rsidRPr="003A1AA8">
        <w:tab/>
        <w:t xml:space="preserve">For </w:t>
      </w:r>
      <w:r w:rsidR="003A1AA8" w:rsidRPr="003A1AA8">
        <w:t>subsections (</w:t>
      </w:r>
      <w:r w:rsidRPr="003A1AA8">
        <w:t xml:space="preserve">5), (6) and (7), if the 12 month period covers 2 financial years, </w:t>
      </w:r>
      <w:r w:rsidRPr="003A1AA8">
        <w:rPr>
          <w:bCs/>
        </w:rPr>
        <w:t>CH</w:t>
      </w:r>
      <w:r w:rsidRPr="003A1AA8">
        <w:rPr>
          <w:bCs/>
          <w:vertAlign w:val="subscript"/>
        </w:rPr>
        <w:t>4gen</w:t>
      </w:r>
      <w:r w:rsidRPr="003A1AA8">
        <w:t xml:space="preserve"> is calculated by:</w:t>
      </w:r>
    </w:p>
    <w:p w:rsidR="00CF3684" w:rsidRPr="003A1AA8" w:rsidRDefault="00CF3684" w:rsidP="00CF3684">
      <w:pPr>
        <w:pStyle w:val="paragraphsub"/>
      </w:pPr>
      <w:r w:rsidRPr="003A1AA8">
        <w:tab/>
        <w:t>(</w:t>
      </w:r>
      <w:proofErr w:type="spellStart"/>
      <w:r w:rsidRPr="003A1AA8">
        <w:t>i</w:t>
      </w:r>
      <w:proofErr w:type="spellEnd"/>
      <w:r w:rsidRPr="003A1AA8">
        <w:t>)</w:t>
      </w:r>
      <w:r w:rsidRPr="003A1AA8">
        <w:tab/>
        <w:t xml:space="preserve">calculating </w:t>
      </w:r>
      <w:r w:rsidRPr="003A1AA8">
        <w:rPr>
          <w:bCs/>
        </w:rPr>
        <w:t>CH</w:t>
      </w:r>
      <w:r w:rsidRPr="003A1AA8">
        <w:rPr>
          <w:bCs/>
          <w:vertAlign w:val="subscript"/>
        </w:rPr>
        <w:t>4gen</w:t>
      </w:r>
      <w:r w:rsidRPr="003A1AA8">
        <w:t xml:space="preserve"> for each </w:t>
      </w:r>
      <w:r w:rsidR="002C78B6" w:rsidRPr="003A1AA8">
        <w:t xml:space="preserve">financial </w:t>
      </w:r>
      <w:r w:rsidRPr="003A1AA8">
        <w:t>year covered by the 12 month period; and</w:t>
      </w:r>
    </w:p>
    <w:p w:rsidR="00CF3684" w:rsidRPr="003A1AA8" w:rsidRDefault="00CF3684" w:rsidP="00CF3684">
      <w:pPr>
        <w:pStyle w:val="paragraphsub"/>
      </w:pPr>
      <w:r w:rsidRPr="003A1AA8">
        <w:tab/>
        <w:t>(ii)</w:t>
      </w:r>
      <w:r w:rsidRPr="003A1AA8">
        <w:tab/>
        <w:t xml:space="preserve">multiplying the amount of </w:t>
      </w:r>
      <w:r w:rsidRPr="003A1AA8">
        <w:rPr>
          <w:bCs/>
        </w:rPr>
        <w:t>CH</w:t>
      </w:r>
      <w:r w:rsidRPr="003A1AA8">
        <w:rPr>
          <w:bCs/>
          <w:vertAlign w:val="subscript"/>
        </w:rPr>
        <w:t>4gen</w:t>
      </w:r>
      <w:r w:rsidRPr="003A1AA8">
        <w:t xml:space="preserve"> for each </w:t>
      </w:r>
      <w:r w:rsidR="00BC78F9" w:rsidRPr="003A1AA8">
        <w:t xml:space="preserve">financial </w:t>
      </w:r>
      <w:r w:rsidRPr="003A1AA8">
        <w:t xml:space="preserve">year by the proportion of days in the </w:t>
      </w:r>
      <w:r w:rsidR="00BC78F9" w:rsidRPr="003A1AA8">
        <w:t xml:space="preserve">financial </w:t>
      </w:r>
      <w:r w:rsidRPr="003A1AA8">
        <w:t>year covered by the 12 month period; and</w:t>
      </w:r>
    </w:p>
    <w:p w:rsidR="00CF3684" w:rsidRPr="003A1AA8" w:rsidRDefault="00CF3684" w:rsidP="00CF3684">
      <w:pPr>
        <w:pStyle w:val="paragraphsub"/>
      </w:pPr>
      <w:r w:rsidRPr="003A1AA8">
        <w:tab/>
        <w:t>(iii)</w:t>
      </w:r>
      <w:r w:rsidRPr="003A1AA8">
        <w:tab/>
        <w:t>summing the results.</w:t>
      </w:r>
    </w:p>
    <w:p w:rsidR="00EC7804" w:rsidRPr="003A1AA8" w:rsidRDefault="006B1D9F" w:rsidP="00EC7804">
      <w:pPr>
        <w:pStyle w:val="ActHead5"/>
      </w:pPr>
      <w:bookmarkStart w:id="40" w:name="_Toc407104165"/>
      <w:r w:rsidRPr="003A1AA8">
        <w:rPr>
          <w:rStyle w:val="CharSectno"/>
        </w:rPr>
        <w:t>23</w:t>
      </w:r>
      <w:r w:rsidR="007259E1" w:rsidRPr="003A1AA8">
        <w:t xml:space="preserve">  Methane combusted</w:t>
      </w:r>
      <w:bookmarkEnd w:id="40"/>
    </w:p>
    <w:p w:rsidR="00916026" w:rsidRPr="003A1AA8" w:rsidRDefault="00913619" w:rsidP="00913619">
      <w:pPr>
        <w:pStyle w:val="subsection"/>
      </w:pPr>
      <w:r w:rsidRPr="003A1AA8">
        <w:tab/>
      </w:r>
      <w:r w:rsidR="00EC7804" w:rsidRPr="003A1AA8">
        <w:t>(1)</w:t>
      </w:r>
      <w:r w:rsidRPr="003A1AA8">
        <w:tab/>
        <w:t xml:space="preserve">The methane combusted </w:t>
      </w:r>
      <w:r w:rsidR="00067E9A" w:rsidRPr="003A1AA8">
        <w:t>during</w:t>
      </w:r>
      <w:r w:rsidR="00EC7804" w:rsidRPr="003A1AA8">
        <w:t xml:space="preserve"> a </w:t>
      </w:r>
      <w:r w:rsidR="007763C8" w:rsidRPr="003A1AA8">
        <w:t>reporting</w:t>
      </w:r>
      <w:r w:rsidR="00EC7804" w:rsidRPr="003A1AA8">
        <w:t xml:space="preserve"> period</w:t>
      </w:r>
      <w:r w:rsidR="00AE2A6F" w:rsidRPr="003A1AA8">
        <w:t>,</w:t>
      </w:r>
      <w:r w:rsidR="00EC7804" w:rsidRPr="003A1AA8">
        <w:t xml:space="preserve"> </w:t>
      </w:r>
      <w:r w:rsidR="00B24958" w:rsidRPr="003A1AA8">
        <w:t>in cubic metres</w:t>
      </w:r>
      <w:r w:rsidR="00AE2A6F" w:rsidRPr="003A1AA8">
        <w:t>,</w:t>
      </w:r>
      <w:r w:rsidR="00B24958" w:rsidRPr="003A1AA8">
        <w:t xml:space="preserve"> </w:t>
      </w:r>
      <w:r w:rsidR="00916026" w:rsidRPr="003A1AA8">
        <w:t xml:space="preserve">is </w:t>
      </w:r>
      <w:r w:rsidR="00EC7804" w:rsidRPr="003A1AA8">
        <w:t xml:space="preserve">worked out using the </w:t>
      </w:r>
      <w:r w:rsidR="00916026" w:rsidRPr="003A1AA8">
        <w:t>formula (</w:t>
      </w:r>
      <w:r w:rsidR="00916026" w:rsidRPr="003A1AA8">
        <w:rPr>
          <w:b/>
          <w:i/>
        </w:rPr>
        <w:t>equation 5</w:t>
      </w:r>
      <w:r w:rsidR="00916026" w:rsidRPr="003A1AA8">
        <w:t>):</w:t>
      </w:r>
    </w:p>
    <w:bookmarkStart w:id="41" w:name="BKCheck15B_8"/>
    <w:bookmarkEnd w:id="41"/>
    <w:p w:rsidR="00913619" w:rsidRPr="003A1AA8" w:rsidRDefault="00E445F7" w:rsidP="00913619">
      <w:pPr>
        <w:pStyle w:val="subsection2"/>
      </w:pPr>
      <w:r w:rsidRPr="003A1AA8">
        <w:rPr>
          <w:position w:val="-24"/>
        </w:rPr>
        <w:object w:dxaOrig="1700" w:dyaOrig="580">
          <v:shape id="_x0000_i1029" type="#_x0000_t75" style="width:84.1pt;height:29.95pt" o:ole="">
            <v:imagedata r:id="rId29" o:title=""/>
          </v:shape>
          <o:OLEObject Type="Embed" ProgID="Equation.DSMT4" ShapeID="_x0000_i1029" DrawAspect="Content" ObjectID="_1483177767" r:id="rId30"/>
        </w:object>
      </w:r>
    </w:p>
    <w:p w:rsidR="00913619" w:rsidRPr="003A1AA8" w:rsidRDefault="007259E1" w:rsidP="00913619">
      <w:pPr>
        <w:pStyle w:val="subsection2"/>
      </w:pPr>
      <w:r w:rsidRPr="003A1AA8">
        <w:t>w</w:t>
      </w:r>
      <w:r w:rsidR="00913619" w:rsidRPr="003A1AA8">
        <w:t>here:</w:t>
      </w:r>
    </w:p>
    <w:p w:rsidR="005E266C" w:rsidRPr="003A1AA8" w:rsidRDefault="005E266C" w:rsidP="00B24958">
      <w:pPr>
        <w:pStyle w:val="Definition"/>
      </w:pPr>
      <w:proofErr w:type="spellStart"/>
      <w:r w:rsidRPr="003A1AA8">
        <w:rPr>
          <w:b/>
          <w:i/>
        </w:rPr>
        <w:t>M</w:t>
      </w:r>
      <w:r w:rsidR="00CF3684" w:rsidRPr="003A1AA8">
        <w:rPr>
          <w:b/>
          <w:i/>
          <w:vertAlign w:val="subscript"/>
        </w:rPr>
        <w:t>C</w:t>
      </w:r>
      <w:r w:rsidRPr="003A1AA8">
        <w:rPr>
          <w:b/>
          <w:i/>
          <w:vertAlign w:val="subscript"/>
        </w:rPr>
        <w:t>om</w:t>
      </w:r>
      <w:proofErr w:type="spellEnd"/>
      <w:r w:rsidR="00B24958" w:rsidRPr="003A1AA8">
        <w:t xml:space="preserve"> means the </w:t>
      </w:r>
      <w:r w:rsidRPr="003A1AA8">
        <w:t xml:space="preserve">methane combusted </w:t>
      </w:r>
      <w:r w:rsidR="00B24958" w:rsidRPr="003A1AA8">
        <w:t xml:space="preserve">during the </w:t>
      </w:r>
      <w:r w:rsidR="007763C8" w:rsidRPr="003A1AA8">
        <w:t xml:space="preserve">reporting </w:t>
      </w:r>
      <w:r w:rsidR="00B24958" w:rsidRPr="003A1AA8">
        <w:t>period</w:t>
      </w:r>
      <w:r w:rsidR="00AE2A6F" w:rsidRPr="003A1AA8">
        <w:t>,</w:t>
      </w:r>
      <w:r w:rsidR="00B24958" w:rsidRPr="003A1AA8">
        <w:t xml:space="preserve"> </w:t>
      </w:r>
      <w:r w:rsidRPr="003A1AA8">
        <w:t>in cubic metres</w:t>
      </w:r>
      <w:r w:rsidR="00B24958" w:rsidRPr="003A1AA8">
        <w:t>.</w:t>
      </w:r>
    </w:p>
    <w:p w:rsidR="005E266C" w:rsidRPr="003A1AA8" w:rsidRDefault="005E266C" w:rsidP="00B24958">
      <w:pPr>
        <w:pStyle w:val="Definition"/>
      </w:pPr>
      <w:proofErr w:type="spellStart"/>
      <w:r w:rsidRPr="003A1AA8">
        <w:rPr>
          <w:b/>
          <w:i/>
        </w:rPr>
        <w:t>M</w:t>
      </w:r>
      <w:r w:rsidR="00CF3684" w:rsidRPr="003A1AA8">
        <w:rPr>
          <w:b/>
          <w:i/>
          <w:vertAlign w:val="subscript"/>
        </w:rPr>
        <w:t>C</w:t>
      </w:r>
      <w:r w:rsidRPr="003A1AA8">
        <w:rPr>
          <w:b/>
          <w:i/>
          <w:vertAlign w:val="subscript"/>
        </w:rPr>
        <w:t>om,h</w:t>
      </w:r>
      <w:proofErr w:type="spellEnd"/>
      <w:r w:rsidR="00B24958" w:rsidRPr="003A1AA8">
        <w:t xml:space="preserve"> means the </w:t>
      </w:r>
      <w:r w:rsidRPr="003A1AA8">
        <w:t xml:space="preserve">methane combusted </w:t>
      </w:r>
      <w:r w:rsidR="00B24958" w:rsidRPr="003A1AA8">
        <w:t xml:space="preserve">during the </w:t>
      </w:r>
      <w:r w:rsidR="007763C8" w:rsidRPr="003A1AA8">
        <w:t xml:space="preserve">reporting </w:t>
      </w:r>
      <w:r w:rsidR="00B24958" w:rsidRPr="003A1AA8">
        <w:t xml:space="preserve">period </w:t>
      </w:r>
      <w:r w:rsidRPr="003A1AA8">
        <w:t xml:space="preserve">by combustion device </w:t>
      </w:r>
      <w:r w:rsidR="00BF196D" w:rsidRPr="003A1AA8">
        <w:t>h</w:t>
      </w:r>
      <w:r w:rsidR="00AE2A6F" w:rsidRPr="003A1AA8">
        <w:t>,</w:t>
      </w:r>
      <w:r w:rsidRPr="003A1AA8">
        <w:t xml:space="preserve"> in cubic metres</w:t>
      </w:r>
      <w:r w:rsidR="00AE2A6F" w:rsidRPr="003A1AA8">
        <w:t>,</w:t>
      </w:r>
      <w:r w:rsidR="00B24958" w:rsidRPr="003A1AA8">
        <w:t xml:space="preserve"> worked out using </w:t>
      </w:r>
      <w:r w:rsidR="006332CA" w:rsidRPr="003A1AA8">
        <w:t>equation 6 or 7 as required.</w:t>
      </w:r>
    </w:p>
    <w:p w:rsidR="00C944A4" w:rsidRPr="003A1AA8" w:rsidRDefault="00C944A4" w:rsidP="00C944A4">
      <w:pPr>
        <w:pStyle w:val="SubsectionHead"/>
      </w:pPr>
      <w:r w:rsidRPr="003A1AA8">
        <w:t xml:space="preserve">Methane combusted by combustion device </w:t>
      </w:r>
      <w:r w:rsidR="00BF196D" w:rsidRPr="003A1AA8">
        <w:t>h</w:t>
      </w:r>
      <w:r w:rsidR="00CF3684" w:rsidRPr="003A1AA8">
        <w:t>—boiler or</w:t>
      </w:r>
      <w:r w:rsidR="00DA355D" w:rsidRPr="003A1AA8">
        <w:t xml:space="preserve"> flare</w:t>
      </w:r>
      <w:r w:rsidR="007259E1" w:rsidRPr="003A1AA8">
        <w:t xml:space="preserve"> with monitoring and control system</w:t>
      </w:r>
      <w:r w:rsidR="00DA355D" w:rsidRPr="003A1AA8">
        <w:t xml:space="preserve"> or </w:t>
      </w:r>
      <w:r w:rsidR="007259E1" w:rsidRPr="003A1AA8">
        <w:t xml:space="preserve">internal </w:t>
      </w:r>
      <w:r w:rsidR="00DA355D" w:rsidRPr="003A1AA8">
        <w:t>combustion engine</w:t>
      </w:r>
    </w:p>
    <w:p w:rsidR="00913619" w:rsidRPr="003A1AA8" w:rsidRDefault="00913619" w:rsidP="00913619">
      <w:pPr>
        <w:pStyle w:val="subsection"/>
      </w:pPr>
      <w:r w:rsidRPr="003A1AA8">
        <w:tab/>
      </w:r>
      <w:r w:rsidR="00C944A4" w:rsidRPr="003A1AA8">
        <w:t>(2)</w:t>
      </w:r>
      <w:r w:rsidRPr="003A1AA8">
        <w:tab/>
      </w:r>
      <w:r w:rsidR="00DF76E1" w:rsidRPr="003A1AA8">
        <w:t xml:space="preserve">If combustion device </w:t>
      </w:r>
      <w:r w:rsidR="00BF196D" w:rsidRPr="003A1AA8">
        <w:t>h</w:t>
      </w:r>
      <w:r w:rsidR="00DF76E1" w:rsidRPr="003A1AA8">
        <w:t xml:space="preserve"> is a boiler, </w:t>
      </w:r>
      <w:r w:rsidR="007259E1" w:rsidRPr="003A1AA8">
        <w:t xml:space="preserve">a </w:t>
      </w:r>
      <w:r w:rsidR="00DF76E1" w:rsidRPr="003A1AA8">
        <w:t xml:space="preserve">flare </w:t>
      </w:r>
      <w:r w:rsidR="007259E1" w:rsidRPr="003A1AA8">
        <w:t>with monitoring and control system or an internal combustion engine</w:t>
      </w:r>
      <w:r w:rsidR="00DF76E1" w:rsidRPr="003A1AA8">
        <w:t>, t</w:t>
      </w:r>
      <w:r w:rsidRPr="003A1AA8">
        <w:t>he</w:t>
      </w:r>
      <w:r w:rsidR="00DA355D" w:rsidRPr="003A1AA8">
        <w:t xml:space="preserve"> methane combusted during the </w:t>
      </w:r>
      <w:r w:rsidR="00203BC2" w:rsidRPr="003A1AA8">
        <w:t xml:space="preserve">reporting </w:t>
      </w:r>
      <w:r w:rsidR="00DA355D" w:rsidRPr="003A1AA8">
        <w:t xml:space="preserve">period by </w:t>
      </w:r>
      <w:r w:rsidR="00DF76E1" w:rsidRPr="003A1AA8">
        <w:t>the</w:t>
      </w:r>
      <w:r w:rsidR="00DA355D" w:rsidRPr="003A1AA8">
        <w:t xml:space="preserve"> device</w:t>
      </w:r>
      <w:r w:rsidR="00AE2A6F" w:rsidRPr="003A1AA8">
        <w:t>,</w:t>
      </w:r>
      <w:r w:rsidR="00DA355D" w:rsidRPr="003A1AA8">
        <w:t xml:space="preserve"> in cubic metres</w:t>
      </w:r>
      <w:r w:rsidR="00AE2A6F" w:rsidRPr="003A1AA8">
        <w:t>,</w:t>
      </w:r>
      <w:r w:rsidR="00DA355D" w:rsidRPr="003A1AA8">
        <w:t xml:space="preserve"> is worked out using the formula (</w:t>
      </w:r>
      <w:r w:rsidR="00DA355D" w:rsidRPr="003A1AA8">
        <w:rPr>
          <w:b/>
          <w:i/>
        </w:rPr>
        <w:t>equation 6</w:t>
      </w:r>
      <w:r w:rsidR="00DA355D" w:rsidRPr="003A1AA8">
        <w:t>):</w:t>
      </w:r>
    </w:p>
    <w:bookmarkStart w:id="42" w:name="BKCheck15B_9"/>
    <w:bookmarkEnd w:id="42"/>
    <w:p w:rsidR="00B65B2B" w:rsidRPr="003A1AA8" w:rsidRDefault="00CF3684" w:rsidP="00B65B2B">
      <w:pPr>
        <w:pStyle w:val="subsection2"/>
      </w:pPr>
      <w:r w:rsidRPr="003A1AA8">
        <w:rPr>
          <w:position w:val="-12"/>
        </w:rPr>
        <w:object w:dxaOrig="2000" w:dyaOrig="440">
          <v:shape id="_x0000_i1030" type="#_x0000_t75" style="width:99.65pt;height:22.45pt" o:ole="">
            <v:imagedata r:id="rId31" o:title=""/>
          </v:shape>
          <o:OLEObject Type="Embed" ProgID="Equation.DSMT4" ShapeID="_x0000_i1030" DrawAspect="Content" ObjectID="_1483177768" r:id="rId32"/>
        </w:object>
      </w:r>
    </w:p>
    <w:p w:rsidR="00913619" w:rsidRPr="003A1AA8" w:rsidRDefault="00DA355D" w:rsidP="00913619">
      <w:pPr>
        <w:pStyle w:val="subsection2"/>
      </w:pPr>
      <w:r w:rsidRPr="003A1AA8">
        <w:t>w</w:t>
      </w:r>
      <w:r w:rsidR="00913619" w:rsidRPr="003A1AA8">
        <w:t>here:</w:t>
      </w:r>
    </w:p>
    <w:p w:rsidR="005E266C" w:rsidRPr="003A1AA8" w:rsidRDefault="005E266C" w:rsidP="00DA355D">
      <w:pPr>
        <w:pStyle w:val="Definition"/>
      </w:pPr>
      <w:proofErr w:type="spellStart"/>
      <w:r w:rsidRPr="003A1AA8">
        <w:rPr>
          <w:b/>
          <w:i/>
        </w:rPr>
        <w:t>M</w:t>
      </w:r>
      <w:r w:rsidR="00CF3684" w:rsidRPr="003A1AA8">
        <w:rPr>
          <w:b/>
          <w:i/>
          <w:vertAlign w:val="subscript"/>
        </w:rPr>
        <w:t>C</w:t>
      </w:r>
      <w:r w:rsidRPr="003A1AA8">
        <w:rPr>
          <w:b/>
          <w:i/>
          <w:vertAlign w:val="subscript"/>
        </w:rPr>
        <w:t>om,h</w:t>
      </w:r>
      <w:proofErr w:type="spellEnd"/>
      <w:r w:rsidR="00DA355D" w:rsidRPr="003A1AA8">
        <w:t xml:space="preserve"> means the </w:t>
      </w:r>
      <w:r w:rsidRPr="003A1AA8">
        <w:t>methane combusted</w:t>
      </w:r>
      <w:r w:rsidR="00DA355D" w:rsidRPr="003A1AA8">
        <w:t xml:space="preserve"> during the </w:t>
      </w:r>
      <w:r w:rsidR="00203BC2" w:rsidRPr="003A1AA8">
        <w:t xml:space="preserve">reporting </w:t>
      </w:r>
      <w:r w:rsidR="00DA355D" w:rsidRPr="003A1AA8">
        <w:t xml:space="preserve">period </w:t>
      </w:r>
      <w:r w:rsidRPr="003A1AA8">
        <w:t xml:space="preserve">by combustion device </w:t>
      </w:r>
      <w:r w:rsidR="00BF196D" w:rsidRPr="003A1AA8">
        <w:t>h</w:t>
      </w:r>
      <w:r w:rsidR="00AE2A6F" w:rsidRPr="003A1AA8">
        <w:t>,</w:t>
      </w:r>
      <w:r w:rsidRPr="003A1AA8">
        <w:t xml:space="preserve"> in cubic metres</w:t>
      </w:r>
      <w:r w:rsidR="00DA355D" w:rsidRPr="003A1AA8">
        <w:t>.</w:t>
      </w:r>
    </w:p>
    <w:p w:rsidR="00DA2003" w:rsidRPr="003A1AA8" w:rsidRDefault="00DF76E1" w:rsidP="00DF76E1">
      <w:pPr>
        <w:pStyle w:val="Definition"/>
      </w:pPr>
      <w:r w:rsidRPr="003A1AA8">
        <w:rPr>
          <w:b/>
          <w:i/>
        </w:rPr>
        <w:t>DE</w:t>
      </w:r>
      <w:r w:rsidRPr="003A1AA8">
        <w:t xml:space="preserve"> means the </w:t>
      </w:r>
      <w:r w:rsidR="00DA2003" w:rsidRPr="003A1AA8">
        <w:t xml:space="preserve">default methane destruction efficiency for a combustion device, </w:t>
      </w:r>
      <w:r w:rsidR="00E75317" w:rsidRPr="003A1AA8">
        <w:t>which for an internal combustion engine is 1 and for any other combustion device is 0.98</w:t>
      </w:r>
      <w:r w:rsidR="00DA2003" w:rsidRPr="003A1AA8">
        <w:t>.</w:t>
      </w:r>
    </w:p>
    <w:p w:rsidR="005A78EC" w:rsidRPr="003A1AA8" w:rsidRDefault="005A78EC" w:rsidP="005A78EC">
      <w:pPr>
        <w:pStyle w:val="Definition"/>
      </w:pPr>
      <w:proofErr w:type="spellStart"/>
      <w:r w:rsidRPr="003A1AA8">
        <w:rPr>
          <w:b/>
          <w:i/>
        </w:rPr>
        <w:lastRenderedPageBreak/>
        <w:t>M</w:t>
      </w:r>
      <w:r w:rsidR="00CF3684" w:rsidRPr="003A1AA8">
        <w:rPr>
          <w:b/>
          <w:i/>
          <w:vertAlign w:val="subscript"/>
        </w:rPr>
        <w:t>S</w:t>
      </w:r>
      <w:r w:rsidRPr="003A1AA8">
        <w:rPr>
          <w:b/>
          <w:i/>
          <w:vertAlign w:val="subscript"/>
        </w:rPr>
        <w:t>ent,h</w:t>
      </w:r>
      <w:proofErr w:type="spellEnd"/>
      <w:r w:rsidRPr="003A1AA8">
        <w:t xml:space="preserve"> means the methane sent to combustion device h during the reporting period</w:t>
      </w:r>
      <w:r w:rsidR="00AE2A6F" w:rsidRPr="003A1AA8">
        <w:t>,</w:t>
      </w:r>
      <w:r w:rsidRPr="003A1AA8">
        <w:t xml:space="preserve"> in cubic metres</w:t>
      </w:r>
      <w:r w:rsidR="00AE2A6F" w:rsidRPr="003A1AA8">
        <w:t>,</w:t>
      </w:r>
      <w:r w:rsidRPr="003A1AA8">
        <w:t xml:space="preserve"> worked out using equation 8, 9 or 10.</w:t>
      </w:r>
    </w:p>
    <w:p w:rsidR="00DF76E1" w:rsidRPr="003A1AA8" w:rsidRDefault="00DF76E1" w:rsidP="00DF76E1">
      <w:pPr>
        <w:pStyle w:val="SubsectionHead"/>
      </w:pPr>
      <w:r w:rsidRPr="003A1AA8">
        <w:t xml:space="preserve">Methane combusted by combustion device </w:t>
      </w:r>
      <w:r w:rsidR="00BF196D" w:rsidRPr="003A1AA8">
        <w:t>h</w:t>
      </w:r>
      <w:r w:rsidRPr="003A1AA8">
        <w:t>—other combustion devices</w:t>
      </w:r>
    </w:p>
    <w:p w:rsidR="00DF76E1" w:rsidRPr="003A1AA8" w:rsidRDefault="00DF76E1" w:rsidP="00DF76E1">
      <w:pPr>
        <w:pStyle w:val="subsection"/>
      </w:pPr>
      <w:r w:rsidRPr="003A1AA8">
        <w:tab/>
        <w:t>(3)</w:t>
      </w:r>
      <w:r w:rsidRPr="003A1AA8">
        <w:tab/>
        <w:t xml:space="preserve">If combustion device </w:t>
      </w:r>
      <w:r w:rsidR="00BF196D" w:rsidRPr="003A1AA8">
        <w:t>h</w:t>
      </w:r>
      <w:r w:rsidRPr="003A1AA8">
        <w:t xml:space="preserve"> is not </w:t>
      </w:r>
      <w:r w:rsidR="007259E1" w:rsidRPr="003A1AA8">
        <w:t>a boiler, a flare with monitoring and control system or an internal combustion engine</w:t>
      </w:r>
      <w:r w:rsidRPr="003A1AA8">
        <w:t xml:space="preserve">, the methane combusted during the </w:t>
      </w:r>
      <w:r w:rsidR="00203BC2" w:rsidRPr="003A1AA8">
        <w:t xml:space="preserve">reporting period </w:t>
      </w:r>
      <w:r w:rsidRPr="003A1AA8">
        <w:t>by the device</w:t>
      </w:r>
      <w:r w:rsidR="00AE2A6F" w:rsidRPr="003A1AA8">
        <w:t>,</w:t>
      </w:r>
      <w:r w:rsidRPr="003A1AA8">
        <w:t xml:space="preserve"> in cubic metres</w:t>
      </w:r>
      <w:r w:rsidR="00AE2A6F" w:rsidRPr="003A1AA8">
        <w:t>,</w:t>
      </w:r>
      <w:r w:rsidRPr="003A1AA8">
        <w:t xml:space="preserve"> is worked out using the formula (</w:t>
      </w:r>
      <w:r w:rsidRPr="003A1AA8">
        <w:rPr>
          <w:b/>
          <w:i/>
        </w:rPr>
        <w:t>equation 7</w:t>
      </w:r>
      <w:r w:rsidRPr="003A1AA8">
        <w:t>):</w:t>
      </w:r>
    </w:p>
    <w:bookmarkStart w:id="43" w:name="BKCheck15B_10"/>
    <w:bookmarkEnd w:id="43"/>
    <w:p w:rsidR="00B65B2B" w:rsidRPr="003A1AA8" w:rsidRDefault="00CF3684" w:rsidP="00B65B2B">
      <w:pPr>
        <w:pStyle w:val="subsection2"/>
      </w:pPr>
      <w:r w:rsidRPr="003A1AA8">
        <w:rPr>
          <w:position w:val="-24"/>
        </w:rPr>
        <w:object w:dxaOrig="3120" w:dyaOrig="580">
          <v:shape id="_x0000_i1031" type="#_x0000_t75" style="width:156.1pt;height:29.4pt" o:ole="">
            <v:imagedata r:id="rId33" o:title=""/>
          </v:shape>
          <o:OLEObject Type="Embed" ProgID="Equation.DSMT4" ShapeID="_x0000_i1031" DrawAspect="Content" ObjectID="_1483177769" r:id="rId34"/>
        </w:object>
      </w:r>
    </w:p>
    <w:p w:rsidR="00B65B2B" w:rsidRPr="003A1AA8" w:rsidRDefault="00B65B2B" w:rsidP="00B65B2B">
      <w:pPr>
        <w:pStyle w:val="subsection2"/>
      </w:pPr>
      <w:r w:rsidRPr="003A1AA8">
        <w:t>where:</w:t>
      </w:r>
    </w:p>
    <w:p w:rsidR="00DF76E1" w:rsidRPr="003A1AA8" w:rsidRDefault="00DF76E1" w:rsidP="00DF76E1">
      <w:pPr>
        <w:pStyle w:val="Definition"/>
      </w:pPr>
      <w:proofErr w:type="spellStart"/>
      <w:r w:rsidRPr="003A1AA8">
        <w:rPr>
          <w:b/>
          <w:i/>
        </w:rPr>
        <w:t>M</w:t>
      </w:r>
      <w:r w:rsidR="00CF3684" w:rsidRPr="003A1AA8">
        <w:rPr>
          <w:b/>
          <w:i/>
          <w:vertAlign w:val="subscript"/>
        </w:rPr>
        <w:t>C</w:t>
      </w:r>
      <w:r w:rsidRPr="003A1AA8">
        <w:rPr>
          <w:b/>
          <w:i/>
          <w:vertAlign w:val="subscript"/>
        </w:rPr>
        <w:t>om,h</w:t>
      </w:r>
      <w:proofErr w:type="spellEnd"/>
      <w:r w:rsidRPr="003A1AA8">
        <w:t xml:space="preserve"> means the methane combusted during the </w:t>
      </w:r>
      <w:r w:rsidR="00203BC2" w:rsidRPr="003A1AA8">
        <w:t xml:space="preserve">reporting period </w:t>
      </w:r>
      <w:r w:rsidRPr="003A1AA8">
        <w:t xml:space="preserve">by combustion device </w:t>
      </w:r>
      <w:r w:rsidR="00BF196D" w:rsidRPr="003A1AA8">
        <w:t>h</w:t>
      </w:r>
      <w:r w:rsidR="00AE2A6F" w:rsidRPr="003A1AA8">
        <w:t>,</w:t>
      </w:r>
      <w:r w:rsidRPr="003A1AA8">
        <w:t xml:space="preserve"> in cubic metres.</w:t>
      </w:r>
    </w:p>
    <w:p w:rsidR="001C2D41" w:rsidRPr="003A1AA8" w:rsidRDefault="001C2D41" w:rsidP="001C2D41">
      <w:pPr>
        <w:pStyle w:val="Definition"/>
      </w:pPr>
      <w:r w:rsidRPr="003A1AA8">
        <w:rPr>
          <w:b/>
          <w:i/>
        </w:rPr>
        <w:t>DE</w:t>
      </w:r>
      <w:r w:rsidRPr="003A1AA8">
        <w:t xml:space="preserve"> means the default methane destruction efficiency fo</w:t>
      </w:r>
      <w:r w:rsidR="00E75317" w:rsidRPr="003A1AA8">
        <w:t xml:space="preserve">r a combustion device, which for an internal combustion engine is 1 and for any other combustion device is </w:t>
      </w:r>
      <w:r w:rsidRPr="003A1AA8">
        <w:t>0.98.</w:t>
      </w:r>
    </w:p>
    <w:p w:rsidR="00D8781C" w:rsidRPr="003A1AA8" w:rsidRDefault="00B65B2B" w:rsidP="00B65B2B">
      <w:pPr>
        <w:pStyle w:val="Definition"/>
      </w:pPr>
      <w:proofErr w:type="spellStart"/>
      <w:r w:rsidRPr="003A1AA8">
        <w:rPr>
          <w:b/>
          <w:i/>
        </w:rPr>
        <w:t>O</w:t>
      </w:r>
      <w:r w:rsidRPr="003A1AA8">
        <w:rPr>
          <w:b/>
          <w:i/>
          <w:vertAlign w:val="subscript"/>
        </w:rPr>
        <w:t>h,a</w:t>
      </w:r>
      <w:proofErr w:type="spellEnd"/>
      <w:r w:rsidRPr="003A1AA8">
        <w:t xml:space="preserve"> means the operation of combustion device </w:t>
      </w:r>
      <w:r w:rsidR="00603708" w:rsidRPr="003A1AA8">
        <w:t>h</w:t>
      </w:r>
      <w:r w:rsidRPr="003A1AA8">
        <w:t xml:space="preserve"> in hour </w:t>
      </w:r>
      <w:r w:rsidR="00603708" w:rsidRPr="003A1AA8">
        <w:t>a</w:t>
      </w:r>
      <w:r w:rsidRPr="003A1AA8">
        <w:t xml:space="preserve">, </w:t>
      </w:r>
      <w:r w:rsidR="005A78EC" w:rsidRPr="003A1AA8">
        <w:t xml:space="preserve">which is </w:t>
      </w:r>
      <w:r w:rsidRPr="003A1AA8">
        <w:t xml:space="preserve">either 0 or 1, </w:t>
      </w:r>
      <w:r w:rsidR="00D8781C" w:rsidRPr="003A1AA8">
        <w:t xml:space="preserve">worked out </w:t>
      </w:r>
      <w:r w:rsidR="003130D2" w:rsidRPr="003A1AA8">
        <w:t>in accordance with the monitoring requirements</w:t>
      </w:r>
      <w:r w:rsidR="00D8781C" w:rsidRPr="003A1AA8">
        <w:t>.</w:t>
      </w:r>
    </w:p>
    <w:p w:rsidR="00B65B2B" w:rsidRPr="003A1AA8" w:rsidRDefault="00B65B2B" w:rsidP="00B65B2B">
      <w:pPr>
        <w:pStyle w:val="Definition"/>
      </w:pPr>
      <w:proofErr w:type="spellStart"/>
      <w:r w:rsidRPr="003A1AA8">
        <w:rPr>
          <w:b/>
          <w:i/>
        </w:rPr>
        <w:t>M</w:t>
      </w:r>
      <w:r w:rsidR="00CF3684" w:rsidRPr="003A1AA8">
        <w:rPr>
          <w:b/>
          <w:i/>
          <w:vertAlign w:val="subscript"/>
        </w:rPr>
        <w:t>S</w:t>
      </w:r>
      <w:r w:rsidRPr="003A1AA8">
        <w:rPr>
          <w:b/>
          <w:i/>
          <w:vertAlign w:val="subscript"/>
        </w:rPr>
        <w:t>ent,h,a</w:t>
      </w:r>
      <w:proofErr w:type="spellEnd"/>
      <w:r w:rsidRPr="003A1AA8">
        <w:t xml:space="preserve"> means the methane sent to combustion device </w:t>
      </w:r>
      <w:r w:rsidR="00603708" w:rsidRPr="003A1AA8">
        <w:t>h</w:t>
      </w:r>
      <w:r w:rsidRPr="003A1AA8">
        <w:t xml:space="preserve"> in hour </w:t>
      </w:r>
      <w:r w:rsidR="00603708" w:rsidRPr="003A1AA8">
        <w:t>a</w:t>
      </w:r>
      <w:r w:rsidR="00AE2A6F" w:rsidRPr="003A1AA8">
        <w:t>,</w:t>
      </w:r>
      <w:r w:rsidRPr="003A1AA8">
        <w:t xml:space="preserve"> in</w:t>
      </w:r>
      <w:r w:rsidR="00903E5E" w:rsidRPr="003A1AA8">
        <w:t xml:space="preserve"> cubic metres</w:t>
      </w:r>
      <w:r w:rsidR="00AE2A6F" w:rsidRPr="003A1AA8">
        <w:t>,</w:t>
      </w:r>
      <w:r w:rsidR="003B6350" w:rsidRPr="003A1AA8">
        <w:t xml:space="preserve"> worked out using equation 8</w:t>
      </w:r>
      <w:r w:rsidR="00903E5E" w:rsidRPr="003A1AA8">
        <w:t xml:space="preserve"> or </w:t>
      </w:r>
      <w:r w:rsidR="003B6350" w:rsidRPr="003A1AA8">
        <w:t>9</w:t>
      </w:r>
      <w:r w:rsidRPr="003A1AA8">
        <w:t>.</w:t>
      </w:r>
    </w:p>
    <w:p w:rsidR="00DF76E1" w:rsidRPr="003A1AA8" w:rsidRDefault="006B1D9F" w:rsidP="00276B5F">
      <w:pPr>
        <w:pStyle w:val="ActHead5"/>
      </w:pPr>
      <w:bookmarkStart w:id="44" w:name="_Toc407104166"/>
      <w:r w:rsidRPr="003A1AA8">
        <w:rPr>
          <w:rStyle w:val="CharSectno"/>
        </w:rPr>
        <w:t>24</w:t>
      </w:r>
      <w:r w:rsidR="00276B5F" w:rsidRPr="003A1AA8">
        <w:t xml:space="preserve">  Met</w:t>
      </w:r>
      <w:r w:rsidR="000E291E" w:rsidRPr="003A1AA8">
        <w:t>hane sent to combustion device</w:t>
      </w:r>
      <w:bookmarkEnd w:id="44"/>
    </w:p>
    <w:p w:rsidR="000E291E" w:rsidRPr="003A1AA8" w:rsidRDefault="000E291E" w:rsidP="000E291E">
      <w:pPr>
        <w:pStyle w:val="subsection"/>
      </w:pPr>
      <w:r w:rsidRPr="003A1AA8">
        <w:tab/>
        <w:t>(1)</w:t>
      </w:r>
      <w:r w:rsidRPr="003A1AA8">
        <w:tab/>
        <w:t xml:space="preserve">Methane sent to a combustion device </w:t>
      </w:r>
      <w:r w:rsidR="00603708" w:rsidRPr="003A1AA8">
        <w:t>h</w:t>
      </w:r>
      <w:r w:rsidR="004E3775" w:rsidRPr="003A1AA8">
        <w:t xml:space="preserve"> </w:t>
      </w:r>
      <w:r w:rsidR="007259E1" w:rsidRPr="003A1AA8">
        <w:t xml:space="preserve">during a particular period </w:t>
      </w:r>
      <w:r w:rsidRPr="003A1AA8">
        <w:t>may be worked out using:</w:t>
      </w:r>
    </w:p>
    <w:p w:rsidR="000E291E" w:rsidRPr="003A1AA8" w:rsidRDefault="000E291E" w:rsidP="000E291E">
      <w:pPr>
        <w:pStyle w:val="paragraph"/>
      </w:pPr>
      <w:r w:rsidRPr="003A1AA8">
        <w:tab/>
        <w:t>(a)</w:t>
      </w:r>
      <w:r w:rsidRPr="003A1AA8">
        <w:tab/>
        <w:t>equation 8; or</w:t>
      </w:r>
    </w:p>
    <w:p w:rsidR="000E291E" w:rsidRPr="003A1AA8" w:rsidRDefault="000E291E" w:rsidP="000E291E">
      <w:pPr>
        <w:pStyle w:val="paragraph"/>
      </w:pPr>
      <w:r w:rsidRPr="003A1AA8">
        <w:tab/>
        <w:t>(b)</w:t>
      </w:r>
      <w:r w:rsidRPr="003A1AA8">
        <w:tab/>
        <w:t>equation 9; or</w:t>
      </w:r>
    </w:p>
    <w:p w:rsidR="000E291E" w:rsidRPr="003A1AA8" w:rsidRDefault="000E291E" w:rsidP="000E291E">
      <w:pPr>
        <w:pStyle w:val="paragraph"/>
      </w:pPr>
      <w:r w:rsidRPr="003A1AA8">
        <w:tab/>
        <w:t>(c)</w:t>
      </w:r>
      <w:r w:rsidRPr="003A1AA8">
        <w:tab/>
        <w:t>equation 10 (if applicable).</w:t>
      </w:r>
    </w:p>
    <w:p w:rsidR="001E4EE7" w:rsidRPr="003A1AA8" w:rsidRDefault="001E4EE7" w:rsidP="001E4EE7">
      <w:pPr>
        <w:pStyle w:val="SubsectionHead"/>
      </w:pPr>
      <w:r w:rsidRPr="003A1AA8">
        <w:t>Option 1</w:t>
      </w:r>
      <w:r w:rsidR="00401648" w:rsidRPr="003A1AA8">
        <w:t>—using landfill gas sent to combustion device</w:t>
      </w:r>
    </w:p>
    <w:p w:rsidR="000E291E" w:rsidRPr="003A1AA8" w:rsidRDefault="000E291E" w:rsidP="000E291E">
      <w:pPr>
        <w:pStyle w:val="subsection"/>
      </w:pPr>
      <w:r w:rsidRPr="003A1AA8">
        <w:tab/>
        <w:t>(2)</w:t>
      </w:r>
      <w:r w:rsidRPr="003A1AA8">
        <w:tab/>
        <w:t xml:space="preserve">Using the volume of </w:t>
      </w:r>
      <w:r w:rsidR="00E029B0" w:rsidRPr="003A1AA8">
        <w:t xml:space="preserve">the </w:t>
      </w:r>
      <w:r w:rsidRPr="003A1AA8">
        <w:t xml:space="preserve">landfill gas sent </w:t>
      </w:r>
      <w:r w:rsidR="00F82873" w:rsidRPr="003A1AA8">
        <w:t xml:space="preserve">to </w:t>
      </w:r>
      <w:r w:rsidR="00BF00F4" w:rsidRPr="003A1AA8">
        <w:t>the combustion de</w:t>
      </w:r>
      <w:r w:rsidR="00401648" w:rsidRPr="003A1AA8">
        <w:t>vice</w:t>
      </w:r>
      <w:r w:rsidR="00467E5F" w:rsidRPr="003A1AA8">
        <w:t xml:space="preserve"> (</w:t>
      </w:r>
      <w:proofErr w:type="spellStart"/>
      <w:r w:rsidR="00467E5F" w:rsidRPr="003A1AA8">
        <w:rPr>
          <w:b/>
          <w:i/>
        </w:rPr>
        <w:t>Q</w:t>
      </w:r>
      <w:r w:rsidR="00467E5F" w:rsidRPr="003A1AA8">
        <w:rPr>
          <w:b/>
          <w:i/>
          <w:vertAlign w:val="subscript"/>
        </w:rPr>
        <w:t>LFG,h</w:t>
      </w:r>
      <w:proofErr w:type="spellEnd"/>
      <w:r w:rsidR="00467E5F" w:rsidRPr="003A1AA8">
        <w:t>),</w:t>
      </w:r>
      <w:r w:rsidR="00BF00F4" w:rsidRPr="003A1AA8">
        <w:t xml:space="preserve"> the methane sent to the combustion device </w:t>
      </w:r>
      <w:r w:rsidR="007259E1" w:rsidRPr="003A1AA8">
        <w:t xml:space="preserve">during the period </w:t>
      </w:r>
      <w:r w:rsidR="00BF00F4" w:rsidRPr="003A1AA8">
        <w:t>is worked out using the formula (</w:t>
      </w:r>
      <w:r w:rsidR="00BF00F4" w:rsidRPr="003A1AA8">
        <w:rPr>
          <w:b/>
          <w:i/>
        </w:rPr>
        <w:t>equation 8</w:t>
      </w:r>
      <w:r w:rsidR="00BF00F4" w:rsidRPr="003A1AA8">
        <w:t>):</w:t>
      </w:r>
    </w:p>
    <w:bookmarkStart w:id="45" w:name="BKCheck15B_11"/>
    <w:bookmarkEnd w:id="45"/>
    <w:p w:rsidR="00BF00F4" w:rsidRPr="003A1AA8" w:rsidRDefault="00401648" w:rsidP="00BF00F4">
      <w:pPr>
        <w:pStyle w:val="subsection2"/>
      </w:pPr>
      <w:r w:rsidRPr="003A1AA8">
        <w:rPr>
          <w:position w:val="-14"/>
        </w:rPr>
        <w:object w:dxaOrig="2340" w:dyaOrig="460">
          <v:shape id="_x0000_i1032" type="#_x0000_t75" style="width:116.95pt;height:24.2pt" o:ole="">
            <v:imagedata r:id="rId35" o:title=""/>
          </v:shape>
          <o:OLEObject Type="Embed" ProgID="Equation.DSMT4" ShapeID="_x0000_i1032" DrawAspect="Content" ObjectID="_1483177770" r:id="rId36"/>
        </w:object>
      </w:r>
    </w:p>
    <w:p w:rsidR="00BF00F4" w:rsidRPr="003A1AA8" w:rsidRDefault="00BF00F4" w:rsidP="00BF00F4">
      <w:pPr>
        <w:pStyle w:val="subsection2"/>
      </w:pPr>
      <w:r w:rsidRPr="003A1AA8">
        <w:t>where:</w:t>
      </w:r>
    </w:p>
    <w:p w:rsidR="00BF00F4" w:rsidRPr="003A1AA8" w:rsidRDefault="00BF00F4" w:rsidP="00BF00F4">
      <w:pPr>
        <w:pStyle w:val="Definition"/>
      </w:pPr>
      <w:proofErr w:type="spellStart"/>
      <w:r w:rsidRPr="003A1AA8">
        <w:rPr>
          <w:b/>
          <w:i/>
        </w:rPr>
        <w:t>M</w:t>
      </w:r>
      <w:r w:rsidR="00401648" w:rsidRPr="003A1AA8">
        <w:rPr>
          <w:b/>
          <w:i/>
          <w:vertAlign w:val="subscript"/>
        </w:rPr>
        <w:t>S</w:t>
      </w:r>
      <w:r w:rsidRPr="003A1AA8">
        <w:rPr>
          <w:b/>
          <w:i/>
          <w:vertAlign w:val="subscript"/>
        </w:rPr>
        <w:t>ent,h</w:t>
      </w:r>
      <w:proofErr w:type="spellEnd"/>
      <w:r w:rsidRPr="003A1AA8">
        <w:t xml:space="preserve"> means the methane sent to the combustion device </w:t>
      </w:r>
      <w:r w:rsidR="00603708" w:rsidRPr="003A1AA8">
        <w:t>h</w:t>
      </w:r>
      <w:r w:rsidRPr="003A1AA8">
        <w:t xml:space="preserve"> during the period</w:t>
      </w:r>
      <w:r w:rsidR="00AE2A6F" w:rsidRPr="003A1AA8">
        <w:t>,</w:t>
      </w:r>
      <w:r w:rsidRPr="003A1AA8">
        <w:t xml:space="preserve"> in cubic metres.</w:t>
      </w:r>
    </w:p>
    <w:p w:rsidR="00BF00F4" w:rsidRPr="003A1AA8" w:rsidRDefault="00BF00F4" w:rsidP="00BF00F4">
      <w:pPr>
        <w:pStyle w:val="Definition"/>
      </w:pPr>
      <w:proofErr w:type="spellStart"/>
      <w:r w:rsidRPr="003A1AA8">
        <w:rPr>
          <w:b/>
          <w:i/>
        </w:rPr>
        <w:t>Q</w:t>
      </w:r>
      <w:r w:rsidRPr="003A1AA8">
        <w:rPr>
          <w:b/>
          <w:i/>
          <w:vertAlign w:val="subscript"/>
        </w:rPr>
        <w:t>LFG,h</w:t>
      </w:r>
      <w:proofErr w:type="spellEnd"/>
      <w:r w:rsidRPr="003A1AA8">
        <w:rPr>
          <w:vertAlign w:val="subscript"/>
        </w:rPr>
        <w:t xml:space="preserve"> </w:t>
      </w:r>
      <w:r w:rsidRPr="003A1AA8">
        <w:t xml:space="preserve">means the landfill gas sent to </w:t>
      </w:r>
      <w:r w:rsidR="00F82873" w:rsidRPr="003A1AA8">
        <w:t xml:space="preserve">the </w:t>
      </w:r>
      <w:r w:rsidRPr="003A1AA8">
        <w:t xml:space="preserve">combustion device </w:t>
      </w:r>
      <w:r w:rsidR="00603708" w:rsidRPr="003A1AA8">
        <w:t>h</w:t>
      </w:r>
      <w:r w:rsidRPr="003A1AA8">
        <w:t xml:space="preserve"> during the period</w:t>
      </w:r>
      <w:r w:rsidR="00AE2A6F" w:rsidRPr="003A1AA8">
        <w:t>,</w:t>
      </w:r>
      <w:r w:rsidRPr="003A1AA8">
        <w:t xml:space="preserve"> in cubic metres</w:t>
      </w:r>
      <w:r w:rsidR="00AE2A6F" w:rsidRPr="003A1AA8">
        <w:t>,</w:t>
      </w:r>
      <w:r w:rsidRPr="003A1AA8">
        <w:t xml:space="preserve"> </w:t>
      </w:r>
      <w:r w:rsidR="00D8781C" w:rsidRPr="003A1AA8">
        <w:t xml:space="preserve">worked out </w:t>
      </w:r>
      <w:r w:rsidR="003130D2" w:rsidRPr="003A1AA8">
        <w:t>in accordance with the monitoring requirements</w:t>
      </w:r>
      <w:r w:rsidRPr="003A1AA8">
        <w:t>.</w:t>
      </w:r>
    </w:p>
    <w:p w:rsidR="008B36CF" w:rsidRPr="003A1AA8" w:rsidRDefault="00BF00F4" w:rsidP="00BF00F4">
      <w:pPr>
        <w:pStyle w:val="Definition"/>
      </w:pPr>
      <w:proofErr w:type="spellStart"/>
      <w:r w:rsidRPr="003A1AA8">
        <w:rPr>
          <w:b/>
          <w:i/>
        </w:rPr>
        <w:t>W</w:t>
      </w:r>
      <w:r w:rsidRPr="003A1AA8">
        <w:rPr>
          <w:b/>
          <w:i/>
          <w:vertAlign w:val="subscript"/>
        </w:rPr>
        <w:t>LFG,CH</w:t>
      </w:r>
      <w:proofErr w:type="spellEnd"/>
      <w:r w:rsidRPr="003A1AA8">
        <w:rPr>
          <w:b/>
          <w:i/>
          <w:position w:val="-6"/>
          <w:vertAlign w:val="subscript"/>
        </w:rPr>
        <w:t>4</w:t>
      </w:r>
      <w:r w:rsidR="008B36CF" w:rsidRPr="003A1AA8">
        <w:t xml:space="preserve"> means the proportion of the volume of the landfill gas that is methane</w:t>
      </w:r>
      <w:r w:rsidR="003D2663" w:rsidRPr="003A1AA8">
        <w:t>, which is</w:t>
      </w:r>
      <w:r w:rsidR="005372E4" w:rsidRPr="003A1AA8">
        <w:t>:</w:t>
      </w:r>
    </w:p>
    <w:p w:rsidR="008B36CF" w:rsidRPr="003A1AA8" w:rsidRDefault="008B36CF" w:rsidP="008B36CF">
      <w:pPr>
        <w:pStyle w:val="paragraph"/>
      </w:pPr>
      <w:r w:rsidRPr="003A1AA8">
        <w:tab/>
        <w:t>(a)</w:t>
      </w:r>
      <w:r w:rsidRPr="003A1AA8">
        <w:tab/>
      </w:r>
      <w:r w:rsidR="003D2663" w:rsidRPr="003A1AA8">
        <w:t>set out in section</w:t>
      </w:r>
      <w:r w:rsidR="003A1AA8" w:rsidRPr="003A1AA8">
        <w:t> </w:t>
      </w:r>
      <w:r w:rsidR="003D2663" w:rsidRPr="003A1AA8">
        <w:t xml:space="preserve">5.14C of </w:t>
      </w:r>
      <w:r w:rsidR="004E3775" w:rsidRPr="003A1AA8">
        <w:t xml:space="preserve">the </w:t>
      </w:r>
      <w:proofErr w:type="spellStart"/>
      <w:r w:rsidR="004E3775" w:rsidRPr="003A1AA8">
        <w:t>NGER</w:t>
      </w:r>
      <w:proofErr w:type="spellEnd"/>
      <w:r w:rsidR="004E3775" w:rsidRPr="003A1AA8">
        <w:t xml:space="preserve"> (Me</w:t>
      </w:r>
      <w:r w:rsidR="00F82873" w:rsidRPr="003A1AA8">
        <w:t>asurement) Determination;</w:t>
      </w:r>
      <w:r w:rsidR="004E3775" w:rsidRPr="003A1AA8">
        <w:t xml:space="preserve"> or</w:t>
      </w:r>
    </w:p>
    <w:p w:rsidR="004E3775" w:rsidRPr="003A1AA8" w:rsidRDefault="004E3775" w:rsidP="008B36CF">
      <w:pPr>
        <w:pStyle w:val="paragraph"/>
      </w:pPr>
      <w:r w:rsidRPr="003A1AA8">
        <w:lastRenderedPageBreak/>
        <w:tab/>
        <w:t>(b)</w:t>
      </w:r>
      <w:r w:rsidRPr="003A1AA8">
        <w:tab/>
      </w:r>
      <w:r w:rsidR="00D8781C" w:rsidRPr="003A1AA8">
        <w:t xml:space="preserve">worked out </w:t>
      </w:r>
      <w:r w:rsidR="003130D2" w:rsidRPr="003A1AA8">
        <w:t>in accordance with the monitoring requirements</w:t>
      </w:r>
      <w:r w:rsidR="003D2663" w:rsidRPr="003A1AA8">
        <w:t>.</w:t>
      </w:r>
    </w:p>
    <w:p w:rsidR="001E31BF" w:rsidRPr="003A1AA8" w:rsidRDefault="001E31BF" w:rsidP="001E31BF">
      <w:pPr>
        <w:pStyle w:val="subsection"/>
      </w:pPr>
      <w:r w:rsidRPr="003A1AA8">
        <w:tab/>
        <w:t>(3)</w:t>
      </w:r>
      <w:r w:rsidRPr="003A1AA8">
        <w:tab/>
        <w:t xml:space="preserve">If, at any time during </w:t>
      </w:r>
      <w:r w:rsidR="00401648" w:rsidRPr="003A1AA8">
        <w:t xml:space="preserve">which this determination is the applicable methodology for </w:t>
      </w:r>
      <w:r w:rsidRPr="003A1AA8">
        <w:t xml:space="preserve">the project, the </w:t>
      </w:r>
      <w:r w:rsidR="003130D2" w:rsidRPr="003A1AA8">
        <w:t>monitoring requirements are</w:t>
      </w:r>
      <w:r w:rsidRPr="003A1AA8">
        <w:t xml:space="preserve"> used to work out </w:t>
      </w:r>
      <w:proofErr w:type="spellStart"/>
      <w:r w:rsidRPr="003A1AA8">
        <w:t>W</w:t>
      </w:r>
      <w:r w:rsidRPr="003A1AA8">
        <w:rPr>
          <w:vertAlign w:val="subscript"/>
        </w:rPr>
        <w:t>LFG,CH</w:t>
      </w:r>
      <w:proofErr w:type="spellEnd"/>
      <w:r w:rsidRPr="003A1AA8">
        <w:rPr>
          <w:position w:val="-6"/>
          <w:vertAlign w:val="subscript"/>
        </w:rPr>
        <w:t>4</w:t>
      </w:r>
      <w:r w:rsidRPr="003A1AA8">
        <w:t xml:space="preserve">, then, the </w:t>
      </w:r>
      <w:r w:rsidR="003130D2" w:rsidRPr="003A1AA8">
        <w:t xml:space="preserve">monitoring requirements </w:t>
      </w:r>
      <w:r w:rsidRPr="003A1AA8">
        <w:t xml:space="preserve">must be used for that purpose </w:t>
      </w:r>
      <w:r w:rsidR="003411BB" w:rsidRPr="003A1AA8">
        <w:t>for</w:t>
      </w:r>
      <w:r w:rsidRPr="003A1AA8">
        <w:t xml:space="preserve"> the remainder of the project.</w:t>
      </w:r>
    </w:p>
    <w:p w:rsidR="001E31BF" w:rsidRPr="003A1AA8" w:rsidRDefault="001E31BF" w:rsidP="001E31BF">
      <w:pPr>
        <w:pStyle w:val="subsection"/>
      </w:pPr>
      <w:r w:rsidRPr="003A1AA8">
        <w:tab/>
        <w:t>(4)</w:t>
      </w:r>
      <w:r w:rsidRPr="003A1AA8">
        <w:tab/>
      </w:r>
      <w:r w:rsidR="003A1AA8" w:rsidRPr="003A1AA8">
        <w:t>Subsection (</w:t>
      </w:r>
      <w:r w:rsidRPr="003A1AA8">
        <w:t>3) has effect subject to section</w:t>
      </w:r>
      <w:r w:rsidR="003A1AA8" w:rsidRPr="003A1AA8">
        <w:t> </w:t>
      </w:r>
      <w:r w:rsidR="006B1D9F" w:rsidRPr="003A1AA8">
        <w:t>33</w:t>
      </w:r>
      <w:r w:rsidRPr="003A1AA8">
        <w:t>.</w:t>
      </w:r>
    </w:p>
    <w:p w:rsidR="001E4EE7" w:rsidRPr="003A1AA8" w:rsidRDefault="001E4EE7" w:rsidP="001E4EE7">
      <w:pPr>
        <w:pStyle w:val="SubsectionHead"/>
      </w:pPr>
      <w:r w:rsidRPr="003A1AA8">
        <w:t>Option 2</w:t>
      </w:r>
      <w:r w:rsidR="00401648" w:rsidRPr="003A1AA8">
        <w:t xml:space="preserve">—using </w:t>
      </w:r>
      <w:r w:rsidR="00FE00FC" w:rsidRPr="003A1AA8">
        <w:t>energy</w:t>
      </w:r>
      <w:r w:rsidR="00401648" w:rsidRPr="003A1AA8">
        <w:t xml:space="preserve"> content of landfill gas sent to combustion device</w:t>
      </w:r>
    </w:p>
    <w:p w:rsidR="00E029B0" w:rsidRPr="003A1AA8" w:rsidRDefault="001E31BF" w:rsidP="00E029B0">
      <w:pPr>
        <w:pStyle w:val="subsection"/>
      </w:pPr>
      <w:r w:rsidRPr="003A1AA8">
        <w:tab/>
        <w:t>(5</w:t>
      </w:r>
      <w:r w:rsidR="004E3775" w:rsidRPr="003A1AA8">
        <w:t>)</w:t>
      </w:r>
      <w:r w:rsidR="004E3775" w:rsidRPr="003A1AA8">
        <w:tab/>
      </w:r>
      <w:r w:rsidR="00E029B0" w:rsidRPr="003A1AA8">
        <w:t xml:space="preserve">Using the energy content of the landfill gas sent </w:t>
      </w:r>
      <w:r w:rsidR="005A78EC" w:rsidRPr="003A1AA8">
        <w:t xml:space="preserve">to </w:t>
      </w:r>
      <w:r w:rsidR="00E029B0" w:rsidRPr="003A1AA8">
        <w:t>the combustion device (</w:t>
      </w:r>
      <w:proofErr w:type="spellStart"/>
      <w:r w:rsidR="003B6350" w:rsidRPr="003A1AA8">
        <w:rPr>
          <w:b/>
          <w:i/>
        </w:rPr>
        <w:t>Q</w:t>
      </w:r>
      <w:r w:rsidR="003B6350" w:rsidRPr="003A1AA8">
        <w:rPr>
          <w:b/>
          <w:i/>
          <w:vertAlign w:val="subscript"/>
        </w:rPr>
        <w:t>En,h</w:t>
      </w:r>
      <w:proofErr w:type="spellEnd"/>
      <w:r w:rsidR="00E029B0" w:rsidRPr="003A1AA8">
        <w:t xml:space="preserve">), the methane sent to the combustion device </w:t>
      </w:r>
      <w:r w:rsidR="007259E1" w:rsidRPr="003A1AA8">
        <w:t xml:space="preserve">during the period </w:t>
      </w:r>
      <w:r w:rsidR="00E029B0" w:rsidRPr="003A1AA8">
        <w:t>is worked out using the formula (</w:t>
      </w:r>
      <w:r w:rsidR="00E029B0" w:rsidRPr="003A1AA8">
        <w:rPr>
          <w:b/>
          <w:i/>
        </w:rPr>
        <w:t>equation 9</w:t>
      </w:r>
      <w:r w:rsidR="00E029B0" w:rsidRPr="003A1AA8">
        <w:t>):</w:t>
      </w:r>
    </w:p>
    <w:bookmarkStart w:id="46" w:name="BKCheck15B_12"/>
    <w:bookmarkEnd w:id="46"/>
    <w:p w:rsidR="004E3775" w:rsidRPr="003A1AA8" w:rsidRDefault="00CC3845" w:rsidP="004E3775">
      <w:pPr>
        <w:pStyle w:val="subsection2"/>
      </w:pPr>
      <w:r w:rsidRPr="003A1AA8">
        <w:rPr>
          <w:position w:val="-38"/>
        </w:rPr>
        <w:object w:dxaOrig="1440" w:dyaOrig="840">
          <v:shape id="_x0000_i1033" type="#_x0000_t75" style="width:72.6pt;height:42.05pt" o:ole="">
            <v:imagedata r:id="rId37" o:title=""/>
          </v:shape>
          <o:OLEObject Type="Embed" ProgID="Equation.DSMT4" ShapeID="_x0000_i1033" DrawAspect="Content" ObjectID="_1483177771" r:id="rId38"/>
        </w:object>
      </w:r>
    </w:p>
    <w:p w:rsidR="004E3775" w:rsidRPr="003A1AA8" w:rsidRDefault="004E3775" w:rsidP="004E3775">
      <w:pPr>
        <w:pStyle w:val="subsection2"/>
      </w:pPr>
      <w:r w:rsidRPr="003A1AA8">
        <w:t>where:</w:t>
      </w:r>
    </w:p>
    <w:p w:rsidR="00E029B0" w:rsidRPr="003A1AA8" w:rsidRDefault="00E029B0" w:rsidP="00E029B0">
      <w:pPr>
        <w:pStyle w:val="Definition"/>
      </w:pPr>
      <w:proofErr w:type="spellStart"/>
      <w:r w:rsidRPr="003A1AA8">
        <w:rPr>
          <w:b/>
          <w:i/>
        </w:rPr>
        <w:t>M</w:t>
      </w:r>
      <w:r w:rsidR="00401648" w:rsidRPr="003A1AA8">
        <w:rPr>
          <w:b/>
          <w:i/>
          <w:vertAlign w:val="subscript"/>
        </w:rPr>
        <w:t>S</w:t>
      </w:r>
      <w:r w:rsidRPr="003A1AA8">
        <w:rPr>
          <w:b/>
          <w:i/>
          <w:vertAlign w:val="subscript"/>
        </w:rPr>
        <w:t>ent,h</w:t>
      </w:r>
      <w:proofErr w:type="spellEnd"/>
      <w:r w:rsidRPr="003A1AA8">
        <w:t xml:space="preserve"> means the methane sent to the combustion device </w:t>
      </w:r>
      <w:r w:rsidR="00603708" w:rsidRPr="003A1AA8">
        <w:t>h</w:t>
      </w:r>
      <w:r w:rsidRPr="003A1AA8">
        <w:t xml:space="preserve"> during the period in cubic metres.</w:t>
      </w:r>
    </w:p>
    <w:p w:rsidR="00D8781C" w:rsidRPr="003A1AA8" w:rsidRDefault="00CC3845" w:rsidP="004E3775">
      <w:pPr>
        <w:pStyle w:val="Definition"/>
      </w:pPr>
      <w:proofErr w:type="spellStart"/>
      <w:r w:rsidRPr="003A1AA8">
        <w:rPr>
          <w:b/>
          <w:i/>
        </w:rPr>
        <w:t>Q</w:t>
      </w:r>
      <w:r w:rsidRPr="003A1AA8">
        <w:rPr>
          <w:b/>
          <w:i/>
          <w:vertAlign w:val="subscript"/>
        </w:rPr>
        <w:t>En</w:t>
      </w:r>
      <w:r w:rsidR="004E3775" w:rsidRPr="003A1AA8">
        <w:rPr>
          <w:b/>
          <w:i/>
          <w:vertAlign w:val="subscript"/>
        </w:rPr>
        <w:t>,h</w:t>
      </w:r>
      <w:proofErr w:type="spellEnd"/>
      <w:r w:rsidR="004E3775" w:rsidRPr="003A1AA8">
        <w:t xml:space="preserve"> means </w:t>
      </w:r>
      <w:r w:rsidR="00E029B0" w:rsidRPr="003A1AA8">
        <w:t xml:space="preserve">the </w:t>
      </w:r>
      <w:r w:rsidR="004E3775" w:rsidRPr="003A1AA8">
        <w:t xml:space="preserve">energy content of the landfill gas sent to </w:t>
      </w:r>
      <w:r w:rsidR="005A78EC" w:rsidRPr="003A1AA8">
        <w:t xml:space="preserve">the </w:t>
      </w:r>
      <w:r w:rsidR="004E3775" w:rsidRPr="003A1AA8">
        <w:t xml:space="preserve">combustion device </w:t>
      </w:r>
      <w:r w:rsidR="00603708" w:rsidRPr="003A1AA8">
        <w:t>h</w:t>
      </w:r>
      <w:r w:rsidR="00E029B0" w:rsidRPr="003A1AA8">
        <w:t xml:space="preserve"> during the period</w:t>
      </w:r>
      <w:r w:rsidR="00B67DC9" w:rsidRPr="003A1AA8">
        <w:t>,</w:t>
      </w:r>
      <w:r w:rsidR="004E3775" w:rsidRPr="003A1AA8">
        <w:t xml:space="preserve"> in gigajoules</w:t>
      </w:r>
      <w:r w:rsidR="00B67DC9" w:rsidRPr="003A1AA8">
        <w:t>,</w:t>
      </w:r>
      <w:r w:rsidR="004E3775" w:rsidRPr="003A1AA8">
        <w:t xml:space="preserve"> </w:t>
      </w:r>
      <w:r w:rsidR="00D8781C" w:rsidRPr="003A1AA8">
        <w:t xml:space="preserve">worked out </w:t>
      </w:r>
      <w:r w:rsidR="00047028" w:rsidRPr="003A1AA8">
        <w:t>in accordance with the monitoring requirements</w:t>
      </w:r>
      <w:r w:rsidR="00D8781C" w:rsidRPr="003A1AA8">
        <w:t>.</w:t>
      </w:r>
    </w:p>
    <w:p w:rsidR="00B159E7" w:rsidRPr="003A1AA8" w:rsidRDefault="00B159E7" w:rsidP="00B159E7">
      <w:pPr>
        <w:pStyle w:val="Definition"/>
      </w:pPr>
      <w:proofErr w:type="spellStart"/>
      <w:r w:rsidRPr="003A1AA8">
        <w:rPr>
          <w:b/>
          <w:i/>
        </w:rPr>
        <w:t>EC</w:t>
      </w:r>
      <w:r w:rsidRPr="003A1AA8">
        <w:rPr>
          <w:b/>
          <w:i/>
          <w:vertAlign w:val="subscript"/>
        </w:rPr>
        <w:t>LFG</w:t>
      </w:r>
      <w:proofErr w:type="spellEnd"/>
      <w:r w:rsidRPr="003A1AA8">
        <w:t xml:space="preserve"> means the energ</w:t>
      </w:r>
      <w:r w:rsidR="00CC3845" w:rsidRPr="003A1AA8">
        <w:t xml:space="preserve">y content factor for landfill </w:t>
      </w:r>
      <w:r w:rsidRPr="003A1AA8">
        <w:t xml:space="preserve">gas that is </w:t>
      </w:r>
      <w:r w:rsidR="00401648" w:rsidRPr="003A1AA8">
        <w:t>collected</w:t>
      </w:r>
      <w:r w:rsidRPr="003A1AA8">
        <w:t xml:space="preserve"> fo</w:t>
      </w:r>
      <w:r w:rsidR="003411BB" w:rsidRPr="003A1AA8">
        <w:t>r combustion (methane only)</w:t>
      </w:r>
      <w:r w:rsidR="00B67DC9" w:rsidRPr="003A1AA8">
        <w:t>,</w:t>
      </w:r>
      <w:r w:rsidR="003411BB" w:rsidRPr="003A1AA8">
        <w:t xml:space="preserve"> in g</w:t>
      </w:r>
      <w:r w:rsidRPr="003A1AA8">
        <w:t>igajoules per cubic metre</w:t>
      </w:r>
      <w:r w:rsidR="00B67DC9" w:rsidRPr="003A1AA8">
        <w:t>,</w:t>
      </w:r>
      <w:r w:rsidRPr="003A1AA8">
        <w:t xml:space="preserve"> set out in Part</w:t>
      </w:r>
      <w:r w:rsidR="003A1AA8" w:rsidRPr="003A1AA8">
        <w:t> </w:t>
      </w:r>
      <w:r w:rsidRPr="003A1AA8">
        <w:t>2 of Schedule</w:t>
      </w:r>
      <w:r w:rsidR="003A1AA8" w:rsidRPr="003A1AA8">
        <w:t> </w:t>
      </w:r>
      <w:r w:rsidR="003411BB" w:rsidRPr="003A1AA8">
        <w:t xml:space="preserve">1 to the </w:t>
      </w:r>
      <w:proofErr w:type="spellStart"/>
      <w:r w:rsidR="003411BB" w:rsidRPr="003A1AA8">
        <w:t>NGER</w:t>
      </w:r>
      <w:proofErr w:type="spellEnd"/>
      <w:r w:rsidRPr="003A1AA8">
        <w:t xml:space="preserve"> (Measurement) Determination</w:t>
      </w:r>
      <w:r w:rsidR="00D0034E" w:rsidRPr="003A1AA8">
        <w:t>.</w:t>
      </w:r>
    </w:p>
    <w:p w:rsidR="001E4EE7" w:rsidRPr="003A1AA8" w:rsidRDefault="00401648" w:rsidP="001E4EE7">
      <w:pPr>
        <w:pStyle w:val="SubsectionHead"/>
      </w:pPr>
      <w:r w:rsidRPr="003A1AA8">
        <w:t>Option 3—u</w:t>
      </w:r>
      <w:r w:rsidR="001E4EE7" w:rsidRPr="003A1AA8">
        <w:t>sing electricity produced by internal combustion engine</w:t>
      </w:r>
    </w:p>
    <w:p w:rsidR="00E029B0" w:rsidRPr="003A1AA8" w:rsidRDefault="001E31BF" w:rsidP="00E029B0">
      <w:pPr>
        <w:pStyle w:val="subsection"/>
      </w:pPr>
      <w:r w:rsidRPr="003A1AA8">
        <w:tab/>
        <w:t>(6</w:t>
      </w:r>
      <w:r w:rsidR="00E029B0" w:rsidRPr="003A1AA8">
        <w:t>)</w:t>
      </w:r>
      <w:r w:rsidR="00E029B0" w:rsidRPr="003A1AA8">
        <w:tab/>
        <w:t>If the combustion device is an internal combustion engine, using the electricity produced by the device</w:t>
      </w:r>
      <w:r w:rsidR="00467E5F" w:rsidRPr="003A1AA8">
        <w:t xml:space="preserve"> (</w:t>
      </w:r>
      <w:proofErr w:type="spellStart"/>
      <w:r w:rsidR="00467E5F" w:rsidRPr="003A1AA8">
        <w:rPr>
          <w:b/>
          <w:i/>
        </w:rPr>
        <w:t>Q</w:t>
      </w:r>
      <w:r w:rsidR="00467E5F" w:rsidRPr="003A1AA8">
        <w:rPr>
          <w:b/>
          <w:i/>
          <w:vertAlign w:val="subscript"/>
        </w:rPr>
        <w:t>EG,h</w:t>
      </w:r>
      <w:proofErr w:type="spellEnd"/>
      <w:r w:rsidR="00467E5F" w:rsidRPr="003A1AA8">
        <w:t>)</w:t>
      </w:r>
      <w:r w:rsidR="00E029B0" w:rsidRPr="003A1AA8">
        <w:t xml:space="preserve">, the methane sent to the combustion device </w:t>
      </w:r>
      <w:r w:rsidR="007259E1" w:rsidRPr="003A1AA8">
        <w:t xml:space="preserve">during the period </w:t>
      </w:r>
      <w:r w:rsidR="00E029B0" w:rsidRPr="003A1AA8">
        <w:t>is worked out using the formula (</w:t>
      </w:r>
      <w:r w:rsidR="00E029B0" w:rsidRPr="003A1AA8">
        <w:rPr>
          <w:b/>
          <w:i/>
        </w:rPr>
        <w:t>equation 10</w:t>
      </w:r>
      <w:r w:rsidR="00E029B0" w:rsidRPr="003A1AA8">
        <w:t>):</w:t>
      </w:r>
    </w:p>
    <w:bookmarkStart w:id="47" w:name="BKCheck15B_13"/>
    <w:bookmarkEnd w:id="47"/>
    <w:p w:rsidR="00E029B0" w:rsidRPr="003A1AA8" w:rsidRDefault="00401648" w:rsidP="00E029B0">
      <w:pPr>
        <w:pStyle w:val="subsection2"/>
      </w:pPr>
      <w:r w:rsidRPr="003A1AA8">
        <w:rPr>
          <w:position w:val="-50"/>
        </w:rPr>
        <w:object w:dxaOrig="2299" w:dyaOrig="1080">
          <v:shape id="_x0000_i1034" type="#_x0000_t75" style="width:116.35pt;height:54.15pt" o:ole="">
            <v:imagedata r:id="rId39" o:title=""/>
          </v:shape>
          <o:OLEObject Type="Embed" ProgID="Equation.DSMT4" ShapeID="_x0000_i1034" DrawAspect="Content" ObjectID="_1483177772" r:id="rId40"/>
        </w:object>
      </w:r>
    </w:p>
    <w:p w:rsidR="00E029B0" w:rsidRPr="003A1AA8" w:rsidRDefault="00E029B0" w:rsidP="00E029B0">
      <w:pPr>
        <w:pStyle w:val="subsection2"/>
      </w:pPr>
      <w:r w:rsidRPr="003A1AA8">
        <w:t>where:</w:t>
      </w:r>
    </w:p>
    <w:p w:rsidR="00E029B0" w:rsidRPr="003A1AA8" w:rsidRDefault="00E029B0" w:rsidP="00E029B0">
      <w:pPr>
        <w:pStyle w:val="Definition"/>
      </w:pPr>
      <w:proofErr w:type="spellStart"/>
      <w:r w:rsidRPr="003A1AA8">
        <w:rPr>
          <w:b/>
          <w:i/>
        </w:rPr>
        <w:t>M</w:t>
      </w:r>
      <w:r w:rsidR="00401648" w:rsidRPr="003A1AA8">
        <w:rPr>
          <w:b/>
          <w:i/>
          <w:vertAlign w:val="subscript"/>
        </w:rPr>
        <w:t>S</w:t>
      </w:r>
      <w:r w:rsidRPr="003A1AA8">
        <w:rPr>
          <w:b/>
          <w:i/>
          <w:vertAlign w:val="subscript"/>
        </w:rPr>
        <w:t>ent,h</w:t>
      </w:r>
      <w:proofErr w:type="spellEnd"/>
      <w:r w:rsidRPr="003A1AA8">
        <w:t xml:space="preserve"> means the methane sent to the combustion device </w:t>
      </w:r>
      <w:r w:rsidR="00603708" w:rsidRPr="003A1AA8">
        <w:t>h</w:t>
      </w:r>
      <w:r w:rsidRPr="003A1AA8">
        <w:t xml:space="preserve"> during the period</w:t>
      </w:r>
      <w:r w:rsidR="00AE2A6F" w:rsidRPr="003A1AA8">
        <w:t>,</w:t>
      </w:r>
      <w:r w:rsidRPr="003A1AA8">
        <w:t xml:space="preserve"> in cubic metres.</w:t>
      </w:r>
    </w:p>
    <w:p w:rsidR="00D8781C" w:rsidRPr="003A1AA8" w:rsidRDefault="00E029B0" w:rsidP="00E029B0">
      <w:pPr>
        <w:pStyle w:val="Definition"/>
      </w:pPr>
      <w:proofErr w:type="spellStart"/>
      <w:r w:rsidRPr="003A1AA8">
        <w:rPr>
          <w:b/>
          <w:i/>
        </w:rPr>
        <w:t>Q</w:t>
      </w:r>
      <w:r w:rsidR="00401648" w:rsidRPr="003A1AA8">
        <w:rPr>
          <w:b/>
          <w:i/>
          <w:vertAlign w:val="subscript"/>
        </w:rPr>
        <w:t>EG</w:t>
      </w:r>
      <w:r w:rsidRPr="003A1AA8">
        <w:rPr>
          <w:b/>
          <w:i/>
          <w:vertAlign w:val="subscript"/>
        </w:rPr>
        <w:t>,h</w:t>
      </w:r>
      <w:proofErr w:type="spellEnd"/>
      <w:r w:rsidRPr="003A1AA8">
        <w:t xml:space="preserve"> means the electricity (supplied to the grid or used on</w:t>
      </w:r>
      <w:r w:rsidR="003A1AA8">
        <w:noBreakHyphen/>
      </w:r>
      <w:r w:rsidRPr="003A1AA8">
        <w:t xml:space="preserve">site) produced by internal combustion engine </w:t>
      </w:r>
      <w:r w:rsidR="00603708" w:rsidRPr="003A1AA8">
        <w:t>h</w:t>
      </w:r>
      <w:r w:rsidRPr="003A1AA8">
        <w:t xml:space="preserve"> </w:t>
      </w:r>
      <w:r w:rsidR="00B26ED7" w:rsidRPr="003A1AA8">
        <w:t>during the period</w:t>
      </w:r>
      <w:r w:rsidR="00AE2A6F" w:rsidRPr="003A1AA8">
        <w:t>,</w:t>
      </w:r>
      <w:r w:rsidR="00B26ED7" w:rsidRPr="003A1AA8">
        <w:t xml:space="preserve"> </w:t>
      </w:r>
      <w:r w:rsidRPr="003A1AA8">
        <w:t>in megawatt hours</w:t>
      </w:r>
      <w:r w:rsidR="00AE2A6F" w:rsidRPr="003A1AA8">
        <w:t>,</w:t>
      </w:r>
      <w:r w:rsidRPr="003A1AA8">
        <w:t xml:space="preserve"> </w:t>
      </w:r>
      <w:r w:rsidR="00D8781C" w:rsidRPr="003A1AA8">
        <w:t xml:space="preserve">worked out </w:t>
      </w:r>
      <w:r w:rsidR="00047028" w:rsidRPr="003A1AA8">
        <w:t>in accordance with the monitoring requirements</w:t>
      </w:r>
      <w:r w:rsidR="00D8781C" w:rsidRPr="003A1AA8">
        <w:t>.</w:t>
      </w:r>
    </w:p>
    <w:p w:rsidR="00E029B0" w:rsidRPr="003A1AA8" w:rsidRDefault="00E029B0" w:rsidP="00E029B0">
      <w:pPr>
        <w:pStyle w:val="Definition"/>
      </w:pPr>
      <w:proofErr w:type="spellStart"/>
      <w:r w:rsidRPr="003A1AA8">
        <w:rPr>
          <w:b/>
          <w:i/>
        </w:rPr>
        <w:t>F</w:t>
      </w:r>
      <w:r w:rsidRPr="003A1AA8">
        <w:rPr>
          <w:b/>
          <w:i/>
          <w:vertAlign w:val="subscript"/>
        </w:rPr>
        <w:t>MWh→GJ</w:t>
      </w:r>
      <w:proofErr w:type="spellEnd"/>
      <w:r w:rsidRPr="003A1AA8">
        <w:t xml:space="preserve"> means the factor to conve</w:t>
      </w:r>
      <w:r w:rsidR="00B159E7" w:rsidRPr="003A1AA8">
        <w:t>rt megawatt hours t</w:t>
      </w:r>
      <w:r w:rsidR="00D0034E" w:rsidRPr="003A1AA8">
        <w:t>o gigajoules, which is 3.6.</w:t>
      </w:r>
    </w:p>
    <w:p w:rsidR="00E029B0" w:rsidRPr="003A1AA8" w:rsidRDefault="00E029B0" w:rsidP="00E029B0">
      <w:pPr>
        <w:pStyle w:val="Definition"/>
      </w:pPr>
      <w:proofErr w:type="spellStart"/>
      <w:r w:rsidRPr="003A1AA8">
        <w:rPr>
          <w:b/>
          <w:i/>
        </w:rPr>
        <w:t>Eff</w:t>
      </w:r>
      <w:r w:rsidRPr="003A1AA8">
        <w:rPr>
          <w:b/>
          <w:i/>
          <w:vertAlign w:val="subscript"/>
        </w:rPr>
        <w:t>h</w:t>
      </w:r>
      <w:proofErr w:type="spellEnd"/>
      <w:r w:rsidR="003411BB" w:rsidRPr="003A1AA8">
        <w:t xml:space="preserve"> means</w:t>
      </w:r>
      <w:r w:rsidRPr="003A1AA8">
        <w:t>:</w:t>
      </w:r>
    </w:p>
    <w:p w:rsidR="002F1A32" w:rsidRPr="003A1AA8" w:rsidRDefault="00E029B0" w:rsidP="00E029B0">
      <w:pPr>
        <w:pStyle w:val="paragraph"/>
      </w:pPr>
      <w:r w:rsidRPr="003A1AA8">
        <w:tab/>
        <w:t>(a)</w:t>
      </w:r>
      <w:r w:rsidRPr="003A1AA8">
        <w:tab/>
      </w:r>
      <w:r w:rsidR="003411BB" w:rsidRPr="003A1AA8">
        <w:t xml:space="preserve">the factor for the electrical efficiency of internal combustion engine </w:t>
      </w:r>
      <w:r w:rsidR="00603708" w:rsidRPr="003A1AA8">
        <w:t>h</w:t>
      </w:r>
      <w:r w:rsidR="003411BB" w:rsidRPr="003A1AA8">
        <w:t xml:space="preserve"> </w:t>
      </w:r>
      <w:r w:rsidRPr="003A1AA8">
        <w:t>determined in accordance with</w:t>
      </w:r>
      <w:r w:rsidR="002F1A32" w:rsidRPr="003A1AA8">
        <w:t>:</w:t>
      </w:r>
    </w:p>
    <w:p w:rsidR="00C6359E" w:rsidRPr="003A1AA8" w:rsidRDefault="002F1A32" w:rsidP="002F1A32">
      <w:pPr>
        <w:pStyle w:val="paragraphsub"/>
      </w:pPr>
      <w:r w:rsidRPr="003A1AA8">
        <w:lastRenderedPageBreak/>
        <w:tab/>
        <w:t>(</w:t>
      </w:r>
      <w:proofErr w:type="spellStart"/>
      <w:r w:rsidRPr="003A1AA8">
        <w:t>i</w:t>
      </w:r>
      <w:proofErr w:type="spellEnd"/>
      <w:r w:rsidRPr="003A1AA8">
        <w:t>)</w:t>
      </w:r>
      <w:r w:rsidRPr="003A1AA8">
        <w:tab/>
      </w:r>
      <w:r w:rsidR="00C6359E" w:rsidRPr="003A1AA8">
        <w:t>the manufacturer’s specifications</w:t>
      </w:r>
      <w:r w:rsidR="00401648" w:rsidRPr="003A1AA8">
        <w:t xml:space="preserve"> for the combustion of landfill gas</w:t>
      </w:r>
      <w:r w:rsidR="00C6359E" w:rsidRPr="003A1AA8">
        <w:t xml:space="preserve">; </w:t>
      </w:r>
      <w:r w:rsidRPr="003A1AA8">
        <w:t>and</w:t>
      </w:r>
    </w:p>
    <w:p w:rsidR="002F1A32" w:rsidRPr="003A1AA8" w:rsidRDefault="002F1A32" w:rsidP="002F1A32">
      <w:pPr>
        <w:pStyle w:val="paragraphsub"/>
      </w:pPr>
      <w:r w:rsidRPr="003A1AA8">
        <w:tab/>
        <w:t>(ii)</w:t>
      </w:r>
      <w:r w:rsidRPr="003A1AA8">
        <w:tab/>
        <w:t>if the specifications set out a range of such efficiencies—the highest of those efficiencies; or</w:t>
      </w:r>
    </w:p>
    <w:p w:rsidR="00E029B0" w:rsidRPr="003A1AA8" w:rsidRDefault="00C6359E" w:rsidP="00E029B0">
      <w:pPr>
        <w:pStyle w:val="paragraph"/>
      </w:pPr>
      <w:r w:rsidRPr="003A1AA8">
        <w:tab/>
        <w:t>(b)</w:t>
      </w:r>
      <w:r w:rsidRPr="003A1AA8">
        <w:tab/>
      </w:r>
      <w:r w:rsidR="0061257C" w:rsidRPr="003A1AA8">
        <w:t>if no such factor can be determined in accordance with the manufacturer’s specifications—</w:t>
      </w:r>
      <w:r w:rsidR="00071231" w:rsidRPr="003A1AA8">
        <w:t>the amount set out in subparagraph</w:t>
      </w:r>
      <w:r w:rsidR="003A1AA8" w:rsidRPr="003A1AA8">
        <w:t> </w:t>
      </w:r>
      <w:r w:rsidR="00071231" w:rsidRPr="003A1AA8">
        <w:t xml:space="preserve">2.38(2)(a)(ii) of the </w:t>
      </w:r>
      <w:proofErr w:type="spellStart"/>
      <w:r w:rsidR="00071231" w:rsidRPr="003A1AA8">
        <w:t>NGER</w:t>
      </w:r>
      <w:proofErr w:type="spellEnd"/>
      <w:r w:rsidR="00071231" w:rsidRPr="003A1AA8">
        <w:t xml:space="preserve"> (Measurement) Determination</w:t>
      </w:r>
      <w:r w:rsidR="00E029B0" w:rsidRPr="003A1AA8">
        <w:t>.</w:t>
      </w:r>
    </w:p>
    <w:p w:rsidR="00B159E7" w:rsidRPr="003A1AA8" w:rsidRDefault="00B159E7" w:rsidP="00B159E7">
      <w:pPr>
        <w:pStyle w:val="Definition"/>
      </w:pPr>
      <w:proofErr w:type="spellStart"/>
      <w:r w:rsidRPr="003A1AA8">
        <w:rPr>
          <w:b/>
          <w:i/>
        </w:rPr>
        <w:t>EC</w:t>
      </w:r>
      <w:r w:rsidRPr="003A1AA8">
        <w:rPr>
          <w:b/>
          <w:i/>
          <w:vertAlign w:val="subscript"/>
        </w:rPr>
        <w:t>LFG</w:t>
      </w:r>
      <w:proofErr w:type="spellEnd"/>
      <w:r w:rsidRPr="003A1AA8">
        <w:t xml:space="preserve"> means the energy</w:t>
      </w:r>
      <w:r w:rsidR="00CC3845" w:rsidRPr="003A1AA8">
        <w:t xml:space="preserve"> content factor for landfill </w:t>
      </w:r>
      <w:r w:rsidRPr="003A1AA8">
        <w:t>gas that is captured fo</w:t>
      </w:r>
      <w:r w:rsidR="003411BB" w:rsidRPr="003A1AA8">
        <w:t>r combustion (methane only)</w:t>
      </w:r>
      <w:r w:rsidR="00AE2A6F" w:rsidRPr="003A1AA8">
        <w:t>,</w:t>
      </w:r>
      <w:r w:rsidR="003411BB" w:rsidRPr="003A1AA8">
        <w:t xml:space="preserve"> in g</w:t>
      </w:r>
      <w:r w:rsidRPr="003A1AA8">
        <w:t>igajoules per cubic metre</w:t>
      </w:r>
      <w:r w:rsidR="00AE2A6F" w:rsidRPr="003A1AA8">
        <w:t>,</w:t>
      </w:r>
      <w:r w:rsidRPr="003A1AA8">
        <w:t xml:space="preserve"> set out in Part</w:t>
      </w:r>
      <w:r w:rsidR="003A1AA8" w:rsidRPr="003A1AA8">
        <w:t> </w:t>
      </w:r>
      <w:r w:rsidRPr="003A1AA8">
        <w:t>2 of Schedule</w:t>
      </w:r>
      <w:r w:rsidR="003A1AA8" w:rsidRPr="003A1AA8">
        <w:t> </w:t>
      </w:r>
      <w:r w:rsidRPr="003A1AA8">
        <w:t xml:space="preserve">1 to the </w:t>
      </w:r>
      <w:proofErr w:type="spellStart"/>
      <w:r w:rsidRPr="003A1AA8">
        <w:t>NGER</w:t>
      </w:r>
      <w:proofErr w:type="spellEnd"/>
      <w:r w:rsidRPr="003A1AA8">
        <w:t xml:space="preserve"> (Measurement) Determination.</w:t>
      </w:r>
    </w:p>
    <w:p w:rsidR="0094530D" w:rsidRPr="003A1AA8" w:rsidRDefault="006B1D9F" w:rsidP="0094530D">
      <w:pPr>
        <w:pStyle w:val="ActHead5"/>
      </w:pPr>
      <w:bookmarkStart w:id="48" w:name="_Toc407104167"/>
      <w:r w:rsidRPr="003A1AA8">
        <w:rPr>
          <w:rStyle w:val="CharSectno"/>
        </w:rPr>
        <w:t>25</w:t>
      </w:r>
      <w:r w:rsidR="0094530D" w:rsidRPr="003A1AA8">
        <w:t xml:space="preserve">  </w:t>
      </w:r>
      <w:r w:rsidR="001E4EE7" w:rsidRPr="003A1AA8">
        <w:t>M</w:t>
      </w:r>
      <w:r w:rsidR="0094530D" w:rsidRPr="003A1AA8">
        <w:t xml:space="preserve">ethane </w:t>
      </w:r>
      <w:r w:rsidR="0021218C" w:rsidRPr="003A1AA8">
        <w:t xml:space="preserve">combusted that was </w:t>
      </w:r>
      <w:r w:rsidR="00CC3845" w:rsidRPr="003A1AA8">
        <w:t xml:space="preserve">not generated from </w:t>
      </w:r>
      <w:r w:rsidR="0094530D" w:rsidRPr="003A1AA8">
        <w:t xml:space="preserve">carbon tax waste </w:t>
      </w:r>
      <w:r w:rsidR="0021218C" w:rsidRPr="003A1AA8">
        <w:t xml:space="preserve">and </w:t>
      </w:r>
      <w:r w:rsidR="001E4EE7" w:rsidRPr="003A1AA8">
        <w:t>that</w:t>
      </w:r>
      <w:r w:rsidR="0094530D" w:rsidRPr="003A1AA8">
        <w:t xml:space="preserve"> would have been oxidised in near surface conditions</w:t>
      </w:r>
      <w:bookmarkEnd w:id="48"/>
    </w:p>
    <w:p w:rsidR="001E4EE7" w:rsidRPr="003A1AA8" w:rsidRDefault="0094530D" w:rsidP="0094530D">
      <w:pPr>
        <w:pStyle w:val="subsection"/>
      </w:pPr>
      <w:r w:rsidRPr="003A1AA8">
        <w:tab/>
      </w:r>
      <w:r w:rsidRPr="003A1AA8">
        <w:tab/>
      </w:r>
      <w:r w:rsidR="001E4EE7" w:rsidRPr="003A1AA8">
        <w:t>The methane combusted during the reporting period</w:t>
      </w:r>
      <w:r w:rsidR="00AD4A80" w:rsidRPr="003A1AA8">
        <w:t xml:space="preserve"> that was not generated from carbon tax waste and</w:t>
      </w:r>
      <w:r w:rsidR="001E4EE7" w:rsidRPr="003A1AA8">
        <w:t xml:space="preserve"> </w:t>
      </w:r>
      <w:r w:rsidR="00342CBC" w:rsidRPr="003A1AA8">
        <w:t>that</w:t>
      </w:r>
      <w:r w:rsidR="001E4EE7" w:rsidRPr="003A1AA8">
        <w:t xml:space="preserve">, </w:t>
      </w:r>
      <w:r w:rsidR="006332CA" w:rsidRPr="003A1AA8">
        <w:t>without</w:t>
      </w:r>
      <w:r w:rsidR="00E514FB" w:rsidRPr="003A1AA8">
        <w:t xml:space="preserve"> the project</w:t>
      </w:r>
      <w:r w:rsidR="001E4EE7" w:rsidRPr="003A1AA8">
        <w:t>, would have been oxidised in near surface conditions of landfill</w:t>
      </w:r>
      <w:r w:rsidR="00AE2A6F" w:rsidRPr="003A1AA8">
        <w:t>,</w:t>
      </w:r>
      <w:r w:rsidR="001E4EE7" w:rsidRPr="003A1AA8">
        <w:t xml:space="preserve"> in tonnes CO</w:t>
      </w:r>
      <w:r w:rsidR="001E4EE7" w:rsidRPr="003A1AA8">
        <w:rPr>
          <w:vertAlign w:val="subscript"/>
        </w:rPr>
        <w:t>2</w:t>
      </w:r>
      <w:r w:rsidR="003A1AA8">
        <w:noBreakHyphen/>
      </w:r>
      <w:r w:rsidR="001E4EE7" w:rsidRPr="003A1AA8">
        <w:t>e</w:t>
      </w:r>
      <w:r w:rsidR="00AE2A6F" w:rsidRPr="003A1AA8">
        <w:t>,</w:t>
      </w:r>
      <w:r w:rsidR="001E4EE7" w:rsidRPr="003A1AA8">
        <w:t xml:space="preserve"> worked out using the formula (</w:t>
      </w:r>
      <w:r w:rsidR="001E4EE7" w:rsidRPr="003A1AA8">
        <w:rPr>
          <w:b/>
          <w:i/>
        </w:rPr>
        <w:t>equation 11</w:t>
      </w:r>
      <w:r w:rsidR="001E4EE7" w:rsidRPr="003A1AA8">
        <w:t>):</w:t>
      </w:r>
    </w:p>
    <w:bookmarkStart w:id="49" w:name="BKCheck15B_14"/>
    <w:bookmarkEnd w:id="49"/>
    <w:p w:rsidR="0094530D" w:rsidRPr="003A1AA8" w:rsidRDefault="00CC3845" w:rsidP="0094530D">
      <w:pPr>
        <w:pStyle w:val="subsection2"/>
      </w:pPr>
      <w:r w:rsidRPr="003A1AA8">
        <w:rPr>
          <w:position w:val="-24"/>
        </w:rPr>
        <w:object w:dxaOrig="3460" w:dyaOrig="580">
          <v:shape id="_x0000_i1035" type="#_x0000_t75" style="width:173.4pt;height:29.4pt" o:ole="">
            <v:imagedata r:id="rId41" o:title=""/>
          </v:shape>
          <o:OLEObject Type="Embed" ProgID="Equation.DSMT4" ShapeID="_x0000_i1035" DrawAspect="Content" ObjectID="_1483177773" r:id="rId42"/>
        </w:object>
      </w:r>
    </w:p>
    <w:p w:rsidR="0094530D" w:rsidRPr="003A1AA8" w:rsidRDefault="0094530D" w:rsidP="0094530D">
      <w:pPr>
        <w:pStyle w:val="subsection2"/>
      </w:pPr>
      <w:r w:rsidRPr="003A1AA8">
        <w:t>where:</w:t>
      </w:r>
    </w:p>
    <w:p w:rsidR="0094530D" w:rsidRPr="003A1AA8" w:rsidRDefault="0094530D" w:rsidP="0094530D">
      <w:pPr>
        <w:pStyle w:val="Definition"/>
      </w:pPr>
      <w:proofErr w:type="spellStart"/>
      <w:r w:rsidRPr="003A1AA8">
        <w:rPr>
          <w:b/>
          <w:i/>
        </w:rPr>
        <w:t>M</w:t>
      </w:r>
      <w:r w:rsidR="002F1A32" w:rsidRPr="003A1AA8">
        <w:rPr>
          <w:b/>
          <w:i/>
          <w:vertAlign w:val="subscript"/>
        </w:rPr>
        <w:t>C</w:t>
      </w:r>
      <w:r w:rsidR="00CC3845" w:rsidRPr="003A1AA8">
        <w:rPr>
          <w:b/>
          <w:i/>
          <w:vertAlign w:val="subscript"/>
        </w:rPr>
        <w:t>om,O</w:t>
      </w:r>
      <w:r w:rsidRPr="003A1AA8">
        <w:rPr>
          <w:b/>
          <w:i/>
          <w:vertAlign w:val="subscript"/>
        </w:rPr>
        <w:t>x</w:t>
      </w:r>
      <w:proofErr w:type="spellEnd"/>
      <w:r w:rsidRPr="003A1AA8">
        <w:rPr>
          <w:b/>
          <w:i/>
          <w:vertAlign w:val="subscript"/>
        </w:rPr>
        <w:t xml:space="preserve"> </w:t>
      </w:r>
      <w:r w:rsidR="00656A33" w:rsidRPr="003A1AA8">
        <w:t>means the methane</w:t>
      </w:r>
      <w:r w:rsidR="00467E5F" w:rsidRPr="003A1AA8">
        <w:t xml:space="preserve"> </w:t>
      </w:r>
      <w:r w:rsidR="00AD4A80" w:rsidRPr="003A1AA8">
        <w:t xml:space="preserve">combusted during the reporting period that was </w:t>
      </w:r>
      <w:r w:rsidR="00467E5F" w:rsidRPr="003A1AA8">
        <w:t>not</w:t>
      </w:r>
      <w:r w:rsidR="00656A33" w:rsidRPr="003A1AA8">
        <w:t xml:space="preserve"> generated from carbon tax waste </w:t>
      </w:r>
      <w:r w:rsidR="00AD4A80" w:rsidRPr="003A1AA8">
        <w:t xml:space="preserve">and </w:t>
      </w:r>
      <w:r w:rsidR="00342CBC" w:rsidRPr="003A1AA8">
        <w:t>that</w:t>
      </w:r>
      <w:r w:rsidR="00656A33" w:rsidRPr="003A1AA8">
        <w:t xml:space="preserve">, </w:t>
      </w:r>
      <w:r w:rsidR="006332CA" w:rsidRPr="003A1AA8">
        <w:t>without</w:t>
      </w:r>
      <w:r w:rsidR="00E514FB" w:rsidRPr="003A1AA8">
        <w:t xml:space="preserve"> the project</w:t>
      </w:r>
      <w:r w:rsidR="00656A33" w:rsidRPr="003A1AA8">
        <w:t>, would have been oxidised in near surface conditions of landfill</w:t>
      </w:r>
      <w:r w:rsidR="00AE2A6F" w:rsidRPr="003A1AA8">
        <w:t>,</w:t>
      </w:r>
      <w:r w:rsidR="00656A33" w:rsidRPr="003A1AA8">
        <w:t xml:space="preserve"> in tonnes CO</w:t>
      </w:r>
      <w:r w:rsidR="00656A33" w:rsidRPr="003A1AA8">
        <w:rPr>
          <w:vertAlign w:val="subscript"/>
        </w:rPr>
        <w:t>2</w:t>
      </w:r>
      <w:r w:rsidR="003A1AA8">
        <w:noBreakHyphen/>
      </w:r>
      <w:r w:rsidR="00656A33" w:rsidRPr="003A1AA8">
        <w:t>e</w:t>
      </w:r>
      <w:r w:rsidRPr="003A1AA8">
        <w:t>.</w:t>
      </w:r>
    </w:p>
    <w:p w:rsidR="0094530D" w:rsidRPr="003A1AA8" w:rsidRDefault="0094530D" w:rsidP="0094530D">
      <w:pPr>
        <w:pStyle w:val="Definition"/>
      </w:pPr>
      <w:proofErr w:type="spellStart"/>
      <w:r w:rsidRPr="003A1AA8">
        <w:rPr>
          <w:b/>
          <w:i/>
        </w:rPr>
        <w:t>M</w:t>
      </w:r>
      <w:r w:rsidR="002F1A32" w:rsidRPr="003A1AA8">
        <w:rPr>
          <w:b/>
          <w:i/>
          <w:vertAlign w:val="subscript"/>
        </w:rPr>
        <w:t>C</w:t>
      </w:r>
      <w:r w:rsidRPr="003A1AA8">
        <w:rPr>
          <w:b/>
          <w:i/>
          <w:vertAlign w:val="subscript"/>
        </w:rPr>
        <w:t>om,NCT</w:t>
      </w:r>
      <w:proofErr w:type="spellEnd"/>
      <w:r w:rsidRPr="003A1AA8">
        <w:t xml:space="preserve"> means</w:t>
      </w:r>
      <w:r w:rsidR="00656A33" w:rsidRPr="003A1AA8">
        <w:t xml:space="preserve"> the</w:t>
      </w:r>
      <w:r w:rsidRPr="003A1AA8">
        <w:t xml:space="preserve"> methane</w:t>
      </w:r>
      <w:r w:rsidR="00AD4A80" w:rsidRPr="003A1AA8">
        <w:t xml:space="preserve"> combusted during the reporting period that was</w:t>
      </w:r>
      <w:r w:rsidRPr="003A1AA8">
        <w:t xml:space="preserve"> </w:t>
      </w:r>
      <w:r w:rsidR="00467E5F" w:rsidRPr="003A1AA8">
        <w:t xml:space="preserve">not </w:t>
      </w:r>
      <w:r w:rsidRPr="003A1AA8">
        <w:t>gen</w:t>
      </w:r>
      <w:r w:rsidR="00656A33" w:rsidRPr="003A1AA8">
        <w:t xml:space="preserve">erated from </w:t>
      </w:r>
      <w:r w:rsidRPr="003A1AA8">
        <w:t>carbon tax waste</w:t>
      </w:r>
      <w:r w:rsidR="00AE2A6F" w:rsidRPr="003A1AA8">
        <w:t>,</w:t>
      </w:r>
      <w:r w:rsidR="00656A33" w:rsidRPr="003A1AA8">
        <w:t xml:space="preserve"> </w:t>
      </w:r>
      <w:r w:rsidRPr="003A1AA8">
        <w:t>in tonnes CO</w:t>
      </w:r>
      <w:r w:rsidRPr="003A1AA8">
        <w:rPr>
          <w:vertAlign w:val="subscript"/>
        </w:rPr>
        <w:t>2</w:t>
      </w:r>
      <w:r w:rsidR="003A1AA8">
        <w:noBreakHyphen/>
      </w:r>
      <w:r w:rsidR="00580A1A" w:rsidRPr="003A1AA8">
        <w:t>e</w:t>
      </w:r>
      <w:r w:rsidR="00AE2A6F" w:rsidRPr="003A1AA8">
        <w:t>,</w:t>
      </w:r>
      <w:r w:rsidR="00580A1A" w:rsidRPr="003A1AA8">
        <w:t xml:space="preserve"> worked out using equation 3.</w:t>
      </w:r>
    </w:p>
    <w:p w:rsidR="0094530D" w:rsidRPr="003A1AA8" w:rsidRDefault="0094530D" w:rsidP="0094530D">
      <w:pPr>
        <w:pStyle w:val="Definition"/>
      </w:pPr>
      <w:r w:rsidRPr="003A1AA8">
        <w:rPr>
          <w:b/>
          <w:i/>
        </w:rPr>
        <w:t>OF</w:t>
      </w:r>
      <w:r w:rsidRPr="003A1AA8">
        <w:t xml:space="preserve"> means </w:t>
      </w:r>
      <w:r w:rsidR="00656A33" w:rsidRPr="003A1AA8">
        <w:t xml:space="preserve">the oxidation factor for near surface methane in </w:t>
      </w:r>
      <w:r w:rsidR="00290ABA" w:rsidRPr="003A1AA8">
        <w:t xml:space="preserve">landfill set out in the definition of </w:t>
      </w:r>
      <w:proofErr w:type="spellStart"/>
      <w:r w:rsidR="00290ABA" w:rsidRPr="003A1AA8">
        <w:rPr>
          <w:b/>
          <w:i/>
        </w:rPr>
        <w:t>OF</w:t>
      </w:r>
      <w:proofErr w:type="spellEnd"/>
      <w:r w:rsidR="00290ABA" w:rsidRPr="003A1AA8">
        <w:t xml:space="preserve"> in subsection</w:t>
      </w:r>
      <w:r w:rsidR="003A1AA8" w:rsidRPr="003A1AA8">
        <w:t> </w:t>
      </w:r>
      <w:r w:rsidR="00290ABA" w:rsidRPr="003A1AA8">
        <w:t xml:space="preserve">5.4(1) of the </w:t>
      </w:r>
      <w:proofErr w:type="spellStart"/>
      <w:r w:rsidR="00290ABA" w:rsidRPr="003A1AA8">
        <w:t>N</w:t>
      </w:r>
      <w:r w:rsidR="00D0034E" w:rsidRPr="003A1AA8">
        <w:t>GER</w:t>
      </w:r>
      <w:proofErr w:type="spellEnd"/>
      <w:r w:rsidR="00D0034E" w:rsidRPr="003A1AA8">
        <w:t xml:space="preserve"> (Measurement) Determination.</w:t>
      </w:r>
    </w:p>
    <w:p w:rsidR="0094530D" w:rsidRPr="003A1AA8" w:rsidRDefault="0094530D" w:rsidP="0094530D">
      <w:pPr>
        <w:pStyle w:val="Definition"/>
      </w:pPr>
      <w:r w:rsidRPr="003A1AA8">
        <w:rPr>
          <w:b/>
          <w:i/>
        </w:rPr>
        <w:t>W</w:t>
      </w:r>
      <w:r w:rsidRPr="003A1AA8">
        <w:rPr>
          <w:b/>
          <w:i/>
          <w:vertAlign w:val="subscript"/>
        </w:rPr>
        <w:t>B</w:t>
      </w:r>
      <w:r w:rsidRPr="003A1AA8">
        <w:t xml:space="preserve"> means </w:t>
      </w:r>
      <w:r w:rsidR="00656A33" w:rsidRPr="003A1AA8">
        <w:t xml:space="preserve">the </w:t>
      </w:r>
      <w:r w:rsidRPr="003A1AA8">
        <w:t xml:space="preserve">proportion of </w:t>
      </w:r>
      <w:r w:rsidR="00656A33" w:rsidRPr="003A1AA8">
        <w:t xml:space="preserve">the </w:t>
      </w:r>
      <w:r w:rsidRPr="003A1AA8">
        <w:t xml:space="preserve">methane combusted in the </w:t>
      </w:r>
      <w:r w:rsidR="00CC3845" w:rsidRPr="003A1AA8">
        <w:t>reporting period</w:t>
      </w:r>
      <w:r w:rsidRPr="003A1AA8">
        <w:t xml:space="preserve"> that would </w:t>
      </w:r>
      <w:r w:rsidR="00656A33" w:rsidRPr="003A1AA8">
        <w:t xml:space="preserve">have </w:t>
      </w:r>
      <w:r w:rsidRPr="003A1AA8">
        <w:t>be</w:t>
      </w:r>
      <w:r w:rsidR="00656A33" w:rsidRPr="003A1AA8">
        <w:t>en</w:t>
      </w:r>
      <w:r w:rsidRPr="003A1AA8">
        <w:t xml:space="preserve"> combusted </w:t>
      </w:r>
      <w:r w:rsidR="00CC3845" w:rsidRPr="003A1AA8">
        <w:t xml:space="preserve">without the project </w:t>
      </w:r>
      <w:r w:rsidR="00656A33" w:rsidRPr="003A1AA8">
        <w:t xml:space="preserve">worked out using </w:t>
      </w:r>
      <w:r w:rsidR="00CC3845" w:rsidRPr="003A1AA8">
        <w:t xml:space="preserve">whichever of </w:t>
      </w:r>
      <w:r w:rsidR="00580A1A" w:rsidRPr="003A1AA8">
        <w:t>equation</w:t>
      </w:r>
      <w:r w:rsidR="00CC3845" w:rsidRPr="003A1AA8">
        <w:t>s</w:t>
      </w:r>
      <w:r w:rsidR="00580A1A" w:rsidRPr="003A1AA8">
        <w:t xml:space="preserve"> </w:t>
      </w:r>
      <w:r w:rsidR="004E37B9" w:rsidRPr="003A1AA8">
        <w:t>13</w:t>
      </w:r>
      <w:r w:rsidR="00CC3845" w:rsidRPr="003A1AA8">
        <w:t xml:space="preserve"> to</w:t>
      </w:r>
      <w:r w:rsidR="002F1A32" w:rsidRPr="003A1AA8">
        <w:t xml:space="preserve"> 1</w:t>
      </w:r>
      <w:r w:rsidR="004E37B9" w:rsidRPr="003A1AA8">
        <w:t>6</w:t>
      </w:r>
      <w:r w:rsidR="00CC3845" w:rsidRPr="003A1AA8">
        <w:t xml:space="preserve"> applies</w:t>
      </w:r>
      <w:r w:rsidRPr="003A1AA8">
        <w:t>.</w:t>
      </w:r>
    </w:p>
    <w:p w:rsidR="001E4EE7" w:rsidRPr="003A1AA8" w:rsidRDefault="001E4EE7" w:rsidP="009C5BB5">
      <w:pPr>
        <w:pStyle w:val="ActHead3"/>
        <w:pageBreakBefore/>
      </w:pPr>
      <w:bookmarkStart w:id="50" w:name="_Toc407104168"/>
      <w:bookmarkStart w:id="51" w:name="_Ref380572477"/>
      <w:r w:rsidRPr="003A1AA8">
        <w:rPr>
          <w:rStyle w:val="CharDivNo"/>
        </w:rPr>
        <w:lastRenderedPageBreak/>
        <w:t>Division</w:t>
      </w:r>
      <w:r w:rsidR="003A1AA8" w:rsidRPr="003A1AA8">
        <w:rPr>
          <w:rStyle w:val="CharDivNo"/>
        </w:rPr>
        <w:t> </w:t>
      </w:r>
      <w:r w:rsidR="000B7147" w:rsidRPr="003A1AA8">
        <w:rPr>
          <w:rStyle w:val="CharDivNo"/>
        </w:rPr>
        <w:t>4</w:t>
      </w:r>
      <w:r w:rsidR="002F1A32" w:rsidRPr="003A1AA8">
        <w:t>—</w:t>
      </w:r>
      <w:r w:rsidR="002F1A32" w:rsidRPr="003A1AA8">
        <w:rPr>
          <w:rStyle w:val="CharDivText"/>
        </w:rPr>
        <w:t>Method for calculating b</w:t>
      </w:r>
      <w:r w:rsidR="00363A30" w:rsidRPr="003A1AA8">
        <w:rPr>
          <w:rStyle w:val="CharDivText"/>
        </w:rPr>
        <w:t>aseline abatement</w:t>
      </w:r>
      <w:bookmarkEnd w:id="50"/>
    </w:p>
    <w:p w:rsidR="003157BA" w:rsidRPr="003A1AA8" w:rsidRDefault="006B1D9F" w:rsidP="003157BA">
      <w:pPr>
        <w:pStyle w:val="ActHead5"/>
      </w:pPr>
      <w:bookmarkStart w:id="52" w:name="_Toc407104169"/>
      <w:r w:rsidRPr="003A1AA8">
        <w:rPr>
          <w:rStyle w:val="CharSectno"/>
        </w:rPr>
        <w:t>26</w:t>
      </w:r>
      <w:r w:rsidR="003157BA" w:rsidRPr="003A1AA8">
        <w:t xml:space="preserve">  Summary</w:t>
      </w:r>
      <w:bookmarkEnd w:id="52"/>
    </w:p>
    <w:p w:rsidR="003157BA" w:rsidRPr="003A1AA8" w:rsidRDefault="003157BA" w:rsidP="004E06FA">
      <w:pPr>
        <w:pStyle w:val="SOText"/>
        <w:rPr>
          <w:rFonts w:cs="Times New Roman"/>
          <w:szCs w:val="22"/>
        </w:rPr>
      </w:pPr>
      <w:r w:rsidRPr="003A1AA8">
        <w:rPr>
          <w:rFonts w:cs="Times New Roman"/>
          <w:szCs w:val="22"/>
        </w:rPr>
        <w:t>Baseline abatement is calculated as the amount of methane combusted by the project that was not generated by carbon tax waste multiplied by the proportion representing the amount of methane combusted during the project that would have been combusted without the project.</w:t>
      </w:r>
    </w:p>
    <w:p w:rsidR="003157BA" w:rsidRPr="003A1AA8" w:rsidRDefault="003157BA" w:rsidP="004E06FA">
      <w:pPr>
        <w:pStyle w:val="SOText"/>
        <w:rPr>
          <w:rFonts w:cs="Times New Roman"/>
          <w:szCs w:val="22"/>
        </w:rPr>
      </w:pPr>
      <w:r w:rsidRPr="003A1AA8">
        <w:rPr>
          <w:rFonts w:cs="Times New Roman"/>
          <w:szCs w:val="22"/>
        </w:rPr>
        <w:t>The determination of this proportion depends on the type of project.</w:t>
      </w:r>
    </w:p>
    <w:p w:rsidR="0094530D" w:rsidRPr="003A1AA8" w:rsidRDefault="006B1D9F" w:rsidP="0094530D">
      <w:pPr>
        <w:pStyle w:val="ActHead5"/>
      </w:pPr>
      <w:bookmarkStart w:id="53" w:name="_Toc407104170"/>
      <w:r w:rsidRPr="003A1AA8">
        <w:rPr>
          <w:rStyle w:val="CharSectno"/>
        </w:rPr>
        <w:t>27</w:t>
      </w:r>
      <w:r w:rsidR="0094530D" w:rsidRPr="003A1AA8">
        <w:t xml:space="preserve">  </w:t>
      </w:r>
      <w:r w:rsidR="00363A30" w:rsidRPr="003A1AA8">
        <w:t>B</w:t>
      </w:r>
      <w:r w:rsidR="0094530D" w:rsidRPr="003A1AA8">
        <w:t>aseline abatement</w:t>
      </w:r>
      <w:bookmarkEnd w:id="51"/>
      <w:bookmarkEnd w:id="53"/>
    </w:p>
    <w:p w:rsidR="00363A30" w:rsidRPr="003A1AA8" w:rsidRDefault="0094530D" w:rsidP="0094530D">
      <w:pPr>
        <w:pStyle w:val="subsection"/>
      </w:pPr>
      <w:r w:rsidRPr="003A1AA8">
        <w:tab/>
      </w:r>
      <w:r w:rsidRPr="003A1AA8">
        <w:tab/>
      </w:r>
      <w:r w:rsidR="00363A30" w:rsidRPr="003A1AA8">
        <w:t>The baseline abatement</w:t>
      </w:r>
      <w:r w:rsidR="000B75BC" w:rsidRPr="003A1AA8">
        <w:t xml:space="preserve"> </w:t>
      </w:r>
      <w:r w:rsidR="00363A30" w:rsidRPr="003A1AA8">
        <w:t>for the reporting period</w:t>
      </w:r>
      <w:r w:rsidR="00AE2A6F" w:rsidRPr="003A1AA8">
        <w:t>,</w:t>
      </w:r>
      <w:r w:rsidR="00363A30" w:rsidRPr="003A1AA8">
        <w:t xml:space="preserve"> in tonnes CO</w:t>
      </w:r>
      <w:r w:rsidR="00363A30" w:rsidRPr="003A1AA8">
        <w:rPr>
          <w:vertAlign w:val="subscript"/>
        </w:rPr>
        <w:t>2</w:t>
      </w:r>
      <w:r w:rsidR="003A1AA8">
        <w:noBreakHyphen/>
      </w:r>
      <w:r w:rsidR="00363A30" w:rsidRPr="003A1AA8">
        <w:t>e</w:t>
      </w:r>
      <w:r w:rsidR="00AE2A6F" w:rsidRPr="003A1AA8">
        <w:t>,</w:t>
      </w:r>
      <w:r w:rsidR="00363A30" w:rsidRPr="003A1AA8">
        <w:t xml:space="preserve"> is worked out using the formula (</w:t>
      </w:r>
      <w:r w:rsidR="00363A30" w:rsidRPr="003A1AA8">
        <w:rPr>
          <w:b/>
          <w:i/>
        </w:rPr>
        <w:t>equation 1</w:t>
      </w:r>
      <w:r w:rsidR="0086393B" w:rsidRPr="003A1AA8">
        <w:rPr>
          <w:b/>
          <w:i/>
        </w:rPr>
        <w:t>2</w:t>
      </w:r>
      <w:r w:rsidR="00363A30" w:rsidRPr="003A1AA8">
        <w:t>):</w:t>
      </w:r>
    </w:p>
    <w:bookmarkStart w:id="54" w:name="BKCheck15B_15"/>
    <w:bookmarkEnd w:id="54"/>
    <w:p w:rsidR="0094530D" w:rsidRPr="003A1AA8" w:rsidRDefault="002F1A32" w:rsidP="0094530D">
      <w:pPr>
        <w:pStyle w:val="subsection2"/>
      </w:pPr>
      <w:r w:rsidRPr="003A1AA8">
        <w:rPr>
          <w:position w:val="-12"/>
        </w:rPr>
        <w:object w:dxaOrig="1920" w:dyaOrig="440">
          <v:shape id="_x0000_i1036" type="#_x0000_t75" style="width:97.35pt;height:22.45pt" o:ole="">
            <v:imagedata r:id="rId43" o:title=""/>
          </v:shape>
          <o:OLEObject Type="Embed" ProgID="Equation.DSMT4" ShapeID="_x0000_i1036" DrawAspect="Content" ObjectID="_1483177774" r:id="rId44"/>
        </w:object>
      </w:r>
    </w:p>
    <w:p w:rsidR="0094530D" w:rsidRPr="003A1AA8" w:rsidRDefault="0094530D" w:rsidP="0094530D">
      <w:pPr>
        <w:pStyle w:val="subsection2"/>
      </w:pPr>
      <w:r w:rsidRPr="003A1AA8">
        <w:t>where:</w:t>
      </w:r>
    </w:p>
    <w:p w:rsidR="0094530D" w:rsidRPr="003A1AA8" w:rsidRDefault="0094530D" w:rsidP="0094530D">
      <w:pPr>
        <w:pStyle w:val="Definition"/>
      </w:pPr>
      <w:r w:rsidRPr="003A1AA8">
        <w:rPr>
          <w:b/>
          <w:i/>
        </w:rPr>
        <w:t>A</w:t>
      </w:r>
      <w:r w:rsidRPr="003A1AA8">
        <w:rPr>
          <w:b/>
          <w:i/>
          <w:vertAlign w:val="subscript"/>
        </w:rPr>
        <w:t>B</w:t>
      </w:r>
      <w:r w:rsidRPr="003A1AA8">
        <w:t xml:space="preserve"> means </w:t>
      </w:r>
      <w:r w:rsidR="00342CBC" w:rsidRPr="003A1AA8">
        <w:t>the baseline abatement for the reporting period</w:t>
      </w:r>
      <w:r w:rsidR="00AE2A6F" w:rsidRPr="003A1AA8">
        <w:t>,</w:t>
      </w:r>
      <w:r w:rsidR="00342CBC" w:rsidRPr="003A1AA8">
        <w:t xml:space="preserve"> in tonnes CO</w:t>
      </w:r>
      <w:r w:rsidR="00342CBC" w:rsidRPr="003A1AA8">
        <w:rPr>
          <w:vertAlign w:val="subscript"/>
        </w:rPr>
        <w:t>2</w:t>
      </w:r>
      <w:r w:rsidR="003A1AA8">
        <w:noBreakHyphen/>
      </w:r>
      <w:r w:rsidR="00342CBC" w:rsidRPr="003A1AA8">
        <w:t>e.</w:t>
      </w:r>
    </w:p>
    <w:p w:rsidR="00342CBC" w:rsidRPr="003A1AA8" w:rsidRDefault="00342CBC" w:rsidP="00342CBC">
      <w:pPr>
        <w:pStyle w:val="Definition"/>
      </w:pPr>
      <w:proofErr w:type="spellStart"/>
      <w:r w:rsidRPr="003A1AA8">
        <w:rPr>
          <w:b/>
          <w:i/>
        </w:rPr>
        <w:t>M</w:t>
      </w:r>
      <w:r w:rsidR="002F1A32" w:rsidRPr="003A1AA8">
        <w:rPr>
          <w:b/>
          <w:i/>
          <w:vertAlign w:val="subscript"/>
        </w:rPr>
        <w:t>C</w:t>
      </w:r>
      <w:r w:rsidRPr="003A1AA8">
        <w:rPr>
          <w:b/>
          <w:i/>
          <w:vertAlign w:val="subscript"/>
        </w:rPr>
        <w:t>om,NCT</w:t>
      </w:r>
      <w:proofErr w:type="spellEnd"/>
      <w:r w:rsidRPr="003A1AA8">
        <w:t xml:space="preserve"> means the methane </w:t>
      </w:r>
      <w:r w:rsidR="00AD4A80" w:rsidRPr="003A1AA8">
        <w:t xml:space="preserve">combusted during the reporting period </w:t>
      </w:r>
      <w:r w:rsidR="00CC3845" w:rsidRPr="003A1AA8">
        <w:t xml:space="preserve">that was </w:t>
      </w:r>
      <w:r w:rsidR="00467E5F" w:rsidRPr="003A1AA8">
        <w:t xml:space="preserve">not </w:t>
      </w:r>
      <w:r w:rsidR="00AD4A80" w:rsidRPr="003A1AA8">
        <w:t>generated from carbon tax waste</w:t>
      </w:r>
      <w:r w:rsidR="00AE2A6F" w:rsidRPr="003A1AA8">
        <w:t>,</w:t>
      </w:r>
      <w:r w:rsidRPr="003A1AA8">
        <w:t xml:space="preserve"> in tonnes CO</w:t>
      </w:r>
      <w:r w:rsidRPr="003A1AA8">
        <w:rPr>
          <w:vertAlign w:val="subscript"/>
        </w:rPr>
        <w:t>2</w:t>
      </w:r>
      <w:r w:rsidR="003A1AA8">
        <w:noBreakHyphen/>
      </w:r>
      <w:r w:rsidR="00580A1A" w:rsidRPr="003A1AA8">
        <w:t>e</w:t>
      </w:r>
      <w:r w:rsidR="00AE2A6F" w:rsidRPr="003A1AA8">
        <w:t>,</w:t>
      </w:r>
      <w:r w:rsidR="00580A1A" w:rsidRPr="003A1AA8">
        <w:t xml:space="preserve"> worked out using equation 3</w:t>
      </w:r>
      <w:r w:rsidRPr="003A1AA8">
        <w:t>.</w:t>
      </w:r>
    </w:p>
    <w:p w:rsidR="00D34984" w:rsidRPr="003A1AA8" w:rsidRDefault="0094530D" w:rsidP="009C5BB5">
      <w:pPr>
        <w:pStyle w:val="Definition"/>
      </w:pPr>
      <w:r w:rsidRPr="003A1AA8">
        <w:rPr>
          <w:b/>
          <w:i/>
        </w:rPr>
        <w:t>W</w:t>
      </w:r>
      <w:r w:rsidRPr="003A1AA8">
        <w:rPr>
          <w:b/>
          <w:i/>
          <w:vertAlign w:val="subscript"/>
        </w:rPr>
        <w:t>B</w:t>
      </w:r>
      <w:r w:rsidRPr="003A1AA8">
        <w:t xml:space="preserve"> means </w:t>
      </w:r>
      <w:r w:rsidR="00342CBC" w:rsidRPr="003A1AA8">
        <w:t xml:space="preserve">the </w:t>
      </w:r>
      <w:r w:rsidRPr="003A1AA8">
        <w:t xml:space="preserve">proportion of </w:t>
      </w:r>
      <w:r w:rsidR="00342CBC" w:rsidRPr="003A1AA8">
        <w:t xml:space="preserve">the </w:t>
      </w:r>
      <w:r w:rsidRPr="003A1AA8">
        <w:t xml:space="preserve">methane combusted </w:t>
      </w:r>
      <w:r w:rsidR="00342CBC" w:rsidRPr="003A1AA8">
        <w:t xml:space="preserve">during the reporting period that would have been combusted </w:t>
      </w:r>
      <w:r w:rsidR="006332CA" w:rsidRPr="003A1AA8">
        <w:t>without</w:t>
      </w:r>
      <w:r w:rsidR="00E514FB" w:rsidRPr="003A1AA8">
        <w:t xml:space="preserve"> the project</w:t>
      </w:r>
      <w:r w:rsidR="00342CBC" w:rsidRPr="003A1AA8">
        <w:t xml:space="preserve"> worked </w:t>
      </w:r>
      <w:r w:rsidR="00B27833" w:rsidRPr="003A1AA8">
        <w:t xml:space="preserve">out using whichever of </w:t>
      </w:r>
      <w:r w:rsidR="00B67DC9" w:rsidRPr="003A1AA8">
        <w:t>equations 13</w:t>
      </w:r>
      <w:r w:rsidR="00D34984" w:rsidRPr="003A1AA8">
        <w:t xml:space="preserve"> to 1</w:t>
      </w:r>
      <w:r w:rsidR="00B67DC9" w:rsidRPr="003A1AA8">
        <w:t>6</w:t>
      </w:r>
      <w:r w:rsidR="00D34984" w:rsidRPr="003A1AA8">
        <w:t xml:space="preserve"> appl</w:t>
      </w:r>
      <w:r w:rsidR="007F2033" w:rsidRPr="003A1AA8">
        <w:t>ies</w:t>
      </w:r>
      <w:r w:rsidR="00D34984" w:rsidRPr="003A1AA8">
        <w:t>.</w:t>
      </w:r>
    </w:p>
    <w:p w:rsidR="00B27833" w:rsidRPr="003A1AA8" w:rsidRDefault="006B1D9F" w:rsidP="0094530D">
      <w:pPr>
        <w:pStyle w:val="ActHead5"/>
      </w:pPr>
      <w:bookmarkStart w:id="55" w:name="_Toc407104171"/>
      <w:bookmarkStart w:id="56" w:name="_Ref380572538"/>
      <w:r w:rsidRPr="003A1AA8">
        <w:rPr>
          <w:rStyle w:val="CharSectno"/>
        </w:rPr>
        <w:t>28</w:t>
      </w:r>
      <w:r w:rsidR="0094530D" w:rsidRPr="003A1AA8">
        <w:t xml:space="preserve">  </w:t>
      </w:r>
      <w:r w:rsidR="00536990" w:rsidRPr="003A1AA8">
        <w:t>Proportion of m</w:t>
      </w:r>
      <w:r w:rsidR="0094530D" w:rsidRPr="003A1AA8">
        <w:t xml:space="preserve">ethane </w:t>
      </w:r>
      <w:r w:rsidR="00B27833" w:rsidRPr="003A1AA8">
        <w:t xml:space="preserve">that would have been combusted </w:t>
      </w:r>
      <w:r w:rsidR="006332CA" w:rsidRPr="003A1AA8">
        <w:t xml:space="preserve">without </w:t>
      </w:r>
      <w:r w:rsidR="00E514FB" w:rsidRPr="003A1AA8">
        <w:t>the project</w:t>
      </w:r>
      <w:bookmarkEnd w:id="55"/>
    </w:p>
    <w:bookmarkEnd w:id="56"/>
    <w:p w:rsidR="00B27833" w:rsidRPr="003A1AA8" w:rsidRDefault="00B27833" w:rsidP="00B27833">
      <w:pPr>
        <w:pStyle w:val="SubsectionHead"/>
      </w:pPr>
      <w:r w:rsidRPr="003A1AA8">
        <w:t xml:space="preserve">New </w:t>
      </w:r>
      <w:r w:rsidR="002F1A32" w:rsidRPr="003A1AA8">
        <w:t>or recommencing project</w:t>
      </w:r>
    </w:p>
    <w:p w:rsidR="00B27833" w:rsidRPr="003A1AA8" w:rsidRDefault="0094530D" w:rsidP="0094530D">
      <w:pPr>
        <w:pStyle w:val="subsection"/>
      </w:pPr>
      <w:r w:rsidRPr="003A1AA8">
        <w:tab/>
      </w:r>
      <w:r w:rsidR="00B27833" w:rsidRPr="003A1AA8">
        <w:t>(1)</w:t>
      </w:r>
      <w:r w:rsidRPr="003A1AA8">
        <w:tab/>
      </w:r>
      <w:r w:rsidR="00B27833" w:rsidRPr="003A1AA8">
        <w:t>If the project is a new project</w:t>
      </w:r>
      <w:r w:rsidR="002F1A32" w:rsidRPr="003A1AA8">
        <w:t xml:space="preserve"> or a recommencing project</w:t>
      </w:r>
      <w:r w:rsidR="00B27833" w:rsidRPr="003A1AA8">
        <w:t xml:space="preserve">, the proportion of the methane combusted during the reporting period that would have been combusted </w:t>
      </w:r>
      <w:r w:rsidR="006332CA" w:rsidRPr="003A1AA8">
        <w:t>without</w:t>
      </w:r>
      <w:r w:rsidR="00E514FB" w:rsidRPr="003A1AA8">
        <w:t xml:space="preserve"> the project</w:t>
      </w:r>
      <w:r w:rsidR="00B27833" w:rsidRPr="003A1AA8">
        <w:t xml:space="preserve"> is worked out using the formula (</w:t>
      </w:r>
      <w:r w:rsidR="0086393B" w:rsidRPr="003A1AA8">
        <w:rPr>
          <w:b/>
          <w:i/>
        </w:rPr>
        <w:t>equation 13</w:t>
      </w:r>
      <w:r w:rsidR="00B27833" w:rsidRPr="003A1AA8">
        <w:t>):</w:t>
      </w:r>
    </w:p>
    <w:bookmarkStart w:id="57" w:name="BKCheck15B_16"/>
    <w:bookmarkEnd w:id="57"/>
    <w:p w:rsidR="0094530D" w:rsidRPr="003A1AA8" w:rsidRDefault="002F1A32" w:rsidP="0094530D">
      <w:pPr>
        <w:pStyle w:val="subsection2"/>
      </w:pPr>
      <w:r w:rsidRPr="003A1AA8">
        <w:rPr>
          <w:position w:val="-24"/>
        </w:rPr>
        <w:object w:dxaOrig="2780" w:dyaOrig="580">
          <v:shape id="_x0000_i1037" type="#_x0000_t75" style="width:139.4pt;height:29.4pt" o:ole="">
            <v:imagedata r:id="rId45" o:title=""/>
          </v:shape>
          <o:OLEObject Type="Embed" ProgID="Equation.DSMT4" ShapeID="_x0000_i1037" DrawAspect="Content" ObjectID="_1483177775" r:id="rId46"/>
        </w:object>
      </w:r>
    </w:p>
    <w:p w:rsidR="0094530D" w:rsidRPr="003A1AA8" w:rsidRDefault="0094530D" w:rsidP="0094530D">
      <w:pPr>
        <w:pStyle w:val="subsection2"/>
      </w:pPr>
      <w:r w:rsidRPr="003A1AA8">
        <w:t>where:</w:t>
      </w:r>
    </w:p>
    <w:p w:rsidR="0094530D" w:rsidRPr="003A1AA8" w:rsidRDefault="0094530D" w:rsidP="0094530D">
      <w:pPr>
        <w:pStyle w:val="Definition"/>
      </w:pPr>
      <w:r w:rsidRPr="003A1AA8">
        <w:rPr>
          <w:b/>
          <w:i/>
        </w:rPr>
        <w:t>W</w:t>
      </w:r>
      <w:r w:rsidRPr="003A1AA8">
        <w:rPr>
          <w:b/>
          <w:i/>
          <w:vertAlign w:val="subscript"/>
        </w:rPr>
        <w:t>B</w:t>
      </w:r>
      <w:r w:rsidRPr="003A1AA8">
        <w:t xml:space="preserve"> means </w:t>
      </w:r>
      <w:r w:rsidR="00B27833" w:rsidRPr="003A1AA8">
        <w:t xml:space="preserve">the proportion of the methane combusted during the reporting period that would have been combusted </w:t>
      </w:r>
      <w:r w:rsidR="006332CA" w:rsidRPr="003A1AA8">
        <w:t>without</w:t>
      </w:r>
      <w:r w:rsidR="00E514FB" w:rsidRPr="003A1AA8">
        <w:t xml:space="preserve"> the project</w:t>
      </w:r>
      <w:r w:rsidRPr="003A1AA8">
        <w:t>.</w:t>
      </w:r>
    </w:p>
    <w:p w:rsidR="0094530D" w:rsidRPr="003A1AA8" w:rsidRDefault="0094530D" w:rsidP="0094530D">
      <w:pPr>
        <w:pStyle w:val="Definition"/>
      </w:pPr>
      <w:proofErr w:type="spellStart"/>
      <w:r w:rsidRPr="003A1AA8">
        <w:rPr>
          <w:b/>
          <w:i/>
        </w:rPr>
        <w:t>W</w:t>
      </w:r>
      <w:r w:rsidR="002F1A32" w:rsidRPr="003A1AA8">
        <w:rPr>
          <w:b/>
          <w:i/>
          <w:vertAlign w:val="subscript"/>
        </w:rPr>
        <w:t>B,R</w:t>
      </w:r>
      <w:r w:rsidRPr="003A1AA8">
        <w:rPr>
          <w:b/>
          <w:i/>
          <w:vertAlign w:val="subscript"/>
        </w:rPr>
        <w:t>eg</w:t>
      </w:r>
      <w:proofErr w:type="spellEnd"/>
      <w:r w:rsidRPr="003A1AA8">
        <w:t xml:space="preserve"> means </w:t>
      </w:r>
      <w:r w:rsidR="00B27833" w:rsidRPr="003A1AA8">
        <w:t xml:space="preserve">the </w:t>
      </w:r>
      <w:r w:rsidRPr="003A1AA8">
        <w:t xml:space="preserve">regulatory proportion of </w:t>
      </w:r>
      <w:r w:rsidR="00B27833" w:rsidRPr="003A1AA8">
        <w:t xml:space="preserve">the methane combusted during the reporting period that would have been combusted </w:t>
      </w:r>
      <w:r w:rsidR="006332CA" w:rsidRPr="003A1AA8">
        <w:t>without</w:t>
      </w:r>
      <w:r w:rsidR="00E514FB" w:rsidRPr="003A1AA8">
        <w:t xml:space="preserve"> the project</w:t>
      </w:r>
      <w:r w:rsidR="00B27833" w:rsidRPr="003A1AA8">
        <w:t xml:space="preserve"> </w:t>
      </w:r>
      <w:r w:rsidR="009C5BB5" w:rsidRPr="003A1AA8">
        <w:t>a</w:t>
      </w:r>
      <w:r w:rsidR="00BC305F" w:rsidRPr="003A1AA8">
        <w:t>s determined using Schedule</w:t>
      </w:r>
      <w:r w:rsidR="003A1AA8" w:rsidRPr="003A1AA8">
        <w:t> </w:t>
      </w:r>
      <w:r w:rsidR="00580A1A" w:rsidRPr="003A1AA8">
        <w:t>1 to this determination</w:t>
      </w:r>
      <w:r w:rsidRPr="003A1AA8">
        <w:t>.</w:t>
      </w:r>
    </w:p>
    <w:p w:rsidR="00D15DF0" w:rsidRPr="003A1AA8" w:rsidRDefault="0094530D" w:rsidP="0094530D">
      <w:pPr>
        <w:pStyle w:val="Definition"/>
      </w:pPr>
      <w:proofErr w:type="spellStart"/>
      <w:r w:rsidRPr="003A1AA8">
        <w:rPr>
          <w:b/>
          <w:i/>
        </w:rPr>
        <w:t>W</w:t>
      </w:r>
      <w:r w:rsidR="002F1A32" w:rsidRPr="003A1AA8">
        <w:rPr>
          <w:b/>
          <w:i/>
          <w:vertAlign w:val="subscript"/>
        </w:rPr>
        <w:t>B,D</w:t>
      </w:r>
      <w:r w:rsidRPr="003A1AA8">
        <w:rPr>
          <w:b/>
          <w:i/>
          <w:vertAlign w:val="subscript"/>
        </w:rPr>
        <w:t>ef</w:t>
      </w:r>
      <w:proofErr w:type="spellEnd"/>
      <w:r w:rsidRPr="003A1AA8">
        <w:t xml:space="preserve"> means </w:t>
      </w:r>
      <w:r w:rsidR="009C5BB5" w:rsidRPr="003A1AA8">
        <w:t xml:space="preserve">the </w:t>
      </w:r>
      <w:r w:rsidRPr="003A1AA8">
        <w:t xml:space="preserve">default proportion of </w:t>
      </w:r>
      <w:r w:rsidR="00967030" w:rsidRPr="003A1AA8">
        <w:t xml:space="preserve">the methane combusted during the reporting period that would have been combusted </w:t>
      </w:r>
      <w:r w:rsidR="006332CA" w:rsidRPr="003A1AA8">
        <w:t>without</w:t>
      </w:r>
      <w:r w:rsidR="00E514FB" w:rsidRPr="003A1AA8">
        <w:t xml:space="preserve"> the project</w:t>
      </w:r>
      <w:r w:rsidR="00D15DF0" w:rsidRPr="003A1AA8">
        <w:t>, which is</w:t>
      </w:r>
      <w:r w:rsidR="00374A2B" w:rsidRPr="003A1AA8">
        <w:t xml:space="preserve"> as follows</w:t>
      </w:r>
      <w:r w:rsidR="00D15DF0" w:rsidRPr="003A1AA8">
        <w:t>:</w:t>
      </w:r>
    </w:p>
    <w:p w:rsidR="00374A2B" w:rsidRPr="003A1AA8" w:rsidRDefault="00D15DF0" w:rsidP="00D15DF0">
      <w:pPr>
        <w:pStyle w:val="paragraph"/>
      </w:pPr>
      <w:r w:rsidRPr="003A1AA8">
        <w:lastRenderedPageBreak/>
        <w:tab/>
        <w:t>(a)</w:t>
      </w:r>
      <w:r w:rsidRPr="003A1AA8">
        <w:tab/>
      </w:r>
      <w:r w:rsidR="00374A2B" w:rsidRPr="003A1AA8">
        <w:t>0% if</w:t>
      </w:r>
      <w:r w:rsidR="005B4EEB" w:rsidRPr="003A1AA8">
        <w:t xml:space="preserve"> the project proponent can demonstrate that</w:t>
      </w:r>
      <w:r w:rsidR="00374A2B" w:rsidRPr="003A1AA8">
        <w:t>, since 24</w:t>
      </w:r>
      <w:r w:rsidR="003A1AA8" w:rsidRPr="003A1AA8">
        <w:t> </w:t>
      </w:r>
      <w:r w:rsidR="00374A2B" w:rsidRPr="003A1AA8">
        <w:t>March 20</w:t>
      </w:r>
      <w:r w:rsidR="00BE2FFD" w:rsidRPr="003A1AA8">
        <w:t>1</w:t>
      </w:r>
      <w:r w:rsidR="001A3E26" w:rsidRPr="003A1AA8">
        <w:t>1</w:t>
      </w:r>
      <w:r w:rsidR="00374A2B" w:rsidRPr="003A1AA8">
        <w:t>, the landfill concerned has not been subject to:</w:t>
      </w:r>
    </w:p>
    <w:p w:rsidR="00374A2B" w:rsidRPr="003A1AA8" w:rsidRDefault="00374A2B" w:rsidP="00374A2B">
      <w:pPr>
        <w:pStyle w:val="paragraphsub"/>
      </w:pPr>
      <w:r w:rsidRPr="003A1AA8">
        <w:tab/>
        <w:t>(</w:t>
      </w:r>
      <w:proofErr w:type="spellStart"/>
      <w:r w:rsidRPr="003A1AA8">
        <w:t>i</w:t>
      </w:r>
      <w:proofErr w:type="spellEnd"/>
      <w:r w:rsidRPr="003A1AA8">
        <w:t>)</w:t>
      </w:r>
      <w:r w:rsidRPr="003A1AA8">
        <w:tab/>
        <w:t xml:space="preserve">legislation or </w:t>
      </w:r>
      <w:r w:rsidR="00B50A87" w:rsidRPr="003A1AA8">
        <w:t xml:space="preserve">regulatory </w:t>
      </w:r>
      <w:r w:rsidRPr="003A1AA8">
        <w:t xml:space="preserve">guidelines </w:t>
      </w:r>
      <w:r w:rsidR="000C04BB" w:rsidRPr="003A1AA8">
        <w:t>for landfill</w:t>
      </w:r>
      <w:r w:rsidRPr="003A1AA8">
        <w:t>; or</w:t>
      </w:r>
    </w:p>
    <w:p w:rsidR="00374A2B" w:rsidRPr="003A1AA8" w:rsidRDefault="00374A2B" w:rsidP="00374A2B">
      <w:pPr>
        <w:pStyle w:val="paragraphsub"/>
      </w:pPr>
      <w:r w:rsidRPr="003A1AA8">
        <w:tab/>
        <w:t>(ii)</w:t>
      </w:r>
      <w:r w:rsidRPr="003A1AA8">
        <w:tab/>
        <w:t xml:space="preserve">a licence condition or </w:t>
      </w:r>
      <w:r w:rsidR="008C5630" w:rsidRPr="003A1AA8">
        <w:t xml:space="preserve">development approval that includes </w:t>
      </w:r>
      <w:r w:rsidRPr="003A1AA8">
        <w:t xml:space="preserve">any form of general or specific qualitative requirement to </w:t>
      </w:r>
      <w:r w:rsidR="00CC3845" w:rsidRPr="003A1AA8">
        <w:t>collect</w:t>
      </w:r>
      <w:r w:rsidRPr="003A1AA8">
        <w:t>, control, manage or limit landfill gas, methane odour or greenhouse gases;</w:t>
      </w:r>
    </w:p>
    <w:p w:rsidR="00374A2B" w:rsidRPr="003A1AA8" w:rsidRDefault="00374A2B" w:rsidP="00374A2B">
      <w:pPr>
        <w:pStyle w:val="paragraph"/>
      </w:pPr>
      <w:r w:rsidRPr="003A1AA8">
        <w:tab/>
        <w:t>(b)</w:t>
      </w:r>
      <w:r w:rsidRPr="003A1AA8">
        <w:tab/>
        <w:t>otherwise—30%.</w:t>
      </w:r>
    </w:p>
    <w:p w:rsidR="00967030" w:rsidRPr="003A1AA8" w:rsidRDefault="007C7B13" w:rsidP="00967030">
      <w:pPr>
        <w:pStyle w:val="SubsectionHead"/>
      </w:pPr>
      <w:r w:rsidRPr="003A1AA8">
        <w:t>Upgrade</w:t>
      </w:r>
      <w:r w:rsidR="00967030" w:rsidRPr="003A1AA8">
        <w:t xml:space="preserve"> project</w:t>
      </w:r>
    </w:p>
    <w:p w:rsidR="00967030" w:rsidRPr="003A1AA8" w:rsidRDefault="00967030" w:rsidP="00967030">
      <w:pPr>
        <w:pStyle w:val="subsection"/>
      </w:pPr>
      <w:r w:rsidRPr="003A1AA8">
        <w:tab/>
        <w:t>(2)</w:t>
      </w:r>
      <w:r w:rsidRPr="003A1AA8">
        <w:tab/>
        <w:t>If the project is an upgrad</w:t>
      </w:r>
      <w:r w:rsidR="007C7B13" w:rsidRPr="003A1AA8">
        <w:t>e</w:t>
      </w:r>
      <w:r w:rsidRPr="003A1AA8">
        <w:t xml:space="preserve"> project, the proportion of the methane combusted during the reporting period that would have been combusted </w:t>
      </w:r>
      <w:r w:rsidR="006332CA" w:rsidRPr="003A1AA8">
        <w:t>without</w:t>
      </w:r>
      <w:r w:rsidR="00E514FB" w:rsidRPr="003A1AA8">
        <w:t xml:space="preserve"> the project</w:t>
      </w:r>
      <w:r w:rsidRPr="003A1AA8">
        <w:t xml:space="preserve"> is worked out using the formula (</w:t>
      </w:r>
      <w:r w:rsidRPr="003A1AA8">
        <w:rPr>
          <w:b/>
          <w:i/>
        </w:rPr>
        <w:t>equation 1</w:t>
      </w:r>
      <w:r w:rsidR="0086393B" w:rsidRPr="003A1AA8">
        <w:rPr>
          <w:b/>
          <w:i/>
        </w:rPr>
        <w:t>4</w:t>
      </w:r>
      <w:r w:rsidRPr="003A1AA8">
        <w:t>):</w:t>
      </w:r>
    </w:p>
    <w:bookmarkStart w:id="58" w:name="BKCheck15B_17"/>
    <w:bookmarkEnd w:id="58"/>
    <w:p w:rsidR="0094530D" w:rsidRPr="003A1AA8" w:rsidRDefault="00CC3845" w:rsidP="0094530D">
      <w:pPr>
        <w:pStyle w:val="subsection2"/>
      </w:pPr>
      <w:r w:rsidRPr="003A1AA8">
        <w:rPr>
          <w:position w:val="-24"/>
        </w:rPr>
        <w:object w:dxaOrig="3260" w:dyaOrig="580">
          <v:shape id="_x0000_i1038" type="#_x0000_t75" style="width:161.85pt;height:29.4pt" o:ole="">
            <v:imagedata r:id="rId47" o:title=""/>
          </v:shape>
          <o:OLEObject Type="Embed" ProgID="Equation.DSMT4" ShapeID="_x0000_i1038" DrawAspect="Content" ObjectID="_1483177776" r:id="rId48"/>
        </w:object>
      </w:r>
    </w:p>
    <w:p w:rsidR="0094530D" w:rsidRPr="003A1AA8" w:rsidRDefault="0094530D" w:rsidP="0094530D">
      <w:pPr>
        <w:pStyle w:val="subsection2"/>
      </w:pPr>
      <w:r w:rsidRPr="003A1AA8">
        <w:t>where:</w:t>
      </w:r>
    </w:p>
    <w:p w:rsidR="00967030" w:rsidRPr="003A1AA8" w:rsidRDefault="00967030" w:rsidP="00967030">
      <w:pPr>
        <w:pStyle w:val="Definition"/>
      </w:pPr>
      <w:r w:rsidRPr="003A1AA8">
        <w:rPr>
          <w:b/>
          <w:i/>
        </w:rPr>
        <w:t>W</w:t>
      </w:r>
      <w:r w:rsidRPr="003A1AA8">
        <w:rPr>
          <w:b/>
          <w:i/>
          <w:vertAlign w:val="subscript"/>
        </w:rPr>
        <w:t>B</w:t>
      </w:r>
      <w:r w:rsidRPr="003A1AA8">
        <w:t xml:space="preserve"> means the proportion of the methane combusted during the reporting period that would have been combusted </w:t>
      </w:r>
      <w:r w:rsidR="006332CA" w:rsidRPr="003A1AA8">
        <w:t>without</w:t>
      </w:r>
      <w:r w:rsidR="00E514FB" w:rsidRPr="003A1AA8">
        <w:t xml:space="preserve"> the project</w:t>
      </w:r>
      <w:r w:rsidRPr="003A1AA8">
        <w:t>.</w:t>
      </w:r>
    </w:p>
    <w:p w:rsidR="00967030" w:rsidRPr="003A1AA8" w:rsidRDefault="00967030" w:rsidP="00967030">
      <w:pPr>
        <w:pStyle w:val="Definition"/>
      </w:pPr>
      <w:proofErr w:type="spellStart"/>
      <w:r w:rsidRPr="003A1AA8">
        <w:rPr>
          <w:b/>
          <w:i/>
        </w:rPr>
        <w:t>W</w:t>
      </w:r>
      <w:r w:rsidR="00BE2FFD" w:rsidRPr="003A1AA8">
        <w:rPr>
          <w:b/>
          <w:i/>
          <w:vertAlign w:val="subscript"/>
        </w:rPr>
        <w:t>B,R</w:t>
      </w:r>
      <w:r w:rsidRPr="003A1AA8">
        <w:rPr>
          <w:b/>
          <w:i/>
          <w:vertAlign w:val="subscript"/>
        </w:rPr>
        <w:t>eg</w:t>
      </w:r>
      <w:proofErr w:type="spellEnd"/>
      <w:r w:rsidRPr="003A1AA8">
        <w:t xml:space="preserve"> means the regulatory proportion of the methane combusted during the reporting period that would have been combusted </w:t>
      </w:r>
      <w:r w:rsidR="006332CA" w:rsidRPr="003A1AA8">
        <w:t>without</w:t>
      </w:r>
      <w:r w:rsidR="00E514FB" w:rsidRPr="003A1AA8">
        <w:t xml:space="preserve"> the project</w:t>
      </w:r>
      <w:r w:rsidRPr="003A1AA8">
        <w:t xml:space="preserve"> </w:t>
      </w:r>
      <w:r w:rsidR="00BC305F" w:rsidRPr="003A1AA8">
        <w:t xml:space="preserve">determined using </w:t>
      </w:r>
      <w:r w:rsidR="00903AE2" w:rsidRPr="003A1AA8">
        <w:t>Schedule</w:t>
      </w:r>
      <w:r w:rsidR="003A1AA8" w:rsidRPr="003A1AA8">
        <w:t> </w:t>
      </w:r>
      <w:r w:rsidR="00903AE2" w:rsidRPr="003A1AA8">
        <w:t xml:space="preserve">1 </w:t>
      </w:r>
      <w:r w:rsidR="004A3E01" w:rsidRPr="003A1AA8">
        <w:t>to this determination</w:t>
      </w:r>
      <w:r w:rsidRPr="003A1AA8">
        <w:t>.</w:t>
      </w:r>
    </w:p>
    <w:p w:rsidR="009C5BB5" w:rsidRPr="003A1AA8" w:rsidRDefault="009C5BB5" w:rsidP="009C5BB5">
      <w:pPr>
        <w:pStyle w:val="Definition"/>
      </w:pPr>
      <w:proofErr w:type="spellStart"/>
      <w:r w:rsidRPr="003A1AA8">
        <w:rPr>
          <w:b/>
          <w:i/>
        </w:rPr>
        <w:t>W</w:t>
      </w:r>
      <w:r w:rsidR="00BE2FFD" w:rsidRPr="003A1AA8">
        <w:rPr>
          <w:b/>
          <w:i/>
          <w:vertAlign w:val="subscript"/>
        </w:rPr>
        <w:t>B,D</w:t>
      </w:r>
      <w:r w:rsidRPr="003A1AA8">
        <w:rPr>
          <w:b/>
          <w:i/>
          <w:vertAlign w:val="subscript"/>
        </w:rPr>
        <w:t>ef</w:t>
      </w:r>
      <w:proofErr w:type="spellEnd"/>
      <w:r w:rsidRPr="003A1AA8">
        <w:t xml:space="preserve"> has the same meaning as in </w:t>
      </w:r>
      <w:r w:rsidR="003A1AA8" w:rsidRPr="003A1AA8">
        <w:t>subsection (</w:t>
      </w:r>
      <w:r w:rsidRPr="003A1AA8">
        <w:t>1).</w:t>
      </w:r>
    </w:p>
    <w:p w:rsidR="0094530D" w:rsidRPr="003A1AA8" w:rsidRDefault="0094530D" w:rsidP="0094530D">
      <w:pPr>
        <w:pStyle w:val="Definition"/>
      </w:pPr>
      <w:proofErr w:type="spellStart"/>
      <w:r w:rsidRPr="003A1AA8">
        <w:rPr>
          <w:b/>
          <w:i/>
        </w:rPr>
        <w:t>W</w:t>
      </w:r>
      <w:r w:rsidR="00BE2FFD" w:rsidRPr="003A1AA8">
        <w:rPr>
          <w:b/>
          <w:i/>
          <w:vertAlign w:val="subscript"/>
        </w:rPr>
        <w:t>B,E</w:t>
      </w:r>
      <w:r w:rsidR="00CC3845" w:rsidRPr="003A1AA8">
        <w:rPr>
          <w:b/>
          <w:i/>
          <w:vertAlign w:val="subscript"/>
        </w:rPr>
        <w:t>x</w:t>
      </w:r>
      <w:proofErr w:type="spellEnd"/>
      <w:r w:rsidRPr="003A1AA8">
        <w:t xml:space="preserve"> means </w:t>
      </w:r>
      <w:r w:rsidR="00351E05" w:rsidRPr="003A1AA8">
        <w:t xml:space="preserve">the </w:t>
      </w:r>
      <w:r w:rsidRPr="003A1AA8">
        <w:t xml:space="preserve">proportion of </w:t>
      </w:r>
      <w:r w:rsidR="00967030" w:rsidRPr="003A1AA8">
        <w:t xml:space="preserve">the methane combusted during the reporting period that would have been combusted </w:t>
      </w:r>
      <w:r w:rsidR="006332CA" w:rsidRPr="003A1AA8">
        <w:t>without</w:t>
      </w:r>
      <w:r w:rsidR="00E514FB" w:rsidRPr="003A1AA8">
        <w:t xml:space="preserve"> the </w:t>
      </w:r>
      <w:r w:rsidR="00CC3845" w:rsidRPr="003A1AA8">
        <w:t xml:space="preserve">upgrade </w:t>
      </w:r>
      <w:r w:rsidR="00E514FB" w:rsidRPr="003A1AA8">
        <w:t>project</w:t>
      </w:r>
      <w:r w:rsidR="00967030" w:rsidRPr="003A1AA8">
        <w:t xml:space="preserve"> worked out using equation </w:t>
      </w:r>
      <w:r w:rsidR="00580A1A" w:rsidRPr="003A1AA8">
        <w:t>1</w:t>
      </w:r>
      <w:r w:rsidR="0086393B" w:rsidRPr="003A1AA8">
        <w:t>7</w:t>
      </w:r>
      <w:r w:rsidRPr="003A1AA8">
        <w:t>.</w:t>
      </w:r>
    </w:p>
    <w:p w:rsidR="00967030" w:rsidRPr="003A1AA8" w:rsidRDefault="00967030" w:rsidP="00967030">
      <w:pPr>
        <w:pStyle w:val="SubsectionHead"/>
      </w:pPr>
      <w:r w:rsidRPr="003A1AA8">
        <w:t>Transitioning project</w:t>
      </w:r>
      <w:r w:rsidR="00D34984" w:rsidRPr="003A1AA8">
        <w:t>s</w:t>
      </w:r>
    </w:p>
    <w:p w:rsidR="00D34984" w:rsidRPr="003A1AA8" w:rsidRDefault="00D34984" w:rsidP="00D34984">
      <w:pPr>
        <w:pStyle w:val="subsection"/>
      </w:pPr>
      <w:r w:rsidRPr="003A1AA8">
        <w:tab/>
        <w:t>(3)</w:t>
      </w:r>
      <w:r w:rsidRPr="003A1AA8">
        <w:tab/>
        <w:t xml:space="preserve">If the project is a transitioning project that was operating under the </w:t>
      </w:r>
      <w:r w:rsidR="009C5BB5" w:rsidRPr="003A1AA8">
        <w:rPr>
          <w:i/>
        </w:rPr>
        <w:t>Carbon Credits (Carbon Far</w:t>
      </w:r>
      <w:r w:rsidR="00CF7595" w:rsidRPr="003A1AA8">
        <w:rPr>
          <w:i/>
        </w:rPr>
        <w:t>mi</w:t>
      </w:r>
      <w:r w:rsidRPr="003A1AA8">
        <w:rPr>
          <w:i/>
        </w:rPr>
        <w:t>ng Initiative) (Capture and Combustion of Methane in Landfill Gas from Legacy Waste) Methodology Determination</w:t>
      </w:r>
      <w:r w:rsidR="003A1AA8" w:rsidRPr="003A1AA8">
        <w:rPr>
          <w:i/>
        </w:rPr>
        <w:t> </w:t>
      </w:r>
      <w:r w:rsidRPr="003A1AA8">
        <w:rPr>
          <w:i/>
        </w:rPr>
        <w:t>2012</w:t>
      </w:r>
      <w:r w:rsidR="00C55DF4" w:rsidRPr="003A1AA8">
        <w:t xml:space="preserve"> (the </w:t>
      </w:r>
      <w:r w:rsidR="00C55DF4" w:rsidRPr="003A1AA8">
        <w:rPr>
          <w:b/>
          <w:i/>
        </w:rPr>
        <w:t>legacy determination</w:t>
      </w:r>
      <w:r w:rsidR="00C55DF4" w:rsidRPr="003A1AA8">
        <w:t>)</w:t>
      </w:r>
      <w:r w:rsidRPr="003A1AA8">
        <w:t xml:space="preserve">, the proportion of the methane combusted during the reporting period that would have been combusted </w:t>
      </w:r>
      <w:r w:rsidR="006332CA" w:rsidRPr="003A1AA8">
        <w:t>without</w:t>
      </w:r>
      <w:r w:rsidR="00E514FB" w:rsidRPr="003A1AA8">
        <w:t xml:space="preserve"> the project</w:t>
      </w:r>
      <w:r w:rsidRPr="003A1AA8">
        <w:t xml:space="preserve"> is worked out using the formula (</w:t>
      </w:r>
      <w:r w:rsidRPr="003A1AA8">
        <w:rPr>
          <w:b/>
          <w:i/>
        </w:rPr>
        <w:t xml:space="preserve">equation </w:t>
      </w:r>
      <w:r w:rsidR="00D0034E" w:rsidRPr="003A1AA8">
        <w:rPr>
          <w:b/>
          <w:i/>
        </w:rPr>
        <w:t>1</w:t>
      </w:r>
      <w:r w:rsidR="0086393B" w:rsidRPr="003A1AA8">
        <w:rPr>
          <w:b/>
          <w:i/>
        </w:rPr>
        <w:t>5</w:t>
      </w:r>
      <w:r w:rsidRPr="003A1AA8">
        <w:t>):</w:t>
      </w:r>
    </w:p>
    <w:bookmarkStart w:id="59" w:name="BKCheck15B_18"/>
    <w:bookmarkEnd w:id="59"/>
    <w:p w:rsidR="0094530D" w:rsidRPr="003A1AA8" w:rsidRDefault="00BE2FFD" w:rsidP="001B5D67">
      <w:pPr>
        <w:pStyle w:val="subsection2"/>
      </w:pPr>
      <w:r w:rsidRPr="003A1AA8">
        <w:rPr>
          <w:position w:val="-10"/>
        </w:rPr>
        <w:object w:dxaOrig="920" w:dyaOrig="420">
          <v:shape id="_x0000_i1039" type="#_x0000_t75" style="width:46.65pt;height:21.9pt" o:ole="">
            <v:imagedata r:id="rId49" o:title=""/>
          </v:shape>
          <o:OLEObject Type="Embed" ProgID="Equation.DSMT4" ShapeID="_x0000_i1039" DrawAspect="Content" ObjectID="_1483177777" r:id="rId50"/>
        </w:object>
      </w:r>
    </w:p>
    <w:p w:rsidR="00D34984" w:rsidRPr="003A1AA8" w:rsidRDefault="00D34984" w:rsidP="001B5D67">
      <w:pPr>
        <w:pStyle w:val="subsection2"/>
      </w:pPr>
      <w:r w:rsidRPr="003A1AA8">
        <w:t>where:</w:t>
      </w:r>
    </w:p>
    <w:p w:rsidR="00D34984" w:rsidRPr="003A1AA8" w:rsidRDefault="00D34984" w:rsidP="00D34984">
      <w:pPr>
        <w:pStyle w:val="Definition"/>
      </w:pPr>
      <w:r w:rsidRPr="003A1AA8">
        <w:rPr>
          <w:b/>
          <w:i/>
        </w:rPr>
        <w:t>W</w:t>
      </w:r>
      <w:r w:rsidRPr="003A1AA8">
        <w:rPr>
          <w:b/>
          <w:i/>
          <w:vertAlign w:val="subscript"/>
        </w:rPr>
        <w:t>B</w:t>
      </w:r>
      <w:r w:rsidRPr="003A1AA8">
        <w:t xml:space="preserve"> means the proportion of the methane combusted during the reporting period that would have been combusted </w:t>
      </w:r>
      <w:r w:rsidR="006332CA" w:rsidRPr="003A1AA8">
        <w:t>without</w:t>
      </w:r>
      <w:r w:rsidR="00E514FB" w:rsidRPr="003A1AA8">
        <w:t xml:space="preserve"> the project</w:t>
      </w:r>
      <w:r w:rsidRPr="003A1AA8">
        <w:t>.</w:t>
      </w:r>
    </w:p>
    <w:p w:rsidR="00D34984" w:rsidRPr="003A1AA8" w:rsidRDefault="00D34984" w:rsidP="00D34984">
      <w:pPr>
        <w:pStyle w:val="Definition"/>
      </w:pPr>
      <w:r w:rsidRPr="003A1AA8">
        <w:rPr>
          <w:b/>
          <w:i/>
        </w:rPr>
        <w:t>R</w:t>
      </w:r>
      <w:r w:rsidR="00BE2FFD" w:rsidRPr="003A1AA8">
        <w:rPr>
          <w:b/>
          <w:i/>
          <w:vertAlign w:val="subscript"/>
        </w:rPr>
        <w:t>P</w:t>
      </w:r>
      <w:r w:rsidRPr="003A1AA8">
        <w:t xml:space="preserve"> </w:t>
      </w:r>
      <w:r w:rsidR="00C55DF4" w:rsidRPr="003A1AA8">
        <w:t>means R</w:t>
      </w:r>
      <w:r w:rsidR="00BE2FFD" w:rsidRPr="003A1AA8">
        <w:rPr>
          <w:vertAlign w:val="subscript"/>
        </w:rPr>
        <w:t>P</w:t>
      </w:r>
      <w:r w:rsidR="00C55DF4" w:rsidRPr="003A1AA8">
        <w:t xml:space="preserve"> as worked out under the legacy determination</w:t>
      </w:r>
      <w:r w:rsidRPr="003A1AA8">
        <w:t>.</w:t>
      </w:r>
    </w:p>
    <w:p w:rsidR="00D34984" w:rsidRPr="003A1AA8" w:rsidRDefault="00D34984" w:rsidP="00D34984">
      <w:pPr>
        <w:pStyle w:val="subsection"/>
      </w:pPr>
      <w:r w:rsidRPr="003A1AA8">
        <w:tab/>
        <w:t>(4)</w:t>
      </w:r>
      <w:r w:rsidRPr="003A1AA8">
        <w:tab/>
        <w:t xml:space="preserve">If the project is a transitioning project that was operating under the </w:t>
      </w:r>
      <w:r w:rsidRPr="003A1AA8">
        <w:rPr>
          <w:i/>
        </w:rPr>
        <w:t xml:space="preserve">Carbon Credits (Carbon </w:t>
      </w:r>
      <w:r w:rsidR="00F44A23" w:rsidRPr="003A1AA8">
        <w:rPr>
          <w:i/>
        </w:rPr>
        <w:t>Farming</w:t>
      </w:r>
      <w:r w:rsidRPr="003A1AA8">
        <w:rPr>
          <w:i/>
        </w:rPr>
        <w:t xml:space="preserve"> Initiative) (Capture and Combustion of Methane in Landfill Gas from Legacy Waste: Upgrade Projects) Methodology Determination</w:t>
      </w:r>
      <w:r w:rsidR="003A1AA8" w:rsidRPr="003A1AA8">
        <w:rPr>
          <w:i/>
        </w:rPr>
        <w:t> </w:t>
      </w:r>
      <w:r w:rsidRPr="003A1AA8">
        <w:rPr>
          <w:i/>
        </w:rPr>
        <w:t>2012</w:t>
      </w:r>
      <w:r w:rsidR="00F44A23" w:rsidRPr="003A1AA8">
        <w:t xml:space="preserve"> (the </w:t>
      </w:r>
      <w:r w:rsidR="00C55DF4" w:rsidRPr="003A1AA8">
        <w:rPr>
          <w:b/>
          <w:i/>
        </w:rPr>
        <w:t>legacy upgrade determination</w:t>
      </w:r>
      <w:r w:rsidR="00F44A23" w:rsidRPr="003A1AA8">
        <w:t>)</w:t>
      </w:r>
      <w:r w:rsidRPr="003A1AA8">
        <w:t xml:space="preserve">, the proportion of the methane combusted during the reporting period that would have been combusted </w:t>
      </w:r>
      <w:r w:rsidR="006332CA" w:rsidRPr="003A1AA8">
        <w:t>without</w:t>
      </w:r>
      <w:r w:rsidR="00E514FB" w:rsidRPr="003A1AA8">
        <w:t xml:space="preserve"> the project</w:t>
      </w:r>
      <w:r w:rsidRPr="003A1AA8">
        <w:t xml:space="preserve"> is worked out using the formula (</w:t>
      </w:r>
      <w:r w:rsidRPr="003A1AA8">
        <w:rPr>
          <w:b/>
          <w:i/>
        </w:rPr>
        <w:t xml:space="preserve">equation </w:t>
      </w:r>
      <w:r w:rsidR="00D0034E" w:rsidRPr="003A1AA8">
        <w:rPr>
          <w:b/>
          <w:i/>
        </w:rPr>
        <w:t>1</w:t>
      </w:r>
      <w:r w:rsidR="0086393B" w:rsidRPr="003A1AA8">
        <w:rPr>
          <w:b/>
          <w:i/>
        </w:rPr>
        <w:t>6</w:t>
      </w:r>
      <w:r w:rsidRPr="003A1AA8">
        <w:t>):</w:t>
      </w:r>
    </w:p>
    <w:bookmarkStart w:id="60" w:name="BKCheck15B_19"/>
    <w:bookmarkEnd w:id="60"/>
    <w:p w:rsidR="00D34984" w:rsidRPr="003A1AA8" w:rsidRDefault="00BE2FFD" w:rsidP="001B5D67">
      <w:pPr>
        <w:pStyle w:val="subsection2"/>
      </w:pPr>
      <w:r w:rsidRPr="003A1AA8">
        <w:rPr>
          <w:position w:val="-10"/>
        </w:rPr>
        <w:object w:dxaOrig="900" w:dyaOrig="420">
          <v:shape id="_x0000_i1040" type="#_x0000_t75" style="width:46.65pt;height:21.9pt" o:ole="">
            <v:imagedata r:id="rId51" o:title=""/>
          </v:shape>
          <o:OLEObject Type="Embed" ProgID="Equation.DSMT4" ShapeID="_x0000_i1040" DrawAspect="Content" ObjectID="_1483177778" r:id="rId52"/>
        </w:object>
      </w:r>
    </w:p>
    <w:p w:rsidR="00D34984" w:rsidRPr="003A1AA8" w:rsidRDefault="00D34984" w:rsidP="001B5D67">
      <w:pPr>
        <w:pStyle w:val="subsection2"/>
      </w:pPr>
      <w:r w:rsidRPr="003A1AA8">
        <w:t>where:</w:t>
      </w:r>
    </w:p>
    <w:p w:rsidR="00D34984" w:rsidRPr="003A1AA8" w:rsidRDefault="00D34984" w:rsidP="00D34984">
      <w:pPr>
        <w:pStyle w:val="Definition"/>
      </w:pPr>
      <w:r w:rsidRPr="003A1AA8">
        <w:rPr>
          <w:b/>
          <w:i/>
        </w:rPr>
        <w:t>W</w:t>
      </w:r>
      <w:r w:rsidRPr="003A1AA8">
        <w:rPr>
          <w:b/>
          <w:i/>
          <w:vertAlign w:val="subscript"/>
        </w:rPr>
        <w:t>B</w:t>
      </w:r>
      <w:r w:rsidRPr="003A1AA8">
        <w:t xml:space="preserve"> means the proportion of the methane combusted during the reporting period that would have been combusted </w:t>
      </w:r>
      <w:r w:rsidR="006332CA" w:rsidRPr="003A1AA8">
        <w:t>without</w:t>
      </w:r>
      <w:r w:rsidR="00E514FB" w:rsidRPr="003A1AA8">
        <w:t xml:space="preserve"> the project</w:t>
      </w:r>
      <w:r w:rsidRPr="003A1AA8">
        <w:t>.</w:t>
      </w:r>
    </w:p>
    <w:p w:rsidR="00D34984" w:rsidRPr="003A1AA8" w:rsidRDefault="00D34984" w:rsidP="00D34984">
      <w:pPr>
        <w:pStyle w:val="Definition"/>
      </w:pPr>
      <w:r w:rsidRPr="003A1AA8">
        <w:rPr>
          <w:b/>
          <w:i/>
        </w:rPr>
        <w:t>B</w:t>
      </w:r>
      <w:r w:rsidR="00BE2FFD" w:rsidRPr="003A1AA8">
        <w:rPr>
          <w:b/>
          <w:i/>
          <w:vertAlign w:val="subscript"/>
        </w:rPr>
        <w:t>P</w:t>
      </w:r>
      <w:r w:rsidRPr="003A1AA8">
        <w:t xml:space="preserve"> </w:t>
      </w:r>
      <w:r w:rsidR="00F44A23" w:rsidRPr="003A1AA8">
        <w:t xml:space="preserve">means </w:t>
      </w:r>
      <w:proofErr w:type="spellStart"/>
      <w:r w:rsidR="00F44A23" w:rsidRPr="003A1AA8">
        <w:t>B</w:t>
      </w:r>
      <w:r w:rsidR="00F44A23" w:rsidRPr="003A1AA8">
        <w:rPr>
          <w:vertAlign w:val="subscript"/>
        </w:rPr>
        <w:t>p</w:t>
      </w:r>
      <w:proofErr w:type="spellEnd"/>
      <w:r w:rsidR="00C55DF4" w:rsidRPr="003A1AA8">
        <w:t xml:space="preserve"> </w:t>
      </w:r>
      <w:r w:rsidR="00F44A23" w:rsidRPr="003A1AA8">
        <w:t>as</w:t>
      </w:r>
      <w:r w:rsidRPr="003A1AA8">
        <w:t xml:space="preserve"> </w:t>
      </w:r>
      <w:r w:rsidR="00C55DF4" w:rsidRPr="003A1AA8">
        <w:t>worked out</w:t>
      </w:r>
      <w:r w:rsidRPr="003A1AA8">
        <w:t xml:space="preserve"> </w:t>
      </w:r>
      <w:r w:rsidR="00C55DF4" w:rsidRPr="003A1AA8">
        <w:t>under</w:t>
      </w:r>
      <w:r w:rsidRPr="003A1AA8">
        <w:t xml:space="preserve"> </w:t>
      </w:r>
      <w:r w:rsidR="00F44A23" w:rsidRPr="003A1AA8">
        <w:t xml:space="preserve">the </w:t>
      </w:r>
      <w:r w:rsidR="00C55DF4" w:rsidRPr="003A1AA8">
        <w:t>legacy upgrade determination</w:t>
      </w:r>
      <w:r w:rsidRPr="003A1AA8">
        <w:t>.</w:t>
      </w:r>
    </w:p>
    <w:p w:rsidR="006D6B5E" w:rsidRPr="003A1AA8" w:rsidRDefault="00CA25BF" w:rsidP="00D34984">
      <w:pPr>
        <w:pStyle w:val="subsection"/>
      </w:pPr>
      <w:r w:rsidRPr="003A1AA8">
        <w:tab/>
        <w:t>(5</w:t>
      </w:r>
      <w:r w:rsidR="00D34984" w:rsidRPr="003A1AA8">
        <w:t>)</w:t>
      </w:r>
      <w:r w:rsidR="00D34984" w:rsidRPr="003A1AA8">
        <w:tab/>
      </w:r>
      <w:r w:rsidR="00C55DF4" w:rsidRPr="003A1AA8">
        <w:t>T</w:t>
      </w:r>
      <w:r w:rsidRPr="003A1AA8">
        <w:t>he value given to W</w:t>
      </w:r>
      <w:r w:rsidRPr="003A1AA8">
        <w:rPr>
          <w:vertAlign w:val="subscript"/>
        </w:rPr>
        <w:t>B</w:t>
      </w:r>
      <w:r w:rsidRPr="003A1AA8">
        <w:t xml:space="preserve"> </w:t>
      </w:r>
      <w:r w:rsidR="00C55DF4" w:rsidRPr="003A1AA8">
        <w:t xml:space="preserve">in </w:t>
      </w:r>
      <w:r w:rsidR="003A1AA8" w:rsidRPr="003A1AA8">
        <w:t>subsection (</w:t>
      </w:r>
      <w:r w:rsidR="00DA0AF8" w:rsidRPr="003A1AA8">
        <w:t xml:space="preserve">1), (2), </w:t>
      </w:r>
      <w:r w:rsidR="00E62175" w:rsidRPr="003A1AA8">
        <w:t>(</w:t>
      </w:r>
      <w:r w:rsidR="00C55DF4" w:rsidRPr="003A1AA8">
        <w:t xml:space="preserve">3) or (4) </w:t>
      </w:r>
      <w:r w:rsidR="006D6B5E" w:rsidRPr="003A1AA8">
        <w:t>must be the same throughout the crediting period.</w:t>
      </w:r>
    </w:p>
    <w:p w:rsidR="002B27AB" w:rsidRPr="003A1AA8" w:rsidRDefault="006B1D9F" w:rsidP="002B27AB">
      <w:pPr>
        <w:pStyle w:val="ActHead5"/>
      </w:pPr>
      <w:bookmarkStart w:id="61" w:name="_Toc407104172"/>
      <w:r w:rsidRPr="003A1AA8">
        <w:rPr>
          <w:rStyle w:val="CharSectno"/>
        </w:rPr>
        <w:t>29</w:t>
      </w:r>
      <w:r w:rsidR="002B27AB" w:rsidRPr="003A1AA8">
        <w:rPr>
          <w:kern w:val="32"/>
          <w:szCs w:val="26"/>
        </w:rPr>
        <w:t xml:space="preserve">  </w:t>
      </w:r>
      <w:r w:rsidR="00473345" w:rsidRPr="003A1AA8">
        <w:t>Proportion of m</w:t>
      </w:r>
      <w:r w:rsidR="002B27AB" w:rsidRPr="003A1AA8">
        <w:t>ethane that would have been combusted without upgrad</w:t>
      </w:r>
      <w:r w:rsidR="007C7B13" w:rsidRPr="003A1AA8">
        <w:t>e</w:t>
      </w:r>
      <w:bookmarkEnd w:id="61"/>
    </w:p>
    <w:p w:rsidR="0094530D" w:rsidRPr="003A1AA8" w:rsidRDefault="0094530D" w:rsidP="0094530D">
      <w:pPr>
        <w:pStyle w:val="subsection"/>
      </w:pPr>
      <w:r w:rsidRPr="003A1AA8">
        <w:tab/>
      </w:r>
      <w:r w:rsidR="00E514FB" w:rsidRPr="003A1AA8">
        <w:t>(1)</w:t>
      </w:r>
      <w:r w:rsidRPr="003A1AA8">
        <w:tab/>
      </w:r>
      <w:r w:rsidR="007C7B13" w:rsidRPr="003A1AA8">
        <w:t>For an upgrade</w:t>
      </w:r>
      <w:r w:rsidRPr="003A1AA8">
        <w:t xml:space="preserve"> project, the </w:t>
      </w:r>
      <w:r w:rsidR="00E514FB" w:rsidRPr="003A1AA8">
        <w:t xml:space="preserve">proportion of the methane combusted during the reporting period that would have been combusted </w:t>
      </w:r>
      <w:r w:rsidR="006332CA" w:rsidRPr="003A1AA8">
        <w:t>without</w:t>
      </w:r>
      <w:r w:rsidR="00E514FB" w:rsidRPr="003A1AA8">
        <w:t xml:space="preserve"> the project is worked out using the formula (</w:t>
      </w:r>
      <w:r w:rsidRPr="003A1AA8">
        <w:rPr>
          <w:b/>
          <w:i/>
        </w:rPr>
        <w:t xml:space="preserve">equation </w:t>
      </w:r>
      <w:r w:rsidR="00D0034E" w:rsidRPr="003A1AA8">
        <w:rPr>
          <w:b/>
          <w:i/>
        </w:rPr>
        <w:t>1</w:t>
      </w:r>
      <w:r w:rsidR="0086393B" w:rsidRPr="003A1AA8">
        <w:rPr>
          <w:b/>
          <w:i/>
        </w:rPr>
        <w:t>7</w:t>
      </w:r>
      <w:r w:rsidR="00E514FB" w:rsidRPr="003A1AA8">
        <w:t>)</w:t>
      </w:r>
      <w:r w:rsidRPr="003A1AA8">
        <w:t>:</w:t>
      </w:r>
    </w:p>
    <w:bookmarkStart w:id="62" w:name="BKCheck15B_20"/>
    <w:bookmarkEnd w:id="62"/>
    <w:p w:rsidR="001E1AAF" w:rsidRPr="003A1AA8" w:rsidRDefault="006D6B5E" w:rsidP="009E1797">
      <w:pPr>
        <w:pStyle w:val="subsection2"/>
      </w:pPr>
      <w:r w:rsidRPr="003A1AA8">
        <w:rPr>
          <w:position w:val="-40"/>
        </w:rPr>
        <w:object w:dxaOrig="1480" w:dyaOrig="859">
          <v:shape id="_x0000_i1041" type="#_x0000_t75" style="width:73.75pt;height:43.8pt" o:ole="">
            <v:imagedata r:id="rId53" o:title=""/>
          </v:shape>
          <o:OLEObject Type="Embed" ProgID="Equation.DSMT4" ShapeID="_x0000_i1041" DrawAspect="Content" ObjectID="_1483177779" r:id="rId54"/>
        </w:object>
      </w:r>
    </w:p>
    <w:p w:rsidR="0094530D" w:rsidRPr="003A1AA8" w:rsidRDefault="0094530D" w:rsidP="0094530D">
      <w:pPr>
        <w:pStyle w:val="subsection2"/>
      </w:pPr>
      <w:r w:rsidRPr="003A1AA8">
        <w:t>where:</w:t>
      </w:r>
    </w:p>
    <w:p w:rsidR="00E514FB" w:rsidRPr="003A1AA8" w:rsidRDefault="0094530D" w:rsidP="0094530D">
      <w:pPr>
        <w:pStyle w:val="Definition"/>
      </w:pPr>
      <w:proofErr w:type="spellStart"/>
      <w:r w:rsidRPr="003A1AA8">
        <w:rPr>
          <w:b/>
          <w:i/>
        </w:rPr>
        <w:t>W</w:t>
      </w:r>
      <w:r w:rsidR="00DA0AF8" w:rsidRPr="003A1AA8">
        <w:rPr>
          <w:b/>
          <w:i/>
          <w:vertAlign w:val="subscript"/>
        </w:rPr>
        <w:t>B,E</w:t>
      </w:r>
      <w:r w:rsidRPr="003A1AA8">
        <w:rPr>
          <w:b/>
          <w:i/>
          <w:vertAlign w:val="subscript"/>
        </w:rPr>
        <w:t>x</w:t>
      </w:r>
      <w:proofErr w:type="spellEnd"/>
      <w:r w:rsidRPr="003A1AA8">
        <w:t xml:space="preserve"> means </w:t>
      </w:r>
      <w:r w:rsidR="00E514FB" w:rsidRPr="003A1AA8">
        <w:t xml:space="preserve">the proportion of the methane combusted during the reporting period that would have been combusted </w:t>
      </w:r>
      <w:r w:rsidR="006332CA" w:rsidRPr="003A1AA8">
        <w:t>without</w:t>
      </w:r>
      <w:r w:rsidR="00E514FB" w:rsidRPr="003A1AA8">
        <w:t xml:space="preserve"> the </w:t>
      </w:r>
      <w:r w:rsidR="006D6B5E" w:rsidRPr="003A1AA8">
        <w:t xml:space="preserve">upgrade </w:t>
      </w:r>
      <w:r w:rsidR="00E514FB" w:rsidRPr="003A1AA8">
        <w:t>project.</w:t>
      </w:r>
    </w:p>
    <w:p w:rsidR="001023FC" w:rsidRPr="003A1AA8" w:rsidRDefault="001023FC" w:rsidP="001023FC">
      <w:pPr>
        <w:pStyle w:val="Definition"/>
      </w:pPr>
      <w:proofErr w:type="spellStart"/>
      <w:r w:rsidRPr="003A1AA8">
        <w:rPr>
          <w:b/>
          <w:i/>
        </w:rPr>
        <w:t>W</w:t>
      </w:r>
      <w:r w:rsidR="00DA0AF8" w:rsidRPr="003A1AA8">
        <w:rPr>
          <w:b/>
          <w:i/>
          <w:vertAlign w:val="subscript"/>
        </w:rPr>
        <w:t>Com,B</w:t>
      </w:r>
      <w:r w:rsidRPr="003A1AA8">
        <w:rPr>
          <w:b/>
          <w:i/>
          <w:vertAlign w:val="subscript"/>
        </w:rPr>
        <w:t>ef</w:t>
      </w:r>
      <w:proofErr w:type="spellEnd"/>
      <w:r w:rsidRPr="003A1AA8">
        <w:t xml:space="preserve"> means the average proportion of the methane from the landfill that is collected and destroyed during the 2 years immediately before the upgrade is </w:t>
      </w:r>
      <w:r w:rsidR="006D6B5E" w:rsidRPr="003A1AA8">
        <w:t>started</w:t>
      </w:r>
      <w:r w:rsidRPr="003A1AA8">
        <w:t xml:space="preserve">, worked out using equation </w:t>
      </w:r>
      <w:r w:rsidR="0086393B" w:rsidRPr="003A1AA8">
        <w:t>19</w:t>
      </w:r>
      <w:r w:rsidRPr="003A1AA8">
        <w:t>.</w:t>
      </w:r>
    </w:p>
    <w:p w:rsidR="0094530D" w:rsidRPr="003A1AA8" w:rsidRDefault="0094530D" w:rsidP="0094530D">
      <w:pPr>
        <w:pStyle w:val="Definition"/>
      </w:pPr>
      <w:proofErr w:type="spellStart"/>
      <w:r w:rsidRPr="003A1AA8">
        <w:rPr>
          <w:b/>
          <w:i/>
        </w:rPr>
        <w:t>W</w:t>
      </w:r>
      <w:r w:rsidR="00DA0AF8" w:rsidRPr="003A1AA8">
        <w:rPr>
          <w:b/>
          <w:i/>
          <w:vertAlign w:val="subscript"/>
        </w:rPr>
        <w:t>Com,A</w:t>
      </w:r>
      <w:r w:rsidRPr="003A1AA8">
        <w:rPr>
          <w:b/>
          <w:i/>
          <w:vertAlign w:val="subscript"/>
        </w:rPr>
        <w:t>ft</w:t>
      </w:r>
      <w:proofErr w:type="spellEnd"/>
      <w:r w:rsidRPr="003A1AA8">
        <w:t xml:space="preserve"> means </w:t>
      </w:r>
      <w:r w:rsidR="00E514FB" w:rsidRPr="003A1AA8">
        <w:t xml:space="preserve">the </w:t>
      </w:r>
      <w:r w:rsidRPr="003A1AA8">
        <w:t xml:space="preserve">average proportion of </w:t>
      </w:r>
      <w:r w:rsidR="00E514FB" w:rsidRPr="003A1AA8">
        <w:t xml:space="preserve">the </w:t>
      </w:r>
      <w:r w:rsidRPr="003A1AA8">
        <w:t xml:space="preserve">methane from </w:t>
      </w:r>
      <w:r w:rsidR="00E514FB" w:rsidRPr="003A1AA8">
        <w:t xml:space="preserve">the </w:t>
      </w:r>
      <w:r w:rsidRPr="003A1AA8">
        <w:t xml:space="preserve">landfill that is </w:t>
      </w:r>
      <w:r w:rsidR="00E514FB" w:rsidRPr="003A1AA8">
        <w:t>collected</w:t>
      </w:r>
      <w:r w:rsidRPr="003A1AA8">
        <w:t xml:space="preserve"> and destroyed </w:t>
      </w:r>
      <w:r w:rsidR="00E514FB" w:rsidRPr="003A1AA8">
        <w:t>during</w:t>
      </w:r>
      <w:r w:rsidRPr="003A1AA8">
        <w:t xml:space="preserve"> the 12 months immediately </w:t>
      </w:r>
      <w:r w:rsidR="00E514FB" w:rsidRPr="003A1AA8">
        <w:t xml:space="preserve">after </w:t>
      </w:r>
      <w:r w:rsidRPr="003A1AA8">
        <w:t xml:space="preserve">the </w:t>
      </w:r>
      <w:r w:rsidR="00F940F1" w:rsidRPr="003A1AA8">
        <w:t xml:space="preserve">upgrade </w:t>
      </w:r>
      <w:r w:rsidR="00E514FB" w:rsidRPr="003A1AA8">
        <w:t>is complet</w:t>
      </w:r>
      <w:r w:rsidR="00580A1A" w:rsidRPr="003A1AA8">
        <w:t>ed</w:t>
      </w:r>
      <w:r w:rsidR="001023FC" w:rsidRPr="003A1AA8">
        <w:t>,</w:t>
      </w:r>
      <w:r w:rsidR="0086393B" w:rsidRPr="003A1AA8">
        <w:t xml:space="preserve"> worked out using equation 18</w:t>
      </w:r>
      <w:r w:rsidRPr="003A1AA8">
        <w:t>.</w:t>
      </w:r>
    </w:p>
    <w:p w:rsidR="00CA1546" w:rsidRPr="003A1AA8" w:rsidRDefault="00CA1546" w:rsidP="00CA1546">
      <w:pPr>
        <w:pStyle w:val="SubsectionHead"/>
      </w:pPr>
      <w:r w:rsidRPr="003A1AA8">
        <w:t xml:space="preserve">Methane collected and destroyed during 12 months after </w:t>
      </w:r>
      <w:r w:rsidR="00DA0AF8" w:rsidRPr="003A1AA8">
        <w:t>upgrade</w:t>
      </w:r>
    </w:p>
    <w:p w:rsidR="00CA1546" w:rsidRPr="003A1AA8" w:rsidRDefault="00CA1546" w:rsidP="00CA1546">
      <w:pPr>
        <w:pStyle w:val="subsection"/>
      </w:pPr>
      <w:r w:rsidRPr="003A1AA8">
        <w:tab/>
        <w:t>(2)</w:t>
      </w:r>
      <w:r w:rsidRPr="003A1AA8">
        <w:tab/>
        <w:t xml:space="preserve">The </w:t>
      </w:r>
      <w:r w:rsidR="00F940F1" w:rsidRPr="003A1AA8">
        <w:t xml:space="preserve">average proportion of the methane from the landfill that is collected and destroyed during the 12 months immediately after the upgrade is completed </w:t>
      </w:r>
      <w:r w:rsidRPr="003A1AA8">
        <w:t>is worked out using the formula (</w:t>
      </w:r>
      <w:r w:rsidRPr="003A1AA8">
        <w:rPr>
          <w:b/>
          <w:i/>
        </w:rPr>
        <w:t>equation 1</w:t>
      </w:r>
      <w:r w:rsidR="0086393B" w:rsidRPr="003A1AA8">
        <w:rPr>
          <w:b/>
          <w:i/>
        </w:rPr>
        <w:t>8</w:t>
      </w:r>
      <w:r w:rsidRPr="003A1AA8">
        <w:t>):</w:t>
      </w:r>
    </w:p>
    <w:bookmarkStart w:id="63" w:name="BKCheck15B_21"/>
    <w:bookmarkEnd w:id="63"/>
    <w:p w:rsidR="0094530D" w:rsidRPr="003A1AA8" w:rsidRDefault="00E445F7" w:rsidP="0094530D">
      <w:pPr>
        <w:pStyle w:val="subsection2"/>
      </w:pPr>
      <w:r w:rsidRPr="003A1AA8">
        <w:rPr>
          <w:position w:val="-40"/>
        </w:rPr>
        <w:object w:dxaOrig="2340" w:dyaOrig="1100">
          <v:shape id="_x0000_i1042" type="#_x0000_t75" style="width:118.65pt;height:55.3pt" o:ole="">
            <v:imagedata r:id="rId55" o:title=""/>
          </v:shape>
          <o:OLEObject Type="Embed" ProgID="Equation.DSMT4" ShapeID="_x0000_i1042" DrawAspect="Content" ObjectID="_1483177780" r:id="rId56"/>
        </w:object>
      </w:r>
    </w:p>
    <w:p w:rsidR="0094530D" w:rsidRPr="003A1AA8" w:rsidRDefault="0094530D" w:rsidP="0094530D">
      <w:pPr>
        <w:pStyle w:val="subsection2"/>
      </w:pPr>
      <w:r w:rsidRPr="003A1AA8">
        <w:t>where:</w:t>
      </w:r>
    </w:p>
    <w:p w:rsidR="0094530D" w:rsidRPr="003A1AA8" w:rsidRDefault="0094530D" w:rsidP="0094530D">
      <w:pPr>
        <w:pStyle w:val="Definition"/>
      </w:pPr>
      <w:proofErr w:type="spellStart"/>
      <w:r w:rsidRPr="003A1AA8">
        <w:rPr>
          <w:b/>
          <w:i/>
        </w:rPr>
        <w:t>W</w:t>
      </w:r>
      <w:r w:rsidR="00DA0AF8" w:rsidRPr="003A1AA8">
        <w:rPr>
          <w:b/>
          <w:i/>
          <w:vertAlign w:val="subscript"/>
        </w:rPr>
        <w:t>Com,A</w:t>
      </w:r>
      <w:r w:rsidRPr="003A1AA8">
        <w:rPr>
          <w:b/>
          <w:i/>
          <w:vertAlign w:val="subscript"/>
        </w:rPr>
        <w:t>ft</w:t>
      </w:r>
      <w:proofErr w:type="spellEnd"/>
      <w:r w:rsidRPr="003A1AA8">
        <w:t xml:space="preserve"> means </w:t>
      </w:r>
      <w:r w:rsidR="001023FC" w:rsidRPr="003A1AA8">
        <w:t xml:space="preserve">the </w:t>
      </w:r>
      <w:r w:rsidR="00F940F1" w:rsidRPr="003A1AA8">
        <w:t>average proportion of the methane from the landfill that is collected and destroyed during the 12 months immediately after the upgrade is completed</w:t>
      </w:r>
      <w:r w:rsidRPr="003A1AA8">
        <w:t>.</w:t>
      </w:r>
    </w:p>
    <w:p w:rsidR="005B4EEB" w:rsidRPr="003A1AA8" w:rsidRDefault="0094530D" w:rsidP="0094530D">
      <w:pPr>
        <w:pStyle w:val="Definition"/>
      </w:pPr>
      <w:r w:rsidRPr="003A1AA8">
        <w:rPr>
          <w:b/>
          <w:i/>
        </w:rPr>
        <w:sym w:font="Symbol" w:char="F067"/>
      </w:r>
      <w:r w:rsidRPr="003A1AA8">
        <w:t xml:space="preserve"> </w:t>
      </w:r>
      <w:r w:rsidR="005B4EEB" w:rsidRPr="003A1AA8">
        <w:t>means the factor to convert cubic metres of methane at standard conditions to tonnes of CO</w:t>
      </w:r>
      <w:r w:rsidR="005B4EEB" w:rsidRPr="003A1AA8">
        <w:rPr>
          <w:vertAlign w:val="subscript"/>
        </w:rPr>
        <w:t>2</w:t>
      </w:r>
      <w:r w:rsidR="003A1AA8">
        <w:noBreakHyphen/>
      </w:r>
      <w:r w:rsidR="005B4EEB" w:rsidRPr="003A1AA8">
        <w:t xml:space="preserve">e set out in </w:t>
      </w:r>
      <w:r w:rsidR="001426DB" w:rsidRPr="003A1AA8">
        <w:t>subsection</w:t>
      </w:r>
      <w:r w:rsidR="003A1AA8" w:rsidRPr="003A1AA8">
        <w:t> </w:t>
      </w:r>
      <w:r w:rsidR="001426DB" w:rsidRPr="003A1AA8">
        <w:t xml:space="preserve">5.4(1) </w:t>
      </w:r>
      <w:r w:rsidR="005B4EEB" w:rsidRPr="003A1AA8">
        <w:t xml:space="preserve">of the </w:t>
      </w:r>
      <w:proofErr w:type="spellStart"/>
      <w:r w:rsidR="005B4EEB" w:rsidRPr="003A1AA8">
        <w:t>NGER</w:t>
      </w:r>
      <w:proofErr w:type="spellEnd"/>
      <w:r w:rsidR="005B4EEB" w:rsidRPr="003A1AA8">
        <w:t xml:space="preserve"> (Measurement) Determination.</w:t>
      </w:r>
    </w:p>
    <w:p w:rsidR="00CA1546" w:rsidRPr="003A1AA8" w:rsidRDefault="00CA1546" w:rsidP="00CA1546">
      <w:pPr>
        <w:pStyle w:val="Definition"/>
      </w:pPr>
      <w:proofErr w:type="spellStart"/>
      <w:r w:rsidRPr="003A1AA8">
        <w:rPr>
          <w:b/>
          <w:i/>
        </w:rPr>
        <w:lastRenderedPageBreak/>
        <w:t>M</w:t>
      </w:r>
      <w:r w:rsidR="00DA0AF8" w:rsidRPr="003A1AA8">
        <w:rPr>
          <w:b/>
          <w:i/>
          <w:vertAlign w:val="subscript"/>
        </w:rPr>
        <w:t>S</w:t>
      </w:r>
      <w:r w:rsidRPr="003A1AA8">
        <w:rPr>
          <w:b/>
          <w:i/>
          <w:vertAlign w:val="subscript"/>
        </w:rPr>
        <w:t>ent,h</w:t>
      </w:r>
      <w:proofErr w:type="spellEnd"/>
      <w:r w:rsidRPr="003A1AA8">
        <w:t xml:space="preserve"> means the methane sent to the combustion device </w:t>
      </w:r>
      <w:r w:rsidR="00603708" w:rsidRPr="003A1AA8">
        <w:t>h</w:t>
      </w:r>
      <w:r w:rsidRPr="003A1AA8">
        <w:t xml:space="preserve"> during the reporting period</w:t>
      </w:r>
      <w:r w:rsidR="00AE2A6F" w:rsidRPr="003A1AA8">
        <w:t>,</w:t>
      </w:r>
      <w:r w:rsidRPr="003A1AA8">
        <w:t xml:space="preserve"> in cubic metres</w:t>
      </w:r>
      <w:r w:rsidR="00AE2A6F" w:rsidRPr="003A1AA8">
        <w:t>,</w:t>
      </w:r>
      <w:r w:rsidRPr="003A1AA8">
        <w:t xml:space="preserve"> worked out using equation 8</w:t>
      </w:r>
      <w:r w:rsidR="00B441DF" w:rsidRPr="003A1AA8">
        <w:t>, 9 or 10</w:t>
      </w:r>
      <w:r w:rsidRPr="003A1AA8">
        <w:t>.</w:t>
      </w:r>
    </w:p>
    <w:p w:rsidR="00CA1546" w:rsidRPr="003A1AA8" w:rsidRDefault="00CA1546" w:rsidP="00CA1546">
      <w:pPr>
        <w:pStyle w:val="Definition"/>
      </w:pPr>
      <w:proofErr w:type="spellStart"/>
      <w:r w:rsidRPr="003A1AA8">
        <w:rPr>
          <w:b/>
          <w:i/>
        </w:rPr>
        <w:t>M</w:t>
      </w:r>
      <w:r w:rsidR="006D6B5E" w:rsidRPr="003A1AA8">
        <w:rPr>
          <w:b/>
          <w:i/>
          <w:vertAlign w:val="subscript"/>
        </w:rPr>
        <w:t>Gen</w:t>
      </w:r>
      <w:r w:rsidRPr="003A1AA8">
        <w:rPr>
          <w:b/>
          <w:i/>
          <w:vertAlign w:val="subscript"/>
        </w:rPr>
        <w:t>,y</w:t>
      </w:r>
      <w:proofErr w:type="spellEnd"/>
      <w:r w:rsidR="008B5B22" w:rsidRPr="003A1AA8">
        <w:t xml:space="preserve"> means the methane generated by the landfill</w:t>
      </w:r>
      <w:r w:rsidRPr="003A1AA8">
        <w:t xml:space="preserve"> in year </w:t>
      </w:r>
      <w:r w:rsidR="00406E2F" w:rsidRPr="003A1AA8">
        <w:t>y</w:t>
      </w:r>
      <w:r w:rsidR="00AE2A6F" w:rsidRPr="003A1AA8">
        <w:t>,</w:t>
      </w:r>
      <w:r w:rsidRPr="003A1AA8">
        <w:t xml:space="preserve"> in tonnes CO</w:t>
      </w:r>
      <w:r w:rsidRPr="003A1AA8">
        <w:rPr>
          <w:vertAlign w:val="subscript"/>
        </w:rPr>
        <w:t>2</w:t>
      </w:r>
      <w:r w:rsidR="003A1AA8">
        <w:noBreakHyphen/>
      </w:r>
      <w:r w:rsidRPr="003A1AA8">
        <w:t>e</w:t>
      </w:r>
      <w:r w:rsidR="00AE2A6F" w:rsidRPr="003A1AA8">
        <w:t>,</w:t>
      </w:r>
      <w:r w:rsidRPr="003A1AA8">
        <w:t xml:space="preserve"> worked out using subsection</w:t>
      </w:r>
      <w:r w:rsidR="003A1AA8" w:rsidRPr="003A1AA8">
        <w:t> </w:t>
      </w:r>
      <w:r w:rsidR="006B1D9F" w:rsidRPr="003A1AA8">
        <w:t>22</w:t>
      </w:r>
      <w:r w:rsidR="002C78B6" w:rsidRPr="003A1AA8">
        <w:t>(3</w:t>
      </w:r>
      <w:r w:rsidRPr="003A1AA8">
        <w:t>)</w:t>
      </w:r>
      <w:r w:rsidR="00E4131E" w:rsidRPr="003A1AA8">
        <w:t>.</w:t>
      </w:r>
    </w:p>
    <w:p w:rsidR="0094530D" w:rsidRPr="003A1AA8" w:rsidRDefault="0094530D" w:rsidP="0094530D">
      <w:pPr>
        <w:pStyle w:val="Definition"/>
      </w:pPr>
      <w:r w:rsidRPr="003A1AA8">
        <w:rPr>
          <w:b/>
          <w:i/>
        </w:rPr>
        <w:t>y</w:t>
      </w:r>
      <w:r w:rsidRPr="003A1AA8">
        <w:t xml:space="preserve"> means the </w:t>
      </w:r>
      <w:r w:rsidR="008B5B22" w:rsidRPr="003A1AA8">
        <w:t>12 months</w:t>
      </w:r>
      <w:r w:rsidRPr="003A1AA8">
        <w:t xml:space="preserve"> immediately </w:t>
      </w:r>
      <w:r w:rsidR="00F940F1" w:rsidRPr="003A1AA8">
        <w:t>after the upgrade is completed</w:t>
      </w:r>
      <w:r w:rsidRPr="003A1AA8">
        <w:t>.</w:t>
      </w:r>
    </w:p>
    <w:p w:rsidR="00F940F1" w:rsidRPr="003A1AA8" w:rsidRDefault="00F940F1" w:rsidP="00F940F1">
      <w:pPr>
        <w:pStyle w:val="SubsectionHead"/>
      </w:pPr>
      <w:r w:rsidRPr="003A1AA8">
        <w:t>Methane collected and destroyed during 2 years before upgrade</w:t>
      </w:r>
    </w:p>
    <w:p w:rsidR="00F940F1" w:rsidRPr="003A1AA8" w:rsidRDefault="0094530D" w:rsidP="0094530D">
      <w:pPr>
        <w:pStyle w:val="subsection"/>
      </w:pPr>
      <w:r w:rsidRPr="003A1AA8">
        <w:tab/>
      </w:r>
      <w:r w:rsidR="00F940F1" w:rsidRPr="003A1AA8">
        <w:t>(3)</w:t>
      </w:r>
      <w:r w:rsidRPr="003A1AA8">
        <w:tab/>
      </w:r>
      <w:r w:rsidR="00F940F1" w:rsidRPr="003A1AA8">
        <w:t xml:space="preserve">The average proportion of the methane from the landfill that is collected and destroyed during the 2 years immediately before the upgrade is </w:t>
      </w:r>
      <w:r w:rsidR="006D6B5E" w:rsidRPr="003A1AA8">
        <w:t>started</w:t>
      </w:r>
      <w:r w:rsidR="00F940F1" w:rsidRPr="003A1AA8">
        <w:t xml:space="preserve"> </w:t>
      </w:r>
      <w:r w:rsidR="006012D6" w:rsidRPr="003A1AA8">
        <w:t xml:space="preserve">is </w:t>
      </w:r>
      <w:r w:rsidR="00F940F1" w:rsidRPr="003A1AA8">
        <w:t xml:space="preserve">worked out using </w:t>
      </w:r>
      <w:r w:rsidR="006012D6" w:rsidRPr="003A1AA8">
        <w:t>the formula (</w:t>
      </w:r>
      <w:r w:rsidR="006012D6" w:rsidRPr="003A1AA8">
        <w:rPr>
          <w:b/>
          <w:i/>
        </w:rPr>
        <w:t xml:space="preserve">equation </w:t>
      </w:r>
      <w:r w:rsidR="0086393B" w:rsidRPr="003A1AA8">
        <w:rPr>
          <w:b/>
          <w:i/>
        </w:rPr>
        <w:t>19</w:t>
      </w:r>
      <w:r w:rsidR="006012D6" w:rsidRPr="003A1AA8">
        <w:t>):</w:t>
      </w:r>
    </w:p>
    <w:bookmarkStart w:id="64" w:name="BKCheck15B_22"/>
    <w:bookmarkEnd w:id="64"/>
    <w:p w:rsidR="0094530D" w:rsidRPr="003A1AA8" w:rsidRDefault="00DA0AF8" w:rsidP="0094530D">
      <w:pPr>
        <w:pStyle w:val="subsection2"/>
      </w:pPr>
      <w:r w:rsidRPr="003A1AA8">
        <w:rPr>
          <w:position w:val="-62"/>
        </w:rPr>
        <w:object w:dxaOrig="4220" w:dyaOrig="1340">
          <v:shape id="_x0000_i1043" type="#_x0000_t75" style="width:211.4pt;height:65.1pt" o:ole="">
            <v:imagedata r:id="rId57" o:title=""/>
          </v:shape>
          <o:OLEObject Type="Embed" ProgID="Equation.DSMT4" ShapeID="_x0000_i1043" DrawAspect="Content" ObjectID="_1483177781" r:id="rId58"/>
        </w:object>
      </w:r>
    </w:p>
    <w:p w:rsidR="0094530D" w:rsidRPr="003A1AA8" w:rsidRDefault="0094530D" w:rsidP="0094530D">
      <w:pPr>
        <w:pStyle w:val="subsection2"/>
      </w:pPr>
      <w:r w:rsidRPr="003A1AA8">
        <w:t>where:</w:t>
      </w:r>
    </w:p>
    <w:p w:rsidR="0094530D" w:rsidRPr="003A1AA8" w:rsidRDefault="0094530D" w:rsidP="0094530D">
      <w:pPr>
        <w:pStyle w:val="Definition"/>
      </w:pPr>
      <w:proofErr w:type="spellStart"/>
      <w:r w:rsidRPr="003A1AA8">
        <w:rPr>
          <w:b/>
          <w:i/>
        </w:rPr>
        <w:t>W</w:t>
      </w:r>
      <w:r w:rsidR="00DA0AF8" w:rsidRPr="003A1AA8">
        <w:rPr>
          <w:b/>
          <w:i/>
          <w:vertAlign w:val="subscript"/>
        </w:rPr>
        <w:t>Com,B</w:t>
      </w:r>
      <w:r w:rsidRPr="003A1AA8">
        <w:rPr>
          <w:b/>
          <w:i/>
          <w:vertAlign w:val="subscript"/>
        </w:rPr>
        <w:t>ef</w:t>
      </w:r>
      <w:proofErr w:type="spellEnd"/>
      <w:r w:rsidRPr="003A1AA8">
        <w:t xml:space="preserve"> means </w:t>
      </w:r>
      <w:r w:rsidR="00351E05" w:rsidRPr="003A1AA8">
        <w:t xml:space="preserve">the </w:t>
      </w:r>
      <w:r w:rsidR="006012D6" w:rsidRPr="003A1AA8">
        <w:t xml:space="preserve">average proportion of the methane from the landfill that is collected and destroyed during the 2 years immediately before the upgrade is </w:t>
      </w:r>
      <w:r w:rsidR="006D6B5E" w:rsidRPr="003A1AA8">
        <w:t>started</w:t>
      </w:r>
      <w:r w:rsidRPr="003A1AA8">
        <w:t>.</w:t>
      </w:r>
    </w:p>
    <w:p w:rsidR="005B4EEB" w:rsidRPr="003A1AA8" w:rsidRDefault="005B4EEB" w:rsidP="005B4EEB">
      <w:pPr>
        <w:pStyle w:val="Definition"/>
      </w:pPr>
      <w:r w:rsidRPr="003A1AA8">
        <w:rPr>
          <w:b/>
          <w:i/>
        </w:rPr>
        <w:sym w:font="Symbol" w:char="F067"/>
      </w:r>
      <w:r w:rsidRPr="003A1AA8">
        <w:t xml:space="preserve"> means the factor to convert cubic metres of methane at standard conditions to tonnes of CO</w:t>
      </w:r>
      <w:r w:rsidRPr="003A1AA8">
        <w:rPr>
          <w:vertAlign w:val="subscript"/>
        </w:rPr>
        <w:t>2</w:t>
      </w:r>
      <w:r w:rsidR="003A1AA8">
        <w:noBreakHyphen/>
      </w:r>
      <w:r w:rsidRPr="003A1AA8">
        <w:t>e set out in s</w:t>
      </w:r>
      <w:r w:rsidR="00DA0AF8" w:rsidRPr="003A1AA8">
        <w:t>ubs</w:t>
      </w:r>
      <w:r w:rsidRPr="003A1AA8">
        <w:t>ection</w:t>
      </w:r>
      <w:r w:rsidR="003A1AA8" w:rsidRPr="003A1AA8">
        <w:t> </w:t>
      </w:r>
      <w:r w:rsidRPr="003A1AA8">
        <w:t>5.4</w:t>
      </w:r>
      <w:r w:rsidR="00DA0AF8" w:rsidRPr="003A1AA8">
        <w:t>(1)</w:t>
      </w:r>
      <w:r w:rsidRPr="003A1AA8">
        <w:t xml:space="preserve"> of the </w:t>
      </w:r>
      <w:proofErr w:type="spellStart"/>
      <w:r w:rsidRPr="003A1AA8">
        <w:t>NGER</w:t>
      </w:r>
      <w:proofErr w:type="spellEnd"/>
      <w:r w:rsidRPr="003A1AA8">
        <w:t xml:space="preserve"> (Measurement) Determination.</w:t>
      </w:r>
    </w:p>
    <w:p w:rsidR="0094530D" w:rsidRPr="003A1AA8" w:rsidRDefault="0094530D" w:rsidP="0094530D">
      <w:pPr>
        <w:pStyle w:val="Definition"/>
      </w:pPr>
      <w:proofErr w:type="spellStart"/>
      <w:r w:rsidRPr="003A1AA8">
        <w:rPr>
          <w:b/>
          <w:i/>
        </w:rPr>
        <w:t>Q</w:t>
      </w:r>
      <w:r w:rsidRPr="003A1AA8">
        <w:rPr>
          <w:b/>
          <w:i/>
          <w:vertAlign w:val="subscript"/>
        </w:rPr>
        <w:t>cap,y</w:t>
      </w:r>
      <w:proofErr w:type="spellEnd"/>
      <w:r w:rsidRPr="003A1AA8">
        <w:rPr>
          <w:vertAlign w:val="subscript"/>
        </w:rPr>
        <w:t xml:space="preserve"> </w:t>
      </w:r>
      <w:r w:rsidRPr="003A1AA8">
        <w:t>means the quantity of methane in landfill gas</w:t>
      </w:r>
      <w:r w:rsidR="00DA0AF8" w:rsidRPr="003A1AA8">
        <w:t xml:space="preserve"> collected</w:t>
      </w:r>
      <w:r w:rsidRPr="003A1AA8">
        <w:t xml:space="preserve"> </w:t>
      </w:r>
      <w:r w:rsidR="005B4EEB" w:rsidRPr="003A1AA8">
        <w:t>for</w:t>
      </w:r>
      <w:r w:rsidRPr="003A1AA8">
        <w:t xml:space="preserve"> combustion from the landfill during year </w:t>
      </w:r>
      <w:r w:rsidR="00406E2F" w:rsidRPr="003A1AA8">
        <w:t>y</w:t>
      </w:r>
      <w:r w:rsidR="00DA0AF8" w:rsidRPr="003A1AA8">
        <w:t>, in cubic metres,</w:t>
      </w:r>
      <w:r w:rsidRPr="003A1AA8">
        <w:t xml:space="preserve"> </w:t>
      </w:r>
      <w:r w:rsidR="005B4EEB" w:rsidRPr="003A1AA8">
        <w:t>m</w:t>
      </w:r>
      <w:r w:rsidRPr="003A1AA8">
        <w:t>easured as prescribed in Part</w:t>
      </w:r>
      <w:r w:rsidR="003A1AA8" w:rsidRPr="003A1AA8">
        <w:t> </w:t>
      </w:r>
      <w:r w:rsidRPr="003A1AA8">
        <w:t xml:space="preserve">5.2 of the </w:t>
      </w:r>
      <w:proofErr w:type="spellStart"/>
      <w:r w:rsidRPr="003A1AA8">
        <w:t>NGER</w:t>
      </w:r>
      <w:proofErr w:type="spellEnd"/>
      <w:r w:rsidRPr="003A1AA8">
        <w:t xml:space="preserve"> (Measurement) Determination.</w:t>
      </w:r>
    </w:p>
    <w:p w:rsidR="0094530D" w:rsidRPr="003A1AA8" w:rsidRDefault="0094530D" w:rsidP="0094530D">
      <w:pPr>
        <w:pStyle w:val="notetext"/>
      </w:pPr>
      <w:r w:rsidRPr="003A1AA8">
        <w:t>Note:</w:t>
      </w:r>
      <w:r w:rsidRPr="003A1AA8">
        <w:tab/>
        <w:t xml:space="preserve">The term </w:t>
      </w:r>
      <w:r w:rsidR="00DA0AF8" w:rsidRPr="003A1AA8">
        <w:rPr>
          <w:b/>
          <w:i/>
        </w:rPr>
        <w:t>collected</w:t>
      </w:r>
      <w:r w:rsidRPr="003A1AA8">
        <w:rPr>
          <w:b/>
          <w:i/>
        </w:rPr>
        <w:t xml:space="preserve"> for combustion</w:t>
      </w:r>
      <w:r w:rsidRPr="003A1AA8">
        <w:t xml:space="preserve"> in the </w:t>
      </w:r>
      <w:proofErr w:type="spellStart"/>
      <w:r w:rsidRPr="003A1AA8">
        <w:t>NGER</w:t>
      </w:r>
      <w:proofErr w:type="spellEnd"/>
      <w:r w:rsidRPr="003A1AA8">
        <w:t xml:space="preserve"> (Measurement) Determination is intended to mean landfill methane </w:t>
      </w:r>
      <w:r w:rsidR="00DA0AF8" w:rsidRPr="003A1AA8">
        <w:t xml:space="preserve">collected </w:t>
      </w:r>
      <w:r w:rsidRPr="003A1AA8">
        <w:t>for combustion for electricity generation.</w:t>
      </w:r>
    </w:p>
    <w:p w:rsidR="0094530D" w:rsidRPr="003A1AA8" w:rsidRDefault="0094530D" w:rsidP="0094530D">
      <w:pPr>
        <w:pStyle w:val="Definition"/>
      </w:pPr>
      <w:proofErr w:type="spellStart"/>
      <w:r w:rsidRPr="003A1AA8">
        <w:rPr>
          <w:b/>
          <w:i/>
        </w:rPr>
        <w:t>Q</w:t>
      </w:r>
      <w:r w:rsidRPr="003A1AA8">
        <w:rPr>
          <w:b/>
          <w:i/>
          <w:vertAlign w:val="subscript"/>
        </w:rPr>
        <w:t>flared,y</w:t>
      </w:r>
      <w:proofErr w:type="spellEnd"/>
      <w:r w:rsidRPr="003A1AA8">
        <w:t xml:space="preserve"> means the quantity of methane in landfill gas from the landfill </w:t>
      </w:r>
      <w:r w:rsidR="00CC48A9" w:rsidRPr="003A1AA8">
        <w:t xml:space="preserve">that is flared or otherwise combusted for purposes other than electricity generation </w:t>
      </w:r>
      <w:r w:rsidRPr="003A1AA8">
        <w:t xml:space="preserve">during year </w:t>
      </w:r>
      <w:r w:rsidR="00406E2F" w:rsidRPr="003A1AA8">
        <w:t>y</w:t>
      </w:r>
      <w:r w:rsidR="00DA0AF8" w:rsidRPr="003A1AA8">
        <w:t>, in cubic metres,</w:t>
      </w:r>
      <w:r w:rsidR="00AB33A3" w:rsidRPr="003A1AA8">
        <w:t xml:space="preserve"> measured as prescribed in Part</w:t>
      </w:r>
      <w:r w:rsidR="003A1AA8" w:rsidRPr="003A1AA8">
        <w:t> </w:t>
      </w:r>
      <w:r w:rsidR="00AB33A3" w:rsidRPr="003A1AA8">
        <w:t xml:space="preserve">5.2 of the </w:t>
      </w:r>
      <w:proofErr w:type="spellStart"/>
      <w:r w:rsidR="00AB33A3" w:rsidRPr="003A1AA8">
        <w:t>NGER</w:t>
      </w:r>
      <w:proofErr w:type="spellEnd"/>
      <w:r w:rsidR="00AB33A3" w:rsidRPr="003A1AA8">
        <w:t xml:space="preserve"> (Measurement) Determination</w:t>
      </w:r>
      <w:r w:rsidRPr="003A1AA8">
        <w:t>.</w:t>
      </w:r>
    </w:p>
    <w:p w:rsidR="0094530D" w:rsidRPr="003A1AA8" w:rsidRDefault="0094530D" w:rsidP="0094530D">
      <w:pPr>
        <w:pStyle w:val="Definition"/>
      </w:pPr>
      <w:proofErr w:type="spellStart"/>
      <w:r w:rsidRPr="003A1AA8">
        <w:rPr>
          <w:b/>
          <w:i/>
        </w:rPr>
        <w:t>Q</w:t>
      </w:r>
      <w:r w:rsidRPr="003A1AA8">
        <w:rPr>
          <w:b/>
          <w:i/>
          <w:vertAlign w:val="subscript"/>
        </w:rPr>
        <w:t>tr,y</w:t>
      </w:r>
      <w:proofErr w:type="spellEnd"/>
      <w:r w:rsidRPr="003A1AA8">
        <w:rPr>
          <w:vertAlign w:val="subscript"/>
        </w:rPr>
        <w:t xml:space="preserve"> </w:t>
      </w:r>
      <w:r w:rsidRPr="003A1AA8">
        <w:t xml:space="preserve">means the quantity of methane in landfill gas transferred out of the landfill during year </w:t>
      </w:r>
      <w:r w:rsidR="00406E2F" w:rsidRPr="003A1AA8">
        <w:t>y</w:t>
      </w:r>
      <w:r w:rsidR="00DA0AF8" w:rsidRPr="003A1AA8">
        <w:t>, in cubic metres,</w:t>
      </w:r>
      <w:r w:rsidR="00AB33A3" w:rsidRPr="003A1AA8">
        <w:t xml:space="preserve"> measured as prescribed in Part</w:t>
      </w:r>
      <w:r w:rsidR="003A1AA8" w:rsidRPr="003A1AA8">
        <w:t> </w:t>
      </w:r>
      <w:r w:rsidR="00AB33A3" w:rsidRPr="003A1AA8">
        <w:t xml:space="preserve">5.2 of the </w:t>
      </w:r>
      <w:proofErr w:type="spellStart"/>
      <w:r w:rsidR="00AB33A3" w:rsidRPr="003A1AA8">
        <w:t>NGER</w:t>
      </w:r>
      <w:proofErr w:type="spellEnd"/>
      <w:r w:rsidR="00AB33A3" w:rsidRPr="003A1AA8">
        <w:t xml:space="preserve"> (Measurement) Determination</w:t>
      </w:r>
      <w:r w:rsidRPr="003A1AA8">
        <w:t>.</w:t>
      </w:r>
    </w:p>
    <w:p w:rsidR="00473345" w:rsidRPr="003A1AA8" w:rsidRDefault="0094530D" w:rsidP="0094530D">
      <w:pPr>
        <w:pStyle w:val="Definition"/>
      </w:pPr>
      <w:r w:rsidRPr="003A1AA8">
        <w:rPr>
          <w:b/>
          <w:i/>
        </w:rPr>
        <w:t>CH</w:t>
      </w:r>
      <w:r w:rsidRPr="003A1AA8">
        <w:rPr>
          <w:b/>
          <w:i/>
          <w:vertAlign w:val="subscript"/>
        </w:rPr>
        <w:t>4</w:t>
      </w:r>
      <w:r w:rsidR="003A1AA8" w:rsidRPr="003A1AA8">
        <w:rPr>
          <w:b/>
          <w:i/>
          <w:position w:val="6"/>
          <w:sz w:val="16"/>
        </w:rPr>
        <w:t>*</w:t>
      </w:r>
      <w:r w:rsidRPr="003A1AA8">
        <w:rPr>
          <w:b/>
          <w:i/>
          <w:vertAlign w:val="subscript"/>
        </w:rPr>
        <w:t>,y</w:t>
      </w:r>
      <w:r w:rsidRPr="003A1AA8">
        <w:t xml:space="preserve"> means the estimated quantity of methane</w:t>
      </w:r>
      <w:r w:rsidR="005F2889" w:rsidRPr="003A1AA8">
        <w:t xml:space="preserve"> </w:t>
      </w:r>
      <w:r w:rsidRPr="003A1AA8">
        <w:t xml:space="preserve">in landfill gas generated by the landfill during year </w:t>
      </w:r>
      <w:r w:rsidR="00406E2F" w:rsidRPr="003A1AA8">
        <w:t>y</w:t>
      </w:r>
      <w:r w:rsidR="005F2889" w:rsidRPr="003A1AA8">
        <w:t>, in tonnes CO</w:t>
      </w:r>
      <w:r w:rsidR="005F2889" w:rsidRPr="003A1AA8">
        <w:rPr>
          <w:vertAlign w:val="subscript"/>
        </w:rPr>
        <w:t>2</w:t>
      </w:r>
      <w:r w:rsidR="003A1AA8">
        <w:noBreakHyphen/>
      </w:r>
      <w:r w:rsidR="005F2889" w:rsidRPr="003A1AA8">
        <w:t>e,</w:t>
      </w:r>
      <w:r w:rsidRPr="003A1AA8">
        <w:t xml:space="preserve"> measured and determined </w:t>
      </w:r>
      <w:r w:rsidR="00473345" w:rsidRPr="003A1AA8">
        <w:t xml:space="preserve">in accordance with </w:t>
      </w:r>
      <w:r w:rsidR="003A1AA8" w:rsidRPr="003A1AA8">
        <w:t>subsection (</w:t>
      </w:r>
      <w:r w:rsidR="00473345" w:rsidRPr="003A1AA8">
        <w:t>4).</w:t>
      </w:r>
    </w:p>
    <w:p w:rsidR="0094530D" w:rsidRPr="003A1AA8" w:rsidRDefault="0094530D" w:rsidP="0094530D">
      <w:pPr>
        <w:pStyle w:val="Definition"/>
      </w:pPr>
      <w:r w:rsidRPr="003A1AA8">
        <w:rPr>
          <w:b/>
          <w:i/>
        </w:rPr>
        <w:t>y</w:t>
      </w:r>
      <w:r w:rsidRPr="003A1AA8">
        <w:t xml:space="preserve"> means </w:t>
      </w:r>
      <w:r w:rsidR="00AB33A3" w:rsidRPr="003A1AA8">
        <w:t xml:space="preserve">a </w:t>
      </w:r>
      <w:r w:rsidRPr="003A1AA8">
        <w:t xml:space="preserve">year in the 2 years immediately </w:t>
      </w:r>
      <w:r w:rsidR="00503E9B" w:rsidRPr="003A1AA8">
        <w:t>before</w:t>
      </w:r>
      <w:r w:rsidRPr="003A1AA8">
        <w:t xml:space="preserve"> the upgrade.</w:t>
      </w:r>
    </w:p>
    <w:p w:rsidR="00473345" w:rsidRPr="003A1AA8" w:rsidRDefault="00473345" w:rsidP="00473345">
      <w:pPr>
        <w:pStyle w:val="subsection"/>
      </w:pPr>
      <w:r w:rsidRPr="003A1AA8">
        <w:tab/>
        <w:t>(4)</w:t>
      </w:r>
      <w:r w:rsidRPr="003A1AA8">
        <w:tab/>
      </w:r>
      <w:r w:rsidR="00503E9B" w:rsidRPr="003A1AA8">
        <w:rPr>
          <w:b/>
          <w:i/>
        </w:rPr>
        <w:t>CH</w:t>
      </w:r>
      <w:r w:rsidR="00503E9B" w:rsidRPr="003A1AA8">
        <w:rPr>
          <w:b/>
          <w:i/>
          <w:vertAlign w:val="subscript"/>
        </w:rPr>
        <w:t>4</w:t>
      </w:r>
      <w:r w:rsidR="003A1AA8" w:rsidRPr="003A1AA8">
        <w:rPr>
          <w:b/>
          <w:i/>
          <w:position w:val="6"/>
          <w:sz w:val="16"/>
        </w:rPr>
        <w:t>*</w:t>
      </w:r>
      <w:r w:rsidR="00503E9B" w:rsidRPr="003A1AA8">
        <w:rPr>
          <w:b/>
          <w:i/>
          <w:vertAlign w:val="subscript"/>
        </w:rPr>
        <w:t>,y</w:t>
      </w:r>
      <w:r w:rsidRPr="003A1AA8">
        <w:t xml:space="preserve"> is </w:t>
      </w:r>
      <w:r w:rsidR="00503E9B" w:rsidRPr="003A1AA8">
        <w:t>equivalent to CH</w:t>
      </w:r>
      <w:r w:rsidR="00503E9B" w:rsidRPr="003A1AA8">
        <w:rPr>
          <w:vertAlign w:val="subscript"/>
        </w:rPr>
        <w:t>4</w:t>
      </w:r>
      <w:r w:rsidR="003A1AA8" w:rsidRPr="003A1AA8">
        <w:rPr>
          <w:position w:val="6"/>
          <w:sz w:val="16"/>
        </w:rPr>
        <w:t>*</w:t>
      </w:r>
      <w:r w:rsidR="00503E9B" w:rsidRPr="003A1AA8">
        <w:t xml:space="preserve"> </w:t>
      </w:r>
      <w:r w:rsidRPr="003A1AA8">
        <w:t>calculated:</w:t>
      </w:r>
    </w:p>
    <w:p w:rsidR="00473345" w:rsidRPr="003A1AA8" w:rsidRDefault="00503E9B" w:rsidP="00473345">
      <w:pPr>
        <w:pStyle w:val="paragraph"/>
        <w:rPr>
          <w:iCs/>
        </w:rPr>
      </w:pPr>
      <w:r w:rsidRPr="003A1AA8">
        <w:tab/>
        <w:t>(a)</w:t>
      </w:r>
      <w:r w:rsidRPr="003A1AA8">
        <w:tab/>
        <w:t>under Part</w:t>
      </w:r>
      <w:r w:rsidR="003A1AA8" w:rsidRPr="003A1AA8">
        <w:t> </w:t>
      </w:r>
      <w:r w:rsidR="00473345" w:rsidRPr="003A1AA8">
        <w:t xml:space="preserve">5.2 of the </w:t>
      </w:r>
      <w:proofErr w:type="spellStart"/>
      <w:r w:rsidR="00473345" w:rsidRPr="003A1AA8">
        <w:rPr>
          <w:iCs/>
        </w:rPr>
        <w:t>NGER</w:t>
      </w:r>
      <w:proofErr w:type="spellEnd"/>
      <w:r w:rsidR="00473345" w:rsidRPr="003A1AA8">
        <w:rPr>
          <w:iCs/>
        </w:rPr>
        <w:t xml:space="preserve"> (Measurement) Determination; and</w:t>
      </w:r>
    </w:p>
    <w:p w:rsidR="00473345" w:rsidRPr="003A1AA8" w:rsidRDefault="00473345" w:rsidP="00473345">
      <w:pPr>
        <w:pStyle w:val="paragraph"/>
      </w:pPr>
      <w:r w:rsidRPr="003A1AA8">
        <w:tab/>
        <w:t>(b)</w:t>
      </w:r>
      <w:r w:rsidRPr="003A1AA8">
        <w:tab/>
        <w:t>in accordance with the following:</w:t>
      </w:r>
    </w:p>
    <w:p w:rsidR="00473345" w:rsidRPr="003A1AA8" w:rsidRDefault="00473345" w:rsidP="00473345">
      <w:pPr>
        <w:pStyle w:val="paragraphsub"/>
      </w:pPr>
      <w:r w:rsidRPr="003A1AA8">
        <w:tab/>
        <w:t>(</w:t>
      </w:r>
      <w:proofErr w:type="spellStart"/>
      <w:r w:rsidRPr="003A1AA8">
        <w:t>i</w:t>
      </w:r>
      <w:proofErr w:type="spellEnd"/>
      <w:r w:rsidRPr="003A1AA8">
        <w:t>)</w:t>
      </w:r>
      <w:r w:rsidRPr="003A1AA8">
        <w:tab/>
        <w:t xml:space="preserve">the reporting year is year </w:t>
      </w:r>
      <w:r w:rsidR="00406E2F" w:rsidRPr="003A1AA8">
        <w:t>y</w:t>
      </w:r>
      <w:r w:rsidRPr="003A1AA8">
        <w:t xml:space="preserve">, where </w:t>
      </w:r>
      <w:r w:rsidRPr="003A1AA8">
        <w:rPr>
          <w:b/>
          <w:i/>
        </w:rPr>
        <w:t>y</w:t>
      </w:r>
      <w:r w:rsidR="009D4879" w:rsidRPr="003A1AA8">
        <w:t xml:space="preserve"> means a year in the 2 years immediately </w:t>
      </w:r>
      <w:r w:rsidR="00503E9B" w:rsidRPr="003A1AA8">
        <w:t>before</w:t>
      </w:r>
      <w:r w:rsidR="009D4879" w:rsidRPr="003A1AA8">
        <w:t xml:space="preserve"> the upgrade;</w:t>
      </w:r>
    </w:p>
    <w:p w:rsidR="009D4879" w:rsidRPr="003A1AA8" w:rsidRDefault="009D4879" w:rsidP="00473345">
      <w:pPr>
        <w:pStyle w:val="paragraphsub"/>
      </w:pPr>
      <w:r w:rsidRPr="003A1AA8">
        <w:lastRenderedPageBreak/>
        <w:tab/>
        <w:t>(ii)</w:t>
      </w:r>
      <w:r w:rsidRPr="003A1AA8">
        <w:tab/>
        <w:t>methane generation must be determined for the whole landfill as if it were a single sub</w:t>
      </w:r>
      <w:r w:rsidR="003A1AA8">
        <w:noBreakHyphen/>
      </w:r>
      <w:r w:rsidRPr="003A1AA8">
        <w:t>facility zone.</w:t>
      </w:r>
    </w:p>
    <w:p w:rsidR="00784817" w:rsidRPr="003A1AA8" w:rsidRDefault="00784817" w:rsidP="00784817">
      <w:pPr>
        <w:pStyle w:val="subsection"/>
      </w:pPr>
      <w:r w:rsidRPr="003A1AA8">
        <w:tab/>
        <w:t>(5)</w:t>
      </w:r>
      <w:r w:rsidRPr="003A1AA8">
        <w:tab/>
        <w:t xml:space="preserve">For </w:t>
      </w:r>
      <w:r w:rsidR="003A1AA8" w:rsidRPr="003A1AA8">
        <w:t>subsection (</w:t>
      </w:r>
      <w:r w:rsidRPr="003A1AA8">
        <w:t>4), if year y covers 2 financial years, use the method set out in subsection</w:t>
      </w:r>
      <w:r w:rsidR="003A1AA8" w:rsidRPr="003A1AA8">
        <w:t> </w:t>
      </w:r>
      <w:r w:rsidR="006B1D9F" w:rsidRPr="003A1AA8">
        <w:t>22</w:t>
      </w:r>
      <w:r w:rsidRPr="003A1AA8">
        <w:t xml:space="preserve">(8) (as if </w:t>
      </w:r>
      <w:r w:rsidRPr="003A1AA8">
        <w:rPr>
          <w:bCs/>
        </w:rPr>
        <w:t>CH</w:t>
      </w:r>
      <w:r w:rsidRPr="003A1AA8">
        <w:rPr>
          <w:bCs/>
          <w:vertAlign w:val="subscript"/>
        </w:rPr>
        <w:t>4gen</w:t>
      </w:r>
      <w:r w:rsidRPr="003A1AA8">
        <w:t xml:space="preserve"> were CH</w:t>
      </w:r>
      <w:r w:rsidRPr="003A1AA8">
        <w:rPr>
          <w:vertAlign w:val="subscript"/>
        </w:rPr>
        <w:t>4</w:t>
      </w:r>
      <w:r w:rsidR="003A1AA8" w:rsidRPr="003A1AA8">
        <w:rPr>
          <w:position w:val="6"/>
          <w:sz w:val="16"/>
        </w:rPr>
        <w:t>*</w:t>
      </w:r>
      <w:r w:rsidRPr="003A1AA8">
        <w:t>).</w:t>
      </w:r>
    </w:p>
    <w:p w:rsidR="00733BE4" w:rsidRPr="003A1AA8" w:rsidRDefault="00733BE4" w:rsidP="00733BE4">
      <w:pPr>
        <w:pStyle w:val="ActHead2"/>
        <w:pageBreakBefore/>
      </w:pPr>
      <w:bookmarkStart w:id="65" w:name="_Toc407104173"/>
      <w:r w:rsidRPr="003A1AA8">
        <w:rPr>
          <w:rStyle w:val="CharPartNo"/>
        </w:rPr>
        <w:lastRenderedPageBreak/>
        <w:t>Part</w:t>
      </w:r>
      <w:r w:rsidR="003A1AA8" w:rsidRPr="003A1AA8">
        <w:rPr>
          <w:rStyle w:val="CharPartNo"/>
        </w:rPr>
        <w:t> </w:t>
      </w:r>
      <w:r w:rsidRPr="003A1AA8">
        <w:rPr>
          <w:rStyle w:val="CharPartNo"/>
        </w:rPr>
        <w:t>5</w:t>
      </w:r>
      <w:r w:rsidRPr="003A1AA8">
        <w:t>—</w:t>
      </w:r>
      <w:r w:rsidRPr="003A1AA8">
        <w:rPr>
          <w:rStyle w:val="CharPartText"/>
        </w:rPr>
        <w:t>Reporting, record</w:t>
      </w:r>
      <w:r w:rsidR="003A1AA8" w:rsidRPr="003A1AA8">
        <w:rPr>
          <w:rStyle w:val="CharPartText"/>
        </w:rPr>
        <w:noBreakHyphen/>
      </w:r>
      <w:r w:rsidRPr="003A1AA8">
        <w:rPr>
          <w:rStyle w:val="CharPartText"/>
        </w:rPr>
        <w:t>keeping and monitoring requirements</w:t>
      </w:r>
      <w:bookmarkEnd w:id="65"/>
    </w:p>
    <w:p w:rsidR="00733BE4" w:rsidRPr="003A1AA8" w:rsidRDefault="00733BE4" w:rsidP="00733BE4">
      <w:pPr>
        <w:pStyle w:val="notemargin"/>
      </w:pPr>
      <w:r w:rsidRPr="003A1AA8">
        <w:t>Note:</w:t>
      </w:r>
      <w:r w:rsidRPr="003A1AA8">
        <w:tab/>
        <w:t>Other reporting, record</w:t>
      </w:r>
      <w:r w:rsidR="003A1AA8">
        <w:noBreakHyphen/>
      </w:r>
      <w:r w:rsidRPr="003A1AA8">
        <w:t>keeping and monitoring requirements are set out in regulations and rules made under the Act.</w:t>
      </w:r>
    </w:p>
    <w:p w:rsidR="005F2889" w:rsidRPr="003A1AA8" w:rsidRDefault="005F2889" w:rsidP="005F2889">
      <w:pPr>
        <w:pStyle w:val="Header"/>
      </w:pPr>
      <w:r w:rsidRPr="003A1AA8">
        <w:rPr>
          <w:rStyle w:val="CharDivNo"/>
        </w:rPr>
        <w:t xml:space="preserve"> </w:t>
      </w:r>
      <w:r w:rsidRPr="003A1AA8">
        <w:rPr>
          <w:rStyle w:val="CharDivText"/>
        </w:rPr>
        <w:t xml:space="preserve"> </w:t>
      </w:r>
    </w:p>
    <w:p w:rsidR="001A3E26" w:rsidRPr="003A1AA8" w:rsidRDefault="001A3E26" w:rsidP="001A3E26">
      <w:pPr>
        <w:pStyle w:val="ActHead3"/>
      </w:pPr>
      <w:bookmarkStart w:id="66" w:name="_Toc407104174"/>
      <w:r w:rsidRPr="003A1AA8">
        <w:rPr>
          <w:rStyle w:val="CharDivNo"/>
        </w:rPr>
        <w:t>Division</w:t>
      </w:r>
      <w:r w:rsidR="003A1AA8" w:rsidRPr="003A1AA8">
        <w:rPr>
          <w:rStyle w:val="CharDivNo"/>
        </w:rPr>
        <w:t> </w:t>
      </w:r>
      <w:r w:rsidRPr="003A1AA8">
        <w:rPr>
          <w:rStyle w:val="CharDivNo"/>
        </w:rPr>
        <w:t>1</w:t>
      </w:r>
      <w:r w:rsidRPr="003A1AA8">
        <w:t>—</w:t>
      </w:r>
      <w:r w:rsidRPr="003A1AA8">
        <w:rPr>
          <w:rStyle w:val="CharDivText"/>
        </w:rPr>
        <w:t>Offsets report requirements</w:t>
      </w:r>
      <w:bookmarkEnd w:id="66"/>
    </w:p>
    <w:p w:rsidR="001A3E26" w:rsidRPr="003A1AA8" w:rsidRDefault="006B1D9F" w:rsidP="001A3E26">
      <w:pPr>
        <w:pStyle w:val="ActHead5"/>
      </w:pPr>
      <w:bookmarkStart w:id="67" w:name="_Toc407104175"/>
      <w:r w:rsidRPr="003A1AA8">
        <w:rPr>
          <w:rStyle w:val="CharSectno"/>
        </w:rPr>
        <w:t>30</w:t>
      </w:r>
      <w:r w:rsidR="001A3E26" w:rsidRPr="003A1AA8">
        <w:t xml:space="preserve">  Operation of this Division</w:t>
      </w:r>
      <w:bookmarkEnd w:id="67"/>
    </w:p>
    <w:p w:rsidR="001A3E26" w:rsidRPr="003A1AA8" w:rsidRDefault="001A3E26" w:rsidP="001A3E26">
      <w:pPr>
        <w:pStyle w:val="subsection"/>
      </w:pPr>
      <w:r w:rsidRPr="003A1AA8">
        <w:tab/>
      </w:r>
      <w:r w:rsidRPr="003A1AA8">
        <w:tab/>
        <w:t>For paragraph</w:t>
      </w:r>
      <w:r w:rsidR="003A1AA8" w:rsidRPr="003A1AA8">
        <w:t> </w:t>
      </w:r>
      <w:r w:rsidRPr="003A1AA8">
        <w:t>106(3)(a) of the Act, this Division sets out information that must be included in an offsets report about a landfill gas project that is an eligible offsets project.</w:t>
      </w:r>
    </w:p>
    <w:p w:rsidR="001A3E26" w:rsidRPr="003A1AA8" w:rsidRDefault="006B1D9F" w:rsidP="001A3E26">
      <w:pPr>
        <w:pStyle w:val="ActHead5"/>
      </w:pPr>
      <w:bookmarkStart w:id="68" w:name="_Toc407104176"/>
      <w:r w:rsidRPr="003A1AA8">
        <w:rPr>
          <w:rStyle w:val="CharSectno"/>
        </w:rPr>
        <w:t>31</w:t>
      </w:r>
      <w:r w:rsidR="001A3E26" w:rsidRPr="003A1AA8">
        <w:t xml:space="preserve">  </w:t>
      </w:r>
      <w:r w:rsidR="003469C4" w:rsidRPr="003A1AA8">
        <w:t>Determination of certain factors and parameters</w:t>
      </w:r>
      <w:bookmarkEnd w:id="68"/>
    </w:p>
    <w:p w:rsidR="003469C4" w:rsidRPr="003A1AA8" w:rsidRDefault="003469C4" w:rsidP="003469C4">
      <w:pPr>
        <w:pStyle w:val="subsection"/>
      </w:pPr>
      <w:r w:rsidRPr="003A1AA8">
        <w:tab/>
        <w:t>(1)</w:t>
      </w:r>
      <w:r w:rsidRPr="003A1AA8">
        <w:tab/>
        <w:t>If, in the circumstances described in paragraph</w:t>
      </w:r>
      <w:r w:rsidR="003A1AA8" w:rsidRPr="003A1AA8">
        <w:t> </w:t>
      </w:r>
      <w:r w:rsidRPr="003A1AA8">
        <w:t>6(2)(b),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rsidR="003469C4" w:rsidRPr="003A1AA8" w:rsidRDefault="003469C4" w:rsidP="003469C4">
      <w:pPr>
        <w:pStyle w:val="paragraph"/>
        <w:rPr>
          <w:szCs w:val="22"/>
        </w:rPr>
      </w:pPr>
      <w:r w:rsidRPr="003A1AA8">
        <w:rPr>
          <w:szCs w:val="22"/>
        </w:rPr>
        <w:tab/>
        <w:t>(a)</w:t>
      </w:r>
      <w:r w:rsidRPr="003A1AA8">
        <w:rPr>
          <w:szCs w:val="22"/>
        </w:rPr>
        <w:tab/>
        <w:t>the versions of the instrument or writing used;</w:t>
      </w:r>
    </w:p>
    <w:p w:rsidR="003469C4" w:rsidRPr="003A1AA8" w:rsidRDefault="003469C4" w:rsidP="003469C4">
      <w:pPr>
        <w:pStyle w:val="paragraph"/>
        <w:rPr>
          <w:szCs w:val="22"/>
        </w:rPr>
      </w:pPr>
      <w:r w:rsidRPr="003A1AA8">
        <w:rPr>
          <w:szCs w:val="22"/>
        </w:rPr>
        <w:tab/>
        <w:t>(b)</w:t>
      </w:r>
      <w:r w:rsidRPr="003A1AA8">
        <w:rPr>
          <w:szCs w:val="22"/>
        </w:rPr>
        <w:tab/>
        <w:t>the start and end dates of each use;</w:t>
      </w:r>
    </w:p>
    <w:p w:rsidR="003469C4" w:rsidRPr="003A1AA8" w:rsidRDefault="003469C4" w:rsidP="003469C4">
      <w:pPr>
        <w:pStyle w:val="paragraph"/>
        <w:rPr>
          <w:szCs w:val="22"/>
        </w:rPr>
      </w:pPr>
      <w:r w:rsidRPr="003A1AA8">
        <w:rPr>
          <w:szCs w:val="22"/>
        </w:rPr>
        <w:tab/>
        <w:t>(c)</w:t>
      </w:r>
      <w:r w:rsidRPr="003A1AA8">
        <w:rPr>
          <w:szCs w:val="22"/>
        </w:rPr>
        <w:tab/>
        <w:t>the reasons why it was not possible to define or calculate the factor or parameter by reference to the instrument or writing as in force at the end of the reporting period.</w:t>
      </w:r>
    </w:p>
    <w:p w:rsidR="003469C4" w:rsidRPr="003A1AA8" w:rsidRDefault="003469C4" w:rsidP="003469C4">
      <w:pPr>
        <w:pStyle w:val="subsection"/>
        <w:rPr>
          <w:szCs w:val="22"/>
        </w:rPr>
      </w:pPr>
      <w:r w:rsidRPr="003A1AA8">
        <w:rPr>
          <w:szCs w:val="22"/>
        </w:rPr>
        <w:tab/>
        <w:t>(2)</w:t>
      </w:r>
      <w:r w:rsidRPr="003A1AA8">
        <w:rPr>
          <w:szCs w:val="22"/>
        </w:rPr>
        <w:tab/>
        <w:t>If a parameter is determined under section</w:t>
      </w:r>
      <w:r w:rsidR="003A1AA8" w:rsidRPr="003A1AA8">
        <w:rPr>
          <w:szCs w:val="22"/>
        </w:rPr>
        <w:t> </w:t>
      </w:r>
      <w:r w:rsidRPr="003A1AA8">
        <w:rPr>
          <w:szCs w:val="22"/>
        </w:rPr>
        <w:t xml:space="preserve">34 for the purpose of working out the carbon dioxide equivalent net abatement amount for a </w:t>
      </w:r>
      <w:r w:rsidR="00844C57" w:rsidRPr="003A1AA8">
        <w:rPr>
          <w:szCs w:val="22"/>
        </w:rPr>
        <w:t>landfill</w:t>
      </w:r>
      <w:r w:rsidRPr="003A1AA8">
        <w:rPr>
          <w:szCs w:val="22"/>
        </w:rPr>
        <w:t xml:space="preserve"> gas project for a reporting period, the offsets report about the project for the reporting period must include the following information for the parameter:</w:t>
      </w:r>
    </w:p>
    <w:p w:rsidR="003469C4" w:rsidRPr="003A1AA8" w:rsidRDefault="003469C4" w:rsidP="003469C4">
      <w:pPr>
        <w:pStyle w:val="paragraph"/>
        <w:rPr>
          <w:szCs w:val="22"/>
        </w:rPr>
      </w:pPr>
      <w:r w:rsidRPr="003A1AA8">
        <w:rPr>
          <w:szCs w:val="22"/>
        </w:rPr>
        <w:tab/>
        <w:t>(a)</w:t>
      </w:r>
      <w:r w:rsidRPr="003A1AA8">
        <w:rPr>
          <w:szCs w:val="22"/>
        </w:rPr>
        <w:tab/>
        <w:t>the name of the parameter;</w:t>
      </w:r>
    </w:p>
    <w:p w:rsidR="003469C4" w:rsidRPr="003A1AA8" w:rsidRDefault="003469C4" w:rsidP="003469C4">
      <w:pPr>
        <w:pStyle w:val="paragraph"/>
        <w:rPr>
          <w:szCs w:val="22"/>
        </w:rPr>
      </w:pPr>
      <w:r w:rsidRPr="003A1AA8">
        <w:rPr>
          <w:szCs w:val="22"/>
        </w:rPr>
        <w:tab/>
        <w:t>(b)</w:t>
      </w:r>
      <w:r w:rsidRPr="003A1AA8">
        <w:rPr>
          <w:szCs w:val="22"/>
        </w:rPr>
        <w:tab/>
        <w:t>the start and end dates of the non</w:t>
      </w:r>
      <w:r w:rsidR="003A1AA8">
        <w:rPr>
          <w:szCs w:val="22"/>
        </w:rPr>
        <w:noBreakHyphen/>
      </w:r>
      <w:r w:rsidRPr="003A1AA8">
        <w:rPr>
          <w:szCs w:val="22"/>
        </w:rPr>
        <w:t>monitored period for which the parameter was determined;</w:t>
      </w:r>
    </w:p>
    <w:p w:rsidR="003469C4" w:rsidRPr="003A1AA8" w:rsidRDefault="003469C4" w:rsidP="003469C4">
      <w:pPr>
        <w:pStyle w:val="paragraph"/>
        <w:rPr>
          <w:szCs w:val="22"/>
        </w:rPr>
      </w:pPr>
      <w:r w:rsidRPr="003A1AA8">
        <w:rPr>
          <w:szCs w:val="22"/>
        </w:rPr>
        <w:tab/>
        <w:t>(c)</w:t>
      </w:r>
      <w:r w:rsidRPr="003A1AA8">
        <w:rPr>
          <w:szCs w:val="22"/>
        </w:rPr>
        <w:tab/>
        <w:t>the value of the parameter and how that value was calculated;</w:t>
      </w:r>
    </w:p>
    <w:p w:rsidR="003469C4" w:rsidRPr="003A1AA8" w:rsidRDefault="003469C4" w:rsidP="003469C4">
      <w:pPr>
        <w:pStyle w:val="paragraph"/>
        <w:rPr>
          <w:szCs w:val="22"/>
        </w:rPr>
      </w:pPr>
      <w:r w:rsidRPr="003A1AA8">
        <w:rPr>
          <w:szCs w:val="22"/>
        </w:rPr>
        <w:tab/>
        <w:t>(d)</w:t>
      </w:r>
      <w:r w:rsidRPr="003A1AA8">
        <w:rPr>
          <w:szCs w:val="22"/>
        </w:rPr>
        <w:tab/>
        <w:t>the reasons why the project proponent failed to monitor the parameter as required by the monitoring requirements.</w:t>
      </w:r>
    </w:p>
    <w:p w:rsidR="001A3E26" w:rsidRPr="003A1AA8" w:rsidRDefault="001A3E26" w:rsidP="001A3E26">
      <w:pPr>
        <w:pStyle w:val="ActHead3"/>
        <w:pageBreakBefore/>
      </w:pPr>
      <w:bookmarkStart w:id="69" w:name="_Toc407104177"/>
      <w:r w:rsidRPr="003A1AA8">
        <w:rPr>
          <w:rStyle w:val="CharDivNo"/>
        </w:rPr>
        <w:lastRenderedPageBreak/>
        <w:t>Division</w:t>
      </w:r>
      <w:r w:rsidR="003A1AA8" w:rsidRPr="003A1AA8">
        <w:rPr>
          <w:rStyle w:val="CharDivNo"/>
        </w:rPr>
        <w:t> </w:t>
      </w:r>
      <w:r w:rsidRPr="003A1AA8">
        <w:rPr>
          <w:rStyle w:val="CharDivNo"/>
        </w:rPr>
        <w:t>2</w:t>
      </w:r>
      <w:r w:rsidRPr="003A1AA8">
        <w:t>—</w:t>
      </w:r>
      <w:r w:rsidRPr="003A1AA8">
        <w:rPr>
          <w:rStyle w:val="CharDivText"/>
        </w:rPr>
        <w:t>Monitoring requirement</w:t>
      </w:r>
      <w:r w:rsidR="00071231" w:rsidRPr="003A1AA8">
        <w:rPr>
          <w:rStyle w:val="CharDivText"/>
        </w:rPr>
        <w:t>s</w:t>
      </w:r>
      <w:bookmarkEnd w:id="69"/>
    </w:p>
    <w:p w:rsidR="000745E9" w:rsidRPr="003A1AA8" w:rsidRDefault="006B1D9F" w:rsidP="000745E9">
      <w:pPr>
        <w:pStyle w:val="ActHead5"/>
      </w:pPr>
      <w:bookmarkStart w:id="70" w:name="_Toc407104178"/>
      <w:r w:rsidRPr="003A1AA8">
        <w:rPr>
          <w:rStyle w:val="CharSectno"/>
        </w:rPr>
        <w:t>32</w:t>
      </w:r>
      <w:r w:rsidR="000745E9" w:rsidRPr="003A1AA8">
        <w:t xml:space="preserve">  Operation of this </w:t>
      </w:r>
      <w:r w:rsidR="001A3E26" w:rsidRPr="003A1AA8">
        <w:t>Division</w:t>
      </w:r>
      <w:bookmarkEnd w:id="70"/>
    </w:p>
    <w:p w:rsidR="00886532" w:rsidRPr="003A1AA8" w:rsidRDefault="00886532" w:rsidP="00886532">
      <w:pPr>
        <w:pStyle w:val="subsection"/>
      </w:pPr>
      <w:r w:rsidRPr="003A1AA8">
        <w:tab/>
      </w:r>
      <w:r w:rsidRPr="003A1AA8">
        <w:tab/>
        <w:t>For paragraph</w:t>
      </w:r>
      <w:r w:rsidR="003A1AA8" w:rsidRPr="003A1AA8">
        <w:t> </w:t>
      </w:r>
      <w:r w:rsidRPr="003A1AA8">
        <w:t>106(3)(d) of the Act, this Division sets out:</w:t>
      </w:r>
    </w:p>
    <w:p w:rsidR="00886532" w:rsidRPr="003A1AA8" w:rsidRDefault="00886532" w:rsidP="00886532">
      <w:pPr>
        <w:pStyle w:val="paragraph"/>
      </w:pPr>
      <w:r w:rsidRPr="003A1AA8">
        <w:tab/>
        <w:t>(a)</w:t>
      </w:r>
      <w:r w:rsidRPr="003A1AA8">
        <w:tab/>
        <w:t>requirements to monitor a landfill gas project that is an eligible offsets project (see section</w:t>
      </w:r>
      <w:r w:rsidR="003A1AA8" w:rsidRPr="003A1AA8">
        <w:t> </w:t>
      </w:r>
      <w:r w:rsidRPr="003A1AA8">
        <w:t>33); and</w:t>
      </w:r>
    </w:p>
    <w:p w:rsidR="00886532" w:rsidRPr="003A1AA8" w:rsidRDefault="00886532" w:rsidP="00886532">
      <w:pPr>
        <w:pStyle w:val="paragraph"/>
      </w:pPr>
      <w:r w:rsidRPr="003A1AA8">
        <w:tab/>
        <w:t>(b)</w:t>
      </w:r>
      <w:r w:rsidRPr="003A1AA8">
        <w:tab/>
        <w:t>certain consequences if the project proponent fails to monitor the project as required (see section</w:t>
      </w:r>
      <w:r w:rsidR="003A1AA8" w:rsidRPr="003A1AA8">
        <w:t> </w:t>
      </w:r>
      <w:r w:rsidRPr="003A1AA8">
        <w:t>34).</w:t>
      </w:r>
    </w:p>
    <w:p w:rsidR="000745E9" w:rsidRPr="003A1AA8" w:rsidRDefault="006B1D9F" w:rsidP="000745E9">
      <w:pPr>
        <w:pStyle w:val="ActHead5"/>
      </w:pPr>
      <w:bookmarkStart w:id="71" w:name="_Toc407104179"/>
      <w:r w:rsidRPr="003A1AA8">
        <w:rPr>
          <w:rStyle w:val="CharSectno"/>
        </w:rPr>
        <w:t>33</w:t>
      </w:r>
      <w:r w:rsidR="000745E9" w:rsidRPr="003A1AA8">
        <w:t xml:space="preserve">  Requirement</w:t>
      </w:r>
      <w:r w:rsidR="00071231" w:rsidRPr="003A1AA8">
        <w:t>s</w:t>
      </w:r>
      <w:r w:rsidR="000745E9" w:rsidRPr="003A1AA8">
        <w:t xml:space="preserve"> to monitor certain parameters</w:t>
      </w:r>
      <w:bookmarkEnd w:id="71"/>
    </w:p>
    <w:p w:rsidR="00484021" w:rsidRPr="003A1AA8" w:rsidRDefault="00D8781C" w:rsidP="000745E9">
      <w:pPr>
        <w:pStyle w:val="subsection"/>
      </w:pPr>
      <w:r w:rsidRPr="003A1AA8">
        <w:tab/>
      </w:r>
      <w:r w:rsidR="001C2D41" w:rsidRPr="003A1AA8">
        <w:t>(1)</w:t>
      </w:r>
      <w:r w:rsidR="000745E9" w:rsidRPr="003A1AA8">
        <w:tab/>
        <w:t xml:space="preserve">The project proponent for </w:t>
      </w:r>
      <w:r w:rsidR="00484021" w:rsidRPr="003A1AA8">
        <w:t xml:space="preserve">a landfill gas project </w:t>
      </w:r>
      <w:r w:rsidR="000745E9" w:rsidRPr="003A1AA8">
        <w:t xml:space="preserve">must monitor </w:t>
      </w:r>
      <w:r w:rsidRPr="003A1AA8">
        <w:t xml:space="preserve">and </w:t>
      </w:r>
      <w:r w:rsidR="00F044A1" w:rsidRPr="003A1AA8">
        <w:t>determine</w:t>
      </w:r>
      <w:r w:rsidRPr="003A1AA8">
        <w:t xml:space="preserve"> </w:t>
      </w:r>
      <w:r w:rsidR="000745E9" w:rsidRPr="003A1AA8">
        <w:t xml:space="preserve">a parameter </w:t>
      </w:r>
      <w:r w:rsidR="001C2D41" w:rsidRPr="003A1AA8">
        <w:t>set out</w:t>
      </w:r>
      <w:r w:rsidR="000745E9" w:rsidRPr="003A1AA8">
        <w:t xml:space="preserve"> in </w:t>
      </w:r>
      <w:r w:rsidR="00484021" w:rsidRPr="003A1AA8">
        <w:t xml:space="preserve">an item of </w:t>
      </w:r>
      <w:r w:rsidR="000745E9" w:rsidRPr="003A1AA8">
        <w:t xml:space="preserve">the following table in accordance with the </w:t>
      </w:r>
      <w:r w:rsidR="00AB33A3" w:rsidRPr="003A1AA8">
        <w:t xml:space="preserve">instructions in the </w:t>
      </w:r>
      <w:r w:rsidR="00484021" w:rsidRPr="003A1AA8">
        <w:t>item.</w:t>
      </w:r>
    </w:p>
    <w:p w:rsidR="000745E9" w:rsidRPr="003A1AA8" w:rsidRDefault="000745E9" w:rsidP="000745E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1276"/>
        <w:gridCol w:w="1275"/>
        <w:gridCol w:w="1134"/>
        <w:gridCol w:w="2268"/>
        <w:gridCol w:w="2082"/>
      </w:tblGrid>
      <w:tr w:rsidR="000745E9" w:rsidRPr="003A1AA8" w:rsidTr="00484021">
        <w:trPr>
          <w:tblHeader/>
        </w:trPr>
        <w:tc>
          <w:tcPr>
            <w:tcW w:w="8314" w:type="dxa"/>
            <w:gridSpan w:val="6"/>
            <w:tcBorders>
              <w:top w:val="single" w:sz="12" w:space="0" w:color="auto"/>
              <w:bottom w:val="single" w:sz="6" w:space="0" w:color="auto"/>
            </w:tcBorders>
            <w:shd w:val="clear" w:color="auto" w:fill="auto"/>
          </w:tcPr>
          <w:p w:rsidR="000745E9" w:rsidRPr="003A1AA8" w:rsidRDefault="000745E9" w:rsidP="00060F95">
            <w:pPr>
              <w:pStyle w:val="TableHeading"/>
            </w:pPr>
            <w:r w:rsidRPr="003A1AA8">
              <w:t>Monitored parameters</w:t>
            </w:r>
          </w:p>
        </w:tc>
      </w:tr>
      <w:tr w:rsidR="00484021" w:rsidRPr="003A1AA8" w:rsidTr="00484021">
        <w:trPr>
          <w:tblHeader/>
        </w:trPr>
        <w:tc>
          <w:tcPr>
            <w:tcW w:w="279" w:type="dxa"/>
            <w:tcBorders>
              <w:top w:val="single" w:sz="6" w:space="0" w:color="auto"/>
              <w:bottom w:val="single" w:sz="12" w:space="0" w:color="auto"/>
            </w:tcBorders>
            <w:shd w:val="clear" w:color="auto" w:fill="auto"/>
          </w:tcPr>
          <w:p w:rsidR="000745E9" w:rsidRPr="003A1AA8" w:rsidRDefault="000745E9" w:rsidP="00060F95">
            <w:pPr>
              <w:pStyle w:val="TableHeading"/>
            </w:pPr>
          </w:p>
        </w:tc>
        <w:tc>
          <w:tcPr>
            <w:tcW w:w="1276" w:type="dxa"/>
            <w:tcBorders>
              <w:top w:val="single" w:sz="6" w:space="0" w:color="auto"/>
              <w:bottom w:val="single" w:sz="12" w:space="0" w:color="auto"/>
            </w:tcBorders>
            <w:shd w:val="clear" w:color="auto" w:fill="auto"/>
          </w:tcPr>
          <w:p w:rsidR="000745E9" w:rsidRPr="003A1AA8" w:rsidRDefault="000745E9" w:rsidP="00060F95">
            <w:pPr>
              <w:pStyle w:val="TableHeading"/>
            </w:pPr>
            <w:r w:rsidRPr="003A1AA8">
              <w:t>Parameter</w:t>
            </w:r>
          </w:p>
        </w:tc>
        <w:tc>
          <w:tcPr>
            <w:tcW w:w="1275" w:type="dxa"/>
            <w:tcBorders>
              <w:top w:val="single" w:sz="6" w:space="0" w:color="auto"/>
              <w:bottom w:val="single" w:sz="12" w:space="0" w:color="auto"/>
            </w:tcBorders>
            <w:shd w:val="clear" w:color="auto" w:fill="auto"/>
          </w:tcPr>
          <w:p w:rsidR="000745E9" w:rsidRPr="003A1AA8" w:rsidRDefault="000745E9" w:rsidP="00060F95">
            <w:pPr>
              <w:pStyle w:val="TableHeading"/>
            </w:pPr>
            <w:r w:rsidRPr="003A1AA8">
              <w:t>Description</w:t>
            </w:r>
          </w:p>
        </w:tc>
        <w:tc>
          <w:tcPr>
            <w:tcW w:w="1134" w:type="dxa"/>
            <w:tcBorders>
              <w:top w:val="single" w:sz="6" w:space="0" w:color="auto"/>
              <w:bottom w:val="single" w:sz="12" w:space="0" w:color="auto"/>
            </w:tcBorders>
            <w:shd w:val="clear" w:color="auto" w:fill="auto"/>
          </w:tcPr>
          <w:p w:rsidR="000745E9" w:rsidRPr="003A1AA8" w:rsidRDefault="0024555A" w:rsidP="00060F95">
            <w:pPr>
              <w:pStyle w:val="TableHeading"/>
            </w:pPr>
            <w:r w:rsidRPr="003A1AA8">
              <w:t>Unit</w:t>
            </w:r>
          </w:p>
        </w:tc>
        <w:tc>
          <w:tcPr>
            <w:tcW w:w="2268" w:type="dxa"/>
            <w:tcBorders>
              <w:top w:val="single" w:sz="6" w:space="0" w:color="auto"/>
              <w:bottom w:val="single" w:sz="12" w:space="0" w:color="auto"/>
            </w:tcBorders>
            <w:shd w:val="clear" w:color="auto" w:fill="auto"/>
          </w:tcPr>
          <w:p w:rsidR="000745E9" w:rsidRPr="003A1AA8" w:rsidRDefault="00C14784" w:rsidP="00060F95">
            <w:pPr>
              <w:pStyle w:val="TableHeading"/>
            </w:pPr>
            <w:r w:rsidRPr="003A1AA8">
              <w:t>Measurement procedure (including frequency as required)</w:t>
            </w:r>
          </w:p>
        </w:tc>
        <w:tc>
          <w:tcPr>
            <w:tcW w:w="2082" w:type="dxa"/>
            <w:tcBorders>
              <w:top w:val="single" w:sz="6" w:space="0" w:color="auto"/>
              <w:bottom w:val="single" w:sz="12" w:space="0" w:color="auto"/>
            </w:tcBorders>
            <w:shd w:val="clear" w:color="auto" w:fill="auto"/>
          </w:tcPr>
          <w:p w:rsidR="000745E9" w:rsidRPr="003A1AA8" w:rsidRDefault="00710D2E" w:rsidP="00060F95">
            <w:pPr>
              <w:pStyle w:val="TableHeading"/>
            </w:pPr>
            <w:r w:rsidRPr="003A1AA8">
              <w:t>Determination of parameter from measurements</w:t>
            </w:r>
          </w:p>
        </w:tc>
      </w:tr>
      <w:tr w:rsidR="00484021" w:rsidRPr="003A1AA8" w:rsidTr="00484021">
        <w:tc>
          <w:tcPr>
            <w:tcW w:w="279" w:type="dxa"/>
            <w:tcBorders>
              <w:top w:val="single" w:sz="12" w:space="0" w:color="auto"/>
            </w:tcBorders>
            <w:shd w:val="clear" w:color="auto" w:fill="auto"/>
          </w:tcPr>
          <w:p w:rsidR="000745E9" w:rsidRPr="003A1AA8" w:rsidRDefault="000745E9" w:rsidP="000745E9">
            <w:pPr>
              <w:pStyle w:val="Tabletext"/>
            </w:pPr>
            <w:r w:rsidRPr="003A1AA8">
              <w:t>1</w:t>
            </w:r>
          </w:p>
        </w:tc>
        <w:tc>
          <w:tcPr>
            <w:tcW w:w="1276" w:type="dxa"/>
            <w:tcBorders>
              <w:top w:val="single" w:sz="12" w:space="0" w:color="auto"/>
            </w:tcBorders>
            <w:shd w:val="clear" w:color="auto" w:fill="auto"/>
          </w:tcPr>
          <w:p w:rsidR="000745E9" w:rsidRPr="003A1AA8" w:rsidRDefault="006D6B5E" w:rsidP="006D6B5E">
            <w:pPr>
              <w:pStyle w:val="Tabletext"/>
            </w:pPr>
            <w:proofErr w:type="spellStart"/>
            <w:r w:rsidRPr="003A1AA8">
              <w:t>Q</w:t>
            </w:r>
            <w:r w:rsidRPr="003A1AA8">
              <w:rPr>
                <w:vertAlign w:val="subscript"/>
              </w:rPr>
              <w:t>En</w:t>
            </w:r>
            <w:r w:rsidR="00710D2E" w:rsidRPr="003A1AA8">
              <w:rPr>
                <w:vertAlign w:val="subscript"/>
              </w:rPr>
              <w:t>,h</w:t>
            </w:r>
            <w:proofErr w:type="spellEnd"/>
          </w:p>
        </w:tc>
        <w:tc>
          <w:tcPr>
            <w:tcW w:w="1275" w:type="dxa"/>
            <w:tcBorders>
              <w:top w:val="single" w:sz="12" w:space="0" w:color="auto"/>
            </w:tcBorders>
            <w:shd w:val="clear" w:color="auto" w:fill="auto"/>
          </w:tcPr>
          <w:p w:rsidR="000745E9" w:rsidRPr="003A1AA8" w:rsidRDefault="00710D2E" w:rsidP="00BF196D">
            <w:pPr>
              <w:pStyle w:val="Tabletext"/>
            </w:pPr>
            <w:r w:rsidRPr="003A1AA8">
              <w:t>Energy content of the landfill gas sent to combustion device</w:t>
            </w:r>
            <w:r w:rsidR="00BF196D" w:rsidRPr="003A1AA8">
              <w:t xml:space="preserve"> h</w:t>
            </w:r>
          </w:p>
        </w:tc>
        <w:tc>
          <w:tcPr>
            <w:tcW w:w="1134" w:type="dxa"/>
            <w:tcBorders>
              <w:top w:val="single" w:sz="12" w:space="0" w:color="auto"/>
            </w:tcBorders>
            <w:shd w:val="clear" w:color="auto" w:fill="auto"/>
          </w:tcPr>
          <w:p w:rsidR="000745E9" w:rsidRPr="003A1AA8" w:rsidRDefault="0024555A" w:rsidP="00AE2A6F">
            <w:pPr>
              <w:pStyle w:val="Tabletext"/>
            </w:pPr>
            <w:r w:rsidRPr="003A1AA8">
              <w:t xml:space="preserve">Gigajoules </w:t>
            </w:r>
          </w:p>
        </w:tc>
        <w:tc>
          <w:tcPr>
            <w:tcW w:w="2268" w:type="dxa"/>
            <w:tcBorders>
              <w:top w:val="single" w:sz="12" w:space="0" w:color="auto"/>
            </w:tcBorders>
            <w:shd w:val="clear" w:color="auto" w:fill="auto"/>
          </w:tcPr>
          <w:p w:rsidR="000745E9" w:rsidRPr="003A1AA8" w:rsidRDefault="005F2889" w:rsidP="000745E9">
            <w:pPr>
              <w:pStyle w:val="Tabletext"/>
            </w:pPr>
            <w:r w:rsidRPr="003A1AA8">
              <w:t>Estimated under Division</w:t>
            </w:r>
            <w:r w:rsidR="003A1AA8" w:rsidRPr="003A1AA8">
              <w:t> </w:t>
            </w:r>
            <w:r w:rsidRPr="003A1AA8">
              <w:t xml:space="preserve">2.3.6 of the </w:t>
            </w:r>
            <w:proofErr w:type="spellStart"/>
            <w:r w:rsidRPr="003A1AA8">
              <w:t>NGER</w:t>
            </w:r>
            <w:proofErr w:type="spellEnd"/>
            <w:r w:rsidRPr="003A1AA8">
              <w:t xml:space="preserve"> (Measurement) Determination</w:t>
            </w:r>
            <w:r w:rsidR="004E37B9" w:rsidRPr="003A1AA8">
              <w:t xml:space="preserve"> or section</w:t>
            </w:r>
            <w:r w:rsidR="003A1AA8" w:rsidRPr="003A1AA8">
              <w:t> </w:t>
            </w:r>
            <w:r w:rsidR="004E37B9" w:rsidRPr="003A1AA8">
              <w:t xml:space="preserve">6.5 of that Determination using measurement criteria </w:t>
            </w:r>
            <w:proofErr w:type="spellStart"/>
            <w:r w:rsidR="004E37B9" w:rsidRPr="003A1AA8">
              <w:t>AAA</w:t>
            </w:r>
            <w:proofErr w:type="spellEnd"/>
            <w:r w:rsidR="004E37B9" w:rsidRPr="003A1AA8">
              <w:t xml:space="preserve">. </w:t>
            </w:r>
          </w:p>
        </w:tc>
        <w:tc>
          <w:tcPr>
            <w:tcW w:w="2082" w:type="dxa"/>
            <w:tcBorders>
              <w:top w:val="single" w:sz="12" w:space="0" w:color="auto"/>
            </w:tcBorders>
            <w:shd w:val="clear" w:color="auto" w:fill="auto"/>
          </w:tcPr>
          <w:p w:rsidR="000745E9" w:rsidRPr="003A1AA8" w:rsidRDefault="00710D2E" w:rsidP="000745E9">
            <w:pPr>
              <w:pStyle w:val="Tabletext"/>
            </w:pPr>
            <w:r w:rsidRPr="003A1AA8">
              <w:t>Cumulative value for reporting period</w:t>
            </w:r>
          </w:p>
        </w:tc>
      </w:tr>
      <w:tr w:rsidR="00484021" w:rsidRPr="003A1AA8" w:rsidTr="00484021">
        <w:tc>
          <w:tcPr>
            <w:tcW w:w="279" w:type="dxa"/>
            <w:shd w:val="clear" w:color="auto" w:fill="auto"/>
          </w:tcPr>
          <w:p w:rsidR="000745E9" w:rsidRPr="003A1AA8" w:rsidRDefault="000745E9" w:rsidP="000745E9">
            <w:pPr>
              <w:pStyle w:val="Tabletext"/>
            </w:pPr>
            <w:r w:rsidRPr="003A1AA8">
              <w:t>2</w:t>
            </w:r>
          </w:p>
        </w:tc>
        <w:tc>
          <w:tcPr>
            <w:tcW w:w="1276" w:type="dxa"/>
            <w:shd w:val="clear" w:color="auto" w:fill="auto"/>
          </w:tcPr>
          <w:p w:rsidR="000745E9" w:rsidRPr="003A1AA8" w:rsidRDefault="006A0090" w:rsidP="000745E9">
            <w:pPr>
              <w:pStyle w:val="Tabletext"/>
            </w:pPr>
            <w:proofErr w:type="spellStart"/>
            <w:r w:rsidRPr="003A1AA8">
              <w:t>O</w:t>
            </w:r>
            <w:r w:rsidRPr="003A1AA8">
              <w:rPr>
                <w:vertAlign w:val="subscript"/>
              </w:rPr>
              <w:t>h,a</w:t>
            </w:r>
            <w:proofErr w:type="spellEnd"/>
          </w:p>
        </w:tc>
        <w:tc>
          <w:tcPr>
            <w:tcW w:w="1275" w:type="dxa"/>
            <w:shd w:val="clear" w:color="auto" w:fill="auto"/>
          </w:tcPr>
          <w:p w:rsidR="000745E9" w:rsidRPr="003A1AA8" w:rsidRDefault="006A0090" w:rsidP="00603708">
            <w:pPr>
              <w:pStyle w:val="Tabletext"/>
            </w:pPr>
            <w:r w:rsidRPr="003A1AA8">
              <w:t xml:space="preserve">Operation of combustion device </w:t>
            </w:r>
            <w:r w:rsidR="00BF196D" w:rsidRPr="003A1AA8">
              <w:t>h</w:t>
            </w:r>
            <w:r w:rsidRPr="003A1AA8">
              <w:t xml:space="preserve"> during hour </w:t>
            </w:r>
            <w:r w:rsidR="00603708" w:rsidRPr="003A1AA8">
              <w:t>a</w:t>
            </w:r>
          </w:p>
        </w:tc>
        <w:tc>
          <w:tcPr>
            <w:tcW w:w="1134" w:type="dxa"/>
            <w:shd w:val="clear" w:color="auto" w:fill="auto"/>
          </w:tcPr>
          <w:p w:rsidR="000745E9" w:rsidRPr="003A1AA8" w:rsidRDefault="007F177E" w:rsidP="006A0090">
            <w:pPr>
              <w:pStyle w:val="Tabletext"/>
            </w:pPr>
            <w:r w:rsidRPr="003A1AA8">
              <w:t>1 or 0</w:t>
            </w:r>
          </w:p>
        </w:tc>
        <w:tc>
          <w:tcPr>
            <w:tcW w:w="2268" w:type="dxa"/>
            <w:shd w:val="clear" w:color="auto" w:fill="auto"/>
          </w:tcPr>
          <w:p w:rsidR="0024555A" w:rsidRPr="003A1AA8" w:rsidRDefault="0024555A" w:rsidP="0024555A">
            <w:pPr>
              <w:pStyle w:val="Tabletext"/>
            </w:pPr>
            <w:r w:rsidRPr="003A1AA8">
              <w:t>If the combustion device is a flare, operation is determined for each minute using temperature measurement.</w:t>
            </w:r>
          </w:p>
          <w:p w:rsidR="0024555A" w:rsidRPr="003A1AA8" w:rsidRDefault="0024555A" w:rsidP="0024555A">
            <w:pPr>
              <w:pStyle w:val="Tabletext"/>
            </w:pPr>
            <w:r w:rsidRPr="003A1AA8">
              <w:t xml:space="preserve">If temperature is measured at 500 degrees Celsius or higher for 40 minutes or more in an hour, then </w:t>
            </w:r>
            <w:proofErr w:type="spellStart"/>
            <w:r w:rsidRPr="003A1AA8">
              <w:t>O</w:t>
            </w:r>
            <w:r w:rsidRPr="003A1AA8">
              <w:rPr>
                <w:vertAlign w:val="subscript"/>
              </w:rPr>
              <w:t>h,a</w:t>
            </w:r>
            <w:proofErr w:type="spellEnd"/>
            <w:r w:rsidRPr="003A1AA8">
              <w:t xml:space="preserve"> = 1. Otherwise </w:t>
            </w:r>
            <w:proofErr w:type="spellStart"/>
            <w:r w:rsidRPr="003A1AA8">
              <w:t>O</w:t>
            </w:r>
            <w:r w:rsidRPr="003A1AA8">
              <w:rPr>
                <w:vertAlign w:val="subscript"/>
              </w:rPr>
              <w:t>h,a</w:t>
            </w:r>
            <w:proofErr w:type="spellEnd"/>
            <w:r w:rsidRPr="003A1AA8">
              <w:t xml:space="preserve"> = 0.</w:t>
            </w:r>
          </w:p>
          <w:p w:rsidR="0024555A" w:rsidRPr="003A1AA8" w:rsidRDefault="0024555A" w:rsidP="0024555A">
            <w:pPr>
              <w:pStyle w:val="Tabletext"/>
            </w:pPr>
            <w:r w:rsidRPr="003A1AA8">
              <w:t>For all other combustion devices, operation for each minute is to be determined in accordance with manufacturer’s specifications.</w:t>
            </w:r>
          </w:p>
          <w:p w:rsidR="000745E9" w:rsidRPr="003A1AA8" w:rsidRDefault="0024555A" w:rsidP="001C2D41">
            <w:pPr>
              <w:pStyle w:val="Tabletext"/>
            </w:pPr>
            <w:r w:rsidRPr="003A1AA8">
              <w:t xml:space="preserve">If the device operates according to manufacturer’s specifications for the </w:t>
            </w:r>
            <w:r w:rsidRPr="003A1AA8">
              <w:lastRenderedPageBreak/>
              <w:t xml:space="preserve">entire hour then </w:t>
            </w:r>
            <w:proofErr w:type="spellStart"/>
            <w:r w:rsidRPr="003A1AA8">
              <w:t>O</w:t>
            </w:r>
            <w:r w:rsidRPr="003A1AA8">
              <w:rPr>
                <w:vertAlign w:val="subscript"/>
              </w:rPr>
              <w:t>h,a</w:t>
            </w:r>
            <w:proofErr w:type="spellEnd"/>
            <w:r w:rsidRPr="003A1AA8">
              <w:rPr>
                <w:vertAlign w:val="subscript"/>
              </w:rPr>
              <w:t xml:space="preserve"> </w:t>
            </w:r>
            <w:r w:rsidR="00F43FCF" w:rsidRPr="003A1AA8">
              <w:t>= 1</w:t>
            </w:r>
            <w:r w:rsidRPr="003A1AA8">
              <w:rPr>
                <w:vertAlign w:val="subscript"/>
              </w:rPr>
              <w:t>.</w:t>
            </w:r>
            <w:r w:rsidRPr="003A1AA8">
              <w:t xml:space="preserve"> Otherwise </w:t>
            </w:r>
            <w:proofErr w:type="spellStart"/>
            <w:r w:rsidRPr="003A1AA8">
              <w:t>O</w:t>
            </w:r>
            <w:r w:rsidRPr="003A1AA8">
              <w:rPr>
                <w:vertAlign w:val="subscript"/>
              </w:rPr>
              <w:t>h,a</w:t>
            </w:r>
            <w:proofErr w:type="spellEnd"/>
            <w:r w:rsidRPr="003A1AA8">
              <w:t xml:space="preserve"> = 0.</w:t>
            </w:r>
          </w:p>
          <w:p w:rsidR="001C2D41" w:rsidRPr="003A1AA8" w:rsidRDefault="001C2D41" w:rsidP="001C2D41">
            <w:pPr>
              <w:pStyle w:val="Tabletext"/>
            </w:pPr>
            <w:r w:rsidRPr="003A1AA8">
              <w:t>All measuring equipment must be used in accordance with appropriate measuring requirements</w:t>
            </w:r>
          </w:p>
        </w:tc>
        <w:tc>
          <w:tcPr>
            <w:tcW w:w="2082" w:type="dxa"/>
            <w:shd w:val="clear" w:color="auto" w:fill="auto"/>
          </w:tcPr>
          <w:p w:rsidR="000745E9" w:rsidRPr="003A1AA8" w:rsidRDefault="0024555A" w:rsidP="0024555A">
            <w:pPr>
              <w:pStyle w:val="Tabletext"/>
            </w:pPr>
            <w:r w:rsidRPr="003A1AA8">
              <w:lastRenderedPageBreak/>
              <w:t xml:space="preserve">For the purpose of calculating </w:t>
            </w:r>
            <w:proofErr w:type="spellStart"/>
            <w:r w:rsidRPr="003A1AA8">
              <w:t>M</w:t>
            </w:r>
            <w:r w:rsidRPr="003A1AA8">
              <w:rPr>
                <w:vertAlign w:val="subscript"/>
              </w:rPr>
              <w:t>com,h</w:t>
            </w:r>
            <w:proofErr w:type="spellEnd"/>
            <w:r w:rsidRPr="003A1AA8">
              <w:t xml:space="preserve"> in equation 7 (above), the value of </w:t>
            </w:r>
            <w:proofErr w:type="spellStart"/>
            <w:r w:rsidRPr="003A1AA8">
              <w:t>O</w:t>
            </w:r>
            <w:r w:rsidRPr="003A1AA8">
              <w:rPr>
                <w:vertAlign w:val="subscript"/>
              </w:rPr>
              <w:t>h,a</w:t>
            </w:r>
            <w:proofErr w:type="spellEnd"/>
            <w:r w:rsidRPr="003A1AA8">
              <w:t xml:space="preserve"> determined for an hour based on </w:t>
            </w:r>
            <w:r w:rsidR="000B3722" w:rsidRPr="003A1AA8">
              <w:t xml:space="preserve">the </w:t>
            </w:r>
            <w:r w:rsidRPr="003A1AA8">
              <w:t xml:space="preserve">operation of the combustion device must be paired to </w:t>
            </w:r>
            <w:r w:rsidR="000B3722" w:rsidRPr="003A1AA8">
              <w:t xml:space="preserve">the </w:t>
            </w:r>
            <w:r w:rsidRPr="003A1AA8">
              <w:t xml:space="preserve">cumulative value of </w:t>
            </w:r>
            <w:proofErr w:type="spellStart"/>
            <w:r w:rsidRPr="003A1AA8">
              <w:t>M</w:t>
            </w:r>
            <w:r w:rsidRPr="003A1AA8">
              <w:rPr>
                <w:vertAlign w:val="subscript"/>
              </w:rPr>
              <w:t>sent,h</w:t>
            </w:r>
            <w:proofErr w:type="spellEnd"/>
            <w:r w:rsidR="00792C14" w:rsidRPr="003A1AA8">
              <w:t xml:space="preserve"> for the same hour</w:t>
            </w:r>
          </w:p>
        </w:tc>
      </w:tr>
      <w:tr w:rsidR="00484021" w:rsidRPr="003A1AA8" w:rsidTr="00484021">
        <w:tc>
          <w:tcPr>
            <w:tcW w:w="279" w:type="dxa"/>
            <w:shd w:val="clear" w:color="auto" w:fill="auto"/>
          </w:tcPr>
          <w:p w:rsidR="000745E9" w:rsidRPr="003A1AA8" w:rsidRDefault="000745E9" w:rsidP="000745E9">
            <w:pPr>
              <w:pStyle w:val="Tabletext"/>
            </w:pPr>
            <w:r w:rsidRPr="003A1AA8">
              <w:lastRenderedPageBreak/>
              <w:t>3</w:t>
            </w:r>
          </w:p>
        </w:tc>
        <w:tc>
          <w:tcPr>
            <w:tcW w:w="1276" w:type="dxa"/>
            <w:shd w:val="clear" w:color="auto" w:fill="auto"/>
          </w:tcPr>
          <w:p w:rsidR="000745E9" w:rsidRPr="003A1AA8" w:rsidRDefault="0024555A" w:rsidP="000745E9">
            <w:pPr>
              <w:pStyle w:val="Tabletext"/>
            </w:pPr>
            <w:proofErr w:type="spellStart"/>
            <w:r w:rsidRPr="003A1AA8">
              <w:t>Q</w:t>
            </w:r>
            <w:r w:rsidRPr="003A1AA8">
              <w:rPr>
                <w:vertAlign w:val="subscript"/>
              </w:rPr>
              <w:t>LFG,h</w:t>
            </w:r>
            <w:proofErr w:type="spellEnd"/>
          </w:p>
        </w:tc>
        <w:tc>
          <w:tcPr>
            <w:tcW w:w="1275" w:type="dxa"/>
            <w:shd w:val="clear" w:color="auto" w:fill="auto"/>
          </w:tcPr>
          <w:p w:rsidR="000745E9" w:rsidRPr="003A1AA8" w:rsidRDefault="0024555A" w:rsidP="00BF196D">
            <w:pPr>
              <w:pStyle w:val="Tabletext"/>
            </w:pPr>
            <w:r w:rsidRPr="003A1AA8">
              <w:t xml:space="preserve">Landfill gas sent to combustion device </w:t>
            </w:r>
            <w:r w:rsidR="00BF196D" w:rsidRPr="003A1AA8">
              <w:t>h</w:t>
            </w:r>
          </w:p>
        </w:tc>
        <w:tc>
          <w:tcPr>
            <w:tcW w:w="1134" w:type="dxa"/>
            <w:shd w:val="clear" w:color="auto" w:fill="auto"/>
          </w:tcPr>
          <w:p w:rsidR="000745E9" w:rsidRPr="003A1AA8" w:rsidRDefault="00AE2A6F" w:rsidP="00AE2A6F">
            <w:pPr>
              <w:pStyle w:val="Tabletext"/>
            </w:pPr>
            <w:r w:rsidRPr="003A1AA8">
              <w:t>Cubic metres</w:t>
            </w:r>
          </w:p>
        </w:tc>
        <w:tc>
          <w:tcPr>
            <w:tcW w:w="2268" w:type="dxa"/>
            <w:shd w:val="clear" w:color="auto" w:fill="auto"/>
          </w:tcPr>
          <w:p w:rsidR="000745E9" w:rsidRPr="003A1AA8" w:rsidRDefault="0024555A" w:rsidP="0024555A">
            <w:pPr>
              <w:pStyle w:val="Tabletext"/>
            </w:pPr>
            <w:r w:rsidRPr="003A1AA8">
              <w:t>Estimated under Division</w:t>
            </w:r>
            <w:r w:rsidR="003A1AA8" w:rsidRPr="003A1AA8">
              <w:t> </w:t>
            </w:r>
            <w:r w:rsidRPr="003A1AA8">
              <w:t xml:space="preserve">2.3.6 of the </w:t>
            </w:r>
            <w:proofErr w:type="spellStart"/>
            <w:r w:rsidRPr="003A1AA8">
              <w:t>NGER</w:t>
            </w:r>
            <w:proofErr w:type="spellEnd"/>
            <w:r w:rsidRPr="003A1AA8">
              <w:t xml:space="preserve"> (Measurement) Determination</w:t>
            </w:r>
            <w:r w:rsidR="005F2889" w:rsidRPr="003A1AA8">
              <w:t xml:space="preserve"> using measurement criteria </w:t>
            </w:r>
            <w:proofErr w:type="spellStart"/>
            <w:r w:rsidR="005F2889" w:rsidRPr="003A1AA8">
              <w:t>AAA</w:t>
            </w:r>
            <w:proofErr w:type="spellEnd"/>
            <w:r w:rsidR="005F2889" w:rsidRPr="003A1AA8">
              <w:t>.</w:t>
            </w:r>
          </w:p>
          <w:p w:rsidR="005F2889" w:rsidRPr="003A1AA8" w:rsidRDefault="00C14784" w:rsidP="00C14784">
            <w:pPr>
              <w:pStyle w:val="Tabletext"/>
            </w:pPr>
            <w:r w:rsidRPr="003A1AA8">
              <w:t>Frequency—</w:t>
            </w:r>
            <w:r w:rsidR="005F2889" w:rsidRPr="003A1AA8">
              <w:t>continuously</w:t>
            </w:r>
          </w:p>
        </w:tc>
        <w:tc>
          <w:tcPr>
            <w:tcW w:w="2082" w:type="dxa"/>
            <w:shd w:val="clear" w:color="auto" w:fill="auto"/>
          </w:tcPr>
          <w:p w:rsidR="005F2889" w:rsidRPr="003A1AA8" w:rsidRDefault="005F2889" w:rsidP="00AB33A3">
            <w:pPr>
              <w:pStyle w:val="Tabletext"/>
            </w:pPr>
            <w:r w:rsidRPr="003A1AA8">
              <w:t xml:space="preserve">For equation 7, cumulative values for a time interval not greater than 1 hour must be paired to measurements of </w:t>
            </w:r>
            <w:proofErr w:type="spellStart"/>
            <w:r w:rsidRPr="003A1AA8">
              <w:t>W</w:t>
            </w:r>
            <w:r w:rsidRPr="003A1AA8">
              <w:rPr>
                <w:vertAlign w:val="subscript"/>
              </w:rPr>
              <w:t>LFG,CH</w:t>
            </w:r>
            <w:proofErr w:type="spellEnd"/>
            <w:r w:rsidRPr="003A1AA8">
              <w:rPr>
                <w:position w:val="-6"/>
                <w:vertAlign w:val="subscript"/>
              </w:rPr>
              <w:t>4</w:t>
            </w:r>
            <w:r w:rsidRPr="003A1AA8">
              <w:t xml:space="preserve"> for the time interval.</w:t>
            </w:r>
          </w:p>
          <w:p w:rsidR="000745E9" w:rsidRPr="003A1AA8" w:rsidRDefault="005F2889" w:rsidP="00AB33A3">
            <w:pPr>
              <w:pStyle w:val="Tabletext"/>
            </w:pPr>
            <w:r w:rsidRPr="003A1AA8">
              <w:t xml:space="preserve">Otherwise, the measurements must be paired to measurements of </w:t>
            </w:r>
            <w:proofErr w:type="spellStart"/>
            <w:r w:rsidRPr="003A1AA8">
              <w:t>W</w:t>
            </w:r>
            <w:r w:rsidRPr="003A1AA8">
              <w:rPr>
                <w:vertAlign w:val="subscript"/>
              </w:rPr>
              <w:t>LFG,CH</w:t>
            </w:r>
            <w:proofErr w:type="spellEnd"/>
            <w:r w:rsidRPr="003A1AA8">
              <w:rPr>
                <w:position w:val="-6"/>
                <w:vertAlign w:val="subscript"/>
              </w:rPr>
              <w:t>4</w:t>
            </w:r>
            <w:r w:rsidRPr="003A1AA8">
              <w:t xml:space="preserve"> for the same measurement interval</w:t>
            </w:r>
          </w:p>
        </w:tc>
      </w:tr>
      <w:tr w:rsidR="00484021" w:rsidRPr="003A1AA8" w:rsidTr="00484021">
        <w:tc>
          <w:tcPr>
            <w:tcW w:w="279" w:type="dxa"/>
            <w:tcBorders>
              <w:bottom w:val="single" w:sz="4" w:space="0" w:color="auto"/>
            </w:tcBorders>
            <w:shd w:val="clear" w:color="auto" w:fill="auto"/>
          </w:tcPr>
          <w:p w:rsidR="000745E9" w:rsidRPr="003A1AA8" w:rsidRDefault="000745E9" w:rsidP="000745E9">
            <w:pPr>
              <w:pStyle w:val="Tabletext"/>
            </w:pPr>
            <w:r w:rsidRPr="003A1AA8">
              <w:t>4</w:t>
            </w:r>
          </w:p>
        </w:tc>
        <w:tc>
          <w:tcPr>
            <w:tcW w:w="1276" w:type="dxa"/>
            <w:tcBorders>
              <w:bottom w:val="single" w:sz="4" w:space="0" w:color="auto"/>
            </w:tcBorders>
            <w:shd w:val="clear" w:color="auto" w:fill="auto"/>
          </w:tcPr>
          <w:p w:rsidR="000745E9" w:rsidRPr="003A1AA8" w:rsidRDefault="0024555A" w:rsidP="005F2889">
            <w:pPr>
              <w:pStyle w:val="Tabletext"/>
            </w:pPr>
            <w:proofErr w:type="spellStart"/>
            <w:r w:rsidRPr="003A1AA8">
              <w:t>Q</w:t>
            </w:r>
            <w:r w:rsidR="005F2889" w:rsidRPr="003A1AA8">
              <w:rPr>
                <w:vertAlign w:val="subscript"/>
              </w:rPr>
              <w:t>EG</w:t>
            </w:r>
            <w:r w:rsidRPr="003A1AA8">
              <w:rPr>
                <w:vertAlign w:val="subscript"/>
              </w:rPr>
              <w:t>,h</w:t>
            </w:r>
            <w:proofErr w:type="spellEnd"/>
          </w:p>
        </w:tc>
        <w:tc>
          <w:tcPr>
            <w:tcW w:w="1275" w:type="dxa"/>
            <w:tcBorders>
              <w:bottom w:val="single" w:sz="4" w:space="0" w:color="auto"/>
            </w:tcBorders>
            <w:shd w:val="clear" w:color="auto" w:fill="auto"/>
          </w:tcPr>
          <w:p w:rsidR="000745E9" w:rsidRPr="003A1AA8" w:rsidRDefault="0024555A" w:rsidP="00BF196D">
            <w:pPr>
              <w:pStyle w:val="Tabletext"/>
            </w:pPr>
            <w:r w:rsidRPr="003A1AA8">
              <w:t>Electricity (supplied to the grid or used on</w:t>
            </w:r>
            <w:r w:rsidR="003A1AA8">
              <w:noBreakHyphen/>
            </w:r>
            <w:r w:rsidRPr="003A1AA8">
              <w:t xml:space="preserve">site) generated by internal combustion engine </w:t>
            </w:r>
            <w:r w:rsidR="00BF196D" w:rsidRPr="003A1AA8">
              <w:t>h</w:t>
            </w:r>
          </w:p>
        </w:tc>
        <w:tc>
          <w:tcPr>
            <w:tcW w:w="1134" w:type="dxa"/>
            <w:tcBorders>
              <w:bottom w:val="single" w:sz="4" w:space="0" w:color="auto"/>
            </w:tcBorders>
            <w:shd w:val="clear" w:color="auto" w:fill="auto"/>
          </w:tcPr>
          <w:p w:rsidR="000745E9" w:rsidRPr="003A1AA8" w:rsidRDefault="00AE2A6F" w:rsidP="00AE2A6F">
            <w:pPr>
              <w:pStyle w:val="Tabletext"/>
            </w:pPr>
            <w:r w:rsidRPr="003A1AA8">
              <w:t>Megawatt hour</w:t>
            </w:r>
          </w:p>
        </w:tc>
        <w:tc>
          <w:tcPr>
            <w:tcW w:w="2268" w:type="dxa"/>
            <w:tcBorders>
              <w:bottom w:val="single" w:sz="4" w:space="0" w:color="auto"/>
            </w:tcBorders>
            <w:shd w:val="clear" w:color="auto" w:fill="auto"/>
          </w:tcPr>
          <w:p w:rsidR="000745E9" w:rsidRPr="003A1AA8" w:rsidRDefault="00484021" w:rsidP="00AB33A3">
            <w:pPr>
              <w:pStyle w:val="Tabletext"/>
            </w:pPr>
            <w:r w:rsidRPr="003A1AA8">
              <w:t xml:space="preserve">Estimated under </w:t>
            </w:r>
            <w:r w:rsidR="00AB33A3" w:rsidRPr="003A1AA8">
              <w:t>Part</w:t>
            </w:r>
            <w:r w:rsidR="003A1AA8" w:rsidRPr="003A1AA8">
              <w:t> </w:t>
            </w:r>
            <w:r w:rsidRPr="003A1AA8">
              <w:t>6</w:t>
            </w:r>
            <w:r w:rsidR="00AB33A3" w:rsidRPr="003A1AA8">
              <w:t>.1</w:t>
            </w:r>
            <w:r w:rsidRPr="003A1AA8">
              <w:t xml:space="preserve"> of the </w:t>
            </w:r>
            <w:proofErr w:type="spellStart"/>
            <w:r w:rsidRPr="003A1AA8">
              <w:t>NGER</w:t>
            </w:r>
            <w:proofErr w:type="spellEnd"/>
            <w:r w:rsidRPr="003A1AA8">
              <w:t xml:space="preserve"> (Measurement) Determination</w:t>
            </w:r>
            <w:r w:rsidR="005F2889" w:rsidRPr="003A1AA8">
              <w:t>.</w:t>
            </w:r>
          </w:p>
          <w:p w:rsidR="005F2889" w:rsidRPr="003A1AA8" w:rsidRDefault="005F2889" w:rsidP="00AB33A3">
            <w:pPr>
              <w:pStyle w:val="Tabletext"/>
            </w:pPr>
            <w:r w:rsidRPr="003A1AA8">
              <w:t>Measure only the electricity produced from the combustion of landfill gas (not from the combustion of other fuel types</w:t>
            </w:r>
            <w:r w:rsidR="000C6E2A" w:rsidRPr="003A1AA8">
              <w:t>)</w:t>
            </w:r>
          </w:p>
        </w:tc>
        <w:tc>
          <w:tcPr>
            <w:tcW w:w="2082" w:type="dxa"/>
            <w:tcBorders>
              <w:bottom w:val="single" w:sz="4" w:space="0" w:color="auto"/>
            </w:tcBorders>
            <w:shd w:val="clear" w:color="auto" w:fill="auto"/>
          </w:tcPr>
          <w:p w:rsidR="000745E9" w:rsidRPr="003A1AA8" w:rsidRDefault="00484021" w:rsidP="000745E9">
            <w:pPr>
              <w:pStyle w:val="Tabletext"/>
            </w:pPr>
            <w:r w:rsidRPr="003A1AA8">
              <w:t>Cumulative value for the reporting period</w:t>
            </w:r>
          </w:p>
        </w:tc>
      </w:tr>
      <w:tr w:rsidR="00484021" w:rsidRPr="003A1AA8" w:rsidTr="00484021">
        <w:tc>
          <w:tcPr>
            <w:tcW w:w="279" w:type="dxa"/>
            <w:tcBorders>
              <w:bottom w:val="single" w:sz="12" w:space="0" w:color="auto"/>
            </w:tcBorders>
            <w:shd w:val="clear" w:color="auto" w:fill="auto"/>
          </w:tcPr>
          <w:p w:rsidR="000745E9" w:rsidRPr="003A1AA8" w:rsidRDefault="000745E9" w:rsidP="000745E9">
            <w:pPr>
              <w:pStyle w:val="Tabletext"/>
            </w:pPr>
            <w:r w:rsidRPr="003A1AA8">
              <w:t>5</w:t>
            </w:r>
          </w:p>
        </w:tc>
        <w:tc>
          <w:tcPr>
            <w:tcW w:w="1276" w:type="dxa"/>
            <w:tcBorders>
              <w:bottom w:val="single" w:sz="12" w:space="0" w:color="auto"/>
            </w:tcBorders>
            <w:shd w:val="clear" w:color="auto" w:fill="auto"/>
          </w:tcPr>
          <w:p w:rsidR="000745E9" w:rsidRPr="003A1AA8" w:rsidRDefault="00484021" w:rsidP="000745E9">
            <w:pPr>
              <w:pStyle w:val="Tabletext"/>
            </w:pPr>
            <w:proofErr w:type="spellStart"/>
            <w:r w:rsidRPr="003A1AA8">
              <w:t>W</w:t>
            </w:r>
            <w:r w:rsidRPr="003A1AA8">
              <w:rPr>
                <w:vertAlign w:val="subscript"/>
              </w:rPr>
              <w:t>LFG,CH</w:t>
            </w:r>
            <w:proofErr w:type="spellEnd"/>
            <w:r w:rsidRPr="003A1AA8">
              <w:rPr>
                <w:position w:val="-6"/>
                <w:vertAlign w:val="subscript"/>
              </w:rPr>
              <w:t>4</w:t>
            </w:r>
          </w:p>
        </w:tc>
        <w:tc>
          <w:tcPr>
            <w:tcW w:w="1275" w:type="dxa"/>
            <w:tcBorders>
              <w:bottom w:val="single" w:sz="12" w:space="0" w:color="auto"/>
            </w:tcBorders>
            <w:shd w:val="clear" w:color="auto" w:fill="auto"/>
          </w:tcPr>
          <w:p w:rsidR="000745E9" w:rsidRPr="003A1AA8" w:rsidRDefault="00484021" w:rsidP="000745E9">
            <w:pPr>
              <w:pStyle w:val="Tabletext"/>
            </w:pPr>
            <w:r w:rsidRPr="003A1AA8">
              <w:t>Fraction of the volume of landfill gas that is methane</w:t>
            </w:r>
          </w:p>
        </w:tc>
        <w:tc>
          <w:tcPr>
            <w:tcW w:w="1134" w:type="dxa"/>
            <w:tcBorders>
              <w:bottom w:val="single" w:sz="12" w:space="0" w:color="auto"/>
            </w:tcBorders>
            <w:shd w:val="clear" w:color="auto" w:fill="auto"/>
          </w:tcPr>
          <w:p w:rsidR="000745E9" w:rsidRPr="003A1AA8" w:rsidRDefault="00D0034E" w:rsidP="000745E9">
            <w:pPr>
              <w:pStyle w:val="Tabletext"/>
            </w:pPr>
            <w:r w:rsidRPr="003A1AA8">
              <w:t>Fraction</w:t>
            </w:r>
          </w:p>
        </w:tc>
        <w:tc>
          <w:tcPr>
            <w:tcW w:w="2268" w:type="dxa"/>
            <w:tcBorders>
              <w:bottom w:val="single" w:sz="12" w:space="0" w:color="auto"/>
            </w:tcBorders>
            <w:shd w:val="clear" w:color="auto" w:fill="auto"/>
          </w:tcPr>
          <w:p w:rsidR="000745E9" w:rsidRPr="003A1AA8" w:rsidRDefault="00484021" w:rsidP="000745E9">
            <w:pPr>
              <w:pStyle w:val="Tabletext"/>
            </w:pPr>
            <w:r w:rsidRPr="003A1AA8">
              <w:t>Estimated under Division</w:t>
            </w:r>
            <w:r w:rsidR="003A1AA8" w:rsidRPr="003A1AA8">
              <w:t> </w:t>
            </w:r>
            <w:r w:rsidRPr="003A1AA8">
              <w:t xml:space="preserve">2.3.6 of the </w:t>
            </w:r>
            <w:proofErr w:type="spellStart"/>
            <w:r w:rsidRPr="003A1AA8">
              <w:t>NGER</w:t>
            </w:r>
            <w:proofErr w:type="spellEnd"/>
            <w:r w:rsidRPr="003A1AA8">
              <w:t xml:space="preserve"> (Measurement) Determination</w:t>
            </w:r>
            <w:r w:rsidR="00C14784" w:rsidRPr="003A1AA8">
              <w:t>.</w:t>
            </w:r>
          </w:p>
          <w:p w:rsidR="00AB33A3" w:rsidRPr="003A1AA8" w:rsidRDefault="00C14784" w:rsidP="000745E9">
            <w:pPr>
              <w:pStyle w:val="Tabletext"/>
            </w:pPr>
            <w:r w:rsidRPr="003A1AA8">
              <w:t>Frequency—continuously</w:t>
            </w:r>
            <w:r w:rsidR="000C6E2A" w:rsidRPr="003A1AA8">
              <w:t>.</w:t>
            </w:r>
          </w:p>
          <w:p w:rsidR="000C6E2A" w:rsidRPr="003A1AA8" w:rsidRDefault="000C6E2A" w:rsidP="000745E9">
            <w:pPr>
              <w:pStyle w:val="Tabletext"/>
            </w:pPr>
            <w:r w:rsidRPr="003A1AA8">
              <w:t xml:space="preserve">Measured at the same conditions as </w:t>
            </w:r>
            <w:proofErr w:type="spellStart"/>
            <w:r w:rsidRPr="003A1AA8">
              <w:t>Q</w:t>
            </w:r>
            <w:r w:rsidRPr="003A1AA8">
              <w:rPr>
                <w:vertAlign w:val="subscript"/>
              </w:rPr>
              <w:t>LFG,h</w:t>
            </w:r>
            <w:proofErr w:type="spellEnd"/>
          </w:p>
        </w:tc>
        <w:tc>
          <w:tcPr>
            <w:tcW w:w="2082" w:type="dxa"/>
            <w:tcBorders>
              <w:bottom w:val="single" w:sz="12" w:space="0" w:color="auto"/>
            </w:tcBorders>
            <w:shd w:val="clear" w:color="auto" w:fill="auto"/>
          </w:tcPr>
          <w:p w:rsidR="000745E9" w:rsidRPr="003A1AA8" w:rsidRDefault="000C6E2A" w:rsidP="000C6E2A">
            <w:pPr>
              <w:pStyle w:val="Tabletext"/>
            </w:pPr>
            <w:r w:rsidRPr="003A1AA8">
              <w:t>For the purpose of equation 7</w:t>
            </w:r>
            <w:r w:rsidR="00484021" w:rsidRPr="003A1AA8">
              <w:t>, average val</w:t>
            </w:r>
            <w:r w:rsidR="000B3722" w:rsidRPr="003A1AA8">
              <w:t>u</w:t>
            </w:r>
            <w:r w:rsidR="00484021" w:rsidRPr="003A1AA8">
              <w:t xml:space="preserve">es for a time interval not greater than </w:t>
            </w:r>
            <w:r w:rsidR="000B3722" w:rsidRPr="003A1AA8">
              <w:t>1</w:t>
            </w:r>
            <w:r w:rsidR="00484021" w:rsidRPr="003A1AA8">
              <w:t xml:space="preserve"> hour must be paired to measurements of </w:t>
            </w:r>
            <w:proofErr w:type="spellStart"/>
            <w:r w:rsidR="00484021" w:rsidRPr="003A1AA8">
              <w:t>Q</w:t>
            </w:r>
            <w:r w:rsidR="00484021" w:rsidRPr="003A1AA8">
              <w:rPr>
                <w:vertAlign w:val="subscript"/>
              </w:rPr>
              <w:t>LFG,h</w:t>
            </w:r>
            <w:proofErr w:type="spellEnd"/>
            <w:r w:rsidR="00792C14" w:rsidRPr="003A1AA8">
              <w:t xml:space="preserve"> for the </w:t>
            </w:r>
            <w:r w:rsidRPr="003A1AA8">
              <w:t>time</w:t>
            </w:r>
            <w:r w:rsidR="00792C14" w:rsidRPr="003A1AA8">
              <w:t xml:space="preserve"> interval</w:t>
            </w:r>
            <w:r w:rsidRPr="003A1AA8">
              <w:t>.</w:t>
            </w:r>
          </w:p>
          <w:p w:rsidR="000C6E2A" w:rsidRPr="003A1AA8" w:rsidRDefault="000C6E2A" w:rsidP="000C6E2A">
            <w:pPr>
              <w:pStyle w:val="Tabletext"/>
            </w:pPr>
            <w:r w:rsidRPr="003A1AA8">
              <w:t xml:space="preserve">Otherwise, the measurements must be paired to measurements of </w:t>
            </w:r>
            <w:proofErr w:type="spellStart"/>
            <w:r w:rsidR="00A76A95" w:rsidRPr="003A1AA8">
              <w:t>Q</w:t>
            </w:r>
            <w:r w:rsidR="00A76A95" w:rsidRPr="003A1AA8">
              <w:rPr>
                <w:vertAlign w:val="subscript"/>
              </w:rPr>
              <w:t>LFG,h</w:t>
            </w:r>
            <w:proofErr w:type="spellEnd"/>
            <w:r w:rsidR="00A76A95" w:rsidRPr="003A1AA8">
              <w:t xml:space="preserve"> </w:t>
            </w:r>
            <w:r w:rsidRPr="003A1AA8">
              <w:t>for the same measurement interval</w:t>
            </w:r>
          </w:p>
        </w:tc>
      </w:tr>
    </w:tbl>
    <w:p w:rsidR="000745E9" w:rsidRPr="003A1AA8" w:rsidRDefault="000745E9" w:rsidP="000745E9">
      <w:pPr>
        <w:pStyle w:val="Tabletext"/>
      </w:pPr>
    </w:p>
    <w:p w:rsidR="00E351F7" w:rsidRPr="003A1AA8" w:rsidRDefault="00E351F7" w:rsidP="00E351F7">
      <w:pPr>
        <w:pStyle w:val="subsection"/>
      </w:pPr>
      <w:r w:rsidRPr="003A1AA8">
        <w:lastRenderedPageBreak/>
        <w:tab/>
        <w:t>(2)</w:t>
      </w:r>
      <w:r w:rsidRPr="003A1AA8">
        <w:tab/>
        <w:t>Any equipment or device used to monitor a parameter must be calibrated by an accredited third party technician at intervals, and using methods, that are in accordance with the manufacturer’s specifications.</w:t>
      </w:r>
    </w:p>
    <w:p w:rsidR="00E351F7" w:rsidRPr="003A1AA8" w:rsidRDefault="007E520B" w:rsidP="00E351F7">
      <w:pPr>
        <w:pStyle w:val="subsection"/>
      </w:pPr>
      <w:r w:rsidRPr="003A1AA8">
        <w:tab/>
        <w:t>(</w:t>
      </w:r>
      <w:r w:rsidR="00E75317" w:rsidRPr="003A1AA8">
        <w:t>3</w:t>
      </w:r>
      <w:r w:rsidR="00E351F7" w:rsidRPr="003A1AA8">
        <w:t>)</w:t>
      </w:r>
      <w:r w:rsidR="00E351F7" w:rsidRPr="003A1AA8">
        <w:tab/>
        <w:t>In this section:</w:t>
      </w:r>
    </w:p>
    <w:p w:rsidR="00E351F7" w:rsidRPr="003A1AA8" w:rsidRDefault="00E351F7" w:rsidP="00E351F7">
      <w:pPr>
        <w:pStyle w:val="Definition"/>
      </w:pPr>
      <w:r w:rsidRPr="003A1AA8">
        <w:rPr>
          <w:b/>
          <w:i/>
        </w:rPr>
        <w:t>appropriate measuring requirements</w:t>
      </w:r>
      <w:r w:rsidRPr="003A1AA8">
        <w:t>, in relation to a measurement or estimate, means requirements that are consistent with:</w:t>
      </w:r>
    </w:p>
    <w:p w:rsidR="00E351F7" w:rsidRPr="003A1AA8" w:rsidRDefault="00E351F7" w:rsidP="00E351F7">
      <w:pPr>
        <w:pStyle w:val="paragraph"/>
      </w:pPr>
      <w:r w:rsidRPr="003A1AA8">
        <w:tab/>
        <w:t>(a)</w:t>
      </w:r>
      <w:r w:rsidRPr="003A1AA8">
        <w:tab/>
        <w:t xml:space="preserve">requirements that apply in relation to similar measurements or estimates under the </w:t>
      </w:r>
      <w:proofErr w:type="spellStart"/>
      <w:r w:rsidRPr="003A1AA8">
        <w:t>NGER</w:t>
      </w:r>
      <w:proofErr w:type="spellEnd"/>
      <w:r w:rsidRPr="003A1AA8">
        <w:t xml:space="preserve"> (Measurement) Determination; or</w:t>
      </w:r>
    </w:p>
    <w:p w:rsidR="00E351F7" w:rsidRPr="003A1AA8" w:rsidRDefault="00E351F7" w:rsidP="00E351F7">
      <w:pPr>
        <w:pStyle w:val="paragraph"/>
      </w:pPr>
      <w:r w:rsidRPr="003A1AA8">
        <w:tab/>
        <w:t>(b)</w:t>
      </w:r>
      <w:r w:rsidRPr="003A1AA8">
        <w:tab/>
        <w:t xml:space="preserve">relevant standards and other requirements under the </w:t>
      </w:r>
      <w:r w:rsidRPr="003A1AA8">
        <w:rPr>
          <w:i/>
        </w:rPr>
        <w:t>National Measurement Act 1960</w:t>
      </w:r>
      <w:r w:rsidRPr="003A1AA8">
        <w:t>.</w:t>
      </w:r>
    </w:p>
    <w:p w:rsidR="00E351F7" w:rsidRPr="003A1AA8" w:rsidRDefault="006B1D9F" w:rsidP="00E351F7">
      <w:pPr>
        <w:pStyle w:val="ActHead5"/>
      </w:pPr>
      <w:bookmarkStart w:id="72" w:name="_Toc407104180"/>
      <w:r w:rsidRPr="003A1AA8">
        <w:rPr>
          <w:rStyle w:val="CharSectno"/>
        </w:rPr>
        <w:t>34</w:t>
      </w:r>
      <w:r w:rsidR="00E351F7" w:rsidRPr="003A1AA8">
        <w:t xml:space="preserve">  Consequences of not meeting requirement to monitor certain parameters</w:t>
      </w:r>
      <w:bookmarkEnd w:id="72"/>
    </w:p>
    <w:p w:rsidR="00E351F7" w:rsidRPr="003A1AA8" w:rsidRDefault="00E351F7" w:rsidP="00E351F7">
      <w:pPr>
        <w:pStyle w:val="subsection"/>
      </w:pPr>
      <w:r w:rsidRPr="003A1AA8">
        <w:tab/>
        <w:t>(1)</w:t>
      </w:r>
      <w:r w:rsidRPr="003A1AA8">
        <w:tab/>
        <w:t xml:space="preserve">If, during a particular period (the </w:t>
      </w:r>
      <w:r w:rsidRPr="003A1AA8">
        <w:rPr>
          <w:b/>
          <w:i/>
        </w:rPr>
        <w:t>non</w:t>
      </w:r>
      <w:r w:rsidR="003A1AA8">
        <w:rPr>
          <w:b/>
          <w:i/>
        </w:rPr>
        <w:noBreakHyphen/>
      </w:r>
      <w:r w:rsidRPr="003A1AA8">
        <w:rPr>
          <w:b/>
          <w:i/>
        </w:rPr>
        <w:t>monitored period</w:t>
      </w:r>
      <w:r w:rsidRPr="003A1AA8">
        <w:t xml:space="preserve">) in a reporting period, a project proponent for a landfill gas project fails to monitor a parameter </w:t>
      </w:r>
      <w:r w:rsidR="004E6641" w:rsidRPr="003A1AA8">
        <w:t xml:space="preserve">mentioned in the following table </w:t>
      </w:r>
      <w:r w:rsidRPr="003A1AA8">
        <w:t xml:space="preserve">as required by </w:t>
      </w:r>
      <w:r w:rsidR="00972946" w:rsidRPr="003A1AA8">
        <w:t xml:space="preserve">the </w:t>
      </w:r>
      <w:r w:rsidR="00886532" w:rsidRPr="003A1AA8">
        <w:t>monitoring requirements</w:t>
      </w:r>
      <w:r w:rsidRPr="003A1AA8">
        <w:t>, the value of the parameter for the purpose of working out the net abatement amount for the reporting period is to be determined for the non</w:t>
      </w:r>
      <w:r w:rsidR="003A1AA8">
        <w:noBreakHyphen/>
      </w:r>
      <w:r w:rsidRPr="003A1AA8">
        <w:t>monitored period in accordance with the table.</w:t>
      </w:r>
    </w:p>
    <w:p w:rsidR="00E351F7" w:rsidRPr="003A1AA8" w:rsidRDefault="00E351F7" w:rsidP="00E351F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4631"/>
      </w:tblGrid>
      <w:tr w:rsidR="00E351F7" w:rsidRPr="003A1AA8" w:rsidTr="0021218C">
        <w:trPr>
          <w:tblHeader/>
        </w:trPr>
        <w:tc>
          <w:tcPr>
            <w:tcW w:w="8312" w:type="dxa"/>
            <w:gridSpan w:val="3"/>
            <w:tcBorders>
              <w:top w:val="single" w:sz="12" w:space="0" w:color="auto"/>
              <w:bottom w:val="single" w:sz="6" w:space="0" w:color="auto"/>
            </w:tcBorders>
            <w:shd w:val="clear" w:color="auto" w:fill="auto"/>
          </w:tcPr>
          <w:p w:rsidR="00E351F7" w:rsidRPr="003A1AA8" w:rsidRDefault="00E351F7" w:rsidP="0021218C">
            <w:pPr>
              <w:pStyle w:val="TableHeading"/>
            </w:pPr>
            <w:r w:rsidRPr="003A1AA8">
              <w:t>Consequence of not meeting requirement to monitor certain parameters</w:t>
            </w:r>
          </w:p>
        </w:tc>
      </w:tr>
      <w:tr w:rsidR="00E351F7" w:rsidRPr="003A1AA8" w:rsidTr="0021218C">
        <w:trPr>
          <w:tblHeader/>
        </w:trPr>
        <w:tc>
          <w:tcPr>
            <w:tcW w:w="714" w:type="dxa"/>
            <w:tcBorders>
              <w:top w:val="single" w:sz="6" w:space="0" w:color="auto"/>
              <w:bottom w:val="single" w:sz="12" w:space="0" w:color="auto"/>
            </w:tcBorders>
            <w:shd w:val="clear" w:color="auto" w:fill="auto"/>
          </w:tcPr>
          <w:p w:rsidR="00E351F7" w:rsidRPr="003A1AA8" w:rsidRDefault="00E351F7" w:rsidP="0021218C">
            <w:pPr>
              <w:pStyle w:val="TableHeading"/>
            </w:pPr>
            <w:r w:rsidRPr="003A1AA8">
              <w:t>Item</w:t>
            </w:r>
          </w:p>
        </w:tc>
        <w:tc>
          <w:tcPr>
            <w:tcW w:w="2967" w:type="dxa"/>
            <w:tcBorders>
              <w:top w:val="single" w:sz="6" w:space="0" w:color="auto"/>
              <w:bottom w:val="single" w:sz="12" w:space="0" w:color="auto"/>
            </w:tcBorders>
            <w:shd w:val="clear" w:color="auto" w:fill="auto"/>
          </w:tcPr>
          <w:p w:rsidR="00E351F7" w:rsidRPr="003A1AA8" w:rsidRDefault="00E351F7" w:rsidP="0021218C">
            <w:pPr>
              <w:pStyle w:val="TableHeading"/>
            </w:pPr>
            <w:r w:rsidRPr="003A1AA8">
              <w:t>Parameter</w:t>
            </w:r>
          </w:p>
        </w:tc>
        <w:tc>
          <w:tcPr>
            <w:tcW w:w="4631" w:type="dxa"/>
            <w:tcBorders>
              <w:top w:val="single" w:sz="6" w:space="0" w:color="auto"/>
              <w:bottom w:val="single" w:sz="12" w:space="0" w:color="auto"/>
            </w:tcBorders>
            <w:shd w:val="clear" w:color="auto" w:fill="auto"/>
          </w:tcPr>
          <w:p w:rsidR="00E351F7" w:rsidRPr="003A1AA8" w:rsidRDefault="00E351F7" w:rsidP="0021218C">
            <w:pPr>
              <w:pStyle w:val="TableHeading"/>
            </w:pPr>
            <w:r w:rsidRPr="003A1AA8">
              <w:t>Determination of parameter for non</w:t>
            </w:r>
            <w:r w:rsidR="003A1AA8">
              <w:noBreakHyphen/>
            </w:r>
            <w:r w:rsidRPr="003A1AA8">
              <w:t>monitored period</w:t>
            </w:r>
          </w:p>
        </w:tc>
      </w:tr>
      <w:tr w:rsidR="00E351F7" w:rsidRPr="003A1AA8" w:rsidTr="0021218C">
        <w:tc>
          <w:tcPr>
            <w:tcW w:w="714" w:type="dxa"/>
            <w:tcBorders>
              <w:bottom w:val="single" w:sz="4" w:space="0" w:color="auto"/>
            </w:tcBorders>
            <w:shd w:val="clear" w:color="auto" w:fill="auto"/>
          </w:tcPr>
          <w:p w:rsidR="00E351F7" w:rsidRPr="003A1AA8" w:rsidRDefault="00E351F7" w:rsidP="0021218C">
            <w:pPr>
              <w:pStyle w:val="Tabletext"/>
            </w:pPr>
            <w:r w:rsidRPr="003A1AA8">
              <w:t>1</w:t>
            </w:r>
          </w:p>
        </w:tc>
        <w:tc>
          <w:tcPr>
            <w:tcW w:w="2967" w:type="dxa"/>
            <w:tcBorders>
              <w:bottom w:val="single" w:sz="4" w:space="0" w:color="auto"/>
            </w:tcBorders>
            <w:shd w:val="clear" w:color="auto" w:fill="auto"/>
          </w:tcPr>
          <w:p w:rsidR="00E351F7" w:rsidRPr="003A1AA8" w:rsidRDefault="00E351F7" w:rsidP="008D11DD">
            <w:pPr>
              <w:pStyle w:val="Tabletext"/>
              <w:rPr>
                <w:vertAlign w:val="superscript"/>
              </w:rPr>
            </w:pPr>
            <w:proofErr w:type="spellStart"/>
            <w:r w:rsidRPr="003A1AA8">
              <w:t>W</w:t>
            </w:r>
            <w:r w:rsidRPr="003A1AA8">
              <w:rPr>
                <w:vertAlign w:val="subscript"/>
              </w:rPr>
              <w:t>LFG,CH</w:t>
            </w:r>
            <w:proofErr w:type="spellEnd"/>
            <w:r w:rsidRPr="003A1AA8">
              <w:rPr>
                <w:position w:val="-6"/>
                <w:vertAlign w:val="subscript"/>
              </w:rPr>
              <w:t>4</w:t>
            </w:r>
          </w:p>
        </w:tc>
        <w:tc>
          <w:tcPr>
            <w:tcW w:w="4631" w:type="dxa"/>
            <w:tcBorders>
              <w:bottom w:val="single" w:sz="4" w:space="0" w:color="auto"/>
            </w:tcBorders>
            <w:shd w:val="clear" w:color="auto" w:fill="auto"/>
          </w:tcPr>
          <w:p w:rsidR="00E351F7" w:rsidRPr="003A1AA8" w:rsidRDefault="00E351F7" w:rsidP="0021218C">
            <w:pPr>
              <w:pStyle w:val="Tabletext"/>
            </w:pPr>
            <w:r w:rsidRPr="003A1AA8">
              <w:t>The parameter is:</w:t>
            </w:r>
          </w:p>
          <w:p w:rsidR="00E351F7" w:rsidRPr="003A1AA8" w:rsidRDefault="00E351F7" w:rsidP="0021218C">
            <w:pPr>
              <w:pStyle w:val="Tablea"/>
            </w:pPr>
            <w:r w:rsidRPr="003A1AA8">
              <w:t xml:space="preserve">(a) for any cumulative period of up to 3 months in any 12 months of a crediting period for the project—the amount set out </w:t>
            </w:r>
            <w:r w:rsidR="004E37B9" w:rsidRPr="003A1AA8">
              <w:t xml:space="preserve">in </w:t>
            </w:r>
            <w:r w:rsidRPr="003A1AA8">
              <w:t>section</w:t>
            </w:r>
            <w:r w:rsidR="003A1AA8" w:rsidRPr="003A1AA8">
              <w:t> </w:t>
            </w:r>
            <w:r w:rsidRPr="003A1AA8">
              <w:t xml:space="preserve">5.14C of the </w:t>
            </w:r>
            <w:proofErr w:type="spellStart"/>
            <w:r w:rsidRPr="003A1AA8">
              <w:t>NGER</w:t>
            </w:r>
            <w:proofErr w:type="spellEnd"/>
            <w:r w:rsidRPr="003A1AA8">
              <w:t xml:space="preserve"> (Measurement) Determination multiplied by 0.9; and</w:t>
            </w:r>
          </w:p>
          <w:p w:rsidR="00E351F7" w:rsidRPr="003A1AA8" w:rsidRDefault="00E351F7" w:rsidP="0021218C">
            <w:pPr>
              <w:pStyle w:val="Tablea"/>
            </w:pPr>
            <w:r w:rsidRPr="003A1AA8">
              <w:t>(b) for any period in excess of that 3 months—the amount set out section</w:t>
            </w:r>
            <w:r w:rsidR="003A1AA8" w:rsidRPr="003A1AA8">
              <w:t> </w:t>
            </w:r>
            <w:r w:rsidRPr="003A1AA8">
              <w:t xml:space="preserve">5.14C of the </w:t>
            </w:r>
            <w:proofErr w:type="spellStart"/>
            <w:r w:rsidRPr="003A1AA8">
              <w:t>NGER</w:t>
            </w:r>
            <w:proofErr w:type="spellEnd"/>
            <w:r w:rsidRPr="003A1AA8">
              <w:t xml:space="preserve"> (Measurement) Determination multiplied by 0</w:t>
            </w:r>
            <w:r w:rsidR="004E6641" w:rsidRPr="003A1AA8">
              <w:t>.5</w:t>
            </w:r>
          </w:p>
        </w:tc>
      </w:tr>
      <w:tr w:rsidR="00E351F7" w:rsidRPr="003A1AA8" w:rsidTr="0021218C">
        <w:tc>
          <w:tcPr>
            <w:tcW w:w="714" w:type="dxa"/>
            <w:tcBorders>
              <w:bottom w:val="single" w:sz="12" w:space="0" w:color="auto"/>
            </w:tcBorders>
            <w:shd w:val="clear" w:color="auto" w:fill="auto"/>
          </w:tcPr>
          <w:p w:rsidR="00E351F7" w:rsidRPr="003A1AA8" w:rsidRDefault="00E351F7" w:rsidP="0021218C">
            <w:pPr>
              <w:pStyle w:val="Tabletext"/>
            </w:pPr>
            <w:r w:rsidRPr="003A1AA8">
              <w:t>2</w:t>
            </w:r>
          </w:p>
        </w:tc>
        <w:tc>
          <w:tcPr>
            <w:tcW w:w="2967" w:type="dxa"/>
            <w:tcBorders>
              <w:bottom w:val="single" w:sz="12" w:space="0" w:color="auto"/>
            </w:tcBorders>
            <w:shd w:val="clear" w:color="auto" w:fill="auto"/>
          </w:tcPr>
          <w:p w:rsidR="00E351F7" w:rsidRPr="003A1AA8" w:rsidRDefault="00E351F7" w:rsidP="0021218C">
            <w:pPr>
              <w:pStyle w:val="Tabletext"/>
            </w:pPr>
            <w:r w:rsidRPr="003A1AA8">
              <w:t>Each of the following:</w:t>
            </w:r>
          </w:p>
          <w:p w:rsidR="00E351F7" w:rsidRPr="003A1AA8" w:rsidRDefault="00E351F7" w:rsidP="0021218C">
            <w:pPr>
              <w:pStyle w:val="Tablea"/>
            </w:pPr>
            <w:r w:rsidRPr="003A1AA8">
              <w:t xml:space="preserve">(a) </w:t>
            </w:r>
            <w:proofErr w:type="spellStart"/>
            <w:r w:rsidRPr="003A1AA8">
              <w:t>Q</w:t>
            </w:r>
            <w:r w:rsidRPr="003A1AA8">
              <w:rPr>
                <w:vertAlign w:val="subscript"/>
              </w:rPr>
              <w:t>En,h</w:t>
            </w:r>
            <w:proofErr w:type="spellEnd"/>
            <w:r w:rsidRPr="003A1AA8">
              <w:t>;</w:t>
            </w:r>
          </w:p>
          <w:p w:rsidR="00E351F7" w:rsidRPr="003A1AA8" w:rsidRDefault="00E351F7" w:rsidP="0021218C">
            <w:pPr>
              <w:pStyle w:val="Tablea"/>
            </w:pPr>
            <w:r w:rsidRPr="003A1AA8">
              <w:t xml:space="preserve">(b) </w:t>
            </w:r>
            <w:proofErr w:type="spellStart"/>
            <w:r w:rsidRPr="003A1AA8">
              <w:t>Q</w:t>
            </w:r>
            <w:r w:rsidRPr="003A1AA8">
              <w:rPr>
                <w:vertAlign w:val="subscript"/>
              </w:rPr>
              <w:t>LFG,h</w:t>
            </w:r>
            <w:proofErr w:type="spellEnd"/>
            <w:r w:rsidRPr="003A1AA8">
              <w:t>;</w:t>
            </w:r>
          </w:p>
          <w:p w:rsidR="00E351F7" w:rsidRPr="003A1AA8" w:rsidRDefault="00E351F7" w:rsidP="004E6641">
            <w:pPr>
              <w:pStyle w:val="Tablea"/>
            </w:pPr>
            <w:r w:rsidRPr="003A1AA8">
              <w:t xml:space="preserve">(c) </w:t>
            </w:r>
            <w:proofErr w:type="spellStart"/>
            <w:r w:rsidRPr="003A1AA8">
              <w:t>Q</w:t>
            </w:r>
            <w:r w:rsidRPr="003A1AA8">
              <w:rPr>
                <w:vertAlign w:val="subscript"/>
              </w:rPr>
              <w:t>EG,h</w:t>
            </w:r>
            <w:proofErr w:type="spellEnd"/>
            <w:r w:rsidRPr="003A1AA8">
              <w:t>;</w:t>
            </w:r>
          </w:p>
        </w:tc>
        <w:tc>
          <w:tcPr>
            <w:tcW w:w="4631" w:type="dxa"/>
            <w:tcBorders>
              <w:bottom w:val="single" w:sz="12" w:space="0" w:color="auto"/>
            </w:tcBorders>
            <w:shd w:val="clear" w:color="auto" w:fill="auto"/>
          </w:tcPr>
          <w:p w:rsidR="00E351F7" w:rsidRPr="003A1AA8" w:rsidRDefault="00E351F7" w:rsidP="0021218C">
            <w:pPr>
              <w:pStyle w:val="Tabletext"/>
            </w:pPr>
            <w:r w:rsidRPr="003A1AA8">
              <w:t>The project proponent must make a conservative estimate of the parameter having regard to:</w:t>
            </w:r>
          </w:p>
          <w:p w:rsidR="00E351F7" w:rsidRPr="003A1AA8" w:rsidRDefault="00071231" w:rsidP="0021218C">
            <w:pPr>
              <w:pStyle w:val="Tablea"/>
            </w:pPr>
            <w:r w:rsidRPr="003A1AA8">
              <w:t>(a) any relevant measur</w:t>
            </w:r>
            <w:r w:rsidR="00846EA5" w:rsidRPr="003A1AA8">
              <w:t>e</w:t>
            </w:r>
            <w:r w:rsidRPr="003A1AA8">
              <w:t>ment</w:t>
            </w:r>
            <w:r w:rsidR="00E351F7" w:rsidRPr="003A1AA8">
              <w:t xml:space="preserve"> or estimation approaches or requirements that apply to the parameter under the </w:t>
            </w:r>
            <w:proofErr w:type="spellStart"/>
            <w:r w:rsidR="00E351F7" w:rsidRPr="003A1AA8">
              <w:t>NGER</w:t>
            </w:r>
            <w:proofErr w:type="spellEnd"/>
            <w:r w:rsidR="00E351F7" w:rsidRPr="003A1AA8">
              <w:t xml:space="preserve"> (Measurement) Determination; and</w:t>
            </w:r>
          </w:p>
          <w:p w:rsidR="00E351F7" w:rsidRPr="003A1AA8" w:rsidRDefault="00E351F7" w:rsidP="0021218C">
            <w:pPr>
              <w:pStyle w:val="Tablea"/>
            </w:pPr>
            <w:r w:rsidRPr="003A1AA8">
              <w:t>(b) any relevant historical data for the project; and</w:t>
            </w:r>
          </w:p>
          <w:p w:rsidR="00E351F7" w:rsidRPr="003A1AA8" w:rsidRDefault="00E351F7" w:rsidP="0021218C">
            <w:pPr>
              <w:pStyle w:val="Tablea"/>
            </w:pPr>
            <w:r w:rsidRPr="003A1AA8">
              <w:t>(c) any other data for the project that relates to the parameter; and</w:t>
            </w:r>
          </w:p>
          <w:p w:rsidR="00E351F7" w:rsidRPr="003A1AA8" w:rsidRDefault="00E351F7" w:rsidP="0021218C">
            <w:pPr>
              <w:pStyle w:val="Tablea"/>
            </w:pPr>
            <w:r w:rsidRPr="003A1AA8">
              <w:t>(d) any other matter the proje</w:t>
            </w:r>
            <w:r w:rsidR="004E6641" w:rsidRPr="003A1AA8">
              <w:t>ct proponent considers relevant</w:t>
            </w:r>
          </w:p>
        </w:tc>
      </w:tr>
    </w:tbl>
    <w:p w:rsidR="00E351F7" w:rsidRPr="003A1AA8" w:rsidRDefault="00E351F7" w:rsidP="00E351F7">
      <w:pPr>
        <w:pStyle w:val="Tabletext"/>
      </w:pPr>
    </w:p>
    <w:p w:rsidR="00E351F7" w:rsidRPr="003A1AA8" w:rsidRDefault="00E351F7" w:rsidP="00E351F7">
      <w:pPr>
        <w:pStyle w:val="subsection"/>
      </w:pPr>
      <w:r w:rsidRPr="003A1AA8">
        <w:tab/>
        <w:t>(2)</w:t>
      </w:r>
      <w:r w:rsidRPr="003A1AA8">
        <w:tab/>
        <w:t>To avoid doubt, this section does not prevent the Regulator from taking action under the Act, or regulations or rules made under the Act, in relation to the project proponent’s failure to monitor a para</w:t>
      </w:r>
      <w:r w:rsidR="00011A81" w:rsidRPr="003A1AA8">
        <w:t xml:space="preserve">meter as required by </w:t>
      </w:r>
      <w:r w:rsidR="00886532" w:rsidRPr="003A1AA8">
        <w:t>the monitoring requirements</w:t>
      </w:r>
      <w:r w:rsidRPr="003A1AA8">
        <w:t>.</w:t>
      </w:r>
    </w:p>
    <w:p w:rsidR="00E351F7" w:rsidRPr="003A1AA8" w:rsidRDefault="00E351F7" w:rsidP="00E351F7">
      <w:pPr>
        <w:pStyle w:val="notetext"/>
      </w:pPr>
      <w:r w:rsidRPr="003A1AA8">
        <w:lastRenderedPageBreak/>
        <w:t>Note:</w:t>
      </w:r>
      <w:r w:rsidRPr="003A1AA8">
        <w:tab/>
        <w:t>Examples of action that may be taken include the following:</w:t>
      </w:r>
    </w:p>
    <w:p w:rsidR="00E351F7" w:rsidRPr="003A1AA8" w:rsidRDefault="00E351F7" w:rsidP="00E351F7">
      <w:pPr>
        <w:pStyle w:val="notepara"/>
      </w:pPr>
      <w:r w:rsidRPr="003A1AA8">
        <w:t>(a)</w:t>
      </w:r>
      <w:r w:rsidRPr="003A1AA8">
        <w:tab/>
        <w:t>if the failure constitutes a breach of a civil penalty provision in section</w:t>
      </w:r>
      <w:r w:rsidR="003A1AA8" w:rsidRPr="003A1AA8">
        <w:t> </w:t>
      </w:r>
      <w:r w:rsidRPr="003A1AA8">
        <w:t>194 of the Act (which deals with project monitoring requirements), the Regulator may apply for a civil penalty order in respect of the breach;</w:t>
      </w:r>
    </w:p>
    <w:p w:rsidR="00E351F7" w:rsidRPr="003A1AA8" w:rsidRDefault="00E351F7" w:rsidP="00E351F7">
      <w:pPr>
        <w:pStyle w:val="notepara"/>
      </w:pPr>
      <w:r w:rsidRPr="003A1AA8">
        <w:t>(b)</w:t>
      </w:r>
      <w:r w:rsidRPr="003A1AA8">
        <w:tab/>
        <w:t>if false or misleading information was given to the Regulator in relation to the failure, the Regulator may revoke the project’s section</w:t>
      </w:r>
      <w:r w:rsidR="003A1AA8" w:rsidRPr="003A1AA8">
        <w:t> </w:t>
      </w:r>
      <w:r w:rsidRPr="003A1AA8">
        <w:t>27 declaration under regulations or rules made for the purposes of section</w:t>
      </w:r>
      <w:r w:rsidR="003A1AA8" w:rsidRPr="003A1AA8">
        <w:t> </w:t>
      </w:r>
      <w:r w:rsidRPr="003A1AA8">
        <w:t>38 of the Act;</w:t>
      </w:r>
    </w:p>
    <w:p w:rsidR="00E351F7" w:rsidRPr="003A1AA8" w:rsidRDefault="00E351F7" w:rsidP="00E351F7">
      <w:pPr>
        <w:pStyle w:val="notepara"/>
      </w:pPr>
      <w:r w:rsidRPr="003A1AA8">
        <w:t>(c)</w:t>
      </w:r>
      <w:r w:rsidRPr="003A1AA8">
        <w:tab/>
        <w:t>if the giving of false or misleading information in relation to the failure led to the issue of Australian carbon credit units, the Regulator may require all or some of those units to be relinquished under section</w:t>
      </w:r>
      <w:r w:rsidR="003A1AA8" w:rsidRPr="003A1AA8">
        <w:t> </w:t>
      </w:r>
      <w:r w:rsidRPr="003A1AA8">
        <w:t>88 of the Act.</w:t>
      </w:r>
    </w:p>
    <w:p w:rsidR="00BC305F" w:rsidRPr="003A1AA8" w:rsidRDefault="00BC305F">
      <w:pPr>
        <w:sectPr w:rsidR="00BC305F" w:rsidRPr="003A1AA8" w:rsidSect="00B42CA2">
          <w:headerReference w:type="even" r:id="rId59"/>
          <w:headerReference w:type="default" r:id="rId60"/>
          <w:footerReference w:type="even" r:id="rId61"/>
          <w:footerReference w:type="default" r:id="rId62"/>
          <w:footerReference w:type="first" r:id="rId63"/>
          <w:pgSz w:w="11907" w:h="16839" w:code="9"/>
          <w:pgMar w:top="1440" w:right="1797" w:bottom="1440" w:left="1797" w:header="720" w:footer="709" w:gutter="0"/>
          <w:pgNumType w:start="1"/>
          <w:cols w:space="720"/>
          <w:docGrid w:linePitch="299"/>
        </w:sectPr>
      </w:pPr>
    </w:p>
    <w:p w:rsidR="00BC305F" w:rsidRPr="003A1AA8" w:rsidRDefault="00BC305F" w:rsidP="00BC305F">
      <w:pPr>
        <w:pStyle w:val="ActHead1"/>
      </w:pPr>
      <w:bookmarkStart w:id="73" w:name="_Toc407104181"/>
      <w:r w:rsidRPr="003A1AA8">
        <w:rPr>
          <w:rStyle w:val="CharChapNo"/>
        </w:rPr>
        <w:lastRenderedPageBreak/>
        <w:t>Schedule</w:t>
      </w:r>
      <w:r w:rsidR="003A1AA8" w:rsidRPr="003A1AA8">
        <w:rPr>
          <w:rStyle w:val="CharChapNo"/>
        </w:rPr>
        <w:t> </w:t>
      </w:r>
      <w:r w:rsidRPr="003A1AA8">
        <w:rPr>
          <w:rStyle w:val="CharChapNo"/>
        </w:rPr>
        <w:t>1</w:t>
      </w:r>
      <w:r w:rsidRPr="003A1AA8">
        <w:t>—</w:t>
      </w:r>
      <w:r w:rsidRPr="003A1AA8">
        <w:rPr>
          <w:rStyle w:val="CharChapText"/>
        </w:rPr>
        <w:t>Determining regulatory proportion</w:t>
      </w:r>
      <w:bookmarkEnd w:id="73"/>
    </w:p>
    <w:p w:rsidR="000628AF" w:rsidRPr="003A1AA8" w:rsidRDefault="000628AF" w:rsidP="000628AF">
      <w:pPr>
        <w:pStyle w:val="notemargin"/>
      </w:pPr>
      <w:r w:rsidRPr="003A1AA8">
        <w:t>Note:</w:t>
      </w:r>
      <w:r w:rsidRPr="003A1AA8">
        <w:tab/>
        <w:t>See subsections</w:t>
      </w:r>
      <w:r w:rsidR="003A1AA8" w:rsidRPr="003A1AA8">
        <w:t> </w:t>
      </w:r>
      <w:r w:rsidR="006B1D9F" w:rsidRPr="003A1AA8">
        <w:t>28</w:t>
      </w:r>
      <w:r w:rsidRPr="003A1AA8">
        <w:t>(1) and (2).</w:t>
      </w:r>
    </w:p>
    <w:p w:rsidR="00BC305F" w:rsidRPr="003A1AA8" w:rsidRDefault="002D125C" w:rsidP="00E06AF1">
      <w:pPr>
        <w:pStyle w:val="ActHead2"/>
      </w:pPr>
      <w:bookmarkStart w:id="74" w:name="_Toc407104182"/>
      <w:r w:rsidRPr="003A1AA8">
        <w:rPr>
          <w:rStyle w:val="CharPartNo"/>
        </w:rPr>
        <w:t>Part</w:t>
      </w:r>
      <w:r w:rsidR="003A1AA8" w:rsidRPr="003A1AA8">
        <w:rPr>
          <w:rStyle w:val="CharPartNo"/>
        </w:rPr>
        <w:t> </w:t>
      </w:r>
      <w:r w:rsidRPr="003A1AA8">
        <w:rPr>
          <w:rStyle w:val="CharPartNo"/>
        </w:rPr>
        <w:t>1</w:t>
      </w:r>
      <w:r w:rsidRPr="003A1AA8">
        <w:t>—</w:t>
      </w:r>
      <w:r w:rsidR="00BC305F" w:rsidRPr="003A1AA8">
        <w:rPr>
          <w:rStyle w:val="CharPartText"/>
        </w:rPr>
        <w:t>Operation of this Schedule</w:t>
      </w:r>
      <w:bookmarkEnd w:id="74"/>
    </w:p>
    <w:p w:rsidR="00397602" w:rsidRPr="003A1AA8" w:rsidRDefault="00397602" w:rsidP="00397602">
      <w:pPr>
        <w:pStyle w:val="Header"/>
      </w:pPr>
      <w:r w:rsidRPr="003A1AA8">
        <w:rPr>
          <w:rStyle w:val="CharDivNo"/>
        </w:rPr>
        <w:t xml:space="preserve"> </w:t>
      </w:r>
      <w:r w:rsidRPr="003A1AA8">
        <w:rPr>
          <w:rStyle w:val="CharDivText"/>
        </w:rPr>
        <w:t xml:space="preserve"> </w:t>
      </w:r>
    </w:p>
    <w:p w:rsidR="00BC305F" w:rsidRPr="003A1AA8" w:rsidRDefault="00BC305F" w:rsidP="00BC305F">
      <w:pPr>
        <w:pStyle w:val="ActHead5"/>
      </w:pPr>
      <w:bookmarkStart w:id="75" w:name="_Toc407104183"/>
      <w:r w:rsidRPr="003A1AA8">
        <w:rPr>
          <w:rStyle w:val="CharSectno"/>
        </w:rPr>
        <w:t>1</w:t>
      </w:r>
      <w:r w:rsidRPr="003A1AA8">
        <w:t xml:space="preserve">  Operation of this Schedule</w:t>
      </w:r>
      <w:bookmarkEnd w:id="75"/>
    </w:p>
    <w:p w:rsidR="00397602" w:rsidRPr="003A1AA8" w:rsidRDefault="00BC305F" w:rsidP="00BC305F">
      <w:pPr>
        <w:pStyle w:val="subsection"/>
      </w:pPr>
      <w:r w:rsidRPr="003A1AA8">
        <w:tab/>
      </w:r>
      <w:r w:rsidR="00397602" w:rsidRPr="003A1AA8">
        <w:t>(1)</w:t>
      </w:r>
      <w:r w:rsidRPr="003A1AA8">
        <w:tab/>
      </w:r>
      <w:r w:rsidR="00397602" w:rsidRPr="003A1AA8">
        <w:t>For subsection</w:t>
      </w:r>
      <w:r w:rsidR="000B3722" w:rsidRPr="003A1AA8">
        <w:t>s</w:t>
      </w:r>
      <w:r w:rsidR="003A1AA8" w:rsidRPr="003A1AA8">
        <w:t> </w:t>
      </w:r>
      <w:r w:rsidR="006B1D9F" w:rsidRPr="003A1AA8">
        <w:t>28</w:t>
      </w:r>
      <w:r w:rsidR="00397602" w:rsidRPr="003A1AA8">
        <w:t>(1) and (2)</w:t>
      </w:r>
      <w:r w:rsidRPr="003A1AA8">
        <w:t xml:space="preserve">, the regulatory proportion of the methane combusted during the reporting period that would have been combusted without the project </w:t>
      </w:r>
      <w:r w:rsidR="00691B26" w:rsidRPr="003A1AA8">
        <w:t>(</w:t>
      </w:r>
      <w:proofErr w:type="spellStart"/>
      <w:r w:rsidR="00691B26" w:rsidRPr="003A1AA8">
        <w:rPr>
          <w:b/>
          <w:i/>
        </w:rPr>
        <w:t>W</w:t>
      </w:r>
      <w:r w:rsidR="00691B26" w:rsidRPr="003A1AA8">
        <w:rPr>
          <w:b/>
          <w:i/>
          <w:vertAlign w:val="subscript"/>
        </w:rPr>
        <w:t>B,Reg</w:t>
      </w:r>
      <w:proofErr w:type="spellEnd"/>
      <w:r w:rsidR="00691B26" w:rsidRPr="003A1AA8">
        <w:t xml:space="preserve">) </w:t>
      </w:r>
      <w:r w:rsidRPr="003A1AA8">
        <w:t xml:space="preserve">is </w:t>
      </w:r>
      <w:r w:rsidR="001900B0" w:rsidRPr="003A1AA8">
        <w:t>determined</w:t>
      </w:r>
      <w:r w:rsidRPr="003A1AA8">
        <w:t xml:space="preserve"> using</w:t>
      </w:r>
      <w:r w:rsidR="00702E01" w:rsidRPr="003A1AA8">
        <w:t xml:space="preserve"> an option set out in </w:t>
      </w:r>
      <w:r w:rsidR="00BC7471" w:rsidRPr="003A1AA8">
        <w:t>Part</w:t>
      </w:r>
      <w:r w:rsidR="00C84144" w:rsidRPr="003A1AA8">
        <w:t>s</w:t>
      </w:r>
      <w:r w:rsidR="003A1AA8" w:rsidRPr="003A1AA8">
        <w:t> </w:t>
      </w:r>
      <w:r w:rsidR="00C84144" w:rsidRPr="003A1AA8">
        <w:t>2</w:t>
      </w:r>
      <w:r w:rsidR="00BC7471" w:rsidRPr="003A1AA8">
        <w:t xml:space="preserve"> </w:t>
      </w:r>
      <w:r w:rsidR="00C84144" w:rsidRPr="003A1AA8">
        <w:t>to 5</w:t>
      </w:r>
      <w:r w:rsidR="00702E01" w:rsidRPr="003A1AA8">
        <w:t>.</w:t>
      </w:r>
    </w:p>
    <w:p w:rsidR="00397602" w:rsidRPr="003A1AA8" w:rsidRDefault="00397602" w:rsidP="00397602">
      <w:pPr>
        <w:pStyle w:val="SubsectionHead"/>
      </w:pPr>
      <w:r w:rsidRPr="003A1AA8">
        <w:t>No obligation on State and Territory environmental regulators</w:t>
      </w:r>
    </w:p>
    <w:p w:rsidR="00397602" w:rsidRPr="003A1AA8" w:rsidRDefault="00397602" w:rsidP="00397602">
      <w:pPr>
        <w:pStyle w:val="subsection"/>
      </w:pPr>
      <w:r w:rsidRPr="003A1AA8">
        <w:tab/>
        <w:t>(2)</w:t>
      </w:r>
      <w:r w:rsidRPr="003A1AA8">
        <w:tab/>
        <w:t>To avoid doubt, this Schedule does not require the environmental regulator in a State or Territory to do anything.</w:t>
      </w:r>
    </w:p>
    <w:p w:rsidR="00BC305F" w:rsidRPr="003A1AA8" w:rsidRDefault="002D125C" w:rsidP="00BC305F">
      <w:pPr>
        <w:pStyle w:val="ActHead2"/>
        <w:pageBreakBefore/>
      </w:pPr>
      <w:bookmarkStart w:id="76" w:name="_Toc407104184"/>
      <w:r w:rsidRPr="003A1AA8">
        <w:rPr>
          <w:rStyle w:val="CharPartNo"/>
        </w:rPr>
        <w:lastRenderedPageBreak/>
        <w:t>Part</w:t>
      </w:r>
      <w:r w:rsidR="003A1AA8" w:rsidRPr="003A1AA8">
        <w:rPr>
          <w:rStyle w:val="CharPartNo"/>
        </w:rPr>
        <w:t> </w:t>
      </w:r>
      <w:r w:rsidRPr="003A1AA8">
        <w:rPr>
          <w:rStyle w:val="CharPartNo"/>
        </w:rPr>
        <w:t>2</w:t>
      </w:r>
      <w:r w:rsidRPr="003A1AA8">
        <w:t>—</w:t>
      </w:r>
      <w:r w:rsidR="00723F8E" w:rsidRPr="003A1AA8">
        <w:rPr>
          <w:rStyle w:val="CharPartText"/>
        </w:rPr>
        <w:t>Regulatory proportion determined u</w:t>
      </w:r>
      <w:r w:rsidR="00BC305F" w:rsidRPr="003A1AA8">
        <w:rPr>
          <w:rStyle w:val="CharPartText"/>
        </w:rPr>
        <w:t xml:space="preserve">sing </w:t>
      </w:r>
      <w:r w:rsidR="00944AFF" w:rsidRPr="003A1AA8">
        <w:rPr>
          <w:rStyle w:val="CharPartText"/>
        </w:rPr>
        <w:t>regulatory</w:t>
      </w:r>
      <w:r w:rsidR="00BC305F" w:rsidRPr="003A1AA8">
        <w:rPr>
          <w:rStyle w:val="CharPartText"/>
        </w:rPr>
        <w:t xml:space="preserve"> guidelines</w:t>
      </w:r>
      <w:r w:rsidR="00944AFF" w:rsidRPr="003A1AA8">
        <w:rPr>
          <w:rStyle w:val="CharPartText"/>
        </w:rPr>
        <w:t xml:space="preserve"> for landfill</w:t>
      </w:r>
      <w:bookmarkEnd w:id="76"/>
    </w:p>
    <w:p w:rsidR="00BC305F" w:rsidRPr="003A1AA8" w:rsidRDefault="00BC305F" w:rsidP="00BC305F">
      <w:pPr>
        <w:pStyle w:val="Header"/>
      </w:pPr>
      <w:r w:rsidRPr="003A1AA8">
        <w:rPr>
          <w:rStyle w:val="CharDivNo"/>
        </w:rPr>
        <w:t xml:space="preserve"> </w:t>
      </w:r>
      <w:r w:rsidRPr="003A1AA8">
        <w:rPr>
          <w:rStyle w:val="CharDivText"/>
        </w:rPr>
        <w:t xml:space="preserve"> </w:t>
      </w:r>
    </w:p>
    <w:p w:rsidR="00D91AF9" w:rsidRPr="003A1AA8" w:rsidRDefault="00396567" w:rsidP="00D91AF9">
      <w:pPr>
        <w:pStyle w:val="ActHead5"/>
      </w:pPr>
      <w:bookmarkStart w:id="77" w:name="_Toc407104185"/>
      <w:r w:rsidRPr="003A1AA8">
        <w:rPr>
          <w:rStyle w:val="CharSectno"/>
        </w:rPr>
        <w:t>2</w:t>
      </w:r>
      <w:r w:rsidR="00D91AF9" w:rsidRPr="003A1AA8">
        <w:t xml:space="preserve">  </w:t>
      </w:r>
      <w:r w:rsidR="00944AFF" w:rsidRPr="003A1AA8">
        <w:t>Regulatory proportion determined using regulatory guidelines for landfill</w:t>
      </w:r>
      <w:bookmarkEnd w:id="77"/>
    </w:p>
    <w:p w:rsidR="00071231" w:rsidRPr="003A1AA8" w:rsidRDefault="00723F8E" w:rsidP="00723F8E">
      <w:pPr>
        <w:pStyle w:val="subsection"/>
      </w:pPr>
      <w:r w:rsidRPr="003A1AA8">
        <w:tab/>
      </w:r>
      <w:r w:rsidR="00071231" w:rsidRPr="003A1AA8">
        <w:t>(1)</w:t>
      </w:r>
      <w:r w:rsidRPr="003A1AA8">
        <w:tab/>
      </w:r>
      <w:r w:rsidR="00071231" w:rsidRPr="003A1AA8">
        <w:t>If the</w:t>
      </w:r>
      <w:r w:rsidR="004E37B9" w:rsidRPr="003A1AA8">
        <w:t>re is no</w:t>
      </w:r>
      <w:r w:rsidR="00071231" w:rsidRPr="003A1AA8">
        <w:t xml:space="preserve"> permitted methane flux rates for a State or Territory </w:t>
      </w:r>
      <w:r w:rsidR="00BC0C7F" w:rsidRPr="003A1AA8">
        <w:t xml:space="preserve">set out </w:t>
      </w:r>
      <w:r w:rsidR="00071231" w:rsidRPr="003A1AA8">
        <w:t xml:space="preserve">in the tables </w:t>
      </w:r>
      <w:r w:rsidR="00606291" w:rsidRPr="003A1AA8">
        <w:t>in subclauses</w:t>
      </w:r>
      <w:r w:rsidR="003A1AA8" w:rsidRPr="003A1AA8">
        <w:t> </w:t>
      </w:r>
      <w:r w:rsidR="004E37B9" w:rsidRPr="003A1AA8">
        <w:t>4(2) and 4(3)</w:t>
      </w:r>
      <w:r w:rsidR="00071231" w:rsidRPr="003A1AA8">
        <w:t>, then</w:t>
      </w:r>
      <w:r w:rsidR="00846EA5" w:rsidRPr="003A1AA8">
        <w:t>,</w:t>
      </w:r>
      <w:r w:rsidR="00071231" w:rsidRPr="003A1AA8">
        <w:t xml:space="preserve"> for a project located in </w:t>
      </w:r>
      <w:r w:rsidR="00BC0C7F" w:rsidRPr="003A1AA8">
        <w:t>the</w:t>
      </w:r>
      <w:r w:rsidR="00071231" w:rsidRPr="003A1AA8">
        <w:t xml:space="preserve"> State or Territory</w:t>
      </w:r>
      <w:r w:rsidR="00846EA5" w:rsidRPr="003A1AA8">
        <w:t>,</w:t>
      </w:r>
      <w:r w:rsidR="00071231" w:rsidRPr="003A1AA8">
        <w:t xml:space="preserve"> </w:t>
      </w:r>
      <w:proofErr w:type="spellStart"/>
      <w:r w:rsidR="00071231" w:rsidRPr="003A1AA8">
        <w:t>W</w:t>
      </w:r>
      <w:r w:rsidR="00071231" w:rsidRPr="003A1AA8">
        <w:rPr>
          <w:vertAlign w:val="subscript"/>
        </w:rPr>
        <w:t>B,Reg</w:t>
      </w:r>
      <w:proofErr w:type="spellEnd"/>
      <w:r w:rsidR="00071231" w:rsidRPr="003A1AA8">
        <w:t xml:space="preserve"> is 0.</w:t>
      </w:r>
    </w:p>
    <w:p w:rsidR="00723F8E" w:rsidRPr="003A1AA8" w:rsidRDefault="00071231" w:rsidP="00723F8E">
      <w:pPr>
        <w:pStyle w:val="subsection"/>
      </w:pPr>
      <w:r w:rsidRPr="003A1AA8">
        <w:tab/>
        <w:t>(2)</w:t>
      </w:r>
      <w:r w:rsidRPr="003A1AA8">
        <w:tab/>
        <w:t xml:space="preserve">Otherwise, </w:t>
      </w:r>
      <w:proofErr w:type="spellStart"/>
      <w:r w:rsidR="00691B26" w:rsidRPr="003A1AA8">
        <w:t>W</w:t>
      </w:r>
      <w:r w:rsidR="00691B26" w:rsidRPr="003A1AA8">
        <w:rPr>
          <w:vertAlign w:val="subscript"/>
        </w:rPr>
        <w:t>B,Reg</w:t>
      </w:r>
      <w:proofErr w:type="spellEnd"/>
      <w:r w:rsidR="00691B26" w:rsidRPr="003A1AA8">
        <w:t xml:space="preserve"> may be</w:t>
      </w:r>
      <w:r w:rsidR="00723F8E" w:rsidRPr="003A1AA8">
        <w:t xml:space="preserve"> worked out using the formula (</w:t>
      </w:r>
      <w:r w:rsidR="00723F8E" w:rsidRPr="003A1AA8">
        <w:rPr>
          <w:b/>
          <w:i/>
        </w:rPr>
        <w:t xml:space="preserve">equation </w:t>
      </w:r>
      <w:r w:rsidR="0086393B" w:rsidRPr="003A1AA8">
        <w:rPr>
          <w:b/>
          <w:i/>
        </w:rPr>
        <w:t>20</w:t>
      </w:r>
      <w:r w:rsidR="00723F8E" w:rsidRPr="003A1AA8">
        <w:t>):</w:t>
      </w:r>
    </w:p>
    <w:bookmarkStart w:id="78" w:name="BKCheck15B_23"/>
    <w:bookmarkEnd w:id="78"/>
    <w:p w:rsidR="00723F8E" w:rsidRPr="003A1AA8" w:rsidRDefault="006D6B5E" w:rsidP="006368D5">
      <w:pPr>
        <w:pStyle w:val="subsection2"/>
      </w:pPr>
      <w:r w:rsidRPr="003A1AA8">
        <w:rPr>
          <w:position w:val="-40"/>
        </w:rPr>
        <w:object w:dxaOrig="1820" w:dyaOrig="880">
          <v:shape id="_x0000_i1044" type="#_x0000_t75" style="width:91.6pt;height:44.35pt" o:ole="">
            <v:imagedata r:id="rId64" o:title=""/>
          </v:shape>
          <o:OLEObject Type="Embed" ProgID="Equation.DSMT4" ShapeID="_x0000_i1044" DrawAspect="Content" ObjectID="_1483177782" r:id="rId65"/>
        </w:object>
      </w:r>
    </w:p>
    <w:bookmarkStart w:id="79" w:name="BKCheck15B_24"/>
    <w:bookmarkEnd w:id="79"/>
    <w:p w:rsidR="00723F8E" w:rsidRPr="003A1AA8" w:rsidRDefault="00723F8E" w:rsidP="006368D5">
      <w:pPr>
        <w:pStyle w:val="subsection2"/>
      </w:pPr>
      <w:r w:rsidRPr="003A1AA8">
        <w:rPr>
          <w:position w:val="-4"/>
        </w:rPr>
        <w:object w:dxaOrig="160" w:dyaOrig="240">
          <v:shape id="_x0000_i1045" type="#_x0000_t75" style="width:8.05pt;height:12.1pt" o:ole="">
            <v:imagedata r:id="rId66" o:title=""/>
          </v:shape>
          <o:OLEObject Type="Embed" ProgID="Equation.DSMT4" ShapeID="_x0000_i1045" DrawAspect="Content" ObjectID="_1483177783" r:id="rId67"/>
        </w:object>
      </w:r>
      <w:r w:rsidR="006368D5" w:rsidRPr="003A1AA8">
        <w:t>where:</w:t>
      </w:r>
    </w:p>
    <w:p w:rsidR="006368D5" w:rsidRPr="003A1AA8" w:rsidRDefault="006368D5" w:rsidP="006368D5">
      <w:pPr>
        <w:pStyle w:val="Definition"/>
      </w:pPr>
      <w:proofErr w:type="spellStart"/>
      <w:r w:rsidRPr="003A1AA8">
        <w:rPr>
          <w:b/>
          <w:i/>
        </w:rPr>
        <w:t>W</w:t>
      </w:r>
      <w:r w:rsidRPr="003A1AA8">
        <w:rPr>
          <w:b/>
          <w:i/>
          <w:vertAlign w:val="subscript"/>
        </w:rPr>
        <w:t>B,Reg</w:t>
      </w:r>
      <w:proofErr w:type="spellEnd"/>
      <w:r w:rsidRPr="003A1AA8">
        <w:t xml:space="preserve"> means the regulatory proportion of the methane combusted during the reporting period that would have been combusted without the project.</w:t>
      </w:r>
    </w:p>
    <w:p w:rsidR="006368D5" w:rsidRPr="003A1AA8" w:rsidRDefault="006368D5" w:rsidP="006368D5">
      <w:pPr>
        <w:pStyle w:val="Definition"/>
      </w:pPr>
      <w:proofErr w:type="spellStart"/>
      <w:r w:rsidRPr="003A1AA8">
        <w:rPr>
          <w:b/>
          <w:i/>
        </w:rPr>
        <w:t>M</w:t>
      </w:r>
      <w:r w:rsidRPr="003A1AA8">
        <w:rPr>
          <w:b/>
          <w:i/>
          <w:vertAlign w:val="subscript"/>
        </w:rPr>
        <w:t>Reg</w:t>
      </w:r>
      <w:proofErr w:type="spellEnd"/>
      <w:r w:rsidRPr="003A1AA8">
        <w:t xml:space="preserve"> means the annual amount of methane that is permitted to be emitted from the landfill, in tonnes CO</w:t>
      </w:r>
      <w:r w:rsidRPr="003A1AA8">
        <w:rPr>
          <w:vertAlign w:val="subscript"/>
        </w:rPr>
        <w:t>2</w:t>
      </w:r>
      <w:r w:rsidR="003A1AA8">
        <w:noBreakHyphen/>
      </w:r>
      <w:r w:rsidRPr="003A1AA8">
        <w:t xml:space="preserve">e, worked out using equation </w:t>
      </w:r>
      <w:r w:rsidR="0086393B" w:rsidRPr="003A1AA8">
        <w:t>21</w:t>
      </w:r>
      <w:r w:rsidRPr="003A1AA8">
        <w:t>.</w:t>
      </w:r>
    </w:p>
    <w:p w:rsidR="006368D5" w:rsidRPr="003A1AA8" w:rsidRDefault="006368D5" w:rsidP="006368D5">
      <w:pPr>
        <w:pStyle w:val="Definition"/>
      </w:pPr>
      <w:proofErr w:type="spellStart"/>
      <w:r w:rsidRPr="003A1AA8">
        <w:rPr>
          <w:b/>
          <w:i/>
        </w:rPr>
        <w:t>M</w:t>
      </w:r>
      <w:r w:rsidR="006D6B5E" w:rsidRPr="003A1AA8">
        <w:rPr>
          <w:b/>
          <w:i/>
          <w:vertAlign w:val="subscript"/>
        </w:rPr>
        <w:t>Gen</w:t>
      </w:r>
      <w:r w:rsidRPr="003A1AA8">
        <w:rPr>
          <w:b/>
          <w:i/>
          <w:vertAlign w:val="subscript"/>
        </w:rPr>
        <w:t>,y</w:t>
      </w:r>
      <w:proofErr w:type="spellEnd"/>
      <w:r w:rsidRPr="003A1AA8">
        <w:t xml:space="preserve"> means the methane generated by the landfill in year y</w:t>
      </w:r>
      <w:r w:rsidR="00AE2A6F" w:rsidRPr="003A1AA8">
        <w:t>,</w:t>
      </w:r>
      <w:r w:rsidRPr="003A1AA8">
        <w:t xml:space="preserve"> in tonnes CO</w:t>
      </w:r>
      <w:r w:rsidRPr="003A1AA8">
        <w:rPr>
          <w:vertAlign w:val="subscript"/>
        </w:rPr>
        <w:t>2</w:t>
      </w:r>
      <w:r w:rsidR="003A1AA8">
        <w:noBreakHyphen/>
      </w:r>
      <w:r w:rsidRPr="003A1AA8">
        <w:t>e, worked out using subsection</w:t>
      </w:r>
      <w:r w:rsidR="003A1AA8" w:rsidRPr="003A1AA8">
        <w:t> </w:t>
      </w:r>
      <w:r w:rsidR="006B1D9F" w:rsidRPr="003A1AA8">
        <w:t>22</w:t>
      </w:r>
      <w:r w:rsidR="002C78B6" w:rsidRPr="003A1AA8">
        <w:t>(3</w:t>
      </w:r>
      <w:r w:rsidRPr="003A1AA8">
        <w:t>).</w:t>
      </w:r>
    </w:p>
    <w:p w:rsidR="00A367AA" w:rsidRPr="003A1AA8" w:rsidRDefault="00396567" w:rsidP="00D91AF9">
      <w:pPr>
        <w:pStyle w:val="ActHead5"/>
      </w:pPr>
      <w:bookmarkStart w:id="80" w:name="_Toc407104186"/>
      <w:r w:rsidRPr="003A1AA8">
        <w:rPr>
          <w:rStyle w:val="CharSectno"/>
        </w:rPr>
        <w:t>3</w:t>
      </w:r>
      <w:r w:rsidR="00D91AF9" w:rsidRPr="003A1AA8">
        <w:t xml:space="preserve">  </w:t>
      </w:r>
      <w:r w:rsidR="00A367AA" w:rsidRPr="003A1AA8">
        <w:t>Annual amount of methane permitted to be emitted</w:t>
      </w:r>
      <w:bookmarkEnd w:id="80"/>
    </w:p>
    <w:p w:rsidR="00A367AA" w:rsidRPr="003A1AA8" w:rsidRDefault="00A367AA" w:rsidP="00A367AA">
      <w:pPr>
        <w:pStyle w:val="subsection"/>
      </w:pPr>
      <w:r w:rsidRPr="003A1AA8">
        <w:tab/>
      </w:r>
      <w:r w:rsidRPr="003A1AA8">
        <w:tab/>
        <w:t>The annual amount of methane that is permitted to be emitted from the landfill, in tonnes CO</w:t>
      </w:r>
      <w:r w:rsidRPr="003A1AA8">
        <w:rPr>
          <w:vertAlign w:val="subscript"/>
        </w:rPr>
        <w:t>2</w:t>
      </w:r>
      <w:r w:rsidR="003A1AA8">
        <w:noBreakHyphen/>
      </w:r>
      <w:r w:rsidRPr="003A1AA8">
        <w:t>e, is worked out using the formula (</w:t>
      </w:r>
      <w:r w:rsidRPr="003A1AA8">
        <w:rPr>
          <w:b/>
          <w:i/>
        </w:rPr>
        <w:t xml:space="preserve">equation </w:t>
      </w:r>
      <w:r w:rsidR="0086393B" w:rsidRPr="003A1AA8">
        <w:rPr>
          <w:b/>
          <w:i/>
        </w:rPr>
        <w:t>21</w:t>
      </w:r>
      <w:r w:rsidRPr="003A1AA8">
        <w:t>):</w:t>
      </w:r>
    </w:p>
    <w:bookmarkStart w:id="81" w:name="BKCheck15B_25"/>
    <w:bookmarkEnd w:id="81"/>
    <w:p w:rsidR="00A367AA" w:rsidRPr="003A1AA8" w:rsidRDefault="00A367AA" w:rsidP="00A367AA">
      <w:pPr>
        <w:pStyle w:val="subsection2"/>
      </w:pPr>
      <w:r w:rsidRPr="003A1AA8">
        <w:rPr>
          <w:position w:val="-12"/>
        </w:rPr>
        <w:object w:dxaOrig="2200" w:dyaOrig="440">
          <v:shape id="_x0000_i1046" type="#_x0000_t75" style="width:109.45pt;height:21.9pt" o:ole="">
            <v:imagedata r:id="rId68" o:title=""/>
          </v:shape>
          <o:OLEObject Type="Embed" ProgID="Equation.DSMT4" ShapeID="_x0000_i1046" DrawAspect="Content" ObjectID="_1483177784" r:id="rId69"/>
        </w:object>
      </w:r>
    </w:p>
    <w:p w:rsidR="00A367AA" w:rsidRPr="003A1AA8" w:rsidRDefault="00A367AA" w:rsidP="00A367AA">
      <w:pPr>
        <w:pStyle w:val="subsection2"/>
      </w:pPr>
      <w:r w:rsidRPr="003A1AA8">
        <w:t>where:</w:t>
      </w:r>
    </w:p>
    <w:p w:rsidR="00A367AA" w:rsidRPr="003A1AA8" w:rsidRDefault="00A367AA" w:rsidP="00A367AA">
      <w:pPr>
        <w:pStyle w:val="Definition"/>
      </w:pPr>
      <w:proofErr w:type="spellStart"/>
      <w:r w:rsidRPr="003A1AA8">
        <w:rPr>
          <w:b/>
          <w:i/>
        </w:rPr>
        <w:t>M</w:t>
      </w:r>
      <w:r w:rsidRPr="003A1AA8">
        <w:rPr>
          <w:b/>
          <w:i/>
          <w:vertAlign w:val="subscript"/>
        </w:rPr>
        <w:t>Reg</w:t>
      </w:r>
      <w:proofErr w:type="spellEnd"/>
      <w:r w:rsidRPr="003A1AA8">
        <w:t xml:space="preserve"> means the annual amount of methane that is permitted to be emitted from the landfill, in tonnes CO</w:t>
      </w:r>
      <w:r w:rsidRPr="003A1AA8">
        <w:rPr>
          <w:vertAlign w:val="subscript"/>
        </w:rPr>
        <w:t>2</w:t>
      </w:r>
      <w:r w:rsidR="003A1AA8">
        <w:noBreakHyphen/>
      </w:r>
      <w:r w:rsidRPr="003A1AA8">
        <w:t>e.</w:t>
      </w:r>
    </w:p>
    <w:p w:rsidR="00A367AA" w:rsidRPr="003A1AA8" w:rsidRDefault="00A367AA" w:rsidP="00A367AA">
      <w:pPr>
        <w:pStyle w:val="Definition"/>
      </w:pPr>
      <w:proofErr w:type="spellStart"/>
      <w:r w:rsidRPr="003A1AA8">
        <w:rPr>
          <w:b/>
          <w:i/>
        </w:rPr>
        <w:t>M</w:t>
      </w:r>
      <w:r w:rsidRPr="003A1AA8">
        <w:rPr>
          <w:b/>
          <w:i/>
          <w:vertAlign w:val="subscript"/>
        </w:rPr>
        <w:t>Reg,FI</w:t>
      </w:r>
      <w:proofErr w:type="spellEnd"/>
      <w:r w:rsidRPr="003A1AA8">
        <w:t xml:space="preserve"> means the annual amount of methane that is permitted to be emitted from the final and intermediate cover of the landfill, in tonnes CO</w:t>
      </w:r>
      <w:r w:rsidRPr="003A1AA8">
        <w:rPr>
          <w:vertAlign w:val="subscript"/>
        </w:rPr>
        <w:t>2</w:t>
      </w:r>
      <w:r w:rsidR="003A1AA8">
        <w:noBreakHyphen/>
      </w:r>
      <w:r w:rsidRPr="003A1AA8">
        <w:t xml:space="preserve">e, worked using equation </w:t>
      </w:r>
      <w:r w:rsidR="0086393B" w:rsidRPr="003A1AA8">
        <w:t>22</w:t>
      </w:r>
      <w:r w:rsidRPr="003A1AA8">
        <w:t>.</w:t>
      </w:r>
    </w:p>
    <w:p w:rsidR="00A367AA" w:rsidRPr="003A1AA8" w:rsidRDefault="00A367AA" w:rsidP="00A367AA">
      <w:pPr>
        <w:pStyle w:val="Definition"/>
      </w:pPr>
      <w:proofErr w:type="spellStart"/>
      <w:r w:rsidRPr="003A1AA8">
        <w:rPr>
          <w:b/>
          <w:i/>
        </w:rPr>
        <w:t>M</w:t>
      </w:r>
      <w:r w:rsidRPr="003A1AA8">
        <w:rPr>
          <w:b/>
          <w:i/>
          <w:vertAlign w:val="subscript"/>
        </w:rPr>
        <w:t>Reg,D</w:t>
      </w:r>
      <w:proofErr w:type="spellEnd"/>
      <w:r w:rsidRPr="003A1AA8">
        <w:t xml:space="preserve"> means the annual amount of methane that is permitted to be emitted from the daily/operational cover of the landfill, in tonnes CO</w:t>
      </w:r>
      <w:r w:rsidRPr="003A1AA8">
        <w:rPr>
          <w:vertAlign w:val="subscript"/>
        </w:rPr>
        <w:t>2</w:t>
      </w:r>
      <w:r w:rsidR="003A1AA8">
        <w:noBreakHyphen/>
      </w:r>
      <w:r w:rsidRPr="003A1AA8">
        <w:t>e</w:t>
      </w:r>
      <w:r w:rsidR="000342FC" w:rsidRPr="003A1AA8">
        <w:t>, determined in accordance with clause</w:t>
      </w:r>
      <w:r w:rsidR="003A1AA8" w:rsidRPr="003A1AA8">
        <w:t> </w:t>
      </w:r>
      <w:r w:rsidR="000342FC" w:rsidRPr="003A1AA8">
        <w:t>5.</w:t>
      </w:r>
    </w:p>
    <w:p w:rsidR="00A367AA" w:rsidRPr="003A1AA8" w:rsidRDefault="000342FC" w:rsidP="000342FC">
      <w:pPr>
        <w:pStyle w:val="ActHead5"/>
      </w:pPr>
      <w:bookmarkStart w:id="82" w:name="_Toc407104187"/>
      <w:r w:rsidRPr="003A1AA8">
        <w:rPr>
          <w:rStyle w:val="CharSectno"/>
        </w:rPr>
        <w:t>4</w:t>
      </w:r>
      <w:r w:rsidRPr="003A1AA8">
        <w:t xml:space="preserve">  Annual amount of methane permitted to be emitted from final and intermediate cover</w:t>
      </w:r>
      <w:bookmarkEnd w:id="82"/>
    </w:p>
    <w:p w:rsidR="000342FC" w:rsidRPr="003A1AA8" w:rsidRDefault="000342FC" w:rsidP="000342FC">
      <w:pPr>
        <w:pStyle w:val="subsection"/>
      </w:pPr>
      <w:r w:rsidRPr="003A1AA8">
        <w:tab/>
      </w:r>
      <w:r w:rsidR="00B63A0C" w:rsidRPr="003A1AA8">
        <w:t>(1)</w:t>
      </w:r>
      <w:r w:rsidRPr="003A1AA8">
        <w:tab/>
        <w:t>The annual amount of methane that is permitted to be emitted from the final and intermediate cover of the landfill, in tonnes CO</w:t>
      </w:r>
      <w:r w:rsidRPr="003A1AA8">
        <w:rPr>
          <w:vertAlign w:val="subscript"/>
        </w:rPr>
        <w:t>2</w:t>
      </w:r>
      <w:r w:rsidR="003A1AA8">
        <w:noBreakHyphen/>
      </w:r>
      <w:r w:rsidRPr="003A1AA8">
        <w:t>e, is worked using the formula (</w:t>
      </w:r>
      <w:r w:rsidRPr="003A1AA8">
        <w:rPr>
          <w:b/>
          <w:i/>
        </w:rPr>
        <w:t xml:space="preserve">equation </w:t>
      </w:r>
      <w:r w:rsidR="0086393B" w:rsidRPr="003A1AA8">
        <w:rPr>
          <w:b/>
          <w:i/>
        </w:rPr>
        <w:t>22</w:t>
      </w:r>
      <w:r w:rsidRPr="003A1AA8">
        <w:t>):</w:t>
      </w:r>
    </w:p>
    <w:bookmarkStart w:id="83" w:name="BKCheck15B_26"/>
    <w:bookmarkEnd w:id="83"/>
    <w:p w:rsidR="000342FC" w:rsidRPr="003A1AA8" w:rsidRDefault="00E445F7" w:rsidP="000342FC">
      <w:pPr>
        <w:pStyle w:val="subsection2"/>
      </w:pPr>
      <w:r w:rsidRPr="003A1AA8">
        <w:rPr>
          <w:position w:val="-36"/>
        </w:rPr>
        <w:object w:dxaOrig="3780" w:dyaOrig="840">
          <v:shape id="_x0000_i1047" type="#_x0000_t75" style="width:188.95pt;height:42.05pt" o:ole="">
            <v:imagedata r:id="rId70" o:title=""/>
          </v:shape>
          <o:OLEObject Type="Embed" ProgID="Equation.DSMT4" ShapeID="_x0000_i1047" DrawAspect="Content" ObjectID="_1483177785" r:id="rId71"/>
        </w:object>
      </w:r>
    </w:p>
    <w:p w:rsidR="00A367AA" w:rsidRPr="003A1AA8" w:rsidRDefault="00263446" w:rsidP="00263446">
      <w:pPr>
        <w:pStyle w:val="subsection2"/>
      </w:pPr>
      <w:r w:rsidRPr="003A1AA8">
        <w:t>where:</w:t>
      </w:r>
    </w:p>
    <w:p w:rsidR="00263446" w:rsidRPr="003A1AA8" w:rsidRDefault="00263446" w:rsidP="00263446">
      <w:pPr>
        <w:pStyle w:val="Definition"/>
      </w:pPr>
      <w:r w:rsidRPr="003A1AA8">
        <w:rPr>
          <w:b/>
          <w:i/>
        </w:rPr>
        <w:t>M</w:t>
      </w:r>
      <w:r w:rsidRPr="003A1AA8">
        <w:rPr>
          <w:b/>
          <w:i/>
          <w:vertAlign w:val="subscript"/>
        </w:rPr>
        <w:t>Reg,FI</w:t>
      </w:r>
      <w:r w:rsidRPr="003A1AA8">
        <w:t xml:space="preserve"> means the annual amount of methane that is permitted to be emitted from the final and intermediate cover of the landfill, in tonnes CO</w:t>
      </w:r>
      <w:r w:rsidRPr="003A1AA8">
        <w:rPr>
          <w:vertAlign w:val="subscript"/>
        </w:rPr>
        <w:t>2</w:t>
      </w:r>
      <w:r w:rsidR="003A1AA8">
        <w:noBreakHyphen/>
      </w:r>
      <w:r w:rsidRPr="003A1AA8">
        <w:t>e.</w:t>
      </w:r>
    </w:p>
    <w:p w:rsidR="00263446" w:rsidRPr="003A1AA8" w:rsidRDefault="00263446" w:rsidP="00263446">
      <w:pPr>
        <w:pStyle w:val="Definition"/>
      </w:pPr>
      <w:r w:rsidRPr="003A1AA8">
        <w:rPr>
          <w:b/>
          <w:i/>
        </w:rPr>
        <w:t>OF</w:t>
      </w:r>
      <w:r w:rsidRPr="003A1AA8">
        <w:t xml:space="preserve"> means the oxidation factor for near surface methane in landfill set out in the definition of </w:t>
      </w:r>
      <w:r w:rsidRPr="003A1AA8">
        <w:rPr>
          <w:b/>
          <w:i/>
        </w:rPr>
        <w:t>OF</w:t>
      </w:r>
      <w:r w:rsidRPr="003A1AA8">
        <w:t xml:space="preserve"> in subsection</w:t>
      </w:r>
      <w:r w:rsidR="003A1AA8" w:rsidRPr="003A1AA8">
        <w:t> </w:t>
      </w:r>
      <w:r w:rsidRPr="003A1AA8">
        <w:t>5.4(1) of the NGER (Measurement) Determination.</w:t>
      </w:r>
    </w:p>
    <w:p w:rsidR="00263446" w:rsidRPr="003A1AA8" w:rsidRDefault="00263446" w:rsidP="00263446">
      <w:pPr>
        <w:pStyle w:val="Definition"/>
      </w:pPr>
      <w:r w:rsidRPr="003A1AA8">
        <w:rPr>
          <w:b/>
          <w:i/>
        </w:rPr>
        <w:t>GWP</w:t>
      </w:r>
      <w:r w:rsidRPr="003A1AA8">
        <w:rPr>
          <w:b/>
          <w:i/>
          <w:vertAlign w:val="subscript"/>
        </w:rPr>
        <w:t>CH</w:t>
      </w:r>
      <w:r w:rsidRPr="003A1AA8">
        <w:rPr>
          <w:b/>
          <w:i/>
          <w:position w:val="-6"/>
          <w:vertAlign w:val="subscript"/>
        </w:rPr>
        <w:t>4</w:t>
      </w:r>
      <w:r w:rsidRPr="003A1AA8">
        <w:t xml:space="preserve"> means the global warming potential value for methane set out in regulation</w:t>
      </w:r>
      <w:r w:rsidR="003A1AA8" w:rsidRPr="003A1AA8">
        <w:t> </w:t>
      </w:r>
      <w:r w:rsidRPr="003A1AA8">
        <w:t>2.02 of the NGER (Measurement) Determination.</w:t>
      </w:r>
    </w:p>
    <w:p w:rsidR="00263446" w:rsidRPr="003A1AA8" w:rsidRDefault="00263446" w:rsidP="00263446">
      <w:pPr>
        <w:pStyle w:val="Definition"/>
      </w:pPr>
      <w:r w:rsidRPr="003A1AA8">
        <w:rPr>
          <w:b/>
          <w:i/>
        </w:rPr>
        <w:t>S</w:t>
      </w:r>
      <w:r w:rsidRPr="003A1AA8">
        <w:rPr>
          <w:b/>
          <w:i/>
          <w:vertAlign w:val="subscript"/>
        </w:rPr>
        <w:t>x</w:t>
      </w:r>
      <w:r w:rsidRPr="003A1AA8">
        <w:t xml:space="preserve"> means the area of the landfill that is cover type x, in square metres.</w:t>
      </w:r>
    </w:p>
    <w:p w:rsidR="00B63A0C" w:rsidRPr="003A1AA8" w:rsidRDefault="00263446" w:rsidP="00263446">
      <w:pPr>
        <w:pStyle w:val="Definition"/>
      </w:pPr>
      <w:r w:rsidRPr="003A1AA8">
        <w:rPr>
          <w:b/>
          <w:i/>
        </w:rPr>
        <w:t>C</w:t>
      </w:r>
      <w:r w:rsidRPr="003A1AA8">
        <w:rPr>
          <w:b/>
          <w:i/>
          <w:vertAlign w:val="subscript"/>
        </w:rPr>
        <w:t>x</w:t>
      </w:r>
      <w:r w:rsidRPr="003A1AA8">
        <w:t xml:space="preserve"> means the permitted methane flux rate for the landfill </w:t>
      </w:r>
      <w:r w:rsidR="00B63A0C" w:rsidRPr="003A1AA8">
        <w:t>for</w:t>
      </w:r>
      <w:r w:rsidRPr="003A1AA8">
        <w:t xml:space="preserve"> cover type x, in tonnes of methane per square metre per hour, set out </w:t>
      </w:r>
      <w:r w:rsidR="00B63A0C" w:rsidRPr="003A1AA8">
        <w:t xml:space="preserve">the </w:t>
      </w:r>
      <w:r w:rsidR="00A428DC" w:rsidRPr="003A1AA8">
        <w:t xml:space="preserve">applicable </w:t>
      </w:r>
      <w:r w:rsidR="00B63A0C" w:rsidRPr="003A1AA8">
        <w:t xml:space="preserve">table in </w:t>
      </w:r>
      <w:r w:rsidR="003A1AA8" w:rsidRPr="003A1AA8">
        <w:t>subsection (</w:t>
      </w:r>
      <w:r w:rsidR="00B63A0C" w:rsidRPr="003A1AA8">
        <w:t>2) or (</w:t>
      </w:r>
      <w:r w:rsidR="00A428DC" w:rsidRPr="003A1AA8">
        <w:t>3)</w:t>
      </w:r>
      <w:r w:rsidR="00B63A0C" w:rsidRPr="003A1AA8">
        <w:t>.</w:t>
      </w:r>
    </w:p>
    <w:p w:rsidR="00263446" w:rsidRPr="003A1AA8" w:rsidRDefault="00B63A0C" w:rsidP="00263446">
      <w:pPr>
        <w:pStyle w:val="Definition"/>
      </w:pPr>
      <w:r w:rsidRPr="003A1AA8">
        <w:rPr>
          <w:b/>
          <w:i/>
        </w:rPr>
        <w:t>x</w:t>
      </w:r>
      <w:r w:rsidRPr="003A1AA8">
        <w:t xml:space="preserve"> means the type of landfill cover, being either final cover </w:t>
      </w:r>
      <w:r w:rsidR="00A428DC" w:rsidRPr="003A1AA8">
        <w:t>or intermediate cover</w:t>
      </w:r>
      <w:r w:rsidRPr="003A1AA8">
        <w:t>.</w:t>
      </w:r>
    </w:p>
    <w:p w:rsidR="00263446" w:rsidRPr="003A1AA8" w:rsidRDefault="00B63A0C" w:rsidP="00B63A0C">
      <w:pPr>
        <w:pStyle w:val="subsection"/>
      </w:pPr>
      <w:r w:rsidRPr="003A1AA8">
        <w:tab/>
        <w:t>(2)</w:t>
      </w:r>
      <w:r w:rsidRPr="003A1AA8">
        <w:tab/>
        <w:t>The following table sets out permitted methane flux rates for final cover.</w:t>
      </w:r>
    </w:p>
    <w:p w:rsidR="00B63A0C" w:rsidRPr="003A1AA8" w:rsidRDefault="00B63A0C" w:rsidP="00B63A0C">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1843"/>
        <w:gridCol w:w="2126"/>
        <w:gridCol w:w="2364"/>
      </w:tblGrid>
      <w:tr w:rsidR="00B63A0C" w:rsidRPr="003A1AA8" w:rsidTr="00AE2A6F">
        <w:trPr>
          <w:tblHeader/>
        </w:trPr>
        <w:tc>
          <w:tcPr>
            <w:tcW w:w="7184" w:type="dxa"/>
            <w:gridSpan w:val="4"/>
            <w:tcBorders>
              <w:top w:val="single" w:sz="12" w:space="0" w:color="auto"/>
              <w:bottom w:val="single" w:sz="6" w:space="0" w:color="auto"/>
            </w:tcBorders>
            <w:shd w:val="clear" w:color="auto" w:fill="auto"/>
          </w:tcPr>
          <w:p w:rsidR="00B63A0C" w:rsidRPr="003A1AA8" w:rsidRDefault="00B63A0C" w:rsidP="00B63A0C">
            <w:pPr>
              <w:pStyle w:val="TableHeading"/>
            </w:pPr>
            <w:r w:rsidRPr="003A1AA8">
              <w:t>Permitted methane flux rates for final cover (</w:t>
            </w:r>
            <w:r w:rsidR="00AC13B0" w:rsidRPr="003A1AA8">
              <w:t>C</w:t>
            </w:r>
            <w:r w:rsidR="00AC13B0" w:rsidRPr="003A1AA8">
              <w:rPr>
                <w:vertAlign w:val="subscript"/>
              </w:rPr>
              <w:t>x</w:t>
            </w:r>
            <w:r w:rsidR="00AC13B0" w:rsidRPr="003A1AA8">
              <w:t>)</w:t>
            </w:r>
          </w:p>
        </w:tc>
      </w:tr>
      <w:tr w:rsidR="00B63A0C" w:rsidRPr="003A1AA8" w:rsidTr="00BC0C7F">
        <w:trPr>
          <w:tblHeader/>
        </w:trPr>
        <w:tc>
          <w:tcPr>
            <w:tcW w:w="851" w:type="dxa"/>
            <w:tcBorders>
              <w:top w:val="single" w:sz="6" w:space="0" w:color="auto"/>
              <w:bottom w:val="single" w:sz="12" w:space="0" w:color="auto"/>
            </w:tcBorders>
            <w:shd w:val="clear" w:color="auto" w:fill="auto"/>
          </w:tcPr>
          <w:p w:rsidR="00B63A0C" w:rsidRPr="003A1AA8" w:rsidRDefault="00B63A0C" w:rsidP="00AE2A6F">
            <w:pPr>
              <w:pStyle w:val="TableHeading"/>
            </w:pPr>
            <w:r w:rsidRPr="003A1AA8">
              <w:t>Item</w:t>
            </w:r>
          </w:p>
        </w:tc>
        <w:tc>
          <w:tcPr>
            <w:tcW w:w="1843" w:type="dxa"/>
            <w:tcBorders>
              <w:top w:val="single" w:sz="6" w:space="0" w:color="auto"/>
              <w:bottom w:val="single" w:sz="12" w:space="0" w:color="auto"/>
            </w:tcBorders>
            <w:shd w:val="clear" w:color="auto" w:fill="auto"/>
          </w:tcPr>
          <w:p w:rsidR="00B63A0C" w:rsidRPr="003A1AA8" w:rsidRDefault="00B63A0C" w:rsidP="00AE2A6F">
            <w:pPr>
              <w:pStyle w:val="TableHeading"/>
            </w:pPr>
            <w:r w:rsidRPr="003A1AA8">
              <w:t>State or Territory</w:t>
            </w:r>
          </w:p>
        </w:tc>
        <w:tc>
          <w:tcPr>
            <w:tcW w:w="2126" w:type="dxa"/>
            <w:tcBorders>
              <w:top w:val="single" w:sz="6" w:space="0" w:color="auto"/>
              <w:bottom w:val="single" w:sz="12" w:space="0" w:color="auto"/>
            </w:tcBorders>
            <w:shd w:val="clear" w:color="auto" w:fill="auto"/>
          </w:tcPr>
          <w:p w:rsidR="00B63A0C" w:rsidRPr="003A1AA8" w:rsidRDefault="00774178" w:rsidP="00774178">
            <w:pPr>
              <w:pStyle w:val="TableHeading"/>
            </w:pPr>
            <w:r w:rsidRPr="003A1AA8">
              <w:t>Methane concentration limit (CH</w:t>
            </w:r>
            <w:r w:rsidRPr="003A1AA8">
              <w:rPr>
                <w:vertAlign w:val="subscript"/>
              </w:rPr>
              <w:t>4</w:t>
            </w:r>
            <w:r w:rsidRPr="003A1AA8">
              <w:t xml:space="preserve"> ppm)</w:t>
            </w:r>
          </w:p>
        </w:tc>
        <w:tc>
          <w:tcPr>
            <w:tcW w:w="2364" w:type="dxa"/>
            <w:tcBorders>
              <w:top w:val="single" w:sz="6" w:space="0" w:color="auto"/>
              <w:bottom w:val="single" w:sz="12" w:space="0" w:color="auto"/>
            </w:tcBorders>
            <w:shd w:val="clear" w:color="auto" w:fill="auto"/>
          </w:tcPr>
          <w:p w:rsidR="00B63A0C" w:rsidRPr="003A1AA8" w:rsidRDefault="00774178" w:rsidP="006D31E5">
            <w:pPr>
              <w:pStyle w:val="TableHeading"/>
            </w:pPr>
            <w:r w:rsidRPr="003A1AA8">
              <w:t>Permitted methane flux rate estimated from the methane concentration limit (tCH</w:t>
            </w:r>
            <w:r w:rsidRPr="003A1AA8">
              <w:rPr>
                <w:vertAlign w:val="subscript"/>
              </w:rPr>
              <w:t>4</w:t>
            </w:r>
            <w:r w:rsidRPr="003A1AA8">
              <w:t>/m</w:t>
            </w:r>
            <w:r w:rsidR="006D31E5" w:rsidRPr="003A1AA8">
              <w:rPr>
                <w:vertAlign w:val="superscript"/>
              </w:rPr>
              <w:t>2</w:t>
            </w:r>
            <w:r w:rsidRPr="003A1AA8">
              <w:t>/hr)</w:t>
            </w:r>
          </w:p>
        </w:tc>
      </w:tr>
      <w:tr w:rsidR="00B63A0C" w:rsidRPr="003A1AA8" w:rsidTr="00BC0C7F">
        <w:tc>
          <w:tcPr>
            <w:tcW w:w="851" w:type="dxa"/>
            <w:tcBorders>
              <w:top w:val="single" w:sz="12" w:space="0" w:color="auto"/>
            </w:tcBorders>
            <w:shd w:val="clear" w:color="auto" w:fill="auto"/>
          </w:tcPr>
          <w:p w:rsidR="00B63A0C" w:rsidRPr="003A1AA8" w:rsidRDefault="00B63A0C" w:rsidP="00AE2A6F">
            <w:pPr>
              <w:pStyle w:val="Tabletext"/>
            </w:pPr>
            <w:r w:rsidRPr="003A1AA8">
              <w:t>1</w:t>
            </w:r>
          </w:p>
        </w:tc>
        <w:tc>
          <w:tcPr>
            <w:tcW w:w="1843" w:type="dxa"/>
            <w:tcBorders>
              <w:top w:val="single" w:sz="12" w:space="0" w:color="auto"/>
            </w:tcBorders>
            <w:shd w:val="clear" w:color="auto" w:fill="auto"/>
          </w:tcPr>
          <w:p w:rsidR="00B63A0C" w:rsidRPr="003A1AA8" w:rsidRDefault="00B63A0C" w:rsidP="00AE2A6F">
            <w:pPr>
              <w:pStyle w:val="Tabletext"/>
            </w:pPr>
            <w:r w:rsidRPr="003A1AA8">
              <w:t>New South Wales</w:t>
            </w:r>
          </w:p>
        </w:tc>
        <w:tc>
          <w:tcPr>
            <w:tcW w:w="2126" w:type="dxa"/>
            <w:tcBorders>
              <w:top w:val="single" w:sz="12" w:space="0" w:color="auto"/>
            </w:tcBorders>
            <w:shd w:val="clear" w:color="auto" w:fill="auto"/>
          </w:tcPr>
          <w:p w:rsidR="00B63A0C" w:rsidRPr="003A1AA8" w:rsidRDefault="00B63A0C" w:rsidP="00AE2A6F">
            <w:pPr>
              <w:pStyle w:val="Tabletext"/>
              <w:jc w:val="right"/>
            </w:pPr>
            <w:r w:rsidRPr="003A1AA8">
              <w:t>500</w:t>
            </w:r>
          </w:p>
        </w:tc>
        <w:tc>
          <w:tcPr>
            <w:tcW w:w="2364" w:type="dxa"/>
            <w:tcBorders>
              <w:top w:val="single" w:sz="12" w:space="0" w:color="auto"/>
            </w:tcBorders>
            <w:shd w:val="clear" w:color="auto" w:fill="auto"/>
          </w:tcPr>
          <w:p w:rsidR="00B63A0C" w:rsidRPr="003A1AA8" w:rsidRDefault="00B63A0C" w:rsidP="00AE2A6F">
            <w:pPr>
              <w:pStyle w:val="Tabletext"/>
              <w:jc w:val="right"/>
              <w:rPr>
                <w:vertAlign w:val="superscript"/>
              </w:rPr>
            </w:pPr>
            <w:r w:rsidRPr="003A1AA8">
              <w:t>2.5 x 10</w:t>
            </w:r>
            <w:r w:rsidR="003A1AA8">
              <w:rPr>
                <w:vertAlign w:val="superscript"/>
              </w:rPr>
              <w:noBreakHyphen/>
            </w:r>
            <w:r w:rsidRPr="003A1AA8">
              <w:rPr>
                <w:vertAlign w:val="superscript"/>
              </w:rPr>
              <w:t>6</w:t>
            </w:r>
          </w:p>
        </w:tc>
      </w:tr>
      <w:tr w:rsidR="00B63A0C" w:rsidRPr="003A1AA8" w:rsidTr="00BC0C7F">
        <w:tc>
          <w:tcPr>
            <w:tcW w:w="851" w:type="dxa"/>
            <w:shd w:val="clear" w:color="auto" w:fill="auto"/>
          </w:tcPr>
          <w:p w:rsidR="00B63A0C" w:rsidRPr="003A1AA8" w:rsidRDefault="00B63A0C" w:rsidP="00AE2A6F">
            <w:pPr>
              <w:pStyle w:val="Tabletext"/>
            </w:pPr>
            <w:r w:rsidRPr="003A1AA8">
              <w:t>2</w:t>
            </w:r>
          </w:p>
        </w:tc>
        <w:tc>
          <w:tcPr>
            <w:tcW w:w="1843" w:type="dxa"/>
            <w:shd w:val="clear" w:color="auto" w:fill="auto"/>
          </w:tcPr>
          <w:p w:rsidR="00B63A0C" w:rsidRPr="003A1AA8" w:rsidRDefault="00B63A0C" w:rsidP="00AE2A6F">
            <w:pPr>
              <w:pStyle w:val="Tabletext"/>
            </w:pPr>
            <w:r w:rsidRPr="003A1AA8">
              <w:t>Victoria</w:t>
            </w:r>
          </w:p>
        </w:tc>
        <w:tc>
          <w:tcPr>
            <w:tcW w:w="2126" w:type="dxa"/>
            <w:shd w:val="clear" w:color="auto" w:fill="auto"/>
          </w:tcPr>
          <w:p w:rsidR="00B63A0C" w:rsidRPr="003A1AA8" w:rsidRDefault="00B63A0C" w:rsidP="00AE2A6F">
            <w:pPr>
              <w:pStyle w:val="Tabletext"/>
              <w:jc w:val="right"/>
            </w:pPr>
            <w:r w:rsidRPr="003A1AA8">
              <w:t>100</w:t>
            </w:r>
          </w:p>
        </w:tc>
        <w:tc>
          <w:tcPr>
            <w:tcW w:w="2364" w:type="dxa"/>
            <w:shd w:val="clear" w:color="auto" w:fill="auto"/>
          </w:tcPr>
          <w:p w:rsidR="00B63A0C" w:rsidRPr="003A1AA8" w:rsidRDefault="00B63A0C" w:rsidP="00AE2A6F">
            <w:pPr>
              <w:pStyle w:val="Tabletext"/>
              <w:jc w:val="right"/>
            </w:pPr>
            <w:r w:rsidRPr="003A1AA8">
              <w:t>0.3 x 10</w:t>
            </w:r>
            <w:r w:rsidR="003A1AA8">
              <w:rPr>
                <w:vertAlign w:val="superscript"/>
              </w:rPr>
              <w:noBreakHyphen/>
            </w:r>
            <w:r w:rsidRPr="003A1AA8">
              <w:rPr>
                <w:vertAlign w:val="superscript"/>
              </w:rPr>
              <w:t>6</w:t>
            </w:r>
          </w:p>
        </w:tc>
      </w:tr>
      <w:tr w:rsidR="00B63A0C" w:rsidRPr="003A1AA8" w:rsidTr="00BC0C7F">
        <w:tc>
          <w:tcPr>
            <w:tcW w:w="851" w:type="dxa"/>
            <w:shd w:val="clear" w:color="auto" w:fill="auto"/>
          </w:tcPr>
          <w:p w:rsidR="00B63A0C" w:rsidRPr="003A1AA8" w:rsidRDefault="00B63A0C" w:rsidP="00AE2A6F">
            <w:pPr>
              <w:pStyle w:val="Tabletext"/>
            </w:pPr>
            <w:r w:rsidRPr="003A1AA8">
              <w:t>3</w:t>
            </w:r>
          </w:p>
        </w:tc>
        <w:tc>
          <w:tcPr>
            <w:tcW w:w="1843" w:type="dxa"/>
            <w:shd w:val="clear" w:color="auto" w:fill="auto"/>
          </w:tcPr>
          <w:p w:rsidR="00B63A0C" w:rsidRPr="003A1AA8" w:rsidRDefault="00B63A0C" w:rsidP="00AE2A6F">
            <w:pPr>
              <w:pStyle w:val="Tabletext"/>
            </w:pPr>
            <w:r w:rsidRPr="003A1AA8">
              <w:t>Queensland</w:t>
            </w:r>
          </w:p>
        </w:tc>
        <w:tc>
          <w:tcPr>
            <w:tcW w:w="2126" w:type="dxa"/>
            <w:shd w:val="clear" w:color="auto" w:fill="auto"/>
          </w:tcPr>
          <w:p w:rsidR="00B63A0C" w:rsidRPr="003A1AA8" w:rsidRDefault="00B63A0C" w:rsidP="00AE2A6F">
            <w:pPr>
              <w:pStyle w:val="Tabletext"/>
              <w:jc w:val="right"/>
            </w:pPr>
            <w:r w:rsidRPr="003A1AA8">
              <w:t>500</w:t>
            </w:r>
          </w:p>
        </w:tc>
        <w:tc>
          <w:tcPr>
            <w:tcW w:w="2364" w:type="dxa"/>
            <w:shd w:val="clear" w:color="auto" w:fill="auto"/>
          </w:tcPr>
          <w:p w:rsidR="00B63A0C" w:rsidRPr="003A1AA8" w:rsidRDefault="00B63A0C" w:rsidP="00AE2A6F">
            <w:pPr>
              <w:pStyle w:val="Tabletext"/>
              <w:jc w:val="right"/>
            </w:pPr>
            <w:r w:rsidRPr="003A1AA8">
              <w:t>2.5 x 10</w:t>
            </w:r>
            <w:r w:rsidR="003A1AA8">
              <w:rPr>
                <w:vertAlign w:val="superscript"/>
              </w:rPr>
              <w:noBreakHyphen/>
            </w:r>
            <w:r w:rsidRPr="003A1AA8">
              <w:rPr>
                <w:vertAlign w:val="superscript"/>
              </w:rPr>
              <w:t>6</w:t>
            </w:r>
          </w:p>
        </w:tc>
      </w:tr>
      <w:tr w:rsidR="00B63A0C" w:rsidRPr="003A1AA8" w:rsidTr="00BC0C7F">
        <w:tc>
          <w:tcPr>
            <w:tcW w:w="851" w:type="dxa"/>
            <w:tcBorders>
              <w:bottom w:val="single" w:sz="4" w:space="0" w:color="auto"/>
            </w:tcBorders>
            <w:shd w:val="clear" w:color="auto" w:fill="auto"/>
          </w:tcPr>
          <w:p w:rsidR="00B63A0C" w:rsidRPr="003A1AA8" w:rsidRDefault="00B63A0C" w:rsidP="00AE2A6F">
            <w:pPr>
              <w:pStyle w:val="Tabletext"/>
            </w:pPr>
            <w:r w:rsidRPr="003A1AA8">
              <w:t>4</w:t>
            </w:r>
          </w:p>
        </w:tc>
        <w:tc>
          <w:tcPr>
            <w:tcW w:w="1843" w:type="dxa"/>
            <w:tcBorders>
              <w:bottom w:val="single" w:sz="4" w:space="0" w:color="auto"/>
            </w:tcBorders>
            <w:shd w:val="clear" w:color="auto" w:fill="auto"/>
          </w:tcPr>
          <w:p w:rsidR="00B63A0C" w:rsidRPr="003A1AA8" w:rsidRDefault="00B63A0C" w:rsidP="00AE2A6F">
            <w:pPr>
              <w:pStyle w:val="Tabletext"/>
            </w:pPr>
            <w:r w:rsidRPr="003A1AA8">
              <w:t>Western Australia</w:t>
            </w:r>
          </w:p>
        </w:tc>
        <w:tc>
          <w:tcPr>
            <w:tcW w:w="2126" w:type="dxa"/>
            <w:tcBorders>
              <w:bottom w:val="single" w:sz="4" w:space="0" w:color="auto"/>
            </w:tcBorders>
            <w:shd w:val="clear" w:color="auto" w:fill="auto"/>
          </w:tcPr>
          <w:p w:rsidR="00B63A0C" w:rsidRPr="003A1AA8" w:rsidRDefault="00B63A0C" w:rsidP="00AE2A6F">
            <w:pPr>
              <w:pStyle w:val="Tabletext"/>
              <w:jc w:val="right"/>
            </w:pPr>
            <w:r w:rsidRPr="003A1AA8">
              <w:t>500</w:t>
            </w:r>
          </w:p>
        </w:tc>
        <w:tc>
          <w:tcPr>
            <w:tcW w:w="2364" w:type="dxa"/>
            <w:tcBorders>
              <w:bottom w:val="single" w:sz="4" w:space="0" w:color="auto"/>
            </w:tcBorders>
            <w:shd w:val="clear" w:color="auto" w:fill="auto"/>
          </w:tcPr>
          <w:p w:rsidR="00B63A0C" w:rsidRPr="003A1AA8" w:rsidRDefault="00B63A0C" w:rsidP="00AE2A6F">
            <w:pPr>
              <w:pStyle w:val="Tabletext"/>
              <w:jc w:val="right"/>
            </w:pPr>
            <w:r w:rsidRPr="003A1AA8">
              <w:t>2.5 x 10</w:t>
            </w:r>
            <w:r w:rsidR="003A1AA8">
              <w:rPr>
                <w:vertAlign w:val="superscript"/>
              </w:rPr>
              <w:noBreakHyphen/>
            </w:r>
            <w:r w:rsidRPr="003A1AA8">
              <w:rPr>
                <w:vertAlign w:val="superscript"/>
              </w:rPr>
              <w:t>6</w:t>
            </w:r>
          </w:p>
        </w:tc>
      </w:tr>
      <w:tr w:rsidR="00B63A0C" w:rsidRPr="003A1AA8" w:rsidTr="00BC0C7F">
        <w:tc>
          <w:tcPr>
            <w:tcW w:w="851" w:type="dxa"/>
            <w:shd w:val="clear" w:color="auto" w:fill="auto"/>
          </w:tcPr>
          <w:p w:rsidR="00B63A0C" w:rsidRPr="003A1AA8" w:rsidRDefault="00B63A0C" w:rsidP="00AE2A6F">
            <w:pPr>
              <w:pStyle w:val="Tabletext"/>
            </w:pPr>
            <w:r w:rsidRPr="003A1AA8">
              <w:t>5</w:t>
            </w:r>
          </w:p>
        </w:tc>
        <w:tc>
          <w:tcPr>
            <w:tcW w:w="1843" w:type="dxa"/>
            <w:shd w:val="clear" w:color="auto" w:fill="auto"/>
          </w:tcPr>
          <w:p w:rsidR="00B63A0C" w:rsidRPr="003A1AA8" w:rsidRDefault="00B63A0C" w:rsidP="00AE2A6F">
            <w:pPr>
              <w:pStyle w:val="Tabletext"/>
            </w:pPr>
            <w:r w:rsidRPr="003A1AA8">
              <w:t>South Australia</w:t>
            </w:r>
          </w:p>
        </w:tc>
        <w:tc>
          <w:tcPr>
            <w:tcW w:w="2126" w:type="dxa"/>
            <w:shd w:val="clear" w:color="auto" w:fill="auto"/>
          </w:tcPr>
          <w:p w:rsidR="00B63A0C" w:rsidRPr="003A1AA8" w:rsidRDefault="004E37B9" w:rsidP="00AE2A6F">
            <w:pPr>
              <w:pStyle w:val="Tabletext"/>
              <w:jc w:val="right"/>
            </w:pPr>
            <w:r w:rsidRPr="003A1AA8">
              <w:t>n/a</w:t>
            </w:r>
          </w:p>
        </w:tc>
        <w:tc>
          <w:tcPr>
            <w:tcW w:w="2364" w:type="dxa"/>
            <w:shd w:val="clear" w:color="auto" w:fill="auto"/>
          </w:tcPr>
          <w:p w:rsidR="00B63A0C" w:rsidRPr="003A1AA8" w:rsidRDefault="004E37B9" w:rsidP="00AE2A6F">
            <w:pPr>
              <w:pStyle w:val="Tabletext"/>
              <w:jc w:val="right"/>
            </w:pPr>
            <w:r w:rsidRPr="003A1AA8">
              <w:t>n/a</w:t>
            </w:r>
          </w:p>
        </w:tc>
      </w:tr>
      <w:tr w:rsidR="00B63A0C" w:rsidRPr="003A1AA8" w:rsidTr="00BC0C7F">
        <w:tc>
          <w:tcPr>
            <w:tcW w:w="851" w:type="dxa"/>
            <w:shd w:val="clear" w:color="auto" w:fill="auto"/>
          </w:tcPr>
          <w:p w:rsidR="00B63A0C" w:rsidRPr="003A1AA8" w:rsidRDefault="00B63A0C" w:rsidP="00AE2A6F">
            <w:pPr>
              <w:pStyle w:val="Tabletext"/>
            </w:pPr>
            <w:r w:rsidRPr="003A1AA8">
              <w:t>6</w:t>
            </w:r>
          </w:p>
        </w:tc>
        <w:tc>
          <w:tcPr>
            <w:tcW w:w="1843" w:type="dxa"/>
            <w:shd w:val="clear" w:color="auto" w:fill="auto"/>
          </w:tcPr>
          <w:p w:rsidR="00B63A0C" w:rsidRPr="003A1AA8" w:rsidRDefault="00B63A0C" w:rsidP="00AE2A6F">
            <w:pPr>
              <w:pStyle w:val="Tabletext"/>
            </w:pPr>
            <w:r w:rsidRPr="003A1AA8">
              <w:t>Tasmania</w:t>
            </w:r>
          </w:p>
        </w:tc>
        <w:tc>
          <w:tcPr>
            <w:tcW w:w="2126" w:type="dxa"/>
            <w:shd w:val="clear" w:color="auto" w:fill="auto"/>
          </w:tcPr>
          <w:p w:rsidR="00B63A0C" w:rsidRPr="003A1AA8" w:rsidRDefault="00B63A0C" w:rsidP="00AE2A6F">
            <w:pPr>
              <w:pStyle w:val="Tabletext"/>
              <w:jc w:val="right"/>
            </w:pPr>
            <w:r w:rsidRPr="003A1AA8">
              <w:t>500</w:t>
            </w:r>
          </w:p>
        </w:tc>
        <w:tc>
          <w:tcPr>
            <w:tcW w:w="2364" w:type="dxa"/>
            <w:shd w:val="clear" w:color="auto" w:fill="auto"/>
          </w:tcPr>
          <w:p w:rsidR="00B63A0C" w:rsidRPr="003A1AA8" w:rsidRDefault="00B63A0C" w:rsidP="00AE2A6F">
            <w:pPr>
              <w:pStyle w:val="Tabletext"/>
              <w:jc w:val="right"/>
            </w:pPr>
            <w:r w:rsidRPr="003A1AA8">
              <w:t>2.5 x 10</w:t>
            </w:r>
            <w:r w:rsidR="003A1AA8">
              <w:rPr>
                <w:vertAlign w:val="superscript"/>
              </w:rPr>
              <w:noBreakHyphen/>
            </w:r>
            <w:r w:rsidRPr="003A1AA8">
              <w:rPr>
                <w:vertAlign w:val="superscript"/>
              </w:rPr>
              <w:t>6</w:t>
            </w:r>
          </w:p>
        </w:tc>
      </w:tr>
      <w:tr w:rsidR="00B63A0C" w:rsidRPr="003A1AA8" w:rsidTr="00BC0C7F">
        <w:tc>
          <w:tcPr>
            <w:tcW w:w="851" w:type="dxa"/>
            <w:shd w:val="clear" w:color="auto" w:fill="auto"/>
          </w:tcPr>
          <w:p w:rsidR="00B63A0C" w:rsidRPr="003A1AA8" w:rsidRDefault="00B63A0C" w:rsidP="00AE2A6F">
            <w:pPr>
              <w:pStyle w:val="Tabletext"/>
            </w:pPr>
            <w:r w:rsidRPr="003A1AA8">
              <w:t>7</w:t>
            </w:r>
          </w:p>
        </w:tc>
        <w:tc>
          <w:tcPr>
            <w:tcW w:w="1843" w:type="dxa"/>
            <w:shd w:val="clear" w:color="auto" w:fill="auto"/>
          </w:tcPr>
          <w:p w:rsidR="00B63A0C" w:rsidRPr="003A1AA8" w:rsidRDefault="00B63A0C" w:rsidP="00AE2A6F">
            <w:pPr>
              <w:pStyle w:val="Tabletext"/>
            </w:pPr>
            <w:r w:rsidRPr="003A1AA8">
              <w:t>Australian Capital Territory</w:t>
            </w:r>
          </w:p>
        </w:tc>
        <w:tc>
          <w:tcPr>
            <w:tcW w:w="2126" w:type="dxa"/>
            <w:shd w:val="clear" w:color="auto" w:fill="auto"/>
          </w:tcPr>
          <w:p w:rsidR="00B63A0C" w:rsidRPr="003A1AA8" w:rsidRDefault="00B63A0C" w:rsidP="00AE2A6F">
            <w:pPr>
              <w:pStyle w:val="Tabletext"/>
              <w:jc w:val="right"/>
            </w:pPr>
            <w:r w:rsidRPr="003A1AA8">
              <w:t>100</w:t>
            </w:r>
          </w:p>
        </w:tc>
        <w:tc>
          <w:tcPr>
            <w:tcW w:w="2364" w:type="dxa"/>
            <w:shd w:val="clear" w:color="auto" w:fill="auto"/>
          </w:tcPr>
          <w:p w:rsidR="00B63A0C" w:rsidRPr="003A1AA8" w:rsidRDefault="00B63A0C" w:rsidP="00AE2A6F">
            <w:pPr>
              <w:pStyle w:val="Tabletext"/>
              <w:jc w:val="right"/>
            </w:pPr>
            <w:r w:rsidRPr="003A1AA8">
              <w:t>0.3 x 10</w:t>
            </w:r>
            <w:r w:rsidR="003A1AA8">
              <w:rPr>
                <w:vertAlign w:val="superscript"/>
              </w:rPr>
              <w:noBreakHyphen/>
            </w:r>
            <w:r w:rsidRPr="003A1AA8">
              <w:rPr>
                <w:vertAlign w:val="superscript"/>
              </w:rPr>
              <w:t>6</w:t>
            </w:r>
          </w:p>
        </w:tc>
      </w:tr>
      <w:tr w:rsidR="00B63A0C" w:rsidRPr="003A1AA8" w:rsidTr="00BC0C7F">
        <w:tc>
          <w:tcPr>
            <w:tcW w:w="851" w:type="dxa"/>
            <w:tcBorders>
              <w:bottom w:val="single" w:sz="12" w:space="0" w:color="auto"/>
            </w:tcBorders>
            <w:shd w:val="clear" w:color="auto" w:fill="auto"/>
          </w:tcPr>
          <w:p w:rsidR="00B63A0C" w:rsidRPr="003A1AA8" w:rsidRDefault="00B63A0C" w:rsidP="00AE2A6F">
            <w:pPr>
              <w:pStyle w:val="Tabletext"/>
            </w:pPr>
            <w:r w:rsidRPr="003A1AA8">
              <w:t>8</w:t>
            </w:r>
          </w:p>
        </w:tc>
        <w:tc>
          <w:tcPr>
            <w:tcW w:w="1843" w:type="dxa"/>
            <w:tcBorders>
              <w:bottom w:val="single" w:sz="12" w:space="0" w:color="auto"/>
            </w:tcBorders>
            <w:shd w:val="clear" w:color="auto" w:fill="auto"/>
          </w:tcPr>
          <w:p w:rsidR="00B63A0C" w:rsidRPr="003A1AA8" w:rsidRDefault="00B63A0C" w:rsidP="00AE2A6F">
            <w:pPr>
              <w:pStyle w:val="Tabletext"/>
            </w:pPr>
            <w:r w:rsidRPr="003A1AA8">
              <w:t>Northern Territory</w:t>
            </w:r>
          </w:p>
        </w:tc>
        <w:tc>
          <w:tcPr>
            <w:tcW w:w="2126" w:type="dxa"/>
            <w:tcBorders>
              <w:bottom w:val="single" w:sz="12" w:space="0" w:color="auto"/>
            </w:tcBorders>
            <w:shd w:val="clear" w:color="auto" w:fill="auto"/>
          </w:tcPr>
          <w:p w:rsidR="00B63A0C" w:rsidRPr="003A1AA8" w:rsidRDefault="004E37B9" w:rsidP="00AE2A6F">
            <w:pPr>
              <w:pStyle w:val="Tabletext"/>
              <w:jc w:val="right"/>
            </w:pPr>
            <w:r w:rsidRPr="003A1AA8">
              <w:t>n/a</w:t>
            </w:r>
          </w:p>
        </w:tc>
        <w:tc>
          <w:tcPr>
            <w:tcW w:w="2364" w:type="dxa"/>
            <w:tcBorders>
              <w:bottom w:val="single" w:sz="12" w:space="0" w:color="auto"/>
            </w:tcBorders>
            <w:shd w:val="clear" w:color="auto" w:fill="auto"/>
          </w:tcPr>
          <w:p w:rsidR="00B63A0C" w:rsidRPr="003A1AA8" w:rsidRDefault="004E37B9" w:rsidP="00AE2A6F">
            <w:pPr>
              <w:pStyle w:val="Tabletext"/>
              <w:jc w:val="right"/>
            </w:pPr>
            <w:r w:rsidRPr="003A1AA8">
              <w:t>n/a</w:t>
            </w:r>
          </w:p>
        </w:tc>
      </w:tr>
    </w:tbl>
    <w:p w:rsidR="00B63A0C" w:rsidRPr="003A1AA8" w:rsidRDefault="00B63A0C" w:rsidP="00B63A0C">
      <w:pPr>
        <w:pStyle w:val="Tabletext"/>
      </w:pPr>
    </w:p>
    <w:p w:rsidR="00B63A0C" w:rsidRPr="003A1AA8" w:rsidRDefault="00B63A0C" w:rsidP="00B63A0C">
      <w:pPr>
        <w:pStyle w:val="subsection"/>
      </w:pPr>
      <w:r w:rsidRPr="003A1AA8">
        <w:tab/>
        <w:t>(3)</w:t>
      </w:r>
      <w:r w:rsidRPr="003A1AA8">
        <w:tab/>
        <w:t>The following table sets out permitted methane flux rates for intermediate cover.</w:t>
      </w:r>
    </w:p>
    <w:p w:rsidR="00B63A0C" w:rsidRPr="003A1AA8" w:rsidRDefault="00B63A0C" w:rsidP="00B63A0C">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1984"/>
        <w:gridCol w:w="1985"/>
        <w:gridCol w:w="2364"/>
      </w:tblGrid>
      <w:tr w:rsidR="00B63A0C" w:rsidRPr="003A1AA8" w:rsidTr="00AE2A6F">
        <w:trPr>
          <w:tblHeader/>
        </w:trPr>
        <w:tc>
          <w:tcPr>
            <w:tcW w:w="7184" w:type="dxa"/>
            <w:gridSpan w:val="4"/>
            <w:tcBorders>
              <w:top w:val="single" w:sz="12" w:space="0" w:color="auto"/>
              <w:bottom w:val="single" w:sz="6" w:space="0" w:color="auto"/>
            </w:tcBorders>
            <w:shd w:val="clear" w:color="auto" w:fill="auto"/>
          </w:tcPr>
          <w:p w:rsidR="00B63A0C" w:rsidRPr="003A1AA8" w:rsidRDefault="00B63A0C" w:rsidP="00B63A0C">
            <w:pPr>
              <w:pStyle w:val="TableHeading"/>
            </w:pPr>
            <w:r w:rsidRPr="003A1AA8">
              <w:t xml:space="preserve">Permitted methane flux rates for </w:t>
            </w:r>
            <w:r w:rsidR="00AC13B0" w:rsidRPr="003A1AA8">
              <w:t>intermediate</w:t>
            </w:r>
            <w:r w:rsidRPr="003A1AA8">
              <w:t xml:space="preserve"> cover</w:t>
            </w:r>
            <w:r w:rsidR="00AC13B0" w:rsidRPr="003A1AA8">
              <w:t xml:space="preserve"> (C</w:t>
            </w:r>
            <w:r w:rsidR="00AC13B0" w:rsidRPr="003A1AA8">
              <w:rPr>
                <w:vertAlign w:val="subscript"/>
              </w:rPr>
              <w:t>x</w:t>
            </w:r>
            <w:r w:rsidR="00AC13B0" w:rsidRPr="003A1AA8">
              <w:t>)</w:t>
            </w:r>
          </w:p>
        </w:tc>
      </w:tr>
      <w:tr w:rsidR="00B63A0C" w:rsidRPr="003A1AA8" w:rsidTr="00BC0C7F">
        <w:trPr>
          <w:tblHeader/>
        </w:trPr>
        <w:tc>
          <w:tcPr>
            <w:tcW w:w="851" w:type="dxa"/>
            <w:tcBorders>
              <w:top w:val="single" w:sz="6" w:space="0" w:color="auto"/>
              <w:bottom w:val="single" w:sz="12" w:space="0" w:color="auto"/>
            </w:tcBorders>
            <w:shd w:val="clear" w:color="auto" w:fill="auto"/>
          </w:tcPr>
          <w:p w:rsidR="00B63A0C" w:rsidRPr="003A1AA8" w:rsidRDefault="00B63A0C" w:rsidP="00AE2A6F">
            <w:pPr>
              <w:pStyle w:val="TableHeading"/>
            </w:pPr>
            <w:r w:rsidRPr="003A1AA8">
              <w:t>Item</w:t>
            </w:r>
          </w:p>
        </w:tc>
        <w:tc>
          <w:tcPr>
            <w:tcW w:w="1984" w:type="dxa"/>
            <w:tcBorders>
              <w:top w:val="single" w:sz="6" w:space="0" w:color="auto"/>
              <w:bottom w:val="single" w:sz="12" w:space="0" w:color="auto"/>
            </w:tcBorders>
            <w:shd w:val="clear" w:color="auto" w:fill="auto"/>
          </w:tcPr>
          <w:p w:rsidR="00B63A0C" w:rsidRPr="003A1AA8" w:rsidRDefault="00B63A0C" w:rsidP="00AE2A6F">
            <w:pPr>
              <w:pStyle w:val="TableHeading"/>
            </w:pPr>
            <w:r w:rsidRPr="003A1AA8">
              <w:t>State or Territory</w:t>
            </w:r>
          </w:p>
        </w:tc>
        <w:tc>
          <w:tcPr>
            <w:tcW w:w="1985" w:type="dxa"/>
            <w:tcBorders>
              <w:top w:val="single" w:sz="6" w:space="0" w:color="auto"/>
              <w:bottom w:val="single" w:sz="12" w:space="0" w:color="auto"/>
            </w:tcBorders>
            <w:shd w:val="clear" w:color="auto" w:fill="auto"/>
          </w:tcPr>
          <w:p w:rsidR="00B63A0C" w:rsidRPr="003A1AA8" w:rsidRDefault="00774178" w:rsidP="00AE2A6F">
            <w:pPr>
              <w:pStyle w:val="TableHeading"/>
            </w:pPr>
            <w:r w:rsidRPr="003A1AA8">
              <w:t>Methane concentration limit (CH</w:t>
            </w:r>
            <w:r w:rsidRPr="003A1AA8">
              <w:rPr>
                <w:vertAlign w:val="subscript"/>
              </w:rPr>
              <w:t>4</w:t>
            </w:r>
            <w:r w:rsidRPr="003A1AA8">
              <w:t xml:space="preserve"> ppm)</w:t>
            </w:r>
          </w:p>
        </w:tc>
        <w:tc>
          <w:tcPr>
            <w:tcW w:w="2364" w:type="dxa"/>
            <w:tcBorders>
              <w:top w:val="single" w:sz="6" w:space="0" w:color="auto"/>
              <w:bottom w:val="single" w:sz="12" w:space="0" w:color="auto"/>
            </w:tcBorders>
            <w:shd w:val="clear" w:color="auto" w:fill="auto"/>
          </w:tcPr>
          <w:p w:rsidR="00B63A0C" w:rsidRPr="003A1AA8" w:rsidRDefault="00774178" w:rsidP="006D31E5">
            <w:pPr>
              <w:pStyle w:val="TableHeading"/>
            </w:pPr>
            <w:r w:rsidRPr="003A1AA8">
              <w:t>Permitted methane flux rate estimated from the methane concentration limit (tCH</w:t>
            </w:r>
            <w:r w:rsidRPr="003A1AA8">
              <w:rPr>
                <w:vertAlign w:val="subscript"/>
              </w:rPr>
              <w:t>4</w:t>
            </w:r>
            <w:r w:rsidRPr="003A1AA8">
              <w:t>/</w:t>
            </w:r>
            <w:r w:rsidR="006D31E5" w:rsidRPr="003A1AA8">
              <w:t>m</w:t>
            </w:r>
            <w:r w:rsidR="006D31E5" w:rsidRPr="003A1AA8">
              <w:rPr>
                <w:vertAlign w:val="superscript"/>
              </w:rPr>
              <w:t>2</w:t>
            </w:r>
            <w:r w:rsidRPr="003A1AA8">
              <w:t>/hr)</w:t>
            </w:r>
          </w:p>
        </w:tc>
      </w:tr>
      <w:tr w:rsidR="00B63A0C" w:rsidRPr="003A1AA8" w:rsidTr="00BC0C7F">
        <w:tc>
          <w:tcPr>
            <w:tcW w:w="851" w:type="dxa"/>
            <w:tcBorders>
              <w:top w:val="single" w:sz="12" w:space="0" w:color="auto"/>
            </w:tcBorders>
            <w:shd w:val="clear" w:color="auto" w:fill="auto"/>
          </w:tcPr>
          <w:p w:rsidR="00B63A0C" w:rsidRPr="003A1AA8" w:rsidRDefault="00B63A0C" w:rsidP="00AE2A6F">
            <w:pPr>
              <w:pStyle w:val="Tabletext"/>
            </w:pPr>
            <w:r w:rsidRPr="003A1AA8">
              <w:t>1</w:t>
            </w:r>
          </w:p>
        </w:tc>
        <w:tc>
          <w:tcPr>
            <w:tcW w:w="1984" w:type="dxa"/>
            <w:tcBorders>
              <w:top w:val="single" w:sz="12" w:space="0" w:color="auto"/>
            </w:tcBorders>
            <w:shd w:val="clear" w:color="auto" w:fill="auto"/>
          </w:tcPr>
          <w:p w:rsidR="00B63A0C" w:rsidRPr="003A1AA8" w:rsidRDefault="00B63A0C" w:rsidP="00AE2A6F">
            <w:pPr>
              <w:pStyle w:val="Tabletext"/>
            </w:pPr>
            <w:r w:rsidRPr="003A1AA8">
              <w:t>New South Wales</w:t>
            </w:r>
          </w:p>
        </w:tc>
        <w:tc>
          <w:tcPr>
            <w:tcW w:w="1985" w:type="dxa"/>
            <w:tcBorders>
              <w:top w:val="single" w:sz="12" w:space="0" w:color="auto"/>
            </w:tcBorders>
            <w:shd w:val="clear" w:color="auto" w:fill="auto"/>
          </w:tcPr>
          <w:p w:rsidR="00B63A0C" w:rsidRPr="003A1AA8" w:rsidRDefault="00B63A0C" w:rsidP="00AE2A6F">
            <w:pPr>
              <w:pStyle w:val="Tabletext"/>
              <w:jc w:val="right"/>
            </w:pPr>
            <w:r w:rsidRPr="003A1AA8">
              <w:t>500</w:t>
            </w:r>
          </w:p>
        </w:tc>
        <w:tc>
          <w:tcPr>
            <w:tcW w:w="2364" w:type="dxa"/>
            <w:tcBorders>
              <w:top w:val="single" w:sz="12" w:space="0" w:color="auto"/>
            </w:tcBorders>
            <w:shd w:val="clear" w:color="auto" w:fill="auto"/>
          </w:tcPr>
          <w:p w:rsidR="00B63A0C" w:rsidRPr="003A1AA8" w:rsidRDefault="00B63A0C" w:rsidP="00AE2A6F">
            <w:pPr>
              <w:pStyle w:val="Tabletext"/>
              <w:jc w:val="right"/>
              <w:rPr>
                <w:vertAlign w:val="superscript"/>
              </w:rPr>
            </w:pPr>
            <w:r w:rsidRPr="003A1AA8">
              <w:t>2.5 x 10</w:t>
            </w:r>
            <w:r w:rsidR="003A1AA8">
              <w:rPr>
                <w:vertAlign w:val="superscript"/>
              </w:rPr>
              <w:noBreakHyphen/>
            </w:r>
            <w:r w:rsidRPr="003A1AA8">
              <w:rPr>
                <w:vertAlign w:val="superscript"/>
              </w:rPr>
              <w:t>6</w:t>
            </w:r>
          </w:p>
        </w:tc>
      </w:tr>
      <w:tr w:rsidR="00B63A0C" w:rsidRPr="003A1AA8" w:rsidTr="00BC0C7F">
        <w:tc>
          <w:tcPr>
            <w:tcW w:w="851" w:type="dxa"/>
            <w:shd w:val="clear" w:color="auto" w:fill="auto"/>
          </w:tcPr>
          <w:p w:rsidR="00B63A0C" w:rsidRPr="003A1AA8" w:rsidRDefault="00B63A0C" w:rsidP="00AE2A6F">
            <w:pPr>
              <w:pStyle w:val="Tabletext"/>
            </w:pPr>
            <w:r w:rsidRPr="003A1AA8">
              <w:lastRenderedPageBreak/>
              <w:t>2</w:t>
            </w:r>
          </w:p>
        </w:tc>
        <w:tc>
          <w:tcPr>
            <w:tcW w:w="1984" w:type="dxa"/>
            <w:shd w:val="clear" w:color="auto" w:fill="auto"/>
          </w:tcPr>
          <w:p w:rsidR="00B63A0C" w:rsidRPr="003A1AA8" w:rsidRDefault="00B63A0C" w:rsidP="00AE2A6F">
            <w:pPr>
              <w:pStyle w:val="Tabletext"/>
            </w:pPr>
            <w:r w:rsidRPr="003A1AA8">
              <w:t>Victoria</w:t>
            </w:r>
          </w:p>
        </w:tc>
        <w:tc>
          <w:tcPr>
            <w:tcW w:w="1985" w:type="dxa"/>
            <w:shd w:val="clear" w:color="auto" w:fill="auto"/>
          </w:tcPr>
          <w:p w:rsidR="00B63A0C" w:rsidRPr="003A1AA8" w:rsidRDefault="00B63A0C" w:rsidP="00AE2A6F">
            <w:pPr>
              <w:pStyle w:val="Tabletext"/>
              <w:jc w:val="right"/>
            </w:pPr>
            <w:r w:rsidRPr="003A1AA8">
              <w:t>100</w:t>
            </w:r>
          </w:p>
        </w:tc>
        <w:tc>
          <w:tcPr>
            <w:tcW w:w="2364" w:type="dxa"/>
            <w:shd w:val="clear" w:color="auto" w:fill="auto"/>
          </w:tcPr>
          <w:p w:rsidR="00B63A0C" w:rsidRPr="003A1AA8" w:rsidRDefault="00B63A0C" w:rsidP="00AE2A6F">
            <w:pPr>
              <w:pStyle w:val="Tabletext"/>
              <w:jc w:val="right"/>
            </w:pPr>
            <w:r w:rsidRPr="003A1AA8">
              <w:t>0.3 x 10</w:t>
            </w:r>
            <w:r w:rsidR="003A1AA8">
              <w:rPr>
                <w:vertAlign w:val="superscript"/>
              </w:rPr>
              <w:noBreakHyphen/>
            </w:r>
            <w:r w:rsidRPr="003A1AA8">
              <w:rPr>
                <w:vertAlign w:val="superscript"/>
              </w:rPr>
              <w:t>6</w:t>
            </w:r>
          </w:p>
        </w:tc>
      </w:tr>
      <w:tr w:rsidR="00B63A0C" w:rsidRPr="003A1AA8" w:rsidTr="00BC0C7F">
        <w:tc>
          <w:tcPr>
            <w:tcW w:w="851" w:type="dxa"/>
            <w:shd w:val="clear" w:color="auto" w:fill="auto"/>
          </w:tcPr>
          <w:p w:rsidR="00B63A0C" w:rsidRPr="003A1AA8" w:rsidRDefault="00B63A0C" w:rsidP="00AE2A6F">
            <w:pPr>
              <w:pStyle w:val="Tabletext"/>
            </w:pPr>
            <w:r w:rsidRPr="003A1AA8">
              <w:t>3</w:t>
            </w:r>
          </w:p>
        </w:tc>
        <w:tc>
          <w:tcPr>
            <w:tcW w:w="1984" w:type="dxa"/>
            <w:shd w:val="clear" w:color="auto" w:fill="auto"/>
          </w:tcPr>
          <w:p w:rsidR="00B63A0C" w:rsidRPr="003A1AA8" w:rsidRDefault="00B63A0C" w:rsidP="00AE2A6F">
            <w:pPr>
              <w:pStyle w:val="Tabletext"/>
            </w:pPr>
            <w:r w:rsidRPr="003A1AA8">
              <w:t>Queensland</w:t>
            </w:r>
          </w:p>
        </w:tc>
        <w:tc>
          <w:tcPr>
            <w:tcW w:w="1985" w:type="dxa"/>
            <w:shd w:val="clear" w:color="auto" w:fill="auto"/>
          </w:tcPr>
          <w:p w:rsidR="00B63A0C" w:rsidRPr="003A1AA8" w:rsidRDefault="00B63A0C" w:rsidP="00AE2A6F">
            <w:pPr>
              <w:pStyle w:val="Tabletext"/>
              <w:jc w:val="right"/>
            </w:pPr>
            <w:r w:rsidRPr="003A1AA8">
              <w:t>500</w:t>
            </w:r>
          </w:p>
        </w:tc>
        <w:tc>
          <w:tcPr>
            <w:tcW w:w="2364" w:type="dxa"/>
            <w:shd w:val="clear" w:color="auto" w:fill="auto"/>
          </w:tcPr>
          <w:p w:rsidR="00B63A0C" w:rsidRPr="003A1AA8" w:rsidRDefault="00B63A0C" w:rsidP="00AE2A6F">
            <w:pPr>
              <w:pStyle w:val="Tabletext"/>
              <w:jc w:val="right"/>
            </w:pPr>
            <w:r w:rsidRPr="003A1AA8">
              <w:t>2.5 x 10</w:t>
            </w:r>
            <w:r w:rsidR="003A1AA8">
              <w:rPr>
                <w:vertAlign w:val="superscript"/>
              </w:rPr>
              <w:noBreakHyphen/>
            </w:r>
            <w:r w:rsidRPr="003A1AA8">
              <w:rPr>
                <w:vertAlign w:val="superscript"/>
              </w:rPr>
              <w:t>6</w:t>
            </w:r>
          </w:p>
        </w:tc>
      </w:tr>
      <w:tr w:rsidR="00B63A0C" w:rsidRPr="003A1AA8" w:rsidTr="00BC0C7F">
        <w:tc>
          <w:tcPr>
            <w:tcW w:w="851" w:type="dxa"/>
            <w:tcBorders>
              <w:bottom w:val="single" w:sz="4" w:space="0" w:color="auto"/>
            </w:tcBorders>
            <w:shd w:val="clear" w:color="auto" w:fill="auto"/>
          </w:tcPr>
          <w:p w:rsidR="00B63A0C" w:rsidRPr="003A1AA8" w:rsidRDefault="00B63A0C" w:rsidP="00AE2A6F">
            <w:pPr>
              <w:pStyle w:val="Tabletext"/>
            </w:pPr>
            <w:r w:rsidRPr="003A1AA8">
              <w:t>4</w:t>
            </w:r>
          </w:p>
        </w:tc>
        <w:tc>
          <w:tcPr>
            <w:tcW w:w="1984" w:type="dxa"/>
            <w:tcBorders>
              <w:bottom w:val="single" w:sz="4" w:space="0" w:color="auto"/>
            </w:tcBorders>
            <w:shd w:val="clear" w:color="auto" w:fill="auto"/>
          </w:tcPr>
          <w:p w:rsidR="00B63A0C" w:rsidRPr="003A1AA8" w:rsidRDefault="00B63A0C" w:rsidP="00AE2A6F">
            <w:pPr>
              <w:pStyle w:val="Tabletext"/>
            </w:pPr>
            <w:r w:rsidRPr="003A1AA8">
              <w:t>Western Australia</w:t>
            </w:r>
          </w:p>
        </w:tc>
        <w:tc>
          <w:tcPr>
            <w:tcW w:w="1985" w:type="dxa"/>
            <w:tcBorders>
              <w:bottom w:val="single" w:sz="4" w:space="0" w:color="auto"/>
            </w:tcBorders>
            <w:shd w:val="clear" w:color="auto" w:fill="auto"/>
          </w:tcPr>
          <w:p w:rsidR="00B63A0C" w:rsidRPr="003A1AA8" w:rsidRDefault="00B63A0C" w:rsidP="00AE2A6F">
            <w:pPr>
              <w:pStyle w:val="Tabletext"/>
              <w:jc w:val="right"/>
            </w:pPr>
            <w:r w:rsidRPr="003A1AA8">
              <w:t>500</w:t>
            </w:r>
          </w:p>
        </w:tc>
        <w:tc>
          <w:tcPr>
            <w:tcW w:w="2364" w:type="dxa"/>
            <w:tcBorders>
              <w:bottom w:val="single" w:sz="4" w:space="0" w:color="auto"/>
            </w:tcBorders>
            <w:shd w:val="clear" w:color="auto" w:fill="auto"/>
          </w:tcPr>
          <w:p w:rsidR="00B63A0C" w:rsidRPr="003A1AA8" w:rsidRDefault="00B63A0C" w:rsidP="00AE2A6F">
            <w:pPr>
              <w:pStyle w:val="Tabletext"/>
              <w:jc w:val="right"/>
            </w:pPr>
            <w:r w:rsidRPr="003A1AA8">
              <w:t>2.5 x 10</w:t>
            </w:r>
            <w:r w:rsidR="003A1AA8">
              <w:rPr>
                <w:vertAlign w:val="superscript"/>
              </w:rPr>
              <w:noBreakHyphen/>
            </w:r>
            <w:r w:rsidRPr="003A1AA8">
              <w:rPr>
                <w:vertAlign w:val="superscript"/>
              </w:rPr>
              <w:t>6</w:t>
            </w:r>
          </w:p>
        </w:tc>
      </w:tr>
      <w:tr w:rsidR="00B63A0C" w:rsidRPr="003A1AA8" w:rsidTr="00BC0C7F">
        <w:tc>
          <w:tcPr>
            <w:tcW w:w="851" w:type="dxa"/>
            <w:shd w:val="clear" w:color="auto" w:fill="auto"/>
          </w:tcPr>
          <w:p w:rsidR="00B63A0C" w:rsidRPr="003A1AA8" w:rsidRDefault="00B63A0C" w:rsidP="00AE2A6F">
            <w:pPr>
              <w:pStyle w:val="Tabletext"/>
            </w:pPr>
            <w:r w:rsidRPr="003A1AA8">
              <w:t>5</w:t>
            </w:r>
          </w:p>
        </w:tc>
        <w:tc>
          <w:tcPr>
            <w:tcW w:w="1984" w:type="dxa"/>
            <w:shd w:val="clear" w:color="auto" w:fill="auto"/>
          </w:tcPr>
          <w:p w:rsidR="00B63A0C" w:rsidRPr="003A1AA8" w:rsidRDefault="00B63A0C" w:rsidP="00AE2A6F">
            <w:pPr>
              <w:pStyle w:val="Tabletext"/>
            </w:pPr>
            <w:r w:rsidRPr="003A1AA8">
              <w:t>South Australia</w:t>
            </w:r>
          </w:p>
        </w:tc>
        <w:tc>
          <w:tcPr>
            <w:tcW w:w="1985" w:type="dxa"/>
            <w:shd w:val="clear" w:color="auto" w:fill="auto"/>
          </w:tcPr>
          <w:p w:rsidR="00B63A0C" w:rsidRPr="003A1AA8" w:rsidRDefault="004E37B9" w:rsidP="00AE2A6F">
            <w:pPr>
              <w:pStyle w:val="Tabletext"/>
              <w:jc w:val="right"/>
            </w:pPr>
            <w:r w:rsidRPr="003A1AA8">
              <w:t>n/a</w:t>
            </w:r>
          </w:p>
        </w:tc>
        <w:tc>
          <w:tcPr>
            <w:tcW w:w="2364" w:type="dxa"/>
            <w:shd w:val="clear" w:color="auto" w:fill="auto"/>
          </w:tcPr>
          <w:p w:rsidR="00B63A0C" w:rsidRPr="003A1AA8" w:rsidRDefault="004E37B9" w:rsidP="00AE2A6F">
            <w:pPr>
              <w:pStyle w:val="Tabletext"/>
              <w:jc w:val="right"/>
            </w:pPr>
            <w:r w:rsidRPr="003A1AA8">
              <w:t>n/a</w:t>
            </w:r>
          </w:p>
        </w:tc>
      </w:tr>
      <w:tr w:rsidR="00B63A0C" w:rsidRPr="003A1AA8" w:rsidTr="00BC0C7F">
        <w:tc>
          <w:tcPr>
            <w:tcW w:w="851" w:type="dxa"/>
            <w:shd w:val="clear" w:color="auto" w:fill="auto"/>
          </w:tcPr>
          <w:p w:rsidR="00B63A0C" w:rsidRPr="003A1AA8" w:rsidRDefault="00B63A0C" w:rsidP="00AE2A6F">
            <w:pPr>
              <w:pStyle w:val="Tabletext"/>
            </w:pPr>
            <w:r w:rsidRPr="003A1AA8">
              <w:t>6</w:t>
            </w:r>
          </w:p>
        </w:tc>
        <w:tc>
          <w:tcPr>
            <w:tcW w:w="1984" w:type="dxa"/>
            <w:shd w:val="clear" w:color="auto" w:fill="auto"/>
          </w:tcPr>
          <w:p w:rsidR="00B63A0C" w:rsidRPr="003A1AA8" w:rsidRDefault="00B63A0C" w:rsidP="00AE2A6F">
            <w:pPr>
              <w:pStyle w:val="Tabletext"/>
            </w:pPr>
            <w:r w:rsidRPr="003A1AA8">
              <w:t>Tasmania</w:t>
            </w:r>
          </w:p>
        </w:tc>
        <w:tc>
          <w:tcPr>
            <w:tcW w:w="1985" w:type="dxa"/>
            <w:shd w:val="clear" w:color="auto" w:fill="auto"/>
          </w:tcPr>
          <w:p w:rsidR="00B63A0C" w:rsidRPr="003A1AA8" w:rsidRDefault="00B63A0C" w:rsidP="00AE2A6F">
            <w:pPr>
              <w:pStyle w:val="Tabletext"/>
              <w:jc w:val="right"/>
            </w:pPr>
            <w:r w:rsidRPr="003A1AA8">
              <w:t>500</w:t>
            </w:r>
          </w:p>
        </w:tc>
        <w:tc>
          <w:tcPr>
            <w:tcW w:w="2364" w:type="dxa"/>
            <w:shd w:val="clear" w:color="auto" w:fill="auto"/>
          </w:tcPr>
          <w:p w:rsidR="00B63A0C" w:rsidRPr="003A1AA8" w:rsidRDefault="00B63A0C" w:rsidP="00AE2A6F">
            <w:pPr>
              <w:pStyle w:val="Tabletext"/>
              <w:jc w:val="right"/>
            </w:pPr>
            <w:r w:rsidRPr="003A1AA8">
              <w:t>2.5 x 10</w:t>
            </w:r>
            <w:r w:rsidR="003A1AA8">
              <w:rPr>
                <w:vertAlign w:val="superscript"/>
              </w:rPr>
              <w:noBreakHyphen/>
            </w:r>
            <w:r w:rsidRPr="003A1AA8">
              <w:rPr>
                <w:vertAlign w:val="superscript"/>
              </w:rPr>
              <w:t>6</w:t>
            </w:r>
          </w:p>
        </w:tc>
      </w:tr>
      <w:tr w:rsidR="00B63A0C" w:rsidRPr="003A1AA8" w:rsidTr="00BC0C7F">
        <w:tc>
          <w:tcPr>
            <w:tcW w:w="851" w:type="dxa"/>
            <w:shd w:val="clear" w:color="auto" w:fill="auto"/>
          </w:tcPr>
          <w:p w:rsidR="00B63A0C" w:rsidRPr="003A1AA8" w:rsidRDefault="00B63A0C" w:rsidP="00AE2A6F">
            <w:pPr>
              <w:pStyle w:val="Tabletext"/>
            </w:pPr>
            <w:r w:rsidRPr="003A1AA8">
              <w:t>7</w:t>
            </w:r>
          </w:p>
        </w:tc>
        <w:tc>
          <w:tcPr>
            <w:tcW w:w="1984" w:type="dxa"/>
            <w:shd w:val="clear" w:color="auto" w:fill="auto"/>
          </w:tcPr>
          <w:p w:rsidR="00B63A0C" w:rsidRPr="003A1AA8" w:rsidRDefault="00B63A0C" w:rsidP="00AE2A6F">
            <w:pPr>
              <w:pStyle w:val="Tabletext"/>
            </w:pPr>
            <w:r w:rsidRPr="003A1AA8">
              <w:t>Australian Capital Territory</w:t>
            </w:r>
          </w:p>
        </w:tc>
        <w:tc>
          <w:tcPr>
            <w:tcW w:w="1985" w:type="dxa"/>
            <w:shd w:val="clear" w:color="auto" w:fill="auto"/>
          </w:tcPr>
          <w:p w:rsidR="00B63A0C" w:rsidRPr="003A1AA8" w:rsidRDefault="00B63A0C" w:rsidP="00AE2A6F">
            <w:pPr>
              <w:pStyle w:val="Tabletext"/>
              <w:jc w:val="right"/>
            </w:pPr>
            <w:r w:rsidRPr="003A1AA8">
              <w:t>100</w:t>
            </w:r>
          </w:p>
        </w:tc>
        <w:tc>
          <w:tcPr>
            <w:tcW w:w="2364" w:type="dxa"/>
            <w:shd w:val="clear" w:color="auto" w:fill="auto"/>
          </w:tcPr>
          <w:p w:rsidR="00B63A0C" w:rsidRPr="003A1AA8" w:rsidRDefault="00B63A0C" w:rsidP="00AE2A6F">
            <w:pPr>
              <w:pStyle w:val="Tabletext"/>
              <w:jc w:val="right"/>
            </w:pPr>
            <w:r w:rsidRPr="003A1AA8">
              <w:t>0.3 x 10</w:t>
            </w:r>
            <w:r w:rsidR="003A1AA8">
              <w:rPr>
                <w:vertAlign w:val="superscript"/>
              </w:rPr>
              <w:noBreakHyphen/>
            </w:r>
            <w:r w:rsidRPr="003A1AA8">
              <w:rPr>
                <w:vertAlign w:val="superscript"/>
              </w:rPr>
              <w:t>6</w:t>
            </w:r>
          </w:p>
        </w:tc>
      </w:tr>
      <w:tr w:rsidR="00B63A0C" w:rsidRPr="003A1AA8" w:rsidTr="00BC0C7F">
        <w:tc>
          <w:tcPr>
            <w:tcW w:w="851" w:type="dxa"/>
            <w:tcBorders>
              <w:bottom w:val="single" w:sz="12" w:space="0" w:color="auto"/>
            </w:tcBorders>
            <w:shd w:val="clear" w:color="auto" w:fill="auto"/>
          </w:tcPr>
          <w:p w:rsidR="00B63A0C" w:rsidRPr="003A1AA8" w:rsidRDefault="00B63A0C" w:rsidP="00AE2A6F">
            <w:pPr>
              <w:pStyle w:val="Tabletext"/>
            </w:pPr>
            <w:r w:rsidRPr="003A1AA8">
              <w:t>8</w:t>
            </w:r>
          </w:p>
        </w:tc>
        <w:tc>
          <w:tcPr>
            <w:tcW w:w="1984" w:type="dxa"/>
            <w:tcBorders>
              <w:bottom w:val="single" w:sz="12" w:space="0" w:color="auto"/>
            </w:tcBorders>
            <w:shd w:val="clear" w:color="auto" w:fill="auto"/>
          </w:tcPr>
          <w:p w:rsidR="00B63A0C" w:rsidRPr="003A1AA8" w:rsidRDefault="00B63A0C" w:rsidP="00AE2A6F">
            <w:pPr>
              <w:pStyle w:val="Tabletext"/>
            </w:pPr>
            <w:r w:rsidRPr="003A1AA8">
              <w:t>Northern Territory</w:t>
            </w:r>
          </w:p>
        </w:tc>
        <w:tc>
          <w:tcPr>
            <w:tcW w:w="1985" w:type="dxa"/>
            <w:tcBorders>
              <w:bottom w:val="single" w:sz="12" w:space="0" w:color="auto"/>
            </w:tcBorders>
            <w:shd w:val="clear" w:color="auto" w:fill="auto"/>
          </w:tcPr>
          <w:p w:rsidR="00B63A0C" w:rsidRPr="003A1AA8" w:rsidRDefault="004E37B9" w:rsidP="00AE2A6F">
            <w:pPr>
              <w:pStyle w:val="Tabletext"/>
              <w:jc w:val="right"/>
            </w:pPr>
            <w:r w:rsidRPr="003A1AA8">
              <w:t>n/a</w:t>
            </w:r>
          </w:p>
        </w:tc>
        <w:tc>
          <w:tcPr>
            <w:tcW w:w="2364" w:type="dxa"/>
            <w:tcBorders>
              <w:bottom w:val="single" w:sz="12" w:space="0" w:color="auto"/>
            </w:tcBorders>
            <w:shd w:val="clear" w:color="auto" w:fill="auto"/>
          </w:tcPr>
          <w:p w:rsidR="00B63A0C" w:rsidRPr="003A1AA8" w:rsidRDefault="004E37B9" w:rsidP="00AE2A6F">
            <w:pPr>
              <w:pStyle w:val="Tabletext"/>
              <w:jc w:val="right"/>
            </w:pPr>
            <w:r w:rsidRPr="003A1AA8">
              <w:t>n/a</w:t>
            </w:r>
          </w:p>
        </w:tc>
      </w:tr>
    </w:tbl>
    <w:p w:rsidR="00B63A0C" w:rsidRPr="003A1AA8" w:rsidRDefault="00B63A0C" w:rsidP="00B63A0C">
      <w:pPr>
        <w:pStyle w:val="Tabletext"/>
      </w:pPr>
    </w:p>
    <w:p w:rsidR="00B63A0C" w:rsidRPr="003A1AA8" w:rsidRDefault="00A428DC" w:rsidP="00A428DC">
      <w:pPr>
        <w:pStyle w:val="ActHead5"/>
      </w:pPr>
      <w:bookmarkStart w:id="84" w:name="_Toc407104188"/>
      <w:r w:rsidRPr="003A1AA8">
        <w:rPr>
          <w:rStyle w:val="CharSectno"/>
        </w:rPr>
        <w:t>5</w:t>
      </w:r>
      <w:r w:rsidRPr="003A1AA8">
        <w:t xml:space="preserve">  Annual amount of methane permitted to be emitted from daily/operational cover</w:t>
      </w:r>
      <w:bookmarkEnd w:id="84"/>
    </w:p>
    <w:p w:rsidR="00AC13B0" w:rsidRPr="003A1AA8" w:rsidRDefault="00AC13B0" w:rsidP="00A428DC">
      <w:pPr>
        <w:pStyle w:val="subsection"/>
      </w:pPr>
      <w:r w:rsidRPr="003A1AA8">
        <w:tab/>
      </w:r>
      <w:r w:rsidRPr="003A1AA8">
        <w:tab/>
        <w:t>The annual amount of methane that is permitted to be emitted from the daily/operational cover of the landfill (M</w:t>
      </w:r>
      <w:r w:rsidRPr="003A1AA8">
        <w:rPr>
          <w:vertAlign w:val="subscript"/>
        </w:rPr>
        <w:t>Reg,D</w:t>
      </w:r>
      <w:r w:rsidRPr="003A1AA8">
        <w:t xml:space="preserve">) is equivalent to parameter </w:t>
      </w:r>
      <w:r w:rsidR="006B1F35" w:rsidRPr="003A1AA8">
        <w:t>M</w:t>
      </w:r>
      <w:r w:rsidR="006D6B5E" w:rsidRPr="003A1AA8">
        <w:rPr>
          <w:vertAlign w:val="subscript"/>
        </w:rPr>
        <w:t>Gen</w:t>
      </w:r>
      <w:r w:rsidR="006B1F35" w:rsidRPr="003A1AA8">
        <w:rPr>
          <w:vertAlign w:val="subscript"/>
        </w:rPr>
        <w:t>,y</w:t>
      </w:r>
      <w:r w:rsidR="006B1F35" w:rsidRPr="003A1AA8">
        <w:t>, in tonnes CO</w:t>
      </w:r>
      <w:r w:rsidR="006B1F35" w:rsidRPr="003A1AA8">
        <w:rPr>
          <w:vertAlign w:val="subscript"/>
        </w:rPr>
        <w:t>2</w:t>
      </w:r>
      <w:r w:rsidR="003A1AA8">
        <w:noBreakHyphen/>
      </w:r>
      <w:r w:rsidR="006B1F35" w:rsidRPr="003A1AA8">
        <w:t>e, worked out using subsection</w:t>
      </w:r>
      <w:r w:rsidR="003A1AA8" w:rsidRPr="003A1AA8">
        <w:t> </w:t>
      </w:r>
      <w:r w:rsidR="006B1D9F" w:rsidRPr="003A1AA8">
        <w:t>22</w:t>
      </w:r>
      <w:r w:rsidR="006B1F35" w:rsidRPr="003A1AA8">
        <w:t>(3) where the calculat</w:t>
      </w:r>
      <w:r w:rsidR="005D7978" w:rsidRPr="003A1AA8">
        <w:t>ion is based only on the waste s</w:t>
      </w:r>
      <w:r w:rsidR="006B1F35" w:rsidRPr="003A1AA8">
        <w:t>ited vertically below the daily/operational cover.</w:t>
      </w:r>
    </w:p>
    <w:p w:rsidR="00BC305F" w:rsidRPr="003A1AA8" w:rsidRDefault="002D125C" w:rsidP="00BC305F">
      <w:pPr>
        <w:pStyle w:val="ActHead2"/>
        <w:pageBreakBefore/>
      </w:pPr>
      <w:bookmarkStart w:id="85" w:name="_Toc407104189"/>
      <w:r w:rsidRPr="003A1AA8">
        <w:rPr>
          <w:rStyle w:val="CharPartNo"/>
        </w:rPr>
        <w:lastRenderedPageBreak/>
        <w:t>Part</w:t>
      </w:r>
      <w:r w:rsidR="003A1AA8" w:rsidRPr="003A1AA8">
        <w:rPr>
          <w:rStyle w:val="CharPartNo"/>
        </w:rPr>
        <w:t> </w:t>
      </w:r>
      <w:r w:rsidRPr="003A1AA8">
        <w:rPr>
          <w:rStyle w:val="CharPartNo"/>
        </w:rPr>
        <w:t>3</w:t>
      </w:r>
      <w:r w:rsidRPr="003A1AA8">
        <w:t>—</w:t>
      </w:r>
      <w:r w:rsidR="00A428DC" w:rsidRPr="003A1AA8">
        <w:rPr>
          <w:rStyle w:val="CharPartText"/>
        </w:rPr>
        <w:t xml:space="preserve">Regulatory proportion determined </w:t>
      </w:r>
      <w:r w:rsidR="002E7233" w:rsidRPr="003A1AA8">
        <w:rPr>
          <w:rStyle w:val="CharPartText"/>
        </w:rPr>
        <w:t>by asking</w:t>
      </w:r>
      <w:r w:rsidR="00A428DC" w:rsidRPr="003A1AA8">
        <w:rPr>
          <w:rStyle w:val="CharPartText"/>
        </w:rPr>
        <w:t xml:space="preserve"> </w:t>
      </w:r>
      <w:r w:rsidR="009D4879" w:rsidRPr="003A1AA8">
        <w:rPr>
          <w:rStyle w:val="CharPartText"/>
        </w:rPr>
        <w:t>environmental</w:t>
      </w:r>
      <w:r w:rsidR="00505672" w:rsidRPr="003A1AA8">
        <w:rPr>
          <w:rStyle w:val="CharPartText"/>
        </w:rPr>
        <w:t xml:space="preserve"> regulator</w:t>
      </w:r>
      <w:bookmarkEnd w:id="85"/>
    </w:p>
    <w:p w:rsidR="00D658E6" w:rsidRPr="003A1AA8" w:rsidRDefault="00D658E6" w:rsidP="00D658E6">
      <w:pPr>
        <w:pStyle w:val="Header"/>
      </w:pPr>
      <w:r w:rsidRPr="003A1AA8">
        <w:rPr>
          <w:rStyle w:val="CharDivNo"/>
        </w:rPr>
        <w:t xml:space="preserve"> </w:t>
      </w:r>
      <w:r w:rsidRPr="003A1AA8">
        <w:rPr>
          <w:rStyle w:val="CharDivText"/>
        </w:rPr>
        <w:t xml:space="preserve"> </w:t>
      </w:r>
    </w:p>
    <w:p w:rsidR="002D125C" w:rsidRPr="003A1AA8" w:rsidRDefault="00A428DC" w:rsidP="002D125C">
      <w:pPr>
        <w:pStyle w:val="ActHead5"/>
      </w:pPr>
      <w:bookmarkStart w:id="86" w:name="_Toc407104190"/>
      <w:r w:rsidRPr="003A1AA8">
        <w:rPr>
          <w:rStyle w:val="CharSectno"/>
        </w:rPr>
        <w:t>6</w:t>
      </w:r>
      <w:r w:rsidR="002D125C" w:rsidRPr="003A1AA8">
        <w:t xml:space="preserve">  </w:t>
      </w:r>
      <w:r w:rsidR="002E7233" w:rsidRPr="003A1AA8">
        <w:t>Regulatory proportion determined by asking environmental regulator</w:t>
      </w:r>
      <w:bookmarkEnd w:id="86"/>
    </w:p>
    <w:p w:rsidR="00505672" w:rsidRPr="003A1AA8" w:rsidRDefault="00505672" w:rsidP="00505672">
      <w:pPr>
        <w:pStyle w:val="subsection"/>
      </w:pPr>
      <w:r w:rsidRPr="003A1AA8">
        <w:tab/>
        <w:t>(1)</w:t>
      </w:r>
      <w:r w:rsidRPr="003A1AA8">
        <w:tab/>
      </w:r>
      <w:r w:rsidR="00691B26" w:rsidRPr="003A1AA8">
        <w:t>W</w:t>
      </w:r>
      <w:r w:rsidR="00691B26" w:rsidRPr="003A1AA8">
        <w:rPr>
          <w:vertAlign w:val="subscript"/>
        </w:rPr>
        <w:t>B,Reg</w:t>
      </w:r>
      <w:r w:rsidR="00691B26" w:rsidRPr="003A1AA8">
        <w:t xml:space="preserve"> may be determined by </w:t>
      </w:r>
      <w:r w:rsidRPr="003A1AA8">
        <w:t>asking the environmental regulator</w:t>
      </w:r>
      <w:r w:rsidR="002E7233" w:rsidRPr="003A1AA8">
        <w:t>,</w:t>
      </w:r>
      <w:r w:rsidRPr="003A1AA8">
        <w:t xml:space="preserve"> in the State or Territory in which the </w:t>
      </w:r>
      <w:r w:rsidR="007246DB" w:rsidRPr="003A1AA8">
        <w:t>landfill</w:t>
      </w:r>
      <w:r w:rsidRPr="003A1AA8">
        <w:t xml:space="preserve"> is located</w:t>
      </w:r>
      <w:r w:rsidR="002E7233" w:rsidRPr="003A1AA8">
        <w:t>,</w:t>
      </w:r>
      <w:r w:rsidRPr="003A1AA8">
        <w:t xml:space="preserve"> to </w:t>
      </w:r>
      <w:r w:rsidR="002E7233" w:rsidRPr="003A1AA8">
        <w:t xml:space="preserve">provide </w:t>
      </w:r>
      <w:r w:rsidR="006D6B5E" w:rsidRPr="003A1AA8">
        <w:t>in writing to the project proponent</w:t>
      </w:r>
      <w:r w:rsidR="002E7233" w:rsidRPr="003A1AA8">
        <w:t xml:space="preserve"> the </w:t>
      </w:r>
      <w:r w:rsidR="006D6B5E" w:rsidRPr="003A1AA8">
        <w:t xml:space="preserve">gas </w:t>
      </w:r>
      <w:r w:rsidR="002E7233" w:rsidRPr="003A1AA8">
        <w:t xml:space="preserve">collection </w:t>
      </w:r>
      <w:r w:rsidR="006D6B5E" w:rsidRPr="003A1AA8">
        <w:t>rate</w:t>
      </w:r>
      <w:r w:rsidR="002E7233" w:rsidRPr="003A1AA8">
        <w:t xml:space="preserve"> that would be required for the landfill to meet</w:t>
      </w:r>
      <w:r w:rsidRPr="003A1AA8">
        <w:t xml:space="preserve"> the most stringent methane concentration</w:t>
      </w:r>
      <w:r w:rsidR="002E7233" w:rsidRPr="003A1AA8">
        <w:t xml:space="preserve"> limits for </w:t>
      </w:r>
      <w:r w:rsidR="006D6B5E" w:rsidRPr="003A1AA8">
        <w:t xml:space="preserve">the </w:t>
      </w:r>
      <w:r w:rsidR="007707FF" w:rsidRPr="003A1AA8">
        <w:t>landfill</w:t>
      </w:r>
      <w:r w:rsidR="006D6B5E" w:rsidRPr="003A1AA8">
        <w:t xml:space="preserve"> that</w:t>
      </w:r>
      <w:r w:rsidRPr="003A1AA8">
        <w:t xml:space="preserve"> have been in </w:t>
      </w:r>
      <w:r w:rsidR="007246DB" w:rsidRPr="003A1AA8">
        <w:t>force</w:t>
      </w:r>
      <w:r w:rsidRPr="003A1AA8">
        <w:t xml:space="preserve"> since 24</w:t>
      </w:r>
      <w:r w:rsidR="003A1AA8" w:rsidRPr="003A1AA8">
        <w:t> </w:t>
      </w:r>
      <w:r w:rsidRPr="003A1AA8">
        <w:t>March 2011.</w:t>
      </w:r>
    </w:p>
    <w:p w:rsidR="007246DB" w:rsidRPr="003A1AA8" w:rsidRDefault="00505672" w:rsidP="00505672">
      <w:pPr>
        <w:pStyle w:val="subsection"/>
      </w:pPr>
      <w:r w:rsidRPr="003A1AA8">
        <w:tab/>
        <w:t>(2)</w:t>
      </w:r>
      <w:r w:rsidRPr="003A1AA8">
        <w:tab/>
      </w:r>
      <w:r w:rsidR="007246DB" w:rsidRPr="003A1AA8">
        <w:t xml:space="preserve">The term used by the </w:t>
      </w:r>
      <w:r w:rsidR="00BC0C7F" w:rsidRPr="003A1AA8">
        <w:t xml:space="preserve">environmental regulator </w:t>
      </w:r>
      <w:r w:rsidR="007246DB" w:rsidRPr="003A1AA8">
        <w:t>to express th</w:t>
      </w:r>
      <w:r w:rsidR="002E7233" w:rsidRPr="003A1AA8">
        <w:t xml:space="preserve">is quantitative </w:t>
      </w:r>
      <w:r w:rsidR="007246DB" w:rsidRPr="003A1AA8">
        <w:t>regulatory requirement must be converted to W</w:t>
      </w:r>
      <w:r w:rsidR="002E7233" w:rsidRPr="003A1AA8">
        <w:rPr>
          <w:vertAlign w:val="subscript"/>
        </w:rPr>
        <w:t>B,R</w:t>
      </w:r>
      <w:r w:rsidR="007246DB" w:rsidRPr="003A1AA8">
        <w:rPr>
          <w:vertAlign w:val="subscript"/>
        </w:rPr>
        <w:t>eg</w:t>
      </w:r>
      <w:r w:rsidR="007246DB" w:rsidRPr="003A1AA8">
        <w:t xml:space="preserve"> in accordance with the following table:</w:t>
      </w:r>
    </w:p>
    <w:p w:rsidR="00377F7E" w:rsidRPr="003A1AA8" w:rsidRDefault="00377F7E" w:rsidP="00F1026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F10260" w:rsidRPr="003A1AA8" w:rsidTr="007C7B13">
        <w:trPr>
          <w:tblHeader/>
        </w:trPr>
        <w:tc>
          <w:tcPr>
            <w:tcW w:w="8312" w:type="dxa"/>
            <w:gridSpan w:val="3"/>
            <w:tcBorders>
              <w:top w:val="single" w:sz="12" w:space="0" w:color="auto"/>
              <w:bottom w:val="single" w:sz="6" w:space="0" w:color="auto"/>
            </w:tcBorders>
            <w:shd w:val="clear" w:color="auto" w:fill="auto"/>
          </w:tcPr>
          <w:p w:rsidR="00F10260" w:rsidRPr="003A1AA8" w:rsidRDefault="00F10260" w:rsidP="002E7233">
            <w:pPr>
              <w:pStyle w:val="TableHeading"/>
            </w:pPr>
            <w:r w:rsidRPr="003A1AA8">
              <w:t xml:space="preserve">Converting quantitative regulatory requirements to </w:t>
            </w:r>
            <w:r w:rsidR="002E7233" w:rsidRPr="003A1AA8">
              <w:t>collection efficiency</w:t>
            </w:r>
          </w:p>
        </w:tc>
      </w:tr>
      <w:tr w:rsidR="00F10260" w:rsidRPr="003A1AA8" w:rsidTr="007C7B13">
        <w:trPr>
          <w:tblHeader/>
        </w:trPr>
        <w:tc>
          <w:tcPr>
            <w:tcW w:w="714" w:type="dxa"/>
            <w:tcBorders>
              <w:top w:val="single" w:sz="6" w:space="0" w:color="auto"/>
              <w:bottom w:val="single" w:sz="12" w:space="0" w:color="auto"/>
            </w:tcBorders>
            <w:shd w:val="clear" w:color="auto" w:fill="auto"/>
          </w:tcPr>
          <w:p w:rsidR="00F10260" w:rsidRPr="003A1AA8" w:rsidRDefault="00F10260" w:rsidP="00060F95">
            <w:pPr>
              <w:pStyle w:val="TableHeading"/>
            </w:pPr>
            <w:r w:rsidRPr="003A1AA8">
              <w:t>Item</w:t>
            </w:r>
          </w:p>
        </w:tc>
        <w:tc>
          <w:tcPr>
            <w:tcW w:w="3799" w:type="dxa"/>
            <w:tcBorders>
              <w:top w:val="single" w:sz="6" w:space="0" w:color="auto"/>
              <w:bottom w:val="single" w:sz="12" w:space="0" w:color="auto"/>
            </w:tcBorders>
            <w:shd w:val="clear" w:color="auto" w:fill="auto"/>
          </w:tcPr>
          <w:p w:rsidR="00F10260" w:rsidRPr="003A1AA8" w:rsidRDefault="002E7233" w:rsidP="002E7233">
            <w:pPr>
              <w:pStyle w:val="TableHeading"/>
            </w:pPr>
            <w:r w:rsidRPr="003A1AA8">
              <w:t xml:space="preserve">Term used by </w:t>
            </w:r>
            <w:r w:rsidR="00BC0C7F" w:rsidRPr="003A1AA8">
              <w:t>environmental regulator</w:t>
            </w:r>
          </w:p>
        </w:tc>
        <w:tc>
          <w:tcPr>
            <w:tcW w:w="3799" w:type="dxa"/>
            <w:tcBorders>
              <w:top w:val="single" w:sz="6" w:space="0" w:color="auto"/>
              <w:bottom w:val="single" w:sz="12" w:space="0" w:color="auto"/>
            </w:tcBorders>
            <w:shd w:val="clear" w:color="auto" w:fill="auto"/>
          </w:tcPr>
          <w:p w:rsidR="00F10260" w:rsidRPr="003A1AA8" w:rsidRDefault="00F10260" w:rsidP="00060F95">
            <w:pPr>
              <w:pStyle w:val="TableHeading"/>
            </w:pPr>
            <w:r w:rsidRPr="003A1AA8">
              <w:t xml:space="preserve">Conversion to </w:t>
            </w:r>
            <w:r w:rsidR="002E7233" w:rsidRPr="003A1AA8">
              <w:t>W</w:t>
            </w:r>
            <w:r w:rsidR="002E7233" w:rsidRPr="003A1AA8">
              <w:rPr>
                <w:vertAlign w:val="subscript"/>
              </w:rPr>
              <w:t>B,Reg</w:t>
            </w:r>
          </w:p>
        </w:tc>
      </w:tr>
      <w:tr w:rsidR="00F10260" w:rsidRPr="003A1AA8" w:rsidTr="007C7B13">
        <w:tc>
          <w:tcPr>
            <w:tcW w:w="714" w:type="dxa"/>
            <w:tcBorders>
              <w:top w:val="single" w:sz="12" w:space="0" w:color="auto"/>
            </w:tcBorders>
            <w:shd w:val="clear" w:color="auto" w:fill="auto"/>
          </w:tcPr>
          <w:p w:rsidR="00F10260" w:rsidRPr="003A1AA8" w:rsidRDefault="00F10260" w:rsidP="007C7B13">
            <w:pPr>
              <w:pStyle w:val="Tabletext"/>
            </w:pPr>
            <w:r w:rsidRPr="003A1AA8">
              <w:t>1</w:t>
            </w:r>
          </w:p>
        </w:tc>
        <w:tc>
          <w:tcPr>
            <w:tcW w:w="3799" w:type="dxa"/>
            <w:tcBorders>
              <w:top w:val="single" w:sz="12" w:space="0" w:color="auto"/>
            </w:tcBorders>
            <w:shd w:val="clear" w:color="auto" w:fill="auto"/>
          </w:tcPr>
          <w:p w:rsidR="00F10260" w:rsidRPr="003A1AA8" w:rsidRDefault="002E7233" w:rsidP="007C7B13">
            <w:pPr>
              <w:pStyle w:val="Tabletext"/>
            </w:pPr>
            <w:r w:rsidRPr="003A1AA8">
              <w:t>M</w:t>
            </w:r>
            <w:r w:rsidR="00F10260" w:rsidRPr="003A1AA8">
              <w:t>ethane concentration</w:t>
            </w:r>
            <w:r w:rsidRPr="003A1AA8">
              <w:t xml:space="preserve"> limit, in parts per million methane</w:t>
            </w:r>
          </w:p>
        </w:tc>
        <w:tc>
          <w:tcPr>
            <w:tcW w:w="3799" w:type="dxa"/>
            <w:tcBorders>
              <w:top w:val="single" w:sz="12" w:space="0" w:color="auto"/>
            </w:tcBorders>
            <w:shd w:val="clear" w:color="auto" w:fill="auto"/>
          </w:tcPr>
          <w:p w:rsidR="00B910FE" w:rsidRPr="003A1AA8" w:rsidRDefault="002E7233" w:rsidP="00F10260">
            <w:pPr>
              <w:pStyle w:val="Tabletext"/>
            </w:pPr>
            <w:r w:rsidRPr="003A1AA8">
              <w:t>W</w:t>
            </w:r>
            <w:r w:rsidRPr="003A1AA8">
              <w:rPr>
                <w:vertAlign w:val="subscript"/>
              </w:rPr>
              <w:t>B,Reg</w:t>
            </w:r>
            <w:r w:rsidRPr="003A1AA8">
              <w:t xml:space="preserve"> i</w:t>
            </w:r>
            <w:r w:rsidR="00843CD4" w:rsidRPr="003A1AA8">
              <w:t>s</w:t>
            </w:r>
            <w:r w:rsidRPr="003A1AA8">
              <w:t xml:space="preserve"> worked out</w:t>
            </w:r>
            <w:r w:rsidR="00B910FE" w:rsidRPr="003A1AA8">
              <w:t>:</w:t>
            </w:r>
          </w:p>
          <w:p w:rsidR="00B910FE" w:rsidRPr="003A1AA8" w:rsidRDefault="00B910FE" w:rsidP="00B910FE">
            <w:pPr>
              <w:pStyle w:val="Tablea"/>
            </w:pPr>
            <w:r w:rsidRPr="003A1AA8">
              <w:t xml:space="preserve">(a) </w:t>
            </w:r>
            <w:r w:rsidR="002E7233" w:rsidRPr="003A1AA8">
              <w:t>using Part</w:t>
            </w:r>
            <w:r w:rsidR="003A1AA8" w:rsidRPr="003A1AA8">
              <w:t> </w:t>
            </w:r>
            <w:r w:rsidR="002E7233" w:rsidRPr="003A1AA8">
              <w:t>2</w:t>
            </w:r>
            <w:r w:rsidRPr="003A1AA8">
              <w:t xml:space="preserve">; </w:t>
            </w:r>
            <w:r w:rsidR="009D74D6" w:rsidRPr="003A1AA8">
              <w:t>but</w:t>
            </w:r>
          </w:p>
          <w:p w:rsidR="00F10260" w:rsidRPr="003A1AA8" w:rsidRDefault="00B910FE" w:rsidP="00D5107E">
            <w:pPr>
              <w:pStyle w:val="Tablea"/>
            </w:pPr>
            <w:r w:rsidRPr="003A1AA8">
              <w:t>(b) for final and intermediate cover—using the permitted methane flux rates</w:t>
            </w:r>
            <w:r w:rsidR="00D5107E" w:rsidRPr="003A1AA8">
              <w:t>,</w:t>
            </w:r>
            <w:r w:rsidRPr="003A1AA8">
              <w:t xml:space="preserve"> set out in the table in </w:t>
            </w:r>
            <w:r w:rsidR="003A1AA8" w:rsidRPr="003A1AA8">
              <w:t>subclause (</w:t>
            </w:r>
            <w:r w:rsidRPr="003A1AA8">
              <w:t>3)</w:t>
            </w:r>
            <w:r w:rsidR="00D5107E" w:rsidRPr="003A1AA8">
              <w:t>,</w:t>
            </w:r>
            <w:r w:rsidRPr="003A1AA8">
              <w:t xml:space="preserve"> that correspond to </w:t>
            </w:r>
            <w:r w:rsidR="00D5107E" w:rsidRPr="003A1AA8">
              <w:t xml:space="preserve">the </w:t>
            </w:r>
            <w:r w:rsidRPr="003A1AA8">
              <w:t xml:space="preserve">concentration limits advised by the </w:t>
            </w:r>
            <w:r w:rsidR="00BC0C7F" w:rsidRPr="003A1AA8">
              <w:t>environmental regulator</w:t>
            </w:r>
          </w:p>
        </w:tc>
      </w:tr>
      <w:tr w:rsidR="00F10260" w:rsidRPr="003A1AA8" w:rsidTr="007C7B13">
        <w:tc>
          <w:tcPr>
            <w:tcW w:w="714" w:type="dxa"/>
            <w:shd w:val="clear" w:color="auto" w:fill="auto"/>
          </w:tcPr>
          <w:p w:rsidR="00F10260" w:rsidRPr="003A1AA8" w:rsidRDefault="00F10260" w:rsidP="007C7B13">
            <w:pPr>
              <w:pStyle w:val="Tabletext"/>
            </w:pPr>
            <w:r w:rsidRPr="003A1AA8">
              <w:t>2</w:t>
            </w:r>
          </w:p>
        </w:tc>
        <w:tc>
          <w:tcPr>
            <w:tcW w:w="3799" w:type="dxa"/>
            <w:shd w:val="clear" w:color="auto" w:fill="auto"/>
          </w:tcPr>
          <w:p w:rsidR="00F10260" w:rsidRPr="003A1AA8" w:rsidRDefault="00D5107E" w:rsidP="007C7B13">
            <w:pPr>
              <w:pStyle w:val="Tabletext"/>
            </w:pPr>
            <w:r w:rsidRPr="003A1AA8">
              <w:t>Permitted</w:t>
            </w:r>
            <w:r w:rsidR="00F10260" w:rsidRPr="003A1AA8">
              <w:t xml:space="preserve"> flux rate</w:t>
            </w:r>
            <w:r w:rsidR="006D6B5E" w:rsidRPr="003A1AA8">
              <w:t>, in tonnes methane per square meter per hour</w:t>
            </w:r>
          </w:p>
        </w:tc>
        <w:tc>
          <w:tcPr>
            <w:tcW w:w="3799" w:type="dxa"/>
            <w:shd w:val="clear" w:color="auto" w:fill="auto"/>
          </w:tcPr>
          <w:p w:rsidR="00D5107E" w:rsidRPr="003A1AA8" w:rsidRDefault="00D5107E" w:rsidP="00D5107E">
            <w:pPr>
              <w:pStyle w:val="Tabletext"/>
            </w:pPr>
            <w:r w:rsidRPr="003A1AA8">
              <w:t>W</w:t>
            </w:r>
            <w:r w:rsidRPr="003A1AA8">
              <w:rPr>
                <w:vertAlign w:val="subscript"/>
              </w:rPr>
              <w:t>B,Reg</w:t>
            </w:r>
            <w:r w:rsidRPr="003A1AA8">
              <w:t xml:space="preserve"> is worked out:</w:t>
            </w:r>
          </w:p>
          <w:p w:rsidR="00D5107E" w:rsidRPr="003A1AA8" w:rsidRDefault="00D5107E" w:rsidP="00D5107E">
            <w:pPr>
              <w:pStyle w:val="Tablea"/>
            </w:pPr>
            <w:r w:rsidRPr="003A1AA8">
              <w:t>(a) using Part</w:t>
            </w:r>
            <w:r w:rsidR="003A1AA8" w:rsidRPr="003A1AA8">
              <w:t> </w:t>
            </w:r>
            <w:r w:rsidRPr="003A1AA8">
              <w:t xml:space="preserve">2; </w:t>
            </w:r>
            <w:r w:rsidR="009D74D6" w:rsidRPr="003A1AA8">
              <w:t>but</w:t>
            </w:r>
          </w:p>
          <w:p w:rsidR="00F10260" w:rsidRPr="003A1AA8" w:rsidRDefault="00D5107E" w:rsidP="00D5107E">
            <w:pPr>
              <w:pStyle w:val="Tabletext"/>
            </w:pPr>
            <w:r w:rsidRPr="003A1AA8">
              <w:t xml:space="preserve">(b) for </w:t>
            </w:r>
            <w:r w:rsidR="006D6B5E" w:rsidRPr="003A1AA8">
              <w:t xml:space="preserve">the permitted flux rate for </w:t>
            </w:r>
            <w:r w:rsidRPr="003A1AA8">
              <w:t>final and intermediate cover</w:t>
            </w:r>
            <w:r w:rsidR="006D6B5E" w:rsidRPr="003A1AA8">
              <w:t xml:space="preserve"> (C</w:t>
            </w:r>
            <w:r w:rsidR="006D6B5E" w:rsidRPr="003A1AA8">
              <w:rPr>
                <w:vertAlign w:val="subscript"/>
              </w:rPr>
              <w:t>x</w:t>
            </w:r>
            <w:r w:rsidR="006D6B5E" w:rsidRPr="003A1AA8">
              <w:t>)</w:t>
            </w:r>
            <w:r w:rsidRPr="003A1AA8">
              <w:t>—using the flux</w:t>
            </w:r>
            <w:r w:rsidR="003D7C6E" w:rsidRPr="003A1AA8">
              <w:t xml:space="preserve"> rates advised by the </w:t>
            </w:r>
            <w:r w:rsidR="00BC0C7F" w:rsidRPr="003A1AA8">
              <w:t>environmental regulator</w:t>
            </w:r>
          </w:p>
        </w:tc>
      </w:tr>
      <w:tr w:rsidR="007246DB" w:rsidRPr="003A1AA8" w:rsidTr="007C7B13">
        <w:tc>
          <w:tcPr>
            <w:tcW w:w="714" w:type="dxa"/>
            <w:shd w:val="clear" w:color="auto" w:fill="auto"/>
          </w:tcPr>
          <w:p w:rsidR="007246DB" w:rsidRPr="003A1AA8" w:rsidRDefault="007246DB" w:rsidP="007C7B13">
            <w:pPr>
              <w:pStyle w:val="Tabletext"/>
            </w:pPr>
            <w:r w:rsidRPr="003A1AA8">
              <w:t>3</w:t>
            </w:r>
          </w:p>
        </w:tc>
        <w:tc>
          <w:tcPr>
            <w:tcW w:w="3799" w:type="dxa"/>
            <w:shd w:val="clear" w:color="auto" w:fill="auto"/>
          </w:tcPr>
          <w:p w:rsidR="007246DB" w:rsidRPr="003A1AA8" w:rsidRDefault="007246DB" w:rsidP="00D5107E">
            <w:pPr>
              <w:pStyle w:val="Tabletext"/>
            </w:pPr>
            <w:r w:rsidRPr="003A1AA8">
              <w:t xml:space="preserve">Proportion of </w:t>
            </w:r>
            <w:r w:rsidR="00D5107E" w:rsidRPr="003A1AA8">
              <w:t xml:space="preserve">landfill gas </w:t>
            </w:r>
            <w:r w:rsidRPr="003A1AA8">
              <w:t xml:space="preserve">generation required to be </w:t>
            </w:r>
            <w:r w:rsidR="00D5107E" w:rsidRPr="003A1AA8">
              <w:t>collected (collection efficiency)</w:t>
            </w:r>
          </w:p>
        </w:tc>
        <w:tc>
          <w:tcPr>
            <w:tcW w:w="3799" w:type="dxa"/>
            <w:shd w:val="clear" w:color="auto" w:fill="auto"/>
          </w:tcPr>
          <w:p w:rsidR="007246DB" w:rsidRPr="003A1AA8" w:rsidRDefault="00D5107E" w:rsidP="007C7B13">
            <w:pPr>
              <w:pStyle w:val="Tabletext"/>
            </w:pPr>
            <w:r w:rsidRPr="003A1AA8">
              <w:t>No conversion necessary (W</w:t>
            </w:r>
            <w:r w:rsidRPr="003A1AA8">
              <w:rPr>
                <w:vertAlign w:val="subscript"/>
              </w:rPr>
              <w:t>B,Reg</w:t>
            </w:r>
            <w:r w:rsidRPr="003A1AA8">
              <w:t xml:space="preserve"> </w:t>
            </w:r>
            <w:r w:rsidR="003D7C6E" w:rsidRPr="003A1AA8">
              <w:t xml:space="preserve">is as advised by the </w:t>
            </w:r>
            <w:r w:rsidR="00BC0C7F" w:rsidRPr="003A1AA8">
              <w:t>environmental regulator</w:t>
            </w:r>
            <w:r w:rsidR="003D7C6E" w:rsidRPr="003A1AA8">
              <w:t>)</w:t>
            </w:r>
          </w:p>
        </w:tc>
      </w:tr>
      <w:tr w:rsidR="00F10260" w:rsidRPr="003A1AA8" w:rsidTr="007C7B13">
        <w:tc>
          <w:tcPr>
            <w:tcW w:w="714" w:type="dxa"/>
            <w:shd w:val="clear" w:color="auto" w:fill="auto"/>
          </w:tcPr>
          <w:p w:rsidR="00F10260" w:rsidRPr="003A1AA8" w:rsidRDefault="007246DB" w:rsidP="007C7B13">
            <w:pPr>
              <w:pStyle w:val="Tabletext"/>
            </w:pPr>
            <w:r w:rsidRPr="003A1AA8">
              <w:t>4</w:t>
            </w:r>
          </w:p>
        </w:tc>
        <w:tc>
          <w:tcPr>
            <w:tcW w:w="3799" w:type="dxa"/>
            <w:shd w:val="clear" w:color="auto" w:fill="auto"/>
          </w:tcPr>
          <w:p w:rsidR="00F10260" w:rsidRPr="003A1AA8" w:rsidRDefault="00F10260" w:rsidP="007246DB">
            <w:pPr>
              <w:pStyle w:val="Tabletext"/>
            </w:pPr>
            <w:r w:rsidRPr="003A1AA8">
              <w:t xml:space="preserve">Proportion of </w:t>
            </w:r>
            <w:r w:rsidR="00D5107E" w:rsidRPr="003A1AA8">
              <w:t xml:space="preserve">landfill gas generation </w:t>
            </w:r>
            <w:r w:rsidR="007246DB" w:rsidRPr="003A1AA8">
              <w:t>allowed to be released</w:t>
            </w:r>
            <w:r w:rsidR="00D5107E" w:rsidRPr="003A1AA8">
              <w:t xml:space="preserve"> to the atmosphere</w:t>
            </w:r>
          </w:p>
        </w:tc>
        <w:tc>
          <w:tcPr>
            <w:tcW w:w="3799" w:type="dxa"/>
            <w:shd w:val="clear" w:color="auto" w:fill="auto"/>
          </w:tcPr>
          <w:p w:rsidR="00F10260" w:rsidRPr="003A1AA8" w:rsidRDefault="00D5107E" w:rsidP="00D5107E">
            <w:pPr>
              <w:pStyle w:val="Tabletext"/>
            </w:pPr>
            <w:r w:rsidRPr="003A1AA8">
              <w:t>W</w:t>
            </w:r>
            <w:r w:rsidRPr="003A1AA8">
              <w:rPr>
                <w:vertAlign w:val="subscript"/>
              </w:rPr>
              <w:t>B,Reg</w:t>
            </w:r>
            <w:r w:rsidRPr="003A1AA8">
              <w:t xml:space="preserve"> is worked out as 1 minus the prop</w:t>
            </w:r>
            <w:r w:rsidR="003D7C6E" w:rsidRPr="003A1AA8">
              <w:t xml:space="preserve">ortion advised by the </w:t>
            </w:r>
            <w:r w:rsidR="00BC0C7F" w:rsidRPr="003A1AA8">
              <w:t>environmental regulator</w:t>
            </w:r>
          </w:p>
        </w:tc>
      </w:tr>
      <w:tr w:rsidR="00F10260" w:rsidRPr="003A1AA8" w:rsidTr="007C7B13">
        <w:tc>
          <w:tcPr>
            <w:tcW w:w="714" w:type="dxa"/>
            <w:tcBorders>
              <w:bottom w:val="single" w:sz="4" w:space="0" w:color="auto"/>
            </w:tcBorders>
            <w:shd w:val="clear" w:color="auto" w:fill="auto"/>
          </w:tcPr>
          <w:p w:rsidR="00F10260" w:rsidRPr="003A1AA8" w:rsidRDefault="007246DB" w:rsidP="007C7B13">
            <w:pPr>
              <w:pStyle w:val="Tabletext"/>
            </w:pPr>
            <w:r w:rsidRPr="003A1AA8">
              <w:t>5</w:t>
            </w:r>
          </w:p>
        </w:tc>
        <w:tc>
          <w:tcPr>
            <w:tcW w:w="3799" w:type="dxa"/>
            <w:tcBorders>
              <w:bottom w:val="single" w:sz="4" w:space="0" w:color="auto"/>
            </w:tcBorders>
            <w:shd w:val="clear" w:color="auto" w:fill="auto"/>
          </w:tcPr>
          <w:p w:rsidR="00F10260" w:rsidRPr="003A1AA8" w:rsidRDefault="00F10260" w:rsidP="00D5107E">
            <w:pPr>
              <w:pStyle w:val="Tabletext"/>
            </w:pPr>
            <w:r w:rsidRPr="003A1AA8">
              <w:t>A</w:t>
            </w:r>
            <w:r w:rsidR="00D5107E" w:rsidRPr="003A1AA8">
              <w:t>nnual a</w:t>
            </w:r>
            <w:r w:rsidRPr="003A1AA8">
              <w:t>mount of</w:t>
            </w:r>
            <w:r w:rsidR="00D5107E" w:rsidRPr="003A1AA8">
              <w:t xml:space="preserve"> landfill</w:t>
            </w:r>
            <w:r w:rsidRPr="003A1AA8">
              <w:t xml:space="preserve"> gas </w:t>
            </w:r>
            <w:r w:rsidR="00D5107E" w:rsidRPr="003A1AA8">
              <w:t>required to be collected</w:t>
            </w:r>
          </w:p>
        </w:tc>
        <w:tc>
          <w:tcPr>
            <w:tcW w:w="3799" w:type="dxa"/>
            <w:tcBorders>
              <w:bottom w:val="single" w:sz="4" w:space="0" w:color="auto"/>
            </w:tcBorders>
            <w:shd w:val="clear" w:color="auto" w:fill="auto"/>
          </w:tcPr>
          <w:p w:rsidR="00F10260" w:rsidRPr="003A1AA8" w:rsidRDefault="00D5107E" w:rsidP="003D7C6E">
            <w:pPr>
              <w:pStyle w:val="Tabletext"/>
            </w:pPr>
            <w:r w:rsidRPr="003A1AA8">
              <w:t>W</w:t>
            </w:r>
            <w:r w:rsidRPr="003A1AA8">
              <w:rPr>
                <w:vertAlign w:val="subscript"/>
              </w:rPr>
              <w:t>B,Reg</w:t>
            </w:r>
            <w:r w:rsidR="003D7C6E" w:rsidRPr="003A1AA8">
              <w:t xml:space="preserve"> is worked out as the amount advised by the </w:t>
            </w:r>
            <w:r w:rsidR="00BC0C7F" w:rsidRPr="003A1AA8">
              <w:t>environmental regulator</w:t>
            </w:r>
            <w:r w:rsidR="003D7C6E" w:rsidRPr="003A1AA8">
              <w:t>, in tonnes CO</w:t>
            </w:r>
            <w:r w:rsidR="003D7C6E" w:rsidRPr="003A1AA8">
              <w:rPr>
                <w:vertAlign w:val="subscript"/>
              </w:rPr>
              <w:t>2</w:t>
            </w:r>
            <w:r w:rsidR="003A1AA8">
              <w:noBreakHyphen/>
            </w:r>
            <w:r w:rsidR="003D7C6E" w:rsidRPr="003A1AA8">
              <w:t>e, divided by the methane generated by the landfill in year y, in tonnes CO</w:t>
            </w:r>
            <w:r w:rsidR="003D7C6E" w:rsidRPr="003A1AA8">
              <w:rPr>
                <w:vertAlign w:val="subscript"/>
              </w:rPr>
              <w:t>2</w:t>
            </w:r>
            <w:r w:rsidR="003A1AA8">
              <w:noBreakHyphen/>
            </w:r>
            <w:r w:rsidR="003D7C6E" w:rsidRPr="003A1AA8">
              <w:t>e, which is equivalent to M</w:t>
            </w:r>
            <w:r w:rsidR="003D7C6E" w:rsidRPr="003A1AA8">
              <w:rPr>
                <w:vertAlign w:val="subscript"/>
              </w:rPr>
              <w:t>Gen,y</w:t>
            </w:r>
            <w:r w:rsidR="003D7C6E" w:rsidRPr="003A1AA8">
              <w:t xml:space="preserve"> worked out using subsection</w:t>
            </w:r>
            <w:r w:rsidR="003A1AA8" w:rsidRPr="003A1AA8">
              <w:t> </w:t>
            </w:r>
            <w:r w:rsidR="003D7C6E" w:rsidRPr="003A1AA8">
              <w:t>22(3)</w:t>
            </w:r>
          </w:p>
        </w:tc>
      </w:tr>
      <w:tr w:rsidR="00F10260" w:rsidRPr="003A1AA8" w:rsidTr="007C7B13">
        <w:tc>
          <w:tcPr>
            <w:tcW w:w="714" w:type="dxa"/>
            <w:tcBorders>
              <w:bottom w:val="single" w:sz="12" w:space="0" w:color="auto"/>
            </w:tcBorders>
            <w:shd w:val="clear" w:color="auto" w:fill="auto"/>
          </w:tcPr>
          <w:p w:rsidR="00F10260" w:rsidRPr="003A1AA8" w:rsidRDefault="007246DB" w:rsidP="007C7B13">
            <w:pPr>
              <w:pStyle w:val="Tabletext"/>
            </w:pPr>
            <w:r w:rsidRPr="003A1AA8">
              <w:t>6</w:t>
            </w:r>
          </w:p>
        </w:tc>
        <w:tc>
          <w:tcPr>
            <w:tcW w:w="3799" w:type="dxa"/>
            <w:tcBorders>
              <w:bottom w:val="single" w:sz="12" w:space="0" w:color="auto"/>
            </w:tcBorders>
            <w:shd w:val="clear" w:color="auto" w:fill="auto"/>
          </w:tcPr>
          <w:p w:rsidR="00F10260" w:rsidRPr="003A1AA8" w:rsidRDefault="00F10260" w:rsidP="007C7B13">
            <w:pPr>
              <w:pStyle w:val="Tabletext"/>
            </w:pPr>
            <w:r w:rsidRPr="003A1AA8">
              <w:t>Other</w:t>
            </w:r>
          </w:p>
        </w:tc>
        <w:tc>
          <w:tcPr>
            <w:tcW w:w="3799" w:type="dxa"/>
            <w:tcBorders>
              <w:bottom w:val="single" w:sz="12" w:space="0" w:color="auto"/>
            </w:tcBorders>
            <w:shd w:val="clear" w:color="auto" w:fill="auto"/>
          </w:tcPr>
          <w:p w:rsidR="00F10260" w:rsidRPr="003A1AA8" w:rsidRDefault="00755571" w:rsidP="0086393B">
            <w:pPr>
              <w:pStyle w:val="Tabletext"/>
            </w:pPr>
            <w:r w:rsidRPr="003A1AA8">
              <w:t>W</w:t>
            </w:r>
            <w:r w:rsidRPr="003A1AA8">
              <w:rPr>
                <w:vertAlign w:val="subscript"/>
              </w:rPr>
              <w:t>B,Reg</w:t>
            </w:r>
            <w:r w:rsidR="003D7C6E" w:rsidRPr="003A1AA8">
              <w:t xml:space="preserve"> is worked out as the annual amount of landfill gas required to be collected, in tonnes CO</w:t>
            </w:r>
            <w:r w:rsidR="003D7C6E" w:rsidRPr="003A1AA8">
              <w:rPr>
                <w:vertAlign w:val="subscript"/>
              </w:rPr>
              <w:t>2</w:t>
            </w:r>
            <w:r w:rsidR="003A1AA8">
              <w:noBreakHyphen/>
            </w:r>
            <w:r w:rsidR="003D7C6E" w:rsidRPr="003A1AA8">
              <w:t xml:space="preserve">e, determined from the requirement advised by the </w:t>
            </w:r>
            <w:r w:rsidR="00BC0C7F" w:rsidRPr="003A1AA8">
              <w:t>environmental regulator</w:t>
            </w:r>
            <w:r w:rsidR="003D7C6E" w:rsidRPr="003A1AA8">
              <w:t>, divided by the methane generated by the landfill in year y, in tonnes CO</w:t>
            </w:r>
            <w:r w:rsidR="003D7C6E" w:rsidRPr="003A1AA8">
              <w:rPr>
                <w:vertAlign w:val="subscript"/>
              </w:rPr>
              <w:t>2</w:t>
            </w:r>
            <w:r w:rsidR="003A1AA8">
              <w:noBreakHyphen/>
            </w:r>
            <w:r w:rsidR="003D7C6E" w:rsidRPr="003A1AA8">
              <w:t>e, which is equivalent to M</w:t>
            </w:r>
            <w:r w:rsidR="003D7C6E" w:rsidRPr="003A1AA8">
              <w:rPr>
                <w:vertAlign w:val="subscript"/>
              </w:rPr>
              <w:t>Gen,y</w:t>
            </w:r>
            <w:r w:rsidR="003D7C6E" w:rsidRPr="003A1AA8">
              <w:t xml:space="preserve"> worked out </w:t>
            </w:r>
            <w:r w:rsidR="003D7C6E" w:rsidRPr="003A1AA8">
              <w:lastRenderedPageBreak/>
              <w:t>using subsection</w:t>
            </w:r>
            <w:r w:rsidR="003A1AA8" w:rsidRPr="003A1AA8">
              <w:t> </w:t>
            </w:r>
            <w:r w:rsidR="003D7C6E" w:rsidRPr="003A1AA8">
              <w:t>22(3)</w:t>
            </w:r>
          </w:p>
        </w:tc>
      </w:tr>
    </w:tbl>
    <w:p w:rsidR="00F10260" w:rsidRPr="003A1AA8" w:rsidRDefault="00F10260" w:rsidP="00F10260">
      <w:pPr>
        <w:pStyle w:val="Tabletext"/>
      </w:pPr>
    </w:p>
    <w:p w:rsidR="00253225" w:rsidRPr="003A1AA8" w:rsidRDefault="00253225" w:rsidP="00253225">
      <w:pPr>
        <w:pStyle w:val="subsection"/>
      </w:pPr>
      <w:r w:rsidRPr="003A1AA8">
        <w:tab/>
        <w:t>(3)</w:t>
      </w:r>
      <w:r w:rsidRPr="003A1AA8">
        <w:tab/>
      </w:r>
      <w:r w:rsidR="00843CD4" w:rsidRPr="003A1AA8">
        <w:t>The following table sets out allowable flux rates for the purposes of item</w:t>
      </w:r>
      <w:r w:rsidR="003A1AA8" w:rsidRPr="003A1AA8">
        <w:t> </w:t>
      </w:r>
      <w:r w:rsidR="00843CD4" w:rsidRPr="003A1AA8">
        <w:t xml:space="preserve">1 in the table in </w:t>
      </w:r>
      <w:r w:rsidR="003A1AA8" w:rsidRPr="003A1AA8">
        <w:t>subclause (</w:t>
      </w:r>
      <w:r w:rsidR="00843CD4" w:rsidRPr="003A1AA8">
        <w:t>2).</w:t>
      </w:r>
    </w:p>
    <w:p w:rsidR="00253225" w:rsidRPr="003A1AA8" w:rsidRDefault="00253225" w:rsidP="0025322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552"/>
        <w:gridCol w:w="2835"/>
      </w:tblGrid>
      <w:tr w:rsidR="00253225" w:rsidRPr="003A1AA8" w:rsidTr="003075D7">
        <w:trPr>
          <w:tblHeader/>
        </w:trPr>
        <w:tc>
          <w:tcPr>
            <w:tcW w:w="6096" w:type="dxa"/>
            <w:gridSpan w:val="3"/>
            <w:tcBorders>
              <w:top w:val="single" w:sz="12" w:space="0" w:color="auto"/>
              <w:bottom w:val="single" w:sz="6" w:space="0" w:color="auto"/>
            </w:tcBorders>
            <w:shd w:val="clear" w:color="auto" w:fill="auto"/>
          </w:tcPr>
          <w:p w:rsidR="00253225" w:rsidRPr="003A1AA8" w:rsidRDefault="00253225" w:rsidP="00060F95">
            <w:pPr>
              <w:pStyle w:val="TableHeading"/>
            </w:pPr>
            <w:r w:rsidRPr="003A1AA8">
              <w:t>Determining allowable flux rates from allowable methane concentrations</w:t>
            </w:r>
          </w:p>
        </w:tc>
      </w:tr>
      <w:tr w:rsidR="007E151D" w:rsidRPr="003A1AA8" w:rsidTr="003075D7">
        <w:trPr>
          <w:tblHeader/>
        </w:trPr>
        <w:tc>
          <w:tcPr>
            <w:tcW w:w="709" w:type="dxa"/>
            <w:tcBorders>
              <w:top w:val="single" w:sz="6" w:space="0" w:color="auto"/>
              <w:bottom w:val="single" w:sz="12" w:space="0" w:color="auto"/>
            </w:tcBorders>
            <w:shd w:val="clear" w:color="auto" w:fill="auto"/>
          </w:tcPr>
          <w:p w:rsidR="00253225" w:rsidRPr="003A1AA8" w:rsidRDefault="00253225" w:rsidP="00060F95">
            <w:pPr>
              <w:pStyle w:val="TableHeading"/>
            </w:pPr>
            <w:r w:rsidRPr="003A1AA8">
              <w:t>Item</w:t>
            </w:r>
          </w:p>
        </w:tc>
        <w:tc>
          <w:tcPr>
            <w:tcW w:w="2552" w:type="dxa"/>
            <w:tcBorders>
              <w:top w:val="single" w:sz="6" w:space="0" w:color="auto"/>
              <w:bottom w:val="single" w:sz="12" w:space="0" w:color="auto"/>
            </w:tcBorders>
            <w:shd w:val="clear" w:color="auto" w:fill="auto"/>
          </w:tcPr>
          <w:p w:rsidR="00253225" w:rsidRPr="003A1AA8" w:rsidRDefault="00691B26" w:rsidP="001426DB">
            <w:pPr>
              <w:pStyle w:val="TableHeading"/>
            </w:pPr>
            <w:r w:rsidRPr="003A1AA8">
              <w:t>M</w:t>
            </w:r>
            <w:r w:rsidR="00253225" w:rsidRPr="003A1AA8">
              <w:t xml:space="preserve">ethane concentration </w:t>
            </w:r>
            <w:r w:rsidRPr="003A1AA8">
              <w:t xml:space="preserve">limit </w:t>
            </w:r>
            <w:r w:rsidR="00253225" w:rsidRPr="003A1AA8">
              <w:t>(CH</w:t>
            </w:r>
            <w:r w:rsidR="001426DB" w:rsidRPr="003A1AA8">
              <w:rPr>
                <w:vertAlign w:val="subscript"/>
              </w:rPr>
              <w:t>4</w:t>
            </w:r>
            <w:r w:rsidR="00253225" w:rsidRPr="003A1AA8">
              <w:t xml:space="preserve"> ppm)</w:t>
            </w:r>
          </w:p>
        </w:tc>
        <w:tc>
          <w:tcPr>
            <w:tcW w:w="2835" w:type="dxa"/>
            <w:tcBorders>
              <w:top w:val="single" w:sz="6" w:space="0" w:color="auto"/>
              <w:bottom w:val="single" w:sz="12" w:space="0" w:color="auto"/>
            </w:tcBorders>
            <w:shd w:val="clear" w:color="auto" w:fill="auto"/>
          </w:tcPr>
          <w:p w:rsidR="00253225" w:rsidRPr="003A1AA8" w:rsidRDefault="00691B26" w:rsidP="00691B26">
            <w:pPr>
              <w:pStyle w:val="TableHeading"/>
            </w:pPr>
            <w:r w:rsidRPr="003A1AA8">
              <w:t xml:space="preserve">Permitted methane </w:t>
            </w:r>
            <w:r w:rsidR="00253225" w:rsidRPr="003A1AA8">
              <w:t xml:space="preserve">flux rate estimated from </w:t>
            </w:r>
            <w:r w:rsidRPr="003A1AA8">
              <w:t xml:space="preserve">the methane concentration limit </w:t>
            </w:r>
            <w:r w:rsidR="001426DB" w:rsidRPr="003A1AA8">
              <w:t>(tCH</w:t>
            </w:r>
            <w:r w:rsidR="001426DB" w:rsidRPr="003A1AA8">
              <w:rPr>
                <w:vertAlign w:val="subscript"/>
              </w:rPr>
              <w:t>4</w:t>
            </w:r>
            <w:r w:rsidR="001426DB" w:rsidRPr="003A1AA8">
              <w:t>/</w:t>
            </w:r>
            <w:r w:rsidR="006D31E5" w:rsidRPr="003A1AA8">
              <w:t>m</w:t>
            </w:r>
            <w:r w:rsidR="006D31E5" w:rsidRPr="003A1AA8">
              <w:rPr>
                <w:vertAlign w:val="superscript"/>
              </w:rPr>
              <w:t>2</w:t>
            </w:r>
            <w:r w:rsidR="00253225" w:rsidRPr="003A1AA8">
              <w:t>/hr)</w:t>
            </w:r>
          </w:p>
        </w:tc>
      </w:tr>
      <w:tr w:rsidR="00253225" w:rsidRPr="003A1AA8" w:rsidTr="003075D7">
        <w:tc>
          <w:tcPr>
            <w:tcW w:w="709" w:type="dxa"/>
            <w:tcBorders>
              <w:top w:val="single" w:sz="12" w:space="0" w:color="auto"/>
            </w:tcBorders>
            <w:shd w:val="clear" w:color="auto" w:fill="auto"/>
          </w:tcPr>
          <w:p w:rsidR="00253225" w:rsidRPr="003A1AA8" w:rsidRDefault="00634E3C" w:rsidP="007A3FEC">
            <w:pPr>
              <w:pStyle w:val="Tabletext"/>
            </w:pPr>
            <w:r w:rsidRPr="003A1AA8">
              <w:t>1</w:t>
            </w:r>
          </w:p>
        </w:tc>
        <w:tc>
          <w:tcPr>
            <w:tcW w:w="2552" w:type="dxa"/>
            <w:tcBorders>
              <w:top w:val="single" w:sz="12" w:space="0" w:color="auto"/>
            </w:tcBorders>
            <w:shd w:val="clear" w:color="auto" w:fill="auto"/>
            <w:vAlign w:val="bottom"/>
          </w:tcPr>
          <w:p w:rsidR="00253225" w:rsidRPr="003A1AA8" w:rsidRDefault="00253225" w:rsidP="003075D7">
            <w:pPr>
              <w:pStyle w:val="Tabletext"/>
              <w:jc w:val="right"/>
            </w:pPr>
            <w:r w:rsidRPr="003A1AA8">
              <w:t>0</w:t>
            </w:r>
          </w:p>
        </w:tc>
        <w:tc>
          <w:tcPr>
            <w:tcW w:w="2835" w:type="dxa"/>
            <w:tcBorders>
              <w:top w:val="single" w:sz="12" w:space="0" w:color="auto"/>
            </w:tcBorders>
            <w:shd w:val="clear" w:color="auto" w:fill="auto"/>
            <w:vAlign w:val="bottom"/>
          </w:tcPr>
          <w:p w:rsidR="00253225" w:rsidRPr="003A1AA8" w:rsidRDefault="00253225" w:rsidP="003075D7">
            <w:pPr>
              <w:pStyle w:val="Tabletext"/>
              <w:jc w:val="right"/>
            </w:pPr>
            <w:r w:rsidRPr="003A1AA8">
              <w:t>0</w:t>
            </w:r>
          </w:p>
        </w:tc>
      </w:tr>
      <w:tr w:rsidR="00253225" w:rsidRPr="003A1AA8" w:rsidTr="003075D7">
        <w:tc>
          <w:tcPr>
            <w:tcW w:w="709" w:type="dxa"/>
            <w:shd w:val="clear" w:color="auto" w:fill="auto"/>
          </w:tcPr>
          <w:p w:rsidR="00253225" w:rsidRPr="003A1AA8" w:rsidRDefault="00634E3C" w:rsidP="007A3FEC">
            <w:pPr>
              <w:pStyle w:val="Tabletext"/>
            </w:pPr>
            <w:r w:rsidRPr="003A1AA8">
              <w:t>2</w:t>
            </w:r>
          </w:p>
        </w:tc>
        <w:tc>
          <w:tcPr>
            <w:tcW w:w="2552" w:type="dxa"/>
            <w:shd w:val="clear" w:color="auto" w:fill="auto"/>
            <w:vAlign w:val="bottom"/>
          </w:tcPr>
          <w:p w:rsidR="00253225" w:rsidRPr="003A1AA8" w:rsidRDefault="00253225" w:rsidP="003075D7">
            <w:pPr>
              <w:pStyle w:val="Tabletext"/>
              <w:jc w:val="right"/>
            </w:pPr>
            <w:r w:rsidRPr="003A1AA8">
              <w:t>50</w:t>
            </w:r>
          </w:p>
        </w:tc>
        <w:tc>
          <w:tcPr>
            <w:tcW w:w="2835" w:type="dxa"/>
            <w:shd w:val="clear" w:color="auto" w:fill="auto"/>
            <w:vAlign w:val="bottom"/>
          </w:tcPr>
          <w:p w:rsidR="00253225" w:rsidRPr="003A1AA8" w:rsidRDefault="00253225" w:rsidP="003075D7">
            <w:pPr>
              <w:pStyle w:val="Tabletext"/>
              <w:jc w:val="right"/>
            </w:pPr>
            <w:r w:rsidRPr="003A1AA8">
              <w:t xml:space="preserve">0.1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3</w:t>
            </w:r>
          </w:p>
        </w:tc>
        <w:tc>
          <w:tcPr>
            <w:tcW w:w="2552" w:type="dxa"/>
            <w:shd w:val="clear" w:color="auto" w:fill="auto"/>
            <w:vAlign w:val="bottom"/>
          </w:tcPr>
          <w:p w:rsidR="00253225" w:rsidRPr="003A1AA8" w:rsidRDefault="00253225" w:rsidP="003075D7">
            <w:pPr>
              <w:pStyle w:val="Tabletext"/>
              <w:jc w:val="right"/>
            </w:pPr>
            <w:r w:rsidRPr="003A1AA8">
              <w:t>60</w:t>
            </w:r>
          </w:p>
        </w:tc>
        <w:tc>
          <w:tcPr>
            <w:tcW w:w="2835" w:type="dxa"/>
            <w:shd w:val="clear" w:color="auto" w:fill="auto"/>
            <w:vAlign w:val="bottom"/>
          </w:tcPr>
          <w:p w:rsidR="00253225" w:rsidRPr="003A1AA8" w:rsidRDefault="00253225" w:rsidP="003075D7">
            <w:pPr>
              <w:pStyle w:val="Tabletext"/>
              <w:jc w:val="right"/>
            </w:pPr>
            <w:r w:rsidRPr="003A1AA8">
              <w:t xml:space="preserve">0.1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4</w:t>
            </w:r>
          </w:p>
        </w:tc>
        <w:tc>
          <w:tcPr>
            <w:tcW w:w="2552" w:type="dxa"/>
            <w:shd w:val="clear" w:color="auto" w:fill="auto"/>
            <w:vAlign w:val="bottom"/>
          </w:tcPr>
          <w:p w:rsidR="00253225" w:rsidRPr="003A1AA8" w:rsidRDefault="00253225" w:rsidP="003075D7">
            <w:pPr>
              <w:pStyle w:val="Tabletext"/>
              <w:jc w:val="right"/>
            </w:pPr>
            <w:r w:rsidRPr="003A1AA8">
              <w:t>70</w:t>
            </w:r>
          </w:p>
        </w:tc>
        <w:tc>
          <w:tcPr>
            <w:tcW w:w="2835" w:type="dxa"/>
            <w:shd w:val="clear" w:color="auto" w:fill="auto"/>
            <w:vAlign w:val="bottom"/>
          </w:tcPr>
          <w:p w:rsidR="00253225" w:rsidRPr="003A1AA8" w:rsidRDefault="00253225" w:rsidP="003075D7">
            <w:pPr>
              <w:pStyle w:val="Tabletext"/>
              <w:jc w:val="right"/>
            </w:pPr>
            <w:r w:rsidRPr="003A1AA8">
              <w:t xml:space="preserve">0.2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5</w:t>
            </w:r>
          </w:p>
        </w:tc>
        <w:tc>
          <w:tcPr>
            <w:tcW w:w="2552" w:type="dxa"/>
            <w:shd w:val="clear" w:color="auto" w:fill="auto"/>
            <w:vAlign w:val="bottom"/>
          </w:tcPr>
          <w:p w:rsidR="00253225" w:rsidRPr="003A1AA8" w:rsidRDefault="00253225" w:rsidP="003075D7">
            <w:pPr>
              <w:pStyle w:val="Tabletext"/>
              <w:jc w:val="right"/>
            </w:pPr>
            <w:r w:rsidRPr="003A1AA8">
              <w:t>80</w:t>
            </w:r>
          </w:p>
        </w:tc>
        <w:tc>
          <w:tcPr>
            <w:tcW w:w="2835" w:type="dxa"/>
            <w:shd w:val="clear" w:color="auto" w:fill="auto"/>
            <w:vAlign w:val="bottom"/>
          </w:tcPr>
          <w:p w:rsidR="00253225" w:rsidRPr="003A1AA8" w:rsidRDefault="00253225" w:rsidP="003075D7">
            <w:pPr>
              <w:pStyle w:val="Tabletext"/>
              <w:jc w:val="right"/>
            </w:pPr>
            <w:r w:rsidRPr="003A1AA8">
              <w:t xml:space="preserve">0.2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6</w:t>
            </w:r>
          </w:p>
        </w:tc>
        <w:tc>
          <w:tcPr>
            <w:tcW w:w="2552" w:type="dxa"/>
            <w:shd w:val="clear" w:color="auto" w:fill="auto"/>
            <w:vAlign w:val="bottom"/>
          </w:tcPr>
          <w:p w:rsidR="00253225" w:rsidRPr="003A1AA8" w:rsidRDefault="00253225" w:rsidP="003075D7">
            <w:pPr>
              <w:pStyle w:val="Tabletext"/>
              <w:jc w:val="right"/>
            </w:pPr>
            <w:r w:rsidRPr="003A1AA8">
              <w:t>90</w:t>
            </w:r>
          </w:p>
        </w:tc>
        <w:tc>
          <w:tcPr>
            <w:tcW w:w="2835" w:type="dxa"/>
            <w:shd w:val="clear" w:color="auto" w:fill="auto"/>
            <w:vAlign w:val="bottom"/>
          </w:tcPr>
          <w:p w:rsidR="00253225" w:rsidRPr="003A1AA8" w:rsidRDefault="00253225" w:rsidP="003075D7">
            <w:pPr>
              <w:pStyle w:val="Tabletext"/>
              <w:jc w:val="right"/>
            </w:pPr>
            <w:r w:rsidRPr="003A1AA8">
              <w:t xml:space="preserve">0.2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7</w:t>
            </w:r>
          </w:p>
        </w:tc>
        <w:tc>
          <w:tcPr>
            <w:tcW w:w="2552" w:type="dxa"/>
            <w:shd w:val="clear" w:color="auto" w:fill="auto"/>
            <w:vAlign w:val="bottom"/>
          </w:tcPr>
          <w:p w:rsidR="00253225" w:rsidRPr="003A1AA8" w:rsidRDefault="00253225" w:rsidP="003075D7">
            <w:pPr>
              <w:pStyle w:val="Tabletext"/>
              <w:jc w:val="right"/>
            </w:pPr>
            <w:r w:rsidRPr="003A1AA8">
              <w:t>100</w:t>
            </w:r>
          </w:p>
        </w:tc>
        <w:tc>
          <w:tcPr>
            <w:tcW w:w="2835" w:type="dxa"/>
            <w:shd w:val="clear" w:color="auto" w:fill="auto"/>
            <w:vAlign w:val="bottom"/>
          </w:tcPr>
          <w:p w:rsidR="00253225" w:rsidRPr="003A1AA8" w:rsidRDefault="00253225" w:rsidP="003075D7">
            <w:pPr>
              <w:pStyle w:val="Tabletext"/>
              <w:jc w:val="right"/>
            </w:pPr>
            <w:r w:rsidRPr="003A1AA8">
              <w:t xml:space="preserve">0.3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8</w:t>
            </w:r>
          </w:p>
        </w:tc>
        <w:tc>
          <w:tcPr>
            <w:tcW w:w="2552" w:type="dxa"/>
            <w:shd w:val="clear" w:color="auto" w:fill="auto"/>
            <w:vAlign w:val="bottom"/>
          </w:tcPr>
          <w:p w:rsidR="00253225" w:rsidRPr="003A1AA8" w:rsidRDefault="00253225" w:rsidP="003075D7">
            <w:pPr>
              <w:pStyle w:val="Tabletext"/>
              <w:jc w:val="right"/>
            </w:pPr>
            <w:r w:rsidRPr="003A1AA8">
              <w:t>110</w:t>
            </w:r>
          </w:p>
        </w:tc>
        <w:tc>
          <w:tcPr>
            <w:tcW w:w="2835" w:type="dxa"/>
            <w:shd w:val="clear" w:color="auto" w:fill="auto"/>
            <w:vAlign w:val="bottom"/>
          </w:tcPr>
          <w:p w:rsidR="00253225" w:rsidRPr="003A1AA8" w:rsidRDefault="00253225" w:rsidP="003075D7">
            <w:pPr>
              <w:pStyle w:val="Tabletext"/>
              <w:jc w:val="right"/>
            </w:pPr>
            <w:r w:rsidRPr="003A1AA8">
              <w:t xml:space="preserve">0.3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9</w:t>
            </w:r>
          </w:p>
        </w:tc>
        <w:tc>
          <w:tcPr>
            <w:tcW w:w="2552" w:type="dxa"/>
            <w:shd w:val="clear" w:color="auto" w:fill="auto"/>
            <w:vAlign w:val="bottom"/>
          </w:tcPr>
          <w:p w:rsidR="00253225" w:rsidRPr="003A1AA8" w:rsidRDefault="00253225" w:rsidP="003075D7">
            <w:pPr>
              <w:pStyle w:val="Tabletext"/>
              <w:jc w:val="right"/>
            </w:pPr>
            <w:r w:rsidRPr="003A1AA8">
              <w:t>120</w:t>
            </w:r>
          </w:p>
        </w:tc>
        <w:tc>
          <w:tcPr>
            <w:tcW w:w="2835" w:type="dxa"/>
            <w:shd w:val="clear" w:color="auto" w:fill="auto"/>
            <w:vAlign w:val="bottom"/>
          </w:tcPr>
          <w:p w:rsidR="00253225" w:rsidRPr="003A1AA8" w:rsidRDefault="00253225" w:rsidP="003075D7">
            <w:pPr>
              <w:pStyle w:val="Tabletext"/>
              <w:jc w:val="right"/>
            </w:pPr>
            <w:r w:rsidRPr="003A1AA8">
              <w:t xml:space="preserve">0.4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10</w:t>
            </w:r>
          </w:p>
        </w:tc>
        <w:tc>
          <w:tcPr>
            <w:tcW w:w="2552" w:type="dxa"/>
            <w:shd w:val="clear" w:color="auto" w:fill="auto"/>
            <w:vAlign w:val="bottom"/>
          </w:tcPr>
          <w:p w:rsidR="00253225" w:rsidRPr="003A1AA8" w:rsidRDefault="00253225" w:rsidP="003075D7">
            <w:pPr>
              <w:pStyle w:val="Tabletext"/>
              <w:jc w:val="right"/>
            </w:pPr>
            <w:r w:rsidRPr="003A1AA8">
              <w:t>130</w:t>
            </w:r>
          </w:p>
        </w:tc>
        <w:tc>
          <w:tcPr>
            <w:tcW w:w="2835" w:type="dxa"/>
            <w:shd w:val="clear" w:color="auto" w:fill="auto"/>
            <w:vAlign w:val="bottom"/>
          </w:tcPr>
          <w:p w:rsidR="00253225" w:rsidRPr="003A1AA8" w:rsidRDefault="00253225" w:rsidP="003075D7">
            <w:pPr>
              <w:pStyle w:val="Tabletext"/>
              <w:jc w:val="right"/>
            </w:pPr>
            <w:r w:rsidRPr="003A1AA8">
              <w:t xml:space="preserve">0.4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11</w:t>
            </w:r>
          </w:p>
        </w:tc>
        <w:tc>
          <w:tcPr>
            <w:tcW w:w="2552" w:type="dxa"/>
            <w:shd w:val="clear" w:color="auto" w:fill="auto"/>
            <w:vAlign w:val="bottom"/>
          </w:tcPr>
          <w:p w:rsidR="00253225" w:rsidRPr="003A1AA8" w:rsidRDefault="00253225" w:rsidP="003075D7">
            <w:pPr>
              <w:pStyle w:val="Tabletext"/>
              <w:jc w:val="right"/>
            </w:pPr>
            <w:r w:rsidRPr="003A1AA8">
              <w:t>140</w:t>
            </w:r>
          </w:p>
        </w:tc>
        <w:tc>
          <w:tcPr>
            <w:tcW w:w="2835" w:type="dxa"/>
            <w:shd w:val="clear" w:color="auto" w:fill="auto"/>
            <w:vAlign w:val="bottom"/>
          </w:tcPr>
          <w:p w:rsidR="00253225" w:rsidRPr="003A1AA8" w:rsidRDefault="00253225" w:rsidP="003075D7">
            <w:pPr>
              <w:pStyle w:val="Tabletext"/>
              <w:jc w:val="right"/>
            </w:pPr>
            <w:r w:rsidRPr="003A1AA8">
              <w:t xml:space="preserve">0.5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12</w:t>
            </w:r>
          </w:p>
        </w:tc>
        <w:tc>
          <w:tcPr>
            <w:tcW w:w="2552" w:type="dxa"/>
            <w:shd w:val="clear" w:color="auto" w:fill="auto"/>
            <w:vAlign w:val="bottom"/>
          </w:tcPr>
          <w:p w:rsidR="00253225" w:rsidRPr="003A1AA8" w:rsidRDefault="00253225" w:rsidP="003075D7">
            <w:pPr>
              <w:pStyle w:val="Tabletext"/>
              <w:jc w:val="right"/>
            </w:pPr>
            <w:r w:rsidRPr="003A1AA8">
              <w:t>150</w:t>
            </w:r>
          </w:p>
        </w:tc>
        <w:tc>
          <w:tcPr>
            <w:tcW w:w="2835" w:type="dxa"/>
            <w:shd w:val="clear" w:color="auto" w:fill="auto"/>
            <w:vAlign w:val="bottom"/>
          </w:tcPr>
          <w:p w:rsidR="00253225" w:rsidRPr="003A1AA8" w:rsidRDefault="00253225" w:rsidP="003075D7">
            <w:pPr>
              <w:pStyle w:val="Tabletext"/>
              <w:jc w:val="right"/>
            </w:pPr>
            <w:r w:rsidRPr="003A1AA8">
              <w:t xml:space="preserve">0.6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13</w:t>
            </w:r>
          </w:p>
        </w:tc>
        <w:tc>
          <w:tcPr>
            <w:tcW w:w="2552" w:type="dxa"/>
            <w:shd w:val="clear" w:color="auto" w:fill="auto"/>
            <w:vAlign w:val="bottom"/>
          </w:tcPr>
          <w:p w:rsidR="00253225" w:rsidRPr="003A1AA8" w:rsidRDefault="00253225" w:rsidP="003075D7">
            <w:pPr>
              <w:pStyle w:val="Tabletext"/>
              <w:jc w:val="right"/>
            </w:pPr>
            <w:r w:rsidRPr="003A1AA8">
              <w:t>160</w:t>
            </w:r>
          </w:p>
        </w:tc>
        <w:tc>
          <w:tcPr>
            <w:tcW w:w="2835" w:type="dxa"/>
            <w:shd w:val="clear" w:color="auto" w:fill="auto"/>
            <w:vAlign w:val="bottom"/>
          </w:tcPr>
          <w:p w:rsidR="00253225" w:rsidRPr="003A1AA8" w:rsidRDefault="00253225" w:rsidP="003075D7">
            <w:pPr>
              <w:pStyle w:val="Tabletext"/>
              <w:jc w:val="right"/>
            </w:pPr>
            <w:r w:rsidRPr="003A1AA8">
              <w:t xml:space="preserve">0.6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14</w:t>
            </w:r>
          </w:p>
        </w:tc>
        <w:tc>
          <w:tcPr>
            <w:tcW w:w="2552" w:type="dxa"/>
            <w:shd w:val="clear" w:color="auto" w:fill="auto"/>
            <w:vAlign w:val="bottom"/>
          </w:tcPr>
          <w:p w:rsidR="00253225" w:rsidRPr="003A1AA8" w:rsidRDefault="00253225" w:rsidP="003075D7">
            <w:pPr>
              <w:pStyle w:val="Tabletext"/>
              <w:jc w:val="right"/>
            </w:pPr>
            <w:r w:rsidRPr="003A1AA8">
              <w:t>170</w:t>
            </w:r>
          </w:p>
        </w:tc>
        <w:tc>
          <w:tcPr>
            <w:tcW w:w="2835" w:type="dxa"/>
            <w:shd w:val="clear" w:color="auto" w:fill="auto"/>
            <w:vAlign w:val="bottom"/>
          </w:tcPr>
          <w:p w:rsidR="00253225" w:rsidRPr="003A1AA8" w:rsidRDefault="00253225" w:rsidP="003075D7">
            <w:pPr>
              <w:pStyle w:val="Tabletext"/>
              <w:jc w:val="right"/>
            </w:pPr>
            <w:r w:rsidRPr="003A1AA8">
              <w:t xml:space="preserve">0.7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15</w:t>
            </w:r>
          </w:p>
        </w:tc>
        <w:tc>
          <w:tcPr>
            <w:tcW w:w="2552" w:type="dxa"/>
            <w:shd w:val="clear" w:color="auto" w:fill="auto"/>
            <w:vAlign w:val="bottom"/>
          </w:tcPr>
          <w:p w:rsidR="00253225" w:rsidRPr="003A1AA8" w:rsidRDefault="00253225" w:rsidP="003075D7">
            <w:pPr>
              <w:pStyle w:val="Tabletext"/>
              <w:jc w:val="right"/>
            </w:pPr>
            <w:r w:rsidRPr="003A1AA8">
              <w:t>180</w:t>
            </w:r>
          </w:p>
        </w:tc>
        <w:tc>
          <w:tcPr>
            <w:tcW w:w="2835" w:type="dxa"/>
            <w:shd w:val="clear" w:color="auto" w:fill="auto"/>
            <w:vAlign w:val="bottom"/>
          </w:tcPr>
          <w:p w:rsidR="00253225" w:rsidRPr="003A1AA8" w:rsidRDefault="00253225" w:rsidP="003075D7">
            <w:pPr>
              <w:pStyle w:val="Tabletext"/>
              <w:jc w:val="right"/>
            </w:pPr>
            <w:r w:rsidRPr="003A1AA8">
              <w:t xml:space="preserve">0.7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16</w:t>
            </w:r>
          </w:p>
        </w:tc>
        <w:tc>
          <w:tcPr>
            <w:tcW w:w="2552" w:type="dxa"/>
            <w:shd w:val="clear" w:color="auto" w:fill="auto"/>
            <w:vAlign w:val="bottom"/>
          </w:tcPr>
          <w:p w:rsidR="00253225" w:rsidRPr="003A1AA8" w:rsidRDefault="00253225" w:rsidP="003075D7">
            <w:pPr>
              <w:pStyle w:val="Tabletext"/>
              <w:jc w:val="right"/>
            </w:pPr>
            <w:r w:rsidRPr="003A1AA8">
              <w:t>190</w:t>
            </w:r>
          </w:p>
        </w:tc>
        <w:tc>
          <w:tcPr>
            <w:tcW w:w="2835" w:type="dxa"/>
            <w:shd w:val="clear" w:color="auto" w:fill="auto"/>
            <w:vAlign w:val="bottom"/>
          </w:tcPr>
          <w:p w:rsidR="00253225" w:rsidRPr="003A1AA8" w:rsidRDefault="00253225" w:rsidP="003075D7">
            <w:pPr>
              <w:pStyle w:val="Tabletext"/>
              <w:jc w:val="right"/>
            </w:pPr>
            <w:r w:rsidRPr="003A1AA8">
              <w:t xml:space="preserve">0.8 x </w:t>
            </w:r>
            <w:r w:rsidR="00CF7595" w:rsidRPr="003A1AA8">
              <w:t>10</w:t>
            </w:r>
            <w:r w:rsidR="003A1AA8">
              <w:rPr>
                <w:vertAlign w:val="superscript"/>
              </w:rPr>
              <w:noBreakHyphen/>
            </w:r>
            <w:r w:rsidR="00CF7595" w:rsidRPr="003A1AA8">
              <w:rPr>
                <w:vertAlign w:val="superscript"/>
              </w:rPr>
              <w:t>6</w:t>
            </w:r>
          </w:p>
        </w:tc>
      </w:tr>
      <w:tr w:rsidR="007E151D" w:rsidRPr="003A1AA8" w:rsidTr="003075D7">
        <w:tc>
          <w:tcPr>
            <w:tcW w:w="709" w:type="dxa"/>
            <w:shd w:val="clear" w:color="auto" w:fill="auto"/>
          </w:tcPr>
          <w:p w:rsidR="00253225" w:rsidRPr="003A1AA8" w:rsidRDefault="00634E3C" w:rsidP="007A3FEC">
            <w:pPr>
              <w:pStyle w:val="Tabletext"/>
            </w:pPr>
            <w:r w:rsidRPr="003A1AA8">
              <w:t>17</w:t>
            </w:r>
          </w:p>
        </w:tc>
        <w:tc>
          <w:tcPr>
            <w:tcW w:w="2552" w:type="dxa"/>
            <w:shd w:val="clear" w:color="auto" w:fill="auto"/>
            <w:vAlign w:val="bottom"/>
          </w:tcPr>
          <w:p w:rsidR="00253225" w:rsidRPr="003A1AA8" w:rsidRDefault="00253225" w:rsidP="003075D7">
            <w:pPr>
              <w:pStyle w:val="Tabletext"/>
              <w:jc w:val="right"/>
            </w:pPr>
            <w:r w:rsidRPr="003A1AA8">
              <w:t>200</w:t>
            </w:r>
          </w:p>
        </w:tc>
        <w:tc>
          <w:tcPr>
            <w:tcW w:w="2835" w:type="dxa"/>
            <w:shd w:val="clear" w:color="auto" w:fill="auto"/>
            <w:vAlign w:val="bottom"/>
          </w:tcPr>
          <w:p w:rsidR="00253225" w:rsidRPr="003A1AA8" w:rsidRDefault="00253225" w:rsidP="003075D7">
            <w:pPr>
              <w:pStyle w:val="Tabletext"/>
              <w:jc w:val="right"/>
            </w:pPr>
            <w:r w:rsidRPr="003A1AA8">
              <w:t xml:space="preserve">0.8 x </w:t>
            </w:r>
            <w:r w:rsidR="00CF7595" w:rsidRPr="003A1AA8">
              <w:t>10</w:t>
            </w:r>
            <w:r w:rsidR="003A1AA8">
              <w:rPr>
                <w:vertAlign w:val="superscript"/>
              </w:rPr>
              <w:noBreakHyphen/>
            </w:r>
            <w:r w:rsidR="00CF7595" w:rsidRPr="003A1AA8">
              <w:rPr>
                <w:vertAlign w:val="superscript"/>
              </w:rPr>
              <w:t>6</w:t>
            </w:r>
          </w:p>
        </w:tc>
      </w:tr>
      <w:tr w:rsidR="007A4B4F" w:rsidRPr="003A1AA8" w:rsidTr="003075D7">
        <w:tc>
          <w:tcPr>
            <w:tcW w:w="709" w:type="dxa"/>
            <w:shd w:val="clear" w:color="auto" w:fill="auto"/>
          </w:tcPr>
          <w:p w:rsidR="00253225" w:rsidRPr="003A1AA8" w:rsidRDefault="00634E3C" w:rsidP="007A3FEC">
            <w:pPr>
              <w:pStyle w:val="Tabletext"/>
            </w:pPr>
            <w:r w:rsidRPr="003A1AA8">
              <w:t>18</w:t>
            </w:r>
          </w:p>
        </w:tc>
        <w:tc>
          <w:tcPr>
            <w:tcW w:w="2552" w:type="dxa"/>
            <w:shd w:val="clear" w:color="auto" w:fill="auto"/>
            <w:vAlign w:val="bottom"/>
          </w:tcPr>
          <w:p w:rsidR="00253225" w:rsidRPr="003A1AA8" w:rsidRDefault="00253225" w:rsidP="003075D7">
            <w:pPr>
              <w:pStyle w:val="Tabletext"/>
              <w:jc w:val="right"/>
            </w:pPr>
            <w:r w:rsidRPr="003A1AA8">
              <w:t>210</w:t>
            </w:r>
          </w:p>
        </w:tc>
        <w:tc>
          <w:tcPr>
            <w:tcW w:w="2835" w:type="dxa"/>
            <w:shd w:val="clear" w:color="auto" w:fill="auto"/>
            <w:vAlign w:val="bottom"/>
          </w:tcPr>
          <w:p w:rsidR="00253225" w:rsidRPr="003A1AA8" w:rsidRDefault="00253225" w:rsidP="003075D7">
            <w:pPr>
              <w:pStyle w:val="Tabletext"/>
              <w:jc w:val="right"/>
            </w:pPr>
            <w:r w:rsidRPr="003A1AA8">
              <w:t xml:space="preserve">0.9 x </w:t>
            </w:r>
            <w:r w:rsidR="00CF7595" w:rsidRPr="003A1AA8">
              <w:t>10</w:t>
            </w:r>
            <w:r w:rsidR="003A1AA8">
              <w:rPr>
                <w:vertAlign w:val="superscript"/>
              </w:rPr>
              <w:noBreakHyphen/>
            </w:r>
            <w:r w:rsidR="00CF7595" w:rsidRPr="003A1AA8">
              <w:rPr>
                <w:vertAlign w:val="superscript"/>
              </w:rPr>
              <w:t>6</w:t>
            </w:r>
          </w:p>
        </w:tc>
      </w:tr>
      <w:tr w:rsidR="007A4B4F" w:rsidRPr="003A1AA8" w:rsidTr="003075D7">
        <w:tc>
          <w:tcPr>
            <w:tcW w:w="709" w:type="dxa"/>
            <w:shd w:val="clear" w:color="auto" w:fill="auto"/>
          </w:tcPr>
          <w:p w:rsidR="00253225" w:rsidRPr="003A1AA8" w:rsidRDefault="00634E3C" w:rsidP="007A3FEC">
            <w:pPr>
              <w:pStyle w:val="Tabletext"/>
            </w:pPr>
            <w:r w:rsidRPr="003A1AA8">
              <w:t>19</w:t>
            </w:r>
          </w:p>
        </w:tc>
        <w:tc>
          <w:tcPr>
            <w:tcW w:w="2552" w:type="dxa"/>
            <w:shd w:val="clear" w:color="auto" w:fill="auto"/>
            <w:vAlign w:val="bottom"/>
          </w:tcPr>
          <w:p w:rsidR="00253225" w:rsidRPr="003A1AA8" w:rsidRDefault="00253225" w:rsidP="003075D7">
            <w:pPr>
              <w:pStyle w:val="Tabletext"/>
              <w:jc w:val="right"/>
            </w:pPr>
            <w:r w:rsidRPr="003A1AA8">
              <w:t>220</w:t>
            </w:r>
          </w:p>
        </w:tc>
        <w:tc>
          <w:tcPr>
            <w:tcW w:w="2835" w:type="dxa"/>
            <w:shd w:val="clear" w:color="auto" w:fill="auto"/>
            <w:vAlign w:val="bottom"/>
          </w:tcPr>
          <w:p w:rsidR="00253225" w:rsidRPr="003A1AA8" w:rsidRDefault="00253225" w:rsidP="003075D7">
            <w:pPr>
              <w:pStyle w:val="Tabletext"/>
              <w:jc w:val="right"/>
            </w:pPr>
            <w:r w:rsidRPr="003A1AA8">
              <w:t xml:space="preserve">0.9 x </w:t>
            </w:r>
            <w:r w:rsidR="00CF7595" w:rsidRPr="003A1AA8">
              <w:t>10</w:t>
            </w:r>
            <w:r w:rsidR="003A1AA8">
              <w:rPr>
                <w:vertAlign w:val="superscript"/>
              </w:rPr>
              <w:noBreakHyphen/>
            </w:r>
            <w:r w:rsidR="00CF7595" w:rsidRPr="003A1AA8">
              <w:rPr>
                <w:vertAlign w:val="superscript"/>
              </w:rPr>
              <w:t>6</w:t>
            </w:r>
          </w:p>
        </w:tc>
      </w:tr>
      <w:tr w:rsidR="007A4B4F" w:rsidRPr="003A1AA8" w:rsidTr="003075D7">
        <w:tc>
          <w:tcPr>
            <w:tcW w:w="709" w:type="dxa"/>
            <w:shd w:val="clear" w:color="auto" w:fill="auto"/>
          </w:tcPr>
          <w:p w:rsidR="00253225" w:rsidRPr="003A1AA8" w:rsidRDefault="00634E3C" w:rsidP="007A3FEC">
            <w:pPr>
              <w:pStyle w:val="Tabletext"/>
            </w:pPr>
            <w:r w:rsidRPr="003A1AA8">
              <w:t>20</w:t>
            </w:r>
          </w:p>
        </w:tc>
        <w:tc>
          <w:tcPr>
            <w:tcW w:w="2552" w:type="dxa"/>
            <w:shd w:val="clear" w:color="auto" w:fill="auto"/>
            <w:vAlign w:val="bottom"/>
          </w:tcPr>
          <w:p w:rsidR="00253225" w:rsidRPr="003A1AA8" w:rsidRDefault="00253225" w:rsidP="003075D7">
            <w:pPr>
              <w:pStyle w:val="Tabletext"/>
              <w:jc w:val="right"/>
            </w:pPr>
            <w:r w:rsidRPr="003A1AA8">
              <w:t>230</w:t>
            </w:r>
          </w:p>
        </w:tc>
        <w:tc>
          <w:tcPr>
            <w:tcW w:w="2835" w:type="dxa"/>
            <w:shd w:val="clear" w:color="auto" w:fill="auto"/>
            <w:vAlign w:val="bottom"/>
          </w:tcPr>
          <w:p w:rsidR="00253225" w:rsidRPr="003A1AA8" w:rsidRDefault="00253225" w:rsidP="003075D7">
            <w:pPr>
              <w:pStyle w:val="Tabletext"/>
              <w:jc w:val="right"/>
            </w:pPr>
            <w:r w:rsidRPr="003A1AA8">
              <w:t xml:space="preserve">1.0 x </w:t>
            </w:r>
            <w:r w:rsidR="00CF7595" w:rsidRPr="003A1AA8">
              <w:t>10</w:t>
            </w:r>
            <w:r w:rsidR="003A1AA8">
              <w:rPr>
                <w:vertAlign w:val="superscript"/>
              </w:rPr>
              <w:noBreakHyphen/>
            </w:r>
            <w:r w:rsidR="00CF7595" w:rsidRPr="003A1AA8">
              <w:rPr>
                <w:vertAlign w:val="superscript"/>
              </w:rPr>
              <w:t>6</w:t>
            </w:r>
          </w:p>
        </w:tc>
      </w:tr>
      <w:tr w:rsidR="007A4B4F" w:rsidRPr="003A1AA8" w:rsidTr="003075D7">
        <w:tc>
          <w:tcPr>
            <w:tcW w:w="709" w:type="dxa"/>
            <w:shd w:val="clear" w:color="auto" w:fill="auto"/>
          </w:tcPr>
          <w:p w:rsidR="00253225" w:rsidRPr="003A1AA8" w:rsidRDefault="00634E3C" w:rsidP="007A3FEC">
            <w:pPr>
              <w:pStyle w:val="Tabletext"/>
            </w:pPr>
            <w:r w:rsidRPr="003A1AA8">
              <w:t>21</w:t>
            </w:r>
          </w:p>
        </w:tc>
        <w:tc>
          <w:tcPr>
            <w:tcW w:w="2552" w:type="dxa"/>
            <w:shd w:val="clear" w:color="auto" w:fill="auto"/>
            <w:vAlign w:val="bottom"/>
          </w:tcPr>
          <w:p w:rsidR="00253225" w:rsidRPr="003A1AA8" w:rsidRDefault="00253225" w:rsidP="003075D7">
            <w:pPr>
              <w:pStyle w:val="Tabletext"/>
              <w:jc w:val="right"/>
            </w:pPr>
            <w:r w:rsidRPr="003A1AA8">
              <w:t>240</w:t>
            </w:r>
          </w:p>
        </w:tc>
        <w:tc>
          <w:tcPr>
            <w:tcW w:w="2835" w:type="dxa"/>
            <w:shd w:val="clear" w:color="auto" w:fill="auto"/>
            <w:vAlign w:val="bottom"/>
          </w:tcPr>
          <w:p w:rsidR="00253225" w:rsidRPr="003A1AA8" w:rsidRDefault="00253225" w:rsidP="003075D7">
            <w:pPr>
              <w:pStyle w:val="Tabletext"/>
              <w:jc w:val="right"/>
            </w:pPr>
            <w:r w:rsidRPr="003A1AA8">
              <w:t xml:space="preserve">1.0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22</w:t>
            </w:r>
          </w:p>
        </w:tc>
        <w:tc>
          <w:tcPr>
            <w:tcW w:w="2552" w:type="dxa"/>
            <w:shd w:val="clear" w:color="auto" w:fill="auto"/>
            <w:vAlign w:val="bottom"/>
          </w:tcPr>
          <w:p w:rsidR="00253225" w:rsidRPr="003A1AA8" w:rsidRDefault="00253225" w:rsidP="003075D7">
            <w:pPr>
              <w:pStyle w:val="Tabletext"/>
              <w:jc w:val="right"/>
            </w:pPr>
            <w:r w:rsidRPr="003A1AA8">
              <w:t>250</w:t>
            </w:r>
          </w:p>
        </w:tc>
        <w:tc>
          <w:tcPr>
            <w:tcW w:w="2835" w:type="dxa"/>
            <w:shd w:val="clear" w:color="auto" w:fill="auto"/>
            <w:vAlign w:val="bottom"/>
          </w:tcPr>
          <w:p w:rsidR="00253225" w:rsidRPr="003A1AA8" w:rsidRDefault="00253225" w:rsidP="003075D7">
            <w:pPr>
              <w:pStyle w:val="Tabletext"/>
              <w:jc w:val="right"/>
            </w:pPr>
            <w:r w:rsidRPr="003A1AA8">
              <w:t xml:space="preserve">1.0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23</w:t>
            </w:r>
          </w:p>
        </w:tc>
        <w:tc>
          <w:tcPr>
            <w:tcW w:w="2552" w:type="dxa"/>
            <w:shd w:val="clear" w:color="auto" w:fill="auto"/>
            <w:vAlign w:val="bottom"/>
          </w:tcPr>
          <w:p w:rsidR="00253225" w:rsidRPr="003A1AA8" w:rsidRDefault="00253225" w:rsidP="003075D7">
            <w:pPr>
              <w:pStyle w:val="Tabletext"/>
              <w:jc w:val="right"/>
            </w:pPr>
            <w:r w:rsidRPr="003A1AA8">
              <w:t>260</w:t>
            </w:r>
          </w:p>
        </w:tc>
        <w:tc>
          <w:tcPr>
            <w:tcW w:w="2835" w:type="dxa"/>
            <w:shd w:val="clear" w:color="auto" w:fill="auto"/>
            <w:vAlign w:val="bottom"/>
          </w:tcPr>
          <w:p w:rsidR="00253225" w:rsidRPr="003A1AA8" w:rsidRDefault="00253225" w:rsidP="003075D7">
            <w:pPr>
              <w:pStyle w:val="Tabletext"/>
              <w:jc w:val="right"/>
            </w:pPr>
            <w:r w:rsidRPr="003A1AA8">
              <w:t xml:space="preserve">1.1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24</w:t>
            </w:r>
          </w:p>
        </w:tc>
        <w:tc>
          <w:tcPr>
            <w:tcW w:w="2552" w:type="dxa"/>
            <w:shd w:val="clear" w:color="auto" w:fill="auto"/>
            <w:vAlign w:val="bottom"/>
          </w:tcPr>
          <w:p w:rsidR="00253225" w:rsidRPr="003A1AA8" w:rsidRDefault="00253225" w:rsidP="003075D7">
            <w:pPr>
              <w:pStyle w:val="Tabletext"/>
              <w:jc w:val="right"/>
            </w:pPr>
            <w:r w:rsidRPr="003A1AA8">
              <w:t>270</w:t>
            </w:r>
          </w:p>
        </w:tc>
        <w:tc>
          <w:tcPr>
            <w:tcW w:w="2835" w:type="dxa"/>
            <w:shd w:val="clear" w:color="auto" w:fill="auto"/>
            <w:vAlign w:val="bottom"/>
          </w:tcPr>
          <w:p w:rsidR="00253225" w:rsidRPr="003A1AA8" w:rsidRDefault="00253225" w:rsidP="003075D7">
            <w:pPr>
              <w:pStyle w:val="Tabletext"/>
              <w:jc w:val="right"/>
            </w:pPr>
            <w:r w:rsidRPr="003A1AA8">
              <w:t xml:space="preserve">1.2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25</w:t>
            </w:r>
          </w:p>
        </w:tc>
        <w:tc>
          <w:tcPr>
            <w:tcW w:w="2552" w:type="dxa"/>
            <w:shd w:val="clear" w:color="auto" w:fill="auto"/>
            <w:vAlign w:val="bottom"/>
          </w:tcPr>
          <w:p w:rsidR="00253225" w:rsidRPr="003A1AA8" w:rsidRDefault="00253225" w:rsidP="003075D7">
            <w:pPr>
              <w:pStyle w:val="Tabletext"/>
              <w:jc w:val="right"/>
            </w:pPr>
            <w:r w:rsidRPr="003A1AA8">
              <w:t>280</w:t>
            </w:r>
          </w:p>
        </w:tc>
        <w:tc>
          <w:tcPr>
            <w:tcW w:w="2835" w:type="dxa"/>
            <w:shd w:val="clear" w:color="auto" w:fill="auto"/>
            <w:vAlign w:val="bottom"/>
          </w:tcPr>
          <w:p w:rsidR="00253225" w:rsidRPr="003A1AA8" w:rsidRDefault="00253225" w:rsidP="003075D7">
            <w:pPr>
              <w:pStyle w:val="Tabletext"/>
              <w:jc w:val="right"/>
            </w:pPr>
            <w:r w:rsidRPr="003A1AA8">
              <w:t xml:space="preserve">1.3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26</w:t>
            </w:r>
          </w:p>
        </w:tc>
        <w:tc>
          <w:tcPr>
            <w:tcW w:w="2552" w:type="dxa"/>
            <w:shd w:val="clear" w:color="auto" w:fill="auto"/>
            <w:vAlign w:val="bottom"/>
          </w:tcPr>
          <w:p w:rsidR="00253225" w:rsidRPr="003A1AA8" w:rsidRDefault="00253225" w:rsidP="003075D7">
            <w:pPr>
              <w:pStyle w:val="Tabletext"/>
              <w:jc w:val="right"/>
            </w:pPr>
            <w:r w:rsidRPr="003A1AA8">
              <w:t>290</w:t>
            </w:r>
          </w:p>
        </w:tc>
        <w:tc>
          <w:tcPr>
            <w:tcW w:w="2835" w:type="dxa"/>
            <w:shd w:val="clear" w:color="auto" w:fill="auto"/>
            <w:vAlign w:val="bottom"/>
          </w:tcPr>
          <w:p w:rsidR="00253225" w:rsidRPr="003A1AA8" w:rsidRDefault="00253225" w:rsidP="003075D7">
            <w:pPr>
              <w:pStyle w:val="Tabletext"/>
              <w:jc w:val="right"/>
            </w:pPr>
            <w:r w:rsidRPr="003A1AA8">
              <w:t xml:space="preserve">1.3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27</w:t>
            </w:r>
          </w:p>
        </w:tc>
        <w:tc>
          <w:tcPr>
            <w:tcW w:w="2552" w:type="dxa"/>
            <w:shd w:val="clear" w:color="auto" w:fill="auto"/>
            <w:vAlign w:val="bottom"/>
          </w:tcPr>
          <w:p w:rsidR="00253225" w:rsidRPr="003A1AA8" w:rsidRDefault="00253225" w:rsidP="003075D7">
            <w:pPr>
              <w:pStyle w:val="Tabletext"/>
              <w:jc w:val="right"/>
            </w:pPr>
            <w:r w:rsidRPr="003A1AA8">
              <w:t>300</w:t>
            </w:r>
          </w:p>
        </w:tc>
        <w:tc>
          <w:tcPr>
            <w:tcW w:w="2835" w:type="dxa"/>
            <w:shd w:val="clear" w:color="auto" w:fill="auto"/>
            <w:vAlign w:val="bottom"/>
          </w:tcPr>
          <w:p w:rsidR="00253225" w:rsidRPr="003A1AA8" w:rsidRDefault="00253225" w:rsidP="003075D7">
            <w:pPr>
              <w:pStyle w:val="Tabletext"/>
              <w:jc w:val="right"/>
            </w:pPr>
            <w:r w:rsidRPr="003A1AA8">
              <w:t xml:space="preserve">1.3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28</w:t>
            </w:r>
          </w:p>
        </w:tc>
        <w:tc>
          <w:tcPr>
            <w:tcW w:w="2552" w:type="dxa"/>
            <w:shd w:val="clear" w:color="auto" w:fill="auto"/>
            <w:vAlign w:val="bottom"/>
          </w:tcPr>
          <w:p w:rsidR="00253225" w:rsidRPr="003A1AA8" w:rsidRDefault="00253225" w:rsidP="003075D7">
            <w:pPr>
              <w:pStyle w:val="Tabletext"/>
              <w:jc w:val="right"/>
            </w:pPr>
            <w:r w:rsidRPr="003A1AA8">
              <w:t>310</w:t>
            </w:r>
          </w:p>
        </w:tc>
        <w:tc>
          <w:tcPr>
            <w:tcW w:w="2835" w:type="dxa"/>
            <w:shd w:val="clear" w:color="auto" w:fill="auto"/>
            <w:vAlign w:val="bottom"/>
          </w:tcPr>
          <w:p w:rsidR="00253225" w:rsidRPr="003A1AA8" w:rsidRDefault="00253225" w:rsidP="003075D7">
            <w:pPr>
              <w:pStyle w:val="Tabletext"/>
              <w:jc w:val="right"/>
            </w:pPr>
            <w:r w:rsidRPr="003A1AA8">
              <w:t xml:space="preserve">1.3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29</w:t>
            </w:r>
          </w:p>
        </w:tc>
        <w:tc>
          <w:tcPr>
            <w:tcW w:w="2552" w:type="dxa"/>
            <w:shd w:val="clear" w:color="auto" w:fill="auto"/>
            <w:vAlign w:val="bottom"/>
          </w:tcPr>
          <w:p w:rsidR="00253225" w:rsidRPr="003A1AA8" w:rsidRDefault="00253225" w:rsidP="003075D7">
            <w:pPr>
              <w:pStyle w:val="Tabletext"/>
              <w:jc w:val="right"/>
            </w:pPr>
            <w:r w:rsidRPr="003A1AA8">
              <w:t>320</w:t>
            </w:r>
          </w:p>
        </w:tc>
        <w:tc>
          <w:tcPr>
            <w:tcW w:w="2835" w:type="dxa"/>
            <w:shd w:val="clear" w:color="auto" w:fill="auto"/>
            <w:vAlign w:val="bottom"/>
          </w:tcPr>
          <w:p w:rsidR="00253225" w:rsidRPr="003A1AA8" w:rsidRDefault="00253225" w:rsidP="003075D7">
            <w:pPr>
              <w:pStyle w:val="Tabletext"/>
              <w:jc w:val="right"/>
            </w:pPr>
            <w:r w:rsidRPr="003A1AA8">
              <w:t xml:space="preserve">1.4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lastRenderedPageBreak/>
              <w:t>30</w:t>
            </w:r>
          </w:p>
        </w:tc>
        <w:tc>
          <w:tcPr>
            <w:tcW w:w="2552" w:type="dxa"/>
            <w:shd w:val="clear" w:color="auto" w:fill="auto"/>
            <w:vAlign w:val="bottom"/>
          </w:tcPr>
          <w:p w:rsidR="00253225" w:rsidRPr="003A1AA8" w:rsidRDefault="00253225" w:rsidP="003075D7">
            <w:pPr>
              <w:pStyle w:val="Tabletext"/>
              <w:jc w:val="right"/>
            </w:pPr>
            <w:r w:rsidRPr="003A1AA8">
              <w:t>330</w:t>
            </w:r>
          </w:p>
        </w:tc>
        <w:tc>
          <w:tcPr>
            <w:tcW w:w="2835" w:type="dxa"/>
            <w:shd w:val="clear" w:color="auto" w:fill="auto"/>
            <w:vAlign w:val="bottom"/>
          </w:tcPr>
          <w:p w:rsidR="00253225" w:rsidRPr="003A1AA8" w:rsidRDefault="00253225" w:rsidP="003075D7">
            <w:pPr>
              <w:pStyle w:val="Tabletext"/>
              <w:jc w:val="right"/>
            </w:pPr>
            <w:r w:rsidRPr="003A1AA8">
              <w:t xml:space="preserve">1.4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31</w:t>
            </w:r>
          </w:p>
        </w:tc>
        <w:tc>
          <w:tcPr>
            <w:tcW w:w="2552" w:type="dxa"/>
            <w:shd w:val="clear" w:color="auto" w:fill="auto"/>
            <w:vAlign w:val="bottom"/>
          </w:tcPr>
          <w:p w:rsidR="00253225" w:rsidRPr="003A1AA8" w:rsidRDefault="00253225" w:rsidP="003075D7">
            <w:pPr>
              <w:pStyle w:val="Tabletext"/>
              <w:jc w:val="right"/>
            </w:pPr>
            <w:r w:rsidRPr="003A1AA8">
              <w:t>340</w:t>
            </w:r>
          </w:p>
        </w:tc>
        <w:tc>
          <w:tcPr>
            <w:tcW w:w="2835" w:type="dxa"/>
            <w:shd w:val="clear" w:color="auto" w:fill="auto"/>
            <w:vAlign w:val="bottom"/>
          </w:tcPr>
          <w:p w:rsidR="00253225" w:rsidRPr="003A1AA8" w:rsidRDefault="00253225" w:rsidP="003075D7">
            <w:pPr>
              <w:pStyle w:val="Tabletext"/>
              <w:jc w:val="right"/>
            </w:pPr>
            <w:r w:rsidRPr="003A1AA8">
              <w:t xml:space="preserve">1.5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32</w:t>
            </w:r>
          </w:p>
        </w:tc>
        <w:tc>
          <w:tcPr>
            <w:tcW w:w="2552" w:type="dxa"/>
            <w:shd w:val="clear" w:color="auto" w:fill="auto"/>
            <w:vAlign w:val="bottom"/>
          </w:tcPr>
          <w:p w:rsidR="00253225" w:rsidRPr="003A1AA8" w:rsidRDefault="00253225" w:rsidP="003075D7">
            <w:pPr>
              <w:pStyle w:val="Tabletext"/>
              <w:jc w:val="right"/>
            </w:pPr>
            <w:r w:rsidRPr="003A1AA8">
              <w:t>350</w:t>
            </w:r>
          </w:p>
        </w:tc>
        <w:tc>
          <w:tcPr>
            <w:tcW w:w="2835" w:type="dxa"/>
            <w:shd w:val="clear" w:color="auto" w:fill="auto"/>
            <w:vAlign w:val="bottom"/>
          </w:tcPr>
          <w:p w:rsidR="00253225" w:rsidRPr="003A1AA8" w:rsidRDefault="00253225" w:rsidP="003075D7">
            <w:pPr>
              <w:pStyle w:val="Tabletext"/>
              <w:jc w:val="right"/>
            </w:pPr>
            <w:r w:rsidRPr="003A1AA8">
              <w:t xml:space="preserve">1.6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33</w:t>
            </w:r>
          </w:p>
        </w:tc>
        <w:tc>
          <w:tcPr>
            <w:tcW w:w="2552" w:type="dxa"/>
            <w:shd w:val="clear" w:color="auto" w:fill="auto"/>
            <w:vAlign w:val="bottom"/>
          </w:tcPr>
          <w:p w:rsidR="00253225" w:rsidRPr="003A1AA8" w:rsidRDefault="00253225" w:rsidP="003075D7">
            <w:pPr>
              <w:pStyle w:val="Tabletext"/>
              <w:jc w:val="right"/>
            </w:pPr>
            <w:r w:rsidRPr="003A1AA8">
              <w:t>360</w:t>
            </w:r>
          </w:p>
        </w:tc>
        <w:tc>
          <w:tcPr>
            <w:tcW w:w="2835" w:type="dxa"/>
            <w:shd w:val="clear" w:color="auto" w:fill="auto"/>
            <w:vAlign w:val="bottom"/>
          </w:tcPr>
          <w:p w:rsidR="00253225" w:rsidRPr="003A1AA8" w:rsidRDefault="00253225" w:rsidP="003075D7">
            <w:pPr>
              <w:pStyle w:val="Tabletext"/>
              <w:jc w:val="right"/>
            </w:pPr>
            <w:r w:rsidRPr="003A1AA8">
              <w:t xml:space="preserve">1.6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34</w:t>
            </w:r>
          </w:p>
        </w:tc>
        <w:tc>
          <w:tcPr>
            <w:tcW w:w="2552" w:type="dxa"/>
            <w:shd w:val="clear" w:color="auto" w:fill="auto"/>
            <w:vAlign w:val="bottom"/>
          </w:tcPr>
          <w:p w:rsidR="00253225" w:rsidRPr="003A1AA8" w:rsidRDefault="00253225" w:rsidP="003075D7">
            <w:pPr>
              <w:pStyle w:val="Tabletext"/>
              <w:jc w:val="right"/>
            </w:pPr>
            <w:r w:rsidRPr="003A1AA8">
              <w:t>370</w:t>
            </w:r>
          </w:p>
        </w:tc>
        <w:tc>
          <w:tcPr>
            <w:tcW w:w="2835" w:type="dxa"/>
            <w:shd w:val="clear" w:color="auto" w:fill="auto"/>
            <w:vAlign w:val="bottom"/>
          </w:tcPr>
          <w:p w:rsidR="00253225" w:rsidRPr="003A1AA8" w:rsidRDefault="00253225" w:rsidP="003075D7">
            <w:pPr>
              <w:pStyle w:val="Tabletext"/>
              <w:jc w:val="right"/>
            </w:pPr>
            <w:r w:rsidRPr="003A1AA8">
              <w:t xml:space="preserve">1.8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35</w:t>
            </w:r>
          </w:p>
        </w:tc>
        <w:tc>
          <w:tcPr>
            <w:tcW w:w="2552" w:type="dxa"/>
            <w:shd w:val="clear" w:color="auto" w:fill="auto"/>
            <w:vAlign w:val="bottom"/>
          </w:tcPr>
          <w:p w:rsidR="00253225" w:rsidRPr="003A1AA8" w:rsidRDefault="00253225" w:rsidP="003075D7">
            <w:pPr>
              <w:pStyle w:val="Tabletext"/>
              <w:jc w:val="right"/>
            </w:pPr>
            <w:r w:rsidRPr="003A1AA8">
              <w:t>380</w:t>
            </w:r>
          </w:p>
        </w:tc>
        <w:tc>
          <w:tcPr>
            <w:tcW w:w="2835" w:type="dxa"/>
            <w:shd w:val="clear" w:color="auto" w:fill="auto"/>
            <w:vAlign w:val="bottom"/>
          </w:tcPr>
          <w:p w:rsidR="00253225" w:rsidRPr="003A1AA8" w:rsidRDefault="00253225" w:rsidP="003075D7">
            <w:pPr>
              <w:pStyle w:val="Tabletext"/>
              <w:jc w:val="right"/>
            </w:pPr>
            <w:r w:rsidRPr="003A1AA8">
              <w:t xml:space="preserve">1.8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36</w:t>
            </w:r>
          </w:p>
        </w:tc>
        <w:tc>
          <w:tcPr>
            <w:tcW w:w="2552" w:type="dxa"/>
            <w:shd w:val="clear" w:color="auto" w:fill="auto"/>
            <w:vAlign w:val="bottom"/>
          </w:tcPr>
          <w:p w:rsidR="00253225" w:rsidRPr="003A1AA8" w:rsidRDefault="00253225" w:rsidP="003075D7">
            <w:pPr>
              <w:pStyle w:val="Tabletext"/>
              <w:jc w:val="right"/>
            </w:pPr>
            <w:r w:rsidRPr="003A1AA8">
              <w:t>390</w:t>
            </w:r>
          </w:p>
        </w:tc>
        <w:tc>
          <w:tcPr>
            <w:tcW w:w="2835" w:type="dxa"/>
            <w:shd w:val="clear" w:color="auto" w:fill="auto"/>
            <w:vAlign w:val="bottom"/>
          </w:tcPr>
          <w:p w:rsidR="00253225" w:rsidRPr="003A1AA8" w:rsidRDefault="00253225" w:rsidP="003075D7">
            <w:pPr>
              <w:pStyle w:val="Tabletext"/>
              <w:jc w:val="right"/>
            </w:pPr>
            <w:r w:rsidRPr="003A1AA8">
              <w:t xml:space="preserve">1.8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37</w:t>
            </w:r>
          </w:p>
        </w:tc>
        <w:tc>
          <w:tcPr>
            <w:tcW w:w="2552" w:type="dxa"/>
            <w:shd w:val="clear" w:color="auto" w:fill="auto"/>
            <w:vAlign w:val="bottom"/>
          </w:tcPr>
          <w:p w:rsidR="00253225" w:rsidRPr="003A1AA8" w:rsidRDefault="00253225" w:rsidP="003075D7">
            <w:pPr>
              <w:pStyle w:val="Tabletext"/>
              <w:jc w:val="right"/>
            </w:pPr>
            <w:r w:rsidRPr="003A1AA8">
              <w:t>400</w:t>
            </w:r>
          </w:p>
        </w:tc>
        <w:tc>
          <w:tcPr>
            <w:tcW w:w="2835" w:type="dxa"/>
            <w:shd w:val="clear" w:color="auto" w:fill="auto"/>
            <w:vAlign w:val="bottom"/>
          </w:tcPr>
          <w:p w:rsidR="00253225" w:rsidRPr="003A1AA8" w:rsidRDefault="00253225" w:rsidP="003075D7">
            <w:pPr>
              <w:pStyle w:val="Tabletext"/>
              <w:jc w:val="right"/>
            </w:pPr>
            <w:r w:rsidRPr="003A1AA8">
              <w:t xml:space="preserve">1.9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38</w:t>
            </w:r>
          </w:p>
        </w:tc>
        <w:tc>
          <w:tcPr>
            <w:tcW w:w="2552" w:type="dxa"/>
            <w:shd w:val="clear" w:color="auto" w:fill="auto"/>
            <w:vAlign w:val="bottom"/>
          </w:tcPr>
          <w:p w:rsidR="00253225" w:rsidRPr="003A1AA8" w:rsidRDefault="00253225" w:rsidP="003075D7">
            <w:pPr>
              <w:pStyle w:val="Tabletext"/>
              <w:jc w:val="right"/>
            </w:pPr>
            <w:r w:rsidRPr="003A1AA8">
              <w:t>410</w:t>
            </w:r>
          </w:p>
        </w:tc>
        <w:tc>
          <w:tcPr>
            <w:tcW w:w="2835" w:type="dxa"/>
            <w:shd w:val="clear" w:color="auto" w:fill="auto"/>
            <w:vAlign w:val="bottom"/>
          </w:tcPr>
          <w:p w:rsidR="00253225" w:rsidRPr="003A1AA8" w:rsidRDefault="00253225" w:rsidP="003075D7">
            <w:pPr>
              <w:pStyle w:val="Tabletext"/>
              <w:jc w:val="right"/>
            </w:pPr>
            <w:r w:rsidRPr="003A1AA8">
              <w:t xml:space="preserve">1.9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39</w:t>
            </w:r>
          </w:p>
        </w:tc>
        <w:tc>
          <w:tcPr>
            <w:tcW w:w="2552" w:type="dxa"/>
            <w:shd w:val="clear" w:color="auto" w:fill="auto"/>
            <w:vAlign w:val="bottom"/>
          </w:tcPr>
          <w:p w:rsidR="00253225" w:rsidRPr="003A1AA8" w:rsidRDefault="00253225" w:rsidP="003075D7">
            <w:pPr>
              <w:pStyle w:val="Tabletext"/>
              <w:jc w:val="right"/>
            </w:pPr>
            <w:r w:rsidRPr="003A1AA8">
              <w:t>420</w:t>
            </w:r>
          </w:p>
        </w:tc>
        <w:tc>
          <w:tcPr>
            <w:tcW w:w="2835" w:type="dxa"/>
            <w:shd w:val="clear" w:color="auto" w:fill="auto"/>
            <w:vAlign w:val="bottom"/>
          </w:tcPr>
          <w:p w:rsidR="00253225" w:rsidRPr="003A1AA8" w:rsidRDefault="00253225" w:rsidP="003075D7">
            <w:pPr>
              <w:pStyle w:val="Tabletext"/>
              <w:jc w:val="right"/>
            </w:pPr>
            <w:r w:rsidRPr="003A1AA8">
              <w:t xml:space="preserve">2.0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40</w:t>
            </w:r>
          </w:p>
        </w:tc>
        <w:tc>
          <w:tcPr>
            <w:tcW w:w="2552" w:type="dxa"/>
            <w:shd w:val="clear" w:color="auto" w:fill="auto"/>
            <w:vAlign w:val="bottom"/>
          </w:tcPr>
          <w:p w:rsidR="00253225" w:rsidRPr="003A1AA8" w:rsidRDefault="00253225" w:rsidP="003075D7">
            <w:pPr>
              <w:pStyle w:val="Tabletext"/>
              <w:jc w:val="right"/>
            </w:pPr>
            <w:r w:rsidRPr="003A1AA8">
              <w:t>430</w:t>
            </w:r>
          </w:p>
        </w:tc>
        <w:tc>
          <w:tcPr>
            <w:tcW w:w="2835" w:type="dxa"/>
            <w:shd w:val="clear" w:color="auto" w:fill="auto"/>
            <w:vAlign w:val="bottom"/>
          </w:tcPr>
          <w:p w:rsidR="00253225" w:rsidRPr="003A1AA8" w:rsidRDefault="00253225" w:rsidP="003075D7">
            <w:pPr>
              <w:pStyle w:val="Tabletext"/>
              <w:jc w:val="right"/>
            </w:pPr>
            <w:r w:rsidRPr="003A1AA8">
              <w:t xml:space="preserve">2.0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41</w:t>
            </w:r>
          </w:p>
        </w:tc>
        <w:tc>
          <w:tcPr>
            <w:tcW w:w="2552" w:type="dxa"/>
            <w:shd w:val="clear" w:color="auto" w:fill="auto"/>
            <w:vAlign w:val="bottom"/>
          </w:tcPr>
          <w:p w:rsidR="00253225" w:rsidRPr="003A1AA8" w:rsidRDefault="00253225" w:rsidP="003075D7">
            <w:pPr>
              <w:pStyle w:val="Tabletext"/>
              <w:jc w:val="right"/>
            </w:pPr>
            <w:r w:rsidRPr="003A1AA8">
              <w:t>440</w:t>
            </w:r>
          </w:p>
        </w:tc>
        <w:tc>
          <w:tcPr>
            <w:tcW w:w="2835" w:type="dxa"/>
            <w:shd w:val="clear" w:color="auto" w:fill="auto"/>
            <w:vAlign w:val="bottom"/>
          </w:tcPr>
          <w:p w:rsidR="00253225" w:rsidRPr="003A1AA8" w:rsidRDefault="00253225" w:rsidP="003075D7">
            <w:pPr>
              <w:pStyle w:val="Tabletext"/>
              <w:jc w:val="right"/>
            </w:pPr>
            <w:r w:rsidRPr="003A1AA8">
              <w:t xml:space="preserve">2.0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42</w:t>
            </w:r>
          </w:p>
        </w:tc>
        <w:tc>
          <w:tcPr>
            <w:tcW w:w="2552" w:type="dxa"/>
            <w:shd w:val="clear" w:color="auto" w:fill="auto"/>
            <w:vAlign w:val="bottom"/>
          </w:tcPr>
          <w:p w:rsidR="00253225" w:rsidRPr="003A1AA8" w:rsidRDefault="00253225" w:rsidP="003075D7">
            <w:pPr>
              <w:pStyle w:val="Tabletext"/>
              <w:jc w:val="right"/>
            </w:pPr>
            <w:r w:rsidRPr="003A1AA8">
              <w:t>450</w:t>
            </w:r>
          </w:p>
        </w:tc>
        <w:tc>
          <w:tcPr>
            <w:tcW w:w="2835" w:type="dxa"/>
            <w:shd w:val="clear" w:color="auto" w:fill="auto"/>
            <w:vAlign w:val="bottom"/>
          </w:tcPr>
          <w:p w:rsidR="00253225" w:rsidRPr="003A1AA8" w:rsidRDefault="00253225" w:rsidP="003075D7">
            <w:pPr>
              <w:pStyle w:val="Tabletext"/>
              <w:jc w:val="right"/>
            </w:pPr>
            <w:r w:rsidRPr="003A1AA8">
              <w:t xml:space="preserve">2.2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43</w:t>
            </w:r>
          </w:p>
        </w:tc>
        <w:tc>
          <w:tcPr>
            <w:tcW w:w="2552" w:type="dxa"/>
            <w:shd w:val="clear" w:color="auto" w:fill="auto"/>
            <w:vAlign w:val="bottom"/>
          </w:tcPr>
          <w:p w:rsidR="00253225" w:rsidRPr="003A1AA8" w:rsidRDefault="00253225" w:rsidP="003075D7">
            <w:pPr>
              <w:pStyle w:val="Tabletext"/>
              <w:jc w:val="right"/>
            </w:pPr>
            <w:r w:rsidRPr="003A1AA8">
              <w:t>460</w:t>
            </w:r>
          </w:p>
        </w:tc>
        <w:tc>
          <w:tcPr>
            <w:tcW w:w="2835" w:type="dxa"/>
            <w:shd w:val="clear" w:color="auto" w:fill="auto"/>
            <w:vAlign w:val="bottom"/>
          </w:tcPr>
          <w:p w:rsidR="00253225" w:rsidRPr="003A1AA8" w:rsidRDefault="00253225" w:rsidP="003075D7">
            <w:pPr>
              <w:pStyle w:val="Tabletext"/>
              <w:jc w:val="right"/>
            </w:pPr>
            <w:r w:rsidRPr="003A1AA8">
              <w:t xml:space="preserve">2.2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44</w:t>
            </w:r>
          </w:p>
        </w:tc>
        <w:tc>
          <w:tcPr>
            <w:tcW w:w="2552" w:type="dxa"/>
            <w:shd w:val="clear" w:color="auto" w:fill="auto"/>
            <w:vAlign w:val="bottom"/>
          </w:tcPr>
          <w:p w:rsidR="00253225" w:rsidRPr="003A1AA8" w:rsidRDefault="00253225" w:rsidP="003075D7">
            <w:pPr>
              <w:pStyle w:val="Tabletext"/>
              <w:jc w:val="right"/>
            </w:pPr>
            <w:r w:rsidRPr="003A1AA8">
              <w:t>470</w:t>
            </w:r>
          </w:p>
        </w:tc>
        <w:tc>
          <w:tcPr>
            <w:tcW w:w="2835" w:type="dxa"/>
            <w:shd w:val="clear" w:color="auto" w:fill="auto"/>
            <w:vAlign w:val="bottom"/>
          </w:tcPr>
          <w:p w:rsidR="00253225" w:rsidRPr="003A1AA8" w:rsidRDefault="00253225" w:rsidP="003075D7">
            <w:pPr>
              <w:pStyle w:val="Tabletext"/>
              <w:jc w:val="right"/>
            </w:pPr>
            <w:r w:rsidRPr="003A1AA8">
              <w:t xml:space="preserve">2.2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shd w:val="clear" w:color="auto" w:fill="auto"/>
          </w:tcPr>
          <w:p w:rsidR="00253225" w:rsidRPr="003A1AA8" w:rsidRDefault="00634E3C" w:rsidP="007A3FEC">
            <w:pPr>
              <w:pStyle w:val="Tabletext"/>
            </w:pPr>
            <w:r w:rsidRPr="003A1AA8">
              <w:t>45</w:t>
            </w:r>
          </w:p>
        </w:tc>
        <w:tc>
          <w:tcPr>
            <w:tcW w:w="2552" w:type="dxa"/>
            <w:shd w:val="clear" w:color="auto" w:fill="auto"/>
            <w:vAlign w:val="bottom"/>
          </w:tcPr>
          <w:p w:rsidR="00253225" w:rsidRPr="003A1AA8" w:rsidRDefault="00253225" w:rsidP="003075D7">
            <w:pPr>
              <w:pStyle w:val="Tabletext"/>
              <w:jc w:val="right"/>
            </w:pPr>
            <w:r w:rsidRPr="003A1AA8">
              <w:t>480</w:t>
            </w:r>
          </w:p>
        </w:tc>
        <w:tc>
          <w:tcPr>
            <w:tcW w:w="2835" w:type="dxa"/>
            <w:shd w:val="clear" w:color="auto" w:fill="auto"/>
            <w:vAlign w:val="bottom"/>
          </w:tcPr>
          <w:p w:rsidR="00253225" w:rsidRPr="003A1AA8" w:rsidRDefault="00253225" w:rsidP="003075D7">
            <w:pPr>
              <w:pStyle w:val="Tabletext"/>
              <w:jc w:val="right"/>
            </w:pPr>
            <w:r w:rsidRPr="003A1AA8">
              <w:t xml:space="preserve">2.3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tcBorders>
              <w:bottom w:val="single" w:sz="4" w:space="0" w:color="auto"/>
            </w:tcBorders>
            <w:shd w:val="clear" w:color="auto" w:fill="auto"/>
          </w:tcPr>
          <w:p w:rsidR="00253225" w:rsidRPr="003A1AA8" w:rsidRDefault="00634E3C" w:rsidP="007A3FEC">
            <w:pPr>
              <w:pStyle w:val="Tabletext"/>
            </w:pPr>
            <w:r w:rsidRPr="003A1AA8">
              <w:t>46</w:t>
            </w:r>
          </w:p>
        </w:tc>
        <w:tc>
          <w:tcPr>
            <w:tcW w:w="2552" w:type="dxa"/>
            <w:tcBorders>
              <w:bottom w:val="single" w:sz="4" w:space="0" w:color="auto"/>
            </w:tcBorders>
            <w:shd w:val="clear" w:color="auto" w:fill="auto"/>
            <w:vAlign w:val="bottom"/>
          </w:tcPr>
          <w:p w:rsidR="00253225" w:rsidRPr="003A1AA8" w:rsidRDefault="00253225" w:rsidP="003075D7">
            <w:pPr>
              <w:pStyle w:val="Tabletext"/>
              <w:jc w:val="right"/>
            </w:pPr>
            <w:r w:rsidRPr="003A1AA8">
              <w:t>490</w:t>
            </w:r>
          </w:p>
        </w:tc>
        <w:tc>
          <w:tcPr>
            <w:tcW w:w="2835" w:type="dxa"/>
            <w:tcBorders>
              <w:bottom w:val="single" w:sz="4" w:space="0" w:color="auto"/>
            </w:tcBorders>
            <w:shd w:val="clear" w:color="auto" w:fill="auto"/>
            <w:vAlign w:val="bottom"/>
          </w:tcPr>
          <w:p w:rsidR="00253225" w:rsidRPr="003A1AA8" w:rsidRDefault="00253225" w:rsidP="003075D7">
            <w:pPr>
              <w:pStyle w:val="Tabletext"/>
              <w:jc w:val="right"/>
            </w:pPr>
            <w:r w:rsidRPr="003A1AA8">
              <w:t xml:space="preserve">2.3 x </w:t>
            </w:r>
            <w:r w:rsidR="00CF7595" w:rsidRPr="003A1AA8">
              <w:t>10</w:t>
            </w:r>
            <w:r w:rsidR="003A1AA8">
              <w:rPr>
                <w:vertAlign w:val="superscript"/>
              </w:rPr>
              <w:noBreakHyphen/>
            </w:r>
            <w:r w:rsidR="00CF7595" w:rsidRPr="003A1AA8">
              <w:rPr>
                <w:vertAlign w:val="superscript"/>
              </w:rPr>
              <w:t>6</w:t>
            </w:r>
          </w:p>
        </w:tc>
      </w:tr>
      <w:tr w:rsidR="00253225" w:rsidRPr="003A1AA8" w:rsidTr="003075D7">
        <w:tc>
          <w:tcPr>
            <w:tcW w:w="709" w:type="dxa"/>
            <w:tcBorders>
              <w:bottom w:val="single" w:sz="12" w:space="0" w:color="auto"/>
            </w:tcBorders>
            <w:shd w:val="clear" w:color="auto" w:fill="auto"/>
          </w:tcPr>
          <w:p w:rsidR="00253225" w:rsidRPr="003A1AA8" w:rsidRDefault="00634E3C" w:rsidP="007A3FEC">
            <w:pPr>
              <w:pStyle w:val="Tabletext"/>
            </w:pPr>
            <w:r w:rsidRPr="003A1AA8">
              <w:t>47</w:t>
            </w:r>
          </w:p>
        </w:tc>
        <w:tc>
          <w:tcPr>
            <w:tcW w:w="2552" w:type="dxa"/>
            <w:tcBorders>
              <w:bottom w:val="single" w:sz="12" w:space="0" w:color="auto"/>
            </w:tcBorders>
            <w:shd w:val="clear" w:color="auto" w:fill="auto"/>
            <w:vAlign w:val="bottom"/>
          </w:tcPr>
          <w:p w:rsidR="00253225" w:rsidRPr="003A1AA8" w:rsidRDefault="00253225" w:rsidP="003075D7">
            <w:pPr>
              <w:pStyle w:val="Tabletext"/>
              <w:jc w:val="right"/>
            </w:pPr>
            <w:r w:rsidRPr="003A1AA8">
              <w:t>500</w:t>
            </w:r>
          </w:p>
        </w:tc>
        <w:tc>
          <w:tcPr>
            <w:tcW w:w="2835" w:type="dxa"/>
            <w:tcBorders>
              <w:bottom w:val="single" w:sz="12" w:space="0" w:color="auto"/>
            </w:tcBorders>
            <w:shd w:val="clear" w:color="auto" w:fill="auto"/>
            <w:vAlign w:val="bottom"/>
          </w:tcPr>
          <w:p w:rsidR="00253225" w:rsidRPr="003A1AA8" w:rsidRDefault="00253225" w:rsidP="003075D7">
            <w:pPr>
              <w:pStyle w:val="Tabletext"/>
              <w:jc w:val="right"/>
            </w:pPr>
            <w:r w:rsidRPr="003A1AA8">
              <w:t xml:space="preserve">2.5 x </w:t>
            </w:r>
            <w:r w:rsidR="00CF7595" w:rsidRPr="003A1AA8">
              <w:t>10</w:t>
            </w:r>
            <w:r w:rsidR="003A1AA8">
              <w:rPr>
                <w:vertAlign w:val="superscript"/>
              </w:rPr>
              <w:noBreakHyphen/>
            </w:r>
            <w:r w:rsidR="00CF7595" w:rsidRPr="003A1AA8">
              <w:rPr>
                <w:vertAlign w:val="superscript"/>
              </w:rPr>
              <w:t>6</w:t>
            </w:r>
          </w:p>
        </w:tc>
      </w:tr>
    </w:tbl>
    <w:p w:rsidR="00253225" w:rsidRPr="003A1AA8" w:rsidRDefault="00253225" w:rsidP="00253225">
      <w:pPr>
        <w:pStyle w:val="Tabletext"/>
      </w:pPr>
    </w:p>
    <w:p w:rsidR="00691B26" w:rsidRPr="003A1AA8" w:rsidRDefault="00DB1D29" w:rsidP="00691B26">
      <w:pPr>
        <w:pStyle w:val="ActHead2"/>
        <w:pageBreakBefore/>
      </w:pPr>
      <w:bookmarkStart w:id="87" w:name="_Toc407104191"/>
      <w:r w:rsidRPr="003A1AA8">
        <w:rPr>
          <w:rStyle w:val="CharPartNo"/>
        </w:rPr>
        <w:lastRenderedPageBreak/>
        <w:t>Part</w:t>
      </w:r>
      <w:r w:rsidR="003A1AA8" w:rsidRPr="003A1AA8">
        <w:rPr>
          <w:rStyle w:val="CharPartNo"/>
        </w:rPr>
        <w:t> </w:t>
      </w:r>
      <w:r w:rsidRPr="003A1AA8">
        <w:rPr>
          <w:rStyle w:val="CharPartNo"/>
        </w:rPr>
        <w:t>4</w:t>
      </w:r>
      <w:r w:rsidR="00691B26" w:rsidRPr="003A1AA8">
        <w:t>—</w:t>
      </w:r>
      <w:r w:rsidR="00691B26" w:rsidRPr="003A1AA8">
        <w:rPr>
          <w:rStyle w:val="CharPartText"/>
        </w:rPr>
        <w:t>Regulatory proportion determined by asking environmental regulator and using collection efficiency of existing landfill gas system</w:t>
      </w:r>
      <w:bookmarkEnd w:id="87"/>
    </w:p>
    <w:p w:rsidR="00DB1D29" w:rsidRPr="003A1AA8" w:rsidRDefault="00DB1D29" w:rsidP="00DB1D29">
      <w:pPr>
        <w:pStyle w:val="Header"/>
      </w:pPr>
      <w:r w:rsidRPr="003A1AA8">
        <w:rPr>
          <w:rStyle w:val="CharDivNo"/>
        </w:rPr>
        <w:t xml:space="preserve"> </w:t>
      </w:r>
      <w:r w:rsidRPr="003A1AA8">
        <w:rPr>
          <w:rStyle w:val="CharDivText"/>
        </w:rPr>
        <w:t xml:space="preserve"> </w:t>
      </w:r>
    </w:p>
    <w:p w:rsidR="009F1E56" w:rsidRPr="003A1AA8" w:rsidRDefault="000B75BC" w:rsidP="009F1E56">
      <w:pPr>
        <w:pStyle w:val="ActHead5"/>
      </w:pPr>
      <w:bookmarkStart w:id="88" w:name="_Toc407104192"/>
      <w:r w:rsidRPr="003A1AA8">
        <w:rPr>
          <w:rStyle w:val="CharSectno"/>
        </w:rPr>
        <w:t>7</w:t>
      </w:r>
      <w:r w:rsidR="009F1E56" w:rsidRPr="003A1AA8">
        <w:t xml:space="preserve">  </w:t>
      </w:r>
      <w:r w:rsidR="00EB629C" w:rsidRPr="003A1AA8">
        <w:t>Regulatory proportion determined by asking environmental regulator and using collection efficiency of existing landfill gas system</w:t>
      </w:r>
      <w:bookmarkEnd w:id="88"/>
    </w:p>
    <w:p w:rsidR="001D4F13" w:rsidRPr="003A1AA8" w:rsidRDefault="009F1E56" w:rsidP="009F1E56">
      <w:pPr>
        <w:pStyle w:val="subsection"/>
      </w:pPr>
      <w:r w:rsidRPr="003A1AA8">
        <w:tab/>
        <w:t>(1)</w:t>
      </w:r>
      <w:r w:rsidRPr="003A1AA8">
        <w:tab/>
      </w:r>
      <w:r w:rsidR="008F74E3" w:rsidRPr="003A1AA8">
        <w:t>W</w:t>
      </w:r>
      <w:r w:rsidR="00691B26" w:rsidRPr="003A1AA8">
        <w:rPr>
          <w:vertAlign w:val="subscript"/>
        </w:rPr>
        <w:t>B,R</w:t>
      </w:r>
      <w:r w:rsidR="008F74E3" w:rsidRPr="003A1AA8">
        <w:rPr>
          <w:vertAlign w:val="subscript"/>
        </w:rPr>
        <w:t>eg</w:t>
      </w:r>
      <w:r w:rsidRPr="003A1AA8">
        <w:t xml:space="preserve"> may be </w:t>
      </w:r>
      <w:r w:rsidR="001D4F13" w:rsidRPr="003A1AA8">
        <w:t>determined</w:t>
      </w:r>
      <w:r w:rsidRPr="003A1AA8">
        <w:t xml:space="preserve"> by asking the environmental regulator in the State or Territory in which the landfill is located whether the current </w:t>
      </w:r>
      <w:r w:rsidR="001D4F13" w:rsidRPr="003A1AA8">
        <w:t xml:space="preserve">gas </w:t>
      </w:r>
      <w:r w:rsidR="00691B26" w:rsidRPr="003A1AA8">
        <w:t xml:space="preserve">collection </w:t>
      </w:r>
      <w:r w:rsidR="00660C4B" w:rsidRPr="003A1AA8">
        <w:t xml:space="preserve">rate </w:t>
      </w:r>
      <w:r w:rsidRPr="003A1AA8">
        <w:t xml:space="preserve">for the landfill complies with </w:t>
      </w:r>
      <w:r w:rsidR="001D4F13" w:rsidRPr="003A1AA8">
        <w:t xml:space="preserve">the most stringent methane concentration limits for </w:t>
      </w:r>
      <w:r w:rsidR="00660C4B" w:rsidRPr="003A1AA8">
        <w:t xml:space="preserve">the </w:t>
      </w:r>
      <w:r w:rsidR="001D4F13" w:rsidRPr="003A1AA8">
        <w:t>landfill that have been in force since 24</w:t>
      </w:r>
      <w:r w:rsidR="003A1AA8" w:rsidRPr="003A1AA8">
        <w:t> </w:t>
      </w:r>
      <w:r w:rsidR="001D4F13" w:rsidRPr="003A1AA8">
        <w:t>March 2011.</w:t>
      </w:r>
    </w:p>
    <w:p w:rsidR="001D4F13" w:rsidRPr="003A1AA8" w:rsidRDefault="009F1E56" w:rsidP="009F1E56">
      <w:pPr>
        <w:pStyle w:val="subsection"/>
      </w:pPr>
      <w:r w:rsidRPr="003A1AA8">
        <w:tab/>
        <w:t>(2)</w:t>
      </w:r>
      <w:r w:rsidRPr="003A1AA8">
        <w:tab/>
        <w:t xml:space="preserve">If the </w:t>
      </w:r>
      <w:r w:rsidR="00BC0C7F" w:rsidRPr="003A1AA8">
        <w:t xml:space="preserve">environmental regulator </w:t>
      </w:r>
      <w:r w:rsidRPr="003A1AA8">
        <w:t xml:space="preserve">advises </w:t>
      </w:r>
      <w:r w:rsidR="00CB353A" w:rsidRPr="003A1AA8">
        <w:t xml:space="preserve">the project proponent </w:t>
      </w:r>
      <w:r w:rsidR="001D4F13" w:rsidRPr="003A1AA8">
        <w:t xml:space="preserve">in writing </w:t>
      </w:r>
      <w:r w:rsidRPr="003A1AA8">
        <w:t xml:space="preserve">that the </w:t>
      </w:r>
      <w:r w:rsidR="001D4F13" w:rsidRPr="003A1AA8">
        <w:t xml:space="preserve">current gas collection for the landfill </w:t>
      </w:r>
      <w:r w:rsidRPr="003A1AA8">
        <w:t xml:space="preserve">does so comply, then </w:t>
      </w:r>
      <w:r w:rsidR="001D4F13" w:rsidRPr="003A1AA8">
        <w:t>W</w:t>
      </w:r>
      <w:r w:rsidR="001D4F13" w:rsidRPr="003A1AA8">
        <w:rPr>
          <w:vertAlign w:val="subscript"/>
        </w:rPr>
        <w:t>B,Reg</w:t>
      </w:r>
      <w:r w:rsidRPr="003A1AA8">
        <w:t xml:space="preserve"> is </w:t>
      </w:r>
      <w:r w:rsidR="001D4F13" w:rsidRPr="003A1AA8">
        <w:t>equivalent to W</w:t>
      </w:r>
      <w:r w:rsidR="001D4F13" w:rsidRPr="003A1AA8">
        <w:rPr>
          <w:vertAlign w:val="subscript"/>
        </w:rPr>
        <w:t>Com,Bef</w:t>
      </w:r>
      <w:r w:rsidR="001D4F13" w:rsidRPr="003A1AA8">
        <w:t xml:space="preserve"> worked out using equation </w:t>
      </w:r>
      <w:r w:rsidR="0086393B" w:rsidRPr="003A1AA8">
        <w:t>19</w:t>
      </w:r>
      <w:r w:rsidR="001D4F13" w:rsidRPr="003A1AA8">
        <w:t xml:space="preserve"> where:</w:t>
      </w:r>
    </w:p>
    <w:p w:rsidR="001D4F13" w:rsidRPr="003A1AA8" w:rsidRDefault="001D4F13" w:rsidP="001D4F13">
      <w:pPr>
        <w:pStyle w:val="paragraph"/>
      </w:pPr>
      <w:r w:rsidRPr="003A1AA8">
        <w:tab/>
        <w:t>(a)</w:t>
      </w:r>
      <w:r w:rsidRPr="003A1AA8">
        <w:tab/>
        <w:t>year y is the 12 months immediately before the advice is given; and</w:t>
      </w:r>
    </w:p>
    <w:p w:rsidR="001D4F13" w:rsidRPr="003A1AA8" w:rsidRDefault="001D4F13" w:rsidP="001D4F13">
      <w:pPr>
        <w:pStyle w:val="paragraph"/>
      </w:pPr>
      <w:r w:rsidRPr="003A1AA8">
        <w:tab/>
        <w:t>(b)</w:t>
      </w:r>
      <w:r w:rsidRPr="003A1AA8">
        <w:tab/>
        <w:t>as if the division by 2 were not part of the equation.</w:t>
      </w:r>
    </w:p>
    <w:p w:rsidR="009F1E56" w:rsidRPr="003A1AA8" w:rsidRDefault="009F1E56" w:rsidP="009F1E56">
      <w:pPr>
        <w:pStyle w:val="subsection"/>
      </w:pPr>
      <w:r w:rsidRPr="003A1AA8">
        <w:tab/>
        <w:t>(3)</w:t>
      </w:r>
      <w:r w:rsidRPr="003A1AA8">
        <w:tab/>
        <w:t xml:space="preserve">To avoid doubt, </w:t>
      </w:r>
      <w:r w:rsidR="003A1AA8" w:rsidRPr="003A1AA8">
        <w:t>subclause (</w:t>
      </w:r>
      <w:r w:rsidRPr="003A1AA8">
        <w:t>1) does not apply unless the specified limits for methane concentrations for the landfill have not changed since 24</w:t>
      </w:r>
      <w:r w:rsidR="003A1AA8" w:rsidRPr="003A1AA8">
        <w:t> </w:t>
      </w:r>
      <w:r w:rsidRPr="003A1AA8">
        <w:t>March 2011.</w:t>
      </w:r>
    </w:p>
    <w:p w:rsidR="003870F8" w:rsidRPr="003A1AA8" w:rsidRDefault="003870F8" w:rsidP="003870F8">
      <w:pPr>
        <w:pStyle w:val="ActHead2"/>
        <w:pageBreakBefore/>
      </w:pPr>
      <w:bookmarkStart w:id="89" w:name="_Toc407104193"/>
      <w:r w:rsidRPr="003A1AA8">
        <w:rPr>
          <w:rStyle w:val="CharPartNo"/>
        </w:rPr>
        <w:lastRenderedPageBreak/>
        <w:t>Part</w:t>
      </w:r>
      <w:r w:rsidR="003A1AA8" w:rsidRPr="003A1AA8">
        <w:rPr>
          <w:rStyle w:val="CharPartNo"/>
        </w:rPr>
        <w:t> </w:t>
      </w:r>
      <w:r w:rsidRPr="003A1AA8">
        <w:rPr>
          <w:rStyle w:val="CharPartNo"/>
        </w:rPr>
        <w:t>5</w:t>
      </w:r>
      <w:r w:rsidRPr="003A1AA8">
        <w:t>—</w:t>
      </w:r>
      <w:r w:rsidRPr="003A1AA8">
        <w:rPr>
          <w:rStyle w:val="CharPartText"/>
        </w:rPr>
        <w:t>Regulatory proportion determined by independent expert</w:t>
      </w:r>
      <w:bookmarkEnd w:id="89"/>
    </w:p>
    <w:p w:rsidR="003870F8" w:rsidRPr="003A1AA8" w:rsidRDefault="003870F8" w:rsidP="003870F8">
      <w:pPr>
        <w:pStyle w:val="Header"/>
      </w:pPr>
      <w:r w:rsidRPr="003A1AA8">
        <w:rPr>
          <w:rStyle w:val="CharDivNo"/>
        </w:rPr>
        <w:t xml:space="preserve"> </w:t>
      </w:r>
      <w:r w:rsidRPr="003A1AA8">
        <w:rPr>
          <w:rStyle w:val="CharDivText"/>
        </w:rPr>
        <w:t xml:space="preserve"> </w:t>
      </w:r>
    </w:p>
    <w:p w:rsidR="003870F8" w:rsidRPr="003A1AA8" w:rsidRDefault="00EB629C" w:rsidP="003870F8">
      <w:pPr>
        <w:pStyle w:val="ActHead5"/>
      </w:pPr>
      <w:bookmarkStart w:id="90" w:name="_Toc407104194"/>
      <w:r w:rsidRPr="003A1AA8">
        <w:rPr>
          <w:rStyle w:val="CharSectno"/>
        </w:rPr>
        <w:t>8</w:t>
      </w:r>
      <w:r w:rsidR="003870F8" w:rsidRPr="003A1AA8">
        <w:t xml:space="preserve">  </w:t>
      </w:r>
      <w:r w:rsidRPr="003A1AA8">
        <w:t>Regulatory proportion determined by independent expert</w:t>
      </w:r>
      <w:bookmarkEnd w:id="90"/>
    </w:p>
    <w:p w:rsidR="00EB629C" w:rsidRPr="003A1AA8" w:rsidRDefault="003870F8" w:rsidP="003870F8">
      <w:pPr>
        <w:pStyle w:val="subsection"/>
      </w:pPr>
      <w:r w:rsidRPr="003A1AA8">
        <w:tab/>
        <w:t>(1)</w:t>
      </w:r>
      <w:r w:rsidRPr="003A1AA8">
        <w:tab/>
        <w:t>W</w:t>
      </w:r>
      <w:r w:rsidRPr="003A1AA8">
        <w:rPr>
          <w:vertAlign w:val="subscript"/>
        </w:rPr>
        <w:t>B,Reg</w:t>
      </w:r>
      <w:r w:rsidRPr="003A1AA8">
        <w:t xml:space="preserve"> may be determined by </w:t>
      </w:r>
      <w:r w:rsidR="00EB629C" w:rsidRPr="003A1AA8">
        <w:t xml:space="preserve">a person engaged </w:t>
      </w:r>
      <w:r w:rsidR="00190A60" w:rsidRPr="003A1AA8">
        <w:t xml:space="preserve">by the project proponent </w:t>
      </w:r>
      <w:r w:rsidR="00EB629C" w:rsidRPr="003A1AA8">
        <w:t>to determine the parameter.</w:t>
      </w:r>
    </w:p>
    <w:p w:rsidR="00EB629C" w:rsidRPr="003A1AA8" w:rsidRDefault="00EB629C" w:rsidP="003870F8">
      <w:pPr>
        <w:pStyle w:val="subsection"/>
      </w:pPr>
      <w:r w:rsidRPr="003A1AA8">
        <w:tab/>
        <w:t>(2)</w:t>
      </w:r>
      <w:r w:rsidRPr="003A1AA8">
        <w:tab/>
        <w:t>The person must:</w:t>
      </w:r>
    </w:p>
    <w:p w:rsidR="00EB629C" w:rsidRPr="003A1AA8" w:rsidRDefault="00EB629C" w:rsidP="00EB629C">
      <w:pPr>
        <w:pStyle w:val="paragraph"/>
      </w:pPr>
      <w:r w:rsidRPr="003A1AA8">
        <w:tab/>
        <w:t>(a)</w:t>
      </w:r>
      <w:r w:rsidRPr="003A1AA8">
        <w:tab/>
        <w:t>have no conflict of interest</w:t>
      </w:r>
      <w:r w:rsidR="005D7978" w:rsidRPr="003A1AA8">
        <w:t xml:space="preserve"> in determining W</w:t>
      </w:r>
      <w:r w:rsidR="005D7978" w:rsidRPr="003A1AA8">
        <w:rPr>
          <w:vertAlign w:val="subscript"/>
        </w:rPr>
        <w:t>B,Reg</w:t>
      </w:r>
      <w:r w:rsidR="00590030" w:rsidRPr="003A1AA8">
        <w:t>;</w:t>
      </w:r>
      <w:r w:rsidR="005D7978" w:rsidRPr="003A1AA8">
        <w:t xml:space="preserve"> </w:t>
      </w:r>
      <w:r w:rsidRPr="003A1AA8">
        <w:t>and</w:t>
      </w:r>
    </w:p>
    <w:p w:rsidR="00EB629C" w:rsidRPr="003A1AA8" w:rsidRDefault="00EB629C" w:rsidP="00EB629C">
      <w:pPr>
        <w:pStyle w:val="paragraph"/>
      </w:pPr>
      <w:r w:rsidRPr="003A1AA8">
        <w:tab/>
        <w:t>(b)</w:t>
      </w:r>
      <w:r w:rsidRPr="003A1AA8">
        <w:tab/>
        <w:t>possess a relevant university degree; and</w:t>
      </w:r>
    </w:p>
    <w:p w:rsidR="00EB629C" w:rsidRPr="003A1AA8" w:rsidRDefault="00EB629C" w:rsidP="00EB629C">
      <w:pPr>
        <w:pStyle w:val="paragraph"/>
      </w:pPr>
      <w:r w:rsidRPr="003A1AA8">
        <w:tab/>
        <w:t>(c)</w:t>
      </w:r>
      <w:r w:rsidRPr="003A1AA8">
        <w:tab/>
        <w:t>have more than 3 years’ experience in:</w:t>
      </w:r>
    </w:p>
    <w:p w:rsidR="00EB629C" w:rsidRPr="003A1AA8" w:rsidRDefault="00EB629C" w:rsidP="00EB629C">
      <w:pPr>
        <w:pStyle w:val="paragraphsub"/>
      </w:pPr>
      <w:r w:rsidRPr="003A1AA8">
        <w:tab/>
        <w:t>(i)</w:t>
      </w:r>
      <w:r w:rsidRPr="003A1AA8">
        <w:tab/>
        <w:t xml:space="preserve">landfill management; </w:t>
      </w:r>
      <w:r w:rsidR="00944AFF" w:rsidRPr="003A1AA8">
        <w:t>and</w:t>
      </w:r>
    </w:p>
    <w:p w:rsidR="00EB629C" w:rsidRPr="003A1AA8" w:rsidRDefault="00EB629C" w:rsidP="00EB629C">
      <w:pPr>
        <w:pStyle w:val="paragraphsub"/>
      </w:pPr>
      <w:r w:rsidRPr="003A1AA8">
        <w:tab/>
        <w:t>(ii)</w:t>
      </w:r>
      <w:r w:rsidRPr="003A1AA8">
        <w:tab/>
        <w:t>the design and operation of landfill gas collection systems; and</w:t>
      </w:r>
    </w:p>
    <w:p w:rsidR="00EB629C" w:rsidRPr="003A1AA8" w:rsidRDefault="00EB629C" w:rsidP="00EB629C">
      <w:pPr>
        <w:pStyle w:val="paragraph"/>
      </w:pPr>
      <w:r w:rsidRPr="003A1AA8">
        <w:tab/>
        <w:t>(d)</w:t>
      </w:r>
      <w:r w:rsidRPr="003A1AA8">
        <w:tab/>
        <w:t xml:space="preserve">have </w:t>
      </w:r>
      <w:r w:rsidR="00190A60" w:rsidRPr="003A1AA8">
        <w:t xml:space="preserve">extensive knowledge of the regulatory framework relevant </w:t>
      </w:r>
      <w:r w:rsidR="005D7978" w:rsidRPr="003A1AA8">
        <w:t xml:space="preserve">to </w:t>
      </w:r>
      <w:r w:rsidR="00190A60" w:rsidRPr="003A1AA8">
        <w:t xml:space="preserve">landfill gas management </w:t>
      </w:r>
      <w:r w:rsidR="005D7978" w:rsidRPr="003A1AA8">
        <w:t>in</w:t>
      </w:r>
      <w:r w:rsidR="00190A60" w:rsidRPr="003A1AA8">
        <w:t xml:space="preserve"> the jurisdiction in</w:t>
      </w:r>
      <w:r w:rsidR="00944AFF" w:rsidRPr="003A1AA8">
        <w:t xml:space="preserve"> which the landfill is located.</w:t>
      </w:r>
    </w:p>
    <w:p w:rsidR="00190A60" w:rsidRPr="003A1AA8" w:rsidRDefault="00190A60" w:rsidP="00190A60">
      <w:pPr>
        <w:pStyle w:val="subsection"/>
      </w:pPr>
      <w:r w:rsidRPr="003A1AA8">
        <w:tab/>
        <w:t>(3)</w:t>
      </w:r>
      <w:r w:rsidRPr="003A1AA8">
        <w:tab/>
        <w:t>In determining W</w:t>
      </w:r>
      <w:r w:rsidRPr="003A1AA8">
        <w:rPr>
          <w:vertAlign w:val="subscript"/>
        </w:rPr>
        <w:t>B,Reg</w:t>
      </w:r>
      <w:r w:rsidRPr="003A1AA8">
        <w:t xml:space="preserve">, the person must use the most stringent methane concentration limits for </w:t>
      </w:r>
      <w:r w:rsidR="00944AFF" w:rsidRPr="003A1AA8">
        <w:t xml:space="preserve">the </w:t>
      </w:r>
      <w:r w:rsidR="000C52CA" w:rsidRPr="003A1AA8">
        <w:t>landfill</w:t>
      </w:r>
      <w:r w:rsidRPr="003A1AA8">
        <w:t xml:space="preserve"> that have been in force since 24</w:t>
      </w:r>
      <w:r w:rsidR="003A1AA8" w:rsidRPr="003A1AA8">
        <w:t> </w:t>
      </w:r>
      <w:r w:rsidRPr="003A1AA8">
        <w:t>March 2011.</w:t>
      </w:r>
    </w:p>
    <w:p w:rsidR="000C52CA" w:rsidRPr="003A1AA8" w:rsidRDefault="00190A60" w:rsidP="00190A60">
      <w:pPr>
        <w:pStyle w:val="subsection"/>
      </w:pPr>
      <w:r w:rsidRPr="003A1AA8">
        <w:tab/>
        <w:t>(4)</w:t>
      </w:r>
      <w:r w:rsidRPr="003A1AA8">
        <w:tab/>
        <w:t>The person must provide</w:t>
      </w:r>
      <w:r w:rsidR="000C52CA" w:rsidRPr="003A1AA8">
        <w:t xml:space="preserve"> to the </w:t>
      </w:r>
      <w:r w:rsidR="00786DA1" w:rsidRPr="003A1AA8">
        <w:t>project proponent</w:t>
      </w:r>
      <w:r w:rsidRPr="003A1AA8">
        <w:t xml:space="preserve">, in writing, </w:t>
      </w:r>
      <w:r w:rsidR="000C52CA" w:rsidRPr="003A1AA8">
        <w:t>evidence that verifies:</w:t>
      </w:r>
    </w:p>
    <w:p w:rsidR="000C52CA" w:rsidRPr="003A1AA8" w:rsidRDefault="000C52CA" w:rsidP="000C52CA">
      <w:pPr>
        <w:pStyle w:val="paragraph"/>
      </w:pPr>
      <w:r w:rsidRPr="003A1AA8">
        <w:tab/>
        <w:t>(a)</w:t>
      </w:r>
      <w:r w:rsidRPr="003A1AA8">
        <w:tab/>
        <w:t xml:space="preserve">the matters in </w:t>
      </w:r>
      <w:r w:rsidR="003A1AA8" w:rsidRPr="003A1AA8">
        <w:t>paragraphs (</w:t>
      </w:r>
      <w:r w:rsidRPr="003A1AA8">
        <w:t>2)(a) to (d); and</w:t>
      </w:r>
    </w:p>
    <w:p w:rsidR="00B856EC" w:rsidRPr="003A1AA8" w:rsidRDefault="000C52CA" w:rsidP="000B3740">
      <w:pPr>
        <w:pStyle w:val="paragraph"/>
        <w:sectPr w:rsidR="00B856EC" w:rsidRPr="003A1AA8" w:rsidSect="00B42CA2">
          <w:headerReference w:type="even" r:id="rId72"/>
          <w:headerReference w:type="default" r:id="rId73"/>
          <w:footerReference w:type="even" r:id="rId74"/>
          <w:footerReference w:type="default" r:id="rId75"/>
          <w:headerReference w:type="first" r:id="rId76"/>
          <w:footerReference w:type="first" r:id="rId77"/>
          <w:pgSz w:w="11907" w:h="16839" w:code="9"/>
          <w:pgMar w:top="1440" w:right="1797" w:bottom="1440" w:left="1797" w:header="720" w:footer="709" w:gutter="0"/>
          <w:cols w:space="720"/>
          <w:docGrid w:linePitch="299"/>
        </w:sectPr>
      </w:pPr>
      <w:r w:rsidRPr="003A1AA8">
        <w:tab/>
        <w:t>(b)</w:t>
      </w:r>
      <w:r w:rsidRPr="003A1AA8">
        <w:tab/>
      </w:r>
      <w:r w:rsidR="00190A60" w:rsidRPr="003A1AA8">
        <w:t>the calculations, assumptions, information, inputs and references used to determine W</w:t>
      </w:r>
      <w:r w:rsidR="00190A60" w:rsidRPr="003A1AA8">
        <w:rPr>
          <w:vertAlign w:val="subscript"/>
        </w:rPr>
        <w:t>B,Reg</w:t>
      </w:r>
      <w:r w:rsidR="00190A60" w:rsidRPr="003A1AA8">
        <w:t>.</w:t>
      </w:r>
    </w:p>
    <w:p w:rsidR="00BC305F" w:rsidRPr="003A1AA8" w:rsidRDefault="00BC305F" w:rsidP="00B856EC">
      <w:pPr>
        <w:pStyle w:val="paragraph"/>
        <w:rPr>
          <w:b/>
          <w:i/>
        </w:rPr>
      </w:pPr>
    </w:p>
    <w:sectPr w:rsidR="00BC305F" w:rsidRPr="003A1AA8" w:rsidSect="00B42CA2">
      <w:headerReference w:type="even" r:id="rId78"/>
      <w:headerReference w:type="default" r:id="rId79"/>
      <w:footerReference w:type="even" r:id="rId80"/>
      <w:footerReference w:type="default" r:id="rId81"/>
      <w:headerReference w:type="first" r:id="rId82"/>
      <w:footerReference w:type="first" r:id="rId83"/>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50" w:rsidRDefault="003B6350" w:rsidP="00715914">
      <w:pPr>
        <w:spacing w:line="240" w:lineRule="auto"/>
      </w:pPr>
      <w:r>
        <w:separator/>
      </w:r>
    </w:p>
  </w:endnote>
  <w:endnote w:type="continuationSeparator" w:id="0">
    <w:p w:rsidR="003B6350" w:rsidRDefault="003B635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CA2" w:rsidRPr="00B42CA2" w:rsidRDefault="00B42CA2" w:rsidP="00B42CA2">
    <w:pPr>
      <w:pStyle w:val="Footer"/>
      <w:rPr>
        <w:i/>
        <w:sz w:val="18"/>
      </w:rPr>
    </w:pPr>
    <w:r w:rsidRPr="00B42CA2">
      <w:rPr>
        <w:i/>
        <w:sz w:val="18"/>
      </w:rPr>
      <w:t>OPC60654 -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D1021D" w:rsidRDefault="003B6350" w:rsidP="00BC305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B6350" w:rsidTr="00BC305F">
      <w:tc>
        <w:tcPr>
          <w:tcW w:w="1384" w:type="dxa"/>
          <w:tcBorders>
            <w:top w:val="nil"/>
            <w:left w:val="nil"/>
            <w:bottom w:val="nil"/>
            <w:right w:val="nil"/>
          </w:tcBorders>
        </w:tcPr>
        <w:p w:rsidR="003B6350" w:rsidRDefault="003B6350" w:rsidP="00BC305F">
          <w:pPr>
            <w:spacing w:line="0" w:lineRule="atLeast"/>
            <w:rPr>
              <w:sz w:val="18"/>
            </w:rPr>
          </w:pPr>
        </w:p>
      </w:tc>
      <w:tc>
        <w:tcPr>
          <w:tcW w:w="6379" w:type="dxa"/>
          <w:tcBorders>
            <w:top w:val="nil"/>
            <w:left w:val="nil"/>
            <w:bottom w:val="nil"/>
            <w:right w:val="nil"/>
          </w:tcBorders>
        </w:tcPr>
        <w:p w:rsidR="003B6350" w:rsidRDefault="003B6350" w:rsidP="00BC30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0EA8">
            <w:rPr>
              <w:i/>
              <w:sz w:val="18"/>
            </w:rPr>
            <w:t>Carbon Credits (Carbon Farming Initiative—Landfill Gas) Methodology Determination 2015</w:t>
          </w:r>
          <w:r w:rsidRPr="007A1328">
            <w:rPr>
              <w:i/>
              <w:sz w:val="18"/>
            </w:rPr>
            <w:fldChar w:fldCharType="end"/>
          </w:r>
        </w:p>
      </w:tc>
      <w:tc>
        <w:tcPr>
          <w:tcW w:w="709" w:type="dxa"/>
          <w:tcBorders>
            <w:top w:val="nil"/>
            <w:left w:val="nil"/>
            <w:bottom w:val="nil"/>
            <w:right w:val="nil"/>
          </w:tcBorders>
        </w:tcPr>
        <w:p w:rsidR="003B6350" w:rsidRDefault="003B6350" w:rsidP="00BC30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0EA8">
            <w:rPr>
              <w:i/>
              <w:noProof/>
              <w:sz w:val="18"/>
            </w:rPr>
            <w:t>33</w:t>
          </w:r>
          <w:r w:rsidRPr="00ED79B6">
            <w:rPr>
              <w:i/>
              <w:sz w:val="18"/>
            </w:rPr>
            <w:fldChar w:fldCharType="end"/>
          </w:r>
        </w:p>
      </w:tc>
    </w:tr>
  </w:tbl>
  <w:p w:rsidR="003B6350" w:rsidRPr="00D1021D" w:rsidRDefault="00B42CA2" w:rsidP="00B42CA2">
    <w:pPr>
      <w:rPr>
        <w:i/>
        <w:sz w:val="18"/>
      </w:rPr>
    </w:pPr>
    <w:r w:rsidRPr="00B42CA2">
      <w:rPr>
        <w:rFonts w:cs="Times New Roman"/>
        <w:i/>
        <w:sz w:val="18"/>
      </w:rPr>
      <w:t>OPC60654 -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Default="003B6350">
    <w:pPr>
      <w:pBdr>
        <w:top w:val="single" w:sz="6" w:space="1" w:color="auto"/>
      </w:pBdr>
      <w:rPr>
        <w:sz w:val="18"/>
      </w:rPr>
    </w:pPr>
  </w:p>
  <w:p w:rsidR="003B6350" w:rsidRDefault="003B6350">
    <w:pPr>
      <w:jc w:val="right"/>
      <w:rPr>
        <w:i/>
        <w:sz w:val="18"/>
      </w:rPr>
    </w:pPr>
    <w:r>
      <w:rPr>
        <w:i/>
        <w:sz w:val="18"/>
      </w:rPr>
      <w:fldChar w:fldCharType="begin"/>
    </w:r>
    <w:r>
      <w:rPr>
        <w:i/>
        <w:sz w:val="18"/>
      </w:rPr>
      <w:instrText xml:space="preserve"> STYLEREF ShortT </w:instrText>
    </w:r>
    <w:r>
      <w:rPr>
        <w:i/>
        <w:sz w:val="18"/>
      </w:rPr>
      <w:fldChar w:fldCharType="separate"/>
    </w:r>
    <w:r w:rsidR="00EE0EA8">
      <w:rPr>
        <w:i/>
        <w:noProof/>
        <w:sz w:val="18"/>
      </w:rPr>
      <w:t>Carbon Credits (Carbon Farming Initiative—Landfill Gas) Methodology Determination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E0EA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E0EA8">
      <w:rPr>
        <w:i/>
        <w:noProof/>
        <w:sz w:val="18"/>
      </w:rPr>
      <w:t>33</w:t>
    </w:r>
    <w:r>
      <w:rPr>
        <w:i/>
        <w:sz w:val="18"/>
      </w:rPr>
      <w:fldChar w:fldCharType="end"/>
    </w:r>
  </w:p>
  <w:p w:rsidR="003B6350" w:rsidRDefault="003B6350">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B42CA2" w:rsidRDefault="003B6350"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B6350" w:rsidRPr="00B42CA2" w:rsidTr="00B856EC">
      <w:tc>
        <w:tcPr>
          <w:tcW w:w="709" w:type="dxa"/>
          <w:tcBorders>
            <w:top w:val="nil"/>
            <w:left w:val="nil"/>
            <w:bottom w:val="nil"/>
            <w:right w:val="nil"/>
          </w:tcBorders>
        </w:tcPr>
        <w:p w:rsidR="003B6350" w:rsidRPr="00B42CA2" w:rsidRDefault="003B6350" w:rsidP="005E2282">
          <w:pPr>
            <w:spacing w:line="0" w:lineRule="atLeast"/>
            <w:rPr>
              <w:rFonts w:cs="Times New Roman"/>
              <w:i/>
              <w:sz w:val="18"/>
            </w:rPr>
          </w:pPr>
          <w:r w:rsidRPr="00B42CA2">
            <w:rPr>
              <w:rFonts w:cs="Times New Roman"/>
              <w:i/>
              <w:sz w:val="18"/>
            </w:rPr>
            <w:fldChar w:fldCharType="begin"/>
          </w:r>
          <w:r w:rsidRPr="00B42CA2">
            <w:rPr>
              <w:rFonts w:cs="Times New Roman"/>
              <w:i/>
              <w:sz w:val="18"/>
            </w:rPr>
            <w:instrText xml:space="preserve"> PAGE </w:instrText>
          </w:r>
          <w:r w:rsidRPr="00B42CA2">
            <w:rPr>
              <w:rFonts w:cs="Times New Roman"/>
              <w:i/>
              <w:sz w:val="18"/>
            </w:rPr>
            <w:fldChar w:fldCharType="separate"/>
          </w:r>
          <w:r w:rsidR="00EE0EA8">
            <w:rPr>
              <w:rFonts w:cs="Times New Roman"/>
              <w:i/>
              <w:noProof/>
              <w:sz w:val="18"/>
            </w:rPr>
            <w:t>33</w:t>
          </w:r>
          <w:r w:rsidRPr="00B42CA2">
            <w:rPr>
              <w:rFonts w:cs="Times New Roman"/>
              <w:i/>
              <w:sz w:val="18"/>
            </w:rPr>
            <w:fldChar w:fldCharType="end"/>
          </w:r>
        </w:p>
      </w:tc>
      <w:tc>
        <w:tcPr>
          <w:tcW w:w="6379" w:type="dxa"/>
          <w:tcBorders>
            <w:top w:val="nil"/>
            <w:left w:val="nil"/>
            <w:bottom w:val="nil"/>
            <w:right w:val="nil"/>
          </w:tcBorders>
        </w:tcPr>
        <w:p w:rsidR="003B6350" w:rsidRPr="00B42CA2" w:rsidRDefault="003B6350" w:rsidP="005E2282">
          <w:pPr>
            <w:spacing w:line="0" w:lineRule="atLeast"/>
            <w:jc w:val="center"/>
            <w:rPr>
              <w:rFonts w:cs="Times New Roman"/>
              <w:i/>
              <w:sz w:val="18"/>
            </w:rPr>
          </w:pPr>
          <w:r w:rsidRPr="00B42CA2">
            <w:rPr>
              <w:rFonts w:cs="Times New Roman"/>
              <w:i/>
              <w:sz w:val="18"/>
            </w:rPr>
            <w:fldChar w:fldCharType="begin"/>
          </w:r>
          <w:r w:rsidRPr="00B42CA2">
            <w:rPr>
              <w:rFonts w:cs="Times New Roman"/>
              <w:i/>
              <w:sz w:val="18"/>
            </w:rPr>
            <w:instrText xml:space="preserve"> DOCPROPERTY ShortT </w:instrText>
          </w:r>
          <w:r w:rsidRPr="00B42CA2">
            <w:rPr>
              <w:rFonts w:cs="Times New Roman"/>
              <w:i/>
              <w:sz w:val="18"/>
            </w:rPr>
            <w:fldChar w:fldCharType="separate"/>
          </w:r>
          <w:r w:rsidR="00EE0EA8">
            <w:rPr>
              <w:rFonts w:cs="Times New Roman"/>
              <w:i/>
              <w:sz w:val="18"/>
            </w:rPr>
            <w:t>Carbon Credits (Carbon Farming Initiative—Landfill Gas) Methodology Determination 2015</w:t>
          </w:r>
          <w:r w:rsidRPr="00B42CA2">
            <w:rPr>
              <w:rFonts w:cs="Times New Roman"/>
              <w:i/>
              <w:sz w:val="18"/>
            </w:rPr>
            <w:fldChar w:fldCharType="end"/>
          </w:r>
        </w:p>
      </w:tc>
      <w:tc>
        <w:tcPr>
          <w:tcW w:w="1384" w:type="dxa"/>
          <w:tcBorders>
            <w:top w:val="nil"/>
            <w:left w:val="nil"/>
            <w:bottom w:val="nil"/>
            <w:right w:val="nil"/>
          </w:tcBorders>
        </w:tcPr>
        <w:p w:rsidR="003B6350" w:rsidRPr="00B42CA2" w:rsidRDefault="003B6350" w:rsidP="005E2282">
          <w:pPr>
            <w:spacing w:line="0" w:lineRule="atLeast"/>
            <w:jc w:val="right"/>
            <w:rPr>
              <w:rFonts w:cs="Times New Roman"/>
              <w:i/>
              <w:sz w:val="18"/>
            </w:rPr>
          </w:pPr>
        </w:p>
      </w:tc>
    </w:tr>
  </w:tbl>
  <w:p w:rsidR="003B6350" w:rsidRPr="00B42CA2" w:rsidRDefault="00B42CA2" w:rsidP="00B42CA2">
    <w:pPr>
      <w:rPr>
        <w:rFonts w:cs="Times New Roman"/>
        <w:i/>
        <w:sz w:val="18"/>
      </w:rPr>
    </w:pPr>
    <w:r w:rsidRPr="00B42CA2">
      <w:rPr>
        <w:rFonts w:cs="Times New Roman"/>
        <w:i/>
        <w:sz w:val="18"/>
      </w:rPr>
      <w:t>OPC60654 -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E33C1C" w:rsidRDefault="003B6350"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B6350" w:rsidTr="005E2282">
      <w:tc>
        <w:tcPr>
          <w:tcW w:w="1384" w:type="dxa"/>
          <w:tcBorders>
            <w:top w:val="nil"/>
            <w:left w:val="nil"/>
            <w:bottom w:val="nil"/>
            <w:right w:val="nil"/>
          </w:tcBorders>
        </w:tcPr>
        <w:p w:rsidR="003B6350" w:rsidRDefault="003B6350" w:rsidP="005E2282">
          <w:pPr>
            <w:spacing w:line="0" w:lineRule="atLeast"/>
            <w:rPr>
              <w:sz w:val="18"/>
            </w:rPr>
          </w:pPr>
        </w:p>
      </w:tc>
      <w:tc>
        <w:tcPr>
          <w:tcW w:w="6379" w:type="dxa"/>
          <w:tcBorders>
            <w:top w:val="nil"/>
            <w:left w:val="nil"/>
            <w:bottom w:val="nil"/>
            <w:right w:val="nil"/>
          </w:tcBorders>
        </w:tcPr>
        <w:p w:rsidR="003B6350" w:rsidRDefault="003B6350" w:rsidP="005E22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0EA8">
            <w:rPr>
              <w:i/>
              <w:sz w:val="18"/>
            </w:rPr>
            <w:t>Carbon Credits (Carbon Farming Initiative—Landfill Gas) Methodology Determination 2015</w:t>
          </w:r>
          <w:r w:rsidRPr="007A1328">
            <w:rPr>
              <w:i/>
              <w:sz w:val="18"/>
            </w:rPr>
            <w:fldChar w:fldCharType="end"/>
          </w:r>
        </w:p>
      </w:tc>
      <w:tc>
        <w:tcPr>
          <w:tcW w:w="709" w:type="dxa"/>
          <w:tcBorders>
            <w:top w:val="nil"/>
            <w:left w:val="nil"/>
            <w:bottom w:val="nil"/>
            <w:right w:val="nil"/>
          </w:tcBorders>
        </w:tcPr>
        <w:p w:rsidR="003B6350" w:rsidRDefault="003B6350" w:rsidP="005E228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0EA8">
            <w:rPr>
              <w:i/>
              <w:noProof/>
              <w:sz w:val="18"/>
            </w:rPr>
            <w:t>33</w:t>
          </w:r>
          <w:r w:rsidRPr="00ED79B6">
            <w:rPr>
              <w:i/>
              <w:sz w:val="18"/>
            </w:rPr>
            <w:fldChar w:fldCharType="end"/>
          </w:r>
        </w:p>
      </w:tc>
    </w:tr>
  </w:tbl>
  <w:p w:rsidR="003B6350" w:rsidRPr="00ED79B6" w:rsidRDefault="00B42CA2" w:rsidP="00B42CA2">
    <w:pPr>
      <w:rPr>
        <w:i/>
        <w:sz w:val="18"/>
      </w:rPr>
    </w:pPr>
    <w:r w:rsidRPr="00B42CA2">
      <w:rPr>
        <w:rFonts w:cs="Times New Roman"/>
        <w:i/>
        <w:sz w:val="18"/>
      </w:rPr>
      <w:t>OPC60654 -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E33C1C" w:rsidRDefault="003B6350"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B6350" w:rsidTr="00B33709">
      <w:tc>
        <w:tcPr>
          <w:tcW w:w="1384" w:type="dxa"/>
          <w:tcBorders>
            <w:top w:val="nil"/>
            <w:left w:val="nil"/>
            <w:bottom w:val="nil"/>
            <w:right w:val="nil"/>
          </w:tcBorders>
        </w:tcPr>
        <w:p w:rsidR="003B6350" w:rsidRDefault="003B6350" w:rsidP="005E2282">
          <w:pPr>
            <w:spacing w:line="0" w:lineRule="atLeast"/>
            <w:rPr>
              <w:sz w:val="18"/>
            </w:rPr>
          </w:pPr>
        </w:p>
      </w:tc>
      <w:tc>
        <w:tcPr>
          <w:tcW w:w="6379" w:type="dxa"/>
          <w:tcBorders>
            <w:top w:val="nil"/>
            <w:left w:val="nil"/>
            <w:bottom w:val="nil"/>
            <w:right w:val="nil"/>
          </w:tcBorders>
        </w:tcPr>
        <w:p w:rsidR="003B6350" w:rsidRDefault="003B6350" w:rsidP="005E22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0EA8">
            <w:rPr>
              <w:i/>
              <w:sz w:val="18"/>
            </w:rPr>
            <w:t>Carbon Credits (Carbon Farming Initiative—Landfill Gas) Methodology Determination 2015</w:t>
          </w:r>
          <w:r w:rsidRPr="007A1328">
            <w:rPr>
              <w:i/>
              <w:sz w:val="18"/>
            </w:rPr>
            <w:fldChar w:fldCharType="end"/>
          </w:r>
        </w:p>
      </w:tc>
      <w:tc>
        <w:tcPr>
          <w:tcW w:w="709" w:type="dxa"/>
          <w:tcBorders>
            <w:top w:val="nil"/>
            <w:left w:val="nil"/>
            <w:bottom w:val="nil"/>
            <w:right w:val="nil"/>
          </w:tcBorders>
        </w:tcPr>
        <w:p w:rsidR="003B6350" w:rsidRDefault="003B6350" w:rsidP="005E228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0EA8">
            <w:rPr>
              <w:i/>
              <w:noProof/>
              <w:sz w:val="18"/>
            </w:rPr>
            <w:t>33</w:t>
          </w:r>
          <w:r w:rsidRPr="00ED79B6">
            <w:rPr>
              <w:i/>
              <w:sz w:val="18"/>
            </w:rPr>
            <w:fldChar w:fldCharType="end"/>
          </w:r>
        </w:p>
      </w:tc>
    </w:tr>
  </w:tbl>
  <w:p w:rsidR="003B6350" w:rsidRPr="00ED79B6" w:rsidRDefault="003B6350"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Default="003B6350" w:rsidP="007500C8">
    <w:pPr>
      <w:pStyle w:val="Footer"/>
    </w:pPr>
  </w:p>
  <w:p w:rsidR="003B6350" w:rsidRPr="007500C8" w:rsidRDefault="00B42CA2" w:rsidP="00B42CA2">
    <w:pPr>
      <w:pStyle w:val="Footer"/>
    </w:pPr>
    <w:r w:rsidRPr="00B42CA2">
      <w:rPr>
        <w:i/>
        <w:sz w:val="18"/>
      </w:rPr>
      <w:t>OPC60654 -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ED79B6" w:rsidRDefault="003B635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B42CA2" w:rsidRDefault="003B6350"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B6350" w:rsidRPr="00B42CA2" w:rsidTr="00B856EC">
      <w:tc>
        <w:tcPr>
          <w:tcW w:w="709" w:type="dxa"/>
          <w:tcBorders>
            <w:top w:val="nil"/>
            <w:left w:val="nil"/>
            <w:bottom w:val="nil"/>
            <w:right w:val="nil"/>
          </w:tcBorders>
        </w:tcPr>
        <w:p w:rsidR="003B6350" w:rsidRPr="00B42CA2" w:rsidRDefault="003B6350" w:rsidP="005E2282">
          <w:pPr>
            <w:spacing w:line="0" w:lineRule="atLeast"/>
            <w:rPr>
              <w:rFonts w:cs="Times New Roman"/>
              <w:i/>
              <w:sz w:val="18"/>
            </w:rPr>
          </w:pPr>
          <w:r w:rsidRPr="00B42CA2">
            <w:rPr>
              <w:rFonts w:cs="Times New Roman"/>
              <w:i/>
              <w:sz w:val="18"/>
            </w:rPr>
            <w:fldChar w:fldCharType="begin"/>
          </w:r>
          <w:r w:rsidRPr="00B42CA2">
            <w:rPr>
              <w:rFonts w:cs="Times New Roman"/>
              <w:i/>
              <w:sz w:val="18"/>
            </w:rPr>
            <w:instrText xml:space="preserve"> PAGE </w:instrText>
          </w:r>
          <w:r w:rsidRPr="00B42CA2">
            <w:rPr>
              <w:rFonts w:cs="Times New Roman"/>
              <w:i/>
              <w:sz w:val="18"/>
            </w:rPr>
            <w:fldChar w:fldCharType="separate"/>
          </w:r>
          <w:r w:rsidR="00EE0EA8">
            <w:rPr>
              <w:rFonts w:cs="Times New Roman"/>
              <w:i/>
              <w:noProof/>
              <w:sz w:val="18"/>
            </w:rPr>
            <w:t>ii</w:t>
          </w:r>
          <w:r w:rsidRPr="00B42CA2">
            <w:rPr>
              <w:rFonts w:cs="Times New Roman"/>
              <w:i/>
              <w:sz w:val="18"/>
            </w:rPr>
            <w:fldChar w:fldCharType="end"/>
          </w:r>
        </w:p>
      </w:tc>
      <w:tc>
        <w:tcPr>
          <w:tcW w:w="6379" w:type="dxa"/>
          <w:tcBorders>
            <w:top w:val="nil"/>
            <w:left w:val="nil"/>
            <w:bottom w:val="nil"/>
            <w:right w:val="nil"/>
          </w:tcBorders>
        </w:tcPr>
        <w:p w:rsidR="003B6350" w:rsidRPr="00B42CA2" w:rsidRDefault="003B6350" w:rsidP="005E2282">
          <w:pPr>
            <w:spacing w:line="0" w:lineRule="atLeast"/>
            <w:jc w:val="center"/>
            <w:rPr>
              <w:rFonts w:cs="Times New Roman"/>
              <w:i/>
              <w:sz w:val="18"/>
            </w:rPr>
          </w:pPr>
          <w:r w:rsidRPr="00B42CA2">
            <w:rPr>
              <w:rFonts w:cs="Times New Roman"/>
              <w:i/>
              <w:sz w:val="18"/>
            </w:rPr>
            <w:fldChar w:fldCharType="begin"/>
          </w:r>
          <w:r w:rsidRPr="00B42CA2">
            <w:rPr>
              <w:rFonts w:cs="Times New Roman"/>
              <w:i/>
              <w:sz w:val="18"/>
            </w:rPr>
            <w:instrText xml:space="preserve"> DOCPROPERTY ShortT </w:instrText>
          </w:r>
          <w:r w:rsidRPr="00B42CA2">
            <w:rPr>
              <w:rFonts w:cs="Times New Roman"/>
              <w:i/>
              <w:sz w:val="18"/>
            </w:rPr>
            <w:fldChar w:fldCharType="separate"/>
          </w:r>
          <w:r w:rsidR="00EE0EA8">
            <w:rPr>
              <w:rFonts w:cs="Times New Roman"/>
              <w:i/>
              <w:sz w:val="18"/>
            </w:rPr>
            <w:t>Carbon Credits (Carbon Farming Initiative—Landfill Gas) Methodology Determination 2015</w:t>
          </w:r>
          <w:r w:rsidRPr="00B42CA2">
            <w:rPr>
              <w:rFonts w:cs="Times New Roman"/>
              <w:i/>
              <w:sz w:val="18"/>
            </w:rPr>
            <w:fldChar w:fldCharType="end"/>
          </w:r>
        </w:p>
      </w:tc>
      <w:tc>
        <w:tcPr>
          <w:tcW w:w="1384" w:type="dxa"/>
          <w:tcBorders>
            <w:top w:val="nil"/>
            <w:left w:val="nil"/>
            <w:bottom w:val="nil"/>
            <w:right w:val="nil"/>
          </w:tcBorders>
        </w:tcPr>
        <w:p w:rsidR="003B6350" w:rsidRPr="00B42CA2" w:rsidRDefault="003B6350" w:rsidP="005E2282">
          <w:pPr>
            <w:spacing w:line="0" w:lineRule="atLeast"/>
            <w:jc w:val="right"/>
            <w:rPr>
              <w:rFonts w:cs="Times New Roman"/>
              <w:i/>
              <w:sz w:val="18"/>
            </w:rPr>
          </w:pPr>
        </w:p>
      </w:tc>
    </w:tr>
  </w:tbl>
  <w:p w:rsidR="003B6350" w:rsidRPr="00B42CA2" w:rsidRDefault="00B42CA2" w:rsidP="00B42CA2">
    <w:pPr>
      <w:rPr>
        <w:rFonts w:cs="Times New Roman"/>
        <w:i/>
        <w:sz w:val="18"/>
      </w:rPr>
    </w:pPr>
    <w:r w:rsidRPr="00B42CA2">
      <w:rPr>
        <w:rFonts w:cs="Times New Roman"/>
        <w:i/>
        <w:sz w:val="18"/>
      </w:rPr>
      <w:t>OPC60654 -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E33C1C" w:rsidRDefault="003B6350"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B6350" w:rsidTr="00B33709">
      <w:tc>
        <w:tcPr>
          <w:tcW w:w="1383" w:type="dxa"/>
          <w:tcBorders>
            <w:top w:val="nil"/>
            <w:left w:val="nil"/>
            <w:bottom w:val="nil"/>
            <w:right w:val="nil"/>
          </w:tcBorders>
        </w:tcPr>
        <w:p w:rsidR="003B6350" w:rsidRDefault="003B6350" w:rsidP="005E2282">
          <w:pPr>
            <w:spacing w:line="0" w:lineRule="atLeast"/>
            <w:rPr>
              <w:sz w:val="18"/>
            </w:rPr>
          </w:pPr>
        </w:p>
      </w:tc>
      <w:tc>
        <w:tcPr>
          <w:tcW w:w="6380" w:type="dxa"/>
          <w:tcBorders>
            <w:top w:val="nil"/>
            <w:left w:val="nil"/>
            <w:bottom w:val="nil"/>
            <w:right w:val="nil"/>
          </w:tcBorders>
        </w:tcPr>
        <w:p w:rsidR="003B6350" w:rsidRDefault="003B6350" w:rsidP="005E22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0EA8">
            <w:rPr>
              <w:i/>
              <w:sz w:val="18"/>
            </w:rPr>
            <w:t>Carbon Credits (Carbon Farming Initiative—Landfill Gas) Methodology Determination 2015</w:t>
          </w:r>
          <w:r w:rsidRPr="007A1328">
            <w:rPr>
              <w:i/>
              <w:sz w:val="18"/>
            </w:rPr>
            <w:fldChar w:fldCharType="end"/>
          </w:r>
        </w:p>
      </w:tc>
      <w:tc>
        <w:tcPr>
          <w:tcW w:w="709" w:type="dxa"/>
          <w:tcBorders>
            <w:top w:val="nil"/>
            <w:left w:val="nil"/>
            <w:bottom w:val="nil"/>
            <w:right w:val="nil"/>
          </w:tcBorders>
        </w:tcPr>
        <w:p w:rsidR="003B6350" w:rsidRDefault="003B6350" w:rsidP="005E228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0EA8">
            <w:rPr>
              <w:i/>
              <w:noProof/>
              <w:sz w:val="18"/>
            </w:rPr>
            <w:t>i</w:t>
          </w:r>
          <w:r w:rsidRPr="00ED79B6">
            <w:rPr>
              <w:i/>
              <w:sz w:val="18"/>
            </w:rPr>
            <w:fldChar w:fldCharType="end"/>
          </w:r>
        </w:p>
      </w:tc>
    </w:tr>
  </w:tbl>
  <w:p w:rsidR="003B6350" w:rsidRPr="00ED79B6" w:rsidRDefault="00B42CA2" w:rsidP="00B42CA2">
    <w:pPr>
      <w:rPr>
        <w:i/>
        <w:sz w:val="18"/>
      </w:rPr>
    </w:pPr>
    <w:r w:rsidRPr="00B42CA2">
      <w:rPr>
        <w:rFonts w:cs="Times New Roman"/>
        <w:i/>
        <w:sz w:val="18"/>
      </w:rPr>
      <w:t>OPC60654 -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B42CA2" w:rsidRDefault="003B6350" w:rsidP="00BC305F">
    <w:pPr>
      <w:pBdr>
        <w:top w:val="single" w:sz="6" w:space="1" w:color="auto"/>
      </w:pBdr>
      <w:spacing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B6350" w:rsidRPr="00B42CA2" w:rsidTr="00B856EC">
      <w:tc>
        <w:tcPr>
          <w:tcW w:w="709" w:type="dxa"/>
          <w:tcBorders>
            <w:top w:val="nil"/>
            <w:left w:val="nil"/>
            <w:bottom w:val="nil"/>
            <w:right w:val="nil"/>
          </w:tcBorders>
        </w:tcPr>
        <w:p w:rsidR="003B6350" w:rsidRPr="00B42CA2" w:rsidRDefault="003B6350" w:rsidP="00BC305F">
          <w:pPr>
            <w:spacing w:line="0" w:lineRule="atLeast"/>
            <w:rPr>
              <w:rFonts w:cs="Times New Roman"/>
              <w:i/>
              <w:sz w:val="18"/>
            </w:rPr>
          </w:pPr>
          <w:r w:rsidRPr="00B42CA2">
            <w:rPr>
              <w:rFonts w:cs="Times New Roman"/>
              <w:i/>
              <w:sz w:val="18"/>
            </w:rPr>
            <w:fldChar w:fldCharType="begin"/>
          </w:r>
          <w:r w:rsidRPr="00B42CA2">
            <w:rPr>
              <w:rFonts w:cs="Times New Roman"/>
              <w:i/>
              <w:sz w:val="18"/>
            </w:rPr>
            <w:instrText xml:space="preserve"> PAGE </w:instrText>
          </w:r>
          <w:r w:rsidRPr="00B42CA2">
            <w:rPr>
              <w:rFonts w:cs="Times New Roman"/>
              <w:i/>
              <w:sz w:val="18"/>
            </w:rPr>
            <w:fldChar w:fldCharType="separate"/>
          </w:r>
          <w:r w:rsidR="00EE0EA8">
            <w:rPr>
              <w:rFonts w:cs="Times New Roman"/>
              <w:i/>
              <w:noProof/>
              <w:sz w:val="18"/>
            </w:rPr>
            <w:t>24</w:t>
          </w:r>
          <w:r w:rsidRPr="00B42CA2">
            <w:rPr>
              <w:rFonts w:cs="Times New Roman"/>
              <w:i/>
              <w:sz w:val="18"/>
            </w:rPr>
            <w:fldChar w:fldCharType="end"/>
          </w:r>
        </w:p>
      </w:tc>
      <w:tc>
        <w:tcPr>
          <w:tcW w:w="6379" w:type="dxa"/>
          <w:tcBorders>
            <w:top w:val="nil"/>
            <w:left w:val="nil"/>
            <w:bottom w:val="nil"/>
            <w:right w:val="nil"/>
          </w:tcBorders>
        </w:tcPr>
        <w:p w:rsidR="003B6350" w:rsidRPr="00B42CA2" w:rsidRDefault="003B6350" w:rsidP="00BC305F">
          <w:pPr>
            <w:spacing w:line="0" w:lineRule="atLeast"/>
            <w:jc w:val="center"/>
            <w:rPr>
              <w:rFonts w:cs="Times New Roman"/>
              <w:i/>
              <w:sz w:val="18"/>
            </w:rPr>
          </w:pPr>
          <w:r w:rsidRPr="00B42CA2">
            <w:rPr>
              <w:rFonts w:cs="Times New Roman"/>
              <w:i/>
              <w:sz w:val="18"/>
            </w:rPr>
            <w:fldChar w:fldCharType="begin"/>
          </w:r>
          <w:r w:rsidRPr="00B42CA2">
            <w:rPr>
              <w:rFonts w:cs="Times New Roman"/>
              <w:i/>
              <w:sz w:val="18"/>
            </w:rPr>
            <w:instrText xml:space="preserve"> DOCPROPERTY ShortT </w:instrText>
          </w:r>
          <w:r w:rsidRPr="00B42CA2">
            <w:rPr>
              <w:rFonts w:cs="Times New Roman"/>
              <w:i/>
              <w:sz w:val="18"/>
            </w:rPr>
            <w:fldChar w:fldCharType="separate"/>
          </w:r>
          <w:r w:rsidR="00EE0EA8">
            <w:rPr>
              <w:rFonts w:cs="Times New Roman"/>
              <w:i/>
              <w:sz w:val="18"/>
            </w:rPr>
            <w:t>Carbon Credits (Carbon Farming Initiative—Landfill Gas) Methodology Determination 2015</w:t>
          </w:r>
          <w:r w:rsidRPr="00B42CA2">
            <w:rPr>
              <w:rFonts w:cs="Times New Roman"/>
              <w:i/>
              <w:sz w:val="18"/>
            </w:rPr>
            <w:fldChar w:fldCharType="end"/>
          </w:r>
        </w:p>
      </w:tc>
      <w:tc>
        <w:tcPr>
          <w:tcW w:w="1384" w:type="dxa"/>
          <w:tcBorders>
            <w:top w:val="nil"/>
            <w:left w:val="nil"/>
            <w:bottom w:val="nil"/>
            <w:right w:val="nil"/>
          </w:tcBorders>
        </w:tcPr>
        <w:p w:rsidR="003B6350" w:rsidRPr="00B42CA2" w:rsidRDefault="003B6350" w:rsidP="00BC305F">
          <w:pPr>
            <w:spacing w:line="0" w:lineRule="atLeast"/>
            <w:jc w:val="right"/>
            <w:rPr>
              <w:rFonts w:cs="Times New Roman"/>
              <w:i/>
              <w:sz w:val="18"/>
            </w:rPr>
          </w:pPr>
        </w:p>
      </w:tc>
    </w:tr>
  </w:tbl>
  <w:p w:rsidR="003B6350" w:rsidRPr="00B42CA2" w:rsidRDefault="00B42CA2" w:rsidP="00B42CA2">
    <w:pPr>
      <w:rPr>
        <w:rFonts w:cs="Times New Roman"/>
        <w:i/>
        <w:sz w:val="18"/>
      </w:rPr>
    </w:pPr>
    <w:r w:rsidRPr="00B42CA2">
      <w:rPr>
        <w:rFonts w:cs="Times New Roman"/>
        <w:i/>
        <w:sz w:val="18"/>
      </w:rPr>
      <w:t>OPC60654 -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D1021D" w:rsidRDefault="003B6350" w:rsidP="00BC305F">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B6350" w:rsidTr="00B856EC">
      <w:tc>
        <w:tcPr>
          <w:tcW w:w="709" w:type="dxa"/>
          <w:tcBorders>
            <w:top w:val="nil"/>
            <w:left w:val="nil"/>
            <w:bottom w:val="nil"/>
            <w:right w:val="nil"/>
          </w:tcBorders>
        </w:tcPr>
        <w:p w:rsidR="003B6350" w:rsidRDefault="003B6350" w:rsidP="00BC305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0EA8">
            <w:rPr>
              <w:i/>
              <w:noProof/>
              <w:sz w:val="18"/>
            </w:rPr>
            <w:t>23</w:t>
          </w:r>
          <w:r w:rsidRPr="00ED79B6">
            <w:rPr>
              <w:i/>
              <w:sz w:val="18"/>
            </w:rPr>
            <w:fldChar w:fldCharType="end"/>
          </w:r>
        </w:p>
      </w:tc>
      <w:tc>
        <w:tcPr>
          <w:tcW w:w="6379" w:type="dxa"/>
          <w:tcBorders>
            <w:top w:val="nil"/>
            <w:left w:val="nil"/>
            <w:bottom w:val="nil"/>
            <w:right w:val="nil"/>
          </w:tcBorders>
        </w:tcPr>
        <w:p w:rsidR="003B6350" w:rsidRDefault="003B6350" w:rsidP="00BC30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0EA8">
            <w:rPr>
              <w:i/>
              <w:sz w:val="18"/>
            </w:rPr>
            <w:t>Carbon Credits (Carbon Farming Initiative—Landfill Gas) Methodology Determination 2015</w:t>
          </w:r>
          <w:r w:rsidRPr="007A1328">
            <w:rPr>
              <w:i/>
              <w:sz w:val="18"/>
            </w:rPr>
            <w:fldChar w:fldCharType="end"/>
          </w:r>
        </w:p>
      </w:tc>
      <w:tc>
        <w:tcPr>
          <w:tcW w:w="1384" w:type="dxa"/>
          <w:tcBorders>
            <w:top w:val="nil"/>
            <w:left w:val="nil"/>
            <w:bottom w:val="nil"/>
            <w:right w:val="nil"/>
          </w:tcBorders>
        </w:tcPr>
        <w:p w:rsidR="003B6350" w:rsidRDefault="003B6350" w:rsidP="00BC305F">
          <w:pPr>
            <w:spacing w:line="0" w:lineRule="atLeast"/>
            <w:jc w:val="right"/>
            <w:rPr>
              <w:sz w:val="18"/>
            </w:rPr>
          </w:pPr>
        </w:p>
      </w:tc>
    </w:tr>
  </w:tbl>
  <w:p w:rsidR="003B6350" w:rsidRPr="00D1021D" w:rsidRDefault="00B42CA2" w:rsidP="00B42CA2">
    <w:pPr>
      <w:rPr>
        <w:i/>
        <w:sz w:val="18"/>
      </w:rPr>
    </w:pPr>
    <w:r w:rsidRPr="00B42CA2">
      <w:rPr>
        <w:rFonts w:cs="Times New Roman"/>
        <w:i/>
        <w:sz w:val="18"/>
      </w:rPr>
      <w:t>OPC60654 -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D1021D" w:rsidRDefault="003B6350" w:rsidP="00BC305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B6350" w:rsidTr="00BC305F">
      <w:tc>
        <w:tcPr>
          <w:tcW w:w="1384" w:type="dxa"/>
          <w:tcBorders>
            <w:top w:val="nil"/>
            <w:left w:val="nil"/>
            <w:bottom w:val="nil"/>
            <w:right w:val="nil"/>
          </w:tcBorders>
        </w:tcPr>
        <w:p w:rsidR="003B6350" w:rsidRDefault="003B6350" w:rsidP="00BC305F">
          <w:pPr>
            <w:spacing w:line="0" w:lineRule="atLeast"/>
            <w:rPr>
              <w:sz w:val="18"/>
            </w:rPr>
          </w:pPr>
        </w:p>
      </w:tc>
      <w:tc>
        <w:tcPr>
          <w:tcW w:w="6379" w:type="dxa"/>
          <w:tcBorders>
            <w:top w:val="nil"/>
            <w:left w:val="nil"/>
            <w:bottom w:val="nil"/>
            <w:right w:val="nil"/>
          </w:tcBorders>
        </w:tcPr>
        <w:p w:rsidR="003B6350" w:rsidRDefault="003B6350" w:rsidP="00BC30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0EA8">
            <w:rPr>
              <w:i/>
              <w:sz w:val="18"/>
            </w:rPr>
            <w:t>Carbon Credits (Carbon Farming Initiative—Landfill Gas) Methodology Determination 2015</w:t>
          </w:r>
          <w:r w:rsidRPr="007A1328">
            <w:rPr>
              <w:i/>
              <w:sz w:val="18"/>
            </w:rPr>
            <w:fldChar w:fldCharType="end"/>
          </w:r>
        </w:p>
      </w:tc>
      <w:tc>
        <w:tcPr>
          <w:tcW w:w="709" w:type="dxa"/>
          <w:tcBorders>
            <w:top w:val="nil"/>
            <w:left w:val="nil"/>
            <w:bottom w:val="nil"/>
            <w:right w:val="nil"/>
          </w:tcBorders>
        </w:tcPr>
        <w:p w:rsidR="003B6350" w:rsidRDefault="003B6350" w:rsidP="00BC30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0EA8">
            <w:rPr>
              <w:i/>
              <w:noProof/>
              <w:sz w:val="18"/>
            </w:rPr>
            <w:t>33</w:t>
          </w:r>
          <w:r w:rsidRPr="00ED79B6">
            <w:rPr>
              <w:i/>
              <w:sz w:val="18"/>
            </w:rPr>
            <w:fldChar w:fldCharType="end"/>
          </w:r>
        </w:p>
      </w:tc>
    </w:tr>
  </w:tbl>
  <w:p w:rsidR="003B6350" w:rsidRPr="00D1021D" w:rsidRDefault="003B6350" w:rsidP="00BC305F">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B42CA2" w:rsidRDefault="003B6350" w:rsidP="00BC305F">
    <w:pPr>
      <w:pBdr>
        <w:top w:val="single" w:sz="6" w:space="1" w:color="auto"/>
      </w:pBdr>
      <w:spacing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B6350" w:rsidRPr="00B42CA2" w:rsidTr="00B856EC">
      <w:tc>
        <w:tcPr>
          <w:tcW w:w="709" w:type="dxa"/>
          <w:tcBorders>
            <w:top w:val="nil"/>
            <w:left w:val="nil"/>
            <w:bottom w:val="nil"/>
            <w:right w:val="nil"/>
          </w:tcBorders>
        </w:tcPr>
        <w:p w:rsidR="003B6350" w:rsidRPr="00B42CA2" w:rsidRDefault="003B6350" w:rsidP="00BC305F">
          <w:pPr>
            <w:spacing w:line="0" w:lineRule="atLeast"/>
            <w:rPr>
              <w:rFonts w:cs="Times New Roman"/>
              <w:i/>
              <w:sz w:val="18"/>
            </w:rPr>
          </w:pPr>
          <w:r w:rsidRPr="00B42CA2">
            <w:rPr>
              <w:rFonts w:cs="Times New Roman"/>
              <w:i/>
              <w:sz w:val="18"/>
            </w:rPr>
            <w:fldChar w:fldCharType="begin"/>
          </w:r>
          <w:r w:rsidRPr="00B42CA2">
            <w:rPr>
              <w:rFonts w:cs="Times New Roman"/>
              <w:i/>
              <w:sz w:val="18"/>
            </w:rPr>
            <w:instrText xml:space="preserve"> PAGE </w:instrText>
          </w:r>
          <w:r w:rsidRPr="00B42CA2">
            <w:rPr>
              <w:rFonts w:cs="Times New Roman"/>
              <w:i/>
              <w:sz w:val="18"/>
            </w:rPr>
            <w:fldChar w:fldCharType="separate"/>
          </w:r>
          <w:r w:rsidR="00EE0EA8">
            <w:rPr>
              <w:rFonts w:cs="Times New Roman"/>
              <w:i/>
              <w:noProof/>
              <w:sz w:val="18"/>
            </w:rPr>
            <w:t>32</w:t>
          </w:r>
          <w:r w:rsidRPr="00B42CA2">
            <w:rPr>
              <w:rFonts w:cs="Times New Roman"/>
              <w:i/>
              <w:sz w:val="18"/>
            </w:rPr>
            <w:fldChar w:fldCharType="end"/>
          </w:r>
        </w:p>
      </w:tc>
      <w:tc>
        <w:tcPr>
          <w:tcW w:w="6379" w:type="dxa"/>
          <w:tcBorders>
            <w:top w:val="nil"/>
            <w:left w:val="nil"/>
            <w:bottom w:val="nil"/>
            <w:right w:val="nil"/>
          </w:tcBorders>
        </w:tcPr>
        <w:p w:rsidR="003B6350" w:rsidRPr="00B42CA2" w:rsidRDefault="003B6350" w:rsidP="00BC305F">
          <w:pPr>
            <w:spacing w:line="0" w:lineRule="atLeast"/>
            <w:jc w:val="center"/>
            <w:rPr>
              <w:rFonts w:cs="Times New Roman"/>
              <w:i/>
              <w:sz w:val="18"/>
            </w:rPr>
          </w:pPr>
          <w:r w:rsidRPr="00B42CA2">
            <w:rPr>
              <w:rFonts w:cs="Times New Roman"/>
              <w:i/>
              <w:sz w:val="18"/>
            </w:rPr>
            <w:fldChar w:fldCharType="begin"/>
          </w:r>
          <w:r w:rsidRPr="00B42CA2">
            <w:rPr>
              <w:rFonts w:cs="Times New Roman"/>
              <w:i/>
              <w:sz w:val="18"/>
            </w:rPr>
            <w:instrText xml:space="preserve"> DOCPROPERTY ShortT </w:instrText>
          </w:r>
          <w:r w:rsidRPr="00B42CA2">
            <w:rPr>
              <w:rFonts w:cs="Times New Roman"/>
              <w:i/>
              <w:sz w:val="18"/>
            </w:rPr>
            <w:fldChar w:fldCharType="separate"/>
          </w:r>
          <w:r w:rsidR="00EE0EA8">
            <w:rPr>
              <w:rFonts w:cs="Times New Roman"/>
              <w:i/>
              <w:sz w:val="18"/>
            </w:rPr>
            <w:t>Carbon Credits (Carbon Farming Initiative—Landfill Gas) Methodology Determination 2015</w:t>
          </w:r>
          <w:r w:rsidRPr="00B42CA2">
            <w:rPr>
              <w:rFonts w:cs="Times New Roman"/>
              <w:i/>
              <w:sz w:val="18"/>
            </w:rPr>
            <w:fldChar w:fldCharType="end"/>
          </w:r>
        </w:p>
      </w:tc>
      <w:tc>
        <w:tcPr>
          <w:tcW w:w="1384" w:type="dxa"/>
          <w:tcBorders>
            <w:top w:val="nil"/>
            <w:left w:val="nil"/>
            <w:bottom w:val="nil"/>
            <w:right w:val="nil"/>
          </w:tcBorders>
        </w:tcPr>
        <w:p w:rsidR="003B6350" w:rsidRPr="00B42CA2" w:rsidRDefault="003B6350" w:rsidP="00BC305F">
          <w:pPr>
            <w:spacing w:line="0" w:lineRule="atLeast"/>
            <w:jc w:val="right"/>
            <w:rPr>
              <w:rFonts w:cs="Times New Roman"/>
              <w:i/>
              <w:sz w:val="18"/>
            </w:rPr>
          </w:pPr>
        </w:p>
      </w:tc>
    </w:tr>
  </w:tbl>
  <w:p w:rsidR="003B6350" w:rsidRPr="00B42CA2" w:rsidRDefault="00B42CA2" w:rsidP="00B42CA2">
    <w:pPr>
      <w:rPr>
        <w:rFonts w:cs="Times New Roman"/>
        <w:i/>
        <w:sz w:val="18"/>
      </w:rPr>
    </w:pPr>
    <w:r w:rsidRPr="00B42CA2">
      <w:rPr>
        <w:rFonts w:cs="Times New Roman"/>
        <w:i/>
        <w:sz w:val="18"/>
      </w:rPr>
      <w:t>OPC60654 -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50" w:rsidRDefault="003B6350" w:rsidP="00715914">
      <w:pPr>
        <w:spacing w:line="240" w:lineRule="auto"/>
      </w:pPr>
      <w:r>
        <w:separator/>
      </w:r>
    </w:p>
  </w:footnote>
  <w:footnote w:type="continuationSeparator" w:id="0">
    <w:p w:rsidR="003B6350" w:rsidRDefault="003B635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5F1388" w:rsidRDefault="003B6350"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D1021D" w:rsidRDefault="003B6350">
    <w:pPr>
      <w:jc w:val="right"/>
      <w:rPr>
        <w:sz w:val="20"/>
      </w:rPr>
    </w:pPr>
    <w:r w:rsidRPr="00D1021D">
      <w:rPr>
        <w:sz w:val="20"/>
      </w:rPr>
      <w:fldChar w:fldCharType="begin"/>
    </w:r>
    <w:r w:rsidRPr="00D1021D">
      <w:rPr>
        <w:sz w:val="20"/>
      </w:rPr>
      <w:instrText xml:space="preserve"> STYLEREF CharChapText </w:instrText>
    </w:r>
    <w:r w:rsidR="00EE0EA8">
      <w:rPr>
        <w:sz w:val="20"/>
      </w:rPr>
      <w:fldChar w:fldCharType="separate"/>
    </w:r>
    <w:r w:rsidR="00EE0EA8">
      <w:rPr>
        <w:noProof/>
        <w:sz w:val="20"/>
      </w:rPr>
      <w:t>Determining regulatory proportion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EE0EA8">
      <w:rPr>
        <w:b/>
        <w:sz w:val="20"/>
      </w:rPr>
      <w:fldChar w:fldCharType="separate"/>
    </w:r>
    <w:r w:rsidR="00EE0EA8">
      <w:rPr>
        <w:b/>
        <w:noProof/>
        <w:sz w:val="20"/>
      </w:rPr>
      <w:t>Schedule 1</w:t>
    </w:r>
    <w:r w:rsidRPr="00D1021D">
      <w:rPr>
        <w:b/>
        <w:sz w:val="20"/>
      </w:rPr>
      <w:fldChar w:fldCharType="end"/>
    </w:r>
  </w:p>
  <w:p w:rsidR="003B6350" w:rsidRPr="00D1021D" w:rsidRDefault="003B6350">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EE0EA8">
      <w:rPr>
        <w:noProof/>
        <w:sz w:val="20"/>
      </w:rPr>
      <w:t>Regulatory proportion determined by independent expert</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EE0EA8">
      <w:rPr>
        <w:b/>
        <w:noProof/>
        <w:sz w:val="20"/>
      </w:rPr>
      <w:t>Part 5</w:t>
    </w:r>
    <w:r w:rsidRPr="00D1021D">
      <w:rPr>
        <w:b/>
        <w:sz w:val="20"/>
      </w:rPr>
      <w:fldChar w:fldCharType="end"/>
    </w:r>
  </w:p>
  <w:p w:rsidR="003B6350" w:rsidRPr="00D1021D" w:rsidRDefault="003B6350">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3B6350" w:rsidRPr="00D1021D" w:rsidRDefault="003B6350">
    <w:pPr>
      <w:jc w:val="right"/>
      <w:rPr>
        <w:b/>
      </w:rPr>
    </w:pPr>
  </w:p>
  <w:p w:rsidR="003B6350" w:rsidRPr="00D1021D" w:rsidRDefault="003B6350">
    <w:pPr>
      <w:pBdr>
        <w:bottom w:val="single" w:sz="6" w:space="1" w:color="auto"/>
      </w:pBdr>
      <w:jc w:val="right"/>
    </w:pPr>
    <w:r w:rsidRPr="00D1021D">
      <w:t xml:space="preserve">Clause </w:t>
    </w:r>
    <w:r w:rsidR="00EE0EA8">
      <w:fldChar w:fldCharType="begin"/>
    </w:r>
    <w:r w:rsidR="00EE0EA8">
      <w:instrText xml:space="preserve"> STYLEREF CharSectno </w:instrText>
    </w:r>
    <w:r w:rsidR="00EE0EA8">
      <w:fldChar w:fldCharType="separate"/>
    </w:r>
    <w:r w:rsidR="00EE0EA8">
      <w:rPr>
        <w:noProof/>
      </w:rPr>
      <w:t>8</w:t>
    </w:r>
    <w:r w:rsidR="00EE0EA8">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Default="003B635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Default="003B635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E0EA8">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E0EA8">
      <w:rPr>
        <w:noProof/>
        <w:sz w:val="20"/>
      </w:rPr>
      <w:t>Determining regulatory proportion</w:t>
    </w:r>
    <w:r>
      <w:rPr>
        <w:sz w:val="20"/>
      </w:rPr>
      <w:fldChar w:fldCharType="end"/>
    </w:r>
  </w:p>
  <w:p w:rsidR="003B6350" w:rsidRDefault="003B635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E0EA8">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E0EA8">
      <w:rPr>
        <w:noProof/>
        <w:sz w:val="20"/>
      </w:rPr>
      <w:t>Regulatory proportion determined by independent expert</w:t>
    </w:r>
    <w:r>
      <w:rPr>
        <w:sz w:val="20"/>
      </w:rPr>
      <w:fldChar w:fldCharType="end"/>
    </w:r>
  </w:p>
  <w:p w:rsidR="003B6350" w:rsidRPr="007A1328" w:rsidRDefault="003B635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B6350" w:rsidRPr="007A1328" w:rsidRDefault="003B6350" w:rsidP="00715914">
    <w:pPr>
      <w:rPr>
        <w:b/>
        <w:sz w:val="24"/>
      </w:rPr>
    </w:pPr>
  </w:p>
  <w:p w:rsidR="003B6350" w:rsidRPr="007A1328" w:rsidRDefault="003B6350"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E0EA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0EA8">
      <w:rPr>
        <w:noProof/>
        <w:sz w:val="24"/>
      </w:rPr>
      <w:t>8</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7A1328" w:rsidRDefault="003B635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E0EA8">
      <w:rPr>
        <w:noProof/>
        <w:sz w:val="20"/>
      </w:rPr>
      <w:t>Determining regulatory proportion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E0EA8">
      <w:rPr>
        <w:b/>
        <w:noProof/>
        <w:sz w:val="20"/>
      </w:rPr>
      <w:t>Schedule 1</w:t>
    </w:r>
    <w:r>
      <w:rPr>
        <w:b/>
        <w:sz w:val="20"/>
      </w:rPr>
      <w:fldChar w:fldCharType="end"/>
    </w:r>
  </w:p>
  <w:p w:rsidR="003B6350" w:rsidRPr="007A1328" w:rsidRDefault="003B635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E0EA8">
      <w:rPr>
        <w:noProof/>
        <w:sz w:val="20"/>
      </w:rPr>
      <w:t>Regulatory proportion determined by independent expert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E0EA8">
      <w:rPr>
        <w:b/>
        <w:noProof/>
        <w:sz w:val="20"/>
      </w:rPr>
      <w:t>Part 5</w:t>
    </w:r>
    <w:r>
      <w:rPr>
        <w:b/>
        <w:sz w:val="20"/>
      </w:rPr>
      <w:fldChar w:fldCharType="end"/>
    </w:r>
  </w:p>
  <w:p w:rsidR="003B6350" w:rsidRPr="007A1328" w:rsidRDefault="003B635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B6350" w:rsidRPr="007A1328" w:rsidRDefault="003B6350" w:rsidP="00715914">
    <w:pPr>
      <w:jc w:val="right"/>
      <w:rPr>
        <w:b/>
        <w:sz w:val="24"/>
      </w:rPr>
    </w:pPr>
  </w:p>
  <w:p w:rsidR="003B6350" w:rsidRPr="007A1328" w:rsidRDefault="003B6350"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E0EA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E0EA8">
      <w:rPr>
        <w:noProof/>
        <w:sz w:val="24"/>
      </w:rPr>
      <w:t>8</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7A1328" w:rsidRDefault="003B635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5F1388" w:rsidRDefault="003B635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5F1388" w:rsidRDefault="003B635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ED79B6" w:rsidRDefault="003B6350"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ED79B6" w:rsidRDefault="003B6350"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ED79B6" w:rsidRDefault="003B635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D1021D" w:rsidRDefault="003B6350">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3B6350" w:rsidRPr="00D1021D" w:rsidRDefault="003B6350">
    <w:pPr>
      <w:rPr>
        <w:b/>
        <w:sz w:val="20"/>
      </w:rPr>
    </w:pPr>
    <w:r w:rsidRPr="00D1021D">
      <w:rPr>
        <w:b/>
        <w:sz w:val="20"/>
      </w:rPr>
      <w:fldChar w:fldCharType="begin"/>
    </w:r>
    <w:r w:rsidRPr="00D1021D">
      <w:rPr>
        <w:b/>
        <w:sz w:val="20"/>
      </w:rPr>
      <w:instrText xml:space="preserve"> STYLEREF CharPartNo </w:instrText>
    </w:r>
    <w:r w:rsidR="00EE0EA8">
      <w:rPr>
        <w:b/>
        <w:sz w:val="20"/>
      </w:rPr>
      <w:fldChar w:fldCharType="separate"/>
    </w:r>
    <w:r w:rsidR="00EE0EA8">
      <w:rPr>
        <w:b/>
        <w:noProof/>
        <w:sz w:val="20"/>
      </w:rPr>
      <w:t>Part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EE0EA8">
      <w:rPr>
        <w:sz w:val="20"/>
      </w:rPr>
      <w:fldChar w:fldCharType="separate"/>
    </w:r>
    <w:r w:rsidR="00EE0EA8">
      <w:rPr>
        <w:noProof/>
        <w:sz w:val="20"/>
      </w:rPr>
      <w:t>Reporting, record-keeping and monitoring requirements</w:t>
    </w:r>
    <w:r w:rsidRPr="00D1021D">
      <w:rPr>
        <w:sz w:val="20"/>
      </w:rPr>
      <w:fldChar w:fldCharType="end"/>
    </w:r>
  </w:p>
  <w:p w:rsidR="003B6350" w:rsidRPr="00D1021D" w:rsidRDefault="003B6350">
    <w:pPr>
      <w:rPr>
        <w:sz w:val="20"/>
      </w:rPr>
    </w:pPr>
    <w:r w:rsidRPr="00D1021D">
      <w:rPr>
        <w:b/>
        <w:sz w:val="20"/>
      </w:rPr>
      <w:fldChar w:fldCharType="begin"/>
    </w:r>
    <w:r w:rsidRPr="00D1021D">
      <w:rPr>
        <w:b/>
        <w:sz w:val="20"/>
      </w:rPr>
      <w:instrText xml:space="preserve"> STYLEREF CharDivNo </w:instrText>
    </w:r>
    <w:r w:rsidR="00EE0EA8">
      <w:rPr>
        <w:b/>
        <w:sz w:val="20"/>
      </w:rPr>
      <w:fldChar w:fldCharType="separate"/>
    </w:r>
    <w:r w:rsidR="00EE0EA8">
      <w:rPr>
        <w:b/>
        <w:noProof/>
        <w:sz w:val="20"/>
      </w:rPr>
      <w:t>Division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00EE0EA8">
      <w:rPr>
        <w:sz w:val="20"/>
      </w:rPr>
      <w:fldChar w:fldCharType="separate"/>
    </w:r>
    <w:r w:rsidR="00EE0EA8">
      <w:rPr>
        <w:noProof/>
        <w:sz w:val="20"/>
      </w:rPr>
      <w:t>Monitoring requirements</w:t>
    </w:r>
    <w:r w:rsidRPr="00D1021D">
      <w:rPr>
        <w:sz w:val="20"/>
      </w:rPr>
      <w:fldChar w:fldCharType="end"/>
    </w:r>
  </w:p>
  <w:p w:rsidR="003B6350" w:rsidRPr="00D1021D" w:rsidRDefault="003B6350">
    <w:pPr>
      <w:rPr>
        <w:b/>
      </w:rPr>
    </w:pPr>
  </w:p>
  <w:p w:rsidR="003B6350" w:rsidRPr="00D1021D" w:rsidRDefault="003B6350">
    <w:pPr>
      <w:pBdr>
        <w:bottom w:val="single" w:sz="6" w:space="1" w:color="auto"/>
      </w:pBdr>
    </w:pPr>
    <w:r w:rsidRPr="00D1021D">
      <w:rPr>
        <w:sz w:val="24"/>
      </w:rPr>
      <w:fldChar w:fldCharType="begin"/>
    </w:r>
    <w:r w:rsidRPr="00D1021D">
      <w:rPr>
        <w:sz w:val="24"/>
      </w:rPr>
      <w:instrText xml:space="preserve"> DOCPROPERTY  Header </w:instrText>
    </w:r>
    <w:r w:rsidRPr="00D1021D">
      <w:rPr>
        <w:sz w:val="24"/>
      </w:rPr>
      <w:fldChar w:fldCharType="separate"/>
    </w:r>
    <w:r w:rsidR="00EE0EA8">
      <w:rPr>
        <w:sz w:val="24"/>
      </w:rPr>
      <w:t>Section</w:t>
    </w:r>
    <w:r w:rsidRPr="00D1021D">
      <w:rPr>
        <w:sz w:val="24"/>
      </w:rPr>
      <w:fldChar w:fldCharType="end"/>
    </w:r>
    <w:r w:rsidRPr="00D1021D">
      <w:t xml:space="preserve"> </w:t>
    </w:r>
    <w:r w:rsidR="00EE0EA8">
      <w:fldChar w:fldCharType="begin"/>
    </w:r>
    <w:r w:rsidR="00EE0EA8">
      <w:instrText xml:space="preserve"> STYLEREF CharSectno </w:instrText>
    </w:r>
    <w:r w:rsidR="00EE0EA8">
      <w:fldChar w:fldCharType="separate"/>
    </w:r>
    <w:r w:rsidR="00EE0EA8">
      <w:rPr>
        <w:noProof/>
      </w:rPr>
      <w:t>34</w:t>
    </w:r>
    <w:r w:rsidR="00EE0EA8">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D1021D" w:rsidRDefault="003B6350">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3B6350" w:rsidRPr="00D1021D" w:rsidRDefault="003B6350">
    <w:pPr>
      <w:jc w:val="right"/>
      <w:rPr>
        <w:b/>
        <w:sz w:val="20"/>
      </w:rPr>
    </w:pPr>
    <w:r w:rsidRPr="00D1021D">
      <w:rPr>
        <w:sz w:val="20"/>
      </w:rPr>
      <w:fldChar w:fldCharType="begin"/>
    </w:r>
    <w:r w:rsidRPr="00D1021D">
      <w:rPr>
        <w:sz w:val="20"/>
      </w:rPr>
      <w:instrText xml:space="preserve"> STYLEREF CharPartText </w:instrText>
    </w:r>
    <w:r w:rsidR="00EE0EA8">
      <w:rPr>
        <w:sz w:val="20"/>
      </w:rPr>
      <w:fldChar w:fldCharType="separate"/>
    </w:r>
    <w:r w:rsidR="00EE0EA8">
      <w:rPr>
        <w:noProof/>
        <w:sz w:val="20"/>
      </w:rPr>
      <w:t>Reporting, record-keeping and monitoring requirements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EE0EA8">
      <w:rPr>
        <w:b/>
        <w:sz w:val="20"/>
      </w:rPr>
      <w:fldChar w:fldCharType="separate"/>
    </w:r>
    <w:r w:rsidR="00EE0EA8">
      <w:rPr>
        <w:b/>
        <w:noProof/>
        <w:sz w:val="20"/>
      </w:rPr>
      <w:t>Part 5</w:t>
    </w:r>
    <w:r w:rsidRPr="00D1021D">
      <w:rPr>
        <w:b/>
        <w:sz w:val="20"/>
      </w:rPr>
      <w:fldChar w:fldCharType="end"/>
    </w:r>
  </w:p>
  <w:p w:rsidR="003B6350" w:rsidRPr="00D1021D" w:rsidRDefault="003B6350">
    <w:pPr>
      <w:jc w:val="right"/>
      <w:rPr>
        <w:sz w:val="20"/>
      </w:rPr>
    </w:pPr>
    <w:r w:rsidRPr="00D1021D">
      <w:rPr>
        <w:sz w:val="20"/>
      </w:rPr>
      <w:fldChar w:fldCharType="begin"/>
    </w:r>
    <w:r w:rsidRPr="00D1021D">
      <w:rPr>
        <w:sz w:val="20"/>
      </w:rPr>
      <w:instrText xml:space="preserve"> STYLEREF CharDivText </w:instrText>
    </w:r>
    <w:r w:rsidR="00EE0EA8">
      <w:rPr>
        <w:sz w:val="20"/>
      </w:rPr>
      <w:fldChar w:fldCharType="separate"/>
    </w:r>
    <w:r w:rsidR="00EE0EA8">
      <w:rPr>
        <w:noProof/>
        <w:sz w:val="20"/>
      </w:rPr>
      <w:t>Monitoring requirements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00EE0EA8">
      <w:rPr>
        <w:b/>
        <w:sz w:val="20"/>
      </w:rPr>
      <w:fldChar w:fldCharType="separate"/>
    </w:r>
    <w:r w:rsidR="00EE0EA8">
      <w:rPr>
        <w:b/>
        <w:noProof/>
        <w:sz w:val="20"/>
      </w:rPr>
      <w:t>Division 2</w:t>
    </w:r>
    <w:r w:rsidRPr="00D1021D">
      <w:rPr>
        <w:b/>
        <w:sz w:val="20"/>
      </w:rPr>
      <w:fldChar w:fldCharType="end"/>
    </w:r>
  </w:p>
  <w:p w:rsidR="003B6350" w:rsidRPr="00D1021D" w:rsidRDefault="003B6350">
    <w:pPr>
      <w:jc w:val="right"/>
      <w:rPr>
        <w:b/>
      </w:rPr>
    </w:pPr>
  </w:p>
  <w:p w:rsidR="003B6350" w:rsidRDefault="003B6350">
    <w:pPr>
      <w:pBdr>
        <w:bottom w:val="single" w:sz="6" w:space="1" w:color="auto"/>
      </w:pBdr>
      <w:jc w:val="right"/>
    </w:pPr>
    <w:r w:rsidRPr="00D1021D">
      <w:rPr>
        <w:sz w:val="24"/>
      </w:rPr>
      <w:fldChar w:fldCharType="begin"/>
    </w:r>
    <w:r w:rsidRPr="00D1021D">
      <w:rPr>
        <w:sz w:val="24"/>
      </w:rPr>
      <w:instrText xml:space="preserve"> DOCPROPERTY  Header </w:instrText>
    </w:r>
    <w:r w:rsidRPr="00D1021D">
      <w:rPr>
        <w:sz w:val="24"/>
      </w:rPr>
      <w:fldChar w:fldCharType="separate"/>
    </w:r>
    <w:r w:rsidR="00EE0EA8">
      <w:rPr>
        <w:sz w:val="24"/>
      </w:rPr>
      <w:t>Section</w:t>
    </w:r>
    <w:r w:rsidRPr="00D1021D">
      <w:rPr>
        <w:sz w:val="24"/>
      </w:rPr>
      <w:fldChar w:fldCharType="end"/>
    </w:r>
    <w:r w:rsidRPr="00D1021D">
      <w:t xml:space="preserve"> </w:t>
    </w:r>
    <w:r w:rsidR="00EE0EA8">
      <w:fldChar w:fldCharType="begin"/>
    </w:r>
    <w:r w:rsidR="00EE0EA8">
      <w:instrText xml:space="preserve"> STYLEREF CharSectno </w:instrText>
    </w:r>
    <w:r w:rsidR="00EE0EA8">
      <w:fldChar w:fldCharType="separate"/>
    </w:r>
    <w:r w:rsidR="00EE0EA8">
      <w:rPr>
        <w:noProof/>
      </w:rPr>
      <w:t>34</w:t>
    </w:r>
    <w:r w:rsidR="00EE0EA8">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0" w:rsidRPr="00D1021D" w:rsidRDefault="003B6350">
    <w:pPr>
      <w:rPr>
        <w:sz w:val="20"/>
      </w:rPr>
    </w:pPr>
    <w:r w:rsidRPr="00D1021D">
      <w:rPr>
        <w:b/>
        <w:sz w:val="20"/>
      </w:rPr>
      <w:fldChar w:fldCharType="begin"/>
    </w:r>
    <w:r w:rsidRPr="00D1021D">
      <w:rPr>
        <w:b/>
        <w:sz w:val="20"/>
      </w:rPr>
      <w:instrText xml:space="preserve"> STYLEREF CharChapNo </w:instrText>
    </w:r>
    <w:r w:rsidR="00EE0EA8">
      <w:rPr>
        <w:b/>
        <w:sz w:val="20"/>
      </w:rPr>
      <w:fldChar w:fldCharType="separate"/>
    </w:r>
    <w:r w:rsidR="00EE0EA8">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EE0EA8">
      <w:rPr>
        <w:sz w:val="20"/>
      </w:rPr>
      <w:fldChar w:fldCharType="separate"/>
    </w:r>
    <w:r w:rsidR="00EE0EA8">
      <w:rPr>
        <w:noProof/>
        <w:sz w:val="20"/>
      </w:rPr>
      <w:t>Determining regulatory proportion</w:t>
    </w:r>
    <w:r w:rsidRPr="00D1021D">
      <w:rPr>
        <w:sz w:val="20"/>
      </w:rPr>
      <w:fldChar w:fldCharType="end"/>
    </w:r>
  </w:p>
  <w:p w:rsidR="003B6350" w:rsidRPr="00D1021D" w:rsidRDefault="003B6350">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EE0EA8">
      <w:rPr>
        <w:b/>
        <w:noProof/>
        <w:sz w:val="20"/>
      </w:rPr>
      <w:t>Part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EE0EA8">
      <w:rPr>
        <w:noProof/>
        <w:sz w:val="20"/>
      </w:rPr>
      <w:t>Regulatory proportion determined by asking environmental regulator and using collection efficiency of existing landfill gas system</w:t>
    </w:r>
    <w:r w:rsidRPr="00D1021D">
      <w:rPr>
        <w:sz w:val="20"/>
      </w:rPr>
      <w:fldChar w:fldCharType="end"/>
    </w:r>
  </w:p>
  <w:p w:rsidR="003B6350" w:rsidRPr="00D1021D" w:rsidRDefault="003B6350">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3B6350" w:rsidRPr="00D1021D" w:rsidRDefault="003B6350">
    <w:pPr>
      <w:rPr>
        <w:b/>
      </w:rPr>
    </w:pPr>
  </w:p>
  <w:p w:rsidR="003B6350" w:rsidRPr="00D1021D" w:rsidRDefault="003B6350">
    <w:pPr>
      <w:pBdr>
        <w:bottom w:val="single" w:sz="6" w:space="1" w:color="auto"/>
      </w:pBdr>
    </w:pPr>
    <w:r w:rsidRPr="00D1021D">
      <w:t xml:space="preserve">Clause </w:t>
    </w:r>
    <w:r w:rsidR="00EE0EA8">
      <w:fldChar w:fldCharType="begin"/>
    </w:r>
    <w:r w:rsidR="00EE0EA8">
      <w:instrText xml:space="preserve"> STYLEREF CharSectno </w:instrText>
    </w:r>
    <w:r w:rsidR="00EE0EA8">
      <w:fldChar w:fldCharType="separate"/>
    </w:r>
    <w:r w:rsidR="00EE0EA8">
      <w:rPr>
        <w:noProof/>
      </w:rPr>
      <w:t>7</w:t>
    </w:r>
    <w:r w:rsidR="00EE0EA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A87EC0"/>
    <w:multiLevelType w:val="hybridMultilevel"/>
    <w:tmpl w:val="197C28D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100D73A5"/>
    <w:multiLevelType w:val="hybridMultilevel"/>
    <w:tmpl w:val="A176CCC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A7D3DB3"/>
    <w:multiLevelType w:val="hybridMultilevel"/>
    <w:tmpl w:val="8BB87F2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07209A"/>
    <w:multiLevelType w:val="hybridMultilevel"/>
    <w:tmpl w:val="E8E8CC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4E8D4A11"/>
    <w:multiLevelType w:val="hybridMultilevel"/>
    <w:tmpl w:val="8452D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E106A8"/>
    <w:multiLevelType w:val="hybridMultilevel"/>
    <w:tmpl w:val="37E0E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6"/>
  </w:num>
  <w:num w:numId="14">
    <w:abstractNumId w:val="14"/>
  </w:num>
  <w:num w:numId="15">
    <w:abstractNumId w:val="11"/>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09"/>
    <w:rsid w:val="00000D44"/>
    <w:rsid w:val="00004470"/>
    <w:rsid w:val="00007769"/>
    <w:rsid w:val="00011A81"/>
    <w:rsid w:val="000136AF"/>
    <w:rsid w:val="00021FBF"/>
    <w:rsid w:val="000265A1"/>
    <w:rsid w:val="00027B18"/>
    <w:rsid w:val="00027BA7"/>
    <w:rsid w:val="00027CA6"/>
    <w:rsid w:val="000342FC"/>
    <w:rsid w:val="000347F6"/>
    <w:rsid w:val="00043491"/>
    <w:rsid w:val="000437C1"/>
    <w:rsid w:val="00044D3B"/>
    <w:rsid w:val="00047028"/>
    <w:rsid w:val="0005365D"/>
    <w:rsid w:val="00055A0E"/>
    <w:rsid w:val="00060F95"/>
    <w:rsid w:val="00061324"/>
    <w:rsid w:val="000614BF"/>
    <w:rsid w:val="000628AF"/>
    <w:rsid w:val="000639AD"/>
    <w:rsid w:val="00067E9A"/>
    <w:rsid w:val="00071231"/>
    <w:rsid w:val="000745E9"/>
    <w:rsid w:val="00086D86"/>
    <w:rsid w:val="0009599E"/>
    <w:rsid w:val="000A26E2"/>
    <w:rsid w:val="000B265F"/>
    <w:rsid w:val="000B3722"/>
    <w:rsid w:val="000B3740"/>
    <w:rsid w:val="000B58FA"/>
    <w:rsid w:val="000B7147"/>
    <w:rsid w:val="000B75BC"/>
    <w:rsid w:val="000C04BB"/>
    <w:rsid w:val="000C52CA"/>
    <w:rsid w:val="000C6E2A"/>
    <w:rsid w:val="000D05EF"/>
    <w:rsid w:val="000D3B92"/>
    <w:rsid w:val="000D6C52"/>
    <w:rsid w:val="000E2261"/>
    <w:rsid w:val="000E291E"/>
    <w:rsid w:val="000F21C1"/>
    <w:rsid w:val="000F68B7"/>
    <w:rsid w:val="000F70E3"/>
    <w:rsid w:val="001023FC"/>
    <w:rsid w:val="00102A71"/>
    <w:rsid w:val="0010745C"/>
    <w:rsid w:val="0011389E"/>
    <w:rsid w:val="001314E3"/>
    <w:rsid w:val="00132CEB"/>
    <w:rsid w:val="001426DB"/>
    <w:rsid w:val="00142B62"/>
    <w:rsid w:val="00143CFA"/>
    <w:rsid w:val="00145978"/>
    <w:rsid w:val="00147528"/>
    <w:rsid w:val="00150427"/>
    <w:rsid w:val="00156FFA"/>
    <w:rsid w:val="00157B8B"/>
    <w:rsid w:val="00160A37"/>
    <w:rsid w:val="00166C2F"/>
    <w:rsid w:val="001716DA"/>
    <w:rsid w:val="001739D5"/>
    <w:rsid w:val="001809D7"/>
    <w:rsid w:val="00185678"/>
    <w:rsid w:val="001900B0"/>
    <w:rsid w:val="00190A60"/>
    <w:rsid w:val="001939E1"/>
    <w:rsid w:val="00194C3E"/>
    <w:rsid w:val="00195382"/>
    <w:rsid w:val="001A3E26"/>
    <w:rsid w:val="001B455A"/>
    <w:rsid w:val="001B5D67"/>
    <w:rsid w:val="001B7378"/>
    <w:rsid w:val="001C2D41"/>
    <w:rsid w:val="001C61C5"/>
    <w:rsid w:val="001C69C4"/>
    <w:rsid w:val="001C7F71"/>
    <w:rsid w:val="001D28B2"/>
    <w:rsid w:val="001D37EF"/>
    <w:rsid w:val="001D4F13"/>
    <w:rsid w:val="001E1AAF"/>
    <w:rsid w:val="001E31BF"/>
    <w:rsid w:val="001E3590"/>
    <w:rsid w:val="001E4EE7"/>
    <w:rsid w:val="001E7407"/>
    <w:rsid w:val="001F4649"/>
    <w:rsid w:val="001F5D5E"/>
    <w:rsid w:val="001F6219"/>
    <w:rsid w:val="001F6CD4"/>
    <w:rsid w:val="00200158"/>
    <w:rsid w:val="00203BC2"/>
    <w:rsid w:val="00206C4D"/>
    <w:rsid w:val="0021053C"/>
    <w:rsid w:val="002119A1"/>
    <w:rsid w:val="0021218C"/>
    <w:rsid w:val="00213B26"/>
    <w:rsid w:val="00215AF1"/>
    <w:rsid w:val="002164DC"/>
    <w:rsid w:val="00225043"/>
    <w:rsid w:val="002321E8"/>
    <w:rsid w:val="00236EEC"/>
    <w:rsid w:val="0024010F"/>
    <w:rsid w:val="00240749"/>
    <w:rsid w:val="00243018"/>
    <w:rsid w:val="0024555A"/>
    <w:rsid w:val="00253225"/>
    <w:rsid w:val="002564A4"/>
    <w:rsid w:val="00263446"/>
    <w:rsid w:val="0026736C"/>
    <w:rsid w:val="00276B5F"/>
    <w:rsid w:val="00281308"/>
    <w:rsid w:val="0028421D"/>
    <w:rsid w:val="00284719"/>
    <w:rsid w:val="00285687"/>
    <w:rsid w:val="002866F3"/>
    <w:rsid w:val="00290ABA"/>
    <w:rsid w:val="00291FCA"/>
    <w:rsid w:val="00293EE1"/>
    <w:rsid w:val="00294CFE"/>
    <w:rsid w:val="00297ECB"/>
    <w:rsid w:val="002A7BCF"/>
    <w:rsid w:val="002B038D"/>
    <w:rsid w:val="002B27AB"/>
    <w:rsid w:val="002B3FBF"/>
    <w:rsid w:val="002C78B6"/>
    <w:rsid w:val="002D043A"/>
    <w:rsid w:val="002D125C"/>
    <w:rsid w:val="002D130B"/>
    <w:rsid w:val="002D5D67"/>
    <w:rsid w:val="002D6224"/>
    <w:rsid w:val="002E3F4B"/>
    <w:rsid w:val="002E7233"/>
    <w:rsid w:val="002F19BC"/>
    <w:rsid w:val="002F1A32"/>
    <w:rsid w:val="002F39BF"/>
    <w:rsid w:val="002F42DD"/>
    <w:rsid w:val="00304F8B"/>
    <w:rsid w:val="003075D7"/>
    <w:rsid w:val="003130D2"/>
    <w:rsid w:val="003157BA"/>
    <w:rsid w:val="003354D2"/>
    <w:rsid w:val="00335BC6"/>
    <w:rsid w:val="00336E3B"/>
    <w:rsid w:val="003411BB"/>
    <w:rsid w:val="003415D3"/>
    <w:rsid w:val="00342CBC"/>
    <w:rsid w:val="00344701"/>
    <w:rsid w:val="003469C4"/>
    <w:rsid w:val="00351E05"/>
    <w:rsid w:val="00352B0F"/>
    <w:rsid w:val="00353591"/>
    <w:rsid w:val="00355EE1"/>
    <w:rsid w:val="00356690"/>
    <w:rsid w:val="00360459"/>
    <w:rsid w:val="00363A30"/>
    <w:rsid w:val="003652B7"/>
    <w:rsid w:val="003737F4"/>
    <w:rsid w:val="00374A2B"/>
    <w:rsid w:val="003764D6"/>
    <w:rsid w:val="003777E9"/>
    <w:rsid w:val="00377F7E"/>
    <w:rsid w:val="003870F8"/>
    <w:rsid w:val="00396567"/>
    <w:rsid w:val="00397602"/>
    <w:rsid w:val="003A1AA8"/>
    <w:rsid w:val="003B6350"/>
    <w:rsid w:val="003B6E92"/>
    <w:rsid w:val="003C4A85"/>
    <w:rsid w:val="003C6231"/>
    <w:rsid w:val="003C7EAD"/>
    <w:rsid w:val="003D0BFE"/>
    <w:rsid w:val="003D2663"/>
    <w:rsid w:val="003D3D83"/>
    <w:rsid w:val="003D43D6"/>
    <w:rsid w:val="003D5700"/>
    <w:rsid w:val="003D5C6A"/>
    <w:rsid w:val="003D7C6E"/>
    <w:rsid w:val="003E1582"/>
    <w:rsid w:val="003E2D80"/>
    <w:rsid w:val="003E341B"/>
    <w:rsid w:val="003F0AF4"/>
    <w:rsid w:val="003F5D18"/>
    <w:rsid w:val="00401648"/>
    <w:rsid w:val="00406E2F"/>
    <w:rsid w:val="004116CD"/>
    <w:rsid w:val="004144EC"/>
    <w:rsid w:val="00417EB9"/>
    <w:rsid w:val="00424CA9"/>
    <w:rsid w:val="00431E9B"/>
    <w:rsid w:val="00433AC2"/>
    <w:rsid w:val="004347C0"/>
    <w:rsid w:val="004379E3"/>
    <w:rsid w:val="0044015E"/>
    <w:rsid w:val="0044291A"/>
    <w:rsid w:val="00442F29"/>
    <w:rsid w:val="004438B3"/>
    <w:rsid w:val="00443ECD"/>
    <w:rsid w:val="00444ABD"/>
    <w:rsid w:val="004467F0"/>
    <w:rsid w:val="00464250"/>
    <w:rsid w:val="004650ED"/>
    <w:rsid w:val="00467661"/>
    <w:rsid w:val="00467E5F"/>
    <w:rsid w:val="004705B7"/>
    <w:rsid w:val="00472DBE"/>
    <w:rsid w:val="00473345"/>
    <w:rsid w:val="00474A19"/>
    <w:rsid w:val="00476222"/>
    <w:rsid w:val="00477C9E"/>
    <w:rsid w:val="00483625"/>
    <w:rsid w:val="00484021"/>
    <w:rsid w:val="00485CDF"/>
    <w:rsid w:val="00492C62"/>
    <w:rsid w:val="004950EA"/>
    <w:rsid w:val="00496F97"/>
    <w:rsid w:val="004A3E01"/>
    <w:rsid w:val="004C2A09"/>
    <w:rsid w:val="004D0262"/>
    <w:rsid w:val="004D1E6F"/>
    <w:rsid w:val="004E063A"/>
    <w:rsid w:val="004E06FA"/>
    <w:rsid w:val="004E3775"/>
    <w:rsid w:val="004E37B9"/>
    <w:rsid w:val="004E6641"/>
    <w:rsid w:val="004E7BEC"/>
    <w:rsid w:val="00503E9B"/>
    <w:rsid w:val="00505672"/>
    <w:rsid w:val="00505D3D"/>
    <w:rsid w:val="00506AF6"/>
    <w:rsid w:val="00516B8D"/>
    <w:rsid w:val="00516F23"/>
    <w:rsid w:val="00536990"/>
    <w:rsid w:val="005372E4"/>
    <w:rsid w:val="00537FBC"/>
    <w:rsid w:val="0054236D"/>
    <w:rsid w:val="00552479"/>
    <w:rsid w:val="005574D1"/>
    <w:rsid w:val="0056090D"/>
    <w:rsid w:val="00580A1A"/>
    <w:rsid w:val="00584811"/>
    <w:rsid w:val="00585784"/>
    <w:rsid w:val="00590030"/>
    <w:rsid w:val="00593AA6"/>
    <w:rsid w:val="00594161"/>
    <w:rsid w:val="00594749"/>
    <w:rsid w:val="00595B37"/>
    <w:rsid w:val="005A0130"/>
    <w:rsid w:val="005A78EC"/>
    <w:rsid w:val="005B4067"/>
    <w:rsid w:val="005B4EEB"/>
    <w:rsid w:val="005B5F67"/>
    <w:rsid w:val="005C3F41"/>
    <w:rsid w:val="005D0D7B"/>
    <w:rsid w:val="005D2D09"/>
    <w:rsid w:val="005D3196"/>
    <w:rsid w:val="005D5956"/>
    <w:rsid w:val="005D7978"/>
    <w:rsid w:val="005E2282"/>
    <w:rsid w:val="005E266C"/>
    <w:rsid w:val="005F09BF"/>
    <w:rsid w:val="005F2889"/>
    <w:rsid w:val="00600219"/>
    <w:rsid w:val="006012D6"/>
    <w:rsid w:val="00603708"/>
    <w:rsid w:val="00603DC4"/>
    <w:rsid w:val="00606291"/>
    <w:rsid w:val="0061257C"/>
    <w:rsid w:val="00620076"/>
    <w:rsid w:val="00622D86"/>
    <w:rsid w:val="006332CA"/>
    <w:rsid w:val="00634E3C"/>
    <w:rsid w:val="00636634"/>
    <w:rsid w:val="006368D5"/>
    <w:rsid w:val="00653AF9"/>
    <w:rsid w:val="00656A33"/>
    <w:rsid w:val="0066076B"/>
    <w:rsid w:val="00660C4B"/>
    <w:rsid w:val="00666929"/>
    <w:rsid w:val="00670EA1"/>
    <w:rsid w:val="00677CC2"/>
    <w:rsid w:val="00680BC5"/>
    <w:rsid w:val="00690146"/>
    <w:rsid w:val="006905DE"/>
    <w:rsid w:val="00691B26"/>
    <w:rsid w:val="0069207B"/>
    <w:rsid w:val="006A0090"/>
    <w:rsid w:val="006A1508"/>
    <w:rsid w:val="006B1D9F"/>
    <w:rsid w:val="006B1F35"/>
    <w:rsid w:val="006B35A7"/>
    <w:rsid w:val="006B5789"/>
    <w:rsid w:val="006B6E0C"/>
    <w:rsid w:val="006C30C5"/>
    <w:rsid w:val="006C7F8C"/>
    <w:rsid w:val="006D31E5"/>
    <w:rsid w:val="006D3285"/>
    <w:rsid w:val="006D6388"/>
    <w:rsid w:val="006D6810"/>
    <w:rsid w:val="006D6B5E"/>
    <w:rsid w:val="006E6246"/>
    <w:rsid w:val="006E72C3"/>
    <w:rsid w:val="006F07FA"/>
    <w:rsid w:val="006F318F"/>
    <w:rsid w:val="006F4226"/>
    <w:rsid w:val="0070017E"/>
    <w:rsid w:val="00700B2C"/>
    <w:rsid w:val="00701D8E"/>
    <w:rsid w:val="00702E01"/>
    <w:rsid w:val="00703BD7"/>
    <w:rsid w:val="007050A2"/>
    <w:rsid w:val="00710D2E"/>
    <w:rsid w:val="007112C9"/>
    <w:rsid w:val="00711E09"/>
    <w:rsid w:val="00713084"/>
    <w:rsid w:val="00714F20"/>
    <w:rsid w:val="0071590F"/>
    <w:rsid w:val="00715914"/>
    <w:rsid w:val="00716B6F"/>
    <w:rsid w:val="00723889"/>
    <w:rsid w:val="00723F8E"/>
    <w:rsid w:val="007246DB"/>
    <w:rsid w:val="007259E1"/>
    <w:rsid w:val="00731E00"/>
    <w:rsid w:val="00733BE4"/>
    <w:rsid w:val="00736B5A"/>
    <w:rsid w:val="007440B7"/>
    <w:rsid w:val="007500C8"/>
    <w:rsid w:val="00755571"/>
    <w:rsid w:val="00756272"/>
    <w:rsid w:val="0076169D"/>
    <w:rsid w:val="0076681A"/>
    <w:rsid w:val="00767449"/>
    <w:rsid w:val="007707FF"/>
    <w:rsid w:val="007715C9"/>
    <w:rsid w:val="00771613"/>
    <w:rsid w:val="00774064"/>
    <w:rsid w:val="00774178"/>
    <w:rsid w:val="00774EDD"/>
    <w:rsid w:val="007757EC"/>
    <w:rsid w:val="007763C8"/>
    <w:rsid w:val="00782111"/>
    <w:rsid w:val="00783E89"/>
    <w:rsid w:val="00784817"/>
    <w:rsid w:val="00786DA1"/>
    <w:rsid w:val="00792C14"/>
    <w:rsid w:val="00793915"/>
    <w:rsid w:val="007A116B"/>
    <w:rsid w:val="007A1BB8"/>
    <w:rsid w:val="007A3FEC"/>
    <w:rsid w:val="007A4B4F"/>
    <w:rsid w:val="007A7D32"/>
    <w:rsid w:val="007B1480"/>
    <w:rsid w:val="007B207B"/>
    <w:rsid w:val="007C2253"/>
    <w:rsid w:val="007C7B13"/>
    <w:rsid w:val="007D0216"/>
    <w:rsid w:val="007D3A62"/>
    <w:rsid w:val="007D7A08"/>
    <w:rsid w:val="007E13D3"/>
    <w:rsid w:val="007E151D"/>
    <w:rsid w:val="007E163D"/>
    <w:rsid w:val="007E43DE"/>
    <w:rsid w:val="007E520B"/>
    <w:rsid w:val="007E5BC9"/>
    <w:rsid w:val="007E667A"/>
    <w:rsid w:val="007F177E"/>
    <w:rsid w:val="007F2033"/>
    <w:rsid w:val="007F28C9"/>
    <w:rsid w:val="00803587"/>
    <w:rsid w:val="00803ADC"/>
    <w:rsid w:val="00804D1D"/>
    <w:rsid w:val="008117E9"/>
    <w:rsid w:val="00813CEE"/>
    <w:rsid w:val="0081736E"/>
    <w:rsid w:val="00824498"/>
    <w:rsid w:val="00834513"/>
    <w:rsid w:val="00842043"/>
    <w:rsid w:val="00843CD4"/>
    <w:rsid w:val="00844C57"/>
    <w:rsid w:val="00846EA5"/>
    <w:rsid w:val="00856A31"/>
    <w:rsid w:val="00861492"/>
    <w:rsid w:val="00862DD7"/>
    <w:rsid w:val="0086393B"/>
    <w:rsid w:val="00864D50"/>
    <w:rsid w:val="00867B37"/>
    <w:rsid w:val="00874B78"/>
    <w:rsid w:val="008754D0"/>
    <w:rsid w:val="00880521"/>
    <w:rsid w:val="008855C9"/>
    <w:rsid w:val="00886456"/>
    <w:rsid w:val="00886532"/>
    <w:rsid w:val="008A0D59"/>
    <w:rsid w:val="008A46E1"/>
    <w:rsid w:val="008A4F43"/>
    <w:rsid w:val="008A5DEE"/>
    <w:rsid w:val="008B2706"/>
    <w:rsid w:val="008B36CF"/>
    <w:rsid w:val="008B36EA"/>
    <w:rsid w:val="008B3EF4"/>
    <w:rsid w:val="008B5B22"/>
    <w:rsid w:val="008C41BA"/>
    <w:rsid w:val="008C5630"/>
    <w:rsid w:val="008D0EE0"/>
    <w:rsid w:val="008D11DD"/>
    <w:rsid w:val="008D40A6"/>
    <w:rsid w:val="008D6429"/>
    <w:rsid w:val="008D7531"/>
    <w:rsid w:val="008E069D"/>
    <w:rsid w:val="008E5C9A"/>
    <w:rsid w:val="008E6067"/>
    <w:rsid w:val="008F453A"/>
    <w:rsid w:val="008F54E7"/>
    <w:rsid w:val="008F74E3"/>
    <w:rsid w:val="00903422"/>
    <w:rsid w:val="00903AE2"/>
    <w:rsid w:val="00903B9B"/>
    <w:rsid w:val="00903E5E"/>
    <w:rsid w:val="00904248"/>
    <w:rsid w:val="00904529"/>
    <w:rsid w:val="00913619"/>
    <w:rsid w:val="00914F69"/>
    <w:rsid w:val="00915DF9"/>
    <w:rsid w:val="00916026"/>
    <w:rsid w:val="00921391"/>
    <w:rsid w:val="00922447"/>
    <w:rsid w:val="00924649"/>
    <w:rsid w:val="00924A80"/>
    <w:rsid w:val="009254C3"/>
    <w:rsid w:val="00927C17"/>
    <w:rsid w:val="00932377"/>
    <w:rsid w:val="00942403"/>
    <w:rsid w:val="00944AFF"/>
    <w:rsid w:val="0094530D"/>
    <w:rsid w:val="00947CAC"/>
    <w:rsid w:val="00947D5A"/>
    <w:rsid w:val="009501FF"/>
    <w:rsid w:val="009532A5"/>
    <w:rsid w:val="0096335E"/>
    <w:rsid w:val="00967030"/>
    <w:rsid w:val="00972946"/>
    <w:rsid w:val="009753D2"/>
    <w:rsid w:val="0097780B"/>
    <w:rsid w:val="00982242"/>
    <w:rsid w:val="009868E9"/>
    <w:rsid w:val="00992E27"/>
    <w:rsid w:val="00992E68"/>
    <w:rsid w:val="00992EA7"/>
    <w:rsid w:val="009938B4"/>
    <w:rsid w:val="009A2193"/>
    <w:rsid w:val="009A371B"/>
    <w:rsid w:val="009A7D21"/>
    <w:rsid w:val="009C10E0"/>
    <w:rsid w:val="009C1A08"/>
    <w:rsid w:val="009C208A"/>
    <w:rsid w:val="009C5BB5"/>
    <w:rsid w:val="009D4879"/>
    <w:rsid w:val="009D6ED6"/>
    <w:rsid w:val="009D74D6"/>
    <w:rsid w:val="009E0012"/>
    <w:rsid w:val="009E1797"/>
    <w:rsid w:val="009E5CFC"/>
    <w:rsid w:val="009E68E1"/>
    <w:rsid w:val="009F1E56"/>
    <w:rsid w:val="009F2F5D"/>
    <w:rsid w:val="00A01680"/>
    <w:rsid w:val="00A079CB"/>
    <w:rsid w:val="00A12128"/>
    <w:rsid w:val="00A22C98"/>
    <w:rsid w:val="00A231E2"/>
    <w:rsid w:val="00A238C5"/>
    <w:rsid w:val="00A367AA"/>
    <w:rsid w:val="00A428DC"/>
    <w:rsid w:val="00A46214"/>
    <w:rsid w:val="00A46F83"/>
    <w:rsid w:val="00A5550D"/>
    <w:rsid w:val="00A55C22"/>
    <w:rsid w:val="00A64912"/>
    <w:rsid w:val="00A70A74"/>
    <w:rsid w:val="00A73FA0"/>
    <w:rsid w:val="00A76552"/>
    <w:rsid w:val="00A76A95"/>
    <w:rsid w:val="00A8508F"/>
    <w:rsid w:val="00A87273"/>
    <w:rsid w:val="00A92ECF"/>
    <w:rsid w:val="00A978F9"/>
    <w:rsid w:val="00AA44A5"/>
    <w:rsid w:val="00AA6361"/>
    <w:rsid w:val="00AB33A3"/>
    <w:rsid w:val="00AC13B0"/>
    <w:rsid w:val="00AC5939"/>
    <w:rsid w:val="00AD1784"/>
    <w:rsid w:val="00AD227D"/>
    <w:rsid w:val="00AD4A80"/>
    <w:rsid w:val="00AD5641"/>
    <w:rsid w:val="00AD755C"/>
    <w:rsid w:val="00AD7889"/>
    <w:rsid w:val="00AE1464"/>
    <w:rsid w:val="00AE2A6F"/>
    <w:rsid w:val="00AE7BD7"/>
    <w:rsid w:val="00AF021B"/>
    <w:rsid w:val="00AF06CF"/>
    <w:rsid w:val="00AF3100"/>
    <w:rsid w:val="00B00832"/>
    <w:rsid w:val="00B02FA3"/>
    <w:rsid w:val="00B05CF4"/>
    <w:rsid w:val="00B07CDB"/>
    <w:rsid w:val="00B159E7"/>
    <w:rsid w:val="00B16A31"/>
    <w:rsid w:val="00B17CF4"/>
    <w:rsid w:val="00B17DFD"/>
    <w:rsid w:val="00B211A5"/>
    <w:rsid w:val="00B220DE"/>
    <w:rsid w:val="00B22DBD"/>
    <w:rsid w:val="00B24958"/>
    <w:rsid w:val="00B25D66"/>
    <w:rsid w:val="00B26ED7"/>
    <w:rsid w:val="00B27833"/>
    <w:rsid w:val="00B308FE"/>
    <w:rsid w:val="00B33709"/>
    <w:rsid w:val="00B33B3C"/>
    <w:rsid w:val="00B33DDF"/>
    <w:rsid w:val="00B42CA2"/>
    <w:rsid w:val="00B441DF"/>
    <w:rsid w:val="00B47F35"/>
    <w:rsid w:val="00B50A87"/>
    <w:rsid w:val="00B50ADC"/>
    <w:rsid w:val="00B566B1"/>
    <w:rsid w:val="00B6190F"/>
    <w:rsid w:val="00B633D9"/>
    <w:rsid w:val="00B63834"/>
    <w:rsid w:val="00B63A0C"/>
    <w:rsid w:val="00B65174"/>
    <w:rsid w:val="00B65B2B"/>
    <w:rsid w:val="00B66794"/>
    <w:rsid w:val="00B67DC9"/>
    <w:rsid w:val="00B72734"/>
    <w:rsid w:val="00B80199"/>
    <w:rsid w:val="00B83204"/>
    <w:rsid w:val="00B856EC"/>
    <w:rsid w:val="00B910FE"/>
    <w:rsid w:val="00BA220B"/>
    <w:rsid w:val="00BA3A57"/>
    <w:rsid w:val="00BB051C"/>
    <w:rsid w:val="00BB4E1A"/>
    <w:rsid w:val="00BC015E"/>
    <w:rsid w:val="00BC0C7F"/>
    <w:rsid w:val="00BC305F"/>
    <w:rsid w:val="00BC7471"/>
    <w:rsid w:val="00BC76AC"/>
    <w:rsid w:val="00BC78F9"/>
    <w:rsid w:val="00BD0ECB"/>
    <w:rsid w:val="00BD2DD4"/>
    <w:rsid w:val="00BD7F3C"/>
    <w:rsid w:val="00BE1DA1"/>
    <w:rsid w:val="00BE2155"/>
    <w:rsid w:val="00BE2213"/>
    <w:rsid w:val="00BE2FFD"/>
    <w:rsid w:val="00BE719A"/>
    <w:rsid w:val="00BE720A"/>
    <w:rsid w:val="00BF00F4"/>
    <w:rsid w:val="00BF031B"/>
    <w:rsid w:val="00BF0D73"/>
    <w:rsid w:val="00BF196D"/>
    <w:rsid w:val="00BF2465"/>
    <w:rsid w:val="00C00738"/>
    <w:rsid w:val="00C131FE"/>
    <w:rsid w:val="00C14784"/>
    <w:rsid w:val="00C21709"/>
    <w:rsid w:val="00C25E7F"/>
    <w:rsid w:val="00C2746F"/>
    <w:rsid w:val="00C324A0"/>
    <w:rsid w:val="00C3300F"/>
    <w:rsid w:val="00C41319"/>
    <w:rsid w:val="00C42BF8"/>
    <w:rsid w:val="00C50043"/>
    <w:rsid w:val="00C522A7"/>
    <w:rsid w:val="00C55DF4"/>
    <w:rsid w:val="00C61A6C"/>
    <w:rsid w:val="00C6359E"/>
    <w:rsid w:val="00C7573B"/>
    <w:rsid w:val="00C84144"/>
    <w:rsid w:val="00C85002"/>
    <w:rsid w:val="00C86004"/>
    <w:rsid w:val="00C86FC3"/>
    <w:rsid w:val="00C9020C"/>
    <w:rsid w:val="00C9026F"/>
    <w:rsid w:val="00C92C32"/>
    <w:rsid w:val="00C93C03"/>
    <w:rsid w:val="00C944A4"/>
    <w:rsid w:val="00CA1546"/>
    <w:rsid w:val="00CA25BF"/>
    <w:rsid w:val="00CB2C8E"/>
    <w:rsid w:val="00CB353A"/>
    <w:rsid w:val="00CB602E"/>
    <w:rsid w:val="00CC19D0"/>
    <w:rsid w:val="00CC3845"/>
    <w:rsid w:val="00CC407D"/>
    <w:rsid w:val="00CC48A9"/>
    <w:rsid w:val="00CD1998"/>
    <w:rsid w:val="00CE051D"/>
    <w:rsid w:val="00CE1335"/>
    <w:rsid w:val="00CE493D"/>
    <w:rsid w:val="00CF07FA"/>
    <w:rsid w:val="00CF0BB2"/>
    <w:rsid w:val="00CF3684"/>
    <w:rsid w:val="00CF3EE8"/>
    <w:rsid w:val="00CF7595"/>
    <w:rsid w:val="00D0034E"/>
    <w:rsid w:val="00D04E1C"/>
    <w:rsid w:val="00D050E6"/>
    <w:rsid w:val="00D132BD"/>
    <w:rsid w:val="00D13441"/>
    <w:rsid w:val="00D14325"/>
    <w:rsid w:val="00D150E7"/>
    <w:rsid w:val="00D15DF0"/>
    <w:rsid w:val="00D20CE3"/>
    <w:rsid w:val="00D24E5A"/>
    <w:rsid w:val="00D25897"/>
    <w:rsid w:val="00D30B1F"/>
    <w:rsid w:val="00D30D9F"/>
    <w:rsid w:val="00D32F65"/>
    <w:rsid w:val="00D3477D"/>
    <w:rsid w:val="00D34984"/>
    <w:rsid w:val="00D3549D"/>
    <w:rsid w:val="00D5107E"/>
    <w:rsid w:val="00D52DC2"/>
    <w:rsid w:val="00D53BCC"/>
    <w:rsid w:val="00D618AC"/>
    <w:rsid w:val="00D658E6"/>
    <w:rsid w:val="00D70DFB"/>
    <w:rsid w:val="00D7632D"/>
    <w:rsid w:val="00D766DF"/>
    <w:rsid w:val="00D8781C"/>
    <w:rsid w:val="00D8783D"/>
    <w:rsid w:val="00D8798D"/>
    <w:rsid w:val="00D91AF9"/>
    <w:rsid w:val="00D96321"/>
    <w:rsid w:val="00DA0AF8"/>
    <w:rsid w:val="00DA186E"/>
    <w:rsid w:val="00DA2003"/>
    <w:rsid w:val="00DA347D"/>
    <w:rsid w:val="00DA355D"/>
    <w:rsid w:val="00DA4116"/>
    <w:rsid w:val="00DB1D29"/>
    <w:rsid w:val="00DB251C"/>
    <w:rsid w:val="00DB3745"/>
    <w:rsid w:val="00DB4630"/>
    <w:rsid w:val="00DC4F88"/>
    <w:rsid w:val="00DF2D69"/>
    <w:rsid w:val="00DF63C8"/>
    <w:rsid w:val="00DF76E1"/>
    <w:rsid w:val="00E029B0"/>
    <w:rsid w:val="00E05704"/>
    <w:rsid w:val="00E05A43"/>
    <w:rsid w:val="00E06AF1"/>
    <w:rsid w:val="00E11E44"/>
    <w:rsid w:val="00E17F95"/>
    <w:rsid w:val="00E338EF"/>
    <w:rsid w:val="00E351F7"/>
    <w:rsid w:val="00E4131E"/>
    <w:rsid w:val="00E445F7"/>
    <w:rsid w:val="00E514FB"/>
    <w:rsid w:val="00E530DE"/>
    <w:rsid w:val="00E544BB"/>
    <w:rsid w:val="00E62175"/>
    <w:rsid w:val="00E662CB"/>
    <w:rsid w:val="00E71A4F"/>
    <w:rsid w:val="00E74DC7"/>
    <w:rsid w:val="00E75317"/>
    <w:rsid w:val="00E8075A"/>
    <w:rsid w:val="00E87671"/>
    <w:rsid w:val="00E937C2"/>
    <w:rsid w:val="00E94D5E"/>
    <w:rsid w:val="00EA5721"/>
    <w:rsid w:val="00EA7100"/>
    <w:rsid w:val="00EA7F9F"/>
    <w:rsid w:val="00EB1274"/>
    <w:rsid w:val="00EB4053"/>
    <w:rsid w:val="00EB629C"/>
    <w:rsid w:val="00EC6D3C"/>
    <w:rsid w:val="00EC7804"/>
    <w:rsid w:val="00ED2BB6"/>
    <w:rsid w:val="00ED34E1"/>
    <w:rsid w:val="00ED3B8D"/>
    <w:rsid w:val="00EE0EA8"/>
    <w:rsid w:val="00EE501B"/>
    <w:rsid w:val="00EE57BA"/>
    <w:rsid w:val="00EE5F75"/>
    <w:rsid w:val="00EF06B3"/>
    <w:rsid w:val="00EF2D4C"/>
    <w:rsid w:val="00EF2E3A"/>
    <w:rsid w:val="00EF583B"/>
    <w:rsid w:val="00F044A1"/>
    <w:rsid w:val="00F072A7"/>
    <w:rsid w:val="00F078DC"/>
    <w:rsid w:val="00F10260"/>
    <w:rsid w:val="00F12602"/>
    <w:rsid w:val="00F1681D"/>
    <w:rsid w:val="00F22654"/>
    <w:rsid w:val="00F22761"/>
    <w:rsid w:val="00F32BA8"/>
    <w:rsid w:val="00F349F1"/>
    <w:rsid w:val="00F4350D"/>
    <w:rsid w:val="00F43FCF"/>
    <w:rsid w:val="00F44A23"/>
    <w:rsid w:val="00F54684"/>
    <w:rsid w:val="00F567F7"/>
    <w:rsid w:val="00F61B01"/>
    <w:rsid w:val="00F62036"/>
    <w:rsid w:val="00F65B52"/>
    <w:rsid w:val="00F666D7"/>
    <w:rsid w:val="00F67BCA"/>
    <w:rsid w:val="00F72E32"/>
    <w:rsid w:val="00F73BD6"/>
    <w:rsid w:val="00F82873"/>
    <w:rsid w:val="00F83989"/>
    <w:rsid w:val="00F85099"/>
    <w:rsid w:val="00F86790"/>
    <w:rsid w:val="00F86BAF"/>
    <w:rsid w:val="00F8702F"/>
    <w:rsid w:val="00F90DAF"/>
    <w:rsid w:val="00F9379C"/>
    <w:rsid w:val="00F93C46"/>
    <w:rsid w:val="00F940F1"/>
    <w:rsid w:val="00F9632C"/>
    <w:rsid w:val="00F96905"/>
    <w:rsid w:val="00FA1E52"/>
    <w:rsid w:val="00FA3AEA"/>
    <w:rsid w:val="00FB519E"/>
    <w:rsid w:val="00FC3808"/>
    <w:rsid w:val="00FC4657"/>
    <w:rsid w:val="00FE00FC"/>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1AA8"/>
    <w:pPr>
      <w:spacing w:line="260" w:lineRule="atLeast"/>
    </w:pPr>
    <w:rPr>
      <w:sz w:val="22"/>
    </w:rPr>
  </w:style>
  <w:style w:type="paragraph" w:styleId="Heading1">
    <w:name w:val="heading 1"/>
    <w:basedOn w:val="Normal"/>
    <w:next w:val="Normal"/>
    <w:link w:val="Heading1Char"/>
    <w:qFormat/>
    <w:rsid w:val="009453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13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13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13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13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13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13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13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213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1AA8"/>
  </w:style>
  <w:style w:type="paragraph" w:customStyle="1" w:styleId="OPCParaBase">
    <w:name w:val="OPCParaBase"/>
    <w:qFormat/>
    <w:rsid w:val="003A1AA8"/>
    <w:pPr>
      <w:spacing w:line="260" w:lineRule="atLeast"/>
    </w:pPr>
    <w:rPr>
      <w:rFonts w:eastAsia="Times New Roman" w:cs="Times New Roman"/>
      <w:sz w:val="22"/>
      <w:lang w:eastAsia="en-AU"/>
    </w:rPr>
  </w:style>
  <w:style w:type="paragraph" w:customStyle="1" w:styleId="ShortT">
    <w:name w:val="ShortT"/>
    <w:basedOn w:val="OPCParaBase"/>
    <w:next w:val="Normal"/>
    <w:qFormat/>
    <w:rsid w:val="003A1AA8"/>
    <w:pPr>
      <w:spacing w:line="240" w:lineRule="auto"/>
    </w:pPr>
    <w:rPr>
      <w:b/>
      <w:sz w:val="40"/>
    </w:rPr>
  </w:style>
  <w:style w:type="paragraph" w:customStyle="1" w:styleId="ActHead1">
    <w:name w:val="ActHead 1"/>
    <w:aliases w:val="c"/>
    <w:basedOn w:val="OPCParaBase"/>
    <w:next w:val="Normal"/>
    <w:qFormat/>
    <w:rsid w:val="003A1A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1A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1A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1A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A1A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1A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1A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1A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1A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A1AA8"/>
  </w:style>
  <w:style w:type="paragraph" w:customStyle="1" w:styleId="Blocks">
    <w:name w:val="Blocks"/>
    <w:aliases w:val="bb"/>
    <w:basedOn w:val="OPCParaBase"/>
    <w:qFormat/>
    <w:rsid w:val="003A1AA8"/>
    <w:pPr>
      <w:spacing w:line="240" w:lineRule="auto"/>
    </w:pPr>
    <w:rPr>
      <w:sz w:val="24"/>
    </w:rPr>
  </w:style>
  <w:style w:type="paragraph" w:customStyle="1" w:styleId="BoxText">
    <w:name w:val="BoxText"/>
    <w:aliases w:val="bt"/>
    <w:basedOn w:val="OPCParaBase"/>
    <w:qFormat/>
    <w:rsid w:val="003A1A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1AA8"/>
    <w:rPr>
      <w:b/>
    </w:rPr>
  </w:style>
  <w:style w:type="paragraph" w:customStyle="1" w:styleId="BoxHeadItalic">
    <w:name w:val="BoxHeadItalic"/>
    <w:aliases w:val="bhi"/>
    <w:basedOn w:val="BoxText"/>
    <w:next w:val="BoxStep"/>
    <w:qFormat/>
    <w:rsid w:val="003A1AA8"/>
    <w:rPr>
      <w:i/>
    </w:rPr>
  </w:style>
  <w:style w:type="paragraph" w:customStyle="1" w:styleId="BoxList">
    <w:name w:val="BoxList"/>
    <w:aliases w:val="bl"/>
    <w:basedOn w:val="BoxText"/>
    <w:qFormat/>
    <w:rsid w:val="003A1AA8"/>
    <w:pPr>
      <w:ind w:left="1559" w:hanging="425"/>
    </w:pPr>
  </w:style>
  <w:style w:type="paragraph" w:customStyle="1" w:styleId="BoxNote">
    <w:name w:val="BoxNote"/>
    <w:aliases w:val="bn"/>
    <w:basedOn w:val="BoxText"/>
    <w:qFormat/>
    <w:rsid w:val="003A1AA8"/>
    <w:pPr>
      <w:tabs>
        <w:tab w:val="left" w:pos="1985"/>
      </w:tabs>
      <w:spacing w:before="122" w:line="198" w:lineRule="exact"/>
      <w:ind w:left="2948" w:hanging="1814"/>
    </w:pPr>
    <w:rPr>
      <w:sz w:val="18"/>
    </w:rPr>
  </w:style>
  <w:style w:type="paragraph" w:customStyle="1" w:styleId="BoxPara">
    <w:name w:val="BoxPara"/>
    <w:aliases w:val="bp"/>
    <w:basedOn w:val="BoxText"/>
    <w:qFormat/>
    <w:rsid w:val="003A1AA8"/>
    <w:pPr>
      <w:tabs>
        <w:tab w:val="right" w:pos="2268"/>
      </w:tabs>
      <w:ind w:left="2552" w:hanging="1418"/>
    </w:pPr>
  </w:style>
  <w:style w:type="paragraph" w:customStyle="1" w:styleId="BoxStep">
    <w:name w:val="BoxStep"/>
    <w:aliases w:val="bs"/>
    <w:basedOn w:val="BoxText"/>
    <w:qFormat/>
    <w:rsid w:val="003A1AA8"/>
    <w:pPr>
      <w:ind w:left="1985" w:hanging="851"/>
    </w:pPr>
  </w:style>
  <w:style w:type="character" w:customStyle="1" w:styleId="CharAmPartNo">
    <w:name w:val="CharAmPartNo"/>
    <w:basedOn w:val="OPCCharBase"/>
    <w:uiPriority w:val="1"/>
    <w:qFormat/>
    <w:rsid w:val="003A1AA8"/>
  </w:style>
  <w:style w:type="character" w:customStyle="1" w:styleId="CharAmPartText">
    <w:name w:val="CharAmPartText"/>
    <w:basedOn w:val="OPCCharBase"/>
    <w:uiPriority w:val="1"/>
    <w:qFormat/>
    <w:rsid w:val="003A1AA8"/>
  </w:style>
  <w:style w:type="character" w:customStyle="1" w:styleId="CharAmSchNo">
    <w:name w:val="CharAmSchNo"/>
    <w:basedOn w:val="OPCCharBase"/>
    <w:uiPriority w:val="1"/>
    <w:qFormat/>
    <w:rsid w:val="003A1AA8"/>
  </w:style>
  <w:style w:type="character" w:customStyle="1" w:styleId="CharAmSchText">
    <w:name w:val="CharAmSchText"/>
    <w:basedOn w:val="OPCCharBase"/>
    <w:uiPriority w:val="1"/>
    <w:qFormat/>
    <w:rsid w:val="003A1AA8"/>
  </w:style>
  <w:style w:type="character" w:customStyle="1" w:styleId="CharBoldItalic">
    <w:name w:val="CharBoldItalic"/>
    <w:basedOn w:val="OPCCharBase"/>
    <w:uiPriority w:val="1"/>
    <w:qFormat/>
    <w:rsid w:val="003A1AA8"/>
    <w:rPr>
      <w:b/>
      <w:i/>
    </w:rPr>
  </w:style>
  <w:style w:type="character" w:customStyle="1" w:styleId="CharChapNo">
    <w:name w:val="CharChapNo"/>
    <w:basedOn w:val="OPCCharBase"/>
    <w:qFormat/>
    <w:rsid w:val="003A1AA8"/>
  </w:style>
  <w:style w:type="character" w:customStyle="1" w:styleId="CharChapText">
    <w:name w:val="CharChapText"/>
    <w:basedOn w:val="OPCCharBase"/>
    <w:qFormat/>
    <w:rsid w:val="003A1AA8"/>
  </w:style>
  <w:style w:type="character" w:customStyle="1" w:styleId="CharDivNo">
    <w:name w:val="CharDivNo"/>
    <w:basedOn w:val="OPCCharBase"/>
    <w:qFormat/>
    <w:rsid w:val="003A1AA8"/>
  </w:style>
  <w:style w:type="character" w:customStyle="1" w:styleId="CharDivText">
    <w:name w:val="CharDivText"/>
    <w:basedOn w:val="OPCCharBase"/>
    <w:qFormat/>
    <w:rsid w:val="003A1AA8"/>
  </w:style>
  <w:style w:type="character" w:customStyle="1" w:styleId="CharItalic">
    <w:name w:val="CharItalic"/>
    <w:basedOn w:val="OPCCharBase"/>
    <w:uiPriority w:val="1"/>
    <w:qFormat/>
    <w:rsid w:val="003A1AA8"/>
    <w:rPr>
      <w:i/>
    </w:rPr>
  </w:style>
  <w:style w:type="character" w:customStyle="1" w:styleId="CharPartNo">
    <w:name w:val="CharPartNo"/>
    <w:basedOn w:val="OPCCharBase"/>
    <w:qFormat/>
    <w:rsid w:val="003A1AA8"/>
  </w:style>
  <w:style w:type="character" w:customStyle="1" w:styleId="CharPartText">
    <w:name w:val="CharPartText"/>
    <w:basedOn w:val="OPCCharBase"/>
    <w:qFormat/>
    <w:rsid w:val="003A1AA8"/>
  </w:style>
  <w:style w:type="character" w:customStyle="1" w:styleId="CharSectno">
    <w:name w:val="CharSectno"/>
    <w:basedOn w:val="OPCCharBase"/>
    <w:qFormat/>
    <w:rsid w:val="003A1AA8"/>
  </w:style>
  <w:style w:type="character" w:customStyle="1" w:styleId="CharSubdNo">
    <w:name w:val="CharSubdNo"/>
    <w:basedOn w:val="OPCCharBase"/>
    <w:uiPriority w:val="1"/>
    <w:qFormat/>
    <w:rsid w:val="003A1AA8"/>
  </w:style>
  <w:style w:type="character" w:customStyle="1" w:styleId="CharSubdText">
    <w:name w:val="CharSubdText"/>
    <w:basedOn w:val="OPCCharBase"/>
    <w:uiPriority w:val="1"/>
    <w:qFormat/>
    <w:rsid w:val="003A1AA8"/>
  </w:style>
  <w:style w:type="paragraph" w:customStyle="1" w:styleId="CTA--">
    <w:name w:val="CTA --"/>
    <w:basedOn w:val="OPCParaBase"/>
    <w:next w:val="Normal"/>
    <w:rsid w:val="003A1AA8"/>
    <w:pPr>
      <w:spacing w:before="60" w:line="240" w:lineRule="atLeast"/>
      <w:ind w:left="142" w:hanging="142"/>
    </w:pPr>
    <w:rPr>
      <w:sz w:val="20"/>
    </w:rPr>
  </w:style>
  <w:style w:type="paragraph" w:customStyle="1" w:styleId="CTA-">
    <w:name w:val="CTA -"/>
    <w:basedOn w:val="OPCParaBase"/>
    <w:rsid w:val="003A1AA8"/>
    <w:pPr>
      <w:spacing w:before="60" w:line="240" w:lineRule="atLeast"/>
      <w:ind w:left="85" w:hanging="85"/>
    </w:pPr>
    <w:rPr>
      <w:sz w:val="20"/>
    </w:rPr>
  </w:style>
  <w:style w:type="paragraph" w:customStyle="1" w:styleId="CTA---">
    <w:name w:val="CTA ---"/>
    <w:basedOn w:val="OPCParaBase"/>
    <w:next w:val="Normal"/>
    <w:rsid w:val="003A1AA8"/>
    <w:pPr>
      <w:spacing w:before="60" w:line="240" w:lineRule="atLeast"/>
      <w:ind w:left="198" w:hanging="198"/>
    </w:pPr>
    <w:rPr>
      <w:sz w:val="20"/>
    </w:rPr>
  </w:style>
  <w:style w:type="paragraph" w:customStyle="1" w:styleId="CTA----">
    <w:name w:val="CTA ----"/>
    <w:basedOn w:val="OPCParaBase"/>
    <w:next w:val="Normal"/>
    <w:rsid w:val="003A1AA8"/>
    <w:pPr>
      <w:spacing w:before="60" w:line="240" w:lineRule="atLeast"/>
      <w:ind w:left="255" w:hanging="255"/>
    </w:pPr>
    <w:rPr>
      <w:sz w:val="20"/>
    </w:rPr>
  </w:style>
  <w:style w:type="paragraph" w:customStyle="1" w:styleId="CTA1a">
    <w:name w:val="CTA 1(a)"/>
    <w:basedOn w:val="OPCParaBase"/>
    <w:rsid w:val="003A1AA8"/>
    <w:pPr>
      <w:tabs>
        <w:tab w:val="right" w:pos="414"/>
      </w:tabs>
      <w:spacing w:before="40" w:line="240" w:lineRule="atLeast"/>
      <w:ind w:left="675" w:hanging="675"/>
    </w:pPr>
    <w:rPr>
      <w:sz w:val="20"/>
    </w:rPr>
  </w:style>
  <w:style w:type="paragraph" w:customStyle="1" w:styleId="CTA1ai">
    <w:name w:val="CTA 1(a)(i)"/>
    <w:basedOn w:val="OPCParaBase"/>
    <w:rsid w:val="003A1AA8"/>
    <w:pPr>
      <w:tabs>
        <w:tab w:val="right" w:pos="1004"/>
      </w:tabs>
      <w:spacing w:before="40" w:line="240" w:lineRule="atLeast"/>
      <w:ind w:left="1253" w:hanging="1253"/>
    </w:pPr>
    <w:rPr>
      <w:sz w:val="20"/>
    </w:rPr>
  </w:style>
  <w:style w:type="paragraph" w:customStyle="1" w:styleId="CTA2a">
    <w:name w:val="CTA 2(a)"/>
    <w:basedOn w:val="OPCParaBase"/>
    <w:rsid w:val="003A1AA8"/>
    <w:pPr>
      <w:tabs>
        <w:tab w:val="right" w:pos="482"/>
      </w:tabs>
      <w:spacing w:before="40" w:line="240" w:lineRule="atLeast"/>
      <w:ind w:left="748" w:hanging="748"/>
    </w:pPr>
    <w:rPr>
      <w:sz w:val="20"/>
    </w:rPr>
  </w:style>
  <w:style w:type="paragraph" w:customStyle="1" w:styleId="CTA2ai">
    <w:name w:val="CTA 2(a)(i)"/>
    <w:basedOn w:val="OPCParaBase"/>
    <w:rsid w:val="003A1AA8"/>
    <w:pPr>
      <w:tabs>
        <w:tab w:val="right" w:pos="1089"/>
      </w:tabs>
      <w:spacing w:before="40" w:line="240" w:lineRule="atLeast"/>
      <w:ind w:left="1327" w:hanging="1327"/>
    </w:pPr>
    <w:rPr>
      <w:sz w:val="20"/>
    </w:rPr>
  </w:style>
  <w:style w:type="paragraph" w:customStyle="1" w:styleId="CTA3a">
    <w:name w:val="CTA 3(a)"/>
    <w:basedOn w:val="OPCParaBase"/>
    <w:rsid w:val="003A1AA8"/>
    <w:pPr>
      <w:tabs>
        <w:tab w:val="right" w:pos="556"/>
      </w:tabs>
      <w:spacing w:before="40" w:line="240" w:lineRule="atLeast"/>
      <w:ind w:left="805" w:hanging="805"/>
    </w:pPr>
    <w:rPr>
      <w:sz w:val="20"/>
    </w:rPr>
  </w:style>
  <w:style w:type="paragraph" w:customStyle="1" w:styleId="CTA3ai">
    <w:name w:val="CTA 3(a)(i)"/>
    <w:basedOn w:val="OPCParaBase"/>
    <w:rsid w:val="003A1AA8"/>
    <w:pPr>
      <w:tabs>
        <w:tab w:val="right" w:pos="1140"/>
      </w:tabs>
      <w:spacing w:before="40" w:line="240" w:lineRule="atLeast"/>
      <w:ind w:left="1361" w:hanging="1361"/>
    </w:pPr>
    <w:rPr>
      <w:sz w:val="20"/>
    </w:rPr>
  </w:style>
  <w:style w:type="paragraph" w:customStyle="1" w:styleId="CTA4a">
    <w:name w:val="CTA 4(a)"/>
    <w:basedOn w:val="OPCParaBase"/>
    <w:rsid w:val="003A1AA8"/>
    <w:pPr>
      <w:tabs>
        <w:tab w:val="right" w:pos="624"/>
      </w:tabs>
      <w:spacing w:before="40" w:line="240" w:lineRule="atLeast"/>
      <w:ind w:left="873" w:hanging="873"/>
    </w:pPr>
    <w:rPr>
      <w:sz w:val="20"/>
    </w:rPr>
  </w:style>
  <w:style w:type="paragraph" w:customStyle="1" w:styleId="CTA4ai">
    <w:name w:val="CTA 4(a)(i)"/>
    <w:basedOn w:val="OPCParaBase"/>
    <w:rsid w:val="003A1AA8"/>
    <w:pPr>
      <w:tabs>
        <w:tab w:val="right" w:pos="1213"/>
      </w:tabs>
      <w:spacing w:before="40" w:line="240" w:lineRule="atLeast"/>
      <w:ind w:left="1452" w:hanging="1452"/>
    </w:pPr>
    <w:rPr>
      <w:sz w:val="20"/>
    </w:rPr>
  </w:style>
  <w:style w:type="paragraph" w:customStyle="1" w:styleId="CTACAPS">
    <w:name w:val="CTA CAPS"/>
    <w:basedOn w:val="OPCParaBase"/>
    <w:rsid w:val="003A1AA8"/>
    <w:pPr>
      <w:spacing w:before="60" w:line="240" w:lineRule="atLeast"/>
    </w:pPr>
    <w:rPr>
      <w:sz w:val="20"/>
    </w:rPr>
  </w:style>
  <w:style w:type="paragraph" w:customStyle="1" w:styleId="CTAright">
    <w:name w:val="CTA right"/>
    <w:basedOn w:val="OPCParaBase"/>
    <w:rsid w:val="003A1AA8"/>
    <w:pPr>
      <w:spacing w:before="60" w:line="240" w:lineRule="auto"/>
      <w:jc w:val="right"/>
    </w:pPr>
    <w:rPr>
      <w:sz w:val="20"/>
    </w:rPr>
  </w:style>
  <w:style w:type="paragraph" w:customStyle="1" w:styleId="subsection">
    <w:name w:val="subsection"/>
    <w:aliases w:val="ss"/>
    <w:basedOn w:val="OPCParaBase"/>
    <w:link w:val="subsectionChar"/>
    <w:rsid w:val="003A1AA8"/>
    <w:pPr>
      <w:tabs>
        <w:tab w:val="right" w:pos="1021"/>
      </w:tabs>
      <w:spacing w:before="180" w:line="240" w:lineRule="auto"/>
      <w:ind w:left="1134" w:hanging="1134"/>
    </w:pPr>
  </w:style>
  <w:style w:type="paragraph" w:customStyle="1" w:styleId="Definition">
    <w:name w:val="Definition"/>
    <w:aliases w:val="dd"/>
    <w:basedOn w:val="OPCParaBase"/>
    <w:rsid w:val="003A1AA8"/>
    <w:pPr>
      <w:spacing w:before="180" w:line="240" w:lineRule="auto"/>
      <w:ind w:left="1134"/>
    </w:pPr>
  </w:style>
  <w:style w:type="paragraph" w:customStyle="1" w:styleId="EndNotespara">
    <w:name w:val="EndNotes(para)"/>
    <w:aliases w:val="eta"/>
    <w:basedOn w:val="OPCParaBase"/>
    <w:next w:val="EndNotessubpara"/>
    <w:rsid w:val="003A1A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1A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1A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1AA8"/>
    <w:pPr>
      <w:tabs>
        <w:tab w:val="right" w:pos="1412"/>
      </w:tabs>
      <w:spacing w:before="60" w:line="240" w:lineRule="auto"/>
      <w:ind w:left="1525" w:hanging="1525"/>
    </w:pPr>
    <w:rPr>
      <w:sz w:val="20"/>
    </w:rPr>
  </w:style>
  <w:style w:type="paragraph" w:customStyle="1" w:styleId="Formula">
    <w:name w:val="Formula"/>
    <w:basedOn w:val="OPCParaBase"/>
    <w:rsid w:val="003A1AA8"/>
    <w:pPr>
      <w:spacing w:line="240" w:lineRule="auto"/>
      <w:ind w:left="1134"/>
    </w:pPr>
    <w:rPr>
      <w:sz w:val="20"/>
    </w:rPr>
  </w:style>
  <w:style w:type="paragraph" w:styleId="Header">
    <w:name w:val="header"/>
    <w:basedOn w:val="OPCParaBase"/>
    <w:link w:val="HeaderChar"/>
    <w:unhideWhenUsed/>
    <w:rsid w:val="003A1A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1AA8"/>
    <w:rPr>
      <w:rFonts w:eastAsia="Times New Roman" w:cs="Times New Roman"/>
      <w:sz w:val="16"/>
      <w:lang w:eastAsia="en-AU"/>
    </w:rPr>
  </w:style>
  <w:style w:type="paragraph" w:customStyle="1" w:styleId="House">
    <w:name w:val="House"/>
    <w:basedOn w:val="OPCParaBase"/>
    <w:rsid w:val="003A1AA8"/>
    <w:pPr>
      <w:spacing w:line="240" w:lineRule="auto"/>
    </w:pPr>
    <w:rPr>
      <w:sz w:val="28"/>
    </w:rPr>
  </w:style>
  <w:style w:type="paragraph" w:customStyle="1" w:styleId="Item">
    <w:name w:val="Item"/>
    <w:aliases w:val="i"/>
    <w:basedOn w:val="OPCParaBase"/>
    <w:next w:val="ItemHead"/>
    <w:rsid w:val="003A1AA8"/>
    <w:pPr>
      <w:keepLines/>
      <w:spacing w:before="80" w:line="240" w:lineRule="auto"/>
      <w:ind w:left="709"/>
    </w:pPr>
  </w:style>
  <w:style w:type="paragraph" w:customStyle="1" w:styleId="ItemHead">
    <w:name w:val="ItemHead"/>
    <w:aliases w:val="ih"/>
    <w:basedOn w:val="OPCParaBase"/>
    <w:next w:val="Item"/>
    <w:rsid w:val="003A1A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1AA8"/>
    <w:pPr>
      <w:spacing w:line="240" w:lineRule="auto"/>
    </w:pPr>
    <w:rPr>
      <w:b/>
      <w:sz w:val="32"/>
    </w:rPr>
  </w:style>
  <w:style w:type="paragraph" w:customStyle="1" w:styleId="notedraft">
    <w:name w:val="note(draft)"/>
    <w:aliases w:val="nd"/>
    <w:basedOn w:val="OPCParaBase"/>
    <w:rsid w:val="003A1AA8"/>
    <w:pPr>
      <w:spacing w:before="240" w:line="240" w:lineRule="auto"/>
      <w:ind w:left="284" w:hanging="284"/>
    </w:pPr>
    <w:rPr>
      <w:i/>
      <w:sz w:val="24"/>
    </w:rPr>
  </w:style>
  <w:style w:type="paragraph" w:customStyle="1" w:styleId="notemargin">
    <w:name w:val="note(margin)"/>
    <w:aliases w:val="nm"/>
    <w:basedOn w:val="OPCParaBase"/>
    <w:rsid w:val="003A1AA8"/>
    <w:pPr>
      <w:tabs>
        <w:tab w:val="left" w:pos="709"/>
      </w:tabs>
      <w:spacing w:before="122" w:line="198" w:lineRule="exact"/>
      <w:ind w:left="709" w:hanging="709"/>
    </w:pPr>
    <w:rPr>
      <w:sz w:val="18"/>
    </w:rPr>
  </w:style>
  <w:style w:type="paragraph" w:customStyle="1" w:styleId="noteToPara">
    <w:name w:val="noteToPara"/>
    <w:aliases w:val="ntp"/>
    <w:basedOn w:val="OPCParaBase"/>
    <w:rsid w:val="003A1AA8"/>
    <w:pPr>
      <w:spacing w:before="122" w:line="198" w:lineRule="exact"/>
      <w:ind w:left="2353" w:hanging="709"/>
    </w:pPr>
    <w:rPr>
      <w:sz w:val="18"/>
    </w:rPr>
  </w:style>
  <w:style w:type="paragraph" w:customStyle="1" w:styleId="noteParlAmend">
    <w:name w:val="note(ParlAmend)"/>
    <w:aliases w:val="npp"/>
    <w:basedOn w:val="OPCParaBase"/>
    <w:next w:val="ParlAmend"/>
    <w:rsid w:val="003A1AA8"/>
    <w:pPr>
      <w:spacing w:line="240" w:lineRule="auto"/>
      <w:jc w:val="right"/>
    </w:pPr>
    <w:rPr>
      <w:rFonts w:ascii="Arial" w:hAnsi="Arial"/>
      <w:b/>
      <w:i/>
    </w:rPr>
  </w:style>
  <w:style w:type="paragraph" w:customStyle="1" w:styleId="Page1">
    <w:name w:val="Page1"/>
    <w:basedOn w:val="OPCParaBase"/>
    <w:rsid w:val="003A1AA8"/>
    <w:pPr>
      <w:spacing w:before="5600" w:line="240" w:lineRule="auto"/>
    </w:pPr>
    <w:rPr>
      <w:b/>
      <w:sz w:val="32"/>
    </w:rPr>
  </w:style>
  <w:style w:type="paragraph" w:customStyle="1" w:styleId="PageBreak">
    <w:name w:val="PageBreak"/>
    <w:aliases w:val="pb"/>
    <w:basedOn w:val="OPCParaBase"/>
    <w:rsid w:val="003A1AA8"/>
    <w:pPr>
      <w:spacing w:line="240" w:lineRule="auto"/>
    </w:pPr>
    <w:rPr>
      <w:sz w:val="20"/>
    </w:rPr>
  </w:style>
  <w:style w:type="paragraph" w:customStyle="1" w:styleId="paragraphsub">
    <w:name w:val="paragraph(sub)"/>
    <w:aliases w:val="aa"/>
    <w:basedOn w:val="OPCParaBase"/>
    <w:rsid w:val="003A1AA8"/>
    <w:pPr>
      <w:tabs>
        <w:tab w:val="right" w:pos="1985"/>
      </w:tabs>
      <w:spacing w:before="40" w:line="240" w:lineRule="auto"/>
      <w:ind w:left="2098" w:hanging="2098"/>
    </w:pPr>
  </w:style>
  <w:style w:type="paragraph" w:customStyle="1" w:styleId="paragraphsub-sub">
    <w:name w:val="paragraph(sub-sub)"/>
    <w:aliases w:val="aaa"/>
    <w:basedOn w:val="OPCParaBase"/>
    <w:rsid w:val="003A1AA8"/>
    <w:pPr>
      <w:tabs>
        <w:tab w:val="right" w:pos="2722"/>
      </w:tabs>
      <w:spacing w:before="40" w:line="240" w:lineRule="auto"/>
      <w:ind w:left="2835" w:hanging="2835"/>
    </w:pPr>
  </w:style>
  <w:style w:type="paragraph" w:customStyle="1" w:styleId="paragraph">
    <w:name w:val="paragraph"/>
    <w:aliases w:val="a"/>
    <w:basedOn w:val="OPCParaBase"/>
    <w:rsid w:val="003A1AA8"/>
    <w:pPr>
      <w:tabs>
        <w:tab w:val="right" w:pos="1531"/>
      </w:tabs>
      <w:spacing w:before="40" w:line="240" w:lineRule="auto"/>
      <w:ind w:left="1644" w:hanging="1644"/>
    </w:pPr>
  </w:style>
  <w:style w:type="paragraph" w:customStyle="1" w:styleId="ParlAmend">
    <w:name w:val="ParlAmend"/>
    <w:aliases w:val="pp"/>
    <w:basedOn w:val="OPCParaBase"/>
    <w:rsid w:val="003A1AA8"/>
    <w:pPr>
      <w:spacing w:before="240" w:line="240" w:lineRule="atLeast"/>
      <w:ind w:hanging="567"/>
    </w:pPr>
    <w:rPr>
      <w:sz w:val="24"/>
    </w:rPr>
  </w:style>
  <w:style w:type="paragraph" w:customStyle="1" w:styleId="Penalty">
    <w:name w:val="Penalty"/>
    <w:basedOn w:val="OPCParaBase"/>
    <w:rsid w:val="003A1AA8"/>
    <w:pPr>
      <w:tabs>
        <w:tab w:val="left" w:pos="2977"/>
      </w:tabs>
      <w:spacing w:before="180" w:line="240" w:lineRule="auto"/>
      <w:ind w:left="1985" w:hanging="851"/>
    </w:pPr>
  </w:style>
  <w:style w:type="paragraph" w:customStyle="1" w:styleId="Portfolio">
    <w:name w:val="Portfolio"/>
    <w:basedOn w:val="OPCParaBase"/>
    <w:rsid w:val="003A1AA8"/>
    <w:pPr>
      <w:spacing w:line="240" w:lineRule="auto"/>
    </w:pPr>
    <w:rPr>
      <w:i/>
      <w:sz w:val="20"/>
    </w:rPr>
  </w:style>
  <w:style w:type="paragraph" w:customStyle="1" w:styleId="Preamble">
    <w:name w:val="Preamble"/>
    <w:basedOn w:val="OPCParaBase"/>
    <w:next w:val="Normal"/>
    <w:rsid w:val="003A1A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1AA8"/>
    <w:pPr>
      <w:spacing w:line="240" w:lineRule="auto"/>
    </w:pPr>
    <w:rPr>
      <w:i/>
      <w:sz w:val="20"/>
    </w:rPr>
  </w:style>
  <w:style w:type="paragraph" w:customStyle="1" w:styleId="Session">
    <w:name w:val="Session"/>
    <w:basedOn w:val="OPCParaBase"/>
    <w:rsid w:val="003A1AA8"/>
    <w:pPr>
      <w:spacing w:line="240" w:lineRule="auto"/>
    </w:pPr>
    <w:rPr>
      <w:sz w:val="28"/>
    </w:rPr>
  </w:style>
  <w:style w:type="paragraph" w:customStyle="1" w:styleId="Sponsor">
    <w:name w:val="Sponsor"/>
    <w:basedOn w:val="OPCParaBase"/>
    <w:rsid w:val="003A1AA8"/>
    <w:pPr>
      <w:spacing w:line="240" w:lineRule="auto"/>
    </w:pPr>
    <w:rPr>
      <w:i/>
    </w:rPr>
  </w:style>
  <w:style w:type="paragraph" w:customStyle="1" w:styleId="Subitem">
    <w:name w:val="Subitem"/>
    <w:aliases w:val="iss"/>
    <w:basedOn w:val="OPCParaBase"/>
    <w:rsid w:val="003A1AA8"/>
    <w:pPr>
      <w:spacing w:before="180" w:line="240" w:lineRule="auto"/>
      <w:ind w:left="709" w:hanging="709"/>
    </w:pPr>
  </w:style>
  <w:style w:type="paragraph" w:customStyle="1" w:styleId="SubitemHead">
    <w:name w:val="SubitemHead"/>
    <w:aliases w:val="issh"/>
    <w:basedOn w:val="OPCParaBase"/>
    <w:rsid w:val="003A1A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1AA8"/>
    <w:pPr>
      <w:spacing w:before="40" w:line="240" w:lineRule="auto"/>
      <w:ind w:left="1134"/>
    </w:pPr>
  </w:style>
  <w:style w:type="paragraph" w:customStyle="1" w:styleId="SubsectionHead">
    <w:name w:val="SubsectionHead"/>
    <w:aliases w:val="ssh"/>
    <w:basedOn w:val="OPCParaBase"/>
    <w:next w:val="subsection"/>
    <w:rsid w:val="003A1AA8"/>
    <w:pPr>
      <w:keepNext/>
      <w:keepLines/>
      <w:spacing w:before="240" w:line="240" w:lineRule="auto"/>
      <w:ind w:left="1134"/>
    </w:pPr>
    <w:rPr>
      <w:i/>
    </w:rPr>
  </w:style>
  <w:style w:type="paragraph" w:customStyle="1" w:styleId="Tablea">
    <w:name w:val="Table(a)"/>
    <w:aliases w:val="ta"/>
    <w:basedOn w:val="OPCParaBase"/>
    <w:rsid w:val="003A1AA8"/>
    <w:pPr>
      <w:spacing w:before="60" w:line="240" w:lineRule="auto"/>
      <w:ind w:left="284" w:hanging="284"/>
    </w:pPr>
    <w:rPr>
      <w:sz w:val="20"/>
    </w:rPr>
  </w:style>
  <w:style w:type="paragraph" w:customStyle="1" w:styleId="TableAA">
    <w:name w:val="Table(AA)"/>
    <w:aliases w:val="taaa"/>
    <w:basedOn w:val="OPCParaBase"/>
    <w:rsid w:val="003A1A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1A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1AA8"/>
    <w:pPr>
      <w:spacing w:before="60" w:line="240" w:lineRule="atLeast"/>
    </w:pPr>
    <w:rPr>
      <w:sz w:val="20"/>
    </w:rPr>
  </w:style>
  <w:style w:type="paragraph" w:customStyle="1" w:styleId="TLPBoxTextnote">
    <w:name w:val="TLPBoxText(note"/>
    <w:aliases w:val="right)"/>
    <w:basedOn w:val="OPCParaBase"/>
    <w:rsid w:val="003A1A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1A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1AA8"/>
    <w:pPr>
      <w:spacing w:before="122" w:line="198" w:lineRule="exact"/>
      <w:ind w:left="1985" w:hanging="851"/>
      <w:jc w:val="right"/>
    </w:pPr>
    <w:rPr>
      <w:sz w:val="18"/>
    </w:rPr>
  </w:style>
  <w:style w:type="paragraph" w:customStyle="1" w:styleId="TLPTableBullet">
    <w:name w:val="TLPTableBullet"/>
    <w:aliases w:val="ttb"/>
    <w:basedOn w:val="OPCParaBase"/>
    <w:rsid w:val="003A1AA8"/>
    <w:pPr>
      <w:spacing w:line="240" w:lineRule="exact"/>
      <w:ind w:left="284" w:hanging="284"/>
    </w:pPr>
    <w:rPr>
      <w:sz w:val="20"/>
    </w:rPr>
  </w:style>
  <w:style w:type="paragraph" w:styleId="TOC1">
    <w:name w:val="toc 1"/>
    <w:basedOn w:val="OPCParaBase"/>
    <w:next w:val="Normal"/>
    <w:uiPriority w:val="39"/>
    <w:unhideWhenUsed/>
    <w:rsid w:val="003A1AA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A1AA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A1AA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A1AA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A1AA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A1AA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A1AA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A1AA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A1AA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A1AA8"/>
    <w:pPr>
      <w:keepLines/>
      <w:spacing w:before="240" w:after="120" w:line="240" w:lineRule="auto"/>
      <w:ind w:left="794"/>
    </w:pPr>
    <w:rPr>
      <w:b/>
      <w:kern w:val="28"/>
      <w:sz w:val="20"/>
    </w:rPr>
  </w:style>
  <w:style w:type="paragraph" w:customStyle="1" w:styleId="TofSectsHeading">
    <w:name w:val="TofSects(Heading)"/>
    <w:basedOn w:val="OPCParaBase"/>
    <w:rsid w:val="003A1AA8"/>
    <w:pPr>
      <w:spacing w:before="240" w:after="120" w:line="240" w:lineRule="auto"/>
    </w:pPr>
    <w:rPr>
      <w:b/>
      <w:sz w:val="24"/>
    </w:rPr>
  </w:style>
  <w:style w:type="paragraph" w:customStyle="1" w:styleId="TofSectsSection">
    <w:name w:val="TofSects(Section)"/>
    <w:basedOn w:val="OPCParaBase"/>
    <w:rsid w:val="003A1AA8"/>
    <w:pPr>
      <w:keepLines/>
      <w:spacing w:before="40" w:line="240" w:lineRule="auto"/>
      <w:ind w:left="1588" w:hanging="794"/>
    </w:pPr>
    <w:rPr>
      <w:kern w:val="28"/>
      <w:sz w:val="18"/>
    </w:rPr>
  </w:style>
  <w:style w:type="paragraph" w:customStyle="1" w:styleId="TofSectsSubdiv">
    <w:name w:val="TofSects(Subdiv)"/>
    <w:basedOn w:val="OPCParaBase"/>
    <w:rsid w:val="003A1AA8"/>
    <w:pPr>
      <w:keepLines/>
      <w:spacing w:before="80" w:line="240" w:lineRule="auto"/>
      <w:ind w:left="1588" w:hanging="794"/>
    </w:pPr>
    <w:rPr>
      <w:kern w:val="28"/>
    </w:rPr>
  </w:style>
  <w:style w:type="paragraph" w:customStyle="1" w:styleId="WRStyle">
    <w:name w:val="WR Style"/>
    <w:aliases w:val="WR"/>
    <w:basedOn w:val="OPCParaBase"/>
    <w:rsid w:val="003A1AA8"/>
    <w:pPr>
      <w:spacing w:before="240" w:line="240" w:lineRule="auto"/>
      <w:ind w:left="284" w:hanging="284"/>
    </w:pPr>
    <w:rPr>
      <w:b/>
      <w:i/>
      <w:kern w:val="28"/>
      <w:sz w:val="24"/>
    </w:rPr>
  </w:style>
  <w:style w:type="paragraph" w:customStyle="1" w:styleId="notepara">
    <w:name w:val="note(para)"/>
    <w:aliases w:val="na"/>
    <w:basedOn w:val="OPCParaBase"/>
    <w:rsid w:val="003A1AA8"/>
    <w:pPr>
      <w:spacing w:before="40" w:line="198" w:lineRule="exact"/>
      <w:ind w:left="2354" w:hanging="369"/>
    </w:pPr>
    <w:rPr>
      <w:sz w:val="18"/>
    </w:rPr>
  </w:style>
  <w:style w:type="paragraph" w:styleId="Footer">
    <w:name w:val="footer"/>
    <w:link w:val="FooterChar"/>
    <w:rsid w:val="003A1A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1AA8"/>
    <w:rPr>
      <w:rFonts w:eastAsia="Times New Roman" w:cs="Times New Roman"/>
      <w:sz w:val="22"/>
      <w:szCs w:val="24"/>
      <w:lang w:eastAsia="en-AU"/>
    </w:rPr>
  </w:style>
  <w:style w:type="character" w:styleId="LineNumber">
    <w:name w:val="line number"/>
    <w:basedOn w:val="OPCCharBase"/>
    <w:uiPriority w:val="99"/>
    <w:semiHidden/>
    <w:unhideWhenUsed/>
    <w:rsid w:val="003A1AA8"/>
    <w:rPr>
      <w:sz w:val="16"/>
    </w:rPr>
  </w:style>
  <w:style w:type="table" w:customStyle="1" w:styleId="CFlag">
    <w:name w:val="CFlag"/>
    <w:basedOn w:val="TableNormal"/>
    <w:uiPriority w:val="99"/>
    <w:rsid w:val="003A1AA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1A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AA8"/>
    <w:rPr>
      <w:rFonts w:ascii="Tahoma" w:hAnsi="Tahoma" w:cs="Tahoma"/>
      <w:sz w:val="16"/>
      <w:szCs w:val="16"/>
    </w:rPr>
  </w:style>
  <w:style w:type="table" w:styleId="TableGrid">
    <w:name w:val="Table Grid"/>
    <w:basedOn w:val="TableNormal"/>
    <w:uiPriority w:val="59"/>
    <w:rsid w:val="003A1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A1AA8"/>
    <w:rPr>
      <w:b/>
      <w:sz w:val="28"/>
      <w:szCs w:val="32"/>
    </w:rPr>
  </w:style>
  <w:style w:type="paragraph" w:customStyle="1" w:styleId="LegislationMadeUnder">
    <w:name w:val="LegislationMadeUnder"/>
    <w:basedOn w:val="OPCParaBase"/>
    <w:next w:val="Normal"/>
    <w:rsid w:val="003A1AA8"/>
    <w:rPr>
      <w:i/>
      <w:sz w:val="32"/>
      <w:szCs w:val="32"/>
    </w:rPr>
  </w:style>
  <w:style w:type="paragraph" w:customStyle="1" w:styleId="SignCoverPageEnd">
    <w:name w:val="SignCoverPageEnd"/>
    <w:basedOn w:val="OPCParaBase"/>
    <w:next w:val="Normal"/>
    <w:rsid w:val="003A1AA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A1AA8"/>
    <w:pPr>
      <w:pBdr>
        <w:top w:val="single" w:sz="4" w:space="1" w:color="auto"/>
      </w:pBdr>
      <w:spacing w:before="360"/>
      <w:ind w:right="397"/>
      <w:jc w:val="both"/>
    </w:pPr>
  </w:style>
  <w:style w:type="paragraph" w:customStyle="1" w:styleId="NotesHeading1">
    <w:name w:val="NotesHeading 1"/>
    <w:basedOn w:val="OPCParaBase"/>
    <w:next w:val="Normal"/>
    <w:rsid w:val="003A1AA8"/>
    <w:pPr>
      <w:outlineLvl w:val="0"/>
    </w:pPr>
    <w:rPr>
      <w:b/>
      <w:sz w:val="28"/>
      <w:szCs w:val="28"/>
    </w:rPr>
  </w:style>
  <w:style w:type="paragraph" w:customStyle="1" w:styleId="NotesHeading2">
    <w:name w:val="NotesHeading 2"/>
    <w:basedOn w:val="OPCParaBase"/>
    <w:next w:val="Normal"/>
    <w:rsid w:val="003A1AA8"/>
    <w:rPr>
      <w:b/>
      <w:sz w:val="28"/>
      <w:szCs w:val="28"/>
    </w:rPr>
  </w:style>
  <w:style w:type="paragraph" w:customStyle="1" w:styleId="CompiledActNo">
    <w:name w:val="CompiledActNo"/>
    <w:basedOn w:val="OPCParaBase"/>
    <w:next w:val="Normal"/>
    <w:rsid w:val="003A1AA8"/>
    <w:rPr>
      <w:b/>
      <w:sz w:val="24"/>
      <w:szCs w:val="24"/>
    </w:rPr>
  </w:style>
  <w:style w:type="paragraph" w:customStyle="1" w:styleId="ENotesText">
    <w:name w:val="ENotesText"/>
    <w:aliases w:val="Ent"/>
    <w:basedOn w:val="OPCParaBase"/>
    <w:next w:val="Normal"/>
    <w:rsid w:val="003A1AA8"/>
    <w:pPr>
      <w:spacing w:before="120"/>
    </w:pPr>
  </w:style>
  <w:style w:type="paragraph" w:customStyle="1" w:styleId="CompiledMadeUnder">
    <w:name w:val="CompiledMadeUnder"/>
    <w:basedOn w:val="OPCParaBase"/>
    <w:next w:val="Normal"/>
    <w:rsid w:val="003A1AA8"/>
    <w:rPr>
      <w:i/>
      <w:sz w:val="24"/>
      <w:szCs w:val="24"/>
    </w:rPr>
  </w:style>
  <w:style w:type="paragraph" w:customStyle="1" w:styleId="Paragraphsub-sub-sub">
    <w:name w:val="Paragraph(sub-sub-sub)"/>
    <w:aliases w:val="aaaa"/>
    <w:basedOn w:val="OPCParaBase"/>
    <w:rsid w:val="003A1AA8"/>
    <w:pPr>
      <w:tabs>
        <w:tab w:val="right" w:pos="3402"/>
      </w:tabs>
      <w:spacing w:before="40" w:line="240" w:lineRule="auto"/>
      <w:ind w:left="3402" w:hanging="3402"/>
    </w:pPr>
  </w:style>
  <w:style w:type="paragraph" w:customStyle="1" w:styleId="TableTextEndNotes">
    <w:name w:val="TableTextEndNotes"/>
    <w:aliases w:val="Tten"/>
    <w:basedOn w:val="Normal"/>
    <w:rsid w:val="003A1AA8"/>
    <w:pPr>
      <w:spacing w:before="60" w:line="240" w:lineRule="auto"/>
    </w:pPr>
    <w:rPr>
      <w:rFonts w:cs="Arial"/>
      <w:sz w:val="20"/>
      <w:szCs w:val="22"/>
    </w:rPr>
  </w:style>
  <w:style w:type="paragraph" w:customStyle="1" w:styleId="NoteToSubpara">
    <w:name w:val="NoteToSubpara"/>
    <w:aliases w:val="nts"/>
    <w:basedOn w:val="OPCParaBase"/>
    <w:rsid w:val="003A1AA8"/>
    <w:pPr>
      <w:spacing w:before="40" w:line="198" w:lineRule="exact"/>
      <w:ind w:left="2835" w:hanging="709"/>
    </w:pPr>
    <w:rPr>
      <w:sz w:val="18"/>
    </w:rPr>
  </w:style>
  <w:style w:type="paragraph" w:customStyle="1" w:styleId="ENoteTableHeading">
    <w:name w:val="ENoteTableHeading"/>
    <w:aliases w:val="enth"/>
    <w:basedOn w:val="OPCParaBase"/>
    <w:rsid w:val="003A1AA8"/>
    <w:pPr>
      <w:keepNext/>
      <w:spacing w:before="60" w:line="240" w:lineRule="atLeast"/>
    </w:pPr>
    <w:rPr>
      <w:rFonts w:ascii="Arial" w:hAnsi="Arial"/>
      <w:b/>
      <w:sz w:val="16"/>
    </w:rPr>
  </w:style>
  <w:style w:type="paragraph" w:customStyle="1" w:styleId="ENoteTTi">
    <w:name w:val="ENoteTTi"/>
    <w:aliases w:val="entti"/>
    <w:basedOn w:val="OPCParaBase"/>
    <w:rsid w:val="003A1AA8"/>
    <w:pPr>
      <w:keepNext/>
      <w:spacing w:before="60" w:line="240" w:lineRule="atLeast"/>
      <w:ind w:left="170"/>
    </w:pPr>
    <w:rPr>
      <w:sz w:val="16"/>
    </w:rPr>
  </w:style>
  <w:style w:type="paragraph" w:customStyle="1" w:styleId="ENotesHeading1">
    <w:name w:val="ENotesHeading 1"/>
    <w:aliases w:val="Enh1"/>
    <w:basedOn w:val="OPCParaBase"/>
    <w:next w:val="Normal"/>
    <w:rsid w:val="003A1AA8"/>
    <w:pPr>
      <w:spacing w:before="120"/>
      <w:outlineLvl w:val="1"/>
    </w:pPr>
    <w:rPr>
      <w:b/>
      <w:sz w:val="28"/>
      <w:szCs w:val="28"/>
    </w:rPr>
  </w:style>
  <w:style w:type="paragraph" w:customStyle="1" w:styleId="ENotesHeading2">
    <w:name w:val="ENotesHeading 2"/>
    <w:aliases w:val="Enh2"/>
    <w:basedOn w:val="OPCParaBase"/>
    <w:next w:val="Normal"/>
    <w:rsid w:val="003A1AA8"/>
    <w:pPr>
      <w:spacing w:before="120" w:after="120"/>
      <w:outlineLvl w:val="2"/>
    </w:pPr>
    <w:rPr>
      <w:b/>
      <w:sz w:val="24"/>
      <w:szCs w:val="28"/>
    </w:rPr>
  </w:style>
  <w:style w:type="paragraph" w:customStyle="1" w:styleId="ENoteTTIndentHeading">
    <w:name w:val="ENoteTTIndentHeading"/>
    <w:aliases w:val="enTTHi"/>
    <w:basedOn w:val="OPCParaBase"/>
    <w:rsid w:val="003A1A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1AA8"/>
    <w:pPr>
      <w:spacing w:before="60" w:line="240" w:lineRule="atLeast"/>
    </w:pPr>
    <w:rPr>
      <w:sz w:val="16"/>
    </w:rPr>
  </w:style>
  <w:style w:type="paragraph" w:customStyle="1" w:styleId="MadeunderText">
    <w:name w:val="MadeunderText"/>
    <w:basedOn w:val="OPCParaBase"/>
    <w:next w:val="CompiledMadeUnder"/>
    <w:rsid w:val="003A1AA8"/>
    <w:pPr>
      <w:spacing w:before="240"/>
    </w:pPr>
    <w:rPr>
      <w:sz w:val="24"/>
      <w:szCs w:val="24"/>
    </w:rPr>
  </w:style>
  <w:style w:type="paragraph" w:customStyle="1" w:styleId="ENotesHeading3">
    <w:name w:val="ENotesHeading 3"/>
    <w:aliases w:val="Enh3"/>
    <w:basedOn w:val="OPCParaBase"/>
    <w:next w:val="Normal"/>
    <w:rsid w:val="003A1AA8"/>
    <w:pPr>
      <w:keepNext/>
      <w:spacing w:before="120" w:line="240" w:lineRule="auto"/>
      <w:outlineLvl w:val="4"/>
    </w:pPr>
    <w:rPr>
      <w:b/>
      <w:szCs w:val="24"/>
    </w:rPr>
  </w:style>
  <w:style w:type="paragraph" w:customStyle="1" w:styleId="SubPartCASA">
    <w:name w:val="SubPart(CASA)"/>
    <w:aliases w:val="csp"/>
    <w:basedOn w:val="OPCParaBase"/>
    <w:next w:val="ActHead3"/>
    <w:rsid w:val="003A1AA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A1AA8"/>
  </w:style>
  <w:style w:type="character" w:customStyle="1" w:styleId="CharSubPartNoCASA">
    <w:name w:val="CharSubPartNo(CASA)"/>
    <w:basedOn w:val="OPCCharBase"/>
    <w:uiPriority w:val="1"/>
    <w:rsid w:val="003A1AA8"/>
  </w:style>
  <w:style w:type="paragraph" w:customStyle="1" w:styleId="ENoteTTIndentHeadingSub">
    <w:name w:val="ENoteTTIndentHeadingSub"/>
    <w:aliases w:val="enTTHis"/>
    <w:basedOn w:val="OPCParaBase"/>
    <w:rsid w:val="003A1AA8"/>
    <w:pPr>
      <w:keepNext/>
      <w:spacing w:before="60" w:line="240" w:lineRule="atLeast"/>
      <w:ind w:left="340"/>
    </w:pPr>
    <w:rPr>
      <w:b/>
      <w:sz w:val="16"/>
    </w:rPr>
  </w:style>
  <w:style w:type="paragraph" w:customStyle="1" w:styleId="ENoteTTiSub">
    <w:name w:val="ENoteTTiSub"/>
    <w:aliases w:val="enttis"/>
    <w:basedOn w:val="OPCParaBase"/>
    <w:rsid w:val="003A1AA8"/>
    <w:pPr>
      <w:keepNext/>
      <w:spacing w:before="60" w:line="240" w:lineRule="atLeast"/>
      <w:ind w:left="340"/>
    </w:pPr>
    <w:rPr>
      <w:sz w:val="16"/>
    </w:rPr>
  </w:style>
  <w:style w:type="paragraph" w:customStyle="1" w:styleId="SubDivisionMigration">
    <w:name w:val="SubDivisionMigration"/>
    <w:aliases w:val="sdm"/>
    <w:basedOn w:val="OPCParaBase"/>
    <w:rsid w:val="003A1A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1AA8"/>
    <w:pPr>
      <w:keepNext/>
      <w:keepLines/>
      <w:spacing w:before="240" w:line="240" w:lineRule="auto"/>
      <w:ind w:left="1134" w:hanging="1134"/>
    </w:pPr>
    <w:rPr>
      <w:b/>
      <w:sz w:val="28"/>
    </w:rPr>
  </w:style>
  <w:style w:type="paragraph" w:customStyle="1" w:styleId="notetext">
    <w:name w:val="note(text)"/>
    <w:aliases w:val="n"/>
    <w:basedOn w:val="OPCParaBase"/>
    <w:rsid w:val="003A1AA8"/>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3A1A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1AA8"/>
    <w:rPr>
      <w:sz w:val="22"/>
    </w:rPr>
  </w:style>
  <w:style w:type="paragraph" w:customStyle="1" w:styleId="SOTextNote">
    <w:name w:val="SO TextNote"/>
    <w:aliases w:val="sont"/>
    <w:basedOn w:val="SOText"/>
    <w:qFormat/>
    <w:rsid w:val="003A1AA8"/>
    <w:pPr>
      <w:spacing w:before="122" w:line="198" w:lineRule="exact"/>
      <w:ind w:left="1843" w:hanging="709"/>
    </w:pPr>
    <w:rPr>
      <w:sz w:val="18"/>
    </w:rPr>
  </w:style>
  <w:style w:type="paragraph" w:customStyle="1" w:styleId="SOPara">
    <w:name w:val="SO Para"/>
    <w:aliases w:val="soa"/>
    <w:basedOn w:val="SOText"/>
    <w:link w:val="SOParaChar"/>
    <w:qFormat/>
    <w:rsid w:val="003A1AA8"/>
    <w:pPr>
      <w:tabs>
        <w:tab w:val="right" w:pos="1786"/>
      </w:tabs>
      <w:spacing w:before="40"/>
      <w:ind w:left="2070" w:hanging="936"/>
    </w:pPr>
  </w:style>
  <w:style w:type="character" w:customStyle="1" w:styleId="SOParaChar">
    <w:name w:val="SO Para Char"/>
    <w:aliases w:val="soa Char"/>
    <w:basedOn w:val="DefaultParagraphFont"/>
    <w:link w:val="SOPara"/>
    <w:rsid w:val="003A1AA8"/>
    <w:rPr>
      <w:sz w:val="22"/>
    </w:rPr>
  </w:style>
  <w:style w:type="paragraph" w:customStyle="1" w:styleId="FileName">
    <w:name w:val="FileName"/>
    <w:basedOn w:val="Normal"/>
    <w:rsid w:val="003A1AA8"/>
  </w:style>
  <w:style w:type="paragraph" w:customStyle="1" w:styleId="TableHeading">
    <w:name w:val="TableHeading"/>
    <w:aliases w:val="th"/>
    <w:basedOn w:val="OPCParaBase"/>
    <w:next w:val="Tabletext"/>
    <w:rsid w:val="003A1AA8"/>
    <w:pPr>
      <w:keepNext/>
      <w:spacing w:before="60" w:line="240" w:lineRule="atLeast"/>
    </w:pPr>
    <w:rPr>
      <w:b/>
      <w:sz w:val="20"/>
    </w:rPr>
  </w:style>
  <w:style w:type="paragraph" w:customStyle="1" w:styleId="SOHeadBold">
    <w:name w:val="SO HeadBold"/>
    <w:aliases w:val="sohb"/>
    <w:basedOn w:val="SOText"/>
    <w:next w:val="SOText"/>
    <w:link w:val="SOHeadBoldChar"/>
    <w:qFormat/>
    <w:rsid w:val="003A1AA8"/>
    <w:rPr>
      <w:b/>
    </w:rPr>
  </w:style>
  <w:style w:type="character" w:customStyle="1" w:styleId="SOHeadBoldChar">
    <w:name w:val="SO HeadBold Char"/>
    <w:aliases w:val="sohb Char"/>
    <w:basedOn w:val="DefaultParagraphFont"/>
    <w:link w:val="SOHeadBold"/>
    <w:rsid w:val="003A1AA8"/>
    <w:rPr>
      <w:b/>
      <w:sz w:val="22"/>
    </w:rPr>
  </w:style>
  <w:style w:type="paragraph" w:customStyle="1" w:styleId="SOHeadItalic">
    <w:name w:val="SO HeadItalic"/>
    <w:aliases w:val="sohi"/>
    <w:basedOn w:val="SOText"/>
    <w:next w:val="SOText"/>
    <w:link w:val="SOHeadItalicChar"/>
    <w:qFormat/>
    <w:rsid w:val="003A1AA8"/>
    <w:rPr>
      <w:i/>
    </w:rPr>
  </w:style>
  <w:style w:type="character" w:customStyle="1" w:styleId="SOHeadItalicChar">
    <w:name w:val="SO HeadItalic Char"/>
    <w:aliases w:val="sohi Char"/>
    <w:basedOn w:val="DefaultParagraphFont"/>
    <w:link w:val="SOHeadItalic"/>
    <w:rsid w:val="003A1AA8"/>
    <w:rPr>
      <w:i/>
      <w:sz w:val="22"/>
    </w:rPr>
  </w:style>
  <w:style w:type="paragraph" w:customStyle="1" w:styleId="SOBullet">
    <w:name w:val="SO Bullet"/>
    <w:aliases w:val="sotb"/>
    <w:basedOn w:val="SOText"/>
    <w:link w:val="SOBulletChar"/>
    <w:qFormat/>
    <w:rsid w:val="003A1AA8"/>
    <w:pPr>
      <w:ind w:left="1559" w:hanging="425"/>
    </w:pPr>
  </w:style>
  <w:style w:type="character" w:customStyle="1" w:styleId="SOBulletChar">
    <w:name w:val="SO Bullet Char"/>
    <w:aliases w:val="sotb Char"/>
    <w:basedOn w:val="DefaultParagraphFont"/>
    <w:link w:val="SOBullet"/>
    <w:rsid w:val="003A1AA8"/>
    <w:rPr>
      <w:sz w:val="22"/>
    </w:rPr>
  </w:style>
  <w:style w:type="paragraph" w:customStyle="1" w:styleId="SOBulletNote">
    <w:name w:val="SO BulletNote"/>
    <w:aliases w:val="sonb"/>
    <w:basedOn w:val="SOTextNote"/>
    <w:link w:val="SOBulletNoteChar"/>
    <w:qFormat/>
    <w:rsid w:val="003A1AA8"/>
    <w:pPr>
      <w:tabs>
        <w:tab w:val="left" w:pos="1560"/>
      </w:tabs>
      <w:ind w:left="2268" w:hanging="1134"/>
    </w:pPr>
  </w:style>
  <w:style w:type="character" w:customStyle="1" w:styleId="SOBulletNoteChar">
    <w:name w:val="SO BulletNote Char"/>
    <w:aliases w:val="sonb Char"/>
    <w:basedOn w:val="DefaultParagraphFont"/>
    <w:link w:val="SOBulletNote"/>
    <w:rsid w:val="003A1AA8"/>
    <w:rPr>
      <w:sz w:val="18"/>
    </w:rPr>
  </w:style>
  <w:style w:type="paragraph" w:customStyle="1" w:styleId="SOText2">
    <w:name w:val="SO Text2"/>
    <w:aliases w:val="sot2"/>
    <w:basedOn w:val="Normal"/>
    <w:next w:val="SOText"/>
    <w:link w:val="SOText2Char"/>
    <w:rsid w:val="003A1A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1AA8"/>
    <w:rPr>
      <w:sz w:val="22"/>
    </w:rPr>
  </w:style>
  <w:style w:type="character" w:customStyle="1" w:styleId="subsectionChar">
    <w:name w:val="subsection Char"/>
    <w:aliases w:val="ss Char"/>
    <w:basedOn w:val="DefaultParagraphFont"/>
    <w:link w:val="subsection"/>
    <w:locked/>
    <w:rsid w:val="004C2A09"/>
    <w:rPr>
      <w:rFonts w:eastAsia="Times New Roman" w:cs="Times New Roman"/>
      <w:sz w:val="22"/>
      <w:lang w:eastAsia="en-AU"/>
    </w:rPr>
  </w:style>
  <w:style w:type="paragraph" w:styleId="FootnoteText">
    <w:name w:val="footnote text"/>
    <w:basedOn w:val="Normal"/>
    <w:link w:val="FootnoteTextChar"/>
    <w:uiPriority w:val="99"/>
    <w:rsid w:val="00913619"/>
    <w:pPr>
      <w:tabs>
        <w:tab w:val="left" w:pos="284"/>
      </w:tabs>
      <w:spacing w:line="240" w:lineRule="auto"/>
      <w:ind w:left="284" w:hanging="284"/>
    </w:pPr>
    <w:rPr>
      <w:rFonts w:eastAsia="Times New Roman" w:cs="Times New Roman"/>
      <w:sz w:val="20"/>
      <w:lang w:eastAsia="en-AU"/>
    </w:rPr>
  </w:style>
  <w:style w:type="character" w:customStyle="1" w:styleId="FootnoteTextChar">
    <w:name w:val="Footnote Text Char"/>
    <w:basedOn w:val="DefaultParagraphFont"/>
    <w:link w:val="FootnoteText"/>
    <w:uiPriority w:val="99"/>
    <w:rsid w:val="00913619"/>
    <w:rPr>
      <w:rFonts w:eastAsia="Times New Roman" w:cs="Times New Roman"/>
      <w:lang w:eastAsia="en-AU"/>
    </w:rPr>
  </w:style>
  <w:style w:type="character" w:styleId="FootnoteReference">
    <w:name w:val="footnote reference"/>
    <w:basedOn w:val="DefaultParagraphFont"/>
    <w:rsid w:val="00913619"/>
    <w:rPr>
      <w:vertAlign w:val="superscript"/>
    </w:rPr>
  </w:style>
  <w:style w:type="paragraph" w:styleId="ListParagraph">
    <w:name w:val="List Paragraph"/>
    <w:basedOn w:val="Normal"/>
    <w:link w:val="ListParagraphChar"/>
    <w:uiPriority w:val="99"/>
    <w:qFormat/>
    <w:rsid w:val="00B633D9"/>
    <w:pPr>
      <w:spacing w:after="200" w:line="276" w:lineRule="auto"/>
      <w:ind w:left="720"/>
      <w:contextualSpacing/>
    </w:pPr>
    <w:rPr>
      <w:rFonts w:ascii="Calibri" w:eastAsia="Calibri" w:hAnsi="Calibri" w:cs="Times New Roman"/>
      <w:szCs w:val="22"/>
    </w:rPr>
  </w:style>
  <w:style w:type="character" w:customStyle="1" w:styleId="ListParagraphChar">
    <w:name w:val="List Paragraph Char"/>
    <w:basedOn w:val="DefaultParagraphFont"/>
    <w:link w:val="ListParagraph"/>
    <w:uiPriority w:val="99"/>
    <w:locked/>
    <w:rsid w:val="00B633D9"/>
    <w:rPr>
      <w:rFonts w:ascii="Calibri" w:eastAsia="Calibri" w:hAnsi="Calibri" w:cs="Times New Roman"/>
      <w:sz w:val="22"/>
      <w:szCs w:val="22"/>
    </w:rPr>
  </w:style>
  <w:style w:type="character" w:customStyle="1" w:styleId="Heading1Char">
    <w:name w:val="Heading 1 Char"/>
    <w:basedOn w:val="DefaultParagraphFont"/>
    <w:link w:val="Heading1"/>
    <w:rsid w:val="009453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213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13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213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213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213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213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213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21391"/>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25897"/>
    <w:rPr>
      <w:sz w:val="16"/>
      <w:szCs w:val="16"/>
    </w:rPr>
  </w:style>
  <w:style w:type="paragraph" w:styleId="CommentText">
    <w:name w:val="annotation text"/>
    <w:basedOn w:val="Normal"/>
    <w:link w:val="CommentTextChar"/>
    <w:uiPriority w:val="99"/>
    <w:semiHidden/>
    <w:unhideWhenUsed/>
    <w:rsid w:val="00D25897"/>
    <w:rPr>
      <w:rFonts w:eastAsia="Calibri" w:cs="Times New Roman"/>
      <w:sz w:val="20"/>
    </w:rPr>
  </w:style>
  <w:style w:type="character" w:customStyle="1" w:styleId="CommentTextChar">
    <w:name w:val="Comment Text Char"/>
    <w:basedOn w:val="DefaultParagraphFont"/>
    <w:link w:val="CommentText"/>
    <w:uiPriority w:val="99"/>
    <w:semiHidden/>
    <w:rsid w:val="00D25897"/>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1AA8"/>
    <w:pPr>
      <w:spacing w:line="260" w:lineRule="atLeast"/>
    </w:pPr>
    <w:rPr>
      <w:sz w:val="22"/>
    </w:rPr>
  </w:style>
  <w:style w:type="paragraph" w:styleId="Heading1">
    <w:name w:val="heading 1"/>
    <w:basedOn w:val="Normal"/>
    <w:next w:val="Normal"/>
    <w:link w:val="Heading1Char"/>
    <w:qFormat/>
    <w:rsid w:val="009453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13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13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13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13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13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13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13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213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1AA8"/>
  </w:style>
  <w:style w:type="paragraph" w:customStyle="1" w:styleId="OPCParaBase">
    <w:name w:val="OPCParaBase"/>
    <w:qFormat/>
    <w:rsid w:val="003A1AA8"/>
    <w:pPr>
      <w:spacing w:line="260" w:lineRule="atLeast"/>
    </w:pPr>
    <w:rPr>
      <w:rFonts w:eastAsia="Times New Roman" w:cs="Times New Roman"/>
      <w:sz w:val="22"/>
      <w:lang w:eastAsia="en-AU"/>
    </w:rPr>
  </w:style>
  <w:style w:type="paragraph" w:customStyle="1" w:styleId="ShortT">
    <w:name w:val="ShortT"/>
    <w:basedOn w:val="OPCParaBase"/>
    <w:next w:val="Normal"/>
    <w:qFormat/>
    <w:rsid w:val="003A1AA8"/>
    <w:pPr>
      <w:spacing w:line="240" w:lineRule="auto"/>
    </w:pPr>
    <w:rPr>
      <w:b/>
      <w:sz w:val="40"/>
    </w:rPr>
  </w:style>
  <w:style w:type="paragraph" w:customStyle="1" w:styleId="ActHead1">
    <w:name w:val="ActHead 1"/>
    <w:aliases w:val="c"/>
    <w:basedOn w:val="OPCParaBase"/>
    <w:next w:val="Normal"/>
    <w:qFormat/>
    <w:rsid w:val="003A1A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1A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1A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1A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A1A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1A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1A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1A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1A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A1AA8"/>
  </w:style>
  <w:style w:type="paragraph" w:customStyle="1" w:styleId="Blocks">
    <w:name w:val="Blocks"/>
    <w:aliases w:val="bb"/>
    <w:basedOn w:val="OPCParaBase"/>
    <w:qFormat/>
    <w:rsid w:val="003A1AA8"/>
    <w:pPr>
      <w:spacing w:line="240" w:lineRule="auto"/>
    </w:pPr>
    <w:rPr>
      <w:sz w:val="24"/>
    </w:rPr>
  </w:style>
  <w:style w:type="paragraph" w:customStyle="1" w:styleId="BoxText">
    <w:name w:val="BoxText"/>
    <w:aliases w:val="bt"/>
    <w:basedOn w:val="OPCParaBase"/>
    <w:qFormat/>
    <w:rsid w:val="003A1A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1AA8"/>
    <w:rPr>
      <w:b/>
    </w:rPr>
  </w:style>
  <w:style w:type="paragraph" w:customStyle="1" w:styleId="BoxHeadItalic">
    <w:name w:val="BoxHeadItalic"/>
    <w:aliases w:val="bhi"/>
    <w:basedOn w:val="BoxText"/>
    <w:next w:val="BoxStep"/>
    <w:qFormat/>
    <w:rsid w:val="003A1AA8"/>
    <w:rPr>
      <w:i/>
    </w:rPr>
  </w:style>
  <w:style w:type="paragraph" w:customStyle="1" w:styleId="BoxList">
    <w:name w:val="BoxList"/>
    <w:aliases w:val="bl"/>
    <w:basedOn w:val="BoxText"/>
    <w:qFormat/>
    <w:rsid w:val="003A1AA8"/>
    <w:pPr>
      <w:ind w:left="1559" w:hanging="425"/>
    </w:pPr>
  </w:style>
  <w:style w:type="paragraph" w:customStyle="1" w:styleId="BoxNote">
    <w:name w:val="BoxNote"/>
    <w:aliases w:val="bn"/>
    <w:basedOn w:val="BoxText"/>
    <w:qFormat/>
    <w:rsid w:val="003A1AA8"/>
    <w:pPr>
      <w:tabs>
        <w:tab w:val="left" w:pos="1985"/>
      </w:tabs>
      <w:spacing w:before="122" w:line="198" w:lineRule="exact"/>
      <w:ind w:left="2948" w:hanging="1814"/>
    </w:pPr>
    <w:rPr>
      <w:sz w:val="18"/>
    </w:rPr>
  </w:style>
  <w:style w:type="paragraph" w:customStyle="1" w:styleId="BoxPara">
    <w:name w:val="BoxPara"/>
    <w:aliases w:val="bp"/>
    <w:basedOn w:val="BoxText"/>
    <w:qFormat/>
    <w:rsid w:val="003A1AA8"/>
    <w:pPr>
      <w:tabs>
        <w:tab w:val="right" w:pos="2268"/>
      </w:tabs>
      <w:ind w:left="2552" w:hanging="1418"/>
    </w:pPr>
  </w:style>
  <w:style w:type="paragraph" w:customStyle="1" w:styleId="BoxStep">
    <w:name w:val="BoxStep"/>
    <w:aliases w:val="bs"/>
    <w:basedOn w:val="BoxText"/>
    <w:qFormat/>
    <w:rsid w:val="003A1AA8"/>
    <w:pPr>
      <w:ind w:left="1985" w:hanging="851"/>
    </w:pPr>
  </w:style>
  <w:style w:type="character" w:customStyle="1" w:styleId="CharAmPartNo">
    <w:name w:val="CharAmPartNo"/>
    <w:basedOn w:val="OPCCharBase"/>
    <w:uiPriority w:val="1"/>
    <w:qFormat/>
    <w:rsid w:val="003A1AA8"/>
  </w:style>
  <w:style w:type="character" w:customStyle="1" w:styleId="CharAmPartText">
    <w:name w:val="CharAmPartText"/>
    <w:basedOn w:val="OPCCharBase"/>
    <w:uiPriority w:val="1"/>
    <w:qFormat/>
    <w:rsid w:val="003A1AA8"/>
  </w:style>
  <w:style w:type="character" w:customStyle="1" w:styleId="CharAmSchNo">
    <w:name w:val="CharAmSchNo"/>
    <w:basedOn w:val="OPCCharBase"/>
    <w:uiPriority w:val="1"/>
    <w:qFormat/>
    <w:rsid w:val="003A1AA8"/>
  </w:style>
  <w:style w:type="character" w:customStyle="1" w:styleId="CharAmSchText">
    <w:name w:val="CharAmSchText"/>
    <w:basedOn w:val="OPCCharBase"/>
    <w:uiPriority w:val="1"/>
    <w:qFormat/>
    <w:rsid w:val="003A1AA8"/>
  </w:style>
  <w:style w:type="character" w:customStyle="1" w:styleId="CharBoldItalic">
    <w:name w:val="CharBoldItalic"/>
    <w:basedOn w:val="OPCCharBase"/>
    <w:uiPriority w:val="1"/>
    <w:qFormat/>
    <w:rsid w:val="003A1AA8"/>
    <w:rPr>
      <w:b/>
      <w:i/>
    </w:rPr>
  </w:style>
  <w:style w:type="character" w:customStyle="1" w:styleId="CharChapNo">
    <w:name w:val="CharChapNo"/>
    <w:basedOn w:val="OPCCharBase"/>
    <w:qFormat/>
    <w:rsid w:val="003A1AA8"/>
  </w:style>
  <w:style w:type="character" w:customStyle="1" w:styleId="CharChapText">
    <w:name w:val="CharChapText"/>
    <w:basedOn w:val="OPCCharBase"/>
    <w:qFormat/>
    <w:rsid w:val="003A1AA8"/>
  </w:style>
  <w:style w:type="character" w:customStyle="1" w:styleId="CharDivNo">
    <w:name w:val="CharDivNo"/>
    <w:basedOn w:val="OPCCharBase"/>
    <w:qFormat/>
    <w:rsid w:val="003A1AA8"/>
  </w:style>
  <w:style w:type="character" w:customStyle="1" w:styleId="CharDivText">
    <w:name w:val="CharDivText"/>
    <w:basedOn w:val="OPCCharBase"/>
    <w:qFormat/>
    <w:rsid w:val="003A1AA8"/>
  </w:style>
  <w:style w:type="character" w:customStyle="1" w:styleId="CharItalic">
    <w:name w:val="CharItalic"/>
    <w:basedOn w:val="OPCCharBase"/>
    <w:uiPriority w:val="1"/>
    <w:qFormat/>
    <w:rsid w:val="003A1AA8"/>
    <w:rPr>
      <w:i/>
    </w:rPr>
  </w:style>
  <w:style w:type="character" w:customStyle="1" w:styleId="CharPartNo">
    <w:name w:val="CharPartNo"/>
    <w:basedOn w:val="OPCCharBase"/>
    <w:qFormat/>
    <w:rsid w:val="003A1AA8"/>
  </w:style>
  <w:style w:type="character" w:customStyle="1" w:styleId="CharPartText">
    <w:name w:val="CharPartText"/>
    <w:basedOn w:val="OPCCharBase"/>
    <w:qFormat/>
    <w:rsid w:val="003A1AA8"/>
  </w:style>
  <w:style w:type="character" w:customStyle="1" w:styleId="CharSectno">
    <w:name w:val="CharSectno"/>
    <w:basedOn w:val="OPCCharBase"/>
    <w:qFormat/>
    <w:rsid w:val="003A1AA8"/>
  </w:style>
  <w:style w:type="character" w:customStyle="1" w:styleId="CharSubdNo">
    <w:name w:val="CharSubdNo"/>
    <w:basedOn w:val="OPCCharBase"/>
    <w:uiPriority w:val="1"/>
    <w:qFormat/>
    <w:rsid w:val="003A1AA8"/>
  </w:style>
  <w:style w:type="character" w:customStyle="1" w:styleId="CharSubdText">
    <w:name w:val="CharSubdText"/>
    <w:basedOn w:val="OPCCharBase"/>
    <w:uiPriority w:val="1"/>
    <w:qFormat/>
    <w:rsid w:val="003A1AA8"/>
  </w:style>
  <w:style w:type="paragraph" w:customStyle="1" w:styleId="CTA--">
    <w:name w:val="CTA --"/>
    <w:basedOn w:val="OPCParaBase"/>
    <w:next w:val="Normal"/>
    <w:rsid w:val="003A1AA8"/>
    <w:pPr>
      <w:spacing w:before="60" w:line="240" w:lineRule="atLeast"/>
      <w:ind w:left="142" w:hanging="142"/>
    </w:pPr>
    <w:rPr>
      <w:sz w:val="20"/>
    </w:rPr>
  </w:style>
  <w:style w:type="paragraph" w:customStyle="1" w:styleId="CTA-">
    <w:name w:val="CTA -"/>
    <w:basedOn w:val="OPCParaBase"/>
    <w:rsid w:val="003A1AA8"/>
    <w:pPr>
      <w:spacing w:before="60" w:line="240" w:lineRule="atLeast"/>
      <w:ind w:left="85" w:hanging="85"/>
    </w:pPr>
    <w:rPr>
      <w:sz w:val="20"/>
    </w:rPr>
  </w:style>
  <w:style w:type="paragraph" w:customStyle="1" w:styleId="CTA---">
    <w:name w:val="CTA ---"/>
    <w:basedOn w:val="OPCParaBase"/>
    <w:next w:val="Normal"/>
    <w:rsid w:val="003A1AA8"/>
    <w:pPr>
      <w:spacing w:before="60" w:line="240" w:lineRule="atLeast"/>
      <w:ind w:left="198" w:hanging="198"/>
    </w:pPr>
    <w:rPr>
      <w:sz w:val="20"/>
    </w:rPr>
  </w:style>
  <w:style w:type="paragraph" w:customStyle="1" w:styleId="CTA----">
    <w:name w:val="CTA ----"/>
    <w:basedOn w:val="OPCParaBase"/>
    <w:next w:val="Normal"/>
    <w:rsid w:val="003A1AA8"/>
    <w:pPr>
      <w:spacing w:before="60" w:line="240" w:lineRule="atLeast"/>
      <w:ind w:left="255" w:hanging="255"/>
    </w:pPr>
    <w:rPr>
      <w:sz w:val="20"/>
    </w:rPr>
  </w:style>
  <w:style w:type="paragraph" w:customStyle="1" w:styleId="CTA1a">
    <w:name w:val="CTA 1(a)"/>
    <w:basedOn w:val="OPCParaBase"/>
    <w:rsid w:val="003A1AA8"/>
    <w:pPr>
      <w:tabs>
        <w:tab w:val="right" w:pos="414"/>
      </w:tabs>
      <w:spacing w:before="40" w:line="240" w:lineRule="atLeast"/>
      <w:ind w:left="675" w:hanging="675"/>
    </w:pPr>
    <w:rPr>
      <w:sz w:val="20"/>
    </w:rPr>
  </w:style>
  <w:style w:type="paragraph" w:customStyle="1" w:styleId="CTA1ai">
    <w:name w:val="CTA 1(a)(i)"/>
    <w:basedOn w:val="OPCParaBase"/>
    <w:rsid w:val="003A1AA8"/>
    <w:pPr>
      <w:tabs>
        <w:tab w:val="right" w:pos="1004"/>
      </w:tabs>
      <w:spacing w:before="40" w:line="240" w:lineRule="atLeast"/>
      <w:ind w:left="1253" w:hanging="1253"/>
    </w:pPr>
    <w:rPr>
      <w:sz w:val="20"/>
    </w:rPr>
  </w:style>
  <w:style w:type="paragraph" w:customStyle="1" w:styleId="CTA2a">
    <w:name w:val="CTA 2(a)"/>
    <w:basedOn w:val="OPCParaBase"/>
    <w:rsid w:val="003A1AA8"/>
    <w:pPr>
      <w:tabs>
        <w:tab w:val="right" w:pos="482"/>
      </w:tabs>
      <w:spacing w:before="40" w:line="240" w:lineRule="atLeast"/>
      <w:ind w:left="748" w:hanging="748"/>
    </w:pPr>
    <w:rPr>
      <w:sz w:val="20"/>
    </w:rPr>
  </w:style>
  <w:style w:type="paragraph" w:customStyle="1" w:styleId="CTA2ai">
    <w:name w:val="CTA 2(a)(i)"/>
    <w:basedOn w:val="OPCParaBase"/>
    <w:rsid w:val="003A1AA8"/>
    <w:pPr>
      <w:tabs>
        <w:tab w:val="right" w:pos="1089"/>
      </w:tabs>
      <w:spacing w:before="40" w:line="240" w:lineRule="atLeast"/>
      <w:ind w:left="1327" w:hanging="1327"/>
    </w:pPr>
    <w:rPr>
      <w:sz w:val="20"/>
    </w:rPr>
  </w:style>
  <w:style w:type="paragraph" w:customStyle="1" w:styleId="CTA3a">
    <w:name w:val="CTA 3(a)"/>
    <w:basedOn w:val="OPCParaBase"/>
    <w:rsid w:val="003A1AA8"/>
    <w:pPr>
      <w:tabs>
        <w:tab w:val="right" w:pos="556"/>
      </w:tabs>
      <w:spacing w:before="40" w:line="240" w:lineRule="atLeast"/>
      <w:ind w:left="805" w:hanging="805"/>
    </w:pPr>
    <w:rPr>
      <w:sz w:val="20"/>
    </w:rPr>
  </w:style>
  <w:style w:type="paragraph" w:customStyle="1" w:styleId="CTA3ai">
    <w:name w:val="CTA 3(a)(i)"/>
    <w:basedOn w:val="OPCParaBase"/>
    <w:rsid w:val="003A1AA8"/>
    <w:pPr>
      <w:tabs>
        <w:tab w:val="right" w:pos="1140"/>
      </w:tabs>
      <w:spacing w:before="40" w:line="240" w:lineRule="atLeast"/>
      <w:ind w:left="1361" w:hanging="1361"/>
    </w:pPr>
    <w:rPr>
      <w:sz w:val="20"/>
    </w:rPr>
  </w:style>
  <w:style w:type="paragraph" w:customStyle="1" w:styleId="CTA4a">
    <w:name w:val="CTA 4(a)"/>
    <w:basedOn w:val="OPCParaBase"/>
    <w:rsid w:val="003A1AA8"/>
    <w:pPr>
      <w:tabs>
        <w:tab w:val="right" w:pos="624"/>
      </w:tabs>
      <w:spacing w:before="40" w:line="240" w:lineRule="atLeast"/>
      <w:ind w:left="873" w:hanging="873"/>
    </w:pPr>
    <w:rPr>
      <w:sz w:val="20"/>
    </w:rPr>
  </w:style>
  <w:style w:type="paragraph" w:customStyle="1" w:styleId="CTA4ai">
    <w:name w:val="CTA 4(a)(i)"/>
    <w:basedOn w:val="OPCParaBase"/>
    <w:rsid w:val="003A1AA8"/>
    <w:pPr>
      <w:tabs>
        <w:tab w:val="right" w:pos="1213"/>
      </w:tabs>
      <w:spacing w:before="40" w:line="240" w:lineRule="atLeast"/>
      <w:ind w:left="1452" w:hanging="1452"/>
    </w:pPr>
    <w:rPr>
      <w:sz w:val="20"/>
    </w:rPr>
  </w:style>
  <w:style w:type="paragraph" w:customStyle="1" w:styleId="CTACAPS">
    <w:name w:val="CTA CAPS"/>
    <w:basedOn w:val="OPCParaBase"/>
    <w:rsid w:val="003A1AA8"/>
    <w:pPr>
      <w:spacing w:before="60" w:line="240" w:lineRule="atLeast"/>
    </w:pPr>
    <w:rPr>
      <w:sz w:val="20"/>
    </w:rPr>
  </w:style>
  <w:style w:type="paragraph" w:customStyle="1" w:styleId="CTAright">
    <w:name w:val="CTA right"/>
    <w:basedOn w:val="OPCParaBase"/>
    <w:rsid w:val="003A1AA8"/>
    <w:pPr>
      <w:spacing w:before="60" w:line="240" w:lineRule="auto"/>
      <w:jc w:val="right"/>
    </w:pPr>
    <w:rPr>
      <w:sz w:val="20"/>
    </w:rPr>
  </w:style>
  <w:style w:type="paragraph" w:customStyle="1" w:styleId="subsection">
    <w:name w:val="subsection"/>
    <w:aliases w:val="ss"/>
    <w:basedOn w:val="OPCParaBase"/>
    <w:link w:val="subsectionChar"/>
    <w:rsid w:val="003A1AA8"/>
    <w:pPr>
      <w:tabs>
        <w:tab w:val="right" w:pos="1021"/>
      </w:tabs>
      <w:spacing w:before="180" w:line="240" w:lineRule="auto"/>
      <w:ind w:left="1134" w:hanging="1134"/>
    </w:pPr>
  </w:style>
  <w:style w:type="paragraph" w:customStyle="1" w:styleId="Definition">
    <w:name w:val="Definition"/>
    <w:aliases w:val="dd"/>
    <w:basedOn w:val="OPCParaBase"/>
    <w:rsid w:val="003A1AA8"/>
    <w:pPr>
      <w:spacing w:before="180" w:line="240" w:lineRule="auto"/>
      <w:ind w:left="1134"/>
    </w:pPr>
  </w:style>
  <w:style w:type="paragraph" w:customStyle="1" w:styleId="EndNotespara">
    <w:name w:val="EndNotes(para)"/>
    <w:aliases w:val="eta"/>
    <w:basedOn w:val="OPCParaBase"/>
    <w:next w:val="EndNotessubpara"/>
    <w:rsid w:val="003A1A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1A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1A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1AA8"/>
    <w:pPr>
      <w:tabs>
        <w:tab w:val="right" w:pos="1412"/>
      </w:tabs>
      <w:spacing w:before="60" w:line="240" w:lineRule="auto"/>
      <w:ind w:left="1525" w:hanging="1525"/>
    </w:pPr>
    <w:rPr>
      <w:sz w:val="20"/>
    </w:rPr>
  </w:style>
  <w:style w:type="paragraph" w:customStyle="1" w:styleId="Formula">
    <w:name w:val="Formula"/>
    <w:basedOn w:val="OPCParaBase"/>
    <w:rsid w:val="003A1AA8"/>
    <w:pPr>
      <w:spacing w:line="240" w:lineRule="auto"/>
      <w:ind w:left="1134"/>
    </w:pPr>
    <w:rPr>
      <w:sz w:val="20"/>
    </w:rPr>
  </w:style>
  <w:style w:type="paragraph" w:styleId="Header">
    <w:name w:val="header"/>
    <w:basedOn w:val="OPCParaBase"/>
    <w:link w:val="HeaderChar"/>
    <w:unhideWhenUsed/>
    <w:rsid w:val="003A1A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1AA8"/>
    <w:rPr>
      <w:rFonts w:eastAsia="Times New Roman" w:cs="Times New Roman"/>
      <w:sz w:val="16"/>
      <w:lang w:eastAsia="en-AU"/>
    </w:rPr>
  </w:style>
  <w:style w:type="paragraph" w:customStyle="1" w:styleId="House">
    <w:name w:val="House"/>
    <w:basedOn w:val="OPCParaBase"/>
    <w:rsid w:val="003A1AA8"/>
    <w:pPr>
      <w:spacing w:line="240" w:lineRule="auto"/>
    </w:pPr>
    <w:rPr>
      <w:sz w:val="28"/>
    </w:rPr>
  </w:style>
  <w:style w:type="paragraph" w:customStyle="1" w:styleId="Item">
    <w:name w:val="Item"/>
    <w:aliases w:val="i"/>
    <w:basedOn w:val="OPCParaBase"/>
    <w:next w:val="ItemHead"/>
    <w:rsid w:val="003A1AA8"/>
    <w:pPr>
      <w:keepLines/>
      <w:spacing w:before="80" w:line="240" w:lineRule="auto"/>
      <w:ind w:left="709"/>
    </w:pPr>
  </w:style>
  <w:style w:type="paragraph" w:customStyle="1" w:styleId="ItemHead">
    <w:name w:val="ItemHead"/>
    <w:aliases w:val="ih"/>
    <w:basedOn w:val="OPCParaBase"/>
    <w:next w:val="Item"/>
    <w:rsid w:val="003A1A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1AA8"/>
    <w:pPr>
      <w:spacing w:line="240" w:lineRule="auto"/>
    </w:pPr>
    <w:rPr>
      <w:b/>
      <w:sz w:val="32"/>
    </w:rPr>
  </w:style>
  <w:style w:type="paragraph" w:customStyle="1" w:styleId="notedraft">
    <w:name w:val="note(draft)"/>
    <w:aliases w:val="nd"/>
    <w:basedOn w:val="OPCParaBase"/>
    <w:rsid w:val="003A1AA8"/>
    <w:pPr>
      <w:spacing w:before="240" w:line="240" w:lineRule="auto"/>
      <w:ind w:left="284" w:hanging="284"/>
    </w:pPr>
    <w:rPr>
      <w:i/>
      <w:sz w:val="24"/>
    </w:rPr>
  </w:style>
  <w:style w:type="paragraph" w:customStyle="1" w:styleId="notemargin">
    <w:name w:val="note(margin)"/>
    <w:aliases w:val="nm"/>
    <w:basedOn w:val="OPCParaBase"/>
    <w:rsid w:val="003A1AA8"/>
    <w:pPr>
      <w:tabs>
        <w:tab w:val="left" w:pos="709"/>
      </w:tabs>
      <w:spacing w:before="122" w:line="198" w:lineRule="exact"/>
      <w:ind w:left="709" w:hanging="709"/>
    </w:pPr>
    <w:rPr>
      <w:sz w:val="18"/>
    </w:rPr>
  </w:style>
  <w:style w:type="paragraph" w:customStyle="1" w:styleId="noteToPara">
    <w:name w:val="noteToPara"/>
    <w:aliases w:val="ntp"/>
    <w:basedOn w:val="OPCParaBase"/>
    <w:rsid w:val="003A1AA8"/>
    <w:pPr>
      <w:spacing w:before="122" w:line="198" w:lineRule="exact"/>
      <w:ind w:left="2353" w:hanging="709"/>
    </w:pPr>
    <w:rPr>
      <w:sz w:val="18"/>
    </w:rPr>
  </w:style>
  <w:style w:type="paragraph" w:customStyle="1" w:styleId="noteParlAmend">
    <w:name w:val="note(ParlAmend)"/>
    <w:aliases w:val="npp"/>
    <w:basedOn w:val="OPCParaBase"/>
    <w:next w:val="ParlAmend"/>
    <w:rsid w:val="003A1AA8"/>
    <w:pPr>
      <w:spacing w:line="240" w:lineRule="auto"/>
      <w:jc w:val="right"/>
    </w:pPr>
    <w:rPr>
      <w:rFonts w:ascii="Arial" w:hAnsi="Arial"/>
      <w:b/>
      <w:i/>
    </w:rPr>
  </w:style>
  <w:style w:type="paragraph" w:customStyle="1" w:styleId="Page1">
    <w:name w:val="Page1"/>
    <w:basedOn w:val="OPCParaBase"/>
    <w:rsid w:val="003A1AA8"/>
    <w:pPr>
      <w:spacing w:before="5600" w:line="240" w:lineRule="auto"/>
    </w:pPr>
    <w:rPr>
      <w:b/>
      <w:sz w:val="32"/>
    </w:rPr>
  </w:style>
  <w:style w:type="paragraph" w:customStyle="1" w:styleId="PageBreak">
    <w:name w:val="PageBreak"/>
    <w:aliases w:val="pb"/>
    <w:basedOn w:val="OPCParaBase"/>
    <w:rsid w:val="003A1AA8"/>
    <w:pPr>
      <w:spacing w:line="240" w:lineRule="auto"/>
    </w:pPr>
    <w:rPr>
      <w:sz w:val="20"/>
    </w:rPr>
  </w:style>
  <w:style w:type="paragraph" w:customStyle="1" w:styleId="paragraphsub">
    <w:name w:val="paragraph(sub)"/>
    <w:aliases w:val="aa"/>
    <w:basedOn w:val="OPCParaBase"/>
    <w:rsid w:val="003A1AA8"/>
    <w:pPr>
      <w:tabs>
        <w:tab w:val="right" w:pos="1985"/>
      </w:tabs>
      <w:spacing w:before="40" w:line="240" w:lineRule="auto"/>
      <w:ind w:left="2098" w:hanging="2098"/>
    </w:pPr>
  </w:style>
  <w:style w:type="paragraph" w:customStyle="1" w:styleId="paragraphsub-sub">
    <w:name w:val="paragraph(sub-sub)"/>
    <w:aliases w:val="aaa"/>
    <w:basedOn w:val="OPCParaBase"/>
    <w:rsid w:val="003A1AA8"/>
    <w:pPr>
      <w:tabs>
        <w:tab w:val="right" w:pos="2722"/>
      </w:tabs>
      <w:spacing w:before="40" w:line="240" w:lineRule="auto"/>
      <w:ind w:left="2835" w:hanging="2835"/>
    </w:pPr>
  </w:style>
  <w:style w:type="paragraph" w:customStyle="1" w:styleId="paragraph">
    <w:name w:val="paragraph"/>
    <w:aliases w:val="a"/>
    <w:basedOn w:val="OPCParaBase"/>
    <w:rsid w:val="003A1AA8"/>
    <w:pPr>
      <w:tabs>
        <w:tab w:val="right" w:pos="1531"/>
      </w:tabs>
      <w:spacing w:before="40" w:line="240" w:lineRule="auto"/>
      <w:ind w:left="1644" w:hanging="1644"/>
    </w:pPr>
  </w:style>
  <w:style w:type="paragraph" w:customStyle="1" w:styleId="ParlAmend">
    <w:name w:val="ParlAmend"/>
    <w:aliases w:val="pp"/>
    <w:basedOn w:val="OPCParaBase"/>
    <w:rsid w:val="003A1AA8"/>
    <w:pPr>
      <w:spacing w:before="240" w:line="240" w:lineRule="atLeast"/>
      <w:ind w:hanging="567"/>
    </w:pPr>
    <w:rPr>
      <w:sz w:val="24"/>
    </w:rPr>
  </w:style>
  <w:style w:type="paragraph" w:customStyle="1" w:styleId="Penalty">
    <w:name w:val="Penalty"/>
    <w:basedOn w:val="OPCParaBase"/>
    <w:rsid w:val="003A1AA8"/>
    <w:pPr>
      <w:tabs>
        <w:tab w:val="left" w:pos="2977"/>
      </w:tabs>
      <w:spacing w:before="180" w:line="240" w:lineRule="auto"/>
      <w:ind w:left="1985" w:hanging="851"/>
    </w:pPr>
  </w:style>
  <w:style w:type="paragraph" w:customStyle="1" w:styleId="Portfolio">
    <w:name w:val="Portfolio"/>
    <w:basedOn w:val="OPCParaBase"/>
    <w:rsid w:val="003A1AA8"/>
    <w:pPr>
      <w:spacing w:line="240" w:lineRule="auto"/>
    </w:pPr>
    <w:rPr>
      <w:i/>
      <w:sz w:val="20"/>
    </w:rPr>
  </w:style>
  <w:style w:type="paragraph" w:customStyle="1" w:styleId="Preamble">
    <w:name w:val="Preamble"/>
    <w:basedOn w:val="OPCParaBase"/>
    <w:next w:val="Normal"/>
    <w:rsid w:val="003A1A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1AA8"/>
    <w:pPr>
      <w:spacing w:line="240" w:lineRule="auto"/>
    </w:pPr>
    <w:rPr>
      <w:i/>
      <w:sz w:val="20"/>
    </w:rPr>
  </w:style>
  <w:style w:type="paragraph" w:customStyle="1" w:styleId="Session">
    <w:name w:val="Session"/>
    <w:basedOn w:val="OPCParaBase"/>
    <w:rsid w:val="003A1AA8"/>
    <w:pPr>
      <w:spacing w:line="240" w:lineRule="auto"/>
    </w:pPr>
    <w:rPr>
      <w:sz w:val="28"/>
    </w:rPr>
  </w:style>
  <w:style w:type="paragraph" w:customStyle="1" w:styleId="Sponsor">
    <w:name w:val="Sponsor"/>
    <w:basedOn w:val="OPCParaBase"/>
    <w:rsid w:val="003A1AA8"/>
    <w:pPr>
      <w:spacing w:line="240" w:lineRule="auto"/>
    </w:pPr>
    <w:rPr>
      <w:i/>
    </w:rPr>
  </w:style>
  <w:style w:type="paragraph" w:customStyle="1" w:styleId="Subitem">
    <w:name w:val="Subitem"/>
    <w:aliases w:val="iss"/>
    <w:basedOn w:val="OPCParaBase"/>
    <w:rsid w:val="003A1AA8"/>
    <w:pPr>
      <w:spacing w:before="180" w:line="240" w:lineRule="auto"/>
      <w:ind w:left="709" w:hanging="709"/>
    </w:pPr>
  </w:style>
  <w:style w:type="paragraph" w:customStyle="1" w:styleId="SubitemHead">
    <w:name w:val="SubitemHead"/>
    <w:aliases w:val="issh"/>
    <w:basedOn w:val="OPCParaBase"/>
    <w:rsid w:val="003A1A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1AA8"/>
    <w:pPr>
      <w:spacing w:before="40" w:line="240" w:lineRule="auto"/>
      <w:ind w:left="1134"/>
    </w:pPr>
  </w:style>
  <w:style w:type="paragraph" w:customStyle="1" w:styleId="SubsectionHead">
    <w:name w:val="SubsectionHead"/>
    <w:aliases w:val="ssh"/>
    <w:basedOn w:val="OPCParaBase"/>
    <w:next w:val="subsection"/>
    <w:rsid w:val="003A1AA8"/>
    <w:pPr>
      <w:keepNext/>
      <w:keepLines/>
      <w:spacing w:before="240" w:line="240" w:lineRule="auto"/>
      <w:ind w:left="1134"/>
    </w:pPr>
    <w:rPr>
      <w:i/>
    </w:rPr>
  </w:style>
  <w:style w:type="paragraph" w:customStyle="1" w:styleId="Tablea">
    <w:name w:val="Table(a)"/>
    <w:aliases w:val="ta"/>
    <w:basedOn w:val="OPCParaBase"/>
    <w:rsid w:val="003A1AA8"/>
    <w:pPr>
      <w:spacing w:before="60" w:line="240" w:lineRule="auto"/>
      <w:ind w:left="284" w:hanging="284"/>
    </w:pPr>
    <w:rPr>
      <w:sz w:val="20"/>
    </w:rPr>
  </w:style>
  <w:style w:type="paragraph" w:customStyle="1" w:styleId="TableAA">
    <w:name w:val="Table(AA)"/>
    <w:aliases w:val="taaa"/>
    <w:basedOn w:val="OPCParaBase"/>
    <w:rsid w:val="003A1A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1A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1AA8"/>
    <w:pPr>
      <w:spacing w:before="60" w:line="240" w:lineRule="atLeast"/>
    </w:pPr>
    <w:rPr>
      <w:sz w:val="20"/>
    </w:rPr>
  </w:style>
  <w:style w:type="paragraph" w:customStyle="1" w:styleId="TLPBoxTextnote">
    <w:name w:val="TLPBoxText(note"/>
    <w:aliases w:val="right)"/>
    <w:basedOn w:val="OPCParaBase"/>
    <w:rsid w:val="003A1A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1A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1AA8"/>
    <w:pPr>
      <w:spacing w:before="122" w:line="198" w:lineRule="exact"/>
      <w:ind w:left="1985" w:hanging="851"/>
      <w:jc w:val="right"/>
    </w:pPr>
    <w:rPr>
      <w:sz w:val="18"/>
    </w:rPr>
  </w:style>
  <w:style w:type="paragraph" w:customStyle="1" w:styleId="TLPTableBullet">
    <w:name w:val="TLPTableBullet"/>
    <w:aliases w:val="ttb"/>
    <w:basedOn w:val="OPCParaBase"/>
    <w:rsid w:val="003A1AA8"/>
    <w:pPr>
      <w:spacing w:line="240" w:lineRule="exact"/>
      <w:ind w:left="284" w:hanging="284"/>
    </w:pPr>
    <w:rPr>
      <w:sz w:val="20"/>
    </w:rPr>
  </w:style>
  <w:style w:type="paragraph" w:styleId="TOC1">
    <w:name w:val="toc 1"/>
    <w:basedOn w:val="OPCParaBase"/>
    <w:next w:val="Normal"/>
    <w:uiPriority w:val="39"/>
    <w:unhideWhenUsed/>
    <w:rsid w:val="003A1AA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A1AA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A1AA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A1AA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A1AA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A1AA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A1AA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A1AA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A1AA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A1AA8"/>
    <w:pPr>
      <w:keepLines/>
      <w:spacing w:before="240" w:after="120" w:line="240" w:lineRule="auto"/>
      <w:ind w:left="794"/>
    </w:pPr>
    <w:rPr>
      <w:b/>
      <w:kern w:val="28"/>
      <w:sz w:val="20"/>
    </w:rPr>
  </w:style>
  <w:style w:type="paragraph" w:customStyle="1" w:styleId="TofSectsHeading">
    <w:name w:val="TofSects(Heading)"/>
    <w:basedOn w:val="OPCParaBase"/>
    <w:rsid w:val="003A1AA8"/>
    <w:pPr>
      <w:spacing w:before="240" w:after="120" w:line="240" w:lineRule="auto"/>
    </w:pPr>
    <w:rPr>
      <w:b/>
      <w:sz w:val="24"/>
    </w:rPr>
  </w:style>
  <w:style w:type="paragraph" w:customStyle="1" w:styleId="TofSectsSection">
    <w:name w:val="TofSects(Section)"/>
    <w:basedOn w:val="OPCParaBase"/>
    <w:rsid w:val="003A1AA8"/>
    <w:pPr>
      <w:keepLines/>
      <w:spacing w:before="40" w:line="240" w:lineRule="auto"/>
      <w:ind w:left="1588" w:hanging="794"/>
    </w:pPr>
    <w:rPr>
      <w:kern w:val="28"/>
      <w:sz w:val="18"/>
    </w:rPr>
  </w:style>
  <w:style w:type="paragraph" w:customStyle="1" w:styleId="TofSectsSubdiv">
    <w:name w:val="TofSects(Subdiv)"/>
    <w:basedOn w:val="OPCParaBase"/>
    <w:rsid w:val="003A1AA8"/>
    <w:pPr>
      <w:keepLines/>
      <w:spacing w:before="80" w:line="240" w:lineRule="auto"/>
      <w:ind w:left="1588" w:hanging="794"/>
    </w:pPr>
    <w:rPr>
      <w:kern w:val="28"/>
    </w:rPr>
  </w:style>
  <w:style w:type="paragraph" w:customStyle="1" w:styleId="WRStyle">
    <w:name w:val="WR Style"/>
    <w:aliases w:val="WR"/>
    <w:basedOn w:val="OPCParaBase"/>
    <w:rsid w:val="003A1AA8"/>
    <w:pPr>
      <w:spacing w:before="240" w:line="240" w:lineRule="auto"/>
      <w:ind w:left="284" w:hanging="284"/>
    </w:pPr>
    <w:rPr>
      <w:b/>
      <w:i/>
      <w:kern w:val="28"/>
      <w:sz w:val="24"/>
    </w:rPr>
  </w:style>
  <w:style w:type="paragraph" w:customStyle="1" w:styleId="notepara">
    <w:name w:val="note(para)"/>
    <w:aliases w:val="na"/>
    <w:basedOn w:val="OPCParaBase"/>
    <w:rsid w:val="003A1AA8"/>
    <w:pPr>
      <w:spacing w:before="40" w:line="198" w:lineRule="exact"/>
      <w:ind w:left="2354" w:hanging="369"/>
    </w:pPr>
    <w:rPr>
      <w:sz w:val="18"/>
    </w:rPr>
  </w:style>
  <w:style w:type="paragraph" w:styleId="Footer">
    <w:name w:val="footer"/>
    <w:link w:val="FooterChar"/>
    <w:rsid w:val="003A1A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1AA8"/>
    <w:rPr>
      <w:rFonts w:eastAsia="Times New Roman" w:cs="Times New Roman"/>
      <w:sz w:val="22"/>
      <w:szCs w:val="24"/>
      <w:lang w:eastAsia="en-AU"/>
    </w:rPr>
  </w:style>
  <w:style w:type="character" w:styleId="LineNumber">
    <w:name w:val="line number"/>
    <w:basedOn w:val="OPCCharBase"/>
    <w:uiPriority w:val="99"/>
    <w:semiHidden/>
    <w:unhideWhenUsed/>
    <w:rsid w:val="003A1AA8"/>
    <w:rPr>
      <w:sz w:val="16"/>
    </w:rPr>
  </w:style>
  <w:style w:type="table" w:customStyle="1" w:styleId="CFlag">
    <w:name w:val="CFlag"/>
    <w:basedOn w:val="TableNormal"/>
    <w:uiPriority w:val="99"/>
    <w:rsid w:val="003A1AA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1A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AA8"/>
    <w:rPr>
      <w:rFonts w:ascii="Tahoma" w:hAnsi="Tahoma" w:cs="Tahoma"/>
      <w:sz w:val="16"/>
      <w:szCs w:val="16"/>
    </w:rPr>
  </w:style>
  <w:style w:type="table" w:styleId="TableGrid">
    <w:name w:val="Table Grid"/>
    <w:basedOn w:val="TableNormal"/>
    <w:uiPriority w:val="59"/>
    <w:rsid w:val="003A1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A1AA8"/>
    <w:rPr>
      <w:b/>
      <w:sz w:val="28"/>
      <w:szCs w:val="32"/>
    </w:rPr>
  </w:style>
  <w:style w:type="paragraph" w:customStyle="1" w:styleId="LegislationMadeUnder">
    <w:name w:val="LegislationMadeUnder"/>
    <w:basedOn w:val="OPCParaBase"/>
    <w:next w:val="Normal"/>
    <w:rsid w:val="003A1AA8"/>
    <w:rPr>
      <w:i/>
      <w:sz w:val="32"/>
      <w:szCs w:val="32"/>
    </w:rPr>
  </w:style>
  <w:style w:type="paragraph" w:customStyle="1" w:styleId="SignCoverPageEnd">
    <w:name w:val="SignCoverPageEnd"/>
    <w:basedOn w:val="OPCParaBase"/>
    <w:next w:val="Normal"/>
    <w:rsid w:val="003A1AA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A1AA8"/>
    <w:pPr>
      <w:pBdr>
        <w:top w:val="single" w:sz="4" w:space="1" w:color="auto"/>
      </w:pBdr>
      <w:spacing w:before="360"/>
      <w:ind w:right="397"/>
      <w:jc w:val="both"/>
    </w:pPr>
  </w:style>
  <w:style w:type="paragraph" w:customStyle="1" w:styleId="NotesHeading1">
    <w:name w:val="NotesHeading 1"/>
    <w:basedOn w:val="OPCParaBase"/>
    <w:next w:val="Normal"/>
    <w:rsid w:val="003A1AA8"/>
    <w:pPr>
      <w:outlineLvl w:val="0"/>
    </w:pPr>
    <w:rPr>
      <w:b/>
      <w:sz w:val="28"/>
      <w:szCs w:val="28"/>
    </w:rPr>
  </w:style>
  <w:style w:type="paragraph" w:customStyle="1" w:styleId="NotesHeading2">
    <w:name w:val="NotesHeading 2"/>
    <w:basedOn w:val="OPCParaBase"/>
    <w:next w:val="Normal"/>
    <w:rsid w:val="003A1AA8"/>
    <w:rPr>
      <w:b/>
      <w:sz w:val="28"/>
      <w:szCs w:val="28"/>
    </w:rPr>
  </w:style>
  <w:style w:type="paragraph" w:customStyle="1" w:styleId="CompiledActNo">
    <w:name w:val="CompiledActNo"/>
    <w:basedOn w:val="OPCParaBase"/>
    <w:next w:val="Normal"/>
    <w:rsid w:val="003A1AA8"/>
    <w:rPr>
      <w:b/>
      <w:sz w:val="24"/>
      <w:szCs w:val="24"/>
    </w:rPr>
  </w:style>
  <w:style w:type="paragraph" w:customStyle="1" w:styleId="ENotesText">
    <w:name w:val="ENotesText"/>
    <w:aliases w:val="Ent"/>
    <w:basedOn w:val="OPCParaBase"/>
    <w:next w:val="Normal"/>
    <w:rsid w:val="003A1AA8"/>
    <w:pPr>
      <w:spacing w:before="120"/>
    </w:pPr>
  </w:style>
  <w:style w:type="paragraph" w:customStyle="1" w:styleId="CompiledMadeUnder">
    <w:name w:val="CompiledMadeUnder"/>
    <w:basedOn w:val="OPCParaBase"/>
    <w:next w:val="Normal"/>
    <w:rsid w:val="003A1AA8"/>
    <w:rPr>
      <w:i/>
      <w:sz w:val="24"/>
      <w:szCs w:val="24"/>
    </w:rPr>
  </w:style>
  <w:style w:type="paragraph" w:customStyle="1" w:styleId="Paragraphsub-sub-sub">
    <w:name w:val="Paragraph(sub-sub-sub)"/>
    <w:aliases w:val="aaaa"/>
    <w:basedOn w:val="OPCParaBase"/>
    <w:rsid w:val="003A1AA8"/>
    <w:pPr>
      <w:tabs>
        <w:tab w:val="right" w:pos="3402"/>
      </w:tabs>
      <w:spacing w:before="40" w:line="240" w:lineRule="auto"/>
      <w:ind w:left="3402" w:hanging="3402"/>
    </w:pPr>
  </w:style>
  <w:style w:type="paragraph" w:customStyle="1" w:styleId="TableTextEndNotes">
    <w:name w:val="TableTextEndNotes"/>
    <w:aliases w:val="Tten"/>
    <w:basedOn w:val="Normal"/>
    <w:rsid w:val="003A1AA8"/>
    <w:pPr>
      <w:spacing w:before="60" w:line="240" w:lineRule="auto"/>
    </w:pPr>
    <w:rPr>
      <w:rFonts w:cs="Arial"/>
      <w:sz w:val="20"/>
      <w:szCs w:val="22"/>
    </w:rPr>
  </w:style>
  <w:style w:type="paragraph" w:customStyle="1" w:styleId="NoteToSubpara">
    <w:name w:val="NoteToSubpara"/>
    <w:aliases w:val="nts"/>
    <w:basedOn w:val="OPCParaBase"/>
    <w:rsid w:val="003A1AA8"/>
    <w:pPr>
      <w:spacing w:before="40" w:line="198" w:lineRule="exact"/>
      <w:ind w:left="2835" w:hanging="709"/>
    </w:pPr>
    <w:rPr>
      <w:sz w:val="18"/>
    </w:rPr>
  </w:style>
  <w:style w:type="paragraph" w:customStyle="1" w:styleId="ENoteTableHeading">
    <w:name w:val="ENoteTableHeading"/>
    <w:aliases w:val="enth"/>
    <w:basedOn w:val="OPCParaBase"/>
    <w:rsid w:val="003A1AA8"/>
    <w:pPr>
      <w:keepNext/>
      <w:spacing w:before="60" w:line="240" w:lineRule="atLeast"/>
    </w:pPr>
    <w:rPr>
      <w:rFonts w:ascii="Arial" w:hAnsi="Arial"/>
      <w:b/>
      <w:sz w:val="16"/>
    </w:rPr>
  </w:style>
  <w:style w:type="paragraph" w:customStyle="1" w:styleId="ENoteTTi">
    <w:name w:val="ENoteTTi"/>
    <w:aliases w:val="entti"/>
    <w:basedOn w:val="OPCParaBase"/>
    <w:rsid w:val="003A1AA8"/>
    <w:pPr>
      <w:keepNext/>
      <w:spacing w:before="60" w:line="240" w:lineRule="atLeast"/>
      <w:ind w:left="170"/>
    </w:pPr>
    <w:rPr>
      <w:sz w:val="16"/>
    </w:rPr>
  </w:style>
  <w:style w:type="paragraph" w:customStyle="1" w:styleId="ENotesHeading1">
    <w:name w:val="ENotesHeading 1"/>
    <w:aliases w:val="Enh1"/>
    <w:basedOn w:val="OPCParaBase"/>
    <w:next w:val="Normal"/>
    <w:rsid w:val="003A1AA8"/>
    <w:pPr>
      <w:spacing w:before="120"/>
      <w:outlineLvl w:val="1"/>
    </w:pPr>
    <w:rPr>
      <w:b/>
      <w:sz w:val="28"/>
      <w:szCs w:val="28"/>
    </w:rPr>
  </w:style>
  <w:style w:type="paragraph" w:customStyle="1" w:styleId="ENotesHeading2">
    <w:name w:val="ENotesHeading 2"/>
    <w:aliases w:val="Enh2"/>
    <w:basedOn w:val="OPCParaBase"/>
    <w:next w:val="Normal"/>
    <w:rsid w:val="003A1AA8"/>
    <w:pPr>
      <w:spacing w:before="120" w:after="120"/>
      <w:outlineLvl w:val="2"/>
    </w:pPr>
    <w:rPr>
      <w:b/>
      <w:sz w:val="24"/>
      <w:szCs w:val="28"/>
    </w:rPr>
  </w:style>
  <w:style w:type="paragraph" w:customStyle="1" w:styleId="ENoteTTIndentHeading">
    <w:name w:val="ENoteTTIndentHeading"/>
    <w:aliases w:val="enTTHi"/>
    <w:basedOn w:val="OPCParaBase"/>
    <w:rsid w:val="003A1A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1AA8"/>
    <w:pPr>
      <w:spacing w:before="60" w:line="240" w:lineRule="atLeast"/>
    </w:pPr>
    <w:rPr>
      <w:sz w:val="16"/>
    </w:rPr>
  </w:style>
  <w:style w:type="paragraph" w:customStyle="1" w:styleId="MadeunderText">
    <w:name w:val="MadeunderText"/>
    <w:basedOn w:val="OPCParaBase"/>
    <w:next w:val="CompiledMadeUnder"/>
    <w:rsid w:val="003A1AA8"/>
    <w:pPr>
      <w:spacing w:before="240"/>
    </w:pPr>
    <w:rPr>
      <w:sz w:val="24"/>
      <w:szCs w:val="24"/>
    </w:rPr>
  </w:style>
  <w:style w:type="paragraph" w:customStyle="1" w:styleId="ENotesHeading3">
    <w:name w:val="ENotesHeading 3"/>
    <w:aliases w:val="Enh3"/>
    <w:basedOn w:val="OPCParaBase"/>
    <w:next w:val="Normal"/>
    <w:rsid w:val="003A1AA8"/>
    <w:pPr>
      <w:keepNext/>
      <w:spacing w:before="120" w:line="240" w:lineRule="auto"/>
      <w:outlineLvl w:val="4"/>
    </w:pPr>
    <w:rPr>
      <w:b/>
      <w:szCs w:val="24"/>
    </w:rPr>
  </w:style>
  <w:style w:type="paragraph" w:customStyle="1" w:styleId="SubPartCASA">
    <w:name w:val="SubPart(CASA)"/>
    <w:aliases w:val="csp"/>
    <w:basedOn w:val="OPCParaBase"/>
    <w:next w:val="ActHead3"/>
    <w:rsid w:val="003A1AA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A1AA8"/>
  </w:style>
  <w:style w:type="character" w:customStyle="1" w:styleId="CharSubPartNoCASA">
    <w:name w:val="CharSubPartNo(CASA)"/>
    <w:basedOn w:val="OPCCharBase"/>
    <w:uiPriority w:val="1"/>
    <w:rsid w:val="003A1AA8"/>
  </w:style>
  <w:style w:type="paragraph" w:customStyle="1" w:styleId="ENoteTTIndentHeadingSub">
    <w:name w:val="ENoteTTIndentHeadingSub"/>
    <w:aliases w:val="enTTHis"/>
    <w:basedOn w:val="OPCParaBase"/>
    <w:rsid w:val="003A1AA8"/>
    <w:pPr>
      <w:keepNext/>
      <w:spacing w:before="60" w:line="240" w:lineRule="atLeast"/>
      <w:ind w:left="340"/>
    </w:pPr>
    <w:rPr>
      <w:b/>
      <w:sz w:val="16"/>
    </w:rPr>
  </w:style>
  <w:style w:type="paragraph" w:customStyle="1" w:styleId="ENoteTTiSub">
    <w:name w:val="ENoteTTiSub"/>
    <w:aliases w:val="enttis"/>
    <w:basedOn w:val="OPCParaBase"/>
    <w:rsid w:val="003A1AA8"/>
    <w:pPr>
      <w:keepNext/>
      <w:spacing w:before="60" w:line="240" w:lineRule="atLeast"/>
      <w:ind w:left="340"/>
    </w:pPr>
    <w:rPr>
      <w:sz w:val="16"/>
    </w:rPr>
  </w:style>
  <w:style w:type="paragraph" w:customStyle="1" w:styleId="SubDivisionMigration">
    <w:name w:val="SubDivisionMigration"/>
    <w:aliases w:val="sdm"/>
    <w:basedOn w:val="OPCParaBase"/>
    <w:rsid w:val="003A1A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1AA8"/>
    <w:pPr>
      <w:keepNext/>
      <w:keepLines/>
      <w:spacing w:before="240" w:line="240" w:lineRule="auto"/>
      <w:ind w:left="1134" w:hanging="1134"/>
    </w:pPr>
    <w:rPr>
      <w:b/>
      <w:sz w:val="28"/>
    </w:rPr>
  </w:style>
  <w:style w:type="paragraph" w:customStyle="1" w:styleId="notetext">
    <w:name w:val="note(text)"/>
    <w:aliases w:val="n"/>
    <w:basedOn w:val="OPCParaBase"/>
    <w:rsid w:val="003A1AA8"/>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3A1A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1AA8"/>
    <w:rPr>
      <w:sz w:val="22"/>
    </w:rPr>
  </w:style>
  <w:style w:type="paragraph" w:customStyle="1" w:styleId="SOTextNote">
    <w:name w:val="SO TextNote"/>
    <w:aliases w:val="sont"/>
    <w:basedOn w:val="SOText"/>
    <w:qFormat/>
    <w:rsid w:val="003A1AA8"/>
    <w:pPr>
      <w:spacing w:before="122" w:line="198" w:lineRule="exact"/>
      <w:ind w:left="1843" w:hanging="709"/>
    </w:pPr>
    <w:rPr>
      <w:sz w:val="18"/>
    </w:rPr>
  </w:style>
  <w:style w:type="paragraph" w:customStyle="1" w:styleId="SOPara">
    <w:name w:val="SO Para"/>
    <w:aliases w:val="soa"/>
    <w:basedOn w:val="SOText"/>
    <w:link w:val="SOParaChar"/>
    <w:qFormat/>
    <w:rsid w:val="003A1AA8"/>
    <w:pPr>
      <w:tabs>
        <w:tab w:val="right" w:pos="1786"/>
      </w:tabs>
      <w:spacing w:before="40"/>
      <w:ind w:left="2070" w:hanging="936"/>
    </w:pPr>
  </w:style>
  <w:style w:type="character" w:customStyle="1" w:styleId="SOParaChar">
    <w:name w:val="SO Para Char"/>
    <w:aliases w:val="soa Char"/>
    <w:basedOn w:val="DefaultParagraphFont"/>
    <w:link w:val="SOPara"/>
    <w:rsid w:val="003A1AA8"/>
    <w:rPr>
      <w:sz w:val="22"/>
    </w:rPr>
  </w:style>
  <w:style w:type="paragraph" w:customStyle="1" w:styleId="FileName">
    <w:name w:val="FileName"/>
    <w:basedOn w:val="Normal"/>
    <w:rsid w:val="003A1AA8"/>
  </w:style>
  <w:style w:type="paragraph" w:customStyle="1" w:styleId="TableHeading">
    <w:name w:val="TableHeading"/>
    <w:aliases w:val="th"/>
    <w:basedOn w:val="OPCParaBase"/>
    <w:next w:val="Tabletext"/>
    <w:rsid w:val="003A1AA8"/>
    <w:pPr>
      <w:keepNext/>
      <w:spacing w:before="60" w:line="240" w:lineRule="atLeast"/>
    </w:pPr>
    <w:rPr>
      <w:b/>
      <w:sz w:val="20"/>
    </w:rPr>
  </w:style>
  <w:style w:type="paragraph" w:customStyle="1" w:styleId="SOHeadBold">
    <w:name w:val="SO HeadBold"/>
    <w:aliases w:val="sohb"/>
    <w:basedOn w:val="SOText"/>
    <w:next w:val="SOText"/>
    <w:link w:val="SOHeadBoldChar"/>
    <w:qFormat/>
    <w:rsid w:val="003A1AA8"/>
    <w:rPr>
      <w:b/>
    </w:rPr>
  </w:style>
  <w:style w:type="character" w:customStyle="1" w:styleId="SOHeadBoldChar">
    <w:name w:val="SO HeadBold Char"/>
    <w:aliases w:val="sohb Char"/>
    <w:basedOn w:val="DefaultParagraphFont"/>
    <w:link w:val="SOHeadBold"/>
    <w:rsid w:val="003A1AA8"/>
    <w:rPr>
      <w:b/>
      <w:sz w:val="22"/>
    </w:rPr>
  </w:style>
  <w:style w:type="paragraph" w:customStyle="1" w:styleId="SOHeadItalic">
    <w:name w:val="SO HeadItalic"/>
    <w:aliases w:val="sohi"/>
    <w:basedOn w:val="SOText"/>
    <w:next w:val="SOText"/>
    <w:link w:val="SOHeadItalicChar"/>
    <w:qFormat/>
    <w:rsid w:val="003A1AA8"/>
    <w:rPr>
      <w:i/>
    </w:rPr>
  </w:style>
  <w:style w:type="character" w:customStyle="1" w:styleId="SOHeadItalicChar">
    <w:name w:val="SO HeadItalic Char"/>
    <w:aliases w:val="sohi Char"/>
    <w:basedOn w:val="DefaultParagraphFont"/>
    <w:link w:val="SOHeadItalic"/>
    <w:rsid w:val="003A1AA8"/>
    <w:rPr>
      <w:i/>
      <w:sz w:val="22"/>
    </w:rPr>
  </w:style>
  <w:style w:type="paragraph" w:customStyle="1" w:styleId="SOBullet">
    <w:name w:val="SO Bullet"/>
    <w:aliases w:val="sotb"/>
    <w:basedOn w:val="SOText"/>
    <w:link w:val="SOBulletChar"/>
    <w:qFormat/>
    <w:rsid w:val="003A1AA8"/>
    <w:pPr>
      <w:ind w:left="1559" w:hanging="425"/>
    </w:pPr>
  </w:style>
  <w:style w:type="character" w:customStyle="1" w:styleId="SOBulletChar">
    <w:name w:val="SO Bullet Char"/>
    <w:aliases w:val="sotb Char"/>
    <w:basedOn w:val="DefaultParagraphFont"/>
    <w:link w:val="SOBullet"/>
    <w:rsid w:val="003A1AA8"/>
    <w:rPr>
      <w:sz w:val="22"/>
    </w:rPr>
  </w:style>
  <w:style w:type="paragraph" w:customStyle="1" w:styleId="SOBulletNote">
    <w:name w:val="SO BulletNote"/>
    <w:aliases w:val="sonb"/>
    <w:basedOn w:val="SOTextNote"/>
    <w:link w:val="SOBulletNoteChar"/>
    <w:qFormat/>
    <w:rsid w:val="003A1AA8"/>
    <w:pPr>
      <w:tabs>
        <w:tab w:val="left" w:pos="1560"/>
      </w:tabs>
      <w:ind w:left="2268" w:hanging="1134"/>
    </w:pPr>
  </w:style>
  <w:style w:type="character" w:customStyle="1" w:styleId="SOBulletNoteChar">
    <w:name w:val="SO BulletNote Char"/>
    <w:aliases w:val="sonb Char"/>
    <w:basedOn w:val="DefaultParagraphFont"/>
    <w:link w:val="SOBulletNote"/>
    <w:rsid w:val="003A1AA8"/>
    <w:rPr>
      <w:sz w:val="18"/>
    </w:rPr>
  </w:style>
  <w:style w:type="paragraph" w:customStyle="1" w:styleId="SOText2">
    <w:name w:val="SO Text2"/>
    <w:aliases w:val="sot2"/>
    <w:basedOn w:val="Normal"/>
    <w:next w:val="SOText"/>
    <w:link w:val="SOText2Char"/>
    <w:rsid w:val="003A1A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1AA8"/>
    <w:rPr>
      <w:sz w:val="22"/>
    </w:rPr>
  </w:style>
  <w:style w:type="character" w:customStyle="1" w:styleId="subsectionChar">
    <w:name w:val="subsection Char"/>
    <w:aliases w:val="ss Char"/>
    <w:basedOn w:val="DefaultParagraphFont"/>
    <w:link w:val="subsection"/>
    <w:locked/>
    <w:rsid w:val="004C2A09"/>
    <w:rPr>
      <w:rFonts w:eastAsia="Times New Roman" w:cs="Times New Roman"/>
      <w:sz w:val="22"/>
      <w:lang w:eastAsia="en-AU"/>
    </w:rPr>
  </w:style>
  <w:style w:type="paragraph" w:styleId="FootnoteText">
    <w:name w:val="footnote text"/>
    <w:basedOn w:val="Normal"/>
    <w:link w:val="FootnoteTextChar"/>
    <w:uiPriority w:val="99"/>
    <w:rsid w:val="00913619"/>
    <w:pPr>
      <w:tabs>
        <w:tab w:val="left" w:pos="284"/>
      </w:tabs>
      <w:spacing w:line="240" w:lineRule="auto"/>
      <w:ind w:left="284" w:hanging="284"/>
    </w:pPr>
    <w:rPr>
      <w:rFonts w:eastAsia="Times New Roman" w:cs="Times New Roman"/>
      <w:sz w:val="20"/>
      <w:lang w:eastAsia="en-AU"/>
    </w:rPr>
  </w:style>
  <w:style w:type="character" w:customStyle="1" w:styleId="FootnoteTextChar">
    <w:name w:val="Footnote Text Char"/>
    <w:basedOn w:val="DefaultParagraphFont"/>
    <w:link w:val="FootnoteText"/>
    <w:uiPriority w:val="99"/>
    <w:rsid w:val="00913619"/>
    <w:rPr>
      <w:rFonts w:eastAsia="Times New Roman" w:cs="Times New Roman"/>
      <w:lang w:eastAsia="en-AU"/>
    </w:rPr>
  </w:style>
  <w:style w:type="character" w:styleId="FootnoteReference">
    <w:name w:val="footnote reference"/>
    <w:basedOn w:val="DefaultParagraphFont"/>
    <w:rsid w:val="00913619"/>
    <w:rPr>
      <w:vertAlign w:val="superscript"/>
    </w:rPr>
  </w:style>
  <w:style w:type="paragraph" w:styleId="ListParagraph">
    <w:name w:val="List Paragraph"/>
    <w:basedOn w:val="Normal"/>
    <w:link w:val="ListParagraphChar"/>
    <w:uiPriority w:val="99"/>
    <w:qFormat/>
    <w:rsid w:val="00B633D9"/>
    <w:pPr>
      <w:spacing w:after="200" w:line="276" w:lineRule="auto"/>
      <w:ind w:left="720"/>
      <w:contextualSpacing/>
    </w:pPr>
    <w:rPr>
      <w:rFonts w:ascii="Calibri" w:eastAsia="Calibri" w:hAnsi="Calibri" w:cs="Times New Roman"/>
      <w:szCs w:val="22"/>
    </w:rPr>
  </w:style>
  <w:style w:type="character" w:customStyle="1" w:styleId="ListParagraphChar">
    <w:name w:val="List Paragraph Char"/>
    <w:basedOn w:val="DefaultParagraphFont"/>
    <w:link w:val="ListParagraph"/>
    <w:uiPriority w:val="99"/>
    <w:locked/>
    <w:rsid w:val="00B633D9"/>
    <w:rPr>
      <w:rFonts w:ascii="Calibri" w:eastAsia="Calibri" w:hAnsi="Calibri" w:cs="Times New Roman"/>
      <w:sz w:val="22"/>
      <w:szCs w:val="22"/>
    </w:rPr>
  </w:style>
  <w:style w:type="character" w:customStyle="1" w:styleId="Heading1Char">
    <w:name w:val="Heading 1 Char"/>
    <w:basedOn w:val="DefaultParagraphFont"/>
    <w:link w:val="Heading1"/>
    <w:rsid w:val="009453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213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13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213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213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213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213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213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21391"/>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25897"/>
    <w:rPr>
      <w:sz w:val="16"/>
      <w:szCs w:val="16"/>
    </w:rPr>
  </w:style>
  <w:style w:type="paragraph" w:styleId="CommentText">
    <w:name w:val="annotation text"/>
    <w:basedOn w:val="Normal"/>
    <w:link w:val="CommentTextChar"/>
    <w:uiPriority w:val="99"/>
    <w:semiHidden/>
    <w:unhideWhenUsed/>
    <w:rsid w:val="00D25897"/>
    <w:rPr>
      <w:rFonts w:eastAsia="Calibri" w:cs="Times New Roman"/>
      <w:sz w:val="20"/>
    </w:rPr>
  </w:style>
  <w:style w:type="character" w:customStyle="1" w:styleId="CommentTextChar">
    <w:name w:val="Comment Text Char"/>
    <w:basedOn w:val="DefaultParagraphFont"/>
    <w:link w:val="CommentText"/>
    <w:uiPriority w:val="99"/>
    <w:semiHidden/>
    <w:rsid w:val="00D25897"/>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14210">
      <w:bodyDiv w:val="1"/>
      <w:marLeft w:val="0"/>
      <w:marRight w:val="0"/>
      <w:marTop w:val="0"/>
      <w:marBottom w:val="0"/>
      <w:divBdr>
        <w:top w:val="none" w:sz="0" w:space="0" w:color="auto"/>
        <w:left w:val="none" w:sz="0" w:space="0" w:color="auto"/>
        <w:bottom w:val="none" w:sz="0" w:space="0" w:color="auto"/>
        <w:right w:val="none" w:sz="0" w:space="0" w:color="auto"/>
      </w:divBdr>
    </w:div>
    <w:div w:id="933630679">
      <w:bodyDiv w:val="1"/>
      <w:marLeft w:val="0"/>
      <w:marRight w:val="0"/>
      <w:marTop w:val="0"/>
      <w:marBottom w:val="0"/>
      <w:divBdr>
        <w:top w:val="none" w:sz="0" w:space="0" w:color="auto"/>
        <w:left w:val="none" w:sz="0" w:space="0" w:color="auto"/>
        <w:bottom w:val="none" w:sz="0" w:space="0" w:color="auto"/>
        <w:right w:val="none" w:sz="0" w:space="0" w:color="auto"/>
      </w:divBdr>
    </w:div>
    <w:div w:id="991562353">
      <w:bodyDiv w:val="1"/>
      <w:marLeft w:val="0"/>
      <w:marRight w:val="0"/>
      <w:marTop w:val="0"/>
      <w:marBottom w:val="0"/>
      <w:divBdr>
        <w:top w:val="none" w:sz="0" w:space="0" w:color="auto"/>
        <w:left w:val="none" w:sz="0" w:space="0" w:color="auto"/>
        <w:bottom w:val="none" w:sz="0" w:space="0" w:color="auto"/>
        <w:right w:val="none" w:sz="0" w:space="0" w:color="auto"/>
      </w:divBdr>
    </w:div>
    <w:div w:id="12462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5.wmf"/><Relationship Id="rId50" Type="http://schemas.openxmlformats.org/officeDocument/2006/relationships/oleObject" Target="embeddings/oleObject15.bin"/><Relationship Id="rId55" Type="http://schemas.openxmlformats.org/officeDocument/2006/relationships/image" Target="media/image19.wmf"/><Relationship Id="rId63" Type="http://schemas.openxmlformats.org/officeDocument/2006/relationships/footer" Target="footer8.xml"/><Relationship Id="rId68" Type="http://schemas.openxmlformats.org/officeDocument/2006/relationships/image" Target="media/image23.wmf"/><Relationship Id="rId76" Type="http://schemas.openxmlformats.org/officeDocument/2006/relationships/header" Target="header11.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6.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9.bin"/><Relationship Id="rId66" Type="http://schemas.openxmlformats.org/officeDocument/2006/relationships/image" Target="media/image22.wmf"/><Relationship Id="rId74" Type="http://schemas.openxmlformats.org/officeDocument/2006/relationships/footer" Target="footer9.xml"/><Relationship Id="rId79" Type="http://schemas.openxmlformats.org/officeDocument/2006/relationships/header" Target="header13.xml"/><Relationship Id="rId5" Type="http://schemas.openxmlformats.org/officeDocument/2006/relationships/settings" Target="settings.xml"/><Relationship Id="rId61" Type="http://schemas.openxmlformats.org/officeDocument/2006/relationships/footer" Target="footer6.xml"/><Relationship Id="rId82" Type="http://schemas.openxmlformats.org/officeDocument/2006/relationships/header" Target="header14.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image" Target="media/image21.wmf"/><Relationship Id="rId69" Type="http://schemas.openxmlformats.org/officeDocument/2006/relationships/oleObject" Target="embeddings/oleObject22.bin"/><Relationship Id="rId77" Type="http://schemas.openxmlformats.org/officeDocument/2006/relationships/footer" Target="footer11.xml"/><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header" Target="header9.xml"/><Relationship Id="rId80" Type="http://schemas.openxmlformats.org/officeDocument/2006/relationships/footer" Target="footer12.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header" Target="header7.xml"/><Relationship Id="rId67" Type="http://schemas.openxmlformats.org/officeDocument/2006/relationships/oleObject" Target="embeddings/oleObject21.bin"/><Relationship Id="rId20" Type="http://schemas.openxmlformats.org/officeDocument/2006/relationships/header" Target="header6.xml"/><Relationship Id="rId41" Type="http://schemas.openxmlformats.org/officeDocument/2006/relationships/image" Target="media/image12.wmf"/><Relationship Id="rId54" Type="http://schemas.openxmlformats.org/officeDocument/2006/relationships/oleObject" Target="embeddings/oleObject17.bin"/><Relationship Id="rId62" Type="http://schemas.openxmlformats.org/officeDocument/2006/relationships/footer" Target="footer7.xml"/><Relationship Id="rId70" Type="http://schemas.openxmlformats.org/officeDocument/2006/relationships/image" Target="media/image24.wmf"/><Relationship Id="rId75" Type="http://schemas.openxmlformats.org/officeDocument/2006/relationships/footer" Target="footer10.xml"/><Relationship Id="rId83"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header" Target="header1.xml"/><Relationship Id="rId31" Type="http://schemas.openxmlformats.org/officeDocument/2006/relationships/image" Target="media/image7.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header" Target="header8.xml"/><Relationship Id="rId65" Type="http://schemas.openxmlformats.org/officeDocument/2006/relationships/oleObject" Target="embeddings/oleObject20.bin"/><Relationship Id="rId73" Type="http://schemas.openxmlformats.org/officeDocument/2006/relationships/header" Target="header10.xml"/><Relationship Id="rId78" Type="http://schemas.openxmlformats.org/officeDocument/2006/relationships/header" Target="header12.xml"/><Relationship Id="rId81"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9771-ADF9-4198-98D8-163AD953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37</Pages>
  <Words>8834</Words>
  <Characters>45677</Characters>
  <Application>Microsoft Office Word</Application>
  <DocSecurity>0</DocSecurity>
  <PresentationFormat/>
  <Lines>1473</Lines>
  <Paragraphs>973</Paragraphs>
  <ScaleCrop>false</ScaleCrop>
  <HeadingPairs>
    <vt:vector size="2" baseType="variant">
      <vt:variant>
        <vt:lpstr>Title</vt:lpstr>
      </vt:variant>
      <vt:variant>
        <vt:i4>1</vt:i4>
      </vt:variant>
    </vt:vector>
  </HeadingPairs>
  <TitlesOfParts>
    <vt:vector size="1" baseType="lpstr">
      <vt:lpstr>Carbon Credits (Carbon Farming Initiative—Landfill Gas) Methodology Determination 2015</vt:lpstr>
    </vt:vector>
  </TitlesOfParts>
  <Manager/>
  <Company/>
  <LinksUpToDate>false</LinksUpToDate>
  <CharactersWithSpaces>53538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2014-09-25T01:02:00Z</cp:lastPrinted>
  <dcterms:created xsi:type="dcterms:W3CDTF">2015-01-19T01:59:00Z</dcterms:created>
  <dcterms:modified xsi:type="dcterms:W3CDTF">2015-01-19T01:59:00Z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Carbon Credits (Carbon Farming Initiative—Landfill Gas) Methodology Determination 2015</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OPC60654</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12 January 2015</vt:lpwstr>
  </property>
</Properties>
</file>