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2D" w:rsidRPr="00AC470E" w:rsidRDefault="002B7E2D" w:rsidP="002B7E2D">
      <w:pPr>
        <w:jc w:val="center"/>
        <w:rPr>
          <w:rFonts w:ascii="Times New Roman" w:hAnsi="Times New Roman"/>
          <w:b/>
          <w:sz w:val="24"/>
          <w:szCs w:val="24"/>
          <w:u w:val="single"/>
        </w:rPr>
      </w:pPr>
      <w:r w:rsidRPr="00AC470E">
        <w:rPr>
          <w:rFonts w:ascii="Times New Roman" w:hAnsi="Times New Roman"/>
          <w:b/>
          <w:sz w:val="24"/>
          <w:szCs w:val="24"/>
          <w:u w:val="single"/>
        </w:rPr>
        <w:t>EXPLANATORY STATEMENT</w:t>
      </w:r>
    </w:p>
    <w:p w:rsidR="002B7E2D" w:rsidRPr="002B7E2D" w:rsidRDefault="002B7E2D" w:rsidP="002B7E2D">
      <w:pPr>
        <w:pStyle w:val="Heading1"/>
        <w:jc w:val="center"/>
        <w:rPr>
          <w:rFonts w:ascii="Times New Roman" w:hAnsi="Times New Roman" w:cs="Times New Roman"/>
          <w:b w:val="0"/>
          <w:i/>
          <w:sz w:val="24"/>
          <w:szCs w:val="24"/>
        </w:rPr>
      </w:pPr>
      <w:r w:rsidRPr="002B7E2D">
        <w:rPr>
          <w:rFonts w:ascii="Times New Roman" w:hAnsi="Times New Roman" w:cs="Times New Roman"/>
          <w:b w:val="0"/>
          <w:i/>
          <w:caps w:val="0"/>
          <w:sz w:val="24"/>
          <w:szCs w:val="24"/>
        </w:rPr>
        <w:t>Carbon Credits (Carbon Farming Initiative) Act 2011</w:t>
      </w:r>
    </w:p>
    <w:p w:rsidR="002B7E2D" w:rsidRPr="000E2A98" w:rsidRDefault="00A53FF7" w:rsidP="002B7E2D">
      <w:pPr>
        <w:spacing w:before="240" w:after="120"/>
        <w:jc w:val="center"/>
        <w:rPr>
          <w:rFonts w:ascii="Times New Roman" w:hAnsi="Times New Roman"/>
          <w:i/>
          <w:sz w:val="24"/>
          <w:szCs w:val="24"/>
        </w:rPr>
      </w:pPr>
      <w:bookmarkStart w:id="0" w:name="OLE_LINK1"/>
      <w:bookmarkStart w:id="1" w:name="OLE_LINK2"/>
      <w:r w:rsidRPr="00A53FF7">
        <w:rPr>
          <w:rFonts w:ascii="Times New Roman" w:hAnsi="Times New Roman"/>
          <w:i/>
          <w:color w:val="000000"/>
          <w:sz w:val="24"/>
          <w:szCs w:val="24"/>
        </w:rPr>
        <w:t>Carbon Credits (Carbon Farming Initiative</w:t>
      </w:r>
      <w:r w:rsidR="005B3F0B">
        <w:rPr>
          <w:rFonts w:ascii="Times New Roman" w:hAnsi="Times New Roman"/>
          <w:i/>
          <w:color w:val="000000"/>
          <w:sz w:val="24"/>
          <w:szCs w:val="24"/>
        </w:rPr>
        <w:t>—</w:t>
      </w:r>
      <w:r w:rsidRPr="00A53FF7">
        <w:rPr>
          <w:rFonts w:ascii="Times New Roman" w:hAnsi="Times New Roman"/>
          <w:i/>
          <w:color w:val="000000"/>
          <w:sz w:val="24"/>
          <w:szCs w:val="24"/>
        </w:rPr>
        <w:t xml:space="preserve">Alternative Waste Treatment) Methodology Determination </w:t>
      </w:r>
      <w:bookmarkEnd w:id="0"/>
      <w:bookmarkEnd w:id="1"/>
      <w:r w:rsidR="00EA1568" w:rsidRPr="00A53FF7">
        <w:rPr>
          <w:rFonts w:ascii="Times New Roman" w:hAnsi="Times New Roman"/>
          <w:i/>
          <w:color w:val="000000"/>
          <w:sz w:val="24"/>
          <w:szCs w:val="24"/>
        </w:rPr>
        <w:t>201</w:t>
      </w:r>
      <w:r w:rsidR="00EA1568">
        <w:rPr>
          <w:rFonts w:ascii="Times New Roman" w:hAnsi="Times New Roman"/>
          <w:i/>
          <w:color w:val="000000"/>
          <w:sz w:val="24"/>
          <w:szCs w:val="24"/>
        </w:rPr>
        <w:t>5</w:t>
      </w:r>
    </w:p>
    <w:p w:rsidR="002B7E2D" w:rsidRDefault="002B7E2D" w:rsidP="002B7E2D">
      <w:pPr>
        <w:spacing w:before="240" w:after="120" w:line="240" w:lineRule="auto"/>
        <w:rPr>
          <w:b/>
          <w:sz w:val="24"/>
        </w:rPr>
      </w:pPr>
      <w:r>
        <w:rPr>
          <w:rFonts w:ascii="Times New Roman" w:hAnsi="Times New Roman"/>
          <w:b/>
          <w:sz w:val="24"/>
          <w:szCs w:val="24"/>
        </w:rPr>
        <w:t>Background</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The </w:t>
      </w:r>
      <w:r w:rsidRPr="00AC470E">
        <w:rPr>
          <w:rFonts w:ascii="Times New Roman" w:hAnsi="Times New Roman"/>
          <w:i/>
          <w:sz w:val="24"/>
          <w:szCs w:val="24"/>
        </w:rPr>
        <w:t>Carbon Credits (Carbon Farming Initiative) Act 2011</w:t>
      </w:r>
      <w:r w:rsidRPr="00AC470E">
        <w:rPr>
          <w:rFonts w:ascii="Times New Roman" w:hAnsi="Times New Roman"/>
          <w:sz w:val="24"/>
          <w:szCs w:val="24"/>
        </w:rPr>
        <w:t xml:space="preserve"> (the Act) enables the crediting of greenhouse gas abatement from emissions reduction activities across the economy. Greenhouse gas abatement is achieved either by reducing or avoiding emissions or by removing carbon from the atmosphere and storing it in soil or trees.</w:t>
      </w:r>
    </w:p>
    <w:p w:rsidR="002B7E2D" w:rsidRDefault="002B7E2D" w:rsidP="002B7E2D">
      <w:pPr>
        <w:pStyle w:val="base-text-paragraphnonumbers"/>
        <w:ind w:left="0"/>
        <w:rPr>
          <w:sz w:val="24"/>
          <w:szCs w:val="24"/>
        </w:rPr>
      </w:pPr>
      <w:r w:rsidRPr="00AC470E">
        <w:rPr>
          <w:sz w:val="24"/>
          <w:szCs w:val="24"/>
        </w:rPr>
        <w:t xml:space="preserve">In 2014, the Parliament agreed to the </w:t>
      </w:r>
      <w:r w:rsidRPr="00AC470E">
        <w:rPr>
          <w:i/>
          <w:iCs/>
          <w:sz w:val="24"/>
          <w:szCs w:val="24"/>
        </w:rPr>
        <w:t>Carbon Farming Initiative Amendment Act 2014</w:t>
      </w:r>
      <w:r w:rsidRPr="00AC470E">
        <w:rPr>
          <w:sz w:val="24"/>
          <w:szCs w:val="24"/>
        </w:rPr>
        <w:t>, which establishes the Emissions Reduction Fund (ERF). The ERF has three elements: crediting emissions reductions, purchasing emissions reductions, and safeguarding emissions reductions.</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Emissions reduction activities are undertaken as offsets projects. The process involved in establishing an offsets project is set out in Part 3 of the Act. An offsets project must be covered by, and undertaken in accordance with, a methodology determination.</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Subsection 106(1) of the</w:t>
      </w:r>
      <w:r w:rsidRPr="00AC470E">
        <w:rPr>
          <w:rFonts w:ascii="Times New Roman" w:hAnsi="Times New Roman"/>
          <w:i/>
          <w:iCs/>
          <w:sz w:val="24"/>
          <w:szCs w:val="24"/>
        </w:rPr>
        <w:t xml:space="preserve"> </w:t>
      </w:r>
      <w:r w:rsidRPr="00AC470E">
        <w:rPr>
          <w:rFonts w:ascii="Times New Roman" w:hAnsi="Times New Roman"/>
          <w:iCs/>
          <w:sz w:val="24"/>
          <w:szCs w:val="24"/>
        </w:rPr>
        <w:t>Act</w:t>
      </w:r>
      <w:r w:rsidRPr="00AC470E">
        <w:rPr>
          <w:rFonts w:ascii="Times New Roman" w:hAnsi="Times New Roman"/>
          <w:sz w:val="24"/>
          <w:szCs w:val="24"/>
        </w:rPr>
        <w:t xml:space="preserve"> empowers the Minister to make, by legislative instrument, a methodology determination. The purpose of a methodology determination is to establish procedures for estimating abatement (emissions reductions and sequestration) from eligible projects and rules for monitoring, record keeping and reporting. These methodologies will ensure that emissions reductions are genuine—that they are both real and additional to business as usual.</w:t>
      </w:r>
    </w:p>
    <w:p w:rsidR="002B7E2D"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In deciding to make a methodology determination the Minister must have regard to the advice of the Emissions Reduction Assurance Committee, an independent expert panel established to advise the Minister on proposals for methodology determinations. The Minister will also consider any adverse environmental, economic or social impacts likely to arise as a result of projects to which the determination applies.</w:t>
      </w:r>
      <w:r>
        <w:rPr>
          <w:rFonts w:ascii="Times New Roman" w:hAnsi="Times New Roman"/>
          <w:sz w:val="24"/>
          <w:szCs w:val="24"/>
        </w:rPr>
        <w:t xml:space="preserve"> </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Offsets projects that are undertaken in accordance with the methodology determination and approved by the Clean Energy Regulator (the Regulator) can generate Australian Carbon Credit Units (ACCUs), representing emissions reductions from the project.</w:t>
      </w:r>
    </w:p>
    <w:p w:rsidR="002B7E2D" w:rsidRDefault="002B7E2D" w:rsidP="002B7E2D">
      <w:pPr>
        <w:pStyle w:val="base-text-paragraphnonumbers"/>
        <w:ind w:left="0"/>
        <w:rPr>
          <w:sz w:val="24"/>
          <w:szCs w:val="24"/>
          <w:lang w:val="en-US"/>
        </w:rPr>
      </w:pPr>
      <w:r w:rsidRPr="00AC470E">
        <w:rPr>
          <w:sz w:val="24"/>
          <w:szCs w:val="24"/>
          <w:lang w:val="en-US"/>
        </w:rPr>
        <w:t xml:space="preserve">Project proponents can receive funding from the ERF by submitting their projects into a competitive auction run by the </w:t>
      </w:r>
      <w:r w:rsidRPr="00AC470E">
        <w:rPr>
          <w:sz w:val="24"/>
          <w:szCs w:val="24"/>
        </w:rPr>
        <w:t>Regulator</w:t>
      </w:r>
      <w:r w:rsidRPr="00AC470E">
        <w:rPr>
          <w:sz w:val="24"/>
          <w:szCs w:val="24"/>
          <w:lang w:val="en-US"/>
        </w:rPr>
        <w:t>.</w:t>
      </w:r>
      <w:r w:rsidRPr="00AC470E">
        <w:rPr>
          <w:sz w:val="24"/>
          <w:szCs w:val="24"/>
        </w:rPr>
        <w:t xml:space="preserve"> </w:t>
      </w:r>
      <w:r w:rsidRPr="00AC470E">
        <w:rPr>
          <w:sz w:val="24"/>
          <w:szCs w:val="24"/>
          <w:lang w:val="en-US"/>
        </w:rPr>
        <w:t>The Government will enter into contracts with successful proponents, which will guarantee the price and payment for the future delivery of emissions reductions.</w:t>
      </w:r>
    </w:p>
    <w:p w:rsidR="002B7E2D" w:rsidRDefault="002B7E2D" w:rsidP="002B7E2D">
      <w:pPr>
        <w:pStyle w:val="base-text-paragraphnonumbers"/>
        <w:spacing w:after="0"/>
        <w:ind w:left="0"/>
        <w:rPr>
          <w:sz w:val="24"/>
          <w:lang w:val="en-US"/>
        </w:rPr>
      </w:pPr>
      <w:r w:rsidRPr="00AC470E">
        <w:rPr>
          <w:sz w:val="24"/>
          <w:lang w:val="en-US"/>
        </w:rPr>
        <w:t xml:space="preserve">Further </w:t>
      </w:r>
      <w:r>
        <w:rPr>
          <w:sz w:val="24"/>
          <w:lang w:val="en-US"/>
        </w:rPr>
        <w:t>i</w:t>
      </w:r>
      <w:r w:rsidRPr="00AC470E">
        <w:rPr>
          <w:sz w:val="24"/>
          <w:lang w:val="en-US"/>
        </w:rPr>
        <w:t xml:space="preserve">nformation on the </w:t>
      </w:r>
      <w:r>
        <w:rPr>
          <w:sz w:val="24"/>
          <w:lang w:val="en-US"/>
        </w:rPr>
        <w:t>ERF</w:t>
      </w:r>
      <w:r w:rsidRPr="00AC470E">
        <w:rPr>
          <w:sz w:val="24"/>
          <w:lang w:val="en-US"/>
        </w:rPr>
        <w:t xml:space="preserve"> is available at: </w:t>
      </w:r>
    </w:p>
    <w:p w:rsidR="002B7E2D" w:rsidRPr="00AC470E" w:rsidRDefault="006C376B" w:rsidP="002B7E2D">
      <w:pPr>
        <w:pStyle w:val="base-text-paragraphnonumbers"/>
        <w:spacing w:before="0"/>
        <w:ind w:left="0"/>
        <w:rPr>
          <w:sz w:val="28"/>
          <w:szCs w:val="24"/>
        </w:rPr>
      </w:pPr>
      <w:hyperlink r:id="rId13" w:history="1">
        <w:r w:rsidR="002B7E2D" w:rsidRPr="00AC470E">
          <w:rPr>
            <w:rStyle w:val="Hyperlink"/>
            <w:sz w:val="24"/>
            <w:szCs w:val="24"/>
          </w:rPr>
          <w:t>www.environment.gov.au/emissions-reduction-fund</w:t>
        </w:r>
      </w:hyperlink>
      <w:r w:rsidR="002B7E2D" w:rsidRPr="00AC470E">
        <w:rPr>
          <w:sz w:val="28"/>
          <w:szCs w:val="24"/>
        </w:rPr>
        <w:t>.</w:t>
      </w:r>
    </w:p>
    <w:p w:rsidR="002B7E2D" w:rsidRDefault="002B7E2D" w:rsidP="002B7E2D">
      <w:pPr>
        <w:spacing w:after="0" w:line="240" w:lineRule="auto"/>
        <w:rPr>
          <w:rFonts w:ascii="Times New Roman" w:hAnsi="Times New Roman"/>
          <w:b/>
          <w:sz w:val="24"/>
          <w:szCs w:val="24"/>
        </w:rPr>
      </w:pPr>
      <w:r>
        <w:rPr>
          <w:rFonts w:ascii="Times New Roman" w:hAnsi="Times New Roman"/>
          <w:b/>
          <w:sz w:val="24"/>
          <w:szCs w:val="24"/>
        </w:rPr>
        <w:br w:type="page"/>
      </w:r>
    </w:p>
    <w:p w:rsidR="002B7E2D" w:rsidRDefault="002B7E2D" w:rsidP="002B7E2D">
      <w:pPr>
        <w:spacing w:before="240" w:after="120" w:line="240" w:lineRule="auto"/>
        <w:rPr>
          <w:b/>
          <w:sz w:val="24"/>
        </w:rPr>
      </w:pPr>
      <w:r w:rsidRPr="00AC470E">
        <w:rPr>
          <w:rFonts w:ascii="Times New Roman" w:hAnsi="Times New Roman"/>
          <w:b/>
          <w:sz w:val="24"/>
          <w:szCs w:val="24"/>
        </w:rPr>
        <w:lastRenderedPageBreak/>
        <w:t>Application</w:t>
      </w:r>
      <w:r w:rsidRPr="004B03F3">
        <w:rPr>
          <w:rFonts w:ascii="Times New Roman" w:hAnsi="Times New Roman"/>
          <w:b/>
          <w:sz w:val="24"/>
        </w:rPr>
        <w:t xml:space="preserve"> of the </w:t>
      </w:r>
      <w:r w:rsidRPr="00AC470E">
        <w:rPr>
          <w:rFonts w:ascii="Times New Roman" w:hAnsi="Times New Roman"/>
          <w:b/>
          <w:sz w:val="24"/>
          <w:szCs w:val="24"/>
        </w:rPr>
        <w:t>Determination</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The </w:t>
      </w:r>
      <w:r w:rsidR="000E2A98" w:rsidRPr="000E2A98">
        <w:rPr>
          <w:rFonts w:ascii="Times New Roman" w:hAnsi="Times New Roman"/>
          <w:i/>
          <w:color w:val="000000"/>
          <w:sz w:val="24"/>
          <w:szCs w:val="24"/>
        </w:rPr>
        <w:t>Carbon Credits (Carbon Farming Initiative</w:t>
      </w:r>
      <w:r w:rsidR="005B3F0B">
        <w:rPr>
          <w:rFonts w:ascii="Times New Roman" w:hAnsi="Times New Roman"/>
          <w:i/>
          <w:color w:val="000000"/>
          <w:sz w:val="24"/>
          <w:szCs w:val="24"/>
        </w:rPr>
        <w:t>—</w:t>
      </w:r>
      <w:r w:rsidR="000E2A98" w:rsidRPr="000E2A98">
        <w:rPr>
          <w:rFonts w:ascii="Times New Roman" w:hAnsi="Times New Roman"/>
          <w:i/>
          <w:color w:val="000000"/>
          <w:sz w:val="24"/>
          <w:szCs w:val="24"/>
        </w:rPr>
        <w:t xml:space="preserve">Alternative Waste Treatment) Methodology Determination </w:t>
      </w:r>
      <w:r w:rsidR="00EA1568" w:rsidRPr="000E2A98">
        <w:rPr>
          <w:rFonts w:ascii="Times New Roman" w:hAnsi="Times New Roman"/>
          <w:i/>
          <w:color w:val="000000"/>
          <w:sz w:val="24"/>
          <w:szCs w:val="24"/>
        </w:rPr>
        <w:t>201</w:t>
      </w:r>
      <w:r w:rsidR="00EA1568">
        <w:rPr>
          <w:rFonts w:ascii="Times New Roman" w:hAnsi="Times New Roman"/>
          <w:i/>
          <w:color w:val="000000"/>
          <w:sz w:val="24"/>
          <w:szCs w:val="24"/>
        </w:rPr>
        <w:t>5</w:t>
      </w:r>
      <w:r w:rsidR="00EA1568" w:rsidRPr="00AC470E">
        <w:rPr>
          <w:rFonts w:ascii="Times New Roman" w:hAnsi="Times New Roman"/>
          <w:i/>
          <w:sz w:val="24"/>
          <w:szCs w:val="24"/>
        </w:rPr>
        <w:t xml:space="preserve"> </w:t>
      </w:r>
      <w:r w:rsidRPr="00AC470E">
        <w:rPr>
          <w:rFonts w:ascii="Times New Roman" w:hAnsi="Times New Roman"/>
          <w:sz w:val="24"/>
          <w:szCs w:val="24"/>
        </w:rPr>
        <w:t>(the</w:t>
      </w:r>
      <w:r w:rsidRPr="00AC470E">
        <w:rPr>
          <w:rFonts w:ascii="Times New Roman" w:hAnsi="Times New Roman"/>
          <w:i/>
          <w:sz w:val="24"/>
          <w:szCs w:val="24"/>
        </w:rPr>
        <w:t xml:space="preserve"> </w:t>
      </w:r>
      <w:r w:rsidRPr="00AC470E">
        <w:rPr>
          <w:rFonts w:ascii="Times New Roman" w:hAnsi="Times New Roman"/>
          <w:sz w:val="24"/>
          <w:szCs w:val="24"/>
        </w:rPr>
        <w:t xml:space="preserve">Determination) sets </w:t>
      </w:r>
      <w:r>
        <w:rPr>
          <w:rFonts w:ascii="Times New Roman" w:hAnsi="Times New Roman"/>
          <w:sz w:val="24"/>
          <w:szCs w:val="24"/>
        </w:rPr>
        <w:t xml:space="preserve">out </w:t>
      </w:r>
      <w:r w:rsidRPr="00AC470E">
        <w:rPr>
          <w:rFonts w:ascii="Times New Roman" w:hAnsi="Times New Roman"/>
          <w:sz w:val="24"/>
          <w:szCs w:val="24"/>
        </w:rPr>
        <w:t>the requirements for implementing and monitoring offsets projects that would avoid emissions by diverting waste from landfill to alternative waste treatment (AWT)</w:t>
      </w:r>
      <w:r>
        <w:rPr>
          <w:rFonts w:ascii="Times New Roman" w:hAnsi="Times New Roman"/>
          <w:sz w:val="24"/>
          <w:szCs w:val="24"/>
        </w:rPr>
        <w:t xml:space="preserve"> facilities</w:t>
      </w:r>
      <w:r w:rsidRPr="00AC470E">
        <w:rPr>
          <w:rFonts w:ascii="Times New Roman" w:hAnsi="Times New Roman"/>
          <w:sz w:val="24"/>
          <w:szCs w:val="24"/>
        </w:rPr>
        <w:t>. AWT describes a range of activities that process mixed solid waste</w:t>
      </w:r>
      <w:r>
        <w:rPr>
          <w:rFonts w:ascii="Times New Roman" w:hAnsi="Times New Roman"/>
          <w:sz w:val="24"/>
          <w:szCs w:val="24"/>
        </w:rPr>
        <w:t>,</w:t>
      </w:r>
      <w:r w:rsidRPr="00AC470E">
        <w:rPr>
          <w:rFonts w:ascii="Times New Roman" w:hAnsi="Times New Roman"/>
          <w:sz w:val="24"/>
          <w:szCs w:val="24"/>
        </w:rPr>
        <w:t xml:space="preserve"> that would have gone to landfill</w:t>
      </w:r>
      <w:r>
        <w:rPr>
          <w:rFonts w:ascii="Times New Roman" w:hAnsi="Times New Roman"/>
          <w:sz w:val="24"/>
          <w:szCs w:val="24"/>
        </w:rPr>
        <w:t>,</w:t>
      </w:r>
      <w:r w:rsidRPr="00AC470E">
        <w:rPr>
          <w:rFonts w:ascii="Times New Roman" w:hAnsi="Times New Roman"/>
          <w:sz w:val="24"/>
          <w:szCs w:val="24"/>
        </w:rPr>
        <w:t xml:space="preserve"> into products (such as compost, fuel or biogas) and increase recovery of resources including plastics, glass and metals. AWT projects avoid the emissions that would have occurred if the waste had been sent to landfill. </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sz w:val="24"/>
          <w:szCs w:val="24"/>
        </w:rPr>
        <w:t xml:space="preserve">The Determination reflects the requirements of the </w:t>
      </w:r>
      <w:r>
        <w:rPr>
          <w:rFonts w:ascii="Times New Roman" w:hAnsi="Times New Roman"/>
          <w:sz w:val="24"/>
          <w:szCs w:val="24"/>
        </w:rPr>
        <w:t xml:space="preserve">Act’s </w:t>
      </w:r>
      <w:r w:rsidRPr="00AC470E">
        <w:rPr>
          <w:rFonts w:ascii="Times New Roman" w:hAnsi="Times New Roman"/>
          <w:sz w:val="24"/>
          <w:szCs w:val="24"/>
        </w:rPr>
        <w:t xml:space="preserve">offsets integrity standards and </w:t>
      </w:r>
      <w:r>
        <w:rPr>
          <w:rFonts w:ascii="Times New Roman" w:hAnsi="Times New Roman"/>
          <w:sz w:val="24"/>
          <w:szCs w:val="24"/>
        </w:rPr>
        <w:t xml:space="preserve">helps to </w:t>
      </w:r>
      <w:r w:rsidRPr="00AC470E">
        <w:rPr>
          <w:rFonts w:ascii="Times New Roman" w:hAnsi="Times New Roman"/>
          <w:sz w:val="24"/>
          <w:szCs w:val="24"/>
        </w:rPr>
        <w:t>ensure that emissions reductions are real and additional to business as usual.</w:t>
      </w:r>
      <w:r w:rsidRPr="004B03F3">
        <w:rPr>
          <w:rFonts w:ascii="Times New Roman" w:hAnsi="Times New Roman"/>
          <w:sz w:val="24"/>
        </w:rPr>
        <w:t xml:space="preserve"> </w:t>
      </w:r>
      <w:r w:rsidRPr="00AC470E">
        <w:rPr>
          <w:rFonts w:ascii="Times New Roman" w:hAnsi="Times New Roman"/>
          <w:color w:val="000000"/>
          <w:sz w:val="24"/>
          <w:szCs w:val="24"/>
        </w:rPr>
        <w:t xml:space="preserve">The offsets integrity standards require that an eligible project should result in carbon abatement that is unlikely to occur in the ordinary course of events and is eligible carbon abatement under the Act. In summary, the offsets integrity standards also include that: </w:t>
      </w:r>
    </w:p>
    <w:p w:rsidR="002B7E2D" w:rsidRPr="00AC470E" w:rsidRDefault="002B7E2D" w:rsidP="002B7E2D">
      <w:pPr>
        <w:numPr>
          <w:ilvl w:val="0"/>
          <w:numId w:val="21"/>
        </w:numPr>
        <w:spacing w:after="120" w:line="240" w:lineRule="auto"/>
        <w:ind w:left="284" w:hanging="284"/>
        <w:rPr>
          <w:rFonts w:ascii="Times New Roman" w:hAnsi="Times New Roman"/>
          <w:color w:val="000000"/>
          <w:sz w:val="24"/>
          <w:szCs w:val="24"/>
        </w:rPr>
      </w:pPr>
      <w:r w:rsidRPr="00AC470E">
        <w:rPr>
          <w:rFonts w:ascii="Times New Roman" w:hAnsi="Times New Roman"/>
          <w:color w:val="000000"/>
          <w:sz w:val="24"/>
          <w:szCs w:val="24"/>
        </w:rPr>
        <w:t>amounts are measurable and capable of being verified</w:t>
      </w:r>
    </w:p>
    <w:p w:rsidR="002B7E2D" w:rsidRPr="00AC470E" w:rsidRDefault="002B7E2D" w:rsidP="002B7E2D">
      <w:pPr>
        <w:numPr>
          <w:ilvl w:val="0"/>
          <w:numId w:val="21"/>
        </w:numPr>
        <w:spacing w:after="120" w:line="240" w:lineRule="auto"/>
        <w:ind w:left="284" w:hanging="284"/>
        <w:rPr>
          <w:rFonts w:ascii="Times New Roman" w:hAnsi="Times New Roman"/>
          <w:color w:val="000000"/>
          <w:sz w:val="24"/>
          <w:szCs w:val="24"/>
        </w:rPr>
      </w:pPr>
      <w:r w:rsidRPr="00AC470E">
        <w:rPr>
          <w:rFonts w:ascii="Times New Roman" w:hAnsi="Times New Roman"/>
          <w:color w:val="000000"/>
          <w:sz w:val="24"/>
          <w:szCs w:val="24"/>
        </w:rPr>
        <w:t>the methods used are supported by clear and convincing evidence</w:t>
      </w:r>
    </w:p>
    <w:p w:rsidR="002B7E2D" w:rsidRPr="00AC470E" w:rsidRDefault="002B7E2D" w:rsidP="002B7E2D">
      <w:pPr>
        <w:numPr>
          <w:ilvl w:val="0"/>
          <w:numId w:val="21"/>
        </w:numPr>
        <w:spacing w:after="120" w:line="240" w:lineRule="auto"/>
        <w:ind w:left="284" w:hanging="284"/>
        <w:rPr>
          <w:rFonts w:ascii="Times New Roman" w:hAnsi="Times New Roman"/>
          <w:color w:val="000000"/>
          <w:sz w:val="24"/>
          <w:szCs w:val="24"/>
        </w:rPr>
      </w:pPr>
      <w:r w:rsidRPr="00AC470E">
        <w:rPr>
          <w:rFonts w:ascii="Times New Roman" w:hAnsi="Times New Roman"/>
          <w:color w:val="000000"/>
          <w:sz w:val="24"/>
          <w:szCs w:val="24"/>
        </w:rPr>
        <w:t>material emissions which are a direct consequence of the project are deducted</w:t>
      </w:r>
    </w:p>
    <w:p w:rsidR="002B7E2D" w:rsidRPr="00AC470E" w:rsidRDefault="002B7E2D" w:rsidP="002B7E2D">
      <w:pPr>
        <w:pStyle w:val="ListParagraph"/>
        <w:numPr>
          <w:ilvl w:val="0"/>
          <w:numId w:val="21"/>
        </w:numPr>
        <w:spacing w:after="120" w:line="240" w:lineRule="auto"/>
        <w:ind w:left="284" w:hanging="284"/>
        <w:rPr>
          <w:rFonts w:ascii="Times New Roman" w:hAnsi="Times New Roman"/>
          <w:sz w:val="24"/>
          <w:szCs w:val="24"/>
        </w:rPr>
      </w:pPr>
      <w:r w:rsidRPr="00AC470E">
        <w:rPr>
          <w:rFonts w:ascii="Times New Roman" w:hAnsi="Times New Roman"/>
          <w:color w:val="000000"/>
          <w:sz w:val="24"/>
          <w:szCs w:val="24"/>
        </w:rPr>
        <w:t>estimates, assumptions or projections used in the determination should be conservative.</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The Carbon Farming Initiative (CFI), on which the ERF is built, developed four AWT methodology determinations for crediting emissions reductions from diverting waste from landfill between the period 1 July 2010 (the start date for the CFI) and 1 July 2012 (the start date of the carbon tax). The existing methodology determinations (collectively referred to as CFI AWT </w:t>
      </w:r>
      <w:r>
        <w:rPr>
          <w:rFonts w:ascii="Times New Roman" w:hAnsi="Times New Roman"/>
          <w:sz w:val="24"/>
          <w:szCs w:val="24"/>
        </w:rPr>
        <w:t>D</w:t>
      </w:r>
      <w:r w:rsidRPr="00AC470E">
        <w:rPr>
          <w:rFonts w:ascii="Times New Roman" w:hAnsi="Times New Roman"/>
          <w:sz w:val="24"/>
          <w:szCs w:val="24"/>
        </w:rPr>
        <w:t>eterminations) are:</w:t>
      </w:r>
    </w:p>
    <w:p w:rsidR="00466962" w:rsidRDefault="002B7E2D">
      <w:pPr>
        <w:pStyle w:val="ListParagraph"/>
        <w:numPr>
          <w:ilvl w:val="0"/>
          <w:numId w:val="17"/>
        </w:numPr>
        <w:spacing w:after="120" w:line="240" w:lineRule="auto"/>
        <w:ind w:left="284" w:hanging="284"/>
        <w:rPr>
          <w:rFonts w:ascii="Times New Roman" w:hAnsi="Times New Roman"/>
          <w:b/>
          <w:i/>
          <w:color w:val="000000"/>
          <w:sz w:val="24"/>
          <w:szCs w:val="24"/>
        </w:rPr>
      </w:pPr>
      <w:r w:rsidRPr="00AC470E">
        <w:rPr>
          <w:rFonts w:ascii="Times New Roman" w:hAnsi="Times New Roman"/>
          <w:i/>
          <w:color w:val="000000"/>
          <w:sz w:val="24"/>
          <w:szCs w:val="24"/>
        </w:rPr>
        <w:t xml:space="preserve">Carbon Credits (Carbon Farming Initiative) (Avoided Emissions from Diverting Legacy Waste from Landfill for Process Engineered Fuel Manufacture) Methodology Determination </w:t>
      </w:r>
      <w:r w:rsidRPr="00AC470E">
        <w:rPr>
          <w:rFonts w:ascii="Times New Roman" w:hAnsi="Times New Roman"/>
          <w:i/>
          <w:noProof/>
          <w:color w:val="000000"/>
          <w:sz w:val="24"/>
          <w:szCs w:val="24"/>
        </w:rPr>
        <w:t>2012</w:t>
      </w:r>
    </w:p>
    <w:p w:rsidR="00466962" w:rsidRDefault="002B7E2D">
      <w:pPr>
        <w:pStyle w:val="ListParagraph"/>
        <w:numPr>
          <w:ilvl w:val="0"/>
          <w:numId w:val="17"/>
        </w:numPr>
        <w:spacing w:after="120" w:line="240" w:lineRule="auto"/>
        <w:ind w:left="284" w:hanging="284"/>
        <w:rPr>
          <w:rFonts w:ascii="Times New Roman" w:hAnsi="Times New Roman"/>
          <w:b/>
          <w:i/>
          <w:color w:val="000000"/>
          <w:sz w:val="24"/>
          <w:szCs w:val="24"/>
        </w:rPr>
      </w:pPr>
      <w:r w:rsidRPr="009B2293">
        <w:rPr>
          <w:rFonts w:ascii="Times New Roman" w:hAnsi="Times New Roman"/>
          <w:i/>
          <w:color w:val="000000"/>
          <w:sz w:val="24"/>
          <w:szCs w:val="24"/>
        </w:rPr>
        <w:t>Carbon Credits (Carbon Farming Initiative) (Avoided Emissions from Diverting Legacy Waste from Landfill through a Composting Alternative Waste Technology) Methodology Determination 2013</w:t>
      </w:r>
    </w:p>
    <w:p w:rsidR="00466962" w:rsidRDefault="002B7E2D">
      <w:pPr>
        <w:pStyle w:val="ListParagraph"/>
        <w:numPr>
          <w:ilvl w:val="0"/>
          <w:numId w:val="17"/>
        </w:numPr>
        <w:spacing w:after="120" w:line="240" w:lineRule="auto"/>
        <w:ind w:left="284" w:hanging="284"/>
        <w:rPr>
          <w:rFonts w:ascii="Times New Roman" w:hAnsi="Times New Roman"/>
          <w:b/>
          <w:i/>
          <w:color w:val="000000"/>
          <w:sz w:val="24"/>
          <w:szCs w:val="24"/>
        </w:rPr>
      </w:pPr>
      <w:r w:rsidRPr="009B2293">
        <w:rPr>
          <w:rFonts w:ascii="Times New Roman" w:hAnsi="Times New Roman"/>
          <w:i/>
          <w:color w:val="000000"/>
          <w:sz w:val="24"/>
          <w:szCs w:val="24"/>
        </w:rPr>
        <w:t>Carbon Credits (Carbon Farming Initiative) (Diversion of Legacy Waste to an Alternative Waste Treatment Facility) Methodology Determination 201</w:t>
      </w:r>
      <w:r w:rsidR="00A53FF7" w:rsidRPr="00A53FF7">
        <w:rPr>
          <w:rFonts w:ascii="Times New Roman" w:hAnsi="Times New Roman"/>
          <w:i/>
          <w:color w:val="000000"/>
          <w:sz w:val="24"/>
          <w:szCs w:val="24"/>
        </w:rPr>
        <w:t>3</w:t>
      </w:r>
    </w:p>
    <w:p w:rsidR="00466962" w:rsidRDefault="002B7E2D">
      <w:pPr>
        <w:pStyle w:val="ListParagraph"/>
        <w:numPr>
          <w:ilvl w:val="0"/>
          <w:numId w:val="17"/>
        </w:numPr>
        <w:spacing w:after="120" w:line="240" w:lineRule="auto"/>
        <w:ind w:left="284" w:hanging="284"/>
        <w:rPr>
          <w:rFonts w:ascii="Times New Roman" w:hAnsi="Times New Roman"/>
          <w:i/>
          <w:color w:val="000000"/>
          <w:sz w:val="24"/>
          <w:szCs w:val="24"/>
        </w:rPr>
      </w:pPr>
      <w:r w:rsidRPr="00AC470E">
        <w:rPr>
          <w:rFonts w:ascii="Times New Roman" w:hAnsi="Times New Roman"/>
          <w:i/>
          <w:color w:val="000000"/>
          <w:sz w:val="24"/>
          <w:szCs w:val="24"/>
        </w:rPr>
        <w:t>Carbon Credits (Carbon Farming Initiative) (Enclosed Mechanical Processing and Composting Alternative Waste Treatment) Methodology Determination 2013.</w:t>
      </w:r>
    </w:p>
    <w:p w:rsidR="002B7E2D"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The Determination provides an incentive to develop new AWT facilities or expand existing AWT facilities to increase the capacity of waste that can be processed. </w:t>
      </w:r>
    </w:p>
    <w:p w:rsidR="002B7E2D"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The Determination also enables </w:t>
      </w:r>
      <w:r>
        <w:rPr>
          <w:rFonts w:ascii="Times New Roman" w:hAnsi="Times New Roman"/>
          <w:sz w:val="24"/>
          <w:szCs w:val="24"/>
        </w:rPr>
        <w:t xml:space="preserve">projects under </w:t>
      </w:r>
      <w:r w:rsidR="005302B0">
        <w:rPr>
          <w:rFonts w:ascii="Times New Roman" w:hAnsi="Times New Roman"/>
          <w:sz w:val="24"/>
          <w:szCs w:val="24"/>
        </w:rPr>
        <w:t>the</w:t>
      </w:r>
      <w:r w:rsidR="005302B0" w:rsidRPr="00AC470E">
        <w:rPr>
          <w:rFonts w:ascii="Times New Roman" w:hAnsi="Times New Roman"/>
          <w:sz w:val="24"/>
          <w:szCs w:val="24"/>
        </w:rPr>
        <w:t xml:space="preserve"> </w:t>
      </w:r>
      <w:r w:rsidRPr="00AC470E">
        <w:rPr>
          <w:rFonts w:ascii="Times New Roman" w:hAnsi="Times New Roman"/>
          <w:sz w:val="24"/>
          <w:szCs w:val="24"/>
        </w:rPr>
        <w:t xml:space="preserve">CFI AWT </w:t>
      </w:r>
      <w:r>
        <w:rPr>
          <w:rFonts w:ascii="Times New Roman" w:hAnsi="Times New Roman"/>
          <w:sz w:val="24"/>
          <w:szCs w:val="24"/>
        </w:rPr>
        <w:t>Determinations</w:t>
      </w:r>
      <w:r w:rsidRPr="00AC470E">
        <w:rPr>
          <w:rFonts w:ascii="Times New Roman" w:hAnsi="Times New Roman"/>
          <w:sz w:val="24"/>
          <w:szCs w:val="24"/>
        </w:rPr>
        <w:t xml:space="preserve"> to transition to the ERF and continue to generate emissions reductions for processing waste that would have gone to landfill. </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All eligible projects will be able to receive ACCUs for emission reductions for the processing of eligible waste for a seven</w:t>
      </w:r>
      <w:r>
        <w:rPr>
          <w:rFonts w:ascii="Times New Roman" w:hAnsi="Times New Roman"/>
          <w:sz w:val="24"/>
          <w:szCs w:val="24"/>
        </w:rPr>
        <w:t>-</w:t>
      </w:r>
      <w:r w:rsidRPr="00AC470E">
        <w:rPr>
          <w:rFonts w:ascii="Times New Roman" w:hAnsi="Times New Roman"/>
          <w:sz w:val="24"/>
          <w:szCs w:val="24"/>
        </w:rPr>
        <w:t>year crediting period.</w:t>
      </w:r>
    </w:p>
    <w:p w:rsidR="002B7E2D" w:rsidRDefault="002B7E2D" w:rsidP="002B7E2D">
      <w:pPr>
        <w:keepNext/>
        <w:keepLines/>
        <w:spacing w:before="240" w:after="120" w:line="240" w:lineRule="auto"/>
        <w:rPr>
          <w:rFonts w:ascii="Times New Roman" w:hAnsi="Times New Roman"/>
          <w:b/>
          <w:sz w:val="24"/>
          <w:szCs w:val="24"/>
        </w:rPr>
      </w:pPr>
      <w:r w:rsidRPr="00AC470E">
        <w:rPr>
          <w:rFonts w:ascii="Times New Roman" w:hAnsi="Times New Roman"/>
          <w:b/>
          <w:sz w:val="24"/>
          <w:szCs w:val="24"/>
        </w:rPr>
        <w:lastRenderedPageBreak/>
        <w:t xml:space="preserve">Public </w:t>
      </w:r>
      <w:r w:rsidR="006A2533">
        <w:rPr>
          <w:rFonts w:ascii="Times New Roman" w:hAnsi="Times New Roman"/>
          <w:b/>
          <w:sz w:val="24"/>
          <w:szCs w:val="24"/>
        </w:rPr>
        <w:t>c</w:t>
      </w:r>
      <w:r w:rsidR="006A2533" w:rsidRPr="00AC470E">
        <w:rPr>
          <w:rFonts w:ascii="Times New Roman" w:hAnsi="Times New Roman"/>
          <w:b/>
          <w:sz w:val="24"/>
          <w:szCs w:val="24"/>
        </w:rPr>
        <w:t>onsultation</w:t>
      </w:r>
    </w:p>
    <w:p w:rsidR="007E674D" w:rsidRDefault="007E674D" w:rsidP="002B7E2D">
      <w:pPr>
        <w:keepNext/>
        <w:keepLines/>
        <w:spacing w:after="120" w:line="240" w:lineRule="auto"/>
        <w:rPr>
          <w:rFonts w:ascii="Times New Roman" w:hAnsi="Times New Roman"/>
          <w:sz w:val="24"/>
          <w:szCs w:val="24"/>
        </w:rPr>
      </w:pPr>
      <w:r w:rsidRPr="00F10E1F">
        <w:rPr>
          <w:rFonts w:ascii="Times New Roman" w:hAnsi="Times New Roman"/>
          <w:sz w:val="24"/>
          <w:szCs w:val="24"/>
        </w:rPr>
        <w:t>The Determination has been developed by the Department of the Environment in collaboration with a technical working group of experts from the waste industry and the Regulator.</w:t>
      </w:r>
      <w:r>
        <w:rPr>
          <w:rFonts w:ascii="Times New Roman" w:hAnsi="Times New Roman"/>
          <w:sz w:val="24"/>
          <w:szCs w:val="24"/>
        </w:rPr>
        <w:t xml:space="preserve"> </w:t>
      </w:r>
      <w:r w:rsidRPr="00FD5966">
        <w:rPr>
          <w:rFonts w:ascii="Times New Roman" w:hAnsi="Times New Roman"/>
          <w:sz w:val="24"/>
          <w:szCs w:val="24"/>
        </w:rPr>
        <w:t xml:space="preserve">The waste sector technical working group held </w:t>
      </w:r>
      <w:r>
        <w:rPr>
          <w:rFonts w:ascii="Times New Roman" w:hAnsi="Times New Roman"/>
          <w:sz w:val="24"/>
          <w:szCs w:val="24"/>
        </w:rPr>
        <w:t xml:space="preserve">multiple </w:t>
      </w:r>
      <w:r w:rsidRPr="00FD5966">
        <w:rPr>
          <w:rFonts w:ascii="Times New Roman" w:hAnsi="Times New Roman"/>
          <w:sz w:val="24"/>
          <w:szCs w:val="24"/>
        </w:rPr>
        <w:t xml:space="preserve">meetings </w:t>
      </w:r>
      <w:r>
        <w:rPr>
          <w:rFonts w:ascii="Times New Roman" w:hAnsi="Times New Roman"/>
          <w:sz w:val="24"/>
          <w:szCs w:val="24"/>
        </w:rPr>
        <w:t xml:space="preserve">in 2013 and 2014 and has </w:t>
      </w:r>
      <w:r w:rsidRPr="00F10E1F">
        <w:rPr>
          <w:rFonts w:ascii="Times New Roman" w:hAnsi="Times New Roman"/>
          <w:sz w:val="24"/>
          <w:szCs w:val="24"/>
        </w:rPr>
        <w:t xml:space="preserve">reviewed several draft versions </w:t>
      </w:r>
      <w:r w:rsidR="00A43633">
        <w:rPr>
          <w:rFonts w:ascii="Times New Roman" w:hAnsi="Times New Roman"/>
          <w:sz w:val="24"/>
          <w:szCs w:val="24"/>
        </w:rPr>
        <w:t>of the Determination</w:t>
      </w:r>
      <w:r w:rsidRPr="00F10E1F">
        <w:rPr>
          <w:rFonts w:ascii="Times New Roman" w:hAnsi="Times New Roman"/>
          <w:sz w:val="24"/>
          <w:szCs w:val="24"/>
        </w:rPr>
        <w:t>.</w:t>
      </w:r>
    </w:p>
    <w:p w:rsidR="002B7E2D" w:rsidRPr="00AC470E" w:rsidRDefault="002B7E2D" w:rsidP="002B7E2D">
      <w:pPr>
        <w:keepNext/>
        <w:keepLines/>
        <w:spacing w:after="120" w:line="240" w:lineRule="auto"/>
      </w:pPr>
      <w:r w:rsidRPr="00AC470E">
        <w:rPr>
          <w:rFonts w:ascii="Times New Roman" w:hAnsi="Times New Roman"/>
          <w:sz w:val="24"/>
          <w:szCs w:val="24"/>
        </w:rPr>
        <w:t>The exposure draft of the Determination was published on the Department’s website for public consultation from 3 September 2014 to 1 October 2014. Eig</w:t>
      </w:r>
      <w:r>
        <w:rPr>
          <w:rFonts w:ascii="Times New Roman" w:hAnsi="Times New Roman"/>
          <w:sz w:val="24"/>
          <w:szCs w:val="24"/>
        </w:rPr>
        <w:t>hteen submissions were received. D</w:t>
      </w:r>
      <w:r w:rsidRPr="00AC470E">
        <w:rPr>
          <w:rFonts w:ascii="Times New Roman" w:hAnsi="Times New Roman"/>
          <w:sz w:val="24"/>
          <w:szCs w:val="24"/>
        </w:rPr>
        <w:t>etails of the non-confidential submissions are provided on the Department of the Environment website</w:t>
      </w:r>
      <w:r>
        <w:rPr>
          <w:rFonts w:ascii="Times New Roman" w:hAnsi="Times New Roman"/>
          <w:sz w:val="24"/>
          <w:szCs w:val="24"/>
        </w:rPr>
        <w:t>:</w:t>
      </w:r>
      <w:r w:rsidRPr="00AC470E">
        <w:rPr>
          <w:rFonts w:ascii="Times New Roman" w:hAnsi="Times New Roman"/>
          <w:sz w:val="24"/>
          <w:szCs w:val="24"/>
        </w:rPr>
        <w:t xml:space="preserve"> </w:t>
      </w:r>
      <w:hyperlink r:id="rId14" w:history="1">
        <w:r w:rsidRPr="00AC470E">
          <w:rPr>
            <w:rStyle w:val="Hyperlink"/>
            <w:rFonts w:ascii="Times New Roman" w:hAnsi="Times New Roman"/>
            <w:sz w:val="24"/>
            <w:szCs w:val="24"/>
          </w:rPr>
          <w:t>www.environment.gov.au</w:t>
        </w:r>
      </w:hyperlink>
      <w:r w:rsidRPr="00AC470E">
        <w:t xml:space="preserve">. </w:t>
      </w:r>
    </w:p>
    <w:p w:rsidR="002B7E2D" w:rsidRPr="00AC470E" w:rsidRDefault="002B7E2D" w:rsidP="002B7E2D">
      <w:pPr>
        <w:keepNext/>
        <w:spacing w:before="240" w:after="120" w:line="240" w:lineRule="auto"/>
        <w:rPr>
          <w:rFonts w:ascii="Times New Roman" w:hAnsi="Times New Roman"/>
          <w:b/>
          <w:sz w:val="24"/>
          <w:szCs w:val="24"/>
        </w:rPr>
      </w:pPr>
      <w:r w:rsidRPr="00AC470E">
        <w:rPr>
          <w:rFonts w:ascii="Times New Roman" w:hAnsi="Times New Roman"/>
          <w:b/>
          <w:sz w:val="24"/>
          <w:szCs w:val="24"/>
        </w:rPr>
        <w:t xml:space="preserve">Determination </w:t>
      </w:r>
      <w:r w:rsidR="000C3C97">
        <w:rPr>
          <w:rFonts w:ascii="Times New Roman" w:hAnsi="Times New Roman"/>
          <w:b/>
          <w:sz w:val="24"/>
          <w:szCs w:val="24"/>
        </w:rPr>
        <w:t>d</w:t>
      </w:r>
      <w:r w:rsidR="000C3C97" w:rsidRPr="00AC470E">
        <w:rPr>
          <w:rFonts w:ascii="Times New Roman" w:hAnsi="Times New Roman"/>
          <w:b/>
          <w:sz w:val="24"/>
          <w:szCs w:val="24"/>
        </w:rPr>
        <w:t>etails</w:t>
      </w:r>
    </w:p>
    <w:p w:rsidR="002B7E2D"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Details of the Determination are at </w:t>
      </w:r>
      <w:r w:rsidRPr="00AC470E">
        <w:rPr>
          <w:rFonts w:ascii="Times New Roman" w:hAnsi="Times New Roman"/>
          <w:sz w:val="24"/>
          <w:szCs w:val="24"/>
          <w:u w:val="single"/>
        </w:rPr>
        <w:t>Attachment A</w:t>
      </w:r>
      <w:r w:rsidRPr="00AC470E">
        <w:rPr>
          <w:rFonts w:ascii="Times New Roman" w:hAnsi="Times New Roman"/>
          <w:sz w:val="24"/>
          <w:szCs w:val="24"/>
        </w:rPr>
        <w:t>.</w:t>
      </w:r>
      <w:r>
        <w:rPr>
          <w:rFonts w:ascii="Times New Roman" w:hAnsi="Times New Roman"/>
          <w:sz w:val="24"/>
          <w:szCs w:val="24"/>
        </w:rPr>
        <w:t xml:space="preserve"> </w:t>
      </w:r>
      <w:r w:rsidRPr="00AC470E">
        <w:rPr>
          <w:rFonts w:ascii="Times New Roman" w:hAnsi="Times New Roman"/>
          <w:sz w:val="24"/>
          <w:szCs w:val="24"/>
        </w:rPr>
        <w:t>Numbered sections in th</w:t>
      </w:r>
      <w:r w:rsidR="00A618F5">
        <w:rPr>
          <w:rFonts w:ascii="Times New Roman" w:hAnsi="Times New Roman"/>
          <w:sz w:val="24"/>
          <w:szCs w:val="24"/>
        </w:rPr>
        <w:t>e</w:t>
      </w:r>
      <w:r w:rsidRPr="00AC470E">
        <w:rPr>
          <w:rFonts w:ascii="Times New Roman" w:hAnsi="Times New Roman"/>
          <w:sz w:val="24"/>
          <w:szCs w:val="24"/>
        </w:rPr>
        <w:t xml:space="preserve"> </w:t>
      </w:r>
      <w:r w:rsidR="00A618F5">
        <w:rPr>
          <w:rFonts w:ascii="Times New Roman" w:hAnsi="Times New Roman"/>
          <w:sz w:val="24"/>
          <w:szCs w:val="24"/>
        </w:rPr>
        <w:t>E</w:t>
      </w:r>
      <w:r w:rsidRPr="00AC470E">
        <w:rPr>
          <w:rFonts w:ascii="Times New Roman" w:hAnsi="Times New Roman"/>
          <w:sz w:val="24"/>
          <w:szCs w:val="24"/>
        </w:rPr>
        <w:t xml:space="preserve">xplanatory </w:t>
      </w:r>
      <w:r w:rsidR="00A618F5">
        <w:rPr>
          <w:rFonts w:ascii="Times New Roman" w:hAnsi="Times New Roman"/>
          <w:sz w:val="24"/>
          <w:szCs w:val="24"/>
        </w:rPr>
        <w:t>S</w:t>
      </w:r>
      <w:r w:rsidRPr="00AC470E">
        <w:rPr>
          <w:rFonts w:ascii="Times New Roman" w:hAnsi="Times New Roman"/>
          <w:sz w:val="24"/>
          <w:szCs w:val="24"/>
        </w:rPr>
        <w:t>tatement align with the relevant sections of the Determination.</w:t>
      </w:r>
      <w:r>
        <w:rPr>
          <w:rFonts w:ascii="Times New Roman" w:hAnsi="Times New Roman"/>
          <w:sz w:val="24"/>
          <w:szCs w:val="24"/>
        </w:rPr>
        <w:t xml:space="preserve"> </w:t>
      </w:r>
      <w:r w:rsidRPr="00AC470E">
        <w:rPr>
          <w:rFonts w:ascii="Times New Roman" w:hAnsi="Times New Roman"/>
          <w:sz w:val="24"/>
          <w:szCs w:val="24"/>
        </w:rPr>
        <w:t xml:space="preserve">The definition of terms highlighted in </w:t>
      </w:r>
      <w:r w:rsidRPr="00AC470E">
        <w:rPr>
          <w:rFonts w:ascii="Times New Roman" w:hAnsi="Times New Roman"/>
          <w:b/>
          <w:i/>
          <w:sz w:val="24"/>
          <w:szCs w:val="24"/>
        </w:rPr>
        <w:t>bold italics</w:t>
      </w:r>
      <w:r w:rsidRPr="00AC470E">
        <w:rPr>
          <w:rFonts w:ascii="Times New Roman" w:hAnsi="Times New Roman"/>
          <w:sz w:val="24"/>
          <w:szCs w:val="24"/>
        </w:rPr>
        <w:t xml:space="preserve"> can be found in the Determination.</w:t>
      </w:r>
    </w:p>
    <w:p w:rsidR="002421A5" w:rsidRDefault="005A2D85">
      <w:pPr>
        <w:spacing w:after="120" w:line="240" w:lineRule="auto"/>
        <w:rPr>
          <w:rFonts w:ascii="Times New Roman" w:hAnsi="Times New Roman"/>
          <w:sz w:val="24"/>
          <w:szCs w:val="24"/>
        </w:rPr>
      </w:pPr>
      <w:r>
        <w:rPr>
          <w:rFonts w:ascii="Times New Roman" w:hAnsi="Times New Roman"/>
          <w:sz w:val="24"/>
          <w:szCs w:val="24"/>
        </w:rPr>
        <w:t>For the purpose of subsections 106(4), (4A) and (4</w:t>
      </w:r>
      <w:r w:rsidR="00CF6AE8">
        <w:rPr>
          <w:rFonts w:ascii="Times New Roman" w:hAnsi="Times New Roman"/>
          <w:sz w:val="24"/>
          <w:szCs w:val="24"/>
        </w:rPr>
        <w:t>B</w:t>
      </w:r>
      <w:r>
        <w:rPr>
          <w:rFonts w:ascii="Times New Roman" w:hAnsi="Times New Roman"/>
          <w:sz w:val="24"/>
          <w:szCs w:val="24"/>
        </w:rPr>
        <w:t xml:space="preserve">) of the Act, in making this Determination the Minister has had regard to, and agrees with, the advice of the Interim Emissions Reduction Assurance Committee that the </w:t>
      </w:r>
      <w:r w:rsidR="005904AC">
        <w:rPr>
          <w:rFonts w:ascii="Times New Roman" w:hAnsi="Times New Roman"/>
          <w:sz w:val="24"/>
          <w:szCs w:val="24"/>
        </w:rPr>
        <w:t>D</w:t>
      </w:r>
      <w:r>
        <w:rPr>
          <w:rFonts w:ascii="Times New Roman" w:hAnsi="Times New Roman"/>
          <w:sz w:val="24"/>
          <w:szCs w:val="24"/>
        </w:rPr>
        <w:t xml:space="preserve">etermination complies with the offsets integrity standards and that the proposed </w:t>
      </w:r>
      <w:r w:rsidR="005904AC">
        <w:rPr>
          <w:rFonts w:ascii="Times New Roman" w:hAnsi="Times New Roman"/>
          <w:sz w:val="24"/>
          <w:szCs w:val="24"/>
        </w:rPr>
        <w:t>D</w:t>
      </w:r>
      <w:r>
        <w:rPr>
          <w:rFonts w:ascii="Times New Roman" w:hAnsi="Times New Roman"/>
          <w:sz w:val="24"/>
          <w:szCs w:val="24"/>
        </w:rPr>
        <w:t xml:space="preserve">etermination should be made. The Minister is satisfied that the carbon abatement used in ascertaining </w:t>
      </w:r>
      <w:r w:rsidRPr="004A1BE3">
        <w:rPr>
          <w:rFonts w:ascii="Times New Roman" w:hAnsi="Times New Roman"/>
          <w:sz w:val="24"/>
          <w:szCs w:val="24"/>
        </w:rPr>
        <w:t>the carbon dioxide equivalent net abatement amount for a project is eligible carbon abatement from the project</w:t>
      </w:r>
      <w:r>
        <w:rPr>
          <w:rFonts w:ascii="Times New Roman" w:hAnsi="Times New Roman"/>
          <w:sz w:val="24"/>
          <w:szCs w:val="24"/>
        </w:rPr>
        <w:t xml:space="preserve">. The Minister also had regard to whether any adverse environmental, economic or social impacts are likely to arise from the carrying out of the kind of project to which the </w:t>
      </w:r>
      <w:r w:rsidR="005904AC">
        <w:rPr>
          <w:rFonts w:ascii="Times New Roman" w:hAnsi="Times New Roman"/>
          <w:sz w:val="24"/>
          <w:szCs w:val="24"/>
        </w:rPr>
        <w:t>D</w:t>
      </w:r>
      <w:r>
        <w:rPr>
          <w:rFonts w:ascii="Times New Roman" w:hAnsi="Times New Roman"/>
          <w:sz w:val="24"/>
          <w:szCs w:val="24"/>
        </w:rPr>
        <w:t>etermination applies and other relevant considerations.</w:t>
      </w:r>
    </w:p>
    <w:p w:rsidR="002421A5" w:rsidRDefault="005A2D85">
      <w:pPr>
        <w:spacing w:after="120" w:line="240" w:lineRule="auto"/>
        <w:rPr>
          <w:rFonts w:ascii="Times New Roman" w:hAnsi="Times New Roman"/>
          <w:sz w:val="24"/>
          <w:szCs w:val="24"/>
        </w:rPr>
      </w:pPr>
      <w:r>
        <w:rPr>
          <w:rFonts w:ascii="Times New Roman" w:hAnsi="Times New Roman"/>
          <w:sz w:val="24"/>
          <w:szCs w:val="24"/>
        </w:rPr>
        <w:t xml:space="preserve">Subitem 393(2) of Schedule 1 of the </w:t>
      </w:r>
      <w:r w:rsidRPr="004A1BE3">
        <w:rPr>
          <w:rFonts w:ascii="Times New Roman" w:hAnsi="Times New Roman"/>
          <w:i/>
          <w:sz w:val="24"/>
          <w:szCs w:val="24"/>
        </w:rPr>
        <w:t>Carbon Farming Initiative Amendment Act 2014</w:t>
      </w:r>
      <w:r>
        <w:rPr>
          <w:rFonts w:ascii="Times New Roman" w:hAnsi="Times New Roman"/>
          <w:sz w:val="24"/>
          <w:szCs w:val="24"/>
        </w:rPr>
        <w:t xml:space="preserve"> operated in relation to this </w:t>
      </w:r>
      <w:r w:rsidR="005904AC">
        <w:rPr>
          <w:rFonts w:ascii="Times New Roman" w:hAnsi="Times New Roman"/>
          <w:sz w:val="24"/>
          <w:szCs w:val="24"/>
        </w:rPr>
        <w:t>D</w:t>
      </w:r>
      <w:r>
        <w:rPr>
          <w:rFonts w:ascii="Times New Roman" w:hAnsi="Times New Roman"/>
          <w:sz w:val="24"/>
          <w:szCs w:val="24"/>
        </w:rPr>
        <w:t xml:space="preserve">etermination to deem the request to, and advice from, the Interim Emissions Reduction Assurance Committee to be the relevant request to and advice from the statutory Emissions Reduction Assurance Committee under </w:t>
      </w:r>
      <w:r w:rsidRPr="004A1BE3">
        <w:rPr>
          <w:rFonts w:ascii="Times New Roman" w:hAnsi="Times New Roman"/>
          <w:sz w:val="24"/>
          <w:szCs w:val="24"/>
        </w:rPr>
        <w:t>subsection</w:t>
      </w:r>
      <w:r>
        <w:rPr>
          <w:rFonts w:ascii="Times New Roman" w:hAnsi="Times New Roman"/>
          <w:sz w:val="24"/>
          <w:szCs w:val="24"/>
        </w:rPr>
        <w:t>s 106(10) and</w:t>
      </w:r>
      <w:r w:rsidRPr="004A1BE3">
        <w:rPr>
          <w:rFonts w:ascii="Times New Roman" w:hAnsi="Times New Roman"/>
          <w:sz w:val="24"/>
          <w:szCs w:val="24"/>
        </w:rPr>
        <w:t xml:space="preserve"> 123A(2)</w:t>
      </w:r>
      <w:r>
        <w:rPr>
          <w:rFonts w:ascii="Times New Roman" w:hAnsi="Times New Roman"/>
          <w:sz w:val="24"/>
          <w:szCs w:val="24"/>
        </w:rPr>
        <w:t xml:space="preserve"> of the Act respectively.</w:t>
      </w:r>
    </w:p>
    <w:p w:rsidR="002B7E2D" w:rsidRPr="00AC470E" w:rsidRDefault="002B7E2D" w:rsidP="002B7E2D">
      <w:pPr>
        <w:spacing w:before="240" w:after="120" w:line="240" w:lineRule="auto"/>
        <w:rPr>
          <w:rFonts w:ascii="Times New Roman" w:hAnsi="Times New Roman"/>
          <w:sz w:val="24"/>
          <w:szCs w:val="24"/>
        </w:rPr>
      </w:pPr>
      <w:r w:rsidRPr="00AC470E">
        <w:rPr>
          <w:rFonts w:ascii="Times New Roman" w:hAnsi="Times New Roman"/>
          <w:sz w:val="24"/>
          <w:szCs w:val="24"/>
        </w:rPr>
        <w:t xml:space="preserve">A Statement of Compatibility </w:t>
      </w:r>
      <w:r w:rsidR="00E508DF">
        <w:rPr>
          <w:rFonts w:ascii="Times New Roman" w:hAnsi="Times New Roman"/>
          <w:sz w:val="24"/>
          <w:szCs w:val="24"/>
        </w:rPr>
        <w:t xml:space="preserve">with Human Rights </w:t>
      </w:r>
      <w:r w:rsidRPr="00AC470E">
        <w:rPr>
          <w:rFonts w:ascii="Times New Roman" w:hAnsi="Times New Roman"/>
          <w:sz w:val="24"/>
          <w:szCs w:val="24"/>
        </w:rPr>
        <w:t xml:space="preserve">prepared in accordance with the </w:t>
      </w:r>
      <w:r w:rsidRPr="00AC470E">
        <w:rPr>
          <w:rFonts w:ascii="Times New Roman" w:hAnsi="Times New Roman"/>
          <w:i/>
          <w:sz w:val="24"/>
          <w:szCs w:val="24"/>
        </w:rPr>
        <w:t>Human Rights (Parliamentary Scrutiny) Act 2011</w:t>
      </w:r>
      <w:r w:rsidRPr="00AC470E">
        <w:rPr>
          <w:rFonts w:ascii="Times New Roman" w:hAnsi="Times New Roman"/>
          <w:sz w:val="24"/>
          <w:szCs w:val="24"/>
        </w:rPr>
        <w:t xml:space="preserve"> is at </w:t>
      </w:r>
      <w:r w:rsidRPr="00AC470E">
        <w:rPr>
          <w:rFonts w:ascii="Times New Roman" w:hAnsi="Times New Roman"/>
          <w:sz w:val="24"/>
          <w:szCs w:val="24"/>
          <w:u w:val="single"/>
        </w:rPr>
        <w:t>Attachment B</w:t>
      </w:r>
      <w:r w:rsidRPr="00AC470E">
        <w:rPr>
          <w:rFonts w:ascii="Times New Roman" w:hAnsi="Times New Roman"/>
          <w:sz w:val="24"/>
          <w:szCs w:val="24"/>
        </w:rPr>
        <w:t>.</w:t>
      </w:r>
    </w:p>
    <w:p w:rsidR="002B7E2D" w:rsidRDefault="002B7E2D" w:rsidP="002B7E2D">
      <w:pPr>
        <w:pStyle w:val="Footer"/>
        <w:pageBreakBefore/>
        <w:spacing w:after="120"/>
        <w:jc w:val="right"/>
        <w:rPr>
          <w:rFonts w:ascii="Times New Roman" w:hAnsi="Times New Roman"/>
          <w:sz w:val="24"/>
          <w:u w:val="single"/>
        </w:rPr>
      </w:pPr>
      <w:r w:rsidRPr="00AC470E">
        <w:rPr>
          <w:rFonts w:ascii="Times New Roman" w:hAnsi="Times New Roman"/>
          <w:sz w:val="24"/>
          <w:szCs w:val="24"/>
          <w:u w:val="single"/>
        </w:rPr>
        <w:lastRenderedPageBreak/>
        <w:t>Attachment A</w:t>
      </w:r>
    </w:p>
    <w:p w:rsidR="002B7E2D" w:rsidRPr="00AC470E" w:rsidRDefault="002B7E2D" w:rsidP="002B7E2D">
      <w:pPr>
        <w:pStyle w:val="Footer"/>
        <w:spacing w:after="120"/>
        <w:rPr>
          <w:rFonts w:ascii="Times New Roman" w:hAnsi="Times New Roman"/>
          <w:b/>
          <w:sz w:val="24"/>
          <w:szCs w:val="24"/>
        </w:rPr>
      </w:pPr>
      <w:r w:rsidRPr="00AC470E">
        <w:rPr>
          <w:rFonts w:ascii="Times New Roman" w:hAnsi="Times New Roman"/>
          <w:b/>
          <w:sz w:val="24"/>
          <w:szCs w:val="24"/>
        </w:rPr>
        <w:t>Details of the Methodology Determination</w:t>
      </w:r>
    </w:p>
    <w:p w:rsidR="002B7E2D" w:rsidRPr="00AC470E" w:rsidRDefault="002B7E2D" w:rsidP="002B7E2D">
      <w:pPr>
        <w:spacing w:after="120" w:line="240" w:lineRule="auto"/>
        <w:rPr>
          <w:rFonts w:ascii="Times New Roman" w:hAnsi="Times New Roman"/>
          <w:b/>
          <w:sz w:val="24"/>
          <w:szCs w:val="24"/>
        </w:rPr>
      </w:pPr>
      <w:r w:rsidRPr="00AC470E">
        <w:rPr>
          <w:rFonts w:ascii="Times New Roman" w:hAnsi="Times New Roman"/>
          <w:b/>
          <w:sz w:val="24"/>
          <w:szCs w:val="24"/>
        </w:rPr>
        <w:t xml:space="preserve">Part 1 </w:t>
      </w:r>
      <w:r w:rsidRPr="00AC470E">
        <w:rPr>
          <w:rFonts w:ascii="Times New Roman" w:hAnsi="Times New Roman"/>
          <w:b/>
          <w:sz w:val="24"/>
          <w:szCs w:val="24"/>
        </w:rPr>
        <w:tab/>
      </w:r>
      <w:r w:rsidRPr="00AC470E">
        <w:rPr>
          <w:rFonts w:ascii="Times New Roman" w:hAnsi="Times New Roman"/>
          <w:b/>
          <w:sz w:val="24"/>
          <w:szCs w:val="24"/>
        </w:rPr>
        <w:tab/>
        <w:t>Preliminary</w:t>
      </w:r>
    </w:p>
    <w:p w:rsidR="002B7E2D" w:rsidRPr="00AC470E" w:rsidRDefault="002B7E2D" w:rsidP="002B7E2D">
      <w:pPr>
        <w:spacing w:after="120" w:line="240" w:lineRule="auto"/>
        <w:rPr>
          <w:rFonts w:ascii="Times New Roman" w:hAnsi="Times New Roman"/>
          <w:sz w:val="24"/>
          <w:szCs w:val="24"/>
          <w:u w:val="single"/>
        </w:rPr>
      </w:pPr>
      <w:r w:rsidRPr="00AC470E">
        <w:rPr>
          <w:rFonts w:ascii="Times New Roman" w:hAnsi="Times New Roman"/>
          <w:sz w:val="24"/>
          <w:szCs w:val="24"/>
          <w:u w:val="single"/>
        </w:rPr>
        <w:t>1</w:t>
      </w:r>
      <w:r w:rsidRPr="00AC470E">
        <w:rPr>
          <w:rFonts w:ascii="Times New Roman" w:hAnsi="Times New Roman"/>
          <w:sz w:val="24"/>
          <w:szCs w:val="24"/>
          <w:u w:val="single"/>
        </w:rPr>
        <w:tab/>
        <w:t>Name of determination</w:t>
      </w:r>
    </w:p>
    <w:p w:rsidR="002B7E2D" w:rsidRPr="00AC470E" w:rsidRDefault="002B7E2D" w:rsidP="002B7E2D">
      <w:pPr>
        <w:spacing w:after="120" w:line="240" w:lineRule="auto"/>
        <w:rPr>
          <w:rFonts w:ascii="Times New Roman" w:hAnsi="Times New Roman"/>
          <w:i/>
          <w:sz w:val="24"/>
          <w:szCs w:val="24"/>
        </w:rPr>
      </w:pPr>
      <w:r w:rsidRPr="00AC470E">
        <w:rPr>
          <w:rFonts w:ascii="Times New Roman" w:hAnsi="Times New Roman"/>
          <w:sz w:val="24"/>
          <w:szCs w:val="24"/>
        </w:rPr>
        <w:t xml:space="preserve">Section 1 sets out the full name of the Determination, which is the </w:t>
      </w:r>
      <w:r w:rsidR="000E2A98" w:rsidRPr="000E2A98">
        <w:rPr>
          <w:rFonts w:ascii="Times New Roman" w:hAnsi="Times New Roman"/>
          <w:i/>
          <w:color w:val="000000"/>
          <w:sz w:val="24"/>
          <w:szCs w:val="24"/>
        </w:rPr>
        <w:t>Carbon Credits (Carbon Farming Initiative</w:t>
      </w:r>
      <w:r w:rsidR="005B3F0B">
        <w:rPr>
          <w:rFonts w:ascii="Times New Roman" w:hAnsi="Times New Roman"/>
          <w:i/>
          <w:color w:val="000000"/>
          <w:sz w:val="24"/>
          <w:szCs w:val="24"/>
        </w:rPr>
        <w:t>—</w:t>
      </w:r>
      <w:r w:rsidR="000E2A98" w:rsidRPr="000E2A98">
        <w:rPr>
          <w:rFonts w:ascii="Times New Roman" w:hAnsi="Times New Roman"/>
          <w:i/>
          <w:color w:val="000000"/>
          <w:sz w:val="24"/>
          <w:szCs w:val="24"/>
        </w:rPr>
        <w:t xml:space="preserve">Alternative Waste Treatment) Methodology Determination </w:t>
      </w:r>
      <w:r w:rsidR="00EA1568" w:rsidRPr="000E2A98">
        <w:rPr>
          <w:rFonts w:ascii="Times New Roman" w:hAnsi="Times New Roman"/>
          <w:i/>
          <w:color w:val="000000"/>
          <w:sz w:val="24"/>
          <w:szCs w:val="24"/>
        </w:rPr>
        <w:t>201</w:t>
      </w:r>
      <w:r w:rsidR="00EA1568">
        <w:rPr>
          <w:rFonts w:ascii="Times New Roman" w:hAnsi="Times New Roman"/>
          <w:i/>
          <w:color w:val="000000"/>
          <w:sz w:val="24"/>
          <w:szCs w:val="24"/>
        </w:rPr>
        <w:t>5</w:t>
      </w:r>
      <w:r w:rsidRPr="00AC470E">
        <w:rPr>
          <w:rFonts w:ascii="Times New Roman" w:hAnsi="Times New Roman"/>
          <w:i/>
          <w:sz w:val="24"/>
          <w:szCs w:val="24"/>
        </w:rPr>
        <w:t>.</w:t>
      </w: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sz w:val="24"/>
          <w:szCs w:val="24"/>
          <w:u w:val="single"/>
        </w:rPr>
      </w:pPr>
      <w:r w:rsidRPr="00AC470E">
        <w:rPr>
          <w:rFonts w:ascii="Times New Roman" w:hAnsi="Times New Roman"/>
          <w:sz w:val="24"/>
          <w:szCs w:val="24"/>
          <w:u w:val="single"/>
        </w:rPr>
        <w:t>2</w:t>
      </w:r>
      <w:r w:rsidRPr="00AC470E">
        <w:rPr>
          <w:rFonts w:ascii="Times New Roman" w:hAnsi="Times New Roman"/>
          <w:sz w:val="24"/>
          <w:szCs w:val="24"/>
          <w:u w:val="single"/>
        </w:rPr>
        <w:tab/>
        <w:t>Commencement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Section 2 provides that the Determination commences on the day after it is registered</w:t>
      </w:r>
      <w:r>
        <w:rPr>
          <w:rFonts w:ascii="Times New Roman" w:hAnsi="Times New Roman"/>
          <w:sz w:val="24"/>
          <w:szCs w:val="24"/>
        </w:rPr>
        <w:t xml:space="preserve"> on the </w:t>
      </w:r>
      <w:r w:rsidRPr="00AC470E">
        <w:rPr>
          <w:rFonts w:ascii="Times New Roman" w:hAnsi="Times New Roman"/>
          <w:sz w:val="24"/>
          <w:szCs w:val="24"/>
        </w:rPr>
        <w:t>Federal Register of Legislative Instruments.</w:t>
      </w: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sz w:val="24"/>
          <w:szCs w:val="24"/>
          <w:u w:val="single"/>
        </w:rPr>
      </w:pPr>
      <w:r w:rsidRPr="00AC470E">
        <w:rPr>
          <w:rFonts w:ascii="Times New Roman" w:hAnsi="Times New Roman"/>
          <w:sz w:val="24"/>
          <w:szCs w:val="24"/>
          <w:u w:val="single"/>
        </w:rPr>
        <w:t>3</w:t>
      </w:r>
      <w:r w:rsidRPr="00AC470E">
        <w:rPr>
          <w:rFonts w:ascii="Times New Roman" w:hAnsi="Times New Roman"/>
          <w:sz w:val="24"/>
          <w:szCs w:val="24"/>
          <w:u w:val="single"/>
        </w:rPr>
        <w:tab/>
        <w:t>Authority</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Section 3 provides that the Determination is made under subsection 106(1) of the Act.</w:t>
      </w: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sz w:val="24"/>
          <w:szCs w:val="24"/>
          <w:u w:val="single"/>
        </w:rPr>
      </w:pPr>
      <w:r w:rsidRPr="00AC470E">
        <w:rPr>
          <w:rFonts w:ascii="Times New Roman" w:hAnsi="Times New Roman"/>
          <w:sz w:val="24"/>
          <w:szCs w:val="24"/>
          <w:u w:val="single"/>
        </w:rPr>
        <w:t>4</w:t>
      </w:r>
      <w:r w:rsidRPr="00AC470E">
        <w:rPr>
          <w:rFonts w:ascii="Times New Roman" w:hAnsi="Times New Roman"/>
          <w:sz w:val="24"/>
          <w:szCs w:val="24"/>
          <w:u w:val="single"/>
        </w:rPr>
        <w:tab/>
        <w:t>Duration</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Under subparagraph 122(1)(b)(i) of the Act, a methodology determination remains in force for the period specified in the determination. </w:t>
      </w:r>
      <w:r w:rsidRPr="00397F13">
        <w:rPr>
          <w:rFonts w:ascii="Times New Roman" w:hAnsi="Times New Roman"/>
          <w:sz w:val="24"/>
          <w:szCs w:val="24"/>
        </w:rPr>
        <w:t>The Determination will remain in force for the duration set out in this section unless revoked in accordance with section 123 of the Act</w:t>
      </w:r>
      <w:r w:rsidR="00776C0D">
        <w:rPr>
          <w:rFonts w:ascii="Times New Roman" w:hAnsi="Times New Roman"/>
          <w:sz w:val="24"/>
          <w:szCs w:val="24"/>
        </w:rPr>
        <w:t xml:space="preserve"> or section 42 of the </w:t>
      </w:r>
      <w:r w:rsidR="00776C0D" w:rsidRPr="008C0EE3">
        <w:rPr>
          <w:rFonts w:ascii="Times New Roman" w:hAnsi="Times New Roman"/>
          <w:i/>
          <w:sz w:val="24"/>
          <w:szCs w:val="24"/>
        </w:rPr>
        <w:t>Legislative Instruments Act 2003</w:t>
      </w:r>
      <w:r w:rsidR="00776C0D" w:rsidRPr="008C0EE3">
        <w:rPr>
          <w:rFonts w:ascii="Times New Roman" w:hAnsi="Times New Roman"/>
          <w:sz w:val="24"/>
          <w:szCs w:val="24"/>
        </w:rPr>
        <w: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Section 4 provides that the Determination will be in force from its commencement (as provided for in section 2) until the day before it would otherwise be repealed under subsection 50(1) of the </w:t>
      </w:r>
      <w:r w:rsidRPr="00AC470E">
        <w:rPr>
          <w:rFonts w:ascii="Times New Roman" w:hAnsi="Times New Roman"/>
          <w:i/>
          <w:sz w:val="24"/>
          <w:szCs w:val="24"/>
        </w:rPr>
        <w:t>Legislative Instruments Act 2003</w:t>
      </w:r>
      <w:r w:rsidRPr="00AC470E">
        <w:rPr>
          <w:rFonts w:ascii="Times New Roman" w:hAnsi="Times New Roman"/>
          <w:sz w:val="24"/>
          <w:szCs w:val="24"/>
        </w:rPr>
        <w: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Instruments are repealed under that provision on the first 1 April or 1 October following the tenth anniversary of registration </w:t>
      </w:r>
      <w:r>
        <w:rPr>
          <w:rFonts w:ascii="Times New Roman" w:hAnsi="Times New Roman"/>
          <w:sz w:val="24"/>
          <w:szCs w:val="24"/>
        </w:rPr>
        <w:t xml:space="preserve">of the Determination </w:t>
      </w:r>
      <w:r w:rsidRPr="00AC470E">
        <w:rPr>
          <w:rFonts w:ascii="Times New Roman" w:hAnsi="Times New Roman"/>
          <w:sz w:val="24"/>
          <w:szCs w:val="24"/>
        </w:rPr>
        <w:t>on the Federal Register of Legislative Instruments.</w:t>
      </w:r>
      <w:r w:rsidRPr="00797F6F">
        <w:rPr>
          <w:rFonts w:ascii="Times New Roman" w:hAnsi="Times New Roman"/>
          <w:sz w:val="24"/>
          <w:szCs w:val="24"/>
        </w:rPr>
        <w:t xml:space="preserve"> </w:t>
      </w:r>
      <w:r>
        <w:rPr>
          <w:rFonts w:ascii="Times New Roman" w:hAnsi="Times New Roman"/>
          <w:sz w:val="24"/>
          <w:szCs w:val="24"/>
        </w:rPr>
        <w:t>I</w:t>
      </w:r>
      <w:r w:rsidRPr="00AC470E">
        <w:rPr>
          <w:rFonts w:ascii="Times New Roman" w:hAnsi="Times New Roman"/>
          <w:sz w:val="24"/>
          <w:szCs w:val="24"/>
        </w:rPr>
        <w:t>n accordance with subparagraph 122(1)(b)(i) of the Act</w:t>
      </w:r>
      <w:r>
        <w:rPr>
          <w:rFonts w:ascii="Times New Roman" w:hAnsi="Times New Roman"/>
          <w:sz w:val="24"/>
          <w:szCs w:val="24"/>
        </w:rPr>
        <w:t>, p</w:t>
      </w:r>
      <w:r w:rsidRPr="00AC470E">
        <w:rPr>
          <w:rFonts w:ascii="Times New Roman" w:hAnsi="Times New Roman"/>
          <w:sz w:val="24"/>
          <w:szCs w:val="24"/>
        </w:rPr>
        <w:t xml:space="preserve">aragraph 4(b) </w:t>
      </w:r>
      <w:r>
        <w:rPr>
          <w:rFonts w:ascii="Times New Roman" w:hAnsi="Times New Roman"/>
          <w:sz w:val="24"/>
          <w:szCs w:val="24"/>
        </w:rPr>
        <w:t xml:space="preserve">of the Determination sets out </w:t>
      </w:r>
      <w:r w:rsidRPr="00AC470E">
        <w:rPr>
          <w:rFonts w:ascii="Times New Roman" w:hAnsi="Times New Roman"/>
          <w:sz w:val="24"/>
          <w:szCs w:val="24"/>
        </w:rPr>
        <w:t xml:space="preserve">the </w:t>
      </w:r>
      <w:r>
        <w:rPr>
          <w:rFonts w:ascii="Times New Roman" w:hAnsi="Times New Roman"/>
          <w:sz w:val="24"/>
          <w:szCs w:val="24"/>
        </w:rPr>
        <w:t xml:space="preserve">time that the </w:t>
      </w:r>
      <w:r w:rsidRPr="00AC470E">
        <w:rPr>
          <w:rFonts w:ascii="Times New Roman" w:hAnsi="Times New Roman"/>
          <w:sz w:val="24"/>
          <w:szCs w:val="24"/>
        </w:rPr>
        <w:t>Determination would expire.</w:t>
      </w:r>
    </w:p>
    <w:p w:rsidR="002B7E2D"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If the Determination expires</w:t>
      </w:r>
      <w:r w:rsidR="00776C0D">
        <w:rPr>
          <w:rFonts w:ascii="Times New Roman" w:hAnsi="Times New Roman"/>
          <w:sz w:val="24"/>
          <w:szCs w:val="24"/>
        </w:rPr>
        <w:t xml:space="preserve"> in accordance with section 122 of the Act </w:t>
      </w:r>
      <w:r w:rsidR="00776C0D" w:rsidRPr="008C0EE3">
        <w:rPr>
          <w:rFonts w:ascii="Times New Roman" w:hAnsi="Times New Roman"/>
          <w:sz w:val="24"/>
          <w:szCs w:val="24"/>
        </w:rPr>
        <w:t xml:space="preserve">or is revoked </w:t>
      </w:r>
      <w:r w:rsidR="00776C0D">
        <w:rPr>
          <w:rFonts w:ascii="Times New Roman" w:hAnsi="Times New Roman"/>
          <w:sz w:val="24"/>
          <w:szCs w:val="24"/>
        </w:rPr>
        <w:t>under section 123 of the Act</w:t>
      </w:r>
      <w:r w:rsidRPr="00AC470E">
        <w:rPr>
          <w:rFonts w:ascii="Times New Roman" w:hAnsi="Times New Roman"/>
          <w:sz w:val="24"/>
          <w:szCs w:val="24"/>
        </w:rPr>
        <w:t xml:space="preserve"> during a crediting period for a project to which the Determination applies, the Determination will continue to apply to the project during the remainder of the crediting period under subsections 125(2) and 127(2) of the Act. Project proponents may apply to the Regulator during a reporting period to have a different methodology determination apply to their projects from the start of that reporting period (see subsection 128(1) of the Act).</w:t>
      </w:r>
    </w:p>
    <w:p w:rsidR="005A2D85" w:rsidRPr="00AC470E" w:rsidRDefault="005A2D85" w:rsidP="002B7E2D">
      <w:pPr>
        <w:spacing w:after="120" w:line="240" w:lineRule="auto"/>
        <w:rPr>
          <w:rFonts w:ascii="Times New Roman" w:hAnsi="Times New Roman"/>
          <w:sz w:val="24"/>
          <w:szCs w:val="24"/>
        </w:rPr>
      </w:pPr>
      <w:r>
        <w:rPr>
          <w:rFonts w:ascii="Times New Roman" w:hAnsi="Times New Roman"/>
          <w:sz w:val="24"/>
          <w:szCs w:val="24"/>
        </w:rPr>
        <w:t>Under section 27A of the Act the Emissions Reduction Assurance Committee may also suspend the processing of applications under a determination if</w:t>
      </w:r>
      <w:r w:rsidRPr="00A4527A">
        <w:rPr>
          <w:rFonts w:ascii="Times New Roman" w:hAnsi="Times New Roman"/>
          <w:sz w:val="24"/>
          <w:szCs w:val="24"/>
        </w:rPr>
        <w:t xml:space="preserve"> there is reasonable evidence that the methodology determination does not comply with one or more of the offsets integrity standards.</w:t>
      </w:r>
      <w:r>
        <w:rPr>
          <w:rFonts w:ascii="Times New Roman" w:hAnsi="Times New Roman"/>
          <w:sz w:val="24"/>
          <w:szCs w:val="24"/>
        </w:rPr>
        <w:t xml:space="preserve"> This does not impact applications for declaration already received by the Regulator before such a suspension or declared eligible offset projects which apply the Determination.</w:t>
      </w:r>
    </w:p>
    <w:p w:rsidR="002B7E2D" w:rsidRPr="00AC470E" w:rsidRDefault="002B7E2D" w:rsidP="002B7E2D">
      <w:pPr>
        <w:spacing w:after="120" w:line="240" w:lineRule="auto"/>
        <w:rPr>
          <w:rFonts w:ascii="Times New Roman" w:hAnsi="Times New Roman"/>
          <w:sz w:val="24"/>
          <w:szCs w:val="24"/>
        </w:rPr>
      </w:pPr>
    </w:p>
    <w:p w:rsidR="002421A5" w:rsidRDefault="002B7E2D">
      <w:pPr>
        <w:keepNext/>
        <w:spacing w:after="120" w:line="240" w:lineRule="auto"/>
        <w:rPr>
          <w:rFonts w:ascii="Times New Roman" w:hAnsi="Times New Roman"/>
          <w:sz w:val="24"/>
          <w:szCs w:val="24"/>
          <w:u w:val="single"/>
        </w:rPr>
      </w:pPr>
      <w:r w:rsidRPr="00AC470E">
        <w:rPr>
          <w:rFonts w:ascii="Times New Roman" w:hAnsi="Times New Roman"/>
          <w:sz w:val="24"/>
          <w:szCs w:val="24"/>
          <w:u w:val="single"/>
        </w:rPr>
        <w:lastRenderedPageBreak/>
        <w:t>5</w:t>
      </w:r>
      <w:r w:rsidRPr="00AC470E">
        <w:rPr>
          <w:rFonts w:ascii="Times New Roman" w:hAnsi="Times New Roman"/>
          <w:sz w:val="24"/>
          <w:szCs w:val="24"/>
          <w:u w:val="single"/>
        </w:rPr>
        <w:tab/>
        <w:t>Definitions</w:t>
      </w:r>
    </w:p>
    <w:p w:rsidR="002421A5" w:rsidRDefault="002B7E2D">
      <w:pPr>
        <w:keepNext/>
        <w:spacing w:after="120" w:line="240" w:lineRule="auto"/>
        <w:rPr>
          <w:rFonts w:ascii="Times New Roman" w:hAnsi="Times New Roman"/>
          <w:sz w:val="24"/>
          <w:szCs w:val="24"/>
        </w:rPr>
      </w:pPr>
      <w:r w:rsidRPr="00AC470E">
        <w:rPr>
          <w:rFonts w:ascii="Times New Roman" w:hAnsi="Times New Roman"/>
          <w:sz w:val="24"/>
          <w:szCs w:val="24"/>
        </w:rPr>
        <w:t>Section 5 defines terms used in the Determination. Generally, where terms are not defined in the Determination, they have the meaning given by section 5 of the Act.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Under section 23 of the </w:t>
      </w:r>
      <w:r w:rsidRPr="00AC470E">
        <w:rPr>
          <w:rFonts w:ascii="Times New Roman" w:hAnsi="Times New Roman"/>
          <w:i/>
          <w:sz w:val="24"/>
          <w:szCs w:val="24"/>
        </w:rPr>
        <w:t>Acts Interpretation Act 1901</w:t>
      </w:r>
      <w:r w:rsidRPr="00AC470E">
        <w:rPr>
          <w:rFonts w:ascii="Times New Roman" w:hAnsi="Times New Roman"/>
          <w:sz w:val="24"/>
          <w:szCs w:val="24"/>
        </w:rPr>
        <w:t xml:space="preserve">, words in the </w:t>
      </w:r>
      <w:r>
        <w:rPr>
          <w:rFonts w:ascii="Times New Roman" w:hAnsi="Times New Roman"/>
          <w:sz w:val="24"/>
          <w:szCs w:val="24"/>
        </w:rPr>
        <w:t>D</w:t>
      </w:r>
      <w:r w:rsidRPr="00AC470E">
        <w:rPr>
          <w:rFonts w:ascii="Times New Roman" w:hAnsi="Times New Roman"/>
          <w:sz w:val="24"/>
          <w:szCs w:val="24"/>
        </w:rPr>
        <w:t>etermination in the singular number include the plural and words in the plural number include the singular.</w:t>
      </w:r>
    </w:p>
    <w:p w:rsidR="002B7E2D" w:rsidRPr="00AC470E" w:rsidRDefault="002B7E2D" w:rsidP="002B7E2D">
      <w:pPr>
        <w:keepNext/>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color w:val="000000"/>
          <w:sz w:val="24"/>
          <w:szCs w:val="24"/>
          <w:lang w:eastAsia="en-AU"/>
        </w:rPr>
        <w:t>Key definitions in section 5 of the Determination include those set out below.</w:t>
      </w:r>
    </w:p>
    <w:p w:rsidR="002B7E2D" w:rsidRPr="00AC470E" w:rsidRDefault="002B7E2D" w:rsidP="002B7E2D">
      <w:pPr>
        <w:pStyle w:val="Definition0"/>
        <w:spacing w:before="0" w:after="120"/>
        <w:ind w:left="0"/>
        <w:rPr>
          <w:sz w:val="24"/>
          <w:szCs w:val="24"/>
          <w:lang w:eastAsia="en-US"/>
        </w:rPr>
      </w:pPr>
      <w:r w:rsidRPr="00AC470E">
        <w:rPr>
          <w:b/>
          <w:i/>
          <w:sz w:val="24"/>
          <w:szCs w:val="24"/>
          <w:lang w:eastAsia="en-US"/>
        </w:rPr>
        <w:t>Anaerobic digester</w:t>
      </w:r>
      <w:r w:rsidRPr="00AC470E">
        <w:rPr>
          <w:sz w:val="24"/>
          <w:szCs w:val="24"/>
          <w:lang w:eastAsia="en-US"/>
        </w:rPr>
        <w:t xml:space="preserve"> refers to the system used to promote anaerobic digestion of waste and collect the biogas that is produced as a result. The anaerobic digester includes the transfer of biogas to a </w:t>
      </w:r>
      <w:r w:rsidRPr="00AC470E">
        <w:rPr>
          <w:b/>
          <w:i/>
          <w:sz w:val="24"/>
          <w:szCs w:val="24"/>
          <w:lang w:eastAsia="en-US"/>
        </w:rPr>
        <w:t>combustion device</w:t>
      </w:r>
      <w:r w:rsidRPr="00AC470E">
        <w:rPr>
          <w:sz w:val="24"/>
          <w:szCs w:val="24"/>
          <w:lang w:eastAsia="en-US"/>
        </w:rPr>
        <w:t>.</w:t>
      </w:r>
    </w:p>
    <w:p w:rsidR="002B7E2D" w:rsidRPr="00AC470E" w:rsidRDefault="002B7E2D" w:rsidP="002B7E2D">
      <w:pPr>
        <w:pStyle w:val="Definition0"/>
        <w:spacing w:before="0" w:after="120"/>
        <w:ind w:left="0"/>
        <w:rPr>
          <w:sz w:val="24"/>
        </w:rPr>
      </w:pPr>
      <w:r w:rsidRPr="00AC470E">
        <w:rPr>
          <w:b/>
          <w:i/>
          <w:sz w:val="24"/>
          <w:szCs w:val="24"/>
          <w:lang w:eastAsia="en-US"/>
        </w:rPr>
        <w:t>Combustion device</w:t>
      </w:r>
      <w:r w:rsidRPr="00AC470E">
        <w:rPr>
          <w:sz w:val="24"/>
          <w:szCs w:val="24"/>
          <w:lang w:eastAsia="en-US"/>
        </w:rPr>
        <w:t xml:space="preserve"> refers to a flare, boiler, internal combustion engine or other </w:t>
      </w:r>
      <w:r w:rsidR="00894AC7">
        <w:rPr>
          <w:sz w:val="24"/>
          <w:szCs w:val="24"/>
          <w:lang w:eastAsia="en-US"/>
        </w:rPr>
        <w:t xml:space="preserve">combustion </w:t>
      </w:r>
      <w:r w:rsidRPr="00AC470E">
        <w:rPr>
          <w:sz w:val="24"/>
          <w:szCs w:val="24"/>
          <w:lang w:eastAsia="en-US"/>
        </w:rPr>
        <w:t xml:space="preserve">device used to combust biogas. The definition includes the principles that a </w:t>
      </w:r>
      <w:r w:rsidR="00894AC7">
        <w:rPr>
          <w:sz w:val="24"/>
          <w:szCs w:val="24"/>
          <w:lang w:eastAsia="en-US"/>
        </w:rPr>
        <w:t xml:space="preserve">combustion </w:t>
      </w:r>
      <w:r w:rsidRPr="00AC470E">
        <w:rPr>
          <w:sz w:val="24"/>
          <w:szCs w:val="24"/>
          <w:lang w:eastAsia="en-US"/>
        </w:rPr>
        <w:t xml:space="preserve">device must meet </w:t>
      </w:r>
      <w:r w:rsidR="00894AC7">
        <w:rPr>
          <w:sz w:val="24"/>
          <w:szCs w:val="24"/>
          <w:lang w:eastAsia="en-US"/>
        </w:rPr>
        <w:t>to</w:t>
      </w:r>
      <w:r w:rsidR="00715EDB">
        <w:rPr>
          <w:sz w:val="24"/>
          <w:szCs w:val="24"/>
          <w:lang w:eastAsia="en-US"/>
        </w:rPr>
        <w:t xml:space="preserve"> be eligible. </w:t>
      </w:r>
    </w:p>
    <w:p w:rsidR="002B7E2D" w:rsidRPr="00AC470E" w:rsidRDefault="002B7E2D" w:rsidP="002B7E2D">
      <w:pPr>
        <w:pStyle w:val="Definition0"/>
        <w:spacing w:before="0" w:after="120"/>
        <w:ind w:left="0"/>
        <w:rPr>
          <w:sz w:val="24"/>
          <w:szCs w:val="24"/>
          <w:lang w:eastAsia="en-US"/>
        </w:rPr>
      </w:pPr>
      <w:r w:rsidRPr="00AC470E">
        <w:rPr>
          <w:b/>
          <w:i/>
          <w:sz w:val="24"/>
          <w:szCs w:val="24"/>
          <w:lang w:eastAsia="en-US"/>
        </w:rPr>
        <w:t>Commercial and industrial waste</w:t>
      </w:r>
      <w:r w:rsidRPr="00AC470E">
        <w:rPr>
          <w:sz w:val="24"/>
          <w:szCs w:val="24"/>
          <w:lang w:eastAsia="en-US"/>
        </w:rPr>
        <w:t xml:space="preserve"> </w:t>
      </w:r>
      <w:r w:rsidR="008D4BBC">
        <w:rPr>
          <w:sz w:val="24"/>
          <w:szCs w:val="24"/>
          <w:lang w:eastAsia="en-US"/>
        </w:rPr>
        <w:t>refers</w:t>
      </w:r>
      <w:r w:rsidRPr="00AC470E">
        <w:rPr>
          <w:sz w:val="24"/>
          <w:szCs w:val="24"/>
          <w:lang w:eastAsia="en-US"/>
        </w:rPr>
        <w:t xml:space="preserve"> to mixed solid waste produced by commercial or industrial businesses. The </w:t>
      </w:r>
      <w:r w:rsidRPr="00AC470E">
        <w:rPr>
          <w:i/>
          <w:sz w:val="24"/>
          <w:szCs w:val="24"/>
          <w:lang w:eastAsia="en-US"/>
        </w:rPr>
        <w:t>NGER (Measurement) Determination</w:t>
      </w:r>
      <w:r w:rsidRPr="00AC470E">
        <w:rPr>
          <w:sz w:val="24"/>
          <w:szCs w:val="24"/>
          <w:lang w:eastAsia="en-US"/>
        </w:rPr>
        <w:t xml:space="preserve"> describes the default combination of </w:t>
      </w:r>
      <w:r w:rsidRPr="00AC470E">
        <w:rPr>
          <w:b/>
          <w:i/>
          <w:sz w:val="24"/>
          <w:szCs w:val="24"/>
          <w:lang w:eastAsia="en-US"/>
        </w:rPr>
        <w:t>waste mix types</w:t>
      </w:r>
      <w:r w:rsidRPr="00AC470E">
        <w:rPr>
          <w:sz w:val="24"/>
          <w:szCs w:val="24"/>
          <w:lang w:eastAsia="en-US"/>
        </w:rPr>
        <w:t xml:space="preserve"> that are contained in commercial and industrial waste.</w:t>
      </w:r>
    </w:p>
    <w:p w:rsidR="002B7E2D" w:rsidRPr="00AC470E" w:rsidRDefault="002B7E2D" w:rsidP="002B7E2D">
      <w:pPr>
        <w:pStyle w:val="Definition0"/>
        <w:spacing w:before="0" w:after="120"/>
        <w:ind w:left="0"/>
        <w:rPr>
          <w:sz w:val="24"/>
          <w:szCs w:val="24"/>
          <w:lang w:eastAsia="en-US"/>
        </w:rPr>
      </w:pPr>
      <w:r w:rsidRPr="00AC470E">
        <w:rPr>
          <w:b/>
          <w:i/>
          <w:sz w:val="24"/>
          <w:szCs w:val="24"/>
          <w:lang w:eastAsia="en-US"/>
        </w:rPr>
        <w:t>Construction and demolition waste</w:t>
      </w:r>
      <w:r w:rsidRPr="00AC470E">
        <w:rPr>
          <w:sz w:val="24"/>
          <w:szCs w:val="24"/>
          <w:lang w:eastAsia="en-US"/>
        </w:rPr>
        <w:t xml:space="preserve"> </w:t>
      </w:r>
      <w:r w:rsidR="008D4BBC">
        <w:rPr>
          <w:sz w:val="24"/>
          <w:szCs w:val="24"/>
          <w:lang w:eastAsia="en-US"/>
        </w:rPr>
        <w:t>refers</w:t>
      </w:r>
      <w:r w:rsidRPr="00AC470E">
        <w:rPr>
          <w:sz w:val="24"/>
          <w:szCs w:val="24"/>
          <w:lang w:eastAsia="en-US"/>
        </w:rPr>
        <w:t xml:space="preserve"> to mixed solid waste produced by the construction and demolition industry. The </w:t>
      </w:r>
      <w:r w:rsidRPr="00AC470E">
        <w:rPr>
          <w:i/>
          <w:sz w:val="24"/>
          <w:szCs w:val="24"/>
          <w:lang w:eastAsia="en-US"/>
        </w:rPr>
        <w:t>NGER (Measurement) Determination</w:t>
      </w:r>
      <w:r w:rsidRPr="00AC470E">
        <w:rPr>
          <w:sz w:val="24"/>
          <w:szCs w:val="24"/>
          <w:lang w:eastAsia="en-US"/>
        </w:rPr>
        <w:t xml:space="preserve"> describes the default combination of </w:t>
      </w:r>
      <w:r w:rsidRPr="00AC470E">
        <w:rPr>
          <w:b/>
          <w:i/>
          <w:sz w:val="24"/>
          <w:szCs w:val="24"/>
          <w:lang w:eastAsia="en-US"/>
        </w:rPr>
        <w:t>waste mix types</w:t>
      </w:r>
      <w:r w:rsidRPr="00AC470E">
        <w:rPr>
          <w:sz w:val="24"/>
          <w:szCs w:val="24"/>
          <w:lang w:eastAsia="en-US"/>
        </w:rPr>
        <w:t xml:space="preserve"> that are contained in construction and demolition waste.</w:t>
      </w:r>
    </w:p>
    <w:p w:rsidR="002B7E2D" w:rsidRPr="00AC470E" w:rsidRDefault="002B7E2D" w:rsidP="002B7E2D">
      <w:pPr>
        <w:pStyle w:val="Definition0"/>
        <w:spacing w:before="0" w:after="120"/>
        <w:ind w:left="0"/>
        <w:rPr>
          <w:b/>
          <w:i/>
          <w:sz w:val="24"/>
          <w:szCs w:val="24"/>
          <w:lang w:eastAsia="en-US"/>
        </w:rPr>
      </w:pPr>
      <w:r w:rsidRPr="00AC470E">
        <w:rPr>
          <w:b/>
          <w:i/>
          <w:sz w:val="24"/>
          <w:szCs w:val="24"/>
          <w:lang w:eastAsia="en-US"/>
        </w:rPr>
        <w:t xml:space="preserve">Eligible waste </w:t>
      </w:r>
      <w:r w:rsidRPr="00AC470E">
        <w:rPr>
          <w:sz w:val="24"/>
          <w:szCs w:val="24"/>
          <w:lang w:eastAsia="en-US"/>
        </w:rPr>
        <w:t xml:space="preserve">is defined as either </w:t>
      </w:r>
      <w:r w:rsidRPr="00AC470E">
        <w:rPr>
          <w:b/>
          <w:i/>
          <w:sz w:val="24"/>
          <w:szCs w:val="24"/>
          <w:lang w:eastAsia="en-US"/>
        </w:rPr>
        <w:t xml:space="preserve">eligible CFI waste </w:t>
      </w:r>
      <w:r w:rsidRPr="00AC470E">
        <w:rPr>
          <w:sz w:val="24"/>
          <w:szCs w:val="24"/>
          <w:lang w:eastAsia="en-US"/>
        </w:rPr>
        <w:t xml:space="preserve">(see section 6) for </w:t>
      </w:r>
      <w:r>
        <w:rPr>
          <w:sz w:val="24"/>
          <w:szCs w:val="24"/>
          <w:lang w:eastAsia="en-US"/>
        </w:rPr>
        <w:t xml:space="preserve">a </w:t>
      </w:r>
      <w:r w:rsidRPr="00797F6F">
        <w:rPr>
          <w:b/>
          <w:i/>
          <w:sz w:val="24"/>
          <w:szCs w:val="24"/>
          <w:lang w:eastAsia="en-US"/>
        </w:rPr>
        <w:t>transitioning project</w:t>
      </w:r>
      <w:r w:rsidRPr="00AC470E">
        <w:rPr>
          <w:sz w:val="24"/>
          <w:szCs w:val="24"/>
          <w:lang w:eastAsia="en-US"/>
        </w:rPr>
        <w:t xml:space="preserve"> or as </w:t>
      </w:r>
      <w:r w:rsidRPr="00AC470E">
        <w:rPr>
          <w:b/>
          <w:i/>
          <w:sz w:val="24"/>
          <w:szCs w:val="24"/>
          <w:lang w:eastAsia="en-US"/>
        </w:rPr>
        <w:t xml:space="preserve">mixed solid waste </w:t>
      </w:r>
      <w:r w:rsidRPr="00AC470E">
        <w:rPr>
          <w:sz w:val="24"/>
          <w:szCs w:val="24"/>
          <w:lang w:eastAsia="en-US"/>
        </w:rPr>
        <w:t>(see definition below) for</w:t>
      </w:r>
      <w:r>
        <w:rPr>
          <w:sz w:val="24"/>
          <w:szCs w:val="24"/>
          <w:lang w:eastAsia="en-US"/>
        </w:rPr>
        <w:t xml:space="preserve"> a</w:t>
      </w:r>
      <w:r w:rsidRPr="00AC470E">
        <w:rPr>
          <w:sz w:val="24"/>
          <w:szCs w:val="24"/>
          <w:lang w:eastAsia="en-US"/>
        </w:rPr>
        <w:t xml:space="preserve"> </w:t>
      </w:r>
      <w:r w:rsidRPr="00797F6F">
        <w:rPr>
          <w:b/>
          <w:i/>
          <w:sz w:val="24"/>
          <w:szCs w:val="24"/>
          <w:lang w:eastAsia="en-US"/>
        </w:rPr>
        <w:t>new project</w:t>
      </w:r>
      <w:r w:rsidRPr="00AC470E">
        <w:rPr>
          <w:sz w:val="24"/>
          <w:szCs w:val="24"/>
          <w:lang w:eastAsia="en-US"/>
        </w:rPr>
        <w:t xml:space="preserve"> or </w:t>
      </w:r>
      <w:r w:rsidRPr="00797F6F">
        <w:rPr>
          <w:b/>
          <w:i/>
          <w:sz w:val="24"/>
          <w:szCs w:val="24"/>
          <w:lang w:eastAsia="en-US"/>
        </w:rPr>
        <w:t>expansion project</w:t>
      </w:r>
      <w:r w:rsidRPr="00AC470E">
        <w:rPr>
          <w:sz w:val="24"/>
          <w:szCs w:val="24"/>
          <w:lang w:eastAsia="en-US"/>
        </w:rPr>
        <w:t>.</w:t>
      </w:r>
      <w:r w:rsidRPr="00AC470E">
        <w:rPr>
          <w:b/>
          <w:i/>
          <w:sz w:val="24"/>
          <w:szCs w:val="24"/>
          <w:lang w:eastAsia="en-US"/>
        </w:rPr>
        <w:t xml:space="preserve"> </w:t>
      </w:r>
      <w:r w:rsidRPr="00AC470E">
        <w:rPr>
          <w:sz w:val="24"/>
          <w:szCs w:val="24"/>
          <w:lang w:eastAsia="en-US"/>
        </w:rPr>
        <w:t xml:space="preserve">For transitioning projects </w:t>
      </w:r>
      <w:r w:rsidRPr="00894AC7">
        <w:rPr>
          <w:sz w:val="24"/>
          <w:szCs w:val="24"/>
          <w:lang w:eastAsia="en-US"/>
        </w:rPr>
        <w:t xml:space="preserve">eligible CFI waste </w:t>
      </w:r>
      <w:r w:rsidRPr="00AC470E">
        <w:rPr>
          <w:sz w:val="24"/>
          <w:szCs w:val="24"/>
          <w:lang w:eastAsia="en-US"/>
        </w:rPr>
        <w:t>must be</w:t>
      </w:r>
      <w:r w:rsidRPr="00AC470E">
        <w:rPr>
          <w:b/>
          <w:i/>
          <w:sz w:val="24"/>
          <w:szCs w:val="24"/>
          <w:lang w:eastAsia="en-US"/>
        </w:rPr>
        <w:t xml:space="preserve"> </w:t>
      </w:r>
      <w:r w:rsidRPr="00AC470E">
        <w:rPr>
          <w:sz w:val="24"/>
          <w:szCs w:val="24"/>
          <w:lang w:eastAsia="en-US"/>
        </w:rPr>
        <w:t xml:space="preserve">processed on or after </w:t>
      </w:r>
      <w:r w:rsidRPr="00797F6F">
        <w:rPr>
          <w:b/>
          <w:i/>
          <w:sz w:val="24"/>
          <w:szCs w:val="24"/>
          <w:lang w:eastAsia="en-US"/>
        </w:rPr>
        <w:t>ERF commencement day</w:t>
      </w:r>
      <w:r>
        <w:rPr>
          <w:sz w:val="24"/>
          <w:szCs w:val="24"/>
          <w:lang w:eastAsia="en-US"/>
        </w:rPr>
        <w:t>, which is the day that the legislation officially commences. T</w:t>
      </w:r>
      <w:r w:rsidRPr="00AC470E">
        <w:rPr>
          <w:sz w:val="24"/>
          <w:szCs w:val="24"/>
          <w:lang w:eastAsia="en-US"/>
        </w:rPr>
        <w:t>ransitioning projects</w:t>
      </w:r>
      <w:r>
        <w:rPr>
          <w:sz w:val="24"/>
          <w:szCs w:val="24"/>
          <w:lang w:eastAsia="en-US"/>
        </w:rPr>
        <w:t xml:space="preserve"> automatically commence a </w:t>
      </w:r>
      <w:r w:rsidRPr="00AC470E">
        <w:rPr>
          <w:sz w:val="24"/>
          <w:szCs w:val="24"/>
          <w:lang w:eastAsia="en-US"/>
        </w:rPr>
        <w:t xml:space="preserve">second crediting period </w:t>
      </w:r>
      <w:r>
        <w:rPr>
          <w:sz w:val="24"/>
          <w:szCs w:val="24"/>
          <w:lang w:eastAsia="en-US"/>
        </w:rPr>
        <w:t xml:space="preserve">which </w:t>
      </w:r>
      <w:r w:rsidRPr="00AC470E">
        <w:rPr>
          <w:sz w:val="24"/>
          <w:szCs w:val="24"/>
          <w:lang w:eastAsia="en-US"/>
        </w:rPr>
        <w:t xml:space="preserve">begins on </w:t>
      </w:r>
      <w:r w:rsidRPr="0099624D">
        <w:rPr>
          <w:sz w:val="24"/>
          <w:szCs w:val="24"/>
          <w:lang w:eastAsia="en-US"/>
        </w:rPr>
        <w:t>ERF commencement day</w:t>
      </w:r>
      <w:r w:rsidRPr="00AC470E">
        <w:rPr>
          <w:sz w:val="24"/>
          <w:szCs w:val="24"/>
          <w:lang w:eastAsia="en-US"/>
        </w:rPr>
        <w:t>.</w:t>
      </w:r>
      <w:r w:rsidRPr="00AC470E">
        <w:rPr>
          <w:b/>
          <w:i/>
          <w:sz w:val="24"/>
          <w:szCs w:val="24"/>
          <w:lang w:eastAsia="en-US"/>
        </w:rPr>
        <w:t xml:space="preserve"> </w:t>
      </w:r>
      <w:r w:rsidRPr="00AC470E">
        <w:rPr>
          <w:sz w:val="24"/>
          <w:szCs w:val="24"/>
          <w:lang w:eastAsia="en-US"/>
        </w:rPr>
        <w:t>For new or expansion projects, eligible waste can only be processed once the project is in an eligible offsets project.</w:t>
      </w:r>
    </w:p>
    <w:p w:rsidR="002B7E2D" w:rsidRPr="00AC470E" w:rsidRDefault="002B7E2D" w:rsidP="002B7E2D">
      <w:pPr>
        <w:pStyle w:val="Definition0"/>
        <w:spacing w:before="0" w:after="120"/>
        <w:ind w:left="0"/>
        <w:rPr>
          <w:sz w:val="24"/>
          <w:szCs w:val="24"/>
        </w:rPr>
      </w:pPr>
      <w:r w:rsidRPr="00AC470E">
        <w:rPr>
          <w:b/>
          <w:i/>
          <w:sz w:val="24"/>
          <w:szCs w:val="24"/>
          <w:lang w:eastAsia="en-US"/>
        </w:rPr>
        <w:t>Eligible waste treatment technology</w:t>
      </w:r>
      <w:r w:rsidRPr="00AC470E">
        <w:rPr>
          <w:sz w:val="24"/>
          <w:szCs w:val="24"/>
          <w:lang w:eastAsia="en-US"/>
        </w:rPr>
        <w:t xml:space="preserve"> refers to three types of waste treatment technologies which are eligible in the Determination; </w:t>
      </w:r>
      <w:r w:rsidRPr="00AC470E">
        <w:rPr>
          <w:b/>
          <w:i/>
          <w:sz w:val="24"/>
          <w:szCs w:val="24"/>
          <w:lang w:eastAsia="en-US"/>
        </w:rPr>
        <w:t>enclosed composting technology</w:t>
      </w:r>
      <w:r>
        <w:rPr>
          <w:sz w:val="24"/>
          <w:szCs w:val="24"/>
          <w:lang w:eastAsia="en-US"/>
        </w:rPr>
        <w:t>,</w:t>
      </w:r>
      <w:r w:rsidRPr="00AC470E">
        <w:rPr>
          <w:sz w:val="24"/>
          <w:szCs w:val="24"/>
          <w:lang w:eastAsia="en-US"/>
        </w:rPr>
        <w:t xml:space="preserve"> </w:t>
      </w:r>
      <w:r w:rsidRPr="00AC470E">
        <w:rPr>
          <w:b/>
          <w:i/>
          <w:sz w:val="24"/>
          <w:szCs w:val="24"/>
          <w:lang w:eastAsia="en-US"/>
        </w:rPr>
        <w:t>process engineered fuel manufacture</w:t>
      </w:r>
      <w:r>
        <w:rPr>
          <w:sz w:val="24"/>
          <w:szCs w:val="24"/>
          <w:lang w:eastAsia="en-US"/>
        </w:rPr>
        <w:t>,</w:t>
      </w:r>
      <w:r w:rsidRPr="00AC470E">
        <w:rPr>
          <w:sz w:val="24"/>
          <w:szCs w:val="24"/>
          <w:lang w:eastAsia="en-US"/>
        </w:rPr>
        <w:t xml:space="preserve"> or use of an </w:t>
      </w:r>
      <w:r w:rsidRPr="00AC470E">
        <w:rPr>
          <w:b/>
          <w:i/>
          <w:sz w:val="24"/>
          <w:szCs w:val="24"/>
          <w:lang w:eastAsia="en-US"/>
        </w:rPr>
        <w:t>anaerobic digester</w:t>
      </w:r>
      <w:r w:rsidRPr="00AC470E">
        <w:rPr>
          <w:sz w:val="24"/>
          <w:szCs w:val="24"/>
          <w:lang w:eastAsia="en-US"/>
        </w:rPr>
        <w:t xml:space="preserve"> </w:t>
      </w:r>
      <w:r w:rsidR="00894AC7">
        <w:rPr>
          <w:sz w:val="24"/>
          <w:szCs w:val="24"/>
          <w:lang w:eastAsia="en-US"/>
        </w:rPr>
        <w:t>(including the</w:t>
      </w:r>
      <w:r w:rsidRPr="00AC470E">
        <w:rPr>
          <w:sz w:val="24"/>
          <w:szCs w:val="24"/>
          <w:lang w:eastAsia="en-US"/>
        </w:rPr>
        <w:t xml:space="preserve"> destruction of biogas in a </w:t>
      </w:r>
      <w:r w:rsidRPr="00894AC7">
        <w:rPr>
          <w:sz w:val="24"/>
          <w:szCs w:val="24"/>
          <w:lang w:eastAsia="en-US"/>
        </w:rPr>
        <w:t>combustion device</w:t>
      </w:r>
      <w:r w:rsidR="00894AC7" w:rsidRPr="00894AC7">
        <w:rPr>
          <w:sz w:val="24"/>
          <w:szCs w:val="24"/>
          <w:lang w:eastAsia="en-US"/>
        </w:rPr>
        <w:t>)</w:t>
      </w:r>
      <w:r w:rsidRPr="00AC470E">
        <w:rPr>
          <w:sz w:val="24"/>
          <w:szCs w:val="24"/>
          <w:lang w:eastAsia="en-US"/>
        </w:rPr>
        <w:t>.</w:t>
      </w:r>
    </w:p>
    <w:p w:rsidR="002B7E2D" w:rsidRPr="00AC470E" w:rsidRDefault="002B7E2D" w:rsidP="002B7E2D">
      <w:pPr>
        <w:pStyle w:val="Definition0"/>
        <w:spacing w:before="0" w:after="120"/>
        <w:ind w:left="0"/>
        <w:rPr>
          <w:sz w:val="24"/>
          <w:szCs w:val="24"/>
          <w:lang w:eastAsia="en-US"/>
        </w:rPr>
      </w:pPr>
      <w:r w:rsidRPr="00AC470E">
        <w:rPr>
          <w:b/>
          <w:i/>
          <w:sz w:val="24"/>
          <w:szCs w:val="24"/>
          <w:lang w:eastAsia="en-US"/>
        </w:rPr>
        <w:t>Enclosed composting technology</w:t>
      </w:r>
      <w:r w:rsidRPr="00AC470E">
        <w:rPr>
          <w:sz w:val="24"/>
          <w:szCs w:val="24"/>
          <w:lang w:eastAsia="en-US"/>
        </w:rPr>
        <w:t xml:space="preserve"> refers to composting that uses an enclosed environment to control the composting process. Pr</w:t>
      </w:r>
      <w:r>
        <w:rPr>
          <w:sz w:val="24"/>
          <w:szCs w:val="24"/>
          <w:lang w:eastAsia="en-US"/>
        </w:rPr>
        <w:t>oponent</w:t>
      </w:r>
      <w:r w:rsidRPr="00AC470E">
        <w:rPr>
          <w:sz w:val="24"/>
          <w:szCs w:val="24"/>
          <w:lang w:eastAsia="en-US"/>
        </w:rPr>
        <w:t xml:space="preserve">s that use enclosed composting technology may also use </w:t>
      </w:r>
      <w:r w:rsidRPr="00AC470E">
        <w:rPr>
          <w:b/>
          <w:i/>
          <w:sz w:val="24"/>
          <w:szCs w:val="24"/>
          <w:lang w:eastAsia="en-US"/>
        </w:rPr>
        <w:t xml:space="preserve">open windrow composting </w:t>
      </w:r>
      <w:r w:rsidRPr="00AC470E">
        <w:rPr>
          <w:sz w:val="24"/>
          <w:szCs w:val="24"/>
          <w:lang w:eastAsia="en-US"/>
        </w:rPr>
        <w:t>to mature the final compost product. However, a pro</w:t>
      </w:r>
      <w:r>
        <w:rPr>
          <w:sz w:val="24"/>
          <w:szCs w:val="24"/>
          <w:lang w:eastAsia="en-US"/>
        </w:rPr>
        <w:t>ponent</w:t>
      </w:r>
      <w:r w:rsidRPr="00AC470E">
        <w:rPr>
          <w:sz w:val="24"/>
          <w:szCs w:val="24"/>
          <w:lang w:eastAsia="en-US"/>
        </w:rPr>
        <w:t xml:space="preserve"> is not eligible to use only open windrow composting. Examples of enclosed composting are included in the definition and other composting types </w:t>
      </w:r>
      <w:r w:rsidR="00715EDB">
        <w:rPr>
          <w:sz w:val="24"/>
          <w:szCs w:val="24"/>
          <w:lang w:eastAsia="en-US"/>
        </w:rPr>
        <w:t>would be eligible</w:t>
      </w:r>
      <w:r w:rsidRPr="00AC470E">
        <w:rPr>
          <w:sz w:val="24"/>
          <w:szCs w:val="24"/>
          <w:lang w:eastAsia="en-US"/>
        </w:rPr>
        <w:t xml:space="preserve"> if they satisfy the requirements of </w:t>
      </w:r>
      <w:r w:rsidR="00715EDB" w:rsidRPr="00AC470E">
        <w:rPr>
          <w:sz w:val="24"/>
          <w:szCs w:val="24"/>
          <w:lang w:eastAsia="en-US"/>
        </w:rPr>
        <w:t>th</w:t>
      </w:r>
      <w:r w:rsidR="00715EDB">
        <w:rPr>
          <w:sz w:val="24"/>
          <w:szCs w:val="24"/>
          <w:lang w:eastAsia="en-US"/>
        </w:rPr>
        <w:t>e</w:t>
      </w:r>
      <w:r w:rsidR="00715EDB" w:rsidRPr="00AC470E">
        <w:rPr>
          <w:sz w:val="24"/>
          <w:szCs w:val="24"/>
          <w:lang w:eastAsia="en-US"/>
        </w:rPr>
        <w:t xml:space="preserve"> </w:t>
      </w:r>
      <w:r w:rsidRPr="00AC470E">
        <w:rPr>
          <w:sz w:val="24"/>
          <w:szCs w:val="24"/>
          <w:lang w:eastAsia="en-US"/>
        </w:rPr>
        <w:t xml:space="preserve">definition. </w:t>
      </w:r>
    </w:p>
    <w:p w:rsidR="002B7E2D" w:rsidRPr="0099624D" w:rsidRDefault="002B7E2D" w:rsidP="002B7E2D">
      <w:pPr>
        <w:pStyle w:val="ListParagraph"/>
        <w:keepNext/>
        <w:numPr>
          <w:ilvl w:val="0"/>
          <w:numId w:val="0"/>
        </w:numPr>
        <w:autoSpaceDE w:val="0"/>
        <w:autoSpaceDN w:val="0"/>
        <w:adjustRightInd w:val="0"/>
        <w:spacing w:after="120" w:line="240" w:lineRule="auto"/>
        <w:rPr>
          <w:rFonts w:ascii="Times New Roman" w:hAnsi="Times New Roman"/>
          <w:sz w:val="24"/>
          <w:szCs w:val="24"/>
        </w:rPr>
      </w:pPr>
      <w:r w:rsidRPr="0099624D">
        <w:rPr>
          <w:rFonts w:ascii="Times New Roman" w:hAnsi="Times New Roman"/>
          <w:b/>
          <w:i/>
          <w:sz w:val="24"/>
          <w:szCs w:val="24"/>
        </w:rPr>
        <w:lastRenderedPageBreak/>
        <w:t>Mixed solid waste</w:t>
      </w:r>
      <w:r w:rsidRPr="0099624D">
        <w:rPr>
          <w:rFonts w:ascii="Times New Roman" w:hAnsi="Times New Roman"/>
          <w:sz w:val="24"/>
          <w:szCs w:val="24"/>
        </w:rPr>
        <w:t xml:space="preserve"> refers to </w:t>
      </w:r>
      <w:r w:rsidRPr="0099624D">
        <w:rPr>
          <w:rFonts w:ascii="Times New Roman" w:hAnsi="Times New Roman"/>
          <w:b/>
          <w:i/>
          <w:sz w:val="24"/>
          <w:szCs w:val="24"/>
        </w:rPr>
        <w:t>commercial and industrial waste</w:t>
      </w:r>
      <w:r w:rsidRPr="0099624D">
        <w:rPr>
          <w:rFonts w:ascii="Times New Roman" w:hAnsi="Times New Roman"/>
          <w:sz w:val="24"/>
          <w:szCs w:val="24"/>
        </w:rPr>
        <w:t xml:space="preserve">, </w:t>
      </w:r>
      <w:r w:rsidRPr="0099624D">
        <w:rPr>
          <w:rFonts w:ascii="Times New Roman" w:hAnsi="Times New Roman"/>
          <w:b/>
          <w:i/>
          <w:sz w:val="24"/>
          <w:szCs w:val="24"/>
        </w:rPr>
        <w:t>construction and demolition waste</w:t>
      </w:r>
      <w:r w:rsidRPr="0099624D">
        <w:rPr>
          <w:rFonts w:ascii="Times New Roman" w:hAnsi="Times New Roman"/>
          <w:sz w:val="24"/>
          <w:szCs w:val="24"/>
        </w:rPr>
        <w:t xml:space="preserve"> or </w:t>
      </w:r>
      <w:r w:rsidRPr="0099624D">
        <w:rPr>
          <w:rFonts w:ascii="Times New Roman" w:hAnsi="Times New Roman"/>
          <w:b/>
          <w:i/>
          <w:sz w:val="24"/>
          <w:szCs w:val="24"/>
        </w:rPr>
        <w:t>municipal solid waste</w:t>
      </w:r>
      <w:r w:rsidRPr="0099624D">
        <w:rPr>
          <w:rFonts w:ascii="Times New Roman" w:hAnsi="Times New Roman"/>
          <w:sz w:val="24"/>
          <w:szCs w:val="24"/>
        </w:rPr>
        <w:t xml:space="preserve"> but does not include some specific waste types. Waste types that are not included are:</w:t>
      </w:r>
    </w:p>
    <w:p w:rsidR="002B7E2D" w:rsidRPr="00AC470E" w:rsidRDefault="002B7E2D" w:rsidP="002B7E2D">
      <w:pPr>
        <w:pStyle w:val="paragraph"/>
        <w:keepNext/>
        <w:numPr>
          <w:ilvl w:val="0"/>
          <w:numId w:val="18"/>
        </w:numPr>
        <w:tabs>
          <w:tab w:val="clear" w:pos="1531"/>
          <w:tab w:val="right" w:pos="709"/>
        </w:tabs>
        <w:spacing w:before="0" w:after="120"/>
        <w:rPr>
          <w:rFonts w:eastAsia="Calibri"/>
          <w:sz w:val="24"/>
          <w:szCs w:val="24"/>
        </w:rPr>
      </w:pPr>
      <w:r w:rsidRPr="00AC470E">
        <w:rPr>
          <w:rFonts w:eastAsia="Calibri"/>
          <w:sz w:val="24"/>
          <w:szCs w:val="24"/>
        </w:rPr>
        <w:t>recyclable paper, paperboard, glass, metal or plastic that is separated at the point of generation</w:t>
      </w:r>
    </w:p>
    <w:p w:rsidR="002B7E2D" w:rsidRPr="00AC470E" w:rsidRDefault="002B7E2D" w:rsidP="002B7E2D">
      <w:pPr>
        <w:pStyle w:val="paragraph"/>
        <w:keepNext/>
        <w:numPr>
          <w:ilvl w:val="0"/>
          <w:numId w:val="18"/>
        </w:numPr>
        <w:tabs>
          <w:tab w:val="clear" w:pos="1531"/>
          <w:tab w:val="right" w:pos="709"/>
        </w:tabs>
        <w:spacing w:before="0" w:after="120"/>
        <w:rPr>
          <w:rFonts w:eastAsia="Calibri"/>
          <w:sz w:val="24"/>
          <w:szCs w:val="24"/>
        </w:rPr>
      </w:pPr>
      <w:r w:rsidRPr="00AC470E">
        <w:rPr>
          <w:rFonts w:eastAsia="Calibri"/>
          <w:sz w:val="24"/>
          <w:szCs w:val="24"/>
        </w:rPr>
        <w:t>green waste or wood waste that is separated at the point of generation</w:t>
      </w:r>
    </w:p>
    <w:p w:rsidR="002B7E2D" w:rsidRPr="00AC470E" w:rsidRDefault="002B7E2D" w:rsidP="002B7E2D">
      <w:pPr>
        <w:pStyle w:val="paragraph"/>
        <w:keepNext/>
        <w:numPr>
          <w:ilvl w:val="0"/>
          <w:numId w:val="18"/>
        </w:numPr>
        <w:tabs>
          <w:tab w:val="clear" w:pos="1531"/>
          <w:tab w:val="right" w:pos="709"/>
        </w:tabs>
        <w:spacing w:before="0" w:after="120"/>
        <w:rPr>
          <w:rFonts w:eastAsia="Calibri"/>
          <w:sz w:val="24"/>
          <w:szCs w:val="24"/>
        </w:rPr>
      </w:pPr>
      <w:r w:rsidRPr="00AC470E">
        <w:rPr>
          <w:rFonts w:eastAsia="Calibri"/>
          <w:sz w:val="24"/>
          <w:szCs w:val="24"/>
        </w:rPr>
        <w:t>organic waste from the livestock industry, such as straw bedding and manure mixes;</w:t>
      </w:r>
    </w:p>
    <w:p w:rsidR="002B7E2D" w:rsidRPr="00AC470E" w:rsidRDefault="002B7E2D" w:rsidP="002B7E2D">
      <w:pPr>
        <w:pStyle w:val="paragraph"/>
        <w:keepNext/>
        <w:numPr>
          <w:ilvl w:val="0"/>
          <w:numId w:val="18"/>
        </w:numPr>
        <w:tabs>
          <w:tab w:val="clear" w:pos="1531"/>
          <w:tab w:val="right" w:pos="709"/>
        </w:tabs>
        <w:spacing w:before="0" w:after="120"/>
        <w:rPr>
          <w:rFonts w:eastAsia="Calibri"/>
          <w:sz w:val="24"/>
          <w:szCs w:val="24"/>
        </w:rPr>
      </w:pPr>
      <w:r w:rsidRPr="00AC470E">
        <w:rPr>
          <w:rFonts w:eastAsia="Calibri"/>
          <w:sz w:val="24"/>
          <w:szCs w:val="24"/>
        </w:rPr>
        <w:t>biosolids</w:t>
      </w:r>
    </w:p>
    <w:p w:rsidR="002B7E2D" w:rsidRPr="00AC470E" w:rsidRDefault="002B7E2D" w:rsidP="002B7E2D">
      <w:pPr>
        <w:pStyle w:val="paragraph"/>
        <w:keepNext/>
        <w:numPr>
          <w:ilvl w:val="0"/>
          <w:numId w:val="18"/>
        </w:numPr>
        <w:tabs>
          <w:tab w:val="clear" w:pos="1531"/>
          <w:tab w:val="right" w:pos="709"/>
        </w:tabs>
        <w:spacing w:before="0" w:after="120"/>
        <w:rPr>
          <w:rFonts w:eastAsia="Calibri"/>
          <w:sz w:val="24"/>
          <w:szCs w:val="24"/>
        </w:rPr>
      </w:pPr>
      <w:r w:rsidRPr="00AC470E">
        <w:rPr>
          <w:rFonts w:eastAsia="Calibri"/>
          <w:sz w:val="24"/>
          <w:szCs w:val="24"/>
        </w:rPr>
        <w:t>waste that is comprised of only putrescible waste that is separated at the point of generation.</w:t>
      </w:r>
    </w:p>
    <w:p w:rsidR="002B7E2D" w:rsidRPr="00AC470E" w:rsidRDefault="002B7E2D" w:rsidP="002B7E2D">
      <w:pPr>
        <w:pStyle w:val="subsection"/>
        <w:tabs>
          <w:tab w:val="clear" w:pos="1021"/>
          <w:tab w:val="right" w:pos="0"/>
        </w:tabs>
        <w:spacing w:before="0" w:after="120"/>
        <w:ind w:left="0" w:firstLine="0"/>
        <w:rPr>
          <w:rFonts w:eastAsia="Calibri"/>
          <w:strike/>
          <w:sz w:val="24"/>
        </w:rPr>
      </w:pPr>
      <w:r w:rsidRPr="00AC470E">
        <w:rPr>
          <w:rFonts w:eastAsia="Calibri"/>
          <w:sz w:val="24"/>
          <w:szCs w:val="24"/>
          <w:lang w:eastAsia="en-US"/>
        </w:rPr>
        <w:t xml:space="preserve">These waste types are excluded consistent with </w:t>
      </w:r>
      <w:r w:rsidR="00506088">
        <w:rPr>
          <w:rFonts w:eastAsia="Calibri"/>
          <w:sz w:val="24"/>
          <w:szCs w:val="24"/>
          <w:lang w:eastAsia="en-US"/>
        </w:rPr>
        <w:t>the</w:t>
      </w:r>
      <w:r w:rsidR="00506088" w:rsidRPr="00AC470E">
        <w:rPr>
          <w:rFonts w:eastAsia="Calibri"/>
          <w:sz w:val="24"/>
          <w:szCs w:val="24"/>
          <w:lang w:eastAsia="en-US"/>
        </w:rPr>
        <w:t xml:space="preserve"> </w:t>
      </w:r>
      <w:r w:rsidRPr="00AC470E">
        <w:rPr>
          <w:rFonts w:eastAsia="Calibri"/>
          <w:sz w:val="24"/>
          <w:szCs w:val="24"/>
          <w:lang w:eastAsia="en-US"/>
        </w:rPr>
        <w:t xml:space="preserve">CFI AWT </w:t>
      </w:r>
      <w:r>
        <w:rPr>
          <w:rFonts w:eastAsia="Calibri"/>
          <w:sz w:val="24"/>
          <w:szCs w:val="24"/>
          <w:lang w:eastAsia="en-US"/>
        </w:rPr>
        <w:t>D</w:t>
      </w:r>
      <w:r w:rsidRPr="00AC470E">
        <w:rPr>
          <w:rFonts w:eastAsia="Calibri"/>
          <w:sz w:val="24"/>
          <w:szCs w:val="24"/>
          <w:lang w:eastAsia="en-US"/>
        </w:rPr>
        <w:t>eterminations and the decisions of the Domestic Offsets Integrity Committee (DOIC). The DOIC was an independent expert committee under the CFI whose role was to support the environmental integrity of carbon offsets. The exclusion of these waste types is important to ensure the Determination meets the offsets integrity standards. The excluded waste types are not commonly sent to landfill and can be disposed or treated through other methods. For example</w:t>
      </w:r>
      <w:r w:rsidR="00301CC2">
        <w:rPr>
          <w:rFonts w:eastAsia="Calibri"/>
          <w:sz w:val="24"/>
          <w:szCs w:val="24"/>
          <w:lang w:eastAsia="en-US"/>
        </w:rPr>
        <w:t>,</w:t>
      </w:r>
      <w:r w:rsidRPr="00AC470E">
        <w:rPr>
          <w:rFonts w:eastAsia="Calibri"/>
          <w:sz w:val="24"/>
          <w:szCs w:val="24"/>
          <w:lang w:eastAsia="en-US"/>
        </w:rPr>
        <w:t xml:space="preserve"> green waste</w:t>
      </w:r>
      <w:r w:rsidR="004F240F">
        <w:rPr>
          <w:rFonts w:eastAsia="Calibri"/>
          <w:sz w:val="24"/>
          <w:szCs w:val="24"/>
          <w:lang w:eastAsia="en-US"/>
        </w:rPr>
        <w:t>, food waste and mixed organic waste</w:t>
      </w:r>
      <w:r w:rsidRPr="00AC470E">
        <w:rPr>
          <w:rFonts w:eastAsia="Calibri"/>
          <w:sz w:val="24"/>
          <w:szCs w:val="24"/>
          <w:lang w:eastAsia="en-US"/>
        </w:rPr>
        <w:t xml:space="preserve"> </w:t>
      </w:r>
      <w:r w:rsidR="004F240F">
        <w:rPr>
          <w:rFonts w:eastAsia="Calibri"/>
          <w:sz w:val="24"/>
          <w:szCs w:val="24"/>
          <w:lang w:eastAsia="en-US"/>
        </w:rPr>
        <w:t>are</w:t>
      </w:r>
      <w:r w:rsidRPr="00AC470E">
        <w:rPr>
          <w:rFonts w:eastAsia="Calibri"/>
          <w:sz w:val="24"/>
          <w:szCs w:val="24"/>
          <w:lang w:eastAsia="en-US"/>
        </w:rPr>
        <w:t xml:space="preserve"> </w:t>
      </w:r>
      <w:r w:rsidR="004F240F">
        <w:rPr>
          <w:rFonts w:eastAsia="Calibri"/>
          <w:sz w:val="24"/>
          <w:szCs w:val="24"/>
          <w:lang w:eastAsia="en-US"/>
        </w:rPr>
        <w:t xml:space="preserve">not generally sent to landfill and </w:t>
      </w:r>
      <w:r w:rsidR="007E7436">
        <w:rPr>
          <w:rFonts w:eastAsia="Calibri"/>
          <w:sz w:val="24"/>
          <w:szCs w:val="24"/>
          <w:lang w:eastAsia="en-US"/>
        </w:rPr>
        <w:t xml:space="preserve">are </w:t>
      </w:r>
      <w:r w:rsidRPr="00AC470E">
        <w:rPr>
          <w:rFonts w:eastAsia="Calibri"/>
          <w:sz w:val="24"/>
          <w:szCs w:val="24"/>
          <w:lang w:eastAsia="en-US"/>
        </w:rPr>
        <w:t>often turned into compost</w:t>
      </w:r>
      <w:r w:rsidR="004F240F">
        <w:rPr>
          <w:rFonts w:eastAsia="Calibri"/>
          <w:sz w:val="24"/>
          <w:szCs w:val="24"/>
          <w:lang w:eastAsia="en-US"/>
        </w:rPr>
        <w:t xml:space="preserve"> or other products</w:t>
      </w:r>
      <w:r w:rsidRPr="00AC470E">
        <w:rPr>
          <w:rFonts w:eastAsia="Calibri"/>
          <w:sz w:val="24"/>
          <w:szCs w:val="24"/>
          <w:lang w:eastAsia="en-US"/>
        </w:rPr>
        <w:t xml:space="preserve">. </w:t>
      </w:r>
      <w:r w:rsidRPr="00AC470E">
        <w:rPr>
          <w:rFonts w:eastAsia="Calibri"/>
          <w:b/>
          <w:i/>
          <w:sz w:val="24"/>
          <w:szCs w:val="24"/>
          <w:lang w:eastAsia="en-US"/>
        </w:rPr>
        <w:t>Separated at the point of generation</w:t>
      </w:r>
      <w:r w:rsidRPr="00AC470E">
        <w:rPr>
          <w:rFonts w:eastAsia="Calibri"/>
          <w:sz w:val="24"/>
          <w:szCs w:val="24"/>
          <w:lang w:eastAsia="en-US"/>
        </w:rPr>
        <w:t xml:space="preserve"> is explained further in section </w:t>
      </w:r>
      <w:r w:rsidRPr="002A7348">
        <w:rPr>
          <w:rFonts w:eastAsia="Calibri"/>
          <w:sz w:val="24"/>
          <w:szCs w:val="24"/>
          <w:lang w:eastAsia="en-US"/>
        </w:rPr>
        <w:t>7</w:t>
      </w:r>
      <w:r w:rsidRPr="00AC470E">
        <w:rPr>
          <w:rFonts w:eastAsia="Calibri"/>
          <w:sz w:val="24"/>
          <w:szCs w:val="24"/>
          <w:lang w:eastAsia="en-US"/>
        </w:rPr>
        <w:t>.</w:t>
      </w:r>
      <w:r w:rsidRPr="00AC470E">
        <w:rPr>
          <w:rFonts w:eastAsia="Calibri"/>
          <w:strike/>
          <w:sz w:val="24"/>
          <w:szCs w:val="24"/>
          <w:lang w:eastAsia="en-US"/>
        </w:rPr>
        <w:t xml:space="preserve"> </w:t>
      </w:r>
    </w:p>
    <w:p w:rsidR="002B7E2D" w:rsidRDefault="002B7E2D" w:rsidP="002B7E2D">
      <w:pPr>
        <w:pStyle w:val="Definition0"/>
        <w:spacing w:before="0" w:after="120"/>
        <w:ind w:left="0"/>
        <w:rPr>
          <w:sz w:val="24"/>
          <w:szCs w:val="24"/>
          <w:lang w:eastAsia="en-US"/>
        </w:rPr>
      </w:pPr>
      <w:r w:rsidRPr="00AC470E">
        <w:rPr>
          <w:b/>
          <w:i/>
          <w:sz w:val="24"/>
          <w:szCs w:val="24"/>
          <w:lang w:eastAsia="en-US"/>
        </w:rPr>
        <w:t>Municipal solid waste</w:t>
      </w:r>
      <w:r w:rsidRPr="00AC470E">
        <w:rPr>
          <w:sz w:val="24"/>
          <w:szCs w:val="24"/>
          <w:lang w:eastAsia="en-US"/>
        </w:rPr>
        <w:t xml:space="preserve"> </w:t>
      </w:r>
      <w:r w:rsidR="008D4BBC">
        <w:rPr>
          <w:sz w:val="24"/>
          <w:szCs w:val="24"/>
          <w:lang w:eastAsia="en-US"/>
        </w:rPr>
        <w:t>refers</w:t>
      </w:r>
      <w:r w:rsidRPr="00AC470E">
        <w:rPr>
          <w:sz w:val="24"/>
          <w:szCs w:val="24"/>
          <w:lang w:eastAsia="en-US"/>
        </w:rPr>
        <w:t xml:space="preserve"> to mixed solid waste produced by the domestic sector. The </w:t>
      </w:r>
      <w:r w:rsidRPr="00AC470E">
        <w:rPr>
          <w:i/>
          <w:sz w:val="24"/>
          <w:szCs w:val="24"/>
          <w:lang w:eastAsia="en-US"/>
        </w:rPr>
        <w:t>NGER (Measurement)</w:t>
      </w:r>
      <w:r w:rsidRPr="00AC470E">
        <w:rPr>
          <w:i/>
          <w:sz w:val="24"/>
        </w:rPr>
        <w:t xml:space="preserve"> Determination</w:t>
      </w:r>
      <w:r w:rsidRPr="004B03F3">
        <w:rPr>
          <w:sz w:val="24"/>
        </w:rPr>
        <w:t xml:space="preserve"> </w:t>
      </w:r>
      <w:r w:rsidRPr="00AC470E">
        <w:rPr>
          <w:sz w:val="24"/>
          <w:szCs w:val="24"/>
          <w:lang w:eastAsia="en-US"/>
        </w:rPr>
        <w:t xml:space="preserve">describes the default combination of </w:t>
      </w:r>
      <w:r w:rsidRPr="00AC470E">
        <w:rPr>
          <w:b/>
          <w:i/>
          <w:sz w:val="24"/>
          <w:szCs w:val="24"/>
          <w:lang w:eastAsia="en-US"/>
        </w:rPr>
        <w:t>waste mix types</w:t>
      </w:r>
      <w:r w:rsidRPr="00AC470E">
        <w:rPr>
          <w:sz w:val="24"/>
          <w:szCs w:val="24"/>
          <w:lang w:eastAsia="en-US"/>
        </w:rPr>
        <w:t xml:space="preserve"> that are contained in </w:t>
      </w:r>
      <w:r w:rsidRPr="004B03F3">
        <w:rPr>
          <w:sz w:val="24"/>
        </w:rPr>
        <w:t>municipal solid waste</w:t>
      </w:r>
      <w:r w:rsidRPr="00AC470E">
        <w:rPr>
          <w:sz w:val="24"/>
          <w:szCs w:val="24"/>
          <w:lang w:eastAsia="en-US"/>
        </w:rPr>
        <w:t xml:space="preserve">. A planned change to the </w:t>
      </w:r>
      <w:r w:rsidRPr="00AC470E">
        <w:rPr>
          <w:i/>
          <w:sz w:val="24"/>
          <w:szCs w:val="24"/>
          <w:lang w:eastAsia="en-US"/>
        </w:rPr>
        <w:t>NGER (Measurement)</w:t>
      </w:r>
      <w:r w:rsidRPr="004B03F3">
        <w:rPr>
          <w:i/>
          <w:sz w:val="24"/>
        </w:rPr>
        <w:t xml:space="preserve"> Determination</w:t>
      </w:r>
      <w:r w:rsidRPr="00AC470E">
        <w:rPr>
          <w:sz w:val="24"/>
          <w:szCs w:val="24"/>
          <w:lang w:eastAsia="en-US"/>
        </w:rPr>
        <w:t xml:space="preserve"> will require project</w:t>
      </w:r>
      <w:r>
        <w:rPr>
          <w:sz w:val="24"/>
          <w:szCs w:val="24"/>
          <w:lang w:eastAsia="en-US"/>
        </w:rPr>
        <w:t xml:space="preserve"> proponent</w:t>
      </w:r>
      <w:r w:rsidRPr="00AC470E">
        <w:rPr>
          <w:sz w:val="24"/>
          <w:szCs w:val="24"/>
          <w:lang w:eastAsia="en-US"/>
        </w:rPr>
        <w:t xml:space="preserve">s to define municipal solid waste into either </w:t>
      </w:r>
      <w:r w:rsidRPr="00AC470E">
        <w:rPr>
          <w:i/>
          <w:sz w:val="24"/>
          <w:szCs w:val="24"/>
          <w:lang w:eastAsia="en-US"/>
        </w:rPr>
        <w:t>class I</w:t>
      </w:r>
      <w:r w:rsidRPr="00AC470E">
        <w:rPr>
          <w:sz w:val="24"/>
          <w:szCs w:val="24"/>
          <w:lang w:eastAsia="en-US"/>
        </w:rPr>
        <w:t xml:space="preserve"> or </w:t>
      </w:r>
      <w:r w:rsidRPr="00AC470E">
        <w:rPr>
          <w:i/>
          <w:sz w:val="24"/>
          <w:szCs w:val="24"/>
          <w:lang w:eastAsia="en-US"/>
        </w:rPr>
        <w:t>class II</w:t>
      </w:r>
      <w:r w:rsidRPr="00AC470E">
        <w:rPr>
          <w:sz w:val="24"/>
          <w:szCs w:val="24"/>
          <w:lang w:eastAsia="en-US"/>
        </w:rPr>
        <w:t xml:space="preserve"> from 1 July </w:t>
      </w:r>
      <w:r>
        <w:rPr>
          <w:sz w:val="24"/>
          <w:szCs w:val="24"/>
          <w:lang w:eastAsia="en-US"/>
        </w:rPr>
        <w:t>2</w:t>
      </w:r>
      <w:r w:rsidRPr="002A7348">
        <w:rPr>
          <w:sz w:val="24"/>
          <w:szCs w:val="24"/>
          <w:lang w:eastAsia="en-US"/>
        </w:rPr>
        <w:t>01</w:t>
      </w:r>
      <w:r w:rsidRPr="00AC470E">
        <w:rPr>
          <w:sz w:val="24"/>
          <w:szCs w:val="24"/>
          <w:lang w:eastAsia="en-US"/>
        </w:rPr>
        <w:t>5. This is to differentiate between areas that collect green waste separately and those that do not. This planned change is reflected in the Determination.</w:t>
      </w:r>
    </w:p>
    <w:p w:rsidR="005B46F6" w:rsidRPr="005B46F6" w:rsidRDefault="005B46F6" w:rsidP="005B46F6">
      <w:pPr>
        <w:keepNext/>
        <w:spacing w:after="120" w:line="240" w:lineRule="auto"/>
        <w:rPr>
          <w:rFonts w:ascii="Times New Roman" w:hAnsi="Times New Roman"/>
          <w:sz w:val="24"/>
          <w:szCs w:val="24"/>
        </w:rPr>
      </w:pPr>
      <w:r w:rsidRPr="005B46F6">
        <w:rPr>
          <w:rFonts w:ascii="Times New Roman" w:hAnsi="Times New Roman"/>
          <w:b/>
          <w:bCs/>
          <w:i/>
          <w:iCs/>
          <w:sz w:val="24"/>
          <w:szCs w:val="24"/>
        </w:rPr>
        <w:t xml:space="preserve">NGA Factors document </w:t>
      </w:r>
      <w:r w:rsidRPr="005B46F6">
        <w:rPr>
          <w:rFonts w:ascii="Times New Roman" w:hAnsi="Times New Roman"/>
          <w:sz w:val="24"/>
          <w:szCs w:val="24"/>
        </w:rPr>
        <w:t xml:space="preserve">means the document entitled ‘National Greenhouse Account Factors, published the Department of the Environment’s website, </w:t>
      </w:r>
      <w:hyperlink r:id="rId15" w:history="1">
        <w:r w:rsidRPr="005B46F6">
          <w:rPr>
            <w:rStyle w:val="Hyperlink"/>
            <w:rFonts w:ascii="Times New Roman" w:hAnsi="Times New Roman"/>
            <w:sz w:val="24"/>
            <w:szCs w:val="24"/>
          </w:rPr>
          <w:t>www.environment.gov.au</w:t>
        </w:r>
      </w:hyperlink>
      <w:r w:rsidRPr="005B46F6">
        <w:rPr>
          <w:rFonts w:ascii="Times New Roman" w:hAnsi="Times New Roman"/>
          <w:sz w:val="24"/>
          <w:szCs w:val="24"/>
        </w:rPr>
        <w:t xml:space="preserve">, and as in force from time to time. Factors published in this document will be updated from time to time to allow for more accurate estimates of emissions that maintain consistency with Australia’s National Greenhouse Accounts. </w:t>
      </w:r>
    </w:p>
    <w:p w:rsidR="002B7E2D" w:rsidRPr="00AC470E" w:rsidRDefault="002B7E2D" w:rsidP="002B7E2D">
      <w:pPr>
        <w:pStyle w:val="ListParagraph"/>
        <w:numPr>
          <w:ilvl w:val="0"/>
          <w:numId w:val="0"/>
        </w:numPr>
        <w:autoSpaceDE w:val="0"/>
        <w:autoSpaceDN w:val="0"/>
        <w:adjustRightInd w:val="0"/>
        <w:spacing w:after="120" w:line="240" w:lineRule="auto"/>
        <w:rPr>
          <w:rFonts w:ascii="Times New Roman" w:hAnsi="Times New Roman"/>
          <w:sz w:val="24"/>
          <w:szCs w:val="24"/>
          <w:lang w:val="en-US"/>
        </w:rPr>
      </w:pPr>
      <w:r w:rsidRPr="00AC470E">
        <w:rPr>
          <w:rFonts w:ascii="Times New Roman" w:hAnsi="Times New Roman"/>
          <w:b/>
          <w:i/>
          <w:sz w:val="24"/>
          <w:szCs w:val="24"/>
        </w:rPr>
        <w:t>NGER (Measurement) Determination</w:t>
      </w:r>
      <w:r w:rsidRPr="00AC470E">
        <w:rPr>
          <w:rFonts w:ascii="Times New Roman" w:hAnsi="Times New Roman"/>
          <w:sz w:val="24"/>
          <w:szCs w:val="24"/>
        </w:rPr>
        <w:t xml:space="preserve"> refers to the </w:t>
      </w:r>
      <w:r w:rsidRPr="00AC470E">
        <w:rPr>
          <w:rFonts w:ascii="Times New Roman" w:hAnsi="Times New Roman"/>
          <w:i/>
          <w:sz w:val="24"/>
          <w:szCs w:val="24"/>
        </w:rPr>
        <w:t>National Greenhouse and Energy Reporting (Measurement) Determination 2008</w:t>
      </w:r>
      <w:r w:rsidRPr="00AC470E">
        <w:rPr>
          <w:rFonts w:ascii="Times New Roman" w:hAnsi="Times New Roman"/>
          <w:sz w:val="24"/>
          <w:szCs w:val="24"/>
        </w:rPr>
        <w:t xml:space="preserve">, made under subsection 10(3) of the </w:t>
      </w:r>
      <w:r w:rsidRPr="00AC470E">
        <w:rPr>
          <w:rFonts w:ascii="Times New Roman" w:hAnsi="Times New Roman"/>
          <w:i/>
          <w:sz w:val="24"/>
          <w:szCs w:val="24"/>
        </w:rPr>
        <w:t>National Greenhouse and Energy Reporting Act 2007</w:t>
      </w:r>
      <w:r w:rsidRPr="00AC470E">
        <w:rPr>
          <w:rFonts w:ascii="Times New Roman" w:hAnsi="Times New Roman"/>
          <w:sz w:val="24"/>
          <w:szCs w:val="24"/>
        </w:rPr>
        <w:t>, as amended from time to time.</w:t>
      </w:r>
    </w:p>
    <w:p w:rsidR="002B7E2D" w:rsidRPr="00AC470E" w:rsidRDefault="002B7E2D" w:rsidP="002B7E2D">
      <w:pPr>
        <w:keepNext/>
        <w:keepLines/>
        <w:spacing w:after="120" w:line="240" w:lineRule="auto"/>
        <w:rPr>
          <w:rFonts w:ascii="Times New Roman" w:hAnsi="Times New Roman"/>
          <w:sz w:val="24"/>
          <w:szCs w:val="24"/>
        </w:rPr>
      </w:pPr>
      <w:r w:rsidRPr="00AC470E">
        <w:rPr>
          <w:rFonts w:ascii="Times New Roman" w:hAnsi="Times New Roman"/>
          <w:b/>
          <w:i/>
          <w:sz w:val="24"/>
          <w:szCs w:val="24"/>
        </w:rPr>
        <w:t>Waste mix type</w:t>
      </w:r>
      <w:r w:rsidRPr="00AC470E">
        <w:rPr>
          <w:rFonts w:ascii="Times New Roman" w:hAnsi="Times New Roman"/>
          <w:sz w:val="24"/>
          <w:szCs w:val="24"/>
        </w:rPr>
        <w:t xml:space="preserve"> refers to the types of waste that make up mixed solid waste. For example</w:t>
      </w:r>
      <w:r w:rsidR="00301CC2">
        <w:rPr>
          <w:rFonts w:ascii="Times New Roman" w:hAnsi="Times New Roman"/>
          <w:sz w:val="24"/>
          <w:szCs w:val="24"/>
        </w:rPr>
        <w:t>,</w:t>
      </w:r>
      <w:r w:rsidRPr="00AC470E">
        <w:rPr>
          <w:rFonts w:ascii="Times New Roman" w:hAnsi="Times New Roman"/>
          <w:sz w:val="24"/>
          <w:szCs w:val="24"/>
        </w:rPr>
        <w:t xml:space="preserve"> municipal solid waste is made up of several waste mix types including: food waste, green waste, paper, nappies, rubber or leather and inert waste. </w:t>
      </w:r>
    </w:p>
    <w:p w:rsidR="002B7E2D" w:rsidRPr="00AC470E" w:rsidRDefault="002B7E2D" w:rsidP="002B7E2D">
      <w:pPr>
        <w:spacing w:after="120" w:line="240" w:lineRule="auto"/>
        <w:rPr>
          <w:rFonts w:ascii="Times New Roman" w:hAnsi="Times New Roman"/>
          <w:sz w:val="24"/>
          <w:szCs w:val="24"/>
        </w:rPr>
      </w:pPr>
      <w:r w:rsidRPr="00AC470E" w:rsidDel="002F694F">
        <w:rPr>
          <w:rFonts w:ascii="Times New Roman" w:hAnsi="Times New Roman"/>
          <w:i/>
          <w:sz w:val="24"/>
          <w:szCs w:val="24"/>
        </w:rPr>
        <w:t xml:space="preserve"> </w:t>
      </w:r>
    </w:p>
    <w:p w:rsidR="002B7E2D" w:rsidRPr="00AC470E" w:rsidRDefault="002B7E2D" w:rsidP="002B7E2D">
      <w:pPr>
        <w:keepNext/>
        <w:spacing w:after="120" w:line="240" w:lineRule="auto"/>
        <w:rPr>
          <w:rFonts w:ascii="Times New Roman" w:hAnsi="Times New Roman"/>
          <w:sz w:val="24"/>
          <w:szCs w:val="24"/>
        </w:rPr>
      </w:pPr>
      <w:r w:rsidRPr="004B03F3">
        <w:rPr>
          <w:rFonts w:ascii="Times New Roman" w:hAnsi="Times New Roman"/>
          <w:sz w:val="24"/>
          <w:u w:val="single"/>
        </w:rPr>
        <w:t>6</w:t>
      </w:r>
      <w:r w:rsidRPr="00AC470E">
        <w:rPr>
          <w:rFonts w:ascii="Times New Roman" w:hAnsi="Times New Roman"/>
          <w:sz w:val="24"/>
          <w:szCs w:val="24"/>
          <w:u w:val="single"/>
        </w:rPr>
        <w:tab/>
        <w:t>Meaning</w:t>
      </w:r>
      <w:r w:rsidRPr="004B03F3">
        <w:rPr>
          <w:rFonts w:ascii="Times New Roman" w:hAnsi="Times New Roman"/>
          <w:sz w:val="24"/>
          <w:u w:val="single"/>
        </w:rPr>
        <w:t xml:space="preserve"> of </w:t>
      </w:r>
      <w:r w:rsidRPr="004B03F3">
        <w:rPr>
          <w:rFonts w:ascii="Times New Roman" w:hAnsi="Times New Roman"/>
          <w:i/>
          <w:sz w:val="24"/>
          <w:u w:val="single"/>
        </w:rPr>
        <w:t xml:space="preserve">eligible </w:t>
      </w:r>
      <w:r w:rsidRPr="00AC470E">
        <w:rPr>
          <w:rFonts w:ascii="Times New Roman" w:hAnsi="Times New Roman"/>
          <w:i/>
          <w:sz w:val="24"/>
          <w:szCs w:val="24"/>
          <w:u w:val="single"/>
        </w:rPr>
        <w:t xml:space="preserve">CFI </w:t>
      </w:r>
      <w:r w:rsidRPr="004B03F3">
        <w:rPr>
          <w:rFonts w:ascii="Times New Roman" w:hAnsi="Times New Roman"/>
          <w:i/>
          <w:sz w:val="24"/>
          <w:u w:val="single"/>
        </w:rPr>
        <w:t>waste</w:t>
      </w:r>
    </w:p>
    <w:p w:rsidR="002B7E2D" w:rsidRDefault="002B7E2D" w:rsidP="002B7E2D">
      <w:pPr>
        <w:pStyle w:val="subsection"/>
        <w:keepNext/>
        <w:tabs>
          <w:tab w:val="clear" w:pos="1021"/>
          <w:tab w:val="right" w:pos="0"/>
        </w:tabs>
        <w:spacing w:before="0" w:after="120"/>
        <w:ind w:left="0" w:firstLine="0"/>
        <w:rPr>
          <w:rFonts w:eastAsia="Calibri"/>
          <w:sz w:val="24"/>
          <w:szCs w:val="24"/>
          <w:lang w:eastAsia="en-US"/>
        </w:rPr>
      </w:pPr>
      <w:r w:rsidRPr="00771BAA">
        <w:rPr>
          <w:rFonts w:eastAsia="Calibri"/>
          <w:sz w:val="24"/>
          <w:szCs w:val="24"/>
          <w:lang w:eastAsia="en-US"/>
        </w:rPr>
        <w:t>Eligible offsets projects that were covered by a CFI AWT Determination retain the definitions for eligible</w:t>
      </w:r>
      <w:r w:rsidRPr="00771BAA">
        <w:rPr>
          <w:rFonts w:eastAsia="Calibri"/>
          <w:sz w:val="24"/>
          <w:szCs w:val="24"/>
        </w:rPr>
        <w:t xml:space="preserve"> waste </w:t>
      </w:r>
      <w:r w:rsidRPr="00771BAA">
        <w:rPr>
          <w:rFonts w:eastAsia="Calibri"/>
          <w:sz w:val="24"/>
          <w:szCs w:val="24"/>
          <w:lang w:eastAsia="en-US"/>
        </w:rPr>
        <w:t>that previously applied</w:t>
      </w:r>
      <w:r w:rsidRPr="00771BAA">
        <w:rPr>
          <w:rFonts w:eastAsia="Calibri"/>
          <w:sz w:val="24"/>
          <w:szCs w:val="24"/>
        </w:rPr>
        <w:t xml:space="preserve"> to the </w:t>
      </w:r>
      <w:r w:rsidRPr="00771BAA">
        <w:rPr>
          <w:rFonts w:eastAsia="Calibri"/>
          <w:sz w:val="24"/>
          <w:szCs w:val="24"/>
          <w:lang w:eastAsia="en-US"/>
        </w:rPr>
        <w:t>offsets project. This provides consistent treatment to these project proponents as changes to waste definitions could impact existing projects.</w:t>
      </w:r>
    </w:p>
    <w:p w:rsidR="004F240F" w:rsidRPr="00DC7EDE" w:rsidRDefault="00B82921" w:rsidP="00CE01CC">
      <w:pPr>
        <w:pStyle w:val="ListBullet"/>
        <w:numPr>
          <w:ilvl w:val="0"/>
          <w:numId w:val="0"/>
        </w:numPr>
        <w:spacing w:line="240" w:lineRule="auto"/>
        <w:rPr>
          <w:rFonts w:ascii="Times New Roman" w:hAnsi="Times New Roman"/>
          <w:sz w:val="24"/>
          <w:szCs w:val="24"/>
        </w:rPr>
      </w:pPr>
      <w:r>
        <w:rPr>
          <w:rFonts w:ascii="Times New Roman" w:hAnsi="Times New Roman"/>
          <w:sz w:val="24"/>
          <w:szCs w:val="24"/>
        </w:rPr>
        <w:t xml:space="preserve">Each of the </w:t>
      </w:r>
      <w:r w:rsidRPr="00DC7EDE">
        <w:rPr>
          <w:rFonts w:ascii="Times New Roman" w:hAnsi="Times New Roman"/>
          <w:sz w:val="24"/>
          <w:szCs w:val="24"/>
        </w:rPr>
        <w:t xml:space="preserve">CFI AWT Determinations have technical differences </w:t>
      </w:r>
      <w:r w:rsidR="007E7436">
        <w:rPr>
          <w:rFonts w:ascii="Times New Roman" w:hAnsi="Times New Roman"/>
          <w:sz w:val="24"/>
          <w:szCs w:val="24"/>
        </w:rPr>
        <w:t>in</w:t>
      </w:r>
      <w:r w:rsidRPr="00DC7EDE">
        <w:rPr>
          <w:rFonts w:ascii="Times New Roman" w:hAnsi="Times New Roman"/>
          <w:sz w:val="24"/>
          <w:szCs w:val="24"/>
        </w:rPr>
        <w:t xml:space="preserve"> </w:t>
      </w:r>
      <w:r>
        <w:rPr>
          <w:rFonts w:ascii="Times New Roman" w:hAnsi="Times New Roman"/>
          <w:sz w:val="24"/>
          <w:szCs w:val="24"/>
        </w:rPr>
        <w:t xml:space="preserve">definitions including the </w:t>
      </w:r>
      <w:r w:rsidR="007E7436">
        <w:rPr>
          <w:rFonts w:ascii="Times New Roman" w:hAnsi="Times New Roman"/>
          <w:sz w:val="24"/>
          <w:szCs w:val="24"/>
        </w:rPr>
        <w:t xml:space="preserve">use of different </w:t>
      </w:r>
      <w:r w:rsidRPr="00DC7EDE">
        <w:rPr>
          <w:rFonts w:ascii="Times New Roman" w:hAnsi="Times New Roman"/>
          <w:sz w:val="24"/>
          <w:szCs w:val="24"/>
        </w:rPr>
        <w:t xml:space="preserve">definitions of </w:t>
      </w:r>
      <w:r w:rsidR="001845AF">
        <w:rPr>
          <w:rFonts w:ascii="Times New Roman" w:hAnsi="Times New Roman"/>
          <w:sz w:val="24"/>
          <w:szCs w:val="24"/>
        </w:rPr>
        <w:t>‘</w:t>
      </w:r>
      <w:r w:rsidRPr="00DC7EDE">
        <w:rPr>
          <w:rFonts w:ascii="Times New Roman" w:hAnsi="Times New Roman"/>
          <w:sz w:val="24"/>
          <w:szCs w:val="24"/>
        </w:rPr>
        <w:t>separated at the point of generation</w:t>
      </w:r>
      <w:r w:rsidR="001845AF">
        <w:rPr>
          <w:rFonts w:ascii="Times New Roman" w:hAnsi="Times New Roman"/>
          <w:sz w:val="24"/>
          <w:szCs w:val="24"/>
        </w:rPr>
        <w:t>’</w:t>
      </w:r>
      <w:r w:rsidRPr="00DC7EDE">
        <w:rPr>
          <w:rFonts w:ascii="Times New Roman" w:hAnsi="Times New Roman"/>
          <w:sz w:val="24"/>
          <w:szCs w:val="24"/>
        </w:rPr>
        <w:t xml:space="preserve"> and </w:t>
      </w:r>
      <w:r w:rsidR="001845AF">
        <w:rPr>
          <w:rFonts w:ascii="Times New Roman" w:hAnsi="Times New Roman"/>
          <w:sz w:val="24"/>
          <w:szCs w:val="24"/>
        </w:rPr>
        <w:t>‘</w:t>
      </w:r>
      <w:r w:rsidRPr="00DC7EDE">
        <w:rPr>
          <w:rFonts w:ascii="Times New Roman" w:hAnsi="Times New Roman"/>
          <w:sz w:val="24"/>
          <w:szCs w:val="24"/>
        </w:rPr>
        <w:t>mixed solid waste</w:t>
      </w:r>
      <w:r w:rsidR="001845AF">
        <w:rPr>
          <w:rFonts w:ascii="Times New Roman" w:hAnsi="Times New Roman"/>
          <w:sz w:val="24"/>
          <w:szCs w:val="24"/>
        </w:rPr>
        <w:t>’</w:t>
      </w:r>
      <w:r w:rsidRPr="00DC7EDE">
        <w:rPr>
          <w:rFonts w:ascii="Times New Roman" w:hAnsi="Times New Roman"/>
          <w:sz w:val="24"/>
          <w:szCs w:val="24"/>
        </w:rPr>
        <w:t xml:space="preserve">. </w:t>
      </w:r>
      <w:r w:rsidRPr="00DC7EDE">
        <w:rPr>
          <w:rFonts w:ascii="Times New Roman" w:hAnsi="Times New Roman"/>
          <w:sz w:val="24"/>
          <w:szCs w:val="24"/>
        </w:rPr>
        <w:lastRenderedPageBreak/>
        <w:t>Transitioning project proponents should refer to the relevant definitions in the CFI AWT Determination that previously applied to the</w:t>
      </w:r>
      <w:r w:rsidR="007E7436">
        <w:rPr>
          <w:rFonts w:ascii="Times New Roman" w:hAnsi="Times New Roman"/>
          <w:sz w:val="24"/>
          <w:szCs w:val="24"/>
        </w:rPr>
        <w:t>ir</w:t>
      </w:r>
      <w:r w:rsidRPr="00DC7EDE">
        <w:rPr>
          <w:rFonts w:ascii="Times New Roman" w:hAnsi="Times New Roman"/>
          <w:sz w:val="24"/>
          <w:szCs w:val="24"/>
        </w:rPr>
        <w:t xml:space="preserve"> project.</w:t>
      </w:r>
      <w:r>
        <w:rPr>
          <w:rFonts w:ascii="Times New Roman" w:hAnsi="Times New Roman"/>
          <w:sz w:val="24"/>
          <w:szCs w:val="24"/>
        </w:rPr>
        <w:t xml:space="preserve"> In general the differences in </w:t>
      </w:r>
      <w:r w:rsidR="007E7436">
        <w:rPr>
          <w:rFonts w:ascii="Times New Roman" w:hAnsi="Times New Roman"/>
          <w:sz w:val="24"/>
          <w:szCs w:val="24"/>
        </w:rPr>
        <w:t xml:space="preserve">the definitions of </w:t>
      </w:r>
      <w:r>
        <w:rPr>
          <w:rFonts w:ascii="Times New Roman" w:hAnsi="Times New Roman"/>
          <w:sz w:val="24"/>
          <w:szCs w:val="24"/>
        </w:rPr>
        <w:t>eligible waste are as follows:</w:t>
      </w:r>
    </w:p>
    <w:p w:rsidR="00466962" w:rsidRDefault="00B82921" w:rsidP="00CE01CC">
      <w:pPr>
        <w:pStyle w:val="ListBullet"/>
        <w:spacing w:after="120" w:line="240" w:lineRule="auto"/>
        <w:rPr>
          <w:rFonts w:ascii="Times New Roman" w:hAnsi="Times New Roman"/>
          <w:sz w:val="24"/>
          <w:szCs w:val="24"/>
        </w:rPr>
      </w:pPr>
      <w:r>
        <w:rPr>
          <w:rFonts w:ascii="Times New Roman" w:hAnsi="Times New Roman"/>
          <w:color w:val="000000"/>
          <w:sz w:val="24"/>
          <w:szCs w:val="24"/>
        </w:rPr>
        <w:t>T</w:t>
      </w:r>
      <w:r w:rsidR="00A53FF7" w:rsidRPr="00A53FF7">
        <w:rPr>
          <w:rFonts w:ascii="Times New Roman" w:hAnsi="Times New Roman"/>
          <w:color w:val="000000"/>
          <w:sz w:val="24"/>
          <w:szCs w:val="24"/>
        </w:rPr>
        <w:t xml:space="preserve">he </w:t>
      </w:r>
      <w:r w:rsidR="004F240F" w:rsidRPr="00DC7EDE">
        <w:rPr>
          <w:rFonts w:ascii="Times New Roman" w:hAnsi="Times New Roman"/>
          <w:i/>
          <w:color w:val="000000"/>
          <w:sz w:val="24"/>
          <w:szCs w:val="24"/>
        </w:rPr>
        <w:t xml:space="preserve">Carbon Credits (Carbon Farming Initiative) (Avoided Emissions from Diverting Legacy Waste from Landfill for Process Engineered Fuel Manufacture) Methodology Determination </w:t>
      </w:r>
      <w:r w:rsidR="004F240F" w:rsidRPr="00DC7EDE">
        <w:rPr>
          <w:rFonts w:ascii="Times New Roman" w:hAnsi="Times New Roman"/>
          <w:i/>
          <w:noProof/>
          <w:color w:val="000000"/>
          <w:sz w:val="24"/>
          <w:szCs w:val="24"/>
        </w:rPr>
        <w:t xml:space="preserve">2012 </w:t>
      </w:r>
      <w:r w:rsidR="00DC7EDE">
        <w:rPr>
          <w:rFonts w:ascii="Times New Roman" w:hAnsi="Times New Roman"/>
          <w:noProof/>
          <w:color w:val="000000"/>
          <w:sz w:val="24"/>
          <w:szCs w:val="24"/>
        </w:rPr>
        <w:t>applies to const</w:t>
      </w:r>
      <w:r w:rsidR="00A53FF7" w:rsidRPr="00A53FF7">
        <w:rPr>
          <w:rFonts w:ascii="Times New Roman" w:hAnsi="Times New Roman"/>
          <w:noProof/>
          <w:color w:val="000000"/>
          <w:sz w:val="24"/>
          <w:szCs w:val="24"/>
        </w:rPr>
        <w:t xml:space="preserve">ruction and demolition and commercial and instrustrial waste but excludes municipal solid waste as an eligible waste </w:t>
      </w:r>
      <w:r w:rsidR="006944E5">
        <w:rPr>
          <w:rFonts w:ascii="Times New Roman" w:hAnsi="Times New Roman"/>
          <w:noProof/>
          <w:color w:val="000000"/>
          <w:sz w:val="24"/>
          <w:szCs w:val="24"/>
        </w:rPr>
        <w:t>stream</w:t>
      </w:r>
      <w:r w:rsidR="00A53FF7" w:rsidRPr="00A53FF7">
        <w:rPr>
          <w:rFonts w:ascii="Times New Roman" w:hAnsi="Times New Roman"/>
          <w:noProof/>
          <w:color w:val="000000"/>
          <w:sz w:val="24"/>
          <w:szCs w:val="24"/>
        </w:rPr>
        <w:t>.</w:t>
      </w:r>
    </w:p>
    <w:p w:rsidR="00466962" w:rsidRDefault="00B82921" w:rsidP="00CE01CC">
      <w:pPr>
        <w:pStyle w:val="ListBullet"/>
        <w:spacing w:after="120" w:line="240" w:lineRule="auto"/>
        <w:rPr>
          <w:rFonts w:ascii="Times New Roman" w:hAnsi="Times New Roman"/>
          <w:sz w:val="24"/>
          <w:szCs w:val="24"/>
        </w:rPr>
      </w:pPr>
      <w:r>
        <w:rPr>
          <w:rFonts w:ascii="Times New Roman" w:hAnsi="Times New Roman"/>
          <w:color w:val="000000"/>
          <w:sz w:val="24"/>
          <w:szCs w:val="24"/>
        </w:rPr>
        <w:t>T</w:t>
      </w:r>
      <w:r w:rsidR="00A53FF7" w:rsidRPr="00A53FF7">
        <w:rPr>
          <w:rFonts w:ascii="Times New Roman" w:hAnsi="Times New Roman"/>
          <w:color w:val="000000"/>
          <w:sz w:val="24"/>
          <w:szCs w:val="24"/>
        </w:rPr>
        <w:t xml:space="preserve">he </w:t>
      </w:r>
      <w:r w:rsidR="004F240F" w:rsidRPr="00DC7EDE">
        <w:rPr>
          <w:rFonts w:ascii="Times New Roman" w:hAnsi="Times New Roman"/>
          <w:i/>
          <w:color w:val="000000"/>
          <w:sz w:val="24"/>
          <w:szCs w:val="24"/>
        </w:rPr>
        <w:t>Carbon Credits (Carbon Farming Initiative) (Enclosed Mechanical Processing and Composting Alternative Waste Treatment) Methodology Determination 2013</w:t>
      </w:r>
      <w:r w:rsidR="00A53FF7" w:rsidRPr="00A53FF7">
        <w:rPr>
          <w:rFonts w:ascii="Times New Roman" w:hAnsi="Times New Roman"/>
          <w:color w:val="000000"/>
          <w:sz w:val="24"/>
          <w:szCs w:val="24"/>
        </w:rPr>
        <w:t xml:space="preserve"> applies to municipal solid waste and commercial and industrial waste but excludes construction and demolition waste as an eligible waste </w:t>
      </w:r>
      <w:r w:rsidR="006944E5">
        <w:rPr>
          <w:rFonts w:ascii="Times New Roman" w:hAnsi="Times New Roman"/>
          <w:color w:val="000000"/>
          <w:sz w:val="24"/>
          <w:szCs w:val="24"/>
        </w:rPr>
        <w:t>stream</w:t>
      </w:r>
      <w:r w:rsidR="00A53FF7" w:rsidRPr="00A53FF7">
        <w:rPr>
          <w:rFonts w:ascii="Times New Roman" w:hAnsi="Times New Roman"/>
          <w:color w:val="000000"/>
          <w:sz w:val="24"/>
          <w:szCs w:val="24"/>
        </w:rPr>
        <w:t>.</w:t>
      </w:r>
    </w:p>
    <w:p w:rsidR="00466962" w:rsidRDefault="00B82921" w:rsidP="00CE01CC">
      <w:pPr>
        <w:pStyle w:val="ListParagraph"/>
        <w:numPr>
          <w:ilvl w:val="0"/>
          <w:numId w:val="17"/>
        </w:numPr>
        <w:spacing w:after="120" w:line="240" w:lineRule="auto"/>
        <w:rPr>
          <w:rFonts w:ascii="Times New Roman" w:hAnsi="Times New Roman"/>
          <w:b/>
          <w:color w:val="000000"/>
          <w:sz w:val="24"/>
          <w:szCs w:val="24"/>
        </w:rPr>
      </w:pPr>
      <w:r>
        <w:rPr>
          <w:rFonts w:ascii="Times New Roman" w:hAnsi="Times New Roman"/>
          <w:sz w:val="24"/>
          <w:szCs w:val="24"/>
        </w:rPr>
        <w:t>T</w:t>
      </w:r>
      <w:r w:rsidR="006944E5" w:rsidRPr="00DC7EDE">
        <w:rPr>
          <w:rFonts w:ascii="Times New Roman" w:hAnsi="Times New Roman"/>
          <w:sz w:val="24"/>
          <w:szCs w:val="24"/>
        </w:rPr>
        <w:t xml:space="preserve">he </w:t>
      </w:r>
      <w:r w:rsidR="006944E5" w:rsidRPr="00DC7EDE">
        <w:rPr>
          <w:rFonts w:ascii="Times New Roman" w:hAnsi="Times New Roman"/>
          <w:i/>
          <w:sz w:val="24"/>
          <w:szCs w:val="24"/>
          <w:lang w:eastAsia="en-AU"/>
        </w:rPr>
        <w:t>Carbon Credits (Carbon Farming Initiative) (Diversion of Legacy Waste to an Alternative Waste Treatment Facility) Methodology Determination 2013</w:t>
      </w:r>
      <w:r w:rsidR="006944E5" w:rsidRPr="00DC7EDE">
        <w:rPr>
          <w:rFonts w:ascii="Times New Roman" w:hAnsi="Times New Roman"/>
          <w:sz w:val="24"/>
          <w:szCs w:val="24"/>
          <w:lang w:eastAsia="en-AU"/>
        </w:rPr>
        <w:t xml:space="preserve"> </w:t>
      </w:r>
      <w:r w:rsidR="006944E5">
        <w:rPr>
          <w:rFonts w:ascii="Times New Roman" w:hAnsi="Times New Roman"/>
          <w:sz w:val="24"/>
          <w:szCs w:val="24"/>
          <w:lang w:eastAsia="en-AU"/>
        </w:rPr>
        <w:t xml:space="preserve">and the </w:t>
      </w:r>
      <w:r w:rsidR="006944E5" w:rsidRPr="009B2293">
        <w:rPr>
          <w:rFonts w:ascii="Times New Roman" w:hAnsi="Times New Roman"/>
          <w:i/>
          <w:color w:val="000000"/>
          <w:sz w:val="24"/>
          <w:szCs w:val="24"/>
        </w:rPr>
        <w:t>Carbon Credits (Carbon Farming Initiative) (Avoided Emissions from Diverting Legacy Waste from Landfill through a Composting Alternative Waste Technology) Methodology Determination 2013</w:t>
      </w:r>
      <w:r w:rsidR="006944E5">
        <w:rPr>
          <w:rFonts w:ascii="Times New Roman" w:hAnsi="Times New Roman"/>
          <w:i/>
          <w:color w:val="000000"/>
          <w:sz w:val="24"/>
          <w:szCs w:val="24"/>
        </w:rPr>
        <w:t xml:space="preserve"> </w:t>
      </w:r>
      <w:r w:rsidR="00A53FF7" w:rsidRPr="00A53FF7">
        <w:rPr>
          <w:rFonts w:ascii="Times New Roman" w:hAnsi="Times New Roman"/>
          <w:color w:val="000000"/>
          <w:sz w:val="24"/>
          <w:szCs w:val="24"/>
        </w:rPr>
        <w:t xml:space="preserve">both define eligible waste as including municipal solid waste, commercial and industrial </w:t>
      </w:r>
      <w:r>
        <w:rPr>
          <w:rFonts w:ascii="Times New Roman" w:hAnsi="Times New Roman"/>
          <w:color w:val="000000"/>
          <w:sz w:val="24"/>
          <w:szCs w:val="24"/>
        </w:rPr>
        <w:t xml:space="preserve">waste </w:t>
      </w:r>
      <w:r w:rsidR="00A53FF7" w:rsidRPr="00A53FF7">
        <w:rPr>
          <w:rFonts w:ascii="Times New Roman" w:hAnsi="Times New Roman"/>
          <w:color w:val="000000"/>
          <w:sz w:val="24"/>
          <w:szCs w:val="24"/>
        </w:rPr>
        <w:t>and construction and demolition waste.</w:t>
      </w:r>
      <w:r w:rsidR="006944E5">
        <w:rPr>
          <w:rFonts w:ascii="Times New Roman" w:hAnsi="Times New Roman"/>
          <w:color w:val="000000"/>
          <w:sz w:val="24"/>
          <w:szCs w:val="24"/>
        </w:rPr>
        <w:t xml:space="preserve"> However</w:t>
      </w:r>
      <w:r w:rsidR="00301CC2">
        <w:rPr>
          <w:rFonts w:ascii="Times New Roman" w:hAnsi="Times New Roman"/>
          <w:color w:val="000000"/>
          <w:sz w:val="24"/>
          <w:szCs w:val="24"/>
        </w:rPr>
        <w:t>,</w:t>
      </w:r>
      <w:r w:rsidR="006944E5">
        <w:rPr>
          <w:rFonts w:ascii="Times New Roman" w:hAnsi="Times New Roman"/>
          <w:color w:val="000000"/>
          <w:sz w:val="24"/>
          <w:szCs w:val="24"/>
        </w:rPr>
        <w:t xml:space="preserve"> these </w:t>
      </w:r>
      <w:r w:rsidR="007E7436">
        <w:rPr>
          <w:rFonts w:ascii="Times New Roman" w:hAnsi="Times New Roman"/>
          <w:color w:val="000000"/>
          <w:sz w:val="24"/>
          <w:szCs w:val="24"/>
        </w:rPr>
        <w:t>d</w:t>
      </w:r>
      <w:r w:rsidR="006944E5">
        <w:rPr>
          <w:rFonts w:ascii="Times New Roman" w:hAnsi="Times New Roman"/>
          <w:color w:val="000000"/>
          <w:sz w:val="24"/>
          <w:szCs w:val="24"/>
        </w:rPr>
        <w:t xml:space="preserve">eterminations define excluded waste types differently and definitions </w:t>
      </w:r>
      <w:r w:rsidR="007E7436">
        <w:rPr>
          <w:rFonts w:ascii="Times New Roman" w:hAnsi="Times New Roman"/>
          <w:color w:val="000000"/>
          <w:sz w:val="24"/>
          <w:szCs w:val="24"/>
        </w:rPr>
        <w:t>include</w:t>
      </w:r>
      <w:r w:rsidR="006944E5">
        <w:rPr>
          <w:rFonts w:ascii="Times New Roman" w:hAnsi="Times New Roman"/>
          <w:color w:val="000000"/>
          <w:sz w:val="24"/>
          <w:szCs w:val="24"/>
        </w:rPr>
        <w:t xml:space="preserve"> differences</w:t>
      </w:r>
      <w:r>
        <w:rPr>
          <w:rFonts w:ascii="Times New Roman" w:hAnsi="Times New Roman"/>
          <w:color w:val="000000"/>
          <w:sz w:val="24"/>
          <w:szCs w:val="24"/>
        </w:rPr>
        <w:t xml:space="preserve"> that impact waste eligibility</w:t>
      </w:r>
      <w:r w:rsidR="006944E5">
        <w:rPr>
          <w:rFonts w:ascii="Times New Roman" w:hAnsi="Times New Roman"/>
          <w:color w:val="000000"/>
          <w:sz w:val="24"/>
          <w:szCs w:val="24"/>
        </w:rPr>
        <w:t>.</w:t>
      </w:r>
    </w:p>
    <w:p w:rsidR="002B7E2D" w:rsidRPr="00771BAA" w:rsidRDefault="002B7E2D" w:rsidP="002B7E2D">
      <w:pPr>
        <w:pStyle w:val="subsection"/>
        <w:keepNext/>
        <w:tabs>
          <w:tab w:val="clear" w:pos="1021"/>
          <w:tab w:val="right" w:pos="0"/>
        </w:tabs>
        <w:spacing w:before="0" w:after="120"/>
        <w:ind w:left="0" w:firstLine="0"/>
        <w:rPr>
          <w:rFonts w:eastAsia="Calibri"/>
          <w:sz w:val="24"/>
          <w:szCs w:val="24"/>
          <w:lang w:eastAsia="en-US"/>
        </w:rPr>
      </w:pPr>
      <w:r w:rsidRPr="00771BAA">
        <w:rPr>
          <w:rFonts w:eastAsia="Calibri"/>
          <w:sz w:val="24"/>
          <w:szCs w:val="24"/>
          <w:lang w:eastAsia="en-US"/>
        </w:rPr>
        <w:t>Subsection 6(2) sets out that references to ‘legacy waste</w:t>
      </w:r>
      <w:r w:rsidR="00506088">
        <w:rPr>
          <w:rFonts w:eastAsia="Calibri"/>
          <w:sz w:val="24"/>
          <w:szCs w:val="24"/>
          <w:lang w:eastAsia="en-US"/>
        </w:rPr>
        <w:t>’</w:t>
      </w:r>
      <w:r w:rsidRPr="00771BAA">
        <w:rPr>
          <w:rFonts w:eastAsia="Calibri"/>
          <w:sz w:val="24"/>
          <w:szCs w:val="24"/>
          <w:lang w:eastAsia="en-US"/>
        </w:rPr>
        <w:t xml:space="preserve"> in the CFI AWT Determinations are to be disregarded</w:t>
      </w:r>
      <w:r w:rsidR="00A53FF7" w:rsidRPr="00A53FF7">
        <w:rPr>
          <w:rFonts w:eastAsia="Calibri"/>
          <w:sz w:val="24"/>
          <w:szCs w:val="24"/>
          <w:lang w:eastAsia="en-US"/>
        </w:rPr>
        <w:t xml:space="preserve">. </w:t>
      </w:r>
    </w:p>
    <w:p w:rsidR="002B7E2D" w:rsidRPr="00AC470E" w:rsidRDefault="002B7E2D" w:rsidP="002B7E2D">
      <w:pPr>
        <w:spacing w:after="120" w:line="240" w:lineRule="auto"/>
        <w:rPr>
          <w:rFonts w:ascii="Times New Roman" w:hAnsi="Times New Roman"/>
          <w:sz w:val="24"/>
        </w:rPr>
      </w:pPr>
    </w:p>
    <w:p w:rsidR="002B7E2D" w:rsidRPr="00AC470E" w:rsidRDefault="002B7E2D" w:rsidP="002B7E2D">
      <w:pPr>
        <w:keepNext/>
        <w:spacing w:after="120" w:line="240" w:lineRule="auto"/>
        <w:rPr>
          <w:rFonts w:ascii="Times New Roman" w:hAnsi="Times New Roman"/>
          <w:sz w:val="24"/>
          <w:szCs w:val="24"/>
          <w:u w:val="single"/>
        </w:rPr>
      </w:pPr>
      <w:r w:rsidRPr="00AC470E">
        <w:rPr>
          <w:rFonts w:ascii="Times New Roman" w:hAnsi="Times New Roman"/>
          <w:sz w:val="24"/>
          <w:szCs w:val="24"/>
          <w:u w:val="single"/>
        </w:rPr>
        <w:t>7</w:t>
      </w:r>
      <w:r w:rsidRPr="00AC470E">
        <w:rPr>
          <w:rFonts w:ascii="Times New Roman" w:hAnsi="Times New Roman"/>
          <w:sz w:val="24"/>
          <w:szCs w:val="24"/>
          <w:u w:val="single"/>
        </w:rPr>
        <w:tab/>
        <w:t xml:space="preserve">Meaning of </w:t>
      </w:r>
      <w:r w:rsidRPr="00AC470E">
        <w:rPr>
          <w:rFonts w:ascii="Times New Roman" w:hAnsi="Times New Roman"/>
          <w:i/>
          <w:sz w:val="24"/>
          <w:szCs w:val="24"/>
          <w:u w:val="single"/>
        </w:rPr>
        <w:t>separated at the point of generation</w:t>
      </w:r>
    </w:p>
    <w:p w:rsidR="002B7E2D" w:rsidRPr="00AC470E" w:rsidRDefault="002B7E2D" w:rsidP="002B7E2D">
      <w:pPr>
        <w:keepNext/>
        <w:autoSpaceDE w:val="0"/>
        <w:autoSpaceDN w:val="0"/>
        <w:adjustRightInd w:val="0"/>
        <w:spacing w:after="120" w:line="240" w:lineRule="auto"/>
        <w:rPr>
          <w:rFonts w:ascii="Times New Roman" w:hAnsi="Times New Roman"/>
          <w:sz w:val="24"/>
          <w:szCs w:val="24"/>
        </w:rPr>
      </w:pPr>
      <w:r w:rsidRPr="00AC470E">
        <w:rPr>
          <w:rFonts w:ascii="Times New Roman" w:hAnsi="Times New Roman"/>
          <w:sz w:val="24"/>
          <w:szCs w:val="24"/>
        </w:rPr>
        <w:t xml:space="preserve">Waste </w:t>
      </w:r>
      <w:r w:rsidRPr="00AC470E">
        <w:rPr>
          <w:rFonts w:ascii="Times New Roman" w:hAnsi="Times New Roman"/>
          <w:b/>
          <w:i/>
          <w:sz w:val="24"/>
          <w:szCs w:val="24"/>
        </w:rPr>
        <w:t>separated at the point of generation</w:t>
      </w:r>
      <w:r w:rsidRPr="00AC470E">
        <w:rPr>
          <w:rFonts w:ascii="Times New Roman" w:hAnsi="Times New Roman"/>
          <w:sz w:val="24"/>
          <w:szCs w:val="24"/>
        </w:rPr>
        <w:t xml:space="preserve"> would generally be disposed </w:t>
      </w:r>
      <w:r w:rsidR="007E7436">
        <w:rPr>
          <w:rFonts w:ascii="Times New Roman" w:hAnsi="Times New Roman"/>
          <w:sz w:val="24"/>
          <w:szCs w:val="24"/>
        </w:rPr>
        <w:t xml:space="preserve">of </w:t>
      </w:r>
      <w:r w:rsidRPr="00AC470E">
        <w:rPr>
          <w:rFonts w:ascii="Times New Roman" w:hAnsi="Times New Roman"/>
          <w:sz w:val="24"/>
          <w:szCs w:val="24"/>
        </w:rPr>
        <w:t xml:space="preserve">in ways other than landfill. These wastes are excluded as they do not meet the requirements of the baseline scenario </w:t>
      </w:r>
      <w:r w:rsidR="00506088">
        <w:rPr>
          <w:rFonts w:ascii="Times New Roman" w:hAnsi="Times New Roman"/>
          <w:sz w:val="24"/>
          <w:szCs w:val="24"/>
        </w:rPr>
        <w:t xml:space="preserve">which is </w:t>
      </w:r>
      <w:r w:rsidRPr="00AC470E">
        <w:rPr>
          <w:rFonts w:ascii="Times New Roman" w:hAnsi="Times New Roman"/>
          <w:sz w:val="24"/>
          <w:szCs w:val="24"/>
        </w:rPr>
        <w:t>that waste would have gone to landfill</w:t>
      </w:r>
      <w:r w:rsidR="00506088">
        <w:rPr>
          <w:rFonts w:ascii="Times New Roman" w:hAnsi="Times New Roman"/>
          <w:sz w:val="24"/>
          <w:szCs w:val="24"/>
        </w:rPr>
        <w:t xml:space="preserve"> in the absence of the project</w:t>
      </w:r>
      <w:r w:rsidRPr="00AC470E">
        <w:rPr>
          <w:rFonts w:ascii="Times New Roman" w:hAnsi="Times New Roman"/>
          <w:sz w:val="24"/>
          <w:szCs w:val="24"/>
        </w:rPr>
        <w:t xml:space="preserve">. </w:t>
      </w:r>
    </w:p>
    <w:p w:rsidR="002B7E2D" w:rsidRPr="00AC470E" w:rsidRDefault="002B7E2D" w:rsidP="002B7E2D">
      <w:pPr>
        <w:keepNext/>
        <w:autoSpaceDE w:val="0"/>
        <w:autoSpaceDN w:val="0"/>
        <w:adjustRightInd w:val="0"/>
        <w:spacing w:after="120" w:line="240" w:lineRule="auto"/>
        <w:rPr>
          <w:rFonts w:ascii="Times New Roman" w:hAnsi="Times New Roman"/>
          <w:sz w:val="24"/>
          <w:szCs w:val="24"/>
        </w:rPr>
      </w:pPr>
      <w:r w:rsidRPr="00AC470E">
        <w:rPr>
          <w:rFonts w:ascii="Times New Roman" w:hAnsi="Times New Roman"/>
          <w:sz w:val="24"/>
          <w:szCs w:val="24"/>
        </w:rPr>
        <w:t xml:space="preserve">Waste is defined as separated at the point of generation if it is separated into a container that is intended to contain either one </w:t>
      </w:r>
      <w:r w:rsidRPr="00AC470E">
        <w:rPr>
          <w:rFonts w:ascii="Times New Roman" w:hAnsi="Times New Roman"/>
          <w:b/>
          <w:i/>
          <w:sz w:val="24"/>
          <w:szCs w:val="24"/>
        </w:rPr>
        <w:t>waste mix type</w:t>
      </w:r>
      <w:r w:rsidRPr="00AC470E">
        <w:rPr>
          <w:rFonts w:ascii="Times New Roman" w:hAnsi="Times New Roman"/>
          <w:sz w:val="24"/>
          <w:szCs w:val="24"/>
        </w:rPr>
        <w:t xml:space="preserve"> or a combination of several </w:t>
      </w:r>
      <w:r w:rsidRPr="00AC470E">
        <w:rPr>
          <w:rFonts w:ascii="Times New Roman" w:hAnsi="Times New Roman"/>
          <w:b/>
          <w:i/>
          <w:sz w:val="24"/>
          <w:szCs w:val="24"/>
        </w:rPr>
        <w:t>waste mix types</w:t>
      </w:r>
      <w:r w:rsidRPr="00AC470E">
        <w:rPr>
          <w:rFonts w:ascii="Times New Roman" w:hAnsi="Times New Roman"/>
          <w:sz w:val="24"/>
          <w:szCs w:val="24"/>
        </w:rPr>
        <w:t xml:space="preserve">. For example, a food waste bin or a mixed organic bin (containing both food and green waste) are both examples of </w:t>
      </w:r>
      <w:r w:rsidR="00100141" w:rsidRPr="00100141">
        <w:rPr>
          <w:rFonts w:ascii="Times New Roman" w:hAnsi="Times New Roman"/>
          <w:sz w:val="24"/>
          <w:szCs w:val="24"/>
        </w:rPr>
        <w:t>waste that is comprised of only putrescible waste that is separated at the point of generation</w:t>
      </w:r>
      <w:r w:rsidRPr="00AC470E">
        <w:rPr>
          <w:rFonts w:ascii="Times New Roman" w:hAnsi="Times New Roman"/>
          <w:sz w:val="24"/>
          <w:szCs w:val="24"/>
        </w:rPr>
        <w:t>. Waste is considered to be separated at the point of generation even if it is contaminated with other wastes not intended for the container.</w:t>
      </w:r>
    </w:p>
    <w:p w:rsidR="002B7E2D" w:rsidRPr="00AC470E" w:rsidRDefault="002B7E2D" w:rsidP="002B7E2D">
      <w:pPr>
        <w:autoSpaceDE w:val="0"/>
        <w:autoSpaceDN w:val="0"/>
        <w:adjustRightInd w:val="0"/>
        <w:spacing w:after="120" w:line="240" w:lineRule="auto"/>
        <w:rPr>
          <w:rFonts w:ascii="Times New Roman" w:hAnsi="Times New Roman"/>
          <w:sz w:val="24"/>
          <w:szCs w:val="24"/>
        </w:rPr>
      </w:pPr>
    </w:p>
    <w:p w:rsidR="002B7E2D" w:rsidRPr="00AC470E" w:rsidRDefault="002B7E2D" w:rsidP="002B7E2D">
      <w:pPr>
        <w:keepNext/>
        <w:keepLines/>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lastRenderedPageBreak/>
        <w:t>8</w:t>
      </w:r>
      <w:r w:rsidRPr="00AC470E">
        <w:rPr>
          <w:rFonts w:ascii="Times New Roman" w:hAnsi="Times New Roman"/>
          <w:color w:val="000000"/>
          <w:sz w:val="24"/>
          <w:szCs w:val="24"/>
          <w:u w:val="single"/>
        </w:rPr>
        <w:tab/>
        <w:t>References to factors and parameters from external sources</w:t>
      </w:r>
    </w:p>
    <w:p w:rsidR="00390F5D" w:rsidRPr="00F014F4" w:rsidRDefault="002B7E2D" w:rsidP="002B7E2D">
      <w:pPr>
        <w:keepNext/>
        <w:keepLines/>
        <w:spacing w:after="120" w:line="240" w:lineRule="auto"/>
        <w:rPr>
          <w:rFonts w:ascii="Times New Roman" w:hAnsi="Times New Roman"/>
          <w:color w:val="000000"/>
          <w:sz w:val="24"/>
          <w:szCs w:val="24"/>
        </w:rPr>
      </w:pPr>
      <w:r w:rsidRPr="00F014F4">
        <w:rPr>
          <w:rFonts w:ascii="Times New Roman" w:hAnsi="Times New Roman"/>
          <w:color w:val="000000"/>
          <w:sz w:val="24"/>
          <w:szCs w:val="24"/>
        </w:rPr>
        <w:t>Default</w:t>
      </w:r>
      <w:r w:rsidR="00390F5D" w:rsidRPr="00F014F4">
        <w:rPr>
          <w:rFonts w:ascii="Times New Roman" w:hAnsi="Times New Roman"/>
          <w:color w:val="000000"/>
          <w:sz w:val="24"/>
          <w:szCs w:val="24"/>
        </w:rPr>
        <w:t xml:space="preserve"> and</w:t>
      </w:r>
      <w:r w:rsidRPr="00F014F4">
        <w:rPr>
          <w:rFonts w:ascii="Times New Roman" w:hAnsi="Times New Roman"/>
          <w:color w:val="000000"/>
          <w:sz w:val="24"/>
          <w:szCs w:val="24"/>
        </w:rPr>
        <w:t xml:space="preserve"> calculated parameters must be sourced or measured according to the instructions within </w:t>
      </w:r>
      <w:r w:rsidR="00506088" w:rsidRPr="00F014F4">
        <w:rPr>
          <w:rFonts w:ascii="Times New Roman" w:hAnsi="Times New Roman"/>
          <w:color w:val="000000"/>
          <w:sz w:val="24"/>
          <w:szCs w:val="24"/>
        </w:rPr>
        <w:t xml:space="preserve">the </w:t>
      </w:r>
      <w:r w:rsidRPr="00F014F4">
        <w:rPr>
          <w:rFonts w:ascii="Times New Roman" w:hAnsi="Times New Roman"/>
          <w:color w:val="000000"/>
          <w:sz w:val="24"/>
          <w:szCs w:val="24"/>
        </w:rPr>
        <w:t xml:space="preserve">Determination. The Determination aligns with the </w:t>
      </w:r>
      <w:r w:rsidRPr="00F014F4">
        <w:rPr>
          <w:rFonts w:ascii="Times New Roman" w:hAnsi="Times New Roman"/>
          <w:i/>
          <w:color w:val="000000"/>
          <w:sz w:val="24"/>
          <w:szCs w:val="24"/>
        </w:rPr>
        <w:t>NGER (Measurement) Determination</w:t>
      </w:r>
      <w:r w:rsidRPr="00F014F4">
        <w:rPr>
          <w:rFonts w:ascii="Times New Roman" w:hAnsi="Times New Roman"/>
          <w:color w:val="000000"/>
          <w:sz w:val="24"/>
          <w:szCs w:val="24"/>
        </w:rPr>
        <w:t xml:space="preserve">; however, this Determination must take precedence over other sources. Unless otherwise specified, the proponent should use the </w:t>
      </w:r>
      <w:r w:rsidRPr="00F014F4">
        <w:rPr>
          <w:rFonts w:ascii="Times New Roman" w:hAnsi="Times New Roman"/>
          <w:i/>
          <w:color w:val="000000"/>
          <w:sz w:val="24"/>
          <w:szCs w:val="24"/>
        </w:rPr>
        <w:t>NGER (Measurement) Determination</w:t>
      </w:r>
      <w:r w:rsidRPr="00F014F4">
        <w:rPr>
          <w:rFonts w:ascii="Times New Roman" w:hAnsi="Times New Roman"/>
          <w:color w:val="000000"/>
          <w:sz w:val="24"/>
          <w:szCs w:val="24"/>
        </w:rPr>
        <w:t xml:space="preserve"> approaches and default values that are sourced from referenced documents current at the end of a reporting period.</w:t>
      </w:r>
    </w:p>
    <w:p w:rsidR="00390F5D" w:rsidRPr="00F014F4" w:rsidRDefault="00390F5D" w:rsidP="00390F5D">
      <w:pPr>
        <w:keepNext/>
        <w:keepLines/>
        <w:spacing w:after="120" w:line="240" w:lineRule="auto"/>
        <w:rPr>
          <w:rFonts w:ascii="Times New Roman" w:hAnsi="Times New Roman"/>
          <w:color w:val="000000"/>
          <w:sz w:val="24"/>
          <w:szCs w:val="24"/>
        </w:rPr>
      </w:pPr>
      <w:r w:rsidRPr="00F014F4">
        <w:rPr>
          <w:rFonts w:ascii="Times New Roman" w:hAnsi="Times New Roman"/>
          <w:color w:val="000000"/>
          <w:sz w:val="24"/>
          <w:szCs w:val="24"/>
        </w:rPr>
        <w:t xml:space="preserve">If the </w:t>
      </w:r>
      <w:r w:rsidRPr="00F014F4">
        <w:rPr>
          <w:rFonts w:ascii="Times New Roman" w:hAnsi="Times New Roman"/>
          <w:i/>
          <w:color w:val="000000"/>
          <w:sz w:val="24"/>
          <w:szCs w:val="24"/>
        </w:rPr>
        <w:t>NGER (Measurement) Determination</w:t>
      </w:r>
      <w:r w:rsidRPr="00F014F4">
        <w:rPr>
          <w:rFonts w:ascii="Times New Roman" w:hAnsi="Times New Roman"/>
          <w:color w:val="000000"/>
          <w:sz w:val="24"/>
          <w:szCs w:val="24"/>
        </w:rPr>
        <w:t xml:space="preserve"> is amended between the time the reporting period ends and the time the report is submitted, then proponents must source the correct version that was in force on the date the reporting period ended. Current and historical versions of the </w:t>
      </w:r>
      <w:r w:rsidRPr="00F014F4">
        <w:rPr>
          <w:rFonts w:ascii="Times New Roman" w:hAnsi="Times New Roman"/>
          <w:i/>
          <w:color w:val="000000"/>
          <w:sz w:val="24"/>
          <w:szCs w:val="24"/>
        </w:rPr>
        <w:t>NGER (Measurement) Determination</w:t>
      </w:r>
      <w:r w:rsidRPr="00F014F4">
        <w:rPr>
          <w:rFonts w:ascii="Times New Roman" w:hAnsi="Times New Roman"/>
          <w:color w:val="000000"/>
          <w:sz w:val="24"/>
          <w:szCs w:val="24"/>
        </w:rPr>
        <w:t xml:space="preserve"> are available at </w:t>
      </w:r>
      <w:hyperlink r:id="rId16" w:history="1">
        <w:r w:rsidRPr="00F014F4">
          <w:rPr>
            <w:rStyle w:val="Hyperlink"/>
            <w:rFonts w:ascii="Times New Roman" w:hAnsi="Times New Roman"/>
            <w:sz w:val="24"/>
            <w:szCs w:val="24"/>
          </w:rPr>
          <w:t>www.comlaw.gov.au</w:t>
        </w:r>
      </w:hyperlink>
      <w:r w:rsidRPr="00F014F4">
        <w:rPr>
          <w:rFonts w:ascii="Times New Roman" w:hAnsi="Times New Roman"/>
          <w:color w:val="000000"/>
          <w:sz w:val="24"/>
          <w:szCs w:val="24"/>
        </w:rPr>
        <w:t xml:space="preserve">. </w:t>
      </w:r>
    </w:p>
    <w:p w:rsidR="002421A5" w:rsidRDefault="00625438">
      <w:pPr>
        <w:keepNext/>
        <w:keepLines/>
        <w:spacing w:after="120" w:line="240" w:lineRule="auto"/>
        <w:rPr>
          <w:rFonts w:ascii="Times New Roman" w:hAnsi="Times New Roman"/>
          <w:color w:val="000000"/>
          <w:sz w:val="24"/>
          <w:szCs w:val="24"/>
        </w:rPr>
      </w:pPr>
      <w:r>
        <w:rPr>
          <w:rFonts w:ascii="Times New Roman" w:hAnsi="Times New Roman"/>
          <w:color w:val="000000"/>
          <w:sz w:val="24"/>
          <w:szCs w:val="24"/>
        </w:rPr>
        <w:t xml:space="preserve">Paragraph 8(2)(a) provides that subsection 8(1) does not apply if the Determination sets out other requirements. </w:t>
      </w:r>
      <w:r w:rsidR="00100141" w:rsidRPr="00100141">
        <w:rPr>
          <w:rFonts w:ascii="Times New Roman" w:hAnsi="Times New Roman"/>
          <w:color w:val="000000"/>
          <w:sz w:val="24"/>
          <w:szCs w:val="24"/>
        </w:rPr>
        <w:t>For example</w:t>
      </w:r>
      <w:r w:rsidR="000000CE">
        <w:rPr>
          <w:rFonts w:ascii="Times New Roman" w:hAnsi="Times New Roman"/>
          <w:color w:val="000000"/>
          <w:sz w:val="24"/>
          <w:szCs w:val="24"/>
        </w:rPr>
        <w:t>,</w:t>
      </w:r>
      <w:r w:rsidR="00100141" w:rsidRPr="00100141">
        <w:rPr>
          <w:rFonts w:ascii="Times New Roman" w:hAnsi="Times New Roman"/>
          <w:color w:val="000000"/>
          <w:sz w:val="24"/>
          <w:szCs w:val="24"/>
        </w:rPr>
        <w:t xml:space="preserve"> the electricity emissions factor (</w:t>
      </w:r>
      <w:r w:rsidR="00100141" w:rsidRPr="00100141">
        <w:rPr>
          <w:rFonts w:ascii="Times New Roman" w:hAnsi="Times New Roman"/>
          <w:b/>
          <w:i/>
          <w:color w:val="000000"/>
          <w:sz w:val="24"/>
          <w:szCs w:val="24"/>
        </w:rPr>
        <w:t>EF</w:t>
      </w:r>
      <w:r w:rsidR="00100141" w:rsidRPr="00100141">
        <w:rPr>
          <w:rFonts w:ascii="Times New Roman" w:hAnsi="Times New Roman"/>
          <w:b/>
          <w:i/>
          <w:color w:val="000000"/>
          <w:sz w:val="24"/>
          <w:szCs w:val="24"/>
          <w:vertAlign w:val="subscript"/>
        </w:rPr>
        <w:t>EP</w:t>
      </w:r>
      <w:r w:rsidR="00100141" w:rsidRPr="00100141">
        <w:rPr>
          <w:rFonts w:ascii="Times New Roman" w:hAnsi="Times New Roman"/>
          <w:color w:val="000000"/>
          <w:sz w:val="24"/>
          <w:szCs w:val="24"/>
        </w:rPr>
        <w:t xml:space="preserve">) in section 31 applies to the project for the full seven-year crediting period and the project proponent should not refer to any updated versions of the </w:t>
      </w:r>
      <w:r w:rsidR="00100141" w:rsidRPr="00100141">
        <w:rPr>
          <w:rFonts w:ascii="Times New Roman" w:hAnsi="Times New Roman"/>
          <w:b/>
          <w:i/>
          <w:color w:val="000000"/>
          <w:sz w:val="24"/>
          <w:szCs w:val="24"/>
        </w:rPr>
        <w:t>NGA Factors document</w:t>
      </w:r>
      <w:r w:rsidR="00100141" w:rsidRPr="00100141">
        <w:rPr>
          <w:rFonts w:ascii="Times New Roman" w:hAnsi="Times New Roman"/>
          <w:color w:val="000000"/>
          <w:sz w:val="24"/>
          <w:szCs w:val="24"/>
        </w:rPr>
        <w:t>.</w:t>
      </w:r>
    </w:p>
    <w:p w:rsidR="005B46F6" w:rsidRDefault="00625438" w:rsidP="005B46F6">
      <w:pPr>
        <w:spacing w:after="120" w:line="240" w:lineRule="auto"/>
        <w:rPr>
          <w:rFonts w:ascii="Times New Roman" w:hAnsi="Times New Roman"/>
          <w:sz w:val="24"/>
          <w:szCs w:val="24"/>
        </w:rPr>
      </w:pPr>
      <w:r>
        <w:rPr>
          <w:rFonts w:ascii="Times New Roman" w:hAnsi="Times New Roman"/>
          <w:sz w:val="24"/>
          <w:szCs w:val="24"/>
        </w:rPr>
        <w:t>Paragraph 8(2)(b) provides that subsection 8(1) does not apply where it is not possible to retrospectively apply a factor or parameter in an instrument that is in force at the end of the reporting period. An example of circumstances</w:t>
      </w:r>
      <w:r w:rsidR="00F014F4" w:rsidRPr="00E425CC">
        <w:rPr>
          <w:rFonts w:ascii="Times New Roman" w:hAnsi="Times New Roman"/>
          <w:sz w:val="24"/>
          <w:szCs w:val="24"/>
        </w:rPr>
        <w:t xml:space="preserve"> where this may occur is where the monitoring approach defined in an external source is amended to require additional or different monitoring practices after the reporting period has commenced. In this circumstance it is not possible to retrospectively undertake monitoring activities in accordance with the new requirement.</w:t>
      </w:r>
    </w:p>
    <w:p w:rsidR="00F52E17" w:rsidRDefault="00B939DA" w:rsidP="005B46F6">
      <w:pPr>
        <w:spacing w:after="120" w:line="240" w:lineRule="auto"/>
        <w:rPr>
          <w:rFonts w:ascii="Times New Roman" w:hAnsi="Times New Roman"/>
          <w:sz w:val="24"/>
          <w:szCs w:val="24"/>
        </w:rPr>
      </w:pPr>
      <w:r>
        <w:rPr>
          <w:rFonts w:ascii="Times New Roman" w:hAnsi="Times New Roman"/>
          <w:sz w:val="24"/>
          <w:szCs w:val="24"/>
        </w:rPr>
        <w:t xml:space="preserve">As provided for by section 10 </w:t>
      </w:r>
      <w:r w:rsidR="00100141" w:rsidRPr="00100141">
        <w:rPr>
          <w:rFonts w:ascii="Times New Roman" w:hAnsi="Times New Roman"/>
          <w:color w:val="000000" w:themeColor="text1"/>
          <w:sz w:val="24"/>
          <w:szCs w:val="24"/>
        </w:rPr>
        <w:t xml:space="preserve">of the </w:t>
      </w:r>
      <w:r w:rsidR="00100141" w:rsidRPr="00100141">
        <w:rPr>
          <w:rFonts w:ascii="Times New Roman" w:hAnsi="Times New Roman"/>
          <w:i/>
          <w:iCs/>
          <w:color w:val="000000" w:themeColor="text1"/>
          <w:sz w:val="24"/>
          <w:szCs w:val="24"/>
        </w:rPr>
        <w:t>Acts Interpretation Act 1901</w:t>
      </w:r>
      <w:r w:rsidR="00100141" w:rsidRPr="00100141">
        <w:rPr>
          <w:rFonts w:ascii="Times New Roman" w:hAnsi="Times New Roman"/>
          <w:color w:val="000000" w:themeColor="text1"/>
          <w:sz w:val="24"/>
          <w:szCs w:val="24"/>
        </w:rPr>
        <w:t xml:space="preserve"> and section 13 of the </w:t>
      </w:r>
      <w:r w:rsidR="00100141" w:rsidRPr="00100141">
        <w:rPr>
          <w:rFonts w:ascii="Times New Roman" w:hAnsi="Times New Roman"/>
          <w:i/>
          <w:iCs/>
          <w:color w:val="000000" w:themeColor="text1"/>
          <w:sz w:val="24"/>
          <w:szCs w:val="24"/>
        </w:rPr>
        <w:t>Legislative Instruments Act 2003</w:t>
      </w:r>
      <w:r w:rsidR="00100141" w:rsidRPr="00100141">
        <w:rPr>
          <w:rFonts w:ascii="Times New Roman" w:hAnsi="Times New Roman"/>
          <w:color w:val="000000" w:themeColor="text1"/>
          <w:sz w:val="24"/>
          <w:szCs w:val="24"/>
        </w:rPr>
        <w:t xml:space="preserve">, references to external documents which are legislative instruments (such as the </w:t>
      </w:r>
      <w:r w:rsidR="00100141" w:rsidRPr="00100141">
        <w:rPr>
          <w:rFonts w:ascii="Times New Roman" w:hAnsi="Times New Roman"/>
          <w:i/>
          <w:iCs/>
          <w:color w:val="000000" w:themeColor="text1"/>
          <w:sz w:val="24"/>
          <w:szCs w:val="24"/>
        </w:rPr>
        <w:t>NGER (Measurement)</w:t>
      </w:r>
      <w:r w:rsidR="002A2A70">
        <w:rPr>
          <w:rFonts w:ascii="Times New Roman" w:hAnsi="Times New Roman"/>
          <w:i/>
          <w:iCs/>
          <w:sz w:val="24"/>
          <w:szCs w:val="24"/>
        </w:rPr>
        <w:t xml:space="preserve"> </w:t>
      </w:r>
      <w:r>
        <w:rPr>
          <w:rFonts w:ascii="Times New Roman" w:hAnsi="Times New Roman"/>
          <w:i/>
          <w:iCs/>
          <w:sz w:val="24"/>
          <w:szCs w:val="24"/>
        </w:rPr>
        <w:t>Determination</w:t>
      </w:r>
      <w:r>
        <w:rPr>
          <w:rFonts w:ascii="Times New Roman" w:hAnsi="Times New Roman"/>
          <w:sz w:val="24"/>
          <w:szCs w:val="24"/>
        </w:rPr>
        <w:t xml:space="preserve">) are </w:t>
      </w:r>
      <w:r w:rsidR="000000CE">
        <w:rPr>
          <w:rFonts w:ascii="Times New Roman" w:hAnsi="Times New Roman"/>
          <w:sz w:val="24"/>
          <w:szCs w:val="24"/>
        </w:rPr>
        <w:t xml:space="preserve">references </w:t>
      </w:r>
      <w:r>
        <w:rPr>
          <w:rFonts w:ascii="Times New Roman" w:hAnsi="Times New Roman"/>
          <w:sz w:val="24"/>
          <w:szCs w:val="24"/>
        </w:rPr>
        <w:t>to versions of those instruments as in force from time to time. In circumstances where</w:t>
      </w:r>
      <w:r>
        <w:rPr>
          <w:rFonts w:ascii="Times New Roman" w:hAnsi="Times New Roman"/>
          <w:color w:val="1F497D"/>
          <w:sz w:val="24"/>
          <w:szCs w:val="24"/>
        </w:rPr>
        <w:t xml:space="preserve"> </w:t>
      </w:r>
      <w:r>
        <w:rPr>
          <w:rFonts w:ascii="Times New Roman" w:hAnsi="Times New Roman"/>
          <w:sz w:val="24"/>
          <w:szCs w:val="24"/>
        </w:rPr>
        <w:t xml:space="preserve">paragraph </w:t>
      </w:r>
      <w:r w:rsidR="0037207A">
        <w:rPr>
          <w:rFonts w:ascii="Times New Roman" w:hAnsi="Times New Roman"/>
          <w:sz w:val="24"/>
          <w:szCs w:val="24"/>
        </w:rPr>
        <w:t>8</w:t>
      </w:r>
      <w:r>
        <w:rPr>
          <w:rFonts w:ascii="Times New Roman" w:hAnsi="Times New Roman"/>
          <w:sz w:val="24"/>
          <w:szCs w:val="24"/>
        </w:rPr>
        <w:t xml:space="preserve">(2)(b) applies, it is expected that project proponents will use the version of legislative instruments in force at the time at which monitoring or other actions were conducted. Subsection </w:t>
      </w:r>
      <w:r w:rsidR="00100141" w:rsidRPr="00100141">
        <w:rPr>
          <w:rFonts w:ascii="Times New Roman" w:hAnsi="Times New Roman"/>
          <w:color w:val="000000" w:themeColor="text1"/>
          <w:sz w:val="24"/>
          <w:szCs w:val="24"/>
        </w:rPr>
        <w:t>43(1) sets</w:t>
      </w:r>
      <w:r>
        <w:rPr>
          <w:rFonts w:ascii="Times New Roman" w:hAnsi="Times New Roman"/>
          <w:sz w:val="24"/>
          <w:szCs w:val="24"/>
        </w:rPr>
        <w:t xml:space="preserve"> out reporting requirements to be followed when paragraph </w:t>
      </w:r>
      <w:r w:rsidR="0037207A">
        <w:rPr>
          <w:rFonts w:ascii="Times New Roman" w:hAnsi="Times New Roman"/>
          <w:sz w:val="24"/>
          <w:szCs w:val="24"/>
        </w:rPr>
        <w:t>8</w:t>
      </w:r>
      <w:r>
        <w:rPr>
          <w:rFonts w:ascii="Times New Roman" w:hAnsi="Times New Roman"/>
          <w:sz w:val="24"/>
          <w:szCs w:val="24"/>
        </w:rPr>
        <w:t>(2)(b) applies.</w:t>
      </w:r>
    </w:p>
    <w:p w:rsidR="002B7E2D" w:rsidRPr="00AC470E" w:rsidRDefault="002B7E2D" w:rsidP="002B7E2D">
      <w:pPr>
        <w:pageBreakBefore/>
        <w:spacing w:after="120" w:line="240" w:lineRule="auto"/>
        <w:rPr>
          <w:rFonts w:ascii="Times New Roman" w:hAnsi="Times New Roman"/>
          <w:b/>
          <w:sz w:val="24"/>
          <w:szCs w:val="24"/>
        </w:rPr>
      </w:pPr>
      <w:r w:rsidRPr="00AC470E">
        <w:rPr>
          <w:rFonts w:ascii="Times New Roman" w:hAnsi="Times New Roman"/>
          <w:b/>
          <w:sz w:val="24"/>
          <w:szCs w:val="24"/>
        </w:rPr>
        <w:lastRenderedPageBreak/>
        <w:t>Part 2</w:t>
      </w:r>
      <w:r w:rsidRPr="00AC470E">
        <w:rPr>
          <w:rFonts w:ascii="Times New Roman" w:hAnsi="Times New Roman"/>
          <w:b/>
          <w:sz w:val="24"/>
          <w:szCs w:val="24"/>
        </w:rPr>
        <w:tab/>
      </w:r>
      <w:r w:rsidRPr="00AC470E">
        <w:rPr>
          <w:rFonts w:ascii="Times New Roman" w:hAnsi="Times New Roman"/>
          <w:b/>
          <w:sz w:val="24"/>
          <w:szCs w:val="24"/>
        </w:rPr>
        <w:tab/>
        <w:t>Alternative waste treatment projects</w:t>
      </w:r>
    </w:p>
    <w:p w:rsidR="002B7E2D" w:rsidRPr="00AC470E" w:rsidRDefault="002B7E2D" w:rsidP="002B7E2D">
      <w:pPr>
        <w:spacing w:after="120" w:line="240" w:lineRule="auto"/>
        <w:rPr>
          <w:rFonts w:ascii="Times New Roman" w:hAnsi="Times New Roman"/>
          <w:sz w:val="24"/>
          <w:szCs w:val="24"/>
          <w:u w:val="single"/>
        </w:rPr>
      </w:pPr>
      <w:r w:rsidRPr="00AC470E">
        <w:rPr>
          <w:rFonts w:ascii="Times New Roman" w:hAnsi="Times New Roman"/>
          <w:sz w:val="24"/>
          <w:szCs w:val="24"/>
          <w:u w:val="single"/>
        </w:rPr>
        <w:t>9</w:t>
      </w:r>
      <w:r w:rsidRPr="00AC470E">
        <w:rPr>
          <w:rFonts w:ascii="Times New Roman" w:hAnsi="Times New Roman"/>
          <w:sz w:val="24"/>
          <w:szCs w:val="24"/>
          <w:u w:val="single"/>
        </w:rPr>
        <w:tab/>
        <w:t>Alternative waste treatment projects</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The effect of paragraphs 27(4)(b) and 106(1)(a) of the Act is that a project must be covered by a methodology determination, and that the methodology determination must specify the kind of offsets project to which it applies. </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Section 9 provides that the Determination would apply to an offsets project that involves the diversion of eligible waste to an AWT facility. The facility must process the waste using eligible waste treatment technology. The Determination defines these kinds of projects as </w:t>
      </w:r>
      <w:r w:rsidRPr="00AC470E">
        <w:rPr>
          <w:rFonts w:ascii="Times New Roman" w:hAnsi="Times New Roman"/>
          <w:b/>
          <w:i/>
          <w:sz w:val="24"/>
          <w:szCs w:val="24"/>
        </w:rPr>
        <w:t>alternative waste treatment projects</w:t>
      </w:r>
      <w:r w:rsidRPr="00AC470E">
        <w:rPr>
          <w:rFonts w:ascii="Times New Roman" w:hAnsi="Times New Roman"/>
          <w:sz w:val="24"/>
          <w:szCs w:val="24"/>
        </w:rPr>
        <w:t xml:space="preserve"> (also referred to in the Determination as </w:t>
      </w:r>
      <w:r w:rsidRPr="00AC470E">
        <w:rPr>
          <w:rFonts w:ascii="Times New Roman" w:hAnsi="Times New Roman"/>
          <w:b/>
          <w:i/>
          <w:sz w:val="24"/>
          <w:szCs w:val="24"/>
        </w:rPr>
        <w:t>AWT projects</w:t>
      </w:r>
      <w:r w:rsidRPr="00937170">
        <w:rPr>
          <w:rFonts w:ascii="Times New Roman" w:hAnsi="Times New Roman"/>
          <w:sz w:val="24"/>
          <w:szCs w:val="24"/>
        </w:rPr>
        <w:t>).</w:t>
      </w:r>
    </w:p>
    <w:p w:rsidR="002B7E2D" w:rsidRPr="00AC470E" w:rsidRDefault="002B7E2D" w:rsidP="002B7E2D">
      <w:pPr>
        <w:keepNext/>
        <w:spacing w:after="120" w:line="240" w:lineRule="auto"/>
        <w:rPr>
          <w:rFonts w:ascii="Times New Roman" w:hAnsi="Times New Roman"/>
          <w:sz w:val="24"/>
          <w:szCs w:val="24"/>
        </w:rPr>
      </w:pPr>
      <w:r w:rsidRPr="00AC470E">
        <w:rPr>
          <w:rFonts w:ascii="Times New Roman" w:hAnsi="Times New Roman"/>
          <w:sz w:val="24"/>
          <w:szCs w:val="24"/>
        </w:rPr>
        <w:t xml:space="preserve">There are three types of </w:t>
      </w:r>
      <w:r w:rsidR="00506088">
        <w:rPr>
          <w:rFonts w:ascii="Times New Roman" w:hAnsi="Times New Roman"/>
          <w:sz w:val="24"/>
          <w:szCs w:val="24"/>
        </w:rPr>
        <w:t xml:space="preserve">AWT </w:t>
      </w:r>
      <w:r w:rsidRPr="00AC470E">
        <w:rPr>
          <w:rFonts w:ascii="Times New Roman" w:hAnsi="Times New Roman"/>
          <w:sz w:val="24"/>
          <w:szCs w:val="24"/>
        </w:rPr>
        <w:t xml:space="preserve">projects to which the Determination applies: </w:t>
      </w:r>
    </w:p>
    <w:p w:rsidR="002B7E2D" w:rsidRPr="00AC470E" w:rsidRDefault="002B7E2D" w:rsidP="002B7E2D">
      <w:pPr>
        <w:keepNext/>
        <w:numPr>
          <w:ilvl w:val="0"/>
          <w:numId w:val="20"/>
        </w:numPr>
        <w:spacing w:after="120" w:line="240" w:lineRule="auto"/>
        <w:rPr>
          <w:rFonts w:ascii="Times New Roman" w:hAnsi="Times New Roman"/>
          <w:sz w:val="24"/>
          <w:szCs w:val="24"/>
        </w:rPr>
      </w:pPr>
      <w:r w:rsidRPr="00AC470E">
        <w:rPr>
          <w:rFonts w:ascii="Times New Roman" w:hAnsi="Times New Roman"/>
          <w:sz w:val="24"/>
          <w:szCs w:val="24"/>
        </w:rPr>
        <w:t>a</w:t>
      </w:r>
      <w:r w:rsidRPr="00AC470E">
        <w:rPr>
          <w:rFonts w:ascii="Times New Roman" w:hAnsi="Times New Roman"/>
          <w:b/>
          <w:i/>
          <w:sz w:val="24"/>
          <w:szCs w:val="24"/>
        </w:rPr>
        <w:t xml:space="preserve"> new project </w:t>
      </w:r>
      <w:r>
        <w:rPr>
          <w:rFonts w:ascii="Times New Roman" w:hAnsi="Times New Roman"/>
          <w:sz w:val="24"/>
          <w:szCs w:val="24"/>
        </w:rPr>
        <w:t>(see section 11)</w:t>
      </w:r>
    </w:p>
    <w:p w:rsidR="002B7E2D" w:rsidRPr="00AC470E" w:rsidRDefault="002B7E2D" w:rsidP="002B7E2D">
      <w:pPr>
        <w:keepNext/>
        <w:numPr>
          <w:ilvl w:val="0"/>
          <w:numId w:val="20"/>
        </w:numPr>
        <w:spacing w:after="120" w:line="240" w:lineRule="auto"/>
        <w:rPr>
          <w:rFonts w:ascii="Times New Roman" w:hAnsi="Times New Roman"/>
          <w:sz w:val="24"/>
          <w:szCs w:val="24"/>
        </w:rPr>
      </w:pPr>
      <w:r w:rsidRPr="00AC470E">
        <w:rPr>
          <w:rFonts w:ascii="Times New Roman" w:hAnsi="Times New Roman"/>
          <w:sz w:val="24"/>
          <w:szCs w:val="24"/>
        </w:rPr>
        <w:t>an</w:t>
      </w:r>
      <w:r w:rsidRPr="00AC470E">
        <w:rPr>
          <w:rFonts w:ascii="Times New Roman" w:hAnsi="Times New Roman"/>
          <w:b/>
          <w:i/>
          <w:sz w:val="24"/>
          <w:szCs w:val="24"/>
        </w:rPr>
        <w:t xml:space="preserve"> expansion project </w:t>
      </w:r>
      <w:r w:rsidRPr="00AC470E">
        <w:rPr>
          <w:rFonts w:ascii="Times New Roman" w:hAnsi="Times New Roman"/>
          <w:sz w:val="24"/>
          <w:szCs w:val="24"/>
        </w:rPr>
        <w:t>(see section 12)</w:t>
      </w:r>
    </w:p>
    <w:p w:rsidR="002B7E2D" w:rsidRPr="00AC470E" w:rsidRDefault="002B7E2D" w:rsidP="002B7E2D">
      <w:pPr>
        <w:keepNext/>
        <w:numPr>
          <w:ilvl w:val="0"/>
          <w:numId w:val="20"/>
        </w:numPr>
        <w:spacing w:after="120" w:line="240" w:lineRule="auto"/>
        <w:rPr>
          <w:rFonts w:ascii="Times New Roman" w:hAnsi="Times New Roman"/>
          <w:color w:val="000000"/>
          <w:sz w:val="24"/>
          <w:szCs w:val="24"/>
        </w:rPr>
      </w:pPr>
      <w:r w:rsidRPr="00AC470E">
        <w:rPr>
          <w:rFonts w:ascii="Times New Roman" w:hAnsi="Times New Roman"/>
          <w:sz w:val="24"/>
          <w:szCs w:val="24"/>
        </w:rPr>
        <w:t xml:space="preserve">a </w:t>
      </w:r>
      <w:r w:rsidRPr="00AC470E">
        <w:rPr>
          <w:rFonts w:ascii="Times New Roman" w:hAnsi="Times New Roman"/>
          <w:b/>
          <w:i/>
          <w:sz w:val="24"/>
          <w:szCs w:val="24"/>
        </w:rPr>
        <w:t xml:space="preserve">transitioning project </w:t>
      </w:r>
      <w:r w:rsidRPr="00AC470E">
        <w:rPr>
          <w:rFonts w:ascii="Times New Roman" w:hAnsi="Times New Roman"/>
          <w:sz w:val="24"/>
          <w:szCs w:val="24"/>
        </w:rPr>
        <w:t>(see section 13).</w:t>
      </w:r>
    </w:p>
    <w:p w:rsidR="002B7E2D" w:rsidRPr="00AC470E" w:rsidRDefault="002B7E2D" w:rsidP="002B7E2D">
      <w:pPr>
        <w:spacing w:after="120" w:line="240" w:lineRule="auto"/>
        <w:rPr>
          <w:rFonts w:ascii="Times New Roman" w:hAnsi="Times New Roman"/>
          <w:sz w:val="24"/>
          <w:szCs w:val="24"/>
        </w:rPr>
      </w:pPr>
    </w:p>
    <w:p w:rsidR="002B7E2D" w:rsidRDefault="002B7E2D" w:rsidP="002B7E2D">
      <w:pPr>
        <w:spacing w:after="120" w:line="240" w:lineRule="auto"/>
        <w:rPr>
          <w:rFonts w:ascii="Times New Roman" w:hAnsi="Times New Roman"/>
          <w:b/>
          <w:sz w:val="24"/>
          <w:szCs w:val="24"/>
        </w:rPr>
      </w:pPr>
      <w:r w:rsidRPr="00AC470E">
        <w:rPr>
          <w:rFonts w:ascii="Times New Roman" w:hAnsi="Times New Roman"/>
          <w:b/>
          <w:color w:val="808080"/>
          <w:sz w:val="24"/>
          <w:szCs w:val="24"/>
        </w:rPr>
        <w:br w:type="page"/>
      </w:r>
      <w:r w:rsidRPr="00AC470E">
        <w:rPr>
          <w:rFonts w:ascii="Times New Roman" w:hAnsi="Times New Roman"/>
          <w:b/>
          <w:color w:val="000000"/>
          <w:sz w:val="24"/>
          <w:szCs w:val="24"/>
        </w:rPr>
        <w:lastRenderedPageBreak/>
        <w:t>P</w:t>
      </w:r>
      <w:r w:rsidRPr="00AC470E">
        <w:rPr>
          <w:rFonts w:ascii="Times New Roman" w:hAnsi="Times New Roman"/>
          <w:b/>
          <w:sz w:val="24"/>
          <w:szCs w:val="24"/>
        </w:rPr>
        <w:t>art 3</w:t>
      </w:r>
      <w:r w:rsidRPr="00AC470E">
        <w:rPr>
          <w:rFonts w:ascii="Times New Roman" w:hAnsi="Times New Roman"/>
          <w:b/>
          <w:sz w:val="24"/>
          <w:szCs w:val="24"/>
        </w:rPr>
        <w:tab/>
      </w:r>
      <w:r w:rsidRPr="00AC470E">
        <w:rPr>
          <w:rFonts w:ascii="Times New Roman" w:hAnsi="Times New Roman"/>
          <w:b/>
          <w:sz w:val="24"/>
          <w:szCs w:val="24"/>
        </w:rPr>
        <w:tab/>
        <w:t xml:space="preserve">Project </w:t>
      </w:r>
      <w:r>
        <w:rPr>
          <w:rFonts w:ascii="Times New Roman" w:hAnsi="Times New Roman"/>
          <w:b/>
          <w:sz w:val="24"/>
          <w:szCs w:val="24"/>
        </w:rPr>
        <w:t>r</w:t>
      </w:r>
      <w:r w:rsidRPr="00AC470E">
        <w:rPr>
          <w:rFonts w:ascii="Times New Roman" w:hAnsi="Times New Roman"/>
          <w:b/>
          <w:sz w:val="24"/>
          <w:szCs w:val="24"/>
        </w:rPr>
        <w:t>equirements</w:t>
      </w:r>
    </w:p>
    <w:p w:rsidR="002B7E2D" w:rsidRDefault="002B7E2D" w:rsidP="002B7E2D">
      <w:pPr>
        <w:spacing w:after="120" w:line="240" w:lineRule="auto"/>
        <w:rPr>
          <w:rFonts w:ascii="Times New Roman" w:hAnsi="Times New Roman"/>
          <w:sz w:val="24"/>
          <w:szCs w:val="24"/>
        </w:rPr>
      </w:pPr>
      <w:r w:rsidRPr="00816EF5">
        <w:rPr>
          <w:rFonts w:ascii="Times New Roman" w:hAnsi="Times New Roman"/>
          <w:sz w:val="24"/>
          <w:szCs w:val="24"/>
        </w:rPr>
        <w:t xml:space="preserve">A key requirement under both the ERF and the CFI is that credits are issued for emissions reductions that are ‘additional’ - that is, emissions reductions that would not likely have occurred under normal business conditions, in the absence of the ERF. </w:t>
      </w:r>
    </w:p>
    <w:p w:rsidR="00B34693" w:rsidRPr="00B82921" w:rsidRDefault="00B34693" w:rsidP="00B34693">
      <w:pPr>
        <w:spacing w:after="120" w:line="240" w:lineRule="auto"/>
        <w:rPr>
          <w:rFonts w:ascii="Times New Roman" w:hAnsi="Times New Roman"/>
          <w:sz w:val="24"/>
          <w:szCs w:val="24"/>
        </w:rPr>
      </w:pPr>
      <w:r w:rsidRPr="00B34693">
        <w:rPr>
          <w:rFonts w:ascii="Times New Roman" w:hAnsi="Times New Roman"/>
          <w:sz w:val="24"/>
          <w:szCs w:val="24"/>
        </w:rPr>
        <w:t xml:space="preserve">In accordance with the offsets integrity standards, </w:t>
      </w:r>
      <w:r w:rsidR="00E7502C">
        <w:rPr>
          <w:rFonts w:ascii="Times New Roman" w:hAnsi="Times New Roman"/>
          <w:sz w:val="24"/>
          <w:szCs w:val="24"/>
        </w:rPr>
        <w:t>processing of eligible waste by an AWT project</w:t>
      </w:r>
      <w:r w:rsidR="00E7502C" w:rsidRPr="00B34693">
        <w:rPr>
          <w:rFonts w:ascii="Times New Roman" w:hAnsi="Times New Roman"/>
          <w:sz w:val="24"/>
          <w:szCs w:val="24"/>
        </w:rPr>
        <w:t xml:space="preserve"> </w:t>
      </w:r>
      <w:r w:rsidRPr="00B34693">
        <w:rPr>
          <w:rFonts w:ascii="Times New Roman" w:hAnsi="Times New Roman"/>
          <w:sz w:val="24"/>
          <w:szCs w:val="24"/>
        </w:rPr>
        <w:t xml:space="preserve">is unlikely to occur in the ordinary course of events as disposal of waste to landfill is the most likely scenario in the absence of </w:t>
      </w:r>
      <w:r w:rsidR="00E7502C">
        <w:rPr>
          <w:rFonts w:ascii="Times New Roman" w:hAnsi="Times New Roman"/>
          <w:sz w:val="24"/>
          <w:szCs w:val="24"/>
        </w:rPr>
        <w:t>the</w:t>
      </w:r>
      <w:r w:rsidRPr="00B34693">
        <w:rPr>
          <w:rFonts w:ascii="Times New Roman" w:hAnsi="Times New Roman"/>
          <w:sz w:val="24"/>
          <w:szCs w:val="24"/>
        </w:rPr>
        <w:t xml:space="preserve"> project. </w:t>
      </w:r>
      <w:r>
        <w:rPr>
          <w:rFonts w:ascii="Times New Roman" w:hAnsi="Times New Roman"/>
          <w:sz w:val="24"/>
          <w:szCs w:val="24"/>
        </w:rPr>
        <w:t>This is c</w:t>
      </w:r>
      <w:r w:rsidRPr="00B34693">
        <w:rPr>
          <w:rFonts w:ascii="Times New Roman" w:hAnsi="Times New Roman"/>
          <w:sz w:val="24"/>
          <w:szCs w:val="24"/>
        </w:rPr>
        <w:t>onsistent with the develo</w:t>
      </w:r>
      <w:r>
        <w:rPr>
          <w:rFonts w:ascii="Times New Roman" w:hAnsi="Times New Roman"/>
          <w:sz w:val="24"/>
          <w:szCs w:val="24"/>
        </w:rPr>
        <w:t xml:space="preserve">pment of CFI AWT Determinations where </w:t>
      </w:r>
      <w:r w:rsidR="00E7502C">
        <w:rPr>
          <w:rFonts w:ascii="Times New Roman" w:hAnsi="Times New Roman"/>
          <w:sz w:val="24"/>
          <w:szCs w:val="24"/>
        </w:rPr>
        <w:t>the project types covered were c</w:t>
      </w:r>
      <w:r w:rsidRPr="00B34693">
        <w:rPr>
          <w:rFonts w:ascii="Times New Roman" w:hAnsi="Times New Roman"/>
          <w:sz w:val="24"/>
          <w:szCs w:val="24"/>
        </w:rPr>
        <w:t>onsidered not to be common practice and unlikely to occur in a business as usual scenario.</w:t>
      </w:r>
    </w:p>
    <w:p w:rsidR="002B7E2D" w:rsidRDefault="002B7E2D" w:rsidP="002B7E2D">
      <w:pPr>
        <w:spacing w:after="120" w:line="240" w:lineRule="auto"/>
        <w:rPr>
          <w:rFonts w:ascii="Times New Roman" w:hAnsi="Times New Roman"/>
          <w:sz w:val="24"/>
          <w:szCs w:val="24"/>
        </w:rPr>
      </w:pPr>
      <w:r w:rsidRPr="00816EF5">
        <w:rPr>
          <w:rFonts w:ascii="Times New Roman" w:hAnsi="Times New Roman"/>
          <w:sz w:val="24"/>
          <w:szCs w:val="24"/>
        </w:rPr>
        <w:t>The newness requirement, regulatory additionality requirement and government program requirement are additionality requirements set out in subsection 27(4A) of the Act. Project proponents must meet the additionality requirements in subsection 27(4A) of the Act in addition to the project eligibility requirements set out in Part</w:t>
      </w:r>
      <w:r w:rsidR="00E7502C">
        <w:rPr>
          <w:rFonts w:ascii="Times New Roman" w:hAnsi="Times New Roman"/>
          <w:sz w:val="24"/>
          <w:szCs w:val="24"/>
        </w:rPr>
        <w:t xml:space="preserve"> 3 of the Determination</w:t>
      </w:r>
      <w:r w:rsidRPr="00816EF5">
        <w:rPr>
          <w:rFonts w:ascii="Times New Roman" w:hAnsi="Times New Roman"/>
          <w:sz w:val="24"/>
          <w:szCs w:val="24"/>
        </w:rPr>
        <w:t>.</w:t>
      </w:r>
      <w:r w:rsidRPr="00AC470E">
        <w:rPr>
          <w:rFonts w:ascii="Times New Roman" w:hAnsi="Times New Roman"/>
          <w:sz w:val="24"/>
          <w:szCs w:val="24"/>
        </w:rPr>
        <w:t xml:space="preserve"> </w:t>
      </w: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 xml:space="preserve">10 </w:t>
      </w:r>
      <w:r w:rsidRPr="00AC470E">
        <w:rPr>
          <w:rFonts w:ascii="Times New Roman" w:hAnsi="Times New Roman"/>
          <w:color w:val="000000"/>
          <w:sz w:val="24"/>
          <w:szCs w:val="24"/>
          <w:u w:val="single"/>
        </w:rPr>
        <w:tab/>
        <w:t>Operation of this Part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The effect of paragraph 106(1)(b) of the Act is that a methodology determination must set out requirements that must be met to be an eligible offsets project. Under paragraph 27(4)(c) of the Act, the Regulator must not declare that a project is an eligible offsets project unless the Regulator is satisfied that the project meets these requirements.</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Part 3 of the Determination </w:t>
      </w:r>
      <w:r>
        <w:rPr>
          <w:rFonts w:ascii="Times New Roman" w:hAnsi="Times New Roman"/>
          <w:sz w:val="24"/>
          <w:szCs w:val="24"/>
        </w:rPr>
        <w:t>sets out</w:t>
      </w:r>
      <w:r w:rsidRPr="00AC470E">
        <w:rPr>
          <w:rFonts w:ascii="Times New Roman" w:hAnsi="Times New Roman"/>
          <w:sz w:val="24"/>
          <w:szCs w:val="24"/>
        </w:rPr>
        <w:t xml:space="preserve"> requirements that must be met in order for a project</w:t>
      </w:r>
      <w:r>
        <w:rPr>
          <w:rFonts w:ascii="Times New Roman" w:hAnsi="Times New Roman"/>
          <w:sz w:val="24"/>
          <w:szCs w:val="24"/>
        </w:rPr>
        <w:t xml:space="preserve"> </w:t>
      </w:r>
      <w:r w:rsidRPr="00AC470E">
        <w:rPr>
          <w:rFonts w:ascii="Times New Roman" w:hAnsi="Times New Roman"/>
          <w:sz w:val="24"/>
          <w:szCs w:val="24"/>
        </w:rPr>
        <w:t xml:space="preserve">to be an eligible offsets project. </w:t>
      </w: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 xml:space="preserve">11 </w:t>
      </w:r>
      <w:r w:rsidRPr="00AC470E">
        <w:rPr>
          <w:rFonts w:ascii="Times New Roman" w:hAnsi="Times New Roman"/>
          <w:color w:val="000000"/>
          <w:sz w:val="24"/>
          <w:szCs w:val="24"/>
          <w:u w:val="single"/>
        </w:rPr>
        <w:tab/>
        <w:t xml:space="preserve">Requirements for a new project </w:t>
      </w:r>
    </w:p>
    <w:p w:rsidR="002B7E2D"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A </w:t>
      </w:r>
      <w:r w:rsidRPr="00AC470E">
        <w:rPr>
          <w:rFonts w:ascii="Times New Roman" w:hAnsi="Times New Roman"/>
          <w:b/>
          <w:i/>
          <w:sz w:val="24"/>
          <w:szCs w:val="24"/>
        </w:rPr>
        <w:t>new project</w:t>
      </w:r>
      <w:r w:rsidRPr="00AC470E">
        <w:rPr>
          <w:rFonts w:ascii="Times New Roman" w:hAnsi="Times New Roman"/>
          <w:sz w:val="24"/>
          <w:szCs w:val="24"/>
        </w:rPr>
        <w:t xml:space="preserve"> is the construction of a new AWT facility to process eligible waste that would have gone to landfill and uses eligible waste treatment technology. </w:t>
      </w:r>
    </w:p>
    <w:p w:rsidR="002B7E2D" w:rsidRPr="00AC470E" w:rsidRDefault="002B7E2D" w:rsidP="002B7E2D">
      <w:pPr>
        <w:spacing w:after="120" w:line="240" w:lineRule="auto"/>
        <w:ind w:left="360"/>
        <w:rPr>
          <w:rFonts w:ascii="Times New Roman" w:hAnsi="Times New Roman"/>
          <w:sz w:val="24"/>
          <w:szCs w:val="24"/>
        </w:rPr>
      </w:pPr>
    </w:p>
    <w:p w:rsidR="002B7E2D" w:rsidRPr="00AC470E" w:rsidRDefault="002B7E2D" w:rsidP="002B7E2D">
      <w:pPr>
        <w:keepNext/>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 xml:space="preserve">12 </w:t>
      </w:r>
      <w:r w:rsidRPr="00AC470E">
        <w:rPr>
          <w:rFonts w:ascii="Times New Roman" w:hAnsi="Times New Roman"/>
          <w:color w:val="000000"/>
          <w:sz w:val="24"/>
          <w:szCs w:val="24"/>
          <w:u w:val="single"/>
        </w:rPr>
        <w:tab/>
        <w:t>Requirements for an expansion project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An </w:t>
      </w:r>
      <w:r w:rsidRPr="00AC470E">
        <w:rPr>
          <w:rFonts w:ascii="Times New Roman" w:hAnsi="Times New Roman"/>
          <w:b/>
          <w:i/>
          <w:sz w:val="24"/>
          <w:szCs w:val="24"/>
        </w:rPr>
        <w:t>expansion project</w:t>
      </w:r>
      <w:r w:rsidRPr="00AC470E">
        <w:rPr>
          <w:rFonts w:ascii="Times New Roman" w:hAnsi="Times New Roman"/>
          <w:sz w:val="24"/>
          <w:szCs w:val="24"/>
        </w:rPr>
        <w:t xml:space="preserve"> requires an increase in the capacity of eligible waste th</w:t>
      </w:r>
      <w:r w:rsidR="00E7502C">
        <w:rPr>
          <w:rFonts w:ascii="Times New Roman" w:hAnsi="Times New Roman"/>
          <w:sz w:val="24"/>
          <w:szCs w:val="24"/>
        </w:rPr>
        <w:t>at an existing</w:t>
      </w:r>
      <w:r w:rsidRPr="00AC470E">
        <w:rPr>
          <w:rFonts w:ascii="Times New Roman" w:hAnsi="Times New Roman"/>
          <w:sz w:val="24"/>
          <w:szCs w:val="24"/>
        </w:rPr>
        <w:t xml:space="preserve"> AWT facility is able to process. In order to </w:t>
      </w:r>
      <w:r>
        <w:rPr>
          <w:rFonts w:ascii="Times New Roman" w:hAnsi="Times New Roman"/>
          <w:sz w:val="24"/>
          <w:szCs w:val="24"/>
        </w:rPr>
        <w:t xml:space="preserve">have a project </w:t>
      </w:r>
      <w:r w:rsidRPr="00AC470E">
        <w:rPr>
          <w:rFonts w:ascii="Times New Roman" w:hAnsi="Times New Roman"/>
          <w:sz w:val="24"/>
          <w:szCs w:val="24"/>
        </w:rPr>
        <w:t>declared eligible</w:t>
      </w:r>
      <w:r>
        <w:rPr>
          <w:rFonts w:ascii="Times New Roman" w:hAnsi="Times New Roman"/>
          <w:sz w:val="24"/>
          <w:szCs w:val="24"/>
        </w:rPr>
        <w:t>,</w:t>
      </w:r>
      <w:r w:rsidRPr="00AC470E">
        <w:rPr>
          <w:rFonts w:ascii="Times New Roman" w:hAnsi="Times New Roman"/>
          <w:sz w:val="24"/>
          <w:szCs w:val="24"/>
        </w:rPr>
        <w:t xml:space="preserve"> a </w:t>
      </w:r>
      <w:r>
        <w:rPr>
          <w:rFonts w:ascii="Times New Roman" w:hAnsi="Times New Roman"/>
          <w:sz w:val="24"/>
          <w:szCs w:val="24"/>
        </w:rPr>
        <w:t>proponent</w:t>
      </w:r>
      <w:r w:rsidRPr="00AC470E">
        <w:rPr>
          <w:rFonts w:ascii="Times New Roman" w:hAnsi="Times New Roman"/>
          <w:sz w:val="24"/>
          <w:szCs w:val="24"/>
        </w:rPr>
        <w:t xml:space="preserve"> must have </w:t>
      </w:r>
      <w:r w:rsidR="00E7502C">
        <w:rPr>
          <w:rFonts w:ascii="Times New Roman" w:hAnsi="Times New Roman"/>
          <w:sz w:val="24"/>
          <w:szCs w:val="24"/>
        </w:rPr>
        <w:t>24-months of</w:t>
      </w:r>
      <w:r w:rsidR="00E7502C" w:rsidRPr="00AC470E">
        <w:rPr>
          <w:rFonts w:ascii="Times New Roman" w:hAnsi="Times New Roman"/>
          <w:sz w:val="24"/>
          <w:szCs w:val="24"/>
        </w:rPr>
        <w:t xml:space="preserve"> </w:t>
      </w:r>
      <w:r w:rsidRPr="00AC470E">
        <w:rPr>
          <w:rFonts w:ascii="Times New Roman" w:hAnsi="Times New Roman"/>
          <w:sz w:val="24"/>
          <w:szCs w:val="24"/>
        </w:rPr>
        <w:t xml:space="preserve">evidence to determine the historic quantity of eligible waste processed (the baseline). The </w:t>
      </w:r>
      <w:r w:rsidR="00E7502C">
        <w:rPr>
          <w:rFonts w:ascii="Times New Roman" w:hAnsi="Times New Roman"/>
          <w:sz w:val="24"/>
          <w:szCs w:val="24"/>
        </w:rPr>
        <w:t xml:space="preserve">calculation of net abatement is based on </w:t>
      </w:r>
      <w:r w:rsidRPr="00AC470E">
        <w:rPr>
          <w:rFonts w:ascii="Times New Roman" w:hAnsi="Times New Roman"/>
          <w:sz w:val="24"/>
          <w:szCs w:val="24"/>
        </w:rPr>
        <w:t xml:space="preserve">the increased quantity of eligible waste processed by the expanded </w:t>
      </w:r>
      <w:r w:rsidR="00E7502C">
        <w:rPr>
          <w:rFonts w:ascii="Times New Roman" w:hAnsi="Times New Roman"/>
          <w:sz w:val="24"/>
          <w:szCs w:val="24"/>
        </w:rPr>
        <w:t xml:space="preserve">AWT </w:t>
      </w:r>
      <w:r w:rsidRPr="00AC470E">
        <w:rPr>
          <w:rFonts w:ascii="Times New Roman" w:hAnsi="Times New Roman"/>
          <w:sz w:val="24"/>
          <w:szCs w:val="24"/>
        </w:rPr>
        <w:t xml:space="preserve">facility that in the absence of the project would have otherwise been disposed of in landfill. An application that does not have </w:t>
      </w:r>
      <w:r w:rsidR="00E7502C">
        <w:rPr>
          <w:rFonts w:ascii="Times New Roman" w:hAnsi="Times New Roman"/>
          <w:sz w:val="24"/>
          <w:szCs w:val="24"/>
        </w:rPr>
        <w:t>the required</w:t>
      </w:r>
      <w:r w:rsidR="00E7502C" w:rsidRPr="00AC470E">
        <w:rPr>
          <w:rFonts w:ascii="Times New Roman" w:hAnsi="Times New Roman"/>
          <w:sz w:val="24"/>
          <w:szCs w:val="24"/>
        </w:rPr>
        <w:t xml:space="preserve"> </w:t>
      </w:r>
      <w:r w:rsidRPr="00AC470E">
        <w:rPr>
          <w:rFonts w:ascii="Times New Roman" w:hAnsi="Times New Roman"/>
          <w:sz w:val="24"/>
          <w:szCs w:val="24"/>
        </w:rPr>
        <w:t xml:space="preserve">evidence of historic activity is ineligible. </w:t>
      </w:r>
    </w:p>
    <w:p w:rsidR="002B7E2D" w:rsidRPr="00AC470E" w:rsidRDefault="002B7E2D" w:rsidP="002B7E2D">
      <w:pPr>
        <w:spacing w:after="120" w:line="240" w:lineRule="auto"/>
        <w:rPr>
          <w:rFonts w:ascii="Times New Roman" w:hAnsi="Times New Roman"/>
          <w:color w:val="000000"/>
          <w:sz w:val="24"/>
          <w:szCs w:val="24"/>
        </w:rPr>
      </w:pPr>
    </w:p>
    <w:p w:rsidR="002B7E2D" w:rsidRPr="00AC470E" w:rsidRDefault="002B7E2D" w:rsidP="002B7E2D">
      <w:pPr>
        <w:keepNext/>
        <w:keepLines/>
        <w:spacing w:after="120" w:line="240" w:lineRule="auto"/>
        <w:rPr>
          <w:rFonts w:ascii="Times New Roman" w:hAnsi="Times New Roman"/>
          <w:sz w:val="24"/>
          <w:szCs w:val="24"/>
        </w:rPr>
      </w:pPr>
      <w:r w:rsidRPr="00AC470E">
        <w:rPr>
          <w:rFonts w:ascii="Times New Roman" w:hAnsi="Times New Roman"/>
          <w:color w:val="000000"/>
          <w:sz w:val="24"/>
          <w:szCs w:val="24"/>
          <w:u w:val="single"/>
        </w:rPr>
        <w:lastRenderedPageBreak/>
        <w:t xml:space="preserve">13 </w:t>
      </w:r>
      <w:r w:rsidRPr="00AC470E">
        <w:rPr>
          <w:rFonts w:ascii="Times New Roman" w:hAnsi="Times New Roman"/>
          <w:color w:val="000000"/>
          <w:sz w:val="24"/>
          <w:szCs w:val="24"/>
          <w:u w:val="single"/>
        </w:rPr>
        <w:tab/>
        <w:t>Requirements for a transitioning project</w:t>
      </w:r>
    </w:p>
    <w:p w:rsidR="002B7E2D" w:rsidRPr="00AC470E" w:rsidRDefault="002B7E2D" w:rsidP="002B7E2D">
      <w:pPr>
        <w:keepNext/>
        <w:keepLines/>
        <w:spacing w:after="120" w:line="240" w:lineRule="auto"/>
        <w:rPr>
          <w:rFonts w:ascii="Times New Roman" w:hAnsi="Times New Roman"/>
          <w:sz w:val="24"/>
          <w:szCs w:val="24"/>
        </w:rPr>
      </w:pPr>
      <w:r w:rsidRPr="00AC470E">
        <w:rPr>
          <w:rFonts w:ascii="Times New Roman" w:hAnsi="Times New Roman"/>
          <w:sz w:val="24"/>
          <w:szCs w:val="24"/>
        </w:rPr>
        <w:t xml:space="preserve">A </w:t>
      </w:r>
      <w:r w:rsidRPr="00AC470E">
        <w:rPr>
          <w:rFonts w:ascii="Times New Roman" w:hAnsi="Times New Roman"/>
          <w:b/>
          <w:i/>
          <w:sz w:val="24"/>
          <w:szCs w:val="24"/>
        </w:rPr>
        <w:t>transitioning project</w:t>
      </w:r>
      <w:r w:rsidRPr="00AC470E">
        <w:rPr>
          <w:rFonts w:ascii="Times New Roman" w:hAnsi="Times New Roman"/>
          <w:sz w:val="24"/>
          <w:szCs w:val="24"/>
        </w:rPr>
        <w:t xml:space="preserve"> must have been an eligible offsets project covered by one of the four CFI AWT </w:t>
      </w:r>
      <w:r>
        <w:rPr>
          <w:rFonts w:ascii="Times New Roman" w:hAnsi="Times New Roman"/>
          <w:sz w:val="24"/>
          <w:szCs w:val="24"/>
        </w:rPr>
        <w:t>D</w:t>
      </w:r>
      <w:r w:rsidRPr="00AC470E">
        <w:rPr>
          <w:rFonts w:ascii="Times New Roman" w:hAnsi="Times New Roman"/>
          <w:sz w:val="24"/>
          <w:szCs w:val="24"/>
        </w:rPr>
        <w:t xml:space="preserve">eterminations prior to </w:t>
      </w:r>
      <w:r w:rsidRPr="00E7502C">
        <w:rPr>
          <w:rFonts w:ascii="Times New Roman" w:hAnsi="Times New Roman"/>
          <w:b/>
          <w:i/>
          <w:sz w:val="24"/>
          <w:szCs w:val="24"/>
        </w:rPr>
        <w:t>ERF</w:t>
      </w:r>
      <w:r w:rsidR="00E7502C" w:rsidRPr="00E7502C">
        <w:rPr>
          <w:rFonts w:ascii="Times New Roman" w:hAnsi="Times New Roman"/>
          <w:b/>
          <w:i/>
          <w:sz w:val="24"/>
          <w:szCs w:val="24"/>
        </w:rPr>
        <w:t xml:space="preserve"> commencement day</w:t>
      </w:r>
      <w:r w:rsidRPr="00AC470E">
        <w:rPr>
          <w:rFonts w:ascii="Times New Roman" w:hAnsi="Times New Roman"/>
          <w:sz w:val="24"/>
          <w:szCs w:val="24"/>
        </w:rPr>
        <w:t>. Transitioning projects are also required to process eligible waste using an eligible waste treatment technology consistent with the requirements of new and expansion projects. As transitioning projects have already been declared eligible offsets projects and met the additionality criteria in the Act at the time they were declared eligible, they do not need to apply under section 22 of the Act to remain an eligible offset project.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The Determination does not automatically apply to CFI AWT projects. Instead, </w:t>
      </w:r>
      <w:r>
        <w:rPr>
          <w:rFonts w:ascii="Times New Roman" w:hAnsi="Times New Roman"/>
          <w:sz w:val="24"/>
          <w:szCs w:val="24"/>
        </w:rPr>
        <w:t>a project proponent</w:t>
      </w:r>
      <w:r w:rsidRPr="00AC470E">
        <w:rPr>
          <w:rFonts w:ascii="Times New Roman" w:hAnsi="Times New Roman"/>
          <w:sz w:val="24"/>
          <w:szCs w:val="24"/>
        </w:rPr>
        <w:t xml:space="preserve"> must make an application to the Regulator under section 128 of the Act to request to have the Determination apply to the project with effect from the start of the reporting period. </w:t>
      </w:r>
      <w:r>
        <w:rPr>
          <w:rFonts w:ascii="Times New Roman" w:hAnsi="Times New Roman"/>
          <w:sz w:val="24"/>
          <w:szCs w:val="24"/>
        </w:rPr>
        <w:t>U</w:t>
      </w:r>
      <w:r w:rsidRPr="00AC470E">
        <w:rPr>
          <w:rFonts w:ascii="Times New Roman" w:hAnsi="Times New Roman"/>
          <w:sz w:val="24"/>
          <w:szCs w:val="24"/>
        </w:rPr>
        <w:t>nder subsection 130(3) of the Act</w:t>
      </w:r>
      <w:r>
        <w:rPr>
          <w:rFonts w:ascii="Times New Roman" w:hAnsi="Times New Roman"/>
          <w:sz w:val="24"/>
          <w:szCs w:val="24"/>
        </w:rPr>
        <w:t>,</w:t>
      </w:r>
      <w:r w:rsidRPr="00AC470E">
        <w:rPr>
          <w:rFonts w:ascii="Times New Roman" w:hAnsi="Times New Roman"/>
          <w:sz w:val="24"/>
          <w:szCs w:val="24"/>
        </w:rPr>
        <w:t xml:space="preserve"> </w:t>
      </w:r>
      <w:r>
        <w:rPr>
          <w:rFonts w:ascii="Times New Roman" w:hAnsi="Times New Roman"/>
          <w:sz w:val="24"/>
          <w:szCs w:val="24"/>
        </w:rPr>
        <w:t>t</w:t>
      </w:r>
      <w:r w:rsidRPr="00AC470E">
        <w:rPr>
          <w:rFonts w:ascii="Times New Roman" w:hAnsi="Times New Roman"/>
          <w:sz w:val="24"/>
          <w:szCs w:val="24"/>
        </w:rPr>
        <w:t xml:space="preserve">he Regulator must be satisfied that the project is covered by this </w:t>
      </w:r>
      <w:r>
        <w:rPr>
          <w:rFonts w:ascii="Times New Roman" w:hAnsi="Times New Roman"/>
          <w:sz w:val="24"/>
          <w:szCs w:val="24"/>
        </w:rPr>
        <w:t>D</w:t>
      </w:r>
      <w:r w:rsidRPr="00AC470E">
        <w:rPr>
          <w:rFonts w:ascii="Times New Roman" w:hAnsi="Times New Roman"/>
          <w:sz w:val="24"/>
          <w:szCs w:val="24"/>
        </w:rPr>
        <w:t>etermination. The additionality and other requirements of subsections 27(4) and 27(4A) of the Act are not assessed for a transition to be approved as the project has already been assessed and determined to be an eligible offsets project.</w:t>
      </w: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color w:val="000000"/>
          <w:sz w:val="24"/>
          <w:szCs w:val="24"/>
        </w:rPr>
      </w:pP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color w:val="000000"/>
          <w:sz w:val="24"/>
          <w:szCs w:val="24"/>
        </w:rPr>
      </w:pPr>
    </w:p>
    <w:p w:rsidR="002B7E2D" w:rsidRPr="00AC470E" w:rsidRDefault="002B7E2D" w:rsidP="002B7E2D">
      <w:pPr>
        <w:pageBreakBefore/>
        <w:spacing w:after="120" w:line="240" w:lineRule="auto"/>
        <w:ind w:left="1418" w:hanging="1418"/>
        <w:rPr>
          <w:rFonts w:ascii="Times New Roman" w:hAnsi="Times New Roman"/>
          <w:b/>
          <w:color w:val="000000"/>
          <w:sz w:val="24"/>
          <w:szCs w:val="24"/>
        </w:rPr>
      </w:pPr>
      <w:r w:rsidRPr="00AC470E">
        <w:rPr>
          <w:rFonts w:ascii="Times New Roman" w:hAnsi="Times New Roman"/>
          <w:b/>
          <w:color w:val="000000"/>
          <w:sz w:val="24"/>
          <w:szCs w:val="24"/>
        </w:rPr>
        <w:lastRenderedPageBreak/>
        <w:t>Part 4</w:t>
      </w:r>
      <w:r w:rsidRPr="00AC470E">
        <w:rPr>
          <w:rFonts w:ascii="Times New Roman" w:hAnsi="Times New Roman"/>
          <w:b/>
          <w:color w:val="000000"/>
          <w:sz w:val="24"/>
          <w:szCs w:val="24"/>
        </w:rPr>
        <w:tab/>
        <w:t>Net abatement amount</w:t>
      </w:r>
    </w:p>
    <w:p w:rsidR="002B7E2D" w:rsidRPr="00AC470E" w:rsidRDefault="002B7E2D" w:rsidP="002B7E2D">
      <w:pPr>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t xml:space="preserve">Division 1 </w:t>
      </w:r>
      <w:r w:rsidRPr="00AC470E">
        <w:rPr>
          <w:rFonts w:ascii="Times New Roman" w:hAnsi="Times New Roman"/>
          <w:b/>
          <w:color w:val="000000"/>
          <w:sz w:val="24"/>
          <w:szCs w:val="24"/>
        </w:rPr>
        <w:tab/>
      </w:r>
      <w:r w:rsidRPr="00AC470E">
        <w:rPr>
          <w:rFonts w:ascii="Times New Roman" w:hAnsi="Times New Roman"/>
          <w:b/>
          <w:color w:val="000000"/>
          <w:sz w:val="24"/>
          <w:szCs w:val="24"/>
        </w:rPr>
        <w:tab/>
        <w:t>Preliminary</w:t>
      </w: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14</w:t>
      </w:r>
      <w:r w:rsidRPr="00AC470E">
        <w:rPr>
          <w:rFonts w:ascii="Times New Roman" w:hAnsi="Times New Roman"/>
          <w:color w:val="000000"/>
          <w:sz w:val="24"/>
          <w:szCs w:val="24"/>
          <w:u w:val="single"/>
        </w:rPr>
        <w:tab/>
        <w:t>Operation of this Part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Paragraph 106(1)(c) of the Act provides that a methodology determination must specify how to calculate the carbon dioxide equivalent (CO</w:t>
      </w:r>
      <w:r w:rsidRPr="00AC470E">
        <w:rPr>
          <w:rFonts w:ascii="Times New Roman" w:hAnsi="Times New Roman"/>
          <w:sz w:val="24"/>
          <w:szCs w:val="24"/>
          <w:vertAlign w:val="subscript"/>
        </w:rPr>
        <w:t>2</w:t>
      </w:r>
      <w:r w:rsidRPr="00AC470E">
        <w:rPr>
          <w:rFonts w:ascii="Times New Roman" w:hAnsi="Times New Roman"/>
          <w:sz w:val="24"/>
          <w:szCs w:val="24"/>
        </w:rPr>
        <w:t xml:space="preserve">-e) net abatement amount for the project in relation to a reporting period. Part </w:t>
      </w:r>
      <w:r w:rsidR="00BC765F">
        <w:rPr>
          <w:rFonts w:ascii="Times New Roman" w:hAnsi="Times New Roman"/>
          <w:sz w:val="24"/>
          <w:szCs w:val="24"/>
        </w:rPr>
        <w:t xml:space="preserve">4 </w:t>
      </w:r>
      <w:r w:rsidRPr="00AC470E">
        <w:rPr>
          <w:rFonts w:ascii="Times New Roman" w:hAnsi="Times New Roman"/>
          <w:sz w:val="24"/>
          <w:szCs w:val="24"/>
        </w:rPr>
        <w:t>sets out these requirements.</w:t>
      </w: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15</w:t>
      </w:r>
      <w:r w:rsidRPr="00AC470E">
        <w:rPr>
          <w:rFonts w:ascii="Times New Roman" w:hAnsi="Times New Roman"/>
          <w:color w:val="000000"/>
          <w:sz w:val="24"/>
          <w:szCs w:val="24"/>
          <w:u w:val="single"/>
        </w:rPr>
        <w:tab/>
        <w:t>Overview of gases accounted for in abatement calculations</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This section provides a summary of the greenhouse gas sources that are assessed in order to determine the net abatement amount. The emission sources which need to be taken into account when calculating abatement for the project are set out in Table 1.</w:t>
      </w:r>
    </w:p>
    <w:p w:rsidR="002B7E2D" w:rsidRPr="00AC470E" w:rsidRDefault="002B7E2D" w:rsidP="002B7E2D">
      <w:pPr>
        <w:pStyle w:val="h6Subsec"/>
        <w:keepNext w:val="0"/>
        <w:spacing w:before="0" w:after="120"/>
        <w:ind w:left="0"/>
        <w:rPr>
          <w:rFonts w:ascii="Times New Roman" w:hAnsi="Times New Roman"/>
          <w:color w:val="000000"/>
        </w:rPr>
      </w:pPr>
      <w:r w:rsidRPr="00AC470E">
        <w:rPr>
          <w:rFonts w:ascii="Times New Roman" w:hAnsi="Times New Roman"/>
          <w:color w:val="000000"/>
        </w:rPr>
        <w:t>Table 1: Overview of gases accounted for in the abatement calculations</w:t>
      </w:r>
    </w:p>
    <w:tbl>
      <w:tblPr>
        <w:tblW w:w="0" w:type="auto"/>
        <w:tblInd w:w="108" w:type="dxa"/>
        <w:tblBorders>
          <w:top w:val="single" w:sz="4" w:space="0" w:color="auto"/>
          <w:bottom w:val="single" w:sz="2" w:space="0" w:color="auto"/>
          <w:insideH w:val="single" w:sz="4" w:space="0" w:color="auto"/>
        </w:tblBorders>
        <w:tblLayout w:type="fixed"/>
        <w:tblLook w:val="0000"/>
      </w:tblPr>
      <w:tblGrid>
        <w:gridCol w:w="2410"/>
        <w:gridCol w:w="2835"/>
        <w:gridCol w:w="3544"/>
      </w:tblGrid>
      <w:tr w:rsidR="002B7E2D" w:rsidRPr="00AC470E" w:rsidTr="00715EDB">
        <w:trPr>
          <w:tblHeader/>
        </w:trPr>
        <w:tc>
          <w:tcPr>
            <w:tcW w:w="8789" w:type="dxa"/>
            <w:gridSpan w:val="3"/>
            <w:tcBorders>
              <w:top w:val="single" w:sz="12" w:space="0" w:color="auto"/>
              <w:bottom w:val="single" w:sz="6" w:space="0" w:color="auto"/>
            </w:tcBorders>
            <w:shd w:val="clear" w:color="auto" w:fill="auto"/>
          </w:tcPr>
          <w:p w:rsidR="002B7E2D" w:rsidRPr="00AC470E" w:rsidRDefault="002B7E2D" w:rsidP="00715EDB">
            <w:pPr>
              <w:pStyle w:val="TableHeading"/>
              <w:spacing w:before="0" w:line="240" w:lineRule="auto"/>
              <w:rPr>
                <w:sz w:val="24"/>
              </w:rPr>
            </w:pPr>
            <w:r w:rsidRPr="00AC470E">
              <w:rPr>
                <w:sz w:val="24"/>
              </w:rPr>
              <w:t>Greenhouse gases and emissions sources</w:t>
            </w:r>
          </w:p>
        </w:tc>
      </w:tr>
      <w:tr w:rsidR="002B7E2D" w:rsidRPr="00AC470E" w:rsidTr="00715EDB">
        <w:trPr>
          <w:tblHeader/>
        </w:trPr>
        <w:tc>
          <w:tcPr>
            <w:tcW w:w="2410" w:type="dxa"/>
            <w:tcBorders>
              <w:top w:val="single" w:sz="6" w:space="0" w:color="auto"/>
              <w:bottom w:val="single" w:sz="12" w:space="0" w:color="auto"/>
            </w:tcBorders>
            <w:shd w:val="clear" w:color="auto" w:fill="auto"/>
          </w:tcPr>
          <w:p w:rsidR="002B7E2D" w:rsidRPr="00AC470E" w:rsidRDefault="002B7E2D" w:rsidP="00715EDB">
            <w:pPr>
              <w:pStyle w:val="TableHeading"/>
              <w:spacing w:before="0" w:line="240" w:lineRule="auto"/>
              <w:rPr>
                <w:sz w:val="24"/>
              </w:rPr>
            </w:pPr>
            <w:r w:rsidRPr="00AC470E">
              <w:rPr>
                <w:sz w:val="24"/>
              </w:rPr>
              <w:t>Relevant calculation</w:t>
            </w:r>
          </w:p>
        </w:tc>
        <w:tc>
          <w:tcPr>
            <w:tcW w:w="2835" w:type="dxa"/>
            <w:tcBorders>
              <w:top w:val="single" w:sz="6" w:space="0" w:color="auto"/>
              <w:bottom w:val="single" w:sz="12" w:space="0" w:color="auto"/>
            </w:tcBorders>
            <w:shd w:val="clear" w:color="auto" w:fill="auto"/>
          </w:tcPr>
          <w:p w:rsidR="002B7E2D" w:rsidRPr="00AC470E" w:rsidRDefault="002B7E2D" w:rsidP="00715EDB">
            <w:pPr>
              <w:pStyle w:val="TableHeading"/>
              <w:spacing w:before="0" w:line="240" w:lineRule="auto"/>
              <w:rPr>
                <w:sz w:val="24"/>
              </w:rPr>
            </w:pPr>
            <w:r w:rsidRPr="00AC470E">
              <w:rPr>
                <w:sz w:val="24"/>
              </w:rPr>
              <w:t>Emissions source</w:t>
            </w:r>
          </w:p>
        </w:tc>
        <w:tc>
          <w:tcPr>
            <w:tcW w:w="3544" w:type="dxa"/>
            <w:tcBorders>
              <w:top w:val="single" w:sz="6" w:space="0" w:color="auto"/>
              <w:bottom w:val="single" w:sz="12" w:space="0" w:color="auto"/>
            </w:tcBorders>
            <w:shd w:val="clear" w:color="auto" w:fill="auto"/>
          </w:tcPr>
          <w:p w:rsidR="002B7E2D" w:rsidRPr="00AC470E" w:rsidRDefault="002B7E2D" w:rsidP="00715EDB">
            <w:pPr>
              <w:pStyle w:val="TableHeading"/>
              <w:spacing w:before="0" w:line="240" w:lineRule="auto"/>
              <w:rPr>
                <w:sz w:val="24"/>
              </w:rPr>
            </w:pPr>
            <w:r w:rsidRPr="00AC470E">
              <w:rPr>
                <w:sz w:val="24"/>
              </w:rPr>
              <w:t>Greenhouse gas</w:t>
            </w:r>
          </w:p>
        </w:tc>
      </w:tr>
      <w:tr w:rsidR="002B7E2D" w:rsidRPr="00AC470E" w:rsidTr="00715EDB">
        <w:tc>
          <w:tcPr>
            <w:tcW w:w="2410" w:type="dxa"/>
            <w:tcBorders>
              <w:top w:val="single" w:sz="12"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Baseline emissions</w:t>
            </w:r>
          </w:p>
        </w:tc>
        <w:tc>
          <w:tcPr>
            <w:tcW w:w="2835" w:type="dxa"/>
            <w:tcBorders>
              <w:top w:val="single" w:sz="12"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The decomposition of eligible waste at landfill</w:t>
            </w:r>
          </w:p>
        </w:tc>
        <w:tc>
          <w:tcPr>
            <w:tcW w:w="3544" w:type="dxa"/>
            <w:tcBorders>
              <w:top w:val="single" w:sz="12"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Methane (CH</w:t>
            </w:r>
            <w:r w:rsidRPr="00AC470E">
              <w:rPr>
                <w:sz w:val="24"/>
                <w:vertAlign w:val="subscript"/>
              </w:rPr>
              <w:t>4</w:t>
            </w:r>
            <w:r w:rsidRPr="00AC470E">
              <w:rPr>
                <w:sz w:val="24"/>
              </w:rPr>
              <w:t>)</w:t>
            </w:r>
          </w:p>
        </w:tc>
      </w:tr>
      <w:tr w:rsidR="002B7E2D" w:rsidRPr="00AC470E" w:rsidTr="00715EDB">
        <w:tc>
          <w:tcPr>
            <w:tcW w:w="2410" w:type="dxa"/>
            <w:shd w:val="clear" w:color="auto" w:fill="auto"/>
          </w:tcPr>
          <w:p w:rsidR="002B7E2D" w:rsidRPr="00AC470E" w:rsidRDefault="002B7E2D" w:rsidP="00715EDB">
            <w:pPr>
              <w:pStyle w:val="Tabletext0"/>
              <w:spacing w:before="0" w:line="240" w:lineRule="auto"/>
              <w:rPr>
                <w:sz w:val="24"/>
              </w:rPr>
            </w:pPr>
            <w:r w:rsidRPr="00AC470E">
              <w:rPr>
                <w:sz w:val="24"/>
              </w:rPr>
              <w:t>Project emissions</w:t>
            </w:r>
          </w:p>
        </w:tc>
        <w:tc>
          <w:tcPr>
            <w:tcW w:w="2835" w:type="dxa"/>
            <w:shd w:val="clear" w:color="auto" w:fill="auto"/>
          </w:tcPr>
          <w:p w:rsidR="002B7E2D" w:rsidRPr="00AC470E" w:rsidRDefault="002B7E2D" w:rsidP="00715EDB">
            <w:pPr>
              <w:pStyle w:val="Tabletext0"/>
              <w:spacing w:before="0" w:line="240" w:lineRule="auto"/>
              <w:rPr>
                <w:sz w:val="24"/>
              </w:rPr>
            </w:pPr>
            <w:r w:rsidRPr="00AC470E">
              <w:rPr>
                <w:sz w:val="24"/>
              </w:rPr>
              <w:t>Fuel consumption</w:t>
            </w:r>
          </w:p>
        </w:tc>
        <w:tc>
          <w:tcPr>
            <w:tcW w:w="3544" w:type="dxa"/>
            <w:shd w:val="clear" w:color="auto" w:fill="auto"/>
          </w:tcPr>
          <w:p w:rsidR="002B7E2D" w:rsidRPr="00AC470E" w:rsidRDefault="002B7E2D" w:rsidP="00715EDB">
            <w:pPr>
              <w:pStyle w:val="Tabletext0"/>
              <w:spacing w:before="0" w:line="240" w:lineRule="auto"/>
              <w:rPr>
                <w:sz w:val="24"/>
              </w:rPr>
            </w:pPr>
            <w:r w:rsidRPr="00AC470E">
              <w:rPr>
                <w:sz w:val="24"/>
              </w:rPr>
              <w:t>Carbon dioxide (CO</w:t>
            </w:r>
            <w:r w:rsidRPr="00AC470E">
              <w:rPr>
                <w:sz w:val="24"/>
                <w:vertAlign w:val="subscript"/>
              </w:rPr>
              <w:t>2</w:t>
            </w:r>
            <w:r w:rsidRPr="00AC470E">
              <w:rPr>
                <w:sz w:val="24"/>
              </w:rPr>
              <w:t>)</w:t>
            </w:r>
          </w:p>
          <w:p w:rsidR="002B7E2D" w:rsidRPr="00AC470E" w:rsidRDefault="002B7E2D" w:rsidP="00715EDB">
            <w:pPr>
              <w:pStyle w:val="Tabletext0"/>
              <w:spacing w:before="0" w:line="240" w:lineRule="auto"/>
              <w:rPr>
                <w:sz w:val="24"/>
              </w:rPr>
            </w:pPr>
            <w:r w:rsidRPr="00AC470E">
              <w:rPr>
                <w:sz w:val="24"/>
              </w:rPr>
              <w:t>Methane (CH</w:t>
            </w:r>
            <w:r w:rsidRPr="00AC470E">
              <w:rPr>
                <w:sz w:val="24"/>
                <w:vertAlign w:val="subscript"/>
              </w:rPr>
              <w:t>4</w:t>
            </w:r>
            <w:r w:rsidRPr="00AC470E">
              <w:rPr>
                <w:sz w:val="24"/>
              </w:rPr>
              <w:t>)</w:t>
            </w:r>
          </w:p>
          <w:p w:rsidR="002B7E2D" w:rsidRPr="00AC470E" w:rsidRDefault="002B7E2D" w:rsidP="00715EDB">
            <w:pPr>
              <w:pStyle w:val="Tabletext0"/>
              <w:spacing w:before="0" w:line="240" w:lineRule="auto"/>
              <w:rPr>
                <w:sz w:val="24"/>
              </w:rPr>
            </w:pPr>
            <w:r w:rsidRPr="00AC470E">
              <w:rPr>
                <w:sz w:val="24"/>
              </w:rPr>
              <w:t>Nitrous oxide (N</w:t>
            </w:r>
            <w:r w:rsidRPr="00AC470E">
              <w:rPr>
                <w:sz w:val="24"/>
                <w:vertAlign w:val="subscript"/>
              </w:rPr>
              <w:t>2</w:t>
            </w:r>
            <w:r w:rsidRPr="00AC470E">
              <w:rPr>
                <w:sz w:val="24"/>
              </w:rPr>
              <w:t>O</w:t>
            </w:r>
            <w:bookmarkStart w:id="2" w:name="BK_S3P10L19C19"/>
            <w:bookmarkEnd w:id="2"/>
            <w:r w:rsidRPr="00AC470E">
              <w:rPr>
                <w:sz w:val="24"/>
              </w:rPr>
              <w:t>)</w:t>
            </w:r>
          </w:p>
        </w:tc>
      </w:tr>
      <w:tr w:rsidR="002B7E2D" w:rsidRPr="00AC470E" w:rsidTr="00715EDB">
        <w:tc>
          <w:tcPr>
            <w:tcW w:w="2410" w:type="dxa"/>
            <w:shd w:val="clear" w:color="auto" w:fill="auto"/>
          </w:tcPr>
          <w:p w:rsidR="002B7E2D" w:rsidRPr="00AC470E" w:rsidRDefault="002B7E2D" w:rsidP="00715EDB">
            <w:pPr>
              <w:pStyle w:val="Tabletext0"/>
              <w:spacing w:before="0" w:line="240" w:lineRule="auto"/>
              <w:rPr>
                <w:sz w:val="24"/>
              </w:rPr>
            </w:pPr>
            <w:r w:rsidRPr="00AC470E">
              <w:rPr>
                <w:sz w:val="24"/>
              </w:rPr>
              <w:t>Project emissions</w:t>
            </w:r>
          </w:p>
        </w:tc>
        <w:tc>
          <w:tcPr>
            <w:tcW w:w="2835" w:type="dxa"/>
            <w:shd w:val="clear" w:color="auto" w:fill="auto"/>
          </w:tcPr>
          <w:p w:rsidR="002B7E2D" w:rsidRPr="00AC470E" w:rsidRDefault="002B7E2D" w:rsidP="00715EDB">
            <w:pPr>
              <w:pStyle w:val="Tabletext0"/>
              <w:spacing w:before="0" w:line="240" w:lineRule="auto"/>
              <w:rPr>
                <w:sz w:val="24"/>
              </w:rPr>
            </w:pPr>
            <w:r w:rsidRPr="00AC470E">
              <w:rPr>
                <w:sz w:val="24"/>
              </w:rPr>
              <w:t>Electricity consumption</w:t>
            </w:r>
          </w:p>
        </w:tc>
        <w:tc>
          <w:tcPr>
            <w:tcW w:w="3544" w:type="dxa"/>
            <w:shd w:val="clear" w:color="auto" w:fill="auto"/>
          </w:tcPr>
          <w:p w:rsidR="002B7E2D" w:rsidRPr="00AC470E" w:rsidRDefault="002B7E2D" w:rsidP="00715EDB">
            <w:pPr>
              <w:pStyle w:val="Tabletext0"/>
              <w:spacing w:before="0" w:line="240" w:lineRule="auto"/>
              <w:rPr>
                <w:sz w:val="24"/>
              </w:rPr>
            </w:pPr>
            <w:r w:rsidRPr="00AC470E">
              <w:rPr>
                <w:sz w:val="24"/>
              </w:rPr>
              <w:t>Carbon dioxide (CO</w:t>
            </w:r>
            <w:r w:rsidRPr="00AC470E">
              <w:rPr>
                <w:sz w:val="24"/>
                <w:vertAlign w:val="subscript"/>
              </w:rPr>
              <w:t>2</w:t>
            </w:r>
            <w:r w:rsidRPr="00AC470E">
              <w:rPr>
                <w:sz w:val="24"/>
              </w:rPr>
              <w:t>)</w:t>
            </w:r>
          </w:p>
          <w:p w:rsidR="002B7E2D" w:rsidRPr="00AC470E" w:rsidRDefault="002B7E2D" w:rsidP="00715EDB">
            <w:pPr>
              <w:pStyle w:val="Tabletext0"/>
              <w:spacing w:before="0" w:line="240" w:lineRule="auto"/>
              <w:rPr>
                <w:sz w:val="24"/>
              </w:rPr>
            </w:pPr>
            <w:r w:rsidRPr="00AC470E">
              <w:rPr>
                <w:sz w:val="24"/>
              </w:rPr>
              <w:t>Methane (CH</w:t>
            </w:r>
            <w:r w:rsidRPr="00AC470E">
              <w:rPr>
                <w:sz w:val="24"/>
                <w:vertAlign w:val="subscript"/>
              </w:rPr>
              <w:t>4</w:t>
            </w:r>
            <w:r w:rsidRPr="00AC470E">
              <w:rPr>
                <w:sz w:val="24"/>
              </w:rPr>
              <w:t>)</w:t>
            </w:r>
          </w:p>
          <w:p w:rsidR="002B7E2D" w:rsidRPr="00AC470E" w:rsidRDefault="002B7E2D" w:rsidP="00715EDB">
            <w:pPr>
              <w:pStyle w:val="Tabletext0"/>
              <w:spacing w:before="0" w:line="240" w:lineRule="auto"/>
              <w:rPr>
                <w:sz w:val="24"/>
              </w:rPr>
            </w:pPr>
            <w:r w:rsidRPr="00AC470E">
              <w:rPr>
                <w:sz w:val="24"/>
              </w:rPr>
              <w:t>Nitrous oxide (N</w:t>
            </w:r>
            <w:r w:rsidRPr="00AC470E">
              <w:rPr>
                <w:sz w:val="24"/>
                <w:vertAlign w:val="subscript"/>
              </w:rPr>
              <w:t>2</w:t>
            </w:r>
            <w:r w:rsidRPr="00AC470E">
              <w:rPr>
                <w:sz w:val="24"/>
              </w:rPr>
              <w:t>O</w:t>
            </w:r>
            <w:bookmarkStart w:id="3" w:name="BK_S3P10L22C19"/>
            <w:bookmarkEnd w:id="3"/>
            <w:r w:rsidRPr="00AC470E">
              <w:rPr>
                <w:sz w:val="24"/>
              </w:rPr>
              <w:t>)</w:t>
            </w:r>
          </w:p>
        </w:tc>
      </w:tr>
      <w:tr w:rsidR="002B7E2D" w:rsidRPr="00AC470E" w:rsidTr="00715EDB">
        <w:tc>
          <w:tcPr>
            <w:tcW w:w="2410" w:type="dxa"/>
            <w:shd w:val="clear" w:color="auto" w:fill="auto"/>
          </w:tcPr>
          <w:p w:rsidR="002B7E2D" w:rsidRPr="00AC470E" w:rsidRDefault="002B7E2D" w:rsidP="00715EDB">
            <w:pPr>
              <w:pStyle w:val="Tabletext0"/>
              <w:spacing w:before="0" w:line="240" w:lineRule="auto"/>
              <w:rPr>
                <w:sz w:val="24"/>
              </w:rPr>
            </w:pPr>
            <w:r w:rsidRPr="00AC470E">
              <w:rPr>
                <w:sz w:val="24"/>
              </w:rPr>
              <w:t>Project emissions</w:t>
            </w:r>
          </w:p>
        </w:tc>
        <w:tc>
          <w:tcPr>
            <w:tcW w:w="2835" w:type="dxa"/>
            <w:shd w:val="clear" w:color="auto" w:fill="auto"/>
          </w:tcPr>
          <w:p w:rsidR="002B7E2D" w:rsidRPr="00AC470E" w:rsidRDefault="002B7E2D" w:rsidP="00715EDB">
            <w:pPr>
              <w:pStyle w:val="Tabletext0"/>
              <w:spacing w:before="0" w:line="240" w:lineRule="auto"/>
              <w:rPr>
                <w:sz w:val="24"/>
              </w:rPr>
            </w:pPr>
            <w:r w:rsidRPr="00AC470E">
              <w:rPr>
                <w:sz w:val="24"/>
              </w:rPr>
              <w:t>Emissions from composting processes</w:t>
            </w:r>
          </w:p>
        </w:tc>
        <w:tc>
          <w:tcPr>
            <w:tcW w:w="3544" w:type="dxa"/>
            <w:shd w:val="clear" w:color="auto" w:fill="auto"/>
          </w:tcPr>
          <w:p w:rsidR="002B7E2D" w:rsidRPr="00AC470E" w:rsidRDefault="002B7E2D" w:rsidP="00715EDB">
            <w:pPr>
              <w:pStyle w:val="Tabletext0"/>
              <w:spacing w:before="0" w:line="240" w:lineRule="auto"/>
              <w:rPr>
                <w:sz w:val="24"/>
              </w:rPr>
            </w:pPr>
            <w:r w:rsidRPr="00AC470E">
              <w:rPr>
                <w:sz w:val="24"/>
              </w:rPr>
              <w:t>Methane (CH</w:t>
            </w:r>
            <w:r w:rsidRPr="00AC470E">
              <w:rPr>
                <w:sz w:val="24"/>
                <w:vertAlign w:val="subscript"/>
              </w:rPr>
              <w:t>4</w:t>
            </w:r>
            <w:r w:rsidRPr="00AC470E">
              <w:rPr>
                <w:sz w:val="24"/>
              </w:rPr>
              <w:t>)</w:t>
            </w:r>
          </w:p>
          <w:p w:rsidR="002B7E2D" w:rsidRPr="00AC470E" w:rsidRDefault="002B7E2D" w:rsidP="00715EDB">
            <w:pPr>
              <w:pStyle w:val="Tabletext0"/>
              <w:spacing w:before="0" w:line="240" w:lineRule="auto"/>
              <w:rPr>
                <w:sz w:val="24"/>
              </w:rPr>
            </w:pPr>
            <w:r w:rsidRPr="00AC470E">
              <w:rPr>
                <w:sz w:val="24"/>
              </w:rPr>
              <w:t>Nitrous oxide (N</w:t>
            </w:r>
            <w:r w:rsidRPr="00AC470E">
              <w:rPr>
                <w:sz w:val="24"/>
                <w:vertAlign w:val="subscript"/>
              </w:rPr>
              <w:t>2</w:t>
            </w:r>
            <w:r w:rsidRPr="00AC470E">
              <w:rPr>
                <w:sz w:val="24"/>
              </w:rPr>
              <w:t>O</w:t>
            </w:r>
            <w:bookmarkStart w:id="4" w:name="BK_S3P10L24C19"/>
            <w:bookmarkEnd w:id="4"/>
            <w:r w:rsidRPr="00AC470E">
              <w:rPr>
                <w:sz w:val="24"/>
              </w:rPr>
              <w:t>)</w:t>
            </w:r>
          </w:p>
        </w:tc>
      </w:tr>
      <w:tr w:rsidR="002B7E2D" w:rsidRPr="00AC470E" w:rsidTr="00715EDB">
        <w:tc>
          <w:tcPr>
            <w:tcW w:w="2410" w:type="dxa"/>
            <w:tcBorders>
              <w:bottom w:val="single" w:sz="4"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Project emissions</w:t>
            </w:r>
          </w:p>
        </w:tc>
        <w:tc>
          <w:tcPr>
            <w:tcW w:w="2835" w:type="dxa"/>
            <w:tcBorders>
              <w:bottom w:val="single" w:sz="4"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Emissions from anaerobic digester leakage or venting events</w:t>
            </w:r>
          </w:p>
        </w:tc>
        <w:tc>
          <w:tcPr>
            <w:tcW w:w="3544" w:type="dxa"/>
            <w:tcBorders>
              <w:bottom w:val="single" w:sz="4"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Methane (CH</w:t>
            </w:r>
            <w:r w:rsidRPr="00AC470E">
              <w:rPr>
                <w:sz w:val="24"/>
                <w:vertAlign w:val="subscript"/>
              </w:rPr>
              <w:t>4</w:t>
            </w:r>
            <w:r w:rsidRPr="00AC470E">
              <w:rPr>
                <w:sz w:val="24"/>
              </w:rPr>
              <w:t>)</w:t>
            </w:r>
          </w:p>
          <w:p w:rsidR="002B7E2D" w:rsidRPr="00AC470E" w:rsidRDefault="002B7E2D" w:rsidP="00715EDB">
            <w:pPr>
              <w:pStyle w:val="Tabletext0"/>
              <w:spacing w:before="0" w:line="240" w:lineRule="auto"/>
              <w:rPr>
                <w:sz w:val="24"/>
              </w:rPr>
            </w:pPr>
            <w:r w:rsidRPr="00AC470E">
              <w:rPr>
                <w:sz w:val="24"/>
              </w:rPr>
              <w:t>Nitrous oxide (N</w:t>
            </w:r>
            <w:r w:rsidRPr="00AC470E">
              <w:rPr>
                <w:sz w:val="24"/>
                <w:vertAlign w:val="subscript"/>
              </w:rPr>
              <w:t>2</w:t>
            </w:r>
            <w:r w:rsidRPr="00AC470E">
              <w:rPr>
                <w:sz w:val="24"/>
              </w:rPr>
              <w:t>O</w:t>
            </w:r>
            <w:bookmarkStart w:id="5" w:name="BK_S3P10L26C19"/>
            <w:bookmarkEnd w:id="5"/>
            <w:r w:rsidRPr="00AC470E">
              <w:rPr>
                <w:sz w:val="24"/>
              </w:rPr>
              <w:t>)</w:t>
            </w:r>
          </w:p>
        </w:tc>
      </w:tr>
      <w:tr w:rsidR="002B7E2D" w:rsidRPr="00AC470E" w:rsidTr="00715EDB">
        <w:tc>
          <w:tcPr>
            <w:tcW w:w="2410" w:type="dxa"/>
            <w:tcBorders>
              <w:bottom w:val="single" w:sz="12"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Project emissions</w:t>
            </w:r>
          </w:p>
        </w:tc>
        <w:tc>
          <w:tcPr>
            <w:tcW w:w="2835" w:type="dxa"/>
            <w:tcBorders>
              <w:bottom w:val="single" w:sz="12"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Emissions from the combustion of biogas</w:t>
            </w:r>
          </w:p>
        </w:tc>
        <w:tc>
          <w:tcPr>
            <w:tcW w:w="3544" w:type="dxa"/>
            <w:tcBorders>
              <w:bottom w:val="single" w:sz="12" w:space="0" w:color="auto"/>
            </w:tcBorders>
            <w:shd w:val="clear" w:color="auto" w:fill="auto"/>
          </w:tcPr>
          <w:p w:rsidR="002B7E2D" w:rsidRPr="00AC470E" w:rsidRDefault="002B7E2D" w:rsidP="00715EDB">
            <w:pPr>
              <w:pStyle w:val="Tabletext0"/>
              <w:spacing w:before="0" w:line="240" w:lineRule="auto"/>
              <w:rPr>
                <w:sz w:val="24"/>
              </w:rPr>
            </w:pPr>
            <w:r w:rsidRPr="00AC470E">
              <w:rPr>
                <w:sz w:val="24"/>
              </w:rPr>
              <w:t>Methane (CH</w:t>
            </w:r>
            <w:r w:rsidRPr="00AC470E">
              <w:rPr>
                <w:sz w:val="24"/>
                <w:vertAlign w:val="subscript"/>
              </w:rPr>
              <w:t>4</w:t>
            </w:r>
            <w:r w:rsidRPr="00AC470E">
              <w:rPr>
                <w:sz w:val="24"/>
              </w:rPr>
              <w:t>)</w:t>
            </w:r>
          </w:p>
          <w:p w:rsidR="002B7E2D" w:rsidRPr="00AC470E" w:rsidRDefault="002B7E2D" w:rsidP="00715EDB">
            <w:pPr>
              <w:pStyle w:val="Tabletext0"/>
              <w:spacing w:before="0" w:line="240" w:lineRule="auto"/>
              <w:rPr>
                <w:sz w:val="24"/>
              </w:rPr>
            </w:pPr>
            <w:r w:rsidRPr="00AC470E">
              <w:rPr>
                <w:sz w:val="24"/>
              </w:rPr>
              <w:t>Nitrous oxide (N</w:t>
            </w:r>
            <w:r w:rsidRPr="00AC470E">
              <w:rPr>
                <w:sz w:val="24"/>
                <w:vertAlign w:val="subscript"/>
              </w:rPr>
              <w:t>2</w:t>
            </w:r>
            <w:r w:rsidRPr="00AC470E">
              <w:rPr>
                <w:sz w:val="24"/>
              </w:rPr>
              <w:t>O</w:t>
            </w:r>
            <w:bookmarkStart w:id="6" w:name="BK_S3P10L29C19"/>
            <w:bookmarkEnd w:id="6"/>
            <w:r w:rsidRPr="00AC470E">
              <w:rPr>
                <w:sz w:val="24"/>
              </w:rPr>
              <w:t>)</w:t>
            </w:r>
          </w:p>
        </w:tc>
      </w:tr>
    </w:tbl>
    <w:p w:rsidR="002B7E2D" w:rsidRPr="00AC470E" w:rsidRDefault="002B7E2D" w:rsidP="002B7E2D">
      <w:pPr>
        <w:spacing w:before="240" w:after="120" w:line="240" w:lineRule="auto"/>
        <w:rPr>
          <w:rFonts w:ascii="Times New Roman" w:hAnsi="Times New Roman"/>
          <w:color w:val="000000"/>
          <w:sz w:val="24"/>
          <w:szCs w:val="24"/>
        </w:rPr>
      </w:pPr>
      <w:r w:rsidRPr="00AC470E">
        <w:rPr>
          <w:rFonts w:ascii="Times New Roman" w:hAnsi="Times New Roman"/>
          <w:color w:val="000000"/>
          <w:sz w:val="24"/>
          <w:szCs w:val="24"/>
        </w:rPr>
        <w:t>A number of emissions sources are excluded from the abatement calculations for the following reasons:</w:t>
      </w:r>
    </w:p>
    <w:p w:rsidR="002B7E2D" w:rsidRPr="005302B0" w:rsidRDefault="002B7E2D" w:rsidP="005302B0">
      <w:pPr>
        <w:keepNext/>
        <w:numPr>
          <w:ilvl w:val="0"/>
          <w:numId w:val="20"/>
        </w:numPr>
        <w:spacing w:after="120" w:line="240" w:lineRule="auto"/>
        <w:rPr>
          <w:rFonts w:ascii="Times New Roman" w:hAnsi="Times New Roman"/>
          <w:sz w:val="24"/>
          <w:szCs w:val="24"/>
        </w:rPr>
      </w:pPr>
      <w:r w:rsidRPr="005302B0">
        <w:rPr>
          <w:rFonts w:ascii="Times New Roman" w:hAnsi="Times New Roman"/>
          <w:sz w:val="24"/>
          <w:szCs w:val="24"/>
        </w:rPr>
        <w:t>In the baseline scenario, emissions from fuel or electricity use</w:t>
      </w:r>
      <w:r w:rsidR="00CE476F">
        <w:rPr>
          <w:rFonts w:ascii="Times New Roman" w:hAnsi="Times New Roman"/>
          <w:sz w:val="24"/>
          <w:szCs w:val="24"/>
        </w:rPr>
        <w:t>d</w:t>
      </w:r>
      <w:r w:rsidRPr="005302B0">
        <w:rPr>
          <w:rFonts w:ascii="Times New Roman" w:hAnsi="Times New Roman"/>
          <w:sz w:val="24"/>
          <w:szCs w:val="24"/>
        </w:rPr>
        <w:t xml:space="preserve"> in the management of waste at a landfill are excluded as these emissions are likely to be small and it is impractical for project proponents to access this information.</w:t>
      </w:r>
    </w:p>
    <w:p w:rsidR="002B7E2D" w:rsidRPr="005302B0" w:rsidRDefault="002B7E2D" w:rsidP="005302B0">
      <w:pPr>
        <w:keepNext/>
        <w:numPr>
          <w:ilvl w:val="0"/>
          <w:numId w:val="20"/>
        </w:numPr>
        <w:spacing w:after="120" w:line="240" w:lineRule="auto"/>
        <w:rPr>
          <w:rFonts w:ascii="Times New Roman" w:hAnsi="Times New Roman"/>
          <w:sz w:val="24"/>
          <w:szCs w:val="24"/>
        </w:rPr>
      </w:pPr>
      <w:r w:rsidRPr="005302B0">
        <w:rPr>
          <w:rFonts w:ascii="Times New Roman" w:hAnsi="Times New Roman"/>
          <w:sz w:val="24"/>
          <w:szCs w:val="24"/>
        </w:rPr>
        <w:t>Emissions from the transport of waste or products are excluded as these emissions are considered immaterial to the overall emissions for the project. This exclusion is based on analysis of data from existing CFI AWT projects. This exclusion also streamlines the recording keeping and reporting requirements for project proponents.</w:t>
      </w:r>
    </w:p>
    <w:p w:rsidR="00EB3189" w:rsidRPr="005302B0" w:rsidRDefault="006736B5" w:rsidP="005302B0">
      <w:pPr>
        <w:keepNext/>
        <w:numPr>
          <w:ilvl w:val="0"/>
          <w:numId w:val="20"/>
        </w:numPr>
        <w:spacing w:after="120" w:line="240" w:lineRule="auto"/>
        <w:rPr>
          <w:rFonts w:ascii="Times New Roman" w:hAnsi="Times New Roman"/>
          <w:sz w:val="24"/>
          <w:szCs w:val="24"/>
        </w:rPr>
      </w:pPr>
      <w:r w:rsidRPr="005302B0">
        <w:rPr>
          <w:rFonts w:ascii="Times New Roman" w:hAnsi="Times New Roman"/>
          <w:sz w:val="24"/>
          <w:szCs w:val="24"/>
        </w:rPr>
        <w:t xml:space="preserve">Carbon dioxide emissions emitted from organic waste </w:t>
      </w:r>
      <w:r w:rsidR="00122594" w:rsidRPr="005302B0">
        <w:rPr>
          <w:rFonts w:ascii="Times New Roman" w:hAnsi="Times New Roman"/>
          <w:sz w:val="24"/>
          <w:szCs w:val="24"/>
        </w:rPr>
        <w:t xml:space="preserve">decomposition </w:t>
      </w:r>
      <w:r w:rsidRPr="005302B0">
        <w:rPr>
          <w:rFonts w:ascii="Times New Roman" w:hAnsi="Times New Roman"/>
          <w:sz w:val="24"/>
          <w:szCs w:val="24"/>
        </w:rPr>
        <w:t>or the co</w:t>
      </w:r>
      <w:r w:rsidR="00122594" w:rsidRPr="005302B0">
        <w:rPr>
          <w:rFonts w:ascii="Times New Roman" w:hAnsi="Times New Roman"/>
          <w:sz w:val="24"/>
          <w:szCs w:val="24"/>
        </w:rPr>
        <w:t>mbustion of biogas are excluded.</w:t>
      </w:r>
      <w:r w:rsidRPr="005302B0">
        <w:rPr>
          <w:rFonts w:ascii="Times New Roman" w:hAnsi="Times New Roman"/>
          <w:sz w:val="24"/>
          <w:szCs w:val="24"/>
        </w:rPr>
        <w:t xml:space="preserve"> </w:t>
      </w:r>
      <w:r w:rsidR="00122594" w:rsidRPr="005302B0">
        <w:rPr>
          <w:rFonts w:ascii="Times New Roman" w:hAnsi="Times New Roman"/>
          <w:sz w:val="24"/>
          <w:szCs w:val="24"/>
        </w:rPr>
        <w:t>T</w:t>
      </w:r>
      <w:r w:rsidRPr="005302B0">
        <w:rPr>
          <w:rFonts w:ascii="Times New Roman" w:hAnsi="Times New Roman"/>
          <w:sz w:val="24"/>
          <w:szCs w:val="24"/>
        </w:rPr>
        <w:t>hese emissions have biogenic origin (originate from organic materia</w:t>
      </w:r>
      <w:r w:rsidR="00122594" w:rsidRPr="005302B0">
        <w:rPr>
          <w:rFonts w:ascii="Times New Roman" w:hAnsi="Times New Roman"/>
          <w:sz w:val="24"/>
          <w:szCs w:val="24"/>
        </w:rPr>
        <w:t>l) and</w:t>
      </w:r>
      <w:r w:rsidRPr="005302B0">
        <w:rPr>
          <w:rFonts w:ascii="Times New Roman" w:hAnsi="Times New Roman"/>
          <w:sz w:val="24"/>
          <w:szCs w:val="24"/>
        </w:rPr>
        <w:t xml:space="preserve"> are not counted towards Australia’s national greenhouse gas accounts.</w:t>
      </w:r>
    </w:p>
    <w:p w:rsidR="002B7E2D" w:rsidRPr="00AC470E" w:rsidRDefault="002B7E2D" w:rsidP="002B7E2D">
      <w:pPr>
        <w:pStyle w:val="ListParagraph"/>
        <w:widowControl w:val="0"/>
        <w:numPr>
          <w:ilvl w:val="0"/>
          <w:numId w:val="0"/>
        </w:numPr>
        <w:spacing w:after="120" w:line="240" w:lineRule="auto"/>
        <w:ind w:left="714"/>
        <w:rPr>
          <w:rFonts w:ascii="Times New Roman" w:hAnsi="Times New Roman"/>
          <w:color w:val="000000"/>
          <w:sz w:val="24"/>
          <w:szCs w:val="24"/>
        </w:rPr>
      </w:pPr>
    </w:p>
    <w:p w:rsidR="002B7E2D" w:rsidRPr="00AC470E" w:rsidRDefault="002B7E2D" w:rsidP="002B7E2D">
      <w:pPr>
        <w:pStyle w:val="ListParagraph"/>
        <w:widowControl w:val="0"/>
        <w:numPr>
          <w:ilvl w:val="0"/>
          <w:numId w:val="0"/>
        </w:numPr>
        <w:spacing w:after="120" w:line="240" w:lineRule="auto"/>
        <w:ind w:left="714"/>
        <w:rPr>
          <w:rFonts w:ascii="Times New Roman" w:hAnsi="Times New Roman"/>
          <w:color w:val="000000"/>
          <w:sz w:val="24"/>
          <w:szCs w:val="24"/>
        </w:rPr>
      </w:pPr>
    </w:p>
    <w:p w:rsidR="002B7E2D" w:rsidRDefault="002B7E2D" w:rsidP="002B7E2D">
      <w:pPr>
        <w:keepNext/>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lastRenderedPageBreak/>
        <w:t xml:space="preserve">Division 2 </w:t>
      </w:r>
      <w:r w:rsidRPr="00AC470E">
        <w:rPr>
          <w:rFonts w:ascii="Times New Roman" w:hAnsi="Times New Roman"/>
          <w:b/>
          <w:color w:val="000000"/>
          <w:sz w:val="24"/>
          <w:szCs w:val="24"/>
        </w:rPr>
        <w:tab/>
      </w:r>
      <w:r w:rsidRPr="00AC470E">
        <w:rPr>
          <w:rFonts w:ascii="Times New Roman" w:hAnsi="Times New Roman"/>
          <w:b/>
          <w:color w:val="000000"/>
          <w:sz w:val="24"/>
          <w:szCs w:val="24"/>
        </w:rPr>
        <w:tab/>
        <w:t>Method for calculating net abatement amount</w:t>
      </w:r>
    </w:p>
    <w:p w:rsidR="002B7E2D" w:rsidRPr="00AC470E" w:rsidRDefault="002B7E2D" w:rsidP="002B7E2D">
      <w:pPr>
        <w:spacing w:after="120" w:line="240" w:lineRule="auto"/>
        <w:rPr>
          <w:rFonts w:ascii="Times New Roman" w:hAnsi="Times New Roman"/>
          <w:sz w:val="24"/>
          <w:szCs w:val="24"/>
        </w:rPr>
      </w:pPr>
      <w:bookmarkStart w:id="7" w:name="_Toc290029054"/>
      <w:bookmarkStart w:id="8" w:name="_Toc294604171"/>
      <w:r w:rsidRPr="00AC470E">
        <w:rPr>
          <w:rFonts w:ascii="Times New Roman" w:hAnsi="Times New Roman"/>
          <w:sz w:val="24"/>
          <w:szCs w:val="24"/>
        </w:rPr>
        <w:t>The Determination credits emissions reductions in equal portions over seven years subsequent to reporting eligible waste diversion activity. In a landfill</w:t>
      </w:r>
      <w:r>
        <w:rPr>
          <w:rFonts w:ascii="Times New Roman" w:hAnsi="Times New Roman"/>
          <w:sz w:val="24"/>
          <w:szCs w:val="24"/>
        </w:rPr>
        <w:t>,</w:t>
      </w:r>
      <w:r w:rsidRPr="00AC470E">
        <w:rPr>
          <w:rFonts w:ascii="Times New Roman" w:hAnsi="Times New Roman"/>
          <w:sz w:val="24"/>
          <w:szCs w:val="24"/>
        </w:rPr>
        <w:t xml:space="preserve"> emissions occur over a period of up to 100 years as the organic material in the waste decays. Crediting over seven years avoids the administrative burden of reporting emissions reductions over 100 years. </w:t>
      </w:r>
      <w:r>
        <w:rPr>
          <w:rFonts w:ascii="Times New Roman" w:hAnsi="Times New Roman"/>
          <w:sz w:val="24"/>
          <w:szCs w:val="24"/>
        </w:rPr>
        <w:t>Credits are issued over a seven-</w:t>
      </w:r>
      <w:r w:rsidRPr="00AC470E">
        <w:rPr>
          <w:rFonts w:ascii="Times New Roman" w:hAnsi="Times New Roman"/>
          <w:sz w:val="24"/>
          <w:szCs w:val="24"/>
        </w:rPr>
        <w:t xml:space="preserve">year period consistent with the CFI AWT </w:t>
      </w:r>
      <w:r>
        <w:rPr>
          <w:rFonts w:ascii="Times New Roman" w:hAnsi="Times New Roman"/>
          <w:sz w:val="24"/>
          <w:szCs w:val="24"/>
        </w:rPr>
        <w:t>D</w:t>
      </w:r>
      <w:r w:rsidRPr="00AC470E">
        <w:rPr>
          <w:rFonts w:ascii="Times New Roman" w:hAnsi="Times New Roman"/>
          <w:sz w:val="24"/>
          <w:szCs w:val="24"/>
        </w:rPr>
        <w:t xml:space="preserve">eterminations that were developed for Greenhouse Friendly projects that transitioned to the CFI. </w:t>
      </w:r>
    </w:p>
    <w:p w:rsidR="002B7E2D" w:rsidRPr="00AC470E" w:rsidRDefault="002B7E2D" w:rsidP="002B7E2D">
      <w:pPr>
        <w:spacing w:before="240" w:after="120" w:line="240" w:lineRule="auto"/>
        <w:rPr>
          <w:rFonts w:ascii="Times New Roman" w:hAnsi="Times New Roman"/>
          <w:noProof/>
          <w:sz w:val="24"/>
          <w:szCs w:val="24"/>
          <w:lang w:eastAsia="en-AU"/>
        </w:rPr>
      </w:pPr>
      <w:r w:rsidRPr="00AC470E">
        <w:rPr>
          <w:rFonts w:ascii="Times New Roman" w:hAnsi="Times New Roman"/>
          <w:sz w:val="24"/>
          <w:szCs w:val="24"/>
        </w:rPr>
        <w:t>As a result of crediting in equal portions over seven years, AWT projects have an extended accounting period consistent with section 7A of the Act. This is required as the project will have credits that ac</w:t>
      </w:r>
      <w:r>
        <w:rPr>
          <w:rFonts w:ascii="Times New Roman" w:hAnsi="Times New Roman"/>
          <w:sz w:val="24"/>
          <w:szCs w:val="24"/>
        </w:rPr>
        <w:t>crue after the end of the seven-</w:t>
      </w:r>
      <w:r w:rsidRPr="00AC470E">
        <w:rPr>
          <w:rFonts w:ascii="Times New Roman" w:hAnsi="Times New Roman"/>
          <w:sz w:val="24"/>
          <w:szCs w:val="24"/>
        </w:rPr>
        <w:t xml:space="preserve">year crediting period. The extended accounting period begins after the end of the crediting period and ends at the time specified in the legislative rules. The result of the extended accounting period is that AWT projects will receive credits over a period of approximately 13 years (the time period is approximate due to flexible reporting periods). </w:t>
      </w:r>
      <w:r w:rsidRPr="00AC470E">
        <w:rPr>
          <w:rFonts w:ascii="Times New Roman" w:hAnsi="Times New Roman"/>
          <w:noProof/>
          <w:sz w:val="24"/>
          <w:szCs w:val="24"/>
          <w:lang w:eastAsia="en-AU"/>
        </w:rPr>
        <w:t>Figure 1 provides an example of crediting in seven equal portions and the extended accounting period.</w:t>
      </w:r>
    </w:p>
    <w:p w:rsidR="002B7E2D" w:rsidRPr="00AC470E" w:rsidRDefault="002B7E2D" w:rsidP="002B7E2D">
      <w:pPr>
        <w:pStyle w:val="ListParagraph"/>
        <w:numPr>
          <w:ilvl w:val="0"/>
          <w:numId w:val="0"/>
        </w:numPr>
        <w:spacing w:before="240" w:after="0" w:line="240" w:lineRule="auto"/>
        <w:jc w:val="center"/>
        <w:rPr>
          <w:rFonts w:ascii="Times New Roman" w:hAnsi="Times New Roman"/>
          <w:noProof/>
          <w:sz w:val="24"/>
          <w:szCs w:val="24"/>
          <w:lang w:eastAsia="en-AU"/>
        </w:rPr>
      </w:pPr>
      <w:r>
        <w:rPr>
          <w:noProof/>
          <w:lang w:eastAsia="en-AU"/>
        </w:rPr>
        <w:drawing>
          <wp:inline distT="0" distB="0" distL="0" distR="0">
            <wp:extent cx="5824855" cy="3863992"/>
            <wp:effectExtent l="19050" t="19050" r="23495" b="2220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16353" t="19012" r="17108" b="25858"/>
                    <a:stretch>
                      <a:fillRect/>
                    </a:stretch>
                  </pic:blipFill>
                  <pic:spPr bwMode="auto">
                    <a:xfrm>
                      <a:off x="0" y="0"/>
                      <a:ext cx="5824855" cy="3863992"/>
                    </a:xfrm>
                    <a:prstGeom prst="rect">
                      <a:avLst/>
                    </a:prstGeom>
                    <a:noFill/>
                    <a:ln w="6350" cmpd="sng">
                      <a:solidFill>
                        <a:srgbClr val="000000"/>
                      </a:solidFill>
                      <a:miter lim="800000"/>
                      <a:headEnd/>
                      <a:tailEnd/>
                    </a:ln>
                    <a:effectLst/>
                  </pic:spPr>
                </pic:pic>
              </a:graphicData>
            </a:graphic>
          </wp:inline>
        </w:drawing>
      </w:r>
    </w:p>
    <w:p w:rsidR="002B7E2D" w:rsidRDefault="002B7E2D" w:rsidP="002B7E2D">
      <w:pPr>
        <w:spacing w:before="240" w:after="120" w:line="240" w:lineRule="auto"/>
        <w:rPr>
          <w:rFonts w:ascii="Times New Roman" w:hAnsi="Times New Roman"/>
          <w:i/>
          <w:sz w:val="24"/>
          <w:szCs w:val="24"/>
        </w:rPr>
      </w:pPr>
      <w:r w:rsidRPr="00AC470E">
        <w:rPr>
          <w:rFonts w:ascii="Times New Roman" w:hAnsi="Times New Roman"/>
          <w:i/>
          <w:sz w:val="24"/>
          <w:szCs w:val="24"/>
        </w:rPr>
        <w:t>Figure 1</w:t>
      </w:r>
      <w:r w:rsidR="00E0359D">
        <w:rPr>
          <w:rFonts w:ascii="Times New Roman" w:hAnsi="Times New Roman"/>
          <w:i/>
          <w:sz w:val="24"/>
          <w:szCs w:val="24"/>
        </w:rPr>
        <w:t>:</w:t>
      </w:r>
      <w:r w:rsidRPr="00AC470E">
        <w:rPr>
          <w:rFonts w:ascii="Times New Roman" w:hAnsi="Times New Roman"/>
          <w:i/>
          <w:sz w:val="24"/>
          <w:szCs w:val="24"/>
        </w:rPr>
        <w:t xml:space="preserve"> An example of crediting </w:t>
      </w:r>
      <w:r>
        <w:rPr>
          <w:rFonts w:ascii="Times New Roman" w:hAnsi="Times New Roman"/>
          <w:i/>
          <w:sz w:val="24"/>
          <w:szCs w:val="24"/>
        </w:rPr>
        <w:t xml:space="preserve">an </w:t>
      </w:r>
      <w:r w:rsidRPr="00AC470E">
        <w:rPr>
          <w:rFonts w:ascii="Times New Roman" w:hAnsi="Times New Roman"/>
          <w:i/>
          <w:sz w:val="24"/>
          <w:szCs w:val="24"/>
        </w:rPr>
        <w:t xml:space="preserve">AWT </w:t>
      </w:r>
      <w:r>
        <w:rPr>
          <w:rFonts w:ascii="Times New Roman" w:hAnsi="Times New Roman"/>
          <w:i/>
          <w:sz w:val="24"/>
          <w:szCs w:val="24"/>
        </w:rPr>
        <w:t xml:space="preserve">project </w:t>
      </w:r>
      <w:r w:rsidRPr="00AC470E">
        <w:rPr>
          <w:rFonts w:ascii="Times New Roman" w:hAnsi="Times New Roman"/>
          <w:i/>
          <w:sz w:val="24"/>
          <w:szCs w:val="24"/>
        </w:rPr>
        <w:t>in seven equal portions and the extended accounting period. Note: the example assumes equal reporting periods at 12</w:t>
      </w:r>
      <w:r w:rsidR="005040A9">
        <w:rPr>
          <w:rFonts w:ascii="Times New Roman" w:hAnsi="Times New Roman"/>
          <w:i/>
          <w:sz w:val="24"/>
          <w:szCs w:val="24"/>
        </w:rPr>
        <w:t>-</w:t>
      </w:r>
      <w:r w:rsidRPr="00AC470E">
        <w:rPr>
          <w:rFonts w:ascii="Times New Roman" w:hAnsi="Times New Roman"/>
          <w:i/>
          <w:sz w:val="24"/>
          <w:szCs w:val="24"/>
        </w:rPr>
        <w:t>month intervals and that emissions reductions in each reporting period remain the same over the seven</w:t>
      </w:r>
      <w:r>
        <w:rPr>
          <w:rFonts w:ascii="Times New Roman" w:hAnsi="Times New Roman"/>
          <w:i/>
          <w:sz w:val="24"/>
          <w:szCs w:val="24"/>
        </w:rPr>
        <w:t>-</w:t>
      </w:r>
      <w:r w:rsidRPr="00AC470E">
        <w:rPr>
          <w:rFonts w:ascii="Times New Roman" w:hAnsi="Times New Roman"/>
          <w:i/>
          <w:sz w:val="24"/>
          <w:szCs w:val="24"/>
        </w:rPr>
        <w:t>year crediting period.</w:t>
      </w:r>
    </w:p>
    <w:p w:rsidR="002B7E2D" w:rsidRDefault="002B7E2D" w:rsidP="002B7E2D">
      <w:pPr>
        <w:keepNext/>
        <w:spacing w:after="120" w:line="240" w:lineRule="auto"/>
        <w:rPr>
          <w:rFonts w:ascii="Times New Roman" w:hAnsi="Times New Roman"/>
          <w:sz w:val="24"/>
          <w:szCs w:val="24"/>
        </w:rPr>
      </w:pPr>
      <w:r w:rsidRPr="00AC470E">
        <w:rPr>
          <w:rFonts w:ascii="Times New Roman" w:hAnsi="Times New Roman"/>
          <w:sz w:val="24"/>
          <w:szCs w:val="24"/>
        </w:rPr>
        <w:t xml:space="preserve">For AWT projects the net abatement amount is the </w:t>
      </w:r>
      <w:r w:rsidR="001845AF">
        <w:rPr>
          <w:rFonts w:ascii="Times New Roman" w:hAnsi="Times New Roman"/>
          <w:sz w:val="24"/>
          <w:szCs w:val="24"/>
        </w:rPr>
        <w:t>‘</w:t>
      </w:r>
      <w:r w:rsidRPr="00FD28E1">
        <w:rPr>
          <w:rFonts w:ascii="Times New Roman" w:hAnsi="Times New Roman"/>
          <w:sz w:val="24"/>
          <w:szCs w:val="24"/>
        </w:rPr>
        <w:t>activity abatement portion</w:t>
      </w:r>
      <w:r w:rsidR="001845AF">
        <w:rPr>
          <w:rFonts w:ascii="Times New Roman" w:hAnsi="Times New Roman"/>
          <w:sz w:val="24"/>
          <w:szCs w:val="24"/>
        </w:rPr>
        <w:t>’</w:t>
      </w:r>
      <w:r w:rsidRPr="00FD28E1">
        <w:rPr>
          <w:rFonts w:ascii="Times New Roman" w:hAnsi="Times New Roman"/>
          <w:sz w:val="24"/>
          <w:szCs w:val="24"/>
        </w:rPr>
        <w:t xml:space="preserve"> </w:t>
      </w:r>
      <w:r w:rsidRPr="00AC470E">
        <w:rPr>
          <w:rFonts w:ascii="Times New Roman" w:hAnsi="Times New Roman"/>
          <w:sz w:val="24"/>
          <w:szCs w:val="24"/>
        </w:rPr>
        <w:t xml:space="preserve">for the reporting period plus the sum of </w:t>
      </w:r>
      <w:r w:rsidR="001845AF">
        <w:rPr>
          <w:rFonts w:ascii="Times New Roman" w:hAnsi="Times New Roman"/>
          <w:sz w:val="24"/>
          <w:szCs w:val="24"/>
        </w:rPr>
        <w:t>‘</w:t>
      </w:r>
      <w:r w:rsidRPr="00FD28E1">
        <w:rPr>
          <w:rFonts w:ascii="Times New Roman" w:hAnsi="Times New Roman"/>
          <w:sz w:val="24"/>
          <w:szCs w:val="24"/>
        </w:rPr>
        <w:t>activity abatement portions</w:t>
      </w:r>
      <w:r w:rsidR="001845AF">
        <w:rPr>
          <w:rFonts w:ascii="Times New Roman" w:hAnsi="Times New Roman"/>
          <w:sz w:val="24"/>
          <w:szCs w:val="24"/>
        </w:rPr>
        <w:t>’</w:t>
      </w:r>
      <w:r w:rsidRPr="00AC470E">
        <w:rPr>
          <w:rFonts w:ascii="Times New Roman" w:hAnsi="Times New Roman"/>
          <w:sz w:val="24"/>
          <w:szCs w:val="24"/>
        </w:rPr>
        <w:t xml:space="preserve"> that have accrued from previous reporting periods. </w:t>
      </w:r>
      <w:r w:rsidR="001845AF">
        <w:rPr>
          <w:rFonts w:ascii="Times New Roman" w:hAnsi="Times New Roman"/>
          <w:sz w:val="24"/>
          <w:szCs w:val="24"/>
        </w:rPr>
        <w:t>‘</w:t>
      </w:r>
      <w:r w:rsidRPr="00FD28E1">
        <w:rPr>
          <w:rFonts w:ascii="Times New Roman" w:hAnsi="Times New Roman"/>
          <w:sz w:val="24"/>
          <w:szCs w:val="24"/>
        </w:rPr>
        <w:t>Activity abatement portion</w:t>
      </w:r>
      <w:r w:rsidR="001845AF">
        <w:rPr>
          <w:rFonts w:ascii="Times New Roman" w:hAnsi="Times New Roman"/>
          <w:sz w:val="24"/>
          <w:szCs w:val="24"/>
        </w:rPr>
        <w:t>’</w:t>
      </w:r>
      <w:r w:rsidRPr="00AC470E">
        <w:rPr>
          <w:rFonts w:ascii="Times New Roman" w:hAnsi="Times New Roman"/>
          <w:sz w:val="24"/>
          <w:szCs w:val="24"/>
        </w:rPr>
        <w:t xml:space="preserve"> is the phrase used to describe each of the seven equal portions that AWT abatement is divided into. The first portion is included in </w:t>
      </w:r>
      <w:r w:rsidRPr="00AC470E">
        <w:rPr>
          <w:rFonts w:ascii="Times New Roman" w:hAnsi="Times New Roman"/>
          <w:sz w:val="24"/>
          <w:szCs w:val="24"/>
        </w:rPr>
        <w:lastRenderedPageBreak/>
        <w:t xml:space="preserve">the offsets report for the reporting period and remaining portions accrue over the subsequent six years. The portions that accrue will be included in future reporting periods. </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Activity abatement portions including baseline and project emissions are calculated in Division 3</w:t>
      </w:r>
      <w:r>
        <w:rPr>
          <w:rFonts w:ascii="Times New Roman" w:hAnsi="Times New Roman"/>
          <w:sz w:val="24"/>
          <w:szCs w:val="24"/>
        </w:rPr>
        <w:t xml:space="preserve"> of the Determination</w:t>
      </w:r>
      <w:r w:rsidRPr="00AC470E">
        <w:rPr>
          <w:rFonts w:ascii="Times New Roman" w:hAnsi="Times New Roman"/>
          <w:sz w:val="24"/>
          <w:szCs w:val="24"/>
        </w:rPr>
        <w:t>.</w:t>
      </w:r>
    </w:p>
    <w:p w:rsidR="002B7E2D" w:rsidRPr="00AC470E" w:rsidRDefault="002B7E2D" w:rsidP="002B7E2D">
      <w:pPr>
        <w:spacing w:after="120" w:line="240" w:lineRule="auto"/>
        <w:rPr>
          <w:rFonts w:ascii="Times New Roman" w:hAnsi="Times New Roman"/>
          <w:sz w:val="24"/>
          <w:szCs w:val="24"/>
        </w:rPr>
      </w:pPr>
      <w:r w:rsidRPr="00AC470E">
        <w:rPr>
          <w:rFonts w:ascii="Times New Roman" w:hAnsi="Times New Roman"/>
          <w:sz w:val="24"/>
          <w:szCs w:val="24"/>
        </w:rPr>
        <w:t xml:space="preserve">If a project is a </w:t>
      </w:r>
      <w:r w:rsidRPr="00AC470E">
        <w:rPr>
          <w:rFonts w:ascii="Times New Roman" w:hAnsi="Times New Roman"/>
          <w:b/>
          <w:i/>
          <w:sz w:val="24"/>
          <w:szCs w:val="24"/>
        </w:rPr>
        <w:t>transitioning project</w:t>
      </w:r>
      <w:r w:rsidRPr="00AC470E">
        <w:rPr>
          <w:rFonts w:ascii="Times New Roman" w:hAnsi="Times New Roman"/>
          <w:sz w:val="24"/>
          <w:szCs w:val="24"/>
        </w:rPr>
        <w:t xml:space="preserve">, Division 4 </w:t>
      </w:r>
      <w:r>
        <w:rPr>
          <w:rFonts w:ascii="Times New Roman" w:hAnsi="Times New Roman"/>
          <w:sz w:val="24"/>
          <w:szCs w:val="24"/>
        </w:rPr>
        <w:t>of the Determination is</w:t>
      </w:r>
      <w:r w:rsidRPr="00AC470E">
        <w:rPr>
          <w:rFonts w:ascii="Times New Roman" w:hAnsi="Times New Roman"/>
          <w:sz w:val="24"/>
          <w:szCs w:val="24"/>
        </w:rPr>
        <w:t xml:space="preserve"> used to calculate the credits remaining as a result of CFI AWT activity.</w:t>
      </w:r>
    </w:p>
    <w:p w:rsidR="002B7E2D" w:rsidRPr="00AC470E" w:rsidRDefault="002B7E2D" w:rsidP="002B7E2D">
      <w:pPr>
        <w:spacing w:after="120" w:line="240" w:lineRule="auto"/>
        <w:rPr>
          <w:rFonts w:ascii="Times New Roman" w:hAnsi="Times New Roman"/>
          <w:sz w:val="24"/>
          <w:szCs w:val="24"/>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16</w:t>
      </w:r>
      <w:r w:rsidRPr="00AC470E">
        <w:rPr>
          <w:rFonts w:ascii="Times New Roman" w:hAnsi="Times New Roman"/>
          <w:color w:val="000000"/>
          <w:sz w:val="24"/>
          <w:szCs w:val="24"/>
          <w:u w:val="single"/>
        </w:rPr>
        <w:tab/>
        <w:t>Summary</w:t>
      </w:r>
    </w:p>
    <w:p w:rsidR="002B7E2D" w:rsidRPr="00AC470E" w:rsidRDefault="002B7E2D" w:rsidP="002B7E2D">
      <w:pPr>
        <w:spacing w:after="120" w:line="240" w:lineRule="auto"/>
        <w:rPr>
          <w:rFonts w:ascii="Times New Roman" w:hAnsi="Times New Roman"/>
          <w:color w:val="000000"/>
          <w:sz w:val="24"/>
        </w:rPr>
      </w:pPr>
      <w:r w:rsidRPr="00AC470E">
        <w:rPr>
          <w:rFonts w:ascii="Times New Roman" w:hAnsi="Times New Roman"/>
          <w:color w:val="000000"/>
          <w:sz w:val="24"/>
          <w:szCs w:val="24"/>
        </w:rPr>
        <w:t xml:space="preserve">Section 16 provides a summary of the </w:t>
      </w:r>
      <w:r w:rsidR="007B3757">
        <w:rPr>
          <w:rFonts w:ascii="Times New Roman" w:hAnsi="Times New Roman"/>
          <w:color w:val="000000"/>
          <w:sz w:val="24"/>
          <w:szCs w:val="24"/>
        </w:rPr>
        <w:t>approach</w:t>
      </w:r>
      <w:r w:rsidRPr="004B03F3">
        <w:rPr>
          <w:rFonts w:ascii="Times New Roman" w:hAnsi="Times New Roman"/>
          <w:color w:val="000000"/>
          <w:sz w:val="24"/>
        </w:rPr>
        <w:t xml:space="preserve"> for </w:t>
      </w:r>
      <w:r w:rsidRPr="00AC470E">
        <w:rPr>
          <w:rFonts w:ascii="Times New Roman" w:hAnsi="Times New Roman"/>
          <w:color w:val="000000"/>
          <w:sz w:val="24"/>
          <w:szCs w:val="24"/>
        </w:rPr>
        <w:t xml:space="preserve">calculating </w:t>
      </w:r>
      <w:r w:rsidRPr="004B03F3">
        <w:rPr>
          <w:rFonts w:ascii="Times New Roman" w:hAnsi="Times New Roman"/>
          <w:color w:val="000000"/>
          <w:sz w:val="24"/>
        </w:rPr>
        <w:t>the net abatement amount</w:t>
      </w:r>
      <w:r w:rsidRPr="00AC470E">
        <w:rPr>
          <w:rFonts w:ascii="Times New Roman" w:hAnsi="Times New Roman"/>
          <w:color w:val="000000"/>
          <w:sz w:val="24"/>
          <w:szCs w:val="24"/>
        </w:rPr>
        <w:t>.</w:t>
      </w:r>
    </w:p>
    <w:p w:rsidR="002B7E2D" w:rsidRPr="00AC470E" w:rsidRDefault="002B7E2D" w:rsidP="002B7E2D">
      <w:pPr>
        <w:spacing w:after="120" w:line="240" w:lineRule="auto"/>
        <w:rPr>
          <w:rFonts w:ascii="Times New Roman" w:hAnsi="Times New Roman"/>
          <w:color w:val="000000"/>
          <w:sz w:val="24"/>
          <w:szCs w:val="24"/>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17</w:t>
      </w:r>
      <w:r w:rsidRPr="00AC470E">
        <w:rPr>
          <w:rFonts w:ascii="Times New Roman" w:hAnsi="Times New Roman"/>
          <w:color w:val="000000"/>
          <w:sz w:val="24"/>
          <w:szCs w:val="24"/>
          <w:u w:val="single"/>
        </w:rPr>
        <w:tab/>
        <w:t>Net abatement amount</w:t>
      </w:r>
    </w:p>
    <w:bookmarkEnd w:id="7"/>
    <w:bookmarkEnd w:id="8"/>
    <w:p w:rsidR="002B7E2D" w:rsidRPr="00AC470E" w:rsidRDefault="002B7E2D" w:rsidP="002B7E2D">
      <w:pPr>
        <w:spacing w:after="120" w:line="240" w:lineRule="auto"/>
        <w:ind w:right="247"/>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Section 17 calculates the net abatement amount as the </w:t>
      </w:r>
      <w:r>
        <w:rPr>
          <w:rFonts w:ascii="Times New Roman" w:eastAsia="Times New Roman" w:hAnsi="Times New Roman"/>
          <w:sz w:val="24"/>
          <w:szCs w:val="24"/>
          <w:lang w:eastAsia="en-AU"/>
        </w:rPr>
        <w:t>relevant activity</w:t>
      </w:r>
      <w:r w:rsidRPr="00AC470E">
        <w:rPr>
          <w:rFonts w:ascii="Times New Roman" w:eastAsia="Times New Roman" w:hAnsi="Times New Roman"/>
          <w:sz w:val="24"/>
          <w:szCs w:val="24"/>
          <w:lang w:eastAsia="en-AU"/>
        </w:rPr>
        <w:t xml:space="preserve"> abatement portion for the reporting period (worked out in accordance with section 19) plus the sum of activity abatement portions that have accrued from previous reporting periods. Accrued </w:t>
      </w:r>
      <w:r>
        <w:rPr>
          <w:rFonts w:ascii="Times New Roman" w:eastAsia="Times New Roman" w:hAnsi="Times New Roman"/>
          <w:sz w:val="24"/>
          <w:szCs w:val="24"/>
          <w:lang w:eastAsia="en-AU"/>
        </w:rPr>
        <w:t xml:space="preserve">activity </w:t>
      </w:r>
      <w:r w:rsidRPr="00AC470E">
        <w:rPr>
          <w:rFonts w:ascii="Times New Roman" w:eastAsia="Times New Roman" w:hAnsi="Times New Roman"/>
          <w:sz w:val="24"/>
          <w:szCs w:val="24"/>
          <w:lang w:eastAsia="en-AU"/>
        </w:rPr>
        <w:t xml:space="preserve">abatement portions may be either from a previous reporting period or a legacy abatement portion. </w:t>
      </w:r>
    </w:p>
    <w:p w:rsidR="002B7E2D" w:rsidRPr="00AC470E" w:rsidRDefault="002B7E2D" w:rsidP="002B7E2D">
      <w:pPr>
        <w:spacing w:after="120" w:line="240" w:lineRule="auto"/>
        <w:ind w:right="247"/>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A legacy abatement portion is generated from CFI AWT activity that has yet to be credited. </w:t>
      </w:r>
      <w:r w:rsidRPr="00AC470E">
        <w:rPr>
          <w:rFonts w:ascii="Times New Roman" w:eastAsia="Times New Roman" w:hAnsi="Times New Roman"/>
          <w:b/>
          <w:i/>
          <w:sz w:val="24"/>
          <w:szCs w:val="24"/>
          <w:lang w:eastAsia="en-AU"/>
        </w:rPr>
        <w:t>Transitioning projects</w:t>
      </w:r>
      <w:r w:rsidRPr="00AC470E">
        <w:rPr>
          <w:rFonts w:ascii="Times New Roman" w:eastAsia="Times New Roman" w:hAnsi="Times New Roman"/>
          <w:sz w:val="24"/>
          <w:szCs w:val="24"/>
          <w:lang w:eastAsia="en-AU"/>
        </w:rPr>
        <w:t xml:space="preserve"> are able to produce a single offsets report for both new activity and the credits remaining as a result of CFI AWT activity. Calculations for the legacy abatement amount are included in Division 4 of the Determination.</w:t>
      </w:r>
    </w:p>
    <w:p w:rsidR="002B7E2D" w:rsidRPr="00AC470E" w:rsidRDefault="00A53FF7" w:rsidP="002B7E2D">
      <w:pPr>
        <w:spacing w:after="120" w:line="240" w:lineRule="auto"/>
        <w:rPr>
          <w:rFonts w:ascii="Times New Roman" w:eastAsia="Times New Roman" w:hAnsi="Times New Roman"/>
          <w:sz w:val="24"/>
          <w:szCs w:val="24"/>
          <w:lang w:eastAsia="en-AU"/>
        </w:rPr>
      </w:pPr>
      <w:r w:rsidRPr="00A53FF7">
        <w:rPr>
          <w:rFonts w:ascii="Times New Roman" w:eastAsia="Times New Roman" w:hAnsi="Times New Roman"/>
          <w:b/>
          <w:i/>
          <w:sz w:val="24"/>
          <w:szCs w:val="24"/>
          <w:lang w:eastAsia="en-AU"/>
        </w:rPr>
        <w:t>Equation 1</w:t>
      </w:r>
      <w:r w:rsidR="002B7E2D" w:rsidRPr="00AC470E">
        <w:rPr>
          <w:rFonts w:ascii="Times New Roman" w:eastAsia="Times New Roman" w:hAnsi="Times New Roman"/>
          <w:sz w:val="24"/>
          <w:szCs w:val="24"/>
          <w:lang w:eastAsia="en-AU"/>
        </w:rPr>
        <w:t xml:space="preserve"> is structured to satisfy the no double counting test in section 15A of the Act that requires that abatement is only reflected in the unit entitlement for a certificate of entitlement if it has not been reflected in the unit entitlement for another certificate or project. </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Pr="00AC470E" w:rsidRDefault="002B7E2D" w:rsidP="002B7E2D">
      <w:pPr>
        <w:keepNext/>
        <w:keepLines/>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t xml:space="preserve">Division 3 </w:t>
      </w:r>
      <w:r w:rsidRPr="00AC470E">
        <w:rPr>
          <w:rFonts w:ascii="Times New Roman" w:hAnsi="Times New Roman"/>
          <w:b/>
          <w:color w:val="000000"/>
          <w:sz w:val="24"/>
          <w:szCs w:val="24"/>
        </w:rPr>
        <w:tab/>
      </w:r>
      <w:r w:rsidRPr="00AC470E">
        <w:rPr>
          <w:rFonts w:ascii="Times New Roman" w:hAnsi="Times New Roman"/>
          <w:b/>
          <w:color w:val="000000"/>
          <w:sz w:val="24"/>
          <w:szCs w:val="24"/>
        </w:rPr>
        <w:tab/>
        <w:t>Method for calculating activity abatement portions</w:t>
      </w:r>
    </w:p>
    <w:p w:rsidR="002B7E2D" w:rsidRPr="00AC470E" w:rsidRDefault="002B7E2D" w:rsidP="002B7E2D">
      <w:pPr>
        <w:keepNext/>
        <w:keepLines/>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t>Subdivision A</w:t>
      </w:r>
      <w:r w:rsidR="00C871B0">
        <w:rPr>
          <w:rFonts w:ascii="Times New Roman" w:hAnsi="Times New Roman"/>
          <w:b/>
          <w:color w:val="000000"/>
          <w:sz w:val="24"/>
          <w:szCs w:val="24"/>
        </w:rPr>
        <w:tab/>
      </w:r>
      <w:r w:rsidR="00C871B0">
        <w:rPr>
          <w:rFonts w:ascii="Times New Roman" w:hAnsi="Times New Roman"/>
          <w:b/>
          <w:color w:val="000000"/>
          <w:sz w:val="24"/>
          <w:szCs w:val="24"/>
        </w:rPr>
        <w:tab/>
      </w:r>
      <w:r w:rsidRPr="00AC470E">
        <w:rPr>
          <w:rFonts w:ascii="Times New Roman" w:hAnsi="Times New Roman"/>
          <w:b/>
          <w:color w:val="000000"/>
          <w:sz w:val="24"/>
          <w:szCs w:val="24"/>
        </w:rPr>
        <w:t>Activity abatement portions</w:t>
      </w: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18</w:t>
      </w:r>
      <w:r w:rsidRPr="00AC470E">
        <w:rPr>
          <w:rFonts w:ascii="Times New Roman" w:hAnsi="Times New Roman"/>
          <w:color w:val="000000"/>
          <w:sz w:val="24"/>
          <w:szCs w:val="24"/>
          <w:u w:val="single"/>
        </w:rPr>
        <w:tab/>
        <w:t>Summary</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 xml:space="preserve">Section 18 provides a summary of the method for calculating the activity abatement portions for the reporting period. </w:t>
      </w:r>
    </w:p>
    <w:p w:rsidR="002B7E2D" w:rsidRPr="00AC470E" w:rsidRDefault="002B7E2D" w:rsidP="002B7E2D">
      <w:pPr>
        <w:keepNext/>
        <w:keepLines/>
        <w:spacing w:after="120" w:line="240" w:lineRule="auto"/>
        <w:rPr>
          <w:rFonts w:ascii="Times New Roman" w:eastAsia="Times New Roman" w:hAnsi="Times New Roman"/>
          <w:sz w:val="24"/>
          <w:szCs w:val="24"/>
          <w:lang w:eastAsia="en-AU"/>
        </w:rPr>
      </w:pPr>
    </w:p>
    <w:p w:rsidR="002B7E2D" w:rsidRPr="00AC470E" w:rsidRDefault="002B7E2D" w:rsidP="002B7E2D">
      <w:pPr>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19</w:t>
      </w:r>
      <w:r w:rsidRPr="00AC470E">
        <w:rPr>
          <w:rFonts w:ascii="Times New Roman" w:eastAsia="Times New Roman" w:hAnsi="Times New Roman"/>
          <w:sz w:val="24"/>
          <w:szCs w:val="24"/>
          <w:u w:val="single"/>
          <w:lang w:eastAsia="en-AU"/>
        </w:rPr>
        <w:tab/>
        <w:t>Calculation and accrual of activity abatement portions</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Activity abatement portions are calculated using </w:t>
      </w:r>
      <w:r w:rsidR="00A53FF7" w:rsidRPr="00A53FF7">
        <w:rPr>
          <w:rFonts w:ascii="Times New Roman" w:eastAsia="Times New Roman" w:hAnsi="Times New Roman"/>
          <w:b/>
          <w:i/>
          <w:sz w:val="24"/>
          <w:szCs w:val="24"/>
          <w:lang w:eastAsia="en-AU"/>
        </w:rPr>
        <w:t>equation 2</w:t>
      </w:r>
      <w:r w:rsidRPr="00AC470E">
        <w:rPr>
          <w:rFonts w:ascii="Times New Roman" w:eastAsia="Times New Roman" w:hAnsi="Times New Roman"/>
          <w:sz w:val="24"/>
          <w:szCs w:val="24"/>
          <w:lang w:eastAsia="en-AU"/>
        </w:rPr>
        <w:t>. The Determination prescribes that AWT projects receive abatement</w:t>
      </w:r>
      <w:r w:rsidRPr="00AC470E">
        <w:rPr>
          <w:rFonts w:ascii="Times New Roman" w:hAnsi="Times New Roman"/>
          <w:sz w:val="24"/>
          <w:szCs w:val="24"/>
        </w:rPr>
        <w:t xml:space="preserve"> in equal portions over seven years subsequent to reporting eligible waste diversion activity.</w:t>
      </w:r>
      <w:r w:rsidRPr="00AC470E">
        <w:rPr>
          <w:rFonts w:ascii="Times New Roman" w:eastAsia="Times New Roman" w:hAnsi="Times New Roman"/>
          <w:sz w:val="24"/>
          <w:szCs w:val="24"/>
          <w:lang w:eastAsia="en-AU"/>
        </w:rPr>
        <w:t xml:space="preserve"> This equation divides the abatement of the reporting period into seven equal portions. </w:t>
      </w:r>
      <w:r w:rsidRPr="00AC470E">
        <w:rPr>
          <w:rFonts w:ascii="Times New Roman" w:hAnsi="Times New Roman"/>
          <w:sz w:val="24"/>
          <w:szCs w:val="24"/>
        </w:rPr>
        <w:t>The first portion is included in the offsets report for the reporting period and the remaining portions accrue over the subsequent six years. The portions that accrue will be included in future reporting periods.</w:t>
      </w:r>
      <w:r w:rsidRPr="00AC470E">
        <w:rPr>
          <w:rFonts w:ascii="Times New Roman" w:eastAsia="Times New Roman" w:hAnsi="Times New Roman"/>
          <w:sz w:val="24"/>
          <w:szCs w:val="24"/>
          <w:lang w:eastAsia="en-AU"/>
        </w:rPr>
        <w:t xml:space="preserve"> </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If the quantity of putrescible eligible waste processed by the project in a reporting period is taken to be zero, then abatement</w:t>
      </w:r>
      <w:r w:rsidR="005040A9">
        <w:rPr>
          <w:rFonts w:ascii="Times New Roman" w:eastAsia="Times New Roman" w:hAnsi="Times New Roman"/>
          <w:sz w:val="24"/>
          <w:szCs w:val="24"/>
          <w:lang w:eastAsia="en-AU"/>
        </w:rPr>
        <w:t xml:space="preserve"> from activity in</w:t>
      </w:r>
      <w:r w:rsidRPr="00AC470E">
        <w:rPr>
          <w:rFonts w:ascii="Times New Roman" w:eastAsia="Times New Roman" w:hAnsi="Times New Roman"/>
          <w:sz w:val="24"/>
          <w:szCs w:val="24"/>
          <w:lang w:eastAsia="en-AU"/>
        </w:rPr>
        <w:t xml:space="preserve"> the reporting period is taken to be zero and no further calculations are required. The project </w:t>
      </w:r>
      <w:r>
        <w:rPr>
          <w:rFonts w:ascii="Times New Roman" w:eastAsia="Times New Roman" w:hAnsi="Times New Roman"/>
          <w:sz w:val="24"/>
          <w:szCs w:val="24"/>
          <w:lang w:eastAsia="en-AU"/>
        </w:rPr>
        <w:t xml:space="preserve">proponent </w:t>
      </w:r>
      <w:r w:rsidRPr="00AC470E">
        <w:rPr>
          <w:rFonts w:ascii="Times New Roman" w:eastAsia="Times New Roman" w:hAnsi="Times New Roman"/>
          <w:sz w:val="24"/>
          <w:szCs w:val="24"/>
          <w:lang w:eastAsia="en-AU"/>
        </w:rPr>
        <w:t xml:space="preserve">can still report accrued </w:t>
      </w:r>
      <w:r>
        <w:rPr>
          <w:rFonts w:ascii="Times New Roman" w:eastAsia="Times New Roman" w:hAnsi="Times New Roman"/>
          <w:sz w:val="24"/>
          <w:szCs w:val="24"/>
          <w:lang w:eastAsia="en-AU"/>
        </w:rPr>
        <w:t xml:space="preserve">activity </w:t>
      </w:r>
      <w:r w:rsidRPr="00AC470E">
        <w:rPr>
          <w:rFonts w:ascii="Times New Roman" w:eastAsia="Times New Roman" w:hAnsi="Times New Roman"/>
          <w:sz w:val="24"/>
          <w:szCs w:val="24"/>
          <w:lang w:eastAsia="en-AU"/>
        </w:rPr>
        <w:t>abatement portions if no putrescible eligible waste is processed. The quantity of putrescible eligible waste is calculated in accordance with section 25 of the Determination.</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lastRenderedPageBreak/>
        <w:t>Activity abatement portions are not required to be calculated after the project’s seven</w:t>
      </w:r>
      <w:r>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 xml:space="preserve">year crediting period. </w:t>
      </w:r>
      <w:r w:rsidRPr="0031759E">
        <w:rPr>
          <w:rFonts w:ascii="Times New Roman" w:eastAsia="Times New Roman" w:hAnsi="Times New Roman"/>
          <w:sz w:val="24"/>
          <w:szCs w:val="24"/>
          <w:lang w:eastAsia="en-AU"/>
        </w:rPr>
        <w:t>After this time the project proponent only needs to calculate net abatement with the activity abatement portions that accrue over time (using section 17).</w:t>
      </w:r>
      <w:r w:rsidRPr="00AC470E">
        <w:rPr>
          <w:rFonts w:ascii="Times New Roman" w:eastAsia="Times New Roman" w:hAnsi="Times New Roman"/>
          <w:sz w:val="24"/>
          <w:szCs w:val="24"/>
          <w:lang w:eastAsia="en-AU"/>
        </w:rPr>
        <w:t xml:space="preserve"> </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Subsection 19(3) outlines the time when activity abatement portions (</w:t>
      </w:r>
      <w:r w:rsidRPr="00DA7C8D">
        <w:rPr>
          <w:rFonts w:ascii="Times New Roman" w:eastAsia="Times New Roman" w:hAnsi="Times New Roman"/>
          <w:b/>
          <w:i/>
          <w:sz w:val="24"/>
          <w:szCs w:val="24"/>
          <w:lang w:eastAsia="en-AU"/>
        </w:rPr>
        <w:t>A</w:t>
      </w:r>
      <w:r w:rsidRPr="00DA7C8D">
        <w:rPr>
          <w:rFonts w:ascii="Times New Roman" w:eastAsia="Times New Roman" w:hAnsi="Times New Roman"/>
          <w:b/>
          <w:i/>
          <w:sz w:val="24"/>
          <w:szCs w:val="24"/>
          <w:vertAlign w:val="subscript"/>
          <w:lang w:eastAsia="en-AU"/>
        </w:rPr>
        <w:t>1</w:t>
      </w:r>
      <w:r w:rsidRPr="00937170">
        <w:rPr>
          <w:rFonts w:ascii="Times New Roman" w:eastAsia="Times New Roman" w:hAnsi="Times New Roman"/>
          <w:sz w:val="24"/>
          <w:szCs w:val="24"/>
          <w:lang w:eastAsia="en-AU"/>
        </w:rPr>
        <w:t xml:space="preserve">) </w:t>
      </w:r>
      <w:r w:rsidRPr="00AC470E">
        <w:rPr>
          <w:rFonts w:ascii="Times New Roman" w:eastAsia="Times New Roman" w:hAnsi="Times New Roman"/>
          <w:sz w:val="24"/>
          <w:szCs w:val="24"/>
          <w:lang w:eastAsia="en-AU"/>
        </w:rPr>
        <w:t xml:space="preserve">to </w:t>
      </w:r>
      <w:r>
        <w:rPr>
          <w:rFonts w:ascii="Times New Roman" w:eastAsia="Times New Roman" w:hAnsi="Times New Roman"/>
          <w:sz w:val="24"/>
          <w:szCs w:val="24"/>
          <w:lang w:eastAsia="en-AU"/>
        </w:rPr>
        <w:t>(</w:t>
      </w:r>
      <w:r w:rsidRPr="00DA7C8D">
        <w:rPr>
          <w:rFonts w:ascii="Times New Roman" w:eastAsia="Times New Roman" w:hAnsi="Times New Roman"/>
          <w:b/>
          <w:i/>
          <w:sz w:val="24"/>
          <w:szCs w:val="24"/>
          <w:lang w:eastAsia="en-AU"/>
        </w:rPr>
        <w:t>A</w:t>
      </w:r>
      <w:r w:rsidRPr="00DA7C8D">
        <w:rPr>
          <w:rFonts w:ascii="Times New Roman" w:eastAsia="Times New Roman" w:hAnsi="Times New Roman"/>
          <w:b/>
          <w:i/>
          <w:sz w:val="24"/>
          <w:szCs w:val="24"/>
          <w:vertAlign w:val="subscript"/>
          <w:lang w:eastAsia="en-AU"/>
        </w:rPr>
        <w:t>6</w:t>
      </w:r>
      <w:r w:rsidRPr="00AC470E">
        <w:rPr>
          <w:rFonts w:ascii="Times New Roman" w:eastAsia="Times New Roman" w:hAnsi="Times New Roman"/>
          <w:sz w:val="24"/>
          <w:szCs w:val="24"/>
          <w:lang w:eastAsia="en-AU"/>
        </w:rPr>
        <w:t>) accrue. These activity abatement portions may only be included in a calculation of net abatement and reported at a time after they have accrued.</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Pr="00AC470E" w:rsidRDefault="002B7E2D" w:rsidP="002B7E2D">
      <w:pPr>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20</w:t>
      </w:r>
      <w:r w:rsidRPr="00AC470E">
        <w:rPr>
          <w:rFonts w:ascii="Times New Roman" w:eastAsia="Times New Roman" w:hAnsi="Times New Roman"/>
          <w:sz w:val="24"/>
          <w:szCs w:val="24"/>
          <w:u w:val="single"/>
          <w:lang w:eastAsia="en-AU"/>
        </w:rPr>
        <w:tab/>
        <w:t>Activity abatement portions for certain transitioning projects</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For some transitioning projects the Determination may apply to the project for a reporting period that commences before </w:t>
      </w:r>
      <w:r w:rsidRPr="00AC470E">
        <w:rPr>
          <w:rFonts w:ascii="Times New Roman" w:eastAsia="Times New Roman" w:hAnsi="Times New Roman"/>
          <w:b/>
          <w:i/>
          <w:sz w:val="24"/>
          <w:szCs w:val="24"/>
          <w:lang w:eastAsia="en-AU"/>
        </w:rPr>
        <w:t>ERF commencement day</w:t>
      </w:r>
      <w:r w:rsidRPr="00AC470E">
        <w:rPr>
          <w:rFonts w:ascii="Times New Roman" w:eastAsia="Times New Roman" w:hAnsi="Times New Roman"/>
          <w:sz w:val="24"/>
          <w:szCs w:val="24"/>
          <w:lang w:eastAsia="en-AU"/>
        </w:rPr>
        <w:t>. Section 20 clarifies that no activity should be counted prior to ERF commencement day. For transitioning projects waste is not eligible prior to ERF commencement day and therefore no other activity should be counted before that date.</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Pr="00AC470E" w:rsidRDefault="002B7E2D" w:rsidP="002B7E2D">
      <w:pPr>
        <w:keepNext/>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t>Subdivision B</w:t>
      </w:r>
      <w:r w:rsidR="00C871B0">
        <w:rPr>
          <w:rFonts w:ascii="Times New Roman" w:hAnsi="Times New Roman"/>
          <w:b/>
          <w:color w:val="000000"/>
          <w:sz w:val="24"/>
          <w:szCs w:val="24"/>
        </w:rPr>
        <w:tab/>
      </w:r>
      <w:r w:rsidR="00C871B0">
        <w:rPr>
          <w:rFonts w:ascii="Times New Roman" w:hAnsi="Times New Roman"/>
          <w:b/>
          <w:color w:val="000000"/>
          <w:sz w:val="24"/>
          <w:szCs w:val="24"/>
        </w:rPr>
        <w:tab/>
      </w:r>
      <w:r w:rsidRPr="00AC470E">
        <w:rPr>
          <w:rFonts w:ascii="Times New Roman" w:hAnsi="Times New Roman"/>
          <w:b/>
          <w:color w:val="000000"/>
          <w:sz w:val="24"/>
          <w:szCs w:val="24"/>
        </w:rPr>
        <w:t>Calculations relating to baseline emissions</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The approach to calculating baseline emissions closely follows the approach established by the CFI AWT </w:t>
      </w:r>
      <w:r>
        <w:rPr>
          <w:rFonts w:ascii="Times New Roman" w:eastAsia="Times New Roman" w:hAnsi="Times New Roman"/>
          <w:sz w:val="24"/>
          <w:szCs w:val="24"/>
          <w:lang w:eastAsia="en-AU"/>
        </w:rPr>
        <w:t>D</w:t>
      </w:r>
      <w:r w:rsidRPr="00AC470E">
        <w:rPr>
          <w:rFonts w:ascii="Times New Roman" w:eastAsia="Times New Roman" w:hAnsi="Times New Roman"/>
          <w:sz w:val="24"/>
          <w:szCs w:val="24"/>
          <w:lang w:eastAsia="en-AU"/>
        </w:rPr>
        <w:t>eterminations. This is a conservative estimate of the emissions likely to occur as waste decays in landfill consistent with the offset integrity standards. For expansion projects, the calculations for baseline emissions include a calculation to determine the historic quantity of eligible waste processed by the project (section 27).</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21</w:t>
      </w:r>
      <w:r w:rsidRPr="00AC470E">
        <w:rPr>
          <w:rFonts w:ascii="Times New Roman" w:hAnsi="Times New Roman"/>
          <w:color w:val="000000"/>
          <w:sz w:val="24"/>
          <w:szCs w:val="24"/>
          <w:u w:val="single"/>
        </w:rPr>
        <w:tab/>
        <w:t>Summary</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 xml:space="preserve">Section 21 provides a summary of </w:t>
      </w:r>
      <w:r w:rsidR="007B3757">
        <w:rPr>
          <w:rFonts w:ascii="Times New Roman" w:hAnsi="Times New Roman"/>
          <w:color w:val="000000"/>
          <w:sz w:val="24"/>
          <w:szCs w:val="24"/>
        </w:rPr>
        <w:t>the approach</w:t>
      </w:r>
      <w:r w:rsidRPr="00AC470E">
        <w:rPr>
          <w:rFonts w:ascii="Times New Roman" w:hAnsi="Times New Roman"/>
          <w:color w:val="000000"/>
          <w:sz w:val="24"/>
          <w:szCs w:val="24"/>
        </w:rPr>
        <w:t xml:space="preserve"> for calculating the baseline emissions.</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Pr="00AC470E" w:rsidRDefault="002B7E2D" w:rsidP="002B7E2D">
      <w:pPr>
        <w:keepNext/>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22</w:t>
      </w:r>
      <w:r w:rsidRPr="00AC470E">
        <w:rPr>
          <w:rFonts w:ascii="Times New Roman" w:eastAsia="Times New Roman" w:hAnsi="Times New Roman"/>
          <w:sz w:val="24"/>
          <w:szCs w:val="24"/>
          <w:u w:val="single"/>
          <w:lang w:eastAsia="en-AU"/>
        </w:rPr>
        <w:tab/>
        <w:t>Baseline emissions</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Baseline emissions calculate the potential methane emissions from eligible waste that would have been disposed in landfill in the absence of the project. </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The amount of methane generated and released to the atmosphere is based on calculations for the organic content of the waste including the type of organic material and emissions it would generate as it breaks down in landfill (see sections 23 to 27). </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The baseline emissions calculation accounts for the portion of methane generated that would be oxidised in the landfill profile and soil cover. This is a default deduction using the factor for near surface methane oxidation in landfill used in the </w:t>
      </w:r>
      <w:r w:rsidRPr="00AC470E">
        <w:rPr>
          <w:rFonts w:ascii="Times New Roman" w:eastAsia="Times New Roman" w:hAnsi="Times New Roman"/>
          <w:i/>
          <w:sz w:val="24"/>
          <w:szCs w:val="24"/>
          <w:lang w:eastAsia="en-AU"/>
        </w:rPr>
        <w:t>NGER (Measurement) Determination</w:t>
      </w:r>
      <w:r w:rsidRPr="00AC470E">
        <w:rPr>
          <w:rFonts w:ascii="Times New Roman" w:eastAsia="Times New Roman" w:hAnsi="Times New Roman"/>
          <w:sz w:val="24"/>
          <w:szCs w:val="24"/>
          <w:lang w:eastAsia="en-AU"/>
        </w:rPr>
        <w:t xml:space="preserve">. Emissions of methane are converted to carbon dioxide emissions using the global warming potential for methane that is current in the </w:t>
      </w:r>
      <w:r w:rsidRPr="00AC470E">
        <w:rPr>
          <w:rFonts w:ascii="Times New Roman" w:eastAsia="Times New Roman" w:hAnsi="Times New Roman"/>
          <w:i/>
          <w:sz w:val="24"/>
          <w:szCs w:val="24"/>
          <w:lang w:eastAsia="en-AU"/>
        </w:rPr>
        <w:t>NGER Regulations</w:t>
      </w:r>
      <w:r w:rsidRPr="00AC470E">
        <w:rPr>
          <w:rFonts w:ascii="Times New Roman" w:eastAsia="Times New Roman" w:hAnsi="Times New Roman"/>
          <w:sz w:val="24"/>
          <w:szCs w:val="24"/>
          <w:lang w:eastAsia="en-AU"/>
        </w:rPr>
        <w:t xml:space="preserve"> at the time the reporting period ends </w:t>
      </w:r>
      <w:r w:rsidRPr="00AC470E">
        <w:rPr>
          <w:rFonts w:ascii="Times New Roman" w:hAnsi="Times New Roman"/>
          <w:sz w:val="24"/>
          <w:szCs w:val="24"/>
        </w:rPr>
        <w:t>(consistent with section 8)</w:t>
      </w:r>
      <w:r w:rsidRPr="00AC470E">
        <w:rPr>
          <w:rFonts w:ascii="Times New Roman" w:eastAsia="Times New Roman" w:hAnsi="Times New Roman"/>
          <w:sz w:val="24"/>
          <w:szCs w:val="24"/>
          <w:lang w:eastAsia="en-AU"/>
        </w:rPr>
        <w:t>.</w:t>
      </w:r>
    </w:p>
    <w:p w:rsidR="006E5BFF" w:rsidRDefault="002B7E2D" w:rsidP="002B7E2D">
      <w:pPr>
        <w:spacing w:before="240" w:after="120" w:line="240" w:lineRule="auto"/>
        <w:rPr>
          <w:rFonts w:ascii="Times New Roman" w:eastAsia="Times New Roman" w:hAnsi="Times New Roman"/>
          <w:sz w:val="24"/>
          <w:szCs w:val="24"/>
          <w:lang w:eastAsia="en-AU"/>
        </w:rPr>
      </w:pPr>
      <w:r w:rsidRPr="0029361E">
        <w:rPr>
          <w:rFonts w:ascii="Times New Roman" w:eastAsia="Times New Roman" w:hAnsi="Times New Roman"/>
          <w:sz w:val="24"/>
          <w:szCs w:val="24"/>
          <w:lang w:eastAsia="en-AU"/>
        </w:rPr>
        <w:t xml:space="preserve">The baseline calculation also accounts for the amount of methane that would be captured and combusted in a landfill. This is taken to be the average percentage of landfill gas captured in the state or territory in which the project operates. </w:t>
      </w:r>
      <w:r w:rsidR="003B79B5">
        <w:rPr>
          <w:rFonts w:ascii="Times New Roman" w:eastAsia="Times New Roman" w:hAnsi="Times New Roman"/>
          <w:sz w:val="24"/>
          <w:szCs w:val="24"/>
          <w:lang w:eastAsia="en-AU"/>
        </w:rPr>
        <w:t xml:space="preserve">The </w:t>
      </w:r>
      <w:r w:rsidR="006E5BFF">
        <w:rPr>
          <w:rFonts w:ascii="Times New Roman" w:eastAsia="Times New Roman" w:hAnsi="Times New Roman"/>
          <w:sz w:val="24"/>
          <w:szCs w:val="24"/>
          <w:lang w:eastAsia="en-AU"/>
        </w:rPr>
        <w:t>average value</w:t>
      </w:r>
      <w:r w:rsidR="003B79B5">
        <w:rPr>
          <w:rFonts w:ascii="Times New Roman" w:eastAsia="Times New Roman" w:hAnsi="Times New Roman"/>
          <w:sz w:val="24"/>
          <w:szCs w:val="24"/>
          <w:lang w:eastAsia="en-AU"/>
        </w:rPr>
        <w:t xml:space="preserve"> is determined using data from the </w:t>
      </w:r>
      <w:r w:rsidR="003B79B5" w:rsidRPr="0029361E">
        <w:rPr>
          <w:rFonts w:ascii="Times New Roman" w:eastAsia="Times New Roman" w:hAnsi="Times New Roman"/>
          <w:sz w:val="24"/>
          <w:szCs w:val="24"/>
          <w:lang w:eastAsia="en-AU"/>
        </w:rPr>
        <w:t>Australian National Greenhouse Gas Inventory</w:t>
      </w:r>
      <w:r w:rsidR="006E5BFF">
        <w:rPr>
          <w:rFonts w:ascii="Times New Roman" w:eastAsia="Times New Roman" w:hAnsi="Times New Roman"/>
          <w:sz w:val="24"/>
          <w:szCs w:val="24"/>
          <w:lang w:eastAsia="en-AU"/>
        </w:rPr>
        <w:t xml:space="preserve">. Projects that are declared </w:t>
      </w:r>
      <w:r w:rsidR="006E5BFF" w:rsidRPr="0029361E">
        <w:rPr>
          <w:rFonts w:ascii="Times New Roman" w:eastAsia="Times New Roman" w:hAnsi="Times New Roman"/>
          <w:sz w:val="24"/>
          <w:szCs w:val="24"/>
          <w:lang w:eastAsia="en-AU"/>
        </w:rPr>
        <w:t>an eligible offsets project will use the value in force in the Determination at the time the project commences</w:t>
      </w:r>
      <w:r w:rsidR="006E5BFF">
        <w:rPr>
          <w:rFonts w:ascii="Times New Roman" w:eastAsia="Times New Roman" w:hAnsi="Times New Roman"/>
          <w:sz w:val="24"/>
          <w:szCs w:val="24"/>
          <w:lang w:eastAsia="en-AU"/>
        </w:rPr>
        <w:t xml:space="preserve"> and retain the value for the </w:t>
      </w:r>
      <w:r w:rsidR="003B79B5">
        <w:rPr>
          <w:rFonts w:ascii="Times New Roman" w:eastAsia="Times New Roman" w:hAnsi="Times New Roman"/>
          <w:sz w:val="24"/>
          <w:szCs w:val="24"/>
          <w:lang w:eastAsia="en-AU"/>
        </w:rPr>
        <w:t>seven</w:t>
      </w:r>
      <w:r w:rsidR="003B79B5">
        <w:rPr>
          <w:rFonts w:ascii="Times New Roman" w:eastAsia="Times New Roman" w:hAnsi="Times New Roman"/>
          <w:sz w:val="24"/>
          <w:szCs w:val="24"/>
          <w:lang w:eastAsia="en-AU"/>
        </w:rPr>
        <w:noBreakHyphen/>
        <w:t xml:space="preserve">year crediting period. </w:t>
      </w:r>
    </w:p>
    <w:p w:rsidR="0029361E" w:rsidRDefault="00AB06CD" w:rsidP="002B7E2D">
      <w:pPr>
        <w:spacing w:before="240"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 xml:space="preserve">The average </w:t>
      </w:r>
      <w:r w:rsidRPr="0029361E">
        <w:rPr>
          <w:rFonts w:ascii="Times New Roman" w:eastAsia="Times New Roman" w:hAnsi="Times New Roman"/>
          <w:sz w:val="24"/>
          <w:szCs w:val="24"/>
          <w:lang w:eastAsia="en-AU"/>
        </w:rPr>
        <w:t>percentage of landfill gas captured in the state or territory in which the project operates</w:t>
      </w:r>
      <w:r>
        <w:rPr>
          <w:rFonts w:ascii="Times New Roman" w:eastAsia="Times New Roman" w:hAnsi="Times New Roman"/>
          <w:sz w:val="24"/>
          <w:szCs w:val="24"/>
          <w:lang w:eastAsia="en-AU"/>
        </w:rPr>
        <w:t xml:space="preserve"> represents a conservative estimate of the</w:t>
      </w:r>
      <w:r w:rsidR="00E61DA3">
        <w:rPr>
          <w:rFonts w:ascii="Times New Roman" w:eastAsia="Times New Roman" w:hAnsi="Times New Roman"/>
          <w:sz w:val="24"/>
          <w:szCs w:val="24"/>
          <w:lang w:eastAsia="en-AU"/>
        </w:rPr>
        <w:t xml:space="preserve"> amount of</w:t>
      </w:r>
      <w:r>
        <w:rPr>
          <w:rFonts w:ascii="Times New Roman" w:eastAsia="Times New Roman" w:hAnsi="Times New Roman"/>
          <w:sz w:val="24"/>
          <w:szCs w:val="24"/>
          <w:lang w:eastAsia="en-AU"/>
        </w:rPr>
        <w:t xml:space="preserve"> landfill gas capture that would have occurred</w:t>
      </w:r>
      <w:r w:rsidR="006B781B">
        <w:rPr>
          <w:rFonts w:ascii="Times New Roman" w:eastAsia="Times New Roman" w:hAnsi="Times New Roman"/>
          <w:sz w:val="24"/>
          <w:szCs w:val="24"/>
          <w:lang w:eastAsia="en-AU"/>
        </w:rPr>
        <w:t xml:space="preserve"> if </w:t>
      </w:r>
      <w:r>
        <w:rPr>
          <w:rFonts w:ascii="Times New Roman" w:eastAsia="Times New Roman" w:hAnsi="Times New Roman"/>
          <w:sz w:val="24"/>
          <w:szCs w:val="24"/>
          <w:lang w:eastAsia="en-AU"/>
        </w:rPr>
        <w:t xml:space="preserve">waste had been sent to landfill. </w:t>
      </w:r>
      <w:r w:rsidR="006B781B">
        <w:rPr>
          <w:rFonts w:ascii="Times New Roman" w:eastAsia="Times New Roman" w:hAnsi="Times New Roman"/>
          <w:sz w:val="24"/>
          <w:szCs w:val="24"/>
          <w:lang w:eastAsia="en-AU"/>
        </w:rPr>
        <w:t xml:space="preserve">This is a straightforward approach </w:t>
      </w:r>
      <w:r w:rsidR="006E5BFF">
        <w:rPr>
          <w:rFonts w:ascii="Times New Roman" w:eastAsia="Times New Roman" w:hAnsi="Times New Roman"/>
          <w:sz w:val="24"/>
          <w:szCs w:val="24"/>
          <w:lang w:eastAsia="en-AU"/>
        </w:rPr>
        <w:t>that simplifies project administration and complies with the offsets integrity standards. This approach is consistent with the approach used in CFI AWT Determinations</w:t>
      </w:r>
      <w:r w:rsidR="003B79B5">
        <w:rPr>
          <w:rFonts w:ascii="Times New Roman" w:eastAsia="Times New Roman" w:hAnsi="Times New Roman"/>
          <w:sz w:val="24"/>
          <w:szCs w:val="24"/>
          <w:lang w:eastAsia="en-AU"/>
        </w:rPr>
        <w:t>.</w:t>
      </w:r>
    </w:p>
    <w:p w:rsidR="002B7E2D" w:rsidRPr="0029361E" w:rsidRDefault="002B7E2D" w:rsidP="002B7E2D">
      <w:pPr>
        <w:spacing w:before="240" w:after="120" w:line="240" w:lineRule="auto"/>
        <w:rPr>
          <w:rFonts w:ascii="Times New Roman" w:eastAsia="Times New Roman" w:hAnsi="Times New Roman"/>
          <w:sz w:val="24"/>
          <w:szCs w:val="24"/>
          <w:lang w:eastAsia="en-AU"/>
        </w:rPr>
      </w:pPr>
      <w:r w:rsidRPr="0029361E">
        <w:rPr>
          <w:rFonts w:ascii="Times New Roman" w:eastAsia="Times New Roman" w:hAnsi="Times New Roman"/>
          <w:sz w:val="24"/>
          <w:szCs w:val="24"/>
          <w:lang w:eastAsia="en-AU"/>
        </w:rPr>
        <w:t>For new and expansion projects, the average percentage of landfill gas captured is determined using data from the Australian National Gre</w:t>
      </w:r>
      <w:r w:rsidR="00CE034E">
        <w:rPr>
          <w:rFonts w:ascii="Times New Roman" w:eastAsia="Times New Roman" w:hAnsi="Times New Roman"/>
          <w:sz w:val="24"/>
          <w:szCs w:val="24"/>
          <w:lang w:eastAsia="en-AU"/>
        </w:rPr>
        <w:t>enhouse Gas Inventory Report 2012. The averages used for transitioning projects are taken from the CFI AWT Determinations and were determined from data in the Australian National Greenhouse Gas Inventory Report 2010 as these were applicable when these CFI projects were declared eligible offsets projects. The South Australian value for transitioning projects has been revised to be consistent with the other AWT projects (2012 average values). The revision addresses inconsistencies in the values used for South Australia between the four CFI AWT Determinations.</w:t>
      </w:r>
    </w:p>
    <w:p w:rsidR="002B7E2D" w:rsidRPr="00BA5F20" w:rsidRDefault="00CE034E" w:rsidP="002B7E2D">
      <w:pPr>
        <w:spacing w:after="120" w:line="240" w:lineRule="auto"/>
        <w:rPr>
          <w:rFonts w:ascii="Times New Roman" w:hAnsi="Times New Roman"/>
          <w:color w:val="000000"/>
          <w:sz w:val="24"/>
          <w:szCs w:val="24"/>
        </w:rPr>
      </w:pPr>
      <w:r>
        <w:rPr>
          <w:rFonts w:ascii="Times New Roman" w:eastAsia="Times New Roman" w:hAnsi="Times New Roman"/>
          <w:sz w:val="24"/>
          <w:szCs w:val="24"/>
          <w:lang w:eastAsia="en-AU"/>
        </w:rPr>
        <w:t xml:space="preserve">The average rate of landfill gas capture will be updated over time in line with data published in the </w:t>
      </w:r>
      <w:r w:rsidR="003B79B5" w:rsidRPr="0029361E">
        <w:rPr>
          <w:rFonts w:ascii="Times New Roman" w:eastAsia="Times New Roman" w:hAnsi="Times New Roman"/>
          <w:sz w:val="24"/>
          <w:szCs w:val="24"/>
          <w:lang w:eastAsia="en-AU"/>
        </w:rPr>
        <w:t>Australian National Greenhouse Gas Inventory</w:t>
      </w:r>
      <w:r>
        <w:rPr>
          <w:rFonts w:ascii="Times New Roman" w:eastAsia="Times New Roman" w:hAnsi="Times New Roman"/>
          <w:sz w:val="24"/>
          <w:szCs w:val="24"/>
          <w:lang w:eastAsia="en-AU"/>
        </w:rPr>
        <w:t xml:space="preserve">. </w:t>
      </w:r>
    </w:p>
    <w:p w:rsidR="002B7E2D" w:rsidRDefault="002B7E2D" w:rsidP="002B7E2D">
      <w:pPr>
        <w:spacing w:after="120" w:line="240" w:lineRule="auto"/>
        <w:rPr>
          <w:rFonts w:ascii="Times New Roman" w:hAnsi="Times New Roman"/>
          <w:color w:val="000000"/>
          <w:sz w:val="24"/>
          <w:szCs w:val="24"/>
        </w:rPr>
      </w:pPr>
    </w:p>
    <w:p w:rsidR="002B7E2D" w:rsidRPr="00AC470E" w:rsidRDefault="002B7E2D" w:rsidP="002B7E2D">
      <w:pPr>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23</w:t>
      </w:r>
      <w:r w:rsidRPr="00AC470E">
        <w:rPr>
          <w:rFonts w:ascii="Times New Roman" w:eastAsia="Times New Roman" w:hAnsi="Times New Roman"/>
          <w:sz w:val="24"/>
          <w:szCs w:val="24"/>
          <w:u w:val="single"/>
          <w:lang w:eastAsia="en-AU"/>
        </w:rPr>
        <w:tab/>
        <w:t>Methane generation potential of degradable organic carbon content in eligible waste</w:t>
      </w:r>
    </w:p>
    <w:p w:rsidR="002B7E2D" w:rsidRPr="00BA5F20" w:rsidRDefault="002B7E2D" w:rsidP="002B7E2D">
      <w:pPr>
        <w:spacing w:after="120" w:line="240" w:lineRule="auto"/>
        <w:rPr>
          <w:rFonts w:ascii="Times New Roman" w:hAnsi="Times New Roman"/>
          <w:color w:val="000000"/>
          <w:sz w:val="24"/>
          <w:szCs w:val="24"/>
        </w:rPr>
      </w:pPr>
      <w:r w:rsidRPr="00AC470E">
        <w:rPr>
          <w:rFonts w:ascii="Times New Roman" w:eastAsia="Times New Roman" w:hAnsi="Times New Roman"/>
          <w:sz w:val="24"/>
          <w:szCs w:val="24"/>
          <w:lang w:eastAsia="en-AU"/>
        </w:rPr>
        <w:t>The calculation of the methane generation potential of the degradable organic carbon in eligible waste (</w:t>
      </w:r>
      <w:r w:rsidRPr="00AC470E">
        <w:rPr>
          <w:rFonts w:ascii="Times New Roman" w:eastAsia="Times New Roman" w:hAnsi="Times New Roman"/>
          <w:b/>
          <w:i/>
          <w:sz w:val="24"/>
          <w:szCs w:val="24"/>
          <w:lang w:eastAsia="en-AU"/>
        </w:rPr>
        <w:t>M</w:t>
      </w:r>
      <w:r w:rsidRPr="00AC470E">
        <w:rPr>
          <w:rFonts w:ascii="Times New Roman" w:eastAsia="Times New Roman" w:hAnsi="Times New Roman"/>
          <w:b/>
          <w:i/>
          <w:sz w:val="24"/>
          <w:szCs w:val="24"/>
          <w:vertAlign w:val="subscript"/>
          <w:lang w:eastAsia="en-AU"/>
        </w:rPr>
        <w:t>B</w:t>
      </w:r>
      <w:r w:rsidRPr="00AC470E">
        <w:rPr>
          <w:rFonts w:ascii="Times New Roman" w:eastAsia="Times New Roman" w:hAnsi="Times New Roman"/>
          <w:sz w:val="24"/>
          <w:szCs w:val="24"/>
          <w:lang w:eastAsia="en-AU"/>
        </w:rPr>
        <w:t>) uses the quantity of each waste mix type received by the facility and multiplies this by the degradable organic carbon values of the waste mix types (</w:t>
      </w:r>
      <w:r w:rsidRPr="00AC470E">
        <w:rPr>
          <w:rFonts w:ascii="Times New Roman" w:eastAsia="Times New Roman" w:hAnsi="Times New Roman"/>
          <w:b/>
          <w:i/>
          <w:sz w:val="24"/>
          <w:szCs w:val="24"/>
          <w:lang w:eastAsia="en-AU"/>
        </w:rPr>
        <w:t>DOC</w:t>
      </w:r>
      <w:r w:rsidRPr="00AC470E">
        <w:rPr>
          <w:rFonts w:ascii="Times New Roman" w:eastAsia="Times New Roman" w:hAnsi="Times New Roman"/>
          <w:b/>
          <w:i/>
          <w:sz w:val="24"/>
          <w:szCs w:val="24"/>
          <w:vertAlign w:val="subscript"/>
          <w:lang w:eastAsia="en-AU"/>
        </w:rPr>
        <w:t>w</w:t>
      </w:r>
      <w:r w:rsidRPr="00AC470E">
        <w:rPr>
          <w:rFonts w:ascii="Times New Roman" w:eastAsia="Times New Roman" w:hAnsi="Times New Roman"/>
          <w:sz w:val="24"/>
          <w:szCs w:val="24"/>
          <w:lang w:eastAsia="en-AU"/>
        </w:rPr>
        <w:t>) and the fraction of degradable organic carbon dissimilated (</w:t>
      </w:r>
      <w:r w:rsidRPr="00AC470E">
        <w:rPr>
          <w:rFonts w:ascii="Times New Roman" w:eastAsia="Times New Roman" w:hAnsi="Times New Roman"/>
          <w:b/>
          <w:i/>
          <w:sz w:val="24"/>
          <w:szCs w:val="24"/>
          <w:lang w:eastAsia="en-AU"/>
        </w:rPr>
        <w:t>DOC</w:t>
      </w:r>
      <w:r w:rsidRPr="00AC470E">
        <w:rPr>
          <w:rFonts w:ascii="Times New Roman" w:eastAsia="Times New Roman" w:hAnsi="Times New Roman"/>
          <w:b/>
          <w:i/>
          <w:sz w:val="24"/>
          <w:szCs w:val="24"/>
          <w:vertAlign w:val="subscript"/>
          <w:lang w:eastAsia="en-AU"/>
        </w:rPr>
        <w:t>F,w</w:t>
      </w:r>
      <w:r w:rsidRPr="00AC470E">
        <w:rPr>
          <w:rFonts w:ascii="Times New Roman" w:eastAsia="Times New Roman" w:hAnsi="Times New Roman"/>
          <w:sz w:val="24"/>
          <w:szCs w:val="24"/>
          <w:lang w:eastAsia="en-AU"/>
        </w:rPr>
        <w:t xml:space="preserve">). </w:t>
      </w:r>
      <w:r w:rsidRPr="00AC470E">
        <w:rPr>
          <w:rFonts w:ascii="Times New Roman" w:eastAsia="Times New Roman" w:hAnsi="Times New Roman"/>
          <w:b/>
          <w:i/>
          <w:sz w:val="24"/>
          <w:szCs w:val="24"/>
          <w:lang w:eastAsia="en-AU"/>
        </w:rPr>
        <w:t>DOC</w:t>
      </w:r>
      <w:r w:rsidRPr="00AC470E">
        <w:rPr>
          <w:rFonts w:ascii="Times New Roman" w:eastAsia="Times New Roman" w:hAnsi="Times New Roman"/>
          <w:b/>
          <w:i/>
          <w:sz w:val="24"/>
          <w:szCs w:val="24"/>
          <w:vertAlign w:val="subscript"/>
          <w:lang w:eastAsia="en-AU"/>
        </w:rPr>
        <w:t>w</w:t>
      </w:r>
      <w:r w:rsidRPr="00AC470E">
        <w:rPr>
          <w:rFonts w:ascii="Times New Roman" w:eastAsia="Times New Roman" w:hAnsi="Times New Roman"/>
          <w:sz w:val="24"/>
          <w:szCs w:val="24"/>
          <w:lang w:eastAsia="en-AU"/>
        </w:rPr>
        <w:t xml:space="preserve"> and </w:t>
      </w:r>
      <w:r w:rsidRPr="00AC470E">
        <w:rPr>
          <w:rFonts w:ascii="Times New Roman" w:eastAsia="Times New Roman" w:hAnsi="Times New Roman"/>
          <w:b/>
          <w:i/>
          <w:sz w:val="24"/>
          <w:szCs w:val="24"/>
          <w:lang w:eastAsia="en-AU"/>
        </w:rPr>
        <w:t>DOC</w:t>
      </w:r>
      <w:r w:rsidRPr="00AC470E">
        <w:rPr>
          <w:rFonts w:ascii="Times New Roman" w:eastAsia="Times New Roman" w:hAnsi="Times New Roman"/>
          <w:b/>
          <w:i/>
          <w:sz w:val="24"/>
          <w:szCs w:val="24"/>
          <w:vertAlign w:val="subscript"/>
          <w:lang w:eastAsia="en-AU"/>
        </w:rPr>
        <w:t>F,w</w:t>
      </w:r>
      <w:r w:rsidRPr="00AC470E">
        <w:rPr>
          <w:rFonts w:ascii="Times New Roman" w:eastAsia="Times New Roman" w:hAnsi="Times New Roman"/>
          <w:sz w:val="24"/>
          <w:szCs w:val="24"/>
          <w:lang w:eastAsia="en-AU"/>
        </w:rPr>
        <w:t xml:space="preserve"> are default values prescribed in the </w:t>
      </w:r>
      <w:r w:rsidRPr="00AC470E">
        <w:rPr>
          <w:rFonts w:ascii="Times New Roman" w:eastAsia="Times New Roman" w:hAnsi="Times New Roman"/>
          <w:i/>
          <w:sz w:val="24"/>
          <w:szCs w:val="24"/>
          <w:lang w:eastAsia="en-AU"/>
        </w:rPr>
        <w:t>NGER (Measurement) Determination</w:t>
      </w:r>
      <w:r w:rsidR="00EA5922">
        <w:rPr>
          <w:rFonts w:ascii="Times New Roman" w:eastAsia="Times New Roman" w:hAnsi="Times New Roman"/>
          <w:i/>
          <w:sz w:val="24"/>
          <w:szCs w:val="24"/>
          <w:lang w:eastAsia="en-AU"/>
        </w:rPr>
        <w:t xml:space="preserve"> </w:t>
      </w:r>
      <w:r w:rsidR="00100141" w:rsidRPr="00100141">
        <w:rPr>
          <w:rFonts w:ascii="Times New Roman" w:eastAsia="Times New Roman" w:hAnsi="Times New Roman"/>
          <w:sz w:val="24"/>
          <w:szCs w:val="24"/>
          <w:lang w:eastAsia="en-AU"/>
        </w:rPr>
        <w:t xml:space="preserve">which determine the emissions of a specific waste </w:t>
      </w:r>
      <w:r w:rsidR="00EA5922">
        <w:rPr>
          <w:rFonts w:ascii="Times New Roman" w:eastAsia="Times New Roman" w:hAnsi="Times New Roman"/>
          <w:sz w:val="24"/>
          <w:szCs w:val="24"/>
          <w:lang w:eastAsia="en-AU"/>
        </w:rPr>
        <w:t xml:space="preserve">mix </w:t>
      </w:r>
      <w:r w:rsidR="00100141" w:rsidRPr="00100141">
        <w:rPr>
          <w:rFonts w:ascii="Times New Roman" w:eastAsia="Times New Roman" w:hAnsi="Times New Roman"/>
          <w:sz w:val="24"/>
          <w:szCs w:val="24"/>
          <w:lang w:eastAsia="en-AU"/>
        </w:rPr>
        <w:t xml:space="preserve">type (for example </w:t>
      </w:r>
      <w:r w:rsidR="00EA5922">
        <w:rPr>
          <w:rFonts w:ascii="Times New Roman" w:eastAsia="Times New Roman" w:hAnsi="Times New Roman"/>
          <w:sz w:val="24"/>
          <w:szCs w:val="24"/>
          <w:lang w:eastAsia="en-AU"/>
        </w:rPr>
        <w:t xml:space="preserve">the </w:t>
      </w:r>
      <w:r w:rsidR="00100141" w:rsidRPr="00100141">
        <w:rPr>
          <w:rFonts w:ascii="Times New Roman" w:eastAsia="Times New Roman" w:hAnsi="Times New Roman"/>
          <w:sz w:val="24"/>
          <w:szCs w:val="24"/>
          <w:lang w:eastAsia="en-AU"/>
        </w:rPr>
        <w:t>emissions produced by food waste)</w:t>
      </w:r>
      <w:r w:rsidRPr="00AC470E">
        <w:rPr>
          <w:rFonts w:ascii="Times New Roman" w:eastAsia="Times New Roman" w:hAnsi="Times New Roman"/>
          <w:sz w:val="24"/>
          <w:szCs w:val="24"/>
          <w:lang w:eastAsia="en-AU"/>
        </w:rPr>
        <w:t xml:space="preserve">. The quantity of each </w:t>
      </w:r>
      <w:r w:rsidRPr="00BA5F20">
        <w:rPr>
          <w:rFonts w:ascii="Times New Roman" w:hAnsi="Times New Roman"/>
          <w:color w:val="000000"/>
          <w:sz w:val="24"/>
          <w:szCs w:val="24"/>
        </w:rPr>
        <w:t>waste mix type in eligible waste (</w:t>
      </w:r>
      <w:r w:rsidRPr="00921C50">
        <w:rPr>
          <w:rFonts w:ascii="Times New Roman" w:hAnsi="Times New Roman"/>
          <w:b/>
          <w:i/>
          <w:color w:val="000000"/>
          <w:sz w:val="24"/>
          <w:szCs w:val="24"/>
        </w:rPr>
        <w:t>WM</w:t>
      </w:r>
      <w:r w:rsidRPr="008F6A51">
        <w:rPr>
          <w:rFonts w:ascii="Times New Roman" w:hAnsi="Times New Roman"/>
          <w:b/>
          <w:i/>
          <w:color w:val="000000"/>
          <w:sz w:val="24"/>
          <w:szCs w:val="24"/>
          <w:vertAlign w:val="subscript"/>
        </w:rPr>
        <w:t>w</w:t>
      </w:r>
      <w:r w:rsidRPr="00BA5F20">
        <w:rPr>
          <w:rFonts w:ascii="Times New Roman" w:hAnsi="Times New Roman"/>
          <w:color w:val="000000"/>
          <w:sz w:val="24"/>
          <w:szCs w:val="24"/>
        </w:rPr>
        <w:t>) is calculated in section 24 of the Determination.</w:t>
      </w:r>
    </w:p>
    <w:p w:rsidR="002B7E2D" w:rsidRPr="00BA5F20" w:rsidRDefault="002B7E2D" w:rsidP="002B7E2D">
      <w:pPr>
        <w:spacing w:after="120" w:line="240" w:lineRule="auto"/>
        <w:rPr>
          <w:rFonts w:ascii="Times New Roman" w:hAnsi="Times New Roman"/>
          <w:color w:val="000000"/>
          <w:sz w:val="24"/>
          <w:szCs w:val="24"/>
        </w:rPr>
      </w:pPr>
    </w:p>
    <w:p w:rsidR="002B7E2D" w:rsidRPr="00AC470E" w:rsidRDefault="002B7E2D" w:rsidP="002B7E2D">
      <w:pPr>
        <w:keepNext/>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24</w:t>
      </w:r>
      <w:r w:rsidRPr="00AC470E">
        <w:rPr>
          <w:rFonts w:ascii="Times New Roman" w:eastAsia="Times New Roman" w:hAnsi="Times New Roman"/>
          <w:sz w:val="24"/>
          <w:szCs w:val="24"/>
          <w:u w:val="single"/>
          <w:lang w:eastAsia="en-AU"/>
        </w:rPr>
        <w:tab/>
        <w:t>Quantity of a waste mix type in eligible waste</w:t>
      </w:r>
    </w:p>
    <w:p w:rsidR="002B7E2D" w:rsidRPr="00AC470E" w:rsidRDefault="00A53FF7" w:rsidP="002B7E2D">
      <w:pPr>
        <w:spacing w:after="120" w:line="240" w:lineRule="auto"/>
        <w:ind w:right="285"/>
        <w:rPr>
          <w:rFonts w:ascii="Times New Roman" w:eastAsia="Times New Roman" w:hAnsi="Times New Roman"/>
          <w:sz w:val="24"/>
          <w:szCs w:val="24"/>
          <w:lang w:eastAsia="en-AU"/>
        </w:rPr>
      </w:pPr>
      <w:r w:rsidRPr="00A53FF7">
        <w:rPr>
          <w:rFonts w:ascii="Times New Roman" w:eastAsia="Times New Roman" w:hAnsi="Times New Roman"/>
          <w:b/>
          <w:i/>
          <w:sz w:val="24"/>
          <w:szCs w:val="24"/>
          <w:lang w:eastAsia="en-AU"/>
        </w:rPr>
        <w:t>Equation 5</w:t>
      </w:r>
      <w:r w:rsidR="002B7E2D" w:rsidRPr="00AC470E">
        <w:rPr>
          <w:rFonts w:ascii="Times New Roman" w:eastAsia="Times New Roman" w:hAnsi="Times New Roman"/>
          <w:sz w:val="24"/>
          <w:szCs w:val="24"/>
          <w:lang w:eastAsia="en-AU"/>
        </w:rPr>
        <w:t xml:space="preserve"> uses waste mix type percentages, prescribed in the </w:t>
      </w:r>
      <w:r w:rsidR="002B7E2D" w:rsidRPr="00AC470E">
        <w:rPr>
          <w:rFonts w:ascii="Times New Roman" w:eastAsia="Times New Roman" w:hAnsi="Times New Roman"/>
          <w:i/>
          <w:sz w:val="24"/>
          <w:szCs w:val="24"/>
          <w:lang w:eastAsia="en-AU"/>
        </w:rPr>
        <w:t>NGER (Measurement) Determination</w:t>
      </w:r>
      <w:r w:rsidR="002B7E2D" w:rsidRPr="00AC470E">
        <w:rPr>
          <w:rFonts w:ascii="Times New Roman" w:eastAsia="Times New Roman" w:hAnsi="Times New Roman"/>
          <w:sz w:val="24"/>
          <w:szCs w:val="24"/>
          <w:lang w:eastAsia="en-AU"/>
        </w:rPr>
        <w:t xml:space="preserve">, to estimate the quantity of waste mix types in eligible waste. </w:t>
      </w:r>
    </w:p>
    <w:p w:rsidR="002B7E2D" w:rsidRPr="00AC470E" w:rsidRDefault="002B7E2D" w:rsidP="002B7E2D">
      <w:pPr>
        <w:pStyle w:val="tMain"/>
        <w:tabs>
          <w:tab w:val="left" w:pos="289"/>
        </w:tabs>
        <w:spacing w:before="0" w:after="120" w:line="240" w:lineRule="auto"/>
        <w:ind w:left="0" w:right="285" w:firstLine="0"/>
        <w:jc w:val="left"/>
      </w:pPr>
      <w:r w:rsidRPr="00AC470E">
        <w:t xml:space="preserve">There is a planned change to the </w:t>
      </w:r>
      <w:r w:rsidRPr="00AC470E">
        <w:rPr>
          <w:i/>
        </w:rPr>
        <w:t>NGER (Measurement) Determination</w:t>
      </w:r>
      <w:r w:rsidRPr="00AC470E">
        <w:t xml:space="preserve"> to take effect from 1 July 2015. This will define </w:t>
      </w:r>
      <w:r w:rsidRPr="00AC470E">
        <w:rPr>
          <w:b/>
          <w:i/>
        </w:rPr>
        <w:t>municipal solid waste</w:t>
      </w:r>
      <w:r w:rsidRPr="00AC470E">
        <w:t xml:space="preserve"> into two separate classes, </w:t>
      </w:r>
      <w:r w:rsidRPr="00AC470E">
        <w:rPr>
          <w:i/>
        </w:rPr>
        <w:t>class I</w:t>
      </w:r>
      <w:r w:rsidRPr="00AC470E">
        <w:t xml:space="preserve"> and </w:t>
      </w:r>
      <w:r w:rsidRPr="00AC470E">
        <w:rPr>
          <w:i/>
        </w:rPr>
        <w:t>class II</w:t>
      </w:r>
      <w:r w:rsidRPr="00AC470E">
        <w:t xml:space="preserve">. This planned change has been incorporated into the Determination (see definition of </w:t>
      </w:r>
      <w:r w:rsidRPr="00AC470E">
        <w:rPr>
          <w:b/>
          <w:i/>
        </w:rPr>
        <w:t>municipal solid waste</w:t>
      </w:r>
      <w:r w:rsidRPr="00AC470E">
        <w:t xml:space="preserve"> in section 5). Project proponents must use the definition and related default values that are current at the time a reporting period ends (consistent with section 8).</w:t>
      </w:r>
    </w:p>
    <w:p w:rsidR="002B7E2D" w:rsidRPr="00AC470E" w:rsidRDefault="002B7E2D" w:rsidP="002B7E2D">
      <w:pPr>
        <w:pStyle w:val="tMain"/>
        <w:tabs>
          <w:tab w:val="left" w:pos="289"/>
        </w:tabs>
        <w:spacing w:before="0" w:after="120" w:line="240" w:lineRule="auto"/>
        <w:ind w:left="0" w:right="285" w:firstLine="0"/>
        <w:jc w:val="left"/>
      </w:pPr>
      <w:r w:rsidRPr="00AC470E">
        <w:t xml:space="preserve">Section 24 </w:t>
      </w:r>
      <w:r>
        <w:t>is</w:t>
      </w:r>
      <w:r w:rsidRPr="00AC470E">
        <w:t xml:space="preserve"> used to determine the proportion of each waste mix type (</w:t>
      </w:r>
      <w:r w:rsidRPr="00AC470E">
        <w:rPr>
          <w:b/>
          <w:i/>
        </w:rPr>
        <w:t>w</w:t>
      </w:r>
      <w:r w:rsidRPr="00AC470E">
        <w:t>) in the eligible waste</w:t>
      </w:r>
      <w:r>
        <w:t xml:space="preserve">. The proportion is the </w:t>
      </w:r>
      <w:r w:rsidRPr="00AC470E">
        <w:t xml:space="preserve">percentage mentioned in paragraph 5.11(2)(c) of the </w:t>
      </w:r>
      <w:r w:rsidRPr="00AC470E">
        <w:rPr>
          <w:i/>
        </w:rPr>
        <w:t>NGER (Measurement) Determination</w:t>
      </w:r>
      <w:r w:rsidRPr="00AC470E">
        <w:t xml:space="preserve"> unless it is adjusted in accordance with paragraphs 24(2)(a) or </w:t>
      </w:r>
      <w:r w:rsidR="00EA5922" w:rsidRPr="00AC470E">
        <w:t>24(2)</w:t>
      </w:r>
      <w:r w:rsidRPr="00AC470E">
        <w:t>(b)</w:t>
      </w:r>
      <w:r w:rsidR="00EA5922">
        <w:t xml:space="preserve"> of th</w:t>
      </w:r>
      <w:r w:rsidR="00D928BF">
        <w:t>is</w:t>
      </w:r>
      <w:r w:rsidR="00EA5922">
        <w:t xml:space="preserve"> Determination</w:t>
      </w:r>
      <w:r w:rsidRPr="00AC470E">
        <w:t>.</w:t>
      </w:r>
    </w:p>
    <w:p w:rsidR="002B7E2D" w:rsidRPr="00AC470E" w:rsidRDefault="002B7E2D" w:rsidP="002B7E2D">
      <w:pPr>
        <w:pStyle w:val="tMain"/>
        <w:tabs>
          <w:tab w:val="left" w:pos="289"/>
        </w:tabs>
        <w:spacing w:before="0" w:after="120" w:line="240" w:lineRule="auto"/>
        <w:ind w:left="0" w:right="285" w:firstLine="0"/>
        <w:jc w:val="left"/>
      </w:pPr>
      <w:r w:rsidRPr="00AC470E">
        <w:t xml:space="preserve">If the eligible waste contains inert waste then paragraph 24(2)(a) is used to adjust default percentages using the process outlined in subsection 5.11(3) of the </w:t>
      </w:r>
      <w:r w:rsidRPr="00AC470E">
        <w:rPr>
          <w:i/>
        </w:rPr>
        <w:t>NGER (Measurement) Determination</w:t>
      </w:r>
      <w:r w:rsidRPr="00AC470E">
        <w:t>.</w:t>
      </w:r>
    </w:p>
    <w:p w:rsidR="002B7E2D" w:rsidRPr="00AC470E" w:rsidRDefault="002B7E2D" w:rsidP="002B7E2D">
      <w:pPr>
        <w:pStyle w:val="tMain"/>
        <w:tabs>
          <w:tab w:val="left" w:pos="289"/>
        </w:tabs>
        <w:spacing w:before="0" w:after="120" w:line="240" w:lineRule="auto"/>
        <w:ind w:left="0" w:right="285" w:firstLine="0"/>
        <w:jc w:val="left"/>
      </w:pPr>
      <w:r w:rsidRPr="00AC470E">
        <w:lastRenderedPageBreak/>
        <w:t xml:space="preserve">If a project </w:t>
      </w:r>
      <w:r>
        <w:t xml:space="preserve">proponent </w:t>
      </w:r>
      <w:r w:rsidRPr="00AC470E">
        <w:t xml:space="preserve">has a licence or other requirement that restricts the quantity of specified waste mix types received by the AWT facility then paragraph 24(2)(b) is used to adjust the default percentages in accordance with the process outlined in subsection 5.11(3) of the </w:t>
      </w:r>
      <w:r w:rsidRPr="00AC470E">
        <w:rPr>
          <w:i/>
        </w:rPr>
        <w:t>NGER (Measurement) Determination</w:t>
      </w:r>
      <w:r w:rsidRPr="00AC470E">
        <w:t>.</w:t>
      </w:r>
    </w:p>
    <w:p w:rsidR="002B7E2D" w:rsidRPr="00AC470E" w:rsidRDefault="002B7E2D" w:rsidP="002B7E2D">
      <w:pPr>
        <w:pStyle w:val="tMain"/>
        <w:tabs>
          <w:tab w:val="left" w:pos="289"/>
        </w:tabs>
        <w:spacing w:before="0" w:after="120" w:line="240" w:lineRule="auto"/>
        <w:ind w:left="0" w:right="285" w:firstLine="0"/>
        <w:jc w:val="left"/>
      </w:pPr>
      <w:r w:rsidRPr="00AC470E">
        <w:t xml:space="preserve">If paragraphs 24(2)(a) or </w:t>
      </w:r>
      <w:r w:rsidR="00025E1A" w:rsidRPr="00AC470E">
        <w:t>24(2)</w:t>
      </w:r>
      <w:r w:rsidRPr="00AC470E">
        <w:t xml:space="preserve">(b) do not apply then the default percentages in paragraph 5.11(2)(c) of the </w:t>
      </w:r>
      <w:r w:rsidRPr="00AC470E">
        <w:rPr>
          <w:i/>
        </w:rPr>
        <w:t xml:space="preserve">NGER (Measurement) Determination </w:t>
      </w:r>
      <w:r w:rsidRPr="00AC470E">
        <w:t>are used.</w:t>
      </w:r>
    </w:p>
    <w:p w:rsidR="002B7E2D" w:rsidRPr="00AC470E" w:rsidRDefault="002B7E2D" w:rsidP="002B7E2D">
      <w:pPr>
        <w:pStyle w:val="tMain"/>
        <w:tabs>
          <w:tab w:val="left" w:pos="289"/>
        </w:tabs>
        <w:spacing w:before="0" w:after="120" w:line="240" w:lineRule="auto"/>
        <w:ind w:left="0" w:right="285" w:firstLine="0"/>
        <w:jc w:val="left"/>
      </w:pPr>
      <w:r w:rsidRPr="00AC470E">
        <w:t xml:space="preserve">In order to enable </w:t>
      </w:r>
      <w:r>
        <w:t>proponents</w:t>
      </w:r>
      <w:r w:rsidRPr="00AC470E">
        <w:t xml:space="preserve"> to use subsection 5.11(3) of the </w:t>
      </w:r>
      <w:r w:rsidRPr="00AC470E">
        <w:rPr>
          <w:i/>
        </w:rPr>
        <w:t>NGER (Measurement</w:t>
      </w:r>
      <w:r w:rsidR="000857FA">
        <w:rPr>
          <w:i/>
        </w:rPr>
        <w:t>)</w:t>
      </w:r>
      <w:r w:rsidRPr="00AC470E">
        <w:rPr>
          <w:i/>
        </w:rPr>
        <w:t xml:space="preserve"> Determination</w:t>
      </w:r>
      <w:r w:rsidRPr="00AC470E">
        <w:t xml:space="preserve">, references to “the landfill” in subsection 5.11(3) of the </w:t>
      </w:r>
      <w:r w:rsidRPr="00AC470E">
        <w:rPr>
          <w:i/>
        </w:rPr>
        <w:t>NGER (Measurement) Determination</w:t>
      </w:r>
      <w:r w:rsidRPr="00AC470E">
        <w:t xml:space="preserve"> are taken to be a reference to the project</w:t>
      </w:r>
      <w:r>
        <w:t xml:space="preserve"> proponent</w:t>
      </w:r>
      <w:r w:rsidRPr="00AC470E">
        <w:t>’s AWT facility.</w:t>
      </w:r>
    </w:p>
    <w:p w:rsidR="002B7E2D" w:rsidRPr="00AC470E" w:rsidRDefault="002B7E2D" w:rsidP="002B7E2D">
      <w:pPr>
        <w:pStyle w:val="tMain"/>
        <w:tabs>
          <w:tab w:val="left" w:pos="289"/>
        </w:tabs>
        <w:spacing w:before="0" w:after="120" w:line="240" w:lineRule="auto"/>
        <w:ind w:left="0" w:right="285" w:firstLine="0"/>
        <w:jc w:val="left"/>
      </w:pPr>
    </w:p>
    <w:p w:rsidR="002B7E2D" w:rsidRPr="00AC470E" w:rsidRDefault="002B7E2D" w:rsidP="002B7E2D">
      <w:pPr>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25</w:t>
      </w:r>
      <w:r w:rsidRPr="00AC470E">
        <w:rPr>
          <w:rFonts w:ascii="Times New Roman" w:eastAsia="Times New Roman" w:hAnsi="Times New Roman"/>
          <w:sz w:val="24"/>
          <w:szCs w:val="24"/>
          <w:u w:val="single"/>
          <w:lang w:eastAsia="en-AU"/>
        </w:rPr>
        <w:tab/>
        <w:t>Quantity of putrescible eligible waste</w:t>
      </w:r>
    </w:p>
    <w:p w:rsidR="002B7E2D" w:rsidRPr="00AC470E" w:rsidRDefault="002B7E2D" w:rsidP="002B7E2D">
      <w:pPr>
        <w:spacing w:after="120" w:line="240" w:lineRule="auto"/>
        <w:ind w:right="389"/>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The quantity of putrescible eligible waste processed by the AWT project is the quantity of eligible waste processed less residual waste that is disposed </w:t>
      </w:r>
      <w:r>
        <w:rPr>
          <w:rFonts w:ascii="Times New Roman" w:eastAsia="Times New Roman" w:hAnsi="Times New Roman"/>
          <w:sz w:val="24"/>
          <w:szCs w:val="24"/>
          <w:lang w:eastAsia="en-AU"/>
        </w:rPr>
        <w:t xml:space="preserve">of </w:t>
      </w:r>
      <w:r w:rsidRPr="00AC470E">
        <w:rPr>
          <w:rFonts w:ascii="Times New Roman" w:eastAsia="Times New Roman" w:hAnsi="Times New Roman"/>
          <w:sz w:val="24"/>
          <w:szCs w:val="24"/>
          <w:lang w:eastAsia="en-AU"/>
        </w:rPr>
        <w:t>and non</w:t>
      </w:r>
      <w:r w:rsidRPr="00AC470E">
        <w:rPr>
          <w:rFonts w:ascii="Times New Roman" w:eastAsia="Times New Roman" w:hAnsi="Times New Roman"/>
          <w:sz w:val="24"/>
          <w:szCs w:val="24"/>
          <w:lang w:eastAsia="en-AU"/>
        </w:rPr>
        <w:noBreakHyphen/>
        <w:t>biobased materials recovered by the facility.</w:t>
      </w:r>
    </w:p>
    <w:p w:rsidR="002B7E2D" w:rsidRPr="00AC470E" w:rsidRDefault="002B7E2D" w:rsidP="002B7E2D">
      <w:pPr>
        <w:spacing w:after="120" w:line="240" w:lineRule="auto"/>
        <w:ind w:right="389"/>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All residual waste that is disposed of is assumed to go to landfill</w:t>
      </w:r>
      <w:r>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 xml:space="preserve"> as </w:t>
      </w:r>
      <w:r>
        <w:rPr>
          <w:rFonts w:ascii="Times New Roman" w:eastAsia="Times New Roman" w:hAnsi="Times New Roman"/>
          <w:sz w:val="24"/>
          <w:szCs w:val="24"/>
          <w:lang w:eastAsia="en-AU"/>
        </w:rPr>
        <w:t xml:space="preserve">this is </w:t>
      </w:r>
      <w:r w:rsidRPr="00AC470E">
        <w:rPr>
          <w:rFonts w:ascii="Times New Roman" w:eastAsia="Times New Roman" w:hAnsi="Times New Roman"/>
          <w:sz w:val="24"/>
          <w:szCs w:val="24"/>
          <w:lang w:eastAsia="en-AU"/>
        </w:rPr>
        <w:t xml:space="preserve">a conservative estimate. The quantity of residual waste may include residual waste from ineligible waste processed by the AWT </w:t>
      </w:r>
      <w:r w:rsidR="00126225" w:rsidRPr="00AC470E">
        <w:rPr>
          <w:rFonts w:ascii="Times New Roman" w:eastAsia="Times New Roman" w:hAnsi="Times New Roman"/>
          <w:sz w:val="24"/>
          <w:szCs w:val="24"/>
          <w:lang w:eastAsia="en-AU"/>
        </w:rPr>
        <w:t>facility</w:t>
      </w:r>
      <w:r w:rsidR="00126225">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 xml:space="preserve"> however</w:t>
      </w:r>
      <w:r w:rsidR="00126225">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 xml:space="preserve"> this is unlikely to materially affect the total volume of residual waste produced by the project. In general, ineligible waste types are very high in putrescible material and therefore have very low rates of residual waste.</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The historic quantity of putrescible eligible waste (</w:t>
      </w:r>
      <w:r w:rsidRPr="00AC470E">
        <w:rPr>
          <w:rFonts w:ascii="Times New Roman" w:eastAsia="Times New Roman" w:hAnsi="Times New Roman"/>
          <w:b/>
          <w:i/>
          <w:sz w:val="24"/>
          <w:szCs w:val="24"/>
          <w:lang w:eastAsia="en-AU"/>
        </w:rPr>
        <w:t>HW</w:t>
      </w:r>
      <w:r w:rsidRPr="00AC470E">
        <w:rPr>
          <w:rFonts w:ascii="Times New Roman" w:eastAsia="Times New Roman" w:hAnsi="Times New Roman"/>
          <w:sz w:val="24"/>
          <w:szCs w:val="24"/>
          <w:lang w:eastAsia="en-AU"/>
        </w:rPr>
        <w:t>) is deducted from the quantity of waste diverted by the facility to determine the amount of putrescible eligible waste (</w:t>
      </w:r>
      <w:r w:rsidRPr="00AC470E">
        <w:rPr>
          <w:rFonts w:ascii="Times New Roman" w:eastAsia="Times New Roman" w:hAnsi="Times New Roman"/>
          <w:b/>
          <w:i/>
          <w:sz w:val="24"/>
          <w:szCs w:val="24"/>
          <w:lang w:eastAsia="en-AU"/>
        </w:rPr>
        <w:t>HW</w:t>
      </w:r>
      <w:r w:rsidRPr="00AC470E">
        <w:rPr>
          <w:rFonts w:ascii="Times New Roman" w:eastAsia="Times New Roman" w:hAnsi="Times New Roman"/>
          <w:sz w:val="24"/>
          <w:szCs w:val="24"/>
          <w:lang w:eastAsia="en-AU"/>
        </w:rPr>
        <w:t xml:space="preserve"> is calculated in section 27).</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Default="002B7E2D" w:rsidP="002B7E2D">
      <w:pPr>
        <w:keepNext/>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26</w:t>
      </w:r>
      <w:r w:rsidRPr="00AC470E">
        <w:rPr>
          <w:rFonts w:ascii="Times New Roman" w:eastAsia="Times New Roman" w:hAnsi="Times New Roman"/>
          <w:sz w:val="24"/>
          <w:szCs w:val="24"/>
          <w:u w:val="single"/>
          <w:lang w:eastAsia="en-AU"/>
        </w:rPr>
        <w:tab/>
        <w:t>Total quantity of eligible waste received</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This parameter is needed to determine the total eligible waste received by the AWT facility. It is the sum of each eligible waste stream (commercial and industrial waste, construction and demolition waste</w:t>
      </w:r>
      <w:r>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 xml:space="preserve"> or municipal solid waste).</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Pr="00AC470E" w:rsidRDefault="002B7E2D" w:rsidP="002B7E2D">
      <w:pPr>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27</w:t>
      </w:r>
      <w:r w:rsidRPr="00AC470E">
        <w:rPr>
          <w:rFonts w:ascii="Times New Roman" w:eastAsia="Times New Roman" w:hAnsi="Times New Roman"/>
          <w:sz w:val="24"/>
          <w:szCs w:val="24"/>
          <w:u w:val="single"/>
          <w:lang w:eastAsia="en-AU"/>
        </w:rPr>
        <w:tab/>
        <w:t>Historic quantity of putrescible eligible waste</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b/>
          <w:i/>
          <w:sz w:val="24"/>
          <w:szCs w:val="24"/>
          <w:lang w:eastAsia="en-AU"/>
        </w:rPr>
        <w:t>New</w:t>
      </w:r>
      <w:r w:rsidRPr="004B03F3">
        <w:rPr>
          <w:rFonts w:ascii="Times New Roman" w:hAnsi="Times New Roman"/>
          <w:b/>
          <w:i/>
          <w:sz w:val="24"/>
        </w:rPr>
        <w:t xml:space="preserve"> projects</w:t>
      </w:r>
      <w:r w:rsidRPr="00AC470E">
        <w:rPr>
          <w:rFonts w:ascii="Times New Roman" w:eastAsia="Times New Roman" w:hAnsi="Times New Roman"/>
          <w:sz w:val="24"/>
          <w:szCs w:val="24"/>
          <w:lang w:eastAsia="en-AU"/>
        </w:rPr>
        <w:t xml:space="preserve"> and </w:t>
      </w:r>
      <w:r w:rsidRPr="004B03F3">
        <w:rPr>
          <w:rFonts w:ascii="Times New Roman" w:hAnsi="Times New Roman"/>
          <w:b/>
          <w:i/>
          <w:sz w:val="24"/>
        </w:rPr>
        <w:t>transitioning projects</w:t>
      </w:r>
      <w:r w:rsidRPr="00AC470E">
        <w:rPr>
          <w:rFonts w:ascii="Times New Roman" w:eastAsia="Times New Roman" w:hAnsi="Times New Roman"/>
          <w:sz w:val="24"/>
          <w:szCs w:val="24"/>
          <w:lang w:eastAsia="en-AU"/>
        </w:rPr>
        <w:t xml:space="preserve"> are assigned a historic quantity of putrescible eligible waste that is zero. Project</w:t>
      </w:r>
      <w:r>
        <w:rPr>
          <w:rFonts w:ascii="Times New Roman" w:eastAsia="Times New Roman" w:hAnsi="Times New Roman"/>
          <w:sz w:val="24"/>
          <w:szCs w:val="24"/>
          <w:lang w:eastAsia="en-AU"/>
        </w:rPr>
        <w:t xml:space="preserve"> proponent</w:t>
      </w:r>
      <w:r w:rsidRPr="00AC470E">
        <w:rPr>
          <w:rFonts w:ascii="Times New Roman" w:eastAsia="Times New Roman" w:hAnsi="Times New Roman"/>
          <w:sz w:val="24"/>
          <w:szCs w:val="24"/>
          <w:lang w:eastAsia="en-AU"/>
        </w:rPr>
        <w:t>s that establish a new AWT facility will have no historic activity and therefore receive a zero value. Transitioning projects receive a value of zero as a transition arrangement for these projects.</w:t>
      </w:r>
    </w:p>
    <w:p w:rsidR="002B7E2D" w:rsidRPr="00AC470E" w:rsidRDefault="00100141" w:rsidP="002B7E2D">
      <w:pPr>
        <w:spacing w:after="120" w:line="240" w:lineRule="auto"/>
        <w:ind w:right="389"/>
        <w:rPr>
          <w:rFonts w:ascii="Times New Roman" w:eastAsia="Times New Roman" w:hAnsi="Times New Roman"/>
          <w:sz w:val="24"/>
          <w:szCs w:val="24"/>
          <w:lang w:eastAsia="en-AU"/>
        </w:rPr>
      </w:pPr>
      <w:r w:rsidRPr="00100141">
        <w:rPr>
          <w:rFonts w:ascii="Times New Roman" w:eastAsia="Times New Roman" w:hAnsi="Times New Roman"/>
          <w:b/>
          <w:i/>
          <w:sz w:val="24"/>
          <w:szCs w:val="24"/>
          <w:lang w:eastAsia="en-AU"/>
        </w:rPr>
        <w:t>Expansion projects</w:t>
      </w:r>
      <w:r w:rsidR="002B7E2D" w:rsidRPr="00AC470E">
        <w:rPr>
          <w:rFonts w:ascii="Times New Roman" w:eastAsia="Times New Roman" w:hAnsi="Times New Roman"/>
          <w:sz w:val="24"/>
          <w:szCs w:val="24"/>
          <w:lang w:eastAsia="en-AU"/>
        </w:rPr>
        <w:t xml:space="preserve"> must calculate the historic quantity of putrescible eligible waste (</w:t>
      </w:r>
      <w:r w:rsidR="002B7E2D" w:rsidRPr="00AC470E">
        <w:rPr>
          <w:rFonts w:ascii="Times New Roman" w:eastAsia="Times New Roman" w:hAnsi="Times New Roman"/>
          <w:b/>
          <w:i/>
          <w:sz w:val="24"/>
          <w:szCs w:val="24"/>
          <w:lang w:eastAsia="en-AU"/>
        </w:rPr>
        <w:t>HW</w:t>
      </w:r>
      <w:r w:rsidR="00F722ED" w:rsidRPr="00F722ED">
        <w:rPr>
          <w:rFonts w:ascii="Times New Roman" w:eastAsia="Times New Roman" w:hAnsi="Times New Roman"/>
          <w:sz w:val="24"/>
          <w:szCs w:val="24"/>
          <w:lang w:eastAsia="en-AU"/>
        </w:rPr>
        <w:t>)</w:t>
      </w:r>
      <w:r w:rsidR="002B7E2D" w:rsidRPr="00AC470E">
        <w:rPr>
          <w:rFonts w:ascii="Times New Roman" w:eastAsia="Times New Roman" w:hAnsi="Times New Roman"/>
          <w:sz w:val="24"/>
          <w:szCs w:val="24"/>
          <w:lang w:eastAsia="en-AU"/>
        </w:rPr>
        <w:t xml:space="preserve"> processed. The calculations for </w:t>
      </w:r>
      <w:r w:rsidR="002B7E2D" w:rsidRPr="00AC470E">
        <w:rPr>
          <w:rFonts w:ascii="Times New Roman" w:eastAsia="Times New Roman" w:hAnsi="Times New Roman"/>
          <w:b/>
          <w:i/>
          <w:sz w:val="24"/>
          <w:szCs w:val="24"/>
          <w:lang w:eastAsia="en-AU"/>
        </w:rPr>
        <w:t>HW</w:t>
      </w:r>
      <w:r w:rsidR="002B7E2D" w:rsidRPr="00AC470E">
        <w:rPr>
          <w:rFonts w:ascii="Times New Roman" w:eastAsia="Times New Roman" w:hAnsi="Times New Roman"/>
          <w:sz w:val="24"/>
          <w:szCs w:val="24"/>
          <w:lang w:eastAsia="en-AU"/>
        </w:rPr>
        <w:t xml:space="preserve"> are only required in the first reporting period for the project. The project </w:t>
      </w:r>
      <w:r w:rsidR="002B7E2D">
        <w:rPr>
          <w:rFonts w:ascii="Times New Roman" w:eastAsia="Times New Roman" w:hAnsi="Times New Roman"/>
          <w:sz w:val="24"/>
          <w:szCs w:val="24"/>
          <w:lang w:eastAsia="en-AU"/>
        </w:rPr>
        <w:t xml:space="preserve">proponent </w:t>
      </w:r>
      <w:r w:rsidR="002B7E2D" w:rsidRPr="00AC470E">
        <w:rPr>
          <w:rFonts w:ascii="Times New Roman" w:eastAsia="Times New Roman" w:hAnsi="Times New Roman"/>
          <w:sz w:val="24"/>
          <w:szCs w:val="24"/>
          <w:lang w:eastAsia="en-AU"/>
        </w:rPr>
        <w:t xml:space="preserve">will then continue to use the value calculated for all subsequent reporting periods in the crediting period. </w:t>
      </w:r>
    </w:p>
    <w:p w:rsidR="002B7E2D" w:rsidRPr="00AC470E" w:rsidRDefault="002B7E2D" w:rsidP="002B7E2D">
      <w:pPr>
        <w:spacing w:after="120" w:line="240" w:lineRule="auto"/>
        <w:ind w:right="389"/>
        <w:rPr>
          <w:rFonts w:ascii="Times New Roman" w:eastAsia="Times New Roman" w:hAnsi="Times New Roman"/>
          <w:sz w:val="24"/>
          <w:szCs w:val="24"/>
          <w:lang w:eastAsia="en-AU"/>
        </w:rPr>
      </w:pPr>
      <w:r w:rsidRPr="00AC470E">
        <w:rPr>
          <w:rFonts w:ascii="Times New Roman" w:eastAsia="Times New Roman" w:hAnsi="Times New Roman"/>
          <w:b/>
          <w:i/>
          <w:sz w:val="24"/>
          <w:szCs w:val="24"/>
          <w:lang w:eastAsia="en-AU"/>
        </w:rPr>
        <w:t>HW</w:t>
      </w:r>
      <w:r w:rsidRPr="00AC470E">
        <w:rPr>
          <w:rFonts w:ascii="Times New Roman" w:eastAsia="Times New Roman" w:hAnsi="Times New Roman"/>
          <w:sz w:val="24"/>
          <w:szCs w:val="24"/>
          <w:lang w:eastAsia="en-AU"/>
        </w:rPr>
        <w:t xml:space="preserve"> is calculated for a 24-month period prior to the project’s application and then should be adjusted on a </w:t>
      </w:r>
      <w:r w:rsidRPr="00AC470E">
        <w:rPr>
          <w:rFonts w:ascii="Times New Roman" w:eastAsia="Times New Roman" w:hAnsi="Times New Roman"/>
          <w:i/>
          <w:sz w:val="24"/>
          <w:szCs w:val="24"/>
          <w:lang w:eastAsia="en-AU"/>
        </w:rPr>
        <w:t>pro rata</w:t>
      </w:r>
      <w:r w:rsidRPr="00AC470E">
        <w:rPr>
          <w:rFonts w:ascii="Times New Roman" w:eastAsia="Times New Roman" w:hAnsi="Times New Roman"/>
          <w:sz w:val="24"/>
          <w:szCs w:val="24"/>
          <w:lang w:eastAsia="en-AU"/>
        </w:rPr>
        <w:t xml:space="preserve"> basis to the length of each reporting period. For example, if a reporting period is </w:t>
      </w:r>
      <w:r w:rsidR="00C871B0">
        <w:rPr>
          <w:rFonts w:ascii="Times New Roman" w:eastAsia="Times New Roman" w:hAnsi="Times New Roman"/>
          <w:sz w:val="24"/>
          <w:szCs w:val="24"/>
          <w:lang w:eastAsia="en-AU"/>
        </w:rPr>
        <w:t>six</w:t>
      </w:r>
      <w:r w:rsidR="00C871B0" w:rsidRPr="00AC470E">
        <w:rPr>
          <w:rFonts w:ascii="Times New Roman" w:eastAsia="Times New Roman" w:hAnsi="Times New Roman"/>
          <w:sz w:val="24"/>
          <w:szCs w:val="24"/>
          <w:lang w:eastAsia="en-AU"/>
        </w:rPr>
        <w:t xml:space="preserve"> </w:t>
      </w:r>
      <w:r w:rsidRPr="00AC470E">
        <w:rPr>
          <w:rFonts w:ascii="Times New Roman" w:eastAsia="Times New Roman" w:hAnsi="Times New Roman"/>
          <w:sz w:val="24"/>
          <w:szCs w:val="24"/>
          <w:lang w:eastAsia="en-AU"/>
        </w:rPr>
        <w:t xml:space="preserve">months the project should use the value determined for </w:t>
      </w:r>
      <w:r w:rsidRPr="00AC470E">
        <w:rPr>
          <w:rFonts w:ascii="Times New Roman" w:eastAsia="Times New Roman" w:hAnsi="Times New Roman"/>
          <w:b/>
          <w:i/>
          <w:sz w:val="24"/>
          <w:szCs w:val="24"/>
          <w:lang w:eastAsia="en-AU"/>
        </w:rPr>
        <w:t>HW</w:t>
      </w:r>
      <w:r w:rsidRPr="00AC470E">
        <w:rPr>
          <w:rFonts w:ascii="Times New Roman" w:eastAsia="Times New Roman" w:hAnsi="Times New Roman"/>
          <w:sz w:val="24"/>
          <w:szCs w:val="24"/>
          <w:lang w:eastAsia="en-AU"/>
        </w:rPr>
        <w:t xml:space="preserve"> multiplied by</w:t>
      </w:r>
      <m:oMath>
        <m:r>
          <w:rPr>
            <w:rFonts w:ascii="Cambria Math" w:eastAsia="Times New Roman" w:hAnsi="Cambria Math"/>
            <w:sz w:val="24"/>
            <w:szCs w:val="24"/>
            <w:lang w:eastAsia="en-AU"/>
          </w:rPr>
          <m:t xml:space="preserve"> </m:t>
        </m:r>
        <m:f>
          <m:fPr>
            <m:ctrlPr>
              <w:rPr>
                <w:rFonts w:ascii="Cambria Math" w:eastAsia="Times New Roman" w:hAnsi="Cambria Math"/>
                <w:i/>
                <w:sz w:val="24"/>
                <w:szCs w:val="24"/>
                <w:lang w:eastAsia="en-AU"/>
              </w:rPr>
            </m:ctrlPr>
          </m:fPr>
          <m:num>
            <m:r>
              <w:rPr>
                <w:rFonts w:ascii="Cambria Math" w:eastAsia="Times New Roman" w:hAnsi="Cambria Math"/>
                <w:sz w:val="24"/>
                <w:szCs w:val="24"/>
                <w:lang w:eastAsia="en-AU"/>
              </w:rPr>
              <m:t>6</m:t>
            </m:r>
          </m:num>
          <m:den>
            <m:r>
              <w:rPr>
                <w:rFonts w:ascii="Cambria Math" w:eastAsia="Times New Roman" w:hAnsi="Cambria Math"/>
                <w:sz w:val="24"/>
                <w:szCs w:val="24"/>
                <w:lang w:eastAsia="en-AU"/>
              </w:rPr>
              <m:t>24</m:t>
            </m:r>
          </m:den>
        </m:f>
      </m:oMath>
      <w:r w:rsidRPr="00AC470E">
        <w:rPr>
          <w:rFonts w:ascii="Times New Roman" w:eastAsia="Times New Roman" w:hAnsi="Times New Roman"/>
          <w:sz w:val="24"/>
          <w:szCs w:val="24"/>
          <w:lang w:eastAsia="en-AU"/>
        </w:rPr>
        <w:t xml:space="preserve">; where </w:t>
      </w:r>
      <w:r w:rsidR="00C871B0">
        <w:rPr>
          <w:rFonts w:ascii="Times New Roman" w:eastAsia="Times New Roman" w:hAnsi="Times New Roman"/>
          <w:sz w:val="24"/>
          <w:szCs w:val="24"/>
          <w:lang w:eastAsia="en-AU"/>
        </w:rPr>
        <w:t>six</w:t>
      </w:r>
      <w:r w:rsidR="00C871B0" w:rsidRPr="00AC470E">
        <w:rPr>
          <w:rFonts w:ascii="Times New Roman" w:eastAsia="Times New Roman" w:hAnsi="Times New Roman"/>
          <w:sz w:val="24"/>
          <w:szCs w:val="24"/>
          <w:lang w:eastAsia="en-AU"/>
        </w:rPr>
        <w:t xml:space="preserve"> </w:t>
      </w:r>
      <w:r w:rsidRPr="00AC470E">
        <w:rPr>
          <w:rFonts w:ascii="Times New Roman" w:eastAsia="Times New Roman" w:hAnsi="Times New Roman"/>
          <w:sz w:val="24"/>
          <w:szCs w:val="24"/>
          <w:lang w:eastAsia="en-AU"/>
        </w:rPr>
        <w:t>is the length of the reporting period and 24 is the 24</w:t>
      </w:r>
      <w:r>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month period prior to the project application.</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lastRenderedPageBreak/>
        <w:t xml:space="preserve">For </w:t>
      </w:r>
      <w:r w:rsidR="00100141" w:rsidRPr="00100141">
        <w:rPr>
          <w:rFonts w:ascii="Times New Roman" w:eastAsia="Times New Roman" w:hAnsi="Times New Roman"/>
          <w:sz w:val="24"/>
          <w:szCs w:val="24"/>
          <w:lang w:eastAsia="en-AU"/>
        </w:rPr>
        <w:t>expansion projects</w:t>
      </w:r>
      <w:r w:rsidRPr="00AC470E">
        <w:rPr>
          <w:rFonts w:ascii="Times New Roman" w:eastAsia="Times New Roman" w:hAnsi="Times New Roman"/>
          <w:sz w:val="24"/>
          <w:szCs w:val="24"/>
          <w:lang w:eastAsia="en-AU"/>
        </w:rPr>
        <w:t xml:space="preserve">, evidence to calculate </w:t>
      </w:r>
      <w:r w:rsidRPr="00AC470E">
        <w:rPr>
          <w:rFonts w:ascii="Times New Roman" w:eastAsia="Times New Roman" w:hAnsi="Times New Roman"/>
          <w:b/>
          <w:i/>
          <w:sz w:val="24"/>
          <w:szCs w:val="24"/>
          <w:lang w:eastAsia="en-AU"/>
        </w:rPr>
        <w:t>HW</w:t>
      </w:r>
      <w:r w:rsidRPr="00AC470E">
        <w:rPr>
          <w:rFonts w:ascii="Times New Roman" w:eastAsia="Times New Roman" w:hAnsi="Times New Roman"/>
          <w:sz w:val="24"/>
          <w:szCs w:val="24"/>
          <w:lang w:eastAsia="en-AU"/>
        </w:rPr>
        <w:t xml:space="preserve"> is required at the time of project application and must meet industry estimation practices and appropriate measuring requirements. </w:t>
      </w:r>
      <w:r w:rsidR="00A53FF7" w:rsidRPr="00A53FF7">
        <w:rPr>
          <w:rFonts w:ascii="Times New Roman" w:eastAsia="Times New Roman" w:hAnsi="Times New Roman"/>
          <w:b/>
          <w:i/>
          <w:sz w:val="24"/>
          <w:szCs w:val="24"/>
          <w:lang w:eastAsia="en-AU"/>
        </w:rPr>
        <w:t>Appropriate evidence</w:t>
      </w:r>
      <w:r w:rsidRPr="00AC470E">
        <w:rPr>
          <w:rFonts w:ascii="Times New Roman" w:eastAsia="Times New Roman" w:hAnsi="Times New Roman"/>
          <w:sz w:val="24"/>
          <w:szCs w:val="24"/>
          <w:lang w:eastAsia="en-AU"/>
        </w:rPr>
        <w:t xml:space="preserve"> may include: weighbridge records</w:t>
      </w:r>
      <w:r w:rsidR="0059269F">
        <w:rPr>
          <w:rFonts w:ascii="Times New Roman" w:eastAsia="Times New Roman" w:hAnsi="Times New Roman"/>
          <w:sz w:val="24"/>
          <w:szCs w:val="24"/>
          <w:lang w:eastAsia="en-AU"/>
        </w:rPr>
        <w:t xml:space="preserve"> or</w:t>
      </w:r>
      <w:r w:rsidR="00705CDE">
        <w:rPr>
          <w:rFonts w:ascii="Times New Roman" w:eastAsia="Times New Roman" w:hAnsi="Times New Roman"/>
          <w:sz w:val="24"/>
          <w:szCs w:val="24"/>
          <w:lang w:eastAsia="en-AU"/>
        </w:rPr>
        <w:t xml:space="preserve"> </w:t>
      </w:r>
      <w:r w:rsidRPr="00AC470E">
        <w:rPr>
          <w:rFonts w:ascii="Times New Roman" w:eastAsia="Times New Roman" w:hAnsi="Times New Roman"/>
          <w:sz w:val="24"/>
          <w:szCs w:val="24"/>
          <w:lang w:eastAsia="en-AU"/>
        </w:rPr>
        <w:t xml:space="preserve">evidence of waste </w:t>
      </w:r>
      <w:r w:rsidR="0059269F">
        <w:rPr>
          <w:rFonts w:ascii="Times New Roman" w:eastAsia="Times New Roman" w:hAnsi="Times New Roman"/>
          <w:sz w:val="24"/>
          <w:szCs w:val="24"/>
          <w:lang w:eastAsia="en-AU"/>
        </w:rPr>
        <w:t>transport</w:t>
      </w:r>
      <w:r w:rsidR="0059269F" w:rsidRPr="00AC470E">
        <w:rPr>
          <w:rFonts w:ascii="Times New Roman" w:eastAsia="Times New Roman" w:hAnsi="Times New Roman"/>
          <w:sz w:val="24"/>
          <w:szCs w:val="24"/>
          <w:lang w:eastAsia="en-AU"/>
        </w:rPr>
        <w:t xml:space="preserve"> </w:t>
      </w:r>
      <w:r w:rsidRPr="00AC470E">
        <w:rPr>
          <w:rFonts w:ascii="Times New Roman" w:eastAsia="Times New Roman" w:hAnsi="Times New Roman"/>
          <w:sz w:val="24"/>
          <w:szCs w:val="24"/>
          <w:lang w:eastAsia="en-AU"/>
        </w:rPr>
        <w:t>contracts</w:t>
      </w:r>
      <w:r w:rsidR="0059269F">
        <w:rPr>
          <w:rFonts w:ascii="Times New Roman" w:eastAsia="Times New Roman" w:hAnsi="Times New Roman"/>
          <w:sz w:val="24"/>
          <w:szCs w:val="24"/>
          <w:lang w:eastAsia="en-AU"/>
        </w:rPr>
        <w:t xml:space="preserve"> and</w:t>
      </w:r>
      <w:r w:rsidRPr="00AC470E">
        <w:rPr>
          <w:rFonts w:ascii="Times New Roman" w:eastAsia="Times New Roman" w:hAnsi="Times New Roman"/>
          <w:sz w:val="24"/>
          <w:szCs w:val="24"/>
          <w:lang w:eastAsia="en-AU"/>
        </w:rPr>
        <w:t xml:space="preserve"> invoices </w:t>
      </w:r>
      <w:r w:rsidR="0059269F">
        <w:rPr>
          <w:rFonts w:ascii="Times New Roman" w:eastAsia="Times New Roman" w:hAnsi="Times New Roman"/>
          <w:sz w:val="24"/>
          <w:szCs w:val="24"/>
          <w:lang w:eastAsia="en-AU"/>
        </w:rPr>
        <w:t>that refer to the relevant quantities of waste.</w:t>
      </w:r>
      <w:r w:rsidRPr="00AC470E">
        <w:rPr>
          <w:rFonts w:ascii="Times New Roman" w:eastAsia="Times New Roman" w:hAnsi="Times New Roman"/>
          <w:sz w:val="24"/>
          <w:szCs w:val="24"/>
          <w:lang w:eastAsia="en-AU"/>
        </w:rPr>
        <w:t xml:space="preserve"> An expansion project without </w:t>
      </w:r>
      <w:r>
        <w:rPr>
          <w:rFonts w:ascii="Times New Roman" w:eastAsia="Times New Roman" w:hAnsi="Times New Roman"/>
          <w:sz w:val="24"/>
          <w:szCs w:val="24"/>
          <w:lang w:eastAsia="en-AU"/>
        </w:rPr>
        <w:t xml:space="preserve">satisfactory </w:t>
      </w:r>
      <w:r w:rsidRPr="00AC470E">
        <w:rPr>
          <w:rFonts w:ascii="Times New Roman" w:eastAsia="Times New Roman" w:hAnsi="Times New Roman"/>
          <w:sz w:val="24"/>
          <w:szCs w:val="24"/>
          <w:lang w:eastAsia="en-AU"/>
        </w:rPr>
        <w:t>evidence would not be declared an eligible offsets project.</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Pr="00AC470E" w:rsidRDefault="002B7E2D" w:rsidP="002B7E2D">
      <w:pPr>
        <w:keepNext/>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t>Subdivision C</w:t>
      </w:r>
      <w:r w:rsidR="00C871B0">
        <w:rPr>
          <w:rFonts w:ascii="Times New Roman" w:hAnsi="Times New Roman"/>
          <w:b/>
          <w:color w:val="000000"/>
          <w:sz w:val="24"/>
          <w:szCs w:val="24"/>
        </w:rPr>
        <w:tab/>
      </w:r>
      <w:r w:rsidR="00C871B0">
        <w:rPr>
          <w:rFonts w:ascii="Times New Roman" w:hAnsi="Times New Roman"/>
          <w:b/>
          <w:color w:val="000000"/>
          <w:sz w:val="24"/>
          <w:szCs w:val="24"/>
        </w:rPr>
        <w:tab/>
      </w:r>
      <w:r w:rsidRPr="00AC470E">
        <w:rPr>
          <w:rFonts w:ascii="Times New Roman" w:hAnsi="Times New Roman"/>
          <w:b/>
          <w:color w:val="000000"/>
          <w:sz w:val="24"/>
          <w:szCs w:val="24"/>
        </w:rPr>
        <w:t>Calculations relating to project emissions</w:t>
      </w:r>
    </w:p>
    <w:p w:rsidR="002B7E2D" w:rsidRPr="00AC470E" w:rsidRDefault="002B7E2D" w:rsidP="002B7E2D">
      <w:pPr>
        <w:keepNext/>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28</w:t>
      </w:r>
      <w:r w:rsidRPr="00AC470E">
        <w:rPr>
          <w:rFonts w:ascii="Times New Roman" w:hAnsi="Times New Roman"/>
          <w:color w:val="000000"/>
          <w:sz w:val="24"/>
          <w:szCs w:val="24"/>
          <w:u w:val="single"/>
        </w:rPr>
        <w:tab/>
        <w:t>Summary</w:t>
      </w:r>
    </w:p>
    <w:p w:rsidR="002B7E2D" w:rsidRDefault="002B7E2D" w:rsidP="002B7E2D">
      <w:pPr>
        <w:spacing w:after="120" w:line="240" w:lineRule="auto"/>
        <w:rPr>
          <w:color w:val="000000"/>
        </w:rPr>
      </w:pPr>
      <w:r w:rsidRPr="00AC470E">
        <w:rPr>
          <w:rFonts w:ascii="Times New Roman" w:hAnsi="Times New Roman"/>
          <w:color w:val="000000"/>
          <w:sz w:val="24"/>
          <w:szCs w:val="24"/>
        </w:rPr>
        <w:t xml:space="preserve">Section 28 provides a summary of the </w:t>
      </w:r>
      <w:r w:rsidR="007B3757">
        <w:rPr>
          <w:rFonts w:ascii="Times New Roman" w:hAnsi="Times New Roman"/>
          <w:color w:val="000000"/>
          <w:sz w:val="24"/>
          <w:szCs w:val="24"/>
        </w:rPr>
        <w:t>approach</w:t>
      </w:r>
      <w:r w:rsidRPr="00AC470E">
        <w:rPr>
          <w:rFonts w:ascii="Times New Roman" w:hAnsi="Times New Roman"/>
          <w:color w:val="000000"/>
          <w:sz w:val="24"/>
          <w:szCs w:val="24"/>
        </w:rPr>
        <w:t xml:space="preserve"> for </w:t>
      </w:r>
      <w:r w:rsidR="007B3757">
        <w:rPr>
          <w:rFonts w:ascii="Times New Roman" w:hAnsi="Times New Roman"/>
          <w:color w:val="000000"/>
          <w:sz w:val="24"/>
        </w:rPr>
        <w:t>calculating</w:t>
      </w:r>
      <w:r w:rsidRPr="00AC470E">
        <w:rPr>
          <w:rFonts w:ascii="Times New Roman" w:hAnsi="Times New Roman"/>
          <w:color w:val="000000"/>
          <w:sz w:val="24"/>
          <w:szCs w:val="24"/>
        </w:rPr>
        <w:t xml:space="preserve"> </w:t>
      </w:r>
      <w:r w:rsidRPr="004B03F3">
        <w:rPr>
          <w:rFonts w:ascii="Times New Roman" w:hAnsi="Times New Roman"/>
          <w:color w:val="000000"/>
          <w:sz w:val="24"/>
        </w:rPr>
        <w:t>project emissions</w:t>
      </w:r>
      <w:r w:rsidRPr="00AC470E">
        <w:rPr>
          <w:rFonts w:ascii="Times New Roman" w:hAnsi="Times New Roman"/>
          <w:color w:val="000000"/>
          <w:sz w:val="24"/>
          <w:szCs w:val="24"/>
        </w:rPr>
        <w:t>. Project emission</w:t>
      </w:r>
      <w:r>
        <w:rPr>
          <w:rFonts w:ascii="Times New Roman" w:hAnsi="Times New Roman"/>
          <w:color w:val="000000"/>
          <w:sz w:val="24"/>
          <w:szCs w:val="24"/>
        </w:rPr>
        <w:t>s</w:t>
      </w:r>
      <w:r w:rsidRPr="00AC470E">
        <w:rPr>
          <w:rFonts w:ascii="Times New Roman" w:hAnsi="Times New Roman"/>
          <w:color w:val="000000"/>
          <w:sz w:val="24"/>
          <w:szCs w:val="24"/>
        </w:rPr>
        <w:t xml:space="preserve"> sources include fuel</w:t>
      </w:r>
      <w:r w:rsidRPr="004B03F3">
        <w:rPr>
          <w:rFonts w:ascii="Times New Roman" w:hAnsi="Times New Roman"/>
          <w:color w:val="000000"/>
          <w:sz w:val="24"/>
        </w:rPr>
        <w:t xml:space="preserve"> use</w:t>
      </w:r>
      <w:r w:rsidRPr="00AC470E">
        <w:rPr>
          <w:rFonts w:ascii="Times New Roman" w:hAnsi="Times New Roman"/>
          <w:color w:val="000000"/>
          <w:sz w:val="24"/>
          <w:szCs w:val="24"/>
        </w:rPr>
        <w:t>, electricity use and emissions from</w:t>
      </w:r>
      <w:r w:rsidRPr="004B03F3">
        <w:rPr>
          <w:rFonts w:ascii="Times New Roman" w:hAnsi="Times New Roman"/>
          <w:color w:val="000000"/>
          <w:sz w:val="24"/>
        </w:rPr>
        <w:t xml:space="preserve"> waste treatment processes</w:t>
      </w:r>
      <w:r w:rsidRPr="00AC470E">
        <w:rPr>
          <w:rFonts w:ascii="Times New Roman" w:hAnsi="Times New Roman"/>
          <w:color w:val="000000"/>
          <w:sz w:val="24"/>
          <w:szCs w:val="24"/>
        </w:rPr>
        <w:t>.</w:t>
      </w:r>
    </w:p>
    <w:p w:rsidR="002B7E2D" w:rsidRPr="00AC470E" w:rsidRDefault="002B7E2D" w:rsidP="002B7E2D">
      <w:pPr>
        <w:spacing w:after="120" w:line="240" w:lineRule="auto"/>
        <w:rPr>
          <w:rFonts w:ascii="Times New Roman" w:eastAsia="Times New Roman" w:hAnsi="Times New Roman"/>
          <w:sz w:val="24"/>
          <w:szCs w:val="24"/>
          <w:u w:val="single"/>
          <w:lang w:eastAsia="en-AU"/>
        </w:rPr>
      </w:pPr>
    </w:p>
    <w:p w:rsidR="002B7E2D" w:rsidRPr="00AC470E" w:rsidRDefault="002B7E2D" w:rsidP="002B7E2D">
      <w:pPr>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29</w:t>
      </w:r>
      <w:r w:rsidRPr="00AC470E">
        <w:rPr>
          <w:rFonts w:ascii="Times New Roman" w:eastAsia="Times New Roman" w:hAnsi="Times New Roman"/>
          <w:sz w:val="24"/>
          <w:szCs w:val="24"/>
          <w:u w:val="single"/>
          <w:lang w:eastAsia="en-AU"/>
        </w:rPr>
        <w:tab/>
        <w:t>Project emissions</w:t>
      </w:r>
    </w:p>
    <w:p w:rsidR="002B7E2D" w:rsidRPr="00AC470E" w:rsidRDefault="002B7E2D" w:rsidP="002B7E2D">
      <w:pPr>
        <w:pStyle w:val="Default"/>
        <w:spacing w:after="120"/>
        <w:rPr>
          <w:rFonts w:ascii="Times New Roman" w:hAnsi="Times New Roman" w:cs="Times New Roman"/>
          <w:color w:val="auto"/>
        </w:rPr>
      </w:pPr>
      <w:r w:rsidRPr="00AC470E">
        <w:rPr>
          <w:rFonts w:ascii="Times New Roman" w:eastAsia="Times New Roman" w:hAnsi="Times New Roman"/>
          <w:lang w:eastAsia="en-AU"/>
        </w:rPr>
        <w:t xml:space="preserve">Emissions from the project are calculated by taking into account emissions from fuel and electricity use and multiplied by the proportion of putrescible waste within the total eligible waste received by the AWT facility. </w:t>
      </w:r>
      <w:r w:rsidR="00303A98" w:rsidRPr="008A3038">
        <w:rPr>
          <w:rFonts w:ascii="Times New Roman" w:eastAsia="Times New Roman" w:hAnsi="Times New Roman"/>
          <w:lang w:eastAsia="en-AU"/>
        </w:rPr>
        <w:t xml:space="preserve">Fuel and electricity emissions are multiplied by this proportion because only </w:t>
      </w:r>
      <w:r w:rsidR="00303A98" w:rsidRPr="008A3038">
        <w:rPr>
          <w:rFonts w:ascii="Times New Roman" w:hAnsi="Times New Roman" w:cs="Times New Roman"/>
        </w:rPr>
        <w:t>emissions from the processing of waste materials related to the manufacture of biobased products</w:t>
      </w:r>
      <w:r w:rsidR="00303A98" w:rsidRPr="008A3038">
        <w:rPr>
          <w:rFonts w:ascii="Times New Roman" w:hAnsi="Times New Roman" w:cs="Times New Roman"/>
          <w:color w:val="auto"/>
        </w:rPr>
        <w:t xml:space="preserve"> </w:t>
      </w:r>
      <w:r w:rsidR="00303A98" w:rsidRPr="008A3038">
        <w:rPr>
          <w:rFonts w:ascii="Times New Roman" w:hAnsi="Times New Roman" w:cs="Times New Roman"/>
        </w:rPr>
        <w:t xml:space="preserve">are included. The emissions associated with the manufacture of non-biobased materials (for example recovery of steel) are excluded. This approach is consistent with </w:t>
      </w:r>
      <w:r w:rsidR="00E96E67">
        <w:rPr>
          <w:rFonts w:ascii="Times New Roman" w:hAnsi="Times New Roman" w:cs="Times New Roman"/>
        </w:rPr>
        <w:t xml:space="preserve">the </w:t>
      </w:r>
      <w:r w:rsidR="00303A98" w:rsidRPr="008A3038">
        <w:rPr>
          <w:rFonts w:ascii="Times New Roman" w:hAnsi="Times New Roman" w:cs="Times New Roman"/>
        </w:rPr>
        <w:t>CFI AWT Determinations</w:t>
      </w:r>
      <w:r w:rsidRPr="008A3038">
        <w:rPr>
          <w:rFonts w:ascii="Times New Roman" w:hAnsi="Times New Roman" w:cs="Times New Roman"/>
        </w:rPr>
        <w:t>.</w:t>
      </w:r>
      <w:r w:rsidRPr="00AC470E">
        <w:rPr>
          <w:rFonts w:ascii="Times New Roman" w:hAnsi="Times New Roman" w:cs="Times New Roman"/>
        </w:rPr>
        <w:t xml:space="preserve"> </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Project emissions also include emissions from the waste treatment process depending on the type (or types) of waste processing technology used</w:t>
      </w:r>
      <w:r w:rsidR="00E96E67">
        <w:rPr>
          <w:rFonts w:ascii="Times New Roman" w:hAnsi="Times New Roman"/>
          <w:color w:val="000000"/>
          <w:sz w:val="24"/>
          <w:szCs w:val="24"/>
        </w:rPr>
        <w:t xml:space="preserve"> (see</w:t>
      </w:r>
      <w:r w:rsidR="00E96E67" w:rsidRPr="00AC470E">
        <w:rPr>
          <w:rFonts w:ascii="Times New Roman" w:hAnsi="Times New Roman"/>
          <w:color w:val="000000"/>
          <w:sz w:val="24"/>
          <w:szCs w:val="24"/>
        </w:rPr>
        <w:t xml:space="preserve"> section</w:t>
      </w:r>
      <w:r w:rsidR="00E96E67">
        <w:rPr>
          <w:rFonts w:ascii="Times New Roman" w:hAnsi="Times New Roman"/>
          <w:color w:val="000000"/>
          <w:sz w:val="24"/>
          <w:szCs w:val="24"/>
        </w:rPr>
        <w:t>s</w:t>
      </w:r>
      <w:r w:rsidR="00E96E67" w:rsidRPr="00AC470E">
        <w:rPr>
          <w:rFonts w:ascii="Times New Roman" w:hAnsi="Times New Roman"/>
          <w:color w:val="000000"/>
          <w:sz w:val="24"/>
          <w:szCs w:val="24"/>
        </w:rPr>
        <w:t xml:space="preserve"> 32</w:t>
      </w:r>
      <w:r w:rsidR="00E96E67">
        <w:rPr>
          <w:rFonts w:ascii="Times New Roman" w:hAnsi="Times New Roman"/>
          <w:color w:val="000000"/>
          <w:sz w:val="24"/>
          <w:szCs w:val="24"/>
        </w:rPr>
        <w:t xml:space="preserve"> to 38)</w:t>
      </w:r>
      <w:r w:rsidRPr="00AC470E">
        <w:rPr>
          <w:rFonts w:ascii="Times New Roman" w:hAnsi="Times New Roman"/>
          <w:color w:val="000000"/>
          <w:sz w:val="24"/>
          <w:szCs w:val="24"/>
        </w:rPr>
        <w:t>.</w:t>
      </w:r>
    </w:p>
    <w:p w:rsidR="002B7E2D" w:rsidRPr="00AC470E" w:rsidRDefault="002B7E2D" w:rsidP="002B7E2D">
      <w:pPr>
        <w:spacing w:after="120" w:line="240" w:lineRule="auto"/>
        <w:rPr>
          <w:rFonts w:ascii="Times New Roman" w:hAnsi="Times New Roman"/>
          <w:color w:val="000000"/>
          <w:sz w:val="24"/>
          <w:szCs w:val="24"/>
        </w:rPr>
      </w:pPr>
    </w:p>
    <w:p w:rsidR="002B7E2D" w:rsidRPr="00AC470E" w:rsidRDefault="002B7E2D" w:rsidP="002B7E2D">
      <w:pPr>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30</w:t>
      </w:r>
      <w:r w:rsidRPr="00AC470E">
        <w:rPr>
          <w:rFonts w:ascii="Times New Roman" w:eastAsia="Times New Roman" w:hAnsi="Times New Roman"/>
          <w:sz w:val="24"/>
          <w:szCs w:val="24"/>
          <w:u w:val="single"/>
          <w:lang w:eastAsia="en-AU"/>
        </w:rPr>
        <w:tab/>
        <w:t>Emissions from fuel</w:t>
      </w:r>
    </w:p>
    <w:p w:rsidR="002B7E2D" w:rsidRDefault="002B7E2D" w:rsidP="002B7E2D">
      <w:pPr>
        <w:spacing w:after="120" w:line="240" w:lineRule="auto"/>
        <w:ind w:left="34"/>
        <w:rPr>
          <w:rFonts w:ascii="Times New Roman" w:hAnsi="Times New Roman"/>
          <w:color w:val="000000"/>
          <w:sz w:val="24"/>
          <w:szCs w:val="24"/>
        </w:rPr>
      </w:pPr>
      <w:r w:rsidRPr="00AC470E">
        <w:rPr>
          <w:rFonts w:ascii="Times New Roman" w:hAnsi="Times New Roman"/>
          <w:color w:val="000000"/>
          <w:sz w:val="24"/>
          <w:szCs w:val="24"/>
        </w:rPr>
        <w:t xml:space="preserve">Fuel use emissions are calculated using the quantity of fuel used for each type of fuel multiplied by the relevant fuel energy content and emissions factors. Emissions for each gas and for each fuel type are then added together to determine the total emissions from fuel. Default fuel energy content and emissions factors from the </w:t>
      </w:r>
      <w:r w:rsidRPr="00AC470E">
        <w:rPr>
          <w:rFonts w:ascii="Times New Roman" w:hAnsi="Times New Roman"/>
          <w:i/>
          <w:color w:val="000000"/>
          <w:sz w:val="24"/>
          <w:szCs w:val="24"/>
        </w:rPr>
        <w:t>NGER (Measurement) Determination</w:t>
      </w:r>
      <w:r w:rsidRPr="00AC470E">
        <w:rPr>
          <w:rFonts w:ascii="Times New Roman" w:hAnsi="Times New Roman"/>
          <w:color w:val="000000"/>
          <w:sz w:val="24"/>
          <w:szCs w:val="24"/>
        </w:rPr>
        <w:t xml:space="preserve"> are used to estimate emissions. If biogas is produced by the project and used as a fuel source it should not be counted in this equation. Emissions from the combustion of biogas are calculated separately in section 38.</w:t>
      </w:r>
    </w:p>
    <w:p w:rsidR="002B7E2D" w:rsidRDefault="002B7E2D" w:rsidP="002B7E2D">
      <w:pPr>
        <w:spacing w:after="120" w:line="240" w:lineRule="auto"/>
        <w:ind w:left="34"/>
        <w:rPr>
          <w:rFonts w:ascii="Times New Roman" w:hAnsi="Times New Roman"/>
          <w:color w:val="000000"/>
          <w:sz w:val="24"/>
          <w:szCs w:val="24"/>
        </w:rPr>
      </w:pPr>
    </w:p>
    <w:p w:rsidR="002B7E2D" w:rsidRPr="00AC470E" w:rsidRDefault="002B7E2D" w:rsidP="002B7E2D">
      <w:pPr>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31</w:t>
      </w:r>
      <w:r w:rsidRPr="00AC470E">
        <w:rPr>
          <w:rFonts w:ascii="Times New Roman" w:eastAsia="Times New Roman" w:hAnsi="Times New Roman"/>
          <w:sz w:val="24"/>
          <w:szCs w:val="24"/>
          <w:u w:val="single"/>
          <w:lang w:eastAsia="en-AU"/>
        </w:rPr>
        <w:tab/>
        <w:t>Emissions from purchased electricity</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Emissions from electricity are calculated based on the quantity of electricity used in the operation of the facility multiplied by the relevant scope 2 electricity emissions factor.</w:t>
      </w:r>
    </w:p>
    <w:p w:rsidR="00915525" w:rsidRDefault="005B46F6" w:rsidP="002B7E2D">
      <w:pPr>
        <w:pStyle w:val="Definition0"/>
        <w:spacing w:before="0" w:after="120"/>
        <w:ind w:left="0"/>
        <w:rPr>
          <w:color w:val="000000"/>
          <w:sz w:val="24"/>
          <w:szCs w:val="24"/>
        </w:rPr>
      </w:pPr>
      <w:r>
        <w:rPr>
          <w:color w:val="000000"/>
          <w:sz w:val="24"/>
          <w:szCs w:val="24"/>
        </w:rPr>
        <w:t xml:space="preserve">Electricity emission factors are set out in the </w:t>
      </w:r>
      <w:r w:rsidRPr="009012BC">
        <w:rPr>
          <w:b/>
          <w:i/>
          <w:color w:val="000000"/>
          <w:sz w:val="24"/>
          <w:szCs w:val="24"/>
        </w:rPr>
        <w:t>NGA Factors document</w:t>
      </w:r>
      <w:r>
        <w:rPr>
          <w:color w:val="000000"/>
          <w:sz w:val="24"/>
          <w:szCs w:val="24"/>
        </w:rPr>
        <w:t xml:space="preserve">, as updated from time to time. Proponents will apply the relevant electricity emissions factor from the document as in force on the </w:t>
      </w:r>
      <w:r w:rsidRPr="005B46F6">
        <w:rPr>
          <w:b/>
          <w:i/>
          <w:color w:val="000000"/>
          <w:sz w:val="24"/>
          <w:szCs w:val="24"/>
        </w:rPr>
        <w:t>relevant day</w:t>
      </w:r>
      <w:r>
        <w:rPr>
          <w:color w:val="000000"/>
          <w:sz w:val="24"/>
          <w:szCs w:val="24"/>
        </w:rPr>
        <w:t>. This is intended to provide certainty to proponents that the emissions intensity of electricity imported will not deviate due to factors outside of their control once a project has commenced.</w:t>
      </w:r>
      <w:r w:rsidR="002B7E2D">
        <w:rPr>
          <w:color w:val="000000"/>
          <w:sz w:val="24"/>
          <w:szCs w:val="24"/>
          <w:lang w:eastAsia="en-US"/>
        </w:rPr>
        <w:t xml:space="preserve"> </w:t>
      </w:r>
      <w:r w:rsidR="00915525">
        <w:rPr>
          <w:color w:val="000000"/>
          <w:sz w:val="24"/>
          <w:szCs w:val="24"/>
        </w:rPr>
        <w:t>The NGA Factors document will clearly identify the table of emissions factors relevant to this definition.</w:t>
      </w:r>
    </w:p>
    <w:p w:rsidR="002B7E2D" w:rsidRDefault="005B46F6" w:rsidP="002B7E2D">
      <w:pPr>
        <w:pStyle w:val="Definition0"/>
        <w:spacing w:before="0" w:after="120"/>
        <w:ind w:left="0"/>
        <w:rPr>
          <w:color w:val="000000"/>
          <w:sz w:val="24"/>
          <w:szCs w:val="24"/>
          <w:lang w:eastAsia="en-US"/>
        </w:rPr>
      </w:pPr>
      <w:r>
        <w:rPr>
          <w:color w:val="000000"/>
          <w:sz w:val="24"/>
          <w:szCs w:val="24"/>
          <w:lang w:eastAsia="en-US"/>
        </w:rPr>
        <w:t xml:space="preserve">For </w:t>
      </w:r>
      <w:r w:rsidR="00915525">
        <w:rPr>
          <w:color w:val="000000"/>
          <w:sz w:val="24"/>
          <w:szCs w:val="24"/>
          <w:lang w:eastAsia="en-US"/>
        </w:rPr>
        <w:t xml:space="preserve">a </w:t>
      </w:r>
      <w:r>
        <w:rPr>
          <w:color w:val="000000"/>
          <w:sz w:val="24"/>
          <w:szCs w:val="24"/>
          <w:lang w:eastAsia="en-US"/>
        </w:rPr>
        <w:t xml:space="preserve">new or expansion project </w:t>
      </w:r>
      <w:r w:rsidR="00E61DA3">
        <w:rPr>
          <w:color w:val="000000"/>
          <w:sz w:val="24"/>
          <w:szCs w:val="24"/>
          <w:lang w:eastAsia="en-US"/>
        </w:rPr>
        <w:t xml:space="preserve">the </w:t>
      </w:r>
      <w:r>
        <w:rPr>
          <w:color w:val="000000"/>
          <w:sz w:val="24"/>
          <w:szCs w:val="24"/>
          <w:lang w:eastAsia="en-US"/>
        </w:rPr>
        <w:t xml:space="preserve">relevant day is </w:t>
      </w:r>
      <w:r w:rsidR="00E61DA3">
        <w:rPr>
          <w:color w:val="000000"/>
          <w:sz w:val="24"/>
          <w:szCs w:val="24"/>
          <w:lang w:eastAsia="en-US"/>
        </w:rPr>
        <w:t xml:space="preserve">the </w:t>
      </w:r>
      <w:r>
        <w:rPr>
          <w:color w:val="000000"/>
          <w:sz w:val="24"/>
          <w:szCs w:val="24"/>
        </w:rPr>
        <w:t>day the project is declared an eligible offsets project.</w:t>
      </w:r>
      <w:r>
        <w:rPr>
          <w:color w:val="000000"/>
          <w:sz w:val="24"/>
          <w:szCs w:val="24"/>
          <w:lang w:eastAsia="en-US"/>
        </w:rPr>
        <w:t xml:space="preserve"> </w:t>
      </w:r>
      <w:r w:rsidR="00D03A08">
        <w:rPr>
          <w:color w:val="000000"/>
          <w:sz w:val="24"/>
          <w:szCs w:val="24"/>
        </w:rPr>
        <w:t xml:space="preserve">For </w:t>
      </w:r>
      <w:r w:rsidR="00F722ED" w:rsidRPr="00F722ED">
        <w:rPr>
          <w:color w:val="000000"/>
          <w:sz w:val="24"/>
          <w:szCs w:val="24"/>
        </w:rPr>
        <w:t>transitioning projects,</w:t>
      </w:r>
      <w:r w:rsidR="00D03A08">
        <w:rPr>
          <w:color w:val="000000"/>
          <w:sz w:val="24"/>
          <w:szCs w:val="24"/>
        </w:rPr>
        <w:t xml:space="preserve"> </w:t>
      </w:r>
      <w:r w:rsidR="00883A92">
        <w:rPr>
          <w:color w:val="000000"/>
          <w:sz w:val="24"/>
          <w:szCs w:val="24"/>
        </w:rPr>
        <w:t>th</w:t>
      </w:r>
      <w:r w:rsidR="0009407B">
        <w:rPr>
          <w:color w:val="000000"/>
          <w:sz w:val="24"/>
          <w:szCs w:val="24"/>
        </w:rPr>
        <w:t>e</w:t>
      </w:r>
      <w:r w:rsidR="00883A92">
        <w:rPr>
          <w:color w:val="000000"/>
          <w:sz w:val="24"/>
          <w:szCs w:val="24"/>
        </w:rPr>
        <w:t xml:space="preserve"> relevant day is </w:t>
      </w:r>
      <w:r w:rsidR="00E61DA3">
        <w:rPr>
          <w:color w:val="000000"/>
          <w:sz w:val="24"/>
          <w:szCs w:val="24"/>
        </w:rPr>
        <w:t xml:space="preserve">the </w:t>
      </w:r>
      <w:r w:rsidR="00D03A08" w:rsidRPr="00E61DA3">
        <w:rPr>
          <w:color w:val="000000"/>
          <w:sz w:val="24"/>
          <w:szCs w:val="24"/>
        </w:rPr>
        <w:t>day</w:t>
      </w:r>
      <w:r w:rsidR="00E61DA3">
        <w:rPr>
          <w:color w:val="000000"/>
          <w:sz w:val="24"/>
          <w:szCs w:val="24"/>
        </w:rPr>
        <w:t xml:space="preserve"> the</w:t>
      </w:r>
      <w:r w:rsidR="00F722ED" w:rsidRPr="00F722ED">
        <w:rPr>
          <w:color w:val="000000"/>
          <w:sz w:val="24"/>
          <w:szCs w:val="24"/>
        </w:rPr>
        <w:t xml:space="preserve"> first version of the </w:t>
      </w:r>
      <w:r w:rsidR="00F722ED" w:rsidRPr="00F722ED">
        <w:rPr>
          <w:color w:val="000000"/>
          <w:sz w:val="24"/>
          <w:szCs w:val="24"/>
        </w:rPr>
        <w:lastRenderedPageBreak/>
        <w:t xml:space="preserve">NGA Factors document published after </w:t>
      </w:r>
      <w:r w:rsidR="00F722ED" w:rsidRPr="00F722ED">
        <w:rPr>
          <w:b/>
          <w:i/>
          <w:color w:val="000000"/>
          <w:sz w:val="24"/>
          <w:szCs w:val="24"/>
        </w:rPr>
        <w:t>ERF commencement day</w:t>
      </w:r>
      <w:r w:rsidR="0009407B">
        <w:rPr>
          <w:b/>
          <w:i/>
          <w:color w:val="000000"/>
          <w:sz w:val="24"/>
          <w:szCs w:val="24"/>
        </w:rPr>
        <w:t xml:space="preserve"> </w:t>
      </w:r>
      <w:r w:rsidR="00F722ED" w:rsidRPr="00F722ED">
        <w:rPr>
          <w:color w:val="000000"/>
          <w:sz w:val="24"/>
          <w:szCs w:val="24"/>
        </w:rPr>
        <w:t xml:space="preserve">is in force. This </w:t>
      </w:r>
      <w:r w:rsidR="00915525">
        <w:rPr>
          <w:color w:val="000000"/>
          <w:sz w:val="24"/>
          <w:szCs w:val="24"/>
        </w:rPr>
        <w:t>is t</w:t>
      </w:r>
      <w:r w:rsidR="00F722ED" w:rsidRPr="00F722ED">
        <w:rPr>
          <w:color w:val="000000"/>
          <w:sz w:val="24"/>
          <w:szCs w:val="24"/>
        </w:rPr>
        <w:t xml:space="preserve">he </w:t>
      </w:r>
      <w:r w:rsidR="009012BC">
        <w:rPr>
          <w:color w:val="000000"/>
          <w:sz w:val="24"/>
          <w:szCs w:val="24"/>
        </w:rPr>
        <w:t>‘</w:t>
      </w:r>
      <w:r w:rsidR="00F722ED" w:rsidRPr="00F722ED">
        <w:rPr>
          <w:color w:val="000000"/>
          <w:sz w:val="24"/>
          <w:szCs w:val="24"/>
        </w:rPr>
        <w:t xml:space="preserve">NGA Factors </w:t>
      </w:r>
      <w:r w:rsidR="00915525">
        <w:rPr>
          <w:color w:val="000000"/>
          <w:sz w:val="24"/>
          <w:szCs w:val="24"/>
        </w:rPr>
        <w:t>– December 2014</w:t>
      </w:r>
      <w:r w:rsidR="009012BC">
        <w:rPr>
          <w:color w:val="000000"/>
          <w:sz w:val="24"/>
          <w:szCs w:val="24"/>
        </w:rPr>
        <w:t>’</w:t>
      </w:r>
      <w:r w:rsidR="00915525">
        <w:rPr>
          <w:color w:val="000000"/>
          <w:sz w:val="24"/>
          <w:szCs w:val="24"/>
        </w:rPr>
        <w:t xml:space="preserve"> update and</w:t>
      </w:r>
      <w:r w:rsidR="00F722ED" w:rsidRPr="00F722ED">
        <w:rPr>
          <w:color w:val="000000"/>
          <w:sz w:val="24"/>
          <w:szCs w:val="24"/>
        </w:rPr>
        <w:t xml:space="preserve"> is the first version that contains the </w:t>
      </w:r>
      <w:r w:rsidR="00D03A08">
        <w:rPr>
          <w:color w:val="000000"/>
          <w:sz w:val="24"/>
          <w:szCs w:val="24"/>
        </w:rPr>
        <w:t>relevant electricity emissions factor</w:t>
      </w:r>
      <w:r w:rsidR="00F722ED" w:rsidRPr="00F722ED">
        <w:rPr>
          <w:color w:val="000000"/>
          <w:sz w:val="24"/>
          <w:szCs w:val="24"/>
        </w:rPr>
        <w:t>s.</w:t>
      </w:r>
      <w:r w:rsidR="00D03A08">
        <w:rPr>
          <w:color w:val="000000"/>
          <w:sz w:val="24"/>
          <w:szCs w:val="24"/>
        </w:rPr>
        <w:t xml:space="preserve"> </w:t>
      </w:r>
    </w:p>
    <w:p w:rsidR="002B7E2D" w:rsidRPr="00AC470E" w:rsidRDefault="002B7E2D" w:rsidP="002B7E2D">
      <w:pPr>
        <w:pStyle w:val="Definition0"/>
        <w:spacing w:before="0" w:after="120"/>
        <w:ind w:left="0"/>
        <w:rPr>
          <w:color w:val="000000"/>
          <w:sz w:val="24"/>
          <w:szCs w:val="24"/>
          <w:lang w:eastAsia="en-US"/>
        </w:rPr>
      </w:pPr>
      <w:r>
        <w:rPr>
          <w:color w:val="000000"/>
          <w:sz w:val="24"/>
          <w:szCs w:val="24"/>
          <w:lang w:eastAsia="en-US"/>
        </w:rPr>
        <w:t xml:space="preserve">If the electricity is from a source other than an electricity grid included in the </w:t>
      </w:r>
      <w:r w:rsidR="00F430B9">
        <w:rPr>
          <w:color w:val="000000"/>
          <w:sz w:val="24"/>
          <w:szCs w:val="24"/>
          <w:lang w:eastAsia="en-US"/>
        </w:rPr>
        <w:t>NGA</w:t>
      </w:r>
      <w:r>
        <w:rPr>
          <w:color w:val="000000"/>
          <w:sz w:val="24"/>
          <w:szCs w:val="24"/>
          <w:lang w:eastAsia="en-US"/>
        </w:rPr>
        <w:t xml:space="preserve"> Factors</w:t>
      </w:r>
      <w:r w:rsidR="00F430B9">
        <w:rPr>
          <w:color w:val="000000"/>
          <w:sz w:val="24"/>
          <w:szCs w:val="24"/>
          <w:lang w:eastAsia="en-US"/>
        </w:rPr>
        <w:t xml:space="preserve"> document</w:t>
      </w:r>
      <w:r>
        <w:rPr>
          <w:color w:val="000000"/>
          <w:sz w:val="24"/>
          <w:szCs w:val="24"/>
          <w:lang w:eastAsia="en-US"/>
        </w:rPr>
        <w:t xml:space="preserve"> then the project proponent should apply the factor provided by the supplier of the electricity</w:t>
      </w:r>
      <w:r w:rsidR="00F430B9">
        <w:rPr>
          <w:color w:val="000000"/>
          <w:sz w:val="24"/>
          <w:szCs w:val="24"/>
          <w:lang w:eastAsia="en-US"/>
        </w:rPr>
        <w:t>,</w:t>
      </w:r>
      <w:r>
        <w:rPr>
          <w:color w:val="000000"/>
          <w:sz w:val="24"/>
          <w:szCs w:val="24"/>
          <w:lang w:eastAsia="en-US"/>
        </w:rPr>
        <w:t xml:space="preserve"> or if that factor is not known</w:t>
      </w:r>
      <w:r w:rsidR="00F430B9">
        <w:rPr>
          <w:color w:val="000000"/>
          <w:sz w:val="24"/>
          <w:szCs w:val="24"/>
          <w:lang w:eastAsia="en-US"/>
        </w:rPr>
        <w:t>,</w:t>
      </w:r>
      <w:r>
        <w:rPr>
          <w:color w:val="000000"/>
          <w:sz w:val="24"/>
          <w:szCs w:val="24"/>
          <w:lang w:eastAsia="en-US"/>
        </w:rPr>
        <w:t xml:space="preserve"> then a factor for off-grid electricity </w:t>
      </w:r>
      <w:r w:rsidRPr="00AC470E">
        <w:rPr>
          <w:color w:val="000000"/>
          <w:sz w:val="24"/>
          <w:szCs w:val="24"/>
          <w:lang w:eastAsia="en-US"/>
        </w:rPr>
        <w:t xml:space="preserve">should be used. </w:t>
      </w:r>
    </w:p>
    <w:p w:rsidR="002B7E2D" w:rsidRDefault="002B7E2D" w:rsidP="002B7E2D">
      <w:pPr>
        <w:pStyle w:val="Definition0"/>
        <w:spacing w:before="0" w:after="120"/>
        <w:ind w:left="0"/>
        <w:rPr>
          <w:color w:val="000000"/>
          <w:sz w:val="24"/>
          <w:szCs w:val="24"/>
          <w:lang w:eastAsia="en-US"/>
        </w:rPr>
      </w:pPr>
      <w:r w:rsidRPr="00AC470E">
        <w:rPr>
          <w:color w:val="000000"/>
          <w:sz w:val="24"/>
          <w:szCs w:val="24"/>
          <w:lang w:eastAsia="en-US"/>
        </w:rPr>
        <w:t>Subsection 31(</w:t>
      </w:r>
      <w:r w:rsidR="00F77D13">
        <w:rPr>
          <w:color w:val="000000"/>
          <w:sz w:val="24"/>
          <w:szCs w:val="24"/>
          <w:lang w:eastAsia="en-US"/>
        </w:rPr>
        <w:t>3</w:t>
      </w:r>
      <w:r w:rsidRPr="00AC470E">
        <w:rPr>
          <w:color w:val="000000"/>
          <w:sz w:val="24"/>
          <w:szCs w:val="24"/>
          <w:lang w:eastAsia="en-US"/>
        </w:rPr>
        <w:t>) makes clear that section 8 (the use of factors current at the end of a reporting period) does not apply to the electricity emissions factor (</w:t>
      </w:r>
      <w:r w:rsidRPr="00AC470E">
        <w:rPr>
          <w:b/>
          <w:i/>
          <w:color w:val="000000"/>
          <w:sz w:val="24"/>
          <w:szCs w:val="24"/>
          <w:lang w:eastAsia="en-US"/>
        </w:rPr>
        <w:t>EF</w:t>
      </w:r>
      <w:r w:rsidRPr="00AC470E">
        <w:rPr>
          <w:b/>
          <w:i/>
          <w:color w:val="000000"/>
          <w:sz w:val="24"/>
          <w:szCs w:val="24"/>
          <w:vertAlign w:val="subscript"/>
          <w:lang w:eastAsia="en-US"/>
        </w:rPr>
        <w:t>EP</w:t>
      </w:r>
      <w:r w:rsidRPr="00AC470E">
        <w:rPr>
          <w:color w:val="000000"/>
          <w:sz w:val="24"/>
          <w:szCs w:val="24"/>
          <w:lang w:eastAsia="en-US"/>
        </w:rPr>
        <w:t>).</w:t>
      </w:r>
    </w:p>
    <w:p w:rsidR="00F430B9" w:rsidRPr="00AC470E" w:rsidRDefault="00F430B9" w:rsidP="002B7E2D">
      <w:pPr>
        <w:pStyle w:val="Definition0"/>
        <w:spacing w:before="0" w:after="120"/>
        <w:ind w:left="0"/>
        <w:rPr>
          <w:color w:val="000000"/>
          <w:sz w:val="24"/>
          <w:szCs w:val="24"/>
          <w:lang w:eastAsia="en-US"/>
        </w:rPr>
      </w:pPr>
    </w:p>
    <w:p w:rsidR="002B7E2D" w:rsidRPr="00AC470E" w:rsidRDefault="002B7E2D" w:rsidP="002B7E2D">
      <w:pPr>
        <w:keepNext/>
        <w:keepLines/>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32</w:t>
      </w:r>
      <w:r w:rsidRPr="00AC470E">
        <w:rPr>
          <w:rFonts w:ascii="Times New Roman" w:eastAsia="Times New Roman" w:hAnsi="Times New Roman"/>
          <w:sz w:val="24"/>
          <w:szCs w:val="24"/>
          <w:u w:val="single"/>
          <w:lang w:eastAsia="en-AU"/>
        </w:rPr>
        <w:tab/>
        <w:t>Emissions from the processing of eligible waste</w:t>
      </w:r>
    </w:p>
    <w:p w:rsidR="002B7E2D" w:rsidRDefault="002B7E2D" w:rsidP="002B7E2D">
      <w:pPr>
        <w:keepNext/>
        <w:keepLines/>
        <w:spacing w:after="120" w:line="240" w:lineRule="auto"/>
        <w:ind w:left="34"/>
        <w:rPr>
          <w:rFonts w:ascii="Times New Roman" w:hAnsi="Times New Roman"/>
          <w:color w:val="000000"/>
          <w:sz w:val="24"/>
          <w:szCs w:val="24"/>
        </w:rPr>
      </w:pPr>
      <w:r w:rsidRPr="00AC470E">
        <w:rPr>
          <w:rFonts w:ascii="Times New Roman" w:hAnsi="Times New Roman"/>
          <w:color w:val="000000"/>
          <w:sz w:val="24"/>
          <w:szCs w:val="24"/>
        </w:rPr>
        <w:t>Section 32 outlines steps for adding the emissions from waste treatment processes together if multiple processes are used within the one project.</w:t>
      </w:r>
      <w:r w:rsidRPr="00AC470E">
        <w:rPr>
          <w:rFonts w:ascii="Times New Roman" w:hAnsi="Times New Roman"/>
          <w:b/>
          <w:i/>
          <w:color w:val="000000"/>
          <w:sz w:val="24"/>
          <w:szCs w:val="24"/>
        </w:rPr>
        <w:t xml:space="preserve"> Processed engineered fuel manufacture</w:t>
      </w:r>
      <w:r w:rsidRPr="00AC470E">
        <w:rPr>
          <w:rFonts w:ascii="Times New Roman" w:hAnsi="Times New Roman"/>
          <w:color w:val="000000"/>
          <w:sz w:val="24"/>
          <w:szCs w:val="24"/>
        </w:rPr>
        <w:t xml:space="preserve"> is assumed to not have any specific emissions sources other than the emissions from fuel and electricity use. Emissions sources from processing eligible waste include emissions from compost</w:t>
      </w:r>
      <w:r w:rsidR="00BD359B">
        <w:rPr>
          <w:rFonts w:ascii="Times New Roman" w:hAnsi="Times New Roman"/>
          <w:color w:val="000000"/>
          <w:sz w:val="24"/>
          <w:szCs w:val="24"/>
        </w:rPr>
        <w:t>ing</w:t>
      </w:r>
      <w:r w:rsidRPr="00AC470E">
        <w:rPr>
          <w:rFonts w:ascii="Times New Roman" w:hAnsi="Times New Roman"/>
          <w:color w:val="000000"/>
          <w:sz w:val="24"/>
          <w:szCs w:val="24"/>
        </w:rPr>
        <w:t>, emissions from the combustion of biogas and emissions from the leakage or venting of an anaerobic digester.</w:t>
      </w:r>
    </w:p>
    <w:p w:rsidR="002B7E2D" w:rsidRPr="00AC470E" w:rsidRDefault="002B7E2D" w:rsidP="002B7E2D">
      <w:pPr>
        <w:keepNext/>
        <w:keepLines/>
        <w:spacing w:after="120" w:line="240" w:lineRule="auto"/>
        <w:ind w:left="34"/>
        <w:rPr>
          <w:rFonts w:ascii="Times New Roman" w:hAnsi="Times New Roman"/>
          <w:color w:val="000000"/>
          <w:sz w:val="24"/>
          <w:szCs w:val="24"/>
        </w:rPr>
      </w:pPr>
      <w:r w:rsidRPr="00AC470E">
        <w:rPr>
          <w:rFonts w:ascii="Times New Roman" w:hAnsi="Times New Roman"/>
          <w:color w:val="000000"/>
          <w:sz w:val="24"/>
          <w:szCs w:val="24"/>
        </w:rPr>
        <w:t xml:space="preserve">The emissions from processing eligible waste are multiplied by the proportion of putrescible eligible waste over the total quantity of putrescible waste that is processed. Emissions from the processing of waste are multiplied by this proportion so that emissions from processing ineligible waste are not counted as a project emission source. If a project </w:t>
      </w:r>
      <w:r>
        <w:rPr>
          <w:rFonts w:ascii="Times New Roman" w:hAnsi="Times New Roman"/>
          <w:color w:val="000000"/>
          <w:sz w:val="24"/>
          <w:szCs w:val="24"/>
        </w:rPr>
        <w:t xml:space="preserve">proponent </w:t>
      </w:r>
      <w:r w:rsidRPr="00AC470E">
        <w:rPr>
          <w:rFonts w:ascii="Times New Roman" w:hAnsi="Times New Roman"/>
          <w:color w:val="000000"/>
          <w:sz w:val="24"/>
          <w:szCs w:val="24"/>
        </w:rPr>
        <w:t xml:space="preserve">were to only process eligible waste then the proportion </w:t>
      </w:r>
      <w:r>
        <w:rPr>
          <w:rFonts w:ascii="Times New Roman" w:hAnsi="Times New Roman"/>
          <w:color w:val="000000"/>
          <w:sz w:val="24"/>
          <w:szCs w:val="24"/>
        </w:rPr>
        <w:t xml:space="preserve">assigned is </w:t>
      </w:r>
      <w:r w:rsidRPr="00AC470E">
        <w:rPr>
          <w:rFonts w:ascii="Times New Roman" w:hAnsi="Times New Roman"/>
          <w:color w:val="000000"/>
          <w:sz w:val="24"/>
          <w:szCs w:val="24"/>
        </w:rPr>
        <w:t xml:space="preserve">one </w:t>
      </w:r>
      <w:r>
        <w:rPr>
          <w:rFonts w:ascii="Times New Roman" w:hAnsi="Times New Roman"/>
          <w:color w:val="000000"/>
          <w:sz w:val="24"/>
          <w:szCs w:val="24"/>
        </w:rPr>
        <w:t xml:space="preserve">and </w:t>
      </w:r>
      <w:r w:rsidRPr="00AC470E">
        <w:rPr>
          <w:rFonts w:ascii="Times New Roman" w:hAnsi="Times New Roman"/>
          <w:color w:val="000000"/>
          <w:sz w:val="24"/>
          <w:szCs w:val="24"/>
        </w:rPr>
        <w:t xml:space="preserve">all emissions from the processing of </w:t>
      </w:r>
      <w:r>
        <w:rPr>
          <w:rFonts w:ascii="Times New Roman" w:hAnsi="Times New Roman"/>
          <w:color w:val="000000"/>
          <w:sz w:val="24"/>
          <w:szCs w:val="24"/>
        </w:rPr>
        <w:t>waste would be counted</w:t>
      </w:r>
      <w:r w:rsidRPr="00AC470E">
        <w:rPr>
          <w:rFonts w:ascii="Times New Roman" w:hAnsi="Times New Roman"/>
          <w:color w:val="000000"/>
          <w:sz w:val="24"/>
          <w:szCs w:val="24"/>
        </w:rPr>
        <w:t>.</w:t>
      </w:r>
    </w:p>
    <w:p w:rsidR="002B7E2D" w:rsidRPr="00AC470E" w:rsidRDefault="002B7E2D" w:rsidP="002B7E2D">
      <w:pPr>
        <w:keepNext/>
        <w:keepLines/>
        <w:spacing w:after="120" w:line="240" w:lineRule="auto"/>
        <w:ind w:left="34"/>
        <w:rPr>
          <w:rFonts w:ascii="Times New Roman" w:hAnsi="Times New Roman"/>
          <w:color w:val="000000"/>
          <w:sz w:val="24"/>
          <w:szCs w:val="24"/>
        </w:rPr>
      </w:pPr>
    </w:p>
    <w:p w:rsidR="002B7E2D" w:rsidRPr="00AC470E" w:rsidRDefault="002B7E2D" w:rsidP="002B7E2D">
      <w:pPr>
        <w:keepNext/>
        <w:keepLines/>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33</w:t>
      </w:r>
      <w:r w:rsidRPr="00AC470E">
        <w:rPr>
          <w:rFonts w:ascii="Times New Roman" w:eastAsia="Times New Roman" w:hAnsi="Times New Roman"/>
          <w:sz w:val="24"/>
          <w:szCs w:val="24"/>
          <w:u w:val="single"/>
          <w:lang w:eastAsia="en-AU"/>
        </w:rPr>
        <w:tab/>
        <w:t>Total quantity of putrescible waste</w:t>
      </w:r>
    </w:p>
    <w:p w:rsidR="002B7E2D" w:rsidRPr="00AC470E" w:rsidRDefault="002B7E2D" w:rsidP="002B7E2D">
      <w:pPr>
        <w:keepNext/>
        <w:keepLines/>
        <w:spacing w:after="120" w:line="240" w:lineRule="auto"/>
        <w:rPr>
          <w:rFonts w:ascii="Times New Roman" w:hAnsi="Times New Roman"/>
          <w:color w:val="000000"/>
          <w:sz w:val="24"/>
          <w:szCs w:val="24"/>
        </w:rPr>
      </w:pPr>
      <w:r w:rsidRPr="00AC470E">
        <w:rPr>
          <w:rFonts w:ascii="Times New Roman" w:hAnsi="Times New Roman"/>
          <w:color w:val="000000"/>
          <w:sz w:val="24"/>
          <w:szCs w:val="24"/>
        </w:rPr>
        <w:t>Section 33 determines the total quantity of putrescible waste</w:t>
      </w:r>
      <w:r w:rsidR="00BD359B">
        <w:rPr>
          <w:rFonts w:ascii="Times New Roman" w:hAnsi="Times New Roman"/>
          <w:color w:val="000000"/>
          <w:sz w:val="24"/>
          <w:szCs w:val="24"/>
        </w:rPr>
        <w:t xml:space="preserve"> using </w:t>
      </w:r>
      <w:r w:rsidR="00100141" w:rsidRPr="00100141">
        <w:rPr>
          <w:rFonts w:ascii="Times New Roman" w:hAnsi="Times New Roman"/>
          <w:b/>
          <w:i/>
          <w:color w:val="000000"/>
          <w:sz w:val="24"/>
          <w:szCs w:val="24"/>
        </w:rPr>
        <w:t>equation 13</w:t>
      </w:r>
      <w:r w:rsidRPr="00AC470E">
        <w:rPr>
          <w:rFonts w:ascii="Times New Roman" w:hAnsi="Times New Roman"/>
          <w:color w:val="000000"/>
          <w:sz w:val="24"/>
          <w:szCs w:val="24"/>
        </w:rPr>
        <w:t>. The total amount of putrescible waste is the total quantity of waste processed by the facility minus the quantities of residual waste and non-biobased products.</w:t>
      </w:r>
    </w:p>
    <w:p w:rsidR="002B7E2D" w:rsidRPr="00AC470E" w:rsidRDefault="002B7E2D" w:rsidP="002B7E2D">
      <w:pPr>
        <w:spacing w:after="120" w:line="240" w:lineRule="auto"/>
        <w:ind w:left="34"/>
        <w:rPr>
          <w:rFonts w:ascii="Times New Roman" w:hAnsi="Times New Roman"/>
          <w:color w:val="000000"/>
          <w:sz w:val="24"/>
          <w:szCs w:val="24"/>
        </w:rPr>
      </w:pPr>
    </w:p>
    <w:p w:rsidR="002B7E2D" w:rsidRPr="00AC470E" w:rsidRDefault="002B7E2D" w:rsidP="002B7E2D">
      <w:pPr>
        <w:keepNext/>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34</w:t>
      </w:r>
      <w:r w:rsidRPr="00AC470E">
        <w:rPr>
          <w:rFonts w:ascii="Times New Roman" w:eastAsia="Times New Roman" w:hAnsi="Times New Roman"/>
          <w:sz w:val="24"/>
          <w:szCs w:val="24"/>
          <w:u w:val="single"/>
          <w:lang w:eastAsia="en-AU"/>
        </w:rPr>
        <w:tab/>
        <w:t>Emissions from composting processes</w:t>
      </w:r>
    </w:p>
    <w:p w:rsidR="002B7E2D" w:rsidRPr="00AC470E" w:rsidRDefault="002B7E2D" w:rsidP="002B7E2D">
      <w:pPr>
        <w:spacing w:after="120" w:line="240" w:lineRule="auto"/>
        <w:ind w:left="34"/>
        <w:rPr>
          <w:rFonts w:ascii="Times New Roman" w:hAnsi="Times New Roman"/>
          <w:color w:val="000000"/>
          <w:sz w:val="24"/>
          <w:szCs w:val="24"/>
        </w:rPr>
      </w:pPr>
      <w:r w:rsidRPr="00AC470E">
        <w:rPr>
          <w:rFonts w:ascii="Times New Roman" w:hAnsi="Times New Roman"/>
          <w:color w:val="000000"/>
          <w:sz w:val="24"/>
          <w:szCs w:val="24"/>
        </w:rPr>
        <w:t xml:space="preserve">Compost emissions may be calculated with two different sub-methods consistent with the approach used in the </w:t>
      </w:r>
      <w:r w:rsidRPr="00AC470E">
        <w:rPr>
          <w:rFonts w:ascii="Times New Roman" w:hAnsi="Times New Roman"/>
          <w:i/>
          <w:color w:val="000000"/>
          <w:sz w:val="24"/>
          <w:szCs w:val="24"/>
        </w:rPr>
        <w:t>NGER (Measurement) Determination</w:t>
      </w:r>
      <w:r w:rsidRPr="00AC470E">
        <w:rPr>
          <w:rFonts w:ascii="Times New Roman" w:hAnsi="Times New Roman"/>
          <w:color w:val="000000"/>
          <w:sz w:val="24"/>
          <w:szCs w:val="24"/>
        </w:rPr>
        <w:t xml:space="preserve">. If a </w:t>
      </w:r>
      <w:r>
        <w:rPr>
          <w:rFonts w:ascii="Times New Roman" w:hAnsi="Times New Roman"/>
          <w:color w:val="000000"/>
          <w:sz w:val="24"/>
          <w:szCs w:val="24"/>
        </w:rPr>
        <w:t>proponent</w:t>
      </w:r>
      <w:r w:rsidRPr="00AC470E">
        <w:rPr>
          <w:rFonts w:ascii="Times New Roman" w:hAnsi="Times New Roman"/>
          <w:color w:val="000000"/>
          <w:sz w:val="24"/>
          <w:szCs w:val="24"/>
        </w:rPr>
        <w:t xml:space="preserve"> uses both enclosed and open windrow composting then emissions must be estimated using subsection 34(6) (sub-method 1) which </w:t>
      </w:r>
      <w:r>
        <w:rPr>
          <w:rFonts w:ascii="Times New Roman" w:hAnsi="Times New Roman"/>
          <w:color w:val="000000"/>
          <w:sz w:val="24"/>
          <w:szCs w:val="24"/>
        </w:rPr>
        <w:t>uses</w:t>
      </w:r>
      <w:r w:rsidRPr="00AC470E">
        <w:rPr>
          <w:rFonts w:ascii="Times New Roman" w:hAnsi="Times New Roman"/>
          <w:color w:val="000000"/>
          <w:sz w:val="24"/>
          <w:szCs w:val="24"/>
        </w:rPr>
        <w:t xml:space="preserve"> the default emissions factors for compost (as prescribed in the </w:t>
      </w:r>
      <w:r w:rsidRPr="00AC470E">
        <w:rPr>
          <w:rFonts w:ascii="Times New Roman" w:hAnsi="Times New Roman"/>
          <w:i/>
          <w:color w:val="000000"/>
          <w:sz w:val="24"/>
          <w:szCs w:val="24"/>
        </w:rPr>
        <w:t>NGER (Measurement) Determination</w:t>
      </w:r>
      <w:r w:rsidRPr="00AC470E">
        <w:rPr>
          <w:rFonts w:ascii="Times New Roman" w:hAnsi="Times New Roman"/>
          <w:color w:val="000000"/>
          <w:sz w:val="24"/>
          <w:szCs w:val="24"/>
        </w:rPr>
        <w:t xml:space="preserve">). </w:t>
      </w:r>
    </w:p>
    <w:p w:rsidR="002B7E2D" w:rsidRPr="00AC470E" w:rsidRDefault="002B7E2D" w:rsidP="002B7E2D">
      <w:pPr>
        <w:spacing w:after="120" w:line="240" w:lineRule="auto"/>
        <w:ind w:left="34"/>
        <w:rPr>
          <w:rFonts w:ascii="Times New Roman" w:hAnsi="Times New Roman"/>
          <w:color w:val="000000"/>
          <w:sz w:val="24"/>
          <w:szCs w:val="24"/>
        </w:rPr>
      </w:pPr>
      <w:r w:rsidRPr="00AC470E">
        <w:rPr>
          <w:rFonts w:ascii="Times New Roman" w:hAnsi="Times New Roman"/>
          <w:color w:val="000000"/>
          <w:sz w:val="24"/>
          <w:szCs w:val="24"/>
        </w:rPr>
        <w:t>Subsection 34(7) (</w:t>
      </w:r>
      <w:r w:rsidRPr="00043E3F">
        <w:rPr>
          <w:rFonts w:ascii="Times New Roman" w:hAnsi="Times New Roman"/>
          <w:color w:val="000000"/>
          <w:sz w:val="24"/>
          <w:szCs w:val="24"/>
        </w:rPr>
        <w:t>sub-method 2</w:t>
      </w:r>
      <w:r w:rsidRPr="00AC470E">
        <w:rPr>
          <w:rFonts w:ascii="Times New Roman" w:hAnsi="Times New Roman"/>
          <w:color w:val="000000"/>
          <w:sz w:val="24"/>
          <w:szCs w:val="24"/>
        </w:rPr>
        <w:t xml:space="preserve">) can only be used for enclosed composting and uses direct measurement techniques as prescribed in the </w:t>
      </w:r>
      <w:r w:rsidRPr="00AC470E">
        <w:rPr>
          <w:rFonts w:ascii="Times New Roman" w:hAnsi="Times New Roman"/>
          <w:i/>
          <w:color w:val="000000"/>
          <w:sz w:val="24"/>
          <w:szCs w:val="24"/>
        </w:rPr>
        <w:t>NGER (Measurement) Determination</w:t>
      </w:r>
      <w:r w:rsidRPr="00AC470E">
        <w:rPr>
          <w:rFonts w:ascii="Times New Roman" w:hAnsi="Times New Roman"/>
          <w:color w:val="000000"/>
          <w:sz w:val="24"/>
          <w:szCs w:val="24"/>
        </w:rPr>
        <w:t xml:space="preserve">. </w:t>
      </w:r>
    </w:p>
    <w:p w:rsidR="002B7E2D" w:rsidRDefault="002B7E2D" w:rsidP="002B7E2D">
      <w:pPr>
        <w:spacing w:after="120" w:line="240" w:lineRule="auto"/>
        <w:ind w:left="34"/>
        <w:rPr>
          <w:rFonts w:ascii="Times New Roman" w:hAnsi="Times New Roman"/>
          <w:color w:val="000000"/>
          <w:sz w:val="24"/>
        </w:rPr>
      </w:pPr>
      <w:r>
        <w:rPr>
          <w:rFonts w:ascii="Times New Roman" w:hAnsi="Times New Roman"/>
          <w:color w:val="000000"/>
          <w:sz w:val="24"/>
          <w:szCs w:val="24"/>
        </w:rPr>
        <w:t>Proponents</w:t>
      </w:r>
      <w:r w:rsidRPr="00AC470E">
        <w:rPr>
          <w:rFonts w:ascii="Times New Roman" w:hAnsi="Times New Roman"/>
          <w:color w:val="000000"/>
          <w:sz w:val="24"/>
          <w:szCs w:val="24"/>
        </w:rPr>
        <w:t xml:space="preserve"> may also </w:t>
      </w:r>
      <w:r w:rsidRPr="004B03F3">
        <w:rPr>
          <w:rFonts w:ascii="Times New Roman" w:hAnsi="Times New Roman"/>
          <w:color w:val="000000"/>
          <w:sz w:val="24"/>
        </w:rPr>
        <w:t xml:space="preserve">use </w:t>
      </w:r>
      <w:r w:rsidRPr="00AC470E">
        <w:rPr>
          <w:rFonts w:ascii="Times New Roman" w:hAnsi="Times New Roman"/>
          <w:color w:val="000000"/>
          <w:sz w:val="24"/>
          <w:szCs w:val="24"/>
        </w:rPr>
        <w:t xml:space="preserve">a combination </w:t>
      </w:r>
      <w:r w:rsidRPr="004B03F3">
        <w:rPr>
          <w:rFonts w:ascii="Times New Roman" w:hAnsi="Times New Roman"/>
          <w:color w:val="000000"/>
          <w:sz w:val="24"/>
        </w:rPr>
        <w:t xml:space="preserve">of </w:t>
      </w:r>
      <w:r w:rsidRPr="00AC470E">
        <w:rPr>
          <w:rFonts w:ascii="Times New Roman" w:hAnsi="Times New Roman"/>
          <w:color w:val="000000"/>
          <w:sz w:val="24"/>
          <w:szCs w:val="24"/>
        </w:rPr>
        <w:t xml:space="preserve">sub-method 1 and 2 to determine composting emissions. A </w:t>
      </w:r>
      <w:r>
        <w:rPr>
          <w:rFonts w:ascii="Times New Roman" w:hAnsi="Times New Roman"/>
          <w:color w:val="000000"/>
          <w:sz w:val="24"/>
          <w:szCs w:val="24"/>
        </w:rPr>
        <w:t>proponent</w:t>
      </w:r>
      <w:r w:rsidRPr="00AC470E">
        <w:rPr>
          <w:rFonts w:ascii="Times New Roman" w:hAnsi="Times New Roman"/>
          <w:color w:val="000000"/>
          <w:sz w:val="24"/>
          <w:szCs w:val="24"/>
        </w:rPr>
        <w:t xml:space="preserve"> may choose to directly measure the methane emissions (using sub</w:t>
      </w:r>
      <w:r w:rsidRPr="00AC470E">
        <w:rPr>
          <w:rFonts w:ascii="Times New Roman" w:hAnsi="Times New Roman"/>
          <w:color w:val="000000"/>
          <w:sz w:val="24"/>
          <w:szCs w:val="24"/>
        </w:rPr>
        <w:noBreakHyphen/>
        <w:t xml:space="preserve">method 2) while the nitrous oxide emissions are estimated using the default emission factor (using sub-method 1). The ability for a </w:t>
      </w:r>
      <w:r>
        <w:rPr>
          <w:rFonts w:ascii="Times New Roman" w:hAnsi="Times New Roman"/>
          <w:color w:val="000000"/>
          <w:sz w:val="24"/>
          <w:szCs w:val="24"/>
        </w:rPr>
        <w:t>proponent</w:t>
      </w:r>
      <w:r w:rsidRPr="00AC470E">
        <w:rPr>
          <w:rFonts w:ascii="Times New Roman" w:hAnsi="Times New Roman"/>
          <w:color w:val="000000"/>
          <w:sz w:val="24"/>
          <w:szCs w:val="24"/>
        </w:rPr>
        <w:t xml:space="preserve"> to measure methane emissions directly and estimate nitrous oxide emissions using default emissions factors is consistent with the </w:t>
      </w:r>
      <w:r w:rsidRPr="00AC470E">
        <w:rPr>
          <w:rFonts w:ascii="Times New Roman" w:hAnsi="Times New Roman"/>
          <w:i/>
          <w:color w:val="000000"/>
          <w:sz w:val="24"/>
          <w:szCs w:val="24"/>
        </w:rPr>
        <w:t>Carbon Credits (Carbon Farming Initiative) (Diversion of Legacy Waste to an Alternative Waste Treatment Facility) Methodology Determination 2013</w:t>
      </w:r>
      <w:r w:rsidRPr="004B03F3">
        <w:rPr>
          <w:rFonts w:ascii="Times New Roman" w:hAnsi="Times New Roman"/>
          <w:i/>
          <w:color w:val="000000"/>
          <w:sz w:val="24"/>
        </w:rPr>
        <w:t>.</w:t>
      </w:r>
      <w:r w:rsidRPr="00AC470E">
        <w:rPr>
          <w:rFonts w:ascii="Times New Roman" w:hAnsi="Times New Roman"/>
          <w:color w:val="000000"/>
          <w:sz w:val="24"/>
          <w:szCs w:val="24"/>
        </w:rPr>
        <w:t xml:space="preserve"> </w:t>
      </w:r>
    </w:p>
    <w:p w:rsidR="002B7E2D" w:rsidRPr="00AC470E" w:rsidRDefault="002B7E2D" w:rsidP="002B7E2D">
      <w:pPr>
        <w:spacing w:after="120" w:line="240" w:lineRule="auto"/>
        <w:ind w:left="34"/>
        <w:rPr>
          <w:rFonts w:ascii="Times New Roman" w:hAnsi="Times New Roman"/>
          <w:i/>
          <w:color w:val="000000"/>
          <w:sz w:val="24"/>
          <w:szCs w:val="24"/>
        </w:rPr>
      </w:pPr>
      <w:r w:rsidRPr="00AC470E">
        <w:rPr>
          <w:rFonts w:ascii="Times New Roman" w:hAnsi="Times New Roman"/>
          <w:color w:val="000000"/>
          <w:sz w:val="24"/>
          <w:szCs w:val="24"/>
        </w:rPr>
        <w:lastRenderedPageBreak/>
        <w:t xml:space="preserve">If a </w:t>
      </w:r>
      <w:r>
        <w:rPr>
          <w:rFonts w:ascii="Times New Roman" w:hAnsi="Times New Roman"/>
          <w:color w:val="000000"/>
          <w:sz w:val="24"/>
          <w:szCs w:val="24"/>
        </w:rPr>
        <w:t>proponent</w:t>
      </w:r>
      <w:r w:rsidRPr="00AC470E">
        <w:rPr>
          <w:rFonts w:ascii="Times New Roman" w:hAnsi="Times New Roman"/>
          <w:color w:val="000000"/>
          <w:sz w:val="24"/>
          <w:szCs w:val="24"/>
        </w:rPr>
        <w:t xml:space="preserve"> uses sub-method 2 to calculate either methane or total compost emissions then sub-method 2 must continue to be used from that point on. A </w:t>
      </w:r>
      <w:r>
        <w:rPr>
          <w:rFonts w:ascii="Times New Roman" w:hAnsi="Times New Roman"/>
          <w:color w:val="000000"/>
          <w:sz w:val="24"/>
          <w:szCs w:val="24"/>
        </w:rPr>
        <w:t>proponent</w:t>
      </w:r>
      <w:r w:rsidRPr="00AC470E">
        <w:rPr>
          <w:rFonts w:ascii="Times New Roman" w:hAnsi="Times New Roman"/>
          <w:color w:val="000000"/>
          <w:sz w:val="24"/>
          <w:szCs w:val="24"/>
        </w:rPr>
        <w:t xml:space="preserve"> may not use sub</w:t>
      </w:r>
      <w:r w:rsidRPr="00AC470E">
        <w:rPr>
          <w:rFonts w:ascii="Times New Roman" w:hAnsi="Times New Roman"/>
          <w:color w:val="000000"/>
          <w:sz w:val="24"/>
          <w:szCs w:val="24"/>
        </w:rPr>
        <w:noBreakHyphen/>
        <w:t xml:space="preserve">method 1 for methane measurement while using sub-method 2 to directly measure nitrous oxide. </w:t>
      </w:r>
    </w:p>
    <w:p w:rsidR="002B7E2D" w:rsidRPr="00AC470E" w:rsidRDefault="002B7E2D" w:rsidP="002B7E2D">
      <w:pPr>
        <w:spacing w:after="120" w:line="240" w:lineRule="auto"/>
        <w:ind w:left="34"/>
        <w:rPr>
          <w:rFonts w:ascii="Times New Roman" w:hAnsi="Times New Roman"/>
          <w:color w:val="000000"/>
          <w:sz w:val="24"/>
          <w:szCs w:val="24"/>
        </w:rPr>
      </w:pPr>
      <w:r w:rsidRPr="00AC470E">
        <w:rPr>
          <w:rFonts w:ascii="Times New Roman" w:hAnsi="Times New Roman"/>
          <w:color w:val="000000"/>
          <w:sz w:val="24"/>
          <w:szCs w:val="24"/>
        </w:rPr>
        <w:t xml:space="preserve">For both compost emissions sub-methods the emissions recovered through a </w:t>
      </w:r>
      <w:r w:rsidRPr="00AC470E">
        <w:rPr>
          <w:rFonts w:ascii="Times New Roman" w:hAnsi="Times New Roman"/>
          <w:b/>
          <w:i/>
          <w:color w:val="000000"/>
          <w:sz w:val="24"/>
          <w:szCs w:val="24"/>
        </w:rPr>
        <w:t>biofilter</w:t>
      </w:r>
      <w:r w:rsidRPr="00AC470E">
        <w:rPr>
          <w:rFonts w:ascii="Times New Roman" w:hAnsi="Times New Roman"/>
          <w:color w:val="000000"/>
          <w:sz w:val="24"/>
          <w:szCs w:val="24"/>
        </w:rPr>
        <w:t xml:space="preserve"> can be deducted using a default 10 per cent deduction. The default of 10 per cent is consistent with the </w:t>
      </w:r>
      <w:r w:rsidRPr="00AC470E">
        <w:rPr>
          <w:rFonts w:ascii="Times New Roman" w:hAnsi="Times New Roman"/>
          <w:i/>
          <w:color w:val="000000"/>
          <w:sz w:val="24"/>
          <w:szCs w:val="24"/>
        </w:rPr>
        <w:t>Carbon Credits (Carbon Farming Initiative) (Diversion of Legacy Waste to an Alternative Waste Treatment Facility) Methodology Determination 2013.</w:t>
      </w:r>
    </w:p>
    <w:p w:rsidR="002B7E2D" w:rsidRPr="00AC470E" w:rsidRDefault="002B7E2D" w:rsidP="002B7E2D">
      <w:pPr>
        <w:spacing w:after="120" w:line="240" w:lineRule="auto"/>
        <w:ind w:left="34"/>
        <w:rPr>
          <w:rFonts w:ascii="Times New Roman" w:hAnsi="Times New Roman"/>
          <w:color w:val="000000"/>
          <w:sz w:val="24"/>
          <w:szCs w:val="24"/>
        </w:rPr>
      </w:pPr>
    </w:p>
    <w:p w:rsidR="002B7E2D" w:rsidRPr="00AC470E" w:rsidRDefault="002B7E2D" w:rsidP="000C0A65">
      <w:pPr>
        <w:keepNext/>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35</w:t>
      </w:r>
      <w:r w:rsidRPr="00AC470E">
        <w:rPr>
          <w:rFonts w:ascii="Times New Roman" w:eastAsia="Times New Roman" w:hAnsi="Times New Roman"/>
          <w:sz w:val="24"/>
          <w:szCs w:val="24"/>
          <w:u w:val="single"/>
          <w:lang w:eastAsia="en-AU"/>
        </w:rPr>
        <w:tab/>
        <w:t>Emissions from anaerobic digesters</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 xml:space="preserve">Emissions from an anaerobic digester occur in two circumstances. The first results from the biogas collection efficiency of the anaerobic digester because under normal operation a small percentage of leakage will occur. Emissions from normal operation of the anaerobic digester are taken to be two per cent of the total methane produced. The value two per cent is used consistent with the default 98 per cent collection efficiency of an anaerobic digester which has been used in previous CFI determinations. Two per cent is determined based on the total amount of methane produced rather than only the methane that is sent to the combustion device as leakage has already occurred for the methane that is sent (therefore the equation applies the factor </w:t>
      </w:r>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CE</m:t>
                </m:r>
              </m:den>
            </m:f>
            <m:r>
              <w:rPr>
                <w:rFonts w:ascii="Cambria Math" w:hAnsi="Cambria Math"/>
              </w:rPr>
              <m:t>-1</m:t>
            </m:r>
          </m:e>
        </m:d>
        <m:r>
          <w:rPr>
            <w:rFonts w:ascii="Cambria Math" w:hAnsi="Cambria Math"/>
          </w:rPr>
          <m:t xml:space="preserve"> </m:t>
        </m:r>
      </m:oMath>
      <w:r w:rsidRPr="00AC470E">
        <w:rPr>
          <w:rFonts w:ascii="Times New Roman" w:hAnsi="Times New Roman"/>
          <w:color w:val="000000"/>
          <w:sz w:val="24"/>
          <w:szCs w:val="24"/>
        </w:rPr>
        <w:t xml:space="preserve">to </w:t>
      </w:r>
      <w:r w:rsidRPr="00AC470E">
        <w:rPr>
          <w:rFonts w:ascii="Times New Roman" w:hAnsi="Times New Roman"/>
          <w:b/>
          <w:i/>
          <w:color w:val="000000"/>
          <w:sz w:val="24"/>
          <w:szCs w:val="24"/>
        </w:rPr>
        <w:t>M</w:t>
      </w:r>
      <w:r w:rsidRPr="00AC470E">
        <w:rPr>
          <w:rFonts w:ascii="Times New Roman" w:hAnsi="Times New Roman"/>
          <w:b/>
          <w:i/>
          <w:color w:val="000000"/>
          <w:sz w:val="24"/>
          <w:szCs w:val="24"/>
          <w:vertAlign w:val="subscript"/>
        </w:rPr>
        <w:t>Sent</w:t>
      </w:r>
      <w:r w:rsidRPr="00AC470E">
        <w:rPr>
          <w:rFonts w:ascii="Times New Roman" w:hAnsi="Times New Roman"/>
          <w:color w:val="000000"/>
          <w:sz w:val="24"/>
          <w:szCs w:val="24"/>
        </w:rPr>
        <w:t xml:space="preserve">). </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 xml:space="preserve">The second circumstance when emissions from an anaerobic digester occur is when there is a major venting event and biogas stored in the system is released to the atmosphere. </w:t>
      </w:r>
      <w:r>
        <w:rPr>
          <w:rFonts w:ascii="Times New Roman" w:hAnsi="Times New Roman"/>
          <w:color w:val="000000"/>
          <w:sz w:val="24"/>
          <w:szCs w:val="24"/>
        </w:rPr>
        <w:t>In this circumstance proponents must use section 37 to determine the venting emissions.</w:t>
      </w:r>
    </w:p>
    <w:p w:rsidR="002B7E2D" w:rsidRPr="00AC470E" w:rsidRDefault="002B7E2D" w:rsidP="002B7E2D">
      <w:pPr>
        <w:spacing w:after="120" w:line="240" w:lineRule="auto"/>
        <w:rPr>
          <w:color w:val="000000"/>
        </w:rPr>
      </w:pPr>
    </w:p>
    <w:p w:rsidR="002B7E2D" w:rsidRPr="00AC470E" w:rsidRDefault="002B7E2D" w:rsidP="002B7E2D">
      <w:pPr>
        <w:keepNext/>
        <w:keepLines/>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36</w:t>
      </w:r>
      <w:r w:rsidRPr="00AC470E">
        <w:rPr>
          <w:rFonts w:ascii="Times New Roman" w:eastAsia="Times New Roman" w:hAnsi="Times New Roman"/>
          <w:sz w:val="24"/>
          <w:szCs w:val="24"/>
          <w:u w:val="single"/>
          <w:lang w:eastAsia="en-AU"/>
        </w:rPr>
        <w:tab/>
        <w:t xml:space="preserve">Volume of methane sent to a combustion device </w:t>
      </w:r>
    </w:p>
    <w:p w:rsidR="002B7E2D" w:rsidRPr="00AC470E" w:rsidRDefault="002B7E2D" w:rsidP="000C0A65">
      <w:pPr>
        <w:pStyle w:val="ListParagraph"/>
        <w:keepNext/>
        <w:keepLines/>
        <w:numPr>
          <w:ilvl w:val="0"/>
          <w:numId w:val="0"/>
        </w:numPr>
        <w:spacing w:after="120" w:line="240" w:lineRule="auto"/>
        <w:contextualSpacing/>
        <w:rPr>
          <w:rFonts w:cs="Calibri"/>
          <w:b/>
          <w:color w:val="000000"/>
          <w:sz w:val="20"/>
        </w:rPr>
      </w:pPr>
      <w:r w:rsidRPr="00AC470E">
        <w:rPr>
          <w:rFonts w:ascii="Times New Roman" w:eastAsia="Times New Roman" w:hAnsi="Times New Roman"/>
          <w:sz w:val="24"/>
          <w:szCs w:val="24"/>
          <w:lang w:eastAsia="en-AU"/>
        </w:rPr>
        <w:t>P</w:t>
      </w:r>
      <w:r w:rsidRPr="00AC470E">
        <w:rPr>
          <w:rFonts w:ascii="Times New Roman" w:hAnsi="Times New Roman"/>
          <w:sz w:val="24"/>
          <w:szCs w:val="24"/>
        </w:rPr>
        <w:t xml:space="preserve">roject proponents may use either of two sub-methods to calculate the methane sent to combustion device </w:t>
      </w:r>
      <w:r>
        <w:rPr>
          <w:rFonts w:ascii="Times New Roman" w:hAnsi="Times New Roman"/>
          <w:sz w:val="24"/>
          <w:szCs w:val="24"/>
        </w:rPr>
        <w:t>(</w:t>
      </w:r>
      <w:r w:rsidRPr="00DA7C8D">
        <w:rPr>
          <w:rFonts w:ascii="Times New Roman" w:hAnsi="Times New Roman"/>
          <w:b/>
          <w:i/>
          <w:iCs/>
          <w:sz w:val="24"/>
          <w:szCs w:val="24"/>
        </w:rPr>
        <w:t>h</w:t>
      </w:r>
      <w:r w:rsidRPr="00DA7C8D">
        <w:rPr>
          <w:rFonts w:ascii="Times New Roman" w:hAnsi="Times New Roman"/>
          <w:iCs/>
          <w:sz w:val="24"/>
          <w:szCs w:val="24"/>
        </w:rPr>
        <w:t>)</w:t>
      </w:r>
      <w:r w:rsidRPr="00AC470E">
        <w:rPr>
          <w:rFonts w:ascii="Times New Roman" w:hAnsi="Times New Roman"/>
          <w:sz w:val="24"/>
          <w:szCs w:val="24"/>
        </w:rPr>
        <w:t xml:space="preserve">. </w:t>
      </w:r>
    </w:p>
    <w:p w:rsidR="002B7E2D" w:rsidRPr="00AC470E" w:rsidRDefault="002B7E2D" w:rsidP="002B7E2D">
      <w:pPr>
        <w:keepNext/>
        <w:spacing w:after="120" w:line="240" w:lineRule="auto"/>
        <w:rPr>
          <w:rFonts w:ascii="Times New Roman" w:hAnsi="Times New Roman"/>
          <w:sz w:val="24"/>
          <w:szCs w:val="24"/>
        </w:rPr>
      </w:pPr>
      <w:r w:rsidRPr="00AC470E">
        <w:rPr>
          <w:rFonts w:ascii="Times New Roman" w:hAnsi="Times New Roman"/>
          <w:sz w:val="24"/>
          <w:szCs w:val="24"/>
        </w:rPr>
        <w:t>Subsection 36(2) (sub-method 1) uses the biogas sent to the combustion device and subsection 36(3) (sub-method 2) uses the electricity produced by an internal combustion engine. Each sub-method requires a different monitored parameter, either the volume of biogas sent to the combustion device, or the electricity produced by the internal combustion engine.</w:t>
      </w:r>
    </w:p>
    <w:p w:rsidR="002B7E2D" w:rsidRPr="00AC470E" w:rsidRDefault="002B7E2D" w:rsidP="002B7E2D">
      <w:pPr>
        <w:keepNext/>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If a </w:t>
      </w:r>
      <w:r>
        <w:rPr>
          <w:rFonts w:ascii="Times New Roman" w:eastAsia="Times New Roman" w:hAnsi="Times New Roman"/>
          <w:sz w:val="24"/>
          <w:szCs w:val="24"/>
          <w:lang w:eastAsia="en-AU"/>
        </w:rPr>
        <w:t>project proponent</w:t>
      </w:r>
      <w:r w:rsidRPr="00AC470E">
        <w:rPr>
          <w:rFonts w:ascii="Times New Roman" w:eastAsia="Times New Roman" w:hAnsi="Times New Roman"/>
          <w:sz w:val="24"/>
          <w:szCs w:val="24"/>
          <w:lang w:eastAsia="en-AU"/>
        </w:rPr>
        <w:t xml:space="preserve"> uses sub-method 1 then the fraction of the volume of biogas sent to the combustion device (</w:t>
      </w:r>
      <w:r w:rsidRPr="004B03F3">
        <w:rPr>
          <w:rFonts w:ascii="Times New Roman" w:hAnsi="Times New Roman"/>
          <w:b/>
          <w:i/>
          <w:sz w:val="24"/>
        </w:rPr>
        <w:t>h</w:t>
      </w:r>
      <w:r w:rsidRPr="00AC470E">
        <w:rPr>
          <w:rFonts w:ascii="Times New Roman" w:eastAsia="Times New Roman" w:hAnsi="Times New Roman"/>
          <w:sz w:val="24"/>
          <w:szCs w:val="24"/>
          <w:lang w:eastAsia="en-AU"/>
        </w:rPr>
        <w:t>) that is methane (</w:t>
      </w:r>
      <w:r w:rsidRPr="00AC470E">
        <w:rPr>
          <w:rFonts w:ascii="Times New Roman" w:eastAsia="Times New Roman" w:hAnsi="Times New Roman"/>
          <w:b/>
          <w:i/>
          <w:sz w:val="24"/>
          <w:szCs w:val="24"/>
          <w:lang w:eastAsia="en-AU"/>
        </w:rPr>
        <w:t>W</w:t>
      </w:r>
      <w:r w:rsidRPr="00AC470E">
        <w:rPr>
          <w:rFonts w:ascii="Times New Roman" w:eastAsia="Times New Roman" w:hAnsi="Times New Roman"/>
          <w:b/>
          <w:i/>
          <w:sz w:val="24"/>
          <w:szCs w:val="24"/>
          <w:vertAlign w:val="subscript"/>
          <w:lang w:eastAsia="en-AU"/>
        </w:rPr>
        <w:t>BG,CH</w:t>
      </w:r>
      <w:r w:rsidRPr="004B03F3">
        <w:rPr>
          <w:rFonts w:ascii="Times New Roman Bold" w:hAnsi="Times New Roman Bold"/>
          <w:b/>
          <w:i/>
          <w:sz w:val="18"/>
          <w:vertAlign w:val="subscript"/>
        </w:rPr>
        <w:t>4</w:t>
      </w:r>
      <w:r w:rsidRPr="00AC470E">
        <w:rPr>
          <w:rFonts w:ascii="Times New Roman" w:eastAsia="Times New Roman" w:hAnsi="Times New Roman"/>
          <w:sz w:val="24"/>
          <w:szCs w:val="24"/>
          <w:lang w:eastAsia="en-AU"/>
        </w:rPr>
        <w:t xml:space="preserve">) may either be monitored continuously or a default value may be used. Further information for the monitoring requirements for </w:t>
      </w:r>
      <w:r w:rsidRPr="00AC470E">
        <w:rPr>
          <w:rFonts w:ascii="Times New Roman" w:eastAsia="Times New Roman" w:hAnsi="Times New Roman"/>
          <w:b/>
          <w:i/>
          <w:sz w:val="24"/>
          <w:szCs w:val="24"/>
          <w:lang w:eastAsia="en-AU"/>
        </w:rPr>
        <w:t>W</w:t>
      </w:r>
      <w:r w:rsidRPr="00AC470E">
        <w:rPr>
          <w:rFonts w:ascii="Times New Roman" w:eastAsia="Times New Roman" w:hAnsi="Times New Roman"/>
          <w:b/>
          <w:i/>
          <w:sz w:val="24"/>
          <w:szCs w:val="24"/>
          <w:vertAlign w:val="subscript"/>
          <w:lang w:eastAsia="en-AU"/>
        </w:rPr>
        <w:t>BG,CH</w:t>
      </w:r>
      <w:r w:rsidRPr="004B03F3">
        <w:rPr>
          <w:rFonts w:ascii="Times New Roman Bold" w:hAnsi="Times New Roman Bold"/>
          <w:b/>
          <w:i/>
          <w:sz w:val="18"/>
          <w:vertAlign w:val="subscript"/>
        </w:rPr>
        <w:t>4</w:t>
      </w:r>
      <w:r w:rsidRPr="00921C50">
        <w:rPr>
          <w:rFonts w:ascii="Times New Roman" w:eastAsia="Times New Roman" w:hAnsi="Times New Roman"/>
          <w:b/>
          <w:i/>
          <w:sz w:val="18"/>
          <w:szCs w:val="24"/>
          <w:vertAlign w:val="subscript"/>
          <w:lang w:eastAsia="en-AU"/>
        </w:rPr>
        <w:t xml:space="preserve"> </w:t>
      </w:r>
      <w:r w:rsidRPr="00AC470E">
        <w:rPr>
          <w:rFonts w:ascii="Times New Roman" w:eastAsia="Times New Roman" w:hAnsi="Times New Roman"/>
          <w:b/>
          <w:i/>
          <w:sz w:val="24"/>
          <w:szCs w:val="24"/>
          <w:vertAlign w:val="subscript"/>
          <w:lang w:eastAsia="en-AU"/>
        </w:rPr>
        <w:t xml:space="preserve"> </w:t>
      </w:r>
      <w:r w:rsidRPr="00AC470E">
        <w:rPr>
          <w:rFonts w:ascii="Times New Roman" w:eastAsia="Times New Roman" w:hAnsi="Times New Roman"/>
          <w:sz w:val="24"/>
          <w:szCs w:val="24"/>
          <w:lang w:eastAsia="en-AU"/>
        </w:rPr>
        <w:t>is included in Part 5 Division 2 of the</w:t>
      </w:r>
      <w:r w:rsidRPr="004B03F3">
        <w:rPr>
          <w:rFonts w:ascii="Times New Roman" w:hAnsi="Times New Roman"/>
          <w:sz w:val="24"/>
          <w:vertAlign w:val="subscript"/>
        </w:rPr>
        <w:t xml:space="preserve"> </w:t>
      </w:r>
      <w:r w:rsidRPr="00AC470E">
        <w:rPr>
          <w:rFonts w:ascii="Times New Roman" w:eastAsia="Times New Roman" w:hAnsi="Times New Roman"/>
          <w:sz w:val="24"/>
          <w:szCs w:val="24"/>
          <w:lang w:eastAsia="en-AU"/>
        </w:rPr>
        <w:t xml:space="preserve">Determination. </w:t>
      </w:r>
    </w:p>
    <w:p w:rsidR="002B7E2D" w:rsidRPr="00AC470E" w:rsidRDefault="002B7E2D" w:rsidP="002B7E2D">
      <w:pPr>
        <w:keepNext/>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color w:val="000000"/>
          <w:sz w:val="24"/>
          <w:szCs w:val="24"/>
          <w:lang w:eastAsia="en-AU"/>
        </w:rPr>
        <w:t xml:space="preserve">The energy content factor for “sludge biogas that is captured for combustion (methane only)” is found in Part 2 of Schedule 1 to the </w:t>
      </w:r>
      <w:r w:rsidRPr="00AC470E">
        <w:rPr>
          <w:rFonts w:ascii="Times New Roman" w:eastAsia="Times New Roman" w:hAnsi="Times New Roman"/>
          <w:i/>
          <w:color w:val="000000"/>
          <w:sz w:val="24"/>
          <w:szCs w:val="24"/>
          <w:lang w:eastAsia="en-AU"/>
        </w:rPr>
        <w:t>NGER (Measurement) Determination</w:t>
      </w:r>
      <w:r w:rsidRPr="00AC470E">
        <w:rPr>
          <w:rFonts w:ascii="Times New Roman" w:eastAsia="Times New Roman" w:hAnsi="Times New Roman"/>
          <w:color w:val="000000"/>
          <w:sz w:val="24"/>
          <w:szCs w:val="24"/>
          <w:lang w:eastAsia="en-AU"/>
        </w:rPr>
        <w:t>.</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Default="002B7E2D" w:rsidP="002B7E2D">
      <w:pPr>
        <w:keepNext/>
        <w:keepLines/>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lastRenderedPageBreak/>
        <w:t>37</w:t>
      </w:r>
      <w:r w:rsidRPr="00AC470E">
        <w:rPr>
          <w:rFonts w:ascii="Times New Roman" w:eastAsia="Times New Roman" w:hAnsi="Times New Roman"/>
          <w:sz w:val="24"/>
          <w:szCs w:val="24"/>
          <w:u w:val="single"/>
          <w:lang w:eastAsia="en-AU"/>
        </w:rPr>
        <w:tab/>
        <w:t xml:space="preserve">Volume of methane vented due to a major venting event </w:t>
      </w:r>
    </w:p>
    <w:p w:rsidR="002B7E2D" w:rsidRPr="00AC470E" w:rsidRDefault="002B7E2D" w:rsidP="002B7E2D">
      <w:pPr>
        <w:keepNext/>
        <w:keepLines/>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The fugitive emissions from anaerobic digester </w:t>
      </w:r>
      <w:r w:rsidRPr="00AC470E">
        <w:rPr>
          <w:rFonts w:ascii="Times New Roman" w:eastAsia="Times New Roman" w:hAnsi="Times New Roman"/>
          <w:b/>
          <w:i/>
          <w:sz w:val="24"/>
          <w:szCs w:val="24"/>
          <w:lang w:eastAsia="en-AU"/>
        </w:rPr>
        <w:t>major venting events</w:t>
      </w:r>
      <w:r w:rsidRPr="00AC470E">
        <w:rPr>
          <w:rFonts w:ascii="Times New Roman" w:eastAsia="Times New Roman" w:hAnsi="Times New Roman"/>
          <w:sz w:val="24"/>
          <w:szCs w:val="24"/>
          <w:lang w:eastAsia="en-AU"/>
        </w:rPr>
        <w:t xml:space="preserve">, for example, when maintenance is required, must be calculated using </w:t>
      </w:r>
      <w:r w:rsidR="00A53FF7" w:rsidRPr="00A53FF7">
        <w:rPr>
          <w:rFonts w:ascii="Times New Roman" w:eastAsia="Times New Roman" w:hAnsi="Times New Roman"/>
          <w:b/>
          <w:i/>
          <w:sz w:val="24"/>
          <w:szCs w:val="24"/>
          <w:lang w:eastAsia="en-AU"/>
        </w:rPr>
        <w:t>equation 19</w:t>
      </w:r>
      <w:r w:rsidRPr="00AC470E">
        <w:rPr>
          <w:rFonts w:ascii="Times New Roman" w:eastAsia="Times New Roman" w:hAnsi="Times New Roman"/>
          <w:sz w:val="24"/>
          <w:szCs w:val="24"/>
          <w:lang w:eastAsia="en-AU"/>
        </w:rPr>
        <w:t xml:space="preserve">. Venting emissions are calculated by adding the maximum biogas storage capacity of the storage system to the average daily flow of biogas multiplied by the number of days over which the venting occurs. </w:t>
      </w:r>
    </w:p>
    <w:p w:rsidR="002B7E2D" w:rsidRPr="00AC470E" w:rsidRDefault="002B7E2D" w:rsidP="002B7E2D">
      <w:pPr>
        <w:spacing w:after="120" w:line="240" w:lineRule="auto"/>
        <w:rPr>
          <w:rFonts w:ascii="Times New Roman" w:eastAsia="Times New Roman" w:hAnsi="Times New Roman"/>
          <w:color w:val="000000"/>
          <w:sz w:val="24"/>
          <w:szCs w:val="24"/>
          <w:lang w:eastAsia="en-AU"/>
        </w:rPr>
      </w:pPr>
      <w:r w:rsidRPr="00AC470E">
        <w:rPr>
          <w:rFonts w:ascii="Times New Roman" w:eastAsia="Times New Roman" w:hAnsi="Times New Roman"/>
          <w:color w:val="000000"/>
          <w:sz w:val="24"/>
          <w:szCs w:val="24"/>
          <w:lang w:eastAsia="en-AU"/>
        </w:rPr>
        <w:t>Venting emissions from combustion devices are not included. This is because if a flare is used as a combustion device it must have a monitoring and control system that shuts off the flow of gas when the device is not operating at manufacturer specifications or when no flame is detected. This reduces the potential for venting emissions from combustion devices and therefore this emissions source is considered immaterial.</w:t>
      </w:r>
    </w:p>
    <w:p w:rsidR="002B7E2D" w:rsidRDefault="002B7E2D" w:rsidP="002B7E2D">
      <w:pPr>
        <w:keepNext/>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38</w:t>
      </w:r>
      <w:r w:rsidRPr="00AC470E">
        <w:rPr>
          <w:rFonts w:ascii="Times New Roman" w:eastAsia="Times New Roman" w:hAnsi="Times New Roman"/>
          <w:sz w:val="24"/>
          <w:szCs w:val="24"/>
          <w:u w:val="single"/>
          <w:lang w:eastAsia="en-AU"/>
        </w:rPr>
        <w:tab/>
        <w:t xml:space="preserve">Emissions from combustion devices </w:t>
      </w:r>
    </w:p>
    <w:p w:rsidR="002B7E2D" w:rsidRPr="00AC470E" w:rsidRDefault="002B7E2D" w:rsidP="002B7E2D">
      <w:pPr>
        <w:spacing w:after="120" w:line="240" w:lineRule="auto"/>
        <w:rPr>
          <w:rFonts w:ascii="Times New Roman" w:eastAsia="Times New Roman" w:hAnsi="Times New Roman"/>
          <w:color w:val="000000"/>
          <w:sz w:val="24"/>
          <w:szCs w:val="24"/>
          <w:lang w:eastAsia="en-AU"/>
        </w:rPr>
      </w:pPr>
      <w:r w:rsidRPr="00AC470E">
        <w:rPr>
          <w:rFonts w:ascii="Times New Roman" w:eastAsia="Times New Roman" w:hAnsi="Times New Roman"/>
          <w:sz w:val="24"/>
          <w:szCs w:val="24"/>
          <w:lang w:eastAsia="en-AU"/>
        </w:rPr>
        <w:t xml:space="preserve">Methane and nitrous oxide emissions released as a result of methane combustion are calculated using </w:t>
      </w:r>
      <w:r w:rsidR="00100141" w:rsidRPr="00100141">
        <w:rPr>
          <w:rFonts w:ascii="Times New Roman" w:eastAsia="Times New Roman" w:hAnsi="Times New Roman"/>
          <w:b/>
          <w:i/>
          <w:sz w:val="24"/>
          <w:szCs w:val="24"/>
          <w:lang w:eastAsia="en-AU"/>
        </w:rPr>
        <w:t>equation 20</w:t>
      </w:r>
      <w:r w:rsidRPr="00AC470E">
        <w:rPr>
          <w:rFonts w:ascii="Times New Roman" w:eastAsia="Times New Roman" w:hAnsi="Times New Roman"/>
          <w:sz w:val="24"/>
          <w:szCs w:val="24"/>
          <w:lang w:eastAsia="en-AU"/>
        </w:rPr>
        <w:t xml:space="preserve">. In this calculation </w:t>
      </w:r>
      <w:r w:rsidR="0017335B">
        <w:rPr>
          <w:rFonts w:ascii="Times New Roman" w:eastAsia="Times New Roman" w:hAnsi="Times New Roman"/>
          <w:sz w:val="24"/>
          <w:szCs w:val="24"/>
          <w:lang w:eastAsia="en-AU"/>
        </w:rPr>
        <w:t xml:space="preserve">the approach to emissions from combustion devices is consistent with the </w:t>
      </w:r>
      <w:r w:rsidR="00100141" w:rsidRPr="00100141">
        <w:rPr>
          <w:rFonts w:ascii="Times New Roman" w:eastAsia="Times New Roman" w:hAnsi="Times New Roman"/>
          <w:i/>
          <w:sz w:val="24"/>
          <w:szCs w:val="24"/>
          <w:lang w:eastAsia="en-AU"/>
        </w:rPr>
        <w:t>NGER (Measurement) Determination</w:t>
      </w:r>
      <w:r w:rsidR="0017335B">
        <w:rPr>
          <w:rFonts w:ascii="Times New Roman" w:eastAsia="Times New Roman" w:hAnsi="Times New Roman"/>
          <w:sz w:val="24"/>
          <w:szCs w:val="24"/>
          <w:lang w:eastAsia="en-AU"/>
        </w:rPr>
        <w:t xml:space="preserve">. </w:t>
      </w:r>
      <w:r w:rsidRPr="00AC470E">
        <w:rPr>
          <w:rFonts w:ascii="Times New Roman" w:eastAsia="Times New Roman" w:hAnsi="Times New Roman"/>
          <w:color w:val="000000"/>
          <w:sz w:val="24"/>
          <w:szCs w:val="24"/>
          <w:lang w:eastAsia="en-AU"/>
        </w:rPr>
        <w:t xml:space="preserve">The emissions factor for “sludge biogas that is captured for combustion (methane only)” is found in Part 2 of </w:t>
      </w:r>
      <w:r w:rsidR="0017335B" w:rsidRPr="00AC470E">
        <w:rPr>
          <w:rFonts w:ascii="Times New Roman" w:eastAsia="Times New Roman" w:hAnsi="Times New Roman"/>
          <w:color w:val="000000"/>
          <w:sz w:val="24"/>
          <w:szCs w:val="24"/>
          <w:lang w:eastAsia="en-AU"/>
        </w:rPr>
        <w:t>Schedule</w:t>
      </w:r>
      <w:r w:rsidR="0017335B">
        <w:rPr>
          <w:rFonts w:ascii="Times New Roman" w:eastAsia="Times New Roman" w:hAnsi="Times New Roman"/>
          <w:color w:val="000000"/>
          <w:sz w:val="24"/>
          <w:szCs w:val="24"/>
          <w:lang w:eastAsia="en-AU"/>
        </w:rPr>
        <w:t> </w:t>
      </w:r>
      <w:r w:rsidRPr="00AC470E">
        <w:rPr>
          <w:rFonts w:ascii="Times New Roman" w:eastAsia="Times New Roman" w:hAnsi="Times New Roman"/>
          <w:color w:val="000000"/>
          <w:sz w:val="24"/>
          <w:szCs w:val="24"/>
          <w:lang w:eastAsia="en-AU"/>
        </w:rPr>
        <w:t xml:space="preserve">1 to the </w:t>
      </w:r>
      <w:r w:rsidRPr="00AC470E">
        <w:rPr>
          <w:rFonts w:ascii="Times New Roman" w:eastAsia="Times New Roman" w:hAnsi="Times New Roman"/>
          <w:i/>
          <w:color w:val="000000"/>
          <w:sz w:val="24"/>
          <w:szCs w:val="24"/>
          <w:lang w:eastAsia="en-AU"/>
        </w:rPr>
        <w:t>NGER (Measurement) Determination</w:t>
      </w:r>
      <w:r w:rsidRPr="00AC470E">
        <w:rPr>
          <w:rFonts w:ascii="Times New Roman" w:eastAsia="Times New Roman" w:hAnsi="Times New Roman"/>
          <w:color w:val="000000"/>
          <w:sz w:val="24"/>
          <w:szCs w:val="24"/>
          <w:lang w:eastAsia="en-AU"/>
        </w:rPr>
        <w:t>.</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Default="002B7E2D" w:rsidP="002B7E2D">
      <w:pPr>
        <w:keepNext/>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t xml:space="preserve">Division 4 </w:t>
      </w:r>
      <w:r w:rsidRPr="00AC470E">
        <w:rPr>
          <w:rFonts w:ascii="Times New Roman" w:hAnsi="Times New Roman"/>
          <w:b/>
          <w:color w:val="000000"/>
          <w:sz w:val="24"/>
          <w:szCs w:val="24"/>
        </w:rPr>
        <w:tab/>
      </w:r>
      <w:r w:rsidRPr="00AC470E">
        <w:rPr>
          <w:rFonts w:ascii="Times New Roman" w:hAnsi="Times New Roman"/>
          <w:b/>
          <w:color w:val="000000"/>
          <w:sz w:val="24"/>
          <w:szCs w:val="24"/>
        </w:rPr>
        <w:tab/>
        <w:t>Method for calculating legacy abatement portions</w:t>
      </w:r>
    </w:p>
    <w:p w:rsidR="002B7E2D" w:rsidRPr="00AC470E" w:rsidRDefault="002B7E2D" w:rsidP="002B7E2D">
      <w:pPr>
        <w:spacing w:after="120" w:line="240" w:lineRule="auto"/>
        <w:ind w:right="247"/>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Division 4 is only applicable to transitioning projects and provides for these projects to receive credits for abatement generated under the relevant CFI AWT </w:t>
      </w:r>
      <w:r>
        <w:rPr>
          <w:rFonts w:ascii="Times New Roman" w:eastAsia="Times New Roman" w:hAnsi="Times New Roman"/>
          <w:sz w:val="24"/>
          <w:szCs w:val="24"/>
          <w:lang w:eastAsia="en-AU"/>
        </w:rPr>
        <w:t>D</w:t>
      </w:r>
      <w:r w:rsidRPr="00AC470E">
        <w:rPr>
          <w:rFonts w:ascii="Times New Roman" w:eastAsia="Times New Roman" w:hAnsi="Times New Roman"/>
          <w:sz w:val="24"/>
          <w:szCs w:val="24"/>
          <w:lang w:eastAsia="en-AU"/>
        </w:rPr>
        <w:t xml:space="preserve">etermination that has not yet been credited. CFI AWT projects automatically begin a second crediting period on ERF commencement day. As CFI AWT </w:t>
      </w:r>
      <w:r>
        <w:rPr>
          <w:rFonts w:ascii="Times New Roman" w:eastAsia="Times New Roman" w:hAnsi="Times New Roman"/>
          <w:sz w:val="24"/>
          <w:szCs w:val="24"/>
          <w:lang w:eastAsia="en-AU"/>
        </w:rPr>
        <w:t>D</w:t>
      </w:r>
      <w:r w:rsidRPr="00AC470E">
        <w:rPr>
          <w:rFonts w:ascii="Times New Roman" w:eastAsia="Times New Roman" w:hAnsi="Times New Roman"/>
          <w:sz w:val="24"/>
          <w:szCs w:val="24"/>
          <w:lang w:eastAsia="en-AU"/>
        </w:rPr>
        <w:t>eterminations are restricted to legacy waste the project</w:t>
      </w:r>
      <w:r>
        <w:rPr>
          <w:rFonts w:ascii="Times New Roman" w:eastAsia="Times New Roman" w:hAnsi="Times New Roman"/>
          <w:sz w:val="24"/>
          <w:szCs w:val="24"/>
          <w:lang w:eastAsia="en-AU"/>
        </w:rPr>
        <w:t xml:space="preserve"> proponent</w:t>
      </w:r>
      <w:r w:rsidRPr="00AC470E">
        <w:rPr>
          <w:rFonts w:ascii="Times New Roman" w:eastAsia="Times New Roman" w:hAnsi="Times New Roman"/>
          <w:sz w:val="24"/>
          <w:szCs w:val="24"/>
          <w:lang w:eastAsia="en-AU"/>
        </w:rPr>
        <w:t xml:space="preserve"> is unable to undertake any further activity under one of these determinations. Th</w:t>
      </w:r>
      <w:r w:rsidR="00DB5704">
        <w:rPr>
          <w:rFonts w:ascii="Times New Roman" w:eastAsia="Times New Roman" w:hAnsi="Times New Roman"/>
          <w:sz w:val="24"/>
          <w:szCs w:val="24"/>
          <w:lang w:eastAsia="en-AU"/>
        </w:rPr>
        <w:t>is</w:t>
      </w:r>
      <w:r w:rsidRPr="00AC470E">
        <w:rPr>
          <w:rFonts w:ascii="Times New Roman" w:eastAsia="Times New Roman" w:hAnsi="Times New Roman"/>
          <w:sz w:val="24"/>
          <w:szCs w:val="24"/>
          <w:lang w:eastAsia="en-AU"/>
        </w:rPr>
        <w:t xml:space="preserve"> Determination enables transitioning projects to undertake seven years of additional waste diversion activity and also receive the remaining credits for abatement generated using the CFI AWT </w:t>
      </w:r>
      <w:r>
        <w:rPr>
          <w:rFonts w:ascii="Times New Roman" w:eastAsia="Times New Roman" w:hAnsi="Times New Roman"/>
          <w:sz w:val="24"/>
          <w:szCs w:val="24"/>
          <w:lang w:eastAsia="en-AU"/>
        </w:rPr>
        <w:t>D</w:t>
      </w:r>
      <w:r w:rsidRPr="00AC470E">
        <w:rPr>
          <w:rFonts w:ascii="Times New Roman" w:eastAsia="Times New Roman" w:hAnsi="Times New Roman"/>
          <w:sz w:val="24"/>
          <w:szCs w:val="24"/>
          <w:lang w:eastAsia="en-AU"/>
        </w:rPr>
        <w:t>etermination. This remaining abatement is to be calculated into equal portions that will accrue over a three</w:t>
      </w:r>
      <w:r w:rsidR="00DB5704">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year period.</w:t>
      </w:r>
    </w:p>
    <w:p w:rsidR="002B7E2D" w:rsidRPr="00AC470E" w:rsidRDefault="002B7E2D" w:rsidP="002B7E2D">
      <w:pPr>
        <w:keepNext/>
        <w:keepLines/>
        <w:spacing w:after="120" w:line="240" w:lineRule="auto"/>
        <w:rPr>
          <w:rFonts w:ascii="Times New Roman" w:eastAsia="Times New Roman" w:hAnsi="Times New Roman"/>
          <w:sz w:val="24"/>
          <w:szCs w:val="24"/>
          <w:lang w:eastAsia="en-AU"/>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39</w:t>
      </w:r>
      <w:r w:rsidRPr="00AC470E">
        <w:rPr>
          <w:rFonts w:ascii="Times New Roman" w:hAnsi="Times New Roman"/>
          <w:color w:val="000000"/>
          <w:sz w:val="24"/>
          <w:szCs w:val="24"/>
          <w:u w:val="single"/>
        </w:rPr>
        <w:tab/>
        <w:t>Summary</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hAnsi="Times New Roman"/>
          <w:color w:val="000000"/>
          <w:sz w:val="24"/>
          <w:szCs w:val="24"/>
        </w:rPr>
        <w:t xml:space="preserve">Section 39 provides a summary of the </w:t>
      </w:r>
      <w:r w:rsidR="00DB5704">
        <w:rPr>
          <w:rFonts w:ascii="Times New Roman" w:hAnsi="Times New Roman"/>
          <w:color w:val="000000"/>
          <w:sz w:val="24"/>
          <w:szCs w:val="24"/>
        </w:rPr>
        <w:t>approach to</w:t>
      </w:r>
      <w:r w:rsidRPr="00AC470E">
        <w:rPr>
          <w:rFonts w:ascii="Times New Roman" w:hAnsi="Times New Roman"/>
          <w:color w:val="000000"/>
          <w:sz w:val="24"/>
          <w:szCs w:val="24"/>
        </w:rPr>
        <w:t xml:space="preserve"> calculating legacy abatement portions.</w:t>
      </w:r>
      <w:r w:rsidR="00F722ED" w:rsidRPr="00F722ED">
        <w:rPr>
          <w:rFonts w:ascii="Times New Roman" w:hAnsi="Times New Roman"/>
          <w:color w:val="000000"/>
          <w:sz w:val="24"/>
          <w:szCs w:val="24"/>
        </w:rPr>
        <w:t xml:space="preserve"> </w:t>
      </w:r>
      <w:r w:rsidRPr="00AC470E">
        <w:rPr>
          <w:rFonts w:ascii="Times New Roman" w:eastAsia="Times New Roman" w:hAnsi="Times New Roman"/>
          <w:sz w:val="24"/>
          <w:szCs w:val="24"/>
          <w:lang w:eastAsia="en-AU"/>
        </w:rPr>
        <w:t>CFI AWT projects that were previously Greenhouse Friendly project</w:t>
      </w:r>
      <w:r>
        <w:rPr>
          <w:rFonts w:ascii="Times New Roman" w:eastAsia="Times New Roman" w:hAnsi="Times New Roman"/>
          <w:sz w:val="24"/>
          <w:szCs w:val="24"/>
          <w:lang w:eastAsia="en-AU"/>
        </w:rPr>
        <w:t>s</w:t>
      </w:r>
      <w:r w:rsidRPr="00AC470E">
        <w:rPr>
          <w:rFonts w:ascii="Times New Roman" w:eastAsia="Times New Roman" w:hAnsi="Times New Roman"/>
          <w:sz w:val="24"/>
          <w:szCs w:val="24"/>
          <w:lang w:eastAsia="en-AU"/>
        </w:rPr>
        <w:t xml:space="preserve"> receive credits over a seven</w:t>
      </w:r>
      <w:r>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year period beginning 1 July 2010. Other CFI AWT projects had a 100</w:t>
      </w:r>
      <w:r w:rsidR="00DB5704">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year crediting period and were required to report abatement over a 100</w:t>
      </w:r>
      <w:r w:rsidR="00DB5704">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year period. This section applies</w:t>
      </w:r>
      <w:r>
        <w:rPr>
          <w:rFonts w:ascii="Times New Roman" w:eastAsia="Times New Roman" w:hAnsi="Times New Roman"/>
          <w:sz w:val="24"/>
          <w:szCs w:val="24"/>
          <w:lang w:eastAsia="en-AU"/>
        </w:rPr>
        <w:t xml:space="preserve"> a</w:t>
      </w:r>
      <w:r w:rsidRPr="00AC470E">
        <w:rPr>
          <w:rFonts w:ascii="Times New Roman" w:eastAsia="Times New Roman" w:hAnsi="Times New Roman"/>
          <w:sz w:val="24"/>
          <w:szCs w:val="24"/>
          <w:lang w:eastAsia="en-AU"/>
        </w:rPr>
        <w:t xml:space="preserve"> consistent </w:t>
      </w:r>
      <w:r>
        <w:rPr>
          <w:rFonts w:ascii="Times New Roman" w:eastAsia="Times New Roman" w:hAnsi="Times New Roman"/>
          <w:sz w:val="24"/>
          <w:szCs w:val="24"/>
          <w:lang w:eastAsia="en-AU"/>
        </w:rPr>
        <w:t>approach</w:t>
      </w:r>
      <w:r w:rsidRPr="00AC470E">
        <w:rPr>
          <w:rFonts w:ascii="Times New Roman" w:eastAsia="Times New Roman" w:hAnsi="Times New Roman"/>
          <w:sz w:val="24"/>
          <w:szCs w:val="24"/>
          <w:lang w:eastAsia="en-AU"/>
        </w:rPr>
        <w:t xml:space="preserve"> so that credits are received in equal portions over seven years. </w:t>
      </w:r>
    </w:p>
    <w:p w:rsidR="002B7E2D" w:rsidRPr="00AC470E" w:rsidRDefault="002B7E2D" w:rsidP="002B7E2D">
      <w:pPr>
        <w:keepNext/>
        <w:keepLines/>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In order to simplify the process, transitioning projects receive the remainder of their credits in equal portions over three years rather than using the exact time period that remains in the original seven</w:t>
      </w:r>
      <w:r>
        <w:rPr>
          <w:rFonts w:ascii="Times New Roman" w:eastAsia="Times New Roman" w:hAnsi="Times New Roman"/>
          <w:sz w:val="24"/>
          <w:szCs w:val="24"/>
          <w:lang w:eastAsia="en-AU"/>
        </w:rPr>
        <w:t>-</w:t>
      </w:r>
      <w:r w:rsidRPr="00AC470E">
        <w:rPr>
          <w:rFonts w:ascii="Times New Roman" w:eastAsia="Times New Roman" w:hAnsi="Times New Roman"/>
          <w:sz w:val="24"/>
          <w:szCs w:val="24"/>
          <w:lang w:eastAsia="en-AU"/>
        </w:rPr>
        <w:t xml:space="preserve">year crediting period (1 July 2010 to 1 July 2014 is four years and projects have approximately three years remaining). </w:t>
      </w:r>
    </w:p>
    <w:p w:rsidR="002B7E2D" w:rsidRPr="00AC470E" w:rsidRDefault="002B7E2D" w:rsidP="002B7E2D">
      <w:pPr>
        <w:spacing w:after="120" w:line="240" w:lineRule="auto"/>
        <w:rPr>
          <w:rFonts w:ascii="Times New Roman" w:hAnsi="Times New Roman"/>
          <w:color w:val="000000"/>
          <w:sz w:val="24"/>
          <w:u w:val="single"/>
        </w:rPr>
      </w:pPr>
    </w:p>
    <w:p w:rsidR="002B7E2D" w:rsidRPr="00AC470E" w:rsidRDefault="002B7E2D" w:rsidP="002B7E2D">
      <w:pPr>
        <w:keepNext/>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t>40</w:t>
      </w:r>
      <w:r w:rsidRPr="00AC470E">
        <w:rPr>
          <w:rFonts w:ascii="Times New Roman" w:eastAsia="Times New Roman" w:hAnsi="Times New Roman"/>
          <w:sz w:val="24"/>
          <w:szCs w:val="24"/>
          <w:u w:val="single"/>
          <w:lang w:eastAsia="en-AU"/>
        </w:rPr>
        <w:tab/>
        <w:t xml:space="preserve">Timing of calculation </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The legacy abatement portions for </w:t>
      </w:r>
      <w:r w:rsidRPr="00AC470E">
        <w:rPr>
          <w:rFonts w:ascii="Times New Roman" w:eastAsia="Times New Roman" w:hAnsi="Times New Roman"/>
          <w:b/>
          <w:i/>
          <w:sz w:val="24"/>
          <w:szCs w:val="24"/>
          <w:lang w:eastAsia="en-AU"/>
        </w:rPr>
        <w:t>transitioning projects</w:t>
      </w:r>
      <w:r w:rsidRPr="00AC470E">
        <w:rPr>
          <w:rFonts w:ascii="Times New Roman" w:eastAsia="Times New Roman" w:hAnsi="Times New Roman"/>
          <w:sz w:val="24"/>
          <w:szCs w:val="24"/>
          <w:lang w:eastAsia="en-AU"/>
        </w:rPr>
        <w:t xml:space="preserve"> are calculated in the first reporting period for the project. The calculation determines when remaining abatement accrues and can be reported and does not need to be repeated in future reporting periods.</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Pr="00AC470E" w:rsidRDefault="002B7E2D" w:rsidP="002B7E2D">
      <w:pPr>
        <w:keepNext/>
        <w:spacing w:after="120" w:line="240" w:lineRule="auto"/>
        <w:rPr>
          <w:rFonts w:ascii="Times New Roman" w:eastAsia="Times New Roman" w:hAnsi="Times New Roman"/>
          <w:sz w:val="24"/>
          <w:szCs w:val="24"/>
          <w:u w:val="single"/>
          <w:lang w:eastAsia="en-AU"/>
        </w:rPr>
      </w:pPr>
      <w:r w:rsidRPr="00AC470E">
        <w:rPr>
          <w:rFonts w:ascii="Times New Roman" w:eastAsia="Times New Roman" w:hAnsi="Times New Roman"/>
          <w:sz w:val="24"/>
          <w:szCs w:val="24"/>
          <w:u w:val="single"/>
          <w:lang w:eastAsia="en-AU"/>
        </w:rPr>
        <w:lastRenderedPageBreak/>
        <w:t>41</w:t>
      </w:r>
      <w:r w:rsidRPr="00AC470E">
        <w:rPr>
          <w:rFonts w:ascii="Times New Roman" w:eastAsia="Times New Roman" w:hAnsi="Times New Roman"/>
          <w:sz w:val="24"/>
          <w:szCs w:val="24"/>
          <w:u w:val="single"/>
          <w:lang w:eastAsia="en-AU"/>
        </w:rPr>
        <w:tab/>
        <w:t xml:space="preserve">Calculation and accrual of legacy abatement portions </w:t>
      </w:r>
    </w:p>
    <w:p w:rsidR="002B7E2D" w:rsidRPr="00AC470E" w:rsidRDefault="00A53FF7" w:rsidP="002B7E2D">
      <w:pPr>
        <w:spacing w:after="120" w:line="240" w:lineRule="auto"/>
        <w:ind w:right="247"/>
        <w:rPr>
          <w:rFonts w:ascii="Times New Roman" w:eastAsia="Times New Roman" w:hAnsi="Times New Roman"/>
          <w:sz w:val="24"/>
          <w:szCs w:val="24"/>
          <w:lang w:eastAsia="en-AU"/>
        </w:rPr>
      </w:pPr>
      <w:r w:rsidRPr="00A53FF7">
        <w:rPr>
          <w:rFonts w:ascii="Times New Roman" w:eastAsia="Times New Roman" w:hAnsi="Times New Roman"/>
          <w:b/>
          <w:i/>
          <w:sz w:val="24"/>
          <w:szCs w:val="24"/>
          <w:lang w:eastAsia="en-AU"/>
        </w:rPr>
        <w:t>Equation 21</w:t>
      </w:r>
      <w:r w:rsidR="002B7E2D" w:rsidRPr="00AC470E">
        <w:rPr>
          <w:rFonts w:ascii="Times New Roman" w:eastAsia="Times New Roman" w:hAnsi="Times New Roman"/>
          <w:sz w:val="24"/>
          <w:szCs w:val="24"/>
          <w:lang w:eastAsia="en-AU"/>
        </w:rPr>
        <w:t xml:space="preserve"> calculates remaining abatement into three equal portions (</w:t>
      </w:r>
      <w:r w:rsidR="002B7E2D" w:rsidRPr="00AC470E">
        <w:rPr>
          <w:rFonts w:ascii="Times New Roman" w:eastAsia="Times New Roman" w:hAnsi="Times New Roman"/>
          <w:b/>
          <w:i/>
          <w:sz w:val="24"/>
          <w:szCs w:val="24"/>
          <w:lang w:eastAsia="en-AU"/>
        </w:rPr>
        <w:t>A</w:t>
      </w:r>
      <w:r w:rsidR="002B7E2D" w:rsidRPr="00AC470E">
        <w:rPr>
          <w:rFonts w:ascii="Times New Roman" w:eastAsia="Times New Roman" w:hAnsi="Times New Roman"/>
          <w:b/>
          <w:i/>
          <w:sz w:val="24"/>
          <w:szCs w:val="24"/>
          <w:vertAlign w:val="subscript"/>
          <w:lang w:eastAsia="en-AU"/>
        </w:rPr>
        <w:t>CFI,1</w:t>
      </w:r>
      <w:r w:rsidR="002B7E2D" w:rsidRPr="00AC470E">
        <w:rPr>
          <w:rFonts w:ascii="Times New Roman" w:eastAsia="Times New Roman" w:hAnsi="Times New Roman"/>
          <w:sz w:val="24"/>
          <w:szCs w:val="24"/>
          <w:lang w:eastAsia="en-AU"/>
        </w:rPr>
        <w:t xml:space="preserve">, </w:t>
      </w:r>
      <w:r w:rsidR="002B7E2D" w:rsidRPr="00AC470E">
        <w:rPr>
          <w:rFonts w:ascii="Times New Roman" w:eastAsia="Times New Roman" w:hAnsi="Times New Roman"/>
          <w:b/>
          <w:i/>
          <w:sz w:val="24"/>
          <w:szCs w:val="24"/>
          <w:lang w:eastAsia="en-AU"/>
        </w:rPr>
        <w:t>A</w:t>
      </w:r>
      <w:r w:rsidR="002B7E2D" w:rsidRPr="00AC470E">
        <w:rPr>
          <w:rFonts w:ascii="Times New Roman" w:eastAsia="Times New Roman" w:hAnsi="Times New Roman"/>
          <w:b/>
          <w:i/>
          <w:sz w:val="24"/>
          <w:szCs w:val="24"/>
          <w:vertAlign w:val="subscript"/>
          <w:lang w:eastAsia="en-AU"/>
        </w:rPr>
        <w:t>CFI,2</w:t>
      </w:r>
      <w:r w:rsidR="002B7E2D" w:rsidRPr="00AC470E">
        <w:rPr>
          <w:rFonts w:ascii="Times New Roman" w:eastAsia="Times New Roman" w:hAnsi="Times New Roman"/>
          <w:sz w:val="24"/>
          <w:szCs w:val="24"/>
          <w:lang w:eastAsia="en-AU"/>
        </w:rPr>
        <w:t xml:space="preserve"> and </w:t>
      </w:r>
      <w:r w:rsidR="002B7E2D" w:rsidRPr="00AC470E">
        <w:rPr>
          <w:rFonts w:ascii="Times New Roman" w:eastAsia="Times New Roman" w:hAnsi="Times New Roman"/>
          <w:b/>
          <w:i/>
          <w:sz w:val="24"/>
          <w:szCs w:val="24"/>
          <w:lang w:eastAsia="en-AU"/>
        </w:rPr>
        <w:t>A</w:t>
      </w:r>
      <w:r w:rsidR="002B7E2D" w:rsidRPr="00AC470E">
        <w:rPr>
          <w:rFonts w:ascii="Times New Roman" w:eastAsia="Times New Roman" w:hAnsi="Times New Roman"/>
          <w:b/>
          <w:i/>
          <w:sz w:val="24"/>
          <w:szCs w:val="24"/>
          <w:vertAlign w:val="subscript"/>
          <w:lang w:eastAsia="en-AU"/>
        </w:rPr>
        <w:t>CFI,3</w:t>
      </w:r>
      <w:r w:rsidR="002B7E2D" w:rsidRPr="00AC470E">
        <w:rPr>
          <w:rFonts w:ascii="Times New Roman" w:eastAsia="Times New Roman" w:hAnsi="Times New Roman"/>
          <w:sz w:val="24"/>
          <w:szCs w:val="24"/>
          <w:lang w:eastAsia="en-AU"/>
        </w:rPr>
        <w:t xml:space="preserve">). The first portion </w:t>
      </w:r>
      <w:r w:rsidR="00A7523F">
        <w:rPr>
          <w:rFonts w:ascii="Times New Roman" w:eastAsia="Times New Roman" w:hAnsi="Times New Roman"/>
          <w:sz w:val="24"/>
          <w:szCs w:val="24"/>
          <w:lang w:eastAsia="en-AU"/>
        </w:rPr>
        <w:t>(</w:t>
      </w:r>
      <w:r w:rsidR="00A7523F" w:rsidRPr="00AC470E">
        <w:rPr>
          <w:rFonts w:ascii="Times New Roman" w:eastAsia="Times New Roman" w:hAnsi="Times New Roman"/>
          <w:b/>
          <w:i/>
          <w:sz w:val="24"/>
          <w:szCs w:val="24"/>
          <w:lang w:eastAsia="en-AU"/>
        </w:rPr>
        <w:t>A</w:t>
      </w:r>
      <w:r w:rsidR="00A7523F" w:rsidRPr="00AC470E">
        <w:rPr>
          <w:rFonts w:ascii="Times New Roman" w:eastAsia="Times New Roman" w:hAnsi="Times New Roman"/>
          <w:b/>
          <w:i/>
          <w:sz w:val="24"/>
          <w:szCs w:val="24"/>
          <w:vertAlign w:val="subscript"/>
          <w:lang w:eastAsia="en-AU"/>
        </w:rPr>
        <w:t>CFI,1</w:t>
      </w:r>
      <w:r w:rsidR="00F722ED" w:rsidRPr="00F722ED">
        <w:rPr>
          <w:rFonts w:ascii="Times New Roman" w:eastAsia="Times New Roman" w:hAnsi="Times New Roman"/>
          <w:sz w:val="24"/>
          <w:szCs w:val="24"/>
          <w:lang w:eastAsia="en-AU"/>
        </w:rPr>
        <w:t xml:space="preserve">) </w:t>
      </w:r>
      <w:r w:rsidR="002B7E2D" w:rsidRPr="00AC470E">
        <w:rPr>
          <w:rFonts w:ascii="Times New Roman" w:eastAsia="Times New Roman" w:hAnsi="Times New Roman"/>
          <w:sz w:val="24"/>
          <w:szCs w:val="24"/>
          <w:lang w:eastAsia="en-AU"/>
        </w:rPr>
        <w:t xml:space="preserve">accrues one year after the beginning of the first reporting period that this Determination applies to the project. Portions two and three accrue in years two and three respectively. </w:t>
      </w:r>
    </w:p>
    <w:p w:rsidR="002B7E2D" w:rsidRPr="00AC470E" w:rsidRDefault="002B7E2D" w:rsidP="002B7E2D">
      <w:pPr>
        <w:spacing w:after="120" w:line="240" w:lineRule="auto"/>
        <w:ind w:right="247"/>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The abatement calculations use the applicable equation</w:t>
      </w:r>
      <w:r w:rsidR="00DB5704">
        <w:rPr>
          <w:rFonts w:ascii="Times New Roman" w:eastAsia="Times New Roman" w:hAnsi="Times New Roman"/>
          <w:sz w:val="24"/>
          <w:szCs w:val="24"/>
          <w:lang w:eastAsia="en-AU"/>
        </w:rPr>
        <w:t>s</w:t>
      </w:r>
      <w:r w:rsidRPr="00AC470E">
        <w:rPr>
          <w:rFonts w:ascii="Times New Roman" w:eastAsia="Times New Roman" w:hAnsi="Times New Roman"/>
          <w:sz w:val="24"/>
          <w:szCs w:val="24"/>
          <w:lang w:eastAsia="en-AU"/>
        </w:rPr>
        <w:t xml:space="preserve"> of the relevant CFI AWT </w:t>
      </w:r>
      <w:r>
        <w:rPr>
          <w:rFonts w:ascii="Times New Roman" w:eastAsia="Times New Roman" w:hAnsi="Times New Roman"/>
          <w:sz w:val="24"/>
          <w:szCs w:val="24"/>
          <w:lang w:eastAsia="en-AU"/>
        </w:rPr>
        <w:t>D</w:t>
      </w:r>
      <w:r w:rsidRPr="00AC470E">
        <w:rPr>
          <w:rFonts w:ascii="Times New Roman" w:eastAsia="Times New Roman" w:hAnsi="Times New Roman"/>
          <w:sz w:val="24"/>
          <w:szCs w:val="24"/>
          <w:lang w:eastAsia="en-AU"/>
        </w:rPr>
        <w:t xml:space="preserve">etermination. All values should be consistent with those used to calculate original net abatement amounts (any changes to the </w:t>
      </w:r>
      <w:r w:rsidRPr="00AC470E">
        <w:rPr>
          <w:rFonts w:ascii="Times New Roman" w:eastAsia="Times New Roman" w:hAnsi="Times New Roman"/>
          <w:i/>
          <w:sz w:val="24"/>
          <w:szCs w:val="24"/>
          <w:lang w:eastAsia="en-AU"/>
        </w:rPr>
        <w:t>NGER (Measurement) Determination</w:t>
      </w:r>
      <w:r w:rsidRPr="00AC470E">
        <w:rPr>
          <w:rFonts w:ascii="Times New Roman" w:eastAsia="Times New Roman" w:hAnsi="Times New Roman"/>
          <w:sz w:val="24"/>
          <w:szCs w:val="24"/>
          <w:lang w:eastAsia="en-AU"/>
        </w:rPr>
        <w:t xml:space="preserve"> do not apply to these calculations). </w:t>
      </w:r>
    </w:p>
    <w:p w:rsidR="002B7E2D" w:rsidRPr="00AC470E" w:rsidRDefault="002B7E2D" w:rsidP="002B7E2D">
      <w:pPr>
        <w:pageBreakBefore/>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lastRenderedPageBreak/>
        <w:t xml:space="preserve">Part 5 </w:t>
      </w:r>
      <w:r w:rsidRPr="00AC470E">
        <w:rPr>
          <w:rFonts w:ascii="Times New Roman" w:hAnsi="Times New Roman"/>
          <w:b/>
          <w:color w:val="000000"/>
          <w:sz w:val="24"/>
          <w:szCs w:val="24"/>
        </w:rPr>
        <w:tab/>
      </w:r>
      <w:r w:rsidRPr="00AC470E">
        <w:rPr>
          <w:rFonts w:ascii="Times New Roman" w:hAnsi="Times New Roman"/>
          <w:b/>
          <w:color w:val="000000"/>
          <w:sz w:val="24"/>
          <w:szCs w:val="24"/>
        </w:rPr>
        <w:tab/>
        <w:t>Reporting, record-keeping and monitoring requirements</w:t>
      </w:r>
    </w:p>
    <w:p w:rsidR="002B7E2D" w:rsidRPr="00AC470E" w:rsidRDefault="002B7E2D" w:rsidP="002B7E2D">
      <w:pPr>
        <w:spacing w:after="120" w:line="240" w:lineRule="auto"/>
        <w:rPr>
          <w:rFonts w:ascii="Times New Roman" w:eastAsia="Times New Roman" w:hAnsi="Times New Roman"/>
          <w:color w:val="000000"/>
          <w:sz w:val="24"/>
          <w:szCs w:val="24"/>
          <w:lang w:eastAsia="en-AU"/>
        </w:rPr>
      </w:pPr>
      <w:r w:rsidRPr="00AC470E">
        <w:rPr>
          <w:rFonts w:ascii="Times New Roman" w:eastAsia="Times New Roman" w:hAnsi="Times New Roman"/>
          <w:color w:val="000000"/>
          <w:sz w:val="24"/>
          <w:szCs w:val="24"/>
          <w:lang w:eastAsia="en-AU"/>
        </w:rPr>
        <w:t xml:space="preserve">Subsection 106(3) of the Act provides that a methodology determination may </w:t>
      </w:r>
      <w:r w:rsidR="00776C0D">
        <w:rPr>
          <w:rFonts w:ascii="Times New Roman" w:eastAsia="Times New Roman" w:hAnsi="Times New Roman"/>
          <w:color w:val="000000"/>
          <w:sz w:val="24"/>
          <w:szCs w:val="24"/>
          <w:lang w:eastAsia="en-AU"/>
        </w:rPr>
        <w:t>subject</w:t>
      </w:r>
      <w:r w:rsidR="00776C0D" w:rsidRPr="00AC470E">
        <w:rPr>
          <w:rFonts w:ascii="Times New Roman" w:eastAsia="Times New Roman" w:hAnsi="Times New Roman"/>
          <w:color w:val="000000"/>
          <w:sz w:val="24"/>
          <w:szCs w:val="24"/>
          <w:lang w:eastAsia="en-AU"/>
        </w:rPr>
        <w:t xml:space="preserve"> </w:t>
      </w:r>
      <w:r w:rsidRPr="00AC470E">
        <w:rPr>
          <w:rFonts w:ascii="Times New Roman" w:eastAsia="Times New Roman" w:hAnsi="Times New Roman"/>
          <w:color w:val="000000"/>
          <w:sz w:val="24"/>
          <w:szCs w:val="24"/>
          <w:lang w:eastAsia="en-AU"/>
        </w:rPr>
        <w:t xml:space="preserve">the project proponent of an eligible offsets project to specified </w:t>
      </w:r>
      <w:r w:rsidR="00DB5704">
        <w:rPr>
          <w:rFonts w:ascii="Times New Roman" w:eastAsia="Times New Roman" w:hAnsi="Times New Roman"/>
          <w:color w:val="000000"/>
          <w:sz w:val="24"/>
          <w:szCs w:val="24"/>
          <w:lang w:eastAsia="en-AU"/>
        </w:rPr>
        <w:t>reporting</w:t>
      </w:r>
      <w:r w:rsidRPr="00AC470E">
        <w:rPr>
          <w:rFonts w:ascii="Times New Roman" w:eastAsia="Times New Roman" w:hAnsi="Times New Roman"/>
          <w:color w:val="000000"/>
          <w:sz w:val="24"/>
          <w:szCs w:val="24"/>
          <w:lang w:eastAsia="en-AU"/>
        </w:rPr>
        <w:t>, record</w:t>
      </w:r>
      <w:r w:rsidRPr="00AC470E">
        <w:rPr>
          <w:rFonts w:ascii="Times New Roman" w:eastAsia="Times New Roman" w:hAnsi="Times New Roman"/>
          <w:color w:val="000000"/>
          <w:sz w:val="24"/>
          <w:szCs w:val="24"/>
          <w:lang w:eastAsia="en-AU"/>
        </w:rPr>
        <w:noBreakHyphen/>
        <w:t xml:space="preserve">keeping and </w:t>
      </w:r>
      <w:r w:rsidR="00DB5704" w:rsidRPr="00AC470E">
        <w:rPr>
          <w:rFonts w:ascii="Times New Roman" w:eastAsia="Times New Roman" w:hAnsi="Times New Roman"/>
          <w:color w:val="000000"/>
          <w:sz w:val="24"/>
          <w:szCs w:val="24"/>
          <w:lang w:eastAsia="en-AU"/>
        </w:rPr>
        <w:t>monitoring</w:t>
      </w:r>
      <w:r w:rsidRPr="00AC470E">
        <w:rPr>
          <w:rFonts w:ascii="Times New Roman" w:eastAsia="Times New Roman" w:hAnsi="Times New Roman"/>
          <w:color w:val="000000"/>
          <w:sz w:val="24"/>
          <w:szCs w:val="24"/>
          <w:lang w:eastAsia="en-AU"/>
        </w:rPr>
        <w:t xml:space="preserve"> requirements. </w:t>
      </w:r>
    </w:p>
    <w:p w:rsidR="002B7E2D" w:rsidRPr="00AC470E" w:rsidRDefault="002B7E2D" w:rsidP="002B7E2D">
      <w:pPr>
        <w:spacing w:after="120" w:line="240" w:lineRule="auto"/>
        <w:rPr>
          <w:rFonts w:ascii="Times New Roman" w:eastAsia="Times New Roman" w:hAnsi="Times New Roman"/>
          <w:color w:val="000000"/>
          <w:sz w:val="24"/>
          <w:szCs w:val="24"/>
          <w:lang w:eastAsia="en-AU"/>
        </w:rPr>
      </w:pPr>
      <w:r w:rsidRPr="00AC470E">
        <w:rPr>
          <w:rFonts w:ascii="Times New Roman" w:eastAsia="Times New Roman" w:hAnsi="Times New Roman"/>
          <w:color w:val="000000"/>
          <w:sz w:val="24"/>
          <w:szCs w:val="24"/>
          <w:lang w:eastAsia="en-AU"/>
        </w:rPr>
        <w:t>Under Parts 17 and 21 of the Act, a failure to comply with these requirements may constitute a breach of a civil penalty provision, and a financial penalty may be payable.</w:t>
      </w:r>
    </w:p>
    <w:p w:rsidR="002B7E2D" w:rsidRPr="00AC470E" w:rsidRDefault="002B7E2D" w:rsidP="000C0A65">
      <w:pPr>
        <w:pStyle w:val="ListParagraph"/>
        <w:numPr>
          <w:ilvl w:val="0"/>
          <w:numId w:val="0"/>
        </w:numPr>
        <w:spacing w:after="120" w:line="240" w:lineRule="auto"/>
        <w:contextualSpacing/>
        <w:rPr>
          <w:rFonts w:ascii="Times New Roman" w:hAnsi="Times New Roman"/>
          <w:color w:val="000000"/>
          <w:sz w:val="24"/>
          <w:szCs w:val="24"/>
        </w:rPr>
      </w:pPr>
      <w:r w:rsidRPr="00AC470E">
        <w:rPr>
          <w:rFonts w:ascii="Times New Roman" w:hAnsi="Times New Roman"/>
          <w:color w:val="000000"/>
          <w:sz w:val="24"/>
          <w:szCs w:val="24"/>
        </w:rPr>
        <w:t xml:space="preserve">The </w:t>
      </w:r>
      <w:r w:rsidR="00DB5704">
        <w:rPr>
          <w:rFonts w:ascii="Times New Roman" w:eastAsia="Times New Roman" w:hAnsi="Times New Roman"/>
          <w:color w:val="000000"/>
          <w:sz w:val="24"/>
          <w:szCs w:val="24"/>
          <w:lang w:eastAsia="en-AU"/>
        </w:rPr>
        <w:t>reporting</w:t>
      </w:r>
      <w:r w:rsidR="00DB5704" w:rsidRPr="00AC470E">
        <w:rPr>
          <w:rFonts w:ascii="Times New Roman" w:eastAsia="Times New Roman" w:hAnsi="Times New Roman"/>
          <w:color w:val="000000"/>
          <w:sz w:val="24"/>
          <w:szCs w:val="24"/>
          <w:lang w:eastAsia="en-AU"/>
        </w:rPr>
        <w:t>, record</w:t>
      </w:r>
      <w:r w:rsidR="00DB5704" w:rsidRPr="00AC470E">
        <w:rPr>
          <w:rFonts w:ascii="Times New Roman" w:eastAsia="Times New Roman" w:hAnsi="Times New Roman"/>
          <w:color w:val="000000"/>
          <w:sz w:val="24"/>
          <w:szCs w:val="24"/>
          <w:lang w:eastAsia="en-AU"/>
        </w:rPr>
        <w:noBreakHyphen/>
        <w:t xml:space="preserve">keeping and monitoring </w:t>
      </w:r>
      <w:r w:rsidRPr="00AC470E">
        <w:rPr>
          <w:rFonts w:ascii="Times New Roman" w:hAnsi="Times New Roman"/>
          <w:color w:val="000000"/>
          <w:sz w:val="24"/>
          <w:szCs w:val="24"/>
        </w:rPr>
        <w:t xml:space="preserve">requirements specified in Part 5 of the Determination are in addition to </w:t>
      </w:r>
      <w:r>
        <w:rPr>
          <w:rFonts w:ascii="Times New Roman" w:hAnsi="Times New Roman"/>
          <w:color w:val="000000"/>
          <w:sz w:val="24"/>
          <w:szCs w:val="24"/>
        </w:rPr>
        <w:t xml:space="preserve">any </w:t>
      </w:r>
      <w:r w:rsidRPr="00AC470E">
        <w:rPr>
          <w:rFonts w:ascii="Times New Roman" w:hAnsi="Times New Roman"/>
          <w:color w:val="000000"/>
          <w:sz w:val="24"/>
          <w:szCs w:val="24"/>
        </w:rPr>
        <w:t>requirements specified in the Act, Regulations or legislative rules.</w:t>
      </w:r>
    </w:p>
    <w:p w:rsidR="002B7E2D" w:rsidRDefault="002B7E2D" w:rsidP="002B7E2D">
      <w:pPr>
        <w:spacing w:after="120" w:line="240" w:lineRule="auto"/>
        <w:rPr>
          <w:rFonts w:ascii="Times New Roman" w:hAnsi="Times New Roman"/>
          <w:color w:val="000000"/>
          <w:sz w:val="24"/>
          <w:u w:val="single"/>
        </w:rPr>
      </w:pPr>
    </w:p>
    <w:p w:rsidR="002B7E2D" w:rsidRPr="00AC470E" w:rsidRDefault="002B7E2D" w:rsidP="002B7E2D">
      <w:pPr>
        <w:keepNext/>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t>Division 1</w:t>
      </w:r>
      <w:r w:rsidRPr="00AC470E">
        <w:rPr>
          <w:rFonts w:ascii="Times New Roman" w:hAnsi="Times New Roman"/>
          <w:b/>
          <w:color w:val="000000"/>
          <w:sz w:val="24"/>
          <w:szCs w:val="24"/>
        </w:rPr>
        <w:tab/>
        <w:t>Offsets report requirements</w:t>
      </w:r>
    </w:p>
    <w:p w:rsidR="002B7E2D" w:rsidRPr="00AC470E" w:rsidRDefault="002B7E2D" w:rsidP="002B7E2D">
      <w:pPr>
        <w:keepNext/>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42</w:t>
      </w:r>
      <w:r w:rsidRPr="00AC470E">
        <w:rPr>
          <w:rFonts w:ascii="Times New Roman" w:hAnsi="Times New Roman"/>
          <w:color w:val="000000"/>
          <w:sz w:val="24"/>
          <w:szCs w:val="24"/>
          <w:u w:val="single"/>
        </w:rPr>
        <w:tab/>
        <w:t>Operation of this Division</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sz w:val="24"/>
          <w:szCs w:val="24"/>
        </w:rPr>
        <w:t>The effect of paragraph 106(3)(a) of the Act is that a methodology determination m</w:t>
      </w:r>
      <w:r w:rsidR="00884EA9">
        <w:rPr>
          <w:rFonts w:ascii="Times New Roman" w:hAnsi="Times New Roman"/>
          <w:sz w:val="24"/>
          <w:szCs w:val="24"/>
        </w:rPr>
        <w:t>ay</w:t>
      </w:r>
      <w:r w:rsidRPr="00AC470E">
        <w:rPr>
          <w:rFonts w:ascii="Times New Roman" w:hAnsi="Times New Roman"/>
          <w:sz w:val="24"/>
          <w:szCs w:val="24"/>
        </w:rPr>
        <w:t xml:space="preserve"> set out requirements to be included in each offsets report. Division </w:t>
      </w:r>
      <w:r w:rsidR="00BC765F">
        <w:rPr>
          <w:rFonts w:ascii="Times New Roman" w:hAnsi="Times New Roman"/>
          <w:sz w:val="24"/>
          <w:szCs w:val="24"/>
        </w:rPr>
        <w:t xml:space="preserve">1 </w:t>
      </w:r>
      <w:r w:rsidRPr="00AC470E">
        <w:rPr>
          <w:rFonts w:ascii="Times New Roman" w:hAnsi="Times New Roman"/>
          <w:sz w:val="24"/>
          <w:szCs w:val="24"/>
        </w:rPr>
        <w:t xml:space="preserve">sets out </w:t>
      </w:r>
      <w:r w:rsidR="00884EA9">
        <w:rPr>
          <w:rFonts w:ascii="Times New Roman" w:hAnsi="Times New Roman"/>
          <w:sz w:val="24"/>
          <w:szCs w:val="24"/>
        </w:rPr>
        <w:t>offsets report</w:t>
      </w:r>
      <w:r w:rsidR="00884EA9" w:rsidRPr="00AC470E">
        <w:rPr>
          <w:rFonts w:ascii="Times New Roman" w:hAnsi="Times New Roman"/>
          <w:sz w:val="24"/>
          <w:szCs w:val="24"/>
        </w:rPr>
        <w:t xml:space="preserve"> </w:t>
      </w:r>
      <w:r w:rsidRPr="00AC470E">
        <w:rPr>
          <w:rFonts w:ascii="Times New Roman" w:hAnsi="Times New Roman"/>
          <w:sz w:val="24"/>
          <w:szCs w:val="24"/>
        </w:rPr>
        <w:t>requirements.</w:t>
      </w:r>
    </w:p>
    <w:p w:rsidR="002B7E2D" w:rsidRPr="00AC470E" w:rsidRDefault="002B7E2D" w:rsidP="002B7E2D">
      <w:pPr>
        <w:spacing w:after="120" w:line="240" w:lineRule="auto"/>
        <w:rPr>
          <w:rFonts w:ascii="Times New Roman" w:hAnsi="Times New Roman"/>
          <w:color w:val="000000"/>
          <w:sz w:val="24"/>
          <w:szCs w:val="24"/>
        </w:rPr>
      </w:pPr>
    </w:p>
    <w:p w:rsidR="002B7E2D" w:rsidRPr="00AC470E" w:rsidRDefault="002B7E2D" w:rsidP="002B7E2D">
      <w:pPr>
        <w:keepNext/>
        <w:spacing w:after="120" w:line="240" w:lineRule="auto"/>
        <w:rPr>
          <w:rFonts w:ascii="Times New Roman" w:hAnsi="Times New Roman"/>
          <w:color w:val="000000"/>
          <w:sz w:val="24"/>
          <w:szCs w:val="24"/>
          <w:u w:val="single"/>
        </w:rPr>
      </w:pPr>
      <w:bookmarkStart w:id="9" w:name="_Toc318098665"/>
      <w:bookmarkStart w:id="10" w:name="_Toc319521136"/>
      <w:r w:rsidRPr="00AC470E">
        <w:rPr>
          <w:rFonts w:ascii="Times New Roman" w:hAnsi="Times New Roman"/>
          <w:color w:val="000000"/>
          <w:sz w:val="24"/>
          <w:szCs w:val="24"/>
          <w:u w:val="single"/>
        </w:rPr>
        <w:t>43</w:t>
      </w:r>
      <w:r w:rsidRPr="00AC470E">
        <w:rPr>
          <w:rFonts w:ascii="Times New Roman" w:hAnsi="Times New Roman"/>
          <w:color w:val="000000"/>
          <w:sz w:val="24"/>
          <w:szCs w:val="24"/>
          <w:u w:val="single"/>
        </w:rPr>
        <w:tab/>
      </w:r>
      <w:r w:rsidR="00100141" w:rsidRPr="00100141">
        <w:rPr>
          <w:rFonts w:ascii="Times New Roman" w:hAnsi="Times New Roman"/>
          <w:color w:val="000000" w:themeColor="text1"/>
          <w:sz w:val="24"/>
          <w:szCs w:val="24"/>
          <w:u w:val="single"/>
        </w:rPr>
        <w:t>Determination of certain factors and parameters</w:t>
      </w:r>
    </w:p>
    <w:p w:rsidR="002B7E2D"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Section 43 sets out requirements that must be included in each offsets reporting addition to the offset report requirements specified in the Act, Regulations and legislative rules.</w:t>
      </w:r>
    </w:p>
    <w:p w:rsidR="004F1D9B" w:rsidRDefault="004F1D9B" w:rsidP="002B7E2D">
      <w:pPr>
        <w:spacing w:after="120" w:line="240" w:lineRule="auto"/>
        <w:rPr>
          <w:rFonts w:ascii="Times New Roman" w:hAnsi="Times New Roman"/>
          <w:color w:val="000000"/>
          <w:sz w:val="24"/>
          <w:szCs w:val="24"/>
        </w:rPr>
      </w:pPr>
      <w:r>
        <w:rPr>
          <w:rFonts w:ascii="Times New Roman" w:hAnsi="Times New Roman"/>
          <w:sz w:val="24"/>
          <w:szCs w:val="24"/>
        </w:rPr>
        <w:t>Subsection 43(1) sets out that the offsets reporting requirements in this subsection apply where it is not possible to meet the requirements of subsection 8(1), as outlined in paragraph 8</w:t>
      </w:r>
      <w:r w:rsidR="002A2A70">
        <w:rPr>
          <w:rFonts w:ascii="Times New Roman" w:hAnsi="Times New Roman"/>
          <w:sz w:val="24"/>
          <w:szCs w:val="24"/>
        </w:rPr>
        <w:t>(2)(b).</w:t>
      </w:r>
      <w:r>
        <w:rPr>
          <w:rFonts w:ascii="Times New Roman" w:hAnsi="Times New Roman"/>
          <w:sz w:val="24"/>
          <w:szCs w:val="24"/>
        </w:rPr>
        <w:t xml:space="preserve"> Further explanation of these circumstances is provided in section 8. The purpose of subsection 43(1) is to provide the Regulator with information on which version of the </w:t>
      </w:r>
      <w:r>
        <w:rPr>
          <w:rFonts w:ascii="Times New Roman" w:hAnsi="Times New Roman"/>
          <w:i/>
          <w:iCs/>
          <w:sz w:val="24"/>
          <w:szCs w:val="24"/>
        </w:rPr>
        <w:t xml:space="preserve">NGER (Measurement) Determination </w:t>
      </w:r>
      <w:r>
        <w:rPr>
          <w:rFonts w:ascii="Times New Roman" w:hAnsi="Times New Roman"/>
          <w:sz w:val="24"/>
          <w:szCs w:val="24"/>
        </w:rPr>
        <w:t>or other relevant external source has been used by a project proponent to meet the monitoring requirements set out in section 45</w:t>
      </w:r>
      <w:r w:rsidR="002A2A70">
        <w:rPr>
          <w:rFonts w:ascii="Times New Roman" w:hAnsi="Times New Roman"/>
          <w:sz w:val="24"/>
          <w:szCs w:val="24"/>
        </w:rPr>
        <w:t>. </w:t>
      </w:r>
      <w:r>
        <w:rPr>
          <w:rFonts w:ascii="Times New Roman" w:hAnsi="Times New Roman"/>
          <w:sz w:val="24"/>
          <w:szCs w:val="24"/>
        </w:rPr>
        <w:t xml:space="preserve">The proponent is required to detail in their offsets report the version of the </w:t>
      </w:r>
      <w:r>
        <w:rPr>
          <w:rFonts w:ascii="Times New Roman" w:hAnsi="Times New Roman"/>
          <w:i/>
          <w:iCs/>
          <w:sz w:val="24"/>
          <w:szCs w:val="24"/>
        </w:rPr>
        <w:t>NGER (Measurement) Determination</w:t>
      </w:r>
      <w:r>
        <w:rPr>
          <w:rFonts w:ascii="Times New Roman" w:hAnsi="Times New Roman"/>
          <w:sz w:val="24"/>
          <w:szCs w:val="24"/>
        </w:rPr>
        <w:t xml:space="preserve"> or external source that was used when undertaking monitoring, the dates that the version was used and why it was not possible for the proponent to use the version that was in force at the end of the reporting period.</w:t>
      </w:r>
    </w:p>
    <w:p w:rsidR="002B7E2D" w:rsidRPr="007A0E38" w:rsidRDefault="002B7E2D" w:rsidP="002B7E2D">
      <w:pPr>
        <w:spacing w:after="120" w:line="240" w:lineRule="auto"/>
        <w:rPr>
          <w:rFonts w:ascii="Times New Roman" w:hAnsi="Times New Roman"/>
          <w:color w:val="000000"/>
          <w:sz w:val="24"/>
          <w:szCs w:val="24"/>
        </w:rPr>
      </w:pPr>
      <w:r w:rsidRPr="007A0E38">
        <w:rPr>
          <w:rFonts w:ascii="Times New Roman" w:hAnsi="Times New Roman"/>
          <w:color w:val="000000"/>
          <w:sz w:val="24"/>
          <w:szCs w:val="24"/>
        </w:rPr>
        <w:t>Subsection 43(</w:t>
      </w:r>
      <w:r w:rsidR="004F1D9B">
        <w:rPr>
          <w:rFonts w:ascii="Times New Roman" w:hAnsi="Times New Roman"/>
          <w:color w:val="000000"/>
          <w:sz w:val="24"/>
          <w:szCs w:val="24"/>
        </w:rPr>
        <w:t>2</w:t>
      </w:r>
      <w:r w:rsidRPr="007A0E38">
        <w:rPr>
          <w:rFonts w:ascii="Times New Roman" w:hAnsi="Times New Roman"/>
          <w:color w:val="000000"/>
          <w:sz w:val="24"/>
          <w:szCs w:val="24"/>
        </w:rPr>
        <w:t xml:space="preserve">) makes clear that the requirements in this section only apply if a parameter is worked out using section 46, which is applied if a project proponent fails to meet requirements to monitor certain parameters. </w:t>
      </w:r>
    </w:p>
    <w:p w:rsidR="002B7E2D" w:rsidRDefault="002B7E2D" w:rsidP="002B7E2D">
      <w:pPr>
        <w:spacing w:after="120" w:line="240" w:lineRule="auto"/>
        <w:rPr>
          <w:rFonts w:ascii="Times New Roman" w:hAnsi="Times New Roman"/>
          <w:color w:val="000000"/>
          <w:sz w:val="24"/>
          <w:szCs w:val="24"/>
        </w:rPr>
      </w:pPr>
      <w:r w:rsidRPr="007A0E38">
        <w:rPr>
          <w:rFonts w:ascii="Times New Roman" w:hAnsi="Times New Roman"/>
          <w:color w:val="000000"/>
          <w:sz w:val="24"/>
          <w:szCs w:val="24"/>
        </w:rPr>
        <w:t>The information required to be reported is listed in subsection 43(2) and is to provide the Regulator with evidence that will allow it to determine the nature and frequency of the failure to meet the monitoring requirements of the Determination and determine what compliance action may be appropriate.</w:t>
      </w:r>
    </w:p>
    <w:p w:rsidR="002B7E2D" w:rsidRPr="007A0E38" w:rsidRDefault="002B7E2D" w:rsidP="002B7E2D">
      <w:pPr>
        <w:spacing w:after="120" w:line="240" w:lineRule="auto"/>
        <w:rPr>
          <w:rFonts w:ascii="Times New Roman" w:hAnsi="Times New Roman"/>
          <w:color w:val="000000"/>
          <w:sz w:val="24"/>
          <w:szCs w:val="24"/>
        </w:rPr>
      </w:pPr>
    </w:p>
    <w:p w:rsidR="002B7E2D" w:rsidRPr="00AC470E" w:rsidRDefault="002B7E2D" w:rsidP="002B7E2D">
      <w:pPr>
        <w:spacing w:after="120" w:line="240" w:lineRule="auto"/>
        <w:rPr>
          <w:rFonts w:ascii="Times New Roman" w:hAnsi="Times New Roman"/>
          <w:b/>
          <w:color w:val="000000"/>
          <w:sz w:val="24"/>
          <w:szCs w:val="24"/>
        </w:rPr>
      </w:pPr>
      <w:r w:rsidRPr="00AC470E">
        <w:rPr>
          <w:rFonts w:ascii="Times New Roman" w:hAnsi="Times New Roman"/>
          <w:b/>
          <w:color w:val="000000"/>
          <w:sz w:val="24"/>
          <w:szCs w:val="24"/>
        </w:rPr>
        <w:t>Division 2</w:t>
      </w:r>
      <w:r w:rsidRPr="00AC470E">
        <w:rPr>
          <w:rFonts w:ascii="Times New Roman" w:hAnsi="Times New Roman"/>
          <w:b/>
          <w:color w:val="000000"/>
          <w:sz w:val="24"/>
          <w:szCs w:val="24"/>
        </w:rPr>
        <w:tab/>
        <w:t>Monitoring requirements</w:t>
      </w:r>
      <w:bookmarkEnd w:id="9"/>
      <w:bookmarkEnd w:id="10"/>
    </w:p>
    <w:p w:rsidR="002B7E2D" w:rsidRPr="00AC470E" w:rsidRDefault="002B7E2D" w:rsidP="002B7E2D">
      <w:pPr>
        <w:spacing w:after="120" w:line="240" w:lineRule="auto"/>
        <w:rPr>
          <w:rFonts w:ascii="Times New Roman" w:hAnsi="Times New Roman"/>
          <w:color w:val="000000"/>
          <w:sz w:val="24"/>
          <w:szCs w:val="24"/>
          <w:u w:val="single"/>
        </w:rPr>
      </w:pPr>
      <w:bookmarkStart w:id="11" w:name="_Toc318098666"/>
      <w:bookmarkStart w:id="12" w:name="_Toc319521137"/>
      <w:r w:rsidRPr="00AC470E">
        <w:rPr>
          <w:rFonts w:ascii="Times New Roman" w:hAnsi="Times New Roman"/>
          <w:color w:val="000000"/>
          <w:sz w:val="24"/>
          <w:szCs w:val="24"/>
          <w:u w:val="single"/>
        </w:rPr>
        <w:t>44</w:t>
      </w:r>
      <w:r w:rsidRPr="00AC470E">
        <w:rPr>
          <w:rFonts w:ascii="Times New Roman" w:hAnsi="Times New Roman"/>
          <w:color w:val="000000"/>
          <w:sz w:val="24"/>
          <w:szCs w:val="24"/>
          <w:u w:val="single"/>
        </w:rPr>
        <w:tab/>
      </w:r>
      <w:bookmarkEnd w:id="11"/>
      <w:bookmarkEnd w:id="12"/>
      <w:r w:rsidRPr="00AC470E">
        <w:rPr>
          <w:rFonts w:ascii="Times New Roman" w:hAnsi="Times New Roman"/>
          <w:color w:val="000000"/>
          <w:sz w:val="24"/>
          <w:szCs w:val="24"/>
          <w:u w:val="single"/>
        </w:rPr>
        <w:t>Operation of this Division</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 xml:space="preserve">Monitored parameters are measured according to the instructions provided in Part 5 of the Determination. In general monitored parameters refer to requirements specified in the </w:t>
      </w:r>
      <w:r w:rsidRPr="00AC470E">
        <w:rPr>
          <w:rFonts w:ascii="Times New Roman" w:hAnsi="Times New Roman"/>
          <w:i/>
          <w:color w:val="000000"/>
          <w:sz w:val="24"/>
          <w:szCs w:val="24"/>
        </w:rPr>
        <w:t>NGER (Measurement) Determination</w:t>
      </w:r>
      <w:r w:rsidRPr="00AC470E">
        <w:rPr>
          <w:rFonts w:ascii="Times New Roman" w:hAnsi="Times New Roman"/>
          <w:color w:val="000000"/>
          <w:sz w:val="24"/>
          <w:szCs w:val="24"/>
        </w:rPr>
        <w:t xml:space="preserve">. </w:t>
      </w:r>
    </w:p>
    <w:p w:rsidR="002B7E2D" w:rsidRPr="00AC470E" w:rsidRDefault="002B7E2D" w:rsidP="002B7E2D">
      <w:pPr>
        <w:spacing w:after="120" w:line="240" w:lineRule="auto"/>
        <w:rPr>
          <w:rFonts w:ascii="Times New Roman" w:hAnsi="Times New Roman"/>
          <w:color w:val="000000"/>
          <w:sz w:val="24"/>
          <w:szCs w:val="24"/>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45</w:t>
      </w:r>
      <w:r w:rsidRPr="00AC470E">
        <w:rPr>
          <w:rFonts w:ascii="Times New Roman" w:hAnsi="Times New Roman"/>
          <w:color w:val="000000"/>
          <w:sz w:val="24"/>
          <w:szCs w:val="24"/>
          <w:u w:val="single"/>
        </w:rPr>
        <w:tab/>
        <w:t>Requirement</w:t>
      </w:r>
      <w:r w:rsidR="00546ACC">
        <w:rPr>
          <w:rFonts w:ascii="Times New Roman" w:hAnsi="Times New Roman"/>
          <w:color w:val="000000"/>
          <w:sz w:val="24"/>
          <w:szCs w:val="24"/>
          <w:u w:val="single"/>
        </w:rPr>
        <w:t>s</w:t>
      </w:r>
      <w:r w:rsidRPr="00AC470E">
        <w:rPr>
          <w:rFonts w:ascii="Times New Roman" w:hAnsi="Times New Roman"/>
          <w:color w:val="000000"/>
          <w:sz w:val="24"/>
          <w:szCs w:val="24"/>
          <w:u w:val="single"/>
        </w:rPr>
        <w:t xml:space="preserve"> to monitor certain parameters</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Section 45 lists parameters used in the calculation of net abatement amounts in Part 4 of the Determination that require monitoring, including specifications for the procedure, frequency of monitoring</w:t>
      </w:r>
      <w:r w:rsidR="00220436">
        <w:rPr>
          <w:rFonts w:ascii="Times New Roman" w:hAnsi="Times New Roman"/>
          <w:color w:val="000000"/>
          <w:sz w:val="24"/>
          <w:szCs w:val="24"/>
        </w:rPr>
        <w:t>,</w:t>
      </w:r>
      <w:r w:rsidRPr="00AC470E">
        <w:rPr>
          <w:rFonts w:ascii="Times New Roman" w:hAnsi="Times New Roman"/>
          <w:color w:val="000000"/>
          <w:sz w:val="24"/>
          <w:szCs w:val="24"/>
        </w:rPr>
        <w:t xml:space="preserve"> and how to derive the parameter value based on the measurements and monitoring data.</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 xml:space="preserve">The Determination requires that measurement procedures meet </w:t>
      </w:r>
      <w:r w:rsidR="00220436">
        <w:rPr>
          <w:rFonts w:ascii="Times New Roman" w:hAnsi="Times New Roman"/>
          <w:color w:val="000000"/>
          <w:sz w:val="24"/>
          <w:szCs w:val="24"/>
        </w:rPr>
        <w:t xml:space="preserve">the </w:t>
      </w:r>
      <w:r w:rsidRPr="00AC470E">
        <w:rPr>
          <w:rFonts w:ascii="Times New Roman" w:hAnsi="Times New Roman"/>
          <w:color w:val="000000"/>
          <w:sz w:val="24"/>
          <w:szCs w:val="24"/>
        </w:rPr>
        <w:t>specification</w:t>
      </w:r>
      <w:r w:rsidR="00220436">
        <w:rPr>
          <w:rFonts w:ascii="Times New Roman" w:hAnsi="Times New Roman"/>
          <w:color w:val="000000"/>
          <w:sz w:val="24"/>
          <w:szCs w:val="24"/>
        </w:rPr>
        <w:t>s</w:t>
      </w:r>
      <w:r w:rsidRPr="00AC470E">
        <w:rPr>
          <w:rFonts w:ascii="Times New Roman" w:hAnsi="Times New Roman"/>
          <w:color w:val="000000"/>
          <w:sz w:val="24"/>
          <w:szCs w:val="24"/>
        </w:rPr>
        <w:t xml:space="preserve"> </w:t>
      </w:r>
      <w:r w:rsidR="00220436">
        <w:rPr>
          <w:rFonts w:ascii="Times New Roman" w:hAnsi="Times New Roman"/>
          <w:color w:val="000000"/>
          <w:sz w:val="24"/>
          <w:szCs w:val="24"/>
        </w:rPr>
        <w:t>of</w:t>
      </w:r>
      <w:r w:rsidRPr="00AC470E">
        <w:rPr>
          <w:rFonts w:ascii="Times New Roman" w:hAnsi="Times New Roman"/>
          <w:color w:val="000000"/>
          <w:sz w:val="24"/>
          <w:szCs w:val="24"/>
        </w:rPr>
        <w:t xml:space="preserve"> the </w:t>
      </w:r>
      <w:r w:rsidRPr="00AC470E">
        <w:rPr>
          <w:rFonts w:ascii="Times New Roman" w:hAnsi="Times New Roman"/>
          <w:i/>
          <w:iCs/>
          <w:color w:val="000000"/>
          <w:sz w:val="24"/>
          <w:szCs w:val="24"/>
        </w:rPr>
        <w:t>NGER (Measurement) Determination</w:t>
      </w:r>
      <w:r w:rsidRPr="00AC470E">
        <w:rPr>
          <w:rFonts w:ascii="Times New Roman" w:hAnsi="Times New Roman"/>
          <w:color w:val="000000"/>
          <w:sz w:val="24"/>
          <w:szCs w:val="24"/>
        </w:rPr>
        <w:t xml:space="preserve"> or other relevant standards and other requirements under the </w:t>
      </w:r>
      <w:r w:rsidRPr="00AC470E">
        <w:rPr>
          <w:rFonts w:ascii="Times New Roman" w:hAnsi="Times New Roman"/>
          <w:i/>
          <w:iCs/>
          <w:color w:val="000000"/>
          <w:sz w:val="24"/>
          <w:szCs w:val="24"/>
        </w:rPr>
        <w:t>National Measurement Act 1960</w:t>
      </w:r>
      <w:r w:rsidRPr="00AC470E">
        <w:rPr>
          <w:rFonts w:ascii="Times New Roman" w:hAnsi="Times New Roman"/>
          <w:color w:val="000000"/>
          <w:sz w:val="24"/>
          <w:szCs w:val="24"/>
        </w:rPr>
        <w:t>. This is implicit where a parameter must be measured in accordance with the</w:t>
      </w:r>
      <w:r w:rsidRPr="00AC470E">
        <w:rPr>
          <w:rFonts w:ascii="Times New Roman" w:hAnsi="Times New Roman"/>
          <w:i/>
          <w:iCs/>
          <w:color w:val="000000"/>
          <w:sz w:val="24"/>
          <w:szCs w:val="24"/>
        </w:rPr>
        <w:t xml:space="preserve"> NGER (Measurement) Determination, </w:t>
      </w:r>
      <w:r w:rsidRPr="00AC470E">
        <w:rPr>
          <w:rFonts w:ascii="Times New Roman" w:hAnsi="Times New Roman"/>
          <w:color w:val="000000"/>
          <w:sz w:val="24"/>
          <w:szCs w:val="24"/>
        </w:rPr>
        <w:t xml:space="preserve">and otherwise a monitoring parameter must meet </w:t>
      </w:r>
      <w:r w:rsidRPr="00AC470E">
        <w:rPr>
          <w:rFonts w:ascii="Times New Roman" w:hAnsi="Times New Roman"/>
          <w:b/>
          <w:bCs/>
          <w:i/>
          <w:iCs/>
          <w:color w:val="000000"/>
          <w:sz w:val="24"/>
          <w:szCs w:val="24"/>
        </w:rPr>
        <w:t>appropriate measuring requirements</w:t>
      </w:r>
      <w:r w:rsidRPr="00AC470E">
        <w:rPr>
          <w:rFonts w:ascii="Times New Roman" w:hAnsi="Times New Roman"/>
          <w:color w:val="000000"/>
          <w:sz w:val="24"/>
          <w:szCs w:val="24"/>
        </w:rPr>
        <w:t>.</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Any equipment or device used to monitor a parameter must be calibrated by an accredited third party technician at intervals, and using methods, that are in accordance with the manufacturer’s specifications.</w:t>
      </w:r>
    </w:p>
    <w:p w:rsidR="002B7E2D" w:rsidRPr="00AC470E" w:rsidRDefault="002B7E2D" w:rsidP="002B7E2D">
      <w:pPr>
        <w:keepNext/>
        <w:spacing w:after="120" w:line="240" w:lineRule="auto"/>
        <w:rPr>
          <w:rFonts w:ascii="Times New Roman" w:hAnsi="Times New Roman"/>
          <w:color w:val="000000"/>
          <w:sz w:val="24"/>
          <w:szCs w:val="24"/>
        </w:rPr>
      </w:pPr>
      <w:r w:rsidRPr="00AC470E">
        <w:rPr>
          <w:rFonts w:ascii="Times New Roman" w:hAnsi="Times New Roman"/>
          <w:color w:val="000000"/>
          <w:sz w:val="24"/>
          <w:szCs w:val="24"/>
        </w:rPr>
        <w:t>Key monitoring parameters are:</w:t>
      </w:r>
    </w:p>
    <w:p w:rsidR="002B7E2D" w:rsidRPr="00AC470E" w:rsidRDefault="002B7E2D" w:rsidP="00C3424B">
      <w:pPr>
        <w:pStyle w:val="ListParagraph"/>
        <w:numPr>
          <w:ilvl w:val="0"/>
          <w:numId w:val="19"/>
        </w:numPr>
        <w:spacing w:after="120" w:line="240" w:lineRule="auto"/>
        <w:ind w:left="426" w:hanging="426"/>
        <w:rPr>
          <w:rFonts w:ascii="Times New Roman" w:hAnsi="Times New Roman"/>
          <w:color w:val="000000"/>
          <w:sz w:val="24"/>
          <w:szCs w:val="24"/>
        </w:rPr>
      </w:pPr>
      <w:r w:rsidRPr="00AC470E">
        <w:rPr>
          <w:rFonts w:ascii="Times New Roman" w:hAnsi="Times New Roman"/>
          <w:color w:val="000000"/>
          <w:sz w:val="24"/>
          <w:szCs w:val="24"/>
        </w:rPr>
        <w:t>the quantities of waste received and processed by the project including the quantity of products produced</w:t>
      </w:r>
    </w:p>
    <w:p w:rsidR="002B7E2D" w:rsidRPr="00AC470E" w:rsidRDefault="002B7E2D" w:rsidP="00C3424B">
      <w:pPr>
        <w:pStyle w:val="ListParagraph"/>
        <w:numPr>
          <w:ilvl w:val="0"/>
          <w:numId w:val="19"/>
        </w:numPr>
        <w:spacing w:after="120" w:line="240" w:lineRule="auto"/>
        <w:ind w:left="426" w:hanging="426"/>
        <w:rPr>
          <w:rFonts w:ascii="Times New Roman" w:hAnsi="Times New Roman"/>
          <w:color w:val="000000"/>
          <w:sz w:val="24"/>
          <w:szCs w:val="24"/>
        </w:rPr>
      </w:pPr>
      <w:r w:rsidRPr="00AC470E">
        <w:rPr>
          <w:rFonts w:ascii="Times New Roman" w:hAnsi="Times New Roman"/>
          <w:color w:val="000000"/>
          <w:sz w:val="24"/>
          <w:szCs w:val="24"/>
        </w:rPr>
        <w:t>the quantity of fuel and electricity used by the project</w:t>
      </w:r>
    </w:p>
    <w:p w:rsidR="002B7E2D" w:rsidRPr="00AC470E" w:rsidRDefault="002B7E2D" w:rsidP="00C3424B">
      <w:pPr>
        <w:pStyle w:val="ListParagraph"/>
        <w:numPr>
          <w:ilvl w:val="0"/>
          <w:numId w:val="19"/>
        </w:numPr>
        <w:spacing w:after="120" w:line="240" w:lineRule="auto"/>
        <w:ind w:left="426" w:hanging="426"/>
        <w:rPr>
          <w:rFonts w:ascii="Times New Roman" w:hAnsi="Times New Roman"/>
          <w:color w:val="000000"/>
          <w:sz w:val="24"/>
          <w:szCs w:val="24"/>
        </w:rPr>
      </w:pPr>
      <w:r w:rsidRPr="00AC470E">
        <w:rPr>
          <w:rFonts w:ascii="Times New Roman" w:hAnsi="Times New Roman"/>
          <w:color w:val="000000"/>
          <w:sz w:val="24"/>
          <w:szCs w:val="24"/>
        </w:rPr>
        <w:t xml:space="preserve">the volume of biogas sent to combustion devices and the methane content of that biogas. </w:t>
      </w:r>
    </w:p>
    <w:p w:rsidR="002B7E2D" w:rsidRPr="00AC470E" w:rsidRDefault="002B7E2D" w:rsidP="002B7E2D">
      <w:pPr>
        <w:spacing w:after="120" w:line="240" w:lineRule="auto"/>
        <w:rPr>
          <w:rFonts w:ascii="Times New Roman" w:hAnsi="Times New Roman"/>
          <w:color w:val="000000"/>
          <w:sz w:val="24"/>
          <w:szCs w:val="24"/>
        </w:rPr>
      </w:pPr>
      <w:r w:rsidRPr="00AC470E">
        <w:rPr>
          <w:rFonts w:ascii="Times New Roman" w:hAnsi="Times New Roman"/>
          <w:color w:val="000000"/>
          <w:sz w:val="24"/>
          <w:szCs w:val="24"/>
        </w:rPr>
        <w:t xml:space="preserve">In subsection 45(1), where the monitoring frequency of a parameter is specified as </w:t>
      </w:r>
      <w:r w:rsidR="001845AF">
        <w:rPr>
          <w:rFonts w:ascii="Times New Roman" w:hAnsi="Times New Roman"/>
          <w:color w:val="000000"/>
          <w:sz w:val="24"/>
          <w:szCs w:val="24"/>
        </w:rPr>
        <w:t>‘</w:t>
      </w:r>
      <w:r w:rsidRPr="00AC470E">
        <w:rPr>
          <w:rFonts w:ascii="Times New Roman" w:hAnsi="Times New Roman"/>
          <w:color w:val="000000"/>
          <w:sz w:val="24"/>
          <w:szCs w:val="24"/>
        </w:rPr>
        <w:t>continuous</w:t>
      </w:r>
      <w:r w:rsidR="001845AF">
        <w:rPr>
          <w:rFonts w:ascii="Times New Roman" w:hAnsi="Times New Roman"/>
          <w:color w:val="000000"/>
          <w:sz w:val="24"/>
          <w:szCs w:val="24"/>
        </w:rPr>
        <w:t>’</w:t>
      </w:r>
      <w:r w:rsidRPr="00AC470E">
        <w:rPr>
          <w:rFonts w:ascii="Times New Roman" w:hAnsi="Times New Roman"/>
          <w:color w:val="000000"/>
          <w:sz w:val="24"/>
          <w:szCs w:val="24"/>
        </w:rPr>
        <w:t>, this means it should be monitored throughout the reporting period at intervals necessary to meet the specified standards.</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Subsection 45(2) requires that if a project </w:t>
      </w:r>
      <w:r>
        <w:rPr>
          <w:rFonts w:ascii="Times New Roman" w:eastAsia="Times New Roman" w:hAnsi="Times New Roman"/>
          <w:sz w:val="24"/>
          <w:szCs w:val="24"/>
          <w:lang w:eastAsia="en-AU"/>
        </w:rPr>
        <w:t xml:space="preserve">proponent </w:t>
      </w:r>
      <w:r w:rsidRPr="00AC470E">
        <w:rPr>
          <w:rFonts w:ascii="Times New Roman" w:eastAsia="Times New Roman" w:hAnsi="Times New Roman"/>
          <w:sz w:val="24"/>
          <w:szCs w:val="24"/>
          <w:lang w:eastAsia="en-AU"/>
        </w:rPr>
        <w:t xml:space="preserve">chooses to monitor </w:t>
      </w:r>
      <w:r w:rsidRPr="00AC470E">
        <w:rPr>
          <w:rFonts w:ascii="Times New Roman" w:hAnsi="Times New Roman"/>
          <w:color w:val="000000"/>
          <w:sz w:val="24"/>
          <w:szCs w:val="24"/>
        </w:rPr>
        <w:t>the fraction of the volume of biogas sent to combustion devices that is methane (</w:t>
      </w:r>
      <w:r w:rsidRPr="00AC470E">
        <w:rPr>
          <w:rFonts w:ascii="Times New Roman" w:hAnsi="Times New Roman"/>
          <w:b/>
          <w:i/>
          <w:color w:val="000000"/>
          <w:sz w:val="24"/>
          <w:szCs w:val="24"/>
        </w:rPr>
        <w:t>W</w:t>
      </w:r>
      <w:r w:rsidRPr="00AC470E">
        <w:rPr>
          <w:rFonts w:ascii="Times New Roman" w:hAnsi="Times New Roman"/>
          <w:b/>
          <w:i/>
          <w:color w:val="000000"/>
          <w:sz w:val="24"/>
          <w:szCs w:val="24"/>
          <w:vertAlign w:val="subscript"/>
        </w:rPr>
        <w:t>BG,CH</w:t>
      </w:r>
      <w:r w:rsidRPr="004B03F3">
        <w:rPr>
          <w:rFonts w:ascii="Times New Roman Bold" w:hAnsi="Times New Roman Bold"/>
          <w:b/>
          <w:i/>
          <w:color w:val="000000"/>
          <w:sz w:val="18"/>
          <w:vertAlign w:val="subscript"/>
        </w:rPr>
        <w:t>4</w:t>
      </w:r>
      <w:r w:rsidRPr="00AC470E">
        <w:rPr>
          <w:rFonts w:ascii="Times New Roman" w:hAnsi="Times New Roman"/>
          <w:color w:val="000000"/>
          <w:sz w:val="24"/>
          <w:szCs w:val="24"/>
        </w:rPr>
        <w:t xml:space="preserve">) </w:t>
      </w:r>
      <w:r w:rsidRPr="00AC470E">
        <w:rPr>
          <w:rFonts w:ascii="Times New Roman" w:eastAsia="Times New Roman" w:hAnsi="Times New Roman"/>
          <w:sz w:val="24"/>
          <w:szCs w:val="24"/>
          <w:lang w:eastAsia="en-AU"/>
        </w:rPr>
        <w:t>continuously then they must monitor continuously for the entire project. If a project</w:t>
      </w:r>
      <w:r>
        <w:rPr>
          <w:rFonts w:ascii="Times New Roman" w:eastAsia="Times New Roman" w:hAnsi="Times New Roman"/>
          <w:sz w:val="24"/>
          <w:szCs w:val="24"/>
          <w:lang w:eastAsia="en-AU"/>
        </w:rPr>
        <w:t xml:space="preserve"> proponent</w:t>
      </w:r>
      <w:r w:rsidRPr="00AC470E">
        <w:rPr>
          <w:rFonts w:ascii="Times New Roman" w:eastAsia="Times New Roman" w:hAnsi="Times New Roman"/>
          <w:sz w:val="24"/>
          <w:szCs w:val="24"/>
          <w:lang w:eastAsia="en-AU"/>
        </w:rPr>
        <w:t xml:space="preserve"> uses the default value for </w:t>
      </w:r>
      <w:r w:rsidRPr="00AC470E">
        <w:rPr>
          <w:rFonts w:ascii="Times New Roman" w:hAnsi="Times New Roman"/>
          <w:b/>
          <w:i/>
          <w:color w:val="000000"/>
          <w:sz w:val="24"/>
          <w:szCs w:val="24"/>
        </w:rPr>
        <w:t>W</w:t>
      </w:r>
      <w:r w:rsidRPr="00AC470E">
        <w:rPr>
          <w:rFonts w:ascii="Times New Roman" w:hAnsi="Times New Roman"/>
          <w:b/>
          <w:i/>
          <w:color w:val="000000"/>
          <w:sz w:val="24"/>
          <w:szCs w:val="24"/>
          <w:vertAlign w:val="subscript"/>
        </w:rPr>
        <w:t>BG,CH</w:t>
      </w:r>
      <w:r w:rsidRPr="004B03F3">
        <w:rPr>
          <w:rFonts w:ascii="Times New Roman Bold" w:hAnsi="Times New Roman Bold"/>
          <w:b/>
          <w:i/>
          <w:color w:val="000000"/>
          <w:sz w:val="18"/>
          <w:vertAlign w:val="subscript"/>
        </w:rPr>
        <w:t>4</w:t>
      </w:r>
      <w:r w:rsidRPr="00AC470E">
        <w:rPr>
          <w:rFonts w:ascii="Times New Roman" w:eastAsia="Times New Roman" w:hAnsi="Times New Roman"/>
          <w:sz w:val="24"/>
          <w:szCs w:val="24"/>
          <w:lang w:eastAsia="en-AU"/>
        </w:rPr>
        <w:t xml:space="preserve">, the project </w:t>
      </w:r>
      <w:r>
        <w:rPr>
          <w:rFonts w:ascii="Times New Roman" w:eastAsia="Times New Roman" w:hAnsi="Times New Roman"/>
          <w:sz w:val="24"/>
          <w:szCs w:val="24"/>
          <w:lang w:eastAsia="en-AU"/>
        </w:rPr>
        <w:t xml:space="preserve">proponent </w:t>
      </w:r>
      <w:r w:rsidRPr="00AC470E">
        <w:rPr>
          <w:rFonts w:ascii="Times New Roman" w:eastAsia="Times New Roman" w:hAnsi="Times New Roman"/>
          <w:sz w:val="24"/>
          <w:szCs w:val="24"/>
          <w:lang w:eastAsia="en-AU"/>
        </w:rPr>
        <w:t>may change to continuous monitoring but cannot change back to the default.</w:t>
      </w:r>
    </w:p>
    <w:p w:rsidR="002B7E2D" w:rsidRPr="00AC470E" w:rsidRDefault="002B7E2D" w:rsidP="002B7E2D">
      <w:pPr>
        <w:spacing w:after="120" w:line="240" w:lineRule="auto"/>
        <w:rPr>
          <w:rFonts w:ascii="Times New Roman" w:hAnsi="Times New Roman"/>
          <w:color w:val="000000" w:themeColor="text1"/>
          <w:sz w:val="24"/>
        </w:rPr>
      </w:pPr>
      <w:r w:rsidRPr="00AC470E">
        <w:rPr>
          <w:rFonts w:ascii="Times New Roman" w:hAnsi="Times New Roman"/>
          <w:color w:val="000000" w:themeColor="text1"/>
          <w:sz w:val="24"/>
          <w:szCs w:val="24"/>
        </w:rPr>
        <w:t xml:space="preserve">As reiterated by subsection 46(3) below, failure to </w:t>
      </w:r>
      <w:r w:rsidRPr="004B03F3">
        <w:rPr>
          <w:rFonts w:ascii="Times New Roman" w:hAnsi="Times New Roman"/>
          <w:color w:val="000000" w:themeColor="text1"/>
          <w:sz w:val="24"/>
        </w:rPr>
        <w:t xml:space="preserve">monitor parameters </w:t>
      </w:r>
      <w:r w:rsidRPr="00AC470E">
        <w:rPr>
          <w:rFonts w:ascii="Times New Roman" w:hAnsi="Times New Roman"/>
          <w:color w:val="000000" w:themeColor="text1"/>
          <w:sz w:val="24"/>
          <w:szCs w:val="24"/>
        </w:rPr>
        <w:t xml:space="preserve">in accordance with this section is a breach </w:t>
      </w:r>
      <w:r>
        <w:rPr>
          <w:rFonts w:ascii="Times New Roman" w:hAnsi="Times New Roman"/>
          <w:color w:val="000000" w:themeColor="text1"/>
          <w:sz w:val="24"/>
          <w:szCs w:val="24"/>
        </w:rPr>
        <w:t>of</w:t>
      </w:r>
      <w:r w:rsidRPr="00AC470E">
        <w:rPr>
          <w:rFonts w:ascii="Times New Roman" w:hAnsi="Times New Roman"/>
          <w:color w:val="000000" w:themeColor="text1"/>
          <w:sz w:val="24"/>
          <w:szCs w:val="24"/>
        </w:rPr>
        <w:t xml:space="preserve"> requirements of the Determination. In the case of certain parameters, where it has not been possible</w:t>
      </w:r>
      <w:r w:rsidRPr="004B03F3">
        <w:rPr>
          <w:rFonts w:ascii="Times New Roman" w:hAnsi="Times New Roman"/>
          <w:color w:val="000000" w:themeColor="text1"/>
          <w:sz w:val="24"/>
        </w:rPr>
        <w:t xml:space="preserve"> to monitor in accordance with the requirements</w:t>
      </w:r>
      <w:r>
        <w:rPr>
          <w:rFonts w:ascii="Times New Roman" w:hAnsi="Times New Roman"/>
          <w:color w:val="000000" w:themeColor="text1"/>
          <w:sz w:val="24"/>
        </w:rPr>
        <w:t>,</w:t>
      </w:r>
      <w:r w:rsidRPr="004B03F3">
        <w:rPr>
          <w:rFonts w:ascii="Times New Roman" w:hAnsi="Times New Roman"/>
          <w:color w:val="000000" w:themeColor="text1"/>
          <w:sz w:val="24"/>
        </w:rPr>
        <w:t xml:space="preserve"> </w:t>
      </w:r>
      <w:r w:rsidRPr="00AC470E">
        <w:rPr>
          <w:rFonts w:ascii="Times New Roman" w:hAnsi="Times New Roman"/>
          <w:color w:val="000000" w:themeColor="text1"/>
          <w:sz w:val="24"/>
          <w:szCs w:val="24"/>
        </w:rPr>
        <w:t>project</w:t>
      </w:r>
      <w:r>
        <w:rPr>
          <w:rFonts w:ascii="Times New Roman" w:hAnsi="Times New Roman"/>
          <w:color w:val="000000" w:themeColor="text1"/>
          <w:sz w:val="24"/>
          <w:szCs w:val="24"/>
        </w:rPr>
        <w:t xml:space="preserve"> proponent</w:t>
      </w:r>
      <w:r w:rsidRPr="00AC470E">
        <w:rPr>
          <w:rFonts w:ascii="Times New Roman" w:hAnsi="Times New Roman"/>
          <w:color w:val="000000" w:themeColor="text1"/>
          <w:sz w:val="24"/>
          <w:szCs w:val="24"/>
        </w:rPr>
        <w:t>s should use one of the approaches provided in section 46.</w:t>
      </w:r>
    </w:p>
    <w:p w:rsidR="002B7E2D" w:rsidRPr="00AC470E" w:rsidRDefault="002B7E2D" w:rsidP="002B7E2D">
      <w:pPr>
        <w:spacing w:after="120" w:line="240" w:lineRule="auto"/>
        <w:rPr>
          <w:rFonts w:ascii="Times New Roman" w:hAnsi="Times New Roman"/>
          <w:color w:val="000000"/>
          <w:sz w:val="24"/>
          <w:szCs w:val="24"/>
        </w:rPr>
      </w:pPr>
    </w:p>
    <w:p w:rsidR="002B7E2D" w:rsidRPr="00AC470E" w:rsidRDefault="002B7E2D" w:rsidP="002B7E2D">
      <w:pPr>
        <w:spacing w:after="120" w:line="240" w:lineRule="auto"/>
        <w:rPr>
          <w:rFonts w:ascii="Times New Roman" w:hAnsi="Times New Roman"/>
          <w:color w:val="000000"/>
          <w:sz w:val="24"/>
          <w:szCs w:val="24"/>
          <w:u w:val="single"/>
        </w:rPr>
      </w:pPr>
      <w:r w:rsidRPr="00AC470E">
        <w:rPr>
          <w:rFonts w:ascii="Times New Roman" w:hAnsi="Times New Roman"/>
          <w:color w:val="000000"/>
          <w:sz w:val="24"/>
          <w:szCs w:val="24"/>
          <w:u w:val="single"/>
        </w:rPr>
        <w:t>46</w:t>
      </w:r>
      <w:r w:rsidRPr="00AC470E">
        <w:rPr>
          <w:rFonts w:ascii="Times New Roman" w:hAnsi="Times New Roman"/>
          <w:color w:val="000000"/>
          <w:sz w:val="24"/>
          <w:szCs w:val="24"/>
          <w:u w:val="single"/>
        </w:rPr>
        <w:tab/>
        <w:t>Consequences of not meeting requirement to monitor certain parameters</w:t>
      </w:r>
    </w:p>
    <w:p w:rsidR="002B7E2D" w:rsidRPr="00043E3F" w:rsidRDefault="002B7E2D" w:rsidP="002B7E2D">
      <w:pPr>
        <w:spacing w:after="120" w:line="240" w:lineRule="auto"/>
        <w:rPr>
          <w:rFonts w:ascii="Times New Roman" w:hAnsi="Times New Roman"/>
          <w:color w:val="000000"/>
          <w:sz w:val="24"/>
          <w:szCs w:val="24"/>
        </w:rPr>
      </w:pPr>
      <w:r w:rsidRPr="00043E3F">
        <w:rPr>
          <w:rFonts w:ascii="Times New Roman" w:hAnsi="Times New Roman"/>
          <w:color w:val="000000"/>
          <w:sz w:val="24"/>
          <w:szCs w:val="24"/>
        </w:rPr>
        <w:t xml:space="preserve">Compliance with requirements for monitoring of parameters is important to ensure that abatement credited by the project is calculated correctly. Monitoring requirements (section 45) include the process for monitoring and the standard to which monitoring must occur. </w:t>
      </w:r>
    </w:p>
    <w:p w:rsidR="002B7E2D" w:rsidRPr="00AC470E" w:rsidRDefault="002B7E2D" w:rsidP="002B7E2D">
      <w:pPr>
        <w:spacing w:after="120" w:line="240" w:lineRule="auto"/>
        <w:rPr>
          <w:rFonts w:ascii="Times New Roman" w:eastAsia="Times New Roman" w:hAnsi="Times New Roman"/>
          <w:sz w:val="24"/>
          <w:szCs w:val="24"/>
          <w:lang w:eastAsia="en-AU"/>
        </w:rPr>
      </w:pPr>
      <w:r w:rsidRPr="00043E3F">
        <w:rPr>
          <w:rFonts w:ascii="Times New Roman" w:hAnsi="Times New Roman"/>
          <w:color w:val="000000"/>
          <w:sz w:val="24"/>
          <w:szCs w:val="24"/>
        </w:rPr>
        <w:t>In some cases for reasons beyond their control, a project proponent may be unable to monitor a parameter to the requirements specified. When this occurs, section 46 requires that adjustments must be applied for the time intervals that the parameters are not being monitored</w:t>
      </w:r>
      <w:r w:rsidRPr="00AC470E">
        <w:rPr>
          <w:rFonts w:ascii="Times New Roman" w:eastAsia="Times New Roman" w:hAnsi="Times New Roman"/>
          <w:sz w:val="24"/>
          <w:szCs w:val="24"/>
          <w:lang w:eastAsia="en-AU"/>
        </w:rPr>
        <w:t xml:space="preserve"> in accordance with requirements (termed the </w:t>
      </w:r>
      <w:r w:rsidRPr="00AC470E">
        <w:rPr>
          <w:rFonts w:ascii="Times New Roman" w:eastAsia="Times New Roman" w:hAnsi="Times New Roman"/>
          <w:b/>
          <w:i/>
          <w:sz w:val="24"/>
          <w:szCs w:val="24"/>
          <w:lang w:eastAsia="en-AU"/>
        </w:rPr>
        <w:t>non-monitored period</w:t>
      </w:r>
      <w:r w:rsidRPr="00AC470E">
        <w:rPr>
          <w:rFonts w:ascii="Times New Roman" w:eastAsia="Times New Roman" w:hAnsi="Times New Roman"/>
          <w:sz w:val="24"/>
          <w:szCs w:val="24"/>
          <w:lang w:eastAsia="en-AU"/>
        </w:rPr>
        <w:t xml:space="preserve">). The adjustment is necessary to ensure that all estimates or assumptions used in the Determination </w:t>
      </w:r>
      <w:r w:rsidRPr="00AC470E">
        <w:rPr>
          <w:rFonts w:ascii="Times New Roman" w:eastAsia="Times New Roman" w:hAnsi="Times New Roman"/>
          <w:sz w:val="24"/>
          <w:szCs w:val="24"/>
          <w:lang w:eastAsia="en-AU"/>
        </w:rPr>
        <w:lastRenderedPageBreak/>
        <w:t xml:space="preserve">are conservative and are in accordance with the offsets integrity standards outlined in section 133 of the Act. </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For the parameter listed in item 1 of the table in subsection 46(1) and </w:t>
      </w:r>
      <w:r w:rsidRPr="00DC11AF">
        <w:rPr>
          <w:rFonts w:ascii="Times New Roman" w:eastAsia="Times New Roman" w:hAnsi="Times New Roman"/>
          <w:b/>
          <w:i/>
          <w:sz w:val="24"/>
          <w:szCs w:val="24"/>
          <w:lang w:eastAsia="en-AU"/>
        </w:rPr>
        <w:t>DM</w:t>
      </w:r>
      <w:r w:rsidRPr="00DC11AF">
        <w:rPr>
          <w:rFonts w:ascii="Times New Roman" w:eastAsia="Times New Roman" w:hAnsi="Times New Roman"/>
          <w:b/>
          <w:i/>
          <w:sz w:val="24"/>
          <w:szCs w:val="24"/>
          <w:vertAlign w:val="subscript"/>
          <w:lang w:eastAsia="en-AU"/>
        </w:rPr>
        <w:t>Compost,j</w:t>
      </w:r>
      <w:r w:rsidRPr="00043E3F">
        <w:rPr>
          <w:rFonts w:ascii="Times New Roman" w:eastAsia="Times New Roman" w:hAnsi="Times New Roman"/>
          <w:sz w:val="24"/>
          <w:szCs w:val="24"/>
          <w:lang w:eastAsia="en-AU"/>
        </w:rPr>
        <w:t xml:space="preserve"> </w:t>
      </w:r>
      <w:r w:rsidRPr="00AC470E">
        <w:rPr>
          <w:rFonts w:ascii="Times New Roman" w:eastAsia="Times New Roman" w:hAnsi="Times New Roman"/>
          <w:sz w:val="24"/>
          <w:szCs w:val="24"/>
          <w:lang w:eastAsia="en-AU"/>
        </w:rPr>
        <w:t>in subsection 46(2), the consequence for not monitoring in accordance with the requirements is for the project</w:t>
      </w:r>
      <w:r>
        <w:rPr>
          <w:rFonts w:ascii="Times New Roman" w:eastAsia="Times New Roman" w:hAnsi="Times New Roman"/>
          <w:sz w:val="24"/>
          <w:szCs w:val="24"/>
          <w:lang w:eastAsia="en-AU"/>
        </w:rPr>
        <w:t xml:space="preserve"> proponent</w:t>
      </w:r>
      <w:r w:rsidRPr="00AC470E">
        <w:rPr>
          <w:rFonts w:ascii="Times New Roman" w:eastAsia="Times New Roman" w:hAnsi="Times New Roman"/>
          <w:sz w:val="24"/>
          <w:szCs w:val="24"/>
          <w:lang w:eastAsia="en-AU"/>
        </w:rPr>
        <w:t xml:space="preserve"> to work out the parameter using the default emissions factor for that parameter (as is included in the lower order monitoring option for the parameter). The project</w:t>
      </w:r>
      <w:r>
        <w:rPr>
          <w:rFonts w:ascii="Times New Roman" w:eastAsia="Times New Roman" w:hAnsi="Times New Roman"/>
          <w:sz w:val="24"/>
          <w:szCs w:val="24"/>
          <w:lang w:eastAsia="en-AU"/>
        </w:rPr>
        <w:t xml:space="preserve"> proponent</w:t>
      </w:r>
      <w:r w:rsidRPr="00AC470E">
        <w:rPr>
          <w:rFonts w:ascii="Times New Roman" w:eastAsia="Times New Roman" w:hAnsi="Times New Roman"/>
          <w:sz w:val="24"/>
          <w:szCs w:val="24"/>
          <w:lang w:eastAsia="en-AU"/>
        </w:rPr>
        <w:t xml:space="preserve"> must apply a 10 per cent adjustment to the default emissions factor (i.e. the factor is multiplied by 1.1) for a period of up to three months in any 12 month period. For any period in excess of that three months the adjustment is 50 per cent (i.e. the factor is multiplied by 1.5).</w:t>
      </w:r>
    </w:p>
    <w:p w:rsidR="002B7E2D" w:rsidRPr="00AC470E" w:rsidRDefault="002B7E2D" w:rsidP="002B7E2D">
      <w:pPr>
        <w:keepNext/>
        <w:keepLines/>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 xml:space="preserve">For parameters listed in item 2 of the table in subsection 46(1), the consequence for not monitoring these parameters in accordance with the monitoring requirements </w:t>
      </w:r>
      <w:r w:rsidR="00910C29">
        <w:rPr>
          <w:rFonts w:ascii="Times New Roman" w:eastAsia="Times New Roman" w:hAnsi="Times New Roman"/>
          <w:sz w:val="24"/>
          <w:szCs w:val="24"/>
          <w:lang w:eastAsia="en-AU"/>
        </w:rPr>
        <w:t>is for</w:t>
      </w:r>
      <w:r w:rsidRPr="00AC470E">
        <w:rPr>
          <w:rFonts w:ascii="Times New Roman" w:eastAsia="Times New Roman" w:hAnsi="Times New Roman"/>
          <w:sz w:val="24"/>
          <w:szCs w:val="24"/>
          <w:lang w:eastAsia="en-AU"/>
        </w:rPr>
        <w:t xml:space="preserve"> the project </w:t>
      </w:r>
      <w:r>
        <w:rPr>
          <w:rFonts w:ascii="Times New Roman" w:eastAsia="Times New Roman" w:hAnsi="Times New Roman"/>
          <w:sz w:val="24"/>
          <w:szCs w:val="24"/>
          <w:lang w:eastAsia="en-AU"/>
        </w:rPr>
        <w:t xml:space="preserve">proponent </w:t>
      </w:r>
      <w:r w:rsidRPr="00AC470E">
        <w:rPr>
          <w:rFonts w:ascii="Times New Roman" w:eastAsia="Times New Roman" w:hAnsi="Times New Roman"/>
          <w:sz w:val="24"/>
          <w:szCs w:val="24"/>
          <w:lang w:eastAsia="en-AU"/>
        </w:rPr>
        <w:t>to make a conservative estimate of the parameter for the duration of the non</w:t>
      </w:r>
      <w:r w:rsidRPr="00AC470E">
        <w:rPr>
          <w:rFonts w:ascii="Times New Roman" w:eastAsia="Times New Roman" w:hAnsi="Times New Roman"/>
          <w:sz w:val="24"/>
          <w:szCs w:val="24"/>
          <w:lang w:eastAsia="en-AU"/>
        </w:rPr>
        <w:noBreakHyphen/>
        <w:t xml:space="preserve">monitored period. </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The need for a proponent to apply section 46 arises from failure to meet monitoring requirements. In accordance with the Act, the Regulator may determine an appropriate response within its compliance and enforcement framework depending on the nature of the non-compliance (i.e. whether it is a one-off minor event or a more significant or repeated breach). This could include determining that that no eligible net abatement has been achieved by the project for the period of the breach. A note to subsection 46(3) indicates other actions that the Regulator may choose to take in response to a project</w:t>
      </w:r>
      <w:r>
        <w:rPr>
          <w:rFonts w:ascii="Times New Roman" w:eastAsia="Times New Roman" w:hAnsi="Times New Roman"/>
          <w:sz w:val="24"/>
          <w:szCs w:val="24"/>
          <w:lang w:eastAsia="en-AU"/>
        </w:rPr>
        <w:t xml:space="preserve"> proponent</w:t>
      </w:r>
      <w:r w:rsidRPr="00AC470E">
        <w:rPr>
          <w:rFonts w:ascii="Times New Roman" w:eastAsia="Times New Roman" w:hAnsi="Times New Roman"/>
          <w:sz w:val="24"/>
          <w:szCs w:val="24"/>
          <w:lang w:eastAsia="en-AU"/>
        </w:rPr>
        <w:t xml:space="preserve"> failing to meet monitoring requirements. </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When section 46 is used the project</w:t>
      </w:r>
      <w:r>
        <w:rPr>
          <w:rFonts w:ascii="Times New Roman" w:eastAsia="Times New Roman" w:hAnsi="Times New Roman"/>
          <w:sz w:val="24"/>
          <w:szCs w:val="24"/>
          <w:lang w:eastAsia="en-AU"/>
        </w:rPr>
        <w:t xml:space="preserve"> proponent</w:t>
      </w:r>
      <w:r w:rsidRPr="00AC470E">
        <w:rPr>
          <w:rFonts w:ascii="Times New Roman" w:eastAsia="Times New Roman" w:hAnsi="Times New Roman"/>
          <w:sz w:val="24"/>
          <w:szCs w:val="24"/>
          <w:lang w:eastAsia="en-AU"/>
        </w:rPr>
        <w:t xml:space="preserve"> will be required to include information relating to the monitoring failure in its offsets report for the relevant reporting period (see section 43). This is to provide the Regulator with evidence that will allow them to determine the nature, and frequency, of the failure to meet the monitoring requirements of the Determination and determine what compliance action may be appropriate.</w:t>
      </w:r>
    </w:p>
    <w:p w:rsidR="002B7E2D" w:rsidRPr="00AC470E" w:rsidRDefault="002B7E2D" w:rsidP="002B7E2D">
      <w:pPr>
        <w:spacing w:after="120" w:line="240" w:lineRule="auto"/>
        <w:rPr>
          <w:rFonts w:ascii="Times New Roman" w:eastAsia="Times New Roman" w:hAnsi="Times New Roman"/>
          <w:sz w:val="24"/>
          <w:szCs w:val="24"/>
          <w:lang w:eastAsia="en-AU"/>
        </w:rPr>
      </w:pPr>
      <w:r w:rsidRPr="00AC470E">
        <w:rPr>
          <w:rFonts w:ascii="Times New Roman" w:eastAsia="Times New Roman" w:hAnsi="Times New Roman"/>
          <w:sz w:val="24"/>
          <w:szCs w:val="24"/>
          <w:lang w:eastAsia="en-AU"/>
        </w:rPr>
        <w:t>Section 46 does not provide an exhaustive list of all parameters used in the Determination. Parameters that do not have an option for lower order estimation (such as a default emissions factor) are considered integral to the integrity of the abatement calculation and may only be monitored in accordance with the requirements set out in the Determination.</w:t>
      </w:r>
    </w:p>
    <w:p w:rsidR="002B7E2D" w:rsidRPr="00AC470E" w:rsidRDefault="002B7E2D" w:rsidP="002B7E2D">
      <w:pPr>
        <w:spacing w:after="120" w:line="240" w:lineRule="auto"/>
        <w:rPr>
          <w:rFonts w:ascii="Times New Roman" w:eastAsia="Times New Roman" w:hAnsi="Times New Roman"/>
          <w:sz w:val="24"/>
          <w:szCs w:val="24"/>
          <w:lang w:eastAsia="en-AU"/>
        </w:rPr>
      </w:pPr>
    </w:p>
    <w:p w:rsidR="002B7E2D" w:rsidRDefault="002B7E2D" w:rsidP="002B7E2D">
      <w:pPr>
        <w:spacing w:after="0" w:line="240" w:lineRule="auto"/>
        <w:rPr>
          <w:color w:val="1F497D"/>
        </w:rPr>
      </w:pPr>
      <w:r w:rsidRPr="00AC470E">
        <w:rPr>
          <w:rFonts w:ascii="Times New Roman" w:hAnsi="Times New Roman"/>
          <w:color w:val="000000"/>
          <w:sz w:val="24"/>
          <w:szCs w:val="24"/>
        </w:rPr>
        <w:br w:type="page"/>
      </w:r>
    </w:p>
    <w:p w:rsidR="002B7E2D" w:rsidRPr="00E3074D" w:rsidRDefault="002B7E2D" w:rsidP="002B7E2D">
      <w:pPr>
        <w:pStyle w:val="Footer"/>
        <w:pageBreakBefore/>
        <w:spacing w:after="120"/>
        <w:jc w:val="right"/>
        <w:rPr>
          <w:rFonts w:ascii="Times New Roman" w:hAnsi="Times New Roman"/>
          <w:sz w:val="24"/>
          <w:szCs w:val="24"/>
          <w:u w:val="single"/>
        </w:rPr>
      </w:pPr>
      <w:r w:rsidRPr="00E3074D">
        <w:rPr>
          <w:rFonts w:ascii="Times New Roman" w:hAnsi="Times New Roman"/>
          <w:sz w:val="24"/>
          <w:szCs w:val="24"/>
          <w:u w:val="single"/>
        </w:rPr>
        <w:lastRenderedPageBreak/>
        <w:t xml:space="preserve">Attachment </w:t>
      </w:r>
      <w:r>
        <w:rPr>
          <w:rFonts w:ascii="Times New Roman" w:hAnsi="Times New Roman"/>
          <w:sz w:val="24"/>
          <w:szCs w:val="24"/>
          <w:u w:val="single"/>
        </w:rPr>
        <w:t>B</w:t>
      </w:r>
    </w:p>
    <w:p w:rsidR="009C333F" w:rsidRPr="002B7E2D" w:rsidRDefault="006C376B" w:rsidP="002B7E2D">
      <w:pPr>
        <w:rPr>
          <w:color w:val="1F497D"/>
        </w:rPr>
      </w:pPr>
      <w:r>
        <w:rPr>
          <w:color w:val="1F497D"/>
        </w:rPr>
        <w:pict>
          <v:rect id="_x0000_s1026" style="position:absolute;margin-left:0;margin-top:0;width:481.8pt;height:627.3pt;z-index:251660288;mso-position-horizontal:center;mso-position-horizontal-relative:margin;mso-position-vertical:center;mso-position-vertical-relative:margin" strokeweight="6pt">
            <v:stroke linestyle="thickBetweenThin"/>
            <v:textbox style="mso-next-textbox:#_x0000_s1026" inset="5mm,,5mm">
              <w:txbxContent>
                <w:p w:rsidR="006E5BFF" w:rsidRPr="00AC470E" w:rsidRDefault="006E5BFF" w:rsidP="002B7E2D">
                  <w:pPr>
                    <w:spacing w:before="360" w:after="120"/>
                    <w:jc w:val="center"/>
                    <w:rPr>
                      <w:rFonts w:ascii="Times New Roman" w:hAnsi="Times New Roman"/>
                      <w:b/>
                      <w:bCs/>
                      <w:sz w:val="28"/>
                      <w:szCs w:val="28"/>
                    </w:rPr>
                  </w:pPr>
                  <w:r w:rsidRPr="00AC470E">
                    <w:rPr>
                      <w:rFonts w:ascii="Times New Roman" w:hAnsi="Times New Roman"/>
                      <w:b/>
                      <w:bCs/>
                      <w:sz w:val="28"/>
                      <w:szCs w:val="28"/>
                    </w:rPr>
                    <w:t>Statement of Compatibility with Human Rights</w:t>
                  </w:r>
                </w:p>
                <w:p w:rsidR="006E5BFF" w:rsidRPr="00AC470E" w:rsidRDefault="006E5BFF" w:rsidP="002B7E2D">
                  <w:pPr>
                    <w:spacing w:before="120" w:after="120"/>
                    <w:jc w:val="center"/>
                    <w:rPr>
                      <w:rFonts w:ascii="Times New Roman" w:hAnsi="Times New Roman"/>
                      <w:sz w:val="24"/>
                      <w:szCs w:val="24"/>
                    </w:rPr>
                  </w:pPr>
                  <w:r w:rsidRPr="00AC470E">
                    <w:rPr>
                      <w:rFonts w:ascii="Times New Roman" w:hAnsi="Times New Roman"/>
                      <w:i/>
                      <w:iCs/>
                      <w:sz w:val="24"/>
                      <w:szCs w:val="24"/>
                    </w:rPr>
                    <w:t>Prepared in accordance with Part 3 of the Human Rights (Parliamentary Scrutiny) Act 2011</w:t>
                  </w:r>
                </w:p>
                <w:p w:rsidR="006E5BFF" w:rsidRPr="000E2A98" w:rsidRDefault="006E5BFF" w:rsidP="002B7E2D">
                  <w:pPr>
                    <w:spacing w:before="120" w:after="240"/>
                    <w:jc w:val="center"/>
                    <w:rPr>
                      <w:rFonts w:ascii="Times New Roman" w:hAnsi="Times New Roman"/>
                      <w:b/>
                      <w:bCs/>
                      <w:i/>
                      <w:iCs/>
                      <w:sz w:val="24"/>
                      <w:szCs w:val="24"/>
                    </w:rPr>
                  </w:pPr>
                  <w:r w:rsidRPr="00A53FF7">
                    <w:rPr>
                      <w:rFonts w:ascii="Times New Roman" w:hAnsi="Times New Roman"/>
                      <w:b/>
                      <w:i/>
                      <w:color w:val="000000"/>
                      <w:sz w:val="24"/>
                      <w:szCs w:val="24"/>
                    </w:rPr>
                    <w:t>Carbon Credits (Carbon Farming Initiative</w:t>
                  </w:r>
                  <w:r>
                    <w:rPr>
                      <w:rFonts w:ascii="Times New Roman" w:hAnsi="Times New Roman"/>
                      <w:b/>
                      <w:i/>
                      <w:color w:val="000000"/>
                      <w:sz w:val="24"/>
                      <w:szCs w:val="24"/>
                    </w:rPr>
                    <w:t>—</w:t>
                  </w:r>
                  <w:r w:rsidRPr="00A53FF7">
                    <w:rPr>
                      <w:rFonts w:ascii="Times New Roman" w:hAnsi="Times New Roman"/>
                      <w:b/>
                      <w:i/>
                      <w:color w:val="000000"/>
                      <w:sz w:val="24"/>
                      <w:szCs w:val="24"/>
                    </w:rPr>
                    <w:t xml:space="preserve">Alternative Waste Treatment) Methodology Determination </w:t>
                  </w:r>
                  <w:r w:rsidR="00EA1568" w:rsidRPr="00A53FF7">
                    <w:rPr>
                      <w:rFonts w:ascii="Times New Roman" w:hAnsi="Times New Roman"/>
                      <w:b/>
                      <w:i/>
                      <w:color w:val="000000"/>
                      <w:sz w:val="24"/>
                      <w:szCs w:val="24"/>
                    </w:rPr>
                    <w:t>201</w:t>
                  </w:r>
                  <w:r w:rsidR="00EA1568">
                    <w:rPr>
                      <w:rFonts w:ascii="Times New Roman" w:hAnsi="Times New Roman"/>
                      <w:b/>
                      <w:i/>
                      <w:color w:val="000000"/>
                      <w:sz w:val="24"/>
                      <w:szCs w:val="24"/>
                    </w:rPr>
                    <w:t>5</w:t>
                  </w:r>
                </w:p>
                <w:p w:rsidR="006E5BFF" w:rsidRPr="00AC470E" w:rsidRDefault="006E5BFF" w:rsidP="002B7E2D">
                  <w:pPr>
                    <w:spacing w:before="120" w:after="120"/>
                    <w:rPr>
                      <w:rFonts w:ascii="Times New Roman" w:hAnsi="Times New Roman"/>
                      <w:sz w:val="24"/>
                      <w:szCs w:val="24"/>
                    </w:rPr>
                  </w:pPr>
                  <w:r w:rsidRPr="00AC470E">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AC470E">
                    <w:rPr>
                      <w:rFonts w:ascii="Times New Roman" w:hAnsi="Times New Roman"/>
                      <w:i/>
                      <w:iCs/>
                      <w:sz w:val="24"/>
                      <w:szCs w:val="24"/>
                    </w:rPr>
                    <w:t>Human Rights (Parliamentary Scrutiny) Act 2011</w:t>
                  </w:r>
                  <w:r w:rsidRPr="00AC470E">
                    <w:rPr>
                      <w:rFonts w:ascii="Times New Roman" w:hAnsi="Times New Roman"/>
                      <w:sz w:val="24"/>
                      <w:szCs w:val="24"/>
                    </w:rPr>
                    <w:t>.</w:t>
                  </w:r>
                </w:p>
                <w:p w:rsidR="006E5BFF" w:rsidRPr="00AC470E" w:rsidRDefault="006E5BFF" w:rsidP="002B7E2D">
                  <w:pPr>
                    <w:spacing w:before="120" w:after="120"/>
                    <w:jc w:val="both"/>
                    <w:rPr>
                      <w:rFonts w:ascii="Times New Roman" w:hAnsi="Times New Roman"/>
                      <w:b/>
                      <w:bCs/>
                      <w:sz w:val="24"/>
                      <w:szCs w:val="24"/>
                    </w:rPr>
                  </w:pPr>
                  <w:r w:rsidRPr="00AC470E">
                    <w:rPr>
                      <w:rFonts w:ascii="Times New Roman" w:hAnsi="Times New Roman"/>
                      <w:b/>
                      <w:bCs/>
                      <w:sz w:val="24"/>
                      <w:szCs w:val="24"/>
                    </w:rPr>
                    <w:t>Overview of the Legislative Instrument</w:t>
                  </w:r>
                </w:p>
                <w:p w:rsidR="006E5BFF" w:rsidRPr="00AC470E" w:rsidRDefault="006E5BFF" w:rsidP="002B7E2D">
                  <w:pPr>
                    <w:autoSpaceDE w:val="0"/>
                    <w:autoSpaceDN w:val="0"/>
                    <w:rPr>
                      <w:rFonts w:ascii="Times New Roman" w:hAnsi="Times New Roman"/>
                      <w:sz w:val="24"/>
                      <w:szCs w:val="24"/>
                    </w:rPr>
                  </w:pPr>
                  <w:r w:rsidRPr="00AC470E">
                    <w:rPr>
                      <w:rFonts w:ascii="Times New Roman" w:hAnsi="Times New Roman"/>
                      <w:sz w:val="24"/>
                      <w:szCs w:val="24"/>
                    </w:rPr>
                    <w:t xml:space="preserve">The </w:t>
                  </w:r>
                  <w:r w:rsidRPr="000E2A98">
                    <w:rPr>
                      <w:rFonts w:ascii="Times New Roman" w:hAnsi="Times New Roman"/>
                      <w:i/>
                      <w:color w:val="000000"/>
                      <w:sz w:val="24"/>
                      <w:szCs w:val="24"/>
                    </w:rPr>
                    <w:t>Carbon Credits (Carbon Farming Initiative</w:t>
                  </w:r>
                  <w:r>
                    <w:rPr>
                      <w:rFonts w:ascii="Times New Roman" w:hAnsi="Times New Roman"/>
                      <w:i/>
                      <w:color w:val="000000"/>
                      <w:sz w:val="24"/>
                      <w:szCs w:val="24"/>
                    </w:rPr>
                    <w:t>—</w:t>
                  </w:r>
                  <w:r w:rsidRPr="000E2A98">
                    <w:rPr>
                      <w:rFonts w:ascii="Times New Roman" w:hAnsi="Times New Roman"/>
                      <w:i/>
                      <w:color w:val="000000"/>
                      <w:sz w:val="24"/>
                      <w:szCs w:val="24"/>
                    </w:rPr>
                    <w:t xml:space="preserve">Alternative Waste Treatment) Methodology Determination </w:t>
                  </w:r>
                  <w:r w:rsidR="00EA1568" w:rsidRPr="000E2A98">
                    <w:rPr>
                      <w:rFonts w:ascii="Times New Roman" w:hAnsi="Times New Roman"/>
                      <w:i/>
                      <w:color w:val="000000"/>
                      <w:sz w:val="24"/>
                      <w:szCs w:val="24"/>
                    </w:rPr>
                    <w:t>201</w:t>
                  </w:r>
                  <w:r w:rsidR="00EA1568">
                    <w:rPr>
                      <w:rFonts w:ascii="Times New Roman" w:hAnsi="Times New Roman"/>
                      <w:i/>
                      <w:color w:val="000000"/>
                      <w:sz w:val="24"/>
                      <w:szCs w:val="24"/>
                    </w:rPr>
                    <w:t>5</w:t>
                  </w:r>
                  <w:r w:rsidR="00EA1568" w:rsidRPr="00AC470E">
                    <w:rPr>
                      <w:rFonts w:ascii="Times New Roman" w:hAnsi="Times New Roman"/>
                      <w:b/>
                      <w:bCs/>
                      <w:i/>
                      <w:iCs/>
                      <w:sz w:val="24"/>
                      <w:szCs w:val="24"/>
                    </w:rPr>
                    <w:t xml:space="preserve"> </w:t>
                  </w:r>
                  <w:r w:rsidRPr="00AC470E">
                    <w:rPr>
                      <w:rFonts w:ascii="Times New Roman" w:hAnsi="Times New Roman"/>
                      <w:sz w:val="24"/>
                      <w:szCs w:val="24"/>
                    </w:rPr>
                    <w:t>(the Determination) sets out the detailed rules for implementing and monitoring offsets projects that avoid greenhouse gas emissions by diverting waste from landfill to alternative waste treatment</w:t>
                  </w:r>
                  <w:r>
                    <w:rPr>
                      <w:rFonts w:ascii="Times New Roman" w:hAnsi="Times New Roman"/>
                      <w:sz w:val="24"/>
                      <w:szCs w:val="24"/>
                    </w:rPr>
                    <w:t xml:space="preserve"> facilities</w:t>
                  </w:r>
                  <w:r w:rsidRPr="00AC470E">
                    <w:rPr>
                      <w:rFonts w:ascii="Times New Roman" w:hAnsi="Times New Roman"/>
                      <w:sz w:val="24"/>
                      <w:szCs w:val="24"/>
                    </w:rPr>
                    <w:t>. The Determination applies to new projects or expansion projects that divert eligible waste from landfill to alternative waste treatment. Carbon Farming Initiative alternative waste treatment projects are also able transition from existing determinations to this Determination.</w:t>
                  </w:r>
                </w:p>
                <w:p w:rsidR="006E5BFF" w:rsidRPr="00AC470E" w:rsidRDefault="006E5BFF" w:rsidP="002B7E2D">
                  <w:pPr>
                    <w:autoSpaceDE w:val="0"/>
                    <w:autoSpaceDN w:val="0"/>
                    <w:spacing w:after="0"/>
                    <w:rPr>
                      <w:rFonts w:ascii="Times New Roman" w:hAnsi="Times New Roman"/>
                      <w:sz w:val="24"/>
                      <w:szCs w:val="24"/>
                    </w:rPr>
                  </w:pPr>
                  <w:r w:rsidRPr="00AC470E">
                    <w:rPr>
                      <w:rFonts w:ascii="Times New Roman" w:hAnsi="Times New Roman"/>
                      <w:sz w:val="24"/>
                      <w:szCs w:val="24"/>
                    </w:rPr>
                    <w:t>Project proponents wishing to implement the Determination must make an application to the</w:t>
                  </w:r>
                </w:p>
                <w:p w:rsidR="006E5BFF" w:rsidRPr="00AC470E" w:rsidRDefault="006E5BFF" w:rsidP="002B7E2D">
                  <w:pPr>
                    <w:autoSpaceDE w:val="0"/>
                    <w:autoSpaceDN w:val="0"/>
                    <w:spacing w:after="0"/>
                    <w:rPr>
                      <w:rFonts w:ascii="Times New Roman" w:hAnsi="Times New Roman"/>
                      <w:sz w:val="24"/>
                      <w:szCs w:val="24"/>
                    </w:rPr>
                  </w:pPr>
                  <w:r w:rsidRPr="00AC470E">
                    <w:rPr>
                      <w:rFonts w:ascii="Times New Roman" w:hAnsi="Times New Roman"/>
                      <w:sz w:val="24"/>
                      <w:szCs w:val="24"/>
                    </w:rPr>
                    <w:t>Clean Energy Regulator (the Regulator) and meet the eligibility requirements set out under</w:t>
                  </w:r>
                </w:p>
                <w:p w:rsidR="006E5BFF" w:rsidRPr="00AC470E" w:rsidRDefault="006E5BFF" w:rsidP="002B7E2D">
                  <w:pPr>
                    <w:spacing w:after="120"/>
                    <w:rPr>
                      <w:rFonts w:ascii="Times New Roman" w:hAnsi="Times New Roman"/>
                      <w:sz w:val="24"/>
                      <w:szCs w:val="24"/>
                    </w:rPr>
                  </w:pPr>
                  <w:r w:rsidRPr="00AC470E">
                    <w:rPr>
                      <w:rFonts w:ascii="Times New Roman" w:hAnsi="Times New Roman"/>
                      <w:sz w:val="24"/>
                      <w:szCs w:val="24"/>
                    </w:rPr>
                    <w:t>the Determination. Offsets projects that are approved by the Regulator can generate Australian Carbon Credit Units, representing emissions reductions from the project.</w:t>
                  </w:r>
                </w:p>
                <w:p w:rsidR="006E5BFF" w:rsidRPr="00AC470E" w:rsidRDefault="006E5BFF" w:rsidP="00CE01CC">
                  <w:pPr>
                    <w:pStyle w:val="base-text-paragraphnonumbers"/>
                    <w:spacing w:line="276" w:lineRule="auto"/>
                    <w:ind w:left="0"/>
                    <w:rPr>
                      <w:sz w:val="24"/>
                      <w:szCs w:val="24"/>
                      <w:lang w:val="en-US"/>
                    </w:rPr>
                  </w:pPr>
                  <w:r w:rsidRPr="00AC470E">
                    <w:rPr>
                      <w:sz w:val="24"/>
                      <w:szCs w:val="24"/>
                      <w:lang w:val="en-US"/>
                    </w:rPr>
                    <w:t xml:space="preserve">Project proponents can receive funding from the </w:t>
                  </w:r>
                  <w:r w:rsidR="00700030">
                    <w:rPr>
                      <w:sz w:val="24"/>
                      <w:szCs w:val="24"/>
                      <w:lang w:val="en-US"/>
                    </w:rPr>
                    <w:t>Emissions Reduction Fund</w:t>
                  </w:r>
                  <w:r w:rsidR="00700030" w:rsidRPr="00AC470E">
                    <w:rPr>
                      <w:sz w:val="24"/>
                      <w:szCs w:val="24"/>
                      <w:lang w:val="en-US"/>
                    </w:rPr>
                    <w:t xml:space="preserve"> </w:t>
                  </w:r>
                  <w:r w:rsidRPr="00AC470E">
                    <w:rPr>
                      <w:sz w:val="24"/>
                      <w:szCs w:val="24"/>
                      <w:lang w:val="en-US"/>
                    </w:rPr>
                    <w:t xml:space="preserve">by submitting their projects into a competitive auction run by the </w:t>
                  </w:r>
                  <w:r w:rsidRPr="00AC470E">
                    <w:rPr>
                      <w:sz w:val="24"/>
                      <w:szCs w:val="24"/>
                    </w:rPr>
                    <w:t>Regulator</w:t>
                  </w:r>
                  <w:r w:rsidRPr="00AC470E">
                    <w:rPr>
                      <w:sz w:val="24"/>
                      <w:szCs w:val="24"/>
                      <w:lang w:val="en-US"/>
                    </w:rPr>
                    <w:t>. The Government will enter into contracts with successful proponents, which will guarantee the price and payment for the future delivery of emissions reductions.</w:t>
                  </w:r>
                </w:p>
                <w:p w:rsidR="006E5BFF" w:rsidRPr="00AC470E" w:rsidRDefault="006E5BFF" w:rsidP="002B7E2D">
                  <w:pPr>
                    <w:spacing w:before="120" w:after="120"/>
                    <w:rPr>
                      <w:rFonts w:ascii="Times New Roman" w:hAnsi="Times New Roman"/>
                      <w:b/>
                      <w:bCs/>
                      <w:sz w:val="24"/>
                      <w:szCs w:val="24"/>
                    </w:rPr>
                  </w:pPr>
                  <w:r w:rsidRPr="00AC470E">
                    <w:rPr>
                      <w:rFonts w:ascii="Times New Roman" w:hAnsi="Times New Roman"/>
                      <w:b/>
                      <w:bCs/>
                      <w:sz w:val="24"/>
                      <w:szCs w:val="24"/>
                    </w:rPr>
                    <w:t>Human rights implications</w:t>
                  </w:r>
                </w:p>
                <w:p w:rsidR="006E5BFF" w:rsidRPr="00AC470E" w:rsidRDefault="006E5BFF" w:rsidP="002B7E2D">
                  <w:pPr>
                    <w:spacing w:before="120" w:after="120"/>
                    <w:rPr>
                      <w:rFonts w:ascii="Times New Roman" w:hAnsi="Times New Roman"/>
                      <w:sz w:val="24"/>
                      <w:szCs w:val="24"/>
                    </w:rPr>
                  </w:pPr>
                  <w:r w:rsidRPr="00AC470E">
                    <w:rPr>
                      <w:rFonts w:ascii="Times New Roman" w:hAnsi="Times New Roman"/>
                      <w:sz w:val="24"/>
                      <w:szCs w:val="24"/>
                    </w:rPr>
                    <w:t>This Legislative Instrument does not engage any of the applicable rights or freedoms.</w:t>
                  </w:r>
                </w:p>
                <w:p w:rsidR="006E5BFF" w:rsidRPr="00AC470E" w:rsidRDefault="006E5BFF" w:rsidP="002B7E2D">
                  <w:pPr>
                    <w:spacing w:before="120" w:after="120"/>
                    <w:rPr>
                      <w:rFonts w:ascii="Times New Roman" w:hAnsi="Times New Roman"/>
                      <w:b/>
                      <w:bCs/>
                      <w:sz w:val="24"/>
                      <w:szCs w:val="24"/>
                    </w:rPr>
                  </w:pPr>
                  <w:r w:rsidRPr="00AC470E">
                    <w:rPr>
                      <w:rFonts w:ascii="Times New Roman" w:hAnsi="Times New Roman"/>
                      <w:b/>
                      <w:bCs/>
                      <w:sz w:val="24"/>
                      <w:szCs w:val="24"/>
                    </w:rPr>
                    <w:t>Conclusion</w:t>
                  </w:r>
                </w:p>
                <w:p w:rsidR="006E5BFF" w:rsidRDefault="006E5BFF" w:rsidP="002B7E2D">
                  <w:pPr>
                    <w:spacing w:before="120" w:after="120"/>
                    <w:rPr>
                      <w:rFonts w:ascii="Times New Roman" w:hAnsi="Times New Roman"/>
                      <w:sz w:val="24"/>
                      <w:szCs w:val="24"/>
                    </w:rPr>
                  </w:pPr>
                  <w:r w:rsidRPr="00AC470E">
                    <w:rPr>
                      <w:rFonts w:ascii="Times New Roman" w:hAnsi="Times New Roman"/>
                      <w:sz w:val="24"/>
                      <w:szCs w:val="24"/>
                    </w:rPr>
                    <w:t>This Legislative Instrument is compatible with human rights as it does not raise any human rights issues.</w:t>
                  </w:r>
                </w:p>
                <w:p w:rsidR="006E5BFF" w:rsidRDefault="006E5BFF" w:rsidP="002B7E2D">
                  <w:pPr>
                    <w:spacing w:before="120" w:after="120"/>
                    <w:jc w:val="center"/>
                    <w:rPr>
                      <w:rFonts w:ascii="Times New Roman" w:hAnsi="Times New Roman"/>
                      <w:sz w:val="24"/>
                      <w:szCs w:val="24"/>
                    </w:rPr>
                  </w:pPr>
                </w:p>
                <w:p w:rsidR="006E5BFF" w:rsidRDefault="006E5BFF" w:rsidP="002B7E2D">
                  <w:pPr>
                    <w:spacing w:before="120" w:after="120"/>
                    <w:jc w:val="center"/>
                    <w:rPr>
                      <w:rFonts w:ascii="Times New Roman" w:hAnsi="Times New Roman"/>
                      <w:sz w:val="24"/>
                      <w:szCs w:val="24"/>
                    </w:rPr>
                  </w:pPr>
                  <w:r>
                    <w:rPr>
                      <w:rFonts w:ascii="Times New Roman" w:hAnsi="Times New Roman"/>
                      <w:b/>
                      <w:bCs/>
                      <w:sz w:val="24"/>
                      <w:szCs w:val="24"/>
                    </w:rPr>
                    <w:t>Greg Hunt, Minister for the Environment</w:t>
                  </w:r>
                </w:p>
              </w:txbxContent>
            </v:textbox>
            <w10:wrap type="square" anchorx="margin" anchory="margin"/>
          </v:rect>
        </w:pict>
      </w:r>
    </w:p>
    <w:sectPr w:rsidR="009C333F" w:rsidRPr="002B7E2D" w:rsidSect="00122471">
      <w:headerReference w:type="even" r:id="rId18"/>
      <w:footerReference w:type="default" r:id="rId19"/>
      <w:headerReference w:type="first" r:id="rId20"/>
      <w:pgSz w:w="11906" w:h="16838"/>
      <w:pgMar w:top="1440" w:right="1440" w:bottom="1440" w:left="144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52" w:rsidRDefault="002E7552" w:rsidP="00A60185">
      <w:pPr>
        <w:spacing w:after="0" w:line="240" w:lineRule="auto"/>
      </w:pPr>
      <w:r>
        <w:separator/>
      </w:r>
    </w:p>
  </w:endnote>
  <w:endnote w:type="continuationSeparator" w:id="0">
    <w:p w:rsidR="002E7552" w:rsidRDefault="002E7552"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9243830"/>
      <w:docPartObj>
        <w:docPartGallery w:val="Page Numbers (Bottom of Page)"/>
        <w:docPartUnique/>
      </w:docPartObj>
    </w:sdtPr>
    <w:sdtContent>
      <w:p w:rsidR="006E5BFF" w:rsidRPr="00812798" w:rsidRDefault="006C376B">
        <w:pPr>
          <w:pStyle w:val="Footer"/>
          <w:rPr>
            <w:sz w:val="18"/>
          </w:rPr>
        </w:pPr>
        <w:r w:rsidRPr="00812798">
          <w:rPr>
            <w:sz w:val="22"/>
          </w:rPr>
          <w:fldChar w:fldCharType="begin"/>
        </w:r>
        <w:r w:rsidR="006E5BFF" w:rsidRPr="00812798">
          <w:rPr>
            <w:sz w:val="22"/>
          </w:rPr>
          <w:instrText xml:space="preserve"> PAGE   \* MERGEFORMAT </w:instrText>
        </w:r>
        <w:r w:rsidRPr="00812798">
          <w:rPr>
            <w:sz w:val="22"/>
          </w:rPr>
          <w:fldChar w:fldCharType="separate"/>
        </w:r>
        <w:r w:rsidR="004D00FD">
          <w:rPr>
            <w:noProof/>
            <w:sz w:val="22"/>
          </w:rPr>
          <w:t>26</w:t>
        </w:r>
        <w:r w:rsidRPr="00812798">
          <w:rPr>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52" w:rsidRDefault="002E7552" w:rsidP="00A60185">
      <w:pPr>
        <w:spacing w:after="0" w:line="240" w:lineRule="auto"/>
      </w:pPr>
      <w:r>
        <w:separator/>
      </w:r>
    </w:p>
  </w:footnote>
  <w:footnote w:type="continuationSeparator" w:id="0">
    <w:p w:rsidR="002E7552" w:rsidRDefault="002E7552"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FF" w:rsidRDefault="006C376B" w:rsidP="00E45765">
    <w:pPr>
      <w:pStyle w:val="Classification"/>
    </w:pPr>
    <w:r>
      <w:fldChar w:fldCharType="begin"/>
    </w:r>
    <w:r w:rsidR="006E5BFF">
      <w:instrText xml:space="preserve"> DOCPROPERTY SecurityClassification \* MERGEFORMAT </w:instrText>
    </w:r>
    <w:r>
      <w:fldChar w:fldCharType="separate"/>
    </w:r>
    <w:r w:rsidR="006E5BFF">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BFF" w:rsidRPr="001D6C68" w:rsidRDefault="006E5BFF" w:rsidP="001D6C68">
    <w:pPr>
      <w:pStyle w:val="Header"/>
      <w:jc w:val="right"/>
      <w:rPr>
        <w:b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C5246EB"/>
    <w:multiLevelType w:val="hybridMultilevel"/>
    <w:tmpl w:val="F09C52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D7120FB"/>
    <w:multiLevelType w:val="singleLevel"/>
    <w:tmpl w:val="2000EDEA"/>
    <w:lvl w:ilvl="0">
      <w:start w:val="1"/>
      <w:numFmt w:val="upperLetter"/>
      <w:lvlText w:val="%1:"/>
      <w:lvlJc w:val="left"/>
      <w:pPr>
        <w:ind w:left="360" w:hanging="360"/>
      </w:pPr>
      <w:rPr>
        <w:rFonts w:hint="default"/>
        <w:sz w:val="22"/>
      </w:rPr>
    </w:lvl>
  </w:abstractNum>
  <w:abstractNum w:abstractNumId="4">
    <w:nsid w:val="1EFC5CC5"/>
    <w:multiLevelType w:val="hybridMultilevel"/>
    <w:tmpl w:val="88D4CE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745BC2"/>
    <w:multiLevelType w:val="multilevel"/>
    <w:tmpl w:val="E5E89F92"/>
    <w:numStyleLink w:val="BulletList"/>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5D0AF1"/>
    <w:multiLevelType w:val="hybridMultilevel"/>
    <w:tmpl w:val="419A15F0"/>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727014E"/>
    <w:multiLevelType w:val="hybridMultilevel"/>
    <w:tmpl w:val="5F70D3D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3BD1753C"/>
    <w:multiLevelType w:val="hybridMultilevel"/>
    <w:tmpl w:val="9E828496"/>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5648523B"/>
    <w:multiLevelType w:val="hybridMultilevel"/>
    <w:tmpl w:val="EFA2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FC61DE"/>
    <w:multiLevelType w:val="hybridMultilevel"/>
    <w:tmpl w:val="065E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204865"/>
    <w:multiLevelType w:val="hybridMultilevel"/>
    <w:tmpl w:val="0E460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21627AD"/>
    <w:multiLevelType w:val="hybridMultilevel"/>
    <w:tmpl w:val="53BCD0BC"/>
    <w:lvl w:ilvl="0" w:tplc="6F523786">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5456429"/>
    <w:multiLevelType w:val="multilevel"/>
    <w:tmpl w:val="987C45B0"/>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nsid w:val="670026AA"/>
    <w:multiLevelType w:val="hybridMultilevel"/>
    <w:tmpl w:val="037289CC"/>
    <w:lvl w:ilvl="0" w:tplc="99A27DBA">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9">
    <w:nsid w:val="6FAE23A7"/>
    <w:multiLevelType w:val="singleLevel"/>
    <w:tmpl w:val="2000EDEA"/>
    <w:lvl w:ilvl="0">
      <w:start w:val="1"/>
      <w:numFmt w:val="upperLetter"/>
      <w:lvlText w:val="%1:"/>
      <w:lvlJc w:val="left"/>
      <w:pPr>
        <w:ind w:left="360" w:hanging="360"/>
      </w:pPr>
      <w:rPr>
        <w:rFonts w:hint="default"/>
        <w:sz w:val="22"/>
      </w:rPr>
    </w:lvl>
  </w:abstractNum>
  <w:abstractNum w:abstractNumId="2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21">
    <w:nsid w:val="73861AA9"/>
    <w:multiLevelType w:val="hybridMultilevel"/>
    <w:tmpl w:val="CA54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2"/>
  </w:num>
  <w:num w:numId="2">
    <w:abstractNumId w:val="0"/>
  </w:num>
  <w:num w:numId="3">
    <w:abstractNumId w:val="18"/>
  </w:num>
  <w:num w:numId="4">
    <w:abstractNumId w:val="17"/>
  </w:num>
  <w:num w:numId="5">
    <w:abstractNumId w:val="8"/>
  </w:num>
  <w:num w:numId="6">
    <w:abstractNumId w:val="6"/>
  </w:num>
  <w:num w:numId="7">
    <w:abstractNumId w:val="15"/>
  </w:num>
  <w:num w:numId="8">
    <w:abstractNumId w:val="5"/>
  </w:num>
  <w:num w:numId="9">
    <w:abstractNumId w:val="3"/>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
  </w:num>
  <w:num w:numId="14">
    <w:abstractNumId w:val="16"/>
  </w:num>
  <w:num w:numId="15">
    <w:abstractNumId w:val="11"/>
  </w:num>
  <w:num w:numId="16">
    <w:abstractNumId w:val="2"/>
  </w:num>
  <w:num w:numId="17">
    <w:abstractNumId w:val="14"/>
  </w:num>
  <w:num w:numId="18">
    <w:abstractNumId w:val="4"/>
  </w:num>
  <w:num w:numId="19">
    <w:abstractNumId w:val="7"/>
  </w:num>
  <w:num w:numId="20">
    <w:abstractNumId w:val="13"/>
  </w:num>
  <w:num w:numId="21">
    <w:abstractNumId w:val="12"/>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holas, Peter">
    <w15:presenceInfo w15:providerId="None" w15:userId="Nicholas, Pe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docVars>
    <w:docVar w:name="SecurityClassificationInHeader" w:val="False"/>
  </w:docVars>
  <w:rsids>
    <w:rsidRoot w:val="000C0A65"/>
    <w:rsid w:val="000000CE"/>
    <w:rsid w:val="00004AEE"/>
    <w:rsid w:val="00005CAA"/>
    <w:rsid w:val="000068B2"/>
    <w:rsid w:val="00010210"/>
    <w:rsid w:val="00014060"/>
    <w:rsid w:val="00015ADA"/>
    <w:rsid w:val="00017BB8"/>
    <w:rsid w:val="00020C99"/>
    <w:rsid w:val="00025E1A"/>
    <w:rsid w:val="000260F8"/>
    <w:rsid w:val="0002707B"/>
    <w:rsid w:val="0003006D"/>
    <w:rsid w:val="00031219"/>
    <w:rsid w:val="0005148E"/>
    <w:rsid w:val="0005270A"/>
    <w:rsid w:val="00053B53"/>
    <w:rsid w:val="00053EAC"/>
    <w:rsid w:val="00063AF2"/>
    <w:rsid w:val="000642C0"/>
    <w:rsid w:val="000759E5"/>
    <w:rsid w:val="00080A47"/>
    <w:rsid w:val="0008356A"/>
    <w:rsid w:val="0008410F"/>
    <w:rsid w:val="00084AC6"/>
    <w:rsid w:val="000857FA"/>
    <w:rsid w:val="00085C49"/>
    <w:rsid w:val="00087B76"/>
    <w:rsid w:val="00091608"/>
    <w:rsid w:val="0009257B"/>
    <w:rsid w:val="0009333C"/>
    <w:rsid w:val="0009407B"/>
    <w:rsid w:val="0009704F"/>
    <w:rsid w:val="000A0F11"/>
    <w:rsid w:val="000A125A"/>
    <w:rsid w:val="000A4D95"/>
    <w:rsid w:val="000A57CD"/>
    <w:rsid w:val="000B3758"/>
    <w:rsid w:val="000B71A2"/>
    <w:rsid w:val="000B7681"/>
    <w:rsid w:val="000B7B42"/>
    <w:rsid w:val="000C02B7"/>
    <w:rsid w:val="000C0A65"/>
    <w:rsid w:val="000C3C97"/>
    <w:rsid w:val="000C5342"/>
    <w:rsid w:val="000C5DFC"/>
    <w:rsid w:val="000C63ED"/>
    <w:rsid w:val="000C706A"/>
    <w:rsid w:val="000C78E4"/>
    <w:rsid w:val="000D0076"/>
    <w:rsid w:val="000D2887"/>
    <w:rsid w:val="000D61D0"/>
    <w:rsid w:val="000D6D63"/>
    <w:rsid w:val="000E0081"/>
    <w:rsid w:val="000E07CF"/>
    <w:rsid w:val="000E0B31"/>
    <w:rsid w:val="000E2A98"/>
    <w:rsid w:val="000E7783"/>
    <w:rsid w:val="000F1A05"/>
    <w:rsid w:val="000F3F49"/>
    <w:rsid w:val="00100141"/>
    <w:rsid w:val="001025F4"/>
    <w:rsid w:val="0011498E"/>
    <w:rsid w:val="00115BF1"/>
    <w:rsid w:val="00117A45"/>
    <w:rsid w:val="001219EE"/>
    <w:rsid w:val="00122471"/>
    <w:rsid w:val="001224AE"/>
    <w:rsid w:val="00122594"/>
    <w:rsid w:val="00126225"/>
    <w:rsid w:val="00130725"/>
    <w:rsid w:val="001337D4"/>
    <w:rsid w:val="00143480"/>
    <w:rsid w:val="00144DB6"/>
    <w:rsid w:val="00145CAD"/>
    <w:rsid w:val="00147C12"/>
    <w:rsid w:val="001527A1"/>
    <w:rsid w:val="001530DC"/>
    <w:rsid w:val="00154989"/>
    <w:rsid w:val="00155A9F"/>
    <w:rsid w:val="00160262"/>
    <w:rsid w:val="0016616A"/>
    <w:rsid w:val="0016780A"/>
    <w:rsid w:val="0017335B"/>
    <w:rsid w:val="00173EBF"/>
    <w:rsid w:val="0018112F"/>
    <w:rsid w:val="001842A2"/>
    <w:rsid w:val="001845AF"/>
    <w:rsid w:val="00187FA8"/>
    <w:rsid w:val="0019073A"/>
    <w:rsid w:val="00191C5D"/>
    <w:rsid w:val="00192F5E"/>
    <w:rsid w:val="00197772"/>
    <w:rsid w:val="001A51C8"/>
    <w:rsid w:val="001A6852"/>
    <w:rsid w:val="001A76BB"/>
    <w:rsid w:val="001B4CA8"/>
    <w:rsid w:val="001C1D95"/>
    <w:rsid w:val="001C2320"/>
    <w:rsid w:val="001C4F3D"/>
    <w:rsid w:val="001D0CDC"/>
    <w:rsid w:val="001D16BF"/>
    <w:rsid w:val="001D1B03"/>
    <w:rsid w:val="001D1D82"/>
    <w:rsid w:val="001D6C68"/>
    <w:rsid w:val="001E0274"/>
    <w:rsid w:val="001E1182"/>
    <w:rsid w:val="001E1CE4"/>
    <w:rsid w:val="001E25B3"/>
    <w:rsid w:val="001F4075"/>
    <w:rsid w:val="001F5703"/>
    <w:rsid w:val="002003EA"/>
    <w:rsid w:val="00202C90"/>
    <w:rsid w:val="002121BC"/>
    <w:rsid w:val="00212E75"/>
    <w:rsid w:val="00213DE8"/>
    <w:rsid w:val="00213F72"/>
    <w:rsid w:val="00214B4E"/>
    <w:rsid w:val="00216118"/>
    <w:rsid w:val="00220436"/>
    <w:rsid w:val="002209AB"/>
    <w:rsid w:val="00224D4E"/>
    <w:rsid w:val="002251E3"/>
    <w:rsid w:val="00225891"/>
    <w:rsid w:val="00227A95"/>
    <w:rsid w:val="002421A5"/>
    <w:rsid w:val="002454E1"/>
    <w:rsid w:val="002473FC"/>
    <w:rsid w:val="00252E3C"/>
    <w:rsid w:val="002546D3"/>
    <w:rsid w:val="00256D77"/>
    <w:rsid w:val="00261931"/>
    <w:rsid w:val="00261EFE"/>
    <w:rsid w:val="00262198"/>
    <w:rsid w:val="00264635"/>
    <w:rsid w:val="00276887"/>
    <w:rsid w:val="00285F1B"/>
    <w:rsid w:val="00292B81"/>
    <w:rsid w:val="0029361E"/>
    <w:rsid w:val="002A11A4"/>
    <w:rsid w:val="002A2A70"/>
    <w:rsid w:val="002B18AE"/>
    <w:rsid w:val="002B3674"/>
    <w:rsid w:val="002B7E2D"/>
    <w:rsid w:val="002C1C93"/>
    <w:rsid w:val="002C2FB1"/>
    <w:rsid w:val="002C5066"/>
    <w:rsid w:val="002D022C"/>
    <w:rsid w:val="002D419A"/>
    <w:rsid w:val="002D4AAC"/>
    <w:rsid w:val="002D5702"/>
    <w:rsid w:val="002E3BAF"/>
    <w:rsid w:val="002E5D24"/>
    <w:rsid w:val="002E7552"/>
    <w:rsid w:val="002E7914"/>
    <w:rsid w:val="002F045A"/>
    <w:rsid w:val="002F18F8"/>
    <w:rsid w:val="0030039D"/>
    <w:rsid w:val="0030171F"/>
    <w:rsid w:val="00301CC2"/>
    <w:rsid w:val="00302B2F"/>
    <w:rsid w:val="0030326F"/>
    <w:rsid w:val="00303A98"/>
    <w:rsid w:val="00310701"/>
    <w:rsid w:val="00311330"/>
    <w:rsid w:val="00315980"/>
    <w:rsid w:val="00316F7F"/>
    <w:rsid w:val="00320DFB"/>
    <w:rsid w:val="003218E8"/>
    <w:rsid w:val="00324646"/>
    <w:rsid w:val="00330DCE"/>
    <w:rsid w:val="00331E11"/>
    <w:rsid w:val="00334761"/>
    <w:rsid w:val="00335A95"/>
    <w:rsid w:val="00336E0E"/>
    <w:rsid w:val="00341DCD"/>
    <w:rsid w:val="00342C4A"/>
    <w:rsid w:val="00344897"/>
    <w:rsid w:val="0034563E"/>
    <w:rsid w:val="003518D6"/>
    <w:rsid w:val="0035460C"/>
    <w:rsid w:val="003556BD"/>
    <w:rsid w:val="003650B0"/>
    <w:rsid w:val="00365147"/>
    <w:rsid w:val="0037016E"/>
    <w:rsid w:val="0037207A"/>
    <w:rsid w:val="00372908"/>
    <w:rsid w:val="003764B0"/>
    <w:rsid w:val="00377900"/>
    <w:rsid w:val="00383020"/>
    <w:rsid w:val="0038374A"/>
    <w:rsid w:val="00390691"/>
    <w:rsid w:val="0039069A"/>
    <w:rsid w:val="00390F5D"/>
    <w:rsid w:val="003968BA"/>
    <w:rsid w:val="00396D6E"/>
    <w:rsid w:val="003975FD"/>
    <w:rsid w:val="003A0F88"/>
    <w:rsid w:val="003B6068"/>
    <w:rsid w:val="003B60CC"/>
    <w:rsid w:val="003B6EE4"/>
    <w:rsid w:val="003B79B5"/>
    <w:rsid w:val="003C09B7"/>
    <w:rsid w:val="003C2443"/>
    <w:rsid w:val="003C5DA3"/>
    <w:rsid w:val="003D4BCD"/>
    <w:rsid w:val="003D5140"/>
    <w:rsid w:val="003E2100"/>
    <w:rsid w:val="003F4687"/>
    <w:rsid w:val="003F5D96"/>
    <w:rsid w:val="003F6395"/>
    <w:rsid w:val="003F6F5B"/>
    <w:rsid w:val="0040342D"/>
    <w:rsid w:val="00403E71"/>
    <w:rsid w:val="0041192D"/>
    <w:rsid w:val="00413D8E"/>
    <w:rsid w:val="00413EE1"/>
    <w:rsid w:val="004142A5"/>
    <w:rsid w:val="00416C4A"/>
    <w:rsid w:val="0042128E"/>
    <w:rsid w:val="00421FEC"/>
    <w:rsid w:val="00430252"/>
    <w:rsid w:val="00432B60"/>
    <w:rsid w:val="00434A49"/>
    <w:rsid w:val="00440698"/>
    <w:rsid w:val="00446C2C"/>
    <w:rsid w:val="004540E2"/>
    <w:rsid w:val="00455A78"/>
    <w:rsid w:val="0046116B"/>
    <w:rsid w:val="0046173C"/>
    <w:rsid w:val="00463076"/>
    <w:rsid w:val="00464930"/>
    <w:rsid w:val="00465583"/>
    <w:rsid w:val="00466962"/>
    <w:rsid w:val="00470438"/>
    <w:rsid w:val="004712A5"/>
    <w:rsid w:val="0047266F"/>
    <w:rsid w:val="00476D6B"/>
    <w:rsid w:val="00485FF0"/>
    <w:rsid w:val="00490530"/>
    <w:rsid w:val="004927AB"/>
    <w:rsid w:val="00492C16"/>
    <w:rsid w:val="004A0678"/>
    <w:rsid w:val="004A4393"/>
    <w:rsid w:val="004A4423"/>
    <w:rsid w:val="004A48A3"/>
    <w:rsid w:val="004B0D92"/>
    <w:rsid w:val="004B0EC0"/>
    <w:rsid w:val="004B342C"/>
    <w:rsid w:val="004B4500"/>
    <w:rsid w:val="004B66F1"/>
    <w:rsid w:val="004C3EA0"/>
    <w:rsid w:val="004D00FD"/>
    <w:rsid w:val="004D2555"/>
    <w:rsid w:val="004D42A8"/>
    <w:rsid w:val="004E132E"/>
    <w:rsid w:val="004F1D9B"/>
    <w:rsid w:val="004F240F"/>
    <w:rsid w:val="004F60AC"/>
    <w:rsid w:val="004F7169"/>
    <w:rsid w:val="00500D66"/>
    <w:rsid w:val="005040A9"/>
    <w:rsid w:val="00506088"/>
    <w:rsid w:val="00514C8E"/>
    <w:rsid w:val="00525EF4"/>
    <w:rsid w:val="0052681E"/>
    <w:rsid w:val="00527851"/>
    <w:rsid w:val="005302B0"/>
    <w:rsid w:val="00531DBF"/>
    <w:rsid w:val="00545759"/>
    <w:rsid w:val="00545BE0"/>
    <w:rsid w:val="00546ACC"/>
    <w:rsid w:val="00562E85"/>
    <w:rsid w:val="0056332F"/>
    <w:rsid w:val="00566906"/>
    <w:rsid w:val="005675AE"/>
    <w:rsid w:val="00581C39"/>
    <w:rsid w:val="00585198"/>
    <w:rsid w:val="00586CB3"/>
    <w:rsid w:val="005903B6"/>
    <w:rsid w:val="005904AC"/>
    <w:rsid w:val="0059269F"/>
    <w:rsid w:val="005931E7"/>
    <w:rsid w:val="005A0247"/>
    <w:rsid w:val="005A2D85"/>
    <w:rsid w:val="005B0747"/>
    <w:rsid w:val="005B140D"/>
    <w:rsid w:val="005B3F0B"/>
    <w:rsid w:val="005B46F6"/>
    <w:rsid w:val="005B553C"/>
    <w:rsid w:val="005C1FEA"/>
    <w:rsid w:val="005C2672"/>
    <w:rsid w:val="005C3495"/>
    <w:rsid w:val="005C5223"/>
    <w:rsid w:val="005D616F"/>
    <w:rsid w:val="005E35DC"/>
    <w:rsid w:val="005E3DFC"/>
    <w:rsid w:val="005E5D52"/>
    <w:rsid w:val="005E60AF"/>
    <w:rsid w:val="005F1DEA"/>
    <w:rsid w:val="0060462F"/>
    <w:rsid w:val="0060602D"/>
    <w:rsid w:val="00607FC9"/>
    <w:rsid w:val="0061002D"/>
    <w:rsid w:val="00622FE1"/>
    <w:rsid w:val="0062521C"/>
    <w:rsid w:val="00625438"/>
    <w:rsid w:val="00630A2B"/>
    <w:rsid w:val="00632DC7"/>
    <w:rsid w:val="006357FB"/>
    <w:rsid w:val="00635C5E"/>
    <w:rsid w:val="006406FC"/>
    <w:rsid w:val="00643B47"/>
    <w:rsid w:val="00645CB8"/>
    <w:rsid w:val="00653E16"/>
    <w:rsid w:val="00653F7B"/>
    <w:rsid w:val="00657220"/>
    <w:rsid w:val="0066104B"/>
    <w:rsid w:val="006655EE"/>
    <w:rsid w:val="00667C10"/>
    <w:rsid w:val="00667EF4"/>
    <w:rsid w:val="006736B5"/>
    <w:rsid w:val="00674AAE"/>
    <w:rsid w:val="00676FCA"/>
    <w:rsid w:val="00677177"/>
    <w:rsid w:val="0068612E"/>
    <w:rsid w:val="00687C92"/>
    <w:rsid w:val="006944E5"/>
    <w:rsid w:val="0069534E"/>
    <w:rsid w:val="0069669C"/>
    <w:rsid w:val="006A074A"/>
    <w:rsid w:val="006A1200"/>
    <w:rsid w:val="006A13CA"/>
    <w:rsid w:val="006A1AE4"/>
    <w:rsid w:val="006A2533"/>
    <w:rsid w:val="006A4B98"/>
    <w:rsid w:val="006A4F4E"/>
    <w:rsid w:val="006A688A"/>
    <w:rsid w:val="006B14DB"/>
    <w:rsid w:val="006B1FFD"/>
    <w:rsid w:val="006B21C4"/>
    <w:rsid w:val="006B4FD2"/>
    <w:rsid w:val="006B781B"/>
    <w:rsid w:val="006C1A92"/>
    <w:rsid w:val="006C376B"/>
    <w:rsid w:val="006C4A1A"/>
    <w:rsid w:val="006C73F5"/>
    <w:rsid w:val="006D0393"/>
    <w:rsid w:val="006D1A83"/>
    <w:rsid w:val="006D4EC0"/>
    <w:rsid w:val="006E1CFE"/>
    <w:rsid w:val="006E3EB2"/>
    <w:rsid w:val="006E5BFF"/>
    <w:rsid w:val="006E6B38"/>
    <w:rsid w:val="006F10C4"/>
    <w:rsid w:val="006F5051"/>
    <w:rsid w:val="006F5603"/>
    <w:rsid w:val="00700030"/>
    <w:rsid w:val="00701400"/>
    <w:rsid w:val="007037CF"/>
    <w:rsid w:val="007039EB"/>
    <w:rsid w:val="00705CDE"/>
    <w:rsid w:val="00713FA2"/>
    <w:rsid w:val="00715EDB"/>
    <w:rsid w:val="00716663"/>
    <w:rsid w:val="007167C0"/>
    <w:rsid w:val="00720010"/>
    <w:rsid w:val="00720481"/>
    <w:rsid w:val="00720E46"/>
    <w:rsid w:val="007222A9"/>
    <w:rsid w:val="0073057B"/>
    <w:rsid w:val="00733193"/>
    <w:rsid w:val="007336D5"/>
    <w:rsid w:val="00734867"/>
    <w:rsid w:val="007432CE"/>
    <w:rsid w:val="00744429"/>
    <w:rsid w:val="007470BF"/>
    <w:rsid w:val="0075006D"/>
    <w:rsid w:val="00751C97"/>
    <w:rsid w:val="00753A80"/>
    <w:rsid w:val="0075732A"/>
    <w:rsid w:val="00757539"/>
    <w:rsid w:val="00760262"/>
    <w:rsid w:val="0076310C"/>
    <w:rsid w:val="0076744F"/>
    <w:rsid w:val="00767BCE"/>
    <w:rsid w:val="007706FB"/>
    <w:rsid w:val="007707DE"/>
    <w:rsid w:val="00770B5D"/>
    <w:rsid w:val="00771BAA"/>
    <w:rsid w:val="007752F1"/>
    <w:rsid w:val="00775583"/>
    <w:rsid w:val="00775DF7"/>
    <w:rsid w:val="00776768"/>
    <w:rsid w:val="00776C0D"/>
    <w:rsid w:val="007953DA"/>
    <w:rsid w:val="00795EA3"/>
    <w:rsid w:val="007A2573"/>
    <w:rsid w:val="007A570A"/>
    <w:rsid w:val="007A6A1A"/>
    <w:rsid w:val="007B106C"/>
    <w:rsid w:val="007B1A4E"/>
    <w:rsid w:val="007B3617"/>
    <w:rsid w:val="007B3757"/>
    <w:rsid w:val="007B3D05"/>
    <w:rsid w:val="007C0C81"/>
    <w:rsid w:val="007C114B"/>
    <w:rsid w:val="007C1328"/>
    <w:rsid w:val="007C41A0"/>
    <w:rsid w:val="007D14B4"/>
    <w:rsid w:val="007D2191"/>
    <w:rsid w:val="007D2A36"/>
    <w:rsid w:val="007D2FC3"/>
    <w:rsid w:val="007D5962"/>
    <w:rsid w:val="007E24F6"/>
    <w:rsid w:val="007E674D"/>
    <w:rsid w:val="007E7436"/>
    <w:rsid w:val="007F2EED"/>
    <w:rsid w:val="00800F64"/>
    <w:rsid w:val="00802F0B"/>
    <w:rsid w:val="00810A67"/>
    <w:rsid w:val="00812798"/>
    <w:rsid w:val="00821A31"/>
    <w:rsid w:val="00821AC5"/>
    <w:rsid w:val="00822F45"/>
    <w:rsid w:val="00831030"/>
    <w:rsid w:val="008316C6"/>
    <w:rsid w:val="00833CF7"/>
    <w:rsid w:val="00837D61"/>
    <w:rsid w:val="0084306A"/>
    <w:rsid w:val="00843089"/>
    <w:rsid w:val="00845601"/>
    <w:rsid w:val="00845F48"/>
    <w:rsid w:val="00853978"/>
    <w:rsid w:val="00855C5C"/>
    <w:rsid w:val="0086185F"/>
    <w:rsid w:val="00882459"/>
    <w:rsid w:val="00883A92"/>
    <w:rsid w:val="00884EA9"/>
    <w:rsid w:val="0089105C"/>
    <w:rsid w:val="00894AC7"/>
    <w:rsid w:val="00896F3A"/>
    <w:rsid w:val="008A2B4A"/>
    <w:rsid w:val="008A3038"/>
    <w:rsid w:val="008A3C96"/>
    <w:rsid w:val="008B4019"/>
    <w:rsid w:val="008B65C9"/>
    <w:rsid w:val="008C2D4A"/>
    <w:rsid w:val="008C49DA"/>
    <w:rsid w:val="008D3900"/>
    <w:rsid w:val="008D4BBC"/>
    <w:rsid w:val="008D6E1D"/>
    <w:rsid w:val="008E611A"/>
    <w:rsid w:val="008F39B4"/>
    <w:rsid w:val="008F4162"/>
    <w:rsid w:val="00900BA6"/>
    <w:rsid w:val="009012BC"/>
    <w:rsid w:val="00903E02"/>
    <w:rsid w:val="00910C29"/>
    <w:rsid w:val="009120E4"/>
    <w:rsid w:val="00913175"/>
    <w:rsid w:val="00915525"/>
    <w:rsid w:val="00916EDB"/>
    <w:rsid w:val="009230E5"/>
    <w:rsid w:val="009240A6"/>
    <w:rsid w:val="009242EF"/>
    <w:rsid w:val="00931CE3"/>
    <w:rsid w:val="00932291"/>
    <w:rsid w:val="0093408E"/>
    <w:rsid w:val="00947CBC"/>
    <w:rsid w:val="00952DDF"/>
    <w:rsid w:val="0096170E"/>
    <w:rsid w:val="009700F2"/>
    <w:rsid w:val="00976E4A"/>
    <w:rsid w:val="00984491"/>
    <w:rsid w:val="00992454"/>
    <w:rsid w:val="00994E22"/>
    <w:rsid w:val="009B2543"/>
    <w:rsid w:val="009B38BE"/>
    <w:rsid w:val="009B5D73"/>
    <w:rsid w:val="009C333F"/>
    <w:rsid w:val="009C3D0F"/>
    <w:rsid w:val="009C66E3"/>
    <w:rsid w:val="009D0636"/>
    <w:rsid w:val="009D2FDC"/>
    <w:rsid w:val="009E2913"/>
    <w:rsid w:val="009E3636"/>
    <w:rsid w:val="009F35E2"/>
    <w:rsid w:val="009F5BEB"/>
    <w:rsid w:val="009F65F9"/>
    <w:rsid w:val="009F68BA"/>
    <w:rsid w:val="009F7C99"/>
    <w:rsid w:val="00A05947"/>
    <w:rsid w:val="00A06277"/>
    <w:rsid w:val="00A079DC"/>
    <w:rsid w:val="00A07C8F"/>
    <w:rsid w:val="00A111C2"/>
    <w:rsid w:val="00A14F2B"/>
    <w:rsid w:val="00A17D0F"/>
    <w:rsid w:val="00A22E69"/>
    <w:rsid w:val="00A23425"/>
    <w:rsid w:val="00A27314"/>
    <w:rsid w:val="00A338E7"/>
    <w:rsid w:val="00A343B2"/>
    <w:rsid w:val="00A35CAA"/>
    <w:rsid w:val="00A35F1B"/>
    <w:rsid w:val="00A36E7F"/>
    <w:rsid w:val="00A37213"/>
    <w:rsid w:val="00A375F1"/>
    <w:rsid w:val="00A37E9D"/>
    <w:rsid w:val="00A41E65"/>
    <w:rsid w:val="00A43633"/>
    <w:rsid w:val="00A43E0A"/>
    <w:rsid w:val="00A45659"/>
    <w:rsid w:val="00A46D9D"/>
    <w:rsid w:val="00A47107"/>
    <w:rsid w:val="00A50EF0"/>
    <w:rsid w:val="00A539B1"/>
    <w:rsid w:val="00A53FF7"/>
    <w:rsid w:val="00A55F5B"/>
    <w:rsid w:val="00A57FB9"/>
    <w:rsid w:val="00A60185"/>
    <w:rsid w:val="00A618F5"/>
    <w:rsid w:val="00A63309"/>
    <w:rsid w:val="00A65959"/>
    <w:rsid w:val="00A661EA"/>
    <w:rsid w:val="00A70809"/>
    <w:rsid w:val="00A7523F"/>
    <w:rsid w:val="00A75626"/>
    <w:rsid w:val="00A76E17"/>
    <w:rsid w:val="00A82C36"/>
    <w:rsid w:val="00A830E5"/>
    <w:rsid w:val="00A86618"/>
    <w:rsid w:val="00A87135"/>
    <w:rsid w:val="00A9115E"/>
    <w:rsid w:val="00A919A4"/>
    <w:rsid w:val="00A93280"/>
    <w:rsid w:val="00AA2548"/>
    <w:rsid w:val="00AA515B"/>
    <w:rsid w:val="00AA58C4"/>
    <w:rsid w:val="00AB06CD"/>
    <w:rsid w:val="00AB11C8"/>
    <w:rsid w:val="00AB60CF"/>
    <w:rsid w:val="00AC08A8"/>
    <w:rsid w:val="00AC73E5"/>
    <w:rsid w:val="00AD56C8"/>
    <w:rsid w:val="00AD58F2"/>
    <w:rsid w:val="00AD5BA0"/>
    <w:rsid w:val="00AE02CA"/>
    <w:rsid w:val="00AF3EC2"/>
    <w:rsid w:val="00B00313"/>
    <w:rsid w:val="00B0109A"/>
    <w:rsid w:val="00B01599"/>
    <w:rsid w:val="00B0197B"/>
    <w:rsid w:val="00B01FD6"/>
    <w:rsid w:val="00B03A27"/>
    <w:rsid w:val="00B0529F"/>
    <w:rsid w:val="00B1105A"/>
    <w:rsid w:val="00B1418B"/>
    <w:rsid w:val="00B14B15"/>
    <w:rsid w:val="00B20F68"/>
    <w:rsid w:val="00B21195"/>
    <w:rsid w:val="00B24B22"/>
    <w:rsid w:val="00B25310"/>
    <w:rsid w:val="00B32F8F"/>
    <w:rsid w:val="00B34693"/>
    <w:rsid w:val="00B371E2"/>
    <w:rsid w:val="00B404DC"/>
    <w:rsid w:val="00B44F97"/>
    <w:rsid w:val="00B54DE9"/>
    <w:rsid w:val="00B553EC"/>
    <w:rsid w:val="00B62B98"/>
    <w:rsid w:val="00B65E27"/>
    <w:rsid w:val="00B66EBE"/>
    <w:rsid w:val="00B70ED4"/>
    <w:rsid w:val="00B73907"/>
    <w:rsid w:val="00B774CD"/>
    <w:rsid w:val="00B82921"/>
    <w:rsid w:val="00B902E9"/>
    <w:rsid w:val="00B9180C"/>
    <w:rsid w:val="00B939DA"/>
    <w:rsid w:val="00B93DD0"/>
    <w:rsid w:val="00B97732"/>
    <w:rsid w:val="00BA0AB6"/>
    <w:rsid w:val="00BA65A8"/>
    <w:rsid w:val="00BA6D19"/>
    <w:rsid w:val="00BA7461"/>
    <w:rsid w:val="00BA7DA9"/>
    <w:rsid w:val="00BB0F5A"/>
    <w:rsid w:val="00BC4215"/>
    <w:rsid w:val="00BC473A"/>
    <w:rsid w:val="00BC765F"/>
    <w:rsid w:val="00BD1A6F"/>
    <w:rsid w:val="00BD359B"/>
    <w:rsid w:val="00BD5DB8"/>
    <w:rsid w:val="00BD5F54"/>
    <w:rsid w:val="00BE033E"/>
    <w:rsid w:val="00BE4871"/>
    <w:rsid w:val="00BE6D3C"/>
    <w:rsid w:val="00BE7852"/>
    <w:rsid w:val="00BE7B58"/>
    <w:rsid w:val="00BE7E91"/>
    <w:rsid w:val="00BF3F7C"/>
    <w:rsid w:val="00BF5519"/>
    <w:rsid w:val="00BF671B"/>
    <w:rsid w:val="00BF7CEE"/>
    <w:rsid w:val="00C03880"/>
    <w:rsid w:val="00C06EC3"/>
    <w:rsid w:val="00C132E3"/>
    <w:rsid w:val="00C135CF"/>
    <w:rsid w:val="00C173B0"/>
    <w:rsid w:val="00C17F88"/>
    <w:rsid w:val="00C22E15"/>
    <w:rsid w:val="00C2683F"/>
    <w:rsid w:val="00C26B4E"/>
    <w:rsid w:val="00C30B24"/>
    <w:rsid w:val="00C3184D"/>
    <w:rsid w:val="00C32E31"/>
    <w:rsid w:val="00C3424B"/>
    <w:rsid w:val="00C43020"/>
    <w:rsid w:val="00C45F10"/>
    <w:rsid w:val="00C4714E"/>
    <w:rsid w:val="00C5366B"/>
    <w:rsid w:val="00C5504F"/>
    <w:rsid w:val="00C63376"/>
    <w:rsid w:val="00C634DE"/>
    <w:rsid w:val="00C74520"/>
    <w:rsid w:val="00C74F97"/>
    <w:rsid w:val="00C8276E"/>
    <w:rsid w:val="00C83DEB"/>
    <w:rsid w:val="00C842AC"/>
    <w:rsid w:val="00C85444"/>
    <w:rsid w:val="00C86DC8"/>
    <w:rsid w:val="00C871B0"/>
    <w:rsid w:val="00C90E71"/>
    <w:rsid w:val="00C91088"/>
    <w:rsid w:val="00C942C3"/>
    <w:rsid w:val="00CA0723"/>
    <w:rsid w:val="00CB1690"/>
    <w:rsid w:val="00CC1AE6"/>
    <w:rsid w:val="00CC4365"/>
    <w:rsid w:val="00CD11B0"/>
    <w:rsid w:val="00CD26EC"/>
    <w:rsid w:val="00CD3A95"/>
    <w:rsid w:val="00CD56C7"/>
    <w:rsid w:val="00CD7E72"/>
    <w:rsid w:val="00CE01CC"/>
    <w:rsid w:val="00CE034E"/>
    <w:rsid w:val="00CE1087"/>
    <w:rsid w:val="00CE476F"/>
    <w:rsid w:val="00CE71C2"/>
    <w:rsid w:val="00CF42D5"/>
    <w:rsid w:val="00CF4EDA"/>
    <w:rsid w:val="00CF6560"/>
    <w:rsid w:val="00CF6AE8"/>
    <w:rsid w:val="00D021CB"/>
    <w:rsid w:val="00D03A08"/>
    <w:rsid w:val="00D0562E"/>
    <w:rsid w:val="00D05A2D"/>
    <w:rsid w:val="00D10ACD"/>
    <w:rsid w:val="00D10F1A"/>
    <w:rsid w:val="00D116F8"/>
    <w:rsid w:val="00D14BE2"/>
    <w:rsid w:val="00D17596"/>
    <w:rsid w:val="00D22CC6"/>
    <w:rsid w:val="00D2323D"/>
    <w:rsid w:val="00D26D3A"/>
    <w:rsid w:val="00D31545"/>
    <w:rsid w:val="00D3508B"/>
    <w:rsid w:val="00D374CF"/>
    <w:rsid w:val="00D45EE3"/>
    <w:rsid w:val="00D50618"/>
    <w:rsid w:val="00D509E9"/>
    <w:rsid w:val="00D50A8A"/>
    <w:rsid w:val="00D53B1C"/>
    <w:rsid w:val="00D5575B"/>
    <w:rsid w:val="00D64914"/>
    <w:rsid w:val="00D80F3B"/>
    <w:rsid w:val="00D832A3"/>
    <w:rsid w:val="00D856D5"/>
    <w:rsid w:val="00D928BF"/>
    <w:rsid w:val="00D96E41"/>
    <w:rsid w:val="00DA1B12"/>
    <w:rsid w:val="00DA54C9"/>
    <w:rsid w:val="00DA6739"/>
    <w:rsid w:val="00DA6CAE"/>
    <w:rsid w:val="00DB1A9E"/>
    <w:rsid w:val="00DB31D6"/>
    <w:rsid w:val="00DB4005"/>
    <w:rsid w:val="00DB5704"/>
    <w:rsid w:val="00DB6787"/>
    <w:rsid w:val="00DB7C73"/>
    <w:rsid w:val="00DC34EB"/>
    <w:rsid w:val="00DC781A"/>
    <w:rsid w:val="00DC7EDE"/>
    <w:rsid w:val="00DE633A"/>
    <w:rsid w:val="00DF029E"/>
    <w:rsid w:val="00DF1E5B"/>
    <w:rsid w:val="00DF2275"/>
    <w:rsid w:val="00DF3F5E"/>
    <w:rsid w:val="00DF7BCD"/>
    <w:rsid w:val="00E01BBE"/>
    <w:rsid w:val="00E01F42"/>
    <w:rsid w:val="00E0359D"/>
    <w:rsid w:val="00E0596E"/>
    <w:rsid w:val="00E06F66"/>
    <w:rsid w:val="00E136BA"/>
    <w:rsid w:val="00E138B9"/>
    <w:rsid w:val="00E22AD5"/>
    <w:rsid w:val="00E35436"/>
    <w:rsid w:val="00E356E5"/>
    <w:rsid w:val="00E36AFF"/>
    <w:rsid w:val="00E36F81"/>
    <w:rsid w:val="00E44648"/>
    <w:rsid w:val="00E452FA"/>
    <w:rsid w:val="00E45765"/>
    <w:rsid w:val="00E45E10"/>
    <w:rsid w:val="00E508DF"/>
    <w:rsid w:val="00E5098C"/>
    <w:rsid w:val="00E50DC9"/>
    <w:rsid w:val="00E60213"/>
    <w:rsid w:val="00E61DA3"/>
    <w:rsid w:val="00E67EAD"/>
    <w:rsid w:val="00E74D29"/>
    <w:rsid w:val="00E7502C"/>
    <w:rsid w:val="00E832EF"/>
    <w:rsid w:val="00E83572"/>
    <w:rsid w:val="00E83C74"/>
    <w:rsid w:val="00E83CEE"/>
    <w:rsid w:val="00E86DB3"/>
    <w:rsid w:val="00E8776C"/>
    <w:rsid w:val="00E9226D"/>
    <w:rsid w:val="00E923D6"/>
    <w:rsid w:val="00E96E67"/>
    <w:rsid w:val="00EA1568"/>
    <w:rsid w:val="00EA337A"/>
    <w:rsid w:val="00EA5922"/>
    <w:rsid w:val="00EA5941"/>
    <w:rsid w:val="00EB02BE"/>
    <w:rsid w:val="00EB3189"/>
    <w:rsid w:val="00EB4974"/>
    <w:rsid w:val="00EB4DFB"/>
    <w:rsid w:val="00EB60CE"/>
    <w:rsid w:val="00EB7D53"/>
    <w:rsid w:val="00EC24FD"/>
    <w:rsid w:val="00ED2725"/>
    <w:rsid w:val="00EE1E28"/>
    <w:rsid w:val="00EE2A2B"/>
    <w:rsid w:val="00EE3146"/>
    <w:rsid w:val="00EF50BB"/>
    <w:rsid w:val="00EF746E"/>
    <w:rsid w:val="00EF7DAD"/>
    <w:rsid w:val="00F00192"/>
    <w:rsid w:val="00F00BC6"/>
    <w:rsid w:val="00F014F4"/>
    <w:rsid w:val="00F01DF6"/>
    <w:rsid w:val="00F0340D"/>
    <w:rsid w:val="00F04DEA"/>
    <w:rsid w:val="00F11F1B"/>
    <w:rsid w:val="00F23756"/>
    <w:rsid w:val="00F2523A"/>
    <w:rsid w:val="00F25FFA"/>
    <w:rsid w:val="00F310D2"/>
    <w:rsid w:val="00F33B88"/>
    <w:rsid w:val="00F35B89"/>
    <w:rsid w:val="00F35F6C"/>
    <w:rsid w:val="00F36F3D"/>
    <w:rsid w:val="00F3797F"/>
    <w:rsid w:val="00F41CBB"/>
    <w:rsid w:val="00F430B9"/>
    <w:rsid w:val="00F477BD"/>
    <w:rsid w:val="00F52AB6"/>
    <w:rsid w:val="00F52E17"/>
    <w:rsid w:val="00F52EB7"/>
    <w:rsid w:val="00F53043"/>
    <w:rsid w:val="00F53491"/>
    <w:rsid w:val="00F571C5"/>
    <w:rsid w:val="00F60329"/>
    <w:rsid w:val="00F6067F"/>
    <w:rsid w:val="00F65A1C"/>
    <w:rsid w:val="00F66F50"/>
    <w:rsid w:val="00F722ED"/>
    <w:rsid w:val="00F77D13"/>
    <w:rsid w:val="00F82FF8"/>
    <w:rsid w:val="00F8330D"/>
    <w:rsid w:val="00F84305"/>
    <w:rsid w:val="00F8485C"/>
    <w:rsid w:val="00F87149"/>
    <w:rsid w:val="00F87239"/>
    <w:rsid w:val="00F87FFE"/>
    <w:rsid w:val="00F91335"/>
    <w:rsid w:val="00F940DB"/>
    <w:rsid w:val="00F954C9"/>
    <w:rsid w:val="00F97568"/>
    <w:rsid w:val="00F977DD"/>
    <w:rsid w:val="00FA148D"/>
    <w:rsid w:val="00FA61AA"/>
    <w:rsid w:val="00FA62B5"/>
    <w:rsid w:val="00FA69A4"/>
    <w:rsid w:val="00FA6CAC"/>
    <w:rsid w:val="00FB1279"/>
    <w:rsid w:val="00FB1495"/>
    <w:rsid w:val="00FB6171"/>
    <w:rsid w:val="00FC64AE"/>
    <w:rsid w:val="00FC779B"/>
    <w:rsid w:val="00FD1694"/>
    <w:rsid w:val="00FD2FE0"/>
    <w:rsid w:val="00FD7636"/>
    <w:rsid w:val="00FE3229"/>
    <w:rsid w:val="00FE4477"/>
    <w:rsid w:val="00FE74C3"/>
    <w:rsid w:val="00FF215C"/>
    <w:rsid w:val="00FF31E2"/>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B7E2D"/>
    <w:pPr>
      <w:spacing w:after="200" w:line="276" w:lineRule="auto"/>
    </w:pPr>
    <w:rPr>
      <w:rFonts w:ascii="Calibri" w:hAnsi="Calibri"/>
      <w:lang w:eastAsia="en-US"/>
    </w:rPr>
  </w:style>
  <w:style w:type="paragraph" w:styleId="Heading1">
    <w:name w:val="heading 1"/>
    <w:basedOn w:val="Normal"/>
    <w:next w:val="Normal"/>
    <w:link w:val="Heading1Char"/>
    <w:uiPriority w:val="99"/>
    <w:qFormat/>
    <w:rsid w:val="004D42A8"/>
    <w:pPr>
      <w:keepNext/>
      <w:outlineLvl w:val="0"/>
    </w:pPr>
    <w:rPr>
      <w:rFonts w:cs="Arial"/>
      <w:b/>
      <w:caps/>
    </w:rPr>
  </w:style>
  <w:style w:type="paragraph" w:styleId="Heading2">
    <w:name w:val="heading 2"/>
    <w:basedOn w:val="Normal"/>
    <w:next w:val="Normal"/>
    <w:link w:val="Heading2Char"/>
    <w:uiPriority w:val="99"/>
    <w:qFormat/>
    <w:rsid w:val="004D42A8"/>
    <w:pPr>
      <w:keepNext/>
      <w:outlineLvl w:val="1"/>
    </w:pPr>
    <w:rPr>
      <w:rFonts w:cs="Arial"/>
      <w:b/>
    </w:rPr>
  </w:style>
  <w:style w:type="paragraph" w:styleId="Heading3">
    <w:name w:val="heading 3"/>
    <w:basedOn w:val="Normal"/>
    <w:next w:val="Normal"/>
    <w:link w:val="Heading3Char"/>
    <w:uiPriority w:val="9"/>
    <w:qFormat/>
    <w:rsid w:val="004D42A8"/>
    <w:pPr>
      <w:keepNext/>
      <w:outlineLvl w:val="2"/>
    </w:pPr>
    <w:rPr>
      <w:rFonts w:cs="Arial"/>
      <w:b/>
      <w:i/>
    </w:rPr>
  </w:style>
  <w:style w:type="paragraph" w:styleId="Heading4">
    <w:name w:val="heading 4"/>
    <w:basedOn w:val="Normal"/>
    <w:next w:val="Normal"/>
    <w:link w:val="Heading4Char"/>
    <w:uiPriority w:val="9"/>
    <w:qFormat/>
    <w:rsid w:val="004D42A8"/>
    <w:pPr>
      <w:keepNext/>
      <w:outlineLvl w:val="3"/>
    </w:pPr>
    <w:rPr>
      <w:rFonts w:cs="Arial"/>
      <w:i/>
    </w:rPr>
  </w:style>
  <w:style w:type="paragraph" w:styleId="Heading5">
    <w:name w:val="heading 5"/>
    <w:basedOn w:val="Normal"/>
    <w:next w:val="Normal"/>
    <w:link w:val="Heading5Char"/>
    <w:uiPriority w:val="9"/>
    <w:semiHidden/>
    <w:unhideWhenUsed/>
    <w:qFormat/>
    <w:rsid w:val="002B7E2D"/>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2B7E2D"/>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9"/>
    <w:rsid w:val="004D42A8"/>
    <w:rPr>
      <w:rFonts w:cs="Arial"/>
      <w:b/>
      <w:caps/>
      <w:lang w:eastAsia="en-US"/>
    </w:rPr>
  </w:style>
  <w:style w:type="character" w:customStyle="1" w:styleId="Heading2Char">
    <w:name w:val="Heading 2 Char"/>
    <w:basedOn w:val="DefaultParagraphFont"/>
    <w:link w:val="Heading2"/>
    <w:uiPriority w:val="99"/>
    <w:rsid w:val="004D42A8"/>
    <w:rPr>
      <w:rFonts w:cs="Arial"/>
      <w:b/>
      <w:lang w:eastAsia="en-US"/>
    </w:rPr>
  </w:style>
  <w:style w:type="character" w:customStyle="1" w:styleId="Heading3Char">
    <w:name w:val="Heading 3 Char"/>
    <w:basedOn w:val="DefaultParagraphFont"/>
    <w:link w:val="Heading3"/>
    <w:uiPriority w:val="9"/>
    <w:rsid w:val="004D42A8"/>
    <w:rPr>
      <w:rFonts w:cs="Arial"/>
      <w:b/>
      <w:i/>
      <w:lang w:eastAsia="en-US"/>
    </w:rPr>
  </w:style>
  <w:style w:type="character" w:customStyle="1" w:styleId="Heading4Char">
    <w:name w:val="Heading 4 Char"/>
    <w:basedOn w:val="DefaultParagraphFont"/>
    <w:link w:val="Heading4"/>
    <w:uiPriority w:val="9"/>
    <w:rsid w:val="004D42A8"/>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B14B15"/>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pPr>
      <w:spacing w:after="0" w:line="240" w:lineRule="auto"/>
    </w:pPr>
    <w:rPr>
      <w:rFonts w:eastAsia="Times New Roman"/>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pPr>
      <w:spacing w:after="0"/>
    </w:pPr>
  </w:style>
  <w:style w:type="character" w:customStyle="1" w:styleId="Heading5Char">
    <w:name w:val="Heading 5 Char"/>
    <w:basedOn w:val="DefaultParagraphFont"/>
    <w:link w:val="Heading5"/>
    <w:uiPriority w:val="9"/>
    <w:semiHidden/>
    <w:rsid w:val="002B7E2D"/>
    <w:rPr>
      <w:rFonts w:ascii="Cambria" w:eastAsia="Times New Roman" w:hAnsi="Cambria"/>
      <w:color w:val="243F60"/>
      <w:lang w:eastAsia="en-US"/>
    </w:rPr>
  </w:style>
  <w:style w:type="character" w:customStyle="1" w:styleId="Heading6Char">
    <w:name w:val="Heading 6 Char"/>
    <w:basedOn w:val="DefaultParagraphFont"/>
    <w:link w:val="Heading6"/>
    <w:uiPriority w:val="99"/>
    <w:rsid w:val="002B7E2D"/>
    <w:rPr>
      <w:rFonts w:ascii="Cambria" w:eastAsia="Times New Roman" w:hAnsi="Cambria"/>
      <w:i/>
      <w:iCs/>
      <w:color w:val="243F60"/>
      <w:lang w:eastAsia="en-US"/>
    </w:rPr>
  </w:style>
  <w:style w:type="paragraph" w:customStyle="1" w:styleId="Bullet">
    <w:name w:val="Bullet"/>
    <w:aliases w:val="b"/>
    <w:basedOn w:val="Normal"/>
    <w:link w:val="BulletChar"/>
    <w:uiPriority w:val="99"/>
    <w:qFormat/>
    <w:rsid w:val="002B7E2D"/>
    <w:pPr>
      <w:numPr>
        <w:numId w:val="12"/>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2B7E2D"/>
    <w:rPr>
      <w:rFonts w:ascii="Calibri" w:eastAsia="Times New Roman" w:hAnsi="Calibri"/>
      <w:lang w:eastAsia="en-US"/>
    </w:rPr>
  </w:style>
  <w:style w:type="paragraph" w:customStyle="1" w:styleId="Dash">
    <w:name w:val="Dash"/>
    <w:basedOn w:val="Normal"/>
    <w:link w:val="DashChar"/>
    <w:uiPriority w:val="99"/>
    <w:qFormat/>
    <w:rsid w:val="002B7E2D"/>
    <w:pPr>
      <w:numPr>
        <w:ilvl w:val="1"/>
        <w:numId w:val="12"/>
      </w:numPr>
      <w:spacing w:before="120" w:after="120"/>
    </w:pPr>
    <w:rPr>
      <w:rFonts w:eastAsia="Times New Roman"/>
    </w:rPr>
  </w:style>
  <w:style w:type="paragraph" w:customStyle="1" w:styleId="DoubleDot">
    <w:name w:val="Double Dot"/>
    <w:basedOn w:val="Normal"/>
    <w:uiPriority w:val="99"/>
    <w:rsid w:val="002B7E2D"/>
    <w:pPr>
      <w:numPr>
        <w:ilvl w:val="2"/>
        <w:numId w:val="12"/>
      </w:numPr>
      <w:spacing w:before="120" w:after="120"/>
    </w:pPr>
    <w:rPr>
      <w:rFonts w:eastAsia="Times New Roman"/>
    </w:rPr>
  </w:style>
  <w:style w:type="character" w:styleId="Strong">
    <w:name w:val="Strong"/>
    <w:basedOn w:val="DefaultParagraphFont"/>
    <w:uiPriority w:val="99"/>
    <w:qFormat/>
    <w:rsid w:val="002B7E2D"/>
    <w:rPr>
      <w:rFonts w:cs="Times New Roman"/>
      <w:b/>
      <w:bCs/>
    </w:rPr>
  </w:style>
  <w:style w:type="character" w:styleId="Hyperlink">
    <w:name w:val="Hyperlink"/>
    <w:basedOn w:val="DefaultParagraphFont"/>
    <w:uiPriority w:val="99"/>
    <w:rsid w:val="002B7E2D"/>
    <w:rPr>
      <w:rFonts w:cs="Times New Roman"/>
      <w:color w:val="0000FF"/>
      <w:u w:val="single"/>
    </w:rPr>
  </w:style>
  <w:style w:type="paragraph" w:customStyle="1" w:styleId="OutlineNumbered1">
    <w:name w:val="Outline Numbered 1"/>
    <w:basedOn w:val="Normal"/>
    <w:link w:val="OutlineNumbered1Char"/>
    <w:uiPriority w:val="99"/>
    <w:rsid w:val="002B7E2D"/>
    <w:pPr>
      <w:numPr>
        <w:numId w:val="13"/>
      </w:numPr>
    </w:pPr>
  </w:style>
  <w:style w:type="character" w:customStyle="1" w:styleId="OutlineNumbered1Char">
    <w:name w:val="Outline Numbered 1 Char"/>
    <w:basedOn w:val="BulletChar"/>
    <w:link w:val="OutlineNumbered1"/>
    <w:uiPriority w:val="99"/>
    <w:locked/>
    <w:rsid w:val="002B7E2D"/>
    <w:rPr>
      <w:rFonts w:ascii="Calibri" w:eastAsia="Times New Roman" w:hAnsi="Calibri"/>
      <w:lang w:eastAsia="en-US"/>
    </w:rPr>
  </w:style>
  <w:style w:type="paragraph" w:customStyle="1" w:styleId="OutlineNumbered2">
    <w:name w:val="Outline Numbered 2"/>
    <w:basedOn w:val="Normal"/>
    <w:uiPriority w:val="99"/>
    <w:rsid w:val="002B7E2D"/>
    <w:pPr>
      <w:numPr>
        <w:ilvl w:val="1"/>
        <w:numId w:val="13"/>
      </w:numPr>
    </w:pPr>
  </w:style>
  <w:style w:type="paragraph" w:customStyle="1" w:styleId="OutlineNumbered3">
    <w:name w:val="Outline Numbered 3"/>
    <w:basedOn w:val="Normal"/>
    <w:uiPriority w:val="99"/>
    <w:rsid w:val="002B7E2D"/>
    <w:pPr>
      <w:numPr>
        <w:ilvl w:val="2"/>
        <w:numId w:val="13"/>
      </w:numPr>
    </w:pPr>
  </w:style>
  <w:style w:type="character" w:styleId="CommentReference">
    <w:name w:val="annotation reference"/>
    <w:basedOn w:val="DefaultParagraphFont"/>
    <w:uiPriority w:val="99"/>
    <w:rsid w:val="002B7E2D"/>
    <w:rPr>
      <w:rFonts w:cs="Times New Roman"/>
      <w:sz w:val="16"/>
      <w:szCs w:val="16"/>
    </w:rPr>
  </w:style>
  <w:style w:type="paragraph" w:styleId="CommentText">
    <w:name w:val="annotation text"/>
    <w:basedOn w:val="Normal"/>
    <w:link w:val="CommentTextChar"/>
    <w:uiPriority w:val="99"/>
    <w:rsid w:val="002B7E2D"/>
    <w:pPr>
      <w:spacing w:line="240" w:lineRule="auto"/>
    </w:pPr>
    <w:rPr>
      <w:sz w:val="20"/>
      <w:szCs w:val="20"/>
    </w:rPr>
  </w:style>
  <w:style w:type="character" w:customStyle="1" w:styleId="CommentTextChar">
    <w:name w:val="Comment Text Char"/>
    <w:basedOn w:val="DefaultParagraphFont"/>
    <w:link w:val="CommentText"/>
    <w:uiPriority w:val="99"/>
    <w:rsid w:val="002B7E2D"/>
    <w:rPr>
      <w:rFonts w:ascii="Calibri" w:hAnsi="Calibri"/>
      <w:sz w:val="20"/>
      <w:szCs w:val="20"/>
      <w:lang w:eastAsia="en-US"/>
    </w:rPr>
  </w:style>
  <w:style w:type="paragraph" w:styleId="CommentSubject">
    <w:name w:val="annotation subject"/>
    <w:basedOn w:val="CommentText"/>
    <w:next w:val="CommentText"/>
    <w:link w:val="CommentSubjectChar"/>
    <w:uiPriority w:val="99"/>
    <w:semiHidden/>
    <w:rsid w:val="002B7E2D"/>
    <w:rPr>
      <w:b/>
      <w:bCs/>
    </w:rPr>
  </w:style>
  <w:style w:type="character" w:customStyle="1" w:styleId="CommentSubjectChar">
    <w:name w:val="Comment Subject Char"/>
    <w:basedOn w:val="CommentTextChar"/>
    <w:link w:val="CommentSubject"/>
    <w:uiPriority w:val="99"/>
    <w:semiHidden/>
    <w:rsid w:val="002B7E2D"/>
    <w:rPr>
      <w:rFonts w:ascii="Calibri" w:hAnsi="Calibri"/>
      <w:b/>
      <w:bCs/>
      <w:sz w:val="20"/>
      <w:szCs w:val="20"/>
      <w:lang w:eastAsia="en-US"/>
    </w:rPr>
  </w:style>
  <w:style w:type="paragraph" w:styleId="NormalWeb">
    <w:name w:val="Normal (Web)"/>
    <w:basedOn w:val="Normal"/>
    <w:uiPriority w:val="99"/>
    <w:rsid w:val="002B7E2D"/>
    <w:pPr>
      <w:spacing w:before="100" w:beforeAutospacing="1" w:after="100" w:afterAutospacing="1" w:line="240" w:lineRule="auto"/>
    </w:pPr>
    <w:rPr>
      <w:rFonts w:ascii="Times New Roman" w:eastAsia="Times New Roman" w:hAnsi="Times New Roman"/>
      <w:sz w:val="24"/>
      <w:szCs w:val="24"/>
      <w:lang w:eastAsia="en-AU"/>
    </w:rPr>
  </w:style>
  <w:style w:type="character" w:styleId="HTMLAcronym">
    <w:name w:val="HTML Acronym"/>
    <w:basedOn w:val="DefaultParagraphFont"/>
    <w:uiPriority w:val="99"/>
    <w:semiHidden/>
    <w:rsid w:val="002B7E2D"/>
    <w:rPr>
      <w:rFonts w:cs="Times New Roman"/>
    </w:rPr>
  </w:style>
  <w:style w:type="paragraph" w:customStyle="1" w:styleId="R1">
    <w:name w:val="R1"/>
    <w:aliases w:val="1. or 1.(1)"/>
    <w:basedOn w:val="Normal"/>
    <w:next w:val="R2"/>
    <w:uiPriority w:val="99"/>
    <w:rsid w:val="002B7E2D"/>
    <w:pPr>
      <w:keepLines/>
      <w:tabs>
        <w:tab w:val="right" w:pos="794"/>
      </w:tabs>
      <w:spacing w:before="120" w:after="0" w:line="260" w:lineRule="exact"/>
      <w:ind w:left="964" w:hanging="964"/>
      <w:jc w:val="both"/>
    </w:pPr>
    <w:rPr>
      <w:rFonts w:ascii="Times New Roman" w:eastAsia="Times New Roman" w:hAnsi="Times New Roman"/>
      <w:sz w:val="24"/>
      <w:szCs w:val="24"/>
      <w:lang w:eastAsia="en-AU"/>
    </w:rPr>
  </w:style>
  <w:style w:type="paragraph" w:customStyle="1" w:styleId="R2">
    <w:name w:val="R2"/>
    <w:aliases w:val="(2)"/>
    <w:basedOn w:val="Normal"/>
    <w:uiPriority w:val="99"/>
    <w:rsid w:val="002B7E2D"/>
    <w:pPr>
      <w:keepLines/>
      <w:tabs>
        <w:tab w:val="right" w:pos="794"/>
      </w:tabs>
      <w:spacing w:before="180" w:after="0" w:line="260" w:lineRule="exact"/>
      <w:ind w:left="964" w:hanging="964"/>
      <w:jc w:val="both"/>
    </w:pPr>
    <w:rPr>
      <w:rFonts w:ascii="Times New Roman" w:eastAsia="Times New Roman" w:hAnsi="Times New Roman"/>
      <w:sz w:val="24"/>
      <w:szCs w:val="24"/>
      <w:lang w:eastAsia="en-AU"/>
    </w:rPr>
  </w:style>
  <w:style w:type="paragraph" w:styleId="FootnoteText">
    <w:name w:val="footnote text"/>
    <w:basedOn w:val="Normal"/>
    <w:link w:val="FootnoteTextChar"/>
    <w:uiPriority w:val="99"/>
    <w:rsid w:val="002B7E2D"/>
    <w:pPr>
      <w:spacing w:after="0" w:line="240" w:lineRule="auto"/>
    </w:pPr>
    <w:rPr>
      <w:sz w:val="20"/>
      <w:szCs w:val="20"/>
    </w:rPr>
  </w:style>
  <w:style w:type="character" w:customStyle="1" w:styleId="FootnoteTextChar">
    <w:name w:val="Footnote Text Char"/>
    <w:basedOn w:val="DefaultParagraphFont"/>
    <w:link w:val="FootnoteText"/>
    <w:uiPriority w:val="99"/>
    <w:rsid w:val="002B7E2D"/>
    <w:rPr>
      <w:rFonts w:ascii="Calibri" w:hAnsi="Calibri"/>
      <w:sz w:val="20"/>
      <w:szCs w:val="20"/>
      <w:lang w:eastAsia="en-US"/>
    </w:rPr>
  </w:style>
  <w:style w:type="character" w:styleId="FootnoteReference">
    <w:name w:val="footnote reference"/>
    <w:basedOn w:val="DefaultParagraphFont"/>
    <w:uiPriority w:val="99"/>
    <w:rsid w:val="002B7E2D"/>
    <w:rPr>
      <w:rFonts w:cs="Times New Roman"/>
      <w:vertAlign w:val="superscript"/>
    </w:rPr>
  </w:style>
  <w:style w:type="paragraph" w:styleId="Caption">
    <w:name w:val="caption"/>
    <w:basedOn w:val="Normal"/>
    <w:next w:val="Normal"/>
    <w:uiPriority w:val="99"/>
    <w:qFormat/>
    <w:rsid w:val="002B7E2D"/>
    <w:pPr>
      <w:spacing w:before="120" w:after="120" w:line="240" w:lineRule="auto"/>
    </w:pPr>
    <w:rPr>
      <w:rFonts w:ascii="Times New Roman" w:eastAsia="Times New Roman" w:hAnsi="Times New Roman"/>
      <w:b/>
      <w:bCs/>
      <w:sz w:val="20"/>
      <w:szCs w:val="20"/>
      <w:lang w:eastAsia="en-AU"/>
    </w:rPr>
  </w:style>
  <w:style w:type="paragraph" w:customStyle="1" w:styleId="HSR">
    <w:name w:val="HSR"/>
    <w:aliases w:val="Subregulation Heading"/>
    <w:basedOn w:val="Normal"/>
    <w:next w:val="Normal"/>
    <w:uiPriority w:val="99"/>
    <w:rsid w:val="002B7E2D"/>
    <w:pPr>
      <w:keepNext/>
      <w:spacing w:before="300" w:after="0" w:line="240" w:lineRule="auto"/>
      <w:ind w:left="964"/>
    </w:pPr>
    <w:rPr>
      <w:rFonts w:ascii="Arial" w:eastAsia="Times New Roman" w:hAnsi="Arial"/>
      <w:i/>
      <w:sz w:val="24"/>
      <w:szCs w:val="24"/>
      <w:lang w:eastAsia="en-AU"/>
    </w:rPr>
  </w:style>
  <w:style w:type="table" w:customStyle="1" w:styleId="LightShading-Accent11">
    <w:name w:val="Light Shading - Accent 11"/>
    <w:uiPriority w:val="99"/>
    <w:rsid w:val="002B7E2D"/>
    <w:rPr>
      <w:rFonts w:ascii="Calibri" w:hAnsi="Calibri"/>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2B7E2D"/>
    <w:rPr>
      <w:rFonts w:cs="Times New Roman"/>
    </w:rPr>
  </w:style>
  <w:style w:type="table" w:customStyle="1" w:styleId="TableGrid2">
    <w:name w:val="Table Grid2"/>
    <w:uiPriority w:val="99"/>
    <w:rsid w:val="002B7E2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2B7E2D"/>
    <w:pPr>
      <w:autoSpaceDE w:val="0"/>
      <w:autoSpaceDN w:val="0"/>
      <w:adjustRightInd w:val="0"/>
    </w:pPr>
    <w:rPr>
      <w:rFonts w:ascii="Calibri" w:hAnsi="Calibri" w:cs="Calibri"/>
      <w:color w:val="000000"/>
      <w:sz w:val="24"/>
      <w:szCs w:val="24"/>
      <w:lang w:eastAsia="en-US"/>
    </w:rPr>
  </w:style>
  <w:style w:type="paragraph" w:customStyle="1" w:styleId="P1">
    <w:name w:val="P1"/>
    <w:aliases w:val="(a)"/>
    <w:basedOn w:val="Normal"/>
    <w:rsid w:val="002B7E2D"/>
    <w:pPr>
      <w:keepLines/>
      <w:tabs>
        <w:tab w:val="right" w:pos="1191"/>
      </w:tabs>
      <w:spacing w:before="60" w:after="0" w:line="260" w:lineRule="exact"/>
      <w:ind w:left="1418" w:hanging="1418"/>
      <w:jc w:val="both"/>
    </w:pPr>
    <w:rPr>
      <w:rFonts w:ascii="Times New Roman" w:eastAsia="Times New Roman" w:hAnsi="Times New Roman"/>
      <w:sz w:val="24"/>
      <w:szCs w:val="24"/>
      <w:lang w:eastAsia="en-AU"/>
    </w:rPr>
  </w:style>
  <w:style w:type="paragraph" w:customStyle="1" w:styleId="HR">
    <w:name w:val="HR"/>
    <w:aliases w:val="Regulation Heading"/>
    <w:basedOn w:val="Normal"/>
    <w:next w:val="R1"/>
    <w:uiPriority w:val="99"/>
    <w:rsid w:val="002B7E2D"/>
    <w:pPr>
      <w:keepNext/>
      <w:keepLines/>
      <w:spacing w:before="360" w:after="0" w:line="240" w:lineRule="auto"/>
      <w:ind w:left="964" w:hanging="964"/>
    </w:pPr>
    <w:rPr>
      <w:rFonts w:ascii="Arial" w:eastAsia="Times New Roman" w:hAnsi="Arial"/>
      <w:b/>
      <w:sz w:val="24"/>
      <w:szCs w:val="24"/>
      <w:lang w:eastAsia="en-AU"/>
    </w:rPr>
  </w:style>
  <w:style w:type="paragraph" w:styleId="Revision">
    <w:name w:val="Revision"/>
    <w:hidden/>
    <w:uiPriority w:val="99"/>
    <w:semiHidden/>
    <w:rsid w:val="002B7E2D"/>
    <w:rPr>
      <w:rFonts w:ascii="Calibri" w:hAnsi="Calibri"/>
      <w:lang w:eastAsia="en-US"/>
    </w:rPr>
  </w:style>
  <w:style w:type="table" w:customStyle="1" w:styleId="LightGrid-Accent11">
    <w:name w:val="Light Grid - Accent 11"/>
    <w:uiPriority w:val="99"/>
    <w:rsid w:val="002B7E2D"/>
    <w:rPr>
      <w:rFonts w:ascii="Calibri" w:hAnsi="Calibri"/>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DashChar">
    <w:name w:val="Dash Char"/>
    <w:basedOn w:val="DefaultParagraphFont"/>
    <w:link w:val="Dash"/>
    <w:uiPriority w:val="99"/>
    <w:locked/>
    <w:rsid w:val="002B7E2D"/>
    <w:rPr>
      <w:rFonts w:ascii="Calibri" w:eastAsia="Times New Roman" w:hAnsi="Calibri"/>
      <w:lang w:eastAsia="en-US"/>
    </w:rPr>
  </w:style>
  <w:style w:type="character" w:styleId="FollowedHyperlink">
    <w:name w:val="FollowedHyperlink"/>
    <w:basedOn w:val="DefaultParagraphFont"/>
    <w:uiPriority w:val="99"/>
    <w:semiHidden/>
    <w:rsid w:val="002B7E2D"/>
    <w:rPr>
      <w:rFonts w:cs="Times New Roman"/>
      <w:color w:val="800080"/>
      <w:u w:val="single"/>
    </w:rPr>
  </w:style>
  <w:style w:type="paragraph" w:customStyle="1" w:styleId="definition">
    <w:name w:val="definition"/>
    <w:basedOn w:val="Normal"/>
    <w:rsid w:val="002B7E2D"/>
    <w:pPr>
      <w:spacing w:before="80" w:after="0" w:line="260" w:lineRule="exact"/>
      <w:ind w:left="964"/>
      <w:jc w:val="both"/>
    </w:pPr>
    <w:rPr>
      <w:rFonts w:ascii="Times New Roman" w:eastAsia="Times New Roman" w:hAnsi="Times New Roman"/>
      <w:sz w:val="24"/>
      <w:szCs w:val="24"/>
      <w:lang w:eastAsia="en-AU"/>
    </w:rPr>
  </w:style>
  <w:style w:type="paragraph" w:customStyle="1" w:styleId="P2">
    <w:name w:val="P2"/>
    <w:basedOn w:val="Normal"/>
    <w:rsid w:val="002B7E2D"/>
    <w:pPr>
      <w:keepLines/>
      <w:tabs>
        <w:tab w:val="right" w:pos="2098"/>
      </w:tabs>
      <w:spacing w:after="100" w:line="260" w:lineRule="exact"/>
      <w:ind w:left="2268" w:hanging="2268"/>
      <w:jc w:val="both"/>
    </w:pPr>
  </w:style>
  <w:style w:type="character" w:customStyle="1" w:styleId="ListParagraphChar">
    <w:name w:val="List Paragraph Char"/>
    <w:basedOn w:val="DefaultParagraphFont"/>
    <w:link w:val="ListParagraph"/>
    <w:uiPriority w:val="34"/>
    <w:locked/>
    <w:rsid w:val="002B7E2D"/>
    <w:rPr>
      <w:lang w:eastAsia="en-US"/>
    </w:rPr>
  </w:style>
  <w:style w:type="paragraph" w:customStyle="1" w:styleId="Def">
    <w:name w:val="Def"/>
    <w:basedOn w:val="Normal"/>
    <w:uiPriority w:val="99"/>
    <w:rsid w:val="002B7E2D"/>
    <w:pPr>
      <w:spacing w:before="80" w:after="100" w:line="260" w:lineRule="exact"/>
      <w:ind w:left="964"/>
      <w:jc w:val="both"/>
    </w:pPr>
  </w:style>
  <w:style w:type="paragraph" w:customStyle="1" w:styleId="NoteSS">
    <w:name w:val="Note SS"/>
    <w:basedOn w:val="Normal"/>
    <w:qFormat/>
    <w:rsid w:val="002B7E2D"/>
    <w:pPr>
      <w:keepLines/>
      <w:spacing w:before="120" w:line="220" w:lineRule="exact"/>
      <w:ind w:left="964"/>
      <w:jc w:val="both"/>
    </w:pPr>
    <w:rPr>
      <w:sz w:val="20"/>
    </w:rPr>
  </w:style>
  <w:style w:type="paragraph" w:customStyle="1" w:styleId="tPara">
    <w:name w:val="t_Para"/>
    <w:basedOn w:val="Normal"/>
    <w:uiPriority w:val="99"/>
    <w:qFormat/>
    <w:rsid w:val="002B7E2D"/>
    <w:pPr>
      <w:keepLines/>
      <w:tabs>
        <w:tab w:val="right" w:pos="1531"/>
      </w:tabs>
      <w:spacing w:after="100" w:line="260" w:lineRule="exact"/>
      <w:ind w:left="1701" w:hanging="1701"/>
      <w:jc w:val="both"/>
    </w:pPr>
  </w:style>
  <w:style w:type="character" w:styleId="PlaceholderText">
    <w:name w:val="Placeholder Text"/>
    <w:basedOn w:val="DefaultParagraphFont"/>
    <w:uiPriority w:val="99"/>
    <w:semiHidden/>
    <w:rsid w:val="002B7E2D"/>
    <w:rPr>
      <w:color w:val="808080"/>
    </w:rPr>
  </w:style>
  <w:style w:type="paragraph" w:customStyle="1" w:styleId="noteDrafter">
    <w:name w:val="note_Drafter"/>
    <w:basedOn w:val="Normal"/>
    <w:qFormat/>
    <w:rsid w:val="002B7E2D"/>
    <w:pPr>
      <w:spacing w:before="80" w:after="80" w:line="240" w:lineRule="auto"/>
    </w:pPr>
    <w:rPr>
      <w:rFonts w:ascii="Times New Roman" w:eastAsia="Times New Roman" w:hAnsi="Times New Roman"/>
      <w:color w:val="0070C0"/>
      <w:sz w:val="24"/>
      <w:szCs w:val="24"/>
      <w:lang w:eastAsia="en-AU"/>
    </w:rPr>
  </w:style>
  <w:style w:type="paragraph" w:customStyle="1" w:styleId="p10">
    <w:name w:val="p1"/>
    <w:basedOn w:val="Normal"/>
    <w:rsid w:val="002B7E2D"/>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h5Section">
    <w:name w:val="h5_Section"/>
    <w:basedOn w:val="Heading5"/>
    <w:next w:val="Normal"/>
    <w:uiPriority w:val="99"/>
    <w:qFormat/>
    <w:rsid w:val="002B7E2D"/>
    <w:pPr>
      <w:spacing w:before="360" w:after="60" w:line="240" w:lineRule="auto"/>
      <w:ind w:left="964" w:hanging="964"/>
    </w:pPr>
    <w:rPr>
      <w:rFonts w:ascii="Arial" w:hAnsi="Arial"/>
      <w:b/>
      <w:bCs/>
      <w:iCs/>
      <w:color w:val="auto"/>
      <w:sz w:val="24"/>
      <w:szCs w:val="26"/>
      <w:lang w:eastAsia="en-AU"/>
    </w:rPr>
  </w:style>
  <w:style w:type="paragraph" w:customStyle="1" w:styleId="tMain">
    <w:name w:val="t_Main"/>
    <w:basedOn w:val="Normal"/>
    <w:uiPriority w:val="99"/>
    <w:qFormat/>
    <w:rsid w:val="002B7E2D"/>
    <w:pPr>
      <w:keepLines/>
      <w:tabs>
        <w:tab w:val="right" w:pos="794"/>
      </w:tabs>
      <w:spacing w:before="80" w:after="100" w:line="260" w:lineRule="exact"/>
      <w:ind w:left="964" w:hanging="964"/>
      <w:jc w:val="both"/>
    </w:pPr>
    <w:rPr>
      <w:rFonts w:ascii="Times New Roman" w:eastAsia="Times New Roman" w:hAnsi="Times New Roman"/>
      <w:sz w:val="24"/>
      <w:szCs w:val="24"/>
      <w:lang w:eastAsia="en-AU"/>
    </w:rPr>
  </w:style>
  <w:style w:type="paragraph" w:customStyle="1" w:styleId="noteMain">
    <w:name w:val="note_Main"/>
    <w:basedOn w:val="tMain"/>
    <w:qFormat/>
    <w:rsid w:val="002B7E2D"/>
    <w:pPr>
      <w:spacing w:line="220" w:lineRule="exact"/>
    </w:pPr>
    <w:rPr>
      <w:sz w:val="20"/>
    </w:rPr>
  </w:style>
  <w:style w:type="paragraph" w:customStyle="1" w:styleId="noteSubpara">
    <w:name w:val="note_Subpara"/>
    <w:basedOn w:val="Normal"/>
    <w:qFormat/>
    <w:rsid w:val="002B7E2D"/>
    <w:pPr>
      <w:keepLines/>
      <w:tabs>
        <w:tab w:val="right" w:pos="2211"/>
      </w:tabs>
      <w:spacing w:after="100" w:line="220" w:lineRule="exact"/>
      <w:ind w:left="2410" w:hanging="2410"/>
      <w:jc w:val="both"/>
    </w:pPr>
    <w:rPr>
      <w:rFonts w:ascii="Times New Roman" w:eastAsia="Times New Roman" w:hAnsi="Times New Roman"/>
      <w:sz w:val="20"/>
      <w:szCs w:val="24"/>
      <w:lang w:eastAsia="en-AU"/>
    </w:rPr>
  </w:style>
  <w:style w:type="paragraph" w:customStyle="1" w:styleId="tSubpara">
    <w:name w:val="t_Subpara"/>
    <w:basedOn w:val="Normal"/>
    <w:qFormat/>
    <w:rsid w:val="002B7E2D"/>
    <w:pPr>
      <w:keepLines/>
      <w:tabs>
        <w:tab w:val="right" w:pos="2211"/>
      </w:tabs>
      <w:spacing w:after="100" w:line="260" w:lineRule="exact"/>
      <w:ind w:left="2410" w:hanging="2410"/>
      <w:jc w:val="both"/>
    </w:pPr>
    <w:rPr>
      <w:rFonts w:ascii="Times New Roman" w:eastAsia="Times New Roman" w:hAnsi="Times New Roman"/>
      <w:sz w:val="24"/>
      <w:szCs w:val="24"/>
      <w:lang w:eastAsia="en-AU"/>
    </w:rPr>
  </w:style>
  <w:style w:type="paragraph" w:customStyle="1" w:styleId="tDefn">
    <w:name w:val="t_Defn"/>
    <w:basedOn w:val="Normal"/>
    <w:uiPriority w:val="99"/>
    <w:rsid w:val="002B7E2D"/>
    <w:pPr>
      <w:spacing w:before="80" w:after="100" w:line="260" w:lineRule="exact"/>
      <w:ind w:left="964"/>
      <w:jc w:val="both"/>
    </w:pPr>
    <w:rPr>
      <w:rFonts w:ascii="Times New Roman" w:eastAsia="Times New Roman" w:hAnsi="Times New Roman"/>
      <w:sz w:val="24"/>
      <w:szCs w:val="24"/>
      <w:lang w:eastAsia="en-AU"/>
    </w:rPr>
  </w:style>
  <w:style w:type="paragraph" w:customStyle="1" w:styleId="notePara">
    <w:name w:val="note_Para"/>
    <w:basedOn w:val="tPara"/>
    <w:qFormat/>
    <w:rsid w:val="002B7E2D"/>
    <w:pPr>
      <w:spacing w:line="220" w:lineRule="exact"/>
    </w:pPr>
    <w:rPr>
      <w:rFonts w:ascii="Times New Roman" w:eastAsia="Times New Roman" w:hAnsi="Times New Roman"/>
      <w:sz w:val="20"/>
      <w:szCs w:val="24"/>
      <w:lang w:eastAsia="en-AU"/>
    </w:rPr>
  </w:style>
  <w:style w:type="paragraph" w:customStyle="1" w:styleId="h6Subsec">
    <w:name w:val="h6_Subsec"/>
    <w:basedOn w:val="Normal"/>
    <w:next w:val="Normal"/>
    <w:qFormat/>
    <w:rsid w:val="002B7E2D"/>
    <w:pPr>
      <w:keepNext/>
      <w:spacing w:before="120" w:after="0" w:line="240" w:lineRule="auto"/>
      <w:ind w:left="964"/>
    </w:pPr>
    <w:rPr>
      <w:rFonts w:ascii="Arial" w:eastAsia="Times New Roman" w:hAnsi="Arial"/>
      <w:i/>
      <w:sz w:val="24"/>
      <w:szCs w:val="24"/>
      <w:lang w:eastAsia="en-AU"/>
    </w:rPr>
  </w:style>
  <w:style w:type="paragraph" w:customStyle="1" w:styleId="Tabletext0">
    <w:name w:val="Tabletext"/>
    <w:aliases w:val="tt"/>
    <w:basedOn w:val="Normal"/>
    <w:rsid w:val="002B7E2D"/>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0"/>
    <w:rsid w:val="002B7E2D"/>
    <w:pPr>
      <w:keepNext/>
      <w:spacing w:before="60" w:after="0" w:line="240" w:lineRule="atLeast"/>
    </w:pPr>
    <w:rPr>
      <w:rFonts w:ascii="Times New Roman" w:eastAsia="Times New Roman" w:hAnsi="Times New Roman"/>
      <w:b/>
      <w:sz w:val="20"/>
      <w:szCs w:val="20"/>
      <w:lang w:eastAsia="en-AU"/>
    </w:rPr>
  </w:style>
  <w:style w:type="paragraph" w:customStyle="1" w:styleId="paragraph">
    <w:name w:val="paragraph"/>
    <w:aliases w:val="a"/>
    <w:basedOn w:val="Normal"/>
    <w:link w:val="paragraphChar"/>
    <w:rsid w:val="002B7E2D"/>
    <w:pPr>
      <w:tabs>
        <w:tab w:val="right" w:pos="1531"/>
      </w:tabs>
      <w:spacing w:before="40" w:after="0" w:line="240" w:lineRule="auto"/>
      <w:ind w:left="1644" w:hanging="1644"/>
    </w:pPr>
    <w:rPr>
      <w:rFonts w:ascii="Times New Roman" w:eastAsia="Times New Roman" w:hAnsi="Times New Roman"/>
      <w:szCs w:val="20"/>
    </w:rPr>
  </w:style>
  <w:style w:type="character" w:customStyle="1" w:styleId="paragraphChar">
    <w:name w:val="paragraph Char"/>
    <w:aliases w:val="a Char"/>
    <w:link w:val="paragraph"/>
    <w:locked/>
    <w:rsid w:val="002B7E2D"/>
    <w:rPr>
      <w:rFonts w:ascii="Times New Roman" w:eastAsia="Times New Roman" w:hAnsi="Times New Roman"/>
      <w:szCs w:val="20"/>
      <w:lang w:eastAsia="en-US"/>
    </w:rPr>
  </w:style>
  <w:style w:type="paragraph" w:customStyle="1" w:styleId="Definition0">
    <w:name w:val="Definition"/>
    <w:aliases w:val="dd"/>
    <w:basedOn w:val="Normal"/>
    <w:rsid w:val="002B7E2D"/>
    <w:pPr>
      <w:spacing w:before="180" w:after="0" w:line="240" w:lineRule="auto"/>
      <w:ind w:left="1134"/>
    </w:pPr>
    <w:rPr>
      <w:rFonts w:ascii="Times New Roman" w:hAnsi="Times New Roman"/>
      <w:lang w:eastAsia="en-AU"/>
    </w:rPr>
  </w:style>
  <w:style w:type="paragraph" w:customStyle="1" w:styleId="paragraphsub">
    <w:name w:val="paragraph(sub)"/>
    <w:aliases w:val="aa"/>
    <w:basedOn w:val="Normal"/>
    <w:rsid w:val="002B7E2D"/>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notepara0">
    <w:name w:val="note(para)"/>
    <w:aliases w:val="na"/>
    <w:basedOn w:val="Normal"/>
    <w:rsid w:val="002B7E2D"/>
    <w:pPr>
      <w:spacing w:before="40" w:after="0" w:line="198" w:lineRule="exact"/>
      <w:ind w:left="2354" w:hanging="369"/>
    </w:pPr>
    <w:rPr>
      <w:rFonts w:ascii="Times New Roman" w:eastAsia="Times New Roman" w:hAnsi="Times New Roman"/>
      <w:sz w:val="18"/>
      <w:szCs w:val="20"/>
      <w:lang w:eastAsia="en-AU"/>
    </w:rPr>
  </w:style>
  <w:style w:type="paragraph" w:customStyle="1" w:styleId="notetext">
    <w:name w:val="note(text)"/>
    <w:aliases w:val="n"/>
    <w:basedOn w:val="Normal"/>
    <w:rsid w:val="002B7E2D"/>
    <w:pPr>
      <w:spacing w:before="122" w:after="0" w:line="240" w:lineRule="auto"/>
      <w:ind w:left="1985" w:hanging="851"/>
    </w:pPr>
    <w:rPr>
      <w:rFonts w:ascii="Times New Roman" w:eastAsia="Times New Roman" w:hAnsi="Times New Roman"/>
      <w:sz w:val="18"/>
      <w:szCs w:val="20"/>
      <w:lang w:eastAsia="en-AU"/>
    </w:rPr>
  </w:style>
  <w:style w:type="paragraph" w:customStyle="1" w:styleId="ActHead5">
    <w:name w:val="ActHead 5"/>
    <w:aliases w:val="s"/>
    <w:basedOn w:val="Normal"/>
    <w:next w:val="subsection"/>
    <w:qFormat/>
    <w:rsid w:val="002B7E2D"/>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
    <w:basedOn w:val="Normal"/>
    <w:link w:val="subsectionChar"/>
    <w:rsid w:val="002B7E2D"/>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
    <w:basedOn w:val="DefaultParagraphFont"/>
    <w:link w:val="subsection"/>
    <w:rsid w:val="002B7E2D"/>
    <w:rPr>
      <w:rFonts w:ascii="Times New Roman" w:eastAsia="Times New Roman" w:hAnsi="Times New Roman"/>
      <w:szCs w:val="20"/>
    </w:rPr>
  </w:style>
  <w:style w:type="paragraph" w:customStyle="1" w:styleId="base-text-paragraphnonumbers">
    <w:name w:val="base-text-paragraph no numbers"/>
    <w:basedOn w:val="Normal"/>
    <w:rsid w:val="002B7E2D"/>
    <w:pPr>
      <w:spacing w:before="120" w:after="120" w:line="240" w:lineRule="auto"/>
      <w:ind w:left="1134"/>
    </w:pPr>
    <w:rPr>
      <w:rFonts w:ascii="Times New Roman" w:eastAsia="Times New Roman" w:hAnsi="Times New Roman"/>
      <w:szCs w:val="20"/>
      <w:lang w:eastAsia="en-AU"/>
    </w:rPr>
  </w:style>
</w:styles>
</file>

<file path=word/webSettings.xml><?xml version="1.0" encoding="utf-8"?>
<w:webSettings xmlns:r="http://schemas.openxmlformats.org/officeDocument/2006/relationships" xmlns:w="http://schemas.openxmlformats.org/wordprocessingml/2006/main">
  <w:divs>
    <w:div w:id="570163590">
      <w:bodyDiv w:val="1"/>
      <w:marLeft w:val="0"/>
      <w:marRight w:val="0"/>
      <w:marTop w:val="0"/>
      <w:marBottom w:val="0"/>
      <w:divBdr>
        <w:top w:val="none" w:sz="0" w:space="0" w:color="auto"/>
        <w:left w:val="none" w:sz="0" w:space="0" w:color="auto"/>
        <w:bottom w:val="none" w:sz="0" w:space="0" w:color="auto"/>
        <w:right w:val="none" w:sz="0" w:space="0" w:color="auto"/>
      </w:divBdr>
    </w:div>
    <w:div w:id="99105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missions-reduction-fu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comlaw.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nvironment.gov.au"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IconOverlay xmlns="http://schemas.microsoft.com/sharepoint/v4" xsi:nil="true"/>
    <Function xmlns="7d1753f3-b6db-484b-93d6-b74f5ca30d2d">Administration</Function>
    <DocumentDescription xmlns="7d1753f3-b6db-484b-93d6-b74f5ca30d2d" xsi:nil="true"/>
    <RecordNumber xmlns="7d1753f3-b6db-484b-93d6-b74f5ca30d2d">000248852</RecordNumber>
    <Approval xmlns="7d1753f3-b6db-484b-93d6-b74f5ca30d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445C-DA4E-47BB-B750-940F669DDC4C}"/>
</file>

<file path=customXml/itemProps2.xml><?xml version="1.0" encoding="utf-8"?>
<ds:datastoreItem xmlns:ds="http://schemas.openxmlformats.org/officeDocument/2006/customXml" ds:itemID="{5C9E0CBA-2723-47D4-8CDC-30C05C658FD9}"/>
</file>

<file path=customXml/itemProps3.xml><?xml version="1.0" encoding="utf-8"?>
<ds:datastoreItem xmlns:ds="http://schemas.openxmlformats.org/officeDocument/2006/customXml" ds:itemID="{74BC5C4B-E706-48C2-B786-3C8F3D9B9F98}"/>
</file>

<file path=customXml/itemProps4.xml><?xml version="1.0" encoding="utf-8"?>
<ds:datastoreItem xmlns:ds="http://schemas.openxmlformats.org/officeDocument/2006/customXml" ds:itemID="{3415E3DA-BF69-4A89-894F-8FDF6AF55EE9}"/>
</file>

<file path=customXml/itemProps5.xml><?xml version="1.0" encoding="utf-8"?>
<ds:datastoreItem xmlns:ds="http://schemas.openxmlformats.org/officeDocument/2006/customXml" ds:itemID="{9F4A2FEF-2AAC-4A1D-A5EC-009FCB9837F0}"/>
</file>

<file path=customXml/itemProps6.xml><?xml version="1.0" encoding="utf-8"?>
<ds:datastoreItem xmlns:ds="http://schemas.openxmlformats.org/officeDocument/2006/customXml" ds:itemID="{9C820946-AAAD-4F66-AF05-231570DA3A63}"/>
</file>

<file path=docProps/app.xml><?xml version="1.0" encoding="utf-8"?>
<Properties xmlns="http://schemas.openxmlformats.org/officeDocument/2006/extended-properties" xmlns:vt="http://schemas.openxmlformats.org/officeDocument/2006/docPropsVTypes">
  <Template>Normal</Template>
  <TotalTime>2</TotalTime>
  <Pages>26</Pages>
  <Words>9384</Words>
  <Characters>53494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DEWHA</Company>
  <LinksUpToDate>false</LinksUpToDate>
  <CharactersWithSpaces>62753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creator>Felix Bowman-Derrick</dc:creator>
  <cp:lastModifiedBy>a15139</cp:lastModifiedBy>
  <cp:revision>2</cp:revision>
  <cp:lastPrinted>2014-11-28T06:14:00Z</cp:lastPrinted>
  <dcterms:created xsi:type="dcterms:W3CDTF">2015-01-18T23:45:00Z</dcterms:created>
  <dcterms:modified xsi:type="dcterms:W3CDTF">2015-01-18T23:45:00Z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Publishing Section">
    <vt:lpwstr>Information Management Division</vt:lpwstr>
  </property>
  <property fmtid="{D5CDD505-2E9C-101B-9397-08002B2CF9AE}" pid="4" name="RecordPoint_SubmissionDate">
    <vt:lpwstr/>
  </property>
  <property fmtid="{D5CDD505-2E9C-101B-9397-08002B2CF9AE}" pid="5" name="RecordPoint_RecordNumberSubmitted">
    <vt:lpwstr>000248852</vt:lpwstr>
  </property>
  <property fmtid="{D5CDD505-2E9C-101B-9397-08002B2CF9AE}" pid="6" name="RecordPoint_ActiveItemSiteId">
    <vt:lpwstr>{890acc58-830d-4c0f-8f38-0a6dcc0cb92f}</vt:lpwstr>
  </property>
  <property fmtid="{D5CDD505-2E9C-101B-9397-08002B2CF9AE}" pid="7" name="RecordPoint_ActiveItemListId">
    <vt:lpwstr>{8603bb64-ffce-48ca-be1c-084f01c244e0}</vt:lpwstr>
  </property>
  <property fmtid="{D5CDD505-2E9C-101B-9397-08002B2CF9AE}" pid="8" name="RecordPoint_RecordFormat">
    <vt:lpwstr/>
  </property>
  <property fmtid="{D5CDD505-2E9C-101B-9397-08002B2CF9AE}" pid="9" name="RecordPoint_ActiveItemMoved">
    <vt:lpwstr/>
  </property>
  <property fmtid="{D5CDD505-2E9C-101B-9397-08002B2CF9AE}" pid="10" name="RecordPoint_SubmissionCompleted">
    <vt:lpwstr>2015-01-19T10:53:39.7529800+11:00</vt:lpwstr>
  </property>
  <property fmtid="{D5CDD505-2E9C-101B-9397-08002B2CF9AE}" pid="11" name="RecordPoint_ActiveItemUniqueId">
    <vt:lpwstr>{71e53bfa-1811-430e-bac7-ae084b4b3288}</vt:lpwstr>
  </property>
  <property fmtid="{D5CDD505-2E9C-101B-9397-08002B2CF9AE}" pid="12" name="RecordPoint_ActiveItemWebId">
    <vt:lpwstr>{7d1753f3-b6db-484b-93d6-b74f5ca30d2d}</vt:lpwstr>
  </property>
  <property fmtid="{D5CDD505-2E9C-101B-9397-08002B2CF9AE}" pid="13" name="RecordPoint_WorkflowType">
    <vt:lpwstr>ActiveSubmitStub</vt:lpwstr>
  </property>
</Properties>
</file>