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762B1" w:rsidRDefault="00DA186E" w:rsidP="00B05CF4">
      <w:pPr>
        <w:rPr>
          <w:sz w:val="28"/>
        </w:rPr>
      </w:pPr>
      <w:r w:rsidRPr="008762B1">
        <w:rPr>
          <w:noProof/>
          <w:lang w:eastAsia="en-AU"/>
        </w:rPr>
        <w:drawing>
          <wp:inline distT="0" distB="0" distL="0" distR="0" wp14:anchorId="2E5A0861" wp14:editId="4F002BF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62B1" w:rsidRDefault="00715914" w:rsidP="00715914">
      <w:pPr>
        <w:rPr>
          <w:sz w:val="19"/>
        </w:rPr>
      </w:pPr>
    </w:p>
    <w:p w:rsidR="00715914" w:rsidRPr="008762B1" w:rsidRDefault="008E2B94" w:rsidP="00715914">
      <w:pPr>
        <w:pStyle w:val="ShortT"/>
      </w:pPr>
      <w:r w:rsidRPr="008762B1">
        <w:t>Carbon Credits (Carbon Farming Initiative</w:t>
      </w:r>
      <w:r w:rsidR="00573B6A" w:rsidRPr="008762B1">
        <w:t>—Alternative Waste Treatment) Methodology</w:t>
      </w:r>
      <w:r w:rsidRPr="008762B1">
        <w:t xml:space="preserve"> Determination</w:t>
      </w:r>
      <w:r w:rsidR="008762B1" w:rsidRPr="008762B1">
        <w:t> </w:t>
      </w:r>
      <w:r w:rsidR="006824F7" w:rsidRPr="008762B1">
        <w:t>2015</w:t>
      </w:r>
    </w:p>
    <w:p w:rsidR="008E2B94" w:rsidRPr="008762B1" w:rsidRDefault="008E2B94" w:rsidP="00DB0E5B">
      <w:pPr>
        <w:pStyle w:val="SignCoverPageStart"/>
        <w:rPr>
          <w:szCs w:val="22"/>
        </w:rPr>
      </w:pPr>
      <w:r w:rsidRPr="008762B1">
        <w:rPr>
          <w:szCs w:val="22"/>
        </w:rPr>
        <w:t>I, Greg Hunt, Minister for the Environment, make the following determination.</w:t>
      </w:r>
    </w:p>
    <w:p w:rsidR="008E2B94" w:rsidRPr="008762B1" w:rsidRDefault="008E2B94" w:rsidP="00DB0E5B">
      <w:pPr>
        <w:keepNext/>
        <w:spacing w:before="300" w:line="240" w:lineRule="atLeast"/>
        <w:ind w:right="397"/>
        <w:jc w:val="both"/>
        <w:rPr>
          <w:szCs w:val="22"/>
        </w:rPr>
      </w:pPr>
      <w:r w:rsidRPr="008762B1">
        <w:rPr>
          <w:szCs w:val="22"/>
        </w:rPr>
        <w:t>Dated</w:t>
      </w:r>
      <w:r w:rsidRPr="008762B1">
        <w:rPr>
          <w:szCs w:val="22"/>
        </w:rPr>
        <w:tab/>
      </w:r>
      <w:r w:rsidR="005608FF">
        <w:rPr>
          <w:szCs w:val="22"/>
        </w:rPr>
        <w:t>12 January</w:t>
      </w:r>
      <w:bookmarkStart w:id="0" w:name="BKCheck15B_1"/>
      <w:bookmarkEnd w:id="0"/>
      <w:r w:rsidR="005608FF">
        <w:rPr>
          <w:szCs w:val="22"/>
        </w:rPr>
        <w:t xml:space="preserve"> </w:t>
      </w:r>
      <w:r w:rsidR="006824F7" w:rsidRPr="008762B1">
        <w:rPr>
          <w:szCs w:val="22"/>
        </w:rPr>
        <w:fldChar w:fldCharType="begin"/>
      </w:r>
      <w:r w:rsidR="006824F7" w:rsidRPr="008762B1">
        <w:rPr>
          <w:szCs w:val="22"/>
        </w:rPr>
        <w:instrText xml:space="preserve"> DATE  \@ "2015" </w:instrText>
      </w:r>
      <w:r w:rsidR="006824F7" w:rsidRPr="008762B1">
        <w:rPr>
          <w:szCs w:val="22"/>
        </w:rPr>
        <w:fldChar w:fldCharType="separate"/>
      </w:r>
      <w:r w:rsidR="005608FF">
        <w:rPr>
          <w:noProof/>
          <w:szCs w:val="22"/>
        </w:rPr>
        <w:t>2015</w:t>
      </w:r>
      <w:r w:rsidR="006824F7" w:rsidRPr="008762B1">
        <w:rPr>
          <w:szCs w:val="22"/>
        </w:rPr>
        <w:fldChar w:fldCharType="end"/>
      </w:r>
    </w:p>
    <w:p w:rsidR="008E2B94" w:rsidRPr="008762B1" w:rsidRDefault="0013051C" w:rsidP="00DB0E5B">
      <w:pPr>
        <w:keepNext/>
        <w:tabs>
          <w:tab w:val="left" w:pos="3402"/>
        </w:tabs>
        <w:spacing w:before="1440" w:line="300" w:lineRule="atLeast"/>
        <w:ind w:right="397"/>
        <w:rPr>
          <w:szCs w:val="22"/>
        </w:rPr>
      </w:pPr>
      <w:r w:rsidRPr="008762B1">
        <w:rPr>
          <w:szCs w:val="22"/>
        </w:rPr>
        <w:t>Greg Hunt</w:t>
      </w:r>
    </w:p>
    <w:p w:rsidR="008E2B94" w:rsidRPr="008762B1" w:rsidRDefault="008E2B94" w:rsidP="00DB0E5B">
      <w:pPr>
        <w:pStyle w:val="SignCoverPageEnd"/>
        <w:rPr>
          <w:szCs w:val="22"/>
        </w:rPr>
      </w:pPr>
      <w:r w:rsidRPr="008762B1">
        <w:rPr>
          <w:szCs w:val="22"/>
        </w:rPr>
        <w:t>Minister for the Environment</w:t>
      </w:r>
    </w:p>
    <w:p w:rsidR="008E2B94" w:rsidRPr="008762B1" w:rsidRDefault="008E2B94" w:rsidP="008E2B94"/>
    <w:p w:rsidR="00715914" w:rsidRPr="008762B1" w:rsidRDefault="00715914" w:rsidP="00715914">
      <w:pPr>
        <w:pStyle w:val="Header"/>
        <w:tabs>
          <w:tab w:val="clear" w:pos="4150"/>
          <w:tab w:val="clear" w:pos="8307"/>
        </w:tabs>
      </w:pPr>
      <w:r w:rsidRPr="008762B1">
        <w:rPr>
          <w:rStyle w:val="CharChapNo"/>
        </w:rPr>
        <w:t xml:space="preserve"> </w:t>
      </w:r>
      <w:r w:rsidRPr="008762B1">
        <w:rPr>
          <w:rStyle w:val="CharChapText"/>
        </w:rPr>
        <w:t xml:space="preserve"> </w:t>
      </w:r>
    </w:p>
    <w:p w:rsidR="00715914" w:rsidRPr="008762B1" w:rsidRDefault="00715914" w:rsidP="00715914">
      <w:pPr>
        <w:pStyle w:val="Header"/>
        <w:tabs>
          <w:tab w:val="clear" w:pos="4150"/>
          <w:tab w:val="clear" w:pos="8307"/>
        </w:tabs>
      </w:pPr>
      <w:r w:rsidRPr="008762B1">
        <w:rPr>
          <w:rStyle w:val="CharPartNo"/>
        </w:rPr>
        <w:t xml:space="preserve"> </w:t>
      </w:r>
      <w:r w:rsidRPr="008762B1">
        <w:rPr>
          <w:rStyle w:val="CharPartText"/>
        </w:rPr>
        <w:t xml:space="preserve"> </w:t>
      </w:r>
    </w:p>
    <w:p w:rsidR="00715914" w:rsidRPr="008762B1" w:rsidRDefault="00715914" w:rsidP="00715914">
      <w:pPr>
        <w:pStyle w:val="Header"/>
        <w:tabs>
          <w:tab w:val="clear" w:pos="4150"/>
          <w:tab w:val="clear" w:pos="8307"/>
        </w:tabs>
      </w:pPr>
      <w:r w:rsidRPr="008762B1">
        <w:rPr>
          <w:rStyle w:val="CharDivNo"/>
        </w:rPr>
        <w:t xml:space="preserve"> </w:t>
      </w:r>
      <w:r w:rsidRPr="008762B1">
        <w:rPr>
          <w:rStyle w:val="CharDivText"/>
        </w:rPr>
        <w:t xml:space="preserve"> </w:t>
      </w:r>
    </w:p>
    <w:p w:rsidR="00715914" w:rsidRPr="008762B1" w:rsidRDefault="00715914" w:rsidP="00715914">
      <w:pPr>
        <w:sectPr w:rsidR="00715914" w:rsidRPr="008762B1" w:rsidSect="001877C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8762B1" w:rsidRDefault="00715914" w:rsidP="00A3252A">
      <w:pPr>
        <w:rPr>
          <w:sz w:val="36"/>
        </w:rPr>
      </w:pPr>
      <w:r w:rsidRPr="008762B1">
        <w:rPr>
          <w:sz w:val="36"/>
        </w:rPr>
        <w:lastRenderedPageBreak/>
        <w:t>Contents</w:t>
      </w:r>
    </w:p>
    <w:bookmarkStart w:id="1" w:name="BKCheck15B_2"/>
    <w:bookmarkEnd w:id="1"/>
    <w:p w:rsidR="00C569C8" w:rsidRPr="008762B1" w:rsidRDefault="00C569C8">
      <w:pPr>
        <w:pStyle w:val="TOC2"/>
        <w:rPr>
          <w:rFonts w:asciiTheme="minorHAnsi" w:eastAsiaTheme="minorEastAsia" w:hAnsiTheme="minorHAnsi" w:cstheme="minorBidi"/>
          <w:b w:val="0"/>
          <w:noProof/>
          <w:kern w:val="0"/>
          <w:sz w:val="22"/>
          <w:szCs w:val="22"/>
        </w:rPr>
      </w:pPr>
      <w:r w:rsidRPr="008762B1">
        <w:fldChar w:fldCharType="begin"/>
      </w:r>
      <w:r w:rsidRPr="008762B1">
        <w:instrText xml:space="preserve"> TOC \o "1-9" </w:instrText>
      </w:r>
      <w:r w:rsidRPr="008762B1">
        <w:fldChar w:fldCharType="separate"/>
      </w:r>
      <w:r w:rsidRPr="008762B1">
        <w:rPr>
          <w:noProof/>
        </w:rPr>
        <w:t>Part</w:t>
      </w:r>
      <w:r w:rsidR="008762B1" w:rsidRPr="008762B1">
        <w:rPr>
          <w:noProof/>
        </w:rPr>
        <w:t> </w:t>
      </w:r>
      <w:r w:rsidRPr="008762B1">
        <w:rPr>
          <w:noProof/>
        </w:rPr>
        <w:t>1—Preliminary</w:t>
      </w:r>
      <w:r w:rsidRPr="008762B1">
        <w:rPr>
          <w:b w:val="0"/>
          <w:noProof/>
          <w:sz w:val="18"/>
        </w:rPr>
        <w:tab/>
      </w:r>
      <w:r w:rsidRPr="008762B1">
        <w:rPr>
          <w:b w:val="0"/>
          <w:noProof/>
          <w:sz w:val="18"/>
        </w:rPr>
        <w:fldChar w:fldCharType="begin"/>
      </w:r>
      <w:r w:rsidRPr="008762B1">
        <w:rPr>
          <w:b w:val="0"/>
          <w:noProof/>
          <w:sz w:val="18"/>
        </w:rPr>
        <w:instrText xml:space="preserve"> PAGEREF _Toc407103304 \h </w:instrText>
      </w:r>
      <w:r w:rsidRPr="008762B1">
        <w:rPr>
          <w:b w:val="0"/>
          <w:noProof/>
          <w:sz w:val="18"/>
        </w:rPr>
      </w:r>
      <w:r w:rsidRPr="008762B1">
        <w:rPr>
          <w:b w:val="0"/>
          <w:noProof/>
          <w:sz w:val="18"/>
        </w:rPr>
        <w:fldChar w:fldCharType="separate"/>
      </w:r>
      <w:r w:rsidR="005608FF">
        <w:rPr>
          <w:b w:val="0"/>
          <w:noProof/>
          <w:sz w:val="18"/>
        </w:rPr>
        <w:t>1</w:t>
      </w:r>
      <w:r w:rsidRPr="008762B1">
        <w:rPr>
          <w:b w:val="0"/>
          <w:noProof/>
          <w:sz w:val="18"/>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1</w:t>
      </w:r>
      <w:r w:rsidRPr="008762B1">
        <w:rPr>
          <w:noProof/>
        </w:rPr>
        <w:tab/>
        <w:t>Name of determination</w:t>
      </w:r>
      <w:r w:rsidRPr="008762B1">
        <w:rPr>
          <w:noProof/>
        </w:rPr>
        <w:tab/>
      </w:r>
      <w:r w:rsidRPr="008762B1">
        <w:rPr>
          <w:noProof/>
        </w:rPr>
        <w:fldChar w:fldCharType="begin"/>
      </w:r>
      <w:r w:rsidRPr="008762B1">
        <w:rPr>
          <w:noProof/>
        </w:rPr>
        <w:instrText xml:space="preserve"> PAGEREF _Toc407103305 \h </w:instrText>
      </w:r>
      <w:r w:rsidRPr="008762B1">
        <w:rPr>
          <w:noProof/>
        </w:rPr>
      </w:r>
      <w:r w:rsidRPr="008762B1">
        <w:rPr>
          <w:noProof/>
        </w:rPr>
        <w:fldChar w:fldCharType="separate"/>
      </w:r>
      <w:r w:rsidR="005608FF">
        <w:rPr>
          <w:noProof/>
        </w:rPr>
        <w:t>1</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2</w:t>
      </w:r>
      <w:r w:rsidRPr="008762B1">
        <w:rPr>
          <w:noProof/>
        </w:rPr>
        <w:tab/>
        <w:t>Commencement</w:t>
      </w:r>
      <w:r w:rsidRPr="008762B1">
        <w:rPr>
          <w:noProof/>
        </w:rPr>
        <w:tab/>
      </w:r>
      <w:r w:rsidRPr="008762B1">
        <w:rPr>
          <w:noProof/>
        </w:rPr>
        <w:fldChar w:fldCharType="begin"/>
      </w:r>
      <w:r w:rsidRPr="008762B1">
        <w:rPr>
          <w:noProof/>
        </w:rPr>
        <w:instrText xml:space="preserve"> PAGEREF _Toc407103306 \h </w:instrText>
      </w:r>
      <w:r w:rsidRPr="008762B1">
        <w:rPr>
          <w:noProof/>
        </w:rPr>
      </w:r>
      <w:r w:rsidRPr="008762B1">
        <w:rPr>
          <w:noProof/>
        </w:rPr>
        <w:fldChar w:fldCharType="separate"/>
      </w:r>
      <w:r w:rsidR="005608FF">
        <w:rPr>
          <w:noProof/>
        </w:rPr>
        <w:t>1</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3</w:t>
      </w:r>
      <w:r w:rsidRPr="008762B1">
        <w:rPr>
          <w:noProof/>
        </w:rPr>
        <w:tab/>
        <w:t>Authority</w:t>
      </w:r>
      <w:r w:rsidRPr="008762B1">
        <w:rPr>
          <w:noProof/>
        </w:rPr>
        <w:tab/>
      </w:r>
      <w:r w:rsidRPr="008762B1">
        <w:rPr>
          <w:noProof/>
        </w:rPr>
        <w:fldChar w:fldCharType="begin"/>
      </w:r>
      <w:r w:rsidRPr="008762B1">
        <w:rPr>
          <w:noProof/>
        </w:rPr>
        <w:instrText xml:space="preserve"> PAGEREF _Toc407103307 \h </w:instrText>
      </w:r>
      <w:r w:rsidRPr="008762B1">
        <w:rPr>
          <w:noProof/>
        </w:rPr>
      </w:r>
      <w:r w:rsidRPr="008762B1">
        <w:rPr>
          <w:noProof/>
        </w:rPr>
        <w:fldChar w:fldCharType="separate"/>
      </w:r>
      <w:r w:rsidR="005608FF">
        <w:rPr>
          <w:noProof/>
        </w:rPr>
        <w:t>1</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4</w:t>
      </w:r>
      <w:r w:rsidRPr="008762B1">
        <w:rPr>
          <w:noProof/>
        </w:rPr>
        <w:tab/>
        <w:t>Duration</w:t>
      </w:r>
      <w:r w:rsidRPr="008762B1">
        <w:rPr>
          <w:noProof/>
        </w:rPr>
        <w:tab/>
      </w:r>
      <w:r w:rsidRPr="008762B1">
        <w:rPr>
          <w:noProof/>
        </w:rPr>
        <w:fldChar w:fldCharType="begin"/>
      </w:r>
      <w:r w:rsidRPr="008762B1">
        <w:rPr>
          <w:noProof/>
        </w:rPr>
        <w:instrText xml:space="preserve"> PAGEREF _Toc407103308 \h </w:instrText>
      </w:r>
      <w:r w:rsidRPr="008762B1">
        <w:rPr>
          <w:noProof/>
        </w:rPr>
      </w:r>
      <w:r w:rsidRPr="008762B1">
        <w:rPr>
          <w:noProof/>
        </w:rPr>
        <w:fldChar w:fldCharType="separate"/>
      </w:r>
      <w:r w:rsidR="005608FF">
        <w:rPr>
          <w:noProof/>
        </w:rPr>
        <w:t>1</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5</w:t>
      </w:r>
      <w:r w:rsidRPr="008762B1">
        <w:rPr>
          <w:noProof/>
        </w:rPr>
        <w:tab/>
        <w:t>Definitions</w:t>
      </w:r>
      <w:r w:rsidRPr="008762B1">
        <w:rPr>
          <w:noProof/>
        </w:rPr>
        <w:tab/>
      </w:r>
      <w:r w:rsidRPr="008762B1">
        <w:rPr>
          <w:noProof/>
        </w:rPr>
        <w:fldChar w:fldCharType="begin"/>
      </w:r>
      <w:r w:rsidRPr="008762B1">
        <w:rPr>
          <w:noProof/>
        </w:rPr>
        <w:instrText xml:space="preserve"> PAGEREF _Toc407103309 \h </w:instrText>
      </w:r>
      <w:r w:rsidRPr="008762B1">
        <w:rPr>
          <w:noProof/>
        </w:rPr>
      </w:r>
      <w:r w:rsidRPr="008762B1">
        <w:rPr>
          <w:noProof/>
        </w:rPr>
        <w:fldChar w:fldCharType="separate"/>
      </w:r>
      <w:r w:rsidR="005608FF">
        <w:rPr>
          <w:noProof/>
        </w:rPr>
        <w:t>1</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6</w:t>
      </w:r>
      <w:r w:rsidRPr="008762B1">
        <w:rPr>
          <w:noProof/>
        </w:rPr>
        <w:tab/>
        <w:t xml:space="preserve">Meaning of </w:t>
      </w:r>
      <w:r w:rsidRPr="008762B1">
        <w:rPr>
          <w:i/>
          <w:noProof/>
        </w:rPr>
        <w:t>eligible CFI waste</w:t>
      </w:r>
      <w:r w:rsidRPr="008762B1">
        <w:rPr>
          <w:noProof/>
        </w:rPr>
        <w:tab/>
      </w:r>
      <w:r w:rsidRPr="008762B1">
        <w:rPr>
          <w:noProof/>
        </w:rPr>
        <w:fldChar w:fldCharType="begin"/>
      </w:r>
      <w:r w:rsidRPr="008762B1">
        <w:rPr>
          <w:noProof/>
        </w:rPr>
        <w:instrText xml:space="preserve"> PAGEREF _Toc407103310 \h </w:instrText>
      </w:r>
      <w:r w:rsidRPr="008762B1">
        <w:rPr>
          <w:noProof/>
        </w:rPr>
      </w:r>
      <w:r w:rsidRPr="008762B1">
        <w:rPr>
          <w:noProof/>
        </w:rPr>
        <w:fldChar w:fldCharType="separate"/>
      </w:r>
      <w:r w:rsidR="005608FF">
        <w:rPr>
          <w:noProof/>
        </w:rPr>
        <w:t>6</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7</w:t>
      </w:r>
      <w:r w:rsidRPr="008762B1">
        <w:rPr>
          <w:noProof/>
        </w:rPr>
        <w:tab/>
        <w:t xml:space="preserve">Meaning of </w:t>
      </w:r>
      <w:r w:rsidRPr="008762B1">
        <w:rPr>
          <w:i/>
          <w:noProof/>
        </w:rPr>
        <w:t>separated at the point of generation</w:t>
      </w:r>
      <w:r w:rsidRPr="008762B1">
        <w:rPr>
          <w:noProof/>
        </w:rPr>
        <w:tab/>
      </w:r>
      <w:r w:rsidRPr="008762B1">
        <w:rPr>
          <w:noProof/>
        </w:rPr>
        <w:fldChar w:fldCharType="begin"/>
      </w:r>
      <w:r w:rsidRPr="008762B1">
        <w:rPr>
          <w:noProof/>
        </w:rPr>
        <w:instrText xml:space="preserve"> PAGEREF _Toc407103311 \h </w:instrText>
      </w:r>
      <w:r w:rsidRPr="008762B1">
        <w:rPr>
          <w:noProof/>
        </w:rPr>
      </w:r>
      <w:r w:rsidRPr="008762B1">
        <w:rPr>
          <w:noProof/>
        </w:rPr>
        <w:fldChar w:fldCharType="separate"/>
      </w:r>
      <w:r w:rsidR="005608FF">
        <w:rPr>
          <w:noProof/>
        </w:rPr>
        <w:t>6</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8</w:t>
      </w:r>
      <w:r w:rsidRPr="008762B1">
        <w:rPr>
          <w:noProof/>
        </w:rPr>
        <w:tab/>
        <w:t>References to factors and parameters from external sources</w:t>
      </w:r>
      <w:r w:rsidRPr="008762B1">
        <w:rPr>
          <w:noProof/>
        </w:rPr>
        <w:tab/>
      </w:r>
      <w:r w:rsidRPr="008762B1">
        <w:rPr>
          <w:noProof/>
        </w:rPr>
        <w:fldChar w:fldCharType="begin"/>
      </w:r>
      <w:r w:rsidRPr="008762B1">
        <w:rPr>
          <w:noProof/>
        </w:rPr>
        <w:instrText xml:space="preserve"> PAGEREF _Toc407103312 \h </w:instrText>
      </w:r>
      <w:r w:rsidRPr="008762B1">
        <w:rPr>
          <w:noProof/>
        </w:rPr>
      </w:r>
      <w:r w:rsidRPr="008762B1">
        <w:rPr>
          <w:noProof/>
        </w:rPr>
        <w:fldChar w:fldCharType="separate"/>
      </w:r>
      <w:r w:rsidR="005608FF">
        <w:rPr>
          <w:noProof/>
        </w:rPr>
        <w:t>6</w:t>
      </w:r>
      <w:r w:rsidRPr="008762B1">
        <w:rPr>
          <w:noProof/>
        </w:rPr>
        <w:fldChar w:fldCharType="end"/>
      </w:r>
    </w:p>
    <w:p w:rsidR="00C569C8" w:rsidRPr="008762B1" w:rsidRDefault="00C569C8">
      <w:pPr>
        <w:pStyle w:val="TOC2"/>
        <w:rPr>
          <w:rFonts w:asciiTheme="minorHAnsi" w:eastAsiaTheme="minorEastAsia" w:hAnsiTheme="minorHAnsi" w:cstheme="minorBidi"/>
          <w:b w:val="0"/>
          <w:noProof/>
          <w:kern w:val="0"/>
          <w:sz w:val="22"/>
          <w:szCs w:val="22"/>
        </w:rPr>
      </w:pPr>
      <w:r w:rsidRPr="008762B1">
        <w:rPr>
          <w:noProof/>
        </w:rPr>
        <w:t>Part</w:t>
      </w:r>
      <w:r w:rsidR="008762B1" w:rsidRPr="008762B1">
        <w:rPr>
          <w:noProof/>
        </w:rPr>
        <w:t> </w:t>
      </w:r>
      <w:r w:rsidRPr="008762B1">
        <w:rPr>
          <w:noProof/>
        </w:rPr>
        <w:t>2—Alternative waste treatment projects</w:t>
      </w:r>
      <w:r w:rsidRPr="008762B1">
        <w:rPr>
          <w:b w:val="0"/>
          <w:noProof/>
          <w:sz w:val="18"/>
        </w:rPr>
        <w:tab/>
      </w:r>
      <w:r w:rsidRPr="008762B1">
        <w:rPr>
          <w:b w:val="0"/>
          <w:noProof/>
          <w:sz w:val="18"/>
        </w:rPr>
        <w:fldChar w:fldCharType="begin"/>
      </w:r>
      <w:r w:rsidRPr="008762B1">
        <w:rPr>
          <w:b w:val="0"/>
          <w:noProof/>
          <w:sz w:val="18"/>
        </w:rPr>
        <w:instrText xml:space="preserve"> PAGEREF _Toc407103313 \h </w:instrText>
      </w:r>
      <w:r w:rsidRPr="008762B1">
        <w:rPr>
          <w:b w:val="0"/>
          <w:noProof/>
          <w:sz w:val="18"/>
        </w:rPr>
      </w:r>
      <w:r w:rsidRPr="008762B1">
        <w:rPr>
          <w:b w:val="0"/>
          <w:noProof/>
          <w:sz w:val="18"/>
        </w:rPr>
        <w:fldChar w:fldCharType="separate"/>
      </w:r>
      <w:r w:rsidR="005608FF">
        <w:rPr>
          <w:b w:val="0"/>
          <w:noProof/>
          <w:sz w:val="18"/>
        </w:rPr>
        <w:t>7</w:t>
      </w:r>
      <w:r w:rsidRPr="008762B1">
        <w:rPr>
          <w:b w:val="0"/>
          <w:noProof/>
          <w:sz w:val="18"/>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9</w:t>
      </w:r>
      <w:r w:rsidRPr="008762B1">
        <w:rPr>
          <w:noProof/>
        </w:rPr>
        <w:tab/>
        <w:t>Alternative waste treatment projects</w:t>
      </w:r>
      <w:r w:rsidRPr="008762B1">
        <w:rPr>
          <w:noProof/>
        </w:rPr>
        <w:tab/>
      </w:r>
      <w:r w:rsidRPr="008762B1">
        <w:rPr>
          <w:noProof/>
        </w:rPr>
        <w:fldChar w:fldCharType="begin"/>
      </w:r>
      <w:r w:rsidRPr="008762B1">
        <w:rPr>
          <w:noProof/>
        </w:rPr>
        <w:instrText xml:space="preserve"> PAGEREF _Toc407103314 \h </w:instrText>
      </w:r>
      <w:r w:rsidRPr="008762B1">
        <w:rPr>
          <w:noProof/>
        </w:rPr>
      </w:r>
      <w:r w:rsidRPr="008762B1">
        <w:rPr>
          <w:noProof/>
        </w:rPr>
        <w:fldChar w:fldCharType="separate"/>
      </w:r>
      <w:r w:rsidR="005608FF">
        <w:rPr>
          <w:noProof/>
        </w:rPr>
        <w:t>7</w:t>
      </w:r>
      <w:r w:rsidRPr="008762B1">
        <w:rPr>
          <w:noProof/>
        </w:rPr>
        <w:fldChar w:fldCharType="end"/>
      </w:r>
    </w:p>
    <w:p w:rsidR="00C569C8" w:rsidRPr="008762B1" w:rsidRDefault="00C569C8">
      <w:pPr>
        <w:pStyle w:val="TOC2"/>
        <w:rPr>
          <w:rFonts w:asciiTheme="minorHAnsi" w:eastAsiaTheme="minorEastAsia" w:hAnsiTheme="minorHAnsi" w:cstheme="minorBidi"/>
          <w:b w:val="0"/>
          <w:noProof/>
          <w:kern w:val="0"/>
          <w:sz w:val="22"/>
          <w:szCs w:val="22"/>
        </w:rPr>
      </w:pPr>
      <w:r w:rsidRPr="008762B1">
        <w:rPr>
          <w:noProof/>
        </w:rPr>
        <w:t>Part</w:t>
      </w:r>
      <w:r w:rsidR="008762B1" w:rsidRPr="008762B1">
        <w:rPr>
          <w:noProof/>
        </w:rPr>
        <w:t> </w:t>
      </w:r>
      <w:r w:rsidRPr="008762B1">
        <w:rPr>
          <w:noProof/>
        </w:rPr>
        <w:t>3—Project requirements</w:t>
      </w:r>
      <w:r w:rsidRPr="008762B1">
        <w:rPr>
          <w:b w:val="0"/>
          <w:noProof/>
          <w:sz w:val="18"/>
        </w:rPr>
        <w:tab/>
      </w:r>
      <w:r w:rsidRPr="008762B1">
        <w:rPr>
          <w:b w:val="0"/>
          <w:noProof/>
          <w:sz w:val="18"/>
        </w:rPr>
        <w:fldChar w:fldCharType="begin"/>
      </w:r>
      <w:r w:rsidRPr="008762B1">
        <w:rPr>
          <w:b w:val="0"/>
          <w:noProof/>
          <w:sz w:val="18"/>
        </w:rPr>
        <w:instrText xml:space="preserve"> PAGEREF _Toc407103315 \h </w:instrText>
      </w:r>
      <w:r w:rsidRPr="008762B1">
        <w:rPr>
          <w:b w:val="0"/>
          <w:noProof/>
          <w:sz w:val="18"/>
        </w:rPr>
      </w:r>
      <w:r w:rsidRPr="008762B1">
        <w:rPr>
          <w:b w:val="0"/>
          <w:noProof/>
          <w:sz w:val="18"/>
        </w:rPr>
        <w:fldChar w:fldCharType="separate"/>
      </w:r>
      <w:r w:rsidR="005608FF">
        <w:rPr>
          <w:b w:val="0"/>
          <w:noProof/>
          <w:sz w:val="18"/>
        </w:rPr>
        <w:t>8</w:t>
      </w:r>
      <w:r w:rsidRPr="008762B1">
        <w:rPr>
          <w:b w:val="0"/>
          <w:noProof/>
          <w:sz w:val="18"/>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10</w:t>
      </w:r>
      <w:r w:rsidRPr="008762B1">
        <w:rPr>
          <w:noProof/>
        </w:rPr>
        <w:tab/>
        <w:t>Operation of this Part</w:t>
      </w:r>
      <w:r w:rsidRPr="008762B1">
        <w:rPr>
          <w:noProof/>
        </w:rPr>
        <w:tab/>
      </w:r>
      <w:r w:rsidRPr="008762B1">
        <w:rPr>
          <w:noProof/>
        </w:rPr>
        <w:fldChar w:fldCharType="begin"/>
      </w:r>
      <w:r w:rsidRPr="008762B1">
        <w:rPr>
          <w:noProof/>
        </w:rPr>
        <w:instrText xml:space="preserve"> PAGEREF _Toc407103316 \h </w:instrText>
      </w:r>
      <w:r w:rsidRPr="008762B1">
        <w:rPr>
          <w:noProof/>
        </w:rPr>
      </w:r>
      <w:r w:rsidRPr="008762B1">
        <w:rPr>
          <w:noProof/>
        </w:rPr>
        <w:fldChar w:fldCharType="separate"/>
      </w:r>
      <w:r w:rsidR="005608FF">
        <w:rPr>
          <w:noProof/>
        </w:rPr>
        <w:t>8</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11</w:t>
      </w:r>
      <w:r w:rsidRPr="008762B1">
        <w:rPr>
          <w:noProof/>
        </w:rPr>
        <w:tab/>
        <w:t>Requirements for a new project</w:t>
      </w:r>
      <w:r w:rsidRPr="008762B1">
        <w:rPr>
          <w:noProof/>
        </w:rPr>
        <w:tab/>
      </w:r>
      <w:r w:rsidRPr="008762B1">
        <w:rPr>
          <w:noProof/>
        </w:rPr>
        <w:fldChar w:fldCharType="begin"/>
      </w:r>
      <w:r w:rsidRPr="008762B1">
        <w:rPr>
          <w:noProof/>
        </w:rPr>
        <w:instrText xml:space="preserve"> PAGEREF _Toc407103317 \h </w:instrText>
      </w:r>
      <w:r w:rsidRPr="008762B1">
        <w:rPr>
          <w:noProof/>
        </w:rPr>
      </w:r>
      <w:r w:rsidRPr="008762B1">
        <w:rPr>
          <w:noProof/>
        </w:rPr>
        <w:fldChar w:fldCharType="separate"/>
      </w:r>
      <w:r w:rsidR="005608FF">
        <w:rPr>
          <w:noProof/>
        </w:rPr>
        <w:t>8</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12</w:t>
      </w:r>
      <w:r w:rsidRPr="008762B1">
        <w:rPr>
          <w:noProof/>
        </w:rPr>
        <w:tab/>
        <w:t>Requirements for an expansion project</w:t>
      </w:r>
      <w:r w:rsidRPr="008762B1">
        <w:rPr>
          <w:noProof/>
        </w:rPr>
        <w:tab/>
      </w:r>
      <w:r w:rsidRPr="008762B1">
        <w:rPr>
          <w:noProof/>
        </w:rPr>
        <w:fldChar w:fldCharType="begin"/>
      </w:r>
      <w:r w:rsidRPr="008762B1">
        <w:rPr>
          <w:noProof/>
        </w:rPr>
        <w:instrText xml:space="preserve"> PAGEREF _Toc407103318 \h </w:instrText>
      </w:r>
      <w:r w:rsidRPr="008762B1">
        <w:rPr>
          <w:noProof/>
        </w:rPr>
      </w:r>
      <w:r w:rsidRPr="008762B1">
        <w:rPr>
          <w:noProof/>
        </w:rPr>
        <w:fldChar w:fldCharType="separate"/>
      </w:r>
      <w:r w:rsidR="005608FF">
        <w:rPr>
          <w:noProof/>
        </w:rPr>
        <w:t>8</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13</w:t>
      </w:r>
      <w:r w:rsidRPr="008762B1">
        <w:rPr>
          <w:noProof/>
        </w:rPr>
        <w:tab/>
        <w:t>Requirements for a transitioning project</w:t>
      </w:r>
      <w:r w:rsidRPr="008762B1">
        <w:rPr>
          <w:noProof/>
        </w:rPr>
        <w:tab/>
      </w:r>
      <w:r w:rsidRPr="008762B1">
        <w:rPr>
          <w:noProof/>
        </w:rPr>
        <w:fldChar w:fldCharType="begin"/>
      </w:r>
      <w:r w:rsidRPr="008762B1">
        <w:rPr>
          <w:noProof/>
        </w:rPr>
        <w:instrText xml:space="preserve"> PAGEREF _Toc407103319 \h </w:instrText>
      </w:r>
      <w:r w:rsidRPr="008762B1">
        <w:rPr>
          <w:noProof/>
        </w:rPr>
      </w:r>
      <w:r w:rsidRPr="008762B1">
        <w:rPr>
          <w:noProof/>
        </w:rPr>
        <w:fldChar w:fldCharType="separate"/>
      </w:r>
      <w:r w:rsidR="005608FF">
        <w:rPr>
          <w:noProof/>
        </w:rPr>
        <w:t>8</w:t>
      </w:r>
      <w:r w:rsidRPr="008762B1">
        <w:rPr>
          <w:noProof/>
        </w:rPr>
        <w:fldChar w:fldCharType="end"/>
      </w:r>
    </w:p>
    <w:p w:rsidR="00C569C8" w:rsidRPr="008762B1" w:rsidRDefault="00C569C8">
      <w:pPr>
        <w:pStyle w:val="TOC2"/>
        <w:rPr>
          <w:rFonts w:asciiTheme="minorHAnsi" w:eastAsiaTheme="minorEastAsia" w:hAnsiTheme="minorHAnsi" w:cstheme="minorBidi"/>
          <w:b w:val="0"/>
          <w:noProof/>
          <w:kern w:val="0"/>
          <w:sz w:val="22"/>
          <w:szCs w:val="22"/>
        </w:rPr>
      </w:pPr>
      <w:r w:rsidRPr="008762B1">
        <w:rPr>
          <w:noProof/>
        </w:rPr>
        <w:t>Part</w:t>
      </w:r>
      <w:r w:rsidR="008762B1" w:rsidRPr="008762B1">
        <w:rPr>
          <w:noProof/>
        </w:rPr>
        <w:t> </w:t>
      </w:r>
      <w:r w:rsidRPr="008762B1">
        <w:rPr>
          <w:noProof/>
        </w:rPr>
        <w:t>4—Net abatement amount</w:t>
      </w:r>
      <w:r w:rsidRPr="008762B1">
        <w:rPr>
          <w:b w:val="0"/>
          <w:noProof/>
          <w:sz w:val="18"/>
        </w:rPr>
        <w:tab/>
      </w:r>
      <w:r w:rsidRPr="008762B1">
        <w:rPr>
          <w:b w:val="0"/>
          <w:noProof/>
          <w:sz w:val="18"/>
        </w:rPr>
        <w:fldChar w:fldCharType="begin"/>
      </w:r>
      <w:r w:rsidRPr="008762B1">
        <w:rPr>
          <w:b w:val="0"/>
          <w:noProof/>
          <w:sz w:val="18"/>
        </w:rPr>
        <w:instrText xml:space="preserve"> PAGEREF _Toc407103320 \h </w:instrText>
      </w:r>
      <w:r w:rsidRPr="008762B1">
        <w:rPr>
          <w:b w:val="0"/>
          <w:noProof/>
          <w:sz w:val="18"/>
        </w:rPr>
      </w:r>
      <w:r w:rsidRPr="008762B1">
        <w:rPr>
          <w:b w:val="0"/>
          <w:noProof/>
          <w:sz w:val="18"/>
        </w:rPr>
        <w:fldChar w:fldCharType="separate"/>
      </w:r>
      <w:r w:rsidR="005608FF">
        <w:rPr>
          <w:b w:val="0"/>
          <w:noProof/>
          <w:sz w:val="18"/>
        </w:rPr>
        <w:t>9</w:t>
      </w:r>
      <w:r w:rsidRPr="008762B1">
        <w:rPr>
          <w:b w:val="0"/>
          <w:noProof/>
          <w:sz w:val="18"/>
        </w:rPr>
        <w:fldChar w:fldCharType="end"/>
      </w:r>
    </w:p>
    <w:p w:rsidR="00C569C8" w:rsidRPr="008762B1" w:rsidRDefault="00C569C8">
      <w:pPr>
        <w:pStyle w:val="TOC3"/>
        <w:rPr>
          <w:rFonts w:asciiTheme="minorHAnsi" w:eastAsiaTheme="minorEastAsia" w:hAnsiTheme="minorHAnsi" w:cstheme="minorBidi"/>
          <w:b w:val="0"/>
          <w:noProof/>
          <w:kern w:val="0"/>
          <w:szCs w:val="22"/>
        </w:rPr>
      </w:pPr>
      <w:r w:rsidRPr="008762B1">
        <w:rPr>
          <w:noProof/>
        </w:rPr>
        <w:t>Division</w:t>
      </w:r>
      <w:r w:rsidR="008762B1" w:rsidRPr="008762B1">
        <w:rPr>
          <w:noProof/>
        </w:rPr>
        <w:t> </w:t>
      </w:r>
      <w:r w:rsidRPr="008762B1">
        <w:rPr>
          <w:noProof/>
        </w:rPr>
        <w:t>1—Preliminary</w:t>
      </w:r>
      <w:r w:rsidRPr="008762B1">
        <w:rPr>
          <w:b w:val="0"/>
          <w:noProof/>
          <w:sz w:val="18"/>
        </w:rPr>
        <w:tab/>
      </w:r>
      <w:r w:rsidRPr="008762B1">
        <w:rPr>
          <w:b w:val="0"/>
          <w:noProof/>
          <w:sz w:val="18"/>
        </w:rPr>
        <w:fldChar w:fldCharType="begin"/>
      </w:r>
      <w:r w:rsidRPr="008762B1">
        <w:rPr>
          <w:b w:val="0"/>
          <w:noProof/>
          <w:sz w:val="18"/>
        </w:rPr>
        <w:instrText xml:space="preserve"> PAGEREF _Toc407103321 \h </w:instrText>
      </w:r>
      <w:r w:rsidRPr="008762B1">
        <w:rPr>
          <w:b w:val="0"/>
          <w:noProof/>
          <w:sz w:val="18"/>
        </w:rPr>
      </w:r>
      <w:r w:rsidRPr="008762B1">
        <w:rPr>
          <w:b w:val="0"/>
          <w:noProof/>
          <w:sz w:val="18"/>
        </w:rPr>
        <w:fldChar w:fldCharType="separate"/>
      </w:r>
      <w:r w:rsidR="005608FF">
        <w:rPr>
          <w:b w:val="0"/>
          <w:noProof/>
          <w:sz w:val="18"/>
        </w:rPr>
        <w:t>9</w:t>
      </w:r>
      <w:r w:rsidRPr="008762B1">
        <w:rPr>
          <w:b w:val="0"/>
          <w:noProof/>
          <w:sz w:val="18"/>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14</w:t>
      </w:r>
      <w:r w:rsidRPr="008762B1">
        <w:rPr>
          <w:noProof/>
        </w:rPr>
        <w:tab/>
        <w:t>Operation of this Part</w:t>
      </w:r>
      <w:r w:rsidRPr="008762B1">
        <w:rPr>
          <w:noProof/>
        </w:rPr>
        <w:tab/>
      </w:r>
      <w:r w:rsidRPr="008762B1">
        <w:rPr>
          <w:noProof/>
        </w:rPr>
        <w:fldChar w:fldCharType="begin"/>
      </w:r>
      <w:r w:rsidRPr="008762B1">
        <w:rPr>
          <w:noProof/>
        </w:rPr>
        <w:instrText xml:space="preserve"> PAGEREF _Toc407103322 \h </w:instrText>
      </w:r>
      <w:r w:rsidRPr="008762B1">
        <w:rPr>
          <w:noProof/>
        </w:rPr>
      </w:r>
      <w:r w:rsidRPr="008762B1">
        <w:rPr>
          <w:noProof/>
        </w:rPr>
        <w:fldChar w:fldCharType="separate"/>
      </w:r>
      <w:r w:rsidR="005608FF">
        <w:rPr>
          <w:noProof/>
        </w:rPr>
        <w:t>9</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15</w:t>
      </w:r>
      <w:r w:rsidRPr="008762B1">
        <w:rPr>
          <w:noProof/>
        </w:rPr>
        <w:tab/>
        <w:t>Overview of gases accounted for in abatement calculations</w:t>
      </w:r>
      <w:r w:rsidRPr="008762B1">
        <w:rPr>
          <w:noProof/>
        </w:rPr>
        <w:tab/>
      </w:r>
      <w:r w:rsidRPr="008762B1">
        <w:rPr>
          <w:noProof/>
        </w:rPr>
        <w:fldChar w:fldCharType="begin"/>
      </w:r>
      <w:r w:rsidRPr="008762B1">
        <w:rPr>
          <w:noProof/>
        </w:rPr>
        <w:instrText xml:space="preserve"> PAGEREF _Toc407103323 \h </w:instrText>
      </w:r>
      <w:r w:rsidRPr="008762B1">
        <w:rPr>
          <w:noProof/>
        </w:rPr>
      </w:r>
      <w:r w:rsidRPr="008762B1">
        <w:rPr>
          <w:noProof/>
        </w:rPr>
        <w:fldChar w:fldCharType="separate"/>
      </w:r>
      <w:r w:rsidR="005608FF">
        <w:rPr>
          <w:noProof/>
        </w:rPr>
        <w:t>9</w:t>
      </w:r>
      <w:r w:rsidRPr="008762B1">
        <w:rPr>
          <w:noProof/>
        </w:rPr>
        <w:fldChar w:fldCharType="end"/>
      </w:r>
    </w:p>
    <w:p w:rsidR="00C569C8" w:rsidRPr="008762B1" w:rsidRDefault="00C569C8">
      <w:pPr>
        <w:pStyle w:val="TOC3"/>
        <w:rPr>
          <w:rFonts w:asciiTheme="minorHAnsi" w:eastAsiaTheme="minorEastAsia" w:hAnsiTheme="minorHAnsi" w:cstheme="minorBidi"/>
          <w:b w:val="0"/>
          <w:noProof/>
          <w:kern w:val="0"/>
          <w:szCs w:val="22"/>
        </w:rPr>
      </w:pPr>
      <w:r w:rsidRPr="008762B1">
        <w:rPr>
          <w:noProof/>
        </w:rPr>
        <w:t>Division</w:t>
      </w:r>
      <w:r w:rsidR="008762B1" w:rsidRPr="008762B1">
        <w:rPr>
          <w:noProof/>
        </w:rPr>
        <w:t> </w:t>
      </w:r>
      <w:r w:rsidRPr="008762B1">
        <w:rPr>
          <w:noProof/>
        </w:rPr>
        <w:t>2—Method for calculating net abatement amount</w:t>
      </w:r>
      <w:r w:rsidRPr="008762B1">
        <w:rPr>
          <w:b w:val="0"/>
          <w:noProof/>
          <w:sz w:val="18"/>
        </w:rPr>
        <w:tab/>
      </w:r>
      <w:r w:rsidRPr="008762B1">
        <w:rPr>
          <w:b w:val="0"/>
          <w:noProof/>
          <w:sz w:val="18"/>
        </w:rPr>
        <w:fldChar w:fldCharType="begin"/>
      </w:r>
      <w:r w:rsidRPr="008762B1">
        <w:rPr>
          <w:b w:val="0"/>
          <w:noProof/>
          <w:sz w:val="18"/>
        </w:rPr>
        <w:instrText xml:space="preserve"> PAGEREF _Toc407103324 \h </w:instrText>
      </w:r>
      <w:r w:rsidRPr="008762B1">
        <w:rPr>
          <w:b w:val="0"/>
          <w:noProof/>
          <w:sz w:val="18"/>
        </w:rPr>
      </w:r>
      <w:r w:rsidRPr="008762B1">
        <w:rPr>
          <w:b w:val="0"/>
          <w:noProof/>
          <w:sz w:val="18"/>
        </w:rPr>
        <w:fldChar w:fldCharType="separate"/>
      </w:r>
      <w:r w:rsidR="005608FF">
        <w:rPr>
          <w:b w:val="0"/>
          <w:noProof/>
          <w:sz w:val="18"/>
        </w:rPr>
        <w:t>10</w:t>
      </w:r>
      <w:r w:rsidRPr="008762B1">
        <w:rPr>
          <w:b w:val="0"/>
          <w:noProof/>
          <w:sz w:val="18"/>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16</w:t>
      </w:r>
      <w:r w:rsidRPr="008762B1">
        <w:rPr>
          <w:noProof/>
        </w:rPr>
        <w:tab/>
        <w:t>Summary</w:t>
      </w:r>
      <w:r w:rsidRPr="008762B1">
        <w:rPr>
          <w:noProof/>
        </w:rPr>
        <w:tab/>
      </w:r>
      <w:r w:rsidRPr="008762B1">
        <w:rPr>
          <w:noProof/>
        </w:rPr>
        <w:fldChar w:fldCharType="begin"/>
      </w:r>
      <w:r w:rsidRPr="008762B1">
        <w:rPr>
          <w:noProof/>
        </w:rPr>
        <w:instrText xml:space="preserve"> PAGEREF _Toc407103325 \h </w:instrText>
      </w:r>
      <w:r w:rsidRPr="008762B1">
        <w:rPr>
          <w:noProof/>
        </w:rPr>
      </w:r>
      <w:r w:rsidRPr="008762B1">
        <w:rPr>
          <w:noProof/>
        </w:rPr>
        <w:fldChar w:fldCharType="separate"/>
      </w:r>
      <w:r w:rsidR="005608FF">
        <w:rPr>
          <w:noProof/>
        </w:rPr>
        <w:t>10</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17</w:t>
      </w:r>
      <w:r w:rsidRPr="008762B1">
        <w:rPr>
          <w:noProof/>
        </w:rPr>
        <w:tab/>
        <w:t>Net abatement amount</w:t>
      </w:r>
      <w:r w:rsidRPr="008762B1">
        <w:rPr>
          <w:noProof/>
        </w:rPr>
        <w:tab/>
      </w:r>
      <w:r w:rsidRPr="008762B1">
        <w:rPr>
          <w:noProof/>
        </w:rPr>
        <w:fldChar w:fldCharType="begin"/>
      </w:r>
      <w:r w:rsidRPr="008762B1">
        <w:rPr>
          <w:noProof/>
        </w:rPr>
        <w:instrText xml:space="preserve"> PAGEREF _Toc407103326 \h </w:instrText>
      </w:r>
      <w:r w:rsidRPr="008762B1">
        <w:rPr>
          <w:noProof/>
        </w:rPr>
      </w:r>
      <w:r w:rsidRPr="008762B1">
        <w:rPr>
          <w:noProof/>
        </w:rPr>
        <w:fldChar w:fldCharType="separate"/>
      </w:r>
      <w:r w:rsidR="005608FF">
        <w:rPr>
          <w:noProof/>
        </w:rPr>
        <w:t>10</w:t>
      </w:r>
      <w:r w:rsidRPr="008762B1">
        <w:rPr>
          <w:noProof/>
        </w:rPr>
        <w:fldChar w:fldCharType="end"/>
      </w:r>
    </w:p>
    <w:p w:rsidR="00C569C8" w:rsidRPr="008762B1" w:rsidRDefault="00C569C8">
      <w:pPr>
        <w:pStyle w:val="TOC3"/>
        <w:rPr>
          <w:rFonts w:asciiTheme="minorHAnsi" w:eastAsiaTheme="minorEastAsia" w:hAnsiTheme="minorHAnsi" w:cstheme="minorBidi"/>
          <w:b w:val="0"/>
          <w:noProof/>
          <w:kern w:val="0"/>
          <w:szCs w:val="22"/>
        </w:rPr>
      </w:pPr>
      <w:r w:rsidRPr="008762B1">
        <w:rPr>
          <w:noProof/>
        </w:rPr>
        <w:t>Division</w:t>
      </w:r>
      <w:r w:rsidR="008762B1" w:rsidRPr="008762B1">
        <w:rPr>
          <w:noProof/>
        </w:rPr>
        <w:t> </w:t>
      </w:r>
      <w:r w:rsidRPr="008762B1">
        <w:rPr>
          <w:noProof/>
        </w:rPr>
        <w:t>3—Method for calculating activity abatement portions</w:t>
      </w:r>
      <w:r w:rsidRPr="008762B1">
        <w:rPr>
          <w:b w:val="0"/>
          <w:noProof/>
          <w:sz w:val="18"/>
        </w:rPr>
        <w:tab/>
      </w:r>
      <w:r w:rsidRPr="008762B1">
        <w:rPr>
          <w:b w:val="0"/>
          <w:noProof/>
          <w:sz w:val="18"/>
        </w:rPr>
        <w:fldChar w:fldCharType="begin"/>
      </w:r>
      <w:r w:rsidRPr="008762B1">
        <w:rPr>
          <w:b w:val="0"/>
          <w:noProof/>
          <w:sz w:val="18"/>
        </w:rPr>
        <w:instrText xml:space="preserve"> PAGEREF _Toc407103327 \h </w:instrText>
      </w:r>
      <w:r w:rsidRPr="008762B1">
        <w:rPr>
          <w:b w:val="0"/>
          <w:noProof/>
          <w:sz w:val="18"/>
        </w:rPr>
      </w:r>
      <w:r w:rsidRPr="008762B1">
        <w:rPr>
          <w:b w:val="0"/>
          <w:noProof/>
          <w:sz w:val="18"/>
        </w:rPr>
        <w:fldChar w:fldCharType="separate"/>
      </w:r>
      <w:r w:rsidR="005608FF">
        <w:rPr>
          <w:b w:val="0"/>
          <w:noProof/>
          <w:sz w:val="18"/>
        </w:rPr>
        <w:t>11</w:t>
      </w:r>
      <w:r w:rsidRPr="008762B1">
        <w:rPr>
          <w:b w:val="0"/>
          <w:noProof/>
          <w:sz w:val="18"/>
        </w:rPr>
        <w:fldChar w:fldCharType="end"/>
      </w:r>
    </w:p>
    <w:p w:rsidR="00C569C8" w:rsidRPr="008762B1" w:rsidRDefault="00C569C8">
      <w:pPr>
        <w:pStyle w:val="TOC4"/>
        <w:rPr>
          <w:rFonts w:asciiTheme="minorHAnsi" w:eastAsiaTheme="minorEastAsia" w:hAnsiTheme="minorHAnsi" w:cstheme="minorBidi"/>
          <w:b w:val="0"/>
          <w:noProof/>
          <w:kern w:val="0"/>
          <w:sz w:val="22"/>
          <w:szCs w:val="22"/>
        </w:rPr>
      </w:pPr>
      <w:r w:rsidRPr="008762B1">
        <w:rPr>
          <w:noProof/>
        </w:rPr>
        <w:t>Subdivision A—Activity abatement portions</w:t>
      </w:r>
      <w:r w:rsidRPr="008762B1">
        <w:rPr>
          <w:b w:val="0"/>
          <w:noProof/>
          <w:sz w:val="18"/>
        </w:rPr>
        <w:tab/>
      </w:r>
      <w:r w:rsidRPr="008762B1">
        <w:rPr>
          <w:b w:val="0"/>
          <w:noProof/>
          <w:sz w:val="18"/>
        </w:rPr>
        <w:fldChar w:fldCharType="begin"/>
      </w:r>
      <w:r w:rsidRPr="008762B1">
        <w:rPr>
          <w:b w:val="0"/>
          <w:noProof/>
          <w:sz w:val="18"/>
        </w:rPr>
        <w:instrText xml:space="preserve"> PAGEREF _Toc407103328 \h </w:instrText>
      </w:r>
      <w:r w:rsidRPr="008762B1">
        <w:rPr>
          <w:b w:val="0"/>
          <w:noProof/>
          <w:sz w:val="18"/>
        </w:rPr>
      </w:r>
      <w:r w:rsidRPr="008762B1">
        <w:rPr>
          <w:b w:val="0"/>
          <w:noProof/>
          <w:sz w:val="18"/>
        </w:rPr>
        <w:fldChar w:fldCharType="separate"/>
      </w:r>
      <w:r w:rsidR="005608FF">
        <w:rPr>
          <w:b w:val="0"/>
          <w:noProof/>
          <w:sz w:val="18"/>
        </w:rPr>
        <w:t>11</w:t>
      </w:r>
      <w:r w:rsidRPr="008762B1">
        <w:rPr>
          <w:b w:val="0"/>
          <w:noProof/>
          <w:sz w:val="18"/>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18</w:t>
      </w:r>
      <w:r w:rsidRPr="008762B1">
        <w:rPr>
          <w:noProof/>
        </w:rPr>
        <w:tab/>
        <w:t>Summary</w:t>
      </w:r>
      <w:r w:rsidRPr="008762B1">
        <w:rPr>
          <w:noProof/>
        </w:rPr>
        <w:tab/>
      </w:r>
      <w:r w:rsidRPr="008762B1">
        <w:rPr>
          <w:noProof/>
        </w:rPr>
        <w:fldChar w:fldCharType="begin"/>
      </w:r>
      <w:r w:rsidRPr="008762B1">
        <w:rPr>
          <w:noProof/>
        </w:rPr>
        <w:instrText xml:space="preserve"> PAGEREF _Toc407103329 \h </w:instrText>
      </w:r>
      <w:r w:rsidRPr="008762B1">
        <w:rPr>
          <w:noProof/>
        </w:rPr>
      </w:r>
      <w:r w:rsidRPr="008762B1">
        <w:rPr>
          <w:noProof/>
        </w:rPr>
        <w:fldChar w:fldCharType="separate"/>
      </w:r>
      <w:r w:rsidR="005608FF">
        <w:rPr>
          <w:noProof/>
        </w:rPr>
        <w:t>11</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19</w:t>
      </w:r>
      <w:r w:rsidRPr="008762B1">
        <w:rPr>
          <w:noProof/>
        </w:rPr>
        <w:tab/>
        <w:t>Calculation and accrual of activity abatement portions</w:t>
      </w:r>
      <w:r w:rsidRPr="008762B1">
        <w:rPr>
          <w:noProof/>
        </w:rPr>
        <w:tab/>
      </w:r>
      <w:r w:rsidRPr="008762B1">
        <w:rPr>
          <w:noProof/>
        </w:rPr>
        <w:fldChar w:fldCharType="begin"/>
      </w:r>
      <w:r w:rsidRPr="008762B1">
        <w:rPr>
          <w:noProof/>
        </w:rPr>
        <w:instrText xml:space="preserve"> PAGEREF _Toc407103330 \h </w:instrText>
      </w:r>
      <w:r w:rsidRPr="008762B1">
        <w:rPr>
          <w:noProof/>
        </w:rPr>
      </w:r>
      <w:r w:rsidRPr="008762B1">
        <w:rPr>
          <w:noProof/>
        </w:rPr>
        <w:fldChar w:fldCharType="separate"/>
      </w:r>
      <w:r w:rsidR="005608FF">
        <w:rPr>
          <w:noProof/>
        </w:rPr>
        <w:t>11</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20</w:t>
      </w:r>
      <w:r w:rsidRPr="008762B1">
        <w:rPr>
          <w:noProof/>
        </w:rPr>
        <w:tab/>
        <w:t>Activity abatement portions for certain transitioning projects</w:t>
      </w:r>
      <w:r w:rsidRPr="008762B1">
        <w:rPr>
          <w:noProof/>
        </w:rPr>
        <w:tab/>
      </w:r>
      <w:r w:rsidRPr="008762B1">
        <w:rPr>
          <w:noProof/>
        </w:rPr>
        <w:fldChar w:fldCharType="begin"/>
      </w:r>
      <w:r w:rsidRPr="008762B1">
        <w:rPr>
          <w:noProof/>
        </w:rPr>
        <w:instrText xml:space="preserve"> PAGEREF _Toc407103331 \h </w:instrText>
      </w:r>
      <w:r w:rsidRPr="008762B1">
        <w:rPr>
          <w:noProof/>
        </w:rPr>
      </w:r>
      <w:r w:rsidRPr="008762B1">
        <w:rPr>
          <w:noProof/>
        </w:rPr>
        <w:fldChar w:fldCharType="separate"/>
      </w:r>
      <w:r w:rsidR="005608FF">
        <w:rPr>
          <w:noProof/>
        </w:rPr>
        <w:t>12</w:t>
      </w:r>
      <w:r w:rsidRPr="008762B1">
        <w:rPr>
          <w:noProof/>
        </w:rPr>
        <w:fldChar w:fldCharType="end"/>
      </w:r>
    </w:p>
    <w:p w:rsidR="00C569C8" w:rsidRPr="008762B1" w:rsidRDefault="00C569C8">
      <w:pPr>
        <w:pStyle w:val="TOC4"/>
        <w:rPr>
          <w:rFonts w:asciiTheme="minorHAnsi" w:eastAsiaTheme="minorEastAsia" w:hAnsiTheme="minorHAnsi" w:cstheme="minorBidi"/>
          <w:b w:val="0"/>
          <w:noProof/>
          <w:kern w:val="0"/>
          <w:sz w:val="22"/>
          <w:szCs w:val="22"/>
        </w:rPr>
      </w:pPr>
      <w:r w:rsidRPr="008762B1">
        <w:rPr>
          <w:noProof/>
        </w:rPr>
        <w:t>Subdivision B—Calculations relating to baseline emissions</w:t>
      </w:r>
      <w:r w:rsidRPr="008762B1">
        <w:rPr>
          <w:b w:val="0"/>
          <w:noProof/>
          <w:sz w:val="18"/>
        </w:rPr>
        <w:tab/>
      </w:r>
      <w:r w:rsidRPr="008762B1">
        <w:rPr>
          <w:b w:val="0"/>
          <w:noProof/>
          <w:sz w:val="18"/>
        </w:rPr>
        <w:fldChar w:fldCharType="begin"/>
      </w:r>
      <w:r w:rsidRPr="008762B1">
        <w:rPr>
          <w:b w:val="0"/>
          <w:noProof/>
          <w:sz w:val="18"/>
        </w:rPr>
        <w:instrText xml:space="preserve"> PAGEREF _Toc407103332 \h </w:instrText>
      </w:r>
      <w:r w:rsidRPr="008762B1">
        <w:rPr>
          <w:b w:val="0"/>
          <w:noProof/>
          <w:sz w:val="18"/>
        </w:rPr>
      </w:r>
      <w:r w:rsidRPr="008762B1">
        <w:rPr>
          <w:b w:val="0"/>
          <w:noProof/>
          <w:sz w:val="18"/>
        </w:rPr>
        <w:fldChar w:fldCharType="separate"/>
      </w:r>
      <w:r w:rsidR="005608FF">
        <w:rPr>
          <w:b w:val="0"/>
          <w:noProof/>
          <w:sz w:val="18"/>
        </w:rPr>
        <w:t>12</w:t>
      </w:r>
      <w:r w:rsidRPr="008762B1">
        <w:rPr>
          <w:b w:val="0"/>
          <w:noProof/>
          <w:sz w:val="18"/>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21</w:t>
      </w:r>
      <w:r w:rsidRPr="008762B1">
        <w:rPr>
          <w:noProof/>
        </w:rPr>
        <w:tab/>
        <w:t>Summary</w:t>
      </w:r>
      <w:r w:rsidRPr="008762B1">
        <w:rPr>
          <w:noProof/>
        </w:rPr>
        <w:tab/>
      </w:r>
      <w:r w:rsidRPr="008762B1">
        <w:rPr>
          <w:noProof/>
        </w:rPr>
        <w:fldChar w:fldCharType="begin"/>
      </w:r>
      <w:r w:rsidRPr="008762B1">
        <w:rPr>
          <w:noProof/>
        </w:rPr>
        <w:instrText xml:space="preserve"> PAGEREF _Toc407103333 \h </w:instrText>
      </w:r>
      <w:r w:rsidRPr="008762B1">
        <w:rPr>
          <w:noProof/>
        </w:rPr>
      </w:r>
      <w:r w:rsidRPr="008762B1">
        <w:rPr>
          <w:noProof/>
        </w:rPr>
        <w:fldChar w:fldCharType="separate"/>
      </w:r>
      <w:r w:rsidR="005608FF">
        <w:rPr>
          <w:noProof/>
        </w:rPr>
        <w:t>12</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22</w:t>
      </w:r>
      <w:r w:rsidRPr="008762B1">
        <w:rPr>
          <w:noProof/>
        </w:rPr>
        <w:tab/>
        <w:t>Baseline emissions</w:t>
      </w:r>
      <w:r w:rsidRPr="008762B1">
        <w:rPr>
          <w:noProof/>
        </w:rPr>
        <w:tab/>
      </w:r>
      <w:r w:rsidRPr="008762B1">
        <w:rPr>
          <w:noProof/>
        </w:rPr>
        <w:fldChar w:fldCharType="begin"/>
      </w:r>
      <w:r w:rsidRPr="008762B1">
        <w:rPr>
          <w:noProof/>
        </w:rPr>
        <w:instrText xml:space="preserve"> PAGEREF _Toc407103334 \h </w:instrText>
      </w:r>
      <w:r w:rsidRPr="008762B1">
        <w:rPr>
          <w:noProof/>
        </w:rPr>
      </w:r>
      <w:r w:rsidRPr="008762B1">
        <w:rPr>
          <w:noProof/>
        </w:rPr>
        <w:fldChar w:fldCharType="separate"/>
      </w:r>
      <w:r w:rsidR="005608FF">
        <w:rPr>
          <w:noProof/>
        </w:rPr>
        <w:t>12</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23</w:t>
      </w:r>
      <w:r w:rsidRPr="008762B1">
        <w:rPr>
          <w:noProof/>
        </w:rPr>
        <w:tab/>
        <w:t>Methane generation potential of degradable organic carbon content in eligible waste</w:t>
      </w:r>
      <w:r w:rsidRPr="008762B1">
        <w:rPr>
          <w:noProof/>
        </w:rPr>
        <w:tab/>
      </w:r>
      <w:r w:rsidRPr="008762B1">
        <w:rPr>
          <w:noProof/>
        </w:rPr>
        <w:fldChar w:fldCharType="begin"/>
      </w:r>
      <w:r w:rsidRPr="008762B1">
        <w:rPr>
          <w:noProof/>
        </w:rPr>
        <w:instrText xml:space="preserve"> PAGEREF _Toc407103335 \h </w:instrText>
      </w:r>
      <w:r w:rsidRPr="008762B1">
        <w:rPr>
          <w:noProof/>
        </w:rPr>
      </w:r>
      <w:r w:rsidRPr="008762B1">
        <w:rPr>
          <w:noProof/>
        </w:rPr>
        <w:fldChar w:fldCharType="separate"/>
      </w:r>
      <w:r w:rsidR="005608FF">
        <w:rPr>
          <w:noProof/>
        </w:rPr>
        <w:t>13</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24</w:t>
      </w:r>
      <w:r w:rsidRPr="008762B1">
        <w:rPr>
          <w:noProof/>
        </w:rPr>
        <w:tab/>
        <w:t>Quantity of a waste mix type in eligible waste</w:t>
      </w:r>
      <w:r w:rsidRPr="008762B1">
        <w:rPr>
          <w:noProof/>
        </w:rPr>
        <w:tab/>
      </w:r>
      <w:r w:rsidRPr="008762B1">
        <w:rPr>
          <w:noProof/>
        </w:rPr>
        <w:fldChar w:fldCharType="begin"/>
      </w:r>
      <w:r w:rsidRPr="008762B1">
        <w:rPr>
          <w:noProof/>
        </w:rPr>
        <w:instrText xml:space="preserve"> PAGEREF _Toc407103336 \h </w:instrText>
      </w:r>
      <w:r w:rsidRPr="008762B1">
        <w:rPr>
          <w:noProof/>
        </w:rPr>
      </w:r>
      <w:r w:rsidRPr="008762B1">
        <w:rPr>
          <w:noProof/>
        </w:rPr>
        <w:fldChar w:fldCharType="separate"/>
      </w:r>
      <w:r w:rsidR="005608FF">
        <w:rPr>
          <w:noProof/>
        </w:rPr>
        <w:t>14</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25</w:t>
      </w:r>
      <w:r w:rsidRPr="008762B1">
        <w:rPr>
          <w:noProof/>
        </w:rPr>
        <w:tab/>
        <w:t>Quantity of putrescible eligible waste</w:t>
      </w:r>
      <w:r w:rsidRPr="008762B1">
        <w:rPr>
          <w:noProof/>
        </w:rPr>
        <w:tab/>
      </w:r>
      <w:r w:rsidRPr="008762B1">
        <w:rPr>
          <w:noProof/>
        </w:rPr>
        <w:fldChar w:fldCharType="begin"/>
      </w:r>
      <w:r w:rsidRPr="008762B1">
        <w:rPr>
          <w:noProof/>
        </w:rPr>
        <w:instrText xml:space="preserve"> PAGEREF _Toc407103337 \h </w:instrText>
      </w:r>
      <w:r w:rsidRPr="008762B1">
        <w:rPr>
          <w:noProof/>
        </w:rPr>
      </w:r>
      <w:r w:rsidRPr="008762B1">
        <w:rPr>
          <w:noProof/>
        </w:rPr>
        <w:fldChar w:fldCharType="separate"/>
      </w:r>
      <w:r w:rsidR="005608FF">
        <w:rPr>
          <w:noProof/>
        </w:rPr>
        <w:t>15</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26</w:t>
      </w:r>
      <w:r w:rsidRPr="008762B1">
        <w:rPr>
          <w:noProof/>
        </w:rPr>
        <w:tab/>
        <w:t>Total quantity of eligible waste received</w:t>
      </w:r>
      <w:r w:rsidRPr="008762B1">
        <w:rPr>
          <w:noProof/>
        </w:rPr>
        <w:tab/>
      </w:r>
      <w:r w:rsidRPr="008762B1">
        <w:rPr>
          <w:noProof/>
        </w:rPr>
        <w:fldChar w:fldCharType="begin"/>
      </w:r>
      <w:r w:rsidRPr="008762B1">
        <w:rPr>
          <w:noProof/>
        </w:rPr>
        <w:instrText xml:space="preserve"> PAGEREF _Toc407103338 \h </w:instrText>
      </w:r>
      <w:r w:rsidRPr="008762B1">
        <w:rPr>
          <w:noProof/>
        </w:rPr>
      </w:r>
      <w:r w:rsidRPr="008762B1">
        <w:rPr>
          <w:noProof/>
        </w:rPr>
        <w:fldChar w:fldCharType="separate"/>
      </w:r>
      <w:r w:rsidR="005608FF">
        <w:rPr>
          <w:noProof/>
        </w:rPr>
        <w:t>16</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27</w:t>
      </w:r>
      <w:r w:rsidRPr="008762B1">
        <w:rPr>
          <w:noProof/>
        </w:rPr>
        <w:tab/>
        <w:t>Historic quantity of putrescible eligible waste</w:t>
      </w:r>
      <w:r w:rsidRPr="008762B1">
        <w:rPr>
          <w:noProof/>
        </w:rPr>
        <w:tab/>
      </w:r>
      <w:r w:rsidRPr="008762B1">
        <w:rPr>
          <w:noProof/>
        </w:rPr>
        <w:fldChar w:fldCharType="begin"/>
      </w:r>
      <w:r w:rsidRPr="008762B1">
        <w:rPr>
          <w:noProof/>
        </w:rPr>
        <w:instrText xml:space="preserve"> PAGEREF _Toc407103339 \h </w:instrText>
      </w:r>
      <w:r w:rsidRPr="008762B1">
        <w:rPr>
          <w:noProof/>
        </w:rPr>
      </w:r>
      <w:r w:rsidRPr="008762B1">
        <w:rPr>
          <w:noProof/>
        </w:rPr>
        <w:fldChar w:fldCharType="separate"/>
      </w:r>
      <w:r w:rsidR="005608FF">
        <w:rPr>
          <w:noProof/>
        </w:rPr>
        <w:t>16</w:t>
      </w:r>
      <w:r w:rsidRPr="008762B1">
        <w:rPr>
          <w:noProof/>
        </w:rPr>
        <w:fldChar w:fldCharType="end"/>
      </w:r>
    </w:p>
    <w:p w:rsidR="00C569C8" w:rsidRPr="008762B1" w:rsidRDefault="00C569C8">
      <w:pPr>
        <w:pStyle w:val="TOC4"/>
        <w:rPr>
          <w:rFonts w:asciiTheme="minorHAnsi" w:eastAsiaTheme="minorEastAsia" w:hAnsiTheme="minorHAnsi" w:cstheme="minorBidi"/>
          <w:b w:val="0"/>
          <w:noProof/>
          <w:kern w:val="0"/>
          <w:sz w:val="22"/>
          <w:szCs w:val="22"/>
        </w:rPr>
      </w:pPr>
      <w:r w:rsidRPr="008762B1">
        <w:rPr>
          <w:noProof/>
        </w:rPr>
        <w:t>Subdivision C—Calculations relating to project emissions</w:t>
      </w:r>
      <w:r w:rsidRPr="008762B1">
        <w:rPr>
          <w:b w:val="0"/>
          <w:noProof/>
          <w:sz w:val="18"/>
        </w:rPr>
        <w:tab/>
      </w:r>
      <w:r w:rsidRPr="008762B1">
        <w:rPr>
          <w:b w:val="0"/>
          <w:noProof/>
          <w:sz w:val="18"/>
        </w:rPr>
        <w:fldChar w:fldCharType="begin"/>
      </w:r>
      <w:r w:rsidRPr="008762B1">
        <w:rPr>
          <w:b w:val="0"/>
          <w:noProof/>
          <w:sz w:val="18"/>
        </w:rPr>
        <w:instrText xml:space="preserve"> PAGEREF _Toc407103340 \h </w:instrText>
      </w:r>
      <w:r w:rsidRPr="008762B1">
        <w:rPr>
          <w:b w:val="0"/>
          <w:noProof/>
          <w:sz w:val="18"/>
        </w:rPr>
      </w:r>
      <w:r w:rsidRPr="008762B1">
        <w:rPr>
          <w:b w:val="0"/>
          <w:noProof/>
          <w:sz w:val="18"/>
        </w:rPr>
        <w:fldChar w:fldCharType="separate"/>
      </w:r>
      <w:r w:rsidR="005608FF">
        <w:rPr>
          <w:b w:val="0"/>
          <w:noProof/>
          <w:sz w:val="18"/>
        </w:rPr>
        <w:t>17</w:t>
      </w:r>
      <w:r w:rsidRPr="008762B1">
        <w:rPr>
          <w:b w:val="0"/>
          <w:noProof/>
          <w:sz w:val="18"/>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28</w:t>
      </w:r>
      <w:r w:rsidRPr="008762B1">
        <w:rPr>
          <w:noProof/>
        </w:rPr>
        <w:tab/>
        <w:t>Summary</w:t>
      </w:r>
      <w:r w:rsidRPr="008762B1">
        <w:rPr>
          <w:noProof/>
        </w:rPr>
        <w:tab/>
      </w:r>
      <w:r w:rsidRPr="008762B1">
        <w:rPr>
          <w:noProof/>
        </w:rPr>
        <w:fldChar w:fldCharType="begin"/>
      </w:r>
      <w:r w:rsidRPr="008762B1">
        <w:rPr>
          <w:noProof/>
        </w:rPr>
        <w:instrText xml:space="preserve"> PAGEREF _Toc407103341 \h </w:instrText>
      </w:r>
      <w:r w:rsidRPr="008762B1">
        <w:rPr>
          <w:noProof/>
        </w:rPr>
      </w:r>
      <w:r w:rsidRPr="008762B1">
        <w:rPr>
          <w:noProof/>
        </w:rPr>
        <w:fldChar w:fldCharType="separate"/>
      </w:r>
      <w:r w:rsidR="005608FF">
        <w:rPr>
          <w:noProof/>
        </w:rPr>
        <w:t>17</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29</w:t>
      </w:r>
      <w:r w:rsidRPr="008762B1">
        <w:rPr>
          <w:noProof/>
        </w:rPr>
        <w:tab/>
        <w:t>Project emissions</w:t>
      </w:r>
      <w:r w:rsidRPr="008762B1">
        <w:rPr>
          <w:noProof/>
        </w:rPr>
        <w:tab/>
      </w:r>
      <w:r w:rsidRPr="008762B1">
        <w:rPr>
          <w:noProof/>
        </w:rPr>
        <w:fldChar w:fldCharType="begin"/>
      </w:r>
      <w:r w:rsidRPr="008762B1">
        <w:rPr>
          <w:noProof/>
        </w:rPr>
        <w:instrText xml:space="preserve"> PAGEREF _Toc407103342 \h </w:instrText>
      </w:r>
      <w:r w:rsidRPr="008762B1">
        <w:rPr>
          <w:noProof/>
        </w:rPr>
      </w:r>
      <w:r w:rsidRPr="008762B1">
        <w:rPr>
          <w:noProof/>
        </w:rPr>
        <w:fldChar w:fldCharType="separate"/>
      </w:r>
      <w:r w:rsidR="005608FF">
        <w:rPr>
          <w:noProof/>
        </w:rPr>
        <w:t>17</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30</w:t>
      </w:r>
      <w:r w:rsidRPr="008762B1">
        <w:rPr>
          <w:noProof/>
        </w:rPr>
        <w:tab/>
        <w:t>Emissions from fuel</w:t>
      </w:r>
      <w:r w:rsidRPr="008762B1">
        <w:rPr>
          <w:noProof/>
        </w:rPr>
        <w:tab/>
      </w:r>
      <w:r w:rsidRPr="008762B1">
        <w:rPr>
          <w:noProof/>
        </w:rPr>
        <w:fldChar w:fldCharType="begin"/>
      </w:r>
      <w:r w:rsidRPr="008762B1">
        <w:rPr>
          <w:noProof/>
        </w:rPr>
        <w:instrText xml:space="preserve"> PAGEREF _Toc407103343 \h </w:instrText>
      </w:r>
      <w:r w:rsidRPr="008762B1">
        <w:rPr>
          <w:noProof/>
        </w:rPr>
      </w:r>
      <w:r w:rsidRPr="008762B1">
        <w:rPr>
          <w:noProof/>
        </w:rPr>
        <w:fldChar w:fldCharType="separate"/>
      </w:r>
      <w:r w:rsidR="005608FF">
        <w:rPr>
          <w:noProof/>
        </w:rPr>
        <w:t>18</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31</w:t>
      </w:r>
      <w:r w:rsidRPr="008762B1">
        <w:rPr>
          <w:noProof/>
        </w:rPr>
        <w:tab/>
        <w:t>Emissions from purchased electricity</w:t>
      </w:r>
      <w:r w:rsidRPr="008762B1">
        <w:rPr>
          <w:noProof/>
        </w:rPr>
        <w:tab/>
      </w:r>
      <w:r w:rsidRPr="008762B1">
        <w:rPr>
          <w:noProof/>
        </w:rPr>
        <w:fldChar w:fldCharType="begin"/>
      </w:r>
      <w:r w:rsidRPr="008762B1">
        <w:rPr>
          <w:noProof/>
        </w:rPr>
        <w:instrText xml:space="preserve"> PAGEREF _Toc407103344 \h </w:instrText>
      </w:r>
      <w:r w:rsidRPr="008762B1">
        <w:rPr>
          <w:noProof/>
        </w:rPr>
      </w:r>
      <w:r w:rsidRPr="008762B1">
        <w:rPr>
          <w:noProof/>
        </w:rPr>
        <w:fldChar w:fldCharType="separate"/>
      </w:r>
      <w:r w:rsidR="005608FF">
        <w:rPr>
          <w:noProof/>
        </w:rPr>
        <w:t>18</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32</w:t>
      </w:r>
      <w:r w:rsidRPr="008762B1">
        <w:rPr>
          <w:noProof/>
        </w:rPr>
        <w:tab/>
        <w:t>Emissions from the processing of eligible waste</w:t>
      </w:r>
      <w:r w:rsidRPr="008762B1">
        <w:rPr>
          <w:noProof/>
        </w:rPr>
        <w:tab/>
      </w:r>
      <w:r w:rsidRPr="008762B1">
        <w:rPr>
          <w:noProof/>
        </w:rPr>
        <w:fldChar w:fldCharType="begin"/>
      </w:r>
      <w:r w:rsidRPr="008762B1">
        <w:rPr>
          <w:noProof/>
        </w:rPr>
        <w:instrText xml:space="preserve"> PAGEREF _Toc407103345 \h </w:instrText>
      </w:r>
      <w:r w:rsidRPr="008762B1">
        <w:rPr>
          <w:noProof/>
        </w:rPr>
      </w:r>
      <w:r w:rsidRPr="008762B1">
        <w:rPr>
          <w:noProof/>
        </w:rPr>
        <w:fldChar w:fldCharType="separate"/>
      </w:r>
      <w:r w:rsidR="005608FF">
        <w:rPr>
          <w:noProof/>
        </w:rPr>
        <w:t>19</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33</w:t>
      </w:r>
      <w:r w:rsidRPr="008762B1">
        <w:rPr>
          <w:noProof/>
        </w:rPr>
        <w:tab/>
        <w:t>Total quantity of putrescible waste</w:t>
      </w:r>
      <w:r w:rsidRPr="008762B1">
        <w:rPr>
          <w:noProof/>
        </w:rPr>
        <w:tab/>
      </w:r>
      <w:r w:rsidRPr="008762B1">
        <w:rPr>
          <w:noProof/>
        </w:rPr>
        <w:fldChar w:fldCharType="begin"/>
      </w:r>
      <w:r w:rsidRPr="008762B1">
        <w:rPr>
          <w:noProof/>
        </w:rPr>
        <w:instrText xml:space="preserve"> PAGEREF _Toc407103346 \h </w:instrText>
      </w:r>
      <w:r w:rsidRPr="008762B1">
        <w:rPr>
          <w:noProof/>
        </w:rPr>
      </w:r>
      <w:r w:rsidRPr="008762B1">
        <w:rPr>
          <w:noProof/>
        </w:rPr>
        <w:fldChar w:fldCharType="separate"/>
      </w:r>
      <w:r w:rsidR="005608FF">
        <w:rPr>
          <w:noProof/>
        </w:rPr>
        <w:t>20</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34</w:t>
      </w:r>
      <w:r w:rsidRPr="008762B1">
        <w:rPr>
          <w:noProof/>
        </w:rPr>
        <w:tab/>
        <w:t>Emissions from composting processes</w:t>
      </w:r>
      <w:r w:rsidRPr="008762B1">
        <w:rPr>
          <w:noProof/>
        </w:rPr>
        <w:tab/>
      </w:r>
      <w:r w:rsidRPr="008762B1">
        <w:rPr>
          <w:noProof/>
        </w:rPr>
        <w:fldChar w:fldCharType="begin"/>
      </w:r>
      <w:r w:rsidRPr="008762B1">
        <w:rPr>
          <w:noProof/>
        </w:rPr>
        <w:instrText xml:space="preserve"> PAGEREF _Toc407103347 \h </w:instrText>
      </w:r>
      <w:r w:rsidRPr="008762B1">
        <w:rPr>
          <w:noProof/>
        </w:rPr>
      </w:r>
      <w:r w:rsidRPr="008762B1">
        <w:rPr>
          <w:noProof/>
        </w:rPr>
        <w:fldChar w:fldCharType="separate"/>
      </w:r>
      <w:r w:rsidR="005608FF">
        <w:rPr>
          <w:noProof/>
        </w:rPr>
        <w:t>20</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35</w:t>
      </w:r>
      <w:r w:rsidRPr="008762B1">
        <w:rPr>
          <w:noProof/>
        </w:rPr>
        <w:tab/>
        <w:t>Emissions from anaerobic digesters</w:t>
      </w:r>
      <w:r w:rsidRPr="008762B1">
        <w:rPr>
          <w:noProof/>
        </w:rPr>
        <w:tab/>
      </w:r>
      <w:r w:rsidRPr="008762B1">
        <w:rPr>
          <w:noProof/>
        </w:rPr>
        <w:fldChar w:fldCharType="begin"/>
      </w:r>
      <w:r w:rsidRPr="008762B1">
        <w:rPr>
          <w:noProof/>
        </w:rPr>
        <w:instrText xml:space="preserve"> PAGEREF _Toc407103348 \h </w:instrText>
      </w:r>
      <w:r w:rsidRPr="008762B1">
        <w:rPr>
          <w:noProof/>
        </w:rPr>
      </w:r>
      <w:r w:rsidRPr="008762B1">
        <w:rPr>
          <w:noProof/>
        </w:rPr>
        <w:fldChar w:fldCharType="separate"/>
      </w:r>
      <w:r w:rsidR="005608FF">
        <w:rPr>
          <w:noProof/>
        </w:rPr>
        <w:t>22</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lastRenderedPageBreak/>
        <w:t>36</w:t>
      </w:r>
      <w:r w:rsidRPr="008762B1">
        <w:rPr>
          <w:noProof/>
        </w:rPr>
        <w:tab/>
        <w:t>Volume of methane sent to a combustion device</w:t>
      </w:r>
      <w:r w:rsidRPr="008762B1">
        <w:rPr>
          <w:noProof/>
        </w:rPr>
        <w:tab/>
      </w:r>
      <w:r w:rsidRPr="008762B1">
        <w:rPr>
          <w:noProof/>
        </w:rPr>
        <w:fldChar w:fldCharType="begin"/>
      </w:r>
      <w:r w:rsidRPr="008762B1">
        <w:rPr>
          <w:noProof/>
        </w:rPr>
        <w:instrText xml:space="preserve"> PAGEREF _Toc407103349 \h </w:instrText>
      </w:r>
      <w:r w:rsidRPr="008762B1">
        <w:rPr>
          <w:noProof/>
        </w:rPr>
      </w:r>
      <w:r w:rsidRPr="008762B1">
        <w:rPr>
          <w:noProof/>
        </w:rPr>
        <w:fldChar w:fldCharType="separate"/>
      </w:r>
      <w:r w:rsidR="005608FF">
        <w:rPr>
          <w:noProof/>
        </w:rPr>
        <w:t>22</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rFonts w:eastAsiaTheme="minorEastAsia"/>
          <w:noProof/>
        </w:rPr>
        <w:t>37</w:t>
      </w:r>
      <w:r w:rsidRPr="008762B1">
        <w:rPr>
          <w:rFonts w:eastAsiaTheme="minorEastAsia"/>
          <w:noProof/>
        </w:rPr>
        <w:tab/>
        <w:t>Volume of methane vented due to a major venting event</w:t>
      </w:r>
      <w:r w:rsidRPr="008762B1">
        <w:rPr>
          <w:noProof/>
        </w:rPr>
        <w:tab/>
      </w:r>
      <w:r w:rsidRPr="008762B1">
        <w:rPr>
          <w:noProof/>
        </w:rPr>
        <w:fldChar w:fldCharType="begin"/>
      </w:r>
      <w:r w:rsidRPr="008762B1">
        <w:rPr>
          <w:noProof/>
        </w:rPr>
        <w:instrText xml:space="preserve"> PAGEREF _Toc407103350 \h </w:instrText>
      </w:r>
      <w:r w:rsidRPr="008762B1">
        <w:rPr>
          <w:noProof/>
        </w:rPr>
      </w:r>
      <w:r w:rsidRPr="008762B1">
        <w:rPr>
          <w:noProof/>
        </w:rPr>
        <w:fldChar w:fldCharType="separate"/>
      </w:r>
      <w:r w:rsidR="005608FF">
        <w:rPr>
          <w:noProof/>
        </w:rPr>
        <w:t>24</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38</w:t>
      </w:r>
      <w:r w:rsidRPr="008762B1">
        <w:rPr>
          <w:noProof/>
        </w:rPr>
        <w:tab/>
        <w:t>Emissions from combustion devices</w:t>
      </w:r>
      <w:r w:rsidRPr="008762B1">
        <w:rPr>
          <w:noProof/>
        </w:rPr>
        <w:tab/>
      </w:r>
      <w:r w:rsidRPr="008762B1">
        <w:rPr>
          <w:noProof/>
        </w:rPr>
        <w:fldChar w:fldCharType="begin"/>
      </w:r>
      <w:r w:rsidRPr="008762B1">
        <w:rPr>
          <w:noProof/>
        </w:rPr>
        <w:instrText xml:space="preserve"> PAGEREF _Toc407103351 \h </w:instrText>
      </w:r>
      <w:r w:rsidRPr="008762B1">
        <w:rPr>
          <w:noProof/>
        </w:rPr>
      </w:r>
      <w:r w:rsidRPr="008762B1">
        <w:rPr>
          <w:noProof/>
        </w:rPr>
        <w:fldChar w:fldCharType="separate"/>
      </w:r>
      <w:r w:rsidR="005608FF">
        <w:rPr>
          <w:noProof/>
        </w:rPr>
        <w:t>24</w:t>
      </w:r>
      <w:r w:rsidRPr="008762B1">
        <w:rPr>
          <w:noProof/>
        </w:rPr>
        <w:fldChar w:fldCharType="end"/>
      </w:r>
    </w:p>
    <w:p w:rsidR="00C569C8" w:rsidRPr="008762B1" w:rsidRDefault="00C569C8">
      <w:pPr>
        <w:pStyle w:val="TOC3"/>
        <w:rPr>
          <w:rFonts w:asciiTheme="minorHAnsi" w:eastAsiaTheme="minorEastAsia" w:hAnsiTheme="minorHAnsi" w:cstheme="minorBidi"/>
          <w:b w:val="0"/>
          <w:noProof/>
          <w:kern w:val="0"/>
          <w:szCs w:val="22"/>
        </w:rPr>
      </w:pPr>
      <w:r w:rsidRPr="008762B1">
        <w:rPr>
          <w:noProof/>
        </w:rPr>
        <w:t>Division</w:t>
      </w:r>
      <w:r w:rsidR="008762B1" w:rsidRPr="008762B1">
        <w:rPr>
          <w:noProof/>
        </w:rPr>
        <w:t> </w:t>
      </w:r>
      <w:r w:rsidRPr="008762B1">
        <w:rPr>
          <w:noProof/>
        </w:rPr>
        <w:t>4—Method for calculating legacy abatement portions</w:t>
      </w:r>
      <w:r w:rsidRPr="008762B1">
        <w:rPr>
          <w:b w:val="0"/>
          <w:noProof/>
          <w:sz w:val="18"/>
        </w:rPr>
        <w:tab/>
      </w:r>
      <w:r w:rsidRPr="008762B1">
        <w:rPr>
          <w:b w:val="0"/>
          <w:noProof/>
          <w:sz w:val="18"/>
        </w:rPr>
        <w:fldChar w:fldCharType="begin"/>
      </w:r>
      <w:r w:rsidRPr="008762B1">
        <w:rPr>
          <w:b w:val="0"/>
          <w:noProof/>
          <w:sz w:val="18"/>
        </w:rPr>
        <w:instrText xml:space="preserve"> PAGEREF _Toc407103352 \h </w:instrText>
      </w:r>
      <w:r w:rsidRPr="008762B1">
        <w:rPr>
          <w:b w:val="0"/>
          <w:noProof/>
          <w:sz w:val="18"/>
        </w:rPr>
      </w:r>
      <w:r w:rsidRPr="008762B1">
        <w:rPr>
          <w:b w:val="0"/>
          <w:noProof/>
          <w:sz w:val="18"/>
        </w:rPr>
        <w:fldChar w:fldCharType="separate"/>
      </w:r>
      <w:r w:rsidR="005608FF">
        <w:rPr>
          <w:b w:val="0"/>
          <w:noProof/>
          <w:sz w:val="18"/>
        </w:rPr>
        <w:t>26</w:t>
      </w:r>
      <w:r w:rsidRPr="008762B1">
        <w:rPr>
          <w:b w:val="0"/>
          <w:noProof/>
          <w:sz w:val="18"/>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39</w:t>
      </w:r>
      <w:r w:rsidRPr="008762B1">
        <w:rPr>
          <w:noProof/>
        </w:rPr>
        <w:tab/>
        <w:t>Summary</w:t>
      </w:r>
      <w:r w:rsidRPr="008762B1">
        <w:rPr>
          <w:noProof/>
        </w:rPr>
        <w:tab/>
      </w:r>
      <w:r w:rsidRPr="008762B1">
        <w:rPr>
          <w:noProof/>
        </w:rPr>
        <w:fldChar w:fldCharType="begin"/>
      </w:r>
      <w:r w:rsidRPr="008762B1">
        <w:rPr>
          <w:noProof/>
        </w:rPr>
        <w:instrText xml:space="preserve"> PAGEREF _Toc407103353 \h </w:instrText>
      </w:r>
      <w:r w:rsidRPr="008762B1">
        <w:rPr>
          <w:noProof/>
        </w:rPr>
      </w:r>
      <w:r w:rsidRPr="008762B1">
        <w:rPr>
          <w:noProof/>
        </w:rPr>
        <w:fldChar w:fldCharType="separate"/>
      </w:r>
      <w:r w:rsidR="005608FF">
        <w:rPr>
          <w:noProof/>
        </w:rPr>
        <w:t>26</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40</w:t>
      </w:r>
      <w:r w:rsidRPr="008762B1">
        <w:rPr>
          <w:noProof/>
        </w:rPr>
        <w:tab/>
        <w:t>Timing of calculation</w:t>
      </w:r>
      <w:r w:rsidRPr="008762B1">
        <w:rPr>
          <w:noProof/>
        </w:rPr>
        <w:tab/>
      </w:r>
      <w:r w:rsidRPr="008762B1">
        <w:rPr>
          <w:noProof/>
        </w:rPr>
        <w:fldChar w:fldCharType="begin"/>
      </w:r>
      <w:r w:rsidRPr="008762B1">
        <w:rPr>
          <w:noProof/>
        </w:rPr>
        <w:instrText xml:space="preserve"> PAGEREF _Toc407103354 \h </w:instrText>
      </w:r>
      <w:r w:rsidRPr="008762B1">
        <w:rPr>
          <w:noProof/>
        </w:rPr>
      </w:r>
      <w:r w:rsidRPr="008762B1">
        <w:rPr>
          <w:noProof/>
        </w:rPr>
        <w:fldChar w:fldCharType="separate"/>
      </w:r>
      <w:r w:rsidR="005608FF">
        <w:rPr>
          <w:noProof/>
        </w:rPr>
        <w:t>26</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41</w:t>
      </w:r>
      <w:r w:rsidRPr="008762B1">
        <w:rPr>
          <w:noProof/>
        </w:rPr>
        <w:tab/>
        <w:t>Calculation and accrual of legacy abatement portions</w:t>
      </w:r>
      <w:r w:rsidRPr="008762B1">
        <w:rPr>
          <w:noProof/>
        </w:rPr>
        <w:tab/>
      </w:r>
      <w:r w:rsidRPr="008762B1">
        <w:rPr>
          <w:noProof/>
        </w:rPr>
        <w:fldChar w:fldCharType="begin"/>
      </w:r>
      <w:r w:rsidRPr="008762B1">
        <w:rPr>
          <w:noProof/>
        </w:rPr>
        <w:instrText xml:space="preserve"> PAGEREF _Toc407103355 \h </w:instrText>
      </w:r>
      <w:r w:rsidRPr="008762B1">
        <w:rPr>
          <w:noProof/>
        </w:rPr>
      </w:r>
      <w:r w:rsidRPr="008762B1">
        <w:rPr>
          <w:noProof/>
        </w:rPr>
        <w:fldChar w:fldCharType="separate"/>
      </w:r>
      <w:r w:rsidR="005608FF">
        <w:rPr>
          <w:noProof/>
        </w:rPr>
        <w:t>26</w:t>
      </w:r>
      <w:r w:rsidRPr="008762B1">
        <w:rPr>
          <w:noProof/>
        </w:rPr>
        <w:fldChar w:fldCharType="end"/>
      </w:r>
    </w:p>
    <w:p w:rsidR="00C569C8" w:rsidRPr="008762B1" w:rsidRDefault="00C569C8">
      <w:pPr>
        <w:pStyle w:val="TOC2"/>
        <w:rPr>
          <w:rFonts w:asciiTheme="minorHAnsi" w:eastAsiaTheme="minorEastAsia" w:hAnsiTheme="minorHAnsi" w:cstheme="minorBidi"/>
          <w:b w:val="0"/>
          <w:noProof/>
          <w:kern w:val="0"/>
          <w:sz w:val="22"/>
          <w:szCs w:val="22"/>
        </w:rPr>
      </w:pPr>
      <w:r w:rsidRPr="008762B1">
        <w:rPr>
          <w:noProof/>
        </w:rPr>
        <w:t>Part</w:t>
      </w:r>
      <w:r w:rsidR="008762B1" w:rsidRPr="008762B1">
        <w:rPr>
          <w:noProof/>
        </w:rPr>
        <w:t> </w:t>
      </w:r>
      <w:r w:rsidRPr="008762B1">
        <w:rPr>
          <w:noProof/>
        </w:rPr>
        <w:t>5—Reporting, record</w:t>
      </w:r>
      <w:r w:rsidR="008762B1">
        <w:rPr>
          <w:noProof/>
        </w:rPr>
        <w:noBreakHyphen/>
      </w:r>
      <w:r w:rsidRPr="008762B1">
        <w:rPr>
          <w:noProof/>
        </w:rPr>
        <w:t>keeping and monitoring requirements</w:t>
      </w:r>
      <w:r w:rsidRPr="008762B1">
        <w:rPr>
          <w:b w:val="0"/>
          <w:noProof/>
          <w:sz w:val="18"/>
        </w:rPr>
        <w:tab/>
      </w:r>
      <w:r w:rsidRPr="008762B1">
        <w:rPr>
          <w:b w:val="0"/>
          <w:noProof/>
          <w:sz w:val="18"/>
        </w:rPr>
        <w:fldChar w:fldCharType="begin"/>
      </w:r>
      <w:r w:rsidRPr="008762B1">
        <w:rPr>
          <w:b w:val="0"/>
          <w:noProof/>
          <w:sz w:val="18"/>
        </w:rPr>
        <w:instrText xml:space="preserve"> PAGEREF _Toc407103356 \h </w:instrText>
      </w:r>
      <w:r w:rsidRPr="008762B1">
        <w:rPr>
          <w:b w:val="0"/>
          <w:noProof/>
          <w:sz w:val="18"/>
        </w:rPr>
      </w:r>
      <w:r w:rsidRPr="008762B1">
        <w:rPr>
          <w:b w:val="0"/>
          <w:noProof/>
          <w:sz w:val="18"/>
        </w:rPr>
        <w:fldChar w:fldCharType="separate"/>
      </w:r>
      <w:r w:rsidR="005608FF">
        <w:rPr>
          <w:b w:val="0"/>
          <w:noProof/>
          <w:sz w:val="18"/>
        </w:rPr>
        <w:t>28</w:t>
      </w:r>
      <w:r w:rsidRPr="008762B1">
        <w:rPr>
          <w:b w:val="0"/>
          <w:noProof/>
          <w:sz w:val="18"/>
        </w:rPr>
        <w:fldChar w:fldCharType="end"/>
      </w:r>
    </w:p>
    <w:p w:rsidR="00C569C8" w:rsidRPr="008762B1" w:rsidRDefault="00C569C8">
      <w:pPr>
        <w:pStyle w:val="TOC3"/>
        <w:rPr>
          <w:rFonts w:asciiTheme="minorHAnsi" w:eastAsiaTheme="minorEastAsia" w:hAnsiTheme="minorHAnsi" w:cstheme="minorBidi"/>
          <w:b w:val="0"/>
          <w:noProof/>
          <w:kern w:val="0"/>
          <w:szCs w:val="22"/>
        </w:rPr>
      </w:pPr>
      <w:r w:rsidRPr="008762B1">
        <w:rPr>
          <w:noProof/>
        </w:rPr>
        <w:t>Division</w:t>
      </w:r>
      <w:r w:rsidR="008762B1" w:rsidRPr="008762B1">
        <w:rPr>
          <w:noProof/>
        </w:rPr>
        <w:t> </w:t>
      </w:r>
      <w:r w:rsidRPr="008762B1">
        <w:rPr>
          <w:noProof/>
        </w:rPr>
        <w:t>1—Offsets report requirements</w:t>
      </w:r>
      <w:r w:rsidRPr="008762B1">
        <w:rPr>
          <w:b w:val="0"/>
          <w:noProof/>
          <w:sz w:val="18"/>
        </w:rPr>
        <w:tab/>
      </w:r>
      <w:r w:rsidRPr="008762B1">
        <w:rPr>
          <w:b w:val="0"/>
          <w:noProof/>
          <w:sz w:val="18"/>
        </w:rPr>
        <w:fldChar w:fldCharType="begin"/>
      </w:r>
      <w:r w:rsidRPr="008762B1">
        <w:rPr>
          <w:b w:val="0"/>
          <w:noProof/>
          <w:sz w:val="18"/>
        </w:rPr>
        <w:instrText xml:space="preserve"> PAGEREF _Toc407103357 \h </w:instrText>
      </w:r>
      <w:r w:rsidRPr="008762B1">
        <w:rPr>
          <w:b w:val="0"/>
          <w:noProof/>
          <w:sz w:val="18"/>
        </w:rPr>
      </w:r>
      <w:r w:rsidRPr="008762B1">
        <w:rPr>
          <w:b w:val="0"/>
          <w:noProof/>
          <w:sz w:val="18"/>
        </w:rPr>
        <w:fldChar w:fldCharType="separate"/>
      </w:r>
      <w:r w:rsidR="005608FF">
        <w:rPr>
          <w:b w:val="0"/>
          <w:noProof/>
          <w:sz w:val="18"/>
        </w:rPr>
        <w:t>28</w:t>
      </w:r>
      <w:r w:rsidRPr="008762B1">
        <w:rPr>
          <w:b w:val="0"/>
          <w:noProof/>
          <w:sz w:val="18"/>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42</w:t>
      </w:r>
      <w:r w:rsidRPr="008762B1">
        <w:rPr>
          <w:noProof/>
        </w:rPr>
        <w:tab/>
        <w:t>Operation of this Division</w:t>
      </w:r>
      <w:r w:rsidRPr="008762B1">
        <w:rPr>
          <w:noProof/>
        </w:rPr>
        <w:tab/>
      </w:r>
      <w:r w:rsidRPr="008762B1">
        <w:rPr>
          <w:noProof/>
        </w:rPr>
        <w:fldChar w:fldCharType="begin"/>
      </w:r>
      <w:r w:rsidRPr="008762B1">
        <w:rPr>
          <w:noProof/>
        </w:rPr>
        <w:instrText xml:space="preserve"> PAGEREF _Toc407103358 \h </w:instrText>
      </w:r>
      <w:r w:rsidRPr="008762B1">
        <w:rPr>
          <w:noProof/>
        </w:rPr>
      </w:r>
      <w:r w:rsidRPr="008762B1">
        <w:rPr>
          <w:noProof/>
        </w:rPr>
        <w:fldChar w:fldCharType="separate"/>
      </w:r>
      <w:r w:rsidR="005608FF">
        <w:rPr>
          <w:noProof/>
        </w:rPr>
        <w:t>28</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43</w:t>
      </w:r>
      <w:r w:rsidRPr="008762B1">
        <w:rPr>
          <w:noProof/>
        </w:rPr>
        <w:tab/>
        <w:t>Determination of certain factors and parameters</w:t>
      </w:r>
      <w:r w:rsidRPr="008762B1">
        <w:rPr>
          <w:noProof/>
        </w:rPr>
        <w:tab/>
      </w:r>
      <w:r w:rsidRPr="008762B1">
        <w:rPr>
          <w:noProof/>
        </w:rPr>
        <w:fldChar w:fldCharType="begin"/>
      </w:r>
      <w:r w:rsidRPr="008762B1">
        <w:rPr>
          <w:noProof/>
        </w:rPr>
        <w:instrText xml:space="preserve"> PAGEREF _Toc407103359 \h </w:instrText>
      </w:r>
      <w:r w:rsidRPr="008762B1">
        <w:rPr>
          <w:noProof/>
        </w:rPr>
      </w:r>
      <w:r w:rsidRPr="008762B1">
        <w:rPr>
          <w:noProof/>
        </w:rPr>
        <w:fldChar w:fldCharType="separate"/>
      </w:r>
      <w:r w:rsidR="005608FF">
        <w:rPr>
          <w:noProof/>
        </w:rPr>
        <w:t>28</w:t>
      </w:r>
      <w:r w:rsidRPr="008762B1">
        <w:rPr>
          <w:noProof/>
        </w:rPr>
        <w:fldChar w:fldCharType="end"/>
      </w:r>
    </w:p>
    <w:p w:rsidR="00C569C8" w:rsidRPr="008762B1" w:rsidRDefault="00C569C8">
      <w:pPr>
        <w:pStyle w:val="TOC3"/>
        <w:rPr>
          <w:rFonts w:asciiTheme="minorHAnsi" w:eastAsiaTheme="minorEastAsia" w:hAnsiTheme="minorHAnsi" w:cstheme="minorBidi"/>
          <w:b w:val="0"/>
          <w:noProof/>
          <w:kern w:val="0"/>
          <w:szCs w:val="22"/>
        </w:rPr>
      </w:pPr>
      <w:r w:rsidRPr="008762B1">
        <w:rPr>
          <w:noProof/>
        </w:rPr>
        <w:t>Division</w:t>
      </w:r>
      <w:r w:rsidR="008762B1" w:rsidRPr="008762B1">
        <w:rPr>
          <w:noProof/>
        </w:rPr>
        <w:t> </w:t>
      </w:r>
      <w:r w:rsidRPr="008762B1">
        <w:rPr>
          <w:noProof/>
        </w:rPr>
        <w:t>2—Monitoring requirements</w:t>
      </w:r>
      <w:r w:rsidRPr="008762B1">
        <w:rPr>
          <w:b w:val="0"/>
          <w:noProof/>
          <w:sz w:val="18"/>
        </w:rPr>
        <w:tab/>
      </w:r>
      <w:r w:rsidRPr="008762B1">
        <w:rPr>
          <w:b w:val="0"/>
          <w:noProof/>
          <w:sz w:val="18"/>
        </w:rPr>
        <w:fldChar w:fldCharType="begin"/>
      </w:r>
      <w:r w:rsidRPr="008762B1">
        <w:rPr>
          <w:b w:val="0"/>
          <w:noProof/>
          <w:sz w:val="18"/>
        </w:rPr>
        <w:instrText xml:space="preserve"> PAGEREF _Toc407103360 \h </w:instrText>
      </w:r>
      <w:r w:rsidRPr="008762B1">
        <w:rPr>
          <w:b w:val="0"/>
          <w:noProof/>
          <w:sz w:val="18"/>
        </w:rPr>
      </w:r>
      <w:r w:rsidRPr="008762B1">
        <w:rPr>
          <w:b w:val="0"/>
          <w:noProof/>
          <w:sz w:val="18"/>
        </w:rPr>
        <w:fldChar w:fldCharType="separate"/>
      </w:r>
      <w:r w:rsidR="005608FF">
        <w:rPr>
          <w:b w:val="0"/>
          <w:noProof/>
          <w:sz w:val="18"/>
        </w:rPr>
        <w:t>29</w:t>
      </w:r>
      <w:r w:rsidRPr="008762B1">
        <w:rPr>
          <w:b w:val="0"/>
          <w:noProof/>
          <w:sz w:val="18"/>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44</w:t>
      </w:r>
      <w:r w:rsidRPr="008762B1">
        <w:rPr>
          <w:noProof/>
        </w:rPr>
        <w:tab/>
        <w:t>Operation of this Division</w:t>
      </w:r>
      <w:r w:rsidRPr="008762B1">
        <w:rPr>
          <w:noProof/>
        </w:rPr>
        <w:tab/>
      </w:r>
      <w:r w:rsidRPr="008762B1">
        <w:rPr>
          <w:noProof/>
        </w:rPr>
        <w:fldChar w:fldCharType="begin"/>
      </w:r>
      <w:r w:rsidRPr="008762B1">
        <w:rPr>
          <w:noProof/>
        </w:rPr>
        <w:instrText xml:space="preserve"> PAGEREF _Toc407103361 \h </w:instrText>
      </w:r>
      <w:r w:rsidRPr="008762B1">
        <w:rPr>
          <w:noProof/>
        </w:rPr>
      </w:r>
      <w:r w:rsidRPr="008762B1">
        <w:rPr>
          <w:noProof/>
        </w:rPr>
        <w:fldChar w:fldCharType="separate"/>
      </w:r>
      <w:r w:rsidR="005608FF">
        <w:rPr>
          <w:noProof/>
        </w:rPr>
        <w:t>29</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45</w:t>
      </w:r>
      <w:r w:rsidRPr="008762B1">
        <w:rPr>
          <w:noProof/>
        </w:rPr>
        <w:tab/>
        <w:t>Requirements to monitor certain parameters</w:t>
      </w:r>
      <w:r w:rsidRPr="008762B1">
        <w:rPr>
          <w:noProof/>
        </w:rPr>
        <w:tab/>
      </w:r>
      <w:r w:rsidRPr="008762B1">
        <w:rPr>
          <w:noProof/>
        </w:rPr>
        <w:fldChar w:fldCharType="begin"/>
      </w:r>
      <w:r w:rsidRPr="008762B1">
        <w:rPr>
          <w:noProof/>
        </w:rPr>
        <w:instrText xml:space="preserve"> PAGEREF _Toc407103362 \h </w:instrText>
      </w:r>
      <w:r w:rsidRPr="008762B1">
        <w:rPr>
          <w:noProof/>
        </w:rPr>
      </w:r>
      <w:r w:rsidRPr="008762B1">
        <w:rPr>
          <w:noProof/>
        </w:rPr>
        <w:fldChar w:fldCharType="separate"/>
      </w:r>
      <w:r w:rsidR="005608FF">
        <w:rPr>
          <w:noProof/>
        </w:rPr>
        <w:t>29</w:t>
      </w:r>
      <w:r w:rsidRPr="008762B1">
        <w:rPr>
          <w:noProof/>
        </w:rPr>
        <w:fldChar w:fldCharType="end"/>
      </w:r>
    </w:p>
    <w:p w:rsidR="00C569C8" w:rsidRPr="008762B1" w:rsidRDefault="00C569C8">
      <w:pPr>
        <w:pStyle w:val="TOC5"/>
        <w:rPr>
          <w:rFonts w:asciiTheme="minorHAnsi" w:eastAsiaTheme="minorEastAsia" w:hAnsiTheme="minorHAnsi" w:cstheme="minorBidi"/>
          <w:noProof/>
          <w:kern w:val="0"/>
          <w:sz w:val="22"/>
          <w:szCs w:val="22"/>
        </w:rPr>
      </w:pPr>
      <w:r w:rsidRPr="008762B1">
        <w:rPr>
          <w:noProof/>
        </w:rPr>
        <w:t>46</w:t>
      </w:r>
      <w:r w:rsidRPr="008762B1">
        <w:rPr>
          <w:noProof/>
        </w:rPr>
        <w:tab/>
        <w:t>Consequences of not meeting requirement to monitor certain parameters</w:t>
      </w:r>
      <w:r w:rsidRPr="008762B1">
        <w:rPr>
          <w:noProof/>
        </w:rPr>
        <w:tab/>
      </w:r>
      <w:r w:rsidRPr="008762B1">
        <w:rPr>
          <w:noProof/>
        </w:rPr>
        <w:fldChar w:fldCharType="begin"/>
      </w:r>
      <w:r w:rsidRPr="008762B1">
        <w:rPr>
          <w:noProof/>
        </w:rPr>
        <w:instrText xml:space="preserve"> PAGEREF _Toc407103363 \h </w:instrText>
      </w:r>
      <w:r w:rsidRPr="008762B1">
        <w:rPr>
          <w:noProof/>
        </w:rPr>
      </w:r>
      <w:r w:rsidRPr="008762B1">
        <w:rPr>
          <w:noProof/>
        </w:rPr>
        <w:fldChar w:fldCharType="separate"/>
      </w:r>
      <w:r w:rsidR="005608FF">
        <w:rPr>
          <w:noProof/>
        </w:rPr>
        <w:t>34</w:t>
      </w:r>
      <w:r w:rsidRPr="008762B1">
        <w:rPr>
          <w:noProof/>
        </w:rPr>
        <w:fldChar w:fldCharType="end"/>
      </w:r>
    </w:p>
    <w:p w:rsidR="00670EA1" w:rsidRPr="008762B1" w:rsidRDefault="00C569C8" w:rsidP="00715914">
      <w:r w:rsidRPr="008762B1">
        <w:fldChar w:fldCharType="end"/>
      </w:r>
    </w:p>
    <w:p w:rsidR="00670EA1" w:rsidRPr="008762B1" w:rsidRDefault="00670EA1" w:rsidP="00715914">
      <w:pPr>
        <w:sectPr w:rsidR="00670EA1" w:rsidRPr="008762B1" w:rsidSect="001877C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8762B1" w:rsidRDefault="00715914" w:rsidP="00715914">
      <w:pPr>
        <w:pStyle w:val="ActHead2"/>
      </w:pPr>
      <w:bookmarkStart w:id="2" w:name="_Toc407103304"/>
      <w:r w:rsidRPr="008762B1">
        <w:rPr>
          <w:rStyle w:val="CharPartNo"/>
        </w:rPr>
        <w:lastRenderedPageBreak/>
        <w:t>Part</w:t>
      </w:r>
      <w:r w:rsidR="008762B1" w:rsidRPr="008762B1">
        <w:rPr>
          <w:rStyle w:val="CharPartNo"/>
        </w:rPr>
        <w:t> </w:t>
      </w:r>
      <w:r w:rsidRPr="008762B1">
        <w:rPr>
          <w:rStyle w:val="CharPartNo"/>
        </w:rPr>
        <w:t>1</w:t>
      </w:r>
      <w:r w:rsidRPr="008762B1">
        <w:t>—</w:t>
      </w:r>
      <w:r w:rsidRPr="008762B1">
        <w:rPr>
          <w:rStyle w:val="CharPartText"/>
        </w:rPr>
        <w:t>Preliminary</w:t>
      </w:r>
      <w:bookmarkEnd w:id="2"/>
    </w:p>
    <w:p w:rsidR="00715914" w:rsidRPr="008762B1" w:rsidRDefault="00715914" w:rsidP="00715914">
      <w:pPr>
        <w:pStyle w:val="Header"/>
      </w:pPr>
      <w:r w:rsidRPr="008762B1">
        <w:rPr>
          <w:rStyle w:val="CharDivNo"/>
        </w:rPr>
        <w:t xml:space="preserve"> </w:t>
      </w:r>
      <w:r w:rsidRPr="008762B1">
        <w:rPr>
          <w:rStyle w:val="CharDivText"/>
        </w:rPr>
        <w:t xml:space="preserve"> </w:t>
      </w:r>
    </w:p>
    <w:p w:rsidR="00715914" w:rsidRPr="008762B1" w:rsidRDefault="004E7255" w:rsidP="00715914">
      <w:pPr>
        <w:pStyle w:val="ActHead5"/>
      </w:pPr>
      <w:bookmarkStart w:id="3" w:name="_Toc407103305"/>
      <w:r w:rsidRPr="008762B1">
        <w:rPr>
          <w:rStyle w:val="CharSectno"/>
        </w:rPr>
        <w:t>1</w:t>
      </w:r>
      <w:r w:rsidR="00715914" w:rsidRPr="008762B1">
        <w:t xml:space="preserve">  </w:t>
      </w:r>
      <w:r w:rsidR="00CE493D" w:rsidRPr="008762B1">
        <w:t xml:space="preserve">Name of </w:t>
      </w:r>
      <w:r w:rsidR="008E2B94" w:rsidRPr="008762B1">
        <w:t>determination</w:t>
      </w:r>
      <w:bookmarkEnd w:id="3"/>
    </w:p>
    <w:p w:rsidR="00715914" w:rsidRPr="008762B1" w:rsidRDefault="00715914" w:rsidP="00715914">
      <w:pPr>
        <w:pStyle w:val="subsection"/>
      </w:pPr>
      <w:r w:rsidRPr="008762B1">
        <w:tab/>
      </w:r>
      <w:r w:rsidRPr="008762B1">
        <w:tab/>
        <w:t xml:space="preserve">This </w:t>
      </w:r>
      <w:r w:rsidR="008E2B94" w:rsidRPr="008762B1">
        <w:t>determination</w:t>
      </w:r>
      <w:r w:rsidRPr="008762B1">
        <w:t xml:space="preserve"> </w:t>
      </w:r>
      <w:r w:rsidR="00CE493D" w:rsidRPr="008762B1">
        <w:t xml:space="preserve">is the </w:t>
      </w:r>
      <w:bookmarkStart w:id="4" w:name="BKCheck15B_3"/>
      <w:bookmarkEnd w:id="4"/>
      <w:r w:rsidR="00BC76AC" w:rsidRPr="008762B1">
        <w:rPr>
          <w:i/>
        </w:rPr>
        <w:fldChar w:fldCharType="begin"/>
      </w:r>
      <w:r w:rsidR="00BC76AC" w:rsidRPr="008762B1">
        <w:rPr>
          <w:i/>
        </w:rPr>
        <w:instrText xml:space="preserve"> STYLEREF  ShortT </w:instrText>
      </w:r>
      <w:r w:rsidR="00BC76AC" w:rsidRPr="008762B1">
        <w:rPr>
          <w:i/>
        </w:rPr>
        <w:fldChar w:fldCharType="separate"/>
      </w:r>
      <w:r w:rsidR="005608FF">
        <w:rPr>
          <w:i/>
          <w:noProof/>
        </w:rPr>
        <w:t>Carbon Credits (Carbon Farming Initiative—Alternative Waste Treatment) Methodology Determination 2015</w:t>
      </w:r>
      <w:r w:rsidR="00BC76AC" w:rsidRPr="008762B1">
        <w:rPr>
          <w:i/>
        </w:rPr>
        <w:fldChar w:fldCharType="end"/>
      </w:r>
      <w:r w:rsidRPr="008762B1">
        <w:t>.</w:t>
      </w:r>
    </w:p>
    <w:p w:rsidR="00715914" w:rsidRPr="008762B1" w:rsidRDefault="004E7255" w:rsidP="00715914">
      <w:pPr>
        <w:pStyle w:val="ActHead5"/>
      </w:pPr>
      <w:bookmarkStart w:id="5" w:name="_Toc407103306"/>
      <w:r w:rsidRPr="008762B1">
        <w:rPr>
          <w:rStyle w:val="CharSectno"/>
        </w:rPr>
        <w:t>2</w:t>
      </w:r>
      <w:r w:rsidR="00715914" w:rsidRPr="008762B1">
        <w:t xml:space="preserve">  Commencement</w:t>
      </w:r>
      <w:bookmarkEnd w:id="5"/>
    </w:p>
    <w:p w:rsidR="007E163D" w:rsidRPr="008762B1" w:rsidRDefault="00CE493D" w:rsidP="00CE493D">
      <w:pPr>
        <w:pStyle w:val="subsection"/>
      </w:pPr>
      <w:r w:rsidRPr="008762B1">
        <w:tab/>
      </w:r>
      <w:r w:rsidRPr="008762B1">
        <w:tab/>
        <w:t xml:space="preserve">This </w:t>
      </w:r>
      <w:r w:rsidR="008E2B94" w:rsidRPr="008762B1">
        <w:t>determination</w:t>
      </w:r>
      <w:r w:rsidRPr="008762B1">
        <w:t xml:space="preserve"> commences </w:t>
      </w:r>
      <w:r w:rsidR="00FE6CB6" w:rsidRPr="008762B1">
        <w:t>on the day after it is registered</w:t>
      </w:r>
      <w:r w:rsidRPr="008762B1">
        <w:t>.</w:t>
      </w:r>
    </w:p>
    <w:p w:rsidR="007500C8" w:rsidRPr="008762B1" w:rsidRDefault="004E7255" w:rsidP="007500C8">
      <w:pPr>
        <w:pStyle w:val="ActHead5"/>
      </w:pPr>
      <w:bookmarkStart w:id="6" w:name="_Toc407103307"/>
      <w:r w:rsidRPr="008762B1">
        <w:rPr>
          <w:rStyle w:val="CharSectno"/>
        </w:rPr>
        <w:t>3</w:t>
      </w:r>
      <w:r w:rsidR="007500C8" w:rsidRPr="008762B1">
        <w:t xml:space="preserve">  Authority</w:t>
      </w:r>
      <w:bookmarkEnd w:id="6"/>
    </w:p>
    <w:p w:rsidR="00157B8B" w:rsidRPr="008762B1" w:rsidRDefault="007500C8" w:rsidP="007E667A">
      <w:pPr>
        <w:pStyle w:val="subsection"/>
      </w:pPr>
      <w:r w:rsidRPr="008762B1">
        <w:tab/>
      </w:r>
      <w:r w:rsidRPr="008762B1">
        <w:tab/>
        <w:t xml:space="preserve">This </w:t>
      </w:r>
      <w:r w:rsidR="008E2B94" w:rsidRPr="008762B1">
        <w:t>determination</w:t>
      </w:r>
      <w:r w:rsidRPr="008762B1">
        <w:t xml:space="preserve"> is made under</w:t>
      </w:r>
      <w:r w:rsidR="00A64500" w:rsidRPr="008762B1">
        <w:t xml:space="preserve"> subsection</w:t>
      </w:r>
      <w:r w:rsidR="008762B1" w:rsidRPr="008762B1">
        <w:t> </w:t>
      </w:r>
      <w:r w:rsidR="00A64500" w:rsidRPr="008762B1">
        <w:t>106(1) of</w:t>
      </w:r>
      <w:r w:rsidRPr="008762B1">
        <w:t xml:space="preserve"> the </w:t>
      </w:r>
      <w:r w:rsidR="008E2B94" w:rsidRPr="008762B1">
        <w:rPr>
          <w:i/>
        </w:rPr>
        <w:t>Carbon Credits (Carbon Farming Initiative) Act 2011</w:t>
      </w:r>
      <w:r w:rsidR="00F4350D" w:rsidRPr="008762B1">
        <w:t>.</w:t>
      </w:r>
    </w:p>
    <w:p w:rsidR="006E2432" w:rsidRPr="008762B1" w:rsidRDefault="004E7255" w:rsidP="006E2432">
      <w:pPr>
        <w:pStyle w:val="ActHead5"/>
      </w:pPr>
      <w:bookmarkStart w:id="7" w:name="_Toc407103308"/>
      <w:r w:rsidRPr="008762B1">
        <w:rPr>
          <w:rStyle w:val="CharSectno"/>
        </w:rPr>
        <w:t>4</w:t>
      </w:r>
      <w:r w:rsidR="006E2432" w:rsidRPr="008762B1">
        <w:t xml:space="preserve">  Duration</w:t>
      </w:r>
      <w:bookmarkEnd w:id="7"/>
    </w:p>
    <w:p w:rsidR="006E2432" w:rsidRPr="008762B1" w:rsidRDefault="006E2432" w:rsidP="006E2432">
      <w:pPr>
        <w:pStyle w:val="subsection"/>
      </w:pPr>
      <w:r w:rsidRPr="008762B1">
        <w:tab/>
      </w:r>
      <w:r w:rsidRPr="008762B1">
        <w:tab/>
        <w:t>This determination remains in force for the period that:</w:t>
      </w:r>
    </w:p>
    <w:p w:rsidR="006E2432" w:rsidRPr="008762B1" w:rsidRDefault="006E2432" w:rsidP="006E2432">
      <w:pPr>
        <w:pStyle w:val="paragraph"/>
      </w:pPr>
      <w:r w:rsidRPr="008762B1">
        <w:tab/>
        <w:t>(a)</w:t>
      </w:r>
      <w:r w:rsidRPr="008762B1">
        <w:tab/>
        <w:t xml:space="preserve">begins when this determination </w:t>
      </w:r>
      <w:r w:rsidR="00FE6CB6" w:rsidRPr="008762B1">
        <w:t>commences</w:t>
      </w:r>
      <w:r w:rsidRPr="008762B1">
        <w:t>; and</w:t>
      </w:r>
    </w:p>
    <w:p w:rsidR="006E2432" w:rsidRPr="008762B1" w:rsidRDefault="006E2432" w:rsidP="00494BF4">
      <w:pPr>
        <w:pStyle w:val="paragraph"/>
      </w:pPr>
      <w:r w:rsidRPr="008762B1">
        <w:tab/>
        <w:t>(b)</w:t>
      </w:r>
      <w:r w:rsidRPr="008762B1">
        <w:tab/>
        <w:t>ends on the day before this determination would otherwise be repealed under subsection</w:t>
      </w:r>
      <w:r w:rsidR="008762B1" w:rsidRPr="008762B1">
        <w:t> </w:t>
      </w:r>
      <w:r w:rsidRPr="008762B1">
        <w:t xml:space="preserve">50(1) of the </w:t>
      </w:r>
      <w:r w:rsidRPr="008762B1">
        <w:rPr>
          <w:i/>
        </w:rPr>
        <w:t>Legislative Instruments Act 2003</w:t>
      </w:r>
      <w:r w:rsidRPr="008762B1">
        <w:t>.</w:t>
      </w:r>
    </w:p>
    <w:p w:rsidR="006E2432" w:rsidRPr="008762B1" w:rsidRDefault="004E7255" w:rsidP="006E2432">
      <w:pPr>
        <w:pStyle w:val="ActHead5"/>
      </w:pPr>
      <w:bookmarkStart w:id="8" w:name="_Toc407103309"/>
      <w:r w:rsidRPr="008762B1">
        <w:rPr>
          <w:rStyle w:val="CharSectno"/>
        </w:rPr>
        <w:t>5</w:t>
      </w:r>
      <w:r w:rsidR="006E2432" w:rsidRPr="008762B1">
        <w:t xml:space="preserve">  Definitions</w:t>
      </w:r>
      <w:bookmarkEnd w:id="8"/>
    </w:p>
    <w:p w:rsidR="006E2432" w:rsidRPr="008762B1" w:rsidRDefault="006E2432" w:rsidP="006E2432">
      <w:pPr>
        <w:pStyle w:val="subsection"/>
      </w:pPr>
      <w:r w:rsidRPr="008762B1">
        <w:tab/>
      </w:r>
      <w:r w:rsidRPr="008762B1">
        <w:tab/>
        <w:t>In this determination:</w:t>
      </w:r>
    </w:p>
    <w:p w:rsidR="00E32653" w:rsidRPr="008762B1" w:rsidRDefault="006E2432" w:rsidP="00E32653">
      <w:pPr>
        <w:pStyle w:val="Definition"/>
      </w:pPr>
      <w:r w:rsidRPr="008762B1">
        <w:rPr>
          <w:b/>
          <w:i/>
        </w:rPr>
        <w:t>Act</w:t>
      </w:r>
      <w:r w:rsidRPr="008762B1">
        <w:t xml:space="preserve"> means the </w:t>
      </w:r>
      <w:r w:rsidRPr="008762B1">
        <w:rPr>
          <w:i/>
        </w:rPr>
        <w:t>Carbon Credits (Carbon Farming Initiative) Act 2011</w:t>
      </w:r>
      <w:r w:rsidR="000E76B4" w:rsidRPr="008762B1">
        <w:t>.</w:t>
      </w:r>
    </w:p>
    <w:p w:rsidR="00024C48" w:rsidRPr="008762B1" w:rsidRDefault="00024C48" w:rsidP="00024C48">
      <w:pPr>
        <w:pStyle w:val="Definition"/>
      </w:pPr>
      <w:r w:rsidRPr="008762B1">
        <w:rPr>
          <w:b/>
          <w:i/>
        </w:rPr>
        <w:t>alternative waste treatment facility</w:t>
      </w:r>
      <w:r w:rsidRPr="008762B1">
        <w:t xml:space="preserve"> or </w:t>
      </w:r>
      <w:proofErr w:type="spellStart"/>
      <w:r w:rsidRPr="008762B1">
        <w:rPr>
          <w:b/>
          <w:i/>
        </w:rPr>
        <w:t>AWT</w:t>
      </w:r>
      <w:proofErr w:type="spellEnd"/>
      <w:r w:rsidRPr="008762B1">
        <w:rPr>
          <w:b/>
          <w:i/>
        </w:rPr>
        <w:t xml:space="preserve"> facility</w:t>
      </w:r>
      <w:r w:rsidRPr="008762B1">
        <w:t xml:space="preserve"> means a facility that:</w:t>
      </w:r>
    </w:p>
    <w:p w:rsidR="00024C48" w:rsidRPr="008762B1" w:rsidRDefault="00024C48" w:rsidP="004B7B22">
      <w:pPr>
        <w:pStyle w:val="paragraph"/>
      </w:pPr>
      <w:r w:rsidRPr="008762B1">
        <w:tab/>
        <w:t>(a)</w:t>
      </w:r>
      <w:r w:rsidRPr="008762B1">
        <w:tab/>
        <w:t xml:space="preserve">accepts and processes mixed </w:t>
      </w:r>
      <w:r w:rsidR="000E76B4" w:rsidRPr="008762B1">
        <w:t xml:space="preserve">solid </w:t>
      </w:r>
      <w:r w:rsidR="004B7B22" w:rsidRPr="008762B1">
        <w:t>waste</w:t>
      </w:r>
      <w:r w:rsidR="00C87839" w:rsidRPr="008762B1">
        <w:t xml:space="preserve"> using eligible waste treatment technology</w:t>
      </w:r>
      <w:r w:rsidRPr="008762B1">
        <w:t>; and</w:t>
      </w:r>
    </w:p>
    <w:p w:rsidR="00797304" w:rsidRPr="008762B1" w:rsidRDefault="00024C48" w:rsidP="00024C48">
      <w:pPr>
        <w:pStyle w:val="paragraph"/>
      </w:pPr>
      <w:r w:rsidRPr="008762B1">
        <w:tab/>
        <w:t>(b)</w:t>
      </w:r>
      <w:r w:rsidRPr="008762B1">
        <w:tab/>
        <w:t>extracts recy</w:t>
      </w:r>
      <w:r w:rsidR="00797304" w:rsidRPr="008762B1">
        <w:t>clable materials from the waste.</w:t>
      </w:r>
    </w:p>
    <w:p w:rsidR="00F85B0C" w:rsidRPr="008762B1" w:rsidRDefault="00F85B0C" w:rsidP="00F85B0C">
      <w:pPr>
        <w:pStyle w:val="Definition"/>
      </w:pPr>
      <w:r w:rsidRPr="008762B1">
        <w:rPr>
          <w:b/>
          <w:i/>
        </w:rPr>
        <w:t>alternative waste treatment project</w:t>
      </w:r>
      <w:r w:rsidR="00422C8E" w:rsidRPr="008762B1">
        <w:t xml:space="preserve"> </w:t>
      </w:r>
      <w:r w:rsidR="00930FA1" w:rsidRPr="008762B1">
        <w:t xml:space="preserve">or </w:t>
      </w:r>
      <w:proofErr w:type="spellStart"/>
      <w:r w:rsidR="00930FA1" w:rsidRPr="008762B1">
        <w:rPr>
          <w:b/>
          <w:i/>
        </w:rPr>
        <w:t>AWT</w:t>
      </w:r>
      <w:proofErr w:type="spellEnd"/>
      <w:r w:rsidR="00930FA1" w:rsidRPr="008762B1">
        <w:rPr>
          <w:b/>
          <w:i/>
        </w:rPr>
        <w:t xml:space="preserve"> project</w:t>
      </w:r>
      <w:r w:rsidR="00930FA1" w:rsidRPr="008762B1">
        <w:t xml:space="preserve"> </w:t>
      </w:r>
      <w:r w:rsidR="00422C8E" w:rsidRPr="008762B1">
        <w:t xml:space="preserve">has the meaning given by </w:t>
      </w:r>
      <w:r w:rsidRPr="008762B1">
        <w:t>subsection</w:t>
      </w:r>
      <w:r w:rsidR="008762B1" w:rsidRPr="008762B1">
        <w:t> </w:t>
      </w:r>
      <w:r w:rsidR="004E7255" w:rsidRPr="008762B1">
        <w:t>9</w:t>
      </w:r>
      <w:r w:rsidRPr="008762B1">
        <w:t>(2).</w:t>
      </w:r>
    </w:p>
    <w:p w:rsidR="00673DC7" w:rsidRPr="008762B1" w:rsidRDefault="00686D3A" w:rsidP="00EA7063">
      <w:pPr>
        <w:pStyle w:val="Definition"/>
      </w:pPr>
      <w:r w:rsidRPr="008762B1">
        <w:rPr>
          <w:b/>
          <w:i/>
        </w:rPr>
        <w:t>anaerobic digester</w:t>
      </w:r>
      <w:r w:rsidRPr="008762B1">
        <w:t xml:space="preserve"> means a</w:t>
      </w:r>
      <w:r w:rsidR="00673DC7" w:rsidRPr="008762B1">
        <w:t xml:space="preserve"> system</w:t>
      </w:r>
      <w:r w:rsidR="00EA7063" w:rsidRPr="008762B1">
        <w:t xml:space="preserve"> </w:t>
      </w:r>
      <w:r w:rsidR="00622049" w:rsidRPr="008762B1">
        <w:t xml:space="preserve">that </w:t>
      </w:r>
      <w:r w:rsidR="00673DC7" w:rsidRPr="008762B1">
        <w:t>consists of:</w:t>
      </w:r>
    </w:p>
    <w:p w:rsidR="00622049" w:rsidRPr="008762B1" w:rsidRDefault="00673DC7" w:rsidP="00EA7063">
      <w:pPr>
        <w:pStyle w:val="paragraph"/>
      </w:pPr>
      <w:r w:rsidRPr="008762B1">
        <w:tab/>
      </w:r>
      <w:r w:rsidR="00EA7063" w:rsidRPr="008762B1">
        <w:t>(a</w:t>
      </w:r>
      <w:r w:rsidRPr="008762B1">
        <w:t>)</w:t>
      </w:r>
      <w:r w:rsidRPr="008762B1">
        <w:tab/>
        <w:t>one or more</w:t>
      </w:r>
      <w:r w:rsidR="00686D3A" w:rsidRPr="008762B1">
        <w:t xml:space="preserve"> closed unit</w:t>
      </w:r>
      <w:r w:rsidRPr="008762B1">
        <w:t>s</w:t>
      </w:r>
      <w:r w:rsidR="00686D3A" w:rsidRPr="008762B1">
        <w:t xml:space="preserve"> </w:t>
      </w:r>
      <w:r w:rsidR="00622049" w:rsidRPr="008762B1">
        <w:t>designed to promote anaerobic digestion; and</w:t>
      </w:r>
    </w:p>
    <w:p w:rsidR="00622049" w:rsidRPr="008762B1" w:rsidRDefault="00EA7063" w:rsidP="00EA7063">
      <w:pPr>
        <w:pStyle w:val="paragraph"/>
      </w:pPr>
      <w:r w:rsidRPr="008762B1">
        <w:tab/>
        <w:t>(b</w:t>
      </w:r>
      <w:r w:rsidR="00622049" w:rsidRPr="008762B1">
        <w:t>)</w:t>
      </w:r>
      <w:r w:rsidR="00622049" w:rsidRPr="008762B1">
        <w:tab/>
      </w:r>
      <w:r w:rsidR="00686D3A" w:rsidRPr="008762B1">
        <w:t xml:space="preserve">a biogas collection </w:t>
      </w:r>
      <w:r w:rsidR="000E76B4" w:rsidRPr="008762B1">
        <w:t>system</w:t>
      </w:r>
      <w:r w:rsidR="00622049" w:rsidRPr="008762B1">
        <w:t>;</w:t>
      </w:r>
      <w:r w:rsidR="000E76B4" w:rsidRPr="008762B1">
        <w:t xml:space="preserve"> and</w:t>
      </w:r>
    </w:p>
    <w:p w:rsidR="00622049" w:rsidRPr="008762B1" w:rsidRDefault="00EA7063" w:rsidP="00EA7063">
      <w:pPr>
        <w:pStyle w:val="paragraph"/>
      </w:pPr>
      <w:r w:rsidRPr="008762B1">
        <w:tab/>
        <w:t>(c</w:t>
      </w:r>
      <w:r w:rsidR="00622049" w:rsidRPr="008762B1">
        <w:t>)</w:t>
      </w:r>
      <w:r w:rsidR="00622049" w:rsidRPr="008762B1">
        <w:tab/>
        <w:t>any equipment associated</w:t>
      </w:r>
      <w:r w:rsidR="000E76B4" w:rsidRPr="008762B1">
        <w:t xml:space="preserve"> </w:t>
      </w:r>
      <w:r w:rsidR="00622049" w:rsidRPr="008762B1">
        <w:t xml:space="preserve">with </w:t>
      </w:r>
      <w:r w:rsidR="000E76B4" w:rsidRPr="008762B1">
        <w:t>the transfer o</w:t>
      </w:r>
      <w:r w:rsidR="00622049" w:rsidRPr="008762B1">
        <w:t>f biogas to a combustion device</w:t>
      </w:r>
      <w:r w:rsidRPr="008762B1">
        <w:t>.</w:t>
      </w:r>
    </w:p>
    <w:p w:rsidR="00686D3A" w:rsidRPr="008762B1" w:rsidRDefault="00686D3A" w:rsidP="00686D3A">
      <w:pPr>
        <w:pStyle w:val="notetext"/>
      </w:pPr>
      <w:r w:rsidRPr="008762B1">
        <w:t>Note:</w:t>
      </w:r>
      <w:r w:rsidRPr="008762B1">
        <w:tab/>
        <w:t>Examples of anaerobic digesters include the following:</w:t>
      </w:r>
    </w:p>
    <w:p w:rsidR="00686D3A" w:rsidRPr="008762B1" w:rsidRDefault="00686D3A" w:rsidP="00686D3A">
      <w:pPr>
        <w:pStyle w:val="notepara"/>
      </w:pPr>
      <w:r w:rsidRPr="008762B1">
        <w:t>(a)</w:t>
      </w:r>
      <w:r w:rsidRPr="008762B1">
        <w:tab/>
        <w:t>covered anaerobic lagoons;</w:t>
      </w:r>
    </w:p>
    <w:p w:rsidR="00686D3A" w:rsidRPr="008762B1" w:rsidRDefault="00686D3A" w:rsidP="00686D3A">
      <w:pPr>
        <w:pStyle w:val="notepara"/>
      </w:pPr>
      <w:r w:rsidRPr="008762B1">
        <w:t>(b)</w:t>
      </w:r>
      <w:r w:rsidRPr="008762B1">
        <w:tab/>
        <w:t>plug</w:t>
      </w:r>
      <w:r w:rsidR="008762B1">
        <w:noBreakHyphen/>
      </w:r>
      <w:r w:rsidRPr="008762B1">
        <w:t>flow reactors;</w:t>
      </w:r>
    </w:p>
    <w:p w:rsidR="00686D3A" w:rsidRPr="008762B1" w:rsidRDefault="00686D3A" w:rsidP="00686D3A">
      <w:pPr>
        <w:pStyle w:val="notepara"/>
      </w:pPr>
      <w:r w:rsidRPr="008762B1">
        <w:t>(c)</w:t>
      </w:r>
      <w:r w:rsidRPr="008762B1">
        <w:tab/>
        <w:t>continuously stirred tank reactors;</w:t>
      </w:r>
    </w:p>
    <w:p w:rsidR="00686D3A" w:rsidRPr="008762B1" w:rsidRDefault="00686D3A" w:rsidP="00686D3A">
      <w:pPr>
        <w:pStyle w:val="notepara"/>
      </w:pPr>
      <w:r w:rsidRPr="008762B1">
        <w:t>(d)</w:t>
      </w:r>
      <w:r w:rsidRPr="008762B1">
        <w:tab/>
        <w:t>fixed film digesters;</w:t>
      </w:r>
    </w:p>
    <w:p w:rsidR="00686D3A" w:rsidRPr="008762B1" w:rsidRDefault="00686D3A" w:rsidP="00686D3A">
      <w:pPr>
        <w:pStyle w:val="notepara"/>
      </w:pPr>
      <w:r w:rsidRPr="008762B1">
        <w:t>(e)</w:t>
      </w:r>
      <w:r w:rsidRPr="008762B1">
        <w:tab/>
      </w:r>
      <w:proofErr w:type="spellStart"/>
      <w:r w:rsidRPr="008762B1">
        <w:t>upflow</w:t>
      </w:r>
      <w:proofErr w:type="spellEnd"/>
      <w:r w:rsidRPr="008762B1">
        <w:t xml:space="preserve"> anaerobic sludge blanket digesters.</w:t>
      </w:r>
    </w:p>
    <w:p w:rsidR="009B7F22" w:rsidRPr="008762B1" w:rsidRDefault="009B7F22" w:rsidP="009B7F22">
      <w:pPr>
        <w:pStyle w:val="Definition"/>
      </w:pPr>
      <w:r w:rsidRPr="008762B1">
        <w:rPr>
          <w:b/>
          <w:i/>
        </w:rPr>
        <w:lastRenderedPageBreak/>
        <w:t>anaerobic digestion</w:t>
      </w:r>
      <w:r w:rsidRPr="008762B1">
        <w:rPr>
          <w:i/>
        </w:rPr>
        <w:t xml:space="preserve"> </w:t>
      </w:r>
      <w:r w:rsidRPr="008762B1">
        <w:t xml:space="preserve">means </w:t>
      </w:r>
      <w:r w:rsidR="00BE09F2" w:rsidRPr="008762B1">
        <w:t>a b</w:t>
      </w:r>
      <w:r w:rsidRPr="008762B1">
        <w:t xml:space="preserve">iological process </w:t>
      </w:r>
      <w:r w:rsidR="00BE09F2" w:rsidRPr="008762B1">
        <w:t>in which</w:t>
      </w:r>
      <w:r w:rsidRPr="008762B1">
        <w:t xml:space="preserve"> organic matter is broken down by </w:t>
      </w:r>
      <w:r w:rsidR="004929D1" w:rsidRPr="008762B1">
        <w:t>microorganisms</w:t>
      </w:r>
      <w:r w:rsidRPr="008762B1">
        <w:t xml:space="preserve"> in the absence of oxygen.</w:t>
      </w:r>
    </w:p>
    <w:p w:rsidR="00EF650A" w:rsidRPr="008762B1" w:rsidRDefault="00EF650A" w:rsidP="009B7F22">
      <w:pPr>
        <w:pStyle w:val="Definition"/>
      </w:pPr>
      <w:r w:rsidRPr="008762B1">
        <w:rPr>
          <w:b/>
          <w:i/>
        </w:rPr>
        <w:t>applicable equation</w:t>
      </w:r>
      <w:r w:rsidRPr="008762B1">
        <w:t xml:space="preserve"> has the meaning given by subsection</w:t>
      </w:r>
      <w:r w:rsidR="008762B1" w:rsidRPr="008762B1">
        <w:t> </w:t>
      </w:r>
      <w:r w:rsidR="004E7255" w:rsidRPr="008762B1">
        <w:t>41</w:t>
      </w:r>
      <w:r w:rsidR="00FB6C46" w:rsidRPr="008762B1">
        <w:t>(4</w:t>
      </w:r>
      <w:r w:rsidRPr="008762B1">
        <w:t>).</w:t>
      </w:r>
    </w:p>
    <w:p w:rsidR="007F2022" w:rsidRPr="008762B1" w:rsidRDefault="007F2022" w:rsidP="009B7F22">
      <w:pPr>
        <w:pStyle w:val="Definition"/>
      </w:pPr>
      <w:r w:rsidRPr="008762B1">
        <w:rPr>
          <w:b/>
          <w:i/>
        </w:rPr>
        <w:t>appropriate evidence</w:t>
      </w:r>
      <w:r w:rsidRPr="008762B1">
        <w:t xml:space="preserve"> has the m</w:t>
      </w:r>
      <w:r w:rsidR="00B06C75" w:rsidRPr="008762B1">
        <w:t>eaning given by subsection</w:t>
      </w:r>
      <w:r w:rsidR="008762B1" w:rsidRPr="008762B1">
        <w:t> </w:t>
      </w:r>
      <w:r w:rsidR="00B06C75" w:rsidRPr="008762B1">
        <w:t>27(4</w:t>
      </w:r>
      <w:r w:rsidRPr="008762B1">
        <w:t>).</w:t>
      </w:r>
    </w:p>
    <w:p w:rsidR="00797304" w:rsidRPr="008762B1" w:rsidRDefault="00797304" w:rsidP="009B7F22">
      <w:pPr>
        <w:pStyle w:val="Definition"/>
      </w:pPr>
      <w:r w:rsidRPr="008762B1">
        <w:rPr>
          <w:b/>
          <w:i/>
        </w:rPr>
        <w:t>appropriate measuring requirements</w:t>
      </w:r>
      <w:r w:rsidRPr="008762B1">
        <w:t xml:space="preserve"> has the meaning given by subsection</w:t>
      </w:r>
      <w:r w:rsidR="008762B1" w:rsidRPr="008762B1">
        <w:t> </w:t>
      </w:r>
      <w:r w:rsidR="004E7255" w:rsidRPr="008762B1">
        <w:t>45</w:t>
      </w:r>
      <w:r w:rsidR="00344973" w:rsidRPr="008762B1">
        <w:t>(4</w:t>
      </w:r>
      <w:r w:rsidRPr="008762B1">
        <w:t>).</w:t>
      </w:r>
    </w:p>
    <w:p w:rsidR="00216E85" w:rsidRPr="008762B1" w:rsidRDefault="00216E85" w:rsidP="009B7F22">
      <w:pPr>
        <w:pStyle w:val="Definition"/>
      </w:pPr>
      <w:proofErr w:type="spellStart"/>
      <w:r w:rsidRPr="008762B1">
        <w:rPr>
          <w:b/>
          <w:i/>
        </w:rPr>
        <w:t>biobased</w:t>
      </w:r>
      <w:proofErr w:type="spellEnd"/>
      <w:r w:rsidRPr="008762B1">
        <w:rPr>
          <w:b/>
          <w:i/>
        </w:rPr>
        <w:t xml:space="preserve"> product</w:t>
      </w:r>
      <w:r w:rsidR="00BE5964" w:rsidRPr="008762B1">
        <w:t xml:space="preserve"> means a</w:t>
      </w:r>
      <w:r w:rsidRPr="008762B1">
        <w:t xml:space="preserve"> product that:</w:t>
      </w:r>
    </w:p>
    <w:p w:rsidR="00216E85" w:rsidRPr="008762B1" w:rsidRDefault="00216E85" w:rsidP="00216E85">
      <w:pPr>
        <w:pStyle w:val="paragraph"/>
      </w:pPr>
      <w:r w:rsidRPr="008762B1">
        <w:tab/>
        <w:t>(a)</w:t>
      </w:r>
      <w:r w:rsidRPr="008762B1">
        <w:tab/>
        <w:t xml:space="preserve">is manufactured by an </w:t>
      </w:r>
      <w:proofErr w:type="spellStart"/>
      <w:r w:rsidRPr="008762B1">
        <w:t>AWT</w:t>
      </w:r>
      <w:proofErr w:type="spellEnd"/>
      <w:r w:rsidRPr="008762B1">
        <w:t xml:space="preserve"> facility; and</w:t>
      </w:r>
    </w:p>
    <w:p w:rsidR="00216E85" w:rsidRPr="008762B1" w:rsidRDefault="00216E85" w:rsidP="00216E85">
      <w:pPr>
        <w:pStyle w:val="paragraph"/>
      </w:pPr>
      <w:r w:rsidRPr="008762B1">
        <w:tab/>
        <w:t>(b)</w:t>
      </w:r>
      <w:r w:rsidRPr="008762B1">
        <w:tab/>
        <w:t>contain</w:t>
      </w:r>
      <w:r w:rsidR="00A610E0" w:rsidRPr="008762B1">
        <w:t>s material that was previously putrescible eligible waste</w:t>
      </w:r>
      <w:r w:rsidRPr="008762B1">
        <w:t>.</w:t>
      </w:r>
    </w:p>
    <w:p w:rsidR="00A93CD8" w:rsidRPr="008762B1" w:rsidRDefault="00A93CD8" w:rsidP="00A93CD8">
      <w:pPr>
        <w:pStyle w:val="notetext"/>
      </w:pPr>
      <w:r w:rsidRPr="008762B1">
        <w:t>Note:</w:t>
      </w:r>
      <w:r w:rsidRPr="008762B1">
        <w:tab/>
        <w:t xml:space="preserve">Examples of </w:t>
      </w:r>
      <w:proofErr w:type="spellStart"/>
      <w:r w:rsidRPr="008762B1">
        <w:t>biobased</w:t>
      </w:r>
      <w:proofErr w:type="spellEnd"/>
      <w:r w:rsidRPr="008762B1">
        <w:t xml:space="preserve"> products include the following:</w:t>
      </w:r>
    </w:p>
    <w:p w:rsidR="00A93CD8" w:rsidRPr="008762B1" w:rsidRDefault="00A93CD8" w:rsidP="00A93CD8">
      <w:pPr>
        <w:pStyle w:val="notepara"/>
      </w:pPr>
      <w:r w:rsidRPr="008762B1">
        <w:t>(a)</w:t>
      </w:r>
      <w:r w:rsidRPr="008762B1">
        <w:tab/>
        <w:t>compost;</w:t>
      </w:r>
    </w:p>
    <w:p w:rsidR="00A93CD8" w:rsidRPr="008762B1" w:rsidRDefault="00A93CD8" w:rsidP="00A93CD8">
      <w:pPr>
        <w:pStyle w:val="notepara"/>
      </w:pPr>
      <w:r w:rsidRPr="008762B1">
        <w:t>(b)</w:t>
      </w:r>
      <w:r w:rsidRPr="008762B1">
        <w:tab/>
        <w:t>landscape mulch;</w:t>
      </w:r>
    </w:p>
    <w:p w:rsidR="00A93CD8" w:rsidRPr="008762B1" w:rsidRDefault="00A93CD8" w:rsidP="00A93CD8">
      <w:pPr>
        <w:pStyle w:val="notepara"/>
      </w:pPr>
      <w:r w:rsidRPr="008762B1">
        <w:t>(c)</w:t>
      </w:r>
      <w:r w:rsidR="00EA7063" w:rsidRPr="008762B1">
        <w:tab/>
        <w:t>mine site remediation material;</w:t>
      </w:r>
    </w:p>
    <w:p w:rsidR="00EA7063" w:rsidRPr="008762B1" w:rsidRDefault="00EA7063" w:rsidP="00A93CD8">
      <w:pPr>
        <w:pStyle w:val="notepara"/>
      </w:pPr>
      <w:r w:rsidRPr="008762B1">
        <w:t>(d)</w:t>
      </w:r>
      <w:r w:rsidRPr="008762B1">
        <w:tab/>
        <w:t>soil conditioner.</w:t>
      </w:r>
    </w:p>
    <w:p w:rsidR="000E76B4" w:rsidRPr="008762B1" w:rsidRDefault="000E76B4" w:rsidP="000E76B4">
      <w:pPr>
        <w:pStyle w:val="Definition"/>
      </w:pPr>
      <w:proofErr w:type="spellStart"/>
      <w:r w:rsidRPr="008762B1">
        <w:rPr>
          <w:b/>
          <w:i/>
        </w:rPr>
        <w:t>biofilter</w:t>
      </w:r>
      <w:proofErr w:type="spellEnd"/>
      <w:r w:rsidRPr="008762B1">
        <w:rPr>
          <w:b/>
          <w:i/>
        </w:rPr>
        <w:t xml:space="preserve"> </w:t>
      </w:r>
      <w:r w:rsidRPr="008762B1">
        <w:t>means an engineered system that contains living compost</w:t>
      </w:r>
      <w:r w:rsidR="008762B1">
        <w:noBreakHyphen/>
      </w:r>
      <w:r w:rsidRPr="008762B1">
        <w:t>like material through which biogas passes for methane oxidation.</w:t>
      </w:r>
    </w:p>
    <w:p w:rsidR="009B719C" w:rsidRPr="008762B1" w:rsidRDefault="009B719C" w:rsidP="009B719C">
      <w:pPr>
        <w:pStyle w:val="Definition"/>
      </w:pPr>
      <w:r w:rsidRPr="008762B1">
        <w:rPr>
          <w:b/>
          <w:i/>
        </w:rPr>
        <w:t>biogas collection efficiency</w:t>
      </w:r>
      <w:r w:rsidRPr="008762B1">
        <w:t xml:space="preserve"> means the percentage of biogas generated in an </w:t>
      </w:r>
      <w:r w:rsidR="0041338C" w:rsidRPr="008762B1">
        <w:t>anaerobic</w:t>
      </w:r>
      <w:r w:rsidRPr="008762B1">
        <w:t xml:space="preserve"> digester that is sent to a combustion device.</w:t>
      </w:r>
    </w:p>
    <w:p w:rsidR="00DC48D6" w:rsidRPr="008762B1" w:rsidRDefault="00DC48D6" w:rsidP="00DC48D6">
      <w:pPr>
        <w:pStyle w:val="Definition"/>
      </w:pPr>
      <w:proofErr w:type="spellStart"/>
      <w:r w:rsidRPr="008762B1">
        <w:rPr>
          <w:b/>
          <w:i/>
        </w:rPr>
        <w:t>biosolids</w:t>
      </w:r>
      <w:proofErr w:type="spellEnd"/>
      <w:r w:rsidRPr="008762B1">
        <w:t xml:space="preserve"> means a mixture of mainly water and organic materials that:</w:t>
      </w:r>
    </w:p>
    <w:p w:rsidR="00DC48D6" w:rsidRPr="008762B1" w:rsidRDefault="00DC48D6" w:rsidP="00DC48D6">
      <w:pPr>
        <w:pStyle w:val="paragraph"/>
      </w:pPr>
      <w:r w:rsidRPr="008762B1">
        <w:tab/>
        <w:t>(a)</w:t>
      </w:r>
      <w:r w:rsidRPr="008762B1">
        <w:tab/>
        <w:t>is produced entirely from domestic or commercial waste water treatment processes; and</w:t>
      </w:r>
    </w:p>
    <w:p w:rsidR="00DC48D6" w:rsidRPr="008762B1" w:rsidRDefault="00DC48D6" w:rsidP="00DC48D6">
      <w:pPr>
        <w:pStyle w:val="paragraph"/>
      </w:pPr>
      <w:r w:rsidRPr="008762B1">
        <w:tab/>
        <w:t>(b)</w:t>
      </w:r>
      <w:r w:rsidRPr="008762B1">
        <w:tab/>
        <w:t xml:space="preserve">has undergone further </w:t>
      </w:r>
      <w:r w:rsidR="00181CA6" w:rsidRPr="008762B1">
        <w:t>processing</w:t>
      </w:r>
      <w:r w:rsidRPr="008762B1">
        <w:t xml:space="preserve"> to significantly reduce disease</w:t>
      </w:r>
      <w:r w:rsidR="008762B1">
        <w:noBreakHyphen/>
      </w:r>
      <w:r w:rsidRPr="008762B1">
        <w:t>causing pathogens and volatile organic matter; and</w:t>
      </w:r>
      <w:bookmarkStart w:id="9" w:name="_GoBack"/>
      <w:bookmarkEnd w:id="9"/>
    </w:p>
    <w:p w:rsidR="00DC48D6" w:rsidRPr="008762B1" w:rsidRDefault="00DC48D6" w:rsidP="00DC48D6">
      <w:pPr>
        <w:pStyle w:val="paragraph"/>
      </w:pPr>
      <w:r w:rsidRPr="008762B1">
        <w:tab/>
        <w:t>(c)</w:t>
      </w:r>
      <w:r w:rsidRPr="008762B1">
        <w:tab/>
        <w:t>has been stabilised for beneficial use.</w:t>
      </w:r>
    </w:p>
    <w:p w:rsidR="0058208C" w:rsidRPr="008762B1" w:rsidRDefault="00A14D72" w:rsidP="0058208C">
      <w:pPr>
        <w:pStyle w:val="Definition"/>
      </w:pPr>
      <w:r w:rsidRPr="008762B1">
        <w:rPr>
          <w:b/>
          <w:i/>
        </w:rPr>
        <w:t xml:space="preserve">CFI </w:t>
      </w:r>
      <w:proofErr w:type="spellStart"/>
      <w:r w:rsidRPr="008762B1">
        <w:rPr>
          <w:b/>
          <w:i/>
        </w:rPr>
        <w:t>AWT</w:t>
      </w:r>
      <w:proofErr w:type="spellEnd"/>
      <w:r w:rsidRPr="008762B1">
        <w:rPr>
          <w:b/>
          <w:i/>
        </w:rPr>
        <w:t xml:space="preserve"> determination</w:t>
      </w:r>
      <w:r w:rsidRPr="008762B1">
        <w:t xml:space="preserve"> means </w:t>
      </w:r>
      <w:r w:rsidR="0058208C" w:rsidRPr="008762B1">
        <w:t xml:space="preserve">the following methodology determinations as in force immediately before the </w:t>
      </w:r>
      <w:proofErr w:type="spellStart"/>
      <w:r w:rsidR="0058208C" w:rsidRPr="008762B1">
        <w:t>ERF</w:t>
      </w:r>
      <w:proofErr w:type="spellEnd"/>
      <w:r w:rsidR="0058208C" w:rsidRPr="008762B1">
        <w:t xml:space="preserve"> commencement day:</w:t>
      </w:r>
    </w:p>
    <w:p w:rsidR="0058208C" w:rsidRPr="008762B1" w:rsidRDefault="0058208C" w:rsidP="0058208C">
      <w:pPr>
        <w:pStyle w:val="paragraph"/>
      </w:pPr>
      <w:r w:rsidRPr="008762B1">
        <w:tab/>
        <w:t>(a)</w:t>
      </w:r>
      <w:r w:rsidRPr="008762B1">
        <w:tab/>
        <w:t xml:space="preserve">the </w:t>
      </w:r>
      <w:r w:rsidRPr="008762B1">
        <w:rPr>
          <w:i/>
        </w:rPr>
        <w:t>Carbon Credits (Carbon Farming Initiative) (Avoided Emissions from Diverting Legacy Waste from Landfill for Process Engineered Fuel Manufacture) Methodology Determination</w:t>
      </w:r>
      <w:r w:rsidR="008762B1" w:rsidRPr="008762B1">
        <w:rPr>
          <w:i/>
        </w:rPr>
        <w:t> </w:t>
      </w:r>
      <w:r w:rsidRPr="008762B1">
        <w:rPr>
          <w:i/>
        </w:rPr>
        <w:t>2012</w:t>
      </w:r>
      <w:r w:rsidRPr="008762B1">
        <w:t>;</w:t>
      </w:r>
    </w:p>
    <w:p w:rsidR="0058208C" w:rsidRPr="008762B1" w:rsidRDefault="0058208C" w:rsidP="0058208C">
      <w:pPr>
        <w:pStyle w:val="paragraph"/>
      </w:pPr>
      <w:r w:rsidRPr="008762B1">
        <w:tab/>
        <w:t>(b)</w:t>
      </w:r>
      <w:r w:rsidRPr="008762B1">
        <w:tab/>
        <w:t xml:space="preserve">the </w:t>
      </w:r>
      <w:r w:rsidRPr="008762B1">
        <w:rPr>
          <w:i/>
        </w:rPr>
        <w:t>Carbon Credits (Carbon Farming Initiative) (Avoided Emissions from Diverting Legacy Waste through a Composting Alternative Waste Technology) Methodology Determination</w:t>
      </w:r>
      <w:r w:rsidR="008762B1" w:rsidRPr="008762B1">
        <w:rPr>
          <w:i/>
        </w:rPr>
        <w:t> </w:t>
      </w:r>
      <w:r w:rsidRPr="008762B1">
        <w:rPr>
          <w:i/>
        </w:rPr>
        <w:t>2013</w:t>
      </w:r>
      <w:r w:rsidRPr="008762B1">
        <w:t>;</w:t>
      </w:r>
    </w:p>
    <w:p w:rsidR="0058208C" w:rsidRPr="008762B1" w:rsidRDefault="0058208C" w:rsidP="0058208C">
      <w:pPr>
        <w:pStyle w:val="paragraph"/>
      </w:pPr>
      <w:r w:rsidRPr="008762B1">
        <w:tab/>
        <w:t>(c)</w:t>
      </w:r>
      <w:r w:rsidRPr="008762B1">
        <w:tab/>
        <w:t xml:space="preserve">the </w:t>
      </w:r>
      <w:r w:rsidRPr="008762B1">
        <w:rPr>
          <w:i/>
        </w:rPr>
        <w:t>Carbon Credits (Carbon Farming Initiative) (Diversion of Legacy Waste to an Alternative Waste Treatment Facility) Methodology Determination</w:t>
      </w:r>
      <w:r w:rsidR="008762B1" w:rsidRPr="008762B1">
        <w:rPr>
          <w:i/>
        </w:rPr>
        <w:t> </w:t>
      </w:r>
      <w:r w:rsidRPr="008762B1">
        <w:rPr>
          <w:i/>
        </w:rPr>
        <w:t>2013</w:t>
      </w:r>
      <w:r w:rsidRPr="008762B1">
        <w:t>;</w:t>
      </w:r>
    </w:p>
    <w:p w:rsidR="0058208C" w:rsidRPr="008762B1" w:rsidRDefault="0058208C" w:rsidP="0058208C">
      <w:pPr>
        <w:pStyle w:val="paragraph"/>
      </w:pPr>
      <w:r w:rsidRPr="008762B1">
        <w:tab/>
        <w:t>(d)</w:t>
      </w:r>
      <w:r w:rsidRPr="008762B1">
        <w:tab/>
        <w:t xml:space="preserve">the </w:t>
      </w:r>
      <w:r w:rsidRPr="008762B1">
        <w:rPr>
          <w:i/>
        </w:rPr>
        <w:t>Carbon Credits (Carbon Farming Initiative) (Enclosed Mechanical Processing and Composting Alternative Waste Treatment) Methodology Determination</w:t>
      </w:r>
      <w:r w:rsidR="008762B1" w:rsidRPr="008762B1">
        <w:rPr>
          <w:i/>
        </w:rPr>
        <w:t> </w:t>
      </w:r>
      <w:r w:rsidRPr="008762B1">
        <w:rPr>
          <w:i/>
        </w:rPr>
        <w:t>2013</w:t>
      </w:r>
      <w:r w:rsidRPr="008762B1">
        <w:t>.</w:t>
      </w:r>
    </w:p>
    <w:p w:rsidR="0028703B" w:rsidRPr="008762B1" w:rsidRDefault="005A0238" w:rsidP="005A0238">
      <w:pPr>
        <w:pStyle w:val="Definition"/>
      </w:pPr>
      <w:r w:rsidRPr="008762B1">
        <w:rPr>
          <w:b/>
          <w:i/>
        </w:rPr>
        <w:t>combustion device</w:t>
      </w:r>
      <w:r w:rsidRPr="008762B1">
        <w:t xml:space="preserve"> means</w:t>
      </w:r>
      <w:r w:rsidR="0028703B" w:rsidRPr="008762B1">
        <w:t>:</w:t>
      </w:r>
    </w:p>
    <w:p w:rsidR="0041338C" w:rsidRPr="008762B1" w:rsidRDefault="0028703B" w:rsidP="0028703B">
      <w:pPr>
        <w:pStyle w:val="paragraph"/>
      </w:pPr>
      <w:r w:rsidRPr="008762B1">
        <w:tab/>
        <w:t>(a)</w:t>
      </w:r>
      <w:r w:rsidRPr="008762B1">
        <w:tab/>
      </w:r>
      <w:r w:rsidR="0041338C" w:rsidRPr="008762B1">
        <w:t>a boiler</w:t>
      </w:r>
      <w:r w:rsidR="00EA11DE" w:rsidRPr="008762B1">
        <w:t>,</w:t>
      </w:r>
      <w:r w:rsidR="0041338C" w:rsidRPr="008762B1">
        <w:t xml:space="preserve"> o</w:t>
      </w:r>
      <w:r w:rsidR="00EA7063" w:rsidRPr="008762B1">
        <w:t>r an internal combustion engine</w:t>
      </w:r>
      <w:r w:rsidR="00EA11DE" w:rsidRPr="008762B1">
        <w:t>, that is operated in accordance with the manufacturer’s instructions</w:t>
      </w:r>
      <w:r w:rsidR="0041338C" w:rsidRPr="008762B1">
        <w:t>; or</w:t>
      </w:r>
    </w:p>
    <w:p w:rsidR="000E76B4" w:rsidRPr="008762B1" w:rsidRDefault="000E76B4" w:rsidP="0028703B">
      <w:pPr>
        <w:pStyle w:val="paragraph"/>
      </w:pPr>
      <w:r w:rsidRPr="008762B1">
        <w:lastRenderedPageBreak/>
        <w:tab/>
        <w:t>(b)</w:t>
      </w:r>
      <w:r w:rsidRPr="008762B1">
        <w:tab/>
        <w:t>a flare that has a monitoring and control system</w:t>
      </w:r>
      <w:r w:rsidR="00EA11DE" w:rsidRPr="008762B1">
        <w:t xml:space="preserve"> and is operated in accordance with the manufacturer’s instructions</w:t>
      </w:r>
      <w:r w:rsidRPr="008762B1">
        <w:t>; or</w:t>
      </w:r>
    </w:p>
    <w:p w:rsidR="0041338C" w:rsidRPr="008762B1" w:rsidRDefault="008D4ED0" w:rsidP="0028703B">
      <w:pPr>
        <w:pStyle w:val="paragraph"/>
      </w:pPr>
      <w:r w:rsidRPr="008762B1">
        <w:tab/>
        <w:t>(c</w:t>
      </w:r>
      <w:r w:rsidR="0041338C" w:rsidRPr="008762B1">
        <w:t>)</w:t>
      </w:r>
      <w:r w:rsidR="0041338C" w:rsidRPr="008762B1">
        <w:tab/>
        <w:t>a device:</w:t>
      </w:r>
    </w:p>
    <w:p w:rsidR="0041338C" w:rsidRPr="008762B1" w:rsidRDefault="00EA7063" w:rsidP="0041338C">
      <w:pPr>
        <w:pStyle w:val="paragraphsub"/>
      </w:pPr>
      <w:r w:rsidRPr="008762B1">
        <w:tab/>
        <w:t>(</w:t>
      </w:r>
      <w:proofErr w:type="spellStart"/>
      <w:r w:rsidRPr="008762B1">
        <w:t>i</w:t>
      </w:r>
      <w:proofErr w:type="spellEnd"/>
      <w:r w:rsidRPr="008762B1">
        <w:t>)</w:t>
      </w:r>
      <w:r w:rsidRPr="008762B1">
        <w:tab/>
      </w:r>
      <w:r w:rsidR="00EA11DE" w:rsidRPr="008762B1">
        <w:t xml:space="preserve">that </w:t>
      </w:r>
      <w:r w:rsidR="0041338C" w:rsidRPr="008762B1">
        <w:t>combusts biogas with a destruction efficiency of at least 98%;</w:t>
      </w:r>
      <w:r w:rsidR="00EA11DE" w:rsidRPr="008762B1">
        <w:t xml:space="preserve"> and</w:t>
      </w:r>
    </w:p>
    <w:p w:rsidR="00043C40" w:rsidRPr="008762B1" w:rsidRDefault="00EA7063" w:rsidP="00043C40">
      <w:pPr>
        <w:pStyle w:val="paragraphsub"/>
      </w:pPr>
      <w:r w:rsidRPr="008762B1">
        <w:tab/>
        <w:t>(ii)</w:t>
      </w:r>
      <w:r w:rsidRPr="008762B1">
        <w:tab/>
      </w:r>
      <w:r w:rsidR="00EA11DE" w:rsidRPr="008762B1">
        <w:t xml:space="preserve">that </w:t>
      </w:r>
      <w:r w:rsidR="0041338C" w:rsidRPr="008762B1">
        <w:t xml:space="preserve">is operated in accordance with the </w:t>
      </w:r>
      <w:r w:rsidR="00EA11DE" w:rsidRPr="008762B1">
        <w:t>manufacturer’s instructions; and</w:t>
      </w:r>
    </w:p>
    <w:p w:rsidR="00EA11DE" w:rsidRPr="008762B1" w:rsidRDefault="00EA11DE" w:rsidP="00043C40">
      <w:pPr>
        <w:pStyle w:val="paragraphsub"/>
      </w:pPr>
      <w:r w:rsidRPr="008762B1">
        <w:tab/>
        <w:t>(iii)</w:t>
      </w:r>
      <w:r w:rsidRPr="008762B1">
        <w:tab/>
        <w:t>the combustion process of which is controlled using a monitoring and control system.</w:t>
      </w:r>
    </w:p>
    <w:p w:rsidR="00CB2C15" w:rsidRPr="008762B1" w:rsidRDefault="00CB2C15" w:rsidP="00CB2C15">
      <w:pPr>
        <w:pStyle w:val="Definition"/>
        <w:rPr>
          <w:szCs w:val="22"/>
        </w:rPr>
      </w:pPr>
      <w:r w:rsidRPr="008762B1">
        <w:rPr>
          <w:b/>
          <w:i/>
          <w:szCs w:val="22"/>
        </w:rPr>
        <w:t>commercial and industrial waste</w:t>
      </w:r>
      <w:r w:rsidRPr="008762B1">
        <w:rPr>
          <w:szCs w:val="22"/>
        </w:rPr>
        <w:t xml:space="preserve"> means waste generated from fixed point sources related to manufacturing, wholesale, retail, professional services and administration sectors.</w:t>
      </w:r>
    </w:p>
    <w:p w:rsidR="00136E10" w:rsidRPr="008762B1" w:rsidRDefault="00136E10" w:rsidP="00CB2C15">
      <w:pPr>
        <w:pStyle w:val="Definition"/>
        <w:rPr>
          <w:szCs w:val="22"/>
        </w:rPr>
      </w:pPr>
      <w:r w:rsidRPr="008762B1">
        <w:rPr>
          <w:b/>
          <w:i/>
          <w:szCs w:val="22"/>
        </w:rPr>
        <w:t>composting process</w:t>
      </w:r>
      <w:r w:rsidRPr="008762B1">
        <w:rPr>
          <w:szCs w:val="22"/>
        </w:rPr>
        <w:t xml:space="preserve"> means a biological process in which organic matter in solid waste is broken down by </w:t>
      </w:r>
      <w:r w:rsidR="004929D1" w:rsidRPr="008762B1">
        <w:rPr>
          <w:szCs w:val="22"/>
        </w:rPr>
        <w:t>microorganisms</w:t>
      </w:r>
      <w:r w:rsidRPr="008762B1">
        <w:rPr>
          <w:szCs w:val="22"/>
        </w:rPr>
        <w:t xml:space="preserve"> in the presence of oxygen.</w:t>
      </w:r>
    </w:p>
    <w:p w:rsidR="00CB2C15" w:rsidRPr="008762B1" w:rsidRDefault="00CB2C15" w:rsidP="00CB2C15">
      <w:pPr>
        <w:pStyle w:val="Definition"/>
      </w:pPr>
      <w:r w:rsidRPr="008762B1">
        <w:rPr>
          <w:b/>
          <w:i/>
        </w:rPr>
        <w:t>construction and demolition waste</w:t>
      </w:r>
      <w:r w:rsidRPr="008762B1">
        <w:t xml:space="preserve"> means waste generated from construction and </w:t>
      </w:r>
      <w:r w:rsidR="00721CCB" w:rsidRPr="008762B1">
        <w:t>demolition activities</w:t>
      </w:r>
      <w:r w:rsidRPr="008762B1">
        <w:t>.</w:t>
      </w:r>
    </w:p>
    <w:p w:rsidR="00043C40" w:rsidRPr="008762B1" w:rsidRDefault="00043C40" w:rsidP="00CB2C15">
      <w:pPr>
        <w:pStyle w:val="Definition"/>
      </w:pPr>
      <w:r w:rsidRPr="008762B1">
        <w:rPr>
          <w:b/>
          <w:i/>
        </w:rPr>
        <w:t>eligible CFI waste</w:t>
      </w:r>
      <w:r w:rsidR="008801C4" w:rsidRPr="008762B1">
        <w:t xml:space="preserve"> has the meaning given by section</w:t>
      </w:r>
      <w:r w:rsidR="008762B1" w:rsidRPr="008762B1">
        <w:t> </w:t>
      </w:r>
      <w:r w:rsidR="004E7255" w:rsidRPr="008762B1">
        <w:t>6</w:t>
      </w:r>
      <w:r w:rsidR="008801C4" w:rsidRPr="008762B1">
        <w:t>.</w:t>
      </w:r>
    </w:p>
    <w:p w:rsidR="00674429" w:rsidRPr="008762B1" w:rsidRDefault="00674429" w:rsidP="00674429">
      <w:pPr>
        <w:pStyle w:val="Definition"/>
      </w:pPr>
      <w:r w:rsidRPr="008762B1">
        <w:rPr>
          <w:b/>
          <w:i/>
        </w:rPr>
        <w:t>eligible waste</w:t>
      </w:r>
      <w:r w:rsidRPr="008762B1">
        <w:t xml:space="preserve"> means:</w:t>
      </w:r>
    </w:p>
    <w:p w:rsidR="00674429" w:rsidRPr="008762B1" w:rsidRDefault="00674429" w:rsidP="005E50E5">
      <w:pPr>
        <w:pStyle w:val="paragraph"/>
      </w:pPr>
      <w:r w:rsidRPr="008762B1">
        <w:tab/>
        <w:t>(a)</w:t>
      </w:r>
      <w:r w:rsidRPr="008762B1">
        <w:tab/>
        <w:t>for a transitioning project—</w:t>
      </w:r>
      <w:r w:rsidR="005E50E5" w:rsidRPr="008762B1">
        <w:t xml:space="preserve">eligible CFI </w:t>
      </w:r>
      <w:r w:rsidRPr="008762B1">
        <w:t>waste that</w:t>
      </w:r>
      <w:r w:rsidR="005E50E5" w:rsidRPr="008762B1">
        <w:t xml:space="preserve"> is </w:t>
      </w:r>
      <w:r w:rsidRPr="008762B1">
        <w:t xml:space="preserve">processed by the project on or after the </w:t>
      </w:r>
      <w:proofErr w:type="spellStart"/>
      <w:r w:rsidRPr="008762B1">
        <w:t>ERF</w:t>
      </w:r>
      <w:proofErr w:type="spellEnd"/>
      <w:r w:rsidRPr="008762B1">
        <w:t xml:space="preserve"> commencement day; or</w:t>
      </w:r>
    </w:p>
    <w:p w:rsidR="00674429" w:rsidRPr="008762B1" w:rsidRDefault="00674429" w:rsidP="00674429">
      <w:pPr>
        <w:pStyle w:val="paragraph"/>
      </w:pPr>
      <w:r w:rsidRPr="008762B1">
        <w:tab/>
        <w:t>(b)</w:t>
      </w:r>
      <w:r w:rsidRPr="008762B1">
        <w:tab/>
        <w:t xml:space="preserve">for any other </w:t>
      </w:r>
      <w:proofErr w:type="spellStart"/>
      <w:r w:rsidRPr="008762B1">
        <w:t>AWT</w:t>
      </w:r>
      <w:proofErr w:type="spellEnd"/>
      <w:r w:rsidRPr="008762B1">
        <w:t xml:space="preserve"> project—mixed solid waste.</w:t>
      </w:r>
    </w:p>
    <w:p w:rsidR="009B7F22" w:rsidRPr="008762B1" w:rsidRDefault="009B7F22" w:rsidP="00674429">
      <w:pPr>
        <w:pStyle w:val="Definition"/>
      </w:pPr>
      <w:r w:rsidRPr="008762B1">
        <w:rPr>
          <w:b/>
          <w:i/>
        </w:rPr>
        <w:t>eligible waste treatment technology</w:t>
      </w:r>
      <w:r w:rsidR="00A63BFC" w:rsidRPr="008762B1">
        <w:t xml:space="preserve"> means the following:</w:t>
      </w:r>
    </w:p>
    <w:p w:rsidR="009B7F22" w:rsidRPr="008762B1" w:rsidRDefault="009B7F22" w:rsidP="009B7F22">
      <w:pPr>
        <w:pStyle w:val="paragraph"/>
      </w:pPr>
      <w:r w:rsidRPr="008762B1">
        <w:tab/>
        <w:t>(a)</w:t>
      </w:r>
      <w:r w:rsidRPr="008762B1">
        <w:tab/>
        <w:t>enclosed composting</w:t>
      </w:r>
      <w:r w:rsidR="00BE09F2" w:rsidRPr="008762B1">
        <w:t xml:space="preserve"> technology</w:t>
      </w:r>
      <w:r w:rsidRPr="008762B1">
        <w:t>;</w:t>
      </w:r>
    </w:p>
    <w:p w:rsidR="009B7F22" w:rsidRPr="008762B1" w:rsidRDefault="009B7F22" w:rsidP="009B7F22">
      <w:pPr>
        <w:pStyle w:val="paragraph"/>
      </w:pPr>
      <w:r w:rsidRPr="008762B1">
        <w:tab/>
        <w:t>(b)</w:t>
      </w:r>
      <w:r w:rsidRPr="008762B1">
        <w:tab/>
      </w:r>
      <w:r w:rsidR="00A63BFC" w:rsidRPr="008762B1">
        <w:t xml:space="preserve">one or more </w:t>
      </w:r>
      <w:r w:rsidRPr="008762B1">
        <w:t xml:space="preserve">anaerobic </w:t>
      </w:r>
      <w:r w:rsidR="00BE09F2" w:rsidRPr="008762B1">
        <w:t>digester</w:t>
      </w:r>
      <w:r w:rsidR="00A63BFC" w:rsidRPr="008762B1">
        <w:t>s</w:t>
      </w:r>
      <w:r w:rsidR="00B52C4C" w:rsidRPr="008762B1">
        <w:t xml:space="preserve"> and the transfer of biogas to a combustion device for destruction</w:t>
      </w:r>
      <w:r w:rsidRPr="008762B1">
        <w:t>;</w:t>
      </w:r>
    </w:p>
    <w:p w:rsidR="009B7F22" w:rsidRPr="008762B1" w:rsidRDefault="009B7F22" w:rsidP="009B7F22">
      <w:pPr>
        <w:pStyle w:val="paragraph"/>
      </w:pPr>
      <w:r w:rsidRPr="008762B1">
        <w:tab/>
        <w:t>(c)</w:t>
      </w:r>
      <w:r w:rsidRPr="008762B1">
        <w:tab/>
        <w:t>process engineered fuel manufacture.</w:t>
      </w:r>
    </w:p>
    <w:p w:rsidR="00EE47AD" w:rsidRPr="008762B1" w:rsidRDefault="00A63BFC" w:rsidP="00A63BFC">
      <w:pPr>
        <w:pStyle w:val="Definition"/>
        <w:rPr>
          <w:bCs/>
          <w:iCs/>
        </w:rPr>
      </w:pPr>
      <w:r w:rsidRPr="008762B1">
        <w:rPr>
          <w:b/>
          <w:bCs/>
          <w:i/>
          <w:iCs/>
        </w:rPr>
        <w:t>enclosed composting technology</w:t>
      </w:r>
      <w:r w:rsidR="00EE47AD" w:rsidRPr="008762B1">
        <w:rPr>
          <w:bCs/>
          <w:iCs/>
        </w:rPr>
        <w:t>:</w:t>
      </w:r>
    </w:p>
    <w:p w:rsidR="00A63BFC" w:rsidRPr="008762B1" w:rsidRDefault="00EE47AD" w:rsidP="00EE47AD">
      <w:pPr>
        <w:pStyle w:val="paragraph"/>
      </w:pPr>
      <w:r w:rsidRPr="008762B1">
        <w:rPr>
          <w:bCs/>
          <w:iCs/>
        </w:rPr>
        <w:tab/>
        <w:t>(a)</w:t>
      </w:r>
      <w:r w:rsidRPr="008762B1">
        <w:rPr>
          <w:bCs/>
          <w:iCs/>
        </w:rPr>
        <w:tab/>
      </w:r>
      <w:r w:rsidR="00A63BFC" w:rsidRPr="008762B1">
        <w:rPr>
          <w:bCs/>
          <w:iCs/>
        </w:rPr>
        <w:t>means a</w:t>
      </w:r>
      <w:r w:rsidR="00A63BFC" w:rsidRPr="008762B1">
        <w:t xml:space="preserve"> semi</w:t>
      </w:r>
      <w:r w:rsidR="008762B1">
        <w:noBreakHyphen/>
      </w:r>
      <w:r w:rsidR="00A63BFC" w:rsidRPr="008762B1">
        <w:t>enclosed</w:t>
      </w:r>
      <w:r w:rsidR="00A14D72" w:rsidRPr="008762B1">
        <w:t>,</w:t>
      </w:r>
      <w:r w:rsidR="00A63BFC" w:rsidRPr="008762B1">
        <w:t xml:space="preserve"> or </w:t>
      </w:r>
      <w:r w:rsidR="00A14D72" w:rsidRPr="008762B1">
        <w:t xml:space="preserve">fully </w:t>
      </w:r>
      <w:r w:rsidR="00A63BFC" w:rsidRPr="008762B1">
        <w:t>enclosed</w:t>
      </w:r>
      <w:r w:rsidR="00A14D72" w:rsidRPr="008762B1">
        <w:t>,</w:t>
      </w:r>
      <w:r w:rsidR="00A63BFC" w:rsidRPr="008762B1">
        <w:t xml:space="preserve"> alternative waste or composting technology in which the composting process occurs within a reactor that:</w:t>
      </w:r>
    </w:p>
    <w:p w:rsidR="00A63BFC" w:rsidRPr="008762B1" w:rsidRDefault="00A63BFC" w:rsidP="00EE47AD">
      <w:pPr>
        <w:pStyle w:val="paragraphsub"/>
      </w:pPr>
      <w:r w:rsidRPr="008762B1">
        <w:tab/>
      </w:r>
      <w:r w:rsidR="00EE47AD" w:rsidRPr="008762B1">
        <w:t>(</w:t>
      </w:r>
      <w:proofErr w:type="spellStart"/>
      <w:r w:rsidR="00EE47AD" w:rsidRPr="008762B1">
        <w:t>i</w:t>
      </w:r>
      <w:proofErr w:type="spellEnd"/>
      <w:r w:rsidRPr="008762B1">
        <w:t>)</w:t>
      </w:r>
      <w:r w:rsidRPr="008762B1">
        <w:tab/>
        <w:t>has hard</w:t>
      </w:r>
      <w:r w:rsidR="00EE47AD" w:rsidRPr="008762B1">
        <w:t xml:space="preserve"> walls or doors on all 4 sides</w:t>
      </w:r>
      <w:r w:rsidR="00A14D72" w:rsidRPr="008762B1">
        <w:t>,</w:t>
      </w:r>
      <w:r w:rsidR="00EE47AD" w:rsidRPr="008762B1">
        <w:t xml:space="preserve"> or </w:t>
      </w:r>
      <w:r w:rsidRPr="008762B1">
        <w:t>uses engineered soft covers; and</w:t>
      </w:r>
    </w:p>
    <w:p w:rsidR="00A93CD8" w:rsidRPr="008762B1" w:rsidRDefault="00EE47AD" w:rsidP="00EE47AD">
      <w:pPr>
        <w:pStyle w:val="paragraphsub"/>
      </w:pPr>
      <w:r w:rsidRPr="008762B1">
        <w:tab/>
        <w:t>(ii</w:t>
      </w:r>
      <w:r w:rsidR="00A93CD8" w:rsidRPr="008762B1">
        <w:t>)</w:t>
      </w:r>
      <w:r w:rsidR="00A93CD8" w:rsidRPr="008762B1">
        <w:tab/>
        <w:t>sits on a floor; and</w:t>
      </w:r>
    </w:p>
    <w:p w:rsidR="00A93CD8" w:rsidRPr="008762B1" w:rsidRDefault="00EE47AD" w:rsidP="00EE47AD">
      <w:pPr>
        <w:pStyle w:val="paragraphsub"/>
      </w:pPr>
      <w:r w:rsidRPr="008762B1">
        <w:tab/>
        <w:t>(iii</w:t>
      </w:r>
      <w:r w:rsidR="00A93CD8" w:rsidRPr="008762B1">
        <w:t>)</w:t>
      </w:r>
      <w:r w:rsidR="00A93CD8" w:rsidRPr="008762B1">
        <w:tab/>
        <w:t>has a permanent posit</w:t>
      </w:r>
      <w:r w:rsidRPr="008762B1">
        <w:t>ive or negative aeration system; and</w:t>
      </w:r>
    </w:p>
    <w:p w:rsidR="00EE47AD" w:rsidRPr="008762B1" w:rsidRDefault="00EE47AD" w:rsidP="00EE47AD">
      <w:pPr>
        <w:pStyle w:val="paragraph"/>
      </w:pPr>
      <w:r w:rsidRPr="008762B1">
        <w:tab/>
        <w:t>(b)</w:t>
      </w:r>
      <w:r w:rsidRPr="008762B1">
        <w:tab/>
        <w:t xml:space="preserve">may include open windrow composting to further refine compost products after the composting process mentioned in </w:t>
      </w:r>
      <w:r w:rsidR="008762B1" w:rsidRPr="008762B1">
        <w:t>paragraph (</w:t>
      </w:r>
      <w:r w:rsidRPr="008762B1">
        <w:t>a)</w:t>
      </w:r>
      <w:r w:rsidR="00A14D72" w:rsidRPr="008762B1">
        <w:t xml:space="preserve"> is completed</w:t>
      </w:r>
      <w:r w:rsidRPr="008762B1">
        <w:t>.</w:t>
      </w:r>
    </w:p>
    <w:p w:rsidR="00A63BFC" w:rsidRPr="008762B1" w:rsidRDefault="00686D3A" w:rsidP="00686D3A">
      <w:pPr>
        <w:pStyle w:val="notetext"/>
      </w:pPr>
      <w:r w:rsidRPr="008762B1">
        <w:t>Note:</w:t>
      </w:r>
      <w:r w:rsidRPr="008762B1">
        <w:tab/>
        <w:t>Examples of enclosed composting technology include the following:</w:t>
      </w:r>
    </w:p>
    <w:p w:rsidR="00686D3A" w:rsidRPr="008762B1" w:rsidRDefault="00686D3A" w:rsidP="00686D3A">
      <w:pPr>
        <w:pStyle w:val="notepara"/>
      </w:pPr>
      <w:r w:rsidRPr="008762B1">
        <w:t>(a)</w:t>
      </w:r>
      <w:r w:rsidRPr="008762B1">
        <w:tab/>
        <w:t>composting tunnels;</w:t>
      </w:r>
    </w:p>
    <w:p w:rsidR="00686D3A" w:rsidRPr="008762B1" w:rsidRDefault="00686D3A" w:rsidP="00686D3A">
      <w:pPr>
        <w:pStyle w:val="notepara"/>
      </w:pPr>
      <w:r w:rsidRPr="008762B1">
        <w:t>(b)</w:t>
      </w:r>
      <w:r w:rsidRPr="008762B1">
        <w:tab/>
        <w:t>composting digesters;</w:t>
      </w:r>
    </w:p>
    <w:p w:rsidR="00686D3A" w:rsidRPr="008762B1" w:rsidRDefault="00686D3A" w:rsidP="00686D3A">
      <w:pPr>
        <w:pStyle w:val="notepara"/>
      </w:pPr>
      <w:r w:rsidRPr="008762B1">
        <w:t>(c)</w:t>
      </w:r>
      <w:r w:rsidRPr="008762B1">
        <w:tab/>
        <w:t>composting maturation halls.</w:t>
      </w:r>
    </w:p>
    <w:p w:rsidR="00977894" w:rsidRPr="008762B1" w:rsidRDefault="00977894" w:rsidP="00A610E0">
      <w:pPr>
        <w:pStyle w:val="Definition"/>
      </w:pPr>
      <w:proofErr w:type="spellStart"/>
      <w:r w:rsidRPr="008762B1">
        <w:rPr>
          <w:b/>
          <w:i/>
        </w:rPr>
        <w:t>ERF</w:t>
      </w:r>
      <w:proofErr w:type="spellEnd"/>
      <w:r w:rsidRPr="008762B1">
        <w:rPr>
          <w:b/>
          <w:i/>
        </w:rPr>
        <w:t xml:space="preserve"> commencement day</w:t>
      </w:r>
      <w:r w:rsidRPr="008762B1">
        <w:t xml:space="preserve"> means the day Schedule</w:t>
      </w:r>
      <w:r w:rsidR="008762B1" w:rsidRPr="008762B1">
        <w:t> </w:t>
      </w:r>
      <w:r w:rsidRPr="008762B1">
        <w:t xml:space="preserve">1 to the </w:t>
      </w:r>
      <w:r w:rsidRPr="008762B1">
        <w:rPr>
          <w:i/>
        </w:rPr>
        <w:t>Carbon Farming Initiative Amendment Act 2014</w:t>
      </w:r>
      <w:r w:rsidRPr="008762B1">
        <w:t xml:space="preserve"> commences.</w:t>
      </w:r>
    </w:p>
    <w:p w:rsidR="00AB18B3" w:rsidRPr="008762B1" w:rsidRDefault="00AB18B3" w:rsidP="00AB18B3">
      <w:pPr>
        <w:pStyle w:val="notetext"/>
      </w:pPr>
      <w:r w:rsidRPr="008762B1">
        <w:t>Note:</w:t>
      </w:r>
      <w:r w:rsidRPr="008762B1">
        <w:tab/>
        <w:t>Schedule</w:t>
      </w:r>
      <w:r w:rsidR="008762B1" w:rsidRPr="008762B1">
        <w:t> </w:t>
      </w:r>
      <w:r w:rsidRPr="008762B1">
        <w:t xml:space="preserve">1 to the </w:t>
      </w:r>
      <w:r w:rsidRPr="008762B1">
        <w:rPr>
          <w:i/>
        </w:rPr>
        <w:t>Carbon Farming Initiative Amendment Act 2014</w:t>
      </w:r>
      <w:r w:rsidRPr="008762B1">
        <w:t xml:space="preserve"> commenced on 13</w:t>
      </w:r>
      <w:r w:rsidR="008762B1" w:rsidRPr="008762B1">
        <w:t> </w:t>
      </w:r>
      <w:r w:rsidRPr="008762B1">
        <w:t>December 2014.</w:t>
      </w:r>
    </w:p>
    <w:p w:rsidR="00CA2F2B" w:rsidRPr="008762B1" w:rsidRDefault="00CA2F2B" w:rsidP="00A610E0">
      <w:pPr>
        <w:pStyle w:val="Definition"/>
      </w:pPr>
      <w:r w:rsidRPr="008762B1">
        <w:rPr>
          <w:b/>
          <w:i/>
        </w:rPr>
        <w:lastRenderedPageBreak/>
        <w:t>expansion project</w:t>
      </w:r>
      <w:r w:rsidRPr="008762B1">
        <w:t xml:space="preserve"> has the meaning given by subsection</w:t>
      </w:r>
      <w:r w:rsidR="008762B1" w:rsidRPr="008762B1">
        <w:t> </w:t>
      </w:r>
      <w:r w:rsidR="004E7255" w:rsidRPr="008762B1">
        <w:t>12</w:t>
      </w:r>
      <w:r w:rsidRPr="008762B1">
        <w:t>(1).</w:t>
      </w:r>
    </w:p>
    <w:p w:rsidR="00A9552E" w:rsidRPr="008762B1" w:rsidRDefault="00B6745D" w:rsidP="00A9552E">
      <w:pPr>
        <w:pStyle w:val="Definition"/>
      </w:pPr>
      <w:r w:rsidRPr="008762B1">
        <w:rPr>
          <w:b/>
          <w:i/>
        </w:rPr>
        <w:t>first reporting period</w:t>
      </w:r>
      <w:r w:rsidR="00A9552E" w:rsidRPr="008762B1">
        <w:t>, for a project, means the first reporting period during which this determination is the applicable methodology determination for the project.</w:t>
      </w:r>
    </w:p>
    <w:p w:rsidR="00622049" w:rsidRPr="008762B1" w:rsidRDefault="00622049" w:rsidP="00A610E0">
      <w:pPr>
        <w:pStyle w:val="Definition"/>
      </w:pPr>
      <w:r w:rsidRPr="008762B1">
        <w:rPr>
          <w:b/>
          <w:i/>
        </w:rPr>
        <w:t>major venting event</w:t>
      </w:r>
      <w:r w:rsidRPr="008762B1">
        <w:t xml:space="preserve">: a </w:t>
      </w:r>
      <w:r w:rsidRPr="008762B1">
        <w:rPr>
          <w:b/>
          <w:i/>
        </w:rPr>
        <w:t>major venting event</w:t>
      </w:r>
      <w:r w:rsidRPr="008762B1">
        <w:t xml:space="preserve"> occurs when biogas in the storage capacity of an anaerobic digester is released to the atmosphere in a way that does not represent the proper operation of the anaerobic digester, including:</w:t>
      </w:r>
    </w:p>
    <w:p w:rsidR="00622049" w:rsidRPr="008762B1" w:rsidRDefault="00622049" w:rsidP="00622049">
      <w:pPr>
        <w:pStyle w:val="paragraph"/>
      </w:pPr>
      <w:r w:rsidRPr="008762B1">
        <w:tab/>
        <w:t>(a)</w:t>
      </w:r>
      <w:r w:rsidRPr="008762B1">
        <w:tab/>
        <w:t>when the biogas is released intentionally (for example, for safety or maintenance purposes); and</w:t>
      </w:r>
    </w:p>
    <w:p w:rsidR="00622049" w:rsidRPr="008762B1" w:rsidRDefault="00622049" w:rsidP="00622049">
      <w:pPr>
        <w:pStyle w:val="paragraph"/>
      </w:pPr>
      <w:r w:rsidRPr="008762B1">
        <w:tab/>
        <w:t>(b)</w:t>
      </w:r>
      <w:r w:rsidRPr="008762B1">
        <w:tab/>
        <w:t xml:space="preserve">when the biogas is released unintentionally (for example, as </w:t>
      </w:r>
      <w:r w:rsidR="000416E5" w:rsidRPr="008762B1">
        <w:t>a</w:t>
      </w:r>
      <w:r w:rsidRPr="008762B1">
        <w:t xml:space="preserve"> result of a system failure).</w:t>
      </w:r>
    </w:p>
    <w:p w:rsidR="008D329D" w:rsidRPr="008762B1" w:rsidRDefault="00200E9B" w:rsidP="00A1063B">
      <w:pPr>
        <w:pStyle w:val="Definition"/>
      </w:pPr>
      <w:r w:rsidRPr="008762B1">
        <w:rPr>
          <w:b/>
          <w:i/>
        </w:rPr>
        <w:t>mixed solid waste</w:t>
      </w:r>
      <w:r w:rsidR="00785D59" w:rsidRPr="008762B1">
        <w:rPr>
          <w:b/>
          <w:i/>
        </w:rPr>
        <w:t xml:space="preserve"> </w:t>
      </w:r>
      <w:r w:rsidR="008D329D" w:rsidRPr="008762B1">
        <w:t>means</w:t>
      </w:r>
      <w:r w:rsidR="00A1063B" w:rsidRPr="008762B1">
        <w:t xml:space="preserve"> </w:t>
      </w:r>
      <w:r w:rsidR="006B4F1C" w:rsidRPr="008762B1">
        <w:t>municipal solid w</w:t>
      </w:r>
      <w:r w:rsidR="008D329D" w:rsidRPr="008762B1">
        <w:t>aste</w:t>
      </w:r>
      <w:r w:rsidR="00A1063B" w:rsidRPr="008762B1">
        <w:t xml:space="preserve">, </w:t>
      </w:r>
      <w:r w:rsidR="006B4F1C" w:rsidRPr="008762B1">
        <w:t>commercial and industrial waste</w:t>
      </w:r>
      <w:r w:rsidR="00A1063B" w:rsidRPr="008762B1">
        <w:t xml:space="preserve"> or </w:t>
      </w:r>
      <w:r w:rsidR="006B4F1C" w:rsidRPr="008762B1">
        <w:t xml:space="preserve">construction and demolition waste </w:t>
      </w:r>
      <w:r w:rsidR="008D329D" w:rsidRPr="008762B1">
        <w:t>b</w:t>
      </w:r>
      <w:r w:rsidR="00A1063B" w:rsidRPr="008762B1">
        <w:t xml:space="preserve">ut </w:t>
      </w:r>
      <w:r w:rsidR="008D329D" w:rsidRPr="008762B1">
        <w:t>does not include any of the following:</w:t>
      </w:r>
    </w:p>
    <w:p w:rsidR="006B4F1C" w:rsidRPr="008762B1" w:rsidRDefault="006B4F1C" w:rsidP="00A1063B">
      <w:pPr>
        <w:pStyle w:val="paragraph"/>
      </w:pPr>
      <w:r w:rsidRPr="008762B1">
        <w:tab/>
      </w:r>
      <w:r w:rsidR="008D329D" w:rsidRPr="008762B1">
        <w:t>(</w:t>
      </w:r>
      <w:r w:rsidR="00A1063B" w:rsidRPr="008762B1">
        <w:t>a</w:t>
      </w:r>
      <w:r w:rsidRPr="008762B1">
        <w:t>)</w:t>
      </w:r>
      <w:r w:rsidRPr="008762B1">
        <w:tab/>
        <w:t xml:space="preserve">recyclable paper, paperboard, glass, metal or plastic that </w:t>
      </w:r>
      <w:r w:rsidR="00797304" w:rsidRPr="008762B1">
        <w:t>is</w:t>
      </w:r>
      <w:r w:rsidRPr="008762B1">
        <w:t xml:space="preserve"> separated at the point of generation;</w:t>
      </w:r>
    </w:p>
    <w:p w:rsidR="006B4F1C" w:rsidRPr="008762B1" w:rsidRDefault="008D329D" w:rsidP="00A1063B">
      <w:pPr>
        <w:pStyle w:val="paragraph"/>
      </w:pPr>
      <w:r w:rsidRPr="008762B1">
        <w:tab/>
        <w:t>(</w:t>
      </w:r>
      <w:r w:rsidR="00A1063B" w:rsidRPr="008762B1">
        <w:t>b</w:t>
      </w:r>
      <w:r w:rsidR="006B4F1C" w:rsidRPr="008762B1">
        <w:t>)</w:t>
      </w:r>
      <w:r w:rsidR="006B4F1C" w:rsidRPr="008762B1">
        <w:tab/>
      </w:r>
      <w:r w:rsidRPr="008762B1">
        <w:t>green waste or wood waste</w:t>
      </w:r>
      <w:r w:rsidR="006B4F1C" w:rsidRPr="008762B1">
        <w:t xml:space="preserve"> that </w:t>
      </w:r>
      <w:r w:rsidR="00797304" w:rsidRPr="008762B1">
        <w:t>is</w:t>
      </w:r>
      <w:r w:rsidR="006B4F1C" w:rsidRPr="008762B1">
        <w:t xml:space="preserve"> separated at the point of generation;</w:t>
      </w:r>
    </w:p>
    <w:p w:rsidR="006B4F1C" w:rsidRPr="008762B1" w:rsidRDefault="008D329D" w:rsidP="00A1063B">
      <w:pPr>
        <w:pStyle w:val="paragraph"/>
      </w:pPr>
      <w:r w:rsidRPr="008762B1">
        <w:tab/>
        <w:t>(</w:t>
      </w:r>
      <w:r w:rsidR="00A1063B" w:rsidRPr="008762B1">
        <w:t>c</w:t>
      </w:r>
      <w:r w:rsidR="006B4F1C" w:rsidRPr="008762B1">
        <w:t>)</w:t>
      </w:r>
      <w:r w:rsidR="006B4F1C" w:rsidRPr="008762B1">
        <w:tab/>
        <w:t>organic waste from the livestock industry, such as straw bedding and manure mixes;</w:t>
      </w:r>
    </w:p>
    <w:p w:rsidR="006B4F1C" w:rsidRPr="008762B1" w:rsidRDefault="005772B1" w:rsidP="00A1063B">
      <w:pPr>
        <w:pStyle w:val="paragraph"/>
      </w:pPr>
      <w:r w:rsidRPr="008762B1">
        <w:tab/>
        <w:t>(d)</w:t>
      </w:r>
      <w:r w:rsidRPr="008762B1">
        <w:tab/>
      </w:r>
      <w:proofErr w:type="spellStart"/>
      <w:r w:rsidR="006B4F1C" w:rsidRPr="008762B1">
        <w:t>biosolids</w:t>
      </w:r>
      <w:proofErr w:type="spellEnd"/>
      <w:r w:rsidR="006B4F1C" w:rsidRPr="008762B1">
        <w:t>;</w:t>
      </w:r>
    </w:p>
    <w:p w:rsidR="006B4F1C" w:rsidRPr="008762B1" w:rsidRDefault="005772B1" w:rsidP="00A1063B">
      <w:pPr>
        <w:pStyle w:val="paragraph"/>
      </w:pPr>
      <w:r w:rsidRPr="008762B1">
        <w:tab/>
        <w:t>(e)</w:t>
      </w:r>
      <w:r w:rsidRPr="008762B1">
        <w:tab/>
      </w:r>
      <w:r w:rsidR="006B4F1C" w:rsidRPr="008762B1">
        <w:t xml:space="preserve">waste </w:t>
      </w:r>
      <w:r w:rsidRPr="008762B1">
        <w:t>that is comprised of only</w:t>
      </w:r>
      <w:r w:rsidR="006B4F1C" w:rsidRPr="008762B1">
        <w:t xml:space="preserve"> putrescible waste </w:t>
      </w:r>
      <w:r w:rsidR="00797304" w:rsidRPr="008762B1">
        <w:t xml:space="preserve">that is </w:t>
      </w:r>
      <w:r w:rsidR="006B4F1C" w:rsidRPr="008762B1">
        <w:t>separated at the point of generation</w:t>
      </w:r>
      <w:r w:rsidRPr="008762B1">
        <w:t>.</w:t>
      </w:r>
    </w:p>
    <w:p w:rsidR="00136E10" w:rsidRPr="008762B1" w:rsidRDefault="00136E10" w:rsidP="00136E10">
      <w:pPr>
        <w:pStyle w:val="Definition"/>
      </w:pPr>
      <w:r w:rsidRPr="008762B1">
        <w:rPr>
          <w:b/>
          <w:i/>
        </w:rPr>
        <w:t>monitoring and control system</w:t>
      </w:r>
      <w:r w:rsidRPr="008762B1">
        <w:t>, for a flare</w:t>
      </w:r>
      <w:r w:rsidR="00EA11DE" w:rsidRPr="008762B1">
        <w:t xml:space="preserve"> or other device</w:t>
      </w:r>
      <w:r w:rsidRPr="008762B1">
        <w:t>, means a system that consists of:</w:t>
      </w:r>
    </w:p>
    <w:p w:rsidR="00136E10" w:rsidRPr="008762B1" w:rsidRDefault="00136E10" w:rsidP="00136E10">
      <w:pPr>
        <w:pStyle w:val="paragraph"/>
      </w:pPr>
      <w:r w:rsidRPr="008762B1">
        <w:tab/>
        <w:t>(a)</w:t>
      </w:r>
      <w:r w:rsidRPr="008762B1">
        <w:tab/>
        <w:t xml:space="preserve">a monitoring system that detects </w:t>
      </w:r>
      <w:r w:rsidR="00F4025E" w:rsidRPr="008762B1">
        <w:t>combustion</w:t>
      </w:r>
      <w:r w:rsidRPr="008762B1">
        <w:t xml:space="preserve"> and monitors if the </w:t>
      </w:r>
      <w:r w:rsidR="00F4025E" w:rsidRPr="008762B1">
        <w:t>combustion</w:t>
      </w:r>
      <w:r w:rsidRPr="008762B1">
        <w:t xml:space="preserve"> is operating at the manufacturer’s specifications for the complete combustion of methane; and</w:t>
      </w:r>
    </w:p>
    <w:p w:rsidR="00136E10" w:rsidRPr="008762B1" w:rsidRDefault="00136E10" w:rsidP="00136E10">
      <w:pPr>
        <w:pStyle w:val="paragraph"/>
      </w:pPr>
      <w:r w:rsidRPr="008762B1">
        <w:tab/>
        <w:t>(b)</w:t>
      </w:r>
      <w:r w:rsidRPr="008762B1">
        <w:tab/>
        <w:t xml:space="preserve">an associated control system that shuts down biogas flow to the flare </w:t>
      </w:r>
      <w:r w:rsidR="00F4025E" w:rsidRPr="008762B1">
        <w:t xml:space="preserve">or other device </w:t>
      </w:r>
      <w:r w:rsidR="00797304" w:rsidRPr="008762B1">
        <w:t xml:space="preserve">when </w:t>
      </w:r>
      <w:r w:rsidRPr="008762B1">
        <w:t xml:space="preserve">the flare </w:t>
      </w:r>
      <w:r w:rsidR="00F4025E" w:rsidRPr="008762B1">
        <w:t xml:space="preserve">or device </w:t>
      </w:r>
      <w:r w:rsidRPr="008762B1">
        <w:t>is not operating at the manufacturer’s specifications for the complete combustion of methane.</w:t>
      </w:r>
    </w:p>
    <w:p w:rsidR="00136E10" w:rsidRPr="008762B1" w:rsidRDefault="00136E10" w:rsidP="00136E10">
      <w:pPr>
        <w:pStyle w:val="notetext"/>
      </w:pPr>
      <w:r w:rsidRPr="008762B1">
        <w:t>Note:</w:t>
      </w:r>
      <w:r w:rsidRPr="008762B1">
        <w:tab/>
        <w:t xml:space="preserve">An example of a monitoring and control system for a flare is a </w:t>
      </w:r>
      <w:r w:rsidR="00A5220E" w:rsidRPr="008762B1">
        <w:t>flare management system that incorporates a UV detection sensor.</w:t>
      </w:r>
    </w:p>
    <w:p w:rsidR="0081524B" w:rsidRPr="008762B1" w:rsidRDefault="0081524B" w:rsidP="0081524B">
      <w:pPr>
        <w:pStyle w:val="Definition"/>
      </w:pPr>
      <w:r w:rsidRPr="008762B1">
        <w:rPr>
          <w:b/>
          <w:i/>
        </w:rPr>
        <w:t>monitoring requirements</w:t>
      </w:r>
      <w:r w:rsidR="00797304" w:rsidRPr="008762B1">
        <w:t xml:space="preserve"> </w:t>
      </w:r>
      <w:r w:rsidRPr="008762B1">
        <w:t xml:space="preserve">means the requirements set out in </w:t>
      </w:r>
      <w:r w:rsidR="00A70A5D" w:rsidRPr="008762B1">
        <w:t>section</w:t>
      </w:r>
      <w:r w:rsidR="008762B1" w:rsidRPr="008762B1">
        <w:t> </w:t>
      </w:r>
      <w:r w:rsidR="00A70A5D" w:rsidRPr="008762B1">
        <w:t>45</w:t>
      </w:r>
      <w:r w:rsidRPr="008762B1">
        <w:t>.</w:t>
      </w:r>
    </w:p>
    <w:p w:rsidR="00721CCB" w:rsidRPr="008762B1" w:rsidRDefault="005D41F6" w:rsidP="005D41F6">
      <w:pPr>
        <w:pStyle w:val="Definition"/>
      </w:pPr>
      <w:r w:rsidRPr="008762B1">
        <w:rPr>
          <w:b/>
          <w:i/>
        </w:rPr>
        <w:t>municipal solid waste</w:t>
      </w:r>
      <w:r w:rsidRPr="008762B1">
        <w:t xml:space="preserve"> means waste </w:t>
      </w:r>
      <w:r w:rsidR="00721CCB" w:rsidRPr="008762B1">
        <w:t>that</w:t>
      </w:r>
      <w:r w:rsidR="00F312E7" w:rsidRPr="008762B1">
        <w:t xml:space="preserve"> is</w:t>
      </w:r>
      <w:r w:rsidR="00721CCB" w:rsidRPr="008762B1">
        <w:t>:</w:t>
      </w:r>
    </w:p>
    <w:p w:rsidR="00721CCB" w:rsidRPr="008762B1" w:rsidRDefault="00721CCB" w:rsidP="00721CCB">
      <w:pPr>
        <w:pStyle w:val="paragraph"/>
      </w:pPr>
      <w:r w:rsidRPr="008762B1">
        <w:tab/>
        <w:t>(a)</w:t>
      </w:r>
      <w:r w:rsidRPr="008762B1">
        <w:tab/>
      </w:r>
      <w:r w:rsidR="005D41F6" w:rsidRPr="008762B1">
        <w:t>generated from the domestic sector</w:t>
      </w:r>
      <w:r w:rsidRPr="008762B1">
        <w:t>; and</w:t>
      </w:r>
    </w:p>
    <w:p w:rsidR="005D41F6" w:rsidRPr="008762B1" w:rsidRDefault="00721CCB" w:rsidP="00721CCB">
      <w:pPr>
        <w:pStyle w:val="paragraph"/>
      </w:pPr>
      <w:r w:rsidRPr="008762B1">
        <w:tab/>
        <w:t>(b)</w:t>
      </w:r>
      <w:r w:rsidRPr="008762B1">
        <w:tab/>
      </w:r>
      <w:r w:rsidR="005D41F6" w:rsidRPr="008762B1">
        <w:t xml:space="preserve">collected in household garbage, recycling, mixed organics, garden organics </w:t>
      </w:r>
      <w:r w:rsidRPr="008762B1">
        <w:t>or</w:t>
      </w:r>
      <w:r w:rsidR="005D41F6" w:rsidRPr="008762B1">
        <w:t xml:space="preserve"> local government clean</w:t>
      </w:r>
      <w:r w:rsidR="008762B1">
        <w:noBreakHyphen/>
      </w:r>
      <w:r w:rsidR="00F312E7" w:rsidRPr="008762B1">
        <w:t>up collections; and</w:t>
      </w:r>
    </w:p>
    <w:p w:rsidR="00F312E7" w:rsidRPr="008762B1" w:rsidRDefault="00F312E7" w:rsidP="00721CCB">
      <w:pPr>
        <w:pStyle w:val="paragraph"/>
      </w:pPr>
      <w:r w:rsidRPr="008762B1">
        <w:tab/>
        <w:t>(c)</w:t>
      </w:r>
      <w:r w:rsidRPr="008762B1">
        <w:tab/>
        <w:t>from 1</w:t>
      </w:r>
      <w:r w:rsidR="008762B1" w:rsidRPr="008762B1">
        <w:t> </w:t>
      </w:r>
      <w:r w:rsidRPr="008762B1">
        <w:t xml:space="preserve">July 2015, classified as either municipal solid waste class I or municipal solid waste class II (within the meaning of the </w:t>
      </w:r>
      <w:proofErr w:type="spellStart"/>
      <w:r w:rsidRPr="008762B1">
        <w:t>NGER</w:t>
      </w:r>
      <w:proofErr w:type="spellEnd"/>
      <w:r w:rsidRPr="008762B1">
        <w:t xml:space="preserve"> (Measurement) Determination).</w:t>
      </w:r>
    </w:p>
    <w:p w:rsidR="00CA2F2B" w:rsidRPr="008762B1" w:rsidRDefault="00CA2F2B" w:rsidP="00CA2F2B">
      <w:pPr>
        <w:pStyle w:val="Definition"/>
      </w:pPr>
      <w:r w:rsidRPr="008762B1">
        <w:rPr>
          <w:b/>
          <w:i/>
        </w:rPr>
        <w:t>new project</w:t>
      </w:r>
      <w:r w:rsidR="00183340" w:rsidRPr="008762B1">
        <w:t xml:space="preserve"> has the meaning given by </w:t>
      </w:r>
      <w:r w:rsidRPr="008762B1">
        <w:t>section</w:t>
      </w:r>
      <w:r w:rsidR="008762B1" w:rsidRPr="008762B1">
        <w:t> </w:t>
      </w:r>
      <w:r w:rsidR="004E7255" w:rsidRPr="008762B1">
        <w:t>11</w:t>
      </w:r>
      <w:r w:rsidRPr="008762B1">
        <w:t>.</w:t>
      </w:r>
    </w:p>
    <w:p w:rsidR="00BB519E" w:rsidRPr="008762B1" w:rsidRDefault="00BB519E" w:rsidP="00CA2F2B">
      <w:pPr>
        <w:pStyle w:val="Definition"/>
      </w:pPr>
      <w:proofErr w:type="spellStart"/>
      <w:r w:rsidRPr="008762B1">
        <w:rPr>
          <w:b/>
          <w:i/>
        </w:rPr>
        <w:t>NGA</w:t>
      </w:r>
      <w:proofErr w:type="spellEnd"/>
      <w:r w:rsidRPr="008762B1">
        <w:rPr>
          <w:b/>
          <w:i/>
        </w:rPr>
        <w:t xml:space="preserve"> Factors document</w:t>
      </w:r>
      <w:r w:rsidRPr="008762B1">
        <w:t xml:space="preserve"> has the meani</w:t>
      </w:r>
      <w:r w:rsidR="009B3D86" w:rsidRPr="008762B1">
        <w:t>ng given by subsection</w:t>
      </w:r>
      <w:r w:rsidR="008762B1" w:rsidRPr="008762B1">
        <w:t> </w:t>
      </w:r>
      <w:r w:rsidR="004E7255" w:rsidRPr="008762B1">
        <w:t>31</w:t>
      </w:r>
      <w:r w:rsidR="00383A75" w:rsidRPr="008762B1">
        <w:t>(4</w:t>
      </w:r>
      <w:r w:rsidRPr="008762B1">
        <w:t>).</w:t>
      </w:r>
    </w:p>
    <w:p w:rsidR="00A3252A" w:rsidRPr="008762B1" w:rsidRDefault="00A3252A" w:rsidP="00A3252A">
      <w:pPr>
        <w:pStyle w:val="Definition"/>
      </w:pPr>
      <w:proofErr w:type="spellStart"/>
      <w:r w:rsidRPr="008762B1">
        <w:rPr>
          <w:b/>
          <w:i/>
        </w:rPr>
        <w:lastRenderedPageBreak/>
        <w:t>NGER</w:t>
      </w:r>
      <w:proofErr w:type="spellEnd"/>
      <w:r w:rsidRPr="008762B1">
        <w:rPr>
          <w:b/>
          <w:i/>
        </w:rPr>
        <w:t xml:space="preserve"> (Measurement) Determination</w:t>
      </w:r>
      <w:r w:rsidRPr="008762B1">
        <w:t xml:space="preserve"> means the </w:t>
      </w:r>
      <w:r w:rsidRPr="008762B1">
        <w:rPr>
          <w:i/>
        </w:rPr>
        <w:t>National Greenhouse and Energy Reporting (Measurement) Determination</w:t>
      </w:r>
      <w:r w:rsidR="008762B1" w:rsidRPr="008762B1">
        <w:rPr>
          <w:i/>
        </w:rPr>
        <w:t> </w:t>
      </w:r>
      <w:r w:rsidRPr="008762B1">
        <w:rPr>
          <w:i/>
        </w:rPr>
        <w:t>2008</w:t>
      </w:r>
      <w:r w:rsidRPr="008762B1">
        <w:t>.</w:t>
      </w:r>
    </w:p>
    <w:p w:rsidR="00A3252A" w:rsidRPr="008762B1" w:rsidRDefault="00A3252A" w:rsidP="00A3252A">
      <w:pPr>
        <w:pStyle w:val="Definition"/>
      </w:pPr>
      <w:proofErr w:type="spellStart"/>
      <w:r w:rsidRPr="008762B1">
        <w:rPr>
          <w:b/>
          <w:i/>
        </w:rPr>
        <w:t>NGER</w:t>
      </w:r>
      <w:proofErr w:type="spellEnd"/>
      <w:r w:rsidRPr="008762B1">
        <w:rPr>
          <w:b/>
          <w:i/>
        </w:rPr>
        <w:t xml:space="preserve"> Regulations</w:t>
      </w:r>
      <w:r w:rsidRPr="008762B1">
        <w:t xml:space="preserve"> means the </w:t>
      </w:r>
      <w:r w:rsidRPr="008762B1">
        <w:rPr>
          <w:i/>
        </w:rPr>
        <w:t>National Greenhouse and Energy Reporting Regulations</w:t>
      </w:r>
      <w:r w:rsidR="008762B1" w:rsidRPr="008762B1">
        <w:rPr>
          <w:i/>
        </w:rPr>
        <w:t> </w:t>
      </w:r>
      <w:r w:rsidRPr="008762B1">
        <w:rPr>
          <w:i/>
        </w:rPr>
        <w:t>2008</w:t>
      </w:r>
      <w:r w:rsidRPr="008762B1">
        <w:t>.</w:t>
      </w:r>
    </w:p>
    <w:p w:rsidR="00216E85" w:rsidRPr="008762B1" w:rsidRDefault="00216E85" w:rsidP="00480131">
      <w:pPr>
        <w:pStyle w:val="Definition"/>
      </w:pPr>
      <w:r w:rsidRPr="008762B1">
        <w:rPr>
          <w:b/>
          <w:i/>
        </w:rPr>
        <w:t>non</w:t>
      </w:r>
      <w:r w:rsidR="008762B1">
        <w:rPr>
          <w:b/>
          <w:i/>
        </w:rPr>
        <w:noBreakHyphen/>
      </w:r>
      <w:proofErr w:type="spellStart"/>
      <w:r w:rsidRPr="008762B1">
        <w:rPr>
          <w:b/>
          <w:i/>
        </w:rPr>
        <w:t>biobased</w:t>
      </w:r>
      <w:proofErr w:type="spellEnd"/>
      <w:r w:rsidRPr="008762B1">
        <w:rPr>
          <w:b/>
          <w:i/>
        </w:rPr>
        <w:t xml:space="preserve"> product</w:t>
      </w:r>
      <w:r w:rsidRPr="008762B1">
        <w:t xml:space="preserve"> means a product manufactured by an </w:t>
      </w:r>
      <w:proofErr w:type="spellStart"/>
      <w:r w:rsidRPr="008762B1">
        <w:t>AWT</w:t>
      </w:r>
      <w:proofErr w:type="spellEnd"/>
      <w:r w:rsidRPr="008762B1">
        <w:t xml:space="preserve"> facility that is not a </w:t>
      </w:r>
      <w:proofErr w:type="spellStart"/>
      <w:r w:rsidRPr="008762B1">
        <w:t>biobased</w:t>
      </w:r>
      <w:proofErr w:type="spellEnd"/>
      <w:r w:rsidRPr="008762B1">
        <w:t xml:space="preserve"> product.</w:t>
      </w:r>
    </w:p>
    <w:p w:rsidR="00A37523" w:rsidRPr="008762B1" w:rsidRDefault="00216E85" w:rsidP="00216E85">
      <w:pPr>
        <w:pStyle w:val="notetext"/>
      </w:pPr>
      <w:r w:rsidRPr="008762B1">
        <w:t>Note:</w:t>
      </w:r>
      <w:r w:rsidRPr="008762B1">
        <w:tab/>
        <w:t>Examples of non</w:t>
      </w:r>
      <w:r w:rsidR="008762B1">
        <w:noBreakHyphen/>
      </w:r>
      <w:proofErr w:type="spellStart"/>
      <w:r w:rsidRPr="008762B1">
        <w:t>biobased</w:t>
      </w:r>
      <w:proofErr w:type="spellEnd"/>
      <w:r w:rsidRPr="008762B1">
        <w:t xml:space="preserve"> products include</w:t>
      </w:r>
      <w:r w:rsidR="00A37523" w:rsidRPr="008762B1">
        <w:t xml:space="preserve"> the following:</w:t>
      </w:r>
    </w:p>
    <w:p w:rsidR="00A37523" w:rsidRPr="008762B1" w:rsidRDefault="00A37523" w:rsidP="00A37523">
      <w:pPr>
        <w:pStyle w:val="notepara"/>
      </w:pPr>
      <w:r w:rsidRPr="008762B1">
        <w:t>(a)</w:t>
      </w:r>
      <w:r w:rsidRPr="008762B1">
        <w:tab/>
        <w:t>recycled steel;</w:t>
      </w:r>
    </w:p>
    <w:p w:rsidR="00A37523" w:rsidRPr="008762B1" w:rsidRDefault="00A37523" w:rsidP="00A37523">
      <w:pPr>
        <w:pStyle w:val="notepara"/>
      </w:pPr>
      <w:r w:rsidRPr="008762B1">
        <w:t>(b)</w:t>
      </w:r>
      <w:r w:rsidRPr="008762B1">
        <w:tab/>
      </w:r>
      <w:r w:rsidR="00216E85" w:rsidRPr="008762B1">
        <w:t>aluminium</w:t>
      </w:r>
      <w:r w:rsidRPr="008762B1">
        <w:t>;</w:t>
      </w:r>
    </w:p>
    <w:p w:rsidR="00216E85" w:rsidRPr="008762B1" w:rsidRDefault="00A37523" w:rsidP="00A37523">
      <w:pPr>
        <w:pStyle w:val="notepara"/>
      </w:pPr>
      <w:r w:rsidRPr="008762B1">
        <w:t>(c)</w:t>
      </w:r>
      <w:r w:rsidRPr="008762B1">
        <w:tab/>
      </w:r>
      <w:r w:rsidR="00216E85" w:rsidRPr="008762B1">
        <w:t>plastic.</w:t>
      </w:r>
    </w:p>
    <w:p w:rsidR="00773F30" w:rsidRPr="008762B1" w:rsidRDefault="00773F30" w:rsidP="00773F30">
      <w:pPr>
        <w:pStyle w:val="Definition"/>
      </w:pPr>
      <w:r w:rsidRPr="008762B1">
        <w:rPr>
          <w:b/>
          <w:i/>
        </w:rPr>
        <w:t>non</w:t>
      </w:r>
      <w:r w:rsidR="008762B1">
        <w:rPr>
          <w:b/>
          <w:i/>
        </w:rPr>
        <w:noBreakHyphen/>
      </w:r>
      <w:r w:rsidRPr="008762B1">
        <w:rPr>
          <w:b/>
          <w:i/>
        </w:rPr>
        <w:t>monitored period</w:t>
      </w:r>
      <w:r w:rsidRPr="008762B1">
        <w:t xml:space="preserve"> has the meaning given by subsection</w:t>
      </w:r>
      <w:r w:rsidR="008762B1" w:rsidRPr="008762B1">
        <w:t> </w:t>
      </w:r>
      <w:r w:rsidR="004E7255" w:rsidRPr="008762B1">
        <w:t>46</w:t>
      </w:r>
      <w:r w:rsidRPr="008762B1">
        <w:t>(1).</w:t>
      </w:r>
    </w:p>
    <w:p w:rsidR="00656AB7" w:rsidRPr="008762B1" w:rsidRDefault="00656AB7" w:rsidP="00656AB7">
      <w:pPr>
        <w:pStyle w:val="Definition"/>
      </w:pPr>
      <w:r w:rsidRPr="008762B1">
        <w:rPr>
          <w:b/>
          <w:i/>
        </w:rPr>
        <w:t>open wind</w:t>
      </w:r>
      <w:r w:rsidR="004B7B22" w:rsidRPr="008762B1">
        <w:rPr>
          <w:b/>
          <w:i/>
        </w:rPr>
        <w:t>r</w:t>
      </w:r>
      <w:r w:rsidRPr="008762B1">
        <w:rPr>
          <w:b/>
          <w:i/>
        </w:rPr>
        <w:t>ow composting</w:t>
      </w:r>
      <w:r w:rsidR="00742B51" w:rsidRPr="008762B1">
        <w:t xml:space="preserve"> means composting in which open air wind</w:t>
      </w:r>
      <w:r w:rsidR="004B7B22" w:rsidRPr="008762B1">
        <w:t>r</w:t>
      </w:r>
      <w:r w:rsidR="00742B51" w:rsidRPr="008762B1">
        <w:t>ows are regularly turned to provide additional conditioning of the compost as required.</w:t>
      </w:r>
    </w:p>
    <w:p w:rsidR="0058208C" w:rsidRPr="008762B1" w:rsidRDefault="00F312E7" w:rsidP="0058208C">
      <w:pPr>
        <w:pStyle w:val="Definition"/>
      </w:pPr>
      <w:r w:rsidRPr="008762B1">
        <w:rPr>
          <w:b/>
          <w:i/>
        </w:rPr>
        <w:t>process engineered fuel manufacture</w:t>
      </w:r>
      <w:r w:rsidR="0058208C" w:rsidRPr="008762B1">
        <w:t xml:space="preserve"> </w:t>
      </w:r>
      <w:r w:rsidRPr="008762B1">
        <w:t>means</w:t>
      </w:r>
      <w:r w:rsidR="0030477B" w:rsidRPr="008762B1">
        <w:t xml:space="preserve"> a process</w:t>
      </w:r>
      <w:r w:rsidR="0058208C" w:rsidRPr="008762B1">
        <w:t>:</w:t>
      </w:r>
    </w:p>
    <w:p w:rsidR="0058208C" w:rsidRPr="008762B1" w:rsidRDefault="0058208C" w:rsidP="0058208C">
      <w:pPr>
        <w:pStyle w:val="paragraph"/>
      </w:pPr>
      <w:r w:rsidRPr="008762B1">
        <w:tab/>
        <w:t>(a)</w:t>
      </w:r>
      <w:r w:rsidRPr="008762B1">
        <w:tab/>
      </w:r>
      <w:r w:rsidR="0030477B" w:rsidRPr="008762B1">
        <w:t xml:space="preserve">by which a </w:t>
      </w:r>
      <w:r w:rsidR="00A5220E" w:rsidRPr="008762B1">
        <w:t>combustible</w:t>
      </w:r>
      <w:r w:rsidR="0030477B" w:rsidRPr="008762B1">
        <w:t xml:space="preserve"> fuel substitute is produced from </w:t>
      </w:r>
      <w:r w:rsidR="00A5220E" w:rsidRPr="008762B1">
        <w:t xml:space="preserve">mixed solid </w:t>
      </w:r>
      <w:r w:rsidR="0030477B" w:rsidRPr="008762B1">
        <w:t>waste that</w:t>
      </w:r>
      <w:r w:rsidRPr="008762B1">
        <w:t xml:space="preserve"> would otherwise enter landfill;</w:t>
      </w:r>
      <w:r w:rsidR="0030477B" w:rsidRPr="008762B1">
        <w:t xml:space="preserve"> and</w:t>
      </w:r>
    </w:p>
    <w:p w:rsidR="0030477B" w:rsidRPr="008762B1" w:rsidRDefault="0058208C" w:rsidP="0058208C">
      <w:pPr>
        <w:pStyle w:val="paragraph"/>
      </w:pPr>
      <w:r w:rsidRPr="008762B1">
        <w:tab/>
        <w:t>(b)</w:t>
      </w:r>
      <w:r w:rsidRPr="008762B1">
        <w:tab/>
        <w:t xml:space="preserve">that </w:t>
      </w:r>
      <w:r w:rsidR="0030477B" w:rsidRPr="008762B1">
        <w:t>may include pre</w:t>
      </w:r>
      <w:r w:rsidR="008762B1">
        <w:noBreakHyphen/>
      </w:r>
      <w:r w:rsidR="0030477B" w:rsidRPr="008762B1">
        <w:t>sorting of waste, separation of recyclable material, size reduction and screening.</w:t>
      </w:r>
    </w:p>
    <w:p w:rsidR="007875DB" w:rsidRPr="008762B1" w:rsidRDefault="007875DB" w:rsidP="0030477B">
      <w:pPr>
        <w:pStyle w:val="Definition"/>
      </w:pPr>
      <w:r w:rsidRPr="008762B1">
        <w:rPr>
          <w:b/>
          <w:i/>
        </w:rPr>
        <w:t>putrescible eligible waste</w:t>
      </w:r>
      <w:r w:rsidRPr="008762B1">
        <w:t xml:space="preserve"> means the organic matter contained within eligible waste which is capable of being decomposed by microorganisms.</w:t>
      </w:r>
    </w:p>
    <w:p w:rsidR="00626836" w:rsidRPr="008762B1" w:rsidRDefault="00626836" w:rsidP="00626836">
      <w:pPr>
        <w:pStyle w:val="Definition"/>
      </w:pPr>
      <w:r w:rsidRPr="008762B1">
        <w:rPr>
          <w:b/>
          <w:i/>
        </w:rPr>
        <w:t>putrescible waste</w:t>
      </w:r>
      <w:r w:rsidRPr="008762B1">
        <w:t xml:space="preserve"> means the organic matter contained within solid waste which is capable of being decomposed by microorganisms.</w:t>
      </w:r>
    </w:p>
    <w:p w:rsidR="009144C8" w:rsidRPr="008762B1" w:rsidRDefault="009144C8" w:rsidP="006E2432">
      <w:pPr>
        <w:pStyle w:val="Definition"/>
      </w:pPr>
      <w:r w:rsidRPr="008762B1">
        <w:rPr>
          <w:b/>
          <w:i/>
        </w:rPr>
        <w:t>relevant 24</w:t>
      </w:r>
      <w:r w:rsidR="008762B1">
        <w:rPr>
          <w:b/>
          <w:i/>
        </w:rPr>
        <w:noBreakHyphen/>
      </w:r>
      <w:r w:rsidRPr="008762B1">
        <w:rPr>
          <w:b/>
          <w:i/>
        </w:rPr>
        <w:t>month period</w:t>
      </w:r>
      <w:r w:rsidR="00797304" w:rsidRPr="008762B1">
        <w:t xml:space="preserve"> </w:t>
      </w:r>
      <w:r w:rsidRPr="008762B1">
        <w:t>has the m</w:t>
      </w:r>
      <w:r w:rsidR="00797304" w:rsidRPr="008762B1">
        <w:t>eaning given by subsection</w:t>
      </w:r>
      <w:r w:rsidR="008762B1" w:rsidRPr="008762B1">
        <w:t> </w:t>
      </w:r>
      <w:r w:rsidR="004E7255" w:rsidRPr="008762B1">
        <w:t>27</w:t>
      </w:r>
      <w:r w:rsidR="00B06C75" w:rsidRPr="008762B1">
        <w:t>(4</w:t>
      </w:r>
      <w:r w:rsidRPr="008762B1">
        <w:t>).</w:t>
      </w:r>
    </w:p>
    <w:p w:rsidR="00BB519E" w:rsidRPr="008762B1" w:rsidRDefault="00BB519E" w:rsidP="006E2432">
      <w:pPr>
        <w:pStyle w:val="Definition"/>
      </w:pPr>
      <w:r w:rsidRPr="008762B1">
        <w:rPr>
          <w:b/>
          <w:i/>
        </w:rPr>
        <w:t>relevant day</w:t>
      </w:r>
      <w:r w:rsidRPr="008762B1">
        <w:t xml:space="preserve"> has the m</w:t>
      </w:r>
      <w:r w:rsidR="009B3D86" w:rsidRPr="008762B1">
        <w:t>eaning given by subsection</w:t>
      </w:r>
      <w:r w:rsidR="008762B1" w:rsidRPr="008762B1">
        <w:t> </w:t>
      </w:r>
      <w:r w:rsidR="004E7255" w:rsidRPr="008762B1">
        <w:t>31</w:t>
      </w:r>
      <w:r w:rsidR="00383A75" w:rsidRPr="008762B1">
        <w:t>(4</w:t>
      </w:r>
      <w:r w:rsidRPr="008762B1">
        <w:t>).</w:t>
      </w:r>
    </w:p>
    <w:p w:rsidR="00216E85" w:rsidRPr="008762B1" w:rsidRDefault="00216E85" w:rsidP="006E2432">
      <w:pPr>
        <w:pStyle w:val="Definition"/>
      </w:pPr>
      <w:r w:rsidRPr="008762B1">
        <w:rPr>
          <w:b/>
          <w:i/>
        </w:rPr>
        <w:t>residual waste</w:t>
      </w:r>
      <w:r w:rsidRPr="008762B1">
        <w:t xml:space="preserve"> means material that:</w:t>
      </w:r>
    </w:p>
    <w:p w:rsidR="00216E85" w:rsidRPr="008762B1" w:rsidRDefault="00216E85" w:rsidP="00216E85">
      <w:pPr>
        <w:pStyle w:val="paragraph"/>
      </w:pPr>
      <w:r w:rsidRPr="008762B1">
        <w:tab/>
        <w:t>(a)</w:t>
      </w:r>
      <w:r w:rsidRPr="008762B1">
        <w:tab/>
      </w:r>
      <w:r w:rsidR="00183340" w:rsidRPr="008762B1">
        <w:t xml:space="preserve">is disposed </w:t>
      </w:r>
      <w:r w:rsidR="00145F41" w:rsidRPr="008762B1">
        <w:t xml:space="preserve">of </w:t>
      </w:r>
      <w:r w:rsidR="00183340" w:rsidRPr="008762B1">
        <w:t xml:space="preserve">in landfill </w:t>
      </w:r>
      <w:r w:rsidRPr="008762B1">
        <w:t xml:space="preserve">at the end of processing by an </w:t>
      </w:r>
      <w:proofErr w:type="spellStart"/>
      <w:r w:rsidRPr="008762B1">
        <w:t>AWT</w:t>
      </w:r>
      <w:proofErr w:type="spellEnd"/>
      <w:r w:rsidRPr="008762B1">
        <w:t xml:space="preserve"> facility; and</w:t>
      </w:r>
    </w:p>
    <w:p w:rsidR="00907C1C" w:rsidRPr="008762B1" w:rsidRDefault="00216E85" w:rsidP="00E35767">
      <w:pPr>
        <w:pStyle w:val="paragraph"/>
      </w:pPr>
      <w:r w:rsidRPr="008762B1">
        <w:tab/>
      </w:r>
      <w:r w:rsidR="00E35767" w:rsidRPr="008762B1">
        <w:t>(b)</w:t>
      </w:r>
      <w:r w:rsidR="00E35767" w:rsidRPr="008762B1">
        <w:tab/>
        <w:t xml:space="preserve">is </w:t>
      </w:r>
      <w:r w:rsidR="00EB1955" w:rsidRPr="008762B1">
        <w:t xml:space="preserve">not a </w:t>
      </w:r>
      <w:proofErr w:type="spellStart"/>
      <w:r w:rsidR="00EB1955" w:rsidRPr="008762B1">
        <w:t>biobased</w:t>
      </w:r>
      <w:proofErr w:type="spellEnd"/>
      <w:r w:rsidR="00EB1955" w:rsidRPr="008762B1">
        <w:t xml:space="preserve"> product</w:t>
      </w:r>
      <w:r w:rsidR="00D4720B" w:rsidRPr="008762B1">
        <w:t>,</w:t>
      </w:r>
      <w:r w:rsidR="00EB1955" w:rsidRPr="008762B1">
        <w:t xml:space="preserve"> or a non</w:t>
      </w:r>
      <w:r w:rsidR="008762B1">
        <w:noBreakHyphen/>
      </w:r>
      <w:proofErr w:type="spellStart"/>
      <w:r w:rsidR="00EB1955" w:rsidRPr="008762B1">
        <w:t>biobased</w:t>
      </w:r>
      <w:proofErr w:type="spellEnd"/>
      <w:r w:rsidR="00EB1955" w:rsidRPr="008762B1">
        <w:t xml:space="preserve"> product</w:t>
      </w:r>
      <w:r w:rsidR="00D4720B" w:rsidRPr="008762B1">
        <w:t xml:space="preserve">, manufactured by the </w:t>
      </w:r>
      <w:proofErr w:type="spellStart"/>
      <w:r w:rsidR="00D4720B" w:rsidRPr="008762B1">
        <w:t>AWT</w:t>
      </w:r>
      <w:proofErr w:type="spellEnd"/>
      <w:r w:rsidR="00D4720B" w:rsidRPr="008762B1">
        <w:t xml:space="preserve"> facility</w:t>
      </w:r>
      <w:r w:rsidR="00E35767" w:rsidRPr="008762B1">
        <w:t>.</w:t>
      </w:r>
    </w:p>
    <w:p w:rsidR="009E7B73" w:rsidRPr="008762B1" w:rsidRDefault="0038423D" w:rsidP="009E7B73">
      <w:pPr>
        <w:pStyle w:val="Definition"/>
      </w:pPr>
      <w:r w:rsidRPr="008762B1">
        <w:rPr>
          <w:b/>
          <w:i/>
        </w:rPr>
        <w:t>separated at the point of generation</w:t>
      </w:r>
      <w:r w:rsidR="009E7B73" w:rsidRPr="008762B1">
        <w:t xml:space="preserve"> has the meaning given by section</w:t>
      </w:r>
      <w:r w:rsidR="008762B1" w:rsidRPr="008762B1">
        <w:t> </w:t>
      </w:r>
      <w:r w:rsidR="004E7255" w:rsidRPr="008762B1">
        <w:t>7</w:t>
      </w:r>
      <w:r w:rsidR="009E7B73" w:rsidRPr="008762B1">
        <w:t>.</w:t>
      </w:r>
    </w:p>
    <w:p w:rsidR="00CA2F2B" w:rsidRPr="008762B1" w:rsidRDefault="007E3BC7" w:rsidP="00CA2F2B">
      <w:pPr>
        <w:pStyle w:val="Definition"/>
      </w:pPr>
      <w:r w:rsidRPr="008762B1">
        <w:rPr>
          <w:b/>
          <w:i/>
        </w:rPr>
        <w:t>transitioning project</w:t>
      </w:r>
      <w:r w:rsidR="00797304" w:rsidRPr="008762B1">
        <w:t xml:space="preserve"> </w:t>
      </w:r>
      <w:r w:rsidR="00183340" w:rsidRPr="008762B1">
        <w:t xml:space="preserve">has the meaning given by </w:t>
      </w:r>
      <w:r w:rsidR="00CA2F2B" w:rsidRPr="008762B1">
        <w:t>section</w:t>
      </w:r>
      <w:r w:rsidR="008762B1" w:rsidRPr="008762B1">
        <w:t> </w:t>
      </w:r>
      <w:r w:rsidR="004E7255" w:rsidRPr="008762B1">
        <w:t>13</w:t>
      </w:r>
      <w:r w:rsidR="00CA2F2B" w:rsidRPr="008762B1">
        <w:t>.</w:t>
      </w:r>
    </w:p>
    <w:p w:rsidR="004D50CE" w:rsidRPr="008762B1" w:rsidRDefault="004D50CE" w:rsidP="00CA2F2B">
      <w:pPr>
        <w:pStyle w:val="Definition"/>
      </w:pPr>
      <w:r w:rsidRPr="008762B1">
        <w:rPr>
          <w:b/>
          <w:i/>
        </w:rPr>
        <w:t xml:space="preserve">waste mix type </w:t>
      </w:r>
      <w:r w:rsidRPr="008762B1">
        <w:t>means any of the following:</w:t>
      </w:r>
    </w:p>
    <w:p w:rsidR="004D50CE" w:rsidRPr="008762B1" w:rsidRDefault="004D50CE" w:rsidP="004D50CE">
      <w:pPr>
        <w:pStyle w:val="paragraph"/>
      </w:pPr>
      <w:r w:rsidRPr="008762B1">
        <w:tab/>
        <w:t>(a)</w:t>
      </w:r>
      <w:r w:rsidRPr="008762B1">
        <w:tab/>
        <w:t>food;</w:t>
      </w:r>
    </w:p>
    <w:p w:rsidR="004D50CE" w:rsidRPr="008762B1" w:rsidRDefault="004D50CE" w:rsidP="004D50CE">
      <w:pPr>
        <w:pStyle w:val="paragraph"/>
      </w:pPr>
      <w:r w:rsidRPr="008762B1">
        <w:tab/>
        <w:t>(b)</w:t>
      </w:r>
      <w:r w:rsidRPr="008762B1">
        <w:tab/>
        <w:t>paper and paper board;</w:t>
      </w:r>
    </w:p>
    <w:p w:rsidR="004D50CE" w:rsidRPr="008762B1" w:rsidRDefault="004D50CE" w:rsidP="004D50CE">
      <w:pPr>
        <w:pStyle w:val="paragraph"/>
      </w:pPr>
      <w:r w:rsidRPr="008762B1">
        <w:tab/>
        <w:t>(c)</w:t>
      </w:r>
      <w:r w:rsidRPr="008762B1">
        <w:tab/>
        <w:t>textiles;</w:t>
      </w:r>
    </w:p>
    <w:p w:rsidR="004D50CE" w:rsidRPr="008762B1" w:rsidRDefault="004D50CE" w:rsidP="004D50CE">
      <w:pPr>
        <w:pStyle w:val="paragraph"/>
      </w:pPr>
      <w:r w:rsidRPr="008762B1">
        <w:tab/>
        <w:t>(d)</w:t>
      </w:r>
      <w:r w:rsidRPr="008762B1">
        <w:tab/>
        <w:t>garden and park;</w:t>
      </w:r>
    </w:p>
    <w:p w:rsidR="004D50CE" w:rsidRPr="008762B1" w:rsidRDefault="004D50CE" w:rsidP="004D50CE">
      <w:pPr>
        <w:pStyle w:val="paragraph"/>
      </w:pPr>
      <w:r w:rsidRPr="008762B1">
        <w:tab/>
        <w:t>(e)</w:t>
      </w:r>
      <w:r w:rsidRPr="008762B1">
        <w:tab/>
        <w:t>wood and wood waste;</w:t>
      </w:r>
    </w:p>
    <w:p w:rsidR="004D50CE" w:rsidRPr="008762B1" w:rsidRDefault="004D50CE" w:rsidP="004D50CE">
      <w:pPr>
        <w:pStyle w:val="paragraph"/>
      </w:pPr>
      <w:r w:rsidRPr="008762B1">
        <w:tab/>
        <w:t>(f)</w:t>
      </w:r>
      <w:r w:rsidRPr="008762B1">
        <w:tab/>
        <w:t>sludge;</w:t>
      </w:r>
    </w:p>
    <w:p w:rsidR="004D50CE" w:rsidRPr="008762B1" w:rsidRDefault="004D50CE" w:rsidP="004D50CE">
      <w:pPr>
        <w:pStyle w:val="paragraph"/>
      </w:pPr>
      <w:r w:rsidRPr="008762B1">
        <w:tab/>
        <w:t>(g)</w:t>
      </w:r>
      <w:r w:rsidRPr="008762B1">
        <w:tab/>
        <w:t>nappies;</w:t>
      </w:r>
    </w:p>
    <w:p w:rsidR="004D50CE" w:rsidRPr="008762B1" w:rsidRDefault="004D50CE" w:rsidP="004D50CE">
      <w:pPr>
        <w:pStyle w:val="paragraph"/>
      </w:pPr>
      <w:r w:rsidRPr="008762B1">
        <w:tab/>
        <w:t>(h)</w:t>
      </w:r>
      <w:r w:rsidRPr="008762B1">
        <w:tab/>
        <w:t>rubber and leather;</w:t>
      </w:r>
    </w:p>
    <w:p w:rsidR="004D50CE" w:rsidRPr="008762B1" w:rsidRDefault="004D50CE" w:rsidP="004D50CE">
      <w:pPr>
        <w:pStyle w:val="paragraph"/>
      </w:pPr>
      <w:r w:rsidRPr="008762B1">
        <w:lastRenderedPageBreak/>
        <w:tab/>
        <w:t>(</w:t>
      </w:r>
      <w:proofErr w:type="spellStart"/>
      <w:r w:rsidRPr="008762B1">
        <w:t>i</w:t>
      </w:r>
      <w:proofErr w:type="spellEnd"/>
      <w:r w:rsidRPr="008762B1">
        <w:t>)</w:t>
      </w:r>
      <w:r w:rsidRPr="008762B1">
        <w:tab/>
        <w:t>inert waste (including concrete, metal, plastic and glass).</w:t>
      </w:r>
    </w:p>
    <w:p w:rsidR="008801C4" w:rsidRPr="008762B1" w:rsidRDefault="004E7255" w:rsidP="008801C4">
      <w:pPr>
        <w:pStyle w:val="ActHead5"/>
      </w:pPr>
      <w:bookmarkStart w:id="10" w:name="_Toc407103310"/>
      <w:r w:rsidRPr="008762B1">
        <w:rPr>
          <w:rStyle w:val="CharSectno"/>
        </w:rPr>
        <w:t>6</w:t>
      </w:r>
      <w:r w:rsidR="008801C4" w:rsidRPr="008762B1">
        <w:t xml:space="preserve">  Meaning of </w:t>
      </w:r>
      <w:r w:rsidR="008801C4" w:rsidRPr="008762B1">
        <w:rPr>
          <w:i/>
        </w:rPr>
        <w:t>eligible CFI waste</w:t>
      </w:r>
      <w:bookmarkEnd w:id="10"/>
    </w:p>
    <w:p w:rsidR="008801C4" w:rsidRPr="008762B1" w:rsidRDefault="008801C4" w:rsidP="008801C4">
      <w:pPr>
        <w:pStyle w:val="subsection"/>
      </w:pPr>
      <w:r w:rsidRPr="008762B1">
        <w:tab/>
        <w:t>(1)</w:t>
      </w:r>
      <w:r w:rsidRPr="008762B1">
        <w:tab/>
      </w:r>
      <w:r w:rsidR="0068379D" w:rsidRPr="008762B1">
        <w:t>W</w:t>
      </w:r>
      <w:r w:rsidRPr="008762B1">
        <w:t xml:space="preserve">aste </w:t>
      </w:r>
      <w:r w:rsidR="00D076AC" w:rsidRPr="008762B1">
        <w:t xml:space="preserve">of a particular kind </w:t>
      </w:r>
      <w:r w:rsidRPr="008762B1">
        <w:t xml:space="preserve">is </w:t>
      </w:r>
      <w:r w:rsidRPr="008762B1">
        <w:rPr>
          <w:b/>
          <w:i/>
        </w:rPr>
        <w:t>eligible CFI waste</w:t>
      </w:r>
      <w:r w:rsidRPr="008762B1">
        <w:t xml:space="preserve"> for a transitioning project if, under the CFI </w:t>
      </w:r>
      <w:proofErr w:type="spellStart"/>
      <w:r w:rsidRPr="008762B1">
        <w:t>AWT</w:t>
      </w:r>
      <w:proofErr w:type="spellEnd"/>
      <w:r w:rsidRPr="008762B1">
        <w:t xml:space="preserve"> determination that was the applicable methodology determination for the project immediately before the </w:t>
      </w:r>
      <w:proofErr w:type="spellStart"/>
      <w:r w:rsidRPr="008762B1">
        <w:t>E</w:t>
      </w:r>
      <w:r w:rsidR="00EB1955" w:rsidRPr="008762B1">
        <w:t>RF</w:t>
      </w:r>
      <w:proofErr w:type="spellEnd"/>
      <w:r w:rsidRPr="008762B1">
        <w:t xml:space="preserve"> commencement day, </w:t>
      </w:r>
      <w:r w:rsidR="0068379D" w:rsidRPr="008762B1">
        <w:t xml:space="preserve">processing waste of that kind </w:t>
      </w:r>
      <w:r w:rsidR="00B4483D" w:rsidRPr="008762B1">
        <w:t>wa</w:t>
      </w:r>
      <w:r w:rsidR="0068379D" w:rsidRPr="008762B1">
        <w:t xml:space="preserve">s a requirement </w:t>
      </w:r>
      <w:r w:rsidR="002F5845" w:rsidRPr="008762B1">
        <w:t xml:space="preserve">to be </w:t>
      </w:r>
      <w:r w:rsidR="0068379D" w:rsidRPr="008762B1">
        <w:t>an eligible offsets project.</w:t>
      </w:r>
    </w:p>
    <w:p w:rsidR="0068379D" w:rsidRPr="008762B1" w:rsidRDefault="0068379D" w:rsidP="0068379D">
      <w:pPr>
        <w:pStyle w:val="subsection"/>
      </w:pPr>
      <w:r w:rsidRPr="008762B1">
        <w:tab/>
        <w:t>(2)</w:t>
      </w:r>
      <w:r w:rsidRPr="008762B1">
        <w:tab/>
        <w:t xml:space="preserve">For the purposes of </w:t>
      </w:r>
      <w:r w:rsidR="008762B1" w:rsidRPr="008762B1">
        <w:t>subsection (</w:t>
      </w:r>
      <w:r w:rsidRPr="008762B1">
        <w:t xml:space="preserve">1), disregard any requirement in </w:t>
      </w:r>
      <w:r w:rsidR="002F5845" w:rsidRPr="008762B1">
        <w:t>the</w:t>
      </w:r>
      <w:r w:rsidRPr="008762B1">
        <w:t xml:space="preserve"> CFI </w:t>
      </w:r>
      <w:proofErr w:type="spellStart"/>
      <w:r w:rsidRPr="008762B1">
        <w:t>AWT</w:t>
      </w:r>
      <w:proofErr w:type="spellEnd"/>
      <w:r w:rsidRPr="008762B1">
        <w:t xml:space="preserve"> determination that the waste processed must be legacy waste (</w:t>
      </w:r>
      <w:r w:rsidR="002F5845" w:rsidRPr="008762B1">
        <w:t>as defined in</w:t>
      </w:r>
      <w:r w:rsidRPr="008762B1">
        <w:t xml:space="preserve"> the CFI </w:t>
      </w:r>
      <w:proofErr w:type="spellStart"/>
      <w:r w:rsidRPr="008762B1">
        <w:t>AWT</w:t>
      </w:r>
      <w:proofErr w:type="spellEnd"/>
      <w:r w:rsidRPr="008762B1">
        <w:t xml:space="preserve"> determination).</w:t>
      </w:r>
    </w:p>
    <w:p w:rsidR="009E7B73" w:rsidRPr="008762B1" w:rsidRDefault="004E7255" w:rsidP="009E7B73">
      <w:pPr>
        <w:pStyle w:val="ActHead5"/>
        <w:rPr>
          <w:i/>
        </w:rPr>
      </w:pPr>
      <w:bookmarkStart w:id="11" w:name="_Toc407103311"/>
      <w:r w:rsidRPr="008762B1">
        <w:rPr>
          <w:rStyle w:val="CharSectno"/>
        </w:rPr>
        <w:t>7</w:t>
      </w:r>
      <w:r w:rsidR="009E7B73" w:rsidRPr="008762B1">
        <w:t xml:space="preserve">  Meaning of </w:t>
      </w:r>
      <w:r w:rsidR="009E7B73" w:rsidRPr="008762B1">
        <w:rPr>
          <w:i/>
        </w:rPr>
        <w:t>separated at the point of generation</w:t>
      </w:r>
      <w:bookmarkEnd w:id="11"/>
    </w:p>
    <w:p w:rsidR="009E7B73" w:rsidRPr="008762B1" w:rsidRDefault="004929D1" w:rsidP="009E7B73">
      <w:pPr>
        <w:pStyle w:val="subsection"/>
      </w:pPr>
      <w:r w:rsidRPr="008762B1">
        <w:tab/>
      </w:r>
      <w:r w:rsidRPr="008762B1">
        <w:tab/>
      </w:r>
      <w:r w:rsidR="009E7B73" w:rsidRPr="008762B1">
        <w:t xml:space="preserve">Waste </w:t>
      </w:r>
      <w:r w:rsidR="004F4CA6" w:rsidRPr="008762B1">
        <w:t>is</w:t>
      </w:r>
      <w:r w:rsidR="009E7B73" w:rsidRPr="008762B1">
        <w:t xml:space="preserve"> </w:t>
      </w:r>
      <w:r w:rsidR="009E7B73" w:rsidRPr="008762B1">
        <w:rPr>
          <w:b/>
          <w:i/>
        </w:rPr>
        <w:t>separated at the point of generation</w:t>
      </w:r>
      <w:r w:rsidR="00A5220E" w:rsidRPr="008762B1">
        <w:t xml:space="preserve"> if:</w:t>
      </w:r>
    </w:p>
    <w:p w:rsidR="009E7B73" w:rsidRPr="008762B1" w:rsidRDefault="009E7B73" w:rsidP="009E7B73">
      <w:pPr>
        <w:pStyle w:val="paragraph"/>
      </w:pPr>
      <w:r w:rsidRPr="008762B1">
        <w:tab/>
        <w:t>(a)</w:t>
      </w:r>
      <w:r w:rsidRPr="008762B1">
        <w:tab/>
      </w:r>
      <w:r w:rsidR="00616951" w:rsidRPr="008762B1">
        <w:t>the waste</w:t>
      </w:r>
      <w:r w:rsidRPr="008762B1">
        <w:t xml:space="preserve"> </w:t>
      </w:r>
      <w:r w:rsidR="004F4CA6" w:rsidRPr="008762B1">
        <w:t>is</w:t>
      </w:r>
      <w:r w:rsidR="00A5220E" w:rsidRPr="008762B1">
        <w:t xml:space="preserve"> disposed of into a conta</w:t>
      </w:r>
      <w:r w:rsidR="004F4CA6" w:rsidRPr="008762B1">
        <w:t>iner, located where the waste i</w:t>
      </w:r>
      <w:r w:rsidR="00A5220E" w:rsidRPr="008762B1">
        <w:t xml:space="preserve">s generated, </w:t>
      </w:r>
      <w:r w:rsidRPr="008762B1">
        <w:t>that is intended to contain:</w:t>
      </w:r>
    </w:p>
    <w:p w:rsidR="009E7B73" w:rsidRPr="008762B1" w:rsidRDefault="009E7B73" w:rsidP="009E7B73">
      <w:pPr>
        <w:pStyle w:val="paragraphsub"/>
      </w:pPr>
      <w:r w:rsidRPr="008762B1">
        <w:tab/>
        <w:t>(</w:t>
      </w:r>
      <w:proofErr w:type="spellStart"/>
      <w:r w:rsidRPr="008762B1">
        <w:t>i</w:t>
      </w:r>
      <w:proofErr w:type="spellEnd"/>
      <w:r w:rsidRPr="008762B1">
        <w:t>)</w:t>
      </w:r>
      <w:r w:rsidRPr="008762B1">
        <w:tab/>
        <w:t>a particular waste mix type; or</w:t>
      </w:r>
    </w:p>
    <w:p w:rsidR="009E7B73" w:rsidRPr="008762B1" w:rsidRDefault="009E7B73" w:rsidP="009E7B73">
      <w:pPr>
        <w:pStyle w:val="paragraphsub"/>
      </w:pPr>
      <w:r w:rsidRPr="008762B1">
        <w:tab/>
        <w:t>(ii)</w:t>
      </w:r>
      <w:r w:rsidRPr="008762B1">
        <w:tab/>
        <w:t>a particular combination of waste mix types; and</w:t>
      </w:r>
    </w:p>
    <w:p w:rsidR="009E7B73" w:rsidRPr="008762B1" w:rsidRDefault="009E7B73" w:rsidP="009E7B73">
      <w:pPr>
        <w:pStyle w:val="paragraph"/>
      </w:pPr>
      <w:r w:rsidRPr="008762B1">
        <w:tab/>
        <w:t>(b)</w:t>
      </w:r>
      <w:r w:rsidRPr="008762B1">
        <w:tab/>
        <w:t>the waste is of a waste mix type</w:t>
      </w:r>
      <w:r w:rsidR="00AD36EC" w:rsidRPr="008762B1">
        <w:t xml:space="preserve"> that the container is intended to contain.</w:t>
      </w:r>
    </w:p>
    <w:p w:rsidR="009E7B73" w:rsidRPr="008762B1" w:rsidRDefault="009E7B73" w:rsidP="009E7B73">
      <w:pPr>
        <w:pStyle w:val="notetext"/>
      </w:pPr>
      <w:r w:rsidRPr="008762B1">
        <w:t>Note:</w:t>
      </w:r>
      <w:r w:rsidRPr="008762B1">
        <w:tab/>
        <w:t>Examples of a container intended to contain a particular combination of waste mix types include:</w:t>
      </w:r>
    </w:p>
    <w:p w:rsidR="009E7B73" w:rsidRPr="008762B1" w:rsidRDefault="009E7B73" w:rsidP="009E7B73">
      <w:pPr>
        <w:pStyle w:val="notepara"/>
      </w:pPr>
      <w:r w:rsidRPr="008762B1">
        <w:t>(a)</w:t>
      </w:r>
      <w:r w:rsidRPr="008762B1">
        <w:tab/>
        <w:t>a container for co</w:t>
      </w:r>
      <w:r w:rsidR="008762B1">
        <w:noBreakHyphen/>
      </w:r>
      <w:r w:rsidRPr="008762B1">
        <w:t>mingled recycling (that is intended to contain a combination of paper, glass, metal and plastics for recycling); and</w:t>
      </w:r>
    </w:p>
    <w:p w:rsidR="00AD36EC" w:rsidRPr="008762B1" w:rsidRDefault="009E7B73" w:rsidP="004929D1">
      <w:pPr>
        <w:pStyle w:val="notepara"/>
      </w:pPr>
      <w:r w:rsidRPr="008762B1">
        <w:t>(b)</w:t>
      </w:r>
      <w:r w:rsidRPr="008762B1">
        <w:tab/>
        <w:t>a container for mixed organics (that is intended to contain a combination of food and green waste for composting).</w:t>
      </w:r>
    </w:p>
    <w:p w:rsidR="008D0707" w:rsidRPr="008762B1" w:rsidRDefault="004E7255" w:rsidP="008D0707">
      <w:pPr>
        <w:pStyle w:val="ActHead5"/>
      </w:pPr>
      <w:bookmarkStart w:id="12" w:name="_Toc407103312"/>
      <w:r w:rsidRPr="008762B1">
        <w:rPr>
          <w:rStyle w:val="CharSectno"/>
        </w:rPr>
        <w:t>8</w:t>
      </w:r>
      <w:r w:rsidR="008D0707" w:rsidRPr="008762B1">
        <w:t xml:space="preserve">  References to factors and parameters from external sources</w:t>
      </w:r>
      <w:bookmarkEnd w:id="12"/>
    </w:p>
    <w:p w:rsidR="008D0707" w:rsidRPr="008762B1" w:rsidRDefault="008D0707" w:rsidP="008D0707">
      <w:pPr>
        <w:pStyle w:val="subsection"/>
      </w:pPr>
      <w:r w:rsidRPr="008762B1">
        <w:tab/>
        <w:t>(1)</w:t>
      </w:r>
      <w:r w:rsidRPr="008762B1">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344973" w:rsidRPr="008762B1" w:rsidRDefault="008D0707" w:rsidP="008D0707">
      <w:pPr>
        <w:pStyle w:val="subsection"/>
      </w:pPr>
      <w:r w:rsidRPr="008762B1">
        <w:tab/>
        <w:t>(2)</w:t>
      </w:r>
      <w:r w:rsidRPr="008762B1">
        <w:tab/>
      </w:r>
      <w:r w:rsidR="008762B1" w:rsidRPr="008762B1">
        <w:t>Subsection (</w:t>
      </w:r>
      <w:r w:rsidRPr="008762B1">
        <w:t>1) does not apply if</w:t>
      </w:r>
      <w:r w:rsidR="00344973" w:rsidRPr="008762B1">
        <w:t>:</w:t>
      </w:r>
    </w:p>
    <w:p w:rsidR="008D0707" w:rsidRPr="008762B1" w:rsidRDefault="00344973" w:rsidP="00344973">
      <w:pPr>
        <w:pStyle w:val="paragraph"/>
      </w:pPr>
      <w:r w:rsidRPr="008762B1">
        <w:tab/>
        <w:t>(a)</w:t>
      </w:r>
      <w:r w:rsidRPr="008762B1">
        <w:tab/>
      </w:r>
      <w:r w:rsidR="008D0707" w:rsidRPr="008762B1">
        <w:t>the de</w:t>
      </w:r>
      <w:r w:rsidRPr="008762B1">
        <w:t>termination specifies otherwise; or</w:t>
      </w:r>
    </w:p>
    <w:p w:rsidR="00344973" w:rsidRPr="008762B1" w:rsidRDefault="00344973" w:rsidP="00344973">
      <w:pPr>
        <w:pStyle w:val="paragraph"/>
      </w:pPr>
      <w:r w:rsidRPr="008762B1">
        <w:tab/>
        <w:t>(b)</w:t>
      </w:r>
      <w:r w:rsidRPr="008762B1">
        <w:tab/>
        <w:t>it is not possible to define or calculate the factor or parameter by reference to the instrument or writing as in force at the end of the reporting period.</w:t>
      </w:r>
    </w:p>
    <w:p w:rsidR="006E2432" w:rsidRPr="008762B1" w:rsidRDefault="006E2432" w:rsidP="006E2432">
      <w:pPr>
        <w:pStyle w:val="ActHead2"/>
        <w:pageBreakBefore/>
      </w:pPr>
      <w:bookmarkStart w:id="13" w:name="_Toc407103313"/>
      <w:r w:rsidRPr="008762B1">
        <w:rPr>
          <w:rStyle w:val="CharPartNo"/>
        </w:rPr>
        <w:lastRenderedPageBreak/>
        <w:t>Part</w:t>
      </w:r>
      <w:r w:rsidR="008762B1" w:rsidRPr="008762B1">
        <w:rPr>
          <w:rStyle w:val="CharPartNo"/>
        </w:rPr>
        <w:t> </w:t>
      </w:r>
      <w:r w:rsidRPr="008762B1">
        <w:rPr>
          <w:rStyle w:val="CharPartNo"/>
        </w:rPr>
        <w:t>2</w:t>
      </w:r>
      <w:r w:rsidRPr="008762B1">
        <w:t>—</w:t>
      </w:r>
      <w:r w:rsidRPr="008762B1">
        <w:rPr>
          <w:rStyle w:val="CharPartText"/>
        </w:rPr>
        <w:t>Alternative waste treatment projects</w:t>
      </w:r>
      <w:bookmarkEnd w:id="13"/>
    </w:p>
    <w:p w:rsidR="00A3252A" w:rsidRPr="008762B1" w:rsidRDefault="00A3252A" w:rsidP="00A3252A">
      <w:pPr>
        <w:pStyle w:val="Header"/>
      </w:pPr>
      <w:r w:rsidRPr="008762B1">
        <w:rPr>
          <w:rStyle w:val="CharDivNo"/>
        </w:rPr>
        <w:t xml:space="preserve"> </w:t>
      </w:r>
      <w:r w:rsidRPr="008762B1">
        <w:rPr>
          <w:rStyle w:val="CharDivText"/>
        </w:rPr>
        <w:t xml:space="preserve"> </w:t>
      </w:r>
    </w:p>
    <w:p w:rsidR="006E2432" w:rsidRPr="008762B1" w:rsidRDefault="004E7255" w:rsidP="006E2432">
      <w:pPr>
        <w:pStyle w:val="ActHead5"/>
      </w:pPr>
      <w:bookmarkStart w:id="14" w:name="_Toc407103314"/>
      <w:r w:rsidRPr="008762B1">
        <w:rPr>
          <w:rStyle w:val="CharSectno"/>
        </w:rPr>
        <w:t>9</w:t>
      </w:r>
      <w:r w:rsidR="006E2432" w:rsidRPr="008762B1">
        <w:t xml:space="preserve">  Alternative waste treatment projects</w:t>
      </w:r>
      <w:bookmarkEnd w:id="14"/>
    </w:p>
    <w:p w:rsidR="0008090C" w:rsidRPr="008762B1" w:rsidRDefault="0008090C" w:rsidP="0008090C">
      <w:pPr>
        <w:pStyle w:val="subsection"/>
      </w:pPr>
      <w:r w:rsidRPr="008762B1">
        <w:tab/>
        <w:t>(1)</w:t>
      </w:r>
      <w:r w:rsidRPr="008762B1">
        <w:tab/>
        <w:t>For paragraph</w:t>
      </w:r>
      <w:r w:rsidR="008762B1" w:rsidRPr="008762B1">
        <w:t> </w:t>
      </w:r>
      <w:r w:rsidRPr="008762B1">
        <w:t>106(1)(a) of the Act, this determination applies to an offsets project that</w:t>
      </w:r>
      <w:r w:rsidR="00DC1A81" w:rsidRPr="008762B1">
        <w:t xml:space="preserve"> involves</w:t>
      </w:r>
      <w:r w:rsidRPr="008762B1">
        <w:t>:</w:t>
      </w:r>
    </w:p>
    <w:p w:rsidR="0008090C" w:rsidRPr="008762B1" w:rsidRDefault="0008090C" w:rsidP="0008090C">
      <w:pPr>
        <w:pStyle w:val="paragraph"/>
      </w:pPr>
      <w:r w:rsidRPr="008762B1">
        <w:tab/>
        <w:t>(a)</w:t>
      </w:r>
      <w:r w:rsidRPr="008762B1">
        <w:tab/>
      </w:r>
      <w:r w:rsidR="00DC1A81" w:rsidRPr="008762B1">
        <w:t xml:space="preserve">the diversion of </w:t>
      </w:r>
      <w:r w:rsidR="001B140C" w:rsidRPr="008762B1">
        <w:t xml:space="preserve">eligible </w:t>
      </w:r>
      <w:r w:rsidR="00F22079" w:rsidRPr="008762B1">
        <w:t>waste</w:t>
      </w:r>
      <w:r w:rsidR="00200E9B" w:rsidRPr="008762B1">
        <w:t xml:space="preserve"> that</w:t>
      </w:r>
      <w:r w:rsidR="00F22079" w:rsidRPr="008762B1">
        <w:t xml:space="preserve"> would otherwise enter landfill</w:t>
      </w:r>
      <w:r w:rsidR="00770A64" w:rsidRPr="008762B1">
        <w:t xml:space="preserve"> to an</w:t>
      </w:r>
      <w:r w:rsidRPr="008762B1">
        <w:t xml:space="preserve"> </w:t>
      </w:r>
      <w:proofErr w:type="spellStart"/>
      <w:r w:rsidRPr="008762B1">
        <w:t>AWT</w:t>
      </w:r>
      <w:proofErr w:type="spellEnd"/>
      <w:r w:rsidRPr="008762B1">
        <w:t xml:space="preserve"> facility; and</w:t>
      </w:r>
    </w:p>
    <w:p w:rsidR="0008090C" w:rsidRPr="008762B1" w:rsidRDefault="0008090C" w:rsidP="0008090C">
      <w:pPr>
        <w:pStyle w:val="paragraph"/>
      </w:pPr>
      <w:r w:rsidRPr="008762B1">
        <w:tab/>
        <w:t>(b)</w:t>
      </w:r>
      <w:r w:rsidRPr="008762B1">
        <w:tab/>
      </w:r>
      <w:r w:rsidR="00DC1A81" w:rsidRPr="008762B1">
        <w:t xml:space="preserve">the </w:t>
      </w:r>
      <w:r w:rsidR="00770A64" w:rsidRPr="008762B1">
        <w:t>processing</w:t>
      </w:r>
      <w:r w:rsidR="00DC1A81" w:rsidRPr="008762B1">
        <w:t xml:space="preserve"> of that waste </w:t>
      </w:r>
      <w:r w:rsidRPr="008762B1">
        <w:t>using eligible waste treatment technology.</w:t>
      </w:r>
    </w:p>
    <w:p w:rsidR="00CB5D92" w:rsidRPr="008762B1" w:rsidRDefault="00CB5D92" w:rsidP="00CB5D92">
      <w:pPr>
        <w:pStyle w:val="subsection"/>
      </w:pPr>
      <w:r w:rsidRPr="008762B1">
        <w:tab/>
        <w:t>(2)</w:t>
      </w:r>
      <w:r w:rsidRPr="008762B1">
        <w:tab/>
        <w:t xml:space="preserve">A project covered by </w:t>
      </w:r>
      <w:r w:rsidR="008762B1" w:rsidRPr="008762B1">
        <w:t>subsection (</w:t>
      </w:r>
      <w:r w:rsidRPr="008762B1">
        <w:t xml:space="preserve">1) is an </w:t>
      </w:r>
      <w:r w:rsidRPr="008762B1">
        <w:rPr>
          <w:b/>
          <w:i/>
        </w:rPr>
        <w:t>alternative waste treatment project</w:t>
      </w:r>
      <w:r w:rsidR="00930FA1" w:rsidRPr="008762B1">
        <w:t xml:space="preserve"> or </w:t>
      </w:r>
      <w:proofErr w:type="spellStart"/>
      <w:r w:rsidR="00930FA1" w:rsidRPr="008762B1">
        <w:rPr>
          <w:b/>
          <w:i/>
        </w:rPr>
        <w:t>AWT</w:t>
      </w:r>
      <w:proofErr w:type="spellEnd"/>
      <w:r w:rsidR="00930FA1" w:rsidRPr="008762B1">
        <w:rPr>
          <w:b/>
          <w:i/>
        </w:rPr>
        <w:t xml:space="preserve"> project</w:t>
      </w:r>
      <w:r w:rsidRPr="008762B1">
        <w:t>.</w:t>
      </w:r>
    </w:p>
    <w:p w:rsidR="00BB519E" w:rsidRPr="008762B1" w:rsidRDefault="00BB519E" w:rsidP="00BB519E">
      <w:pPr>
        <w:pStyle w:val="subsection"/>
      </w:pPr>
      <w:r w:rsidRPr="008762B1">
        <w:tab/>
        <w:t>(3)</w:t>
      </w:r>
      <w:r w:rsidRPr="008762B1">
        <w:tab/>
        <w:t xml:space="preserve">An </w:t>
      </w:r>
      <w:proofErr w:type="spellStart"/>
      <w:r w:rsidRPr="008762B1">
        <w:t>AWT</w:t>
      </w:r>
      <w:proofErr w:type="spellEnd"/>
      <w:r w:rsidRPr="008762B1">
        <w:t xml:space="preserve"> project may be:</w:t>
      </w:r>
    </w:p>
    <w:p w:rsidR="00BB519E" w:rsidRPr="008762B1" w:rsidRDefault="00BB519E" w:rsidP="00BB519E">
      <w:pPr>
        <w:pStyle w:val="paragraph"/>
      </w:pPr>
      <w:r w:rsidRPr="008762B1">
        <w:tab/>
        <w:t>(a)</w:t>
      </w:r>
      <w:r w:rsidRPr="008762B1">
        <w:tab/>
        <w:t>a new project; or</w:t>
      </w:r>
    </w:p>
    <w:p w:rsidR="00BB519E" w:rsidRPr="008762B1" w:rsidRDefault="00BB519E" w:rsidP="00BB519E">
      <w:pPr>
        <w:pStyle w:val="paragraph"/>
      </w:pPr>
      <w:r w:rsidRPr="008762B1">
        <w:tab/>
        <w:t>(b)</w:t>
      </w:r>
      <w:r w:rsidRPr="008762B1">
        <w:tab/>
        <w:t>an expansion project; or</w:t>
      </w:r>
    </w:p>
    <w:p w:rsidR="00BB519E" w:rsidRPr="008762B1" w:rsidRDefault="00BB519E" w:rsidP="00BB519E">
      <w:pPr>
        <w:pStyle w:val="paragraph"/>
      </w:pPr>
      <w:r w:rsidRPr="008762B1">
        <w:tab/>
        <w:t>(c)</w:t>
      </w:r>
      <w:r w:rsidRPr="008762B1">
        <w:tab/>
        <w:t>a transitioning project.</w:t>
      </w:r>
    </w:p>
    <w:p w:rsidR="0008090C" w:rsidRPr="008762B1" w:rsidRDefault="00327004" w:rsidP="00327004">
      <w:pPr>
        <w:pStyle w:val="ActHead2"/>
        <w:pageBreakBefore/>
      </w:pPr>
      <w:bookmarkStart w:id="15" w:name="_Toc407103315"/>
      <w:r w:rsidRPr="008762B1">
        <w:rPr>
          <w:rStyle w:val="CharPartNo"/>
        </w:rPr>
        <w:lastRenderedPageBreak/>
        <w:t>Part</w:t>
      </w:r>
      <w:r w:rsidR="008762B1" w:rsidRPr="008762B1">
        <w:rPr>
          <w:rStyle w:val="CharPartNo"/>
        </w:rPr>
        <w:t> </w:t>
      </w:r>
      <w:r w:rsidRPr="008762B1">
        <w:rPr>
          <w:rStyle w:val="CharPartNo"/>
        </w:rPr>
        <w:t>3</w:t>
      </w:r>
      <w:r w:rsidRPr="008762B1">
        <w:t>—</w:t>
      </w:r>
      <w:r w:rsidRPr="008762B1">
        <w:rPr>
          <w:rStyle w:val="CharPartText"/>
        </w:rPr>
        <w:t>Project requirements</w:t>
      </w:r>
      <w:bookmarkEnd w:id="15"/>
    </w:p>
    <w:p w:rsidR="00A3252A" w:rsidRPr="008762B1" w:rsidRDefault="00A3252A" w:rsidP="00A3252A">
      <w:pPr>
        <w:pStyle w:val="Header"/>
      </w:pPr>
      <w:r w:rsidRPr="008762B1">
        <w:rPr>
          <w:rStyle w:val="CharDivNo"/>
        </w:rPr>
        <w:t xml:space="preserve"> </w:t>
      </w:r>
      <w:r w:rsidRPr="008762B1">
        <w:rPr>
          <w:rStyle w:val="CharDivText"/>
        </w:rPr>
        <w:t xml:space="preserve"> </w:t>
      </w:r>
    </w:p>
    <w:p w:rsidR="00327004" w:rsidRPr="008762B1" w:rsidRDefault="004E7255" w:rsidP="0045148A">
      <w:pPr>
        <w:pStyle w:val="ActHead5"/>
      </w:pPr>
      <w:bookmarkStart w:id="16" w:name="_Toc407103316"/>
      <w:r w:rsidRPr="008762B1">
        <w:rPr>
          <w:rStyle w:val="CharSectno"/>
        </w:rPr>
        <w:t>10</w:t>
      </w:r>
      <w:r w:rsidR="0045148A" w:rsidRPr="008762B1">
        <w:t xml:space="preserve">  Operation of this </w:t>
      </w:r>
      <w:r w:rsidR="00D357A5" w:rsidRPr="008762B1">
        <w:t>Part</w:t>
      </w:r>
      <w:bookmarkEnd w:id="16"/>
    </w:p>
    <w:p w:rsidR="0045148A" w:rsidRPr="008762B1" w:rsidRDefault="0045148A" w:rsidP="0045148A">
      <w:pPr>
        <w:pStyle w:val="subsection"/>
      </w:pPr>
      <w:r w:rsidRPr="008762B1">
        <w:tab/>
      </w:r>
      <w:r w:rsidRPr="008762B1">
        <w:tab/>
        <w:t>For paragraph</w:t>
      </w:r>
      <w:r w:rsidR="008762B1" w:rsidRPr="008762B1">
        <w:t> </w:t>
      </w:r>
      <w:r w:rsidRPr="008762B1">
        <w:t xml:space="preserve">106(1)(b) of the Act, this Part sets out requirements that must be met for an </w:t>
      </w:r>
      <w:proofErr w:type="spellStart"/>
      <w:r w:rsidR="00930FA1" w:rsidRPr="008762B1">
        <w:t>AWT</w:t>
      </w:r>
      <w:proofErr w:type="spellEnd"/>
      <w:r w:rsidR="00910BB2" w:rsidRPr="008762B1">
        <w:t xml:space="preserve"> project to</w:t>
      </w:r>
      <w:r w:rsidR="0081524B" w:rsidRPr="008762B1">
        <w:t xml:space="preserve"> be</w:t>
      </w:r>
      <w:r w:rsidR="000E4AA4" w:rsidRPr="008762B1">
        <w:t xml:space="preserve"> </w:t>
      </w:r>
      <w:r w:rsidRPr="008762B1">
        <w:t>an eligible offsets project.</w:t>
      </w:r>
    </w:p>
    <w:p w:rsidR="00DC1A81" w:rsidRPr="008762B1" w:rsidRDefault="004E7255" w:rsidP="00DC1A81">
      <w:pPr>
        <w:pStyle w:val="ActHead5"/>
      </w:pPr>
      <w:bookmarkStart w:id="17" w:name="_Toc407103317"/>
      <w:r w:rsidRPr="008762B1">
        <w:rPr>
          <w:rStyle w:val="CharSectno"/>
        </w:rPr>
        <w:t>11</w:t>
      </w:r>
      <w:r w:rsidR="0054569E" w:rsidRPr="008762B1">
        <w:t xml:space="preserve">  </w:t>
      </w:r>
      <w:r w:rsidR="00CA2F2B" w:rsidRPr="008762B1">
        <w:t>Requirements for a new project</w:t>
      </w:r>
      <w:bookmarkEnd w:id="17"/>
    </w:p>
    <w:p w:rsidR="00497CCB" w:rsidRPr="008762B1" w:rsidRDefault="00497CCB" w:rsidP="00497CCB">
      <w:pPr>
        <w:pStyle w:val="subsection"/>
      </w:pPr>
      <w:r w:rsidRPr="008762B1">
        <w:tab/>
      </w:r>
      <w:r w:rsidR="00183340" w:rsidRPr="008762B1">
        <w:tab/>
      </w:r>
      <w:r w:rsidR="00CA2F2B" w:rsidRPr="008762B1">
        <w:t xml:space="preserve">A </w:t>
      </w:r>
      <w:r w:rsidR="00CA2F2B" w:rsidRPr="008762B1">
        <w:rPr>
          <w:b/>
          <w:i/>
        </w:rPr>
        <w:t>new</w:t>
      </w:r>
      <w:r w:rsidRPr="008762B1">
        <w:rPr>
          <w:b/>
          <w:i/>
        </w:rPr>
        <w:t xml:space="preserve"> project</w:t>
      </w:r>
      <w:r w:rsidRPr="008762B1">
        <w:t xml:space="preserve"> must:</w:t>
      </w:r>
    </w:p>
    <w:p w:rsidR="005870A0" w:rsidRPr="008762B1" w:rsidRDefault="00497CCB" w:rsidP="00497CCB">
      <w:pPr>
        <w:pStyle w:val="paragraph"/>
      </w:pPr>
      <w:r w:rsidRPr="008762B1">
        <w:tab/>
        <w:t>(a)</w:t>
      </w:r>
      <w:r w:rsidRPr="008762B1">
        <w:tab/>
      </w:r>
      <w:r w:rsidR="005870A0" w:rsidRPr="008762B1">
        <w:t>construct</w:t>
      </w:r>
      <w:r w:rsidR="00C84170" w:rsidRPr="008762B1">
        <w:t xml:space="preserve"> a new </w:t>
      </w:r>
      <w:proofErr w:type="spellStart"/>
      <w:r w:rsidR="00C84170" w:rsidRPr="008762B1">
        <w:t>AWT</w:t>
      </w:r>
      <w:proofErr w:type="spellEnd"/>
      <w:r w:rsidR="00C84170" w:rsidRPr="008762B1">
        <w:t xml:space="preserve"> f</w:t>
      </w:r>
      <w:r w:rsidR="00F22079" w:rsidRPr="008762B1">
        <w:t>acility</w:t>
      </w:r>
      <w:r w:rsidR="005870A0" w:rsidRPr="008762B1">
        <w:t>; and</w:t>
      </w:r>
    </w:p>
    <w:p w:rsidR="00497CCB" w:rsidRPr="008762B1" w:rsidRDefault="005870A0" w:rsidP="00183340">
      <w:pPr>
        <w:pStyle w:val="paragraph"/>
      </w:pPr>
      <w:r w:rsidRPr="008762B1">
        <w:tab/>
        <w:t>(b)</w:t>
      </w:r>
      <w:r w:rsidRPr="008762B1">
        <w:tab/>
      </w:r>
      <w:r w:rsidR="008613E8" w:rsidRPr="008762B1">
        <w:t xml:space="preserve">then </w:t>
      </w:r>
      <w:r w:rsidRPr="008762B1">
        <w:t xml:space="preserve">process </w:t>
      </w:r>
      <w:r w:rsidR="00F22079" w:rsidRPr="008762B1">
        <w:t>eligible waste</w:t>
      </w:r>
      <w:r w:rsidRPr="008762B1">
        <w:t>,</w:t>
      </w:r>
      <w:r w:rsidR="00C84170" w:rsidRPr="008762B1">
        <w:t xml:space="preserve"> that would otherwise </w:t>
      </w:r>
      <w:r w:rsidR="00AD6836" w:rsidRPr="008762B1">
        <w:t>enter landfill</w:t>
      </w:r>
      <w:r w:rsidRPr="008762B1">
        <w:t>,</w:t>
      </w:r>
      <w:r w:rsidR="00C84170" w:rsidRPr="008762B1">
        <w:t xml:space="preserve"> </w:t>
      </w:r>
      <w:r w:rsidRPr="008762B1">
        <w:t xml:space="preserve">at the facility </w:t>
      </w:r>
      <w:r w:rsidR="00C84170" w:rsidRPr="008762B1">
        <w:t>using eligible waste treatment technology</w:t>
      </w:r>
      <w:r w:rsidR="008613E8" w:rsidRPr="008762B1">
        <w:t>.</w:t>
      </w:r>
    </w:p>
    <w:p w:rsidR="00497CCB" w:rsidRPr="008762B1" w:rsidRDefault="004E7255" w:rsidP="00497CCB">
      <w:pPr>
        <w:pStyle w:val="ActHead5"/>
      </w:pPr>
      <w:bookmarkStart w:id="18" w:name="_Toc407103318"/>
      <w:r w:rsidRPr="008762B1">
        <w:rPr>
          <w:rStyle w:val="CharSectno"/>
        </w:rPr>
        <w:t>12</w:t>
      </w:r>
      <w:r w:rsidR="00497CCB" w:rsidRPr="008762B1">
        <w:t xml:space="preserve">  </w:t>
      </w:r>
      <w:r w:rsidR="00CA2F2B" w:rsidRPr="008762B1">
        <w:t>Requirements for an expansion project</w:t>
      </w:r>
      <w:bookmarkEnd w:id="18"/>
    </w:p>
    <w:p w:rsidR="00910485" w:rsidRPr="008762B1" w:rsidRDefault="00497CCB" w:rsidP="00084B01">
      <w:pPr>
        <w:pStyle w:val="subsection"/>
      </w:pPr>
      <w:r w:rsidRPr="008762B1">
        <w:tab/>
      </w:r>
      <w:r w:rsidR="004673BD" w:rsidRPr="008762B1">
        <w:t>(1)</w:t>
      </w:r>
      <w:r w:rsidR="004673BD" w:rsidRPr="008762B1">
        <w:tab/>
      </w:r>
      <w:r w:rsidR="00CA2F2B" w:rsidRPr="008762B1">
        <w:t xml:space="preserve">An </w:t>
      </w:r>
      <w:r w:rsidR="00CA2F2B" w:rsidRPr="008762B1">
        <w:rPr>
          <w:b/>
          <w:i/>
        </w:rPr>
        <w:t>expansion</w:t>
      </w:r>
      <w:r w:rsidRPr="008762B1">
        <w:rPr>
          <w:b/>
          <w:i/>
        </w:rPr>
        <w:t xml:space="preserve"> project</w:t>
      </w:r>
      <w:r w:rsidRPr="008762B1">
        <w:t xml:space="preserve"> must:</w:t>
      </w:r>
    </w:p>
    <w:p w:rsidR="00C84170" w:rsidRPr="008762B1" w:rsidRDefault="00C84170" w:rsidP="00C84170">
      <w:pPr>
        <w:pStyle w:val="paragraph"/>
      </w:pPr>
      <w:r w:rsidRPr="008762B1">
        <w:tab/>
      </w:r>
      <w:r w:rsidR="00910485" w:rsidRPr="008762B1">
        <w:t>(a</w:t>
      </w:r>
      <w:r w:rsidRPr="008762B1">
        <w:t>)</w:t>
      </w:r>
      <w:r w:rsidRPr="008762B1">
        <w:tab/>
      </w:r>
      <w:r w:rsidR="005870A0" w:rsidRPr="008762B1">
        <w:t xml:space="preserve">expand </w:t>
      </w:r>
      <w:r w:rsidRPr="008762B1">
        <w:t>an existi</w:t>
      </w:r>
      <w:r w:rsidR="005870A0" w:rsidRPr="008762B1">
        <w:t xml:space="preserve">ng </w:t>
      </w:r>
      <w:proofErr w:type="spellStart"/>
      <w:r w:rsidR="005870A0" w:rsidRPr="008762B1">
        <w:t>AWT</w:t>
      </w:r>
      <w:proofErr w:type="spellEnd"/>
      <w:r w:rsidR="005870A0" w:rsidRPr="008762B1">
        <w:t xml:space="preserve"> facility in order to increase</w:t>
      </w:r>
      <w:r w:rsidRPr="008762B1">
        <w:t xml:space="preserve"> the </w:t>
      </w:r>
      <w:r w:rsidR="003E5D35" w:rsidRPr="008762B1">
        <w:t xml:space="preserve">facility’s capacity to process </w:t>
      </w:r>
      <w:r w:rsidRPr="008762B1">
        <w:t>eligible waste</w:t>
      </w:r>
      <w:r w:rsidR="005870A0" w:rsidRPr="008762B1">
        <w:t>,</w:t>
      </w:r>
      <w:r w:rsidRPr="008762B1">
        <w:t xml:space="preserve"> </w:t>
      </w:r>
      <w:r w:rsidR="005870A0" w:rsidRPr="008762B1">
        <w:t xml:space="preserve">that would otherwise enter landfill, </w:t>
      </w:r>
      <w:r w:rsidRPr="008762B1">
        <w:t>using eligible waste treatment technology</w:t>
      </w:r>
      <w:r w:rsidR="00910485" w:rsidRPr="008762B1">
        <w:t>; and</w:t>
      </w:r>
    </w:p>
    <w:p w:rsidR="005870A0" w:rsidRPr="008762B1" w:rsidRDefault="005870A0" w:rsidP="005870A0">
      <w:pPr>
        <w:pStyle w:val="paragraph"/>
      </w:pPr>
      <w:r w:rsidRPr="008762B1">
        <w:tab/>
        <w:t>(b)</w:t>
      </w:r>
      <w:r w:rsidRPr="008762B1">
        <w:tab/>
      </w:r>
      <w:r w:rsidR="008613E8" w:rsidRPr="008762B1">
        <w:t xml:space="preserve">then </w:t>
      </w:r>
      <w:r w:rsidRPr="008762B1">
        <w:t>process eligible waste, that would otherwise enter landfill, at the expanded facility using eligible waste treatment technology</w:t>
      </w:r>
      <w:r w:rsidR="008613E8" w:rsidRPr="008762B1">
        <w:t>.</w:t>
      </w:r>
    </w:p>
    <w:p w:rsidR="009030F0" w:rsidRPr="008762B1" w:rsidRDefault="004673BD" w:rsidP="004F270E">
      <w:pPr>
        <w:pStyle w:val="subsection"/>
      </w:pPr>
      <w:r w:rsidRPr="008762B1">
        <w:tab/>
        <w:t>(2)</w:t>
      </w:r>
      <w:r w:rsidRPr="008762B1">
        <w:tab/>
        <w:t xml:space="preserve">An application </w:t>
      </w:r>
      <w:r w:rsidR="00FD310D" w:rsidRPr="008762B1">
        <w:t>made under section</w:t>
      </w:r>
      <w:r w:rsidR="008762B1" w:rsidRPr="008762B1">
        <w:t> </w:t>
      </w:r>
      <w:r w:rsidR="00FD310D" w:rsidRPr="008762B1">
        <w:t>22</w:t>
      </w:r>
      <w:r w:rsidR="00BD27E1" w:rsidRPr="008762B1">
        <w:t xml:space="preserve"> of the Act</w:t>
      </w:r>
      <w:r w:rsidR="00FD310D" w:rsidRPr="008762B1">
        <w:t xml:space="preserve"> in relation to </w:t>
      </w:r>
      <w:r w:rsidR="00CA2F2B" w:rsidRPr="008762B1">
        <w:t>an expansion</w:t>
      </w:r>
      <w:r w:rsidR="00FD310D" w:rsidRPr="008762B1">
        <w:t xml:space="preserve"> project </w:t>
      </w:r>
      <w:r w:rsidRPr="008762B1">
        <w:t>must be</w:t>
      </w:r>
      <w:r w:rsidR="00FD310D" w:rsidRPr="008762B1">
        <w:t xml:space="preserve"> accompanied by </w:t>
      </w:r>
      <w:r w:rsidR="004F270E" w:rsidRPr="008762B1">
        <w:t>appropriate evidence that i</w:t>
      </w:r>
      <w:r w:rsidR="00144851" w:rsidRPr="008762B1">
        <w:t xml:space="preserve">s sufficient to calculate, </w:t>
      </w:r>
      <w:r w:rsidR="004F270E" w:rsidRPr="008762B1">
        <w:t>using equation 8</w:t>
      </w:r>
      <w:r w:rsidR="00144851" w:rsidRPr="008762B1">
        <w:t xml:space="preserve">, the historic quantity of putrescible eligible waste processed </w:t>
      </w:r>
      <w:r w:rsidR="00150A2E" w:rsidRPr="008762B1">
        <w:t>by</w:t>
      </w:r>
      <w:r w:rsidR="00144851" w:rsidRPr="008762B1">
        <w:t xml:space="preserve"> the existing </w:t>
      </w:r>
      <w:proofErr w:type="spellStart"/>
      <w:r w:rsidR="00144851" w:rsidRPr="008762B1">
        <w:t>AWT</w:t>
      </w:r>
      <w:proofErr w:type="spellEnd"/>
      <w:r w:rsidR="00144851" w:rsidRPr="008762B1">
        <w:t xml:space="preserve"> facility in the 24</w:t>
      </w:r>
      <w:r w:rsidR="008762B1">
        <w:noBreakHyphen/>
      </w:r>
      <w:r w:rsidR="00144851" w:rsidRPr="008762B1">
        <w:t xml:space="preserve">month period before the application </w:t>
      </w:r>
      <w:r w:rsidRPr="008762B1">
        <w:t>i</w:t>
      </w:r>
      <w:r w:rsidR="00144851" w:rsidRPr="008762B1">
        <w:t>s made.</w:t>
      </w:r>
    </w:p>
    <w:p w:rsidR="00836E1F" w:rsidRPr="008762B1" w:rsidRDefault="00836E1F" w:rsidP="00836E1F">
      <w:pPr>
        <w:pStyle w:val="notetext"/>
      </w:pPr>
      <w:r w:rsidRPr="008762B1">
        <w:t>Note:</w:t>
      </w:r>
      <w:r w:rsidRPr="008762B1">
        <w:tab/>
        <w:t>An expansion project that does not have evidence for the whole of the 24</w:t>
      </w:r>
      <w:r w:rsidR="008762B1">
        <w:noBreakHyphen/>
      </w:r>
      <w:r w:rsidRPr="008762B1">
        <w:t>month period will not meet the requirements to be an eligible offsets project.</w:t>
      </w:r>
    </w:p>
    <w:p w:rsidR="00497CCB" w:rsidRPr="008762B1" w:rsidRDefault="004E7255" w:rsidP="00183340">
      <w:pPr>
        <w:pStyle w:val="ActHead5"/>
      </w:pPr>
      <w:bookmarkStart w:id="19" w:name="_Toc407103319"/>
      <w:r w:rsidRPr="008762B1">
        <w:rPr>
          <w:rStyle w:val="CharSectno"/>
        </w:rPr>
        <w:t>13</w:t>
      </w:r>
      <w:r w:rsidR="00CA2F2B" w:rsidRPr="008762B1">
        <w:t xml:space="preserve">  Requirements for a t</w:t>
      </w:r>
      <w:r w:rsidR="00497CCB" w:rsidRPr="008762B1">
        <w:t xml:space="preserve">ransitioning </w:t>
      </w:r>
      <w:r w:rsidR="00CA2F2B" w:rsidRPr="008762B1">
        <w:t>project</w:t>
      </w:r>
      <w:bookmarkEnd w:id="19"/>
    </w:p>
    <w:p w:rsidR="00497CCB" w:rsidRPr="008762B1" w:rsidRDefault="00910485" w:rsidP="00910485">
      <w:pPr>
        <w:pStyle w:val="subsection"/>
      </w:pPr>
      <w:r w:rsidRPr="008762B1">
        <w:tab/>
      </w:r>
      <w:r w:rsidR="00183340" w:rsidRPr="008762B1">
        <w:tab/>
      </w:r>
      <w:r w:rsidR="00CA2F2B" w:rsidRPr="008762B1">
        <w:t xml:space="preserve">A </w:t>
      </w:r>
      <w:r w:rsidR="00CA2F2B" w:rsidRPr="008762B1">
        <w:rPr>
          <w:b/>
          <w:i/>
        </w:rPr>
        <w:t>transitioning</w:t>
      </w:r>
      <w:r w:rsidR="00497CCB" w:rsidRPr="008762B1">
        <w:rPr>
          <w:b/>
          <w:i/>
        </w:rPr>
        <w:t xml:space="preserve"> project</w:t>
      </w:r>
      <w:r w:rsidR="00497CCB" w:rsidRPr="008762B1">
        <w:t xml:space="preserve"> must:</w:t>
      </w:r>
    </w:p>
    <w:p w:rsidR="00836E1F" w:rsidRPr="008762B1" w:rsidRDefault="00CA2F2B" w:rsidP="00836E1F">
      <w:pPr>
        <w:pStyle w:val="paragraph"/>
      </w:pPr>
      <w:r w:rsidRPr="008762B1">
        <w:tab/>
        <w:t>(a)</w:t>
      </w:r>
      <w:r w:rsidRPr="008762B1">
        <w:tab/>
        <w:t xml:space="preserve">immediately </w:t>
      </w:r>
      <w:r w:rsidR="003423EC" w:rsidRPr="008762B1">
        <w:t xml:space="preserve">before the </w:t>
      </w:r>
      <w:proofErr w:type="spellStart"/>
      <w:r w:rsidR="003423EC" w:rsidRPr="008762B1">
        <w:t>ERF</w:t>
      </w:r>
      <w:proofErr w:type="spellEnd"/>
      <w:r w:rsidR="003423EC" w:rsidRPr="008762B1">
        <w:t xml:space="preserve"> commencement day,</w:t>
      </w:r>
      <w:r w:rsidRPr="008762B1">
        <w:t xml:space="preserve"> be an eligible offsets project covered by </w:t>
      </w:r>
      <w:r w:rsidR="00836E1F" w:rsidRPr="008762B1">
        <w:t xml:space="preserve">a CFI </w:t>
      </w:r>
      <w:proofErr w:type="spellStart"/>
      <w:r w:rsidR="00836E1F" w:rsidRPr="008762B1">
        <w:t>AWT</w:t>
      </w:r>
      <w:proofErr w:type="spellEnd"/>
      <w:r w:rsidR="00836E1F" w:rsidRPr="008762B1">
        <w:t xml:space="preserve"> determination; and</w:t>
      </w:r>
    </w:p>
    <w:p w:rsidR="008613E8" w:rsidRPr="008762B1" w:rsidRDefault="00497CCB" w:rsidP="00183340">
      <w:pPr>
        <w:pStyle w:val="paragraph"/>
      </w:pPr>
      <w:r w:rsidRPr="008762B1">
        <w:tab/>
        <w:t>(b)</w:t>
      </w:r>
      <w:r w:rsidRPr="008762B1">
        <w:tab/>
        <w:t>involve</w:t>
      </w:r>
      <w:r w:rsidR="00F22079" w:rsidRPr="008762B1">
        <w:t xml:space="preserve"> eligible waste</w:t>
      </w:r>
      <w:r w:rsidR="008613E8" w:rsidRPr="008762B1">
        <w:t>,</w:t>
      </w:r>
      <w:r w:rsidR="00C84170" w:rsidRPr="008762B1">
        <w:t xml:space="preserve"> that would otherwise </w:t>
      </w:r>
      <w:r w:rsidR="00AD6836" w:rsidRPr="008762B1">
        <w:t>enter landfill</w:t>
      </w:r>
      <w:r w:rsidR="008613E8" w:rsidRPr="008762B1">
        <w:t>,</w:t>
      </w:r>
      <w:r w:rsidR="00C84170" w:rsidRPr="008762B1">
        <w:t xml:space="preserve"> being processed using eligible was</w:t>
      </w:r>
      <w:r w:rsidRPr="008762B1">
        <w:t>te treatment technology</w:t>
      </w:r>
      <w:r w:rsidR="008613E8" w:rsidRPr="008762B1">
        <w:t>.</w:t>
      </w:r>
    </w:p>
    <w:p w:rsidR="00327004" w:rsidRPr="008762B1" w:rsidRDefault="00327004" w:rsidP="00327004">
      <w:pPr>
        <w:pStyle w:val="ActHead2"/>
        <w:pageBreakBefore/>
      </w:pPr>
      <w:bookmarkStart w:id="20" w:name="_Toc407103320"/>
      <w:r w:rsidRPr="008762B1">
        <w:rPr>
          <w:rStyle w:val="CharPartNo"/>
        </w:rPr>
        <w:lastRenderedPageBreak/>
        <w:t>Part</w:t>
      </w:r>
      <w:r w:rsidR="008762B1" w:rsidRPr="008762B1">
        <w:rPr>
          <w:rStyle w:val="CharPartNo"/>
        </w:rPr>
        <w:t> </w:t>
      </w:r>
      <w:r w:rsidRPr="008762B1">
        <w:rPr>
          <w:rStyle w:val="CharPartNo"/>
        </w:rPr>
        <w:t>4</w:t>
      </w:r>
      <w:r w:rsidRPr="008762B1">
        <w:t>—</w:t>
      </w:r>
      <w:r w:rsidRPr="008762B1">
        <w:rPr>
          <w:rStyle w:val="CharPartText"/>
        </w:rPr>
        <w:t>Net abatement amount</w:t>
      </w:r>
      <w:bookmarkEnd w:id="20"/>
    </w:p>
    <w:p w:rsidR="004260EE" w:rsidRPr="008762B1" w:rsidRDefault="004260EE" w:rsidP="00854AE4">
      <w:pPr>
        <w:pStyle w:val="ActHead3"/>
      </w:pPr>
      <w:bookmarkStart w:id="21" w:name="_Toc407103321"/>
      <w:r w:rsidRPr="008762B1">
        <w:rPr>
          <w:rStyle w:val="CharDivNo"/>
        </w:rPr>
        <w:t>Division</w:t>
      </w:r>
      <w:r w:rsidR="008762B1" w:rsidRPr="008762B1">
        <w:rPr>
          <w:rStyle w:val="CharDivNo"/>
        </w:rPr>
        <w:t> </w:t>
      </w:r>
      <w:r w:rsidRPr="008762B1">
        <w:rPr>
          <w:rStyle w:val="CharDivNo"/>
        </w:rPr>
        <w:t>1</w:t>
      </w:r>
      <w:r w:rsidRPr="008762B1">
        <w:t>—</w:t>
      </w:r>
      <w:r w:rsidRPr="008762B1">
        <w:rPr>
          <w:rStyle w:val="CharDivText"/>
        </w:rPr>
        <w:t>Preliminary</w:t>
      </w:r>
      <w:bookmarkEnd w:id="21"/>
    </w:p>
    <w:p w:rsidR="004260EE" w:rsidRPr="008762B1" w:rsidRDefault="004E7255" w:rsidP="004260EE">
      <w:pPr>
        <w:pStyle w:val="ActHead5"/>
      </w:pPr>
      <w:bookmarkStart w:id="22" w:name="_Toc407103322"/>
      <w:r w:rsidRPr="008762B1">
        <w:rPr>
          <w:rStyle w:val="CharSectno"/>
        </w:rPr>
        <w:t>14</w:t>
      </w:r>
      <w:r w:rsidR="004260EE" w:rsidRPr="008762B1">
        <w:t xml:space="preserve">  Operation of this </w:t>
      </w:r>
      <w:r w:rsidR="00854AE4" w:rsidRPr="008762B1">
        <w:t>Part</w:t>
      </w:r>
      <w:bookmarkEnd w:id="22"/>
    </w:p>
    <w:p w:rsidR="004260EE" w:rsidRPr="008762B1" w:rsidRDefault="004260EE" w:rsidP="004260EE">
      <w:pPr>
        <w:pStyle w:val="subsection"/>
      </w:pPr>
      <w:r w:rsidRPr="008762B1">
        <w:tab/>
      </w:r>
      <w:r w:rsidRPr="008762B1">
        <w:tab/>
        <w:t>For paragraph</w:t>
      </w:r>
      <w:r w:rsidR="008762B1" w:rsidRPr="008762B1">
        <w:t> </w:t>
      </w:r>
      <w:r w:rsidRPr="008762B1">
        <w:t xml:space="preserve">106(1)(c) of the Act, this </w:t>
      </w:r>
      <w:r w:rsidR="00854AE4" w:rsidRPr="008762B1">
        <w:t>Part</w:t>
      </w:r>
      <w:r w:rsidRPr="008762B1">
        <w:t xml:space="preserve"> specifies the method for working out the carbon dioxide equivalent net abatement amount for </w:t>
      </w:r>
      <w:r w:rsidR="004151E4" w:rsidRPr="008762B1">
        <w:t>a</w:t>
      </w:r>
      <w:r w:rsidRPr="008762B1">
        <w:t xml:space="preserve"> reporting period</w:t>
      </w:r>
      <w:r w:rsidR="004151E4" w:rsidRPr="008762B1">
        <w:t xml:space="preserve"> for </w:t>
      </w:r>
      <w:r w:rsidR="00BD2C68" w:rsidRPr="008762B1">
        <w:t xml:space="preserve">an </w:t>
      </w:r>
      <w:proofErr w:type="spellStart"/>
      <w:r w:rsidR="00930FA1" w:rsidRPr="008762B1">
        <w:t>AWT</w:t>
      </w:r>
      <w:proofErr w:type="spellEnd"/>
      <w:r w:rsidR="00BD2C68" w:rsidRPr="008762B1">
        <w:t xml:space="preserve"> project that is an eligible offsets project</w:t>
      </w:r>
      <w:r w:rsidRPr="008762B1">
        <w:t>.</w:t>
      </w:r>
    </w:p>
    <w:p w:rsidR="000D5392" w:rsidRPr="008762B1" w:rsidRDefault="004E7255" w:rsidP="000D5392">
      <w:pPr>
        <w:pStyle w:val="ActHead5"/>
      </w:pPr>
      <w:bookmarkStart w:id="23" w:name="_Toc407103323"/>
      <w:r w:rsidRPr="008762B1">
        <w:rPr>
          <w:rStyle w:val="CharSectno"/>
        </w:rPr>
        <w:t>15</w:t>
      </w:r>
      <w:r w:rsidR="000D5392" w:rsidRPr="008762B1">
        <w:t xml:space="preserve">  </w:t>
      </w:r>
      <w:r w:rsidR="00910BB2" w:rsidRPr="008762B1">
        <w:t xml:space="preserve">Overview of </w:t>
      </w:r>
      <w:r w:rsidR="00D0211F" w:rsidRPr="008762B1">
        <w:t>gases accounted for in abatement calculations</w:t>
      </w:r>
      <w:bookmarkEnd w:id="23"/>
    </w:p>
    <w:p w:rsidR="000D5392" w:rsidRPr="008762B1" w:rsidRDefault="000D5392" w:rsidP="000D5392">
      <w:pPr>
        <w:pStyle w:val="subsection"/>
      </w:pPr>
      <w:r w:rsidRPr="008762B1">
        <w:tab/>
      </w:r>
      <w:r w:rsidRPr="008762B1">
        <w:tab/>
        <w:t xml:space="preserve">The following table provides an overview of the greenhouse gases and emissions sources that </w:t>
      </w:r>
      <w:r w:rsidR="00F87AD6" w:rsidRPr="008762B1">
        <w:t>are relevant to</w:t>
      </w:r>
      <w:r w:rsidRPr="008762B1">
        <w:t xml:space="preserve"> working out the carbon dioxide equivalent net abatement amount for an </w:t>
      </w:r>
      <w:proofErr w:type="spellStart"/>
      <w:r w:rsidR="00930FA1" w:rsidRPr="008762B1">
        <w:t>AWT</w:t>
      </w:r>
      <w:proofErr w:type="spellEnd"/>
      <w:r w:rsidRPr="008762B1">
        <w:t xml:space="preserve"> project.</w:t>
      </w:r>
    </w:p>
    <w:p w:rsidR="00251FB9" w:rsidRPr="008762B1" w:rsidRDefault="00251FB9" w:rsidP="00251FB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1843"/>
        <w:gridCol w:w="2268"/>
        <w:gridCol w:w="2222"/>
      </w:tblGrid>
      <w:tr w:rsidR="00251FB9" w:rsidRPr="008762B1" w:rsidTr="00251FB9">
        <w:trPr>
          <w:tblHeader/>
        </w:trPr>
        <w:tc>
          <w:tcPr>
            <w:tcW w:w="7184" w:type="dxa"/>
            <w:gridSpan w:val="4"/>
            <w:tcBorders>
              <w:top w:val="single" w:sz="12" w:space="0" w:color="auto"/>
              <w:bottom w:val="single" w:sz="6" w:space="0" w:color="auto"/>
            </w:tcBorders>
            <w:shd w:val="clear" w:color="auto" w:fill="auto"/>
          </w:tcPr>
          <w:p w:rsidR="00251FB9" w:rsidRPr="008762B1" w:rsidRDefault="00251FB9" w:rsidP="00251FB9">
            <w:pPr>
              <w:pStyle w:val="TableHeading"/>
            </w:pPr>
            <w:r w:rsidRPr="008762B1">
              <w:t>Greenhouse gases and emissions sources</w:t>
            </w:r>
          </w:p>
        </w:tc>
      </w:tr>
      <w:tr w:rsidR="00251FB9" w:rsidRPr="008762B1" w:rsidTr="00251FB9">
        <w:trPr>
          <w:tblHeader/>
        </w:trPr>
        <w:tc>
          <w:tcPr>
            <w:tcW w:w="851" w:type="dxa"/>
            <w:tcBorders>
              <w:top w:val="single" w:sz="6" w:space="0" w:color="auto"/>
              <w:bottom w:val="single" w:sz="12" w:space="0" w:color="auto"/>
            </w:tcBorders>
            <w:shd w:val="clear" w:color="auto" w:fill="auto"/>
          </w:tcPr>
          <w:p w:rsidR="00251FB9" w:rsidRPr="008762B1" w:rsidRDefault="00251FB9" w:rsidP="00251FB9">
            <w:pPr>
              <w:pStyle w:val="TableHeading"/>
            </w:pPr>
            <w:r w:rsidRPr="008762B1">
              <w:t>Item</w:t>
            </w:r>
          </w:p>
        </w:tc>
        <w:tc>
          <w:tcPr>
            <w:tcW w:w="1843" w:type="dxa"/>
            <w:tcBorders>
              <w:top w:val="single" w:sz="6" w:space="0" w:color="auto"/>
              <w:bottom w:val="single" w:sz="12" w:space="0" w:color="auto"/>
            </w:tcBorders>
            <w:shd w:val="clear" w:color="auto" w:fill="auto"/>
          </w:tcPr>
          <w:p w:rsidR="00251FB9" w:rsidRPr="008762B1" w:rsidRDefault="00596403" w:rsidP="00596403">
            <w:pPr>
              <w:pStyle w:val="TableHeading"/>
            </w:pPr>
            <w:r w:rsidRPr="008762B1">
              <w:t>Relevant</w:t>
            </w:r>
            <w:r w:rsidR="00251FB9" w:rsidRPr="008762B1">
              <w:t xml:space="preserve"> calculation</w:t>
            </w:r>
          </w:p>
        </w:tc>
        <w:tc>
          <w:tcPr>
            <w:tcW w:w="2268" w:type="dxa"/>
            <w:tcBorders>
              <w:top w:val="single" w:sz="6" w:space="0" w:color="auto"/>
              <w:bottom w:val="single" w:sz="12" w:space="0" w:color="auto"/>
            </w:tcBorders>
            <w:shd w:val="clear" w:color="auto" w:fill="auto"/>
          </w:tcPr>
          <w:p w:rsidR="00251FB9" w:rsidRPr="008762B1" w:rsidRDefault="00251FB9" w:rsidP="00251FB9">
            <w:pPr>
              <w:pStyle w:val="TableHeading"/>
            </w:pPr>
            <w:r w:rsidRPr="008762B1">
              <w:t>Emissions source</w:t>
            </w:r>
          </w:p>
        </w:tc>
        <w:tc>
          <w:tcPr>
            <w:tcW w:w="2222" w:type="dxa"/>
            <w:tcBorders>
              <w:top w:val="single" w:sz="6" w:space="0" w:color="auto"/>
              <w:bottom w:val="single" w:sz="12" w:space="0" w:color="auto"/>
            </w:tcBorders>
            <w:shd w:val="clear" w:color="auto" w:fill="auto"/>
          </w:tcPr>
          <w:p w:rsidR="00251FB9" w:rsidRPr="008762B1" w:rsidRDefault="00251FB9" w:rsidP="00251FB9">
            <w:pPr>
              <w:pStyle w:val="TableHeading"/>
            </w:pPr>
            <w:r w:rsidRPr="008762B1">
              <w:t>Greenhouse gas</w:t>
            </w:r>
          </w:p>
        </w:tc>
      </w:tr>
      <w:tr w:rsidR="00251FB9" w:rsidRPr="008762B1" w:rsidTr="00251FB9">
        <w:tc>
          <w:tcPr>
            <w:tcW w:w="851" w:type="dxa"/>
            <w:tcBorders>
              <w:top w:val="single" w:sz="12" w:space="0" w:color="auto"/>
            </w:tcBorders>
            <w:shd w:val="clear" w:color="auto" w:fill="auto"/>
          </w:tcPr>
          <w:p w:rsidR="00251FB9" w:rsidRPr="008762B1" w:rsidRDefault="00251FB9" w:rsidP="00251FB9">
            <w:pPr>
              <w:pStyle w:val="Tabletext"/>
            </w:pPr>
            <w:r w:rsidRPr="008762B1">
              <w:t>1</w:t>
            </w:r>
          </w:p>
        </w:tc>
        <w:tc>
          <w:tcPr>
            <w:tcW w:w="1843" w:type="dxa"/>
            <w:tcBorders>
              <w:top w:val="single" w:sz="12" w:space="0" w:color="auto"/>
            </w:tcBorders>
            <w:shd w:val="clear" w:color="auto" w:fill="auto"/>
          </w:tcPr>
          <w:p w:rsidR="00251FB9" w:rsidRPr="008762B1" w:rsidRDefault="00251FB9" w:rsidP="00251FB9">
            <w:pPr>
              <w:pStyle w:val="Tabletext"/>
            </w:pPr>
            <w:r w:rsidRPr="008762B1">
              <w:t>Baseline emissions</w:t>
            </w:r>
          </w:p>
        </w:tc>
        <w:tc>
          <w:tcPr>
            <w:tcW w:w="2268" w:type="dxa"/>
            <w:tcBorders>
              <w:top w:val="single" w:sz="12" w:space="0" w:color="auto"/>
            </w:tcBorders>
            <w:shd w:val="clear" w:color="auto" w:fill="auto"/>
          </w:tcPr>
          <w:p w:rsidR="00251FB9" w:rsidRPr="008762B1" w:rsidRDefault="00251FB9" w:rsidP="00251FB9">
            <w:pPr>
              <w:pStyle w:val="Tabletext"/>
            </w:pPr>
            <w:r w:rsidRPr="008762B1">
              <w:t>The decomposition of eligible waste at landfill</w:t>
            </w:r>
          </w:p>
        </w:tc>
        <w:tc>
          <w:tcPr>
            <w:tcW w:w="2222" w:type="dxa"/>
            <w:tcBorders>
              <w:top w:val="single" w:sz="12" w:space="0" w:color="auto"/>
            </w:tcBorders>
            <w:shd w:val="clear" w:color="auto" w:fill="auto"/>
          </w:tcPr>
          <w:p w:rsidR="00251FB9" w:rsidRPr="008762B1" w:rsidRDefault="00251FB9" w:rsidP="00251FB9">
            <w:pPr>
              <w:pStyle w:val="Tabletext"/>
            </w:pPr>
            <w:r w:rsidRPr="008762B1">
              <w:t>Methane (CH</w:t>
            </w:r>
            <w:r w:rsidRPr="008762B1">
              <w:rPr>
                <w:vertAlign w:val="subscript"/>
              </w:rPr>
              <w:t>4</w:t>
            </w:r>
            <w:r w:rsidRPr="008762B1">
              <w:t>)</w:t>
            </w:r>
          </w:p>
        </w:tc>
      </w:tr>
      <w:tr w:rsidR="00251FB9" w:rsidRPr="008762B1" w:rsidTr="00251FB9">
        <w:tc>
          <w:tcPr>
            <w:tcW w:w="851" w:type="dxa"/>
            <w:shd w:val="clear" w:color="auto" w:fill="auto"/>
          </w:tcPr>
          <w:p w:rsidR="00251FB9" w:rsidRPr="008762B1" w:rsidRDefault="00251FB9" w:rsidP="00251FB9">
            <w:pPr>
              <w:pStyle w:val="Tabletext"/>
            </w:pPr>
            <w:r w:rsidRPr="008762B1">
              <w:t>2</w:t>
            </w:r>
          </w:p>
        </w:tc>
        <w:tc>
          <w:tcPr>
            <w:tcW w:w="1843" w:type="dxa"/>
            <w:shd w:val="clear" w:color="auto" w:fill="auto"/>
          </w:tcPr>
          <w:p w:rsidR="00251FB9" w:rsidRPr="008762B1" w:rsidRDefault="00251FB9" w:rsidP="00251FB9">
            <w:pPr>
              <w:pStyle w:val="Tabletext"/>
            </w:pPr>
            <w:r w:rsidRPr="008762B1">
              <w:t>Project emissions</w:t>
            </w:r>
          </w:p>
        </w:tc>
        <w:tc>
          <w:tcPr>
            <w:tcW w:w="2268" w:type="dxa"/>
            <w:shd w:val="clear" w:color="auto" w:fill="auto"/>
          </w:tcPr>
          <w:p w:rsidR="00251FB9" w:rsidRPr="008762B1" w:rsidRDefault="00EB1955" w:rsidP="00251FB9">
            <w:pPr>
              <w:pStyle w:val="Tabletext"/>
            </w:pPr>
            <w:r w:rsidRPr="008762B1">
              <w:t>F</w:t>
            </w:r>
            <w:r w:rsidR="00251FB9" w:rsidRPr="008762B1">
              <w:t>uel consumption</w:t>
            </w:r>
          </w:p>
        </w:tc>
        <w:tc>
          <w:tcPr>
            <w:tcW w:w="2222" w:type="dxa"/>
            <w:shd w:val="clear" w:color="auto" w:fill="auto"/>
          </w:tcPr>
          <w:p w:rsidR="00251FB9" w:rsidRPr="008762B1" w:rsidRDefault="00251FB9" w:rsidP="00251FB9">
            <w:pPr>
              <w:pStyle w:val="Tabletext"/>
            </w:pPr>
            <w:r w:rsidRPr="008762B1">
              <w:t>Carbon dioxide (CO</w:t>
            </w:r>
            <w:r w:rsidRPr="008762B1">
              <w:rPr>
                <w:vertAlign w:val="subscript"/>
              </w:rPr>
              <w:t>2</w:t>
            </w:r>
            <w:r w:rsidRPr="008762B1">
              <w:t>)</w:t>
            </w:r>
          </w:p>
          <w:p w:rsidR="00251FB9" w:rsidRPr="008762B1" w:rsidRDefault="00251FB9" w:rsidP="00251FB9">
            <w:pPr>
              <w:pStyle w:val="Tabletext"/>
            </w:pPr>
            <w:r w:rsidRPr="008762B1">
              <w:t>Methane (CH</w:t>
            </w:r>
            <w:r w:rsidRPr="008762B1">
              <w:rPr>
                <w:vertAlign w:val="subscript"/>
              </w:rPr>
              <w:t>4</w:t>
            </w:r>
            <w:r w:rsidRPr="008762B1">
              <w:t>)</w:t>
            </w:r>
          </w:p>
          <w:p w:rsidR="00251FB9" w:rsidRPr="008762B1" w:rsidRDefault="00251FB9" w:rsidP="00251FB9">
            <w:pPr>
              <w:pStyle w:val="Tabletext"/>
            </w:pPr>
            <w:r w:rsidRPr="008762B1">
              <w:t>Nitrous oxide (N</w:t>
            </w:r>
            <w:r w:rsidRPr="008762B1">
              <w:rPr>
                <w:vertAlign w:val="subscript"/>
              </w:rPr>
              <w:t>2</w:t>
            </w:r>
            <w:r w:rsidRPr="008762B1">
              <w:t>O)</w:t>
            </w:r>
          </w:p>
        </w:tc>
      </w:tr>
      <w:tr w:rsidR="00251FB9" w:rsidRPr="008762B1" w:rsidTr="00251FB9">
        <w:tc>
          <w:tcPr>
            <w:tcW w:w="851" w:type="dxa"/>
            <w:shd w:val="clear" w:color="auto" w:fill="auto"/>
          </w:tcPr>
          <w:p w:rsidR="00251FB9" w:rsidRPr="008762B1" w:rsidRDefault="00251FB9" w:rsidP="00251FB9">
            <w:pPr>
              <w:pStyle w:val="Tabletext"/>
            </w:pPr>
            <w:r w:rsidRPr="008762B1">
              <w:t>3</w:t>
            </w:r>
          </w:p>
        </w:tc>
        <w:tc>
          <w:tcPr>
            <w:tcW w:w="1843" w:type="dxa"/>
            <w:shd w:val="clear" w:color="auto" w:fill="auto"/>
          </w:tcPr>
          <w:p w:rsidR="00251FB9" w:rsidRPr="008762B1" w:rsidRDefault="00251FB9" w:rsidP="00251FB9">
            <w:pPr>
              <w:pStyle w:val="Tabletext"/>
            </w:pPr>
            <w:r w:rsidRPr="008762B1">
              <w:t>Project emissions</w:t>
            </w:r>
          </w:p>
        </w:tc>
        <w:tc>
          <w:tcPr>
            <w:tcW w:w="2268" w:type="dxa"/>
            <w:shd w:val="clear" w:color="auto" w:fill="auto"/>
          </w:tcPr>
          <w:p w:rsidR="00251FB9" w:rsidRPr="008762B1" w:rsidRDefault="00251FB9" w:rsidP="00251FB9">
            <w:pPr>
              <w:pStyle w:val="Tabletext"/>
            </w:pPr>
            <w:r w:rsidRPr="008762B1">
              <w:t>Electricity consumption</w:t>
            </w:r>
          </w:p>
        </w:tc>
        <w:tc>
          <w:tcPr>
            <w:tcW w:w="2222" w:type="dxa"/>
            <w:shd w:val="clear" w:color="auto" w:fill="auto"/>
          </w:tcPr>
          <w:p w:rsidR="00251FB9" w:rsidRPr="008762B1" w:rsidRDefault="00251FB9" w:rsidP="00251FB9">
            <w:pPr>
              <w:pStyle w:val="Tabletext"/>
            </w:pPr>
            <w:r w:rsidRPr="008762B1">
              <w:t>Carbon dioxide (CO</w:t>
            </w:r>
            <w:r w:rsidRPr="008762B1">
              <w:rPr>
                <w:vertAlign w:val="subscript"/>
              </w:rPr>
              <w:t>2</w:t>
            </w:r>
            <w:r w:rsidRPr="008762B1">
              <w:t>)</w:t>
            </w:r>
          </w:p>
          <w:p w:rsidR="00251FB9" w:rsidRPr="008762B1" w:rsidRDefault="00251FB9" w:rsidP="00251FB9">
            <w:pPr>
              <w:pStyle w:val="Tabletext"/>
            </w:pPr>
            <w:r w:rsidRPr="008762B1">
              <w:t>Methane (CH</w:t>
            </w:r>
            <w:r w:rsidRPr="008762B1">
              <w:rPr>
                <w:vertAlign w:val="subscript"/>
              </w:rPr>
              <w:t>4</w:t>
            </w:r>
            <w:r w:rsidRPr="008762B1">
              <w:t>)</w:t>
            </w:r>
          </w:p>
          <w:p w:rsidR="00251FB9" w:rsidRPr="008762B1" w:rsidRDefault="00251FB9" w:rsidP="00251FB9">
            <w:pPr>
              <w:pStyle w:val="Tabletext"/>
            </w:pPr>
            <w:r w:rsidRPr="008762B1">
              <w:t>Nitrous oxide (N</w:t>
            </w:r>
            <w:r w:rsidRPr="008762B1">
              <w:rPr>
                <w:vertAlign w:val="subscript"/>
              </w:rPr>
              <w:t>2</w:t>
            </w:r>
            <w:r w:rsidRPr="008762B1">
              <w:t>O)</w:t>
            </w:r>
          </w:p>
        </w:tc>
      </w:tr>
      <w:tr w:rsidR="00251FB9" w:rsidRPr="008762B1" w:rsidTr="00251FB9">
        <w:tc>
          <w:tcPr>
            <w:tcW w:w="851" w:type="dxa"/>
            <w:shd w:val="clear" w:color="auto" w:fill="auto"/>
          </w:tcPr>
          <w:p w:rsidR="00251FB9" w:rsidRPr="008762B1" w:rsidRDefault="00251FB9" w:rsidP="00251FB9">
            <w:pPr>
              <w:pStyle w:val="Tabletext"/>
            </w:pPr>
            <w:r w:rsidRPr="008762B1">
              <w:t>4</w:t>
            </w:r>
          </w:p>
        </w:tc>
        <w:tc>
          <w:tcPr>
            <w:tcW w:w="1843" w:type="dxa"/>
            <w:shd w:val="clear" w:color="auto" w:fill="auto"/>
          </w:tcPr>
          <w:p w:rsidR="00251FB9" w:rsidRPr="008762B1" w:rsidRDefault="00251FB9" w:rsidP="00251FB9">
            <w:pPr>
              <w:pStyle w:val="Tabletext"/>
            </w:pPr>
            <w:r w:rsidRPr="008762B1">
              <w:t>Project emissions</w:t>
            </w:r>
          </w:p>
        </w:tc>
        <w:tc>
          <w:tcPr>
            <w:tcW w:w="2268" w:type="dxa"/>
            <w:shd w:val="clear" w:color="auto" w:fill="auto"/>
          </w:tcPr>
          <w:p w:rsidR="00251FB9" w:rsidRPr="008762B1" w:rsidRDefault="00251FB9" w:rsidP="00251FB9">
            <w:pPr>
              <w:pStyle w:val="Tabletext"/>
            </w:pPr>
            <w:r w:rsidRPr="008762B1">
              <w:t>Emissions from composting processes</w:t>
            </w:r>
          </w:p>
        </w:tc>
        <w:tc>
          <w:tcPr>
            <w:tcW w:w="2222" w:type="dxa"/>
            <w:shd w:val="clear" w:color="auto" w:fill="auto"/>
          </w:tcPr>
          <w:p w:rsidR="00251FB9" w:rsidRPr="008762B1" w:rsidRDefault="00251FB9" w:rsidP="00251FB9">
            <w:pPr>
              <w:pStyle w:val="Tabletext"/>
            </w:pPr>
            <w:r w:rsidRPr="008762B1">
              <w:t>Methane (CH</w:t>
            </w:r>
            <w:r w:rsidRPr="008762B1">
              <w:rPr>
                <w:vertAlign w:val="subscript"/>
              </w:rPr>
              <w:t>4</w:t>
            </w:r>
            <w:r w:rsidRPr="008762B1">
              <w:t>)</w:t>
            </w:r>
          </w:p>
          <w:p w:rsidR="00251FB9" w:rsidRPr="008762B1" w:rsidRDefault="00251FB9" w:rsidP="00251FB9">
            <w:pPr>
              <w:pStyle w:val="Tabletext"/>
            </w:pPr>
            <w:r w:rsidRPr="008762B1">
              <w:t>Nitrous oxide (N</w:t>
            </w:r>
            <w:r w:rsidRPr="008762B1">
              <w:rPr>
                <w:vertAlign w:val="subscript"/>
              </w:rPr>
              <w:t>2</w:t>
            </w:r>
            <w:r w:rsidRPr="008762B1">
              <w:t>O)</w:t>
            </w:r>
          </w:p>
        </w:tc>
      </w:tr>
      <w:tr w:rsidR="00251FB9" w:rsidRPr="008762B1" w:rsidTr="00251FB9">
        <w:tc>
          <w:tcPr>
            <w:tcW w:w="851" w:type="dxa"/>
            <w:tcBorders>
              <w:bottom w:val="single" w:sz="4" w:space="0" w:color="auto"/>
            </w:tcBorders>
            <w:shd w:val="clear" w:color="auto" w:fill="auto"/>
          </w:tcPr>
          <w:p w:rsidR="00251FB9" w:rsidRPr="008762B1" w:rsidRDefault="00251FB9" w:rsidP="00251FB9">
            <w:pPr>
              <w:pStyle w:val="Tabletext"/>
            </w:pPr>
            <w:r w:rsidRPr="008762B1">
              <w:t>5</w:t>
            </w:r>
          </w:p>
        </w:tc>
        <w:tc>
          <w:tcPr>
            <w:tcW w:w="1843" w:type="dxa"/>
            <w:tcBorders>
              <w:bottom w:val="single" w:sz="4" w:space="0" w:color="auto"/>
            </w:tcBorders>
            <w:shd w:val="clear" w:color="auto" w:fill="auto"/>
          </w:tcPr>
          <w:p w:rsidR="00251FB9" w:rsidRPr="008762B1" w:rsidRDefault="00251FB9" w:rsidP="00251FB9">
            <w:pPr>
              <w:pStyle w:val="Tabletext"/>
            </w:pPr>
            <w:r w:rsidRPr="008762B1">
              <w:t>Project emissions</w:t>
            </w:r>
          </w:p>
        </w:tc>
        <w:tc>
          <w:tcPr>
            <w:tcW w:w="2268" w:type="dxa"/>
            <w:tcBorders>
              <w:bottom w:val="single" w:sz="4" w:space="0" w:color="auto"/>
            </w:tcBorders>
            <w:shd w:val="clear" w:color="auto" w:fill="auto"/>
          </w:tcPr>
          <w:p w:rsidR="00251FB9" w:rsidRPr="008762B1" w:rsidRDefault="00251FB9" w:rsidP="00251FB9">
            <w:pPr>
              <w:pStyle w:val="Tabletext"/>
            </w:pPr>
            <w:r w:rsidRPr="008762B1">
              <w:t>Emissions from anaerobic digester leakage or venting events</w:t>
            </w:r>
          </w:p>
        </w:tc>
        <w:tc>
          <w:tcPr>
            <w:tcW w:w="2222" w:type="dxa"/>
            <w:tcBorders>
              <w:bottom w:val="single" w:sz="4" w:space="0" w:color="auto"/>
            </w:tcBorders>
            <w:shd w:val="clear" w:color="auto" w:fill="auto"/>
          </w:tcPr>
          <w:p w:rsidR="00251FB9" w:rsidRPr="008762B1" w:rsidRDefault="00251FB9" w:rsidP="00251FB9">
            <w:pPr>
              <w:pStyle w:val="Tabletext"/>
            </w:pPr>
            <w:r w:rsidRPr="008762B1">
              <w:t>Methane (CH</w:t>
            </w:r>
            <w:r w:rsidRPr="008762B1">
              <w:rPr>
                <w:vertAlign w:val="subscript"/>
              </w:rPr>
              <w:t>4</w:t>
            </w:r>
            <w:r w:rsidRPr="008762B1">
              <w:t>)</w:t>
            </w:r>
          </w:p>
          <w:p w:rsidR="00251FB9" w:rsidRPr="008762B1" w:rsidRDefault="00251FB9" w:rsidP="00251FB9">
            <w:pPr>
              <w:pStyle w:val="Tabletext"/>
            </w:pPr>
            <w:r w:rsidRPr="008762B1">
              <w:t>Nitrous oxide (N</w:t>
            </w:r>
            <w:r w:rsidRPr="008762B1">
              <w:rPr>
                <w:vertAlign w:val="subscript"/>
              </w:rPr>
              <w:t>2</w:t>
            </w:r>
            <w:r w:rsidRPr="008762B1">
              <w:t>O)</w:t>
            </w:r>
          </w:p>
        </w:tc>
      </w:tr>
      <w:tr w:rsidR="00251FB9" w:rsidRPr="008762B1" w:rsidTr="00251FB9">
        <w:tc>
          <w:tcPr>
            <w:tcW w:w="851" w:type="dxa"/>
            <w:tcBorders>
              <w:bottom w:val="single" w:sz="12" w:space="0" w:color="auto"/>
            </w:tcBorders>
            <w:shd w:val="clear" w:color="auto" w:fill="auto"/>
          </w:tcPr>
          <w:p w:rsidR="00251FB9" w:rsidRPr="008762B1" w:rsidRDefault="00251FB9" w:rsidP="00251FB9">
            <w:pPr>
              <w:pStyle w:val="Tabletext"/>
            </w:pPr>
            <w:r w:rsidRPr="008762B1">
              <w:t>6</w:t>
            </w:r>
          </w:p>
        </w:tc>
        <w:tc>
          <w:tcPr>
            <w:tcW w:w="1843" w:type="dxa"/>
            <w:tcBorders>
              <w:bottom w:val="single" w:sz="12" w:space="0" w:color="auto"/>
            </w:tcBorders>
            <w:shd w:val="clear" w:color="auto" w:fill="auto"/>
          </w:tcPr>
          <w:p w:rsidR="00251FB9" w:rsidRPr="008762B1" w:rsidRDefault="00251FB9" w:rsidP="00251FB9">
            <w:pPr>
              <w:pStyle w:val="Tabletext"/>
            </w:pPr>
            <w:r w:rsidRPr="008762B1">
              <w:t>Project emissions</w:t>
            </w:r>
          </w:p>
        </w:tc>
        <w:tc>
          <w:tcPr>
            <w:tcW w:w="2268" w:type="dxa"/>
            <w:tcBorders>
              <w:bottom w:val="single" w:sz="12" w:space="0" w:color="auto"/>
            </w:tcBorders>
            <w:shd w:val="clear" w:color="auto" w:fill="auto"/>
          </w:tcPr>
          <w:p w:rsidR="00251FB9" w:rsidRPr="008762B1" w:rsidRDefault="00251FB9" w:rsidP="00251FB9">
            <w:pPr>
              <w:pStyle w:val="Tabletext"/>
            </w:pPr>
            <w:r w:rsidRPr="008762B1">
              <w:t>Emissions from the combustion of biogas</w:t>
            </w:r>
          </w:p>
        </w:tc>
        <w:tc>
          <w:tcPr>
            <w:tcW w:w="2222" w:type="dxa"/>
            <w:tcBorders>
              <w:bottom w:val="single" w:sz="12" w:space="0" w:color="auto"/>
            </w:tcBorders>
            <w:shd w:val="clear" w:color="auto" w:fill="auto"/>
          </w:tcPr>
          <w:p w:rsidR="00251FB9" w:rsidRPr="008762B1" w:rsidRDefault="00251FB9" w:rsidP="00251FB9">
            <w:pPr>
              <w:pStyle w:val="Tabletext"/>
            </w:pPr>
            <w:r w:rsidRPr="008762B1">
              <w:t>Methane (CH</w:t>
            </w:r>
            <w:r w:rsidRPr="008762B1">
              <w:rPr>
                <w:vertAlign w:val="subscript"/>
              </w:rPr>
              <w:t>4</w:t>
            </w:r>
            <w:r w:rsidRPr="008762B1">
              <w:t>)</w:t>
            </w:r>
          </w:p>
          <w:p w:rsidR="00251FB9" w:rsidRPr="008762B1" w:rsidRDefault="00251FB9" w:rsidP="00251FB9">
            <w:pPr>
              <w:pStyle w:val="Tabletext"/>
            </w:pPr>
            <w:r w:rsidRPr="008762B1">
              <w:t>Nitrous oxide (N</w:t>
            </w:r>
            <w:r w:rsidRPr="008762B1">
              <w:rPr>
                <w:vertAlign w:val="subscript"/>
              </w:rPr>
              <w:t>2</w:t>
            </w:r>
            <w:r w:rsidRPr="008762B1">
              <w:t>O)</w:t>
            </w:r>
          </w:p>
        </w:tc>
      </w:tr>
    </w:tbl>
    <w:p w:rsidR="00251FB9" w:rsidRPr="008762B1" w:rsidRDefault="00251FB9" w:rsidP="00251FB9">
      <w:pPr>
        <w:pStyle w:val="Tabletext"/>
      </w:pPr>
    </w:p>
    <w:p w:rsidR="00C923B8" w:rsidRPr="008762B1" w:rsidRDefault="00C923B8" w:rsidP="0089293E">
      <w:pPr>
        <w:pStyle w:val="ActHead3"/>
        <w:pageBreakBefore/>
      </w:pPr>
      <w:bookmarkStart w:id="24" w:name="_Toc407103324"/>
      <w:r w:rsidRPr="008762B1">
        <w:rPr>
          <w:rStyle w:val="CharDivNo"/>
        </w:rPr>
        <w:lastRenderedPageBreak/>
        <w:t>Division</w:t>
      </w:r>
      <w:r w:rsidR="008762B1" w:rsidRPr="008762B1">
        <w:rPr>
          <w:rStyle w:val="CharDivNo"/>
        </w:rPr>
        <w:t> </w:t>
      </w:r>
      <w:r w:rsidRPr="008762B1">
        <w:rPr>
          <w:rStyle w:val="CharDivNo"/>
        </w:rPr>
        <w:t>2</w:t>
      </w:r>
      <w:r w:rsidRPr="008762B1">
        <w:t>—</w:t>
      </w:r>
      <w:r w:rsidRPr="008762B1">
        <w:rPr>
          <w:rStyle w:val="CharDivText"/>
        </w:rPr>
        <w:t>Method for calculating net abatement amount</w:t>
      </w:r>
      <w:bookmarkEnd w:id="24"/>
    </w:p>
    <w:p w:rsidR="00834389" w:rsidRPr="008762B1" w:rsidRDefault="004E7255" w:rsidP="00552895">
      <w:pPr>
        <w:pStyle w:val="ActHead5"/>
      </w:pPr>
      <w:bookmarkStart w:id="25" w:name="_Toc407103325"/>
      <w:r w:rsidRPr="008762B1">
        <w:rPr>
          <w:rStyle w:val="CharSectno"/>
        </w:rPr>
        <w:t>16</w:t>
      </w:r>
      <w:r w:rsidR="00834389" w:rsidRPr="008762B1">
        <w:t xml:space="preserve">  Summary</w:t>
      </w:r>
      <w:bookmarkEnd w:id="25"/>
    </w:p>
    <w:p w:rsidR="00BC5D37" w:rsidRPr="008762B1" w:rsidRDefault="00834389" w:rsidP="00B249ED">
      <w:pPr>
        <w:pStyle w:val="SOText"/>
      </w:pPr>
      <w:r w:rsidRPr="008762B1">
        <w:t>The carbon dioxide equivalent net abatemen</w:t>
      </w:r>
      <w:r w:rsidR="00BC5D37" w:rsidRPr="008762B1">
        <w:t xml:space="preserve">t amount for a reporting period is </w:t>
      </w:r>
      <w:r w:rsidR="00020D8D" w:rsidRPr="008762B1">
        <w:t>worked out by adding together</w:t>
      </w:r>
      <w:r w:rsidR="00BC5D37" w:rsidRPr="008762B1">
        <w:t xml:space="preserve"> the activity abatement portion for the reporting period and any activity abatement portions, and legacy abatement portions, from previous reporting periods that have accrued and have not already been used to calculate the carbon dioxide equivalent net abatement amount.</w:t>
      </w:r>
    </w:p>
    <w:p w:rsidR="00A37523" w:rsidRPr="008762B1" w:rsidRDefault="004E7255" w:rsidP="00BC5D37">
      <w:pPr>
        <w:pStyle w:val="ActHead5"/>
      </w:pPr>
      <w:bookmarkStart w:id="26" w:name="_Toc407103326"/>
      <w:r w:rsidRPr="008762B1">
        <w:rPr>
          <w:rStyle w:val="CharSectno"/>
        </w:rPr>
        <w:t>17</w:t>
      </w:r>
      <w:r w:rsidR="00C923B8" w:rsidRPr="008762B1">
        <w:t xml:space="preserve">  </w:t>
      </w:r>
      <w:r w:rsidR="00BC5D37" w:rsidRPr="008762B1">
        <w:t>N</w:t>
      </w:r>
      <w:r w:rsidR="00A37523" w:rsidRPr="008762B1">
        <w:t>et abatement amount</w:t>
      </w:r>
      <w:bookmarkEnd w:id="26"/>
    </w:p>
    <w:p w:rsidR="00A37523" w:rsidRPr="008762B1" w:rsidRDefault="00A37523" w:rsidP="00A37523">
      <w:pPr>
        <w:pStyle w:val="subsection"/>
      </w:pPr>
      <w:r w:rsidRPr="008762B1">
        <w:tab/>
      </w:r>
      <w:r w:rsidRPr="008762B1">
        <w:tab/>
        <w:t xml:space="preserve">The </w:t>
      </w:r>
      <w:r w:rsidR="00C0781A" w:rsidRPr="008762B1">
        <w:t>carbon dioxide equivalent</w:t>
      </w:r>
      <w:r w:rsidR="00C923B8" w:rsidRPr="008762B1">
        <w:t xml:space="preserve"> </w:t>
      </w:r>
      <w:r w:rsidRPr="008762B1">
        <w:t>net abatement amount for a reporting period</w:t>
      </w:r>
      <w:r w:rsidR="00A67136" w:rsidRPr="008762B1">
        <w:t>, in tonnes CO</w:t>
      </w:r>
      <w:r w:rsidR="00A67136" w:rsidRPr="008762B1">
        <w:rPr>
          <w:vertAlign w:val="subscript"/>
        </w:rPr>
        <w:t>2</w:t>
      </w:r>
      <w:r w:rsidR="008762B1">
        <w:noBreakHyphen/>
      </w:r>
      <w:r w:rsidR="00A67136" w:rsidRPr="008762B1">
        <w:t>e,</w:t>
      </w:r>
      <w:r w:rsidRPr="008762B1">
        <w:t xml:space="preserve"> is worked out using the formula (</w:t>
      </w:r>
      <w:r w:rsidR="00FE4577" w:rsidRPr="008762B1">
        <w:rPr>
          <w:b/>
          <w:i/>
        </w:rPr>
        <w:t>equation 1</w:t>
      </w:r>
      <w:r w:rsidRPr="008762B1">
        <w:t>):</w:t>
      </w:r>
    </w:p>
    <w:bookmarkStart w:id="27" w:name="BKCheck15B_4"/>
    <w:bookmarkEnd w:id="27"/>
    <w:p w:rsidR="00A37523" w:rsidRPr="008762B1" w:rsidRDefault="00BC5D37" w:rsidP="00A37523">
      <w:pPr>
        <w:pStyle w:val="subsection2"/>
      </w:pPr>
      <w:r w:rsidRPr="008762B1">
        <w:rPr>
          <w:position w:val="-10"/>
        </w:rPr>
        <w:object w:dxaOrig="157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21.9pt" o:ole="">
            <v:imagedata r:id="rId21" o:title=""/>
          </v:shape>
          <o:OLEObject Type="Embed" ProgID="Equation.DSMT4" ShapeID="_x0000_i1025" DrawAspect="Content" ObjectID="_1483176399" r:id="rId22"/>
        </w:object>
      </w:r>
    </w:p>
    <w:p w:rsidR="00A37523" w:rsidRPr="008762B1" w:rsidRDefault="00A37523" w:rsidP="00A37523">
      <w:pPr>
        <w:pStyle w:val="subsection2"/>
      </w:pPr>
      <w:r w:rsidRPr="008762B1">
        <w:t>where:</w:t>
      </w:r>
    </w:p>
    <w:p w:rsidR="00A37523" w:rsidRPr="008762B1" w:rsidRDefault="00A37523" w:rsidP="00A37523">
      <w:pPr>
        <w:pStyle w:val="Definition"/>
      </w:pPr>
      <w:r w:rsidRPr="008762B1">
        <w:rPr>
          <w:b/>
          <w:i/>
        </w:rPr>
        <w:t>A</w:t>
      </w:r>
      <w:r w:rsidR="00BC5D37" w:rsidRPr="008762B1">
        <w:rPr>
          <w:b/>
          <w:i/>
          <w:vertAlign w:val="subscript"/>
        </w:rPr>
        <w:t>N</w:t>
      </w:r>
      <w:r w:rsidRPr="008762B1">
        <w:rPr>
          <w:b/>
          <w:i/>
        </w:rPr>
        <w:t xml:space="preserve"> </w:t>
      </w:r>
      <w:r w:rsidRPr="008762B1">
        <w:t xml:space="preserve">means the </w:t>
      </w:r>
      <w:r w:rsidR="00C0781A" w:rsidRPr="008762B1">
        <w:t>carbon dioxide equivalent</w:t>
      </w:r>
      <w:r w:rsidR="00C923B8" w:rsidRPr="008762B1">
        <w:t xml:space="preserve"> </w:t>
      </w:r>
      <w:r w:rsidRPr="008762B1">
        <w:t>ne</w:t>
      </w:r>
      <w:r w:rsidR="001C55CE" w:rsidRPr="008762B1">
        <w:t>t abatement amount</w:t>
      </w:r>
      <w:r w:rsidR="000416E5" w:rsidRPr="008762B1">
        <w:t xml:space="preserve"> for the reporting period, in tonnes CO</w:t>
      </w:r>
      <w:r w:rsidR="000416E5" w:rsidRPr="008762B1">
        <w:rPr>
          <w:vertAlign w:val="subscript"/>
        </w:rPr>
        <w:t>2</w:t>
      </w:r>
      <w:r w:rsidR="008762B1">
        <w:noBreakHyphen/>
      </w:r>
      <w:r w:rsidR="000416E5" w:rsidRPr="008762B1">
        <w:t>e.</w:t>
      </w:r>
    </w:p>
    <w:p w:rsidR="00A37523" w:rsidRPr="008762B1" w:rsidRDefault="00A37523" w:rsidP="00A37523">
      <w:pPr>
        <w:pStyle w:val="Definition"/>
      </w:pPr>
      <w:r w:rsidRPr="008762B1">
        <w:rPr>
          <w:b/>
          <w:i/>
        </w:rPr>
        <w:t>A</w:t>
      </w:r>
      <w:r w:rsidR="00D0211F" w:rsidRPr="008762B1">
        <w:rPr>
          <w:b/>
          <w:i/>
          <w:vertAlign w:val="subscript"/>
        </w:rPr>
        <w:t>0</w:t>
      </w:r>
      <w:r w:rsidRPr="008762B1">
        <w:t xml:space="preserve"> means activity abatement </w:t>
      </w:r>
      <w:r w:rsidR="00BE32C3" w:rsidRPr="008762B1">
        <w:t>portion</w:t>
      </w:r>
      <w:r w:rsidR="00B02BD0" w:rsidRPr="008762B1">
        <w:t xml:space="preserve"> </w:t>
      </w:r>
      <w:r w:rsidR="0042786D" w:rsidRPr="008762B1">
        <w:t>A</w:t>
      </w:r>
      <w:r w:rsidR="0042786D" w:rsidRPr="008762B1">
        <w:rPr>
          <w:vertAlign w:val="subscript"/>
        </w:rPr>
        <w:t>0</w:t>
      </w:r>
      <w:r w:rsidR="001D7F40" w:rsidRPr="008762B1">
        <w:rPr>
          <w:vertAlign w:val="subscript"/>
        </w:rPr>
        <w:t xml:space="preserve"> </w:t>
      </w:r>
      <w:r w:rsidRPr="008762B1">
        <w:t xml:space="preserve">for </w:t>
      </w:r>
      <w:r w:rsidR="001D7F40" w:rsidRPr="008762B1">
        <w:t>the</w:t>
      </w:r>
      <w:r w:rsidR="00BD2C68" w:rsidRPr="008762B1">
        <w:t xml:space="preserve"> </w:t>
      </w:r>
      <w:r w:rsidRPr="008762B1">
        <w:t>reporting period</w:t>
      </w:r>
      <w:r w:rsidR="00A67136" w:rsidRPr="008762B1">
        <w:t>, in tonnes CO</w:t>
      </w:r>
      <w:r w:rsidR="00A67136" w:rsidRPr="008762B1">
        <w:rPr>
          <w:vertAlign w:val="subscript"/>
        </w:rPr>
        <w:t>2</w:t>
      </w:r>
      <w:r w:rsidR="008762B1">
        <w:noBreakHyphen/>
      </w:r>
      <w:r w:rsidR="00A67136" w:rsidRPr="008762B1">
        <w:t>e,</w:t>
      </w:r>
      <w:r w:rsidRPr="008762B1">
        <w:t xml:space="preserve"> worked out </w:t>
      </w:r>
      <w:r w:rsidR="00936BD1" w:rsidRPr="008762B1">
        <w:t>in accordance with section</w:t>
      </w:r>
      <w:r w:rsidR="008762B1" w:rsidRPr="008762B1">
        <w:t> </w:t>
      </w:r>
      <w:r w:rsidR="004E7255" w:rsidRPr="008762B1">
        <w:t>19</w:t>
      </w:r>
      <w:r w:rsidRPr="008762B1">
        <w:t>.</w:t>
      </w:r>
    </w:p>
    <w:p w:rsidR="00FC5CF1" w:rsidRPr="008762B1" w:rsidRDefault="00FC5CF1" w:rsidP="00FC5CF1">
      <w:pPr>
        <w:pStyle w:val="Definition"/>
      </w:pPr>
      <w:proofErr w:type="spellStart"/>
      <w:r w:rsidRPr="008762B1">
        <w:rPr>
          <w:b/>
          <w:i/>
        </w:rPr>
        <w:t>A</w:t>
      </w:r>
      <w:r w:rsidR="00BC5D37" w:rsidRPr="008762B1">
        <w:rPr>
          <w:b/>
          <w:i/>
          <w:vertAlign w:val="subscript"/>
        </w:rPr>
        <w:t>Acc</w:t>
      </w:r>
      <w:proofErr w:type="spellEnd"/>
      <w:r w:rsidRPr="008762B1">
        <w:rPr>
          <w:i/>
        </w:rPr>
        <w:t xml:space="preserve"> </w:t>
      </w:r>
      <w:r w:rsidR="001C55CE" w:rsidRPr="008762B1">
        <w:t xml:space="preserve">means the amount, in tonnes </w:t>
      </w:r>
      <w:r w:rsidRPr="008762B1">
        <w:t>CO</w:t>
      </w:r>
      <w:r w:rsidRPr="008762B1">
        <w:rPr>
          <w:vertAlign w:val="subscript"/>
        </w:rPr>
        <w:t>2</w:t>
      </w:r>
      <w:r w:rsidR="008762B1">
        <w:noBreakHyphen/>
      </w:r>
      <w:r w:rsidRPr="008762B1">
        <w:t>e, that is the sum of:</w:t>
      </w:r>
    </w:p>
    <w:p w:rsidR="00FE06BD" w:rsidRPr="008762B1" w:rsidRDefault="00FC5CF1" w:rsidP="00FC5CF1">
      <w:pPr>
        <w:pStyle w:val="paragraph"/>
      </w:pPr>
      <w:r w:rsidRPr="008762B1">
        <w:tab/>
        <w:t>(a)</w:t>
      </w:r>
      <w:r w:rsidRPr="008762B1">
        <w:tab/>
        <w:t>each activity abatement portion</w:t>
      </w:r>
      <w:r w:rsidR="00CC6353" w:rsidRPr="008762B1">
        <w:t xml:space="preserve"> that</w:t>
      </w:r>
      <w:r w:rsidR="00FE06BD" w:rsidRPr="008762B1">
        <w:t>:</w:t>
      </w:r>
    </w:p>
    <w:p w:rsidR="00FE06BD" w:rsidRPr="008762B1" w:rsidRDefault="00FE06BD" w:rsidP="00FE06BD">
      <w:pPr>
        <w:pStyle w:val="paragraphsub"/>
      </w:pPr>
      <w:r w:rsidRPr="008762B1">
        <w:tab/>
        <w:t>(</w:t>
      </w:r>
      <w:proofErr w:type="spellStart"/>
      <w:r w:rsidRPr="008762B1">
        <w:t>i</w:t>
      </w:r>
      <w:proofErr w:type="spellEnd"/>
      <w:r w:rsidRPr="008762B1">
        <w:t>)</w:t>
      </w:r>
      <w:r w:rsidRPr="008762B1">
        <w:tab/>
      </w:r>
      <w:r w:rsidR="00CC6353" w:rsidRPr="008762B1">
        <w:t xml:space="preserve">has accrued </w:t>
      </w:r>
      <w:r w:rsidR="00EB3CFF" w:rsidRPr="008762B1">
        <w:t xml:space="preserve">from a previous reporting period </w:t>
      </w:r>
      <w:r w:rsidR="00520CCC" w:rsidRPr="008762B1">
        <w:t xml:space="preserve">(see </w:t>
      </w:r>
      <w:r w:rsidR="00AD25FE" w:rsidRPr="008762B1">
        <w:t>subsection</w:t>
      </w:r>
      <w:r w:rsidR="008762B1" w:rsidRPr="008762B1">
        <w:t> </w:t>
      </w:r>
      <w:r w:rsidR="004E7255" w:rsidRPr="008762B1">
        <w:t>19</w:t>
      </w:r>
      <w:r w:rsidR="00AD25FE" w:rsidRPr="008762B1">
        <w:t>(3)</w:t>
      </w:r>
      <w:r w:rsidRPr="008762B1">
        <w:t xml:space="preserve">); </w:t>
      </w:r>
      <w:r w:rsidR="00CC6353" w:rsidRPr="008762B1">
        <w:t>and</w:t>
      </w:r>
    </w:p>
    <w:p w:rsidR="00FC5CF1" w:rsidRPr="008762B1" w:rsidRDefault="00FE06BD" w:rsidP="00FE06BD">
      <w:pPr>
        <w:pStyle w:val="paragraphsub"/>
      </w:pPr>
      <w:r w:rsidRPr="008762B1">
        <w:tab/>
        <w:t>(ii)</w:t>
      </w:r>
      <w:r w:rsidRPr="008762B1">
        <w:tab/>
      </w:r>
      <w:r w:rsidR="00CC6353" w:rsidRPr="008762B1">
        <w:t xml:space="preserve">has not been used </w:t>
      </w:r>
      <w:r w:rsidRPr="008762B1">
        <w:t xml:space="preserve">before </w:t>
      </w:r>
      <w:r w:rsidR="00CC6353" w:rsidRPr="008762B1">
        <w:t xml:space="preserve">to calculate the </w:t>
      </w:r>
      <w:r w:rsidR="00C0781A" w:rsidRPr="008762B1">
        <w:t>carbon dioxide equivalent</w:t>
      </w:r>
      <w:r w:rsidR="00CC6353" w:rsidRPr="008762B1">
        <w:t xml:space="preserve"> net abatement</w:t>
      </w:r>
      <w:r w:rsidRPr="008762B1">
        <w:t xml:space="preserve"> amount</w:t>
      </w:r>
      <w:r w:rsidR="00FC5CF1" w:rsidRPr="008762B1">
        <w:t>; and</w:t>
      </w:r>
    </w:p>
    <w:p w:rsidR="00FE06BD" w:rsidRPr="008762B1" w:rsidRDefault="00FC5CF1" w:rsidP="00FE06BD">
      <w:pPr>
        <w:pStyle w:val="paragraph"/>
      </w:pPr>
      <w:r w:rsidRPr="008762B1">
        <w:tab/>
        <w:t>(b)</w:t>
      </w:r>
      <w:r w:rsidRPr="008762B1">
        <w:tab/>
        <w:t>if the project is a transitioning project—each legacy abatement portion</w:t>
      </w:r>
      <w:r w:rsidR="00FE06BD" w:rsidRPr="008762B1">
        <w:t xml:space="preserve"> </w:t>
      </w:r>
      <w:r w:rsidRPr="008762B1">
        <w:t>that</w:t>
      </w:r>
      <w:r w:rsidR="00FE06BD" w:rsidRPr="008762B1">
        <w:t>:</w:t>
      </w:r>
    </w:p>
    <w:p w:rsidR="00FE06BD" w:rsidRPr="008762B1" w:rsidRDefault="00FE06BD" w:rsidP="00FE06BD">
      <w:pPr>
        <w:pStyle w:val="paragraphsub"/>
      </w:pPr>
      <w:r w:rsidRPr="008762B1">
        <w:tab/>
        <w:t>(</w:t>
      </w:r>
      <w:proofErr w:type="spellStart"/>
      <w:r w:rsidRPr="008762B1">
        <w:t>i</w:t>
      </w:r>
      <w:proofErr w:type="spellEnd"/>
      <w:r w:rsidRPr="008762B1">
        <w:t>)</w:t>
      </w:r>
      <w:r w:rsidRPr="008762B1">
        <w:tab/>
      </w:r>
      <w:r w:rsidR="00FC5CF1" w:rsidRPr="008762B1">
        <w:t xml:space="preserve">has accrued </w:t>
      </w:r>
      <w:r w:rsidR="00EB3CFF" w:rsidRPr="008762B1">
        <w:t xml:space="preserve">from a previous reporting period </w:t>
      </w:r>
      <w:r w:rsidR="00520CCC" w:rsidRPr="008762B1">
        <w:t xml:space="preserve">(see </w:t>
      </w:r>
      <w:r w:rsidR="00773128" w:rsidRPr="008762B1">
        <w:t>subsection</w:t>
      </w:r>
      <w:r w:rsidR="008762B1" w:rsidRPr="008762B1">
        <w:t> </w:t>
      </w:r>
      <w:r w:rsidR="004E7255" w:rsidRPr="008762B1">
        <w:t>41</w:t>
      </w:r>
      <w:r w:rsidR="00773128" w:rsidRPr="008762B1">
        <w:t>(2)</w:t>
      </w:r>
      <w:r w:rsidRPr="008762B1">
        <w:t xml:space="preserve">); </w:t>
      </w:r>
      <w:r w:rsidR="00FC5CF1" w:rsidRPr="008762B1">
        <w:t>and</w:t>
      </w:r>
    </w:p>
    <w:p w:rsidR="00FC5CF1" w:rsidRPr="008762B1" w:rsidRDefault="00FE06BD" w:rsidP="00FE06BD">
      <w:pPr>
        <w:pStyle w:val="paragraphsub"/>
      </w:pPr>
      <w:r w:rsidRPr="008762B1">
        <w:tab/>
        <w:t>(ii)</w:t>
      </w:r>
      <w:r w:rsidRPr="008762B1">
        <w:tab/>
      </w:r>
      <w:r w:rsidR="00FC5CF1" w:rsidRPr="008762B1">
        <w:t xml:space="preserve">has not been used </w:t>
      </w:r>
      <w:r w:rsidRPr="008762B1">
        <w:t xml:space="preserve">before </w:t>
      </w:r>
      <w:r w:rsidR="00FC5CF1" w:rsidRPr="008762B1">
        <w:t xml:space="preserve">to calculate the </w:t>
      </w:r>
      <w:r w:rsidR="00C0781A" w:rsidRPr="008762B1">
        <w:t>carbon dioxide equivalent</w:t>
      </w:r>
      <w:r w:rsidR="00FC5CF1" w:rsidRPr="008762B1">
        <w:t xml:space="preserve"> net abatement</w:t>
      </w:r>
      <w:r w:rsidRPr="008762B1">
        <w:t xml:space="preserve"> amount</w:t>
      </w:r>
      <w:r w:rsidR="00CC6353" w:rsidRPr="008762B1">
        <w:t>.</w:t>
      </w:r>
    </w:p>
    <w:p w:rsidR="00CC6353" w:rsidRPr="008762B1" w:rsidRDefault="00FE06BD" w:rsidP="00CC6353">
      <w:pPr>
        <w:pStyle w:val="notetext"/>
      </w:pPr>
      <w:r w:rsidRPr="008762B1">
        <w:t>Note:</w:t>
      </w:r>
      <w:r w:rsidRPr="008762B1">
        <w:tab/>
      </w:r>
      <w:r w:rsidR="00CC6353" w:rsidRPr="008762B1">
        <w:t>The no double counting test in section</w:t>
      </w:r>
      <w:r w:rsidR="008762B1" w:rsidRPr="008762B1">
        <w:t> </w:t>
      </w:r>
      <w:r w:rsidR="00CC6353" w:rsidRPr="008762B1">
        <w:t>15A of the Act means that abatement will only be reflected in the unit entitlement for a certificate of entitlement in respect of an eligible offsets project if it has not been reflected in the unit entitlement for another certificate or project.</w:t>
      </w:r>
    </w:p>
    <w:p w:rsidR="0065744C" w:rsidRPr="008762B1" w:rsidRDefault="0065744C" w:rsidP="0065744C">
      <w:pPr>
        <w:pStyle w:val="ActHead3"/>
        <w:pageBreakBefore/>
      </w:pPr>
      <w:bookmarkStart w:id="28" w:name="_Toc407103327"/>
      <w:r w:rsidRPr="008762B1">
        <w:rPr>
          <w:rStyle w:val="CharDivNo"/>
        </w:rPr>
        <w:lastRenderedPageBreak/>
        <w:t>Division</w:t>
      </w:r>
      <w:r w:rsidR="008762B1" w:rsidRPr="008762B1">
        <w:rPr>
          <w:rStyle w:val="CharDivNo"/>
        </w:rPr>
        <w:t> </w:t>
      </w:r>
      <w:r w:rsidRPr="008762B1">
        <w:rPr>
          <w:rStyle w:val="CharDivNo"/>
        </w:rPr>
        <w:t>3</w:t>
      </w:r>
      <w:r w:rsidRPr="008762B1">
        <w:t>—</w:t>
      </w:r>
      <w:r w:rsidRPr="008762B1">
        <w:rPr>
          <w:rStyle w:val="CharDivText"/>
        </w:rPr>
        <w:t>Method for calculating activity abatement portions</w:t>
      </w:r>
      <w:bookmarkEnd w:id="28"/>
    </w:p>
    <w:p w:rsidR="0065744C" w:rsidRPr="008762B1" w:rsidRDefault="0065744C" w:rsidP="0065744C">
      <w:pPr>
        <w:pStyle w:val="ActHead4"/>
      </w:pPr>
      <w:bookmarkStart w:id="29" w:name="_Toc407103328"/>
      <w:r w:rsidRPr="008762B1">
        <w:rPr>
          <w:rStyle w:val="CharSubdNo"/>
        </w:rPr>
        <w:t>Subdivision A</w:t>
      </w:r>
      <w:r w:rsidRPr="008762B1">
        <w:t>—</w:t>
      </w:r>
      <w:r w:rsidRPr="008762B1">
        <w:rPr>
          <w:rStyle w:val="CharSubdText"/>
        </w:rPr>
        <w:t>Activity abatement portions</w:t>
      </w:r>
      <w:bookmarkEnd w:id="29"/>
    </w:p>
    <w:p w:rsidR="00BC5D37" w:rsidRPr="008762B1" w:rsidRDefault="004E7255" w:rsidP="00BC5D37">
      <w:pPr>
        <w:pStyle w:val="ActHead5"/>
      </w:pPr>
      <w:bookmarkStart w:id="30" w:name="_Toc407103329"/>
      <w:r w:rsidRPr="008762B1">
        <w:rPr>
          <w:rStyle w:val="CharSectno"/>
        </w:rPr>
        <w:t>18</w:t>
      </w:r>
      <w:r w:rsidR="00BC5D37" w:rsidRPr="008762B1">
        <w:t xml:space="preserve">  Summary</w:t>
      </w:r>
      <w:bookmarkEnd w:id="30"/>
    </w:p>
    <w:p w:rsidR="00BC5D37" w:rsidRPr="008762B1" w:rsidRDefault="00BC5D37" w:rsidP="00B249ED">
      <w:pPr>
        <w:pStyle w:val="SOText"/>
      </w:pPr>
      <w:r w:rsidRPr="008762B1">
        <w:t>The activity abatement portions</w:t>
      </w:r>
      <w:r w:rsidR="00EE01CA" w:rsidRPr="008762B1">
        <w:t xml:space="preserve"> for a reporting period are worked out by dividing </w:t>
      </w:r>
      <w:r w:rsidR="00E35767" w:rsidRPr="008762B1">
        <w:t xml:space="preserve">into 7 equal portions </w:t>
      </w:r>
      <w:r w:rsidR="00EE01CA" w:rsidRPr="008762B1">
        <w:t>the abatement resulting from the project’s activit</w:t>
      </w:r>
      <w:r w:rsidR="00E35767" w:rsidRPr="008762B1">
        <w:t>ies during the reporting period</w:t>
      </w:r>
      <w:r w:rsidR="00297275" w:rsidRPr="008762B1">
        <w:t xml:space="preserve">. </w:t>
      </w:r>
      <w:r w:rsidR="00EB1955" w:rsidRPr="008762B1">
        <w:t>One portion is</w:t>
      </w:r>
      <w:r w:rsidR="00297275" w:rsidRPr="008762B1">
        <w:t xml:space="preserve"> used to calculate the carbon dioxide equivalent net abatement amount for the reporting period and the 6 </w:t>
      </w:r>
      <w:r w:rsidR="00EB1955" w:rsidRPr="008762B1">
        <w:t>other portions accrue over time to be used in subsequent reporting periods</w:t>
      </w:r>
      <w:r w:rsidR="00297275" w:rsidRPr="008762B1">
        <w:t>.</w:t>
      </w:r>
    </w:p>
    <w:p w:rsidR="0065744C" w:rsidRPr="008762B1" w:rsidRDefault="004E7255" w:rsidP="0065744C">
      <w:pPr>
        <w:pStyle w:val="ActHead5"/>
      </w:pPr>
      <w:bookmarkStart w:id="31" w:name="_Toc407103330"/>
      <w:r w:rsidRPr="008762B1">
        <w:rPr>
          <w:rStyle w:val="CharSectno"/>
        </w:rPr>
        <w:t>19</w:t>
      </w:r>
      <w:r w:rsidR="0065744C" w:rsidRPr="008762B1">
        <w:t xml:space="preserve">  Calculation and accrual of activity abatement portions</w:t>
      </w:r>
      <w:bookmarkEnd w:id="31"/>
    </w:p>
    <w:p w:rsidR="008E44F8" w:rsidRPr="008762B1" w:rsidRDefault="008E44F8" w:rsidP="008E44F8">
      <w:pPr>
        <w:pStyle w:val="SubsectionHead"/>
      </w:pPr>
      <w:r w:rsidRPr="008762B1">
        <w:t>Calculation of activity abatement portions</w:t>
      </w:r>
    </w:p>
    <w:p w:rsidR="0065744C" w:rsidRPr="008762B1" w:rsidRDefault="008E44F8" w:rsidP="0065744C">
      <w:pPr>
        <w:pStyle w:val="subsection"/>
      </w:pPr>
      <w:r w:rsidRPr="008762B1">
        <w:tab/>
      </w:r>
      <w:r w:rsidR="0065744C" w:rsidRPr="008762B1">
        <w:t>(1)</w:t>
      </w:r>
      <w:r w:rsidR="0065744C" w:rsidRPr="008762B1">
        <w:tab/>
      </w:r>
      <w:r w:rsidR="00401027" w:rsidRPr="008762B1">
        <w:t xml:space="preserve">Subject to </w:t>
      </w:r>
      <w:r w:rsidR="008762B1" w:rsidRPr="008762B1">
        <w:t>subsection (</w:t>
      </w:r>
      <w:r w:rsidR="00936BD1" w:rsidRPr="008762B1">
        <w:t>2)</w:t>
      </w:r>
      <w:r w:rsidR="00311487" w:rsidRPr="008762B1">
        <w:t xml:space="preserve"> and section</w:t>
      </w:r>
      <w:r w:rsidR="008762B1" w:rsidRPr="008762B1">
        <w:t> </w:t>
      </w:r>
      <w:r w:rsidR="004E7255" w:rsidRPr="008762B1">
        <w:t>20</w:t>
      </w:r>
      <w:r w:rsidR="00936BD1" w:rsidRPr="008762B1">
        <w:t>, t</w:t>
      </w:r>
      <w:r w:rsidR="0065744C" w:rsidRPr="008762B1">
        <w:t>he activity a</w:t>
      </w:r>
      <w:r w:rsidR="001C55CE" w:rsidRPr="008762B1">
        <w:t>batement portions</w:t>
      </w:r>
      <w:r w:rsidR="0065744C" w:rsidRPr="008762B1">
        <w:t xml:space="preserve"> for a reporting period</w:t>
      </w:r>
      <w:r w:rsidR="00297275" w:rsidRPr="008762B1">
        <w:t>, in tonnes CO</w:t>
      </w:r>
      <w:r w:rsidR="00297275" w:rsidRPr="008762B1">
        <w:rPr>
          <w:vertAlign w:val="subscript"/>
        </w:rPr>
        <w:t>2</w:t>
      </w:r>
      <w:r w:rsidR="008762B1">
        <w:noBreakHyphen/>
      </w:r>
      <w:r w:rsidR="00297275" w:rsidRPr="008762B1">
        <w:t>e,</w:t>
      </w:r>
      <w:r w:rsidR="0065744C" w:rsidRPr="008762B1">
        <w:t xml:space="preserve"> are worked out using the formula (</w:t>
      </w:r>
      <w:r w:rsidR="00FE4577" w:rsidRPr="008762B1">
        <w:rPr>
          <w:b/>
          <w:i/>
        </w:rPr>
        <w:t>equation 2</w:t>
      </w:r>
      <w:r w:rsidR="0065744C" w:rsidRPr="008762B1">
        <w:t>):</w:t>
      </w:r>
    </w:p>
    <w:bookmarkStart w:id="32" w:name="BKCheck15B_5"/>
    <w:bookmarkEnd w:id="32"/>
    <w:p w:rsidR="006E5F34" w:rsidRPr="008762B1" w:rsidRDefault="006E5F34" w:rsidP="00597A87">
      <w:pPr>
        <w:pStyle w:val="subsection2"/>
      </w:pPr>
      <w:r w:rsidRPr="008762B1">
        <w:object w:dxaOrig="1460" w:dyaOrig="780">
          <v:shape id="_x0000_i1026" type="#_x0000_t75" style="width:73.75pt;height:39.15pt" o:ole="">
            <v:imagedata r:id="rId23" o:title=""/>
          </v:shape>
          <o:OLEObject Type="Embed" ProgID="Equation.DSMT4" ShapeID="_x0000_i1026" DrawAspect="Content" ObjectID="_1483176400" r:id="rId24"/>
        </w:object>
      </w:r>
    </w:p>
    <w:p w:rsidR="0065744C" w:rsidRPr="008762B1" w:rsidRDefault="0065744C" w:rsidP="0065744C">
      <w:pPr>
        <w:pStyle w:val="subsection2"/>
      </w:pPr>
      <w:r w:rsidRPr="008762B1">
        <w:t>where:</w:t>
      </w:r>
    </w:p>
    <w:p w:rsidR="0065744C" w:rsidRPr="008762B1" w:rsidRDefault="0065744C" w:rsidP="0065744C">
      <w:pPr>
        <w:pStyle w:val="Definition"/>
      </w:pPr>
      <w:r w:rsidRPr="008762B1">
        <w:rPr>
          <w:b/>
          <w:i/>
        </w:rPr>
        <w:t>A</w:t>
      </w:r>
      <w:r w:rsidRPr="008762B1">
        <w:rPr>
          <w:b/>
          <w:i/>
          <w:vertAlign w:val="subscript"/>
        </w:rPr>
        <w:t>Y</w:t>
      </w:r>
      <w:r w:rsidRPr="008762B1">
        <w:t xml:space="preserve"> means activity abatement portion A</w:t>
      </w:r>
      <w:r w:rsidRPr="008762B1">
        <w:rPr>
          <w:vertAlign w:val="subscript"/>
        </w:rPr>
        <w:t>0</w:t>
      </w:r>
      <w:r w:rsidRPr="008762B1">
        <w:t>,</w:t>
      </w:r>
      <w:r w:rsidRPr="008762B1">
        <w:rPr>
          <w:vertAlign w:val="subscript"/>
        </w:rPr>
        <w:t xml:space="preserve"> </w:t>
      </w:r>
      <w:r w:rsidRPr="008762B1">
        <w:t>A</w:t>
      </w:r>
      <w:r w:rsidRPr="008762B1">
        <w:rPr>
          <w:vertAlign w:val="subscript"/>
        </w:rPr>
        <w:t>1</w:t>
      </w:r>
      <w:r w:rsidRPr="008762B1">
        <w:t>,</w:t>
      </w:r>
      <w:r w:rsidRPr="008762B1">
        <w:rPr>
          <w:vertAlign w:val="subscript"/>
        </w:rPr>
        <w:t xml:space="preserve"> </w:t>
      </w:r>
      <w:r w:rsidRPr="008762B1">
        <w:t>A</w:t>
      </w:r>
      <w:r w:rsidRPr="008762B1">
        <w:rPr>
          <w:vertAlign w:val="subscript"/>
        </w:rPr>
        <w:t>2</w:t>
      </w:r>
      <w:r w:rsidRPr="008762B1">
        <w:t>, A</w:t>
      </w:r>
      <w:r w:rsidRPr="008762B1">
        <w:rPr>
          <w:vertAlign w:val="subscript"/>
        </w:rPr>
        <w:t>3</w:t>
      </w:r>
      <w:r w:rsidRPr="008762B1">
        <w:t>, A</w:t>
      </w:r>
      <w:r w:rsidRPr="008762B1">
        <w:rPr>
          <w:vertAlign w:val="subscript"/>
        </w:rPr>
        <w:t>4</w:t>
      </w:r>
      <w:r w:rsidRPr="008762B1">
        <w:t>, A</w:t>
      </w:r>
      <w:r w:rsidRPr="008762B1">
        <w:rPr>
          <w:vertAlign w:val="subscript"/>
        </w:rPr>
        <w:t>5</w:t>
      </w:r>
      <w:r w:rsidR="00D0211F" w:rsidRPr="008762B1">
        <w:t xml:space="preserve"> or</w:t>
      </w:r>
      <w:r w:rsidRPr="008762B1">
        <w:t xml:space="preserve"> A</w:t>
      </w:r>
      <w:r w:rsidRPr="008762B1">
        <w:rPr>
          <w:vertAlign w:val="subscript"/>
        </w:rPr>
        <w:t>6</w:t>
      </w:r>
      <w:r w:rsidR="00297275" w:rsidRPr="008762B1">
        <w:t>, in tonnes CO</w:t>
      </w:r>
      <w:r w:rsidR="00297275" w:rsidRPr="008762B1">
        <w:rPr>
          <w:vertAlign w:val="subscript"/>
        </w:rPr>
        <w:t>2</w:t>
      </w:r>
      <w:r w:rsidR="008762B1">
        <w:noBreakHyphen/>
      </w:r>
      <w:r w:rsidR="00297275" w:rsidRPr="008762B1">
        <w:t>e.</w:t>
      </w:r>
    </w:p>
    <w:p w:rsidR="0065744C" w:rsidRPr="008762B1" w:rsidRDefault="0065744C" w:rsidP="0065744C">
      <w:pPr>
        <w:pStyle w:val="Definition"/>
        <w:rPr>
          <w:sz w:val="20"/>
        </w:rPr>
      </w:pPr>
      <w:proofErr w:type="spellStart"/>
      <w:r w:rsidRPr="008762B1">
        <w:rPr>
          <w:b/>
          <w:i/>
        </w:rPr>
        <w:t>E</w:t>
      </w:r>
      <w:r w:rsidRPr="008762B1">
        <w:rPr>
          <w:b/>
          <w:i/>
          <w:vertAlign w:val="subscript"/>
        </w:rPr>
        <w:t>B</w:t>
      </w:r>
      <w:proofErr w:type="spellEnd"/>
      <w:r w:rsidRPr="008762B1">
        <w:t xml:space="preserve"> means </w:t>
      </w:r>
      <w:r w:rsidR="001566E0" w:rsidRPr="008762B1">
        <w:t xml:space="preserve">the </w:t>
      </w:r>
      <w:r w:rsidRPr="008762B1">
        <w:rPr>
          <w:szCs w:val="22"/>
        </w:rPr>
        <w:t xml:space="preserve">baseline emissions, </w:t>
      </w:r>
      <w:r w:rsidR="001C55CE" w:rsidRPr="008762B1">
        <w:t xml:space="preserve">in tonnes </w:t>
      </w:r>
      <w:r w:rsidRPr="008762B1">
        <w:t>CO</w:t>
      </w:r>
      <w:r w:rsidRPr="008762B1">
        <w:rPr>
          <w:vertAlign w:val="subscript"/>
        </w:rPr>
        <w:t>2</w:t>
      </w:r>
      <w:r w:rsidR="008762B1">
        <w:noBreakHyphen/>
      </w:r>
      <w:r w:rsidRPr="008762B1">
        <w:t>e,</w:t>
      </w:r>
      <w:r w:rsidR="00FE4577" w:rsidRPr="008762B1">
        <w:rPr>
          <w:szCs w:val="22"/>
        </w:rPr>
        <w:t xml:space="preserve"> worked out using equation 3</w:t>
      </w:r>
      <w:r w:rsidRPr="008762B1">
        <w:rPr>
          <w:szCs w:val="22"/>
        </w:rPr>
        <w:t>.</w:t>
      </w:r>
    </w:p>
    <w:p w:rsidR="0065744C" w:rsidRPr="008762B1" w:rsidRDefault="0065744C" w:rsidP="0065744C">
      <w:pPr>
        <w:pStyle w:val="Definition"/>
        <w:rPr>
          <w:szCs w:val="22"/>
        </w:rPr>
      </w:pPr>
      <w:r w:rsidRPr="008762B1">
        <w:rPr>
          <w:b/>
          <w:i/>
        </w:rPr>
        <w:t>E</w:t>
      </w:r>
      <w:r w:rsidRPr="008762B1">
        <w:rPr>
          <w:b/>
          <w:i/>
          <w:vertAlign w:val="subscript"/>
        </w:rPr>
        <w:t>P</w:t>
      </w:r>
      <w:r w:rsidRPr="008762B1">
        <w:t xml:space="preserve"> </w:t>
      </w:r>
      <w:r w:rsidRPr="008762B1">
        <w:rPr>
          <w:szCs w:val="22"/>
        </w:rPr>
        <w:t xml:space="preserve">means </w:t>
      </w:r>
      <w:r w:rsidR="001566E0" w:rsidRPr="008762B1">
        <w:rPr>
          <w:szCs w:val="22"/>
        </w:rPr>
        <w:t xml:space="preserve">the </w:t>
      </w:r>
      <w:r w:rsidRPr="008762B1">
        <w:rPr>
          <w:szCs w:val="22"/>
        </w:rPr>
        <w:t xml:space="preserve">project emissions, </w:t>
      </w:r>
      <w:r w:rsidR="001C55CE" w:rsidRPr="008762B1">
        <w:t xml:space="preserve">in tonnes </w:t>
      </w:r>
      <w:r w:rsidRPr="008762B1">
        <w:t>CO</w:t>
      </w:r>
      <w:r w:rsidRPr="008762B1">
        <w:rPr>
          <w:vertAlign w:val="subscript"/>
        </w:rPr>
        <w:t>2</w:t>
      </w:r>
      <w:r w:rsidR="008762B1">
        <w:noBreakHyphen/>
      </w:r>
      <w:r w:rsidRPr="008762B1">
        <w:t>e,</w:t>
      </w:r>
      <w:r w:rsidR="00D03BF3" w:rsidRPr="008762B1">
        <w:rPr>
          <w:szCs w:val="22"/>
        </w:rPr>
        <w:t xml:space="preserve"> worked out using equation 9</w:t>
      </w:r>
      <w:r w:rsidRPr="008762B1">
        <w:rPr>
          <w:szCs w:val="22"/>
        </w:rPr>
        <w:t>.</w:t>
      </w:r>
    </w:p>
    <w:p w:rsidR="003E5D35" w:rsidRPr="008762B1" w:rsidRDefault="003E5D35" w:rsidP="003E5D35">
      <w:pPr>
        <w:pStyle w:val="notetext"/>
        <w:rPr>
          <w:vertAlign w:val="subscript"/>
        </w:rPr>
      </w:pPr>
      <w:r w:rsidRPr="008762B1">
        <w:t>Note:</w:t>
      </w:r>
      <w:r w:rsidRPr="008762B1">
        <w:tab/>
        <w:t>The result of subtracting E</w:t>
      </w:r>
      <w:r w:rsidR="006E5F34" w:rsidRPr="008762B1">
        <w:rPr>
          <w:vertAlign w:val="subscript"/>
        </w:rPr>
        <w:t>P</w:t>
      </w:r>
      <w:r w:rsidRPr="008762B1">
        <w:t xml:space="preserve"> from </w:t>
      </w:r>
      <w:proofErr w:type="spellStart"/>
      <w:r w:rsidRPr="008762B1">
        <w:t>E</w:t>
      </w:r>
      <w:r w:rsidRPr="008762B1">
        <w:rPr>
          <w:vertAlign w:val="subscript"/>
        </w:rPr>
        <w:t>B</w:t>
      </w:r>
      <w:proofErr w:type="spellEnd"/>
      <w:r w:rsidRPr="008762B1">
        <w:t xml:space="preserve"> is divided by 7 because this is the length of the crediting period for emissions </w:t>
      </w:r>
      <w:r w:rsidR="00E73346" w:rsidRPr="008762B1">
        <w:t>avoidance projects (see section</w:t>
      </w:r>
      <w:r w:rsidR="008762B1" w:rsidRPr="008762B1">
        <w:t> </w:t>
      </w:r>
      <w:r w:rsidRPr="008762B1">
        <w:t>69 of the Act).</w:t>
      </w:r>
    </w:p>
    <w:p w:rsidR="00D0211F" w:rsidRPr="008762B1" w:rsidRDefault="0065744C" w:rsidP="00D0211F">
      <w:pPr>
        <w:pStyle w:val="subsection"/>
      </w:pPr>
      <w:r w:rsidRPr="008762B1">
        <w:tab/>
        <w:t>(2)</w:t>
      </w:r>
      <w:r w:rsidRPr="008762B1">
        <w:tab/>
      </w:r>
      <w:r w:rsidR="00D0211F" w:rsidRPr="008762B1">
        <w:t>The activity abatement portions for the report</w:t>
      </w:r>
      <w:r w:rsidR="00936BD1" w:rsidRPr="008762B1">
        <w:t>ing</w:t>
      </w:r>
      <w:r w:rsidR="00CF46C0" w:rsidRPr="008762B1">
        <w:t xml:space="preserve"> period are taken to be zero if</w:t>
      </w:r>
      <w:r w:rsidR="00936BD1" w:rsidRPr="008762B1">
        <w:t>:</w:t>
      </w:r>
    </w:p>
    <w:p w:rsidR="0065744C" w:rsidRPr="008762B1" w:rsidRDefault="00DE5EB0" w:rsidP="0065744C">
      <w:pPr>
        <w:pStyle w:val="paragraph"/>
      </w:pPr>
      <w:r w:rsidRPr="008762B1">
        <w:tab/>
        <w:t>(a)</w:t>
      </w:r>
      <w:r w:rsidRPr="008762B1">
        <w:tab/>
        <w:t>the quantity</w:t>
      </w:r>
      <w:r w:rsidR="0065744C" w:rsidRPr="008762B1">
        <w:t xml:space="preserve"> of putrescible eligible waste that is processed during the reporting period is</w:t>
      </w:r>
      <w:r w:rsidR="00D0211F" w:rsidRPr="008762B1">
        <w:t>, or is taken to be,</w:t>
      </w:r>
      <w:r w:rsidR="00936BD1" w:rsidRPr="008762B1">
        <w:t xml:space="preserve"> zero;</w:t>
      </w:r>
      <w:r w:rsidR="00CF46C0" w:rsidRPr="008762B1">
        <w:t xml:space="preserve"> or</w:t>
      </w:r>
    </w:p>
    <w:p w:rsidR="0065744C" w:rsidRPr="008762B1" w:rsidRDefault="00CF46C0" w:rsidP="00936BD1">
      <w:pPr>
        <w:pStyle w:val="paragraph"/>
      </w:pPr>
      <w:r w:rsidRPr="008762B1">
        <w:tab/>
        <w:t>(b</w:t>
      </w:r>
      <w:r w:rsidR="0065744C" w:rsidRPr="008762B1">
        <w:t>)</w:t>
      </w:r>
      <w:r w:rsidR="0065744C" w:rsidRPr="008762B1">
        <w:tab/>
        <w:t xml:space="preserve">the reporting period </w:t>
      </w:r>
      <w:r w:rsidR="00DE5EB0" w:rsidRPr="008762B1">
        <w:t>is not included in a crediting period</w:t>
      </w:r>
      <w:r w:rsidR="00936BD1" w:rsidRPr="008762B1">
        <w:t xml:space="preserve"> for the project.</w:t>
      </w:r>
    </w:p>
    <w:p w:rsidR="0065744C" w:rsidRPr="008762B1" w:rsidRDefault="00CF46C0" w:rsidP="0065744C">
      <w:pPr>
        <w:pStyle w:val="notetext"/>
      </w:pPr>
      <w:r w:rsidRPr="008762B1">
        <w:t>Note</w:t>
      </w:r>
      <w:r w:rsidR="00D0211F" w:rsidRPr="008762B1">
        <w:t>:</w:t>
      </w:r>
      <w:r w:rsidR="00DE5EB0" w:rsidRPr="008762B1">
        <w:tab/>
        <w:t>The quantity</w:t>
      </w:r>
      <w:r w:rsidR="0065744C" w:rsidRPr="008762B1">
        <w:t xml:space="preserve"> of putrescible eligible waste that is processed during a reporting perio</w:t>
      </w:r>
      <w:r w:rsidR="00FE4577" w:rsidRPr="008762B1">
        <w:t>d is worked out using equation 6</w:t>
      </w:r>
      <w:r w:rsidR="0065744C" w:rsidRPr="008762B1">
        <w:t>.</w:t>
      </w:r>
    </w:p>
    <w:p w:rsidR="008E44F8" w:rsidRPr="008762B1" w:rsidRDefault="008E44F8" w:rsidP="008E44F8">
      <w:pPr>
        <w:pStyle w:val="SubsectionHead"/>
      </w:pPr>
      <w:r w:rsidRPr="008762B1">
        <w:t>Accrual of activity abatement portions</w:t>
      </w:r>
    </w:p>
    <w:p w:rsidR="0065744C" w:rsidRPr="008762B1" w:rsidRDefault="00975FEB" w:rsidP="00507E1D">
      <w:pPr>
        <w:pStyle w:val="subsection"/>
      </w:pPr>
      <w:r w:rsidRPr="008762B1">
        <w:tab/>
        <w:t>(</w:t>
      </w:r>
      <w:r w:rsidR="006559AC" w:rsidRPr="008762B1">
        <w:t>3</w:t>
      </w:r>
      <w:r w:rsidR="0065744C" w:rsidRPr="008762B1">
        <w:t>)</w:t>
      </w:r>
      <w:r w:rsidR="0065744C" w:rsidRPr="008762B1">
        <w:tab/>
        <w:t xml:space="preserve">The activity abatement portions for a reporting </w:t>
      </w:r>
      <w:r w:rsidR="000600F4" w:rsidRPr="008762B1">
        <w:t>period</w:t>
      </w:r>
      <w:r w:rsidR="0065744C" w:rsidRPr="008762B1">
        <w:t xml:space="preserve"> accrue as follows:</w:t>
      </w:r>
    </w:p>
    <w:p w:rsidR="0065744C" w:rsidRPr="008762B1" w:rsidRDefault="0065744C" w:rsidP="0065744C">
      <w:pPr>
        <w:pStyle w:val="paragraph"/>
      </w:pPr>
      <w:r w:rsidRPr="008762B1">
        <w:tab/>
        <w:t>(a)</w:t>
      </w:r>
      <w:r w:rsidRPr="008762B1">
        <w:tab/>
        <w:t>A</w:t>
      </w:r>
      <w:r w:rsidRPr="008762B1">
        <w:rPr>
          <w:vertAlign w:val="subscript"/>
        </w:rPr>
        <w:t>1</w:t>
      </w:r>
      <w:r w:rsidRPr="008762B1">
        <w:t xml:space="preserve"> accrues 1 year after the end of the reporting period;</w:t>
      </w:r>
    </w:p>
    <w:p w:rsidR="0065744C" w:rsidRPr="008762B1" w:rsidRDefault="0065744C" w:rsidP="0065744C">
      <w:pPr>
        <w:pStyle w:val="paragraph"/>
      </w:pPr>
      <w:r w:rsidRPr="008762B1">
        <w:tab/>
        <w:t>(b)</w:t>
      </w:r>
      <w:r w:rsidRPr="008762B1">
        <w:tab/>
        <w:t>A</w:t>
      </w:r>
      <w:r w:rsidRPr="008762B1">
        <w:rPr>
          <w:vertAlign w:val="subscript"/>
        </w:rPr>
        <w:t>2</w:t>
      </w:r>
      <w:r w:rsidRPr="008762B1">
        <w:t xml:space="preserve"> accrues 2 years after the end of the reporting period;</w:t>
      </w:r>
    </w:p>
    <w:p w:rsidR="0065744C" w:rsidRPr="008762B1" w:rsidRDefault="0065744C" w:rsidP="0065744C">
      <w:pPr>
        <w:pStyle w:val="paragraph"/>
      </w:pPr>
      <w:r w:rsidRPr="008762B1">
        <w:tab/>
        <w:t>(c)</w:t>
      </w:r>
      <w:r w:rsidRPr="008762B1">
        <w:tab/>
        <w:t>A</w:t>
      </w:r>
      <w:r w:rsidRPr="008762B1">
        <w:rPr>
          <w:vertAlign w:val="subscript"/>
        </w:rPr>
        <w:t>3</w:t>
      </w:r>
      <w:r w:rsidRPr="008762B1">
        <w:t xml:space="preserve"> accrues 3 years after the end of the reporting period;</w:t>
      </w:r>
    </w:p>
    <w:p w:rsidR="0065744C" w:rsidRPr="008762B1" w:rsidRDefault="0065744C" w:rsidP="0065744C">
      <w:pPr>
        <w:pStyle w:val="paragraph"/>
      </w:pPr>
      <w:r w:rsidRPr="008762B1">
        <w:tab/>
        <w:t>(d)</w:t>
      </w:r>
      <w:r w:rsidRPr="008762B1">
        <w:tab/>
        <w:t>A</w:t>
      </w:r>
      <w:r w:rsidRPr="008762B1">
        <w:rPr>
          <w:vertAlign w:val="subscript"/>
        </w:rPr>
        <w:t>4</w:t>
      </w:r>
      <w:r w:rsidRPr="008762B1">
        <w:t xml:space="preserve"> accrues 4 years after the end of the reporting period;</w:t>
      </w:r>
    </w:p>
    <w:p w:rsidR="0065744C" w:rsidRPr="008762B1" w:rsidRDefault="0065744C" w:rsidP="0065744C">
      <w:pPr>
        <w:pStyle w:val="paragraph"/>
      </w:pPr>
      <w:r w:rsidRPr="008762B1">
        <w:tab/>
        <w:t>(e)</w:t>
      </w:r>
      <w:r w:rsidRPr="008762B1">
        <w:tab/>
        <w:t>A</w:t>
      </w:r>
      <w:r w:rsidRPr="008762B1">
        <w:rPr>
          <w:vertAlign w:val="subscript"/>
        </w:rPr>
        <w:t>5</w:t>
      </w:r>
      <w:r w:rsidRPr="008762B1">
        <w:t xml:space="preserve"> accrues 5 years after the end of the reporting period;</w:t>
      </w:r>
    </w:p>
    <w:p w:rsidR="0065744C" w:rsidRPr="008762B1" w:rsidRDefault="0065744C" w:rsidP="0065744C">
      <w:pPr>
        <w:pStyle w:val="paragraph"/>
      </w:pPr>
      <w:r w:rsidRPr="008762B1">
        <w:lastRenderedPageBreak/>
        <w:tab/>
        <w:t>(f)</w:t>
      </w:r>
      <w:r w:rsidRPr="008762B1">
        <w:tab/>
        <w:t>A</w:t>
      </w:r>
      <w:r w:rsidRPr="008762B1">
        <w:rPr>
          <w:vertAlign w:val="subscript"/>
        </w:rPr>
        <w:t>6</w:t>
      </w:r>
      <w:r w:rsidRPr="008762B1">
        <w:t xml:space="preserve"> accrues 6 years after the end of the reporting period.</w:t>
      </w:r>
    </w:p>
    <w:p w:rsidR="00311487" w:rsidRPr="008762B1" w:rsidRDefault="004E7255" w:rsidP="00311487">
      <w:pPr>
        <w:pStyle w:val="ActHead5"/>
      </w:pPr>
      <w:bookmarkStart w:id="33" w:name="_Toc407103331"/>
      <w:r w:rsidRPr="008762B1">
        <w:rPr>
          <w:rStyle w:val="CharSectno"/>
        </w:rPr>
        <w:t>20</w:t>
      </w:r>
      <w:r w:rsidR="00311487" w:rsidRPr="008762B1">
        <w:t xml:space="preserve">  Activity abatement portions for certain transitioning projects</w:t>
      </w:r>
      <w:bookmarkEnd w:id="33"/>
    </w:p>
    <w:p w:rsidR="00311487" w:rsidRPr="008762B1" w:rsidRDefault="00311487" w:rsidP="00311487">
      <w:pPr>
        <w:pStyle w:val="subsection"/>
      </w:pPr>
      <w:r w:rsidRPr="008762B1">
        <w:tab/>
      </w:r>
      <w:r w:rsidRPr="008762B1">
        <w:tab/>
        <w:t xml:space="preserve">If the </w:t>
      </w:r>
      <w:proofErr w:type="spellStart"/>
      <w:r w:rsidRPr="008762B1">
        <w:t>ERF</w:t>
      </w:r>
      <w:proofErr w:type="spellEnd"/>
      <w:r w:rsidRPr="008762B1">
        <w:t xml:space="preserve"> commencement day falls within the first reporting period for a transitioning project, the activity abatement portions for the reporting period are to be worked out as if the reporting period started on the </w:t>
      </w:r>
      <w:proofErr w:type="spellStart"/>
      <w:r w:rsidRPr="008762B1">
        <w:t>ERF</w:t>
      </w:r>
      <w:proofErr w:type="spellEnd"/>
      <w:r w:rsidRPr="008762B1">
        <w:t xml:space="preserve"> commencement day.</w:t>
      </w:r>
    </w:p>
    <w:p w:rsidR="00311487" w:rsidRPr="008762B1" w:rsidRDefault="00311487" w:rsidP="00311487">
      <w:pPr>
        <w:pStyle w:val="notetext"/>
      </w:pPr>
      <w:r w:rsidRPr="008762B1">
        <w:t>Note:</w:t>
      </w:r>
      <w:r w:rsidRPr="008762B1">
        <w:tab/>
        <w:t xml:space="preserve">Waste that is processed by a transitioning project before the </w:t>
      </w:r>
      <w:proofErr w:type="spellStart"/>
      <w:r w:rsidRPr="008762B1">
        <w:t>ERF</w:t>
      </w:r>
      <w:proofErr w:type="spellEnd"/>
      <w:r w:rsidRPr="008762B1">
        <w:t xml:space="preserve"> commencement day is not eligible waste (see the definition of </w:t>
      </w:r>
      <w:r w:rsidRPr="008762B1">
        <w:rPr>
          <w:b/>
          <w:i/>
        </w:rPr>
        <w:t>eligible waste</w:t>
      </w:r>
      <w:r w:rsidRPr="008762B1">
        <w:t xml:space="preserve"> in section</w:t>
      </w:r>
      <w:r w:rsidR="008762B1" w:rsidRPr="008762B1">
        <w:t> </w:t>
      </w:r>
      <w:r w:rsidR="004E7255" w:rsidRPr="008762B1">
        <w:t>5</w:t>
      </w:r>
      <w:r w:rsidRPr="008762B1">
        <w:t>).</w:t>
      </w:r>
    </w:p>
    <w:p w:rsidR="009B31B1" w:rsidRPr="008762B1" w:rsidRDefault="0065744C" w:rsidP="0065744C">
      <w:pPr>
        <w:pStyle w:val="ActHead4"/>
      </w:pPr>
      <w:bookmarkStart w:id="34" w:name="_Toc407103332"/>
      <w:r w:rsidRPr="008762B1">
        <w:rPr>
          <w:rStyle w:val="CharSubdNo"/>
        </w:rPr>
        <w:t>Subdivision B</w:t>
      </w:r>
      <w:r w:rsidR="00230DE2" w:rsidRPr="008762B1">
        <w:t>—</w:t>
      </w:r>
      <w:r w:rsidR="009B31B1" w:rsidRPr="008762B1">
        <w:rPr>
          <w:rStyle w:val="CharSubdText"/>
        </w:rPr>
        <w:t>Ca</w:t>
      </w:r>
      <w:r w:rsidR="009D7263" w:rsidRPr="008762B1">
        <w:rPr>
          <w:rStyle w:val="CharSubdText"/>
        </w:rPr>
        <w:t>lculations relating to baseline</w:t>
      </w:r>
      <w:r w:rsidR="009B31B1" w:rsidRPr="008762B1">
        <w:rPr>
          <w:rStyle w:val="CharSubdText"/>
        </w:rPr>
        <w:t xml:space="preserve"> emissions</w:t>
      </w:r>
      <w:bookmarkEnd w:id="34"/>
    </w:p>
    <w:p w:rsidR="00297275" w:rsidRPr="008762B1" w:rsidRDefault="004E7255" w:rsidP="00297275">
      <w:pPr>
        <w:pStyle w:val="ActHead5"/>
      </w:pPr>
      <w:bookmarkStart w:id="35" w:name="_Toc407103333"/>
      <w:r w:rsidRPr="008762B1">
        <w:rPr>
          <w:rStyle w:val="CharSectno"/>
        </w:rPr>
        <w:t>21</w:t>
      </w:r>
      <w:r w:rsidR="00297275" w:rsidRPr="008762B1">
        <w:t xml:space="preserve">  Summary</w:t>
      </w:r>
      <w:bookmarkEnd w:id="35"/>
    </w:p>
    <w:p w:rsidR="00297275" w:rsidRPr="008762B1" w:rsidRDefault="00297275" w:rsidP="00B249ED">
      <w:pPr>
        <w:pStyle w:val="SOText"/>
      </w:pPr>
      <w:r w:rsidRPr="008762B1">
        <w:t xml:space="preserve">The baseline emissions </w:t>
      </w:r>
      <w:r w:rsidR="00C91DE7" w:rsidRPr="008762B1">
        <w:t xml:space="preserve">for a reporting period </w:t>
      </w:r>
      <w:r w:rsidRPr="008762B1">
        <w:t>are the</w:t>
      </w:r>
      <w:r w:rsidR="001264B8" w:rsidRPr="008762B1">
        <w:t xml:space="preserve"> emissions that would have resulted if the eligible waste processed during </w:t>
      </w:r>
      <w:r w:rsidR="00C91DE7" w:rsidRPr="008762B1">
        <w:t>the</w:t>
      </w:r>
      <w:r w:rsidR="001264B8" w:rsidRPr="008762B1">
        <w:t xml:space="preserve"> reporting period had entered landfill instead.</w:t>
      </w:r>
    </w:p>
    <w:p w:rsidR="00F92519" w:rsidRPr="008762B1" w:rsidRDefault="004E7255" w:rsidP="00F92519">
      <w:pPr>
        <w:pStyle w:val="ActHead5"/>
      </w:pPr>
      <w:bookmarkStart w:id="36" w:name="_Toc407103334"/>
      <w:r w:rsidRPr="008762B1">
        <w:rPr>
          <w:rStyle w:val="CharSectno"/>
        </w:rPr>
        <w:t>22</w:t>
      </w:r>
      <w:r w:rsidR="00F92519" w:rsidRPr="008762B1">
        <w:t xml:space="preserve">  Baseline emissions</w:t>
      </w:r>
      <w:bookmarkEnd w:id="36"/>
    </w:p>
    <w:p w:rsidR="007F69FB" w:rsidRPr="008762B1" w:rsidRDefault="00F92519" w:rsidP="00F92519">
      <w:pPr>
        <w:pStyle w:val="subsection"/>
      </w:pPr>
      <w:r w:rsidRPr="008762B1">
        <w:tab/>
        <w:t>(1)</w:t>
      </w:r>
      <w:r w:rsidRPr="008762B1">
        <w:tab/>
      </w:r>
      <w:r w:rsidR="007F69FB" w:rsidRPr="008762B1">
        <w:t>The baseline emissions</w:t>
      </w:r>
      <w:r w:rsidR="00297275" w:rsidRPr="008762B1">
        <w:t xml:space="preserve"> </w:t>
      </w:r>
      <w:r w:rsidR="00BD2C68" w:rsidRPr="008762B1">
        <w:t>for</w:t>
      </w:r>
      <w:r w:rsidRPr="008762B1">
        <w:t xml:space="preserve"> a reporting period</w:t>
      </w:r>
      <w:r w:rsidR="00297275" w:rsidRPr="008762B1">
        <w:t>, in tonnes CO</w:t>
      </w:r>
      <w:r w:rsidR="00297275" w:rsidRPr="008762B1">
        <w:rPr>
          <w:vertAlign w:val="subscript"/>
        </w:rPr>
        <w:t>2</w:t>
      </w:r>
      <w:r w:rsidR="008762B1">
        <w:noBreakHyphen/>
      </w:r>
      <w:r w:rsidR="00297275" w:rsidRPr="008762B1">
        <w:t>e,</w:t>
      </w:r>
      <w:r w:rsidR="007F69FB" w:rsidRPr="008762B1">
        <w:t xml:space="preserve"> </w:t>
      </w:r>
      <w:r w:rsidR="009A6880" w:rsidRPr="008762B1">
        <w:t>are</w:t>
      </w:r>
      <w:r w:rsidR="007F69FB" w:rsidRPr="008762B1">
        <w:t xml:space="preserve"> worked out using the formula (</w:t>
      </w:r>
      <w:r w:rsidR="00FE4577" w:rsidRPr="008762B1">
        <w:rPr>
          <w:b/>
          <w:i/>
        </w:rPr>
        <w:t>equation 3</w:t>
      </w:r>
      <w:r w:rsidR="007F69FB" w:rsidRPr="008762B1">
        <w:t>):</w:t>
      </w:r>
    </w:p>
    <w:bookmarkStart w:id="37" w:name="BKCheck15B_6"/>
    <w:bookmarkEnd w:id="37"/>
    <w:p w:rsidR="004260EE" w:rsidRPr="008762B1" w:rsidRDefault="006E5F34" w:rsidP="004260EE">
      <w:pPr>
        <w:pStyle w:val="subsection2"/>
      </w:pPr>
      <w:r w:rsidRPr="008762B1">
        <w:rPr>
          <w:position w:val="-24"/>
        </w:rPr>
        <w:object w:dxaOrig="4420" w:dyaOrig="580">
          <v:shape id="_x0000_i1027" type="#_x0000_t75" style="width:221.2pt;height:28.2pt" o:ole="">
            <v:imagedata r:id="rId25" o:title=""/>
          </v:shape>
          <o:OLEObject Type="Embed" ProgID="Equation.DSMT4" ShapeID="_x0000_i1027" DrawAspect="Content" ObjectID="_1483176401" r:id="rId26"/>
        </w:object>
      </w:r>
    </w:p>
    <w:p w:rsidR="004260EE" w:rsidRPr="008762B1" w:rsidRDefault="007F69FB" w:rsidP="004260EE">
      <w:pPr>
        <w:pStyle w:val="subsection2"/>
      </w:pPr>
      <w:r w:rsidRPr="008762B1">
        <w:t>w</w:t>
      </w:r>
      <w:r w:rsidR="004260EE" w:rsidRPr="008762B1">
        <w:t>here:</w:t>
      </w:r>
    </w:p>
    <w:p w:rsidR="004260EE" w:rsidRPr="008762B1" w:rsidRDefault="004260EE" w:rsidP="004260EE">
      <w:pPr>
        <w:pStyle w:val="Definition"/>
        <w:rPr>
          <w:szCs w:val="22"/>
        </w:rPr>
      </w:pPr>
      <w:proofErr w:type="spellStart"/>
      <w:r w:rsidRPr="008762B1">
        <w:rPr>
          <w:b/>
          <w:i/>
        </w:rPr>
        <w:t>E</w:t>
      </w:r>
      <w:r w:rsidRPr="008762B1">
        <w:rPr>
          <w:b/>
          <w:i/>
          <w:vertAlign w:val="subscript"/>
        </w:rPr>
        <w:t>B</w:t>
      </w:r>
      <w:proofErr w:type="spellEnd"/>
      <w:r w:rsidR="007F69FB" w:rsidRPr="008762B1">
        <w:t xml:space="preserve"> means</w:t>
      </w:r>
      <w:r w:rsidR="007F69FB" w:rsidRPr="008762B1">
        <w:rPr>
          <w:szCs w:val="22"/>
        </w:rPr>
        <w:t xml:space="preserve"> </w:t>
      </w:r>
      <w:r w:rsidR="001566E0" w:rsidRPr="008762B1">
        <w:rPr>
          <w:szCs w:val="22"/>
        </w:rPr>
        <w:t xml:space="preserve">the </w:t>
      </w:r>
      <w:r w:rsidR="001C55CE" w:rsidRPr="008762B1">
        <w:rPr>
          <w:szCs w:val="22"/>
        </w:rPr>
        <w:t>baseline emissions, in tonnes</w:t>
      </w:r>
      <w:r w:rsidRPr="008762B1">
        <w:rPr>
          <w:szCs w:val="22"/>
        </w:rPr>
        <w:t xml:space="preserve"> CO</w:t>
      </w:r>
      <w:r w:rsidRPr="008762B1">
        <w:rPr>
          <w:szCs w:val="22"/>
          <w:vertAlign w:val="subscript"/>
        </w:rPr>
        <w:t>2</w:t>
      </w:r>
      <w:r w:rsidR="008762B1">
        <w:rPr>
          <w:szCs w:val="22"/>
        </w:rPr>
        <w:noBreakHyphen/>
      </w:r>
      <w:r w:rsidR="009A6880" w:rsidRPr="008762B1">
        <w:rPr>
          <w:szCs w:val="22"/>
        </w:rPr>
        <w:t>e.</w:t>
      </w:r>
    </w:p>
    <w:p w:rsidR="00BA0923" w:rsidRPr="008762B1" w:rsidRDefault="00BA0923" w:rsidP="004260EE">
      <w:pPr>
        <w:pStyle w:val="Definition"/>
        <w:rPr>
          <w:rFonts w:eastAsiaTheme="minorHAnsi"/>
          <w:szCs w:val="22"/>
        </w:rPr>
      </w:pPr>
      <w:proofErr w:type="spellStart"/>
      <w:r w:rsidRPr="008762B1">
        <w:rPr>
          <w:b/>
          <w:i/>
        </w:rPr>
        <w:t>W</w:t>
      </w:r>
      <w:r w:rsidRPr="008762B1">
        <w:rPr>
          <w:b/>
          <w:i/>
          <w:vertAlign w:val="subscript"/>
        </w:rPr>
        <w:t>LFG</w:t>
      </w:r>
      <w:proofErr w:type="spellEnd"/>
      <w:r w:rsidRPr="008762B1">
        <w:t xml:space="preserve"> means </w:t>
      </w:r>
      <w:r w:rsidRPr="008762B1">
        <w:rPr>
          <w:szCs w:val="22"/>
        </w:rPr>
        <w:t xml:space="preserve">the </w:t>
      </w:r>
      <w:r w:rsidRPr="008762B1">
        <w:rPr>
          <w:rFonts w:eastAsiaTheme="minorHAnsi"/>
          <w:szCs w:val="22"/>
        </w:rPr>
        <w:t xml:space="preserve">average capture rate set out in the table in </w:t>
      </w:r>
      <w:r w:rsidR="008762B1" w:rsidRPr="008762B1">
        <w:rPr>
          <w:rFonts w:eastAsiaTheme="minorHAnsi"/>
          <w:szCs w:val="22"/>
        </w:rPr>
        <w:t>subsection (</w:t>
      </w:r>
      <w:r w:rsidRPr="008762B1">
        <w:rPr>
          <w:rFonts w:eastAsiaTheme="minorHAnsi"/>
          <w:szCs w:val="22"/>
        </w:rPr>
        <w:t>2) for methane emissions from landfill in the State or Territory in which the project is located.</w:t>
      </w:r>
    </w:p>
    <w:p w:rsidR="00BA0923" w:rsidRPr="008762B1" w:rsidRDefault="00BA0923" w:rsidP="004260EE">
      <w:pPr>
        <w:pStyle w:val="Definition"/>
        <w:rPr>
          <w:szCs w:val="22"/>
        </w:rPr>
      </w:pPr>
      <w:r w:rsidRPr="008762B1">
        <w:rPr>
          <w:b/>
          <w:i/>
        </w:rPr>
        <w:t>M</w:t>
      </w:r>
      <w:r w:rsidRPr="008762B1">
        <w:rPr>
          <w:b/>
          <w:i/>
          <w:vertAlign w:val="subscript"/>
        </w:rPr>
        <w:t>B</w:t>
      </w:r>
      <w:r w:rsidRPr="008762B1">
        <w:t xml:space="preserve"> means the </w:t>
      </w:r>
      <w:r w:rsidRPr="008762B1">
        <w:rPr>
          <w:szCs w:val="22"/>
        </w:rPr>
        <w:t>methane ge</w:t>
      </w:r>
      <w:r w:rsidR="001C55CE" w:rsidRPr="008762B1">
        <w:rPr>
          <w:szCs w:val="22"/>
        </w:rPr>
        <w:t>neration potential</w:t>
      </w:r>
      <w:r w:rsidRPr="008762B1">
        <w:rPr>
          <w:szCs w:val="22"/>
        </w:rPr>
        <w:t xml:space="preserve"> of the degradable organic carbon content in eligible waste processed </w:t>
      </w:r>
      <w:r w:rsidR="009A16AC" w:rsidRPr="008762B1">
        <w:rPr>
          <w:szCs w:val="22"/>
        </w:rPr>
        <w:t>during the reporting period</w:t>
      </w:r>
      <w:r w:rsidR="00A67136" w:rsidRPr="008762B1">
        <w:rPr>
          <w:szCs w:val="22"/>
        </w:rPr>
        <w:t>, in tonnes CH</w:t>
      </w:r>
      <w:r w:rsidR="00A67136" w:rsidRPr="008762B1">
        <w:rPr>
          <w:szCs w:val="22"/>
          <w:vertAlign w:val="subscript"/>
        </w:rPr>
        <w:t>4</w:t>
      </w:r>
      <w:r w:rsidR="00A67136" w:rsidRPr="008762B1">
        <w:rPr>
          <w:szCs w:val="22"/>
        </w:rPr>
        <w:t>,</w:t>
      </w:r>
      <w:r w:rsidR="00FE4577" w:rsidRPr="008762B1">
        <w:rPr>
          <w:szCs w:val="22"/>
        </w:rPr>
        <w:t xml:space="preserve"> worked out using equation 4</w:t>
      </w:r>
      <w:r w:rsidRPr="008762B1">
        <w:rPr>
          <w:szCs w:val="22"/>
        </w:rPr>
        <w:t>.</w:t>
      </w:r>
    </w:p>
    <w:p w:rsidR="00BA0923" w:rsidRPr="008762B1" w:rsidRDefault="00BA0923" w:rsidP="004260EE">
      <w:pPr>
        <w:pStyle w:val="Definition"/>
        <w:rPr>
          <w:szCs w:val="22"/>
        </w:rPr>
      </w:pPr>
      <w:proofErr w:type="spellStart"/>
      <w:r w:rsidRPr="008762B1">
        <w:rPr>
          <w:b/>
          <w:i/>
        </w:rPr>
        <w:t>OF</w:t>
      </w:r>
      <w:r w:rsidRPr="008762B1">
        <w:rPr>
          <w:b/>
          <w:i/>
          <w:vertAlign w:val="subscript"/>
        </w:rPr>
        <w:t>LF</w:t>
      </w:r>
      <w:proofErr w:type="spellEnd"/>
      <w:r w:rsidRPr="008762B1">
        <w:rPr>
          <w:b/>
          <w:i/>
          <w:vertAlign w:val="subscript"/>
        </w:rPr>
        <w:t xml:space="preserve"> </w:t>
      </w:r>
      <w:r w:rsidRPr="008762B1">
        <w:t xml:space="preserve">means the </w:t>
      </w:r>
      <w:r w:rsidRPr="008762B1">
        <w:rPr>
          <w:szCs w:val="22"/>
        </w:rPr>
        <w:t>oxidation factor for near surface methane in landfill mentioned in subsection</w:t>
      </w:r>
      <w:r w:rsidR="008762B1" w:rsidRPr="008762B1">
        <w:rPr>
          <w:szCs w:val="22"/>
        </w:rPr>
        <w:t> </w:t>
      </w:r>
      <w:r w:rsidRPr="008762B1">
        <w:rPr>
          <w:szCs w:val="22"/>
        </w:rPr>
        <w:t xml:space="preserve">5.4(1) of the </w:t>
      </w:r>
      <w:proofErr w:type="spellStart"/>
      <w:r w:rsidRPr="008762B1">
        <w:rPr>
          <w:szCs w:val="22"/>
        </w:rPr>
        <w:t>NGER</w:t>
      </w:r>
      <w:proofErr w:type="spellEnd"/>
      <w:r w:rsidRPr="008762B1">
        <w:rPr>
          <w:szCs w:val="22"/>
        </w:rPr>
        <w:t xml:space="preserve"> (Measurement) Determination.</w:t>
      </w:r>
    </w:p>
    <w:p w:rsidR="004260EE" w:rsidRPr="008762B1" w:rsidRDefault="004260EE" w:rsidP="004260EE">
      <w:pPr>
        <w:pStyle w:val="Definition"/>
      </w:pPr>
      <w:proofErr w:type="spellStart"/>
      <w:r w:rsidRPr="008762B1">
        <w:rPr>
          <w:b/>
          <w:i/>
        </w:rPr>
        <w:t>GWP</w:t>
      </w:r>
      <w:r w:rsidRPr="008762B1">
        <w:rPr>
          <w:b/>
          <w:i/>
          <w:vertAlign w:val="subscript"/>
        </w:rPr>
        <w:t>CH</w:t>
      </w:r>
      <w:proofErr w:type="spellEnd"/>
      <w:r w:rsidRPr="008762B1">
        <w:rPr>
          <w:b/>
          <w:i/>
          <w:position w:val="-6"/>
          <w:vertAlign w:val="subscript"/>
        </w:rPr>
        <w:t>4</w:t>
      </w:r>
      <w:r w:rsidR="00480131" w:rsidRPr="008762B1">
        <w:t xml:space="preserve"> means</w:t>
      </w:r>
      <w:r w:rsidR="00480131" w:rsidRPr="008762B1">
        <w:rPr>
          <w:szCs w:val="22"/>
        </w:rPr>
        <w:t xml:space="preserve"> the value specified as the Global Warming P</w:t>
      </w:r>
      <w:r w:rsidRPr="008762B1">
        <w:rPr>
          <w:szCs w:val="22"/>
        </w:rPr>
        <w:t xml:space="preserve">otential </w:t>
      </w:r>
      <w:r w:rsidR="00480131" w:rsidRPr="008762B1">
        <w:rPr>
          <w:szCs w:val="22"/>
        </w:rPr>
        <w:t>for methane in regulation</w:t>
      </w:r>
      <w:r w:rsidR="008762B1" w:rsidRPr="008762B1">
        <w:rPr>
          <w:szCs w:val="22"/>
        </w:rPr>
        <w:t> </w:t>
      </w:r>
      <w:r w:rsidR="00480131" w:rsidRPr="008762B1">
        <w:rPr>
          <w:szCs w:val="22"/>
        </w:rPr>
        <w:t xml:space="preserve">2.02 of the </w:t>
      </w:r>
      <w:proofErr w:type="spellStart"/>
      <w:r w:rsidR="00480131" w:rsidRPr="008762B1">
        <w:rPr>
          <w:szCs w:val="22"/>
        </w:rPr>
        <w:t>NGER</w:t>
      </w:r>
      <w:proofErr w:type="spellEnd"/>
      <w:r w:rsidR="00480131" w:rsidRPr="008762B1">
        <w:rPr>
          <w:szCs w:val="22"/>
        </w:rPr>
        <w:t xml:space="preserve"> Regulations.</w:t>
      </w:r>
    </w:p>
    <w:p w:rsidR="000676F9" w:rsidRPr="008762B1" w:rsidRDefault="000676F9" w:rsidP="000676F9">
      <w:pPr>
        <w:pStyle w:val="subsection"/>
        <w:rPr>
          <w:rFonts w:eastAsiaTheme="minorHAnsi"/>
          <w:szCs w:val="22"/>
        </w:rPr>
      </w:pPr>
      <w:r w:rsidRPr="008762B1">
        <w:rPr>
          <w:rFonts w:eastAsiaTheme="minorHAnsi"/>
        </w:rPr>
        <w:tab/>
        <w:t>(2)</w:t>
      </w:r>
      <w:r w:rsidRPr="008762B1">
        <w:rPr>
          <w:rFonts w:eastAsiaTheme="minorHAnsi"/>
        </w:rPr>
        <w:tab/>
        <w:t xml:space="preserve">The following table sets out </w:t>
      </w:r>
      <w:r w:rsidRPr="008762B1">
        <w:rPr>
          <w:szCs w:val="22"/>
        </w:rPr>
        <w:t xml:space="preserve">the </w:t>
      </w:r>
      <w:r w:rsidRPr="008762B1">
        <w:rPr>
          <w:rFonts w:eastAsiaTheme="minorHAnsi"/>
          <w:szCs w:val="22"/>
        </w:rPr>
        <w:t>average capture rate for methane emissions from landfill in each State and Territory.</w:t>
      </w:r>
    </w:p>
    <w:p w:rsidR="000676F9" w:rsidRPr="008762B1" w:rsidRDefault="000676F9" w:rsidP="000676F9">
      <w:pPr>
        <w:pStyle w:val="Tabletext"/>
        <w:rPr>
          <w:rFonts w:eastAsiaTheme="minorHAnsi"/>
        </w:rPr>
      </w:pPr>
    </w:p>
    <w:tbl>
      <w:tblPr>
        <w:tblW w:w="6804"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985"/>
        <w:gridCol w:w="2126"/>
        <w:gridCol w:w="1984"/>
      </w:tblGrid>
      <w:tr w:rsidR="000676F9" w:rsidRPr="008762B1" w:rsidTr="00B06C75">
        <w:trPr>
          <w:tblHeader/>
        </w:trPr>
        <w:tc>
          <w:tcPr>
            <w:tcW w:w="6804" w:type="dxa"/>
            <w:gridSpan w:val="4"/>
            <w:tcBorders>
              <w:top w:val="single" w:sz="12" w:space="0" w:color="auto"/>
              <w:bottom w:val="single" w:sz="6" w:space="0" w:color="auto"/>
            </w:tcBorders>
            <w:shd w:val="clear" w:color="auto" w:fill="auto"/>
          </w:tcPr>
          <w:p w:rsidR="000676F9" w:rsidRPr="008762B1" w:rsidRDefault="000676F9" w:rsidP="000676F9">
            <w:pPr>
              <w:pStyle w:val="TableHeading"/>
              <w:rPr>
                <w:rFonts w:eastAsiaTheme="minorHAnsi"/>
              </w:rPr>
            </w:pPr>
            <w:r w:rsidRPr="008762B1">
              <w:rPr>
                <w:rFonts w:eastAsiaTheme="minorHAnsi"/>
              </w:rPr>
              <w:lastRenderedPageBreak/>
              <w:t>Average capture rate for methane emissions from landfill</w:t>
            </w:r>
            <w:r w:rsidR="001264B8" w:rsidRPr="008762B1">
              <w:rPr>
                <w:rFonts w:eastAsiaTheme="minorHAnsi"/>
              </w:rPr>
              <w:t xml:space="preserve"> (</w:t>
            </w:r>
            <w:proofErr w:type="spellStart"/>
            <w:r w:rsidR="001264B8" w:rsidRPr="008762B1">
              <w:rPr>
                <w:i/>
              </w:rPr>
              <w:t>W</w:t>
            </w:r>
            <w:r w:rsidR="001264B8" w:rsidRPr="008762B1">
              <w:rPr>
                <w:i/>
                <w:vertAlign w:val="subscript"/>
              </w:rPr>
              <w:t>LFG</w:t>
            </w:r>
            <w:proofErr w:type="spellEnd"/>
            <w:r w:rsidR="001264B8" w:rsidRPr="008762B1">
              <w:t>)</w:t>
            </w:r>
          </w:p>
        </w:tc>
      </w:tr>
      <w:tr w:rsidR="000676F9" w:rsidRPr="008762B1" w:rsidTr="00B06C75">
        <w:trPr>
          <w:tblHeader/>
        </w:trPr>
        <w:tc>
          <w:tcPr>
            <w:tcW w:w="709" w:type="dxa"/>
            <w:tcBorders>
              <w:top w:val="single" w:sz="6" w:space="0" w:color="auto"/>
              <w:bottom w:val="single" w:sz="12" w:space="0" w:color="auto"/>
            </w:tcBorders>
            <w:shd w:val="clear" w:color="auto" w:fill="auto"/>
          </w:tcPr>
          <w:p w:rsidR="000676F9" w:rsidRPr="008762B1" w:rsidRDefault="000676F9" w:rsidP="000676F9">
            <w:pPr>
              <w:pStyle w:val="TableHeading"/>
              <w:rPr>
                <w:rFonts w:eastAsiaTheme="minorHAnsi"/>
              </w:rPr>
            </w:pPr>
            <w:r w:rsidRPr="008762B1">
              <w:rPr>
                <w:rFonts w:eastAsiaTheme="minorHAnsi"/>
              </w:rPr>
              <w:t>Item</w:t>
            </w:r>
          </w:p>
        </w:tc>
        <w:tc>
          <w:tcPr>
            <w:tcW w:w="1985" w:type="dxa"/>
            <w:tcBorders>
              <w:top w:val="single" w:sz="6" w:space="0" w:color="auto"/>
              <w:bottom w:val="single" w:sz="12" w:space="0" w:color="auto"/>
            </w:tcBorders>
            <w:shd w:val="clear" w:color="auto" w:fill="auto"/>
          </w:tcPr>
          <w:p w:rsidR="000676F9" w:rsidRPr="008762B1" w:rsidRDefault="000676F9" w:rsidP="000676F9">
            <w:pPr>
              <w:pStyle w:val="TableHeading"/>
              <w:rPr>
                <w:rFonts w:eastAsiaTheme="minorHAnsi"/>
              </w:rPr>
            </w:pPr>
            <w:r w:rsidRPr="008762B1">
              <w:rPr>
                <w:rFonts w:eastAsiaTheme="minorHAnsi"/>
              </w:rPr>
              <w:t>State or Territory</w:t>
            </w:r>
          </w:p>
        </w:tc>
        <w:tc>
          <w:tcPr>
            <w:tcW w:w="2126" w:type="dxa"/>
            <w:tcBorders>
              <w:top w:val="single" w:sz="6" w:space="0" w:color="auto"/>
              <w:bottom w:val="single" w:sz="12" w:space="0" w:color="auto"/>
            </w:tcBorders>
            <w:shd w:val="clear" w:color="auto" w:fill="auto"/>
          </w:tcPr>
          <w:p w:rsidR="000676F9" w:rsidRPr="008762B1" w:rsidRDefault="003423EC" w:rsidP="00FB6C46">
            <w:pPr>
              <w:pStyle w:val="TableHeading"/>
              <w:jc w:val="right"/>
              <w:rPr>
                <w:rFonts w:eastAsiaTheme="minorHAnsi"/>
              </w:rPr>
            </w:pPr>
            <w:r w:rsidRPr="008762B1">
              <w:rPr>
                <w:rFonts w:eastAsiaTheme="minorHAnsi"/>
              </w:rPr>
              <w:t xml:space="preserve">Rate for transitioning </w:t>
            </w:r>
            <w:r w:rsidR="000676F9" w:rsidRPr="008762B1">
              <w:rPr>
                <w:rFonts w:eastAsiaTheme="minorHAnsi"/>
              </w:rPr>
              <w:t>projects (%)</w:t>
            </w:r>
          </w:p>
        </w:tc>
        <w:tc>
          <w:tcPr>
            <w:tcW w:w="1984" w:type="dxa"/>
            <w:tcBorders>
              <w:top w:val="single" w:sz="6" w:space="0" w:color="auto"/>
              <w:bottom w:val="single" w:sz="12" w:space="0" w:color="auto"/>
            </w:tcBorders>
          </w:tcPr>
          <w:p w:rsidR="000676F9" w:rsidRPr="008762B1" w:rsidRDefault="000676F9" w:rsidP="00FB6C46">
            <w:pPr>
              <w:pStyle w:val="TableHeading"/>
              <w:jc w:val="right"/>
              <w:rPr>
                <w:rFonts w:eastAsiaTheme="minorHAnsi"/>
              </w:rPr>
            </w:pPr>
            <w:r w:rsidRPr="008762B1">
              <w:rPr>
                <w:rFonts w:eastAsiaTheme="minorHAnsi"/>
              </w:rPr>
              <w:t xml:space="preserve">Rate for other </w:t>
            </w:r>
            <w:proofErr w:type="spellStart"/>
            <w:r w:rsidR="00930FA1" w:rsidRPr="008762B1">
              <w:rPr>
                <w:rFonts w:eastAsiaTheme="minorHAnsi"/>
              </w:rPr>
              <w:t>AWT</w:t>
            </w:r>
            <w:proofErr w:type="spellEnd"/>
            <w:r w:rsidRPr="008762B1">
              <w:rPr>
                <w:rFonts w:eastAsiaTheme="minorHAnsi"/>
              </w:rPr>
              <w:t xml:space="preserve"> projects (%)</w:t>
            </w:r>
          </w:p>
        </w:tc>
      </w:tr>
      <w:tr w:rsidR="000676F9" w:rsidRPr="008762B1" w:rsidTr="00B06C75">
        <w:tc>
          <w:tcPr>
            <w:tcW w:w="709" w:type="dxa"/>
            <w:tcBorders>
              <w:top w:val="single" w:sz="12" w:space="0" w:color="auto"/>
            </w:tcBorders>
            <w:shd w:val="clear" w:color="auto" w:fill="auto"/>
          </w:tcPr>
          <w:p w:rsidR="000676F9" w:rsidRPr="008762B1" w:rsidRDefault="000676F9" w:rsidP="000676F9">
            <w:pPr>
              <w:pStyle w:val="Tabletext"/>
              <w:rPr>
                <w:rFonts w:eastAsiaTheme="minorHAnsi"/>
              </w:rPr>
            </w:pPr>
            <w:r w:rsidRPr="008762B1">
              <w:rPr>
                <w:rFonts w:eastAsiaTheme="minorHAnsi"/>
              </w:rPr>
              <w:t>1</w:t>
            </w:r>
          </w:p>
        </w:tc>
        <w:tc>
          <w:tcPr>
            <w:tcW w:w="1985" w:type="dxa"/>
            <w:tcBorders>
              <w:top w:val="single" w:sz="12" w:space="0" w:color="auto"/>
            </w:tcBorders>
            <w:shd w:val="clear" w:color="auto" w:fill="auto"/>
          </w:tcPr>
          <w:p w:rsidR="000676F9" w:rsidRPr="008762B1" w:rsidRDefault="000676F9" w:rsidP="000676F9">
            <w:pPr>
              <w:pStyle w:val="Tabletext"/>
              <w:rPr>
                <w:rFonts w:eastAsiaTheme="minorHAnsi"/>
              </w:rPr>
            </w:pPr>
            <w:r w:rsidRPr="008762B1">
              <w:rPr>
                <w:rFonts w:eastAsiaTheme="minorHAnsi"/>
              </w:rPr>
              <w:t>New South Wales</w:t>
            </w:r>
          </w:p>
        </w:tc>
        <w:tc>
          <w:tcPr>
            <w:tcW w:w="2126" w:type="dxa"/>
            <w:tcBorders>
              <w:top w:val="single" w:sz="12" w:space="0" w:color="auto"/>
            </w:tcBorders>
            <w:shd w:val="clear" w:color="auto" w:fill="auto"/>
          </w:tcPr>
          <w:p w:rsidR="000676F9" w:rsidRPr="008762B1" w:rsidRDefault="000676F9" w:rsidP="00AB278D">
            <w:pPr>
              <w:pStyle w:val="Tabletext"/>
              <w:jc w:val="right"/>
              <w:rPr>
                <w:rFonts w:eastAsiaTheme="minorHAnsi"/>
              </w:rPr>
            </w:pPr>
            <w:r w:rsidRPr="008762B1">
              <w:rPr>
                <w:rFonts w:eastAsiaTheme="minorHAnsi"/>
              </w:rPr>
              <w:t>24</w:t>
            </w:r>
          </w:p>
        </w:tc>
        <w:tc>
          <w:tcPr>
            <w:tcW w:w="1984" w:type="dxa"/>
            <w:tcBorders>
              <w:top w:val="single" w:sz="12" w:space="0" w:color="auto"/>
            </w:tcBorders>
          </w:tcPr>
          <w:p w:rsidR="000676F9" w:rsidRPr="008762B1" w:rsidRDefault="000676F9" w:rsidP="00AB278D">
            <w:pPr>
              <w:pStyle w:val="Tabletext"/>
              <w:jc w:val="right"/>
              <w:rPr>
                <w:rFonts w:eastAsiaTheme="minorHAnsi"/>
              </w:rPr>
            </w:pPr>
            <w:r w:rsidRPr="008762B1">
              <w:rPr>
                <w:rFonts w:eastAsiaTheme="minorHAnsi"/>
              </w:rPr>
              <w:t>37</w:t>
            </w:r>
          </w:p>
        </w:tc>
      </w:tr>
      <w:tr w:rsidR="000676F9" w:rsidRPr="008762B1" w:rsidTr="00B06C75">
        <w:tc>
          <w:tcPr>
            <w:tcW w:w="709" w:type="dxa"/>
            <w:shd w:val="clear" w:color="auto" w:fill="auto"/>
          </w:tcPr>
          <w:p w:rsidR="000676F9" w:rsidRPr="008762B1" w:rsidRDefault="000676F9" w:rsidP="000676F9">
            <w:pPr>
              <w:pStyle w:val="Tabletext"/>
              <w:rPr>
                <w:rFonts w:eastAsiaTheme="minorHAnsi"/>
              </w:rPr>
            </w:pPr>
            <w:r w:rsidRPr="008762B1">
              <w:rPr>
                <w:rFonts w:eastAsiaTheme="minorHAnsi"/>
              </w:rPr>
              <w:t>2</w:t>
            </w:r>
          </w:p>
        </w:tc>
        <w:tc>
          <w:tcPr>
            <w:tcW w:w="1985" w:type="dxa"/>
            <w:shd w:val="clear" w:color="auto" w:fill="auto"/>
          </w:tcPr>
          <w:p w:rsidR="000676F9" w:rsidRPr="008762B1" w:rsidRDefault="000676F9" w:rsidP="000676F9">
            <w:pPr>
              <w:pStyle w:val="Tabletext"/>
              <w:rPr>
                <w:rFonts w:eastAsiaTheme="minorHAnsi"/>
              </w:rPr>
            </w:pPr>
            <w:r w:rsidRPr="008762B1">
              <w:rPr>
                <w:rFonts w:eastAsiaTheme="minorHAnsi"/>
              </w:rPr>
              <w:t>Victoria</w:t>
            </w:r>
          </w:p>
        </w:tc>
        <w:tc>
          <w:tcPr>
            <w:tcW w:w="2126" w:type="dxa"/>
            <w:shd w:val="clear" w:color="auto" w:fill="auto"/>
          </w:tcPr>
          <w:p w:rsidR="000676F9" w:rsidRPr="008762B1" w:rsidRDefault="000676F9" w:rsidP="00AB278D">
            <w:pPr>
              <w:pStyle w:val="Tabletext"/>
              <w:jc w:val="right"/>
              <w:rPr>
                <w:rFonts w:eastAsiaTheme="minorHAnsi"/>
              </w:rPr>
            </w:pPr>
            <w:r w:rsidRPr="008762B1">
              <w:rPr>
                <w:rFonts w:eastAsiaTheme="minorHAnsi"/>
              </w:rPr>
              <w:t>32</w:t>
            </w:r>
          </w:p>
        </w:tc>
        <w:tc>
          <w:tcPr>
            <w:tcW w:w="1984" w:type="dxa"/>
          </w:tcPr>
          <w:p w:rsidR="000676F9" w:rsidRPr="008762B1" w:rsidRDefault="000676F9" w:rsidP="00AB278D">
            <w:pPr>
              <w:pStyle w:val="Tabletext"/>
              <w:jc w:val="right"/>
              <w:rPr>
                <w:rFonts w:eastAsiaTheme="minorHAnsi"/>
              </w:rPr>
            </w:pPr>
            <w:r w:rsidRPr="008762B1">
              <w:rPr>
                <w:rFonts w:eastAsiaTheme="minorHAnsi"/>
              </w:rPr>
              <w:t>45</w:t>
            </w:r>
          </w:p>
        </w:tc>
      </w:tr>
      <w:tr w:rsidR="000676F9" w:rsidRPr="008762B1" w:rsidTr="00B06C75">
        <w:tc>
          <w:tcPr>
            <w:tcW w:w="709" w:type="dxa"/>
            <w:shd w:val="clear" w:color="auto" w:fill="auto"/>
          </w:tcPr>
          <w:p w:rsidR="000676F9" w:rsidRPr="008762B1" w:rsidRDefault="000676F9" w:rsidP="000676F9">
            <w:pPr>
              <w:pStyle w:val="Tabletext"/>
              <w:rPr>
                <w:rFonts w:eastAsiaTheme="minorHAnsi"/>
              </w:rPr>
            </w:pPr>
            <w:r w:rsidRPr="008762B1">
              <w:rPr>
                <w:rFonts w:eastAsiaTheme="minorHAnsi"/>
              </w:rPr>
              <w:t>3</w:t>
            </w:r>
          </w:p>
        </w:tc>
        <w:tc>
          <w:tcPr>
            <w:tcW w:w="1985" w:type="dxa"/>
            <w:shd w:val="clear" w:color="auto" w:fill="auto"/>
          </w:tcPr>
          <w:p w:rsidR="000676F9" w:rsidRPr="008762B1" w:rsidRDefault="000676F9" w:rsidP="000676F9">
            <w:pPr>
              <w:pStyle w:val="Tabletext"/>
              <w:rPr>
                <w:rFonts w:eastAsiaTheme="minorHAnsi"/>
              </w:rPr>
            </w:pPr>
            <w:r w:rsidRPr="008762B1">
              <w:rPr>
                <w:rFonts w:eastAsiaTheme="minorHAnsi"/>
              </w:rPr>
              <w:t>Queensland</w:t>
            </w:r>
          </w:p>
        </w:tc>
        <w:tc>
          <w:tcPr>
            <w:tcW w:w="2126" w:type="dxa"/>
            <w:shd w:val="clear" w:color="auto" w:fill="auto"/>
          </w:tcPr>
          <w:p w:rsidR="000676F9" w:rsidRPr="008762B1" w:rsidRDefault="000676F9" w:rsidP="00AB278D">
            <w:pPr>
              <w:pStyle w:val="Tabletext"/>
              <w:jc w:val="right"/>
              <w:rPr>
                <w:rFonts w:eastAsiaTheme="minorHAnsi"/>
              </w:rPr>
            </w:pPr>
            <w:r w:rsidRPr="008762B1">
              <w:rPr>
                <w:rFonts w:eastAsiaTheme="minorHAnsi"/>
              </w:rPr>
              <w:t>16</w:t>
            </w:r>
          </w:p>
        </w:tc>
        <w:tc>
          <w:tcPr>
            <w:tcW w:w="1984" w:type="dxa"/>
          </w:tcPr>
          <w:p w:rsidR="000676F9" w:rsidRPr="008762B1" w:rsidRDefault="000676F9" w:rsidP="00AB278D">
            <w:pPr>
              <w:pStyle w:val="Tabletext"/>
              <w:jc w:val="right"/>
              <w:rPr>
                <w:rFonts w:eastAsiaTheme="minorHAnsi"/>
              </w:rPr>
            </w:pPr>
            <w:r w:rsidRPr="008762B1">
              <w:rPr>
                <w:rFonts w:eastAsiaTheme="minorHAnsi"/>
              </w:rPr>
              <w:t>30</w:t>
            </w:r>
          </w:p>
        </w:tc>
      </w:tr>
      <w:tr w:rsidR="000676F9" w:rsidRPr="008762B1" w:rsidTr="00B06C75">
        <w:tc>
          <w:tcPr>
            <w:tcW w:w="709" w:type="dxa"/>
            <w:shd w:val="clear" w:color="auto" w:fill="auto"/>
          </w:tcPr>
          <w:p w:rsidR="000676F9" w:rsidRPr="008762B1" w:rsidRDefault="000676F9" w:rsidP="000676F9">
            <w:pPr>
              <w:pStyle w:val="Tabletext"/>
              <w:rPr>
                <w:rFonts w:eastAsiaTheme="minorHAnsi"/>
              </w:rPr>
            </w:pPr>
            <w:r w:rsidRPr="008762B1">
              <w:rPr>
                <w:rFonts w:eastAsiaTheme="minorHAnsi"/>
              </w:rPr>
              <w:t>4</w:t>
            </w:r>
          </w:p>
        </w:tc>
        <w:tc>
          <w:tcPr>
            <w:tcW w:w="1985" w:type="dxa"/>
            <w:shd w:val="clear" w:color="auto" w:fill="auto"/>
          </w:tcPr>
          <w:p w:rsidR="000676F9" w:rsidRPr="008762B1" w:rsidRDefault="000676F9" w:rsidP="000676F9">
            <w:pPr>
              <w:pStyle w:val="Tabletext"/>
              <w:rPr>
                <w:rFonts w:eastAsiaTheme="minorHAnsi"/>
              </w:rPr>
            </w:pPr>
            <w:r w:rsidRPr="008762B1">
              <w:rPr>
                <w:rFonts w:eastAsiaTheme="minorHAnsi"/>
              </w:rPr>
              <w:t>Western Australia</w:t>
            </w:r>
          </w:p>
        </w:tc>
        <w:tc>
          <w:tcPr>
            <w:tcW w:w="2126" w:type="dxa"/>
            <w:shd w:val="clear" w:color="auto" w:fill="auto"/>
          </w:tcPr>
          <w:p w:rsidR="000676F9" w:rsidRPr="008762B1" w:rsidRDefault="000676F9" w:rsidP="00AB278D">
            <w:pPr>
              <w:pStyle w:val="Tabletext"/>
              <w:jc w:val="right"/>
              <w:rPr>
                <w:rFonts w:eastAsiaTheme="minorHAnsi"/>
              </w:rPr>
            </w:pPr>
            <w:r w:rsidRPr="008762B1">
              <w:rPr>
                <w:rFonts w:eastAsiaTheme="minorHAnsi"/>
              </w:rPr>
              <w:t>27</w:t>
            </w:r>
          </w:p>
        </w:tc>
        <w:tc>
          <w:tcPr>
            <w:tcW w:w="1984" w:type="dxa"/>
          </w:tcPr>
          <w:p w:rsidR="000676F9" w:rsidRPr="008762B1" w:rsidRDefault="000676F9" w:rsidP="00AB278D">
            <w:pPr>
              <w:pStyle w:val="Tabletext"/>
              <w:jc w:val="right"/>
              <w:rPr>
                <w:rFonts w:eastAsiaTheme="minorHAnsi"/>
              </w:rPr>
            </w:pPr>
            <w:r w:rsidRPr="008762B1">
              <w:rPr>
                <w:rFonts w:eastAsiaTheme="minorHAnsi"/>
              </w:rPr>
              <w:t>30</w:t>
            </w:r>
          </w:p>
        </w:tc>
      </w:tr>
      <w:tr w:rsidR="000676F9" w:rsidRPr="008762B1" w:rsidTr="00B06C75">
        <w:tc>
          <w:tcPr>
            <w:tcW w:w="709" w:type="dxa"/>
            <w:shd w:val="clear" w:color="auto" w:fill="auto"/>
          </w:tcPr>
          <w:p w:rsidR="000676F9" w:rsidRPr="008762B1" w:rsidRDefault="000676F9" w:rsidP="000676F9">
            <w:pPr>
              <w:pStyle w:val="Tabletext"/>
              <w:rPr>
                <w:rFonts w:eastAsiaTheme="minorHAnsi"/>
              </w:rPr>
            </w:pPr>
            <w:r w:rsidRPr="008762B1">
              <w:rPr>
                <w:rFonts w:eastAsiaTheme="minorHAnsi"/>
              </w:rPr>
              <w:t>5</w:t>
            </w:r>
          </w:p>
        </w:tc>
        <w:tc>
          <w:tcPr>
            <w:tcW w:w="1985" w:type="dxa"/>
            <w:shd w:val="clear" w:color="auto" w:fill="auto"/>
          </w:tcPr>
          <w:p w:rsidR="000676F9" w:rsidRPr="008762B1" w:rsidRDefault="000676F9" w:rsidP="000676F9">
            <w:pPr>
              <w:pStyle w:val="Tabletext"/>
              <w:rPr>
                <w:rFonts w:eastAsiaTheme="minorHAnsi"/>
              </w:rPr>
            </w:pPr>
            <w:r w:rsidRPr="008762B1">
              <w:rPr>
                <w:rFonts w:eastAsiaTheme="minorHAnsi"/>
              </w:rPr>
              <w:t>South Australia</w:t>
            </w:r>
          </w:p>
        </w:tc>
        <w:tc>
          <w:tcPr>
            <w:tcW w:w="2126" w:type="dxa"/>
            <w:shd w:val="clear" w:color="auto" w:fill="auto"/>
          </w:tcPr>
          <w:p w:rsidR="000676F9" w:rsidRPr="008762B1" w:rsidRDefault="000676F9" w:rsidP="00AB278D">
            <w:pPr>
              <w:pStyle w:val="Tabletext"/>
              <w:jc w:val="right"/>
              <w:rPr>
                <w:rFonts w:eastAsiaTheme="minorHAnsi"/>
              </w:rPr>
            </w:pPr>
            <w:r w:rsidRPr="008762B1">
              <w:rPr>
                <w:rFonts w:eastAsiaTheme="minorHAnsi"/>
              </w:rPr>
              <w:t>29</w:t>
            </w:r>
          </w:p>
        </w:tc>
        <w:tc>
          <w:tcPr>
            <w:tcW w:w="1984" w:type="dxa"/>
          </w:tcPr>
          <w:p w:rsidR="000676F9" w:rsidRPr="008762B1" w:rsidRDefault="000676F9" w:rsidP="00AB278D">
            <w:pPr>
              <w:pStyle w:val="Tabletext"/>
              <w:jc w:val="right"/>
              <w:rPr>
                <w:rFonts w:eastAsiaTheme="minorHAnsi"/>
              </w:rPr>
            </w:pPr>
            <w:r w:rsidRPr="008762B1">
              <w:rPr>
                <w:rFonts w:eastAsiaTheme="minorHAnsi"/>
              </w:rPr>
              <w:t>29</w:t>
            </w:r>
          </w:p>
        </w:tc>
      </w:tr>
      <w:tr w:rsidR="000676F9" w:rsidRPr="008762B1" w:rsidTr="00B06C75">
        <w:tc>
          <w:tcPr>
            <w:tcW w:w="709" w:type="dxa"/>
            <w:shd w:val="clear" w:color="auto" w:fill="auto"/>
          </w:tcPr>
          <w:p w:rsidR="000676F9" w:rsidRPr="008762B1" w:rsidRDefault="000676F9" w:rsidP="000676F9">
            <w:pPr>
              <w:pStyle w:val="Tabletext"/>
              <w:rPr>
                <w:rFonts w:eastAsiaTheme="minorHAnsi"/>
              </w:rPr>
            </w:pPr>
            <w:r w:rsidRPr="008762B1">
              <w:rPr>
                <w:rFonts w:eastAsiaTheme="minorHAnsi"/>
              </w:rPr>
              <w:t>6</w:t>
            </w:r>
          </w:p>
        </w:tc>
        <w:tc>
          <w:tcPr>
            <w:tcW w:w="1985" w:type="dxa"/>
            <w:shd w:val="clear" w:color="auto" w:fill="auto"/>
          </w:tcPr>
          <w:p w:rsidR="000676F9" w:rsidRPr="008762B1" w:rsidRDefault="000676F9" w:rsidP="000676F9">
            <w:pPr>
              <w:pStyle w:val="Tabletext"/>
              <w:rPr>
                <w:rFonts w:eastAsiaTheme="minorHAnsi"/>
              </w:rPr>
            </w:pPr>
            <w:r w:rsidRPr="008762B1">
              <w:rPr>
                <w:rFonts w:eastAsiaTheme="minorHAnsi"/>
              </w:rPr>
              <w:t>Tasmania</w:t>
            </w:r>
          </w:p>
        </w:tc>
        <w:tc>
          <w:tcPr>
            <w:tcW w:w="2126" w:type="dxa"/>
            <w:shd w:val="clear" w:color="auto" w:fill="auto"/>
          </w:tcPr>
          <w:p w:rsidR="000676F9" w:rsidRPr="008762B1" w:rsidRDefault="000676F9" w:rsidP="00AB278D">
            <w:pPr>
              <w:pStyle w:val="Tabletext"/>
              <w:jc w:val="right"/>
              <w:rPr>
                <w:rFonts w:eastAsiaTheme="minorHAnsi"/>
              </w:rPr>
            </w:pPr>
            <w:r w:rsidRPr="008762B1">
              <w:rPr>
                <w:rFonts w:eastAsiaTheme="minorHAnsi"/>
              </w:rPr>
              <w:t>33</w:t>
            </w:r>
          </w:p>
        </w:tc>
        <w:tc>
          <w:tcPr>
            <w:tcW w:w="1984" w:type="dxa"/>
          </w:tcPr>
          <w:p w:rsidR="000676F9" w:rsidRPr="008762B1" w:rsidRDefault="000676F9" w:rsidP="00AB278D">
            <w:pPr>
              <w:pStyle w:val="Tabletext"/>
              <w:jc w:val="right"/>
              <w:rPr>
                <w:rFonts w:eastAsiaTheme="minorHAnsi"/>
              </w:rPr>
            </w:pPr>
            <w:r w:rsidRPr="008762B1">
              <w:rPr>
                <w:rFonts w:eastAsiaTheme="minorHAnsi"/>
              </w:rPr>
              <w:t>39</w:t>
            </w:r>
          </w:p>
        </w:tc>
      </w:tr>
      <w:tr w:rsidR="000676F9" w:rsidRPr="008762B1" w:rsidTr="00B06C75">
        <w:tc>
          <w:tcPr>
            <w:tcW w:w="709" w:type="dxa"/>
            <w:tcBorders>
              <w:bottom w:val="single" w:sz="4" w:space="0" w:color="auto"/>
            </w:tcBorders>
            <w:shd w:val="clear" w:color="auto" w:fill="auto"/>
          </w:tcPr>
          <w:p w:rsidR="000676F9" w:rsidRPr="008762B1" w:rsidRDefault="000676F9" w:rsidP="000676F9">
            <w:pPr>
              <w:pStyle w:val="Tabletext"/>
              <w:rPr>
                <w:rFonts w:eastAsiaTheme="minorHAnsi"/>
              </w:rPr>
            </w:pPr>
            <w:r w:rsidRPr="008762B1">
              <w:rPr>
                <w:rFonts w:eastAsiaTheme="minorHAnsi"/>
              </w:rPr>
              <w:t>7</w:t>
            </w:r>
          </w:p>
        </w:tc>
        <w:tc>
          <w:tcPr>
            <w:tcW w:w="1985" w:type="dxa"/>
            <w:tcBorders>
              <w:bottom w:val="single" w:sz="4" w:space="0" w:color="auto"/>
            </w:tcBorders>
            <w:shd w:val="clear" w:color="auto" w:fill="auto"/>
          </w:tcPr>
          <w:p w:rsidR="000676F9" w:rsidRPr="008762B1" w:rsidRDefault="000676F9" w:rsidP="000676F9">
            <w:pPr>
              <w:pStyle w:val="Tabletext"/>
              <w:rPr>
                <w:rFonts w:eastAsiaTheme="minorHAnsi"/>
              </w:rPr>
            </w:pPr>
            <w:r w:rsidRPr="008762B1">
              <w:rPr>
                <w:rFonts w:eastAsiaTheme="minorHAnsi"/>
              </w:rPr>
              <w:t>Australian Capital Territory</w:t>
            </w:r>
          </w:p>
        </w:tc>
        <w:tc>
          <w:tcPr>
            <w:tcW w:w="2126" w:type="dxa"/>
            <w:tcBorders>
              <w:bottom w:val="single" w:sz="4" w:space="0" w:color="auto"/>
            </w:tcBorders>
            <w:shd w:val="clear" w:color="auto" w:fill="auto"/>
          </w:tcPr>
          <w:p w:rsidR="000676F9" w:rsidRPr="008762B1" w:rsidRDefault="000676F9" w:rsidP="00AB278D">
            <w:pPr>
              <w:pStyle w:val="Tabletext"/>
              <w:jc w:val="right"/>
              <w:rPr>
                <w:rFonts w:eastAsiaTheme="minorHAnsi"/>
              </w:rPr>
            </w:pPr>
            <w:r w:rsidRPr="008762B1">
              <w:rPr>
                <w:rFonts w:eastAsiaTheme="minorHAnsi"/>
              </w:rPr>
              <w:t>47</w:t>
            </w:r>
          </w:p>
        </w:tc>
        <w:tc>
          <w:tcPr>
            <w:tcW w:w="1984" w:type="dxa"/>
            <w:tcBorders>
              <w:bottom w:val="single" w:sz="4" w:space="0" w:color="auto"/>
            </w:tcBorders>
          </w:tcPr>
          <w:p w:rsidR="000676F9" w:rsidRPr="008762B1" w:rsidRDefault="000676F9" w:rsidP="00AB278D">
            <w:pPr>
              <w:pStyle w:val="Tabletext"/>
              <w:jc w:val="right"/>
              <w:rPr>
                <w:rFonts w:eastAsiaTheme="minorHAnsi"/>
              </w:rPr>
            </w:pPr>
            <w:r w:rsidRPr="008762B1">
              <w:rPr>
                <w:rFonts w:eastAsiaTheme="minorHAnsi"/>
              </w:rPr>
              <w:t>66</w:t>
            </w:r>
          </w:p>
        </w:tc>
      </w:tr>
      <w:tr w:rsidR="000676F9" w:rsidRPr="008762B1" w:rsidTr="00B06C75">
        <w:tc>
          <w:tcPr>
            <w:tcW w:w="709" w:type="dxa"/>
            <w:tcBorders>
              <w:bottom w:val="single" w:sz="12" w:space="0" w:color="auto"/>
            </w:tcBorders>
            <w:shd w:val="clear" w:color="auto" w:fill="auto"/>
          </w:tcPr>
          <w:p w:rsidR="000676F9" w:rsidRPr="008762B1" w:rsidRDefault="000676F9" w:rsidP="000676F9">
            <w:pPr>
              <w:pStyle w:val="Tabletext"/>
              <w:rPr>
                <w:rFonts w:eastAsiaTheme="minorHAnsi"/>
              </w:rPr>
            </w:pPr>
            <w:r w:rsidRPr="008762B1">
              <w:rPr>
                <w:rFonts w:eastAsiaTheme="minorHAnsi"/>
              </w:rPr>
              <w:t>8</w:t>
            </w:r>
          </w:p>
        </w:tc>
        <w:tc>
          <w:tcPr>
            <w:tcW w:w="1985" w:type="dxa"/>
            <w:tcBorders>
              <w:bottom w:val="single" w:sz="12" w:space="0" w:color="auto"/>
            </w:tcBorders>
            <w:shd w:val="clear" w:color="auto" w:fill="auto"/>
          </w:tcPr>
          <w:p w:rsidR="000676F9" w:rsidRPr="008762B1" w:rsidRDefault="000676F9" w:rsidP="000676F9">
            <w:pPr>
              <w:pStyle w:val="Tabletext"/>
              <w:rPr>
                <w:rFonts w:eastAsiaTheme="minorHAnsi"/>
              </w:rPr>
            </w:pPr>
            <w:r w:rsidRPr="008762B1">
              <w:rPr>
                <w:rFonts w:eastAsiaTheme="minorHAnsi"/>
              </w:rPr>
              <w:t>Northern Territory</w:t>
            </w:r>
          </w:p>
        </w:tc>
        <w:tc>
          <w:tcPr>
            <w:tcW w:w="2126" w:type="dxa"/>
            <w:tcBorders>
              <w:bottom w:val="single" w:sz="12" w:space="0" w:color="auto"/>
            </w:tcBorders>
            <w:shd w:val="clear" w:color="auto" w:fill="auto"/>
          </w:tcPr>
          <w:p w:rsidR="000676F9" w:rsidRPr="008762B1" w:rsidRDefault="000676F9" w:rsidP="00AB278D">
            <w:pPr>
              <w:pStyle w:val="Tabletext"/>
              <w:jc w:val="right"/>
              <w:rPr>
                <w:rFonts w:eastAsiaTheme="minorHAnsi"/>
              </w:rPr>
            </w:pPr>
            <w:r w:rsidRPr="008762B1">
              <w:rPr>
                <w:rFonts w:eastAsiaTheme="minorHAnsi"/>
              </w:rPr>
              <w:t>25</w:t>
            </w:r>
          </w:p>
        </w:tc>
        <w:tc>
          <w:tcPr>
            <w:tcW w:w="1984" w:type="dxa"/>
            <w:tcBorders>
              <w:bottom w:val="single" w:sz="12" w:space="0" w:color="auto"/>
            </w:tcBorders>
          </w:tcPr>
          <w:p w:rsidR="000676F9" w:rsidRPr="008762B1" w:rsidRDefault="000676F9" w:rsidP="00AB278D">
            <w:pPr>
              <w:pStyle w:val="Tabletext"/>
              <w:jc w:val="right"/>
              <w:rPr>
                <w:rFonts w:eastAsiaTheme="minorHAnsi"/>
              </w:rPr>
            </w:pPr>
            <w:r w:rsidRPr="008762B1">
              <w:rPr>
                <w:rFonts w:eastAsiaTheme="minorHAnsi"/>
              </w:rPr>
              <w:t>18</w:t>
            </w:r>
          </w:p>
        </w:tc>
      </w:tr>
    </w:tbl>
    <w:p w:rsidR="000676F9" w:rsidRPr="008762B1" w:rsidRDefault="000676F9" w:rsidP="000676F9">
      <w:pPr>
        <w:pStyle w:val="Tabletext"/>
        <w:rPr>
          <w:rFonts w:eastAsiaTheme="minorHAnsi"/>
        </w:rPr>
      </w:pPr>
    </w:p>
    <w:p w:rsidR="004260EE" w:rsidRPr="008762B1" w:rsidRDefault="004E7255" w:rsidP="002634E6">
      <w:pPr>
        <w:pStyle w:val="ActHead5"/>
      </w:pPr>
      <w:bookmarkStart w:id="38" w:name="_Toc407103335"/>
      <w:r w:rsidRPr="008762B1">
        <w:rPr>
          <w:rStyle w:val="CharSectno"/>
        </w:rPr>
        <w:t>23</w:t>
      </w:r>
      <w:r w:rsidR="002634E6" w:rsidRPr="008762B1">
        <w:t xml:space="preserve">  </w:t>
      </w:r>
      <w:r w:rsidR="004260EE" w:rsidRPr="008762B1">
        <w:t>Methane generation potential of degradable organic carbon content in eligible waste</w:t>
      </w:r>
      <w:bookmarkEnd w:id="38"/>
    </w:p>
    <w:p w:rsidR="004260EE" w:rsidRPr="008762B1" w:rsidRDefault="002634E6" w:rsidP="002634E6">
      <w:pPr>
        <w:pStyle w:val="subsection"/>
      </w:pPr>
      <w:r w:rsidRPr="008762B1">
        <w:tab/>
      </w:r>
      <w:r w:rsidR="004B4D4B" w:rsidRPr="008762B1">
        <w:tab/>
      </w:r>
      <w:r w:rsidRPr="008762B1">
        <w:t>The m</w:t>
      </w:r>
      <w:r w:rsidR="004260EE" w:rsidRPr="008762B1">
        <w:t>ethane generation potential</w:t>
      </w:r>
      <w:r w:rsidR="004B4D4B" w:rsidRPr="008762B1">
        <w:rPr>
          <w:szCs w:val="22"/>
        </w:rPr>
        <w:t xml:space="preserve"> </w:t>
      </w:r>
      <w:r w:rsidR="004260EE" w:rsidRPr="008762B1">
        <w:t xml:space="preserve">of the degradable organic carbon content in eligible waste </w:t>
      </w:r>
      <w:r w:rsidR="009A6880" w:rsidRPr="008762B1">
        <w:t xml:space="preserve">processed </w:t>
      </w:r>
      <w:r w:rsidR="00181CA6" w:rsidRPr="008762B1">
        <w:t>during a reporting period</w:t>
      </w:r>
      <w:r w:rsidR="00A67136" w:rsidRPr="008762B1">
        <w:t xml:space="preserve">, </w:t>
      </w:r>
      <w:r w:rsidR="00A67136" w:rsidRPr="008762B1">
        <w:rPr>
          <w:szCs w:val="22"/>
        </w:rPr>
        <w:t>in tonnes CH</w:t>
      </w:r>
      <w:r w:rsidR="00A67136" w:rsidRPr="008762B1">
        <w:rPr>
          <w:szCs w:val="22"/>
          <w:vertAlign w:val="subscript"/>
        </w:rPr>
        <w:t>4</w:t>
      </w:r>
      <w:r w:rsidR="00A67136" w:rsidRPr="008762B1">
        <w:rPr>
          <w:szCs w:val="22"/>
        </w:rPr>
        <w:t>,</w:t>
      </w:r>
      <w:r w:rsidR="004260EE" w:rsidRPr="008762B1">
        <w:t xml:space="preserve"> is </w:t>
      </w:r>
      <w:r w:rsidRPr="008762B1">
        <w:t xml:space="preserve">worked out using the </w:t>
      </w:r>
      <w:r w:rsidR="004260EE" w:rsidRPr="008762B1">
        <w:t>formula</w:t>
      </w:r>
      <w:r w:rsidRPr="008762B1">
        <w:t xml:space="preserve"> (</w:t>
      </w:r>
      <w:r w:rsidR="00FE4577" w:rsidRPr="008762B1">
        <w:rPr>
          <w:b/>
          <w:i/>
        </w:rPr>
        <w:t>equation 4</w:t>
      </w:r>
      <w:r w:rsidRPr="008762B1">
        <w:t>)</w:t>
      </w:r>
      <w:r w:rsidR="004260EE" w:rsidRPr="008762B1">
        <w:t>:</w:t>
      </w:r>
    </w:p>
    <w:bookmarkStart w:id="39" w:name="BKCheck15B_7"/>
    <w:bookmarkEnd w:id="39"/>
    <w:p w:rsidR="004260EE" w:rsidRPr="008762B1" w:rsidRDefault="001264B8" w:rsidP="004260EE">
      <w:pPr>
        <w:pStyle w:val="subsection2"/>
      </w:pPr>
      <w:r w:rsidRPr="008762B1">
        <w:rPr>
          <w:position w:val="-24"/>
        </w:rPr>
        <w:object w:dxaOrig="6039" w:dyaOrig="580">
          <v:shape id="_x0000_i1028" type="#_x0000_t75" style="width:302.4pt;height:28.2pt" o:ole="">
            <v:imagedata r:id="rId27" o:title=""/>
          </v:shape>
          <o:OLEObject Type="Embed" ProgID="Equation.DSMT4" ShapeID="_x0000_i1028" DrawAspect="Content" ObjectID="_1483176402" r:id="rId28"/>
        </w:object>
      </w:r>
    </w:p>
    <w:p w:rsidR="00A610E0" w:rsidRPr="008762B1" w:rsidRDefault="00A610E0" w:rsidP="00A610E0">
      <w:pPr>
        <w:pStyle w:val="subsection2"/>
      </w:pPr>
      <w:r w:rsidRPr="008762B1">
        <w:t>where:</w:t>
      </w:r>
    </w:p>
    <w:p w:rsidR="00BA0923" w:rsidRPr="008762B1" w:rsidRDefault="00BA0923" w:rsidP="00BA0923">
      <w:pPr>
        <w:pStyle w:val="Definition"/>
        <w:rPr>
          <w:szCs w:val="22"/>
        </w:rPr>
      </w:pPr>
      <w:r w:rsidRPr="008762B1">
        <w:rPr>
          <w:b/>
          <w:i/>
        </w:rPr>
        <w:t>M</w:t>
      </w:r>
      <w:r w:rsidRPr="008762B1">
        <w:rPr>
          <w:b/>
          <w:i/>
          <w:vertAlign w:val="subscript"/>
        </w:rPr>
        <w:t>B</w:t>
      </w:r>
      <w:r w:rsidRPr="008762B1">
        <w:t xml:space="preserve"> </w:t>
      </w:r>
      <w:r w:rsidRPr="008762B1">
        <w:rPr>
          <w:szCs w:val="22"/>
        </w:rPr>
        <w:t xml:space="preserve">means </w:t>
      </w:r>
      <w:r w:rsidRPr="008762B1">
        <w:t xml:space="preserve">the </w:t>
      </w:r>
      <w:r w:rsidRPr="008762B1">
        <w:rPr>
          <w:szCs w:val="22"/>
        </w:rPr>
        <w:t>methane ge</w:t>
      </w:r>
      <w:r w:rsidR="001C55CE" w:rsidRPr="008762B1">
        <w:rPr>
          <w:szCs w:val="22"/>
        </w:rPr>
        <w:t>neration potential</w:t>
      </w:r>
      <w:r w:rsidRPr="008762B1">
        <w:rPr>
          <w:szCs w:val="22"/>
        </w:rPr>
        <w:t xml:space="preserve"> of the degradable organic carbon content in eligible waste </w:t>
      </w:r>
      <w:r w:rsidRPr="008762B1">
        <w:t>processed during the reporting period</w:t>
      </w:r>
      <w:r w:rsidR="00A67136" w:rsidRPr="008762B1">
        <w:rPr>
          <w:szCs w:val="22"/>
        </w:rPr>
        <w:t>, in tonnes CH</w:t>
      </w:r>
      <w:r w:rsidR="00A67136" w:rsidRPr="008762B1">
        <w:rPr>
          <w:szCs w:val="22"/>
          <w:vertAlign w:val="subscript"/>
        </w:rPr>
        <w:t>4</w:t>
      </w:r>
      <w:r w:rsidRPr="008762B1">
        <w:rPr>
          <w:szCs w:val="22"/>
        </w:rPr>
        <w:t>.</w:t>
      </w:r>
    </w:p>
    <w:p w:rsidR="00BA0923" w:rsidRPr="008762B1" w:rsidRDefault="00BA0923" w:rsidP="00BA0923">
      <w:pPr>
        <w:pStyle w:val="Definition"/>
      </w:pPr>
      <w:proofErr w:type="spellStart"/>
      <w:r w:rsidRPr="008762B1">
        <w:rPr>
          <w:b/>
          <w:i/>
        </w:rPr>
        <w:t>WM</w:t>
      </w:r>
      <w:r w:rsidRPr="008762B1">
        <w:rPr>
          <w:b/>
          <w:i/>
          <w:vertAlign w:val="subscript"/>
        </w:rPr>
        <w:t>w</w:t>
      </w:r>
      <w:proofErr w:type="spellEnd"/>
      <w:r w:rsidRPr="008762B1">
        <w:t xml:space="preserve"> </w:t>
      </w:r>
      <w:r w:rsidRPr="008762B1">
        <w:rPr>
          <w:szCs w:val="22"/>
        </w:rPr>
        <w:t>means the quantity of waste mix type w present in the eligible waste</w:t>
      </w:r>
      <w:r w:rsidR="00A67136" w:rsidRPr="008762B1">
        <w:rPr>
          <w:szCs w:val="22"/>
        </w:rPr>
        <w:t>, in tonnes,</w:t>
      </w:r>
      <w:r w:rsidRPr="008762B1">
        <w:t xml:space="preserve"> worked out usi</w:t>
      </w:r>
      <w:r w:rsidR="00FE4577" w:rsidRPr="008762B1">
        <w:t>ng equation 5</w:t>
      </w:r>
      <w:r w:rsidRPr="008762B1">
        <w:t>.</w:t>
      </w:r>
    </w:p>
    <w:p w:rsidR="00BA0923" w:rsidRPr="008762B1" w:rsidRDefault="00BA0923" w:rsidP="00BA0923">
      <w:pPr>
        <w:pStyle w:val="Definition"/>
        <w:rPr>
          <w:b/>
          <w:szCs w:val="22"/>
        </w:rPr>
      </w:pPr>
      <w:proofErr w:type="spellStart"/>
      <w:r w:rsidRPr="008762B1">
        <w:rPr>
          <w:b/>
          <w:i/>
        </w:rPr>
        <w:t>DOC</w:t>
      </w:r>
      <w:r w:rsidRPr="008762B1">
        <w:rPr>
          <w:b/>
          <w:i/>
          <w:vertAlign w:val="subscript"/>
        </w:rPr>
        <w:t>w</w:t>
      </w:r>
      <w:proofErr w:type="spellEnd"/>
      <w:r w:rsidRPr="008762B1">
        <w:t xml:space="preserve"> </w:t>
      </w:r>
      <w:r w:rsidRPr="008762B1">
        <w:rPr>
          <w:szCs w:val="22"/>
        </w:rPr>
        <w:t>means the degradable organic carbon value for waste mix type w mentioned in section</w:t>
      </w:r>
      <w:r w:rsidR="008762B1" w:rsidRPr="008762B1">
        <w:rPr>
          <w:szCs w:val="22"/>
        </w:rPr>
        <w:t> </w:t>
      </w:r>
      <w:r w:rsidRPr="008762B1">
        <w:rPr>
          <w:szCs w:val="22"/>
        </w:rPr>
        <w:t xml:space="preserve">5.12 of the </w:t>
      </w:r>
      <w:proofErr w:type="spellStart"/>
      <w:r w:rsidRPr="008762B1">
        <w:rPr>
          <w:szCs w:val="22"/>
        </w:rPr>
        <w:t>NGER</w:t>
      </w:r>
      <w:proofErr w:type="spellEnd"/>
      <w:r w:rsidRPr="008762B1">
        <w:rPr>
          <w:szCs w:val="22"/>
        </w:rPr>
        <w:t xml:space="preserve"> (Measurement) Determination.</w:t>
      </w:r>
    </w:p>
    <w:p w:rsidR="004260EE" w:rsidRPr="008762B1" w:rsidRDefault="004260EE" w:rsidP="004260EE">
      <w:pPr>
        <w:pStyle w:val="Definition"/>
        <w:rPr>
          <w:szCs w:val="22"/>
        </w:rPr>
      </w:pPr>
      <w:proofErr w:type="spellStart"/>
      <w:r w:rsidRPr="008762B1">
        <w:rPr>
          <w:b/>
          <w:i/>
        </w:rPr>
        <w:t>DOC</w:t>
      </w:r>
      <w:r w:rsidR="002634E6" w:rsidRPr="008762B1">
        <w:rPr>
          <w:b/>
          <w:i/>
          <w:vertAlign w:val="subscript"/>
        </w:rPr>
        <w:t>F</w:t>
      </w:r>
      <w:r w:rsidRPr="008762B1">
        <w:rPr>
          <w:b/>
          <w:i/>
          <w:vertAlign w:val="subscript"/>
        </w:rPr>
        <w:t>,w</w:t>
      </w:r>
      <w:proofErr w:type="spellEnd"/>
      <w:r w:rsidRPr="008762B1">
        <w:t xml:space="preserve"> </w:t>
      </w:r>
      <w:r w:rsidR="002634E6" w:rsidRPr="008762B1">
        <w:rPr>
          <w:szCs w:val="22"/>
        </w:rPr>
        <w:t xml:space="preserve">means the </w:t>
      </w:r>
      <w:r w:rsidRPr="008762B1">
        <w:rPr>
          <w:szCs w:val="22"/>
        </w:rPr>
        <w:t xml:space="preserve">fraction of degradable organic carbon dissimilated </w:t>
      </w:r>
      <w:r w:rsidR="00D72E15" w:rsidRPr="008762B1">
        <w:rPr>
          <w:szCs w:val="22"/>
        </w:rPr>
        <w:t xml:space="preserve">for </w:t>
      </w:r>
      <w:r w:rsidRPr="008762B1">
        <w:rPr>
          <w:szCs w:val="22"/>
        </w:rPr>
        <w:t xml:space="preserve">waste mix type </w:t>
      </w:r>
      <w:r w:rsidR="002634E6" w:rsidRPr="008762B1">
        <w:rPr>
          <w:szCs w:val="22"/>
        </w:rPr>
        <w:t xml:space="preserve">w </w:t>
      </w:r>
      <w:r w:rsidR="00D72E15" w:rsidRPr="008762B1">
        <w:rPr>
          <w:szCs w:val="22"/>
        </w:rPr>
        <w:t xml:space="preserve">mentioned </w:t>
      </w:r>
      <w:r w:rsidR="002634E6" w:rsidRPr="008762B1">
        <w:rPr>
          <w:szCs w:val="22"/>
        </w:rPr>
        <w:t>in section</w:t>
      </w:r>
      <w:r w:rsidR="008762B1" w:rsidRPr="008762B1">
        <w:rPr>
          <w:szCs w:val="22"/>
        </w:rPr>
        <w:t> </w:t>
      </w:r>
      <w:r w:rsidR="002634E6" w:rsidRPr="008762B1">
        <w:rPr>
          <w:szCs w:val="22"/>
        </w:rPr>
        <w:t xml:space="preserve">5.14A of the </w:t>
      </w:r>
      <w:proofErr w:type="spellStart"/>
      <w:r w:rsidR="002634E6" w:rsidRPr="008762B1">
        <w:rPr>
          <w:szCs w:val="22"/>
        </w:rPr>
        <w:t>NGER</w:t>
      </w:r>
      <w:proofErr w:type="spellEnd"/>
      <w:r w:rsidR="009A16AC" w:rsidRPr="008762B1">
        <w:rPr>
          <w:szCs w:val="22"/>
        </w:rPr>
        <w:t xml:space="preserve"> </w:t>
      </w:r>
      <w:r w:rsidR="002634E6" w:rsidRPr="008762B1">
        <w:rPr>
          <w:szCs w:val="22"/>
        </w:rPr>
        <w:t>(Measurement) Determination.</w:t>
      </w:r>
    </w:p>
    <w:p w:rsidR="00BA0923" w:rsidRPr="008762B1" w:rsidRDefault="00BA0923" w:rsidP="00BA0923">
      <w:pPr>
        <w:pStyle w:val="Definition"/>
        <w:rPr>
          <w:b/>
          <w:szCs w:val="22"/>
        </w:rPr>
      </w:pPr>
      <w:proofErr w:type="spellStart"/>
      <w:r w:rsidRPr="008762B1">
        <w:rPr>
          <w:b/>
          <w:i/>
        </w:rPr>
        <w:t>MCF</w:t>
      </w:r>
      <w:proofErr w:type="spellEnd"/>
      <w:r w:rsidRPr="008762B1">
        <w:t xml:space="preserve"> </w:t>
      </w:r>
      <w:r w:rsidRPr="008762B1">
        <w:rPr>
          <w:szCs w:val="22"/>
        </w:rPr>
        <w:t>means the methane correction factor for aerobic decomposition mentioned in section</w:t>
      </w:r>
      <w:r w:rsidR="008762B1" w:rsidRPr="008762B1">
        <w:rPr>
          <w:szCs w:val="22"/>
        </w:rPr>
        <w:t> </w:t>
      </w:r>
      <w:r w:rsidRPr="008762B1">
        <w:rPr>
          <w:szCs w:val="22"/>
        </w:rPr>
        <w:t xml:space="preserve">5.14B of the </w:t>
      </w:r>
      <w:proofErr w:type="spellStart"/>
      <w:r w:rsidRPr="008762B1">
        <w:rPr>
          <w:szCs w:val="22"/>
        </w:rPr>
        <w:t>NGER</w:t>
      </w:r>
      <w:proofErr w:type="spellEnd"/>
      <w:r w:rsidRPr="008762B1">
        <w:rPr>
          <w:szCs w:val="22"/>
        </w:rPr>
        <w:t xml:space="preserve"> (Measurement) Determination.</w:t>
      </w:r>
    </w:p>
    <w:p w:rsidR="00BA0923" w:rsidRPr="008762B1" w:rsidRDefault="00BA0923" w:rsidP="00BA0923">
      <w:pPr>
        <w:pStyle w:val="Definition"/>
        <w:rPr>
          <w:b/>
          <w:szCs w:val="22"/>
        </w:rPr>
      </w:pPr>
      <w:proofErr w:type="spellStart"/>
      <w:r w:rsidRPr="008762B1">
        <w:rPr>
          <w:b/>
          <w:i/>
        </w:rPr>
        <w:t>W</w:t>
      </w:r>
      <w:r w:rsidRPr="008762B1">
        <w:rPr>
          <w:b/>
          <w:i/>
          <w:vertAlign w:val="subscript"/>
        </w:rPr>
        <w:t>LFG,CH</w:t>
      </w:r>
      <w:proofErr w:type="spellEnd"/>
      <w:r w:rsidRPr="008762B1">
        <w:rPr>
          <w:b/>
          <w:i/>
          <w:position w:val="-6"/>
          <w:vertAlign w:val="subscript"/>
        </w:rPr>
        <w:t>4</w:t>
      </w:r>
      <w:r w:rsidRPr="008762B1">
        <w:rPr>
          <w:szCs w:val="22"/>
        </w:rPr>
        <w:t xml:space="preserve"> means the fraction, by volume of methane generated in landfill gas, mentioned in section</w:t>
      </w:r>
      <w:r w:rsidR="008762B1" w:rsidRPr="008762B1">
        <w:rPr>
          <w:szCs w:val="22"/>
        </w:rPr>
        <w:t> </w:t>
      </w:r>
      <w:r w:rsidRPr="008762B1">
        <w:rPr>
          <w:szCs w:val="22"/>
        </w:rPr>
        <w:t xml:space="preserve">5.14C of the </w:t>
      </w:r>
      <w:proofErr w:type="spellStart"/>
      <w:r w:rsidRPr="008762B1">
        <w:rPr>
          <w:szCs w:val="22"/>
        </w:rPr>
        <w:t>NGER</w:t>
      </w:r>
      <w:proofErr w:type="spellEnd"/>
      <w:r w:rsidRPr="008762B1">
        <w:rPr>
          <w:szCs w:val="22"/>
        </w:rPr>
        <w:t xml:space="preserve"> (Measurement) Determination.</w:t>
      </w:r>
    </w:p>
    <w:p w:rsidR="004260EE" w:rsidRPr="008762B1" w:rsidRDefault="004260EE" w:rsidP="004260EE">
      <w:pPr>
        <w:pStyle w:val="Definition"/>
        <w:rPr>
          <w:rFonts w:eastAsiaTheme="minorHAnsi"/>
          <w:szCs w:val="22"/>
        </w:rPr>
      </w:pPr>
      <w:proofErr w:type="spellStart"/>
      <w:r w:rsidRPr="008762B1">
        <w:rPr>
          <w:b/>
          <w:i/>
        </w:rPr>
        <w:t>F</w:t>
      </w:r>
      <w:r w:rsidRPr="008762B1">
        <w:rPr>
          <w:b/>
          <w:i/>
          <w:vertAlign w:val="subscript"/>
        </w:rPr>
        <w:t>C→CH</w:t>
      </w:r>
      <w:proofErr w:type="spellEnd"/>
      <w:r w:rsidRPr="008762B1">
        <w:rPr>
          <w:b/>
          <w:i/>
          <w:position w:val="-6"/>
          <w:vertAlign w:val="subscript"/>
        </w:rPr>
        <w:t>4</w:t>
      </w:r>
      <w:r w:rsidRPr="008762B1">
        <w:t xml:space="preserve"> </w:t>
      </w:r>
      <w:r w:rsidR="00985E2A" w:rsidRPr="008762B1">
        <w:rPr>
          <w:szCs w:val="22"/>
        </w:rPr>
        <w:t xml:space="preserve">means </w:t>
      </w:r>
      <w:r w:rsidR="00F74490" w:rsidRPr="008762B1">
        <w:rPr>
          <w:szCs w:val="22"/>
        </w:rPr>
        <w:t xml:space="preserve">1.336, being </w:t>
      </w:r>
      <w:r w:rsidRPr="008762B1">
        <w:rPr>
          <w:rFonts w:eastAsiaTheme="minorHAnsi"/>
          <w:szCs w:val="22"/>
        </w:rPr>
        <w:t>the factor to convert a mass</w:t>
      </w:r>
      <w:r w:rsidR="00985E2A" w:rsidRPr="008762B1">
        <w:rPr>
          <w:rFonts w:eastAsiaTheme="minorHAnsi"/>
          <w:szCs w:val="22"/>
        </w:rPr>
        <w:t xml:space="preserve"> of carbon t</w:t>
      </w:r>
      <w:r w:rsidR="00F74490" w:rsidRPr="008762B1">
        <w:rPr>
          <w:rFonts w:eastAsiaTheme="minorHAnsi"/>
          <w:szCs w:val="22"/>
        </w:rPr>
        <w:t>o a mass of methane</w:t>
      </w:r>
      <w:r w:rsidR="00985E2A" w:rsidRPr="008762B1">
        <w:rPr>
          <w:rFonts w:eastAsiaTheme="minorHAnsi"/>
          <w:szCs w:val="22"/>
        </w:rPr>
        <w:t>.</w:t>
      </w:r>
    </w:p>
    <w:p w:rsidR="00766D75" w:rsidRPr="008762B1" w:rsidRDefault="00766D75" w:rsidP="00766D75">
      <w:pPr>
        <w:pStyle w:val="Definition"/>
      </w:pPr>
      <w:r w:rsidRPr="008762B1">
        <w:rPr>
          <w:b/>
          <w:i/>
        </w:rPr>
        <w:t>w</w:t>
      </w:r>
      <w:r w:rsidRPr="008762B1">
        <w:t xml:space="preserve"> </w:t>
      </w:r>
      <w:r w:rsidRPr="008762B1">
        <w:rPr>
          <w:szCs w:val="22"/>
        </w:rPr>
        <w:t>means a waste mix type present in the eligible waste.</w:t>
      </w:r>
    </w:p>
    <w:p w:rsidR="004260EE" w:rsidRPr="008762B1" w:rsidRDefault="004E7255" w:rsidP="004B4D4B">
      <w:pPr>
        <w:pStyle w:val="ActHead5"/>
      </w:pPr>
      <w:bookmarkStart w:id="40" w:name="_Toc407103336"/>
      <w:r w:rsidRPr="008762B1">
        <w:rPr>
          <w:rStyle w:val="CharSectno"/>
        </w:rPr>
        <w:lastRenderedPageBreak/>
        <w:t>24</w:t>
      </w:r>
      <w:r w:rsidR="004B4D4B" w:rsidRPr="008762B1">
        <w:t xml:space="preserve">  </w:t>
      </w:r>
      <w:r w:rsidR="004260EE" w:rsidRPr="008762B1">
        <w:t xml:space="preserve">Quantity of </w:t>
      </w:r>
      <w:r w:rsidR="009D7263" w:rsidRPr="008762B1">
        <w:t xml:space="preserve">a </w:t>
      </w:r>
      <w:r w:rsidR="004260EE" w:rsidRPr="008762B1">
        <w:t xml:space="preserve">waste </w:t>
      </w:r>
      <w:r w:rsidR="009D7263" w:rsidRPr="008762B1">
        <w:t xml:space="preserve">mix </w:t>
      </w:r>
      <w:r w:rsidR="004260EE" w:rsidRPr="008762B1">
        <w:t>type in eligible waste</w:t>
      </w:r>
      <w:bookmarkEnd w:id="40"/>
    </w:p>
    <w:p w:rsidR="004B4D4B" w:rsidRPr="008762B1" w:rsidRDefault="004B4D4B" w:rsidP="004B4D4B">
      <w:pPr>
        <w:pStyle w:val="subsection"/>
      </w:pPr>
      <w:r w:rsidRPr="008762B1">
        <w:tab/>
        <w:t>(1)</w:t>
      </w:r>
      <w:r w:rsidRPr="008762B1">
        <w:tab/>
      </w:r>
      <w:r w:rsidRPr="008762B1">
        <w:rPr>
          <w:szCs w:val="22"/>
        </w:rPr>
        <w:t xml:space="preserve">The quantity of </w:t>
      </w:r>
      <w:r w:rsidR="00377EF2" w:rsidRPr="008762B1">
        <w:rPr>
          <w:szCs w:val="22"/>
        </w:rPr>
        <w:t xml:space="preserve">a waste mix type </w:t>
      </w:r>
      <w:r w:rsidRPr="008762B1">
        <w:rPr>
          <w:szCs w:val="22"/>
        </w:rPr>
        <w:t xml:space="preserve">present in eligible waste </w:t>
      </w:r>
      <w:r w:rsidR="009A16AC" w:rsidRPr="008762B1">
        <w:t xml:space="preserve">processed </w:t>
      </w:r>
      <w:r w:rsidR="00181CA6" w:rsidRPr="008762B1">
        <w:t>during a reporting period</w:t>
      </w:r>
      <w:r w:rsidR="00A67136" w:rsidRPr="008762B1">
        <w:rPr>
          <w:szCs w:val="22"/>
        </w:rPr>
        <w:t>, in tonnes,</w:t>
      </w:r>
      <w:r w:rsidRPr="008762B1">
        <w:t xml:space="preserve"> is worked out using the formula (</w:t>
      </w:r>
      <w:r w:rsidR="00FE4577" w:rsidRPr="008762B1">
        <w:rPr>
          <w:b/>
          <w:i/>
        </w:rPr>
        <w:t>equation 5</w:t>
      </w:r>
      <w:r w:rsidRPr="008762B1">
        <w:t>):</w:t>
      </w:r>
    </w:p>
    <w:bookmarkStart w:id="41" w:name="BKCheck15B_8"/>
    <w:bookmarkEnd w:id="41"/>
    <w:p w:rsidR="004260EE" w:rsidRPr="008762B1" w:rsidRDefault="00766D75" w:rsidP="00FB6C46">
      <w:pPr>
        <w:pStyle w:val="subsection"/>
      </w:pPr>
      <w:r w:rsidRPr="008762B1">
        <w:rPr>
          <w:position w:val="-36"/>
        </w:rPr>
        <w:object w:dxaOrig="7860" w:dyaOrig="820">
          <v:shape id="_x0000_i1029" type="#_x0000_t75" style="width:394pt;height:40.3pt" o:ole="">
            <v:imagedata r:id="rId29" o:title=""/>
          </v:shape>
          <o:OLEObject Type="Embed" ProgID="Equation.DSMT4" ShapeID="_x0000_i1029" DrawAspect="Content" ObjectID="_1483176403" r:id="rId30"/>
        </w:object>
      </w:r>
    </w:p>
    <w:p w:rsidR="00D4720B" w:rsidRPr="008762B1" w:rsidRDefault="00D4720B" w:rsidP="00D4720B">
      <w:pPr>
        <w:pStyle w:val="subsection2"/>
      </w:pPr>
      <w:r w:rsidRPr="008762B1">
        <w:t>where:</w:t>
      </w:r>
    </w:p>
    <w:p w:rsidR="00BA0923" w:rsidRPr="008762B1" w:rsidRDefault="00BA0923" w:rsidP="00BA0923">
      <w:pPr>
        <w:pStyle w:val="Definition"/>
      </w:pPr>
      <w:proofErr w:type="spellStart"/>
      <w:r w:rsidRPr="008762B1">
        <w:rPr>
          <w:b/>
          <w:i/>
        </w:rPr>
        <w:t>WM</w:t>
      </w:r>
      <w:r w:rsidRPr="008762B1">
        <w:rPr>
          <w:b/>
          <w:i/>
          <w:vertAlign w:val="subscript"/>
        </w:rPr>
        <w:t>W</w:t>
      </w:r>
      <w:proofErr w:type="spellEnd"/>
      <w:r w:rsidRPr="008762B1">
        <w:t xml:space="preserve"> </w:t>
      </w:r>
      <w:r w:rsidRPr="008762B1">
        <w:rPr>
          <w:szCs w:val="22"/>
        </w:rPr>
        <w:t xml:space="preserve">means the quantity of waste mix type w present in the eligible waste </w:t>
      </w:r>
      <w:r w:rsidRPr="008762B1">
        <w:t>processed during the reporting period</w:t>
      </w:r>
      <w:r w:rsidR="00A67136" w:rsidRPr="008762B1">
        <w:rPr>
          <w:szCs w:val="22"/>
        </w:rPr>
        <w:t>, in tonnes</w:t>
      </w:r>
      <w:r w:rsidRPr="008762B1">
        <w:t>.</w:t>
      </w:r>
    </w:p>
    <w:p w:rsidR="00BA0923" w:rsidRPr="008762B1" w:rsidRDefault="00BA0923" w:rsidP="00BA0923">
      <w:pPr>
        <w:pStyle w:val="Definition"/>
        <w:rPr>
          <w:b/>
          <w:szCs w:val="22"/>
        </w:rPr>
      </w:pPr>
      <w:proofErr w:type="spellStart"/>
      <w:r w:rsidRPr="008762B1">
        <w:rPr>
          <w:b/>
          <w:i/>
        </w:rPr>
        <w:t>Q</w:t>
      </w:r>
      <w:r w:rsidRPr="008762B1">
        <w:rPr>
          <w:b/>
          <w:i/>
          <w:vertAlign w:val="subscript"/>
        </w:rPr>
        <w:t>MSW</w:t>
      </w:r>
      <w:proofErr w:type="spellEnd"/>
      <w:r w:rsidRPr="008762B1">
        <w:t xml:space="preserve"> </w:t>
      </w:r>
      <w:r w:rsidRPr="008762B1">
        <w:rPr>
          <w:szCs w:val="22"/>
        </w:rPr>
        <w:t>means the quantity of the eligible waste that is municipal solid waste,</w:t>
      </w:r>
      <w:r w:rsidR="00A67136" w:rsidRPr="008762B1">
        <w:rPr>
          <w:szCs w:val="22"/>
        </w:rPr>
        <w:t xml:space="preserve"> in tonnes,</w:t>
      </w:r>
      <w:r w:rsidRPr="008762B1">
        <w:rPr>
          <w:szCs w:val="22"/>
        </w:rPr>
        <w:t xml:space="preserve"> worked out in accordance w</w:t>
      </w:r>
      <w:r w:rsidR="006A4FFF" w:rsidRPr="008762B1">
        <w:rPr>
          <w:szCs w:val="22"/>
        </w:rPr>
        <w:t>ith the monitoring requirements</w:t>
      </w:r>
      <w:r w:rsidRPr="008762B1">
        <w:rPr>
          <w:szCs w:val="22"/>
        </w:rPr>
        <w:t>.</w:t>
      </w:r>
    </w:p>
    <w:p w:rsidR="00BA0923" w:rsidRPr="008762B1" w:rsidRDefault="00766D75" w:rsidP="00BA0923">
      <w:pPr>
        <w:pStyle w:val="Definition"/>
        <w:rPr>
          <w:szCs w:val="22"/>
        </w:rPr>
      </w:pPr>
      <w:proofErr w:type="spellStart"/>
      <w:r w:rsidRPr="008762B1">
        <w:rPr>
          <w:b/>
          <w:i/>
        </w:rPr>
        <w:t>E</w:t>
      </w:r>
      <w:r w:rsidR="00BA0923" w:rsidRPr="008762B1">
        <w:rPr>
          <w:b/>
          <w:i/>
        </w:rPr>
        <w:t>W</w:t>
      </w:r>
      <w:proofErr w:type="spellEnd"/>
      <w:r w:rsidR="00BA0923" w:rsidRPr="008762B1">
        <w:t xml:space="preserve"> </w:t>
      </w:r>
      <w:r w:rsidR="00BA0923" w:rsidRPr="008762B1">
        <w:rPr>
          <w:szCs w:val="22"/>
        </w:rPr>
        <w:t xml:space="preserve">means the total quantity of </w:t>
      </w:r>
      <w:r w:rsidR="00BA0923" w:rsidRPr="008762B1">
        <w:rPr>
          <w:color w:val="000000" w:themeColor="text1"/>
          <w:szCs w:val="22"/>
        </w:rPr>
        <w:t>eligible waste received during the reporting per</w:t>
      </w:r>
      <w:r w:rsidR="00FE4577" w:rsidRPr="008762B1">
        <w:rPr>
          <w:color w:val="000000" w:themeColor="text1"/>
          <w:szCs w:val="22"/>
        </w:rPr>
        <w:t>iod,</w:t>
      </w:r>
      <w:r w:rsidR="00A67136" w:rsidRPr="008762B1">
        <w:rPr>
          <w:szCs w:val="22"/>
        </w:rPr>
        <w:t xml:space="preserve"> in tonnes,</w:t>
      </w:r>
      <w:r w:rsidR="00FE4577" w:rsidRPr="008762B1">
        <w:rPr>
          <w:color w:val="000000" w:themeColor="text1"/>
          <w:szCs w:val="22"/>
        </w:rPr>
        <w:t xml:space="preserve"> worked out using equation 7</w:t>
      </w:r>
      <w:r w:rsidR="00BA0923" w:rsidRPr="008762B1">
        <w:rPr>
          <w:color w:val="000000" w:themeColor="text1"/>
          <w:szCs w:val="22"/>
        </w:rPr>
        <w:t>.</w:t>
      </w:r>
    </w:p>
    <w:p w:rsidR="004260EE" w:rsidRPr="008762B1" w:rsidRDefault="004260EE" w:rsidP="004260EE">
      <w:pPr>
        <w:pStyle w:val="Definition"/>
        <w:rPr>
          <w:szCs w:val="22"/>
        </w:rPr>
      </w:pPr>
      <w:r w:rsidRPr="008762B1">
        <w:rPr>
          <w:b/>
          <w:i/>
        </w:rPr>
        <w:t>PW</w:t>
      </w:r>
      <w:r w:rsidRPr="008762B1">
        <w:t xml:space="preserve"> </w:t>
      </w:r>
      <w:r w:rsidR="004B4D4B" w:rsidRPr="008762B1">
        <w:rPr>
          <w:szCs w:val="22"/>
        </w:rPr>
        <w:t xml:space="preserve">means the </w:t>
      </w:r>
      <w:r w:rsidRPr="008762B1">
        <w:rPr>
          <w:szCs w:val="22"/>
        </w:rPr>
        <w:t xml:space="preserve">quantity of </w:t>
      </w:r>
      <w:r w:rsidR="002613A4" w:rsidRPr="008762B1">
        <w:rPr>
          <w:szCs w:val="22"/>
        </w:rPr>
        <w:t>putrescible eligible waste</w:t>
      </w:r>
      <w:r w:rsidR="004B4D4B" w:rsidRPr="008762B1">
        <w:rPr>
          <w:szCs w:val="22"/>
        </w:rPr>
        <w:t xml:space="preserve"> </w:t>
      </w:r>
      <w:r w:rsidR="00EF29EF" w:rsidRPr="008762B1">
        <w:t>processed during the reporting period,</w:t>
      </w:r>
      <w:r w:rsidR="00A67136" w:rsidRPr="008762B1">
        <w:rPr>
          <w:szCs w:val="22"/>
        </w:rPr>
        <w:t xml:space="preserve"> in tonnes,</w:t>
      </w:r>
      <w:r w:rsidR="00EF29EF" w:rsidRPr="008762B1">
        <w:t xml:space="preserve"> </w:t>
      </w:r>
      <w:r w:rsidR="00FE4577" w:rsidRPr="008762B1">
        <w:rPr>
          <w:szCs w:val="22"/>
        </w:rPr>
        <w:t>worked out using equation 6</w:t>
      </w:r>
      <w:r w:rsidR="004B4D4B" w:rsidRPr="008762B1">
        <w:rPr>
          <w:szCs w:val="22"/>
        </w:rPr>
        <w:t>.</w:t>
      </w:r>
    </w:p>
    <w:p w:rsidR="00BA0923" w:rsidRPr="008762B1" w:rsidRDefault="00BA0923" w:rsidP="004260EE">
      <w:pPr>
        <w:pStyle w:val="Definition"/>
        <w:rPr>
          <w:szCs w:val="22"/>
        </w:rPr>
      </w:pPr>
      <w:proofErr w:type="spellStart"/>
      <w:r w:rsidRPr="008762B1">
        <w:rPr>
          <w:b/>
          <w:i/>
        </w:rPr>
        <w:t>W</w:t>
      </w:r>
      <w:r w:rsidRPr="008762B1">
        <w:rPr>
          <w:b/>
          <w:i/>
          <w:vertAlign w:val="subscript"/>
        </w:rPr>
        <w:t>MSW</w:t>
      </w:r>
      <w:r w:rsidR="007E584D" w:rsidRPr="008762B1">
        <w:rPr>
          <w:b/>
          <w:i/>
          <w:vertAlign w:val="subscript"/>
        </w:rPr>
        <w:t>,</w:t>
      </w:r>
      <w:r w:rsidRPr="008762B1">
        <w:rPr>
          <w:b/>
          <w:i/>
          <w:vertAlign w:val="subscript"/>
        </w:rPr>
        <w:t>w</w:t>
      </w:r>
      <w:proofErr w:type="spellEnd"/>
      <w:r w:rsidRPr="008762B1">
        <w:rPr>
          <w:szCs w:val="22"/>
        </w:rPr>
        <w:t xml:space="preserve"> means the proportion of waste mix type w in the eligible waste that is municipal solid waste, worked out in accordance with </w:t>
      </w:r>
      <w:r w:rsidR="008762B1" w:rsidRPr="008762B1">
        <w:rPr>
          <w:szCs w:val="22"/>
        </w:rPr>
        <w:t>subsection (</w:t>
      </w:r>
      <w:r w:rsidR="006B0D7A" w:rsidRPr="008762B1">
        <w:rPr>
          <w:szCs w:val="22"/>
        </w:rPr>
        <w:t>2)</w:t>
      </w:r>
      <w:r w:rsidRPr="008762B1">
        <w:rPr>
          <w:szCs w:val="22"/>
        </w:rPr>
        <w:t>.</w:t>
      </w:r>
    </w:p>
    <w:p w:rsidR="004260EE" w:rsidRPr="008762B1" w:rsidRDefault="004260EE" w:rsidP="004260EE">
      <w:pPr>
        <w:pStyle w:val="Definition"/>
        <w:rPr>
          <w:szCs w:val="22"/>
        </w:rPr>
      </w:pPr>
      <w:proofErr w:type="spellStart"/>
      <w:r w:rsidRPr="008762B1">
        <w:rPr>
          <w:b/>
          <w:i/>
        </w:rPr>
        <w:t>Q</w:t>
      </w:r>
      <w:r w:rsidRPr="008762B1">
        <w:rPr>
          <w:b/>
          <w:i/>
          <w:vertAlign w:val="subscript"/>
        </w:rPr>
        <w:t>C&amp;D</w:t>
      </w:r>
      <w:proofErr w:type="spellEnd"/>
      <w:r w:rsidRPr="008762B1">
        <w:t xml:space="preserve"> </w:t>
      </w:r>
      <w:r w:rsidR="00753D8F" w:rsidRPr="008762B1">
        <w:rPr>
          <w:szCs w:val="22"/>
        </w:rPr>
        <w:t xml:space="preserve">means the </w:t>
      </w:r>
      <w:r w:rsidRPr="008762B1">
        <w:rPr>
          <w:szCs w:val="22"/>
        </w:rPr>
        <w:t xml:space="preserve">quantity of </w:t>
      </w:r>
      <w:r w:rsidR="00C73168" w:rsidRPr="008762B1">
        <w:rPr>
          <w:szCs w:val="22"/>
        </w:rPr>
        <w:t xml:space="preserve">the </w:t>
      </w:r>
      <w:r w:rsidR="002613A4" w:rsidRPr="008762B1">
        <w:rPr>
          <w:szCs w:val="22"/>
        </w:rPr>
        <w:t>eligible</w:t>
      </w:r>
      <w:r w:rsidR="00C73168" w:rsidRPr="008762B1">
        <w:rPr>
          <w:szCs w:val="22"/>
        </w:rPr>
        <w:t xml:space="preserve"> waste that is</w:t>
      </w:r>
      <w:r w:rsidR="002613A4" w:rsidRPr="008762B1">
        <w:rPr>
          <w:szCs w:val="22"/>
        </w:rPr>
        <w:t xml:space="preserve"> </w:t>
      </w:r>
      <w:r w:rsidRPr="008762B1">
        <w:rPr>
          <w:szCs w:val="22"/>
        </w:rPr>
        <w:t xml:space="preserve">construction and demolition </w:t>
      </w:r>
      <w:r w:rsidR="00753D8F" w:rsidRPr="008762B1">
        <w:rPr>
          <w:szCs w:val="22"/>
        </w:rPr>
        <w:t>waste,</w:t>
      </w:r>
      <w:r w:rsidR="00A67136" w:rsidRPr="008762B1">
        <w:rPr>
          <w:szCs w:val="22"/>
        </w:rPr>
        <w:t xml:space="preserve"> in tonnes,</w:t>
      </w:r>
      <w:r w:rsidR="00753D8F" w:rsidRPr="008762B1">
        <w:rPr>
          <w:szCs w:val="22"/>
        </w:rPr>
        <w:t xml:space="preserve"> </w:t>
      </w:r>
      <w:r w:rsidR="00377EF2" w:rsidRPr="008762B1">
        <w:rPr>
          <w:szCs w:val="22"/>
        </w:rPr>
        <w:t>worked out in accordance w</w:t>
      </w:r>
      <w:r w:rsidR="006A4FFF" w:rsidRPr="008762B1">
        <w:rPr>
          <w:szCs w:val="22"/>
        </w:rPr>
        <w:t>ith the monitoring requirements</w:t>
      </w:r>
      <w:r w:rsidR="00276D62" w:rsidRPr="008762B1">
        <w:rPr>
          <w:szCs w:val="22"/>
        </w:rPr>
        <w:t>.</w:t>
      </w:r>
    </w:p>
    <w:p w:rsidR="00BA0923" w:rsidRPr="008762B1" w:rsidRDefault="00BA0923" w:rsidP="00BA0923">
      <w:pPr>
        <w:pStyle w:val="Definition"/>
        <w:rPr>
          <w:color w:val="000000" w:themeColor="text1"/>
          <w:szCs w:val="22"/>
        </w:rPr>
      </w:pPr>
      <w:proofErr w:type="spellStart"/>
      <w:r w:rsidRPr="008762B1">
        <w:rPr>
          <w:b/>
          <w:i/>
        </w:rPr>
        <w:t>W</w:t>
      </w:r>
      <w:r w:rsidRPr="008762B1">
        <w:rPr>
          <w:b/>
          <w:i/>
          <w:vertAlign w:val="subscript"/>
        </w:rPr>
        <w:t>C&amp;D</w:t>
      </w:r>
      <w:r w:rsidR="007E584D" w:rsidRPr="008762B1">
        <w:rPr>
          <w:b/>
          <w:i/>
          <w:vertAlign w:val="subscript"/>
        </w:rPr>
        <w:t>,</w:t>
      </w:r>
      <w:r w:rsidRPr="008762B1">
        <w:rPr>
          <w:b/>
          <w:i/>
          <w:vertAlign w:val="subscript"/>
        </w:rPr>
        <w:t>w</w:t>
      </w:r>
      <w:proofErr w:type="spellEnd"/>
      <w:r w:rsidRPr="008762B1">
        <w:t xml:space="preserve"> </w:t>
      </w:r>
      <w:r w:rsidRPr="008762B1">
        <w:rPr>
          <w:szCs w:val="22"/>
        </w:rPr>
        <w:t xml:space="preserve">means the proportion of waste mix type w in the eligible waste that is construction and demolition waste, worked out in accordance with </w:t>
      </w:r>
      <w:r w:rsidR="008762B1" w:rsidRPr="008762B1">
        <w:rPr>
          <w:szCs w:val="22"/>
        </w:rPr>
        <w:t>subsection (</w:t>
      </w:r>
      <w:r w:rsidR="006B0D7A" w:rsidRPr="008762B1">
        <w:rPr>
          <w:szCs w:val="22"/>
        </w:rPr>
        <w:t>2)</w:t>
      </w:r>
      <w:r w:rsidRPr="008762B1">
        <w:rPr>
          <w:szCs w:val="22"/>
        </w:rPr>
        <w:t>.</w:t>
      </w:r>
    </w:p>
    <w:p w:rsidR="004260EE" w:rsidRPr="008762B1" w:rsidRDefault="004260EE" w:rsidP="004260EE">
      <w:pPr>
        <w:pStyle w:val="Definition"/>
        <w:rPr>
          <w:szCs w:val="22"/>
        </w:rPr>
      </w:pPr>
      <w:proofErr w:type="spellStart"/>
      <w:r w:rsidRPr="008762B1">
        <w:rPr>
          <w:b/>
          <w:i/>
        </w:rPr>
        <w:t>Q</w:t>
      </w:r>
      <w:r w:rsidRPr="008762B1">
        <w:rPr>
          <w:b/>
          <w:i/>
          <w:vertAlign w:val="subscript"/>
        </w:rPr>
        <w:t>C&amp;I</w:t>
      </w:r>
      <w:proofErr w:type="spellEnd"/>
      <w:r w:rsidRPr="008762B1">
        <w:t xml:space="preserve"> </w:t>
      </w:r>
      <w:r w:rsidR="00753D8F" w:rsidRPr="008762B1">
        <w:rPr>
          <w:szCs w:val="22"/>
        </w:rPr>
        <w:t>means th</w:t>
      </w:r>
      <w:r w:rsidR="00276D62" w:rsidRPr="008762B1">
        <w:rPr>
          <w:szCs w:val="22"/>
        </w:rPr>
        <w:t>e</w:t>
      </w:r>
      <w:r w:rsidR="00753D8F" w:rsidRPr="008762B1">
        <w:rPr>
          <w:szCs w:val="22"/>
        </w:rPr>
        <w:t xml:space="preserve"> </w:t>
      </w:r>
      <w:r w:rsidRPr="008762B1">
        <w:rPr>
          <w:szCs w:val="22"/>
        </w:rPr>
        <w:t xml:space="preserve">quantity of </w:t>
      </w:r>
      <w:r w:rsidR="00C73168" w:rsidRPr="008762B1">
        <w:rPr>
          <w:szCs w:val="22"/>
        </w:rPr>
        <w:t xml:space="preserve">the </w:t>
      </w:r>
      <w:r w:rsidR="002613A4" w:rsidRPr="008762B1">
        <w:rPr>
          <w:szCs w:val="22"/>
        </w:rPr>
        <w:t>eligible</w:t>
      </w:r>
      <w:r w:rsidR="00AB278D" w:rsidRPr="008762B1">
        <w:rPr>
          <w:szCs w:val="22"/>
        </w:rPr>
        <w:t xml:space="preserve"> waste that</w:t>
      </w:r>
      <w:r w:rsidR="00C73168" w:rsidRPr="008762B1">
        <w:rPr>
          <w:szCs w:val="22"/>
        </w:rPr>
        <w:t xml:space="preserve"> is</w:t>
      </w:r>
      <w:r w:rsidR="002613A4" w:rsidRPr="008762B1">
        <w:rPr>
          <w:szCs w:val="22"/>
        </w:rPr>
        <w:t xml:space="preserve"> </w:t>
      </w:r>
      <w:r w:rsidRPr="008762B1">
        <w:rPr>
          <w:szCs w:val="22"/>
        </w:rPr>
        <w:t xml:space="preserve">commercial and industrial </w:t>
      </w:r>
      <w:r w:rsidR="00753D8F" w:rsidRPr="008762B1">
        <w:rPr>
          <w:szCs w:val="22"/>
        </w:rPr>
        <w:t>waste,</w:t>
      </w:r>
      <w:r w:rsidR="00A67136" w:rsidRPr="008762B1">
        <w:rPr>
          <w:szCs w:val="22"/>
        </w:rPr>
        <w:t xml:space="preserve"> in tonnes,</w:t>
      </w:r>
      <w:r w:rsidR="00753D8F" w:rsidRPr="008762B1">
        <w:rPr>
          <w:szCs w:val="22"/>
        </w:rPr>
        <w:t xml:space="preserve"> </w:t>
      </w:r>
      <w:r w:rsidR="00377EF2" w:rsidRPr="008762B1">
        <w:rPr>
          <w:szCs w:val="22"/>
        </w:rPr>
        <w:t>worked out in accordance with</w:t>
      </w:r>
      <w:r w:rsidR="006A4FFF" w:rsidRPr="008762B1">
        <w:rPr>
          <w:szCs w:val="22"/>
        </w:rPr>
        <w:t xml:space="preserve"> the monitoring requirements</w:t>
      </w:r>
      <w:r w:rsidR="00753D8F" w:rsidRPr="008762B1">
        <w:rPr>
          <w:szCs w:val="22"/>
        </w:rPr>
        <w:t>.</w:t>
      </w:r>
    </w:p>
    <w:p w:rsidR="004260EE" w:rsidRPr="008762B1" w:rsidRDefault="004260EE" w:rsidP="004260EE">
      <w:pPr>
        <w:pStyle w:val="Definition"/>
        <w:rPr>
          <w:szCs w:val="22"/>
        </w:rPr>
      </w:pPr>
      <w:proofErr w:type="spellStart"/>
      <w:r w:rsidRPr="008762B1">
        <w:rPr>
          <w:b/>
          <w:i/>
        </w:rPr>
        <w:t>W</w:t>
      </w:r>
      <w:r w:rsidRPr="008762B1">
        <w:rPr>
          <w:b/>
          <w:i/>
          <w:vertAlign w:val="subscript"/>
        </w:rPr>
        <w:t>C&amp;I</w:t>
      </w:r>
      <w:r w:rsidR="007E584D" w:rsidRPr="008762B1">
        <w:rPr>
          <w:b/>
          <w:i/>
          <w:vertAlign w:val="subscript"/>
        </w:rPr>
        <w:t>,</w:t>
      </w:r>
      <w:r w:rsidRPr="008762B1">
        <w:rPr>
          <w:b/>
          <w:i/>
          <w:vertAlign w:val="subscript"/>
        </w:rPr>
        <w:t>w</w:t>
      </w:r>
      <w:proofErr w:type="spellEnd"/>
      <w:r w:rsidRPr="008762B1">
        <w:t xml:space="preserve"> </w:t>
      </w:r>
      <w:r w:rsidR="00753D8F" w:rsidRPr="008762B1">
        <w:rPr>
          <w:szCs w:val="22"/>
        </w:rPr>
        <w:t xml:space="preserve">means the </w:t>
      </w:r>
      <w:r w:rsidRPr="008762B1">
        <w:rPr>
          <w:szCs w:val="22"/>
        </w:rPr>
        <w:t xml:space="preserve">proportion of waste mix type w in the eligible waste </w:t>
      </w:r>
      <w:r w:rsidR="006E3AC0" w:rsidRPr="008762B1">
        <w:rPr>
          <w:szCs w:val="22"/>
        </w:rPr>
        <w:t>that is</w:t>
      </w:r>
      <w:r w:rsidRPr="008762B1">
        <w:rPr>
          <w:szCs w:val="22"/>
        </w:rPr>
        <w:t xml:space="preserve"> commercial and industrial </w:t>
      </w:r>
      <w:r w:rsidR="006E3AC0" w:rsidRPr="008762B1">
        <w:rPr>
          <w:szCs w:val="22"/>
        </w:rPr>
        <w:t xml:space="preserve">waste, worked out in accordance with </w:t>
      </w:r>
      <w:r w:rsidR="008762B1" w:rsidRPr="008762B1">
        <w:rPr>
          <w:szCs w:val="22"/>
        </w:rPr>
        <w:t>subsection (</w:t>
      </w:r>
      <w:r w:rsidR="006E3AC0" w:rsidRPr="008762B1">
        <w:rPr>
          <w:szCs w:val="22"/>
        </w:rPr>
        <w:t>2)</w:t>
      </w:r>
      <w:r w:rsidRPr="008762B1">
        <w:rPr>
          <w:szCs w:val="22"/>
        </w:rPr>
        <w:t>.</w:t>
      </w:r>
    </w:p>
    <w:p w:rsidR="008D59A9" w:rsidRPr="008762B1" w:rsidRDefault="00766D75" w:rsidP="002A23C7">
      <w:pPr>
        <w:pStyle w:val="Definition"/>
      </w:pPr>
      <w:r w:rsidRPr="008762B1">
        <w:rPr>
          <w:b/>
          <w:i/>
        </w:rPr>
        <w:t>w</w:t>
      </w:r>
      <w:r w:rsidRPr="008762B1">
        <w:t xml:space="preserve"> </w:t>
      </w:r>
      <w:r w:rsidRPr="008762B1">
        <w:rPr>
          <w:szCs w:val="22"/>
        </w:rPr>
        <w:t>means a waste mix type present in the eligible waste.</w:t>
      </w:r>
    </w:p>
    <w:p w:rsidR="00CC18AC" w:rsidRPr="008762B1" w:rsidRDefault="008D59A9" w:rsidP="006570CB">
      <w:pPr>
        <w:pStyle w:val="subsection"/>
        <w:rPr>
          <w:szCs w:val="22"/>
        </w:rPr>
      </w:pPr>
      <w:r w:rsidRPr="008762B1">
        <w:tab/>
      </w:r>
      <w:r w:rsidR="00CC18AC" w:rsidRPr="008762B1">
        <w:t>(2)</w:t>
      </w:r>
      <w:r w:rsidR="00CC18AC" w:rsidRPr="008762B1">
        <w:tab/>
        <w:t xml:space="preserve">The proportion of </w:t>
      </w:r>
      <w:r w:rsidR="00CC18AC" w:rsidRPr="008762B1">
        <w:rPr>
          <w:szCs w:val="22"/>
        </w:rPr>
        <w:t xml:space="preserve">waste mix type w in the eligible waste that is construction and demolition waste, commercial and industrial waste or municipal solid waste (a </w:t>
      </w:r>
      <w:r w:rsidR="00CC18AC" w:rsidRPr="008762B1">
        <w:rPr>
          <w:b/>
          <w:i/>
          <w:szCs w:val="22"/>
        </w:rPr>
        <w:t>waste stream</w:t>
      </w:r>
      <w:r w:rsidR="00CC18AC" w:rsidRPr="008762B1">
        <w:rPr>
          <w:szCs w:val="22"/>
        </w:rPr>
        <w:t>) is:</w:t>
      </w:r>
    </w:p>
    <w:p w:rsidR="00CC18AC" w:rsidRPr="008762B1" w:rsidRDefault="00CC18AC" w:rsidP="00CC18AC">
      <w:pPr>
        <w:pStyle w:val="paragraph"/>
        <w:rPr>
          <w:szCs w:val="22"/>
        </w:rPr>
      </w:pPr>
      <w:r w:rsidRPr="008762B1">
        <w:tab/>
        <w:t>(a)</w:t>
      </w:r>
      <w:r w:rsidRPr="008762B1">
        <w:tab/>
        <w:t xml:space="preserve">if </w:t>
      </w:r>
      <w:r w:rsidR="001566E0" w:rsidRPr="008762B1">
        <w:t xml:space="preserve">inert waste is </w:t>
      </w:r>
      <w:r w:rsidR="008D59A9" w:rsidRPr="008762B1">
        <w:t>a</w:t>
      </w:r>
      <w:r w:rsidRPr="008762B1">
        <w:t xml:space="preserve"> waste mix type </w:t>
      </w:r>
      <w:r w:rsidR="008D59A9" w:rsidRPr="008762B1">
        <w:t>in the eligible wa</w:t>
      </w:r>
      <w:r w:rsidR="001566E0" w:rsidRPr="008762B1">
        <w:t>ste</w:t>
      </w:r>
      <w:r w:rsidRPr="008762B1">
        <w:t>—</w:t>
      </w:r>
      <w:r w:rsidR="002A23C7" w:rsidRPr="008762B1">
        <w:rPr>
          <w:szCs w:val="22"/>
        </w:rPr>
        <w:t xml:space="preserve">the percentage worked out </w:t>
      </w:r>
      <w:r w:rsidR="003C4CBE" w:rsidRPr="008762B1">
        <w:rPr>
          <w:szCs w:val="22"/>
        </w:rPr>
        <w:t xml:space="preserve">for the waste mix type and waste stream </w:t>
      </w:r>
      <w:r w:rsidR="002A23C7" w:rsidRPr="008762B1">
        <w:rPr>
          <w:szCs w:val="22"/>
        </w:rPr>
        <w:t>under subsection</w:t>
      </w:r>
      <w:r w:rsidR="008762B1" w:rsidRPr="008762B1">
        <w:rPr>
          <w:szCs w:val="22"/>
        </w:rPr>
        <w:t> </w:t>
      </w:r>
      <w:r w:rsidR="002A23C7" w:rsidRPr="008762B1">
        <w:rPr>
          <w:szCs w:val="22"/>
        </w:rPr>
        <w:t xml:space="preserve">5.11(3) of the </w:t>
      </w:r>
      <w:proofErr w:type="spellStart"/>
      <w:r w:rsidR="002A23C7" w:rsidRPr="008762B1">
        <w:rPr>
          <w:szCs w:val="22"/>
        </w:rPr>
        <w:t>NGER</w:t>
      </w:r>
      <w:proofErr w:type="spellEnd"/>
      <w:r w:rsidR="002A23C7" w:rsidRPr="008762B1">
        <w:rPr>
          <w:szCs w:val="22"/>
        </w:rPr>
        <w:t xml:space="preserve"> (Measurement) Determination</w:t>
      </w:r>
      <w:r w:rsidR="003C4CBE" w:rsidRPr="008762B1">
        <w:rPr>
          <w:szCs w:val="22"/>
        </w:rPr>
        <w:t xml:space="preserve">, as that subsection applies for the purposes of this </w:t>
      </w:r>
      <w:r w:rsidR="008762B1" w:rsidRPr="008762B1">
        <w:rPr>
          <w:szCs w:val="22"/>
        </w:rPr>
        <w:t>paragraph (</w:t>
      </w:r>
      <w:r w:rsidR="001566E0" w:rsidRPr="008762B1">
        <w:rPr>
          <w:szCs w:val="22"/>
        </w:rPr>
        <w:t xml:space="preserve">see </w:t>
      </w:r>
      <w:r w:rsidR="008762B1" w:rsidRPr="008762B1">
        <w:rPr>
          <w:szCs w:val="22"/>
        </w:rPr>
        <w:t>subsection (</w:t>
      </w:r>
      <w:r w:rsidR="001566E0" w:rsidRPr="008762B1">
        <w:rPr>
          <w:szCs w:val="22"/>
        </w:rPr>
        <w:t>3))</w:t>
      </w:r>
      <w:r w:rsidRPr="008762B1">
        <w:rPr>
          <w:szCs w:val="22"/>
        </w:rPr>
        <w:t>; or</w:t>
      </w:r>
    </w:p>
    <w:p w:rsidR="00CC18AC" w:rsidRPr="008762B1" w:rsidRDefault="00CC18AC" w:rsidP="00CC18AC">
      <w:pPr>
        <w:pStyle w:val="paragraph"/>
        <w:rPr>
          <w:szCs w:val="22"/>
        </w:rPr>
      </w:pPr>
      <w:r w:rsidRPr="008762B1">
        <w:rPr>
          <w:szCs w:val="22"/>
        </w:rPr>
        <w:tab/>
        <w:t>(b)</w:t>
      </w:r>
      <w:r w:rsidRPr="008762B1">
        <w:rPr>
          <w:szCs w:val="22"/>
        </w:rPr>
        <w:tab/>
        <w:t xml:space="preserve">if </w:t>
      </w:r>
      <w:r w:rsidR="008762B1" w:rsidRPr="008762B1">
        <w:rPr>
          <w:szCs w:val="22"/>
        </w:rPr>
        <w:t>paragraph (</w:t>
      </w:r>
      <w:r w:rsidR="008D59A9" w:rsidRPr="008762B1">
        <w:rPr>
          <w:szCs w:val="22"/>
        </w:rPr>
        <w:t xml:space="preserve">a) does not apply and </w:t>
      </w:r>
      <w:r w:rsidRPr="008762B1">
        <w:t xml:space="preserve">the licence or other authorisation that authorises the operation of the project’s </w:t>
      </w:r>
      <w:proofErr w:type="spellStart"/>
      <w:r w:rsidRPr="008762B1">
        <w:t>AWT</w:t>
      </w:r>
      <w:proofErr w:type="spellEnd"/>
      <w:r w:rsidRPr="008762B1">
        <w:t xml:space="preserve"> facility restricts the waste mix types that may be received at the facility—</w:t>
      </w:r>
      <w:r w:rsidRPr="008762B1">
        <w:rPr>
          <w:szCs w:val="22"/>
        </w:rPr>
        <w:t xml:space="preserve">the percentage worked out </w:t>
      </w:r>
      <w:r w:rsidR="003C4CBE" w:rsidRPr="008762B1">
        <w:rPr>
          <w:szCs w:val="22"/>
        </w:rPr>
        <w:t xml:space="preserve">for the waste mix type and waste stream </w:t>
      </w:r>
      <w:r w:rsidRPr="008762B1">
        <w:rPr>
          <w:szCs w:val="22"/>
        </w:rPr>
        <w:t>under subsection</w:t>
      </w:r>
      <w:r w:rsidR="008762B1" w:rsidRPr="008762B1">
        <w:rPr>
          <w:szCs w:val="22"/>
        </w:rPr>
        <w:t> </w:t>
      </w:r>
      <w:r w:rsidRPr="008762B1">
        <w:rPr>
          <w:szCs w:val="22"/>
        </w:rPr>
        <w:t xml:space="preserve">5.11(3) of the </w:t>
      </w:r>
      <w:proofErr w:type="spellStart"/>
      <w:r w:rsidRPr="008762B1">
        <w:rPr>
          <w:szCs w:val="22"/>
        </w:rPr>
        <w:lastRenderedPageBreak/>
        <w:t>NGER</w:t>
      </w:r>
      <w:proofErr w:type="spellEnd"/>
      <w:r w:rsidRPr="008762B1">
        <w:rPr>
          <w:szCs w:val="22"/>
        </w:rPr>
        <w:t xml:space="preserve"> (Measurement) Determination</w:t>
      </w:r>
      <w:r w:rsidR="002A23C7" w:rsidRPr="008762B1">
        <w:rPr>
          <w:szCs w:val="22"/>
        </w:rPr>
        <w:t xml:space="preserve">, as that subsection applies for the purposes of this </w:t>
      </w:r>
      <w:r w:rsidR="008762B1" w:rsidRPr="008762B1">
        <w:rPr>
          <w:szCs w:val="22"/>
        </w:rPr>
        <w:t>paragraph (</w:t>
      </w:r>
      <w:r w:rsidR="001566E0" w:rsidRPr="008762B1">
        <w:rPr>
          <w:szCs w:val="22"/>
        </w:rPr>
        <w:t xml:space="preserve">see </w:t>
      </w:r>
      <w:r w:rsidR="008762B1" w:rsidRPr="008762B1">
        <w:rPr>
          <w:szCs w:val="22"/>
        </w:rPr>
        <w:t>subsection (</w:t>
      </w:r>
      <w:r w:rsidR="001566E0" w:rsidRPr="008762B1">
        <w:rPr>
          <w:szCs w:val="22"/>
        </w:rPr>
        <w:t>4))</w:t>
      </w:r>
      <w:r w:rsidRPr="008762B1">
        <w:rPr>
          <w:szCs w:val="22"/>
        </w:rPr>
        <w:t>; or</w:t>
      </w:r>
    </w:p>
    <w:p w:rsidR="00CC18AC" w:rsidRPr="008762B1" w:rsidRDefault="00CC18AC" w:rsidP="00CC18AC">
      <w:pPr>
        <w:pStyle w:val="paragraph"/>
        <w:rPr>
          <w:szCs w:val="22"/>
        </w:rPr>
      </w:pPr>
      <w:r w:rsidRPr="008762B1">
        <w:tab/>
        <w:t>(c)</w:t>
      </w:r>
      <w:r w:rsidRPr="008762B1">
        <w:tab/>
      </w:r>
      <w:r w:rsidR="008D59A9" w:rsidRPr="008762B1">
        <w:t xml:space="preserve">if </w:t>
      </w:r>
      <w:r w:rsidR="008762B1" w:rsidRPr="008762B1">
        <w:t>paragraphs (</w:t>
      </w:r>
      <w:r w:rsidR="008D59A9" w:rsidRPr="008762B1">
        <w:t>a) and (b) do not apply</w:t>
      </w:r>
      <w:r w:rsidRPr="008762B1">
        <w:t>—</w:t>
      </w:r>
      <w:r w:rsidR="005027AD" w:rsidRPr="008762B1">
        <w:rPr>
          <w:szCs w:val="22"/>
        </w:rPr>
        <w:t>the default percentage mentioned in paragraph</w:t>
      </w:r>
      <w:r w:rsidR="008762B1" w:rsidRPr="008762B1">
        <w:rPr>
          <w:szCs w:val="22"/>
        </w:rPr>
        <w:t> </w:t>
      </w:r>
      <w:r w:rsidR="005027AD" w:rsidRPr="008762B1">
        <w:rPr>
          <w:szCs w:val="22"/>
        </w:rPr>
        <w:t xml:space="preserve">5.11(2)(c) of the </w:t>
      </w:r>
      <w:proofErr w:type="spellStart"/>
      <w:r w:rsidR="005027AD" w:rsidRPr="008762B1">
        <w:rPr>
          <w:szCs w:val="22"/>
        </w:rPr>
        <w:t>NGER</w:t>
      </w:r>
      <w:proofErr w:type="spellEnd"/>
      <w:r w:rsidR="005027AD" w:rsidRPr="008762B1">
        <w:rPr>
          <w:szCs w:val="22"/>
        </w:rPr>
        <w:t xml:space="preserve"> (Measurement) Determination for the waste mix type and waste stream.</w:t>
      </w:r>
    </w:p>
    <w:p w:rsidR="009A7668" w:rsidRPr="008762B1" w:rsidRDefault="005027AD" w:rsidP="005027AD">
      <w:pPr>
        <w:pStyle w:val="subsection"/>
      </w:pPr>
      <w:r w:rsidRPr="008762B1">
        <w:tab/>
        <w:t>(3)</w:t>
      </w:r>
      <w:r w:rsidRPr="008762B1">
        <w:tab/>
      </w:r>
      <w:r w:rsidR="000E02DA" w:rsidRPr="008762B1">
        <w:rPr>
          <w:szCs w:val="22"/>
        </w:rPr>
        <w:t>F</w:t>
      </w:r>
      <w:r w:rsidR="000E02DA" w:rsidRPr="008762B1">
        <w:t xml:space="preserve">or the purposes of </w:t>
      </w:r>
      <w:r w:rsidR="008762B1" w:rsidRPr="008762B1">
        <w:t>paragraph (</w:t>
      </w:r>
      <w:r w:rsidR="000E02DA" w:rsidRPr="008762B1">
        <w:t>2)(a), s</w:t>
      </w:r>
      <w:r w:rsidR="002A23C7" w:rsidRPr="008762B1">
        <w:rPr>
          <w:szCs w:val="22"/>
        </w:rPr>
        <w:t>ubsection</w:t>
      </w:r>
      <w:r w:rsidR="008762B1" w:rsidRPr="008762B1">
        <w:rPr>
          <w:szCs w:val="22"/>
        </w:rPr>
        <w:t> </w:t>
      </w:r>
      <w:r w:rsidR="002A23C7" w:rsidRPr="008762B1">
        <w:rPr>
          <w:szCs w:val="22"/>
        </w:rPr>
        <w:t xml:space="preserve">5.11(3) of the </w:t>
      </w:r>
      <w:proofErr w:type="spellStart"/>
      <w:r w:rsidR="002A23C7" w:rsidRPr="008762B1">
        <w:rPr>
          <w:szCs w:val="22"/>
        </w:rPr>
        <w:t>NGER</w:t>
      </w:r>
      <w:proofErr w:type="spellEnd"/>
      <w:r w:rsidR="002A23C7" w:rsidRPr="008762B1">
        <w:rPr>
          <w:szCs w:val="22"/>
        </w:rPr>
        <w:t xml:space="preserve"> (Measurement) Determination applies </w:t>
      </w:r>
      <w:r w:rsidR="002A23C7" w:rsidRPr="008762B1">
        <w:t>as if:</w:t>
      </w:r>
    </w:p>
    <w:p w:rsidR="001135A2" w:rsidRPr="008762B1" w:rsidRDefault="009A7668" w:rsidP="009A7668">
      <w:pPr>
        <w:pStyle w:val="paragraph"/>
      </w:pPr>
      <w:r w:rsidRPr="008762B1">
        <w:tab/>
        <w:t>(a)</w:t>
      </w:r>
      <w:r w:rsidRPr="008762B1">
        <w:tab/>
      </w:r>
      <w:r w:rsidR="001135A2" w:rsidRPr="008762B1">
        <w:t>a reference to “the landfill”</w:t>
      </w:r>
      <w:r w:rsidR="003C4CBE" w:rsidRPr="008762B1">
        <w:t xml:space="preserve"> were a reference to the project’s </w:t>
      </w:r>
      <w:proofErr w:type="spellStart"/>
      <w:r w:rsidR="003C4CBE" w:rsidRPr="008762B1">
        <w:t>AWT</w:t>
      </w:r>
      <w:proofErr w:type="spellEnd"/>
      <w:r w:rsidR="003C4CBE" w:rsidRPr="008762B1">
        <w:t xml:space="preserve"> facility; and</w:t>
      </w:r>
    </w:p>
    <w:p w:rsidR="003C4CBE" w:rsidRPr="008762B1" w:rsidRDefault="003C4CBE" w:rsidP="009A7668">
      <w:pPr>
        <w:pStyle w:val="paragraph"/>
      </w:pPr>
      <w:r w:rsidRPr="008762B1">
        <w:tab/>
        <w:t>(b)</w:t>
      </w:r>
      <w:r w:rsidRPr="008762B1">
        <w:tab/>
        <w:t xml:space="preserve">a licence or other authorisation authorising the operation of the </w:t>
      </w:r>
      <w:proofErr w:type="spellStart"/>
      <w:r w:rsidRPr="008762B1">
        <w:t>AWT</w:t>
      </w:r>
      <w:proofErr w:type="spellEnd"/>
      <w:r w:rsidRPr="008762B1">
        <w:t xml:space="preserve"> facility restricted the waste mix types that may be received at the </w:t>
      </w:r>
      <w:proofErr w:type="spellStart"/>
      <w:r w:rsidRPr="008762B1">
        <w:t>AWT</w:t>
      </w:r>
      <w:proofErr w:type="spellEnd"/>
      <w:r w:rsidRPr="008762B1">
        <w:t xml:space="preserve"> facility; and</w:t>
      </w:r>
    </w:p>
    <w:p w:rsidR="000E02DA" w:rsidRPr="008762B1" w:rsidRDefault="003C4CBE" w:rsidP="000E02DA">
      <w:pPr>
        <w:pStyle w:val="paragraph"/>
      </w:pPr>
      <w:r w:rsidRPr="008762B1">
        <w:tab/>
        <w:t>(c)</w:t>
      </w:r>
      <w:r w:rsidRPr="008762B1">
        <w:tab/>
      </w:r>
      <w:r w:rsidR="000E02DA" w:rsidRPr="008762B1">
        <w:t xml:space="preserve">inert waste were </w:t>
      </w:r>
      <w:r w:rsidRPr="008762B1">
        <w:t>a</w:t>
      </w:r>
      <w:r w:rsidR="000E02DA" w:rsidRPr="008762B1">
        <w:t xml:space="preserve"> restricted waste mix type; and</w:t>
      </w:r>
    </w:p>
    <w:p w:rsidR="003C4CBE" w:rsidRPr="008762B1" w:rsidRDefault="003C4CBE" w:rsidP="000E02DA">
      <w:pPr>
        <w:pStyle w:val="paragraph"/>
      </w:pPr>
      <w:r w:rsidRPr="008762B1">
        <w:tab/>
        <w:t>(d)</w:t>
      </w:r>
      <w:r w:rsidRPr="008762B1">
        <w:tab/>
      </w:r>
      <w:r w:rsidR="00B4483D" w:rsidRPr="008762B1">
        <w:t>each</w:t>
      </w:r>
      <w:r w:rsidR="006B0D7A" w:rsidRPr="008762B1">
        <w:t xml:space="preserve"> </w:t>
      </w:r>
      <w:r w:rsidRPr="008762B1">
        <w:t xml:space="preserve">waste mix type other than inert waste were </w:t>
      </w:r>
      <w:r w:rsidR="006B0D7A" w:rsidRPr="008762B1">
        <w:t xml:space="preserve">an </w:t>
      </w:r>
      <w:r w:rsidRPr="008762B1">
        <w:t>unrestricted waste mix type; and</w:t>
      </w:r>
    </w:p>
    <w:p w:rsidR="000E02DA" w:rsidRPr="008762B1" w:rsidRDefault="000E02DA" w:rsidP="000E02DA">
      <w:pPr>
        <w:pStyle w:val="paragraph"/>
      </w:pPr>
      <w:r w:rsidRPr="008762B1">
        <w:tab/>
      </w:r>
      <w:r w:rsidR="006B0D7A" w:rsidRPr="008762B1">
        <w:t>(e</w:t>
      </w:r>
      <w:r w:rsidRPr="008762B1">
        <w:t>)</w:t>
      </w:r>
      <w:r w:rsidRPr="008762B1">
        <w:tab/>
        <w:t xml:space="preserve">the maximum permitted tonnage of inert waste received at the </w:t>
      </w:r>
      <w:proofErr w:type="spellStart"/>
      <w:r w:rsidRPr="008762B1">
        <w:t>AWT</w:t>
      </w:r>
      <w:proofErr w:type="spellEnd"/>
      <w:r w:rsidRPr="008762B1">
        <w:t xml:space="preserve"> facility were zero.</w:t>
      </w:r>
    </w:p>
    <w:p w:rsidR="003C4CBE" w:rsidRPr="008762B1" w:rsidRDefault="003C4CBE" w:rsidP="003C4CBE">
      <w:pPr>
        <w:pStyle w:val="subsection"/>
      </w:pPr>
      <w:r w:rsidRPr="008762B1">
        <w:tab/>
        <w:t>(4)</w:t>
      </w:r>
      <w:r w:rsidRPr="008762B1">
        <w:tab/>
        <w:t xml:space="preserve">For the purposes of </w:t>
      </w:r>
      <w:r w:rsidR="008762B1" w:rsidRPr="008762B1">
        <w:t>paragraph (</w:t>
      </w:r>
      <w:r w:rsidRPr="008762B1">
        <w:t>2)(b), s</w:t>
      </w:r>
      <w:r w:rsidRPr="008762B1">
        <w:rPr>
          <w:szCs w:val="22"/>
        </w:rPr>
        <w:t>ubsection</w:t>
      </w:r>
      <w:r w:rsidR="008762B1" w:rsidRPr="008762B1">
        <w:rPr>
          <w:szCs w:val="22"/>
        </w:rPr>
        <w:t> </w:t>
      </w:r>
      <w:r w:rsidRPr="008762B1">
        <w:rPr>
          <w:szCs w:val="22"/>
        </w:rPr>
        <w:t xml:space="preserve">5.11(3) of the </w:t>
      </w:r>
      <w:proofErr w:type="spellStart"/>
      <w:r w:rsidRPr="008762B1">
        <w:rPr>
          <w:szCs w:val="22"/>
        </w:rPr>
        <w:t>NGER</w:t>
      </w:r>
      <w:proofErr w:type="spellEnd"/>
      <w:r w:rsidRPr="008762B1">
        <w:rPr>
          <w:szCs w:val="22"/>
        </w:rPr>
        <w:t xml:space="preserve"> (Measurement) Determination applies </w:t>
      </w:r>
      <w:r w:rsidRPr="008762B1">
        <w:t xml:space="preserve">as if a reference to “the landfill” were a reference to the project’s </w:t>
      </w:r>
      <w:proofErr w:type="spellStart"/>
      <w:r w:rsidRPr="008762B1">
        <w:t>AWT</w:t>
      </w:r>
      <w:proofErr w:type="spellEnd"/>
      <w:r w:rsidRPr="008762B1">
        <w:t xml:space="preserve"> facility.</w:t>
      </w:r>
    </w:p>
    <w:p w:rsidR="004260EE" w:rsidRPr="008762B1" w:rsidRDefault="004E7255" w:rsidP="005B299F">
      <w:pPr>
        <w:pStyle w:val="ActHead5"/>
      </w:pPr>
      <w:bookmarkStart w:id="42" w:name="_Toc407103337"/>
      <w:r w:rsidRPr="008762B1">
        <w:rPr>
          <w:rStyle w:val="CharSectno"/>
        </w:rPr>
        <w:t>25</w:t>
      </w:r>
      <w:r w:rsidR="005B299F" w:rsidRPr="008762B1">
        <w:t xml:space="preserve">  </w:t>
      </w:r>
      <w:r w:rsidR="004260EE" w:rsidRPr="008762B1">
        <w:t>Quantity of putrescible eligible waste</w:t>
      </w:r>
      <w:bookmarkEnd w:id="42"/>
    </w:p>
    <w:p w:rsidR="005B299F" w:rsidRPr="008762B1" w:rsidRDefault="005B299F" w:rsidP="005B299F">
      <w:pPr>
        <w:pStyle w:val="subsection"/>
      </w:pPr>
      <w:r w:rsidRPr="008762B1">
        <w:tab/>
        <w:t>(1)</w:t>
      </w:r>
      <w:r w:rsidRPr="008762B1">
        <w:tab/>
      </w:r>
      <w:r w:rsidR="000F4134" w:rsidRPr="008762B1">
        <w:t xml:space="preserve">Subject to </w:t>
      </w:r>
      <w:r w:rsidR="008762B1" w:rsidRPr="008762B1">
        <w:t>subsection (</w:t>
      </w:r>
      <w:r w:rsidR="000F4134" w:rsidRPr="008762B1">
        <w:t>2), t</w:t>
      </w:r>
      <w:r w:rsidRPr="008762B1">
        <w:t>he quantity</w:t>
      </w:r>
      <w:r w:rsidR="000F4134" w:rsidRPr="008762B1">
        <w:t xml:space="preserve"> of putrescible eligible waste </w:t>
      </w:r>
      <w:r w:rsidRPr="008762B1">
        <w:t xml:space="preserve">processed during </w:t>
      </w:r>
      <w:r w:rsidR="002613A4" w:rsidRPr="008762B1">
        <w:t>a</w:t>
      </w:r>
      <w:r w:rsidRPr="008762B1">
        <w:t xml:space="preserve"> reporting </w:t>
      </w:r>
      <w:r w:rsidR="00FA6EBC" w:rsidRPr="008762B1">
        <w:t>period</w:t>
      </w:r>
      <w:r w:rsidR="00A67136" w:rsidRPr="008762B1">
        <w:t>, in tonnes,</w:t>
      </w:r>
      <w:r w:rsidR="000F4134" w:rsidRPr="008762B1">
        <w:t xml:space="preserve"> </w:t>
      </w:r>
      <w:r w:rsidR="00D73BC7" w:rsidRPr="008762B1">
        <w:t>is worked out using the formula (</w:t>
      </w:r>
      <w:r w:rsidR="00FE4577" w:rsidRPr="008762B1">
        <w:rPr>
          <w:b/>
          <w:i/>
        </w:rPr>
        <w:t>equation 6</w:t>
      </w:r>
      <w:r w:rsidR="00D73BC7" w:rsidRPr="008762B1">
        <w:t>):</w:t>
      </w:r>
    </w:p>
    <w:bookmarkStart w:id="43" w:name="BKCheck15B_9"/>
    <w:bookmarkEnd w:id="43"/>
    <w:p w:rsidR="004260EE" w:rsidRPr="008762B1" w:rsidRDefault="00E76AC1" w:rsidP="00F64F6C">
      <w:pPr>
        <w:pStyle w:val="subsection2"/>
      </w:pPr>
      <w:r w:rsidRPr="008762B1">
        <w:rPr>
          <w:position w:val="-24"/>
        </w:rPr>
        <w:object w:dxaOrig="3280" w:dyaOrig="580">
          <v:shape id="_x0000_i1030" type="#_x0000_t75" style="width:163.6pt;height:28.2pt" o:ole="">
            <v:imagedata r:id="rId31" o:title=""/>
          </v:shape>
          <o:OLEObject Type="Embed" ProgID="Equation.DSMT4" ShapeID="_x0000_i1030" DrawAspect="Content" ObjectID="_1483176404" r:id="rId32"/>
        </w:object>
      </w:r>
    </w:p>
    <w:p w:rsidR="004260EE" w:rsidRPr="008762B1" w:rsidRDefault="00D73BC7" w:rsidP="004260EE">
      <w:pPr>
        <w:pStyle w:val="subsection2"/>
      </w:pPr>
      <w:r w:rsidRPr="008762B1">
        <w:t>w</w:t>
      </w:r>
      <w:r w:rsidR="004260EE" w:rsidRPr="008762B1">
        <w:t>here:</w:t>
      </w:r>
    </w:p>
    <w:p w:rsidR="00BA0923" w:rsidRPr="008762B1" w:rsidRDefault="00BA0923" w:rsidP="00BA0923">
      <w:pPr>
        <w:pStyle w:val="Definition"/>
        <w:rPr>
          <w:sz w:val="20"/>
        </w:rPr>
      </w:pPr>
      <w:r w:rsidRPr="008762B1">
        <w:rPr>
          <w:b/>
          <w:i/>
        </w:rPr>
        <w:t>PW</w:t>
      </w:r>
      <w:r w:rsidRPr="008762B1">
        <w:t xml:space="preserve"> means </w:t>
      </w:r>
      <w:r w:rsidRPr="008762B1">
        <w:rPr>
          <w:szCs w:val="22"/>
        </w:rPr>
        <w:t xml:space="preserve">the quantity of putrescible eligible waste </w:t>
      </w:r>
      <w:r w:rsidRPr="008762B1">
        <w:t>processed during the reporting period</w:t>
      </w:r>
      <w:r w:rsidR="00A67136" w:rsidRPr="008762B1">
        <w:rPr>
          <w:szCs w:val="22"/>
        </w:rPr>
        <w:t>, in tonnes</w:t>
      </w:r>
      <w:r w:rsidRPr="008762B1">
        <w:rPr>
          <w:szCs w:val="22"/>
        </w:rPr>
        <w:t>.</w:t>
      </w:r>
    </w:p>
    <w:p w:rsidR="00BA0923" w:rsidRPr="008762B1" w:rsidRDefault="00E76AC1" w:rsidP="004260EE">
      <w:pPr>
        <w:pStyle w:val="Definition"/>
        <w:rPr>
          <w:color w:val="000000" w:themeColor="text1"/>
          <w:szCs w:val="22"/>
        </w:rPr>
      </w:pPr>
      <w:proofErr w:type="spellStart"/>
      <w:r w:rsidRPr="008762B1">
        <w:rPr>
          <w:b/>
          <w:i/>
        </w:rPr>
        <w:t>E</w:t>
      </w:r>
      <w:r w:rsidR="00BA0923" w:rsidRPr="008762B1">
        <w:rPr>
          <w:b/>
          <w:i/>
        </w:rPr>
        <w:t>W</w:t>
      </w:r>
      <w:proofErr w:type="spellEnd"/>
      <w:r w:rsidR="00BA0923" w:rsidRPr="008762B1">
        <w:t xml:space="preserve"> </w:t>
      </w:r>
      <w:r w:rsidR="00BA0923" w:rsidRPr="008762B1">
        <w:rPr>
          <w:szCs w:val="22"/>
        </w:rPr>
        <w:t xml:space="preserve">means the total quantity of </w:t>
      </w:r>
      <w:r w:rsidR="00BA0923" w:rsidRPr="008762B1">
        <w:rPr>
          <w:color w:val="000000" w:themeColor="text1"/>
          <w:szCs w:val="22"/>
        </w:rPr>
        <w:t>eligible waste received during the reporting per</w:t>
      </w:r>
      <w:r w:rsidR="00FE4577" w:rsidRPr="008762B1">
        <w:rPr>
          <w:color w:val="000000" w:themeColor="text1"/>
          <w:szCs w:val="22"/>
        </w:rPr>
        <w:t>iod,</w:t>
      </w:r>
      <w:r w:rsidR="00A67136" w:rsidRPr="008762B1">
        <w:rPr>
          <w:szCs w:val="22"/>
        </w:rPr>
        <w:t xml:space="preserve"> in tonnes,</w:t>
      </w:r>
      <w:r w:rsidR="00FE4577" w:rsidRPr="008762B1">
        <w:rPr>
          <w:color w:val="000000" w:themeColor="text1"/>
          <w:szCs w:val="22"/>
        </w:rPr>
        <w:t xml:space="preserve"> worked out using equation 7</w:t>
      </w:r>
      <w:r w:rsidR="00BA0923" w:rsidRPr="008762B1">
        <w:rPr>
          <w:color w:val="000000" w:themeColor="text1"/>
          <w:szCs w:val="22"/>
        </w:rPr>
        <w:t>.</w:t>
      </w:r>
    </w:p>
    <w:p w:rsidR="00BA0923" w:rsidRPr="008762B1" w:rsidRDefault="00BA0923" w:rsidP="00BA0923">
      <w:pPr>
        <w:pStyle w:val="Definition"/>
        <w:rPr>
          <w:szCs w:val="22"/>
        </w:rPr>
      </w:pPr>
      <w:proofErr w:type="spellStart"/>
      <w:r w:rsidRPr="008762B1">
        <w:rPr>
          <w:b/>
          <w:i/>
        </w:rPr>
        <w:t>Q</w:t>
      </w:r>
      <w:r w:rsidRPr="008762B1">
        <w:rPr>
          <w:b/>
          <w:i/>
          <w:vertAlign w:val="subscript"/>
        </w:rPr>
        <w:t>RW</w:t>
      </w:r>
      <w:proofErr w:type="spellEnd"/>
      <w:r w:rsidRPr="008762B1">
        <w:t xml:space="preserve"> </w:t>
      </w:r>
      <w:r w:rsidRPr="008762B1">
        <w:rPr>
          <w:szCs w:val="22"/>
        </w:rPr>
        <w:t xml:space="preserve">means the quantity of residual waste </w:t>
      </w:r>
      <w:r w:rsidR="00EB1955" w:rsidRPr="008762B1">
        <w:rPr>
          <w:szCs w:val="22"/>
        </w:rPr>
        <w:t xml:space="preserve">disposed </w:t>
      </w:r>
      <w:r w:rsidR="00145F41" w:rsidRPr="008762B1">
        <w:rPr>
          <w:szCs w:val="22"/>
        </w:rPr>
        <w:t xml:space="preserve">of </w:t>
      </w:r>
      <w:r w:rsidRPr="008762B1">
        <w:rPr>
          <w:szCs w:val="22"/>
        </w:rPr>
        <w:t>during the reporting period,</w:t>
      </w:r>
      <w:r w:rsidR="00A67136" w:rsidRPr="008762B1">
        <w:rPr>
          <w:szCs w:val="22"/>
        </w:rPr>
        <w:t xml:space="preserve"> in tonnes,</w:t>
      </w:r>
      <w:r w:rsidRPr="008762B1">
        <w:rPr>
          <w:szCs w:val="22"/>
        </w:rPr>
        <w:t xml:space="preserve"> worked out in accordance w</w:t>
      </w:r>
      <w:r w:rsidR="006A4FFF" w:rsidRPr="008762B1">
        <w:rPr>
          <w:szCs w:val="22"/>
        </w:rPr>
        <w:t>ith the monitoring requirements</w:t>
      </w:r>
      <w:r w:rsidRPr="008762B1">
        <w:rPr>
          <w:szCs w:val="22"/>
        </w:rPr>
        <w:t>.</w:t>
      </w:r>
    </w:p>
    <w:p w:rsidR="00BA0923" w:rsidRPr="008762B1" w:rsidRDefault="00BA0923" w:rsidP="00BA0923">
      <w:pPr>
        <w:pStyle w:val="Definition"/>
        <w:rPr>
          <w:szCs w:val="22"/>
        </w:rPr>
      </w:pPr>
      <w:proofErr w:type="spellStart"/>
      <w:r w:rsidRPr="008762B1">
        <w:rPr>
          <w:b/>
          <w:i/>
        </w:rPr>
        <w:t>Q</w:t>
      </w:r>
      <w:r w:rsidRPr="008762B1">
        <w:rPr>
          <w:b/>
          <w:i/>
          <w:vertAlign w:val="subscript"/>
        </w:rPr>
        <w:t>NB</w:t>
      </w:r>
      <w:r w:rsidR="00E76AC1" w:rsidRPr="008762B1">
        <w:rPr>
          <w:b/>
          <w:i/>
          <w:vertAlign w:val="subscript"/>
        </w:rPr>
        <w:t>P</w:t>
      </w:r>
      <w:proofErr w:type="spellEnd"/>
      <w:r w:rsidRPr="008762B1">
        <w:rPr>
          <w:b/>
          <w:vertAlign w:val="subscript"/>
        </w:rPr>
        <w:t xml:space="preserve"> </w:t>
      </w:r>
      <w:r w:rsidRPr="008762B1">
        <w:rPr>
          <w:szCs w:val="22"/>
        </w:rPr>
        <w:t>means the quantity of non</w:t>
      </w:r>
      <w:r w:rsidR="008762B1">
        <w:rPr>
          <w:szCs w:val="22"/>
        </w:rPr>
        <w:noBreakHyphen/>
      </w:r>
      <w:proofErr w:type="spellStart"/>
      <w:r w:rsidRPr="008762B1">
        <w:rPr>
          <w:szCs w:val="22"/>
        </w:rPr>
        <w:t>biobased</w:t>
      </w:r>
      <w:proofErr w:type="spellEnd"/>
      <w:r w:rsidRPr="008762B1">
        <w:rPr>
          <w:szCs w:val="22"/>
        </w:rPr>
        <w:t xml:space="preserve"> products manufactured during the reporting period,</w:t>
      </w:r>
      <w:r w:rsidR="00694477" w:rsidRPr="008762B1">
        <w:rPr>
          <w:szCs w:val="22"/>
        </w:rPr>
        <w:t xml:space="preserve"> in tonnes,</w:t>
      </w:r>
      <w:r w:rsidRPr="008762B1">
        <w:rPr>
          <w:szCs w:val="22"/>
        </w:rPr>
        <w:t xml:space="preserve"> worked out in accordance w</w:t>
      </w:r>
      <w:r w:rsidR="006A4FFF" w:rsidRPr="008762B1">
        <w:rPr>
          <w:szCs w:val="22"/>
        </w:rPr>
        <w:t>ith the monitoring requirements</w:t>
      </w:r>
      <w:r w:rsidRPr="008762B1">
        <w:rPr>
          <w:szCs w:val="22"/>
        </w:rPr>
        <w:t>.</w:t>
      </w:r>
    </w:p>
    <w:p w:rsidR="004260EE" w:rsidRPr="008762B1" w:rsidRDefault="004260EE" w:rsidP="004260EE">
      <w:pPr>
        <w:pStyle w:val="Definition"/>
        <w:rPr>
          <w:color w:val="000000" w:themeColor="text1"/>
          <w:sz w:val="20"/>
        </w:rPr>
      </w:pPr>
      <w:proofErr w:type="spellStart"/>
      <w:r w:rsidRPr="008762B1">
        <w:rPr>
          <w:b/>
          <w:i/>
        </w:rPr>
        <w:t>HW</w:t>
      </w:r>
      <w:proofErr w:type="spellEnd"/>
      <w:r w:rsidRPr="008762B1">
        <w:t xml:space="preserve"> </w:t>
      </w:r>
      <w:r w:rsidR="00D73BC7" w:rsidRPr="008762B1">
        <w:rPr>
          <w:szCs w:val="22"/>
        </w:rPr>
        <w:t>means the h</w:t>
      </w:r>
      <w:r w:rsidRPr="008762B1">
        <w:rPr>
          <w:color w:val="000000" w:themeColor="text1"/>
          <w:szCs w:val="22"/>
        </w:rPr>
        <w:t xml:space="preserve">istoric quantity of </w:t>
      </w:r>
      <w:r w:rsidR="000F4134" w:rsidRPr="008762B1">
        <w:rPr>
          <w:color w:val="000000" w:themeColor="text1"/>
          <w:szCs w:val="22"/>
        </w:rPr>
        <w:t xml:space="preserve">putrescible </w:t>
      </w:r>
      <w:r w:rsidR="00D73BC7" w:rsidRPr="008762B1">
        <w:rPr>
          <w:color w:val="000000" w:themeColor="text1"/>
          <w:szCs w:val="22"/>
        </w:rPr>
        <w:t xml:space="preserve">eligible waste </w:t>
      </w:r>
      <w:r w:rsidR="00B92AD8" w:rsidRPr="008762B1">
        <w:rPr>
          <w:color w:val="000000" w:themeColor="text1"/>
          <w:szCs w:val="22"/>
        </w:rPr>
        <w:t>for the reporting period</w:t>
      </w:r>
      <w:r w:rsidR="00D73BC7" w:rsidRPr="008762B1">
        <w:rPr>
          <w:color w:val="000000" w:themeColor="text1"/>
          <w:szCs w:val="22"/>
        </w:rPr>
        <w:t>,</w:t>
      </w:r>
      <w:r w:rsidR="00694477" w:rsidRPr="008762B1">
        <w:rPr>
          <w:color w:val="000000" w:themeColor="text1"/>
          <w:szCs w:val="22"/>
        </w:rPr>
        <w:t xml:space="preserve"> in tonnes,</w:t>
      </w:r>
      <w:r w:rsidR="00D73BC7" w:rsidRPr="008762B1">
        <w:rPr>
          <w:color w:val="000000" w:themeColor="text1"/>
          <w:szCs w:val="22"/>
        </w:rPr>
        <w:t xml:space="preserve"> worked out </w:t>
      </w:r>
      <w:r w:rsidR="00976322" w:rsidRPr="008762B1">
        <w:rPr>
          <w:color w:val="000000" w:themeColor="text1"/>
          <w:szCs w:val="22"/>
        </w:rPr>
        <w:t>in accordance with</w:t>
      </w:r>
      <w:r w:rsidR="00D73BC7" w:rsidRPr="008762B1">
        <w:rPr>
          <w:color w:val="000000" w:themeColor="text1"/>
          <w:szCs w:val="22"/>
        </w:rPr>
        <w:t xml:space="preserve"> section</w:t>
      </w:r>
      <w:r w:rsidR="008762B1" w:rsidRPr="008762B1">
        <w:rPr>
          <w:color w:val="000000" w:themeColor="text1"/>
          <w:szCs w:val="22"/>
        </w:rPr>
        <w:t> </w:t>
      </w:r>
      <w:r w:rsidR="004E7255" w:rsidRPr="008762B1">
        <w:rPr>
          <w:color w:val="000000" w:themeColor="text1"/>
          <w:szCs w:val="22"/>
        </w:rPr>
        <w:t>27</w:t>
      </w:r>
      <w:r w:rsidR="00D73BC7" w:rsidRPr="008762B1">
        <w:rPr>
          <w:color w:val="000000" w:themeColor="text1"/>
          <w:szCs w:val="22"/>
        </w:rPr>
        <w:t>.</w:t>
      </w:r>
    </w:p>
    <w:p w:rsidR="0096526C" w:rsidRPr="008762B1" w:rsidRDefault="0096526C" w:rsidP="0096526C">
      <w:pPr>
        <w:pStyle w:val="subsection"/>
        <w:rPr>
          <w:szCs w:val="22"/>
        </w:rPr>
      </w:pPr>
      <w:r w:rsidRPr="008762B1">
        <w:tab/>
        <w:t>(2)</w:t>
      </w:r>
      <w:r w:rsidRPr="008762B1">
        <w:tab/>
      </w:r>
      <w:r w:rsidR="000F4134" w:rsidRPr="008762B1">
        <w:t xml:space="preserve">If the amount worked out under </w:t>
      </w:r>
      <w:r w:rsidR="008762B1" w:rsidRPr="008762B1">
        <w:t>subsection (</w:t>
      </w:r>
      <w:r w:rsidR="000F4134" w:rsidRPr="008762B1">
        <w:t>1) is less</w:t>
      </w:r>
      <w:r w:rsidR="009D7263" w:rsidRPr="008762B1">
        <w:t xml:space="preserve"> than zero</w:t>
      </w:r>
      <w:r w:rsidR="000F4134" w:rsidRPr="008762B1">
        <w:t xml:space="preserve">, the </w:t>
      </w:r>
      <w:r w:rsidR="000F4134" w:rsidRPr="008762B1">
        <w:rPr>
          <w:szCs w:val="22"/>
        </w:rPr>
        <w:t xml:space="preserve">quantity of putrescible eligible waste </w:t>
      </w:r>
      <w:r w:rsidR="009A16AC" w:rsidRPr="008762B1">
        <w:t>processed</w:t>
      </w:r>
      <w:r w:rsidR="000F4134" w:rsidRPr="008762B1">
        <w:t xml:space="preserve"> during the reporting </w:t>
      </w:r>
      <w:r w:rsidR="00FA6EBC" w:rsidRPr="008762B1">
        <w:t>period</w:t>
      </w:r>
      <w:r w:rsidR="000F4134" w:rsidRPr="008762B1">
        <w:rPr>
          <w:szCs w:val="22"/>
        </w:rPr>
        <w:t xml:space="preserve"> is taken to be zero.</w:t>
      </w:r>
    </w:p>
    <w:p w:rsidR="000F4134" w:rsidRPr="008762B1" w:rsidRDefault="004E7255" w:rsidP="000F4134">
      <w:pPr>
        <w:pStyle w:val="ActHead5"/>
      </w:pPr>
      <w:bookmarkStart w:id="44" w:name="_Toc407103338"/>
      <w:r w:rsidRPr="008762B1">
        <w:rPr>
          <w:rStyle w:val="CharSectno"/>
        </w:rPr>
        <w:lastRenderedPageBreak/>
        <w:t>26</w:t>
      </w:r>
      <w:r w:rsidR="000F4134" w:rsidRPr="008762B1">
        <w:t xml:space="preserve">  Total quantity of eligible waste </w:t>
      </w:r>
      <w:r w:rsidR="001E5BCE" w:rsidRPr="008762B1">
        <w:t>received</w:t>
      </w:r>
      <w:bookmarkEnd w:id="44"/>
    </w:p>
    <w:p w:rsidR="004260EE" w:rsidRPr="008762B1" w:rsidRDefault="00F64F6C" w:rsidP="000F4134">
      <w:pPr>
        <w:pStyle w:val="subsection"/>
      </w:pPr>
      <w:r w:rsidRPr="008762B1">
        <w:tab/>
      </w:r>
      <w:r w:rsidRPr="008762B1">
        <w:tab/>
      </w:r>
      <w:r w:rsidR="001E5BCE" w:rsidRPr="008762B1">
        <w:rPr>
          <w:szCs w:val="22"/>
        </w:rPr>
        <w:t xml:space="preserve">The total quantity of </w:t>
      </w:r>
      <w:r w:rsidR="001E5BCE" w:rsidRPr="008762B1">
        <w:rPr>
          <w:color w:val="000000" w:themeColor="text1"/>
          <w:szCs w:val="22"/>
        </w:rPr>
        <w:t xml:space="preserve">eligible waste received during </w:t>
      </w:r>
      <w:r w:rsidR="002613A4" w:rsidRPr="008762B1">
        <w:rPr>
          <w:color w:val="000000" w:themeColor="text1"/>
          <w:szCs w:val="22"/>
        </w:rPr>
        <w:t>a</w:t>
      </w:r>
      <w:r w:rsidR="001E5BCE" w:rsidRPr="008762B1">
        <w:rPr>
          <w:color w:val="000000" w:themeColor="text1"/>
          <w:szCs w:val="22"/>
        </w:rPr>
        <w:t xml:space="preserve"> reporting </w:t>
      </w:r>
      <w:r w:rsidR="00FA6EBC" w:rsidRPr="008762B1">
        <w:rPr>
          <w:color w:val="000000" w:themeColor="text1"/>
          <w:szCs w:val="22"/>
        </w:rPr>
        <w:t>period</w:t>
      </w:r>
      <w:r w:rsidR="00694477" w:rsidRPr="008762B1">
        <w:rPr>
          <w:szCs w:val="22"/>
        </w:rPr>
        <w:t>, in tonnes,</w:t>
      </w:r>
      <w:r w:rsidR="001E5BCE" w:rsidRPr="008762B1">
        <w:rPr>
          <w:color w:val="000000" w:themeColor="text1"/>
          <w:szCs w:val="22"/>
        </w:rPr>
        <w:t xml:space="preserve"> is worked out using the formula (</w:t>
      </w:r>
      <w:r w:rsidR="00FE4577" w:rsidRPr="008762B1">
        <w:rPr>
          <w:b/>
          <w:i/>
          <w:color w:val="000000" w:themeColor="text1"/>
          <w:szCs w:val="22"/>
        </w:rPr>
        <w:t>equation 7</w:t>
      </w:r>
      <w:r w:rsidR="001E5BCE" w:rsidRPr="008762B1">
        <w:rPr>
          <w:color w:val="000000" w:themeColor="text1"/>
          <w:szCs w:val="22"/>
        </w:rPr>
        <w:t>):</w:t>
      </w:r>
    </w:p>
    <w:bookmarkStart w:id="45" w:name="BKCheck15B_10"/>
    <w:bookmarkEnd w:id="45"/>
    <w:p w:rsidR="004260EE" w:rsidRPr="008762B1" w:rsidRDefault="00E76AC1" w:rsidP="004260EE">
      <w:pPr>
        <w:pStyle w:val="subsection2"/>
      </w:pPr>
      <w:r w:rsidRPr="008762B1">
        <w:rPr>
          <w:position w:val="-10"/>
        </w:rPr>
        <w:object w:dxaOrig="2580" w:dyaOrig="420">
          <v:shape id="_x0000_i1031" type="#_x0000_t75" style="width:130.75pt;height:21.9pt" o:ole="">
            <v:imagedata r:id="rId33" o:title=""/>
          </v:shape>
          <o:OLEObject Type="Embed" ProgID="Equation.DSMT4" ShapeID="_x0000_i1031" DrawAspect="Content" ObjectID="_1483176405" r:id="rId34"/>
        </w:object>
      </w:r>
    </w:p>
    <w:p w:rsidR="004260EE" w:rsidRPr="008762B1" w:rsidRDefault="001E5BCE" w:rsidP="004260EE">
      <w:pPr>
        <w:pStyle w:val="subsection2"/>
      </w:pPr>
      <w:r w:rsidRPr="008762B1">
        <w:t>w</w:t>
      </w:r>
      <w:r w:rsidR="004260EE" w:rsidRPr="008762B1">
        <w:t>here:</w:t>
      </w:r>
    </w:p>
    <w:p w:rsidR="00BA0923" w:rsidRPr="008762B1" w:rsidRDefault="00E76AC1" w:rsidP="00BA0923">
      <w:pPr>
        <w:pStyle w:val="Definition"/>
        <w:rPr>
          <w:szCs w:val="22"/>
        </w:rPr>
      </w:pPr>
      <w:proofErr w:type="spellStart"/>
      <w:r w:rsidRPr="008762B1">
        <w:rPr>
          <w:b/>
          <w:i/>
        </w:rPr>
        <w:t>E</w:t>
      </w:r>
      <w:r w:rsidR="00BA0923" w:rsidRPr="008762B1">
        <w:rPr>
          <w:b/>
          <w:i/>
        </w:rPr>
        <w:t>W</w:t>
      </w:r>
      <w:proofErr w:type="spellEnd"/>
      <w:r w:rsidR="00BA0923" w:rsidRPr="008762B1">
        <w:t xml:space="preserve"> </w:t>
      </w:r>
      <w:r w:rsidR="00BA0923" w:rsidRPr="008762B1">
        <w:rPr>
          <w:szCs w:val="22"/>
        </w:rPr>
        <w:t xml:space="preserve">means the total quantity of </w:t>
      </w:r>
      <w:r w:rsidR="00BA0923" w:rsidRPr="008762B1">
        <w:rPr>
          <w:color w:val="000000" w:themeColor="text1"/>
          <w:szCs w:val="22"/>
        </w:rPr>
        <w:t>eligible waste received during the reporting period</w:t>
      </w:r>
      <w:r w:rsidR="00694477" w:rsidRPr="008762B1">
        <w:rPr>
          <w:szCs w:val="22"/>
        </w:rPr>
        <w:t>, in tonnes</w:t>
      </w:r>
      <w:r w:rsidR="00BA0923" w:rsidRPr="008762B1">
        <w:rPr>
          <w:szCs w:val="22"/>
        </w:rPr>
        <w:t>.</w:t>
      </w:r>
    </w:p>
    <w:p w:rsidR="00BA0923" w:rsidRPr="008762B1" w:rsidRDefault="00BA0923" w:rsidP="00BA0923">
      <w:pPr>
        <w:pStyle w:val="Definition"/>
        <w:rPr>
          <w:szCs w:val="22"/>
        </w:rPr>
      </w:pPr>
      <w:proofErr w:type="spellStart"/>
      <w:r w:rsidRPr="008762B1">
        <w:rPr>
          <w:b/>
          <w:i/>
        </w:rPr>
        <w:t>Q</w:t>
      </w:r>
      <w:r w:rsidRPr="008762B1">
        <w:rPr>
          <w:b/>
          <w:i/>
          <w:vertAlign w:val="subscript"/>
        </w:rPr>
        <w:t>MSW</w:t>
      </w:r>
      <w:proofErr w:type="spellEnd"/>
      <w:r w:rsidRPr="008762B1">
        <w:t xml:space="preserve"> </w:t>
      </w:r>
      <w:r w:rsidRPr="008762B1">
        <w:rPr>
          <w:szCs w:val="22"/>
        </w:rPr>
        <w:t>means the quantity of the eligible waste that is municipal solid waste,</w:t>
      </w:r>
      <w:r w:rsidR="00694477" w:rsidRPr="008762B1">
        <w:rPr>
          <w:szCs w:val="22"/>
        </w:rPr>
        <w:t xml:space="preserve"> in tonnes,</w:t>
      </w:r>
      <w:r w:rsidRPr="008762B1">
        <w:rPr>
          <w:szCs w:val="22"/>
        </w:rPr>
        <w:t xml:space="preserve"> worked out in accordance with t</w:t>
      </w:r>
      <w:r w:rsidR="006A4FFF" w:rsidRPr="008762B1">
        <w:rPr>
          <w:szCs w:val="22"/>
        </w:rPr>
        <w:t>he monitoring requirements</w:t>
      </w:r>
      <w:r w:rsidRPr="008762B1">
        <w:rPr>
          <w:szCs w:val="22"/>
        </w:rPr>
        <w:t>.</w:t>
      </w:r>
    </w:p>
    <w:p w:rsidR="00BA0923" w:rsidRPr="008762B1" w:rsidRDefault="00BA0923" w:rsidP="00BA0923">
      <w:pPr>
        <w:pStyle w:val="Definition"/>
        <w:rPr>
          <w:szCs w:val="22"/>
        </w:rPr>
      </w:pPr>
      <w:proofErr w:type="spellStart"/>
      <w:r w:rsidRPr="008762B1">
        <w:rPr>
          <w:b/>
          <w:i/>
        </w:rPr>
        <w:t>Q</w:t>
      </w:r>
      <w:r w:rsidRPr="008762B1">
        <w:rPr>
          <w:b/>
          <w:i/>
          <w:vertAlign w:val="subscript"/>
        </w:rPr>
        <w:t>C&amp;I</w:t>
      </w:r>
      <w:proofErr w:type="spellEnd"/>
      <w:r w:rsidRPr="008762B1">
        <w:t xml:space="preserve"> </w:t>
      </w:r>
      <w:r w:rsidRPr="008762B1">
        <w:rPr>
          <w:szCs w:val="22"/>
        </w:rPr>
        <w:t>means the quantity</w:t>
      </w:r>
      <w:r w:rsidR="009A16AC" w:rsidRPr="008762B1">
        <w:rPr>
          <w:szCs w:val="22"/>
        </w:rPr>
        <w:t xml:space="preserve"> of the eligible waste that</w:t>
      </w:r>
      <w:r w:rsidRPr="008762B1">
        <w:rPr>
          <w:szCs w:val="22"/>
        </w:rPr>
        <w:t xml:space="preserve"> is commercial and industrial waste,</w:t>
      </w:r>
      <w:r w:rsidR="00694477" w:rsidRPr="008762B1">
        <w:rPr>
          <w:szCs w:val="22"/>
        </w:rPr>
        <w:t xml:space="preserve"> in tonnes,</w:t>
      </w:r>
      <w:r w:rsidRPr="008762B1">
        <w:rPr>
          <w:szCs w:val="22"/>
        </w:rPr>
        <w:t xml:space="preserve"> worked out in accordance w</w:t>
      </w:r>
      <w:r w:rsidR="006A4FFF" w:rsidRPr="008762B1">
        <w:rPr>
          <w:szCs w:val="22"/>
        </w:rPr>
        <w:t>ith the monitoring requirements</w:t>
      </w:r>
      <w:r w:rsidRPr="008762B1">
        <w:rPr>
          <w:szCs w:val="22"/>
        </w:rPr>
        <w:t>.</w:t>
      </w:r>
    </w:p>
    <w:p w:rsidR="004260EE" w:rsidRPr="008762B1" w:rsidRDefault="004260EE" w:rsidP="004260EE">
      <w:pPr>
        <w:pStyle w:val="Definition"/>
        <w:rPr>
          <w:sz w:val="20"/>
        </w:rPr>
      </w:pPr>
      <w:proofErr w:type="spellStart"/>
      <w:r w:rsidRPr="008762B1">
        <w:rPr>
          <w:b/>
          <w:i/>
        </w:rPr>
        <w:t>Q</w:t>
      </w:r>
      <w:r w:rsidRPr="008762B1">
        <w:rPr>
          <w:b/>
          <w:i/>
          <w:vertAlign w:val="subscript"/>
        </w:rPr>
        <w:t>C&amp;D</w:t>
      </w:r>
      <w:proofErr w:type="spellEnd"/>
      <w:r w:rsidRPr="008762B1">
        <w:t xml:space="preserve"> </w:t>
      </w:r>
      <w:r w:rsidR="00643E10" w:rsidRPr="008762B1">
        <w:rPr>
          <w:szCs w:val="22"/>
        </w:rPr>
        <w:t>means the quantity of the eligible waste that is construction and demolition waste,</w:t>
      </w:r>
      <w:r w:rsidR="00694477" w:rsidRPr="008762B1">
        <w:rPr>
          <w:szCs w:val="22"/>
        </w:rPr>
        <w:t xml:space="preserve"> in tonnes,</w:t>
      </w:r>
      <w:r w:rsidR="00643E10" w:rsidRPr="008762B1">
        <w:rPr>
          <w:szCs w:val="22"/>
        </w:rPr>
        <w:t xml:space="preserve"> </w:t>
      </w:r>
      <w:r w:rsidR="00377EF2" w:rsidRPr="008762B1">
        <w:rPr>
          <w:szCs w:val="22"/>
        </w:rPr>
        <w:t>worked out in accordance w</w:t>
      </w:r>
      <w:r w:rsidR="006A4FFF" w:rsidRPr="008762B1">
        <w:rPr>
          <w:szCs w:val="22"/>
        </w:rPr>
        <w:t>ith the monitoring requirements</w:t>
      </w:r>
      <w:r w:rsidR="00643E10" w:rsidRPr="008762B1">
        <w:rPr>
          <w:szCs w:val="22"/>
        </w:rPr>
        <w:t>.</w:t>
      </w:r>
    </w:p>
    <w:p w:rsidR="00FA6EBC" w:rsidRPr="008762B1" w:rsidRDefault="004E7255" w:rsidP="00FA6EBC">
      <w:pPr>
        <w:pStyle w:val="ActHead5"/>
      </w:pPr>
      <w:bookmarkStart w:id="46" w:name="_Toc407103339"/>
      <w:r w:rsidRPr="008762B1">
        <w:rPr>
          <w:rStyle w:val="CharSectno"/>
        </w:rPr>
        <w:t>27</w:t>
      </w:r>
      <w:r w:rsidR="00FA6EBC" w:rsidRPr="008762B1">
        <w:t xml:space="preserve">  </w:t>
      </w:r>
      <w:r w:rsidR="0046225F" w:rsidRPr="008762B1">
        <w:t xml:space="preserve">Historic quantity of </w:t>
      </w:r>
      <w:r w:rsidR="009A16AC" w:rsidRPr="008762B1">
        <w:t xml:space="preserve">putrescible eligible </w:t>
      </w:r>
      <w:r w:rsidR="0046225F" w:rsidRPr="008762B1">
        <w:t>waste</w:t>
      </w:r>
      <w:bookmarkEnd w:id="46"/>
    </w:p>
    <w:p w:rsidR="00144851" w:rsidRPr="008762B1" w:rsidRDefault="00EF29EF" w:rsidP="00144851">
      <w:pPr>
        <w:pStyle w:val="SubsectionHead"/>
      </w:pPr>
      <w:r w:rsidRPr="008762B1">
        <w:t>Quantity</w:t>
      </w:r>
      <w:r w:rsidR="00144851" w:rsidRPr="008762B1">
        <w:t xml:space="preserve"> for new </w:t>
      </w:r>
      <w:r w:rsidR="00CA2F2B" w:rsidRPr="008762B1">
        <w:t>projects and transitioning</w:t>
      </w:r>
      <w:r w:rsidR="00144851" w:rsidRPr="008762B1">
        <w:t xml:space="preserve"> projects</w:t>
      </w:r>
    </w:p>
    <w:p w:rsidR="0046225F" w:rsidRPr="008762B1" w:rsidRDefault="00144851" w:rsidP="0046225F">
      <w:pPr>
        <w:pStyle w:val="subsection"/>
      </w:pPr>
      <w:r w:rsidRPr="008762B1">
        <w:tab/>
      </w:r>
      <w:r w:rsidR="0046225F" w:rsidRPr="008762B1">
        <w:t>(1)</w:t>
      </w:r>
      <w:r w:rsidR="0046225F" w:rsidRPr="008762B1">
        <w:tab/>
      </w:r>
      <w:r w:rsidRPr="008762B1">
        <w:t xml:space="preserve">For </w:t>
      </w:r>
      <w:r w:rsidR="00CA2F2B" w:rsidRPr="008762B1">
        <w:t xml:space="preserve">a new </w:t>
      </w:r>
      <w:r w:rsidRPr="008762B1">
        <w:t xml:space="preserve">project </w:t>
      </w:r>
      <w:r w:rsidR="00CA2F2B" w:rsidRPr="008762B1">
        <w:t>or a transitioning project,</w:t>
      </w:r>
      <w:r w:rsidRPr="008762B1">
        <w:t xml:space="preserve"> t</w:t>
      </w:r>
      <w:r w:rsidR="0046225F" w:rsidRPr="008762B1">
        <w:t>he historic quantity</w:t>
      </w:r>
      <w:r w:rsidR="0066648D" w:rsidRPr="008762B1">
        <w:t xml:space="preserve"> </w:t>
      </w:r>
      <w:r w:rsidR="0046225F" w:rsidRPr="008762B1">
        <w:t xml:space="preserve">of putrescible eligible waste </w:t>
      </w:r>
      <w:r w:rsidRPr="008762B1">
        <w:t>for a reporting period is zero.</w:t>
      </w:r>
    </w:p>
    <w:p w:rsidR="00144851" w:rsidRPr="008762B1" w:rsidRDefault="00EF29EF" w:rsidP="00144851">
      <w:pPr>
        <w:pStyle w:val="SubsectionHead"/>
      </w:pPr>
      <w:r w:rsidRPr="008762B1">
        <w:t>Quantity</w:t>
      </w:r>
      <w:r w:rsidR="00CA2F2B" w:rsidRPr="008762B1">
        <w:t xml:space="preserve"> for expansion</w:t>
      </w:r>
      <w:r w:rsidR="00144851" w:rsidRPr="008762B1">
        <w:t xml:space="preserve"> </w:t>
      </w:r>
      <w:r w:rsidR="00CA2F2B" w:rsidRPr="008762B1">
        <w:t>projects</w:t>
      </w:r>
    </w:p>
    <w:p w:rsidR="00E76AC1" w:rsidRPr="008762B1" w:rsidRDefault="00E44E1D" w:rsidP="00E76AC1">
      <w:pPr>
        <w:pStyle w:val="subsection"/>
      </w:pPr>
      <w:r w:rsidRPr="008762B1">
        <w:tab/>
        <w:t>(2)</w:t>
      </w:r>
      <w:r w:rsidRPr="008762B1">
        <w:tab/>
      </w:r>
      <w:r w:rsidR="00144851" w:rsidRPr="008762B1">
        <w:t>For a</w:t>
      </w:r>
      <w:r w:rsidR="00CA2F2B" w:rsidRPr="008762B1">
        <w:t>n</w:t>
      </w:r>
      <w:r w:rsidR="00144851" w:rsidRPr="008762B1">
        <w:t xml:space="preserve"> </w:t>
      </w:r>
      <w:r w:rsidR="00CA2F2B" w:rsidRPr="008762B1">
        <w:t>expansion project</w:t>
      </w:r>
      <w:r w:rsidR="00144851" w:rsidRPr="008762B1">
        <w:t>, the historic quantity</w:t>
      </w:r>
      <w:r w:rsidR="0066648D" w:rsidRPr="008762B1">
        <w:t xml:space="preserve"> </w:t>
      </w:r>
      <w:r w:rsidR="00144851" w:rsidRPr="008762B1">
        <w:t>of putrescible eligible waste for a reporting period is</w:t>
      </w:r>
      <w:r w:rsidR="0066648D" w:rsidRPr="008762B1">
        <w:t xml:space="preserve"> worked out </w:t>
      </w:r>
      <w:r w:rsidR="000011C0" w:rsidRPr="008762B1">
        <w:t>by adjusting</w:t>
      </w:r>
      <w:r w:rsidR="00821F48" w:rsidRPr="008762B1">
        <w:t xml:space="preserve"> the</w:t>
      </w:r>
      <w:r w:rsidR="000011C0" w:rsidRPr="008762B1">
        <w:t xml:space="preserve"> </w:t>
      </w:r>
      <w:r w:rsidR="00821F48" w:rsidRPr="008762B1">
        <w:t xml:space="preserve">historic </w:t>
      </w:r>
      <w:r w:rsidR="000011C0" w:rsidRPr="008762B1">
        <w:t xml:space="preserve">quantity of putrescible eligible waste </w:t>
      </w:r>
      <w:r w:rsidR="00821F48" w:rsidRPr="008762B1">
        <w:t>for the relevant 24</w:t>
      </w:r>
      <w:r w:rsidR="008762B1">
        <w:noBreakHyphen/>
      </w:r>
      <w:r w:rsidR="00821F48" w:rsidRPr="008762B1">
        <w:t>month period</w:t>
      </w:r>
      <w:r w:rsidR="000011C0" w:rsidRPr="008762B1">
        <w:t xml:space="preserve"> on a pro rata basis by reference to the length of the reporting period</w:t>
      </w:r>
      <w:r w:rsidR="00821F48" w:rsidRPr="008762B1">
        <w:t>.</w:t>
      </w:r>
    </w:p>
    <w:p w:rsidR="00C47D03" w:rsidRPr="008762B1" w:rsidRDefault="00C47D03" w:rsidP="00C47D03">
      <w:pPr>
        <w:pStyle w:val="notetext"/>
      </w:pPr>
      <w:r w:rsidRPr="008762B1">
        <w:t>Note:</w:t>
      </w:r>
      <w:r w:rsidRPr="008762B1">
        <w:tab/>
        <w:t xml:space="preserve">This means that if, for example, the length of the reporting period is 6 months, the historic quantity of putrescible eligible waste for </w:t>
      </w:r>
      <w:r w:rsidR="00E256EB" w:rsidRPr="008762B1">
        <w:t>the reporting period is worked out by multiplying the historic quantity of putrescible eligible waste for the relevant 24</w:t>
      </w:r>
      <w:r w:rsidR="008762B1">
        <w:noBreakHyphen/>
      </w:r>
      <w:r w:rsidR="00E256EB" w:rsidRPr="008762B1">
        <w:t>month period</w:t>
      </w:r>
      <w:r w:rsidRPr="008762B1">
        <w:t xml:space="preserve"> by </w:t>
      </w:r>
      <w:r w:rsidRPr="008762B1">
        <w:rPr>
          <w:position w:val="4"/>
          <w:sz w:val="14"/>
        </w:rPr>
        <w:t>6</w:t>
      </w:r>
      <w:r w:rsidRPr="008762B1">
        <w:t>/</w:t>
      </w:r>
      <w:r w:rsidRPr="008762B1">
        <w:rPr>
          <w:sz w:val="14"/>
        </w:rPr>
        <w:t>24</w:t>
      </w:r>
      <w:r w:rsidR="00E256EB" w:rsidRPr="008762B1">
        <w:t>.</w:t>
      </w:r>
    </w:p>
    <w:p w:rsidR="00F20C08" w:rsidRPr="008762B1" w:rsidRDefault="00821F48" w:rsidP="00425A33">
      <w:pPr>
        <w:pStyle w:val="subsection"/>
      </w:pPr>
      <w:r w:rsidRPr="008762B1">
        <w:tab/>
        <w:t>(3)</w:t>
      </w:r>
      <w:r w:rsidRPr="008762B1">
        <w:tab/>
      </w:r>
      <w:r w:rsidR="00F20C08" w:rsidRPr="008762B1">
        <w:t xml:space="preserve">The </w:t>
      </w:r>
      <w:r w:rsidR="003C35DB" w:rsidRPr="008762B1">
        <w:t>historic quantity of putrescible eligible waste for the relevant 24</w:t>
      </w:r>
      <w:r w:rsidR="008762B1">
        <w:noBreakHyphen/>
      </w:r>
      <w:r w:rsidR="003C35DB" w:rsidRPr="008762B1">
        <w:t>month period</w:t>
      </w:r>
      <w:r w:rsidR="00694477" w:rsidRPr="008762B1">
        <w:t xml:space="preserve">, </w:t>
      </w:r>
      <w:r w:rsidR="00694477" w:rsidRPr="008762B1">
        <w:rPr>
          <w:color w:val="000000" w:themeColor="text1"/>
          <w:szCs w:val="22"/>
        </w:rPr>
        <w:t>in tonnes,</w:t>
      </w:r>
      <w:r w:rsidR="003C35DB" w:rsidRPr="008762B1">
        <w:t xml:space="preserve"> </w:t>
      </w:r>
      <w:r w:rsidR="00F20C08" w:rsidRPr="008762B1">
        <w:t>is worked out using the formula (</w:t>
      </w:r>
      <w:r w:rsidR="00F20C08" w:rsidRPr="008762B1">
        <w:rPr>
          <w:b/>
          <w:i/>
        </w:rPr>
        <w:t xml:space="preserve">equation </w:t>
      </w:r>
      <w:r w:rsidR="00FE4577" w:rsidRPr="008762B1">
        <w:rPr>
          <w:b/>
          <w:i/>
        </w:rPr>
        <w:t>8</w:t>
      </w:r>
      <w:r w:rsidR="00F20C08" w:rsidRPr="008762B1">
        <w:t>):</w:t>
      </w:r>
    </w:p>
    <w:bookmarkStart w:id="47" w:name="BKCheck15B_11"/>
    <w:bookmarkEnd w:id="47"/>
    <w:p w:rsidR="00F20C08" w:rsidRPr="008762B1" w:rsidRDefault="007F2022" w:rsidP="00F20C08">
      <w:pPr>
        <w:pStyle w:val="subsection2"/>
      </w:pPr>
      <w:r w:rsidRPr="008762B1">
        <w:rPr>
          <w:position w:val="-12"/>
        </w:rPr>
        <w:object w:dxaOrig="3100" w:dyaOrig="440">
          <v:shape id="_x0000_i1032" type="#_x0000_t75" style="width:155.5pt;height:22.45pt" o:ole="">
            <v:imagedata r:id="rId35" o:title=""/>
          </v:shape>
          <o:OLEObject Type="Embed" ProgID="Equation.DSMT4" ShapeID="_x0000_i1032" DrawAspect="Content" ObjectID="_1483176406" r:id="rId36"/>
        </w:object>
      </w:r>
    </w:p>
    <w:p w:rsidR="00F20C08" w:rsidRPr="008762B1" w:rsidRDefault="00F20C08" w:rsidP="00F20C08">
      <w:pPr>
        <w:pStyle w:val="subsection2"/>
      </w:pPr>
      <w:r w:rsidRPr="008762B1">
        <w:t>where:</w:t>
      </w:r>
    </w:p>
    <w:p w:rsidR="00F20C08" w:rsidRPr="008762B1" w:rsidRDefault="00F20C08" w:rsidP="00F20C08">
      <w:pPr>
        <w:pStyle w:val="Definition"/>
      </w:pPr>
      <w:proofErr w:type="spellStart"/>
      <w:r w:rsidRPr="008762B1">
        <w:rPr>
          <w:b/>
          <w:i/>
        </w:rPr>
        <w:t>HW</w:t>
      </w:r>
      <w:proofErr w:type="spellEnd"/>
      <w:r w:rsidRPr="008762B1">
        <w:t xml:space="preserve"> means the historic quantity of putrescible eligible waste </w:t>
      </w:r>
      <w:r w:rsidR="003C35DB" w:rsidRPr="008762B1">
        <w:t>for</w:t>
      </w:r>
      <w:r w:rsidRPr="008762B1">
        <w:t xml:space="preserve"> the relevant 24</w:t>
      </w:r>
      <w:r w:rsidR="008762B1">
        <w:noBreakHyphen/>
      </w:r>
      <w:r w:rsidRPr="008762B1">
        <w:t>month period</w:t>
      </w:r>
      <w:r w:rsidR="00694477" w:rsidRPr="008762B1">
        <w:t xml:space="preserve">, </w:t>
      </w:r>
      <w:r w:rsidR="00694477" w:rsidRPr="008762B1">
        <w:rPr>
          <w:color w:val="000000" w:themeColor="text1"/>
          <w:szCs w:val="22"/>
        </w:rPr>
        <w:t>in tonnes</w:t>
      </w:r>
      <w:r w:rsidRPr="008762B1">
        <w:t>.</w:t>
      </w:r>
    </w:p>
    <w:p w:rsidR="00F20C08" w:rsidRPr="008762B1" w:rsidRDefault="007F2022" w:rsidP="00F20C08">
      <w:pPr>
        <w:pStyle w:val="Definition"/>
      </w:pPr>
      <w:proofErr w:type="spellStart"/>
      <w:r w:rsidRPr="008762B1">
        <w:rPr>
          <w:b/>
          <w:i/>
        </w:rPr>
        <w:t>H</w:t>
      </w:r>
      <w:r w:rsidR="00F20C08" w:rsidRPr="008762B1">
        <w:rPr>
          <w:b/>
          <w:i/>
        </w:rPr>
        <w:t>Q</w:t>
      </w:r>
      <w:r w:rsidR="00E76AC1" w:rsidRPr="008762B1">
        <w:rPr>
          <w:b/>
          <w:i/>
          <w:vertAlign w:val="subscript"/>
        </w:rPr>
        <w:t>E</w:t>
      </w:r>
      <w:r w:rsidR="00F20C08" w:rsidRPr="008762B1">
        <w:rPr>
          <w:b/>
          <w:i/>
          <w:vertAlign w:val="subscript"/>
        </w:rPr>
        <w:t>W</w:t>
      </w:r>
      <w:proofErr w:type="spellEnd"/>
      <w:r w:rsidR="00F20C08" w:rsidRPr="008762B1">
        <w:rPr>
          <w:vertAlign w:val="subscript"/>
        </w:rPr>
        <w:t xml:space="preserve"> </w:t>
      </w:r>
      <w:r w:rsidR="00F20C08" w:rsidRPr="008762B1">
        <w:t xml:space="preserve">means the quantity of eligible waste </w:t>
      </w:r>
      <w:r w:rsidRPr="008762B1">
        <w:t>received</w:t>
      </w:r>
      <w:r w:rsidR="00F20C08" w:rsidRPr="008762B1">
        <w:t xml:space="preserve"> by the project’s </w:t>
      </w:r>
      <w:proofErr w:type="spellStart"/>
      <w:r w:rsidR="00F20C08" w:rsidRPr="008762B1">
        <w:t>AWT</w:t>
      </w:r>
      <w:proofErr w:type="spellEnd"/>
      <w:r w:rsidR="00F20C08" w:rsidRPr="008762B1">
        <w:t xml:space="preserve"> facility in the relevant 24</w:t>
      </w:r>
      <w:r w:rsidR="008762B1">
        <w:noBreakHyphen/>
      </w:r>
      <w:r w:rsidR="00F20C08" w:rsidRPr="008762B1">
        <w:t>month period</w:t>
      </w:r>
      <w:r w:rsidR="00694477" w:rsidRPr="008762B1">
        <w:t>, in tonnes</w:t>
      </w:r>
      <w:r w:rsidRPr="008762B1">
        <w:t>, worked using appropriate evidence.</w:t>
      </w:r>
    </w:p>
    <w:p w:rsidR="00F20C08" w:rsidRPr="008762B1" w:rsidRDefault="007F2022" w:rsidP="00F20C08">
      <w:pPr>
        <w:pStyle w:val="Definition"/>
        <w:rPr>
          <w:szCs w:val="22"/>
        </w:rPr>
      </w:pPr>
      <w:proofErr w:type="spellStart"/>
      <w:r w:rsidRPr="008762B1">
        <w:rPr>
          <w:b/>
          <w:i/>
        </w:rPr>
        <w:lastRenderedPageBreak/>
        <w:t>H</w:t>
      </w:r>
      <w:r w:rsidR="00F20C08" w:rsidRPr="008762B1">
        <w:rPr>
          <w:b/>
          <w:i/>
        </w:rPr>
        <w:t>Q</w:t>
      </w:r>
      <w:r w:rsidR="00F20C08" w:rsidRPr="008762B1">
        <w:rPr>
          <w:b/>
          <w:i/>
          <w:vertAlign w:val="subscript"/>
        </w:rPr>
        <w:t>RW</w:t>
      </w:r>
      <w:proofErr w:type="spellEnd"/>
      <w:r w:rsidR="00F20C08" w:rsidRPr="008762B1">
        <w:t xml:space="preserve"> means t</w:t>
      </w:r>
      <w:r w:rsidR="00F20C08" w:rsidRPr="008762B1">
        <w:rPr>
          <w:szCs w:val="22"/>
        </w:rPr>
        <w:t xml:space="preserve">he quantity of residual waste </w:t>
      </w:r>
      <w:r w:rsidR="00EB1955" w:rsidRPr="008762B1">
        <w:rPr>
          <w:szCs w:val="22"/>
        </w:rPr>
        <w:t>disposed of by</w:t>
      </w:r>
      <w:r w:rsidR="00F20C08" w:rsidRPr="008762B1">
        <w:rPr>
          <w:szCs w:val="22"/>
        </w:rPr>
        <w:t xml:space="preserve"> the project’s </w:t>
      </w:r>
      <w:proofErr w:type="spellStart"/>
      <w:r w:rsidR="00F20C08" w:rsidRPr="008762B1">
        <w:rPr>
          <w:szCs w:val="22"/>
        </w:rPr>
        <w:t>AWT</w:t>
      </w:r>
      <w:proofErr w:type="spellEnd"/>
      <w:r w:rsidR="00F20C08" w:rsidRPr="008762B1">
        <w:rPr>
          <w:szCs w:val="22"/>
        </w:rPr>
        <w:t xml:space="preserve"> facility during the relevant 24</w:t>
      </w:r>
      <w:r w:rsidR="008762B1">
        <w:rPr>
          <w:szCs w:val="22"/>
        </w:rPr>
        <w:noBreakHyphen/>
      </w:r>
      <w:r w:rsidR="00F20C08" w:rsidRPr="008762B1">
        <w:rPr>
          <w:szCs w:val="22"/>
        </w:rPr>
        <w:t>month period,</w:t>
      </w:r>
      <w:r w:rsidR="00694477" w:rsidRPr="008762B1">
        <w:rPr>
          <w:szCs w:val="22"/>
        </w:rPr>
        <w:t xml:space="preserve"> in tonnes,</w:t>
      </w:r>
      <w:r w:rsidR="00F20C08" w:rsidRPr="008762B1">
        <w:rPr>
          <w:szCs w:val="22"/>
        </w:rPr>
        <w:t xml:space="preserve"> </w:t>
      </w:r>
      <w:r w:rsidRPr="008762B1">
        <w:t>worked using appropriate evidence.</w:t>
      </w:r>
    </w:p>
    <w:p w:rsidR="00F20C08" w:rsidRPr="008762B1" w:rsidRDefault="007F2022" w:rsidP="00F20C08">
      <w:pPr>
        <w:pStyle w:val="Definition"/>
        <w:rPr>
          <w:szCs w:val="22"/>
        </w:rPr>
      </w:pPr>
      <w:proofErr w:type="spellStart"/>
      <w:r w:rsidRPr="008762B1">
        <w:rPr>
          <w:b/>
          <w:i/>
        </w:rPr>
        <w:t>H</w:t>
      </w:r>
      <w:r w:rsidR="00F20C08" w:rsidRPr="008762B1">
        <w:rPr>
          <w:b/>
          <w:i/>
        </w:rPr>
        <w:t>Q</w:t>
      </w:r>
      <w:r w:rsidR="00F20C08" w:rsidRPr="008762B1">
        <w:rPr>
          <w:b/>
          <w:i/>
          <w:vertAlign w:val="subscript"/>
        </w:rPr>
        <w:t>NB</w:t>
      </w:r>
      <w:r w:rsidR="00E76AC1" w:rsidRPr="008762B1">
        <w:rPr>
          <w:b/>
          <w:i/>
          <w:vertAlign w:val="subscript"/>
        </w:rPr>
        <w:t>P</w:t>
      </w:r>
      <w:proofErr w:type="spellEnd"/>
      <w:r w:rsidR="00F20C08" w:rsidRPr="008762B1">
        <w:rPr>
          <w:b/>
          <w:vertAlign w:val="subscript"/>
        </w:rPr>
        <w:t xml:space="preserve"> </w:t>
      </w:r>
      <w:r w:rsidR="00F20C08" w:rsidRPr="008762B1">
        <w:rPr>
          <w:szCs w:val="22"/>
        </w:rPr>
        <w:t>means the quantity of non</w:t>
      </w:r>
      <w:r w:rsidR="008762B1">
        <w:rPr>
          <w:szCs w:val="22"/>
        </w:rPr>
        <w:noBreakHyphen/>
      </w:r>
      <w:proofErr w:type="spellStart"/>
      <w:r w:rsidR="00F20C08" w:rsidRPr="008762B1">
        <w:rPr>
          <w:szCs w:val="22"/>
        </w:rPr>
        <w:t>biobased</w:t>
      </w:r>
      <w:proofErr w:type="spellEnd"/>
      <w:r w:rsidR="00F20C08" w:rsidRPr="008762B1">
        <w:rPr>
          <w:szCs w:val="22"/>
        </w:rPr>
        <w:t xml:space="preserve"> products manufactured by the project’s </w:t>
      </w:r>
      <w:proofErr w:type="spellStart"/>
      <w:r w:rsidR="00F20C08" w:rsidRPr="008762B1">
        <w:rPr>
          <w:szCs w:val="22"/>
        </w:rPr>
        <w:t>AWT</w:t>
      </w:r>
      <w:proofErr w:type="spellEnd"/>
      <w:r w:rsidR="00F20C08" w:rsidRPr="008762B1">
        <w:rPr>
          <w:szCs w:val="22"/>
        </w:rPr>
        <w:t xml:space="preserve"> facility during the </w:t>
      </w:r>
      <w:r w:rsidR="00873974" w:rsidRPr="008762B1">
        <w:rPr>
          <w:szCs w:val="22"/>
        </w:rPr>
        <w:t>relevant 24</w:t>
      </w:r>
      <w:r w:rsidR="008762B1">
        <w:rPr>
          <w:szCs w:val="22"/>
        </w:rPr>
        <w:noBreakHyphen/>
      </w:r>
      <w:r w:rsidR="00873974" w:rsidRPr="008762B1">
        <w:rPr>
          <w:szCs w:val="22"/>
        </w:rPr>
        <w:t>month period</w:t>
      </w:r>
      <w:r w:rsidR="00F20C08" w:rsidRPr="008762B1">
        <w:rPr>
          <w:szCs w:val="22"/>
        </w:rPr>
        <w:t>,</w:t>
      </w:r>
      <w:r w:rsidR="00694477" w:rsidRPr="008762B1">
        <w:rPr>
          <w:szCs w:val="22"/>
        </w:rPr>
        <w:t xml:space="preserve"> in tonnes,</w:t>
      </w:r>
      <w:r w:rsidR="00F20C08" w:rsidRPr="008762B1">
        <w:rPr>
          <w:szCs w:val="22"/>
        </w:rPr>
        <w:t xml:space="preserve"> </w:t>
      </w:r>
      <w:r w:rsidRPr="008762B1">
        <w:t>worked using appropriate evidence</w:t>
      </w:r>
      <w:r w:rsidR="00873974" w:rsidRPr="008762B1">
        <w:rPr>
          <w:szCs w:val="22"/>
        </w:rPr>
        <w:t>.</w:t>
      </w:r>
    </w:p>
    <w:p w:rsidR="007F2022" w:rsidRPr="008762B1" w:rsidRDefault="007F2022" w:rsidP="007F2022">
      <w:pPr>
        <w:pStyle w:val="notetext"/>
      </w:pPr>
      <w:r w:rsidRPr="008762B1">
        <w:t>Note:</w:t>
      </w:r>
      <w:r w:rsidRPr="008762B1">
        <w:tab/>
        <w:t>To be an eligible offsets project, the application made under section</w:t>
      </w:r>
      <w:r w:rsidR="008762B1" w:rsidRPr="008762B1">
        <w:t> </w:t>
      </w:r>
      <w:r w:rsidRPr="008762B1">
        <w:t xml:space="preserve">22 of the Act in relation to an expansion project must be accompanied by appropriate evidence </w:t>
      </w:r>
      <w:r w:rsidR="004F270E" w:rsidRPr="008762B1">
        <w:t xml:space="preserve">that is </w:t>
      </w:r>
      <w:r w:rsidRPr="008762B1">
        <w:t>sufficient to calculate the historic quantity of putrescible eligible waste for the relevant 24</w:t>
      </w:r>
      <w:r w:rsidR="008762B1">
        <w:noBreakHyphen/>
      </w:r>
      <w:r w:rsidRPr="008762B1">
        <w:t xml:space="preserve">month period </w:t>
      </w:r>
      <w:r w:rsidR="004F270E" w:rsidRPr="008762B1">
        <w:t>using equation 8</w:t>
      </w:r>
      <w:r w:rsidR="004F0AC1" w:rsidRPr="008762B1">
        <w:t xml:space="preserve"> </w:t>
      </w:r>
      <w:r w:rsidRPr="008762B1">
        <w:t>(see subsection</w:t>
      </w:r>
      <w:r w:rsidR="008762B1" w:rsidRPr="008762B1">
        <w:t> </w:t>
      </w:r>
      <w:r w:rsidRPr="008762B1">
        <w:t>12(2)).</w:t>
      </w:r>
    </w:p>
    <w:p w:rsidR="00F20C08" w:rsidRPr="008762B1" w:rsidRDefault="007F2022" w:rsidP="00425A33">
      <w:pPr>
        <w:pStyle w:val="subsection"/>
      </w:pPr>
      <w:r w:rsidRPr="008762B1">
        <w:tab/>
        <w:t>(4</w:t>
      </w:r>
      <w:r w:rsidR="00F20C08" w:rsidRPr="008762B1">
        <w:t>)</w:t>
      </w:r>
      <w:r w:rsidR="00F20C08" w:rsidRPr="008762B1">
        <w:tab/>
        <w:t>In this section:</w:t>
      </w:r>
    </w:p>
    <w:p w:rsidR="007F2022" w:rsidRPr="008762B1" w:rsidRDefault="007F2022" w:rsidP="007F2022">
      <w:pPr>
        <w:pStyle w:val="Definition"/>
      </w:pPr>
      <w:r w:rsidRPr="008762B1">
        <w:rPr>
          <w:b/>
          <w:i/>
        </w:rPr>
        <w:t>appropriate evidence</w:t>
      </w:r>
      <w:r w:rsidRPr="008762B1">
        <w:t xml:space="preserve"> means:</w:t>
      </w:r>
    </w:p>
    <w:p w:rsidR="007F2022" w:rsidRPr="008762B1" w:rsidRDefault="007F2022" w:rsidP="007F2022">
      <w:pPr>
        <w:pStyle w:val="paragraph"/>
      </w:pPr>
      <w:r w:rsidRPr="008762B1">
        <w:tab/>
        <w:t>(a)</w:t>
      </w:r>
      <w:r w:rsidRPr="008762B1">
        <w:tab/>
        <w:t>weighbridge evidence from an accepted industry weighbridge that meets appropriate measuring requirements; or</w:t>
      </w:r>
    </w:p>
    <w:p w:rsidR="007F2022" w:rsidRPr="008762B1" w:rsidRDefault="007F2022" w:rsidP="007F2022">
      <w:pPr>
        <w:pStyle w:val="paragraph"/>
      </w:pPr>
      <w:r w:rsidRPr="008762B1">
        <w:tab/>
        <w:t>(b)</w:t>
      </w:r>
      <w:r w:rsidRPr="008762B1">
        <w:tab/>
        <w:t>waste transport contracts and invoices that provide evidence of relevant quantities of transported waste.</w:t>
      </w:r>
    </w:p>
    <w:p w:rsidR="00425A33" w:rsidRPr="008762B1" w:rsidRDefault="00425A33" w:rsidP="00F20C08">
      <w:pPr>
        <w:pStyle w:val="Definition"/>
      </w:pPr>
      <w:r w:rsidRPr="008762B1">
        <w:rPr>
          <w:b/>
          <w:i/>
        </w:rPr>
        <w:t>relevant 24</w:t>
      </w:r>
      <w:r w:rsidR="008762B1">
        <w:rPr>
          <w:b/>
          <w:i/>
        </w:rPr>
        <w:noBreakHyphen/>
      </w:r>
      <w:r w:rsidRPr="008762B1">
        <w:rPr>
          <w:b/>
          <w:i/>
        </w:rPr>
        <w:t>month period</w:t>
      </w:r>
      <w:r w:rsidR="00F20C08" w:rsidRPr="008762B1">
        <w:t xml:space="preserve">, </w:t>
      </w:r>
      <w:r w:rsidRPr="008762B1">
        <w:t>for a project</w:t>
      </w:r>
      <w:r w:rsidR="00F20C08" w:rsidRPr="008762B1">
        <w:t>, means</w:t>
      </w:r>
      <w:r w:rsidRPr="008762B1">
        <w:t xml:space="preserve"> the 24</w:t>
      </w:r>
      <w:r w:rsidR="008762B1">
        <w:noBreakHyphen/>
      </w:r>
      <w:r w:rsidRPr="008762B1">
        <w:t>month period ending on the day before an application under section</w:t>
      </w:r>
      <w:r w:rsidR="008762B1" w:rsidRPr="008762B1">
        <w:t> </w:t>
      </w:r>
      <w:r w:rsidRPr="008762B1">
        <w:t>22 of the Act is made in relation to the project.</w:t>
      </w:r>
    </w:p>
    <w:p w:rsidR="006E3AC0" w:rsidRPr="008762B1" w:rsidRDefault="000D4C36" w:rsidP="000D4C36">
      <w:pPr>
        <w:pStyle w:val="ActHead4"/>
      </w:pPr>
      <w:bookmarkStart w:id="48" w:name="_Toc407103340"/>
      <w:r w:rsidRPr="008762B1">
        <w:rPr>
          <w:rStyle w:val="CharSubdNo"/>
        </w:rPr>
        <w:t>Subdivision C</w:t>
      </w:r>
      <w:r w:rsidR="006E3AC0" w:rsidRPr="008762B1">
        <w:t>—</w:t>
      </w:r>
      <w:r w:rsidR="006E3AC0" w:rsidRPr="008762B1">
        <w:rPr>
          <w:rStyle w:val="CharSubdText"/>
        </w:rPr>
        <w:t>Calculations relating to project emissions</w:t>
      </w:r>
      <w:bookmarkEnd w:id="48"/>
    </w:p>
    <w:p w:rsidR="00C91DE7" w:rsidRPr="008762B1" w:rsidRDefault="004E7255" w:rsidP="00C91DE7">
      <w:pPr>
        <w:pStyle w:val="ActHead5"/>
      </w:pPr>
      <w:bookmarkStart w:id="49" w:name="_Toc407103341"/>
      <w:r w:rsidRPr="008762B1">
        <w:rPr>
          <w:rStyle w:val="CharSectno"/>
        </w:rPr>
        <w:t>28</w:t>
      </w:r>
      <w:r w:rsidR="00C91DE7" w:rsidRPr="008762B1">
        <w:t xml:space="preserve">  Summary</w:t>
      </w:r>
      <w:bookmarkEnd w:id="49"/>
    </w:p>
    <w:p w:rsidR="00C91DE7" w:rsidRPr="008762B1" w:rsidRDefault="00C91DE7" w:rsidP="00B249ED">
      <w:pPr>
        <w:pStyle w:val="SOText"/>
      </w:pPr>
      <w:r w:rsidRPr="008762B1">
        <w:t>The project emissions for a reporting period are the emissions that result from carrying out the project during the reporting period.</w:t>
      </w:r>
    </w:p>
    <w:p w:rsidR="00EF29EF" w:rsidRPr="008762B1" w:rsidRDefault="004E7255" w:rsidP="00EF29EF">
      <w:pPr>
        <w:pStyle w:val="ActHead5"/>
      </w:pPr>
      <w:bookmarkStart w:id="50" w:name="_Toc407103342"/>
      <w:r w:rsidRPr="008762B1">
        <w:rPr>
          <w:rStyle w:val="CharSectno"/>
        </w:rPr>
        <w:t>29</w:t>
      </w:r>
      <w:r w:rsidR="00EF29EF" w:rsidRPr="008762B1">
        <w:t xml:space="preserve">  Project emissions</w:t>
      </w:r>
      <w:bookmarkEnd w:id="50"/>
    </w:p>
    <w:p w:rsidR="00EF29EF" w:rsidRPr="008762B1" w:rsidRDefault="00EF29EF" w:rsidP="00EF29EF">
      <w:pPr>
        <w:pStyle w:val="subsection"/>
      </w:pPr>
      <w:r w:rsidRPr="008762B1">
        <w:tab/>
      </w:r>
      <w:r w:rsidR="00F57D54" w:rsidRPr="008762B1">
        <w:tab/>
        <w:t>T</w:t>
      </w:r>
      <w:r w:rsidR="00BD2C68" w:rsidRPr="008762B1">
        <w:t>he project emissions for</w:t>
      </w:r>
      <w:r w:rsidRPr="008762B1">
        <w:t xml:space="preserve"> a report</w:t>
      </w:r>
      <w:r w:rsidR="004E1110" w:rsidRPr="008762B1">
        <w:t>ing</w:t>
      </w:r>
      <w:r w:rsidR="001C55CE" w:rsidRPr="008762B1">
        <w:t xml:space="preserve"> period</w:t>
      </w:r>
      <w:r w:rsidR="00694477" w:rsidRPr="008762B1">
        <w:t>, in tonnes CO</w:t>
      </w:r>
      <w:r w:rsidR="00694477" w:rsidRPr="008762B1">
        <w:rPr>
          <w:vertAlign w:val="subscript"/>
        </w:rPr>
        <w:t>2</w:t>
      </w:r>
      <w:r w:rsidR="008762B1">
        <w:noBreakHyphen/>
      </w:r>
      <w:r w:rsidR="00694477" w:rsidRPr="008762B1">
        <w:t>e,</w:t>
      </w:r>
      <w:r w:rsidR="00B92AD8" w:rsidRPr="008762B1">
        <w:t xml:space="preserve"> are worked out using</w:t>
      </w:r>
      <w:r w:rsidRPr="008762B1">
        <w:t xml:space="preserve"> the formula (</w:t>
      </w:r>
      <w:r w:rsidR="00FE4577" w:rsidRPr="008762B1">
        <w:rPr>
          <w:b/>
          <w:i/>
        </w:rPr>
        <w:t>equation 9</w:t>
      </w:r>
      <w:r w:rsidRPr="008762B1">
        <w:t>):</w:t>
      </w:r>
    </w:p>
    <w:bookmarkStart w:id="51" w:name="BKCheck15B_12"/>
    <w:bookmarkEnd w:id="51"/>
    <w:p w:rsidR="004260EE" w:rsidRPr="008762B1" w:rsidRDefault="004929D1" w:rsidP="004260EE">
      <w:pPr>
        <w:pStyle w:val="subsection2"/>
      </w:pPr>
      <w:r w:rsidRPr="008762B1">
        <w:rPr>
          <w:position w:val="-36"/>
        </w:rPr>
        <w:object w:dxaOrig="3159" w:dyaOrig="820">
          <v:shape id="_x0000_i1033" type="#_x0000_t75" style="width:157.25pt;height:40.3pt" o:ole="">
            <v:imagedata r:id="rId37" o:title=""/>
          </v:shape>
          <o:OLEObject Type="Embed" ProgID="Equation.DSMT4" ShapeID="_x0000_i1033" DrawAspect="Content" ObjectID="_1483176407" r:id="rId38"/>
        </w:object>
      </w:r>
    </w:p>
    <w:p w:rsidR="004260EE" w:rsidRPr="008762B1" w:rsidRDefault="00EF29EF" w:rsidP="004260EE">
      <w:pPr>
        <w:pStyle w:val="subsection2"/>
      </w:pPr>
      <w:r w:rsidRPr="008762B1">
        <w:t>w</w:t>
      </w:r>
      <w:r w:rsidR="004260EE" w:rsidRPr="008762B1">
        <w:t>here:</w:t>
      </w:r>
    </w:p>
    <w:p w:rsidR="00BA0923" w:rsidRPr="008762B1" w:rsidRDefault="00BA0923" w:rsidP="00BA0923">
      <w:pPr>
        <w:pStyle w:val="Definition"/>
      </w:pPr>
      <w:r w:rsidRPr="008762B1">
        <w:rPr>
          <w:b/>
          <w:i/>
        </w:rPr>
        <w:t>E</w:t>
      </w:r>
      <w:r w:rsidRPr="008762B1">
        <w:rPr>
          <w:b/>
          <w:i/>
          <w:vertAlign w:val="subscript"/>
        </w:rPr>
        <w:t>P</w:t>
      </w:r>
      <w:r w:rsidRPr="008762B1">
        <w:t xml:space="preserve"> means </w:t>
      </w:r>
      <w:r w:rsidR="001B645F" w:rsidRPr="008762B1">
        <w:t xml:space="preserve">the </w:t>
      </w:r>
      <w:r w:rsidRPr="008762B1">
        <w:rPr>
          <w:szCs w:val="22"/>
        </w:rPr>
        <w:t xml:space="preserve">project emissions, </w:t>
      </w:r>
      <w:r w:rsidR="001C55CE" w:rsidRPr="008762B1">
        <w:t>in tonnes</w:t>
      </w:r>
      <w:r w:rsidRPr="008762B1">
        <w:t xml:space="preserve"> CO</w:t>
      </w:r>
      <w:r w:rsidRPr="008762B1">
        <w:rPr>
          <w:vertAlign w:val="subscript"/>
        </w:rPr>
        <w:t>2</w:t>
      </w:r>
      <w:r w:rsidR="008762B1">
        <w:noBreakHyphen/>
      </w:r>
      <w:r w:rsidRPr="008762B1">
        <w:t>e.</w:t>
      </w:r>
    </w:p>
    <w:p w:rsidR="00BA0923" w:rsidRPr="008762B1" w:rsidRDefault="00BA0923" w:rsidP="00BA0923">
      <w:pPr>
        <w:pStyle w:val="Definition"/>
        <w:rPr>
          <w:szCs w:val="22"/>
        </w:rPr>
      </w:pPr>
      <w:r w:rsidRPr="008762B1">
        <w:rPr>
          <w:b/>
          <w:i/>
        </w:rPr>
        <w:t>PW</w:t>
      </w:r>
      <w:r w:rsidRPr="008762B1">
        <w:t xml:space="preserve"> </w:t>
      </w:r>
      <w:r w:rsidRPr="008762B1">
        <w:rPr>
          <w:szCs w:val="22"/>
        </w:rPr>
        <w:t xml:space="preserve">means the quantity of putrescible eligible waste </w:t>
      </w:r>
      <w:r w:rsidR="003262BA" w:rsidRPr="008762B1">
        <w:t xml:space="preserve">processed </w:t>
      </w:r>
      <w:r w:rsidRPr="008762B1">
        <w:t>during the reporting period,</w:t>
      </w:r>
      <w:r w:rsidR="00694477" w:rsidRPr="008762B1">
        <w:rPr>
          <w:szCs w:val="22"/>
        </w:rPr>
        <w:t xml:space="preserve"> in tonnes,</w:t>
      </w:r>
      <w:r w:rsidRPr="008762B1">
        <w:t xml:space="preserve"> </w:t>
      </w:r>
      <w:r w:rsidR="00FE4577" w:rsidRPr="008762B1">
        <w:rPr>
          <w:szCs w:val="22"/>
        </w:rPr>
        <w:t>worked out using equation 6</w:t>
      </w:r>
      <w:r w:rsidRPr="008762B1">
        <w:rPr>
          <w:szCs w:val="22"/>
        </w:rPr>
        <w:t>.</w:t>
      </w:r>
    </w:p>
    <w:p w:rsidR="00BA0923" w:rsidRPr="008762B1" w:rsidRDefault="004929D1" w:rsidP="00BA0923">
      <w:pPr>
        <w:pStyle w:val="Definition"/>
        <w:rPr>
          <w:color w:val="000000" w:themeColor="text1"/>
          <w:szCs w:val="22"/>
        </w:rPr>
      </w:pPr>
      <w:proofErr w:type="spellStart"/>
      <w:r w:rsidRPr="008762B1">
        <w:rPr>
          <w:b/>
          <w:i/>
        </w:rPr>
        <w:t>EW</w:t>
      </w:r>
      <w:proofErr w:type="spellEnd"/>
      <w:r w:rsidR="00BA0923" w:rsidRPr="008762B1">
        <w:t xml:space="preserve"> </w:t>
      </w:r>
      <w:r w:rsidR="00BA0923" w:rsidRPr="008762B1">
        <w:rPr>
          <w:szCs w:val="22"/>
        </w:rPr>
        <w:t xml:space="preserve">means the total quantity of </w:t>
      </w:r>
      <w:r w:rsidRPr="008762B1">
        <w:rPr>
          <w:szCs w:val="22"/>
        </w:rPr>
        <w:t xml:space="preserve">eligible </w:t>
      </w:r>
      <w:r w:rsidR="00BA0923" w:rsidRPr="008762B1">
        <w:rPr>
          <w:color w:val="000000" w:themeColor="text1"/>
          <w:szCs w:val="22"/>
        </w:rPr>
        <w:t>waste received during the reporting per</w:t>
      </w:r>
      <w:r w:rsidR="00FE4577" w:rsidRPr="008762B1">
        <w:rPr>
          <w:color w:val="000000" w:themeColor="text1"/>
          <w:szCs w:val="22"/>
        </w:rPr>
        <w:t>iod,</w:t>
      </w:r>
      <w:r w:rsidR="00694477" w:rsidRPr="008762B1">
        <w:rPr>
          <w:szCs w:val="22"/>
        </w:rPr>
        <w:t xml:space="preserve"> in tonnes,</w:t>
      </w:r>
      <w:r w:rsidR="00FE4577" w:rsidRPr="008762B1">
        <w:rPr>
          <w:color w:val="000000" w:themeColor="text1"/>
          <w:szCs w:val="22"/>
        </w:rPr>
        <w:t xml:space="preserve"> </w:t>
      </w:r>
      <w:r w:rsidR="00B6745D" w:rsidRPr="008762B1">
        <w:rPr>
          <w:color w:val="000000" w:themeColor="text1"/>
          <w:szCs w:val="22"/>
        </w:rPr>
        <w:t>worked out using equation 7</w:t>
      </w:r>
      <w:r w:rsidR="00BA0923" w:rsidRPr="008762B1">
        <w:rPr>
          <w:color w:val="000000" w:themeColor="text1"/>
          <w:szCs w:val="22"/>
        </w:rPr>
        <w:t>.</w:t>
      </w:r>
    </w:p>
    <w:p w:rsidR="00BA0923" w:rsidRPr="008762B1" w:rsidRDefault="00BA0923" w:rsidP="00BA0923">
      <w:pPr>
        <w:pStyle w:val="Definition"/>
        <w:rPr>
          <w:szCs w:val="22"/>
        </w:rPr>
      </w:pPr>
      <w:proofErr w:type="spellStart"/>
      <w:r w:rsidRPr="008762B1">
        <w:rPr>
          <w:b/>
          <w:i/>
        </w:rPr>
        <w:t>E</w:t>
      </w:r>
      <w:r w:rsidR="00380F6E" w:rsidRPr="008762B1">
        <w:rPr>
          <w:b/>
          <w:i/>
          <w:vertAlign w:val="subscript"/>
        </w:rPr>
        <w:t>F</w:t>
      </w:r>
      <w:proofErr w:type="spellEnd"/>
      <w:r w:rsidRPr="008762B1">
        <w:t xml:space="preserve"> </w:t>
      </w:r>
      <w:r w:rsidR="001C55CE" w:rsidRPr="008762B1">
        <w:rPr>
          <w:szCs w:val="22"/>
        </w:rPr>
        <w:t xml:space="preserve">means </w:t>
      </w:r>
      <w:r w:rsidR="00F64F6C" w:rsidRPr="008762B1">
        <w:rPr>
          <w:szCs w:val="22"/>
        </w:rPr>
        <w:t xml:space="preserve">the </w:t>
      </w:r>
      <w:r w:rsidR="001C55CE" w:rsidRPr="008762B1">
        <w:rPr>
          <w:szCs w:val="22"/>
        </w:rPr>
        <w:t>emissions</w:t>
      </w:r>
      <w:r w:rsidRPr="008762B1">
        <w:rPr>
          <w:szCs w:val="22"/>
        </w:rPr>
        <w:t xml:space="preserve"> from fuel used during the reporting per</w:t>
      </w:r>
      <w:r w:rsidR="00D03BF3" w:rsidRPr="008762B1">
        <w:rPr>
          <w:szCs w:val="22"/>
        </w:rPr>
        <w:t>iod,</w:t>
      </w:r>
      <w:r w:rsidR="00694477" w:rsidRPr="008762B1">
        <w:rPr>
          <w:szCs w:val="22"/>
        </w:rPr>
        <w:t xml:space="preserve"> in tonnes CO</w:t>
      </w:r>
      <w:r w:rsidR="00694477" w:rsidRPr="008762B1">
        <w:rPr>
          <w:szCs w:val="22"/>
          <w:vertAlign w:val="subscript"/>
        </w:rPr>
        <w:t>2</w:t>
      </w:r>
      <w:r w:rsidR="008762B1">
        <w:rPr>
          <w:szCs w:val="22"/>
        </w:rPr>
        <w:noBreakHyphen/>
      </w:r>
      <w:r w:rsidR="00694477" w:rsidRPr="008762B1">
        <w:rPr>
          <w:szCs w:val="22"/>
        </w:rPr>
        <w:t>e,</w:t>
      </w:r>
      <w:r w:rsidR="00D03BF3" w:rsidRPr="008762B1">
        <w:rPr>
          <w:szCs w:val="22"/>
        </w:rPr>
        <w:t xml:space="preserve"> worked out using equation 10</w:t>
      </w:r>
      <w:r w:rsidRPr="008762B1">
        <w:rPr>
          <w:szCs w:val="22"/>
        </w:rPr>
        <w:t>.</w:t>
      </w:r>
    </w:p>
    <w:p w:rsidR="004260EE" w:rsidRPr="008762B1" w:rsidRDefault="004260EE" w:rsidP="004260EE">
      <w:pPr>
        <w:pStyle w:val="Definition"/>
      </w:pPr>
      <w:proofErr w:type="spellStart"/>
      <w:r w:rsidRPr="008762B1">
        <w:rPr>
          <w:b/>
          <w:i/>
        </w:rPr>
        <w:lastRenderedPageBreak/>
        <w:t>E</w:t>
      </w:r>
      <w:r w:rsidR="00380F6E" w:rsidRPr="008762B1">
        <w:rPr>
          <w:b/>
          <w:i/>
          <w:vertAlign w:val="subscript"/>
        </w:rPr>
        <w:t>EP</w:t>
      </w:r>
      <w:proofErr w:type="spellEnd"/>
      <w:r w:rsidRPr="008762B1">
        <w:t xml:space="preserve"> </w:t>
      </w:r>
      <w:r w:rsidR="00153C41" w:rsidRPr="008762B1">
        <w:rPr>
          <w:szCs w:val="22"/>
        </w:rPr>
        <w:t xml:space="preserve">means </w:t>
      </w:r>
      <w:r w:rsidR="00F64F6C" w:rsidRPr="008762B1">
        <w:rPr>
          <w:szCs w:val="22"/>
        </w:rPr>
        <w:t xml:space="preserve">the </w:t>
      </w:r>
      <w:r w:rsidRPr="008762B1">
        <w:rPr>
          <w:szCs w:val="22"/>
        </w:rPr>
        <w:t xml:space="preserve">emissions from </w:t>
      </w:r>
      <w:r w:rsidR="00153C41" w:rsidRPr="008762B1">
        <w:rPr>
          <w:szCs w:val="22"/>
        </w:rPr>
        <w:t xml:space="preserve">purchased </w:t>
      </w:r>
      <w:r w:rsidRPr="008762B1">
        <w:rPr>
          <w:szCs w:val="22"/>
        </w:rPr>
        <w:t xml:space="preserve">electricity </w:t>
      </w:r>
      <w:r w:rsidR="00153C41" w:rsidRPr="008762B1">
        <w:rPr>
          <w:szCs w:val="22"/>
        </w:rPr>
        <w:t xml:space="preserve">used </w:t>
      </w:r>
      <w:r w:rsidR="004E1110" w:rsidRPr="008762B1">
        <w:rPr>
          <w:szCs w:val="22"/>
        </w:rPr>
        <w:t>during the reporting period</w:t>
      </w:r>
      <w:r w:rsidRPr="008762B1">
        <w:rPr>
          <w:szCs w:val="22"/>
        </w:rPr>
        <w:t>,</w:t>
      </w:r>
      <w:r w:rsidR="00694477" w:rsidRPr="008762B1">
        <w:rPr>
          <w:szCs w:val="22"/>
        </w:rPr>
        <w:t xml:space="preserve"> in tonnes CO</w:t>
      </w:r>
      <w:r w:rsidR="00694477" w:rsidRPr="008762B1">
        <w:rPr>
          <w:szCs w:val="22"/>
          <w:vertAlign w:val="subscript"/>
        </w:rPr>
        <w:t>2</w:t>
      </w:r>
      <w:r w:rsidR="008762B1">
        <w:rPr>
          <w:szCs w:val="22"/>
        </w:rPr>
        <w:noBreakHyphen/>
      </w:r>
      <w:r w:rsidR="00694477" w:rsidRPr="008762B1">
        <w:rPr>
          <w:szCs w:val="22"/>
        </w:rPr>
        <w:t>e,</w:t>
      </w:r>
      <w:r w:rsidRPr="008762B1">
        <w:rPr>
          <w:szCs w:val="22"/>
        </w:rPr>
        <w:t xml:space="preserve"> </w:t>
      </w:r>
      <w:r w:rsidR="00D03BF3" w:rsidRPr="008762B1">
        <w:rPr>
          <w:szCs w:val="22"/>
        </w:rPr>
        <w:t>worked out using equation 11</w:t>
      </w:r>
      <w:r w:rsidR="00153C41" w:rsidRPr="008762B1">
        <w:rPr>
          <w:szCs w:val="22"/>
        </w:rPr>
        <w:t>.</w:t>
      </w:r>
    </w:p>
    <w:p w:rsidR="004260EE" w:rsidRPr="008762B1" w:rsidRDefault="004260EE" w:rsidP="004260EE">
      <w:pPr>
        <w:pStyle w:val="Definition"/>
        <w:rPr>
          <w:szCs w:val="22"/>
        </w:rPr>
      </w:pPr>
      <w:proofErr w:type="spellStart"/>
      <w:r w:rsidRPr="008762B1">
        <w:rPr>
          <w:b/>
          <w:i/>
        </w:rPr>
        <w:t>E</w:t>
      </w:r>
      <w:r w:rsidR="00380F6E" w:rsidRPr="008762B1">
        <w:rPr>
          <w:b/>
          <w:i/>
          <w:vertAlign w:val="subscript"/>
        </w:rPr>
        <w:t>PW</w:t>
      </w:r>
      <w:proofErr w:type="spellEnd"/>
      <w:r w:rsidRPr="008762B1">
        <w:t xml:space="preserve"> </w:t>
      </w:r>
      <w:r w:rsidR="00153C41" w:rsidRPr="008762B1">
        <w:rPr>
          <w:szCs w:val="22"/>
        </w:rPr>
        <w:t xml:space="preserve">means </w:t>
      </w:r>
      <w:r w:rsidR="00F64F6C" w:rsidRPr="008762B1">
        <w:rPr>
          <w:szCs w:val="22"/>
        </w:rPr>
        <w:t xml:space="preserve">the </w:t>
      </w:r>
      <w:r w:rsidRPr="008762B1">
        <w:rPr>
          <w:szCs w:val="22"/>
        </w:rPr>
        <w:t xml:space="preserve">emissions </w:t>
      </w:r>
      <w:r w:rsidR="00153C41" w:rsidRPr="008762B1">
        <w:rPr>
          <w:szCs w:val="22"/>
        </w:rPr>
        <w:t>from</w:t>
      </w:r>
      <w:r w:rsidRPr="008762B1">
        <w:rPr>
          <w:szCs w:val="22"/>
        </w:rPr>
        <w:t xml:space="preserve"> the </w:t>
      </w:r>
      <w:r w:rsidR="00181CA6" w:rsidRPr="008762B1">
        <w:rPr>
          <w:szCs w:val="22"/>
        </w:rPr>
        <w:t>processing</w:t>
      </w:r>
      <w:r w:rsidRPr="008762B1">
        <w:rPr>
          <w:szCs w:val="22"/>
        </w:rPr>
        <w:t xml:space="preserve"> of putrescible eligible waste </w:t>
      </w:r>
      <w:r w:rsidR="004E1110" w:rsidRPr="008762B1">
        <w:rPr>
          <w:szCs w:val="22"/>
        </w:rPr>
        <w:t>during the reporting period</w:t>
      </w:r>
      <w:r w:rsidR="00D93281" w:rsidRPr="008762B1">
        <w:rPr>
          <w:szCs w:val="22"/>
        </w:rPr>
        <w:t>,</w:t>
      </w:r>
      <w:r w:rsidR="00694477" w:rsidRPr="008762B1">
        <w:rPr>
          <w:szCs w:val="22"/>
        </w:rPr>
        <w:t xml:space="preserve"> in tonnes CO</w:t>
      </w:r>
      <w:r w:rsidR="00694477" w:rsidRPr="008762B1">
        <w:rPr>
          <w:szCs w:val="22"/>
          <w:vertAlign w:val="subscript"/>
        </w:rPr>
        <w:t>2</w:t>
      </w:r>
      <w:r w:rsidR="008762B1">
        <w:rPr>
          <w:szCs w:val="22"/>
        </w:rPr>
        <w:noBreakHyphen/>
      </w:r>
      <w:r w:rsidR="00694477" w:rsidRPr="008762B1">
        <w:rPr>
          <w:szCs w:val="22"/>
        </w:rPr>
        <w:t>e,</w:t>
      </w:r>
      <w:r w:rsidR="00D93281" w:rsidRPr="008762B1">
        <w:rPr>
          <w:szCs w:val="22"/>
        </w:rPr>
        <w:t xml:space="preserve"> worked out using equation 12</w:t>
      </w:r>
      <w:r w:rsidR="00153C41" w:rsidRPr="008762B1">
        <w:rPr>
          <w:szCs w:val="22"/>
        </w:rPr>
        <w:t>.</w:t>
      </w:r>
    </w:p>
    <w:p w:rsidR="004260EE" w:rsidRPr="008762B1" w:rsidRDefault="004E7255" w:rsidP="00F57D54">
      <w:pPr>
        <w:pStyle w:val="ActHead5"/>
      </w:pPr>
      <w:bookmarkStart w:id="52" w:name="_Toc407103343"/>
      <w:r w:rsidRPr="008762B1">
        <w:rPr>
          <w:rStyle w:val="CharSectno"/>
        </w:rPr>
        <w:t>30</w:t>
      </w:r>
      <w:r w:rsidR="00153C41" w:rsidRPr="008762B1">
        <w:t xml:space="preserve">  </w:t>
      </w:r>
      <w:r w:rsidR="004260EE" w:rsidRPr="008762B1">
        <w:t>Emissions from fuel</w:t>
      </w:r>
      <w:bookmarkEnd w:id="52"/>
    </w:p>
    <w:p w:rsidR="004E1110" w:rsidRPr="008762B1" w:rsidRDefault="0057114A" w:rsidP="004E1110">
      <w:pPr>
        <w:pStyle w:val="subsection"/>
      </w:pPr>
      <w:r w:rsidRPr="008762B1">
        <w:tab/>
      </w:r>
      <w:r w:rsidRPr="008762B1">
        <w:tab/>
      </w:r>
      <w:r w:rsidR="004E1110" w:rsidRPr="008762B1">
        <w:t xml:space="preserve">The </w:t>
      </w:r>
      <w:r w:rsidR="004E1110" w:rsidRPr="008762B1">
        <w:rPr>
          <w:szCs w:val="22"/>
        </w:rPr>
        <w:t>emission</w:t>
      </w:r>
      <w:r w:rsidR="001C55CE" w:rsidRPr="008762B1">
        <w:rPr>
          <w:szCs w:val="22"/>
        </w:rPr>
        <w:t>s</w:t>
      </w:r>
      <w:r w:rsidR="004E1110" w:rsidRPr="008762B1">
        <w:rPr>
          <w:szCs w:val="22"/>
        </w:rPr>
        <w:t xml:space="preserve"> from fuel used during a reporting period,</w:t>
      </w:r>
      <w:r w:rsidR="00694477" w:rsidRPr="008762B1">
        <w:rPr>
          <w:szCs w:val="22"/>
        </w:rPr>
        <w:t xml:space="preserve"> in tonnes CO</w:t>
      </w:r>
      <w:r w:rsidR="00694477" w:rsidRPr="008762B1">
        <w:rPr>
          <w:szCs w:val="22"/>
          <w:vertAlign w:val="subscript"/>
        </w:rPr>
        <w:t>2</w:t>
      </w:r>
      <w:r w:rsidR="008762B1">
        <w:rPr>
          <w:szCs w:val="22"/>
        </w:rPr>
        <w:noBreakHyphen/>
      </w:r>
      <w:r w:rsidR="00694477" w:rsidRPr="008762B1">
        <w:rPr>
          <w:szCs w:val="22"/>
        </w:rPr>
        <w:t>e,</w:t>
      </w:r>
      <w:r w:rsidR="004E1110" w:rsidRPr="008762B1">
        <w:rPr>
          <w:szCs w:val="22"/>
        </w:rPr>
        <w:t xml:space="preserve"> are worked out using the formula (</w:t>
      </w:r>
      <w:r w:rsidR="00D03BF3" w:rsidRPr="008762B1">
        <w:rPr>
          <w:b/>
          <w:i/>
          <w:szCs w:val="22"/>
        </w:rPr>
        <w:t>equation 10</w:t>
      </w:r>
      <w:r w:rsidR="004E1110" w:rsidRPr="008762B1">
        <w:rPr>
          <w:szCs w:val="22"/>
        </w:rPr>
        <w:t>):</w:t>
      </w:r>
    </w:p>
    <w:bookmarkStart w:id="53" w:name="BKCheck15B_13"/>
    <w:bookmarkEnd w:id="53"/>
    <w:p w:rsidR="004260EE" w:rsidRPr="008762B1" w:rsidRDefault="00FD3CC9" w:rsidP="004E1110">
      <w:pPr>
        <w:pStyle w:val="subsection2"/>
      </w:pPr>
      <w:r w:rsidRPr="008762B1">
        <w:rPr>
          <w:position w:val="-32"/>
        </w:rPr>
        <w:object w:dxaOrig="2840" w:dyaOrig="900">
          <v:shape id="_x0000_i1034" type="#_x0000_t75" style="width:142.85pt;height:45.5pt" o:ole="">
            <v:imagedata r:id="rId39" o:title=""/>
          </v:shape>
          <o:OLEObject Type="Embed" ProgID="Equation.DSMT4" ShapeID="_x0000_i1034" DrawAspect="Content" ObjectID="_1483176408" r:id="rId40"/>
        </w:object>
      </w:r>
    </w:p>
    <w:p w:rsidR="004260EE" w:rsidRPr="008762B1" w:rsidRDefault="00ED589C" w:rsidP="004260EE">
      <w:pPr>
        <w:pStyle w:val="subsection2"/>
      </w:pPr>
      <w:r w:rsidRPr="008762B1">
        <w:t>w</w:t>
      </w:r>
      <w:r w:rsidR="004260EE" w:rsidRPr="008762B1">
        <w:t>here:</w:t>
      </w:r>
    </w:p>
    <w:p w:rsidR="00BA0923" w:rsidRPr="008762B1" w:rsidRDefault="00BA0923" w:rsidP="00BA0923">
      <w:pPr>
        <w:pStyle w:val="Definition"/>
        <w:rPr>
          <w:szCs w:val="22"/>
        </w:rPr>
      </w:pPr>
      <w:proofErr w:type="spellStart"/>
      <w:r w:rsidRPr="008762B1">
        <w:rPr>
          <w:b/>
          <w:i/>
        </w:rPr>
        <w:t>E</w:t>
      </w:r>
      <w:r w:rsidR="00B74AEB" w:rsidRPr="008762B1">
        <w:rPr>
          <w:b/>
          <w:i/>
          <w:vertAlign w:val="subscript"/>
        </w:rPr>
        <w:t>F</w:t>
      </w:r>
      <w:proofErr w:type="spellEnd"/>
      <w:r w:rsidRPr="008762B1">
        <w:rPr>
          <w:szCs w:val="22"/>
        </w:rPr>
        <w:t xml:space="preserve"> me</w:t>
      </w:r>
      <w:r w:rsidR="001C55CE" w:rsidRPr="008762B1">
        <w:rPr>
          <w:szCs w:val="22"/>
        </w:rPr>
        <w:t>ans the emissions</w:t>
      </w:r>
      <w:r w:rsidRPr="008762B1">
        <w:rPr>
          <w:szCs w:val="22"/>
        </w:rPr>
        <w:t xml:space="preserve"> from fuel used during the reporting period</w:t>
      </w:r>
      <w:r w:rsidR="00694477" w:rsidRPr="008762B1">
        <w:rPr>
          <w:szCs w:val="22"/>
        </w:rPr>
        <w:t>, in tonnes CO</w:t>
      </w:r>
      <w:r w:rsidR="00694477" w:rsidRPr="008762B1">
        <w:rPr>
          <w:szCs w:val="22"/>
          <w:vertAlign w:val="subscript"/>
        </w:rPr>
        <w:t>2</w:t>
      </w:r>
      <w:r w:rsidR="008762B1">
        <w:rPr>
          <w:szCs w:val="22"/>
        </w:rPr>
        <w:noBreakHyphen/>
      </w:r>
      <w:r w:rsidR="00694477" w:rsidRPr="008762B1">
        <w:rPr>
          <w:szCs w:val="22"/>
        </w:rPr>
        <w:t>e</w:t>
      </w:r>
      <w:r w:rsidRPr="008762B1">
        <w:rPr>
          <w:szCs w:val="22"/>
        </w:rPr>
        <w:t>.</w:t>
      </w:r>
    </w:p>
    <w:p w:rsidR="00BA0923" w:rsidRPr="008762B1" w:rsidRDefault="00BA0923" w:rsidP="00BA0923">
      <w:pPr>
        <w:pStyle w:val="Definition"/>
      </w:pPr>
      <w:proofErr w:type="spellStart"/>
      <w:r w:rsidRPr="008762B1">
        <w:rPr>
          <w:b/>
          <w:i/>
        </w:rPr>
        <w:t>Q</w:t>
      </w:r>
      <w:r w:rsidR="00B74AEB" w:rsidRPr="008762B1">
        <w:rPr>
          <w:b/>
          <w:i/>
          <w:vertAlign w:val="subscript"/>
        </w:rPr>
        <w:t>F</w:t>
      </w:r>
      <w:r w:rsidRPr="008762B1">
        <w:rPr>
          <w:b/>
          <w:i/>
          <w:vertAlign w:val="subscript"/>
        </w:rPr>
        <w:t>,i</w:t>
      </w:r>
      <w:proofErr w:type="spellEnd"/>
      <w:r w:rsidRPr="008762B1">
        <w:t xml:space="preserve"> </w:t>
      </w:r>
      <w:r w:rsidRPr="008762B1">
        <w:rPr>
          <w:szCs w:val="22"/>
        </w:rPr>
        <w:t xml:space="preserve">means the quantity of fuel type </w:t>
      </w:r>
      <w:proofErr w:type="spellStart"/>
      <w:r w:rsidRPr="008762B1">
        <w:rPr>
          <w:szCs w:val="22"/>
        </w:rPr>
        <w:t>i</w:t>
      </w:r>
      <w:proofErr w:type="spellEnd"/>
      <w:r w:rsidRPr="008762B1">
        <w:rPr>
          <w:szCs w:val="22"/>
        </w:rPr>
        <w:t xml:space="preserve"> used during the reporting period, worked out in accordance w</w:t>
      </w:r>
      <w:r w:rsidR="006A4FFF" w:rsidRPr="008762B1">
        <w:rPr>
          <w:szCs w:val="22"/>
        </w:rPr>
        <w:t>ith the monitoring requirements</w:t>
      </w:r>
      <w:r w:rsidRPr="008762B1">
        <w:rPr>
          <w:szCs w:val="22"/>
        </w:rPr>
        <w:t>.</w:t>
      </w:r>
    </w:p>
    <w:p w:rsidR="0028337B" w:rsidRPr="008762B1" w:rsidRDefault="004260EE" w:rsidP="004260EE">
      <w:pPr>
        <w:pStyle w:val="Definition"/>
        <w:rPr>
          <w:szCs w:val="22"/>
        </w:rPr>
      </w:pPr>
      <w:proofErr w:type="spellStart"/>
      <w:r w:rsidRPr="008762B1">
        <w:rPr>
          <w:b/>
          <w:i/>
        </w:rPr>
        <w:t>EC</w:t>
      </w:r>
      <w:r w:rsidRPr="008762B1">
        <w:rPr>
          <w:b/>
          <w:i/>
          <w:vertAlign w:val="subscript"/>
        </w:rPr>
        <w:t>i</w:t>
      </w:r>
      <w:proofErr w:type="spellEnd"/>
      <w:r w:rsidRPr="008762B1">
        <w:t xml:space="preserve"> </w:t>
      </w:r>
      <w:r w:rsidR="0028337B" w:rsidRPr="008762B1">
        <w:rPr>
          <w:szCs w:val="22"/>
        </w:rPr>
        <w:t>means:</w:t>
      </w:r>
    </w:p>
    <w:p w:rsidR="0028337B" w:rsidRPr="008762B1" w:rsidRDefault="0028337B" w:rsidP="0028337B">
      <w:pPr>
        <w:pStyle w:val="paragraph"/>
      </w:pPr>
      <w:r w:rsidRPr="008762B1">
        <w:tab/>
        <w:t>(a)</w:t>
      </w:r>
      <w:r w:rsidRPr="008762B1">
        <w:tab/>
        <w:t xml:space="preserve">if </w:t>
      </w:r>
      <w:proofErr w:type="spellStart"/>
      <w:r w:rsidRPr="008762B1">
        <w:t>Q</w:t>
      </w:r>
      <w:r w:rsidR="00B74AEB" w:rsidRPr="008762B1">
        <w:rPr>
          <w:vertAlign w:val="subscript"/>
        </w:rPr>
        <w:t>F</w:t>
      </w:r>
      <w:r w:rsidRPr="008762B1">
        <w:rPr>
          <w:vertAlign w:val="subscript"/>
        </w:rPr>
        <w:t>,i</w:t>
      </w:r>
      <w:proofErr w:type="spellEnd"/>
      <w:r w:rsidRPr="008762B1">
        <w:t xml:space="preserve"> is measured in gigajoules—1; or</w:t>
      </w:r>
    </w:p>
    <w:p w:rsidR="0028337B" w:rsidRPr="008762B1" w:rsidRDefault="0028337B" w:rsidP="0028337B">
      <w:pPr>
        <w:pStyle w:val="paragraph"/>
      </w:pPr>
      <w:r w:rsidRPr="008762B1">
        <w:tab/>
        <w:t>(b)</w:t>
      </w:r>
      <w:r w:rsidRPr="008762B1">
        <w:tab/>
        <w:t xml:space="preserve">otherwise—the </w:t>
      </w:r>
      <w:r w:rsidR="004260EE" w:rsidRPr="008762B1">
        <w:t>energy content factor</w:t>
      </w:r>
      <w:r w:rsidRPr="008762B1">
        <w:t xml:space="preserve">, in </w:t>
      </w:r>
      <w:r w:rsidR="00B74AEB" w:rsidRPr="008762B1">
        <w:t xml:space="preserve">gigajoules per tonne, </w:t>
      </w:r>
      <w:r w:rsidRPr="008762B1">
        <w:t>gigajoules per kilolitre or gigajoules per cubic metre,</w:t>
      </w:r>
      <w:r w:rsidR="004260EE" w:rsidRPr="008762B1">
        <w:t xml:space="preserve"> </w:t>
      </w:r>
      <w:r w:rsidRPr="008762B1">
        <w:t xml:space="preserve">mentioned in </w:t>
      </w:r>
      <w:r w:rsidRPr="008762B1">
        <w:rPr>
          <w:szCs w:val="22"/>
        </w:rPr>
        <w:t>Part</w:t>
      </w:r>
      <w:r w:rsidR="008762B1" w:rsidRPr="008762B1">
        <w:rPr>
          <w:szCs w:val="22"/>
        </w:rPr>
        <w:t> </w:t>
      </w:r>
      <w:r w:rsidR="009428AC" w:rsidRPr="008762B1">
        <w:rPr>
          <w:szCs w:val="22"/>
        </w:rPr>
        <w:t>1, 2 or 3</w:t>
      </w:r>
      <w:r w:rsidRPr="008762B1">
        <w:rPr>
          <w:szCs w:val="22"/>
        </w:rPr>
        <w:t xml:space="preserve"> of Schedule</w:t>
      </w:r>
      <w:r w:rsidR="008762B1" w:rsidRPr="008762B1">
        <w:rPr>
          <w:szCs w:val="22"/>
        </w:rPr>
        <w:t> </w:t>
      </w:r>
      <w:r w:rsidRPr="008762B1">
        <w:rPr>
          <w:szCs w:val="22"/>
        </w:rPr>
        <w:t xml:space="preserve">1 to the </w:t>
      </w:r>
      <w:proofErr w:type="spellStart"/>
      <w:r w:rsidRPr="008762B1">
        <w:rPr>
          <w:szCs w:val="22"/>
        </w:rPr>
        <w:t>NGER</w:t>
      </w:r>
      <w:proofErr w:type="spellEnd"/>
      <w:r w:rsidRPr="008762B1">
        <w:rPr>
          <w:szCs w:val="22"/>
        </w:rPr>
        <w:t xml:space="preserve"> (Measurement) Determination for </w:t>
      </w:r>
      <w:r w:rsidR="004260EE" w:rsidRPr="008762B1">
        <w:t xml:space="preserve">fuel type </w:t>
      </w:r>
      <w:proofErr w:type="spellStart"/>
      <w:r w:rsidR="004260EE" w:rsidRPr="008762B1">
        <w:t>i</w:t>
      </w:r>
      <w:proofErr w:type="spellEnd"/>
      <w:r w:rsidRPr="008762B1">
        <w:t>.</w:t>
      </w:r>
    </w:p>
    <w:p w:rsidR="004260EE" w:rsidRPr="008762B1" w:rsidRDefault="004260EE" w:rsidP="004260EE">
      <w:pPr>
        <w:pStyle w:val="Definition"/>
        <w:rPr>
          <w:szCs w:val="22"/>
        </w:rPr>
      </w:pPr>
      <w:proofErr w:type="spellStart"/>
      <w:r w:rsidRPr="008762B1">
        <w:rPr>
          <w:b/>
          <w:i/>
        </w:rPr>
        <w:t>EF</w:t>
      </w:r>
      <w:r w:rsidR="009428AC" w:rsidRPr="008762B1">
        <w:rPr>
          <w:b/>
          <w:i/>
          <w:vertAlign w:val="subscript"/>
        </w:rPr>
        <w:t>ij</w:t>
      </w:r>
      <w:proofErr w:type="spellEnd"/>
      <w:r w:rsidRPr="008762B1">
        <w:rPr>
          <w:szCs w:val="22"/>
        </w:rPr>
        <w:t xml:space="preserve"> </w:t>
      </w:r>
      <w:r w:rsidR="001E04EC" w:rsidRPr="008762B1">
        <w:rPr>
          <w:szCs w:val="22"/>
        </w:rPr>
        <w:t xml:space="preserve">means the </w:t>
      </w:r>
      <w:r w:rsidR="00712BBC" w:rsidRPr="008762B1">
        <w:rPr>
          <w:szCs w:val="22"/>
        </w:rPr>
        <w:t>emission factor,</w:t>
      </w:r>
      <w:r w:rsidRPr="008762B1">
        <w:rPr>
          <w:szCs w:val="22"/>
        </w:rPr>
        <w:t xml:space="preserve"> in kilograms CO</w:t>
      </w:r>
      <w:r w:rsidRPr="008762B1">
        <w:rPr>
          <w:szCs w:val="22"/>
          <w:vertAlign w:val="subscript"/>
        </w:rPr>
        <w:t>2</w:t>
      </w:r>
      <w:r w:rsidR="008762B1">
        <w:rPr>
          <w:szCs w:val="22"/>
        </w:rPr>
        <w:noBreakHyphen/>
      </w:r>
      <w:r w:rsidRPr="008762B1">
        <w:rPr>
          <w:szCs w:val="22"/>
        </w:rPr>
        <w:t>e per gigajoule</w:t>
      </w:r>
      <w:r w:rsidR="001E04EC" w:rsidRPr="008762B1">
        <w:rPr>
          <w:szCs w:val="22"/>
        </w:rPr>
        <w:t>, mentioned in Part</w:t>
      </w:r>
      <w:r w:rsidR="008762B1" w:rsidRPr="008762B1">
        <w:rPr>
          <w:szCs w:val="22"/>
        </w:rPr>
        <w:t> </w:t>
      </w:r>
      <w:r w:rsidR="009428AC" w:rsidRPr="008762B1">
        <w:rPr>
          <w:szCs w:val="22"/>
        </w:rPr>
        <w:t xml:space="preserve">1, </w:t>
      </w:r>
      <w:r w:rsidR="001E04EC" w:rsidRPr="008762B1">
        <w:rPr>
          <w:szCs w:val="22"/>
        </w:rPr>
        <w:t>2</w:t>
      </w:r>
      <w:r w:rsidR="009428AC" w:rsidRPr="008762B1">
        <w:rPr>
          <w:szCs w:val="22"/>
        </w:rPr>
        <w:t xml:space="preserve"> or 3</w:t>
      </w:r>
      <w:r w:rsidR="001E04EC" w:rsidRPr="008762B1">
        <w:rPr>
          <w:szCs w:val="22"/>
        </w:rPr>
        <w:t xml:space="preserve"> of Schedule</w:t>
      </w:r>
      <w:r w:rsidR="008762B1" w:rsidRPr="008762B1">
        <w:rPr>
          <w:szCs w:val="22"/>
        </w:rPr>
        <w:t> </w:t>
      </w:r>
      <w:r w:rsidR="001E04EC" w:rsidRPr="008762B1">
        <w:rPr>
          <w:szCs w:val="22"/>
        </w:rPr>
        <w:t xml:space="preserve">1 to the </w:t>
      </w:r>
      <w:proofErr w:type="spellStart"/>
      <w:r w:rsidR="001E04EC" w:rsidRPr="008762B1">
        <w:rPr>
          <w:szCs w:val="22"/>
        </w:rPr>
        <w:t>NGER</w:t>
      </w:r>
      <w:proofErr w:type="spellEnd"/>
      <w:r w:rsidR="001E04EC" w:rsidRPr="008762B1">
        <w:rPr>
          <w:szCs w:val="22"/>
        </w:rPr>
        <w:t xml:space="preserve"> (Measurement) Determination</w:t>
      </w:r>
      <w:r w:rsidR="00712BBC" w:rsidRPr="008762B1">
        <w:rPr>
          <w:szCs w:val="22"/>
        </w:rPr>
        <w:t xml:space="preserve"> for greenhouse gas type j and fuel type </w:t>
      </w:r>
      <w:proofErr w:type="spellStart"/>
      <w:r w:rsidR="00712BBC" w:rsidRPr="008762B1">
        <w:rPr>
          <w:szCs w:val="22"/>
        </w:rPr>
        <w:t>i</w:t>
      </w:r>
      <w:proofErr w:type="spellEnd"/>
      <w:r w:rsidR="001E04EC" w:rsidRPr="008762B1">
        <w:rPr>
          <w:szCs w:val="22"/>
        </w:rPr>
        <w:t>.</w:t>
      </w:r>
    </w:p>
    <w:p w:rsidR="00B74AEB" w:rsidRPr="008762B1" w:rsidRDefault="00B74AEB" w:rsidP="00B74AEB">
      <w:pPr>
        <w:pStyle w:val="Definition"/>
        <w:rPr>
          <w:iCs/>
          <w:szCs w:val="22"/>
        </w:rPr>
      </w:pPr>
      <w:proofErr w:type="spellStart"/>
      <w:r w:rsidRPr="008762B1">
        <w:rPr>
          <w:b/>
          <w:i/>
        </w:rPr>
        <w:t>i</w:t>
      </w:r>
      <w:proofErr w:type="spellEnd"/>
      <w:r w:rsidRPr="008762B1">
        <w:t xml:space="preserve"> </w:t>
      </w:r>
      <w:r w:rsidRPr="008762B1">
        <w:rPr>
          <w:szCs w:val="22"/>
        </w:rPr>
        <w:t xml:space="preserve">means a fuel </w:t>
      </w:r>
      <w:r w:rsidRPr="008762B1">
        <w:rPr>
          <w:iCs/>
          <w:szCs w:val="22"/>
        </w:rPr>
        <w:t xml:space="preserve">type, other than biogas </w:t>
      </w:r>
      <w:r w:rsidR="009428AC" w:rsidRPr="008762B1">
        <w:rPr>
          <w:iCs/>
          <w:szCs w:val="22"/>
        </w:rPr>
        <w:t>generated by the project</w:t>
      </w:r>
      <w:r w:rsidRPr="008762B1">
        <w:rPr>
          <w:iCs/>
          <w:szCs w:val="22"/>
        </w:rPr>
        <w:t>.</w:t>
      </w:r>
    </w:p>
    <w:p w:rsidR="00B74AEB" w:rsidRPr="008762B1" w:rsidRDefault="00B74AEB" w:rsidP="00B74AEB">
      <w:pPr>
        <w:pStyle w:val="Definition"/>
        <w:rPr>
          <w:szCs w:val="22"/>
        </w:rPr>
      </w:pPr>
      <w:r w:rsidRPr="008762B1">
        <w:rPr>
          <w:b/>
          <w:i/>
        </w:rPr>
        <w:t>j</w:t>
      </w:r>
      <w:r w:rsidRPr="008762B1">
        <w:t xml:space="preserve"> </w:t>
      </w:r>
      <w:r w:rsidRPr="008762B1">
        <w:rPr>
          <w:szCs w:val="22"/>
        </w:rPr>
        <w:t xml:space="preserve">means a greenhouse gas type, being carbon dioxide, </w:t>
      </w:r>
      <w:r w:rsidR="000416E5" w:rsidRPr="008762B1">
        <w:rPr>
          <w:szCs w:val="22"/>
        </w:rPr>
        <w:t>methane or nitrous oxide.</w:t>
      </w:r>
    </w:p>
    <w:p w:rsidR="004260EE" w:rsidRPr="008762B1" w:rsidRDefault="004E7255" w:rsidP="0057114A">
      <w:pPr>
        <w:pStyle w:val="ActHead5"/>
      </w:pPr>
      <w:bookmarkStart w:id="54" w:name="_Toc407103344"/>
      <w:r w:rsidRPr="008762B1">
        <w:rPr>
          <w:rStyle w:val="CharSectno"/>
        </w:rPr>
        <w:t>31</w:t>
      </w:r>
      <w:r w:rsidR="0057114A" w:rsidRPr="008762B1">
        <w:t xml:space="preserve">  Emissions from purchased electricity</w:t>
      </w:r>
      <w:bookmarkEnd w:id="54"/>
    </w:p>
    <w:p w:rsidR="0057114A" w:rsidRPr="008762B1" w:rsidRDefault="0057114A" w:rsidP="0057114A">
      <w:pPr>
        <w:pStyle w:val="subsection"/>
      </w:pPr>
      <w:r w:rsidRPr="008762B1">
        <w:tab/>
      </w:r>
      <w:r w:rsidR="003222A3" w:rsidRPr="008762B1">
        <w:t>(1)</w:t>
      </w:r>
      <w:r w:rsidR="003222A3" w:rsidRPr="008762B1">
        <w:tab/>
      </w:r>
      <w:r w:rsidRPr="008762B1">
        <w:t xml:space="preserve">The </w:t>
      </w:r>
      <w:r w:rsidR="001C55CE" w:rsidRPr="008762B1">
        <w:rPr>
          <w:szCs w:val="22"/>
        </w:rPr>
        <w:t>emissions</w:t>
      </w:r>
      <w:r w:rsidRPr="008762B1">
        <w:rPr>
          <w:szCs w:val="22"/>
        </w:rPr>
        <w:t xml:space="preserve"> from purchased electricity used during a reporting period</w:t>
      </w:r>
      <w:r w:rsidR="00694477" w:rsidRPr="008762B1">
        <w:rPr>
          <w:szCs w:val="22"/>
        </w:rPr>
        <w:t>, in tonnes CO</w:t>
      </w:r>
      <w:r w:rsidR="00694477" w:rsidRPr="008762B1">
        <w:rPr>
          <w:szCs w:val="22"/>
          <w:vertAlign w:val="subscript"/>
        </w:rPr>
        <w:t>2</w:t>
      </w:r>
      <w:r w:rsidR="008762B1">
        <w:rPr>
          <w:szCs w:val="22"/>
        </w:rPr>
        <w:noBreakHyphen/>
      </w:r>
      <w:r w:rsidR="00694477" w:rsidRPr="008762B1">
        <w:rPr>
          <w:szCs w:val="22"/>
        </w:rPr>
        <w:t>e,</w:t>
      </w:r>
      <w:r w:rsidRPr="008762B1">
        <w:rPr>
          <w:szCs w:val="22"/>
        </w:rPr>
        <w:t xml:space="preserve"> are worked out using the formula (</w:t>
      </w:r>
      <w:r w:rsidR="00D03BF3" w:rsidRPr="008762B1">
        <w:rPr>
          <w:b/>
          <w:i/>
          <w:szCs w:val="22"/>
        </w:rPr>
        <w:t>equation 11</w:t>
      </w:r>
      <w:r w:rsidRPr="008762B1">
        <w:rPr>
          <w:szCs w:val="22"/>
        </w:rPr>
        <w:t>):</w:t>
      </w:r>
    </w:p>
    <w:bookmarkStart w:id="55" w:name="BKCheck15B_14"/>
    <w:bookmarkEnd w:id="55"/>
    <w:p w:rsidR="004260EE" w:rsidRPr="008762B1" w:rsidRDefault="009428AC" w:rsidP="004260EE">
      <w:pPr>
        <w:pStyle w:val="subsection2"/>
      </w:pPr>
      <w:r w:rsidRPr="008762B1">
        <w:rPr>
          <w:position w:val="-32"/>
        </w:rPr>
        <w:object w:dxaOrig="1760" w:dyaOrig="760">
          <v:shape id="_x0000_i1035" type="#_x0000_t75" style="width:88.7pt;height:38pt" o:ole="">
            <v:imagedata r:id="rId41" o:title=""/>
          </v:shape>
          <o:OLEObject Type="Embed" ProgID="Equation.DSMT4" ShapeID="_x0000_i1035" DrawAspect="Content" ObjectID="_1483176409" r:id="rId42"/>
        </w:object>
      </w:r>
    </w:p>
    <w:p w:rsidR="004260EE" w:rsidRPr="008762B1" w:rsidRDefault="00C81647" w:rsidP="004260EE">
      <w:pPr>
        <w:pStyle w:val="subsection2"/>
      </w:pPr>
      <w:r w:rsidRPr="008762B1">
        <w:t>w</w:t>
      </w:r>
      <w:r w:rsidR="004260EE" w:rsidRPr="008762B1">
        <w:t>here:</w:t>
      </w:r>
    </w:p>
    <w:p w:rsidR="004260EE" w:rsidRPr="008762B1" w:rsidRDefault="004260EE" w:rsidP="004260EE">
      <w:pPr>
        <w:pStyle w:val="Definition"/>
        <w:rPr>
          <w:sz w:val="20"/>
        </w:rPr>
      </w:pPr>
      <w:proofErr w:type="spellStart"/>
      <w:r w:rsidRPr="008762B1">
        <w:rPr>
          <w:b/>
          <w:i/>
        </w:rPr>
        <w:t>E</w:t>
      </w:r>
      <w:r w:rsidR="009428AC" w:rsidRPr="008762B1">
        <w:rPr>
          <w:b/>
          <w:i/>
          <w:vertAlign w:val="subscript"/>
        </w:rPr>
        <w:t>EP</w:t>
      </w:r>
      <w:proofErr w:type="spellEnd"/>
      <w:r w:rsidRPr="008762B1">
        <w:t xml:space="preserve"> </w:t>
      </w:r>
      <w:r w:rsidR="001C55CE" w:rsidRPr="008762B1">
        <w:rPr>
          <w:szCs w:val="22"/>
        </w:rPr>
        <w:t xml:space="preserve">means </w:t>
      </w:r>
      <w:r w:rsidR="00F64F6C" w:rsidRPr="008762B1">
        <w:rPr>
          <w:szCs w:val="22"/>
        </w:rPr>
        <w:t xml:space="preserve">the </w:t>
      </w:r>
      <w:r w:rsidR="001C55CE" w:rsidRPr="008762B1">
        <w:rPr>
          <w:szCs w:val="22"/>
        </w:rPr>
        <w:t>emissions</w:t>
      </w:r>
      <w:r w:rsidR="00C81647" w:rsidRPr="008762B1">
        <w:rPr>
          <w:szCs w:val="22"/>
        </w:rPr>
        <w:t xml:space="preserve"> from purchased electricity used during the reporting period</w:t>
      </w:r>
      <w:r w:rsidR="00694477" w:rsidRPr="008762B1">
        <w:rPr>
          <w:szCs w:val="22"/>
        </w:rPr>
        <w:t>, in tonnes CO</w:t>
      </w:r>
      <w:r w:rsidR="00694477" w:rsidRPr="008762B1">
        <w:rPr>
          <w:szCs w:val="22"/>
          <w:vertAlign w:val="subscript"/>
        </w:rPr>
        <w:t>2</w:t>
      </w:r>
      <w:r w:rsidR="008762B1">
        <w:rPr>
          <w:szCs w:val="22"/>
        </w:rPr>
        <w:noBreakHyphen/>
      </w:r>
      <w:r w:rsidR="00694477" w:rsidRPr="008762B1">
        <w:rPr>
          <w:szCs w:val="22"/>
        </w:rPr>
        <w:t>e</w:t>
      </w:r>
      <w:r w:rsidR="00C81647" w:rsidRPr="008762B1">
        <w:rPr>
          <w:szCs w:val="22"/>
        </w:rPr>
        <w:t>.</w:t>
      </w:r>
    </w:p>
    <w:p w:rsidR="004260EE" w:rsidRPr="008762B1" w:rsidRDefault="004260EE" w:rsidP="004260EE">
      <w:pPr>
        <w:pStyle w:val="Definition"/>
        <w:rPr>
          <w:szCs w:val="22"/>
        </w:rPr>
      </w:pPr>
      <w:proofErr w:type="spellStart"/>
      <w:r w:rsidRPr="008762B1">
        <w:rPr>
          <w:b/>
          <w:i/>
        </w:rPr>
        <w:t>Q</w:t>
      </w:r>
      <w:r w:rsidR="009428AC" w:rsidRPr="008762B1">
        <w:rPr>
          <w:b/>
          <w:i/>
          <w:vertAlign w:val="subscript"/>
        </w:rPr>
        <w:t>EP</w:t>
      </w:r>
      <w:proofErr w:type="spellEnd"/>
      <w:r w:rsidRPr="008762B1">
        <w:t xml:space="preserve"> </w:t>
      </w:r>
      <w:r w:rsidR="00C81647" w:rsidRPr="008762B1">
        <w:rPr>
          <w:szCs w:val="22"/>
        </w:rPr>
        <w:t xml:space="preserve">means the </w:t>
      </w:r>
      <w:r w:rsidRPr="008762B1">
        <w:rPr>
          <w:szCs w:val="22"/>
        </w:rPr>
        <w:t xml:space="preserve">quantity of electricity </w:t>
      </w:r>
      <w:r w:rsidR="00B92AD8" w:rsidRPr="008762B1">
        <w:rPr>
          <w:szCs w:val="22"/>
        </w:rPr>
        <w:t>purchased during the reporting period</w:t>
      </w:r>
      <w:r w:rsidR="00694477" w:rsidRPr="008762B1">
        <w:rPr>
          <w:szCs w:val="22"/>
        </w:rPr>
        <w:t>, in kilowatt hours,</w:t>
      </w:r>
      <w:r w:rsidR="00C81647" w:rsidRPr="008762B1">
        <w:rPr>
          <w:szCs w:val="22"/>
        </w:rPr>
        <w:t xml:space="preserve"> </w:t>
      </w:r>
      <w:r w:rsidR="00377EF2" w:rsidRPr="008762B1">
        <w:rPr>
          <w:szCs w:val="22"/>
        </w:rPr>
        <w:t>worked out in accordance with the monitoring requirem</w:t>
      </w:r>
      <w:r w:rsidR="006A4FFF" w:rsidRPr="008762B1">
        <w:rPr>
          <w:szCs w:val="22"/>
        </w:rPr>
        <w:t>ents</w:t>
      </w:r>
      <w:r w:rsidR="00C81647" w:rsidRPr="008762B1">
        <w:rPr>
          <w:szCs w:val="22"/>
        </w:rPr>
        <w:t>.</w:t>
      </w:r>
    </w:p>
    <w:p w:rsidR="0052571F" w:rsidRPr="008762B1" w:rsidRDefault="0052571F" w:rsidP="0052571F">
      <w:pPr>
        <w:pStyle w:val="Definition"/>
        <w:rPr>
          <w:szCs w:val="22"/>
        </w:rPr>
      </w:pPr>
      <w:proofErr w:type="spellStart"/>
      <w:r w:rsidRPr="008762B1">
        <w:rPr>
          <w:b/>
          <w:i/>
        </w:rPr>
        <w:t>EF</w:t>
      </w:r>
      <w:r w:rsidR="009428AC" w:rsidRPr="008762B1">
        <w:rPr>
          <w:b/>
          <w:i/>
          <w:vertAlign w:val="subscript"/>
        </w:rPr>
        <w:t>EP</w:t>
      </w:r>
      <w:proofErr w:type="spellEnd"/>
      <w:r w:rsidRPr="008762B1">
        <w:t xml:space="preserve"> </w:t>
      </w:r>
      <w:r w:rsidRPr="008762B1">
        <w:rPr>
          <w:szCs w:val="22"/>
        </w:rPr>
        <w:t>means:</w:t>
      </w:r>
    </w:p>
    <w:p w:rsidR="0052571F" w:rsidRPr="008762B1" w:rsidRDefault="0052571F" w:rsidP="0052571F">
      <w:pPr>
        <w:pStyle w:val="paragraph"/>
      </w:pPr>
      <w:r w:rsidRPr="008762B1">
        <w:lastRenderedPageBreak/>
        <w:tab/>
        <w:t>(a)</w:t>
      </w:r>
      <w:r w:rsidRPr="008762B1">
        <w:tab/>
        <w:t xml:space="preserve">for electricity obtained from an electricity grid that is a grid in relation to which the </w:t>
      </w:r>
      <w:proofErr w:type="spellStart"/>
      <w:r w:rsidRPr="008762B1">
        <w:t>NGA</w:t>
      </w:r>
      <w:proofErr w:type="spellEnd"/>
      <w:r w:rsidRPr="008762B1">
        <w:t xml:space="preserve"> Factors document in force on the relevant day includes an emissions factor—that factor, in kilograms </w:t>
      </w:r>
      <w:r w:rsidRPr="008762B1">
        <w:rPr>
          <w:szCs w:val="22"/>
        </w:rPr>
        <w:t>CO</w:t>
      </w:r>
      <w:r w:rsidRPr="008762B1">
        <w:rPr>
          <w:szCs w:val="22"/>
          <w:vertAlign w:val="subscript"/>
        </w:rPr>
        <w:t>2</w:t>
      </w:r>
      <w:r w:rsidR="008762B1">
        <w:rPr>
          <w:szCs w:val="22"/>
        </w:rPr>
        <w:noBreakHyphen/>
      </w:r>
      <w:r w:rsidRPr="008762B1">
        <w:rPr>
          <w:szCs w:val="22"/>
        </w:rPr>
        <w:t>e</w:t>
      </w:r>
      <w:r w:rsidRPr="008762B1">
        <w:t xml:space="preserve"> per kilowatt hour; or</w:t>
      </w:r>
    </w:p>
    <w:p w:rsidR="0052571F" w:rsidRPr="008762B1" w:rsidRDefault="0052571F" w:rsidP="0052571F">
      <w:pPr>
        <w:pStyle w:val="paragraph"/>
      </w:pPr>
      <w:r w:rsidRPr="008762B1">
        <w:tab/>
        <w:t>(b)</w:t>
      </w:r>
      <w:r w:rsidRPr="008762B1">
        <w:tab/>
        <w:t xml:space="preserve">for electricity obtained from an electricity grid not covered by </w:t>
      </w:r>
      <w:r w:rsidR="008762B1" w:rsidRPr="008762B1">
        <w:t>paragraph (</w:t>
      </w:r>
      <w:r w:rsidRPr="008762B1">
        <w:t>a) or from a source other than an electricity grid:</w:t>
      </w:r>
    </w:p>
    <w:p w:rsidR="0052571F" w:rsidRPr="008762B1" w:rsidRDefault="0052571F" w:rsidP="0052571F">
      <w:pPr>
        <w:pStyle w:val="paragraphsub"/>
      </w:pPr>
      <w:r w:rsidRPr="008762B1">
        <w:tab/>
        <w:t>(</w:t>
      </w:r>
      <w:proofErr w:type="spellStart"/>
      <w:r w:rsidRPr="008762B1">
        <w:t>i</w:t>
      </w:r>
      <w:proofErr w:type="spellEnd"/>
      <w:r w:rsidRPr="008762B1">
        <w:t>)</w:t>
      </w:r>
      <w:r w:rsidRPr="008762B1">
        <w:tab/>
        <w:t xml:space="preserve">if the supplier of the electricity is able to provide an emissions factor that reflects the emissions intensity of the electricity </w:t>
      </w:r>
      <w:r w:rsidR="00383A75" w:rsidRPr="008762B1">
        <w:t xml:space="preserve">(worked out in accordance with </w:t>
      </w:r>
      <w:r w:rsidR="008762B1" w:rsidRPr="008762B1">
        <w:t>subsection (</w:t>
      </w:r>
      <w:r w:rsidR="00383A75" w:rsidRPr="008762B1">
        <w:t xml:space="preserve">2)) </w:t>
      </w:r>
      <w:r w:rsidRPr="008762B1">
        <w:t xml:space="preserve">and is applicable on the relevant day—that factor, in kilograms </w:t>
      </w:r>
      <w:r w:rsidRPr="008762B1">
        <w:rPr>
          <w:szCs w:val="22"/>
        </w:rPr>
        <w:t>CO</w:t>
      </w:r>
      <w:r w:rsidRPr="008762B1">
        <w:rPr>
          <w:szCs w:val="22"/>
          <w:vertAlign w:val="subscript"/>
        </w:rPr>
        <w:t>2</w:t>
      </w:r>
      <w:r w:rsidR="008762B1">
        <w:rPr>
          <w:szCs w:val="22"/>
        </w:rPr>
        <w:noBreakHyphen/>
      </w:r>
      <w:r w:rsidRPr="008762B1">
        <w:rPr>
          <w:szCs w:val="22"/>
        </w:rPr>
        <w:t>e</w:t>
      </w:r>
      <w:r w:rsidRPr="008762B1">
        <w:t xml:space="preserve"> per kilowatt hour; or</w:t>
      </w:r>
    </w:p>
    <w:p w:rsidR="0052571F" w:rsidRPr="008762B1" w:rsidRDefault="0052571F" w:rsidP="0052571F">
      <w:pPr>
        <w:pStyle w:val="paragraphsub"/>
      </w:pPr>
      <w:r w:rsidRPr="008762B1">
        <w:tab/>
        <w:t>(ii)</w:t>
      </w:r>
      <w:r w:rsidRPr="008762B1">
        <w:tab/>
        <w:t xml:space="preserve">otherwise—the emissions factor, in kilograms </w:t>
      </w:r>
      <w:r w:rsidRPr="008762B1">
        <w:rPr>
          <w:szCs w:val="22"/>
        </w:rPr>
        <w:t>CO</w:t>
      </w:r>
      <w:r w:rsidRPr="008762B1">
        <w:rPr>
          <w:szCs w:val="22"/>
          <w:vertAlign w:val="subscript"/>
        </w:rPr>
        <w:t>2</w:t>
      </w:r>
      <w:r w:rsidR="008762B1">
        <w:rPr>
          <w:szCs w:val="22"/>
        </w:rPr>
        <w:noBreakHyphen/>
      </w:r>
      <w:r w:rsidRPr="008762B1">
        <w:rPr>
          <w:szCs w:val="22"/>
        </w:rPr>
        <w:t>e</w:t>
      </w:r>
      <w:r w:rsidRPr="008762B1">
        <w:t xml:space="preserve"> per kilowatt hour, for off</w:t>
      </w:r>
      <w:r w:rsidR="008762B1">
        <w:noBreakHyphen/>
      </w:r>
      <w:r w:rsidRPr="008762B1">
        <w:t xml:space="preserve">grid electricity included in the </w:t>
      </w:r>
      <w:proofErr w:type="spellStart"/>
      <w:r w:rsidRPr="008762B1">
        <w:t>NGA</w:t>
      </w:r>
      <w:proofErr w:type="spellEnd"/>
      <w:r w:rsidRPr="008762B1">
        <w:t xml:space="preserve"> Factors document in force on the relevant day.</w:t>
      </w:r>
    </w:p>
    <w:p w:rsidR="00383A75" w:rsidRPr="008762B1" w:rsidRDefault="00E35767" w:rsidP="00383A75">
      <w:pPr>
        <w:pStyle w:val="subsection"/>
      </w:pPr>
      <w:r w:rsidRPr="008762B1">
        <w:tab/>
        <w:t>(2)</w:t>
      </w:r>
      <w:r w:rsidRPr="008762B1">
        <w:tab/>
      </w:r>
      <w:r w:rsidR="00383A75" w:rsidRPr="008762B1">
        <w:t xml:space="preserve">For </w:t>
      </w:r>
      <w:r w:rsidR="008762B1" w:rsidRPr="008762B1">
        <w:t>subparagraph (</w:t>
      </w:r>
      <w:r w:rsidR="00383A75" w:rsidRPr="008762B1">
        <w:t>b)(</w:t>
      </w:r>
      <w:proofErr w:type="spellStart"/>
      <w:r w:rsidR="00383A75" w:rsidRPr="008762B1">
        <w:t>i</w:t>
      </w:r>
      <w:proofErr w:type="spellEnd"/>
      <w:r w:rsidR="00383A75" w:rsidRPr="008762B1">
        <w:t xml:space="preserve">) of the definition of </w:t>
      </w:r>
      <w:proofErr w:type="spellStart"/>
      <w:r w:rsidR="00383A75" w:rsidRPr="008762B1">
        <w:rPr>
          <w:b/>
          <w:i/>
        </w:rPr>
        <w:t>EF</w:t>
      </w:r>
      <w:r w:rsidR="00383A75" w:rsidRPr="008762B1">
        <w:rPr>
          <w:b/>
          <w:i/>
          <w:vertAlign w:val="subscript"/>
        </w:rPr>
        <w:t>EP</w:t>
      </w:r>
      <w:proofErr w:type="spellEnd"/>
      <w:r w:rsidR="00383A75" w:rsidRPr="008762B1">
        <w:t xml:space="preserve"> in </w:t>
      </w:r>
      <w:r w:rsidR="008762B1" w:rsidRPr="008762B1">
        <w:t>subsection (</w:t>
      </w:r>
      <w:r w:rsidR="00383A75" w:rsidRPr="008762B1">
        <w:t>1), the emissions factor must be worked out:</w:t>
      </w:r>
    </w:p>
    <w:p w:rsidR="00383A75" w:rsidRPr="008762B1" w:rsidRDefault="00383A75" w:rsidP="00383A75">
      <w:pPr>
        <w:pStyle w:val="paragraph"/>
      </w:pPr>
      <w:r w:rsidRPr="008762B1">
        <w:tab/>
        <w:t>(a)</w:t>
      </w:r>
      <w:r w:rsidRPr="008762B1">
        <w:tab/>
        <w:t>on a sent</w:t>
      </w:r>
      <w:r w:rsidR="008762B1">
        <w:noBreakHyphen/>
      </w:r>
      <w:r w:rsidRPr="008762B1">
        <w:t>out basis; and</w:t>
      </w:r>
    </w:p>
    <w:p w:rsidR="00383A75" w:rsidRPr="008762B1" w:rsidRDefault="00383A75" w:rsidP="00383A75">
      <w:pPr>
        <w:pStyle w:val="paragraph"/>
      </w:pPr>
      <w:r w:rsidRPr="008762B1">
        <w:tab/>
        <w:t>(b)</w:t>
      </w:r>
      <w:r w:rsidRPr="008762B1">
        <w:tab/>
        <w:t xml:space="preserve">using a measurement or estimation approach that is consistent with the </w:t>
      </w:r>
      <w:proofErr w:type="spellStart"/>
      <w:r w:rsidRPr="008762B1">
        <w:t>NGER</w:t>
      </w:r>
      <w:proofErr w:type="spellEnd"/>
      <w:r w:rsidRPr="008762B1">
        <w:t xml:space="preserve"> (Measurement) Determination.</w:t>
      </w:r>
    </w:p>
    <w:p w:rsidR="00E35767" w:rsidRPr="008762B1" w:rsidRDefault="00383A75" w:rsidP="00E35767">
      <w:pPr>
        <w:pStyle w:val="subsection"/>
      </w:pPr>
      <w:r w:rsidRPr="008762B1">
        <w:tab/>
        <w:t>(3)</w:t>
      </w:r>
      <w:r w:rsidRPr="008762B1">
        <w:tab/>
      </w:r>
      <w:r w:rsidR="00E35767" w:rsidRPr="008762B1">
        <w:t>Section</w:t>
      </w:r>
      <w:r w:rsidR="008762B1" w:rsidRPr="008762B1">
        <w:t> </w:t>
      </w:r>
      <w:r w:rsidR="004E7255" w:rsidRPr="008762B1">
        <w:t>8</w:t>
      </w:r>
      <w:r w:rsidR="00E35767" w:rsidRPr="008762B1">
        <w:t xml:space="preserve"> does not apply to </w:t>
      </w:r>
      <w:r w:rsidR="00E1577F" w:rsidRPr="008762B1">
        <w:t xml:space="preserve">the parameter </w:t>
      </w:r>
      <w:proofErr w:type="spellStart"/>
      <w:r w:rsidR="00E1577F" w:rsidRPr="008762B1">
        <w:t>EF</w:t>
      </w:r>
      <w:r w:rsidR="00E1577F" w:rsidRPr="008762B1">
        <w:rPr>
          <w:vertAlign w:val="subscript"/>
        </w:rPr>
        <w:t>EP</w:t>
      </w:r>
      <w:proofErr w:type="spellEnd"/>
      <w:r w:rsidR="00E35767" w:rsidRPr="008762B1">
        <w:t>.</w:t>
      </w:r>
    </w:p>
    <w:p w:rsidR="005B1989" w:rsidRPr="008762B1" w:rsidRDefault="00383A75" w:rsidP="005B1989">
      <w:pPr>
        <w:pStyle w:val="subsection"/>
      </w:pPr>
      <w:r w:rsidRPr="008762B1">
        <w:tab/>
        <w:t>(4</w:t>
      </w:r>
      <w:r w:rsidR="005B1989" w:rsidRPr="008762B1">
        <w:t>)</w:t>
      </w:r>
      <w:r w:rsidR="005B1989" w:rsidRPr="008762B1">
        <w:tab/>
        <w:t>In this section:</w:t>
      </w:r>
    </w:p>
    <w:p w:rsidR="005B1989" w:rsidRPr="008762B1" w:rsidRDefault="005B1989" w:rsidP="005B1989">
      <w:pPr>
        <w:pStyle w:val="Definition"/>
      </w:pPr>
      <w:proofErr w:type="spellStart"/>
      <w:r w:rsidRPr="008762B1">
        <w:rPr>
          <w:b/>
          <w:i/>
        </w:rPr>
        <w:t>NGA</w:t>
      </w:r>
      <w:proofErr w:type="spellEnd"/>
      <w:r w:rsidRPr="008762B1">
        <w:rPr>
          <w:b/>
          <w:i/>
        </w:rPr>
        <w:t xml:space="preserve"> Factors document</w:t>
      </w:r>
      <w:r w:rsidRPr="008762B1">
        <w:t xml:space="preserve"> means the document entitled “National Greenhouse Accounts Factors”, published by the Department and as in force from time to time.</w:t>
      </w:r>
    </w:p>
    <w:p w:rsidR="00BB519E" w:rsidRPr="008762B1" w:rsidRDefault="00BB519E" w:rsidP="00BB519E">
      <w:pPr>
        <w:pStyle w:val="Definition"/>
      </w:pPr>
      <w:r w:rsidRPr="008762B1">
        <w:rPr>
          <w:b/>
          <w:i/>
        </w:rPr>
        <w:t>relevant day</w:t>
      </w:r>
      <w:r w:rsidRPr="008762B1">
        <w:t xml:space="preserve"> means:</w:t>
      </w:r>
    </w:p>
    <w:p w:rsidR="00BB519E" w:rsidRPr="008762B1" w:rsidRDefault="00BB519E" w:rsidP="00BB519E">
      <w:pPr>
        <w:pStyle w:val="paragraph"/>
      </w:pPr>
      <w:r w:rsidRPr="008762B1">
        <w:tab/>
        <w:t>(a)</w:t>
      </w:r>
      <w:r w:rsidRPr="008762B1">
        <w:tab/>
        <w:t xml:space="preserve">for a new project or an expansion project—the day the project is declared to be an eligible offsets project; </w:t>
      </w:r>
      <w:r w:rsidR="00DD65DE" w:rsidRPr="008762B1">
        <w:t>or</w:t>
      </w:r>
    </w:p>
    <w:p w:rsidR="00245C97" w:rsidRPr="008762B1" w:rsidRDefault="00BB519E" w:rsidP="00F3042F">
      <w:pPr>
        <w:pStyle w:val="paragraph"/>
      </w:pPr>
      <w:r w:rsidRPr="008762B1">
        <w:tab/>
        <w:t>(b)</w:t>
      </w:r>
      <w:r w:rsidRPr="008762B1">
        <w:tab/>
        <w:t>for a transitioning project—</w:t>
      </w:r>
      <w:r w:rsidR="00AB18B3" w:rsidRPr="008762B1">
        <w:t>the day the first new version</w:t>
      </w:r>
      <w:r w:rsidR="00851822" w:rsidRPr="008762B1">
        <w:t xml:space="preserve"> of the </w:t>
      </w:r>
      <w:proofErr w:type="spellStart"/>
      <w:r w:rsidR="00851822" w:rsidRPr="008762B1">
        <w:t>NGA</w:t>
      </w:r>
      <w:proofErr w:type="spellEnd"/>
      <w:r w:rsidR="00851822" w:rsidRPr="008762B1">
        <w:t xml:space="preserve"> Factors document </w:t>
      </w:r>
      <w:r w:rsidR="00AB18B3" w:rsidRPr="008762B1">
        <w:t xml:space="preserve">that is published </w:t>
      </w:r>
      <w:r w:rsidR="00851822" w:rsidRPr="008762B1">
        <w:t xml:space="preserve">after the </w:t>
      </w:r>
      <w:proofErr w:type="spellStart"/>
      <w:r w:rsidR="00851822" w:rsidRPr="008762B1">
        <w:t>ERF</w:t>
      </w:r>
      <w:proofErr w:type="spellEnd"/>
      <w:r w:rsidR="00851822" w:rsidRPr="008762B1">
        <w:t xml:space="preserve"> commencement day </w:t>
      </w:r>
      <w:r w:rsidR="00F3042F" w:rsidRPr="008762B1">
        <w:t>comes into force.</w:t>
      </w:r>
    </w:p>
    <w:p w:rsidR="00F273DC" w:rsidRPr="008762B1" w:rsidRDefault="004E7255" w:rsidP="00F273DC">
      <w:pPr>
        <w:pStyle w:val="ActHead5"/>
      </w:pPr>
      <w:bookmarkStart w:id="56" w:name="_Toc407103345"/>
      <w:r w:rsidRPr="008762B1">
        <w:rPr>
          <w:rStyle w:val="CharSectno"/>
        </w:rPr>
        <w:t>32</w:t>
      </w:r>
      <w:r w:rsidR="00F273DC" w:rsidRPr="008762B1">
        <w:t xml:space="preserve">  Emissions from the </w:t>
      </w:r>
      <w:r w:rsidR="00181CA6" w:rsidRPr="008762B1">
        <w:t>processing</w:t>
      </w:r>
      <w:r w:rsidR="00F273DC" w:rsidRPr="008762B1">
        <w:t xml:space="preserve"> of </w:t>
      </w:r>
      <w:r w:rsidR="000B464B" w:rsidRPr="008762B1">
        <w:t xml:space="preserve">eligible </w:t>
      </w:r>
      <w:r w:rsidR="00F273DC" w:rsidRPr="008762B1">
        <w:t>waste</w:t>
      </w:r>
      <w:bookmarkEnd w:id="56"/>
    </w:p>
    <w:p w:rsidR="00865084" w:rsidRPr="008762B1" w:rsidRDefault="00865084" w:rsidP="00865084">
      <w:pPr>
        <w:pStyle w:val="subsection"/>
      </w:pPr>
      <w:r w:rsidRPr="008762B1">
        <w:tab/>
      </w:r>
      <w:r w:rsidR="000416E5" w:rsidRPr="008762B1">
        <w:tab/>
      </w:r>
      <w:r w:rsidRPr="008762B1">
        <w:t xml:space="preserve">The </w:t>
      </w:r>
      <w:r w:rsidR="001C55CE" w:rsidRPr="008762B1">
        <w:rPr>
          <w:szCs w:val="22"/>
        </w:rPr>
        <w:t>emissions</w:t>
      </w:r>
      <w:r w:rsidRPr="008762B1">
        <w:rPr>
          <w:szCs w:val="22"/>
        </w:rPr>
        <w:t xml:space="preserve"> from the </w:t>
      </w:r>
      <w:r w:rsidR="00181CA6" w:rsidRPr="008762B1">
        <w:rPr>
          <w:szCs w:val="22"/>
        </w:rPr>
        <w:t>processing</w:t>
      </w:r>
      <w:r w:rsidRPr="008762B1">
        <w:rPr>
          <w:szCs w:val="22"/>
        </w:rPr>
        <w:t xml:space="preserve"> of putrescible eligible waste during a reporting period</w:t>
      </w:r>
      <w:r w:rsidR="00694477" w:rsidRPr="008762B1">
        <w:rPr>
          <w:szCs w:val="22"/>
        </w:rPr>
        <w:t>, in tonnes CO</w:t>
      </w:r>
      <w:r w:rsidR="00694477" w:rsidRPr="008762B1">
        <w:rPr>
          <w:szCs w:val="22"/>
          <w:vertAlign w:val="subscript"/>
        </w:rPr>
        <w:t>2</w:t>
      </w:r>
      <w:r w:rsidR="008762B1">
        <w:rPr>
          <w:szCs w:val="22"/>
        </w:rPr>
        <w:noBreakHyphen/>
      </w:r>
      <w:r w:rsidR="00694477" w:rsidRPr="008762B1">
        <w:rPr>
          <w:szCs w:val="22"/>
        </w:rPr>
        <w:t>e,</w:t>
      </w:r>
      <w:r w:rsidRPr="008762B1">
        <w:rPr>
          <w:szCs w:val="22"/>
        </w:rPr>
        <w:t xml:space="preserve"> are worked out using the formula (</w:t>
      </w:r>
      <w:r w:rsidR="00D93281" w:rsidRPr="008762B1">
        <w:rPr>
          <w:b/>
          <w:i/>
          <w:szCs w:val="22"/>
        </w:rPr>
        <w:t>equation 12</w:t>
      </w:r>
      <w:r w:rsidRPr="008762B1">
        <w:rPr>
          <w:szCs w:val="22"/>
        </w:rPr>
        <w:t>):</w:t>
      </w:r>
    </w:p>
    <w:bookmarkStart w:id="57" w:name="BKCheck15B_15"/>
    <w:bookmarkEnd w:id="57"/>
    <w:p w:rsidR="004260EE" w:rsidRPr="008762B1" w:rsidRDefault="00985A7C" w:rsidP="004260EE">
      <w:pPr>
        <w:pStyle w:val="subsection2"/>
      </w:pPr>
      <w:r w:rsidRPr="008762B1">
        <w:rPr>
          <w:position w:val="-36"/>
        </w:rPr>
        <w:object w:dxaOrig="3800" w:dyaOrig="940">
          <v:shape id="_x0000_i1036" type="#_x0000_t75" style="width:190.65pt;height:46.65pt" o:ole="">
            <v:imagedata r:id="rId43" o:title=""/>
          </v:shape>
          <o:OLEObject Type="Embed" ProgID="Equation.DSMT4" ShapeID="_x0000_i1036" DrawAspect="Content" ObjectID="_1483176410" r:id="rId44"/>
        </w:object>
      </w:r>
    </w:p>
    <w:p w:rsidR="004260EE" w:rsidRPr="008762B1" w:rsidRDefault="00865084" w:rsidP="004260EE">
      <w:pPr>
        <w:pStyle w:val="subsection2"/>
      </w:pPr>
      <w:r w:rsidRPr="008762B1">
        <w:t>w</w:t>
      </w:r>
      <w:r w:rsidR="004260EE" w:rsidRPr="008762B1">
        <w:t>here:</w:t>
      </w:r>
    </w:p>
    <w:p w:rsidR="00BA0923" w:rsidRPr="008762B1" w:rsidRDefault="00BA0923" w:rsidP="00BA0923">
      <w:pPr>
        <w:pStyle w:val="Definition"/>
        <w:rPr>
          <w:szCs w:val="22"/>
        </w:rPr>
      </w:pPr>
      <w:proofErr w:type="spellStart"/>
      <w:r w:rsidRPr="008762B1">
        <w:rPr>
          <w:b/>
          <w:i/>
        </w:rPr>
        <w:t>E</w:t>
      </w:r>
      <w:r w:rsidR="009428AC" w:rsidRPr="008762B1">
        <w:rPr>
          <w:b/>
          <w:i/>
          <w:vertAlign w:val="subscript"/>
        </w:rPr>
        <w:t>PW</w:t>
      </w:r>
      <w:proofErr w:type="spellEnd"/>
      <w:r w:rsidRPr="008762B1">
        <w:t xml:space="preserve"> </w:t>
      </w:r>
      <w:r w:rsidR="00F64F6C" w:rsidRPr="008762B1">
        <w:t xml:space="preserve">means the </w:t>
      </w:r>
      <w:r w:rsidR="001C55CE" w:rsidRPr="008762B1">
        <w:rPr>
          <w:szCs w:val="22"/>
        </w:rPr>
        <w:t>emissions</w:t>
      </w:r>
      <w:r w:rsidRPr="008762B1">
        <w:rPr>
          <w:szCs w:val="22"/>
        </w:rPr>
        <w:t xml:space="preserve"> from the processin</w:t>
      </w:r>
      <w:r w:rsidR="00397517" w:rsidRPr="008762B1">
        <w:rPr>
          <w:szCs w:val="22"/>
        </w:rPr>
        <w:t>g of putrescible eligible waste</w:t>
      </w:r>
      <w:r w:rsidRPr="008762B1">
        <w:rPr>
          <w:szCs w:val="22"/>
        </w:rPr>
        <w:t xml:space="preserve"> during the reporting period</w:t>
      </w:r>
      <w:r w:rsidR="00694477" w:rsidRPr="008762B1">
        <w:rPr>
          <w:szCs w:val="22"/>
        </w:rPr>
        <w:t>, in tonnes CO</w:t>
      </w:r>
      <w:r w:rsidR="00694477" w:rsidRPr="008762B1">
        <w:rPr>
          <w:szCs w:val="22"/>
          <w:vertAlign w:val="subscript"/>
        </w:rPr>
        <w:t>2</w:t>
      </w:r>
      <w:r w:rsidR="008762B1">
        <w:rPr>
          <w:szCs w:val="22"/>
        </w:rPr>
        <w:noBreakHyphen/>
      </w:r>
      <w:r w:rsidR="00694477" w:rsidRPr="008762B1">
        <w:rPr>
          <w:szCs w:val="22"/>
        </w:rPr>
        <w:t>e</w:t>
      </w:r>
      <w:r w:rsidRPr="008762B1">
        <w:rPr>
          <w:szCs w:val="22"/>
        </w:rPr>
        <w:t>.</w:t>
      </w:r>
    </w:p>
    <w:p w:rsidR="009428AC" w:rsidRPr="008762B1" w:rsidRDefault="009428AC" w:rsidP="00BA0923">
      <w:pPr>
        <w:pStyle w:val="Definition"/>
        <w:rPr>
          <w:szCs w:val="22"/>
        </w:rPr>
      </w:pPr>
      <w:r w:rsidRPr="008762B1">
        <w:rPr>
          <w:b/>
          <w:i/>
        </w:rPr>
        <w:t>PW</w:t>
      </w:r>
      <w:r w:rsidRPr="008762B1">
        <w:t xml:space="preserve"> </w:t>
      </w:r>
      <w:r w:rsidRPr="008762B1">
        <w:rPr>
          <w:szCs w:val="22"/>
        </w:rPr>
        <w:t xml:space="preserve">means the quantity of putrescible eligible waste </w:t>
      </w:r>
      <w:r w:rsidRPr="008762B1">
        <w:t>processed during the reporting period,</w:t>
      </w:r>
      <w:r w:rsidR="00694477" w:rsidRPr="008762B1">
        <w:rPr>
          <w:szCs w:val="22"/>
        </w:rPr>
        <w:t xml:space="preserve"> in tonnes,</w:t>
      </w:r>
      <w:r w:rsidRPr="008762B1">
        <w:t xml:space="preserve"> </w:t>
      </w:r>
      <w:r w:rsidRPr="008762B1">
        <w:rPr>
          <w:szCs w:val="22"/>
        </w:rPr>
        <w:t>worked out using equation 6.</w:t>
      </w:r>
    </w:p>
    <w:p w:rsidR="0066630A" w:rsidRPr="008762B1" w:rsidRDefault="0066630A" w:rsidP="00BA0923">
      <w:pPr>
        <w:pStyle w:val="Definition"/>
        <w:rPr>
          <w:szCs w:val="22"/>
        </w:rPr>
      </w:pPr>
      <w:proofErr w:type="spellStart"/>
      <w:r w:rsidRPr="008762B1">
        <w:rPr>
          <w:b/>
          <w:i/>
          <w:szCs w:val="22"/>
        </w:rPr>
        <w:lastRenderedPageBreak/>
        <w:t>TPW</w:t>
      </w:r>
      <w:proofErr w:type="spellEnd"/>
      <w:r w:rsidRPr="008762B1">
        <w:rPr>
          <w:szCs w:val="22"/>
        </w:rPr>
        <w:t xml:space="preserve"> means the total quantity of putrescible waste processed during the reporting period, in tonnes, worked out using equation </w:t>
      </w:r>
      <w:r w:rsidR="0086684F" w:rsidRPr="008762B1">
        <w:rPr>
          <w:szCs w:val="22"/>
        </w:rPr>
        <w:t>13</w:t>
      </w:r>
      <w:r w:rsidRPr="008762B1">
        <w:rPr>
          <w:szCs w:val="22"/>
        </w:rPr>
        <w:t>.</w:t>
      </w:r>
    </w:p>
    <w:p w:rsidR="00BA0923" w:rsidRPr="008762B1" w:rsidRDefault="00BA0923" w:rsidP="00BA0923">
      <w:pPr>
        <w:pStyle w:val="Definition"/>
      </w:pPr>
      <w:proofErr w:type="spellStart"/>
      <w:r w:rsidRPr="008762B1">
        <w:rPr>
          <w:b/>
          <w:i/>
        </w:rPr>
        <w:t>E</w:t>
      </w:r>
      <w:r w:rsidR="00D341A2" w:rsidRPr="008762B1">
        <w:rPr>
          <w:b/>
          <w:i/>
          <w:vertAlign w:val="subscript"/>
        </w:rPr>
        <w:t>C</w:t>
      </w:r>
      <w:r w:rsidRPr="008762B1">
        <w:rPr>
          <w:b/>
          <w:i/>
          <w:vertAlign w:val="subscript"/>
        </w:rPr>
        <w:t>ompost</w:t>
      </w:r>
      <w:proofErr w:type="spellEnd"/>
      <w:r w:rsidRPr="008762B1">
        <w:t xml:space="preserve"> </w:t>
      </w:r>
      <w:r w:rsidRPr="008762B1">
        <w:rPr>
          <w:szCs w:val="22"/>
        </w:rPr>
        <w:t>m</w:t>
      </w:r>
      <w:r w:rsidR="001C55CE" w:rsidRPr="008762B1">
        <w:rPr>
          <w:szCs w:val="22"/>
        </w:rPr>
        <w:t>eans the emissions</w:t>
      </w:r>
      <w:r w:rsidRPr="008762B1">
        <w:rPr>
          <w:szCs w:val="22"/>
        </w:rPr>
        <w:t xml:space="preserve"> from composting processes used during the </w:t>
      </w:r>
      <w:r w:rsidR="00397517" w:rsidRPr="008762B1">
        <w:rPr>
          <w:szCs w:val="22"/>
        </w:rPr>
        <w:t>reporting period</w:t>
      </w:r>
      <w:r w:rsidRPr="008762B1">
        <w:rPr>
          <w:szCs w:val="22"/>
        </w:rPr>
        <w:t>,</w:t>
      </w:r>
      <w:r w:rsidR="00694477" w:rsidRPr="008762B1">
        <w:rPr>
          <w:szCs w:val="22"/>
        </w:rPr>
        <w:t xml:space="preserve"> in tonnes CO</w:t>
      </w:r>
      <w:r w:rsidR="00694477" w:rsidRPr="008762B1">
        <w:rPr>
          <w:szCs w:val="22"/>
          <w:vertAlign w:val="subscript"/>
        </w:rPr>
        <w:t>2</w:t>
      </w:r>
      <w:r w:rsidR="008762B1">
        <w:rPr>
          <w:szCs w:val="22"/>
        </w:rPr>
        <w:noBreakHyphen/>
      </w:r>
      <w:r w:rsidR="00694477" w:rsidRPr="008762B1">
        <w:rPr>
          <w:szCs w:val="22"/>
        </w:rPr>
        <w:t>e,</w:t>
      </w:r>
      <w:r w:rsidRPr="008762B1">
        <w:rPr>
          <w:szCs w:val="22"/>
        </w:rPr>
        <w:t xml:space="preserve"> worked out in accordance with section</w:t>
      </w:r>
      <w:r w:rsidR="008762B1" w:rsidRPr="008762B1">
        <w:rPr>
          <w:szCs w:val="22"/>
        </w:rPr>
        <w:t> </w:t>
      </w:r>
      <w:r w:rsidR="004E7255" w:rsidRPr="008762B1">
        <w:rPr>
          <w:szCs w:val="22"/>
        </w:rPr>
        <w:t>34</w:t>
      </w:r>
      <w:r w:rsidRPr="008762B1">
        <w:rPr>
          <w:szCs w:val="22"/>
        </w:rPr>
        <w:t>.</w:t>
      </w:r>
    </w:p>
    <w:p w:rsidR="00BA0923" w:rsidRPr="008762B1" w:rsidRDefault="00BA0923" w:rsidP="00BA0923">
      <w:pPr>
        <w:pStyle w:val="Definition"/>
        <w:rPr>
          <w:szCs w:val="22"/>
        </w:rPr>
      </w:pPr>
      <w:proofErr w:type="spellStart"/>
      <w:r w:rsidRPr="008762B1">
        <w:rPr>
          <w:b/>
          <w:i/>
        </w:rPr>
        <w:t>E</w:t>
      </w:r>
      <w:r w:rsidR="00452F22" w:rsidRPr="008762B1">
        <w:rPr>
          <w:b/>
          <w:i/>
          <w:vertAlign w:val="subscript"/>
        </w:rPr>
        <w:t>AD</w:t>
      </w:r>
      <w:proofErr w:type="spellEnd"/>
      <w:r w:rsidRPr="008762B1">
        <w:t xml:space="preserve"> </w:t>
      </w:r>
      <w:r w:rsidRPr="008762B1">
        <w:rPr>
          <w:szCs w:val="22"/>
        </w:rPr>
        <w:t xml:space="preserve">means the </w:t>
      </w:r>
      <w:r w:rsidRPr="008762B1">
        <w:rPr>
          <w:bCs/>
          <w:szCs w:val="22"/>
        </w:rPr>
        <w:t>emissions</w:t>
      </w:r>
      <w:r w:rsidRPr="008762B1">
        <w:rPr>
          <w:szCs w:val="22"/>
        </w:rPr>
        <w:t xml:space="preserve"> from </w:t>
      </w:r>
      <w:r w:rsidR="00452F22" w:rsidRPr="008762B1">
        <w:rPr>
          <w:color w:val="000000" w:themeColor="text1"/>
          <w:szCs w:val="22"/>
        </w:rPr>
        <w:t xml:space="preserve">anaerobic </w:t>
      </w:r>
      <w:r w:rsidRPr="008762B1">
        <w:rPr>
          <w:color w:val="000000" w:themeColor="text1"/>
          <w:szCs w:val="22"/>
        </w:rPr>
        <w:t xml:space="preserve">digesters </w:t>
      </w:r>
      <w:r w:rsidRPr="008762B1">
        <w:rPr>
          <w:szCs w:val="22"/>
        </w:rPr>
        <w:t xml:space="preserve">used during the </w:t>
      </w:r>
      <w:r w:rsidR="00397517" w:rsidRPr="008762B1">
        <w:rPr>
          <w:szCs w:val="22"/>
        </w:rPr>
        <w:t>reporting period</w:t>
      </w:r>
      <w:r w:rsidR="00D93281" w:rsidRPr="008762B1">
        <w:rPr>
          <w:szCs w:val="22"/>
        </w:rPr>
        <w:t>,</w:t>
      </w:r>
      <w:r w:rsidR="00694477" w:rsidRPr="008762B1">
        <w:rPr>
          <w:szCs w:val="22"/>
        </w:rPr>
        <w:t xml:space="preserve"> in tonnes CO</w:t>
      </w:r>
      <w:r w:rsidR="00694477" w:rsidRPr="008762B1">
        <w:rPr>
          <w:szCs w:val="22"/>
          <w:vertAlign w:val="subscript"/>
        </w:rPr>
        <w:t>2</w:t>
      </w:r>
      <w:r w:rsidR="008762B1">
        <w:rPr>
          <w:szCs w:val="22"/>
        </w:rPr>
        <w:noBreakHyphen/>
      </w:r>
      <w:r w:rsidR="00694477" w:rsidRPr="008762B1">
        <w:rPr>
          <w:szCs w:val="22"/>
        </w:rPr>
        <w:t>e,</w:t>
      </w:r>
      <w:r w:rsidR="0086684F" w:rsidRPr="008762B1">
        <w:rPr>
          <w:szCs w:val="22"/>
        </w:rPr>
        <w:t xml:space="preserve"> worked out using equation 16</w:t>
      </w:r>
      <w:r w:rsidRPr="008762B1">
        <w:rPr>
          <w:szCs w:val="22"/>
        </w:rPr>
        <w:t>.</w:t>
      </w:r>
    </w:p>
    <w:p w:rsidR="004260EE" w:rsidRPr="008762B1" w:rsidRDefault="004260EE" w:rsidP="004260EE">
      <w:pPr>
        <w:pStyle w:val="Definition"/>
        <w:rPr>
          <w:szCs w:val="22"/>
        </w:rPr>
      </w:pPr>
      <w:proofErr w:type="spellStart"/>
      <w:r w:rsidRPr="008762B1">
        <w:rPr>
          <w:b/>
          <w:i/>
        </w:rPr>
        <w:t>E</w:t>
      </w:r>
      <w:r w:rsidR="00D341A2" w:rsidRPr="008762B1">
        <w:rPr>
          <w:b/>
          <w:i/>
          <w:vertAlign w:val="subscript"/>
        </w:rPr>
        <w:t>C</w:t>
      </w:r>
      <w:r w:rsidRPr="008762B1">
        <w:rPr>
          <w:b/>
          <w:i/>
          <w:vertAlign w:val="subscript"/>
        </w:rPr>
        <w:t>om</w:t>
      </w:r>
      <w:proofErr w:type="spellEnd"/>
      <w:r w:rsidRPr="008762B1">
        <w:rPr>
          <w:szCs w:val="22"/>
        </w:rPr>
        <w:t xml:space="preserve"> </w:t>
      </w:r>
      <w:r w:rsidR="008149E0" w:rsidRPr="008762B1">
        <w:rPr>
          <w:szCs w:val="22"/>
        </w:rPr>
        <w:t xml:space="preserve">means the </w:t>
      </w:r>
      <w:r w:rsidRPr="008762B1">
        <w:rPr>
          <w:szCs w:val="22"/>
        </w:rPr>
        <w:t xml:space="preserve">emissions from </w:t>
      </w:r>
      <w:r w:rsidR="008149E0" w:rsidRPr="008762B1">
        <w:rPr>
          <w:szCs w:val="22"/>
        </w:rPr>
        <w:t xml:space="preserve">combustion devices used during the </w:t>
      </w:r>
      <w:r w:rsidR="00397517" w:rsidRPr="008762B1">
        <w:rPr>
          <w:szCs w:val="22"/>
        </w:rPr>
        <w:t>reporting period</w:t>
      </w:r>
      <w:r w:rsidR="00694477" w:rsidRPr="008762B1">
        <w:rPr>
          <w:szCs w:val="22"/>
        </w:rPr>
        <w:t>, in tonnes CO</w:t>
      </w:r>
      <w:r w:rsidR="00694477" w:rsidRPr="008762B1">
        <w:rPr>
          <w:szCs w:val="22"/>
          <w:vertAlign w:val="subscript"/>
        </w:rPr>
        <w:t>2</w:t>
      </w:r>
      <w:r w:rsidR="008762B1">
        <w:rPr>
          <w:szCs w:val="22"/>
        </w:rPr>
        <w:noBreakHyphen/>
      </w:r>
      <w:r w:rsidR="00694477" w:rsidRPr="008762B1">
        <w:rPr>
          <w:szCs w:val="22"/>
        </w:rPr>
        <w:t>e</w:t>
      </w:r>
      <w:r w:rsidRPr="008762B1">
        <w:rPr>
          <w:szCs w:val="22"/>
        </w:rPr>
        <w:t xml:space="preserve">, </w:t>
      </w:r>
      <w:r w:rsidR="0086684F" w:rsidRPr="008762B1">
        <w:rPr>
          <w:szCs w:val="22"/>
        </w:rPr>
        <w:t>worked out using equation 20</w:t>
      </w:r>
      <w:r w:rsidR="008149E0" w:rsidRPr="008762B1">
        <w:rPr>
          <w:szCs w:val="22"/>
        </w:rPr>
        <w:t>.</w:t>
      </w:r>
    </w:p>
    <w:p w:rsidR="000416E5" w:rsidRPr="008762B1" w:rsidRDefault="004E7255" w:rsidP="000416E5">
      <w:pPr>
        <w:pStyle w:val="ActHead5"/>
      </w:pPr>
      <w:bookmarkStart w:id="58" w:name="_Toc407103346"/>
      <w:r w:rsidRPr="008762B1">
        <w:rPr>
          <w:rStyle w:val="CharSectno"/>
        </w:rPr>
        <w:t>33</w:t>
      </w:r>
      <w:r w:rsidR="000416E5" w:rsidRPr="008762B1">
        <w:t xml:space="preserve">  Total quantity of putrescible waste</w:t>
      </w:r>
      <w:bookmarkEnd w:id="58"/>
    </w:p>
    <w:p w:rsidR="0066630A" w:rsidRPr="008762B1" w:rsidRDefault="000416E5" w:rsidP="0066630A">
      <w:pPr>
        <w:pStyle w:val="subsection"/>
        <w:rPr>
          <w:szCs w:val="22"/>
        </w:rPr>
      </w:pPr>
      <w:r w:rsidRPr="008762B1">
        <w:tab/>
      </w:r>
      <w:r w:rsidRPr="008762B1">
        <w:tab/>
      </w:r>
      <w:r w:rsidR="0066630A" w:rsidRPr="008762B1">
        <w:t>T</w:t>
      </w:r>
      <w:r w:rsidR="0066630A" w:rsidRPr="008762B1">
        <w:rPr>
          <w:szCs w:val="22"/>
        </w:rPr>
        <w:t>he total quantity of putrescible waste processed during the reporting period, in tonnes, is worked out using the formula (</w:t>
      </w:r>
      <w:r w:rsidR="0086684F" w:rsidRPr="008762B1">
        <w:rPr>
          <w:b/>
          <w:i/>
          <w:szCs w:val="22"/>
        </w:rPr>
        <w:t>equation 13</w:t>
      </w:r>
      <w:r w:rsidR="0066630A" w:rsidRPr="008762B1">
        <w:rPr>
          <w:szCs w:val="22"/>
        </w:rPr>
        <w:t>):</w:t>
      </w:r>
    </w:p>
    <w:bookmarkStart w:id="59" w:name="BKCheck15B_16"/>
    <w:bookmarkEnd w:id="59"/>
    <w:p w:rsidR="0066630A" w:rsidRPr="008762B1" w:rsidRDefault="00871BA8" w:rsidP="0066630A">
      <w:pPr>
        <w:pStyle w:val="subsection2"/>
      </w:pPr>
      <w:r w:rsidRPr="008762B1">
        <w:rPr>
          <w:position w:val="-10"/>
        </w:rPr>
        <w:object w:dxaOrig="2580" w:dyaOrig="420">
          <v:shape id="_x0000_i1037" type="#_x0000_t75" style="width:129pt;height:20.75pt" o:ole="">
            <v:imagedata r:id="rId45" o:title=""/>
          </v:shape>
          <o:OLEObject Type="Embed" ProgID="Equation.DSMT4" ShapeID="_x0000_i1037" DrawAspect="Content" ObjectID="_1483176411" r:id="rId46"/>
        </w:object>
      </w:r>
    </w:p>
    <w:p w:rsidR="0066630A" w:rsidRPr="008762B1" w:rsidRDefault="0066630A" w:rsidP="0066630A">
      <w:pPr>
        <w:pStyle w:val="subsection2"/>
      </w:pPr>
      <w:r w:rsidRPr="008762B1">
        <w:t>where:</w:t>
      </w:r>
    </w:p>
    <w:p w:rsidR="0066630A" w:rsidRPr="008762B1" w:rsidRDefault="0066630A" w:rsidP="0066630A">
      <w:pPr>
        <w:pStyle w:val="Definition"/>
        <w:rPr>
          <w:szCs w:val="22"/>
        </w:rPr>
      </w:pPr>
      <w:proofErr w:type="spellStart"/>
      <w:r w:rsidRPr="008762B1">
        <w:rPr>
          <w:b/>
          <w:i/>
          <w:szCs w:val="22"/>
        </w:rPr>
        <w:t>TPW</w:t>
      </w:r>
      <w:proofErr w:type="spellEnd"/>
      <w:r w:rsidRPr="008762B1">
        <w:rPr>
          <w:szCs w:val="22"/>
        </w:rPr>
        <w:t xml:space="preserve"> means the total quantity of putrescible waste processed during the reporting period, in tonnes</w:t>
      </w:r>
      <w:r w:rsidR="00264DA1" w:rsidRPr="008762B1">
        <w:rPr>
          <w:szCs w:val="22"/>
        </w:rPr>
        <w:t>.</w:t>
      </w:r>
    </w:p>
    <w:p w:rsidR="0066630A" w:rsidRPr="008762B1" w:rsidRDefault="0066630A" w:rsidP="0066630A">
      <w:pPr>
        <w:pStyle w:val="Definition"/>
        <w:rPr>
          <w:color w:val="000000" w:themeColor="text1"/>
          <w:szCs w:val="22"/>
        </w:rPr>
      </w:pPr>
      <w:proofErr w:type="spellStart"/>
      <w:r w:rsidRPr="008762B1">
        <w:rPr>
          <w:b/>
          <w:i/>
        </w:rPr>
        <w:t>Q</w:t>
      </w:r>
      <w:r w:rsidRPr="008762B1">
        <w:rPr>
          <w:b/>
          <w:i/>
          <w:vertAlign w:val="subscript"/>
        </w:rPr>
        <w:t>TW</w:t>
      </w:r>
      <w:proofErr w:type="spellEnd"/>
      <w:r w:rsidRPr="008762B1">
        <w:t xml:space="preserve"> </w:t>
      </w:r>
      <w:r w:rsidRPr="008762B1">
        <w:rPr>
          <w:szCs w:val="22"/>
        </w:rPr>
        <w:t xml:space="preserve">means the total quantity of </w:t>
      </w:r>
      <w:r w:rsidRPr="008762B1">
        <w:rPr>
          <w:color w:val="000000" w:themeColor="text1"/>
          <w:szCs w:val="22"/>
        </w:rPr>
        <w:t>waste received during the reporting period,</w:t>
      </w:r>
      <w:r w:rsidRPr="008762B1">
        <w:rPr>
          <w:szCs w:val="22"/>
        </w:rPr>
        <w:t xml:space="preserve"> in tonnes,</w:t>
      </w:r>
      <w:r w:rsidRPr="008762B1">
        <w:rPr>
          <w:color w:val="000000" w:themeColor="text1"/>
          <w:szCs w:val="22"/>
        </w:rPr>
        <w:t xml:space="preserve"> worked out in accordance with the monitoring requirements.</w:t>
      </w:r>
    </w:p>
    <w:p w:rsidR="0066630A" w:rsidRPr="008762B1" w:rsidRDefault="0066630A" w:rsidP="0066630A">
      <w:pPr>
        <w:pStyle w:val="Definition"/>
        <w:rPr>
          <w:szCs w:val="22"/>
        </w:rPr>
      </w:pPr>
      <w:proofErr w:type="spellStart"/>
      <w:r w:rsidRPr="008762B1">
        <w:rPr>
          <w:b/>
          <w:i/>
        </w:rPr>
        <w:t>Q</w:t>
      </w:r>
      <w:r w:rsidRPr="008762B1">
        <w:rPr>
          <w:b/>
          <w:i/>
          <w:vertAlign w:val="subscript"/>
        </w:rPr>
        <w:t>RW</w:t>
      </w:r>
      <w:proofErr w:type="spellEnd"/>
      <w:r w:rsidRPr="008762B1">
        <w:t xml:space="preserve"> </w:t>
      </w:r>
      <w:r w:rsidRPr="008762B1">
        <w:rPr>
          <w:szCs w:val="22"/>
        </w:rPr>
        <w:t xml:space="preserve">means the quantity of residual waste disposed </w:t>
      </w:r>
      <w:r w:rsidR="00145F41" w:rsidRPr="008762B1">
        <w:rPr>
          <w:szCs w:val="22"/>
        </w:rPr>
        <w:t xml:space="preserve">of </w:t>
      </w:r>
      <w:r w:rsidRPr="008762B1">
        <w:rPr>
          <w:szCs w:val="22"/>
        </w:rPr>
        <w:t>during the reporting period, in tonnes, worked out in accordance with the monitoring requirements.</w:t>
      </w:r>
    </w:p>
    <w:p w:rsidR="0066630A" w:rsidRPr="008762B1" w:rsidRDefault="0066630A" w:rsidP="0066630A">
      <w:pPr>
        <w:pStyle w:val="Definition"/>
      </w:pPr>
      <w:proofErr w:type="spellStart"/>
      <w:r w:rsidRPr="008762B1">
        <w:rPr>
          <w:b/>
          <w:i/>
        </w:rPr>
        <w:t>Q</w:t>
      </w:r>
      <w:r w:rsidRPr="008762B1">
        <w:rPr>
          <w:b/>
          <w:i/>
          <w:vertAlign w:val="subscript"/>
        </w:rPr>
        <w:t>NBP</w:t>
      </w:r>
      <w:proofErr w:type="spellEnd"/>
      <w:r w:rsidRPr="008762B1">
        <w:rPr>
          <w:b/>
          <w:vertAlign w:val="subscript"/>
        </w:rPr>
        <w:t xml:space="preserve"> </w:t>
      </w:r>
      <w:r w:rsidRPr="008762B1">
        <w:rPr>
          <w:szCs w:val="22"/>
        </w:rPr>
        <w:t>means the quantity of non</w:t>
      </w:r>
      <w:r w:rsidR="008762B1">
        <w:rPr>
          <w:szCs w:val="22"/>
        </w:rPr>
        <w:noBreakHyphen/>
      </w:r>
      <w:proofErr w:type="spellStart"/>
      <w:r w:rsidRPr="008762B1">
        <w:rPr>
          <w:szCs w:val="22"/>
        </w:rPr>
        <w:t>biobased</w:t>
      </w:r>
      <w:proofErr w:type="spellEnd"/>
      <w:r w:rsidRPr="008762B1">
        <w:rPr>
          <w:szCs w:val="22"/>
        </w:rPr>
        <w:t xml:space="preserve"> products manufactured during the reporting period, in tonnes, worked out in accordance with the monitoring requirements.</w:t>
      </w:r>
    </w:p>
    <w:p w:rsidR="00CF274A" w:rsidRPr="008762B1" w:rsidRDefault="004E7255" w:rsidP="00CF274A">
      <w:pPr>
        <w:pStyle w:val="ActHead5"/>
      </w:pPr>
      <w:bookmarkStart w:id="60" w:name="_Toc407103347"/>
      <w:r w:rsidRPr="008762B1">
        <w:rPr>
          <w:rStyle w:val="CharSectno"/>
        </w:rPr>
        <w:t>34</w:t>
      </w:r>
      <w:r w:rsidR="00CF274A" w:rsidRPr="008762B1">
        <w:t xml:space="preserve">  Emissions from composting processes</w:t>
      </w:r>
      <w:bookmarkEnd w:id="60"/>
    </w:p>
    <w:p w:rsidR="00CF274A" w:rsidRPr="008762B1" w:rsidRDefault="00B02B85" w:rsidP="00CF274A">
      <w:pPr>
        <w:pStyle w:val="subsection"/>
        <w:rPr>
          <w:szCs w:val="22"/>
        </w:rPr>
      </w:pPr>
      <w:r w:rsidRPr="008762B1">
        <w:rPr>
          <w:szCs w:val="22"/>
        </w:rPr>
        <w:tab/>
        <w:t>(1)</w:t>
      </w:r>
      <w:r w:rsidRPr="008762B1">
        <w:rPr>
          <w:szCs w:val="22"/>
        </w:rPr>
        <w:tab/>
      </w:r>
      <w:r w:rsidR="009A7668" w:rsidRPr="008762B1">
        <w:rPr>
          <w:szCs w:val="22"/>
        </w:rPr>
        <w:t>T</w:t>
      </w:r>
      <w:r w:rsidR="001C55CE" w:rsidRPr="008762B1">
        <w:rPr>
          <w:szCs w:val="22"/>
        </w:rPr>
        <w:t>he emissions</w:t>
      </w:r>
      <w:r w:rsidR="00427BD6" w:rsidRPr="008762B1">
        <w:rPr>
          <w:szCs w:val="22"/>
        </w:rPr>
        <w:t xml:space="preserve"> from composting processes used during a reporting period</w:t>
      </w:r>
      <w:r w:rsidR="00694477" w:rsidRPr="008762B1">
        <w:rPr>
          <w:szCs w:val="22"/>
        </w:rPr>
        <w:t>, in tonnes CO</w:t>
      </w:r>
      <w:r w:rsidR="00694477" w:rsidRPr="008762B1">
        <w:rPr>
          <w:szCs w:val="22"/>
          <w:vertAlign w:val="subscript"/>
        </w:rPr>
        <w:t>2</w:t>
      </w:r>
      <w:r w:rsidR="008762B1">
        <w:rPr>
          <w:szCs w:val="22"/>
        </w:rPr>
        <w:noBreakHyphen/>
      </w:r>
      <w:r w:rsidR="00694477" w:rsidRPr="008762B1">
        <w:rPr>
          <w:szCs w:val="22"/>
        </w:rPr>
        <w:t>e,</w:t>
      </w:r>
      <w:r w:rsidR="00427BD6" w:rsidRPr="008762B1">
        <w:rPr>
          <w:szCs w:val="22"/>
        </w:rPr>
        <w:t xml:space="preserve"> are worked out </w:t>
      </w:r>
      <w:r w:rsidR="00AB4608" w:rsidRPr="008762B1">
        <w:rPr>
          <w:szCs w:val="22"/>
        </w:rPr>
        <w:t>using</w:t>
      </w:r>
      <w:r w:rsidR="00427BD6" w:rsidRPr="008762B1">
        <w:rPr>
          <w:szCs w:val="22"/>
        </w:rPr>
        <w:t>:</w:t>
      </w:r>
    </w:p>
    <w:p w:rsidR="008C09CC" w:rsidRPr="008762B1" w:rsidRDefault="008C09CC" w:rsidP="008C09CC">
      <w:pPr>
        <w:pStyle w:val="paragraph"/>
      </w:pPr>
      <w:r w:rsidRPr="008762B1">
        <w:tab/>
        <w:t>(a)</w:t>
      </w:r>
      <w:r w:rsidRPr="008762B1">
        <w:tab/>
        <w:t xml:space="preserve">if enclosed composting technology </w:t>
      </w:r>
      <w:r w:rsidRPr="008762B1">
        <w:rPr>
          <w:szCs w:val="22"/>
        </w:rPr>
        <w:t>used during the reporting period include</w:t>
      </w:r>
      <w:r w:rsidR="00AB4608" w:rsidRPr="008762B1">
        <w:rPr>
          <w:szCs w:val="22"/>
        </w:rPr>
        <w:t>s</w:t>
      </w:r>
      <w:r w:rsidRPr="008762B1">
        <w:rPr>
          <w:szCs w:val="22"/>
        </w:rPr>
        <w:t xml:space="preserve"> </w:t>
      </w:r>
      <w:r w:rsidRPr="008762B1">
        <w:t>open windrow composting—</w:t>
      </w:r>
      <w:r w:rsidR="00B02B85" w:rsidRPr="008762B1">
        <w:t>sub</w:t>
      </w:r>
      <w:r w:rsidR="008762B1">
        <w:noBreakHyphen/>
      </w:r>
      <w:r w:rsidR="00B02B85" w:rsidRPr="008762B1">
        <w:t xml:space="preserve">method 1 (see </w:t>
      </w:r>
      <w:r w:rsidR="008762B1" w:rsidRPr="008762B1">
        <w:t>subsection (</w:t>
      </w:r>
      <w:r w:rsidR="00FD6C96" w:rsidRPr="008762B1">
        <w:t>6</w:t>
      </w:r>
      <w:r w:rsidRPr="008762B1">
        <w:t>)</w:t>
      </w:r>
      <w:r w:rsidR="009A7668" w:rsidRPr="008762B1">
        <w:t>)</w:t>
      </w:r>
      <w:r w:rsidRPr="008762B1">
        <w:t>; or</w:t>
      </w:r>
    </w:p>
    <w:p w:rsidR="00AB4608" w:rsidRPr="008762B1" w:rsidRDefault="008C09CC" w:rsidP="00AB4608">
      <w:pPr>
        <w:pStyle w:val="paragraph"/>
      </w:pPr>
      <w:r w:rsidRPr="008762B1">
        <w:tab/>
        <w:t>(b)</w:t>
      </w:r>
      <w:r w:rsidRPr="008762B1">
        <w:tab/>
        <w:t xml:space="preserve">if enclosed composting technology </w:t>
      </w:r>
      <w:r w:rsidRPr="008762B1">
        <w:rPr>
          <w:szCs w:val="22"/>
        </w:rPr>
        <w:t>used during the reporting period d</w:t>
      </w:r>
      <w:r w:rsidR="00AB4608" w:rsidRPr="008762B1">
        <w:rPr>
          <w:szCs w:val="22"/>
        </w:rPr>
        <w:t>oes</w:t>
      </w:r>
      <w:r w:rsidRPr="008762B1">
        <w:rPr>
          <w:szCs w:val="22"/>
        </w:rPr>
        <w:t xml:space="preserve"> not include </w:t>
      </w:r>
      <w:r w:rsidRPr="008762B1">
        <w:t>open windrow composting—</w:t>
      </w:r>
      <w:r w:rsidR="009A7668" w:rsidRPr="008762B1">
        <w:t xml:space="preserve">subject to </w:t>
      </w:r>
      <w:r w:rsidR="008762B1" w:rsidRPr="008762B1">
        <w:t>subsections (</w:t>
      </w:r>
      <w:r w:rsidR="009A7668" w:rsidRPr="008762B1">
        <w:t>2)</w:t>
      </w:r>
      <w:r w:rsidR="00FD6C96" w:rsidRPr="008762B1">
        <w:t xml:space="preserve"> to (5</w:t>
      </w:r>
      <w:r w:rsidR="00C0642F" w:rsidRPr="008762B1">
        <w:t>)</w:t>
      </w:r>
      <w:r w:rsidR="003311B7" w:rsidRPr="008762B1">
        <w:t xml:space="preserve"> and section</w:t>
      </w:r>
      <w:r w:rsidR="008762B1" w:rsidRPr="008762B1">
        <w:t> </w:t>
      </w:r>
      <w:r w:rsidR="004E7255" w:rsidRPr="008762B1">
        <w:t>46</w:t>
      </w:r>
      <w:r w:rsidR="009A7668" w:rsidRPr="008762B1">
        <w:t xml:space="preserve">, </w:t>
      </w:r>
      <w:r w:rsidR="00B02B85" w:rsidRPr="008762B1">
        <w:t>either:</w:t>
      </w:r>
    </w:p>
    <w:p w:rsidR="00427BD6" w:rsidRPr="008762B1" w:rsidRDefault="00427BD6" w:rsidP="00427BD6">
      <w:pPr>
        <w:pStyle w:val="paragraphsub"/>
      </w:pPr>
      <w:r w:rsidRPr="008762B1">
        <w:tab/>
      </w:r>
      <w:r w:rsidR="00F32C74" w:rsidRPr="008762B1">
        <w:t>(</w:t>
      </w:r>
      <w:proofErr w:type="spellStart"/>
      <w:r w:rsidR="00F32C74" w:rsidRPr="008762B1">
        <w:t>i</w:t>
      </w:r>
      <w:proofErr w:type="spellEnd"/>
      <w:r w:rsidR="00F32C74" w:rsidRPr="008762B1">
        <w:t>)</w:t>
      </w:r>
      <w:r w:rsidR="00F32C74" w:rsidRPr="008762B1">
        <w:tab/>
        <w:t>sub</w:t>
      </w:r>
      <w:r w:rsidR="008762B1">
        <w:noBreakHyphen/>
      </w:r>
      <w:r w:rsidR="00F32C74" w:rsidRPr="008762B1">
        <w:t xml:space="preserve">method 1 (see </w:t>
      </w:r>
      <w:r w:rsidR="008762B1" w:rsidRPr="008762B1">
        <w:t>subsection (</w:t>
      </w:r>
      <w:r w:rsidR="00FD6C96" w:rsidRPr="008762B1">
        <w:t>6</w:t>
      </w:r>
      <w:r w:rsidR="00F32C74" w:rsidRPr="008762B1">
        <w:t>)</w:t>
      </w:r>
      <w:r w:rsidR="00141200" w:rsidRPr="008762B1">
        <w:t>)</w:t>
      </w:r>
      <w:r w:rsidRPr="008762B1">
        <w:t>; or</w:t>
      </w:r>
    </w:p>
    <w:p w:rsidR="00427BD6" w:rsidRPr="008762B1" w:rsidRDefault="00427BD6" w:rsidP="00427BD6">
      <w:pPr>
        <w:pStyle w:val="paragraphsub"/>
      </w:pPr>
      <w:r w:rsidRPr="008762B1">
        <w:tab/>
      </w:r>
      <w:r w:rsidR="00F32C74" w:rsidRPr="008762B1">
        <w:t>(ii)</w:t>
      </w:r>
      <w:r w:rsidR="00F32C74" w:rsidRPr="008762B1">
        <w:tab/>
        <w:t>sub</w:t>
      </w:r>
      <w:r w:rsidR="008762B1">
        <w:noBreakHyphen/>
      </w:r>
      <w:r w:rsidR="00F32C74" w:rsidRPr="008762B1">
        <w:t xml:space="preserve">method 2 </w:t>
      </w:r>
      <w:r w:rsidR="00141200" w:rsidRPr="008762B1">
        <w:t>(see</w:t>
      </w:r>
      <w:r w:rsidR="00F32C74" w:rsidRPr="008762B1">
        <w:t xml:space="preserve"> </w:t>
      </w:r>
      <w:r w:rsidR="008762B1" w:rsidRPr="008762B1">
        <w:t>subsection (</w:t>
      </w:r>
      <w:r w:rsidR="00FD6C96" w:rsidRPr="008762B1">
        <w:t>7</w:t>
      </w:r>
      <w:r w:rsidR="00F32C74" w:rsidRPr="008762B1">
        <w:t>)</w:t>
      </w:r>
      <w:r w:rsidR="00141200" w:rsidRPr="008762B1">
        <w:t>)</w:t>
      </w:r>
      <w:r w:rsidR="00B02B85" w:rsidRPr="008762B1">
        <w:t>.</w:t>
      </w:r>
    </w:p>
    <w:p w:rsidR="00141200" w:rsidRPr="008762B1" w:rsidRDefault="00141200" w:rsidP="00B02B85">
      <w:pPr>
        <w:pStyle w:val="notetext"/>
      </w:pPr>
      <w:r w:rsidRPr="008762B1">
        <w:t>Note</w:t>
      </w:r>
      <w:r w:rsidR="00F77B53" w:rsidRPr="008762B1">
        <w:t xml:space="preserve"> 1</w:t>
      </w:r>
      <w:r w:rsidRPr="008762B1">
        <w:t>:</w:t>
      </w:r>
      <w:r w:rsidRPr="008762B1">
        <w:tab/>
        <w:t>Sub</w:t>
      </w:r>
      <w:r w:rsidR="008762B1">
        <w:noBreakHyphen/>
      </w:r>
      <w:r w:rsidRPr="008762B1">
        <w:t>method 1 uses default emission</w:t>
      </w:r>
      <w:r w:rsidR="00803CAA" w:rsidRPr="008762B1">
        <w:t>s</w:t>
      </w:r>
      <w:r w:rsidRPr="008762B1">
        <w:t xml:space="preserve"> factors to calculate emissions and sub</w:t>
      </w:r>
      <w:r w:rsidR="008762B1">
        <w:noBreakHyphen/>
      </w:r>
      <w:r w:rsidRPr="008762B1">
        <w:t>method 2 uses direct measurement to calculate emissions.</w:t>
      </w:r>
    </w:p>
    <w:p w:rsidR="00F77B53" w:rsidRPr="008762B1" w:rsidRDefault="00F77B53" w:rsidP="00B02B85">
      <w:pPr>
        <w:pStyle w:val="notetext"/>
      </w:pPr>
      <w:r w:rsidRPr="008762B1">
        <w:t>Note 2:</w:t>
      </w:r>
      <w:r w:rsidRPr="008762B1">
        <w:tab/>
        <w:t xml:space="preserve">If, under </w:t>
      </w:r>
      <w:r w:rsidR="008762B1" w:rsidRPr="008762B1">
        <w:t>subsection (</w:t>
      </w:r>
      <w:r w:rsidRPr="008762B1">
        <w:t>5), sub</w:t>
      </w:r>
      <w:r w:rsidR="008762B1">
        <w:noBreakHyphen/>
      </w:r>
      <w:r w:rsidRPr="008762B1">
        <w:t xml:space="preserve">method 2 must be used to calculate the emissions but the project proponent fails to monitor the parameter </w:t>
      </w:r>
      <w:proofErr w:type="spellStart"/>
      <w:r w:rsidR="003311B7" w:rsidRPr="008762B1">
        <w:t>DM</w:t>
      </w:r>
      <w:r w:rsidRPr="008762B1">
        <w:rPr>
          <w:vertAlign w:val="subscript"/>
        </w:rPr>
        <w:t>Compost</w:t>
      </w:r>
      <w:r w:rsidR="004E004F" w:rsidRPr="008762B1">
        <w:rPr>
          <w:vertAlign w:val="subscript"/>
        </w:rPr>
        <w:t>,j</w:t>
      </w:r>
      <w:proofErr w:type="spellEnd"/>
      <w:r w:rsidRPr="008762B1">
        <w:t xml:space="preserve"> as required by </w:t>
      </w:r>
      <w:r w:rsidR="00761530" w:rsidRPr="008762B1">
        <w:t>the monitoring requirements</w:t>
      </w:r>
      <w:r w:rsidRPr="008762B1">
        <w:t>, the emissions are to be worked out in accordance with section</w:t>
      </w:r>
      <w:r w:rsidR="008762B1" w:rsidRPr="008762B1">
        <w:t> </w:t>
      </w:r>
      <w:r w:rsidR="004E7255" w:rsidRPr="008762B1">
        <w:t>46</w:t>
      </w:r>
      <w:r w:rsidR="000416E5" w:rsidRPr="008762B1">
        <w:t xml:space="preserve"> (see section</w:t>
      </w:r>
      <w:r w:rsidR="008762B1" w:rsidRPr="008762B1">
        <w:t> </w:t>
      </w:r>
      <w:r w:rsidR="004E7255" w:rsidRPr="008762B1">
        <w:t>46</w:t>
      </w:r>
      <w:r w:rsidR="000416E5" w:rsidRPr="008762B1">
        <w:t>)</w:t>
      </w:r>
      <w:r w:rsidRPr="008762B1">
        <w:t>.</w:t>
      </w:r>
    </w:p>
    <w:p w:rsidR="009A7668" w:rsidRPr="008762B1" w:rsidRDefault="00B02B85" w:rsidP="00DA4753">
      <w:pPr>
        <w:pStyle w:val="subsection"/>
      </w:pPr>
      <w:r w:rsidRPr="008762B1">
        <w:lastRenderedPageBreak/>
        <w:tab/>
      </w:r>
      <w:r w:rsidR="009A7668" w:rsidRPr="008762B1">
        <w:t>(2)</w:t>
      </w:r>
      <w:r w:rsidR="009A7668" w:rsidRPr="008762B1">
        <w:tab/>
        <w:t>If sub</w:t>
      </w:r>
      <w:r w:rsidR="008762B1">
        <w:noBreakHyphen/>
      </w:r>
      <w:r w:rsidR="004A0A60" w:rsidRPr="008762B1">
        <w:t>method 1</w:t>
      </w:r>
      <w:r w:rsidR="009A7668" w:rsidRPr="008762B1">
        <w:t xml:space="preserve"> is used to work out the emissions of methane for a reporting period, that sub</w:t>
      </w:r>
      <w:r w:rsidR="008762B1">
        <w:noBreakHyphen/>
      </w:r>
      <w:r w:rsidR="009A7668" w:rsidRPr="008762B1">
        <w:t>method must also be used to calculate the emissions of nitrous oxide for the reporting period.</w:t>
      </w:r>
    </w:p>
    <w:p w:rsidR="00FD6C96" w:rsidRPr="008762B1" w:rsidRDefault="00FD6C96" w:rsidP="00FD6C96">
      <w:pPr>
        <w:pStyle w:val="subsection"/>
      </w:pPr>
      <w:r w:rsidRPr="008762B1">
        <w:tab/>
        <w:t>(3)</w:t>
      </w:r>
      <w:r w:rsidRPr="008762B1">
        <w:tab/>
        <w:t>Sub</w:t>
      </w:r>
      <w:r w:rsidR="008762B1">
        <w:noBreakHyphen/>
      </w:r>
      <w:r w:rsidR="004A0A60" w:rsidRPr="008762B1">
        <w:t>method 2</w:t>
      </w:r>
      <w:r w:rsidRPr="008762B1">
        <w:t xml:space="preserve"> may only be used to work out the emissions for a reporting period if the parameter </w:t>
      </w:r>
      <w:proofErr w:type="spellStart"/>
      <w:r w:rsidR="003311B7" w:rsidRPr="008762B1">
        <w:t>DM</w:t>
      </w:r>
      <w:r w:rsidRPr="008762B1">
        <w:rPr>
          <w:vertAlign w:val="subscript"/>
        </w:rPr>
        <w:t>Compost</w:t>
      </w:r>
      <w:r w:rsidR="004E004F" w:rsidRPr="008762B1">
        <w:rPr>
          <w:vertAlign w:val="subscript"/>
        </w:rPr>
        <w:t>,j</w:t>
      </w:r>
      <w:proofErr w:type="spellEnd"/>
      <w:r w:rsidRPr="008762B1">
        <w:t xml:space="preserve"> is monitored </w:t>
      </w:r>
      <w:r w:rsidR="00761530" w:rsidRPr="008762B1">
        <w:t>as required by</w:t>
      </w:r>
      <w:r w:rsidRPr="008762B1">
        <w:t xml:space="preserve"> </w:t>
      </w:r>
      <w:r w:rsidR="000416E5" w:rsidRPr="008762B1">
        <w:t>section</w:t>
      </w:r>
      <w:r w:rsidR="008762B1" w:rsidRPr="008762B1">
        <w:t> </w:t>
      </w:r>
      <w:r w:rsidR="004E7255" w:rsidRPr="008762B1">
        <w:t>45</w:t>
      </w:r>
      <w:r w:rsidRPr="008762B1">
        <w:t xml:space="preserve"> during the reporting period.</w:t>
      </w:r>
    </w:p>
    <w:p w:rsidR="009A7668" w:rsidRPr="008762B1" w:rsidRDefault="00DA4753" w:rsidP="00B02B85">
      <w:pPr>
        <w:pStyle w:val="subsection"/>
      </w:pPr>
      <w:r w:rsidRPr="008762B1">
        <w:tab/>
      </w:r>
      <w:r w:rsidR="00AC13AE" w:rsidRPr="008762B1">
        <w:t>(4</w:t>
      </w:r>
      <w:r w:rsidRPr="008762B1">
        <w:t>)</w:t>
      </w:r>
      <w:r w:rsidRPr="008762B1">
        <w:tab/>
      </w:r>
      <w:r w:rsidR="009A7668" w:rsidRPr="008762B1">
        <w:t>If sub</w:t>
      </w:r>
      <w:r w:rsidR="008762B1">
        <w:noBreakHyphen/>
      </w:r>
      <w:r w:rsidR="004A0A60" w:rsidRPr="008762B1">
        <w:t>method 2</w:t>
      </w:r>
      <w:r w:rsidR="009A7668" w:rsidRPr="008762B1">
        <w:t xml:space="preserve"> is used to work out the emissions of nitrous oxide for a reporting period, that sub</w:t>
      </w:r>
      <w:r w:rsidR="008762B1">
        <w:noBreakHyphen/>
      </w:r>
      <w:r w:rsidR="009A7668" w:rsidRPr="008762B1">
        <w:t xml:space="preserve">method must also be used to </w:t>
      </w:r>
      <w:r w:rsidR="000416E5" w:rsidRPr="008762B1">
        <w:t>work out</w:t>
      </w:r>
      <w:r w:rsidR="009A7668" w:rsidRPr="008762B1">
        <w:t xml:space="preserve"> the emissions of methane for the reporting period.</w:t>
      </w:r>
    </w:p>
    <w:p w:rsidR="00B02B85" w:rsidRPr="008762B1" w:rsidRDefault="00AC13AE" w:rsidP="009A7668">
      <w:pPr>
        <w:pStyle w:val="subsection"/>
      </w:pPr>
      <w:r w:rsidRPr="008762B1">
        <w:tab/>
        <w:t>(5</w:t>
      </w:r>
      <w:r w:rsidR="009A7668" w:rsidRPr="008762B1">
        <w:t>)</w:t>
      </w:r>
      <w:r w:rsidR="009A7668" w:rsidRPr="008762B1">
        <w:tab/>
        <w:t xml:space="preserve">If </w:t>
      </w:r>
      <w:r w:rsidR="00B02B85" w:rsidRPr="008762B1">
        <w:t>sub</w:t>
      </w:r>
      <w:r w:rsidR="008762B1">
        <w:noBreakHyphen/>
      </w:r>
      <w:r w:rsidR="004A0A60" w:rsidRPr="008762B1">
        <w:t>method 2</w:t>
      </w:r>
      <w:r w:rsidR="00B02B85" w:rsidRPr="008762B1">
        <w:t xml:space="preserve"> is used to work out the emissions </w:t>
      </w:r>
      <w:r w:rsidR="009A7668" w:rsidRPr="008762B1">
        <w:t xml:space="preserve">of </w:t>
      </w:r>
      <w:r w:rsidR="00C0642F" w:rsidRPr="008762B1">
        <w:t xml:space="preserve">a greenhouse gas type (whether </w:t>
      </w:r>
      <w:r w:rsidR="009A7668" w:rsidRPr="008762B1">
        <w:t>methane or nitrous oxide</w:t>
      </w:r>
      <w:r w:rsidR="00C0642F" w:rsidRPr="008762B1">
        <w:t>)</w:t>
      </w:r>
      <w:r w:rsidR="009A7668" w:rsidRPr="008762B1">
        <w:t xml:space="preserve"> </w:t>
      </w:r>
      <w:r w:rsidR="00B02B85" w:rsidRPr="008762B1">
        <w:t>for a reporting period, that sub</w:t>
      </w:r>
      <w:r w:rsidR="008762B1">
        <w:noBreakHyphen/>
      </w:r>
      <w:r w:rsidR="00B02B85" w:rsidRPr="008762B1">
        <w:t xml:space="preserve">method must be used to calculate the emissions </w:t>
      </w:r>
      <w:r w:rsidR="00C0642F" w:rsidRPr="008762B1">
        <w:t xml:space="preserve">of that greenhouse gas type </w:t>
      </w:r>
      <w:r w:rsidR="00B02B85" w:rsidRPr="008762B1">
        <w:t>for all subsequent reporting periods.</w:t>
      </w:r>
    </w:p>
    <w:p w:rsidR="00F32C74" w:rsidRPr="008762B1" w:rsidRDefault="00F32C74" w:rsidP="00F32C74">
      <w:pPr>
        <w:pStyle w:val="SubsectionHead"/>
      </w:pPr>
      <w:r w:rsidRPr="008762B1">
        <w:t>Sub</w:t>
      </w:r>
      <w:r w:rsidR="008762B1">
        <w:noBreakHyphen/>
      </w:r>
      <w:r w:rsidR="001C55CE" w:rsidRPr="008762B1">
        <w:t>method 1</w:t>
      </w:r>
    </w:p>
    <w:p w:rsidR="00F32C74" w:rsidRPr="008762B1" w:rsidRDefault="00B02B85" w:rsidP="00F32C74">
      <w:pPr>
        <w:pStyle w:val="subsection"/>
      </w:pPr>
      <w:r w:rsidRPr="008762B1">
        <w:tab/>
        <w:t>(</w:t>
      </w:r>
      <w:r w:rsidR="00AC13AE" w:rsidRPr="008762B1">
        <w:t>6</w:t>
      </w:r>
      <w:r w:rsidR="00F32C74" w:rsidRPr="008762B1">
        <w:t>)</w:t>
      </w:r>
      <w:r w:rsidR="00F32C74" w:rsidRPr="008762B1">
        <w:tab/>
      </w:r>
      <w:r w:rsidR="001C55CE" w:rsidRPr="008762B1">
        <w:rPr>
          <w:szCs w:val="22"/>
        </w:rPr>
        <w:t>The emissions</w:t>
      </w:r>
      <w:r w:rsidR="00F32C74" w:rsidRPr="008762B1">
        <w:rPr>
          <w:szCs w:val="22"/>
        </w:rPr>
        <w:t xml:space="preserve"> from composting processes u</w:t>
      </w:r>
      <w:r w:rsidR="00694477" w:rsidRPr="008762B1">
        <w:rPr>
          <w:szCs w:val="22"/>
        </w:rPr>
        <w:t>sed during the reporting period, in tonnes CO</w:t>
      </w:r>
      <w:r w:rsidR="00694477" w:rsidRPr="008762B1">
        <w:rPr>
          <w:szCs w:val="22"/>
          <w:vertAlign w:val="subscript"/>
        </w:rPr>
        <w:t>2</w:t>
      </w:r>
      <w:r w:rsidR="008762B1">
        <w:rPr>
          <w:szCs w:val="22"/>
        </w:rPr>
        <w:noBreakHyphen/>
      </w:r>
      <w:r w:rsidR="00694477" w:rsidRPr="008762B1">
        <w:rPr>
          <w:szCs w:val="22"/>
        </w:rPr>
        <w:t xml:space="preserve">e, </w:t>
      </w:r>
      <w:r w:rsidR="00F32C74" w:rsidRPr="008762B1">
        <w:rPr>
          <w:szCs w:val="22"/>
        </w:rPr>
        <w:t>are worked out using the formula (</w:t>
      </w:r>
      <w:r w:rsidR="0086684F" w:rsidRPr="008762B1">
        <w:rPr>
          <w:b/>
          <w:i/>
          <w:szCs w:val="22"/>
        </w:rPr>
        <w:t>equation 14</w:t>
      </w:r>
      <w:r w:rsidR="00F32C74" w:rsidRPr="008762B1">
        <w:rPr>
          <w:szCs w:val="22"/>
        </w:rPr>
        <w:t>):</w:t>
      </w:r>
    </w:p>
    <w:bookmarkStart w:id="61" w:name="BKCheck15B_17"/>
    <w:bookmarkEnd w:id="61"/>
    <w:p w:rsidR="004260EE" w:rsidRPr="008762B1" w:rsidRDefault="00B02B85" w:rsidP="004260EE">
      <w:pPr>
        <w:pStyle w:val="subsection2"/>
      </w:pPr>
      <w:r w:rsidRPr="008762B1">
        <w:rPr>
          <w:position w:val="-24"/>
        </w:rPr>
        <w:object w:dxaOrig="4180" w:dyaOrig="680">
          <v:shape id="_x0000_i1038" type="#_x0000_t75" style="width:210.25pt;height:34pt" o:ole="">
            <v:imagedata r:id="rId47" o:title=""/>
          </v:shape>
          <o:OLEObject Type="Embed" ProgID="Equation.DSMT4" ShapeID="_x0000_i1038" DrawAspect="Content" ObjectID="_1483176412" r:id="rId48"/>
        </w:object>
      </w:r>
    </w:p>
    <w:p w:rsidR="004260EE" w:rsidRPr="008762B1" w:rsidRDefault="00F96270" w:rsidP="004260EE">
      <w:pPr>
        <w:pStyle w:val="subsection2"/>
      </w:pPr>
      <w:r w:rsidRPr="008762B1">
        <w:t>w</w:t>
      </w:r>
      <w:r w:rsidR="004260EE" w:rsidRPr="008762B1">
        <w:t>here:</w:t>
      </w:r>
    </w:p>
    <w:p w:rsidR="004260EE" w:rsidRPr="008762B1" w:rsidRDefault="004260EE" w:rsidP="004260EE">
      <w:pPr>
        <w:pStyle w:val="Definition"/>
        <w:rPr>
          <w:szCs w:val="22"/>
        </w:rPr>
      </w:pPr>
      <w:proofErr w:type="spellStart"/>
      <w:r w:rsidRPr="008762B1">
        <w:rPr>
          <w:b/>
          <w:i/>
        </w:rPr>
        <w:t>E</w:t>
      </w:r>
      <w:r w:rsidR="00B02B85" w:rsidRPr="008762B1">
        <w:rPr>
          <w:b/>
          <w:i/>
          <w:vertAlign w:val="subscript"/>
        </w:rPr>
        <w:t>C</w:t>
      </w:r>
      <w:r w:rsidRPr="008762B1">
        <w:rPr>
          <w:b/>
          <w:i/>
          <w:vertAlign w:val="subscript"/>
        </w:rPr>
        <w:t>ompost</w:t>
      </w:r>
      <w:proofErr w:type="spellEnd"/>
      <w:r w:rsidRPr="008762B1">
        <w:t xml:space="preserve"> </w:t>
      </w:r>
      <w:r w:rsidR="00F96270" w:rsidRPr="008762B1">
        <w:rPr>
          <w:szCs w:val="22"/>
        </w:rPr>
        <w:t xml:space="preserve">means the </w:t>
      </w:r>
      <w:r w:rsidRPr="008762B1">
        <w:rPr>
          <w:szCs w:val="22"/>
        </w:rPr>
        <w:t xml:space="preserve">emissions </w:t>
      </w:r>
      <w:r w:rsidR="00F96270" w:rsidRPr="008762B1">
        <w:rPr>
          <w:szCs w:val="22"/>
        </w:rPr>
        <w:t>from composting processes used during the reporting period</w:t>
      </w:r>
      <w:r w:rsidRPr="008762B1">
        <w:rPr>
          <w:szCs w:val="22"/>
        </w:rPr>
        <w:t>,</w:t>
      </w:r>
      <w:r w:rsidR="00694477" w:rsidRPr="008762B1">
        <w:rPr>
          <w:szCs w:val="22"/>
        </w:rPr>
        <w:t xml:space="preserve"> in tonnes CO</w:t>
      </w:r>
      <w:r w:rsidR="00694477" w:rsidRPr="008762B1">
        <w:rPr>
          <w:szCs w:val="22"/>
          <w:vertAlign w:val="subscript"/>
        </w:rPr>
        <w:t>2</w:t>
      </w:r>
      <w:r w:rsidR="008762B1">
        <w:rPr>
          <w:szCs w:val="22"/>
        </w:rPr>
        <w:noBreakHyphen/>
      </w:r>
      <w:r w:rsidR="00694477" w:rsidRPr="008762B1">
        <w:rPr>
          <w:szCs w:val="22"/>
        </w:rPr>
        <w:t>e,</w:t>
      </w:r>
      <w:r w:rsidRPr="008762B1">
        <w:rPr>
          <w:szCs w:val="22"/>
        </w:rPr>
        <w:t xml:space="preserve"> being methane or nitrous oxide.</w:t>
      </w:r>
    </w:p>
    <w:p w:rsidR="00BA0923" w:rsidRPr="008762B1" w:rsidRDefault="00BA0923" w:rsidP="00BA0923">
      <w:pPr>
        <w:pStyle w:val="Definition"/>
        <w:rPr>
          <w:szCs w:val="22"/>
        </w:rPr>
      </w:pPr>
      <w:proofErr w:type="spellStart"/>
      <w:r w:rsidRPr="008762B1">
        <w:rPr>
          <w:b/>
          <w:i/>
        </w:rPr>
        <w:t>Q</w:t>
      </w:r>
      <w:r w:rsidR="00B02B85" w:rsidRPr="008762B1">
        <w:rPr>
          <w:b/>
          <w:i/>
          <w:vertAlign w:val="subscript"/>
        </w:rPr>
        <w:t>C</w:t>
      </w:r>
      <w:r w:rsidRPr="008762B1">
        <w:rPr>
          <w:b/>
          <w:i/>
          <w:vertAlign w:val="subscript"/>
        </w:rPr>
        <w:t>ompost</w:t>
      </w:r>
      <w:proofErr w:type="spellEnd"/>
      <w:r w:rsidRPr="008762B1">
        <w:t xml:space="preserve"> </w:t>
      </w:r>
      <w:r w:rsidRPr="008762B1">
        <w:rPr>
          <w:szCs w:val="22"/>
        </w:rPr>
        <w:t>means the</w:t>
      </w:r>
      <w:r w:rsidRPr="008762B1">
        <w:rPr>
          <w:bCs/>
          <w:szCs w:val="22"/>
        </w:rPr>
        <w:t xml:space="preserve"> </w:t>
      </w:r>
      <w:r w:rsidRPr="008762B1">
        <w:rPr>
          <w:szCs w:val="22"/>
        </w:rPr>
        <w:t>quantity of wast</w:t>
      </w:r>
      <w:r w:rsidR="0013741E" w:rsidRPr="008762B1">
        <w:rPr>
          <w:szCs w:val="22"/>
        </w:rPr>
        <w:t xml:space="preserve">e composted </w:t>
      </w:r>
      <w:r w:rsidRPr="008762B1">
        <w:rPr>
          <w:szCs w:val="22"/>
        </w:rPr>
        <w:t>during the reporting period,</w:t>
      </w:r>
      <w:r w:rsidR="00694477" w:rsidRPr="008762B1">
        <w:rPr>
          <w:szCs w:val="22"/>
        </w:rPr>
        <w:t xml:space="preserve"> in tonnes,</w:t>
      </w:r>
      <w:r w:rsidRPr="008762B1">
        <w:rPr>
          <w:szCs w:val="22"/>
        </w:rPr>
        <w:t xml:space="preserve"> worked out in accordance w</w:t>
      </w:r>
      <w:r w:rsidR="006A4FFF" w:rsidRPr="008762B1">
        <w:rPr>
          <w:szCs w:val="22"/>
        </w:rPr>
        <w:t>ith the monitoring requirements</w:t>
      </w:r>
      <w:r w:rsidRPr="008762B1">
        <w:rPr>
          <w:szCs w:val="22"/>
        </w:rPr>
        <w:t>.</w:t>
      </w:r>
    </w:p>
    <w:p w:rsidR="004260EE" w:rsidRPr="008762B1" w:rsidRDefault="004260EE" w:rsidP="004260EE">
      <w:pPr>
        <w:pStyle w:val="Definition"/>
        <w:rPr>
          <w:szCs w:val="22"/>
        </w:rPr>
      </w:pPr>
      <w:proofErr w:type="spellStart"/>
      <w:r w:rsidRPr="008762B1">
        <w:rPr>
          <w:b/>
          <w:i/>
        </w:rPr>
        <w:t>EF</w:t>
      </w:r>
      <w:r w:rsidR="00B02B85" w:rsidRPr="008762B1">
        <w:rPr>
          <w:b/>
          <w:i/>
          <w:vertAlign w:val="subscript"/>
        </w:rPr>
        <w:t>C</w:t>
      </w:r>
      <w:r w:rsidRPr="008762B1">
        <w:rPr>
          <w:b/>
          <w:i/>
          <w:vertAlign w:val="subscript"/>
        </w:rPr>
        <w:t>ompost,j</w:t>
      </w:r>
      <w:proofErr w:type="spellEnd"/>
      <w:r w:rsidRPr="008762B1">
        <w:t xml:space="preserve"> </w:t>
      </w:r>
      <w:r w:rsidR="00F96270" w:rsidRPr="008762B1">
        <w:rPr>
          <w:szCs w:val="22"/>
        </w:rPr>
        <w:t xml:space="preserve">means </w:t>
      </w:r>
      <w:r w:rsidRPr="008762B1">
        <w:rPr>
          <w:szCs w:val="22"/>
        </w:rPr>
        <w:t>the emissions factor</w:t>
      </w:r>
      <w:r w:rsidR="001C55CE" w:rsidRPr="008762B1">
        <w:rPr>
          <w:szCs w:val="22"/>
        </w:rPr>
        <w:t>, in tonnes</w:t>
      </w:r>
      <w:r w:rsidR="00F96270" w:rsidRPr="008762B1">
        <w:rPr>
          <w:szCs w:val="22"/>
        </w:rPr>
        <w:t xml:space="preserve"> CO</w:t>
      </w:r>
      <w:r w:rsidR="00F96270" w:rsidRPr="008762B1">
        <w:rPr>
          <w:szCs w:val="22"/>
          <w:vertAlign w:val="subscript"/>
        </w:rPr>
        <w:t>2</w:t>
      </w:r>
      <w:r w:rsidR="008762B1">
        <w:rPr>
          <w:szCs w:val="22"/>
        </w:rPr>
        <w:noBreakHyphen/>
      </w:r>
      <w:r w:rsidR="00F96270" w:rsidRPr="008762B1">
        <w:rPr>
          <w:szCs w:val="22"/>
        </w:rPr>
        <w:t>e, mentioned in subsection</w:t>
      </w:r>
      <w:r w:rsidR="008762B1" w:rsidRPr="008762B1">
        <w:rPr>
          <w:szCs w:val="22"/>
        </w:rPr>
        <w:t> </w:t>
      </w:r>
      <w:r w:rsidR="00F96270" w:rsidRPr="008762B1">
        <w:rPr>
          <w:szCs w:val="22"/>
        </w:rPr>
        <w:t xml:space="preserve">5.22(2) of the </w:t>
      </w:r>
      <w:proofErr w:type="spellStart"/>
      <w:r w:rsidR="00F96270" w:rsidRPr="008762B1">
        <w:rPr>
          <w:szCs w:val="22"/>
        </w:rPr>
        <w:t>NGER</w:t>
      </w:r>
      <w:proofErr w:type="spellEnd"/>
      <w:r w:rsidR="00F96270" w:rsidRPr="008762B1">
        <w:rPr>
          <w:szCs w:val="22"/>
        </w:rPr>
        <w:t xml:space="preserve"> (Measurement) Determination for</w:t>
      </w:r>
      <w:r w:rsidRPr="008762B1">
        <w:rPr>
          <w:szCs w:val="22"/>
        </w:rPr>
        <w:t xml:space="preserve"> greenhouse gas j</w:t>
      </w:r>
      <w:r w:rsidR="00F96270" w:rsidRPr="008762B1">
        <w:rPr>
          <w:szCs w:val="22"/>
        </w:rPr>
        <w:t xml:space="preserve"> and</w:t>
      </w:r>
      <w:r w:rsidR="00C3652C" w:rsidRPr="008762B1">
        <w:rPr>
          <w:szCs w:val="22"/>
        </w:rPr>
        <w:t xml:space="preserve"> the composting process.</w:t>
      </w:r>
    </w:p>
    <w:p w:rsidR="00C3652C" w:rsidRPr="008762B1" w:rsidRDefault="004260EE" w:rsidP="004260EE">
      <w:pPr>
        <w:pStyle w:val="Definition"/>
        <w:rPr>
          <w:szCs w:val="22"/>
        </w:rPr>
      </w:pPr>
      <w:proofErr w:type="spellStart"/>
      <w:r w:rsidRPr="008762B1">
        <w:rPr>
          <w:b/>
          <w:i/>
        </w:rPr>
        <w:t>RE</w:t>
      </w:r>
      <w:r w:rsidR="00B02B85" w:rsidRPr="008762B1">
        <w:rPr>
          <w:b/>
          <w:i/>
          <w:vertAlign w:val="subscript"/>
        </w:rPr>
        <w:t>C</w:t>
      </w:r>
      <w:r w:rsidRPr="008762B1">
        <w:rPr>
          <w:b/>
          <w:i/>
          <w:vertAlign w:val="subscript"/>
        </w:rPr>
        <w:t>ompost</w:t>
      </w:r>
      <w:proofErr w:type="spellEnd"/>
      <w:r w:rsidRPr="008762B1">
        <w:t xml:space="preserve"> </w:t>
      </w:r>
      <w:r w:rsidR="00C3652C" w:rsidRPr="008762B1">
        <w:rPr>
          <w:szCs w:val="22"/>
        </w:rPr>
        <w:t>means:</w:t>
      </w:r>
    </w:p>
    <w:p w:rsidR="00C3652C" w:rsidRPr="008762B1" w:rsidRDefault="00C3652C" w:rsidP="00C3652C">
      <w:pPr>
        <w:pStyle w:val="paragraph"/>
      </w:pPr>
      <w:r w:rsidRPr="008762B1">
        <w:tab/>
        <w:t>(a)</w:t>
      </w:r>
      <w:r w:rsidRPr="008762B1">
        <w:tab/>
      </w:r>
      <w:r w:rsidR="00873974" w:rsidRPr="008762B1">
        <w:t xml:space="preserve">if a </w:t>
      </w:r>
      <w:proofErr w:type="spellStart"/>
      <w:r w:rsidR="00873974" w:rsidRPr="008762B1">
        <w:t>biofilter</w:t>
      </w:r>
      <w:proofErr w:type="spellEnd"/>
      <w:r w:rsidR="00873974" w:rsidRPr="008762B1">
        <w:t xml:space="preserve"> is used to filter emissions from the composting processes before release to the atmosphere</w:t>
      </w:r>
      <w:r w:rsidRPr="008762B1">
        <w:t xml:space="preserve">—10%; </w:t>
      </w:r>
      <w:r w:rsidR="009F5E38" w:rsidRPr="008762B1">
        <w:t>or</w:t>
      </w:r>
    </w:p>
    <w:p w:rsidR="00C3652C" w:rsidRPr="008762B1" w:rsidRDefault="00C3652C" w:rsidP="00C3652C">
      <w:pPr>
        <w:pStyle w:val="paragraph"/>
      </w:pPr>
      <w:r w:rsidRPr="008762B1">
        <w:tab/>
        <w:t>(b)</w:t>
      </w:r>
      <w:r w:rsidRPr="008762B1">
        <w:tab/>
      </w:r>
      <w:r w:rsidR="00873974" w:rsidRPr="008762B1">
        <w:t>otherwise</w:t>
      </w:r>
      <w:r w:rsidRPr="008762B1">
        <w:t>—0.</w:t>
      </w:r>
    </w:p>
    <w:p w:rsidR="00B02B85" w:rsidRPr="008762B1" w:rsidRDefault="00B02B85" w:rsidP="00B02B85">
      <w:pPr>
        <w:pStyle w:val="Definition"/>
        <w:rPr>
          <w:szCs w:val="22"/>
        </w:rPr>
      </w:pPr>
      <w:r w:rsidRPr="008762B1">
        <w:rPr>
          <w:b/>
          <w:i/>
        </w:rPr>
        <w:t>j</w:t>
      </w:r>
      <w:r w:rsidRPr="008762B1">
        <w:t xml:space="preserve"> </w:t>
      </w:r>
      <w:r w:rsidRPr="008762B1">
        <w:rPr>
          <w:szCs w:val="22"/>
        </w:rPr>
        <w:t>means a greenhouse gas type, being methane or nitrous oxide.</w:t>
      </w:r>
    </w:p>
    <w:p w:rsidR="00C3652C" w:rsidRPr="008762B1" w:rsidRDefault="00C3652C" w:rsidP="00C3652C">
      <w:pPr>
        <w:pStyle w:val="SubsectionHead"/>
      </w:pPr>
      <w:r w:rsidRPr="008762B1">
        <w:t>Sub</w:t>
      </w:r>
      <w:r w:rsidR="008762B1">
        <w:noBreakHyphen/>
      </w:r>
      <w:r w:rsidRPr="008762B1">
        <w:t>method 2</w:t>
      </w:r>
    </w:p>
    <w:p w:rsidR="003311B7" w:rsidRPr="008762B1" w:rsidRDefault="000E34FE" w:rsidP="003311B7">
      <w:pPr>
        <w:pStyle w:val="subsection"/>
      </w:pPr>
      <w:r w:rsidRPr="008762B1">
        <w:tab/>
      </w:r>
      <w:r w:rsidR="003311B7" w:rsidRPr="008762B1">
        <w:t>(7)</w:t>
      </w:r>
      <w:r w:rsidR="003311B7" w:rsidRPr="008762B1">
        <w:tab/>
      </w:r>
      <w:r w:rsidR="003311B7" w:rsidRPr="008762B1">
        <w:rPr>
          <w:szCs w:val="22"/>
        </w:rPr>
        <w:t>The emissions from composting processes used during the reporting period, in tonnes CO</w:t>
      </w:r>
      <w:r w:rsidR="003311B7" w:rsidRPr="008762B1">
        <w:rPr>
          <w:szCs w:val="22"/>
          <w:vertAlign w:val="subscript"/>
        </w:rPr>
        <w:t>2</w:t>
      </w:r>
      <w:r w:rsidR="008762B1">
        <w:rPr>
          <w:szCs w:val="22"/>
        </w:rPr>
        <w:noBreakHyphen/>
      </w:r>
      <w:r w:rsidR="003311B7" w:rsidRPr="008762B1">
        <w:rPr>
          <w:szCs w:val="22"/>
        </w:rPr>
        <w:t>e, are worked out using the formula (</w:t>
      </w:r>
      <w:r w:rsidR="0086684F" w:rsidRPr="008762B1">
        <w:rPr>
          <w:b/>
          <w:i/>
          <w:szCs w:val="22"/>
        </w:rPr>
        <w:t>equation 15</w:t>
      </w:r>
      <w:r w:rsidR="003311B7" w:rsidRPr="008762B1">
        <w:rPr>
          <w:szCs w:val="22"/>
        </w:rPr>
        <w:t>):</w:t>
      </w:r>
    </w:p>
    <w:bookmarkStart w:id="62" w:name="BKCheck15B_18"/>
    <w:bookmarkEnd w:id="62"/>
    <w:p w:rsidR="003311B7" w:rsidRPr="008762B1" w:rsidRDefault="003311B7" w:rsidP="003311B7">
      <w:pPr>
        <w:pStyle w:val="subsection2"/>
      </w:pPr>
      <w:r w:rsidRPr="008762B1">
        <w:rPr>
          <w:position w:val="-24"/>
        </w:rPr>
        <w:object w:dxaOrig="3420" w:dyaOrig="680">
          <v:shape id="_x0000_i1039" type="#_x0000_t75" style="width:172.8pt;height:34pt" o:ole="">
            <v:imagedata r:id="rId49" o:title=""/>
          </v:shape>
          <o:OLEObject Type="Embed" ProgID="Equation.DSMT4" ShapeID="_x0000_i1039" DrawAspect="Content" ObjectID="_1483176413" r:id="rId50"/>
        </w:object>
      </w:r>
    </w:p>
    <w:p w:rsidR="000416E5" w:rsidRPr="008762B1" w:rsidRDefault="000416E5" w:rsidP="000416E5">
      <w:pPr>
        <w:pStyle w:val="subsection2"/>
      </w:pPr>
      <w:r w:rsidRPr="008762B1">
        <w:t>where:</w:t>
      </w:r>
    </w:p>
    <w:p w:rsidR="003311B7" w:rsidRPr="008762B1" w:rsidRDefault="003311B7" w:rsidP="000416E5">
      <w:pPr>
        <w:pStyle w:val="Definition"/>
      </w:pPr>
      <w:proofErr w:type="spellStart"/>
      <w:r w:rsidRPr="008762B1">
        <w:rPr>
          <w:b/>
          <w:i/>
        </w:rPr>
        <w:lastRenderedPageBreak/>
        <w:t>E</w:t>
      </w:r>
      <w:r w:rsidRPr="008762B1">
        <w:rPr>
          <w:b/>
          <w:i/>
          <w:vertAlign w:val="subscript"/>
        </w:rPr>
        <w:t>Compost</w:t>
      </w:r>
      <w:proofErr w:type="spellEnd"/>
      <w:r w:rsidRPr="008762B1">
        <w:t xml:space="preserve"> means the emissions from composting processes used during the reporting period, in tonnes CO</w:t>
      </w:r>
      <w:r w:rsidRPr="008762B1">
        <w:rPr>
          <w:vertAlign w:val="subscript"/>
        </w:rPr>
        <w:t>2</w:t>
      </w:r>
      <w:r w:rsidR="008762B1">
        <w:noBreakHyphen/>
      </w:r>
      <w:r w:rsidRPr="008762B1">
        <w:t>e, being methane or nitrous oxide.</w:t>
      </w:r>
    </w:p>
    <w:p w:rsidR="003311B7" w:rsidRPr="008762B1" w:rsidRDefault="003311B7" w:rsidP="003311B7">
      <w:pPr>
        <w:pStyle w:val="Definition"/>
        <w:rPr>
          <w:szCs w:val="22"/>
        </w:rPr>
      </w:pPr>
      <w:proofErr w:type="spellStart"/>
      <w:r w:rsidRPr="008762B1">
        <w:rPr>
          <w:b/>
          <w:i/>
        </w:rPr>
        <w:t>DM</w:t>
      </w:r>
      <w:r w:rsidRPr="008762B1">
        <w:rPr>
          <w:b/>
          <w:i/>
          <w:vertAlign w:val="subscript"/>
        </w:rPr>
        <w:t>Compost,j</w:t>
      </w:r>
      <w:proofErr w:type="spellEnd"/>
      <w:r w:rsidRPr="008762B1">
        <w:t xml:space="preserve"> </w:t>
      </w:r>
      <w:r w:rsidRPr="008762B1">
        <w:rPr>
          <w:szCs w:val="22"/>
        </w:rPr>
        <w:t>means the direct measurement emissions from composting processes used during the reporting period, in tonnes CO</w:t>
      </w:r>
      <w:r w:rsidRPr="008762B1">
        <w:rPr>
          <w:szCs w:val="22"/>
          <w:vertAlign w:val="subscript"/>
        </w:rPr>
        <w:t>2</w:t>
      </w:r>
      <w:r w:rsidR="008762B1">
        <w:rPr>
          <w:szCs w:val="22"/>
        </w:rPr>
        <w:noBreakHyphen/>
      </w:r>
      <w:r w:rsidRPr="008762B1">
        <w:rPr>
          <w:szCs w:val="22"/>
        </w:rPr>
        <w:t xml:space="preserve">e, worked out in accordance with </w:t>
      </w:r>
      <w:r w:rsidR="00761530" w:rsidRPr="008762B1">
        <w:rPr>
          <w:szCs w:val="22"/>
        </w:rPr>
        <w:t>the monitoring requirements</w:t>
      </w:r>
      <w:r w:rsidRPr="008762B1">
        <w:rPr>
          <w:szCs w:val="22"/>
        </w:rPr>
        <w:t>.</w:t>
      </w:r>
    </w:p>
    <w:p w:rsidR="003311B7" w:rsidRPr="008762B1" w:rsidRDefault="003311B7" w:rsidP="003311B7">
      <w:pPr>
        <w:pStyle w:val="Definition"/>
        <w:rPr>
          <w:szCs w:val="22"/>
        </w:rPr>
      </w:pPr>
      <w:proofErr w:type="spellStart"/>
      <w:r w:rsidRPr="008762B1">
        <w:rPr>
          <w:b/>
          <w:i/>
        </w:rPr>
        <w:t>RE</w:t>
      </w:r>
      <w:r w:rsidRPr="008762B1">
        <w:rPr>
          <w:b/>
          <w:i/>
          <w:vertAlign w:val="subscript"/>
        </w:rPr>
        <w:t>Compost</w:t>
      </w:r>
      <w:proofErr w:type="spellEnd"/>
      <w:r w:rsidRPr="008762B1">
        <w:t xml:space="preserve"> </w:t>
      </w:r>
      <w:r w:rsidRPr="008762B1">
        <w:rPr>
          <w:szCs w:val="22"/>
        </w:rPr>
        <w:t>means:</w:t>
      </w:r>
    </w:p>
    <w:p w:rsidR="003311B7" w:rsidRPr="008762B1" w:rsidRDefault="003311B7" w:rsidP="003311B7">
      <w:pPr>
        <w:pStyle w:val="paragraph"/>
      </w:pPr>
      <w:r w:rsidRPr="008762B1">
        <w:tab/>
        <w:t>(a)</w:t>
      </w:r>
      <w:r w:rsidRPr="008762B1">
        <w:tab/>
        <w:t xml:space="preserve">if a </w:t>
      </w:r>
      <w:proofErr w:type="spellStart"/>
      <w:r w:rsidRPr="008762B1">
        <w:t>biofilter</w:t>
      </w:r>
      <w:proofErr w:type="spellEnd"/>
      <w:r w:rsidRPr="008762B1">
        <w:t xml:space="preserve"> is used to filter emissions from the composting processes before release to the atmosphere—10%; or</w:t>
      </w:r>
    </w:p>
    <w:p w:rsidR="003311B7" w:rsidRPr="008762B1" w:rsidRDefault="003311B7" w:rsidP="003311B7">
      <w:pPr>
        <w:pStyle w:val="paragraph"/>
      </w:pPr>
      <w:r w:rsidRPr="008762B1">
        <w:tab/>
        <w:t>(b)</w:t>
      </w:r>
      <w:r w:rsidRPr="008762B1">
        <w:tab/>
        <w:t>otherwise—0.</w:t>
      </w:r>
    </w:p>
    <w:p w:rsidR="003311B7" w:rsidRPr="008762B1" w:rsidRDefault="003311B7" w:rsidP="003311B7">
      <w:pPr>
        <w:pStyle w:val="Definition"/>
        <w:rPr>
          <w:szCs w:val="22"/>
        </w:rPr>
      </w:pPr>
      <w:r w:rsidRPr="008762B1">
        <w:rPr>
          <w:b/>
          <w:i/>
        </w:rPr>
        <w:t>j</w:t>
      </w:r>
      <w:r w:rsidRPr="008762B1">
        <w:t xml:space="preserve"> </w:t>
      </w:r>
      <w:r w:rsidRPr="008762B1">
        <w:rPr>
          <w:szCs w:val="22"/>
        </w:rPr>
        <w:t>means a greenhouse gas type, being methane or nitrous oxide.</w:t>
      </w:r>
    </w:p>
    <w:p w:rsidR="004260EE" w:rsidRPr="008762B1" w:rsidRDefault="004E7255" w:rsidP="003311B7">
      <w:pPr>
        <w:pStyle w:val="ActHead5"/>
      </w:pPr>
      <w:bookmarkStart w:id="63" w:name="_Toc407103348"/>
      <w:r w:rsidRPr="008762B1">
        <w:rPr>
          <w:rStyle w:val="CharSectno"/>
        </w:rPr>
        <w:t>35</w:t>
      </w:r>
      <w:r w:rsidR="00742B51" w:rsidRPr="008762B1">
        <w:t xml:space="preserve">  Emissions from </w:t>
      </w:r>
      <w:r w:rsidR="00452F22" w:rsidRPr="008762B1">
        <w:t xml:space="preserve">anaerobic </w:t>
      </w:r>
      <w:r w:rsidR="00742B51" w:rsidRPr="008762B1">
        <w:t>digesters</w:t>
      </w:r>
      <w:bookmarkEnd w:id="63"/>
    </w:p>
    <w:p w:rsidR="00742B51" w:rsidRPr="008762B1" w:rsidRDefault="00742B51" w:rsidP="00742B51">
      <w:pPr>
        <w:pStyle w:val="subsection"/>
      </w:pPr>
      <w:r w:rsidRPr="008762B1">
        <w:tab/>
      </w:r>
      <w:r w:rsidRPr="008762B1">
        <w:tab/>
        <w:t>T</w:t>
      </w:r>
      <w:r w:rsidRPr="008762B1">
        <w:rPr>
          <w:szCs w:val="22"/>
        </w:rPr>
        <w:t xml:space="preserve">he </w:t>
      </w:r>
      <w:r w:rsidRPr="008762B1">
        <w:rPr>
          <w:bCs/>
          <w:szCs w:val="22"/>
        </w:rPr>
        <w:t>emissions</w:t>
      </w:r>
      <w:r w:rsidRPr="008762B1">
        <w:rPr>
          <w:szCs w:val="22"/>
        </w:rPr>
        <w:t xml:space="preserve"> from </w:t>
      </w:r>
      <w:r w:rsidR="002C1B5E" w:rsidRPr="008762B1">
        <w:rPr>
          <w:szCs w:val="22"/>
        </w:rPr>
        <w:t xml:space="preserve">an </w:t>
      </w:r>
      <w:r w:rsidR="00452F22" w:rsidRPr="008762B1">
        <w:rPr>
          <w:color w:val="000000" w:themeColor="text1"/>
          <w:szCs w:val="22"/>
        </w:rPr>
        <w:t xml:space="preserve">anaerobic </w:t>
      </w:r>
      <w:r w:rsidR="002C1B5E" w:rsidRPr="008762B1">
        <w:rPr>
          <w:color w:val="000000" w:themeColor="text1"/>
          <w:szCs w:val="22"/>
        </w:rPr>
        <w:t>digester</w:t>
      </w:r>
      <w:r w:rsidRPr="008762B1">
        <w:rPr>
          <w:color w:val="000000" w:themeColor="text1"/>
          <w:szCs w:val="22"/>
        </w:rPr>
        <w:t xml:space="preserve"> used </w:t>
      </w:r>
      <w:r w:rsidRPr="008762B1">
        <w:rPr>
          <w:szCs w:val="22"/>
        </w:rPr>
        <w:t>during a reporting period</w:t>
      </w:r>
      <w:r w:rsidR="00694477" w:rsidRPr="008762B1">
        <w:rPr>
          <w:bCs/>
          <w:szCs w:val="22"/>
        </w:rPr>
        <w:t>,</w:t>
      </w:r>
      <w:r w:rsidR="00694477" w:rsidRPr="008762B1">
        <w:rPr>
          <w:szCs w:val="22"/>
        </w:rPr>
        <w:t xml:space="preserve"> in tonnes CO</w:t>
      </w:r>
      <w:r w:rsidR="00694477" w:rsidRPr="008762B1">
        <w:rPr>
          <w:szCs w:val="22"/>
          <w:vertAlign w:val="subscript"/>
        </w:rPr>
        <w:t>2</w:t>
      </w:r>
      <w:r w:rsidR="008762B1">
        <w:rPr>
          <w:szCs w:val="22"/>
        </w:rPr>
        <w:noBreakHyphen/>
      </w:r>
      <w:r w:rsidR="00694477" w:rsidRPr="008762B1">
        <w:rPr>
          <w:szCs w:val="22"/>
        </w:rPr>
        <w:t>e,</w:t>
      </w:r>
      <w:r w:rsidRPr="008762B1">
        <w:rPr>
          <w:szCs w:val="22"/>
        </w:rPr>
        <w:t xml:space="preserve"> are worked out using the formula (</w:t>
      </w:r>
      <w:r w:rsidR="0086684F" w:rsidRPr="008762B1">
        <w:rPr>
          <w:b/>
          <w:i/>
          <w:szCs w:val="22"/>
        </w:rPr>
        <w:t>equation 16</w:t>
      </w:r>
      <w:r w:rsidRPr="008762B1">
        <w:rPr>
          <w:szCs w:val="22"/>
        </w:rPr>
        <w:t>):</w:t>
      </w:r>
    </w:p>
    <w:bookmarkStart w:id="64" w:name="BKCheck15B_19"/>
    <w:bookmarkEnd w:id="64"/>
    <w:p w:rsidR="004260EE" w:rsidRPr="008762B1" w:rsidRDefault="00FD3CC9" w:rsidP="00F64F6C">
      <w:pPr>
        <w:pStyle w:val="subsection2"/>
      </w:pPr>
      <w:r w:rsidRPr="008762B1">
        <w:rPr>
          <w:position w:val="-50"/>
        </w:rPr>
        <w:object w:dxaOrig="4459" w:dyaOrig="1100">
          <v:shape id="_x0000_i1040" type="#_x0000_t75" style="width:222.35pt;height:55.3pt" o:ole="">
            <v:imagedata r:id="rId51" o:title=""/>
          </v:shape>
          <o:OLEObject Type="Embed" ProgID="Equation.DSMT4" ShapeID="_x0000_i1040" DrawAspect="Content" ObjectID="_1483176414" r:id="rId52"/>
        </w:object>
      </w:r>
    </w:p>
    <w:p w:rsidR="004260EE" w:rsidRPr="008762B1" w:rsidRDefault="00742B51" w:rsidP="004260EE">
      <w:pPr>
        <w:pStyle w:val="subsection2"/>
      </w:pPr>
      <w:r w:rsidRPr="008762B1">
        <w:t>w</w:t>
      </w:r>
      <w:r w:rsidR="004260EE" w:rsidRPr="008762B1">
        <w:t>here:</w:t>
      </w:r>
    </w:p>
    <w:p w:rsidR="00BA0923" w:rsidRPr="008762B1" w:rsidRDefault="00BA0923" w:rsidP="00BA0923">
      <w:pPr>
        <w:pStyle w:val="Definition"/>
        <w:rPr>
          <w:szCs w:val="22"/>
        </w:rPr>
      </w:pPr>
      <w:proofErr w:type="spellStart"/>
      <w:r w:rsidRPr="008762B1">
        <w:rPr>
          <w:b/>
          <w:i/>
        </w:rPr>
        <w:t>E</w:t>
      </w:r>
      <w:r w:rsidR="00B623D0" w:rsidRPr="008762B1">
        <w:rPr>
          <w:b/>
          <w:i/>
          <w:vertAlign w:val="subscript"/>
        </w:rPr>
        <w:t>AD</w:t>
      </w:r>
      <w:proofErr w:type="spellEnd"/>
      <w:r w:rsidRPr="008762B1">
        <w:t xml:space="preserve"> means the </w:t>
      </w:r>
      <w:r w:rsidRPr="008762B1">
        <w:rPr>
          <w:bCs/>
          <w:szCs w:val="22"/>
        </w:rPr>
        <w:t>emissions</w:t>
      </w:r>
      <w:r w:rsidRPr="008762B1">
        <w:rPr>
          <w:szCs w:val="22"/>
        </w:rPr>
        <w:t xml:space="preserve"> from an </w:t>
      </w:r>
      <w:r w:rsidR="00452F22" w:rsidRPr="008762B1">
        <w:rPr>
          <w:color w:val="000000" w:themeColor="text1"/>
          <w:szCs w:val="22"/>
        </w:rPr>
        <w:t xml:space="preserve">anaerobic </w:t>
      </w:r>
      <w:r w:rsidRPr="008762B1">
        <w:rPr>
          <w:color w:val="000000" w:themeColor="text1"/>
          <w:szCs w:val="22"/>
        </w:rPr>
        <w:t xml:space="preserve">digester used </w:t>
      </w:r>
      <w:r w:rsidR="00397517" w:rsidRPr="008762B1">
        <w:rPr>
          <w:szCs w:val="22"/>
        </w:rPr>
        <w:t xml:space="preserve">during </w:t>
      </w:r>
      <w:r w:rsidRPr="008762B1">
        <w:rPr>
          <w:szCs w:val="22"/>
        </w:rPr>
        <w:t>the reporting period</w:t>
      </w:r>
      <w:r w:rsidR="00694477" w:rsidRPr="008762B1">
        <w:rPr>
          <w:bCs/>
          <w:szCs w:val="22"/>
        </w:rPr>
        <w:t>,</w:t>
      </w:r>
      <w:r w:rsidR="00694477" w:rsidRPr="008762B1">
        <w:rPr>
          <w:szCs w:val="22"/>
        </w:rPr>
        <w:t xml:space="preserve"> in tonnes CO</w:t>
      </w:r>
      <w:r w:rsidR="00694477" w:rsidRPr="008762B1">
        <w:rPr>
          <w:szCs w:val="22"/>
          <w:vertAlign w:val="subscript"/>
        </w:rPr>
        <w:t>2</w:t>
      </w:r>
      <w:r w:rsidR="008762B1">
        <w:rPr>
          <w:szCs w:val="22"/>
        </w:rPr>
        <w:noBreakHyphen/>
      </w:r>
      <w:r w:rsidR="00694477" w:rsidRPr="008762B1">
        <w:rPr>
          <w:szCs w:val="22"/>
        </w:rPr>
        <w:t>e</w:t>
      </w:r>
      <w:r w:rsidRPr="008762B1">
        <w:rPr>
          <w:szCs w:val="22"/>
        </w:rPr>
        <w:t>.</w:t>
      </w:r>
    </w:p>
    <w:p w:rsidR="004260EE" w:rsidRPr="008762B1" w:rsidRDefault="004260EE" w:rsidP="004260EE">
      <w:pPr>
        <w:pStyle w:val="Definition"/>
      </w:pPr>
      <w:r w:rsidRPr="008762B1">
        <w:rPr>
          <w:b/>
          <w:i/>
        </w:rPr>
        <w:t>γ</w:t>
      </w:r>
      <w:r w:rsidRPr="008762B1">
        <w:t xml:space="preserve"> </w:t>
      </w:r>
      <w:r w:rsidR="00742B51" w:rsidRPr="008762B1">
        <w:t xml:space="preserve">means the </w:t>
      </w:r>
      <w:r w:rsidRPr="008762B1">
        <w:t>factor</w:t>
      </w:r>
      <w:r w:rsidR="000B464B" w:rsidRPr="008762B1">
        <w:t>,</w:t>
      </w:r>
      <w:r w:rsidRPr="008762B1">
        <w:t xml:space="preserve"> </w:t>
      </w:r>
      <w:r w:rsidR="000B464B" w:rsidRPr="008762B1">
        <w:t>mentioned in subsection</w:t>
      </w:r>
      <w:r w:rsidR="008762B1" w:rsidRPr="008762B1">
        <w:t> </w:t>
      </w:r>
      <w:r w:rsidR="000B464B" w:rsidRPr="008762B1">
        <w:t xml:space="preserve">5.4(1) of the </w:t>
      </w:r>
      <w:proofErr w:type="spellStart"/>
      <w:r w:rsidR="000B464B" w:rsidRPr="008762B1">
        <w:t>NGER</w:t>
      </w:r>
      <w:proofErr w:type="spellEnd"/>
      <w:r w:rsidR="000B464B" w:rsidRPr="008762B1">
        <w:t xml:space="preserve"> (Measurement) Determination, that </w:t>
      </w:r>
      <w:r w:rsidR="00AC7C65" w:rsidRPr="008762B1">
        <w:t>convert</w:t>
      </w:r>
      <w:r w:rsidR="000B464B" w:rsidRPr="008762B1">
        <w:t>s</w:t>
      </w:r>
      <w:r w:rsidRPr="008762B1">
        <w:t xml:space="preserve"> cubi</w:t>
      </w:r>
      <w:r w:rsidR="001C55CE" w:rsidRPr="008762B1">
        <w:t>c metres of methane to tonnes</w:t>
      </w:r>
      <w:r w:rsidRPr="008762B1">
        <w:t xml:space="preserve"> </w:t>
      </w:r>
      <w:r w:rsidR="00742B51" w:rsidRPr="008762B1">
        <w:rPr>
          <w:szCs w:val="22"/>
        </w:rPr>
        <w:t>CO</w:t>
      </w:r>
      <w:r w:rsidR="00742B51" w:rsidRPr="008762B1">
        <w:rPr>
          <w:szCs w:val="22"/>
          <w:vertAlign w:val="subscript"/>
        </w:rPr>
        <w:t>2</w:t>
      </w:r>
      <w:r w:rsidR="008762B1">
        <w:rPr>
          <w:szCs w:val="22"/>
        </w:rPr>
        <w:noBreakHyphen/>
      </w:r>
      <w:r w:rsidR="00742B51" w:rsidRPr="008762B1">
        <w:rPr>
          <w:szCs w:val="22"/>
        </w:rPr>
        <w:t>e</w:t>
      </w:r>
      <w:r w:rsidR="000B464B" w:rsidRPr="008762B1">
        <w:t xml:space="preserve"> at standard conditions</w:t>
      </w:r>
      <w:r w:rsidR="00AC7C65" w:rsidRPr="008762B1">
        <w:t>.</w:t>
      </w:r>
    </w:p>
    <w:p w:rsidR="004260EE" w:rsidRPr="008762B1" w:rsidRDefault="004260EE" w:rsidP="004260EE">
      <w:pPr>
        <w:pStyle w:val="Definition"/>
      </w:pPr>
      <w:r w:rsidRPr="008762B1">
        <w:rPr>
          <w:b/>
          <w:i/>
        </w:rPr>
        <w:t>CE</w:t>
      </w:r>
      <w:r w:rsidRPr="008762B1">
        <w:t xml:space="preserve"> </w:t>
      </w:r>
      <w:r w:rsidR="00AC7C65" w:rsidRPr="008762B1">
        <w:t xml:space="preserve">means 0.98, being the </w:t>
      </w:r>
      <w:r w:rsidRPr="008762B1">
        <w:t xml:space="preserve">biogas collection efficiency of </w:t>
      </w:r>
      <w:r w:rsidR="00AC7C65" w:rsidRPr="008762B1">
        <w:t>a</w:t>
      </w:r>
      <w:r w:rsidR="008A491E" w:rsidRPr="008762B1">
        <w:t>n</w:t>
      </w:r>
      <w:r w:rsidR="00AC7C65" w:rsidRPr="008762B1">
        <w:t xml:space="preserve"> </w:t>
      </w:r>
      <w:r w:rsidR="00452F22" w:rsidRPr="008762B1">
        <w:t xml:space="preserve">anaerobic </w:t>
      </w:r>
      <w:r w:rsidR="00AC7C65" w:rsidRPr="008762B1">
        <w:t>digester.</w:t>
      </w:r>
    </w:p>
    <w:p w:rsidR="004260EE" w:rsidRPr="008762B1" w:rsidRDefault="004260EE" w:rsidP="004260EE">
      <w:pPr>
        <w:pStyle w:val="Definition"/>
      </w:pPr>
      <w:proofErr w:type="spellStart"/>
      <w:r w:rsidRPr="008762B1">
        <w:rPr>
          <w:b/>
          <w:i/>
        </w:rPr>
        <w:t>M</w:t>
      </w:r>
      <w:r w:rsidR="00A6261B" w:rsidRPr="008762B1">
        <w:rPr>
          <w:b/>
          <w:i/>
          <w:vertAlign w:val="subscript"/>
        </w:rPr>
        <w:t>S</w:t>
      </w:r>
      <w:r w:rsidRPr="008762B1">
        <w:rPr>
          <w:b/>
          <w:i/>
          <w:vertAlign w:val="subscript"/>
        </w:rPr>
        <w:t>ent,h</w:t>
      </w:r>
      <w:proofErr w:type="spellEnd"/>
      <w:r w:rsidRPr="008762B1">
        <w:t xml:space="preserve"> </w:t>
      </w:r>
      <w:r w:rsidR="00AC7C65" w:rsidRPr="008762B1">
        <w:t xml:space="preserve">means the </w:t>
      </w:r>
      <w:r w:rsidRPr="008762B1">
        <w:t>volume of methane sent to combustion device h</w:t>
      </w:r>
      <w:r w:rsidR="005A0238" w:rsidRPr="008762B1">
        <w:t>,</w:t>
      </w:r>
      <w:r w:rsidR="00694477" w:rsidRPr="008762B1">
        <w:t xml:space="preserve"> in cubic metres,</w:t>
      </w:r>
      <w:r w:rsidR="005A0238" w:rsidRPr="008762B1">
        <w:t xml:space="preserve"> worked out in accordance with section</w:t>
      </w:r>
      <w:r w:rsidR="008762B1" w:rsidRPr="008762B1">
        <w:t> </w:t>
      </w:r>
      <w:r w:rsidR="004E7255" w:rsidRPr="008762B1">
        <w:t>36</w:t>
      </w:r>
      <w:r w:rsidR="005A0238" w:rsidRPr="008762B1">
        <w:t>.</w:t>
      </w:r>
    </w:p>
    <w:p w:rsidR="004260EE" w:rsidRPr="008762B1" w:rsidRDefault="004260EE" w:rsidP="004260EE">
      <w:pPr>
        <w:pStyle w:val="Definition"/>
        <w:rPr>
          <w:color w:val="000000" w:themeColor="text1"/>
          <w:szCs w:val="22"/>
        </w:rPr>
      </w:pPr>
      <w:proofErr w:type="spellStart"/>
      <w:r w:rsidRPr="008762B1">
        <w:rPr>
          <w:b/>
          <w:i/>
        </w:rPr>
        <w:t>M</w:t>
      </w:r>
      <w:r w:rsidR="00A6261B" w:rsidRPr="008762B1">
        <w:rPr>
          <w:b/>
          <w:i/>
          <w:vertAlign w:val="subscript"/>
        </w:rPr>
        <w:t>V</w:t>
      </w:r>
      <w:r w:rsidRPr="008762B1">
        <w:rPr>
          <w:b/>
          <w:i/>
          <w:vertAlign w:val="subscript"/>
        </w:rPr>
        <w:t>ent,q</w:t>
      </w:r>
      <w:proofErr w:type="spellEnd"/>
      <w:r w:rsidR="005A0238" w:rsidRPr="008762B1">
        <w:rPr>
          <w:b/>
          <w:i/>
        </w:rPr>
        <w:t xml:space="preserve"> </w:t>
      </w:r>
      <w:r w:rsidR="005A0238" w:rsidRPr="008762B1">
        <w:t xml:space="preserve">means the </w:t>
      </w:r>
      <w:r w:rsidR="00F74490" w:rsidRPr="008762B1">
        <w:t>volume</w:t>
      </w:r>
      <w:r w:rsidRPr="008762B1">
        <w:t xml:space="preserve"> </w:t>
      </w:r>
      <w:r w:rsidR="00F74490" w:rsidRPr="008762B1">
        <w:t xml:space="preserve">of methane </w:t>
      </w:r>
      <w:r w:rsidRPr="008762B1">
        <w:t>vented due to major venting event</w:t>
      </w:r>
      <w:r w:rsidR="005A0238" w:rsidRPr="008762B1">
        <w:t xml:space="preserve"> q</w:t>
      </w:r>
      <w:r w:rsidR="00D93281" w:rsidRPr="008762B1">
        <w:t>,</w:t>
      </w:r>
      <w:r w:rsidR="00694477" w:rsidRPr="008762B1">
        <w:t xml:space="preserve"> in cubic metres,</w:t>
      </w:r>
      <w:r w:rsidR="0086684F" w:rsidRPr="008762B1">
        <w:t xml:space="preserve"> worked out using equation 19</w:t>
      </w:r>
      <w:r w:rsidR="00CB23FE" w:rsidRPr="008762B1">
        <w:rPr>
          <w:color w:val="000000" w:themeColor="text1"/>
          <w:szCs w:val="22"/>
        </w:rPr>
        <w:t>.</w:t>
      </w:r>
    </w:p>
    <w:p w:rsidR="00A6261B" w:rsidRPr="008762B1" w:rsidRDefault="00A6261B" w:rsidP="00A6261B">
      <w:pPr>
        <w:pStyle w:val="Definition"/>
      </w:pPr>
      <w:r w:rsidRPr="008762B1">
        <w:rPr>
          <w:b/>
          <w:i/>
        </w:rPr>
        <w:t>h</w:t>
      </w:r>
      <w:r w:rsidRPr="008762B1">
        <w:rPr>
          <w:szCs w:val="22"/>
        </w:rPr>
        <w:t xml:space="preserve"> means a combustion device used during the reporting period.</w:t>
      </w:r>
    </w:p>
    <w:p w:rsidR="00A6261B" w:rsidRPr="008762B1" w:rsidRDefault="00A6261B" w:rsidP="00A6261B">
      <w:pPr>
        <w:pStyle w:val="Definition"/>
      </w:pPr>
      <w:r w:rsidRPr="008762B1">
        <w:rPr>
          <w:b/>
          <w:i/>
        </w:rPr>
        <w:t>q</w:t>
      </w:r>
      <w:r w:rsidRPr="008762B1">
        <w:t xml:space="preserve"> means a major venting event </w:t>
      </w:r>
      <w:r w:rsidRPr="008762B1">
        <w:rPr>
          <w:szCs w:val="22"/>
        </w:rPr>
        <w:t xml:space="preserve">associated with the </w:t>
      </w:r>
      <w:r w:rsidRPr="008762B1">
        <w:rPr>
          <w:color w:val="000000" w:themeColor="text1"/>
          <w:szCs w:val="22"/>
        </w:rPr>
        <w:t>anaerobic digester</w:t>
      </w:r>
      <w:r w:rsidRPr="008762B1">
        <w:t>.</w:t>
      </w:r>
    </w:p>
    <w:p w:rsidR="0028703B" w:rsidRPr="008762B1" w:rsidRDefault="004E7255" w:rsidP="0028703B">
      <w:pPr>
        <w:pStyle w:val="ActHead5"/>
      </w:pPr>
      <w:bookmarkStart w:id="65" w:name="_Toc407103349"/>
      <w:r w:rsidRPr="008762B1">
        <w:rPr>
          <w:rStyle w:val="CharSectno"/>
        </w:rPr>
        <w:t>36</w:t>
      </w:r>
      <w:r w:rsidR="000B464B" w:rsidRPr="008762B1">
        <w:t xml:space="preserve">  Volume of m</w:t>
      </w:r>
      <w:r w:rsidR="0028703B" w:rsidRPr="008762B1">
        <w:t xml:space="preserve">ethane sent to </w:t>
      </w:r>
      <w:r w:rsidR="000B464B" w:rsidRPr="008762B1">
        <w:t>a combustion device</w:t>
      </w:r>
      <w:bookmarkEnd w:id="65"/>
    </w:p>
    <w:p w:rsidR="004260EE" w:rsidRPr="008762B1" w:rsidRDefault="0028703B" w:rsidP="0028703B">
      <w:pPr>
        <w:pStyle w:val="subsection"/>
        <w:rPr>
          <w:szCs w:val="22"/>
        </w:rPr>
      </w:pPr>
      <w:r w:rsidRPr="008762B1">
        <w:rPr>
          <w:rFonts w:eastAsiaTheme="minorEastAsia"/>
        </w:rPr>
        <w:tab/>
        <w:t>(1)</w:t>
      </w:r>
      <w:r w:rsidRPr="008762B1">
        <w:rPr>
          <w:rFonts w:eastAsiaTheme="minorEastAsia"/>
        </w:rPr>
        <w:tab/>
      </w:r>
      <w:r w:rsidRPr="008762B1">
        <w:t xml:space="preserve">The volume of methane sent to a combustion device </w:t>
      </w:r>
      <w:r w:rsidR="00397517" w:rsidRPr="008762B1">
        <w:rPr>
          <w:szCs w:val="22"/>
        </w:rPr>
        <w:t>during a reporting period</w:t>
      </w:r>
      <w:r w:rsidR="00694477" w:rsidRPr="008762B1">
        <w:t>, in cubic metres,</w:t>
      </w:r>
      <w:r w:rsidRPr="008762B1">
        <w:rPr>
          <w:szCs w:val="22"/>
        </w:rPr>
        <w:t xml:space="preserve"> is worked </w:t>
      </w:r>
      <w:r w:rsidR="00BE2099" w:rsidRPr="008762B1">
        <w:rPr>
          <w:szCs w:val="22"/>
        </w:rPr>
        <w:t>out</w:t>
      </w:r>
      <w:r w:rsidR="001F1F4F" w:rsidRPr="008762B1">
        <w:rPr>
          <w:szCs w:val="22"/>
        </w:rPr>
        <w:t xml:space="preserve"> using</w:t>
      </w:r>
      <w:r w:rsidRPr="008762B1">
        <w:rPr>
          <w:szCs w:val="22"/>
        </w:rPr>
        <w:t>:</w:t>
      </w:r>
    </w:p>
    <w:p w:rsidR="0028703B" w:rsidRPr="008762B1" w:rsidRDefault="0028703B" w:rsidP="0028703B">
      <w:pPr>
        <w:pStyle w:val="paragraph"/>
      </w:pPr>
      <w:r w:rsidRPr="008762B1">
        <w:tab/>
        <w:t>(a)</w:t>
      </w:r>
      <w:r w:rsidRPr="008762B1">
        <w:tab/>
      </w:r>
      <w:r w:rsidR="00BE2099" w:rsidRPr="008762B1">
        <w:t>for a</w:t>
      </w:r>
      <w:r w:rsidRPr="008762B1">
        <w:t xml:space="preserve"> combustion device </w:t>
      </w:r>
      <w:r w:rsidR="00BE2099" w:rsidRPr="008762B1">
        <w:t xml:space="preserve">that </w:t>
      </w:r>
      <w:r w:rsidR="009130C5" w:rsidRPr="008762B1">
        <w:t xml:space="preserve">is not an internal combustion </w:t>
      </w:r>
      <w:r w:rsidR="007E584D" w:rsidRPr="008762B1">
        <w:t>engine</w:t>
      </w:r>
      <w:r w:rsidR="00BE2099" w:rsidRPr="008762B1">
        <w:t>—sub</w:t>
      </w:r>
      <w:r w:rsidR="008762B1">
        <w:noBreakHyphen/>
      </w:r>
      <w:r w:rsidR="00BE2099" w:rsidRPr="008762B1">
        <w:t xml:space="preserve">method 1 (see </w:t>
      </w:r>
      <w:r w:rsidR="008762B1" w:rsidRPr="008762B1">
        <w:t>subsection (</w:t>
      </w:r>
      <w:r w:rsidR="00BE2099" w:rsidRPr="008762B1">
        <w:t>2)); or</w:t>
      </w:r>
    </w:p>
    <w:p w:rsidR="001F1F4F" w:rsidRPr="008762B1" w:rsidRDefault="00BE2099" w:rsidP="0028703B">
      <w:pPr>
        <w:pStyle w:val="paragraph"/>
      </w:pPr>
      <w:r w:rsidRPr="008762B1">
        <w:tab/>
        <w:t>(b)</w:t>
      </w:r>
      <w:r w:rsidRPr="008762B1">
        <w:tab/>
        <w:t>for a combustion device that is an internal combustion engine—either</w:t>
      </w:r>
      <w:r w:rsidR="001F1F4F" w:rsidRPr="008762B1">
        <w:t>:</w:t>
      </w:r>
    </w:p>
    <w:p w:rsidR="001F1F4F" w:rsidRPr="008762B1" w:rsidRDefault="001F1F4F" w:rsidP="001F1F4F">
      <w:pPr>
        <w:pStyle w:val="paragraphsub"/>
      </w:pPr>
      <w:r w:rsidRPr="008762B1">
        <w:tab/>
        <w:t>(</w:t>
      </w:r>
      <w:proofErr w:type="spellStart"/>
      <w:r w:rsidRPr="008762B1">
        <w:t>i</w:t>
      </w:r>
      <w:proofErr w:type="spellEnd"/>
      <w:r w:rsidRPr="008762B1">
        <w:t>)</w:t>
      </w:r>
      <w:r w:rsidRPr="008762B1">
        <w:tab/>
        <w:t>sub</w:t>
      </w:r>
      <w:r w:rsidR="008762B1">
        <w:noBreakHyphen/>
      </w:r>
      <w:r w:rsidRPr="008762B1">
        <w:t xml:space="preserve">method 1 (see </w:t>
      </w:r>
      <w:r w:rsidR="008762B1" w:rsidRPr="008762B1">
        <w:t>subsection (</w:t>
      </w:r>
      <w:r w:rsidRPr="008762B1">
        <w:t>2)); or</w:t>
      </w:r>
    </w:p>
    <w:p w:rsidR="00BE2099" w:rsidRPr="008762B1" w:rsidRDefault="001F1F4F" w:rsidP="001F1F4F">
      <w:pPr>
        <w:pStyle w:val="paragraphsub"/>
      </w:pPr>
      <w:r w:rsidRPr="008762B1">
        <w:tab/>
        <w:t>(ii)</w:t>
      </w:r>
      <w:r w:rsidRPr="008762B1">
        <w:tab/>
        <w:t>sub</w:t>
      </w:r>
      <w:r w:rsidR="008762B1">
        <w:noBreakHyphen/>
      </w:r>
      <w:r w:rsidRPr="008762B1">
        <w:t xml:space="preserve">method 2 (see </w:t>
      </w:r>
      <w:r w:rsidR="008762B1" w:rsidRPr="008762B1">
        <w:t>subsection (</w:t>
      </w:r>
      <w:r w:rsidRPr="008762B1">
        <w:t>3))</w:t>
      </w:r>
      <w:r w:rsidR="00BE2099" w:rsidRPr="008762B1">
        <w:t>.</w:t>
      </w:r>
    </w:p>
    <w:p w:rsidR="001F1F4F" w:rsidRPr="008762B1" w:rsidRDefault="001F1F4F" w:rsidP="001F1F4F">
      <w:pPr>
        <w:pStyle w:val="notetext"/>
      </w:pPr>
      <w:r w:rsidRPr="008762B1">
        <w:lastRenderedPageBreak/>
        <w:t>Note:</w:t>
      </w:r>
      <w:r w:rsidRPr="008762B1">
        <w:tab/>
        <w:t>Sub</w:t>
      </w:r>
      <w:r w:rsidR="008762B1">
        <w:noBreakHyphen/>
      </w:r>
      <w:r w:rsidRPr="008762B1">
        <w:t xml:space="preserve">method 1 </w:t>
      </w:r>
      <w:r w:rsidR="000302D4" w:rsidRPr="008762B1">
        <w:t>uses</w:t>
      </w:r>
      <w:r w:rsidRPr="008762B1">
        <w:t xml:space="preserve"> the volume of biogas sent to a com</w:t>
      </w:r>
      <w:r w:rsidR="000302D4" w:rsidRPr="008762B1">
        <w:t>bustion device and sub</w:t>
      </w:r>
      <w:r w:rsidR="008762B1">
        <w:noBreakHyphen/>
      </w:r>
      <w:r w:rsidR="000302D4" w:rsidRPr="008762B1">
        <w:t>method 2 uses the electricity produced by an internal combustion engine.</w:t>
      </w:r>
    </w:p>
    <w:p w:rsidR="0028703B" w:rsidRPr="008762B1" w:rsidRDefault="001F1F4F" w:rsidP="00BE2099">
      <w:pPr>
        <w:pStyle w:val="SubsectionHead"/>
      </w:pPr>
      <w:r w:rsidRPr="008762B1">
        <w:t>Sub</w:t>
      </w:r>
      <w:r w:rsidR="008762B1">
        <w:noBreakHyphen/>
      </w:r>
      <w:r w:rsidRPr="008762B1">
        <w:t>method 1</w:t>
      </w:r>
    </w:p>
    <w:p w:rsidR="00BE2099" w:rsidRPr="008762B1" w:rsidRDefault="00BE2099" w:rsidP="00BE2099">
      <w:pPr>
        <w:pStyle w:val="subsection"/>
      </w:pPr>
      <w:r w:rsidRPr="008762B1">
        <w:tab/>
        <w:t>(2)</w:t>
      </w:r>
      <w:r w:rsidRPr="008762B1">
        <w:tab/>
        <w:t xml:space="preserve">The volume of methane sent to </w:t>
      </w:r>
      <w:r w:rsidR="009130C5" w:rsidRPr="008762B1">
        <w:t>a combustion device</w:t>
      </w:r>
      <w:r w:rsidR="007E584D" w:rsidRPr="008762B1">
        <w:t xml:space="preserve"> </w:t>
      </w:r>
      <w:r w:rsidR="000302D4" w:rsidRPr="008762B1">
        <w:rPr>
          <w:szCs w:val="22"/>
        </w:rPr>
        <w:t xml:space="preserve">during </w:t>
      </w:r>
      <w:r w:rsidR="007E584D" w:rsidRPr="008762B1">
        <w:rPr>
          <w:szCs w:val="22"/>
        </w:rPr>
        <w:t>the reporting period</w:t>
      </w:r>
      <w:r w:rsidR="00694477" w:rsidRPr="008762B1">
        <w:t>, in cubic metres,</w:t>
      </w:r>
      <w:r w:rsidR="001F1F4F" w:rsidRPr="008762B1">
        <w:t xml:space="preserve"> is worked out </w:t>
      </w:r>
      <w:r w:rsidR="000302D4" w:rsidRPr="008762B1">
        <w:t>using the formula (</w:t>
      </w:r>
      <w:r w:rsidR="0086684F" w:rsidRPr="008762B1">
        <w:rPr>
          <w:b/>
          <w:i/>
        </w:rPr>
        <w:t>equation 17</w:t>
      </w:r>
      <w:r w:rsidR="000302D4" w:rsidRPr="008762B1">
        <w:t>)</w:t>
      </w:r>
      <w:r w:rsidR="001F1F4F" w:rsidRPr="008762B1">
        <w:t>:</w:t>
      </w:r>
    </w:p>
    <w:bookmarkStart w:id="66" w:name="BKCheck15B_20"/>
    <w:bookmarkEnd w:id="66"/>
    <w:p w:rsidR="004260EE" w:rsidRPr="008762B1" w:rsidRDefault="00A6261B" w:rsidP="004260EE">
      <w:pPr>
        <w:pStyle w:val="subsection2"/>
      </w:pPr>
      <w:r w:rsidRPr="008762B1">
        <w:rPr>
          <w:position w:val="-14"/>
        </w:rPr>
        <w:object w:dxaOrig="2240" w:dyaOrig="460">
          <v:shape id="_x0000_i1041" type="#_x0000_t75" style="width:111.75pt;height:23.05pt" o:ole="">
            <v:imagedata r:id="rId53" o:title=""/>
          </v:shape>
          <o:OLEObject Type="Embed" ProgID="Equation.DSMT4" ShapeID="_x0000_i1041" DrawAspect="Content" ObjectID="_1483176415" r:id="rId54"/>
        </w:object>
      </w:r>
    </w:p>
    <w:p w:rsidR="004260EE" w:rsidRPr="008762B1" w:rsidRDefault="000302D4" w:rsidP="004260EE">
      <w:pPr>
        <w:pStyle w:val="subsection2"/>
      </w:pPr>
      <w:r w:rsidRPr="008762B1">
        <w:t>w</w:t>
      </w:r>
      <w:r w:rsidR="004260EE" w:rsidRPr="008762B1">
        <w:t>here:</w:t>
      </w:r>
    </w:p>
    <w:p w:rsidR="00BA0923" w:rsidRPr="008762B1" w:rsidRDefault="00BA0923" w:rsidP="00BA0923">
      <w:pPr>
        <w:pStyle w:val="Definition"/>
      </w:pPr>
      <w:proofErr w:type="spellStart"/>
      <w:r w:rsidRPr="008762B1">
        <w:rPr>
          <w:b/>
          <w:i/>
        </w:rPr>
        <w:t>M</w:t>
      </w:r>
      <w:r w:rsidR="00A6261B" w:rsidRPr="008762B1">
        <w:rPr>
          <w:b/>
          <w:i/>
          <w:vertAlign w:val="subscript"/>
        </w:rPr>
        <w:t>S</w:t>
      </w:r>
      <w:r w:rsidRPr="008762B1">
        <w:rPr>
          <w:b/>
          <w:i/>
          <w:vertAlign w:val="subscript"/>
        </w:rPr>
        <w:t>ent,h</w:t>
      </w:r>
      <w:proofErr w:type="spellEnd"/>
      <w:r w:rsidRPr="008762B1">
        <w:t xml:space="preserve"> means the volume</w:t>
      </w:r>
      <w:r w:rsidR="009130C5" w:rsidRPr="008762B1">
        <w:t xml:space="preserve"> of methane sent to </w:t>
      </w:r>
      <w:r w:rsidRPr="008762B1">
        <w:t>combustion device h</w:t>
      </w:r>
      <w:r w:rsidR="00694477" w:rsidRPr="008762B1">
        <w:t>, in cubic metres</w:t>
      </w:r>
      <w:r w:rsidR="009130C5" w:rsidRPr="008762B1">
        <w:t>.</w:t>
      </w:r>
    </w:p>
    <w:p w:rsidR="004260EE" w:rsidRPr="008762B1" w:rsidRDefault="004260EE" w:rsidP="004260EE">
      <w:pPr>
        <w:pStyle w:val="Definition"/>
      </w:pPr>
      <w:proofErr w:type="spellStart"/>
      <w:r w:rsidRPr="008762B1">
        <w:rPr>
          <w:b/>
          <w:i/>
        </w:rPr>
        <w:t>Q</w:t>
      </w:r>
      <w:r w:rsidR="008A590E" w:rsidRPr="008762B1">
        <w:rPr>
          <w:b/>
          <w:i/>
          <w:vertAlign w:val="subscript"/>
        </w:rPr>
        <w:t>BG</w:t>
      </w:r>
      <w:r w:rsidRPr="008762B1">
        <w:rPr>
          <w:b/>
          <w:i/>
          <w:vertAlign w:val="subscript"/>
        </w:rPr>
        <w:t>,h</w:t>
      </w:r>
      <w:proofErr w:type="spellEnd"/>
      <w:r w:rsidRPr="008762B1">
        <w:t xml:space="preserve"> </w:t>
      </w:r>
      <w:r w:rsidR="009248AE" w:rsidRPr="008762B1">
        <w:t xml:space="preserve">means the volume </w:t>
      </w:r>
      <w:r w:rsidRPr="008762B1">
        <w:t>of biogas sent to combustion device h</w:t>
      </w:r>
      <w:r w:rsidR="008A590E" w:rsidRPr="008762B1">
        <w:t>,</w:t>
      </w:r>
      <w:r w:rsidR="00694477" w:rsidRPr="008762B1">
        <w:t xml:space="preserve"> in cubic metres,</w:t>
      </w:r>
      <w:r w:rsidRPr="008762B1">
        <w:t xml:space="preserve"> </w:t>
      </w:r>
      <w:r w:rsidR="00377EF2" w:rsidRPr="008762B1">
        <w:rPr>
          <w:szCs w:val="22"/>
        </w:rPr>
        <w:t>worked out in accordance w</w:t>
      </w:r>
      <w:r w:rsidR="006A4FFF" w:rsidRPr="008762B1">
        <w:rPr>
          <w:szCs w:val="22"/>
        </w:rPr>
        <w:t>ith the monitoring requirements</w:t>
      </w:r>
      <w:r w:rsidR="008A590E" w:rsidRPr="008762B1">
        <w:rPr>
          <w:szCs w:val="22"/>
        </w:rPr>
        <w:t>.</w:t>
      </w:r>
    </w:p>
    <w:p w:rsidR="009F6272" w:rsidRPr="008762B1" w:rsidRDefault="004260EE" w:rsidP="004260EE">
      <w:pPr>
        <w:pStyle w:val="Definition"/>
      </w:pPr>
      <w:proofErr w:type="spellStart"/>
      <w:r w:rsidRPr="008762B1">
        <w:rPr>
          <w:b/>
          <w:i/>
        </w:rPr>
        <w:t>W</w:t>
      </w:r>
      <w:r w:rsidRPr="008762B1">
        <w:rPr>
          <w:b/>
          <w:i/>
          <w:vertAlign w:val="subscript"/>
        </w:rPr>
        <w:t>BG,CH</w:t>
      </w:r>
      <w:proofErr w:type="spellEnd"/>
      <w:r w:rsidRPr="008762B1">
        <w:rPr>
          <w:b/>
          <w:i/>
          <w:position w:val="-6"/>
          <w:vertAlign w:val="subscript"/>
        </w:rPr>
        <w:t>4</w:t>
      </w:r>
      <w:r w:rsidRPr="008762B1">
        <w:t xml:space="preserve"> </w:t>
      </w:r>
      <w:r w:rsidR="009248AE" w:rsidRPr="008762B1">
        <w:t>means</w:t>
      </w:r>
      <w:r w:rsidR="009F6272" w:rsidRPr="008762B1">
        <w:t>:</w:t>
      </w:r>
    </w:p>
    <w:p w:rsidR="004260EE" w:rsidRPr="008762B1" w:rsidRDefault="00265FCA" w:rsidP="009F6272">
      <w:pPr>
        <w:pStyle w:val="paragraph"/>
      </w:pPr>
      <w:r w:rsidRPr="008762B1">
        <w:tab/>
        <w:t>(a)</w:t>
      </w:r>
      <w:r w:rsidRPr="008762B1">
        <w:tab/>
        <w:t>if</w:t>
      </w:r>
      <w:r w:rsidR="00B26AEE" w:rsidRPr="008762B1">
        <w:t xml:space="preserve"> </w:t>
      </w:r>
      <w:r w:rsidR="009F6272" w:rsidRPr="008762B1">
        <w:t xml:space="preserve">this parameter </w:t>
      </w:r>
      <w:r w:rsidR="00B26AEE" w:rsidRPr="008762B1">
        <w:t>is, or is required to be,</w:t>
      </w:r>
      <w:r w:rsidR="009F6272" w:rsidRPr="008762B1">
        <w:t xml:space="preserve"> monitored continuously—</w:t>
      </w:r>
      <w:r w:rsidR="001A26F2" w:rsidRPr="008762B1">
        <w:t>the fraction worked out in accordance with the monitoring requirements; or</w:t>
      </w:r>
    </w:p>
    <w:p w:rsidR="009F6272" w:rsidRPr="008762B1" w:rsidRDefault="009F6272" w:rsidP="009F6272">
      <w:pPr>
        <w:pStyle w:val="paragraph"/>
      </w:pPr>
      <w:r w:rsidRPr="008762B1">
        <w:tab/>
        <w:t>(b)</w:t>
      </w:r>
      <w:r w:rsidRPr="008762B1">
        <w:tab/>
        <w:t>otherwise—the fraction mentioned in subsection</w:t>
      </w:r>
      <w:r w:rsidR="008762B1" w:rsidRPr="008762B1">
        <w:t> </w:t>
      </w:r>
      <w:r w:rsidRPr="008762B1">
        <w:t xml:space="preserve">5.37(2) of the </w:t>
      </w:r>
      <w:proofErr w:type="spellStart"/>
      <w:r w:rsidRPr="008762B1">
        <w:t>NGER</w:t>
      </w:r>
      <w:proofErr w:type="spellEnd"/>
      <w:r w:rsidRPr="008762B1">
        <w:t xml:space="preserve"> (Measurement) Determination.</w:t>
      </w:r>
    </w:p>
    <w:p w:rsidR="00A6261B" w:rsidRPr="008762B1" w:rsidRDefault="00A6261B" w:rsidP="00A6261B">
      <w:pPr>
        <w:pStyle w:val="Definition"/>
      </w:pPr>
      <w:r w:rsidRPr="008762B1">
        <w:rPr>
          <w:b/>
          <w:i/>
        </w:rPr>
        <w:t>h</w:t>
      </w:r>
      <w:r w:rsidRPr="008762B1">
        <w:t xml:space="preserve"> means:</w:t>
      </w:r>
    </w:p>
    <w:p w:rsidR="00A6261B" w:rsidRPr="008762B1" w:rsidRDefault="00A6261B" w:rsidP="00A6261B">
      <w:pPr>
        <w:pStyle w:val="paragraph"/>
        <w:rPr>
          <w:rFonts w:eastAsiaTheme="minorEastAsia"/>
        </w:rPr>
      </w:pPr>
      <w:r w:rsidRPr="008762B1">
        <w:tab/>
        <w:t>(a)</w:t>
      </w:r>
      <w:r w:rsidRPr="008762B1">
        <w:tab/>
        <w:t xml:space="preserve">a </w:t>
      </w:r>
      <w:r w:rsidRPr="008762B1">
        <w:rPr>
          <w:rFonts w:eastAsiaTheme="minorEastAsia"/>
        </w:rPr>
        <w:t>combustion device used during the reporting period; or</w:t>
      </w:r>
    </w:p>
    <w:p w:rsidR="00A6261B" w:rsidRPr="008762B1" w:rsidRDefault="00A6261B" w:rsidP="00A6261B">
      <w:pPr>
        <w:pStyle w:val="paragraph"/>
        <w:rPr>
          <w:rFonts w:eastAsiaTheme="minorEastAsia"/>
        </w:rPr>
      </w:pPr>
      <w:r w:rsidRPr="008762B1">
        <w:rPr>
          <w:rFonts w:eastAsiaTheme="minorEastAsia"/>
        </w:rPr>
        <w:tab/>
        <w:t>(b)</w:t>
      </w:r>
      <w:r w:rsidRPr="008762B1">
        <w:rPr>
          <w:rFonts w:eastAsiaTheme="minorEastAsia"/>
        </w:rPr>
        <w:tab/>
        <w:t>if a single pipe is used to send methane to more than one combustion device during the reporting period and the combustion devices are of the same kind—all of those devices.</w:t>
      </w:r>
    </w:p>
    <w:p w:rsidR="009248AE" w:rsidRPr="008762B1" w:rsidRDefault="009248AE" w:rsidP="009248AE">
      <w:pPr>
        <w:pStyle w:val="SubsectionHead"/>
      </w:pPr>
      <w:r w:rsidRPr="008762B1">
        <w:t>Sub</w:t>
      </w:r>
      <w:r w:rsidR="008762B1">
        <w:noBreakHyphen/>
      </w:r>
      <w:r w:rsidR="00E87706" w:rsidRPr="008762B1">
        <w:t>method 2</w:t>
      </w:r>
    </w:p>
    <w:p w:rsidR="009248AE" w:rsidRPr="008762B1" w:rsidRDefault="009248AE" w:rsidP="009248AE">
      <w:pPr>
        <w:pStyle w:val="subsection"/>
      </w:pPr>
      <w:r w:rsidRPr="008762B1">
        <w:tab/>
        <w:t>(3)</w:t>
      </w:r>
      <w:r w:rsidRPr="008762B1">
        <w:tab/>
        <w:t xml:space="preserve">The volume of methane sent to an internal combustion </w:t>
      </w:r>
      <w:r w:rsidR="00DE4724" w:rsidRPr="008762B1">
        <w:t>engine</w:t>
      </w:r>
      <w:r w:rsidRPr="008762B1">
        <w:t xml:space="preserve"> </w:t>
      </w:r>
      <w:r w:rsidR="00397517" w:rsidRPr="008762B1">
        <w:rPr>
          <w:szCs w:val="22"/>
        </w:rPr>
        <w:t>during the reporting period</w:t>
      </w:r>
      <w:r w:rsidR="00694477" w:rsidRPr="008762B1">
        <w:t>, in cubic metres,</w:t>
      </w:r>
      <w:r w:rsidRPr="008762B1">
        <w:t xml:space="preserve"> is worked out using the formula (</w:t>
      </w:r>
      <w:r w:rsidR="0086684F" w:rsidRPr="008762B1">
        <w:rPr>
          <w:b/>
          <w:i/>
        </w:rPr>
        <w:t>equation 18</w:t>
      </w:r>
      <w:r w:rsidRPr="008762B1">
        <w:t>):</w:t>
      </w:r>
    </w:p>
    <w:bookmarkStart w:id="67" w:name="BKCheck15B_21"/>
    <w:bookmarkEnd w:id="67"/>
    <w:p w:rsidR="004260EE" w:rsidRPr="008762B1" w:rsidRDefault="00A6261B" w:rsidP="004260EE">
      <w:pPr>
        <w:pStyle w:val="subsection2"/>
      </w:pPr>
      <w:r w:rsidRPr="008762B1">
        <w:rPr>
          <w:position w:val="-50"/>
        </w:rPr>
        <w:object w:dxaOrig="2299" w:dyaOrig="1080">
          <v:shape id="_x0000_i1042" type="#_x0000_t75" style="width:114.6pt;height:53pt" o:ole="">
            <v:imagedata r:id="rId55" o:title=""/>
          </v:shape>
          <o:OLEObject Type="Embed" ProgID="Equation.DSMT4" ShapeID="_x0000_i1042" DrawAspect="Content" ObjectID="_1483176416" r:id="rId56"/>
        </w:object>
      </w:r>
    </w:p>
    <w:p w:rsidR="004260EE" w:rsidRPr="008762B1" w:rsidRDefault="009248AE" w:rsidP="004260EE">
      <w:pPr>
        <w:pStyle w:val="subsection2"/>
      </w:pPr>
      <w:r w:rsidRPr="008762B1">
        <w:t>w</w:t>
      </w:r>
      <w:r w:rsidR="004260EE" w:rsidRPr="008762B1">
        <w:t>here:</w:t>
      </w:r>
    </w:p>
    <w:p w:rsidR="00BA0923" w:rsidRPr="008762B1" w:rsidRDefault="00BA0923" w:rsidP="00BA0923">
      <w:pPr>
        <w:pStyle w:val="Definition"/>
      </w:pPr>
      <w:proofErr w:type="spellStart"/>
      <w:r w:rsidRPr="008762B1">
        <w:rPr>
          <w:b/>
          <w:i/>
        </w:rPr>
        <w:t>M</w:t>
      </w:r>
      <w:r w:rsidR="00A6261B" w:rsidRPr="008762B1">
        <w:rPr>
          <w:b/>
          <w:i/>
          <w:vertAlign w:val="subscript"/>
        </w:rPr>
        <w:t>S</w:t>
      </w:r>
      <w:r w:rsidRPr="008762B1">
        <w:rPr>
          <w:b/>
          <w:i/>
          <w:vertAlign w:val="subscript"/>
        </w:rPr>
        <w:t>ent,h</w:t>
      </w:r>
      <w:proofErr w:type="spellEnd"/>
      <w:r w:rsidRPr="008762B1">
        <w:t xml:space="preserve"> means the volume of methane sent to internal combustion engine h</w:t>
      </w:r>
      <w:r w:rsidR="00694477" w:rsidRPr="008762B1">
        <w:t>, in cubic metres</w:t>
      </w:r>
      <w:r w:rsidRPr="008762B1">
        <w:t>.</w:t>
      </w:r>
    </w:p>
    <w:p w:rsidR="00BA0923" w:rsidRPr="008762B1" w:rsidRDefault="00BA0923" w:rsidP="00BA0923">
      <w:pPr>
        <w:pStyle w:val="Definition"/>
      </w:pPr>
      <w:proofErr w:type="spellStart"/>
      <w:r w:rsidRPr="008762B1">
        <w:rPr>
          <w:b/>
          <w:i/>
        </w:rPr>
        <w:t>Q</w:t>
      </w:r>
      <w:r w:rsidR="00A6261B" w:rsidRPr="008762B1">
        <w:rPr>
          <w:b/>
          <w:i/>
          <w:vertAlign w:val="subscript"/>
        </w:rPr>
        <w:t>EG</w:t>
      </w:r>
      <w:r w:rsidRPr="008762B1">
        <w:rPr>
          <w:b/>
          <w:i/>
          <w:vertAlign w:val="subscript"/>
        </w:rPr>
        <w:t>,h</w:t>
      </w:r>
      <w:proofErr w:type="spellEnd"/>
      <w:r w:rsidRPr="008762B1">
        <w:t xml:space="preserve"> means the quantity of </w:t>
      </w:r>
      <w:r w:rsidRPr="008762B1">
        <w:rPr>
          <w:rFonts w:eastAsiaTheme="minorEastAsia"/>
        </w:rPr>
        <w:t>electricity generated by internal combustion engine h (whether supplied to the grid or used on</w:t>
      </w:r>
      <w:r w:rsidR="008762B1">
        <w:rPr>
          <w:rFonts w:eastAsiaTheme="minorEastAsia"/>
        </w:rPr>
        <w:noBreakHyphen/>
      </w:r>
      <w:r w:rsidRPr="008762B1">
        <w:rPr>
          <w:rFonts w:eastAsiaTheme="minorEastAsia"/>
        </w:rPr>
        <w:t>site),</w:t>
      </w:r>
      <w:r w:rsidR="00694477" w:rsidRPr="008762B1">
        <w:rPr>
          <w:rFonts w:eastAsiaTheme="minorEastAsia"/>
        </w:rPr>
        <w:t xml:space="preserve"> in megawatt hours,</w:t>
      </w:r>
      <w:r w:rsidRPr="008762B1">
        <w:rPr>
          <w:rFonts w:eastAsiaTheme="minorEastAsia"/>
        </w:rPr>
        <w:t xml:space="preserve"> </w:t>
      </w:r>
      <w:r w:rsidRPr="008762B1">
        <w:rPr>
          <w:szCs w:val="22"/>
        </w:rPr>
        <w:t>worked out in accordance w</w:t>
      </w:r>
      <w:r w:rsidR="006A4FFF" w:rsidRPr="008762B1">
        <w:rPr>
          <w:szCs w:val="22"/>
        </w:rPr>
        <w:t>ith the monitoring requirements</w:t>
      </w:r>
      <w:r w:rsidRPr="008762B1">
        <w:rPr>
          <w:szCs w:val="22"/>
        </w:rPr>
        <w:t>.</w:t>
      </w:r>
    </w:p>
    <w:p w:rsidR="00BA0923" w:rsidRPr="008762B1" w:rsidRDefault="00BA0923" w:rsidP="00BA0923">
      <w:pPr>
        <w:pStyle w:val="Definition"/>
      </w:pPr>
      <w:proofErr w:type="spellStart"/>
      <w:r w:rsidRPr="008762B1">
        <w:rPr>
          <w:b/>
          <w:i/>
        </w:rPr>
        <w:t>F</w:t>
      </w:r>
      <w:r w:rsidRPr="008762B1">
        <w:rPr>
          <w:b/>
          <w:i/>
          <w:vertAlign w:val="subscript"/>
        </w:rPr>
        <w:t>MWh→GJ</w:t>
      </w:r>
      <w:proofErr w:type="spellEnd"/>
      <w:r w:rsidRPr="008762B1">
        <w:t xml:space="preserve"> means 3.6, being the </w:t>
      </w:r>
      <w:r w:rsidRPr="008762B1">
        <w:rPr>
          <w:rFonts w:eastAsiaTheme="minorEastAsia"/>
        </w:rPr>
        <w:t>factor to convert megawatt hours to gigajoules.</w:t>
      </w:r>
    </w:p>
    <w:p w:rsidR="00BA0923" w:rsidRPr="008762B1" w:rsidRDefault="00A6261B" w:rsidP="00BA0923">
      <w:pPr>
        <w:pStyle w:val="Definition"/>
      </w:pPr>
      <w:proofErr w:type="spellStart"/>
      <w:r w:rsidRPr="008762B1">
        <w:rPr>
          <w:b/>
          <w:i/>
        </w:rPr>
        <w:t>EE</w:t>
      </w:r>
      <w:r w:rsidR="00BA0923" w:rsidRPr="008762B1">
        <w:rPr>
          <w:b/>
          <w:i/>
          <w:vertAlign w:val="subscript"/>
        </w:rPr>
        <w:t>h</w:t>
      </w:r>
      <w:proofErr w:type="spellEnd"/>
      <w:r w:rsidR="00BA0923" w:rsidRPr="008762B1">
        <w:t xml:space="preserve"> means</w:t>
      </w:r>
      <w:r w:rsidR="00BB0727" w:rsidRPr="008762B1">
        <w:t>:</w:t>
      </w:r>
    </w:p>
    <w:p w:rsidR="00BB0727" w:rsidRPr="008762B1" w:rsidRDefault="00BA0923" w:rsidP="00BA0923">
      <w:pPr>
        <w:pStyle w:val="paragraph"/>
        <w:rPr>
          <w:rFonts w:eastAsiaTheme="minorEastAsia"/>
        </w:rPr>
      </w:pPr>
      <w:r w:rsidRPr="008762B1">
        <w:rPr>
          <w:rFonts w:eastAsiaTheme="minorEastAsia"/>
        </w:rPr>
        <w:tab/>
        <w:t>(a)</w:t>
      </w:r>
      <w:r w:rsidRPr="008762B1">
        <w:rPr>
          <w:rFonts w:eastAsiaTheme="minorEastAsia"/>
        </w:rPr>
        <w:tab/>
      </w:r>
      <w:r w:rsidR="00BB0727" w:rsidRPr="008762B1">
        <w:rPr>
          <w:rFonts w:eastAsiaTheme="minorEastAsia"/>
        </w:rPr>
        <w:t>the factor for</w:t>
      </w:r>
      <w:r w:rsidRPr="008762B1">
        <w:rPr>
          <w:rFonts w:eastAsiaTheme="minorEastAsia"/>
        </w:rPr>
        <w:t xml:space="preserve"> the electrical efficiency </w:t>
      </w:r>
      <w:r w:rsidR="00BB0727" w:rsidRPr="008762B1">
        <w:rPr>
          <w:rFonts w:eastAsiaTheme="minorEastAsia"/>
        </w:rPr>
        <w:t>of internal combustion engine h determined in accordance with:</w:t>
      </w:r>
    </w:p>
    <w:p w:rsidR="00BA0923" w:rsidRPr="008762B1" w:rsidRDefault="00BB0727" w:rsidP="00BB0727">
      <w:pPr>
        <w:pStyle w:val="paragraphsub"/>
        <w:rPr>
          <w:rFonts w:eastAsiaTheme="minorEastAsia"/>
        </w:rPr>
      </w:pPr>
      <w:r w:rsidRPr="008762B1">
        <w:rPr>
          <w:rFonts w:eastAsiaTheme="minorEastAsia"/>
        </w:rPr>
        <w:tab/>
        <w:t>(</w:t>
      </w:r>
      <w:proofErr w:type="spellStart"/>
      <w:r w:rsidRPr="008762B1">
        <w:rPr>
          <w:rFonts w:eastAsiaTheme="minorEastAsia"/>
        </w:rPr>
        <w:t>i</w:t>
      </w:r>
      <w:proofErr w:type="spellEnd"/>
      <w:r w:rsidRPr="008762B1">
        <w:rPr>
          <w:rFonts w:eastAsiaTheme="minorEastAsia"/>
        </w:rPr>
        <w:t>)</w:t>
      </w:r>
      <w:r w:rsidRPr="008762B1">
        <w:rPr>
          <w:rFonts w:eastAsiaTheme="minorEastAsia"/>
        </w:rPr>
        <w:tab/>
      </w:r>
      <w:r w:rsidR="00BA0923" w:rsidRPr="008762B1">
        <w:rPr>
          <w:rFonts w:eastAsiaTheme="minorEastAsia"/>
        </w:rPr>
        <w:t xml:space="preserve">the manufacturer’s specifications for the </w:t>
      </w:r>
      <w:r w:rsidRPr="008762B1">
        <w:rPr>
          <w:rFonts w:eastAsiaTheme="minorEastAsia"/>
        </w:rPr>
        <w:t>combustion of biogas; and</w:t>
      </w:r>
    </w:p>
    <w:p w:rsidR="00BB0727" w:rsidRPr="008762B1" w:rsidRDefault="00BB0727" w:rsidP="00BB0727">
      <w:pPr>
        <w:pStyle w:val="paragraphsub"/>
        <w:rPr>
          <w:rFonts w:eastAsiaTheme="minorEastAsia"/>
        </w:rPr>
      </w:pPr>
      <w:r w:rsidRPr="008762B1">
        <w:rPr>
          <w:rFonts w:eastAsiaTheme="minorEastAsia"/>
        </w:rPr>
        <w:lastRenderedPageBreak/>
        <w:tab/>
        <w:t>(ii)</w:t>
      </w:r>
      <w:r w:rsidRPr="008762B1">
        <w:rPr>
          <w:rFonts w:eastAsiaTheme="minorEastAsia"/>
        </w:rPr>
        <w:tab/>
        <w:t>if the specifications set out a range of such efficiencies—the highest of those efficiencies; or</w:t>
      </w:r>
    </w:p>
    <w:p w:rsidR="00BA0923" w:rsidRPr="008762B1" w:rsidRDefault="00BA0923" w:rsidP="00BA0923">
      <w:pPr>
        <w:pStyle w:val="paragraph"/>
      </w:pPr>
      <w:r w:rsidRPr="008762B1">
        <w:rPr>
          <w:rFonts w:eastAsiaTheme="minorEastAsia"/>
        </w:rPr>
        <w:tab/>
        <w:t>(b)</w:t>
      </w:r>
      <w:r w:rsidRPr="008762B1">
        <w:rPr>
          <w:rFonts w:eastAsiaTheme="minorEastAsia"/>
        </w:rPr>
        <w:tab/>
        <w:t xml:space="preserve">if </w:t>
      </w:r>
      <w:r w:rsidR="00BB0727" w:rsidRPr="008762B1">
        <w:rPr>
          <w:rFonts w:eastAsiaTheme="minorEastAsia"/>
        </w:rPr>
        <w:t xml:space="preserve">no such factor can be determined in accordance with </w:t>
      </w:r>
      <w:r w:rsidRPr="008762B1">
        <w:rPr>
          <w:rFonts w:eastAsiaTheme="minorEastAsia"/>
        </w:rPr>
        <w:t>th</w:t>
      </w:r>
      <w:r w:rsidR="00BB0727" w:rsidRPr="008762B1">
        <w:rPr>
          <w:rFonts w:eastAsiaTheme="minorEastAsia"/>
        </w:rPr>
        <w:t>e manufacturer’s specifications</w:t>
      </w:r>
      <w:r w:rsidRPr="008762B1">
        <w:rPr>
          <w:rFonts w:eastAsiaTheme="minorEastAsia"/>
        </w:rPr>
        <w:t>—36%.</w:t>
      </w:r>
    </w:p>
    <w:p w:rsidR="00CE2437" w:rsidRPr="008762B1" w:rsidRDefault="00CE2437" w:rsidP="00CE2437">
      <w:pPr>
        <w:pStyle w:val="Definition"/>
      </w:pPr>
      <w:proofErr w:type="spellStart"/>
      <w:r w:rsidRPr="008762B1">
        <w:rPr>
          <w:b/>
          <w:i/>
        </w:rPr>
        <w:t>EC</w:t>
      </w:r>
      <w:r w:rsidRPr="008762B1">
        <w:rPr>
          <w:b/>
          <w:i/>
          <w:vertAlign w:val="subscript"/>
        </w:rPr>
        <w:t>BG</w:t>
      </w:r>
      <w:proofErr w:type="spellEnd"/>
      <w:r w:rsidRPr="008762B1">
        <w:t xml:space="preserve"> means the energy content factor, in gigajoules per cubic metre, mentioned in </w:t>
      </w:r>
      <w:r w:rsidRPr="008762B1">
        <w:rPr>
          <w:szCs w:val="22"/>
        </w:rPr>
        <w:t>Part</w:t>
      </w:r>
      <w:r w:rsidR="008762B1" w:rsidRPr="008762B1">
        <w:rPr>
          <w:szCs w:val="22"/>
        </w:rPr>
        <w:t> </w:t>
      </w:r>
      <w:r w:rsidRPr="008762B1">
        <w:rPr>
          <w:szCs w:val="22"/>
        </w:rPr>
        <w:t>2 of Schedule</w:t>
      </w:r>
      <w:r w:rsidR="008762B1" w:rsidRPr="008762B1">
        <w:rPr>
          <w:szCs w:val="22"/>
        </w:rPr>
        <w:t> </w:t>
      </w:r>
      <w:r w:rsidRPr="008762B1">
        <w:rPr>
          <w:szCs w:val="22"/>
        </w:rPr>
        <w:t xml:space="preserve">1 to the </w:t>
      </w:r>
      <w:proofErr w:type="spellStart"/>
      <w:r w:rsidRPr="008762B1">
        <w:rPr>
          <w:szCs w:val="22"/>
        </w:rPr>
        <w:t>NGER</w:t>
      </w:r>
      <w:proofErr w:type="spellEnd"/>
      <w:r w:rsidRPr="008762B1">
        <w:rPr>
          <w:szCs w:val="22"/>
        </w:rPr>
        <w:t xml:space="preserve"> (Measurement) Determination for </w:t>
      </w:r>
      <w:r w:rsidR="00C0642F" w:rsidRPr="008762B1">
        <w:rPr>
          <w:szCs w:val="22"/>
        </w:rPr>
        <w:t xml:space="preserve">sludge </w:t>
      </w:r>
      <w:r w:rsidRPr="008762B1">
        <w:t>biogas that is captured for combustion (methane only).</w:t>
      </w:r>
    </w:p>
    <w:p w:rsidR="00A6261B" w:rsidRPr="008762B1" w:rsidRDefault="00A6261B" w:rsidP="00A6261B">
      <w:pPr>
        <w:pStyle w:val="Definition"/>
      </w:pPr>
      <w:r w:rsidRPr="008762B1">
        <w:rPr>
          <w:b/>
          <w:i/>
        </w:rPr>
        <w:t xml:space="preserve">h </w:t>
      </w:r>
      <w:r w:rsidRPr="008762B1">
        <w:t>means:</w:t>
      </w:r>
    </w:p>
    <w:p w:rsidR="00A6261B" w:rsidRPr="008762B1" w:rsidRDefault="00A6261B" w:rsidP="00A6261B">
      <w:pPr>
        <w:pStyle w:val="paragraph"/>
        <w:rPr>
          <w:rFonts w:eastAsiaTheme="minorEastAsia"/>
        </w:rPr>
      </w:pPr>
      <w:r w:rsidRPr="008762B1">
        <w:tab/>
        <w:t>(a)</w:t>
      </w:r>
      <w:r w:rsidRPr="008762B1">
        <w:tab/>
        <w:t>an internal combustion</w:t>
      </w:r>
      <w:r w:rsidRPr="008762B1">
        <w:rPr>
          <w:rFonts w:eastAsiaTheme="minorEastAsia"/>
        </w:rPr>
        <w:t xml:space="preserve"> engine used during the reporting period; or</w:t>
      </w:r>
    </w:p>
    <w:p w:rsidR="00A6261B" w:rsidRPr="008762B1" w:rsidRDefault="00A6261B" w:rsidP="00A6261B">
      <w:pPr>
        <w:pStyle w:val="paragraph"/>
        <w:rPr>
          <w:rFonts w:eastAsiaTheme="minorEastAsia"/>
        </w:rPr>
      </w:pPr>
      <w:r w:rsidRPr="008762B1">
        <w:rPr>
          <w:rFonts w:eastAsiaTheme="minorEastAsia"/>
        </w:rPr>
        <w:tab/>
        <w:t>(b)</w:t>
      </w:r>
      <w:r w:rsidRPr="008762B1">
        <w:rPr>
          <w:rFonts w:eastAsiaTheme="minorEastAsia"/>
        </w:rPr>
        <w:tab/>
        <w:t>if a single pipe is used to send methane to more than one internal combustion engine during the reporting period and those engines have the same electrical efficiency—all of those engines.</w:t>
      </w:r>
    </w:p>
    <w:p w:rsidR="004260EE" w:rsidRPr="008762B1" w:rsidRDefault="004E7255" w:rsidP="00F74490">
      <w:pPr>
        <w:pStyle w:val="ActHead5"/>
        <w:rPr>
          <w:rFonts w:eastAsiaTheme="minorEastAsia"/>
        </w:rPr>
      </w:pPr>
      <w:bookmarkStart w:id="68" w:name="_Toc407103350"/>
      <w:r w:rsidRPr="008762B1">
        <w:rPr>
          <w:rStyle w:val="CharSectno"/>
          <w:rFonts w:eastAsiaTheme="minorEastAsia"/>
        </w:rPr>
        <w:t>37</w:t>
      </w:r>
      <w:r w:rsidR="000B464B" w:rsidRPr="008762B1">
        <w:rPr>
          <w:rFonts w:eastAsiaTheme="minorEastAsia"/>
        </w:rPr>
        <w:t xml:space="preserve">  Volume of m</w:t>
      </w:r>
      <w:r w:rsidR="00F74490" w:rsidRPr="008762B1">
        <w:rPr>
          <w:rFonts w:eastAsiaTheme="minorEastAsia"/>
        </w:rPr>
        <w:t>ethane vented due to a major venting event</w:t>
      </w:r>
      <w:bookmarkEnd w:id="68"/>
    </w:p>
    <w:p w:rsidR="00F74490" w:rsidRPr="008762B1" w:rsidRDefault="00CB23FE" w:rsidP="00F74490">
      <w:pPr>
        <w:pStyle w:val="subsection"/>
        <w:rPr>
          <w:rFonts w:eastAsiaTheme="minorEastAsia"/>
        </w:rPr>
      </w:pPr>
      <w:r w:rsidRPr="008762B1">
        <w:rPr>
          <w:rFonts w:eastAsiaTheme="minorEastAsia"/>
        </w:rPr>
        <w:tab/>
      </w:r>
      <w:r w:rsidRPr="008762B1">
        <w:rPr>
          <w:rFonts w:eastAsiaTheme="minorEastAsia"/>
        </w:rPr>
        <w:tab/>
      </w:r>
      <w:r w:rsidRPr="008762B1">
        <w:t xml:space="preserve">If a major venting event </w:t>
      </w:r>
      <w:r w:rsidRPr="008762B1">
        <w:rPr>
          <w:szCs w:val="22"/>
        </w:rPr>
        <w:t xml:space="preserve">associated with an </w:t>
      </w:r>
      <w:r w:rsidRPr="008762B1">
        <w:rPr>
          <w:color w:val="000000" w:themeColor="text1"/>
          <w:szCs w:val="22"/>
        </w:rPr>
        <w:t>anaerobic digester occurs during a reporting period, t</w:t>
      </w:r>
      <w:r w:rsidR="00F74490" w:rsidRPr="008762B1">
        <w:t xml:space="preserve">he volume of methane vented </w:t>
      </w:r>
      <w:r w:rsidRPr="008762B1">
        <w:t>due to the major venting event</w:t>
      </w:r>
      <w:r w:rsidR="004B7440" w:rsidRPr="008762B1">
        <w:t>, in cubic metres,</w:t>
      </w:r>
      <w:r w:rsidRPr="008762B1">
        <w:t xml:space="preserve"> </w:t>
      </w:r>
      <w:r w:rsidR="00F74490" w:rsidRPr="008762B1">
        <w:rPr>
          <w:szCs w:val="22"/>
        </w:rPr>
        <w:t>is worked out</w:t>
      </w:r>
      <w:r w:rsidR="00465DDA" w:rsidRPr="008762B1">
        <w:rPr>
          <w:szCs w:val="22"/>
        </w:rPr>
        <w:t xml:space="preserve"> using the formula (</w:t>
      </w:r>
      <w:r w:rsidR="0086684F" w:rsidRPr="008762B1">
        <w:rPr>
          <w:b/>
          <w:i/>
          <w:szCs w:val="22"/>
        </w:rPr>
        <w:t>equation 19</w:t>
      </w:r>
      <w:r w:rsidR="00465DDA" w:rsidRPr="008762B1">
        <w:rPr>
          <w:szCs w:val="22"/>
        </w:rPr>
        <w:t>):</w:t>
      </w:r>
    </w:p>
    <w:bookmarkStart w:id="69" w:name="BKCheck15B_22"/>
    <w:bookmarkEnd w:id="69"/>
    <w:p w:rsidR="004260EE" w:rsidRPr="008762B1" w:rsidRDefault="00A6261B" w:rsidP="00465DDA">
      <w:pPr>
        <w:pStyle w:val="subsection2"/>
      </w:pPr>
      <w:r w:rsidRPr="008762B1">
        <w:rPr>
          <w:position w:val="-26"/>
        </w:rPr>
        <w:object w:dxaOrig="3879" w:dyaOrig="620">
          <v:shape id="_x0000_i1043" type="#_x0000_t75" style="width:193.55pt;height:31.7pt" o:ole="">
            <v:imagedata r:id="rId57" o:title=""/>
          </v:shape>
          <o:OLEObject Type="Embed" ProgID="Equation.DSMT4" ShapeID="_x0000_i1043" DrawAspect="Content" ObjectID="_1483176417" r:id="rId58"/>
        </w:object>
      </w:r>
    </w:p>
    <w:p w:rsidR="004260EE" w:rsidRPr="008762B1" w:rsidRDefault="00465DDA" w:rsidP="004260EE">
      <w:pPr>
        <w:pStyle w:val="subsection2"/>
      </w:pPr>
      <w:r w:rsidRPr="008762B1">
        <w:t>w</w:t>
      </w:r>
      <w:r w:rsidR="004260EE" w:rsidRPr="008762B1">
        <w:t>here:</w:t>
      </w:r>
    </w:p>
    <w:p w:rsidR="004260EE" w:rsidRPr="008762B1" w:rsidRDefault="004260EE" w:rsidP="004260EE">
      <w:pPr>
        <w:pStyle w:val="Definition"/>
      </w:pPr>
      <w:proofErr w:type="spellStart"/>
      <w:r w:rsidRPr="008762B1">
        <w:rPr>
          <w:b/>
          <w:i/>
        </w:rPr>
        <w:t>M</w:t>
      </w:r>
      <w:r w:rsidR="00A6261B" w:rsidRPr="008762B1">
        <w:rPr>
          <w:b/>
          <w:i/>
          <w:vertAlign w:val="subscript"/>
        </w:rPr>
        <w:t>V</w:t>
      </w:r>
      <w:r w:rsidRPr="008762B1">
        <w:rPr>
          <w:b/>
          <w:i/>
          <w:vertAlign w:val="subscript"/>
        </w:rPr>
        <w:t>ent,q</w:t>
      </w:r>
      <w:proofErr w:type="spellEnd"/>
      <w:r w:rsidRPr="008762B1">
        <w:t xml:space="preserve"> </w:t>
      </w:r>
      <w:r w:rsidR="00465DDA" w:rsidRPr="008762B1">
        <w:t xml:space="preserve">means the volume of </w:t>
      </w:r>
      <w:r w:rsidR="000B464B" w:rsidRPr="008762B1">
        <w:t xml:space="preserve">methane vented due to </w:t>
      </w:r>
      <w:r w:rsidR="00465DDA" w:rsidRPr="008762B1">
        <w:t xml:space="preserve">major </w:t>
      </w:r>
      <w:r w:rsidRPr="008762B1">
        <w:t>venting event</w:t>
      </w:r>
      <w:r w:rsidR="00465DDA" w:rsidRPr="008762B1">
        <w:t xml:space="preserve"> q</w:t>
      </w:r>
      <w:r w:rsidR="004B7440" w:rsidRPr="008762B1">
        <w:t>, in cubic metres</w:t>
      </w:r>
      <w:r w:rsidRPr="008762B1">
        <w:t>.</w:t>
      </w:r>
    </w:p>
    <w:p w:rsidR="004260EE" w:rsidRPr="008762B1" w:rsidRDefault="004260EE" w:rsidP="004260EE">
      <w:pPr>
        <w:pStyle w:val="Definition"/>
      </w:pPr>
      <w:proofErr w:type="spellStart"/>
      <w:r w:rsidRPr="008762B1">
        <w:rPr>
          <w:b/>
          <w:i/>
        </w:rPr>
        <w:t>MS</w:t>
      </w:r>
      <w:r w:rsidRPr="008762B1">
        <w:rPr>
          <w:b/>
          <w:i/>
          <w:vertAlign w:val="subscript"/>
        </w:rPr>
        <w:t>BCS</w:t>
      </w:r>
      <w:proofErr w:type="spellEnd"/>
      <w:r w:rsidRPr="008762B1">
        <w:t xml:space="preserve"> </w:t>
      </w:r>
      <w:r w:rsidR="00465DDA" w:rsidRPr="008762B1">
        <w:t>means</w:t>
      </w:r>
      <w:r w:rsidR="000B464B" w:rsidRPr="008762B1">
        <w:t xml:space="preserve"> the</w:t>
      </w:r>
      <w:r w:rsidR="00465DDA" w:rsidRPr="008762B1">
        <w:t xml:space="preserve"> </w:t>
      </w:r>
      <w:r w:rsidRPr="008762B1">
        <w:t xml:space="preserve">maximum biogas storage capacity of the </w:t>
      </w:r>
      <w:r w:rsidR="00452F22" w:rsidRPr="008762B1">
        <w:t xml:space="preserve">anaerobic </w:t>
      </w:r>
      <w:r w:rsidRPr="008762B1">
        <w:t>digester,</w:t>
      </w:r>
      <w:r w:rsidR="004B7440" w:rsidRPr="008762B1">
        <w:t xml:space="preserve"> in cubic metres,</w:t>
      </w:r>
      <w:r w:rsidRPr="008762B1">
        <w:t xml:space="preserve"> </w:t>
      </w:r>
      <w:r w:rsidR="00465DDA" w:rsidRPr="008762B1">
        <w:t xml:space="preserve">worked out in accordance with </w:t>
      </w:r>
      <w:r w:rsidR="006A4FFF" w:rsidRPr="008762B1">
        <w:t>the monitoring requirements</w:t>
      </w:r>
      <w:r w:rsidR="00465DDA" w:rsidRPr="008762B1">
        <w:t>.</w:t>
      </w:r>
    </w:p>
    <w:p w:rsidR="004260EE" w:rsidRPr="008762B1" w:rsidRDefault="004260EE" w:rsidP="004260EE">
      <w:pPr>
        <w:pStyle w:val="Definition"/>
      </w:pPr>
      <w:proofErr w:type="spellStart"/>
      <w:r w:rsidRPr="008762B1">
        <w:rPr>
          <w:b/>
          <w:i/>
        </w:rPr>
        <w:t>FR</w:t>
      </w:r>
      <w:r w:rsidR="00BA0923" w:rsidRPr="008762B1">
        <w:rPr>
          <w:b/>
          <w:i/>
          <w:vertAlign w:val="subscript"/>
        </w:rPr>
        <w:t>q</w:t>
      </w:r>
      <w:proofErr w:type="spellEnd"/>
      <w:r w:rsidRPr="008762B1">
        <w:t xml:space="preserve"> </w:t>
      </w:r>
      <w:r w:rsidR="00465DDA" w:rsidRPr="008762B1">
        <w:t xml:space="preserve">means the </w:t>
      </w:r>
      <w:r w:rsidRPr="008762B1">
        <w:t xml:space="preserve">average total daily flow of biogas from the </w:t>
      </w:r>
      <w:r w:rsidR="00452F22" w:rsidRPr="008762B1">
        <w:t xml:space="preserve">anaerobic </w:t>
      </w:r>
      <w:r w:rsidRPr="008762B1">
        <w:t xml:space="preserve">digester </w:t>
      </w:r>
      <w:r w:rsidR="00E0667F" w:rsidRPr="008762B1">
        <w:t>f</w:t>
      </w:r>
      <w:r w:rsidRPr="008762B1">
        <w:t xml:space="preserve">or the </w:t>
      </w:r>
      <w:r w:rsidR="00E0667F" w:rsidRPr="008762B1">
        <w:t>7 days before</w:t>
      </w:r>
      <w:r w:rsidR="00465DDA" w:rsidRPr="008762B1">
        <w:t xml:space="preserve"> major</w:t>
      </w:r>
      <w:r w:rsidRPr="008762B1">
        <w:t xml:space="preserve"> venting event</w:t>
      </w:r>
      <w:r w:rsidR="00465DDA" w:rsidRPr="008762B1">
        <w:t xml:space="preserve"> q</w:t>
      </w:r>
      <w:r w:rsidRPr="008762B1">
        <w:t>,</w:t>
      </w:r>
      <w:r w:rsidR="004B7440" w:rsidRPr="008762B1">
        <w:t xml:space="preserve"> in cubic metres per day,</w:t>
      </w:r>
      <w:r w:rsidRPr="008762B1">
        <w:t xml:space="preserve"> </w:t>
      </w:r>
      <w:r w:rsidR="00377EF2" w:rsidRPr="008762B1">
        <w:rPr>
          <w:szCs w:val="22"/>
        </w:rPr>
        <w:t>worked out in accordance w</w:t>
      </w:r>
      <w:r w:rsidR="006A4FFF" w:rsidRPr="008762B1">
        <w:rPr>
          <w:szCs w:val="22"/>
        </w:rPr>
        <w:t>ith the monitoring requirements</w:t>
      </w:r>
      <w:r w:rsidR="00CE5876" w:rsidRPr="008762B1">
        <w:t>.</w:t>
      </w:r>
    </w:p>
    <w:p w:rsidR="004260EE" w:rsidRPr="008762B1" w:rsidRDefault="00465DDA" w:rsidP="004260EE">
      <w:pPr>
        <w:pStyle w:val="Definition"/>
      </w:pPr>
      <w:proofErr w:type="spellStart"/>
      <w:r w:rsidRPr="008762B1">
        <w:rPr>
          <w:b/>
          <w:i/>
        </w:rPr>
        <w:t>t</w:t>
      </w:r>
      <w:r w:rsidRPr="008762B1">
        <w:rPr>
          <w:b/>
          <w:i/>
          <w:vertAlign w:val="subscript"/>
        </w:rPr>
        <w:t>q</w:t>
      </w:r>
      <w:proofErr w:type="spellEnd"/>
      <w:r w:rsidRPr="008762B1">
        <w:rPr>
          <w:b/>
          <w:i/>
        </w:rPr>
        <w:t xml:space="preserve"> </w:t>
      </w:r>
      <w:r w:rsidRPr="008762B1">
        <w:t xml:space="preserve">means the </w:t>
      </w:r>
      <w:r w:rsidR="004260EE" w:rsidRPr="008762B1">
        <w:t xml:space="preserve">number of days </w:t>
      </w:r>
      <w:r w:rsidR="00432F39" w:rsidRPr="008762B1">
        <w:t xml:space="preserve">for </w:t>
      </w:r>
      <w:r w:rsidR="00680542" w:rsidRPr="008762B1">
        <w:t xml:space="preserve">all or part of which </w:t>
      </w:r>
      <w:r w:rsidR="00432F39" w:rsidRPr="008762B1">
        <w:t xml:space="preserve">major </w:t>
      </w:r>
      <w:r w:rsidR="004260EE" w:rsidRPr="008762B1">
        <w:t xml:space="preserve">venting event </w:t>
      </w:r>
      <w:r w:rsidR="00432F39" w:rsidRPr="008762B1">
        <w:t>q</w:t>
      </w:r>
      <w:r w:rsidR="00080356" w:rsidRPr="008762B1">
        <w:t xml:space="preserve"> is uncontrolled, </w:t>
      </w:r>
      <w:r w:rsidR="00377EF2" w:rsidRPr="008762B1">
        <w:rPr>
          <w:szCs w:val="22"/>
        </w:rPr>
        <w:t>worked out in accordance w</w:t>
      </w:r>
      <w:r w:rsidR="006A4FFF" w:rsidRPr="008762B1">
        <w:rPr>
          <w:szCs w:val="22"/>
        </w:rPr>
        <w:t>ith the monitoring requirements</w:t>
      </w:r>
      <w:r w:rsidR="00080356" w:rsidRPr="008762B1">
        <w:t>.</w:t>
      </w:r>
    </w:p>
    <w:p w:rsidR="005C489A" w:rsidRPr="008762B1" w:rsidRDefault="00465DDA" w:rsidP="001B197D">
      <w:pPr>
        <w:pStyle w:val="Definition"/>
      </w:pPr>
      <w:proofErr w:type="spellStart"/>
      <w:r w:rsidRPr="008762B1">
        <w:rPr>
          <w:b/>
          <w:i/>
        </w:rPr>
        <w:t>W</w:t>
      </w:r>
      <w:r w:rsidRPr="008762B1">
        <w:rPr>
          <w:b/>
          <w:i/>
          <w:vertAlign w:val="subscript"/>
        </w:rPr>
        <w:t>BG,CH</w:t>
      </w:r>
      <w:proofErr w:type="spellEnd"/>
      <w:r w:rsidRPr="008762B1">
        <w:rPr>
          <w:b/>
          <w:i/>
          <w:position w:val="-6"/>
          <w:vertAlign w:val="subscript"/>
        </w:rPr>
        <w:t>4</w:t>
      </w:r>
      <w:r w:rsidR="004260EE" w:rsidRPr="008762B1">
        <w:t xml:space="preserve"> </w:t>
      </w:r>
      <w:r w:rsidR="00432F39" w:rsidRPr="008762B1">
        <w:t>means</w:t>
      </w:r>
      <w:r w:rsidR="005C489A" w:rsidRPr="008762B1">
        <w:t>:</w:t>
      </w:r>
    </w:p>
    <w:p w:rsidR="008F50D9" w:rsidRPr="008762B1" w:rsidRDefault="005C489A" w:rsidP="005C489A">
      <w:pPr>
        <w:pStyle w:val="paragraph"/>
      </w:pPr>
      <w:r w:rsidRPr="008762B1">
        <w:tab/>
        <w:t>(a)</w:t>
      </w:r>
      <w:r w:rsidRPr="008762B1">
        <w:tab/>
      </w:r>
      <w:r w:rsidR="00265FCA" w:rsidRPr="008762B1">
        <w:t>if</w:t>
      </w:r>
      <w:r w:rsidR="00B26AEE" w:rsidRPr="008762B1">
        <w:t xml:space="preserve"> </w:t>
      </w:r>
      <w:r w:rsidR="009F6272" w:rsidRPr="008762B1">
        <w:t xml:space="preserve">this parameter </w:t>
      </w:r>
      <w:r w:rsidR="00B26AEE" w:rsidRPr="008762B1">
        <w:t xml:space="preserve">is, or is required to be, </w:t>
      </w:r>
      <w:r w:rsidR="009F6272" w:rsidRPr="008762B1">
        <w:t>monitored continuously—</w:t>
      </w:r>
      <w:r w:rsidR="001A26F2" w:rsidRPr="008762B1">
        <w:t>the fraction worked out in accordance w</w:t>
      </w:r>
      <w:r w:rsidR="006A4FFF" w:rsidRPr="008762B1">
        <w:t>ith the monitoring requirements</w:t>
      </w:r>
      <w:r w:rsidR="001A26F2" w:rsidRPr="008762B1">
        <w:t>; or</w:t>
      </w:r>
    </w:p>
    <w:p w:rsidR="005C489A" w:rsidRPr="008762B1" w:rsidRDefault="005C489A" w:rsidP="005C489A">
      <w:pPr>
        <w:pStyle w:val="paragraph"/>
      </w:pPr>
      <w:r w:rsidRPr="008762B1">
        <w:tab/>
        <w:t>(b)</w:t>
      </w:r>
      <w:r w:rsidRPr="008762B1">
        <w:tab/>
      </w:r>
      <w:r w:rsidR="009F6272" w:rsidRPr="008762B1">
        <w:t>otherwise</w:t>
      </w:r>
      <w:r w:rsidRPr="008762B1">
        <w:t>—the fraction mentioned in subsection</w:t>
      </w:r>
      <w:r w:rsidR="008762B1" w:rsidRPr="008762B1">
        <w:t> </w:t>
      </w:r>
      <w:r w:rsidRPr="008762B1">
        <w:t xml:space="preserve">5.37(2) of the </w:t>
      </w:r>
      <w:proofErr w:type="spellStart"/>
      <w:r w:rsidRPr="008762B1">
        <w:t>NGER</w:t>
      </w:r>
      <w:proofErr w:type="spellEnd"/>
      <w:r w:rsidRPr="008762B1">
        <w:t xml:space="preserve"> (Measurement) Determination.</w:t>
      </w:r>
    </w:p>
    <w:p w:rsidR="00A6261B" w:rsidRPr="008762B1" w:rsidRDefault="00A6261B" w:rsidP="00A6261B">
      <w:pPr>
        <w:pStyle w:val="Definition"/>
      </w:pPr>
      <w:r w:rsidRPr="008762B1">
        <w:rPr>
          <w:b/>
          <w:i/>
        </w:rPr>
        <w:t>q</w:t>
      </w:r>
      <w:r w:rsidRPr="008762B1">
        <w:t xml:space="preserve"> means a major venting event </w:t>
      </w:r>
      <w:r w:rsidRPr="008762B1">
        <w:rPr>
          <w:szCs w:val="22"/>
        </w:rPr>
        <w:t xml:space="preserve">associated with the </w:t>
      </w:r>
      <w:r w:rsidRPr="008762B1">
        <w:rPr>
          <w:color w:val="000000" w:themeColor="text1"/>
          <w:szCs w:val="22"/>
        </w:rPr>
        <w:t>anaerobic digester</w:t>
      </w:r>
      <w:r w:rsidRPr="008762B1">
        <w:t>.</w:t>
      </w:r>
    </w:p>
    <w:p w:rsidR="00432F39" w:rsidRPr="008762B1" w:rsidRDefault="004E7255" w:rsidP="00CB23FE">
      <w:pPr>
        <w:pStyle w:val="ActHead5"/>
      </w:pPr>
      <w:bookmarkStart w:id="70" w:name="_Toc407103351"/>
      <w:r w:rsidRPr="008762B1">
        <w:rPr>
          <w:rStyle w:val="CharSectno"/>
        </w:rPr>
        <w:t>38</w:t>
      </w:r>
      <w:r w:rsidR="00A377E3" w:rsidRPr="008762B1">
        <w:t xml:space="preserve">  Emissions from combustion devices</w:t>
      </w:r>
      <w:bookmarkEnd w:id="70"/>
    </w:p>
    <w:p w:rsidR="00432F39" w:rsidRPr="008762B1" w:rsidRDefault="00A377E3" w:rsidP="00A377E3">
      <w:pPr>
        <w:pStyle w:val="subsection"/>
      </w:pPr>
      <w:r w:rsidRPr="008762B1">
        <w:tab/>
      </w:r>
      <w:r w:rsidRPr="008762B1">
        <w:tab/>
      </w:r>
      <w:r w:rsidR="001C55CE" w:rsidRPr="008762B1">
        <w:rPr>
          <w:szCs w:val="22"/>
        </w:rPr>
        <w:t>The emissions</w:t>
      </w:r>
      <w:r w:rsidRPr="008762B1">
        <w:rPr>
          <w:szCs w:val="22"/>
        </w:rPr>
        <w:t xml:space="preserve"> from combustion devices used during a reporting period</w:t>
      </w:r>
      <w:r w:rsidR="004B7440" w:rsidRPr="008762B1">
        <w:rPr>
          <w:szCs w:val="22"/>
        </w:rPr>
        <w:t>, in tonnes CO</w:t>
      </w:r>
      <w:r w:rsidR="004B7440" w:rsidRPr="008762B1">
        <w:rPr>
          <w:szCs w:val="22"/>
          <w:vertAlign w:val="subscript"/>
        </w:rPr>
        <w:t>2</w:t>
      </w:r>
      <w:r w:rsidR="008762B1">
        <w:rPr>
          <w:szCs w:val="22"/>
        </w:rPr>
        <w:noBreakHyphen/>
      </w:r>
      <w:r w:rsidR="004B7440" w:rsidRPr="008762B1">
        <w:rPr>
          <w:szCs w:val="22"/>
        </w:rPr>
        <w:t>e,</w:t>
      </w:r>
      <w:r w:rsidRPr="008762B1">
        <w:rPr>
          <w:szCs w:val="22"/>
        </w:rPr>
        <w:t xml:space="preserve"> are worked out using the formula (</w:t>
      </w:r>
      <w:r w:rsidR="0086684F" w:rsidRPr="008762B1">
        <w:rPr>
          <w:b/>
          <w:i/>
          <w:szCs w:val="22"/>
        </w:rPr>
        <w:t>equation 20</w:t>
      </w:r>
      <w:r w:rsidRPr="008762B1">
        <w:rPr>
          <w:szCs w:val="22"/>
        </w:rPr>
        <w:t>):</w:t>
      </w:r>
    </w:p>
    <w:bookmarkStart w:id="71" w:name="BKCheck15B_23"/>
    <w:bookmarkEnd w:id="71"/>
    <w:p w:rsidR="00C7614C" w:rsidRPr="008762B1" w:rsidRDefault="00FD3CC9" w:rsidP="00C7614C">
      <w:pPr>
        <w:pStyle w:val="subsection2"/>
      </w:pPr>
      <w:r w:rsidRPr="008762B1">
        <w:rPr>
          <w:position w:val="-32"/>
        </w:rPr>
        <w:object w:dxaOrig="3260" w:dyaOrig="1060">
          <v:shape id="_x0000_i1044" type="#_x0000_t75" style="width:162.45pt;height:53pt" o:ole="">
            <v:imagedata r:id="rId59" o:title=""/>
          </v:shape>
          <o:OLEObject Type="Embed" ProgID="Equation.DSMT4" ShapeID="_x0000_i1044" DrawAspect="Content" ObjectID="_1483176418" r:id="rId60"/>
        </w:object>
      </w:r>
    </w:p>
    <w:p w:rsidR="004260EE" w:rsidRPr="008762B1" w:rsidRDefault="00A377E3" w:rsidP="004260EE">
      <w:pPr>
        <w:pStyle w:val="subsection2"/>
      </w:pPr>
      <w:r w:rsidRPr="008762B1">
        <w:t>w</w:t>
      </w:r>
      <w:r w:rsidR="004260EE" w:rsidRPr="008762B1">
        <w:t>here:</w:t>
      </w:r>
    </w:p>
    <w:p w:rsidR="00BA0923" w:rsidRPr="008762B1" w:rsidRDefault="00BA0923" w:rsidP="00BA0923">
      <w:pPr>
        <w:pStyle w:val="Definition"/>
      </w:pPr>
      <w:proofErr w:type="spellStart"/>
      <w:r w:rsidRPr="008762B1">
        <w:rPr>
          <w:b/>
          <w:i/>
        </w:rPr>
        <w:t>E</w:t>
      </w:r>
      <w:r w:rsidR="00A6261B" w:rsidRPr="008762B1">
        <w:rPr>
          <w:b/>
          <w:i/>
          <w:vertAlign w:val="subscript"/>
        </w:rPr>
        <w:t>C</w:t>
      </w:r>
      <w:r w:rsidRPr="008762B1">
        <w:rPr>
          <w:b/>
          <w:i/>
          <w:vertAlign w:val="subscript"/>
        </w:rPr>
        <w:t>om</w:t>
      </w:r>
      <w:proofErr w:type="spellEnd"/>
      <w:r w:rsidRPr="008762B1">
        <w:t xml:space="preserve"> means the </w:t>
      </w:r>
      <w:r w:rsidRPr="008762B1">
        <w:rPr>
          <w:szCs w:val="22"/>
        </w:rPr>
        <w:t>emissions from combustion devices used during the reporting period</w:t>
      </w:r>
      <w:r w:rsidR="004B7440" w:rsidRPr="008762B1">
        <w:rPr>
          <w:szCs w:val="22"/>
        </w:rPr>
        <w:t>, in tonnes CO</w:t>
      </w:r>
      <w:r w:rsidR="004B7440" w:rsidRPr="008762B1">
        <w:rPr>
          <w:szCs w:val="22"/>
          <w:vertAlign w:val="subscript"/>
        </w:rPr>
        <w:t>2</w:t>
      </w:r>
      <w:r w:rsidR="008762B1">
        <w:rPr>
          <w:szCs w:val="22"/>
        </w:rPr>
        <w:noBreakHyphen/>
      </w:r>
      <w:r w:rsidR="004B7440" w:rsidRPr="008762B1">
        <w:rPr>
          <w:szCs w:val="22"/>
        </w:rPr>
        <w:t>e</w:t>
      </w:r>
      <w:r w:rsidRPr="008762B1">
        <w:rPr>
          <w:szCs w:val="22"/>
        </w:rPr>
        <w:t>.</w:t>
      </w:r>
    </w:p>
    <w:p w:rsidR="00BA0923" w:rsidRPr="008762B1" w:rsidRDefault="00BA0923" w:rsidP="004260EE">
      <w:pPr>
        <w:pStyle w:val="Definition"/>
      </w:pPr>
      <w:proofErr w:type="spellStart"/>
      <w:r w:rsidRPr="008762B1">
        <w:rPr>
          <w:b/>
          <w:i/>
        </w:rPr>
        <w:t>M</w:t>
      </w:r>
      <w:r w:rsidR="00A6261B" w:rsidRPr="008762B1">
        <w:rPr>
          <w:b/>
          <w:i/>
          <w:vertAlign w:val="subscript"/>
        </w:rPr>
        <w:t>S</w:t>
      </w:r>
      <w:r w:rsidR="004B7440" w:rsidRPr="008762B1">
        <w:rPr>
          <w:b/>
          <w:i/>
          <w:vertAlign w:val="subscript"/>
        </w:rPr>
        <w:t>ent,</w:t>
      </w:r>
      <w:r w:rsidRPr="008762B1">
        <w:rPr>
          <w:b/>
          <w:i/>
          <w:vertAlign w:val="subscript"/>
        </w:rPr>
        <w:t>h</w:t>
      </w:r>
      <w:proofErr w:type="spellEnd"/>
      <w:r w:rsidRPr="008762B1">
        <w:t xml:space="preserve"> means the volume of metha</w:t>
      </w:r>
      <w:r w:rsidR="004B7440" w:rsidRPr="008762B1">
        <w:t xml:space="preserve">ne sent to combustion device h, in cubic metres, </w:t>
      </w:r>
      <w:r w:rsidRPr="008762B1">
        <w:t>worked out in accordance with section</w:t>
      </w:r>
      <w:r w:rsidR="008762B1" w:rsidRPr="008762B1">
        <w:t> </w:t>
      </w:r>
      <w:r w:rsidR="004E7255" w:rsidRPr="008762B1">
        <w:t>36</w:t>
      </w:r>
      <w:r w:rsidRPr="008762B1">
        <w:t>.</w:t>
      </w:r>
    </w:p>
    <w:p w:rsidR="00CE2437" w:rsidRPr="008762B1" w:rsidRDefault="004260EE" w:rsidP="004260EE">
      <w:pPr>
        <w:pStyle w:val="Definition"/>
      </w:pPr>
      <w:proofErr w:type="spellStart"/>
      <w:r w:rsidRPr="008762B1">
        <w:rPr>
          <w:b/>
          <w:i/>
        </w:rPr>
        <w:t>EC</w:t>
      </w:r>
      <w:r w:rsidRPr="008762B1">
        <w:rPr>
          <w:b/>
          <w:i/>
          <w:vertAlign w:val="subscript"/>
        </w:rPr>
        <w:t>BG</w:t>
      </w:r>
      <w:proofErr w:type="spellEnd"/>
      <w:r w:rsidR="00CE2437" w:rsidRPr="008762B1">
        <w:t xml:space="preserve"> </w:t>
      </w:r>
      <w:r w:rsidR="00A377E3" w:rsidRPr="008762B1">
        <w:t xml:space="preserve">means the energy content factor, in gigajoules per cubic metre, mentioned in </w:t>
      </w:r>
      <w:r w:rsidR="00A377E3" w:rsidRPr="008762B1">
        <w:rPr>
          <w:szCs w:val="22"/>
        </w:rPr>
        <w:t>Part</w:t>
      </w:r>
      <w:r w:rsidR="008762B1" w:rsidRPr="008762B1">
        <w:rPr>
          <w:szCs w:val="22"/>
        </w:rPr>
        <w:t> </w:t>
      </w:r>
      <w:r w:rsidR="00A377E3" w:rsidRPr="008762B1">
        <w:rPr>
          <w:szCs w:val="22"/>
        </w:rPr>
        <w:t>2 of Schedule</w:t>
      </w:r>
      <w:r w:rsidR="008762B1" w:rsidRPr="008762B1">
        <w:rPr>
          <w:szCs w:val="22"/>
        </w:rPr>
        <w:t> </w:t>
      </w:r>
      <w:r w:rsidR="00A377E3" w:rsidRPr="008762B1">
        <w:rPr>
          <w:szCs w:val="22"/>
        </w:rPr>
        <w:t xml:space="preserve">1 to the </w:t>
      </w:r>
      <w:proofErr w:type="spellStart"/>
      <w:r w:rsidR="00A377E3" w:rsidRPr="008762B1">
        <w:rPr>
          <w:szCs w:val="22"/>
        </w:rPr>
        <w:t>NGER</w:t>
      </w:r>
      <w:proofErr w:type="spellEnd"/>
      <w:r w:rsidR="00A377E3" w:rsidRPr="008762B1">
        <w:rPr>
          <w:szCs w:val="22"/>
        </w:rPr>
        <w:t xml:space="preserve"> (Measurement) Determination for </w:t>
      </w:r>
      <w:r w:rsidR="001566E0" w:rsidRPr="008762B1">
        <w:rPr>
          <w:szCs w:val="22"/>
        </w:rPr>
        <w:t xml:space="preserve">sludge </w:t>
      </w:r>
      <w:r w:rsidR="00A377E3" w:rsidRPr="008762B1">
        <w:t>biogas that is captured for combustion (methane only).</w:t>
      </w:r>
    </w:p>
    <w:p w:rsidR="004260EE" w:rsidRPr="008762B1" w:rsidRDefault="004260EE" w:rsidP="004260EE">
      <w:pPr>
        <w:pStyle w:val="Definition"/>
      </w:pPr>
      <w:proofErr w:type="spellStart"/>
      <w:r w:rsidRPr="008762B1">
        <w:rPr>
          <w:b/>
          <w:i/>
        </w:rPr>
        <w:t>EF</w:t>
      </w:r>
      <w:r w:rsidRPr="008762B1">
        <w:rPr>
          <w:b/>
          <w:i/>
          <w:vertAlign w:val="subscript"/>
        </w:rPr>
        <w:t>j</w:t>
      </w:r>
      <w:proofErr w:type="spellEnd"/>
      <w:r w:rsidRPr="008762B1">
        <w:t xml:space="preserve"> </w:t>
      </w:r>
      <w:r w:rsidR="00A377E3" w:rsidRPr="008762B1">
        <w:t xml:space="preserve">means the emission factor, </w:t>
      </w:r>
      <w:r w:rsidR="00E32128" w:rsidRPr="008762B1">
        <w:t xml:space="preserve">in </w:t>
      </w:r>
      <w:r w:rsidRPr="008762B1">
        <w:t xml:space="preserve">kilograms of </w:t>
      </w:r>
      <w:r w:rsidR="00A377E3" w:rsidRPr="008762B1">
        <w:rPr>
          <w:szCs w:val="22"/>
        </w:rPr>
        <w:t>CO</w:t>
      </w:r>
      <w:r w:rsidR="00A377E3" w:rsidRPr="008762B1">
        <w:rPr>
          <w:szCs w:val="22"/>
          <w:vertAlign w:val="subscript"/>
        </w:rPr>
        <w:t>2</w:t>
      </w:r>
      <w:r w:rsidR="008762B1">
        <w:rPr>
          <w:szCs w:val="22"/>
        </w:rPr>
        <w:noBreakHyphen/>
      </w:r>
      <w:r w:rsidR="00A377E3" w:rsidRPr="008762B1">
        <w:rPr>
          <w:szCs w:val="22"/>
        </w:rPr>
        <w:t>e</w:t>
      </w:r>
      <w:r w:rsidR="00A377E3" w:rsidRPr="008762B1">
        <w:t xml:space="preserve"> per gigajoule, </w:t>
      </w:r>
      <w:r w:rsidR="00A377E3" w:rsidRPr="008762B1">
        <w:rPr>
          <w:szCs w:val="22"/>
        </w:rPr>
        <w:t>mentioned in Part</w:t>
      </w:r>
      <w:r w:rsidR="008762B1" w:rsidRPr="008762B1">
        <w:rPr>
          <w:szCs w:val="22"/>
        </w:rPr>
        <w:t> </w:t>
      </w:r>
      <w:r w:rsidR="00A377E3" w:rsidRPr="008762B1">
        <w:rPr>
          <w:szCs w:val="22"/>
        </w:rPr>
        <w:t>2 of Schedule</w:t>
      </w:r>
      <w:r w:rsidR="008762B1" w:rsidRPr="008762B1">
        <w:rPr>
          <w:szCs w:val="22"/>
        </w:rPr>
        <w:t> </w:t>
      </w:r>
      <w:r w:rsidR="00A377E3" w:rsidRPr="008762B1">
        <w:rPr>
          <w:szCs w:val="22"/>
        </w:rPr>
        <w:t xml:space="preserve">1 to the </w:t>
      </w:r>
      <w:proofErr w:type="spellStart"/>
      <w:r w:rsidR="00A377E3" w:rsidRPr="008762B1">
        <w:rPr>
          <w:szCs w:val="22"/>
        </w:rPr>
        <w:t>NGER</w:t>
      </w:r>
      <w:proofErr w:type="spellEnd"/>
      <w:r w:rsidR="00A377E3" w:rsidRPr="008762B1">
        <w:rPr>
          <w:szCs w:val="22"/>
        </w:rPr>
        <w:t xml:space="preserve"> (Measurement) Determination for greenhouse gas type j </w:t>
      </w:r>
      <w:r w:rsidR="00E32128" w:rsidRPr="008762B1">
        <w:rPr>
          <w:szCs w:val="22"/>
        </w:rPr>
        <w:t>and</w:t>
      </w:r>
      <w:r w:rsidR="00A377E3" w:rsidRPr="008762B1">
        <w:t xml:space="preserve"> sludge biogas</w:t>
      </w:r>
      <w:r w:rsidR="000F2B55" w:rsidRPr="008762B1">
        <w:t xml:space="preserve"> that is captured for combustion (methane only).</w:t>
      </w:r>
    </w:p>
    <w:p w:rsidR="00A6261B" w:rsidRPr="008762B1" w:rsidRDefault="00A6261B" w:rsidP="00A6261B">
      <w:pPr>
        <w:pStyle w:val="Definition"/>
      </w:pPr>
      <w:r w:rsidRPr="008762B1">
        <w:rPr>
          <w:b/>
          <w:i/>
        </w:rPr>
        <w:t>h</w:t>
      </w:r>
      <w:r w:rsidRPr="008762B1">
        <w:t xml:space="preserve"> means a combustion device used during the reporting period.</w:t>
      </w:r>
    </w:p>
    <w:p w:rsidR="00A6261B" w:rsidRPr="008762B1" w:rsidRDefault="00A6261B" w:rsidP="00A6261B">
      <w:pPr>
        <w:pStyle w:val="Definition"/>
      </w:pPr>
      <w:r w:rsidRPr="008762B1">
        <w:rPr>
          <w:b/>
          <w:i/>
        </w:rPr>
        <w:t>j</w:t>
      </w:r>
      <w:r w:rsidRPr="008762B1">
        <w:t xml:space="preserve"> means a greenhouse gas type, being </w:t>
      </w:r>
      <w:r w:rsidR="001566E0" w:rsidRPr="008762B1">
        <w:t>methane or nitrous oxide</w:t>
      </w:r>
      <w:r w:rsidRPr="008762B1">
        <w:t>.</w:t>
      </w:r>
    </w:p>
    <w:p w:rsidR="00020DCE" w:rsidRPr="008762B1" w:rsidRDefault="00020DCE" w:rsidP="00020DCE">
      <w:pPr>
        <w:pStyle w:val="ActHead3"/>
        <w:pageBreakBefore/>
      </w:pPr>
      <w:bookmarkStart w:id="72" w:name="_Toc407103352"/>
      <w:r w:rsidRPr="008762B1">
        <w:rPr>
          <w:rStyle w:val="CharDivNo"/>
        </w:rPr>
        <w:lastRenderedPageBreak/>
        <w:t>Division</w:t>
      </w:r>
      <w:r w:rsidR="008762B1" w:rsidRPr="008762B1">
        <w:rPr>
          <w:rStyle w:val="CharDivNo"/>
        </w:rPr>
        <w:t> </w:t>
      </w:r>
      <w:r w:rsidR="00C0781A" w:rsidRPr="008762B1">
        <w:rPr>
          <w:rStyle w:val="CharDivNo"/>
        </w:rPr>
        <w:t>4</w:t>
      </w:r>
      <w:r w:rsidRPr="008762B1">
        <w:t>—</w:t>
      </w:r>
      <w:r w:rsidR="000D4C36" w:rsidRPr="008762B1">
        <w:rPr>
          <w:rStyle w:val="CharDivText"/>
        </w:rPr>
        <w:t>Method for calculating</w:t>
      </w:r>
      <w:r w:rsidR="00680542" w:rsidRPr="008762B1">
        <w:rPr>
          <w:rStyle w:val="CharDivText"/>
        </w:rPr>
        <w:t xml:space="preserve"> legacy</w:t>
      </w:r>
      <w:r w:rsidRPr="008762B1">
        <w:rPr>
          <w:rStyle w:val="CharDivText"/>
        </w:rPr>
        <w:t xml:space="preserve"> abatement </w:t>
      </w:r>
      <w:r w:rsidR="000D4C36" w:rsidRPr="008762B1">
        <w:rPr>
          <w:rStyle w:val="CharDivText"/>
        </w:rPr>
        <w:t>portions</w:t>
      </w:r>
      <w:bookmarkEnd w:id="72"/>
    </w:p>
    <w:p w:rsidR="00084685" w:rsidRPr="008762B1" w:rsidRDefault="004E7255" w:rsidP="00552895">
      <w:pPr>
        <w:pStyle w:val="ActHead5"/>
      </w:pPr>
      <w:bookmarkStart w:id="73" w:name="_Toc407103353"/>
      <w:r w:rsidRPr="008762B1">
        <w:rPr>
          <w:rStyle w:val="CharSectno"/>
        </w:rPr>
        <w:t>39</w:t>
      </w:r>
      <w:r w:rsidR="00084685" w:rsidRPr="008762B1">
        <w:t xml:space="preserve">  Summary</w:t>
      </w:r>
      <w:bookmarkEnd w:id="73"/>
    </w:p>
    <w:p w:rsidR="00617EE4" w:rsidRPr="008762B1" w:rsidRDefault="00803CAA" w:rsidP="00B249ED">
      <w:pPr>
        <w:pStyle w:val="SOText"/>
      </w:pPr>
      <w:r w:rsidRPr="008762B1">
        <w:t>L</w:t>
      </w:r>
      <w:r w:rsidR="00617EE4" w:rsidRPr="008762B1">
        <w:t>egacy abatement portions</w:t>
      </w:r>
      <w:r w:rsidRPr="008762B1">
        <w:t xml:space="preserve"> are only relevant for transitioning projects</w:t>
      </w:r>
      <w:r w:rsidR="00617EE4" w:rsidRPr="008762B1">
        <w:t>.</w:t>
      </w:r>
    </w:p>
    <w:p w:rsidR="00617EE4" w:rsidRPr="008762B1" w:rsidRDefault="00617EE4" w:rsidP="00B249ED">
      <w:pPr>
        <w:pStyle w:val="SOText"/>
      </w:pPr>
      <w:r w:rsidRPr="008762B1">
        <w:t xml:space="preserve">The legacy abatement portions are worked out by </w:t>
      </w:r>
      <w:r w:rsidR="00E35767" w:rsidRPr="008762B1">
        <w:t>dividing into 3 equal portions</w:t>
      </w:r>
      <w:r w:rsidRPr="008762B1">
        <w:t xml:space="preserve"> </w:t>
      </w:r>
      <w:r w:rsidR="00084685" w:rsidRPr="008762B1">
        <w:t>the abatement</w:t>
      </w:r>
      <w:r w:rsidR="00540030" w:rsidRPr="008762B1">
        <w:t xml:space="preserve"> resulting</w:t>
      </w:r>
      <w:r w:rsidRPr="008762B1">
        <w:t xml:space="preserve"> </w:t>
      </w:r>
      <w:r w:rsidR="00084685" w:rsidRPr="008762B1">
        <w:t xml:space="preserve">from </w:t>
      </w:r>
      <w:r w:rsidRPr="008762B1">
        <w:t>the</w:t>
      </w:r>
      <w:r w:rsidR="00084685" w:rsidRPr="008762B1">
        <w:t xml:space="preserve"> transitioning project’s activities before this determination be</w:t>
      </w:r>
      <w:r w:rsidRPr="008762B1">
        <w:t xml:space="preserve">comes </w:t>
      </w:r>
      <w:r w:rsidR="00084685" w:rsidRPr="008762B1">
        <w:t>the applicable methodology determination for the project</w:t>
      </w:r>
      <w:r w:rsidR="00540030" w:rsidRPr="008762B1">
        <w:t xml:space="preserve">. </w:t>
      </w:r>
      <w:r w:rsidR="00803CAA" w:rsidRPr="008762B1">
        <w:t xml:space="preserve">Legacy abatement portions only include </w:t>
      </w:r>
      <w:r w:rsidRPr="008762B1">
        <w:t>abatement that has</w:t>
      </w:r>
      <w:r w:rsidR="00084685" w:rsidRPr="008762B1">
        <w:t xml:space="preserve"> not been reflected in unit entitlement </w:t>
      </w:r>
      <w:r w:rsidRPr="008762B1">
        <w:t>specified in</w:t>
      </w:r>
      <w:r w:rsidR="00084685" w:rsidRPr="008762B1">
        <w:t xml:space="preserve"> a certificate of entitlement</w:t>
      </w:r>
      <w:r w:rsidRPr="008762B1">
        <w:t xml:space="preserve"> for the project</w:t>
      </w:r>
      <w:r w:rsidR="00540030" w:rsidRPr="008762B1">
        <w:t>.</w:t>
      </w:r>
    </w:p>
    <w:p w:rsidR="00084685" w:rsidRPr="008762B1" w:rsidRDefault="00617EE4" w:rsidP="00B249ED">
      <w:pPr>
        <w:pStyle w:val="SOText"/>
      </w:pPr>
      <w:r w:rsidRPr="008762B1">
        <w:t>The legacy abatement portions are used to calculate the carbon dioxide equivalent net abatement amount for the first reporting period for the project and subsequent reporting periods</w:t>
      </w:r>
      <w:r w:rsidR="00BB0727" w:rsidRPr="008762B1">
        <w:t xml:space="preserve"> as the portions accrue</w:t>
      </w:r>
      <w:r w:rsidRPr="008762B1">
        <w:t>.</w:t>
      </w:r>
    </w:p>
    <w:p w:rsidR="009774AA" w:rsidRPr="008762B1" w:rsidRDefault="004E7255" w:rsidP="009774AA">
      <w:pPr>
        <w:pStyle w:val="ActHead5"/>
      </w:pPr>
      <w:bookmarkStart w:id="74" w:name="_Toc407103354"/>
      <w:r w:rsidRPr="008762B1">
        <w:rPr>
          <w:rStyle w:val="CharSectno"/>
        </w:rPr>
        <w:t>40</w:t>
      </w:r>
      <w:r w:rsidR="009774AA" w:rsidRPr="008762B1">
        <w:t xml:space="preserve">  Timing of calculation</w:t>
      </w:r>
      <w:bookmarkEnd w:id="74"/>
    </w:p>
    <w:p w:rsidR="009774AA" w:rsidRPr="008762B1" w:rsidRDefault="009774AA" w:rsidP="009774AA">
      <w:pPr>
        <w:pStyle w:val="subsection"/>
      </w:pPr>
      <w:r w:rsidRPr="008762B1">
        <w:tab/>
      </w:r>
      <w:r w:rsidRPr="008762B1">
        <w:tab/>
        <w:t xml:space="preserve">Legacy abatement portions for a transitioning project are </w:t>
      </w:r>
      <w:r w:rsidR="00821F48" w:rsidRPr="008762B1">
        <w:t>worked out</w:t>
      </w:r>
      <w:r w:rsidRPr="008762B1">
        <w:t xml:space="preserve"> </w:t>
      </w:r>
      <w:r w:rsidR="00B07F88" w:rsidRPr="008762B1">
        <w:t>once,</w:t>
      </w:r>
      <w:r w:rsidRPr="008762B1">
        <w:t xml:space="preserve"> </w:t>
      </w:r>
      <w:r w:rsidR="00B07F88" w:rsidRPr="008762B1">
        <w:t>during the</w:t>
      </w:r>
      <w:r w:rsidRPr="008762B1">
        <w:t xml:space="preserve"> first r</w:t>
      </w:r>
      <w:r w:rsidR="00B6745D" w:rsidRPr="008762B1">
        <w:t>eporting period for the project</w:t>
      </w:r>
      <w:r w:rsidRPr="008762B1">
        <w:t>.</w:t>
      </w:r>
    </w:p>
    <w:p w:rsidR="003F3228" w:rsidRPr="008762B1" w:rsidRDefault="004E7255" w:rsidP="003F3228">
      <w:pPr>
        <w:pStyle w:val="ActHead5"/>
      </w:pPr>
      <w:bookmarkStart w:id="75" w:name="_Toc407103355"/>
      <w:r w:rsidRPr="008762B1">
        <w:rPr>
          <w:rStyle w:val="CharSectno"/>
        </w:rPr>
        <w:t>41</w:t>
      </w:r>
      <w:r w:rsidR="003F3228" w:rsidRPr="008762B1">
        <w:t xml:space="preserve">  </w:t>
      </w:r>
      <w:r w:rsidR="00976D07" w:rsidRPr="008762B1">
        <w:t>Calculation and accrual of l</w:t>
      </w:r>
      <w:r w:rsidR="003F3228" w:rsidRPr="008762B1">
        <w:t xml:space="preserve">egacy abatement </w:t>
      </w:r>
      <w:r w:rsidR="00976D07" w:rsidRPr="008762B1">
        <w:t>portions</w:t>
      </w:r>
      <w:bookmarkEnd w:id="75"/>
    </w:p>
    <w:p w:rsidR="00020DCE" w:rsidRPr="008762B1" w:rsidRDefault="00020DCE" w:rsidP="003F3228">
      <w:pPr>
        <w:pStyle w:val="subsection"/>
        <w:rPr>
          <w:szCs w:val="22"/>
        </w:rPr>
      </w:pPr>
      <w:r w:rsidRPr="008762B1">
        <w:tab/>
        <w:t>(</w:t>
      </w:r>
      <w:r w:rsidR="003F3228" w:rsidRPr="008762B1">
        <w:t>1</w:t>
      </w:r>
      <w:r w:rsidRPr="008762B1">
        <w:t>)</w:t>
      </w:r>
      <w:r w:rsidRPr="008762B1">
        <w:tab/>
      </w:r>
      <w:r w:rsidR="00FB1986" w:rsidRPr="008762B1">
        <w:t>T</w:t>
      </w:r>
      <w:r w:rsidR="003F3228" w:rsidRPr="008762B1">
        <w:t>he</w:t>
      </w:r>
      <w:r w:rsidR="00032AE2" w:rsidRPr="008762B1">
        <w:rPr>
          <w:szCs w:val="22"/>
        </w:rPr>
        <w:t xml:space="preserve"> legacy</w:t>
      </w:r>
      <w:r w:rsidRPr="008762B1">
        <w:rPr>
          <w:szCs w:val="22"/>
        </w:rPr>
        <w:t xml:space="preserve"> abatement </w:t>
      </w:r>
      <w:r w:rsidR="00976D07" w:rsidRPr="008762B1">
        <w:rPr>
          <w:szCs w:val="22"/>
        </w:rPr>
        <w:t>portions</w:t>
      </w:r>
      <w:r w:rsidR="00B07F88" w:rsidRPr="008762B1">
        <w:t xml:space="preserve"> </w:t>
      </w:r>
      <w:r w:rsidR="004B7440" w:rsidRPr="008762B1">
        <w:t>for a transitioning project</w:t>
      </w:r>
      <w:r w:rsidR="004B7440" w:rsidRPr="008762B1">
        <w:rPr>
          <w:szCs w:val="22"/>
        </w:rPr>
        <w:t xml:space="preserve">, </w:t>
      </w:r>
      <w:r w:rsidR="004B7440" w:rsidRPr="008762B1">
        <w:t>in tonnes CO</w:t>
      </w:r>
      <w:r w:rsidR="004B7440" w:rsidRPr="008762B1">
        <w:rPr>
          <w:vertAlign w:val="subscript"/>
        </w:rPr>
        <w:t>2</w:t>
      </w:r>
      <w:r w:rsidR="008762B1">
        <w:noBreakHyphen/>
      </w:r>
      <w:r w:rsidR="004B7440" w:rsidRPr="008762B1">
        <w:t xml:space="preserve">e, </w:t>
      </w:r>
      <w:r w:rsidR="00976D07" w:rsidRPr="008762B1">
        <w:rPr>
          <w:szCs w:val="22"/>
        </w:rPr>
        <w:t>are</w:t>
      </w:r>
      <w:r w:rsidRPr="008762B1">
        <w:rPr>
          <w:szCs w:val="22"/>
        </w:rPr>
        <w:t xml:space="preserve"> worked out</w:t>
      </w:r>
      <w:r w:rsidR="00976D07" w:rsidRPr="008762B1">
        <w:rPr>
          <w:szCs w:val="22"/>
        </w:rPr>
        <w:t xml:space="preserve"> </w:t>
      </w:r>
      <w:r w:rsidRPr="008762B1">
        <w:rPr>
          <w:szCs w:val="22"/>
        </w:rPr>
        <w:t>using the formula (</w:t>
      </w:r>
      <w:r w:rsidR="0086684F" w:rsidRPr="008762B1">
        <w:rPr>
          <w:b/>
          <w:i/>
          <w:szCs w:val="22"/>
        </w:rPr>
        <w:t>equation 21</w:t>
      </w:r>
      <w:r w:rsidRPr="008762B1">
        <w:rPr>
          <w:szCs w:val="22"/>
        </w:rPr>
        <w:t>):</w:t>
      </w:r>
    </w:p>
    <w:bookmarkStart w:id="76" w:name="BKCheck15B_24"/>
    <w:bookmarkEnd w:id="76"/>
    <w:p w:rsidR="00020DCE" w:rsidRPr="008762B1" w:rsidRDefault="00E35767" w:rsidP="00020DCE">
      <w:pPr>
        <w:pStyle w:val="subsection2"/>
      </w:pPr>
      <w:r w:rsidRPr="008762B1">
        <w:rPr>
          <w:position w:val="-32"/>
        </w:rPr>
        <w:object w:dxaOrig="2100" w:dyaOrig="900">
          <v:shape id="_x0000_i1045" type="#_x0000_t75" style="width:106pt;height:45.5pt" o:ole="">
            <v:imagedata r:id="rId61" o:title=""/>
          </v:shape>
          <o:OLEObject Type="Embed" ProgID="Equation.DSMT4" ShapeID="_x0000_i1045" DrawAspect="Content" ObjectID="_1483176419" r:id="rId62"/>
        </w:object>
      </w:r>
    </w:p>
    <w:p w:rsidR="00020DCE" w:rsidRPr="008762B1" w:rsidRDefault="00020DCE" w:rsidP="00020DCE">
      <w:pPr>
        <w:pStyle w:val="subsection2"/>
      </w:pPr>
      <w:r w:rsidRPr="008762B1">
        <w:t>where:</w:t>
      </w:r>
    </w:p>
    <w:p w:rsidR="00020DCE" w:rsidRPr="008762B1" w:rsidRDefault="00020DCE" w:rsidP="00020DCE">
      <w:pPr>
        <w:pStyle w:val="Definition"/>
      </w:pPr>
      <w:r w:rsidRPr="008762B1">
        <w:rPr>
          <w:b/>
          <w:i/>
        </w:rPr>
        <w:t>A</w:t>
      </w:r>
      <w:r w:rsidRPr="008762B1">
        <w:rPr>
          <w:b/>
          <w:i/>
          <w:vertAlign w:val="subscript"/>
        </w:rPr>
        <w:t>CFI</w:t>
      </w:r>
      <w:r w:rsidR="007B3EC3" w:rsidRPr="008762B1">
        <w:rPr>
          <w:b/>
          <w:i/>
          <w:vertAlign w:val="subscript"/>
        </w:rPr>
        <w:t>,y</w:t>
      </w:r>
      <w:r w:rsidR="00032AE2" w:rsidRPr="008762B1">
        <w:t xml:space="preserve"> means legacy</w:t>
      </w:r>
      <w:r w:rsidRPr="008762B1">
        <w:t xml:space="preserve"> abatement </w:t>
      </w:r>
      <w:r w:rsidR="00B07F88" w:rsidRPr="008762B1">
        <w:t>p</w:t>
      </w:r>
      <w:r w:rsidR="007B3EC3" w:rsidRPr="008762B1">
        <w:t>ortion A</w:t>
      </w:r>
      <w:r w:rsidR="007B3EC3" w:rsidRPr="008762B1">
        <w:rPr>
          <w:vertAlign w:val="subscript"/>
        </w:rPr>
        <w:t>CFI,1</w:t>
      </w:r>
      <w:r w:rsidR="007B3EC3" w:rsidRPr="008762B1">
        <w:t>, A</w:t>
      </w:r>
      <w:r w:rsidR="007B3EC3" w:rsidRPr="008762B1">
        <w:rPr>
          <w:vertAlign w:val="subscript"/>
        </w:rPr>
        <w:t>CFI,2</w:t>
      </w:r>
      <w:r w:rsidR="007B3EC3" w:rsidRPr="008762B1">
        <w:t xml:space="preserve"> </w:t>
      </w:r>
      <w:r w:rsidR="00397517" w:rsidRPr="008762B1">
        <w:t>or</w:t>
      </w:r>
      <w:r w:rsidR="007B3EC3" w:rsidRPr="008762B1">
        <w:t xml:space="preserve"> A</w:t>
      </w:r>
      <w:r w:rsidR="007B3EC3" w:rsidRPr="008762B1">
        <w:rPr>
          <w:vertAlign w:val="subscript"/>
        </w:rPr>
        <w:t>CFI,3</w:t>
      </w:r>
      <w:r w:rsidR="004B7440" w:rsidRPr="008762B1">
        <w:t>, in tonnes CO</w:t>
      </w:r>
      <w:r w:rsidR="004B7440" w:rsidRPr="008762B1">
        <w:rPr>
          <w:vertAlign w:val="subscript"/>
        </w:rPr>
        <w:t>2</w:t>
      </w:r>
      <w:r w:rsidR="008762B1">
        <w:noBreakHyphen/>
      </w:r>
      <w:r w:rsidR="004B7440" w:rsidRPr="008762B1">
        <w:t>e.</w:t>
      </w:r>
    </w:p>
    <w:p w:rsidR="003C35DB" w:rsidRPr="008762B1" w:rsidRDefault="00701850" w:rsidP="00AC5041">
      <w:pPr>
        <w:pStyle w:val="Definition"/>
      </w:pPr>
      <w:r w:rsidRPr="008762B1">
        <w:rPr>
          <w:b/>
          <w:i/>
        </w:rPr>
        <w:t>A</w:t>
      </w:r>
      <w:r w:rsidRPr="008762B1">
        <w:rPr>
          <w:b/>
          <w:i/>
          <w:vertAlign w:val="subscript"/>
        </w:rPr>
        <w:t>CFI,</w:t>
      </w:r>
      <w:r w:rsidR="00E35767" w:rsidRPr="008762B1">
        <w:rPr>
          <w:b/>
          <w:i/>
          <w:vertAlign w:val="subscript"/>
        </w:rPr>
        <w:t>N</w:t>
      </w:r>
      <w:r w:rsidRPr="008762B1">
        <w:t xml:space="preserve"> </w:t>
      </w:r>
      <w:r w:rsidR="007354C5" w:rsidRPr="008762B1">
        <w:t>m</w:t>
      </w:r>
      <w:r w:rsidR="007B7C57" w:rsidRPr="008762B1">
        <w:t xml:space="preserve">eans </w:t>
      </w:r>
      <w:r w:rsidR="003C35DB" w:rsidRPr="008762B1">
        <w:t>the carbon dioxide equivalent net abatement amount</w:t>
      </w:r>
      <w:r w:rsidR="001C55CE" w:rsidRPr="008762B1">
        <w:t xml:space="preserve">, in tonnes </w:t>
      </w:r>
      <w:r w:rsidR="0054098D" w:rsidRPr="008762B1">
        <w:t>CO</w:t>
      </w:r>
      <w:r w:rsidR="0054098D" w:rsidRPr="008762B1">
        <w:rPr>
          <w:vertAlign w:val="subscript"/>
        </w:rPr>
        <w:t>2</w:t>
      </w:r>
      <w:r w:rsidR="008762B1">
        <w:noBreakHyphen/>
      </w:r>
      <w:r w:rsidR="0054098D" w:rsidRPr="008762B1">
        <w:t>e,</w:t>
      </w:r>
      <w:r w:rsidR="007354C5" w:rsidRPr="008762B1">
        <w:t xml:space="preserve"> </w:t>
      </w:r>
      <w:r w:rsidR="003C35DB" w:rsidRPr="008762B1">
        <w:t>that was:</w:t>
      </w:r>
    </w:p>
    <w:p w:rsidR="003C35DB" w:rsidRPr="008762B1" w:rsidRDefault="003C35DB" w:rsidP="003C35DB">
      <w:pPr>
        <w:pStyle w:val="paragraph"/>
      </w:pPr>
      <w:r w:rsidRPr="008762B1">
        <w:tab/>
        <w:t>(a)</w:t>
      </w:r>
      <w:r w:rsidRPr="008762B1">
        <w:tab/>
      </w:r>
      <w:r w:rsidR="00AC5041" w:rsidRPr="008762B1">
        <w:t>the carbon dioxide equival</w:t>
      </w:r>
      <w:r w:rsidR="00242AFA" w:rsidRPr="008762B1">
        <w:t xml:space="preserve">ent net abatement amount </w:t>
      </w:r>
      <w:r w:rsidRPr="008762B1">
        <w:t xml:space="preserve">for the project in relation to the reporting </w:t>
      </w:r>
      <w:r w:rsidR="00397517" w:rsidRPr="008762B1">
        <w:t>period</w:t>
      </w:r>
      <w:r w:rsidRPr="008762B1">
        <w:t xml:space="preserve"> that started when the declaration of the project as an eligible offsets project under section</w:t>
      </w:r>
      <w:r w:rsidR="008762B1" w:rsidRPr="008762B1">
        <w:t> </w:t>
      </w:r>
      <w:r w:rsidRPr="008762B1">
        <w:t>27 of the Act took effect; and</w:t>
      </w:r>
    </w:p>
    <w:p w:rsidR="007B3EC3" w:rsidRPr="008762B1" w:rsidRDefault="003C35DB" w:rsidP="003C35DB">
      <w:pPr>
        <w:pStyle w:val="paragraph"/>
      </w:pPr>
      <w:r w:rsidRPr="008762B1">
        <w:tab/>
        <w:t>(b)</w:t>
      </w:r>
      <w:r w:rsidRPr="008762B1">
        <w:tab/>
        <w:t xml:space="preserve">worked out </w:t>
      </w:r>
      <w:r w:rsidR="00FA378B" w:rsidRPr="008762B1">
        <w:t xml:space="preserve">under the applicable </w:t>
      </w:r>
      <w:r w:rsidR="009440A3" w:rsidRPr="008762B1">
        <w:t>equation</w:t>
      </w:r>
      <w:r w:rsidR="00FA378B" w:rsidRPr="008762B1">
        <w:t xml:space="preserve"> for </w:t>
      </w:r>
      <w:r w:rsidRPr="008762B1">
        <w:t>the proj</w:t>
      </w:r>
      <w:r w:rsidR="00476683" w:rsidRPr="008762B1">
        <w:t xml:space="preserve">ect </w:t>
      </w:r>
      <w:r w:rsidR="00F61B4B" w:rsidRPr="008762B1">
        <w:t>that was</w:t>
      </w:r>
      <w:r w:rsidR="00476683" w:rsidRPr="008762B1">
        <w:t xml:space="preserve"> in force </w:t>
      </w:r>
      <w:r w:rsidR="00F61B4B" w:rsidRPr="008762B1">
        <w:t>for the purposes of calculating that amount for that reporting period</w:t>
      </w:r>
      <w:r w:rsidR="00AC5041" w:rsidRPr="008762B1">
        <w:t>.</w:t>
      </w:r>
    </w:p>
    <w:p w:rsidR="00BC597C" w:rsidRPr="008762B1" w:rsidRDefault="00020DCE" w:rsidP="007B3EC3">
      <w:pPr>
        <w:pStyle w:val="Definition"/>
      </w:pPr>
      <w:r w:rsidRPr="008762B1">
        <w:rPr>
          <w:b/>
          <w:i/>
        </w:rPr>
        <w:t>A</w:t>
      </w:r>
      <w:r w:rsidR="00010657" w:rsidRPr="008762B1">
        <w:rPr>
          <w:b/>
          <w:i/>
          <w:vertAlign w:val="subscript"/>
        </w:rPr>
        <w:t>CFI,</w:t>
      </w:r>
      <w:r w:rsidR="00E35767" w:rsidRPr="008762B1">
        <w:rPr>
          <w:b/>
          <w:i/>
          <w:vertAlign w:val="subscript"/>
        </w:rPr>
        <w:t>C</w:t>
      </w:r>
      <w:r w:rsidRPr="008762B1">
        <w:t xml:space="preserve"> </w:t>
      </w:r>
      <w:r w:rsidR="007B7C57" w:rsidRPr="008762B1">
        <w:t xml:space="preserve">means </w:t>
      </w:r>
      <w:r w:rsidR="003F3228" w:rsidRPr="008762B1">
        <w:t>the</w:t>
      </w:r>
      <w:r w:rsidR="007B7C57" w:rsidRPr="008762B1">
        <w:t xml:space="preserve"> </w:t>
      </w:r>
      <w:r w:rsidR="00780DA1" w:rsidRPr="008762B1">
        <w:t>amount</w:t>
      </w:r>
      <w:r w:rsidR="005F3979" w:rsidRPr="008762B1">
        <w:t xml:space="preserve"> </w:t>
      </w:r>
      <w:r w:rsidR="00780DA1" w:rsidRPr="008762B1">
        <w:t xml:space="preserve">that is the sum of the number </w:t>
      </w:r>
      <w:r w:rsidR="005F3979" w:rsidRPr="008762B1">
        <w:t xml:space="preserve">of unit entitlement specified in </w:t>
      </w:r>
      <w:r w:rsidR="00E35767" w:rsidRPr="008762B1">
        <w:t xml:space="preserve">each </w:t>
      </w:r>
      <w:r w:rsidR="005F3979" w:rsidRPr="008762B1">
        <w:t>certificate of entitlement issued in respect of the project</w:t>
      </w:r>
      <w:r w:rsidR="00780DA1" w:rsidRPr="008762B1">
        <w:t xml:space="preserve"> for </w:t>
      </w:r>
      <w:r w:rsidR="00E35767" w:rsidRPr="008762B1">
        <w:t>each</w:t>
      </w:r>
      <w:r w:rsidR="00780DA1" w:rsidRPr="008762B1">
        <w:t xml:space="preserve"> reporting period that ended before this determination became the applicable methodology determination for the project</w:t>
      </w:r>
      <w:r w:rsidR="004B7440" w:rsidRPr="008762B1">
        <w:t>, in tonnes CO</w:t>
      </w:r>
      <w:r w:rsidR="004B7440" w:rsidRPr="008762B1">
        <w:rPr>
          <w:vertAlign w:val="subscript"/>
        </w:rPr>
        <w:t>2</w:t>
      </w:r>
      <w:r w:rsidR="008762B1">
        <w:noBreakHyphen/>
      </w:r>
      <w:r w:rsidR="004B7440" w:rsidRPr="008762B1">
        <w:t>e</w:t>
      </w:r>
      <w:r w:rsidR="00780DA1" w:rsidRPr="008762B1">
        <w:t>.</w:t>
      </w:r>
    </w:p>
    <w:p w:rsidR="00701850" w:rsidRPr="008762B1" w:rsidRDefault="00701850" w:rsidP="00701850">
      <w:pPr>
        <w:pStyle w:val="notetext"/>
        <w:rPr>
          <w:b/>
        </w:rPr>
      </w:pPr>
      <w:r w:rsidRPr="008762B1">
        <w:t>Note 1:</w:t>
      </w:r>
      <w:r w:rsidRPr="008762B1">
        <w:tab/>
        <w:t>A</w:t>
      </w:r>
      <w:r w:rsidRPr="008762B1">
        <w:rPr>
          <w:vertAlign w:val="subscript"/>
        </w:rPr>
        <w:t>CFI,</w:t>
      </w:r>
      <w:r w:rsidR="00E35767" w:rsidRPr="008762B1">
        <w:rPr>
          <w:vertAlign w:val="subscript"/>
        </w:rPr>
        <w:t>N</w:t>
      </w:r>
      <w:r w:rsidRPr="008762B1">
        <w:t xml:space="preserve"> will generally be the carbon dioxide equivalent net abatement amount included in the offsets report about the project for the reporting period that started when the </w:t>
      </w:r>
      <w:r w:rsidRPr="008762B1">
        <w:lastRenderedPageBreak/>
        <w:t>declaration of the project as an eligible offsets project under section</w:t>
      </w:r>
      <w:r w:rsidR="008762B1" w:rsidRPr="008762B1">
        <w:t> </w:t>
      </w:r>
      <w:r w:rsidRPr="008762B1">
        <w:t>27 of the Act took effect.</w:t>
      </w:r>
    </w:p>
    <w:p w:rsidR="00397517" w:rsidRPr="008762B1" w:rsidRDefault="00397517" w:rsidP="00397517">
      <w:pPr>
        <w:pStyle w:val="notetext"/>
      </w:pPr>
      <w:r w:rsidRPr="008762B1">
        <w:t>Note</w:t>
      </w:r>
      <w:r w:rsidR="00701850" w:rsidRPr="008762B1">
        <w:t xml:space="preserve"> 2</w:t>
      </w:r>
      <w:r w:rsidRPr="008762B1">
        <w:t>:</w:t>
      </w:r>
      <w:r w:rsidRPr="008762B1">
        <w:tab/>
      </w:r>
      <w:r w:rsidR="00010657" w:rsidRPr="008762B1">
        <w:t>The result of subtracting A</w:t>
      </w:r>
      <w:r w:rsidR="00010657" w:rsidRPr="008762B1">
        <w:rPr>
          <w:vertAlign w:val="subscript"/>
        </w:rPr>
        <w:t>CFI,</w:t>
      </w:r>
      <w:r w:rsidR="00E35767" w:rsidRPr="008762B1">
        <w:rPr>
          <w:vertAlign w:val="subscript"/>
        </w:rPr>
        <w:t>C</w:t>
      </w:r>
      <w:r w:rsidR="00010657" w:rsidRPr="008762B1">
        <w:t xml:space="preserve"> from A</w:t>
      </w:r>
      <w:r w:rsidR="00010657" w:rsidRPr="008762B1">
        <w:rPr>
          <w:vertAlign w:val="subscript"/>
        </w:rPr>
        <w:t>CFI,</w:t>
      </w:r>
      <w:r w:rsidR="00E35767" w:rsidRPr="008762B1">
        <w:rPr>
          <w:vertAlign w:val="subscript"/>
        </w:rPr>
        <w:t>N</w:t>
      </w:r>
      <w:r w:rsidR="00010657" w:rsidRPr="008762B1">
        <w:t xml:space="preserve"> is divided by 3 because this is the number of years</w:t>
      </w:r>
      <w:r w:rsidR="00297B3B" w:rsidRPr="008762B1">
        <w:t xml:space="preserve"> remaining, after 1</w:t>
      </w:r>
      <w:r w:rsidR="008762B1" w:rsidRPr="008762B1">
        <w:t> </w:t>
      </w:r>
      <w:r w:rsidR="00297B3B" w:rsidRPr="008762B1">
        <w:t>July 2014, in the 7</w:t>
      </w:r>
      <w:r w:rsidR="008762B1">
        <w:noBreakHyphen/>
      </w:r>
      <w:r w:rsidR="00297B3B" w:rsidRPr="008762B1">
        <w:t>year period that started on 1</w:t>
      </w:r>
      <w:r w:rsidR="008762B1" w:rsidRPr="008762B1">
        <w:t> </w:t>
      </w:r>
      <w:r w:rsidR="00297B3B" w:rsidRPr="008762B1">
        <w:t>July 2010.</w:t>
      </w:r>
    </w:p>
    <w:p w:rsidR="009B2873" w:rsidRPr="008762B1" w:rsidRDefault="005F3979" w:rsidP="009B2873">
      <w:pPr>
        <w:pStyle w:val="subsection"/>
      </w:pPr>
      <w:r w:rsidRPr="008762B1">
        <w:tab/>
        <w:t>(2</w:t>
      </w:r>
      <w:r w:rsidR="009B2873" w:rsidRPr="008762B1">
        <w:t>)</w:t>
      </w:r>
      <w:r w:rsidR="009B2873" w:rsidRPr="008762B1">
        <w:tab/>
      </w:r>
      <w:r w:rsidR="00520CCC" w:rsidRPr="008762B1">
        <w:t>The legacy abatement portions accrue as follows:</w:t>
      </w:r>
    </w:p>
    <w:p w:rsidR="00780DA1" w:rsidRPr="008762B1" w:rsidRDefault="00780DA1" w:rsidP="00780DA1">
      <w:pPr>
        <w:pStyle w:val="paragraph"/>
      </w:pPr>
      <w:r w:rsidRPr="008762B1">
        <w:tab/>
        <w:t>(a)</w:t>
      </w:r>
      <w:r w:rsidRPr="008762B1">
        <w:tab/>
        <w:t>A</w:t>
      </w:r>
      <w:r w:rsidRPr="008762B1">
        <w:rPr>
          <w:vertAlign w:val="subscript"/>
        </w:rPr>
        <w:t>CFI,1</w:t>
      </w:r>
      <w:r w:rsidRPr="008762B1">
        <w:t xml:space="preserve"> accrues 1 year after the </w:t>
      </w:r>
      <w:r w:rsidR="00115AE2" w:rsidRPr="008762B1">
        <w:t>start of the first r</w:t>
      </w:r>
      <w:r w:rsidR="00B6745D" w:rsidRPr="008762B1">
        <w:t>eporting period for the project</w:t>
      </w:r>
      <w:r w:rsidRPr="008762B1">
        <w:t>;</w:t>
      </w:r>
    </w:p>
    <w:p w:rsidR="00780DA1" w:rsidRPr="008762B1" w:rsidRDefault="00780DA1" w:rsidP="00780DA1">
      <w:pPr>
        <w:pStyle w:val="paragraph"/>
      </w:pPr>
      <w:r w:rsidRPr="008762B1">
        <w:tab/>
        <w:t>(b)</w:t>
      </w:r>
      <w:r w:rsidRPr="008762B1">
        <w:tab/>
        <w:t>A</w:t>
      </w:r>
      <w:r w:rsidRPr="008762B1">
        <w:rPr>
          <w:vertAlign w:val="subscript"/>
        </w:rPr>
        <w:t>CFI,2</w:t>
      </w:r>
      <w:r w:rsidRPr="008762B1">
        <w:t xml:space="preserve"> accrues 2 years after the </w:t>
      </w:r>
      <w:r w:rsidR="00115AE2" w:rsidRPr="008762B1">
        <w:t xml:space="preserve">start of </w:t>
      </w:r>
      <w:r w:rsidR="00B6745D" w:rsidRPr="008762B1">
        <w:t>the first reporting period for the</w:t>
      </w:r>
      <w:r w:rsidR="00115AE2" w:rsidRPr="008762B1">
        <w:t xml:space="preserve"> </w:t>
      </w:r>
      <w:r w:rsidR="00B6745D" w:rsidRPr="008762B1">
        <w:t>project</w:t>
      </w:r>
      <w:r w:rsidRPr="008762B1">
        <w:t>;</w:t>
      </w:r>
    </w:p>
    <w:p w:rsidR="00780DA1" w:rsidRPr="008762B1" w:rsidRDefault="00780DA1" w:rsidP="00780DA1">
      <w:pPr>
        <w:pStyle w:val="paragraph"/>
      </w:pPr>
      <w:r w:rsidRPr="008762B1">
        <w:tab/>
        <w:t>(c)</w:t>
      </w:r>
      <w:r w:rsidRPr="008762B1">
        <w:tab/>
        <w:t>A</w:t>
      </w:r>
      <w:r w:rsidRPr="008762B1">
        <w:rPr>
          <w:vertAlign w:val="subscript"/>
        </w:rPr>
        <w:t xml:space="preserve">CFI,3 </w:t>
      </w:r>
      <w:r w:rsidRPr="008762B1">
        <w:t xml:space="preserve">accrues 3 years after the </w:t>
      </w:r>
      <w:r w:rsidR="00115AE2" w:rsidRPr="008762B1">
        <w:t xml:space="preserve">start of </w:t>
      </w:r>
      <w:r w:rsidR="00B6745D" w:rsidRPr="008762B1">
        <w:t>the first reporting period for the</w:t>
      </w:r>
      <w:r w:rsidR="00115AE2" w:rsidRPr="008762B1">
        <w:t xml:space="preserve"> </w:t>
      </w:r>
      <w:r w:rsidR="00B6745D" w:rsidRPr="008762B1">
        <w:t>project</w:t>
      </w:r>
      <w:r w:rsidRPr="008762B1">
        <w:t>.</w:t>
      </w:r>
    </w:p>
    <w:p w:rsidR="00F61B4B" w:rsidRPr="008762B1" w:rsidRDefault="007D1D93" w:rsidP="00476683">
      <w:pPr>
        <w:pStyle w:val="subsection"/>
      </w:pPr>
      <w:r w:rsidRPr="008762B1">
        <w:tab/>
        <w:t>(</w:t>
      </w:r>
      <w:r w:rsidR="00476683" w:rsidRPr="008762B1">
        <w:t>3</w:t>
      </w:r>
      <w:r w:rsidR="00AC5041" w:rsidRPr="008762B1">
        <w:t>)</w:t>
      </w:r>
      <w:r w:rsidR="00AC5041" w:rsidRPr="008762B1">
        <w:tab/>
      </w:r>
      <w:r w:rsidR="00F61B4B" w:rsidRPr="008762B1">
        <w:t>Section</w:t>
      </w:r>
      <w:r w:rsidR="008762B1" w:rsidRPr="008762B1">
        <w:t> </w:t>
      </w:r>
      <w:r w:rsidR="004E7255" w:rsidRPr="008762B1">
        <w:t>8</w:t>
      </w:r>
      <w:r w:rsidR="00F61B4B" w:rsidRPr="008762B1">
        <w:t xml:space="preserve"> does not apply to a calculation under this section.</w:t>
      </w:r>
    </w:p>
    <w:p w:rsidR="00AC5041" w:rsidRPr="008762B1" w:rsidRDefault="00F61B4B" w:rsidP="00476683">
      <w:pPr>
        <w:pStyle w:val="subsection"/>
      </w:pPr>
      <w:r w:rsidRPr="008762B1">
        <w:tab/>
        <w:t>(4)</w:t>
      </w:r>
      <w:r w:rsidRPr="008762B1">
        <w:tab/>
      </w:r>
      <w:r w:rsidR="00AC5041" w:rsidRPr="008762B1">
        <w:t>In this section:</w:t>
      </w:r>
    </w:p>
    <w:p w:rsidR="009440A3" w:rsidRPr="008762B1" w:rsidRDefault="009440A3" w:rsidP="009440A3">
      <w:pPr>
        <w:pStyle w:val="Definition"/>
      </w:pPr>
      <w:r w:rsidRPr="008762B1">
        <w:rPr>
          <w:b/>
          <w:i/>
        </w:rPr>
        <w:t>applicable equation</w:t>
      </w:r>
      <w:r w:rsidRPr="008762B1">
        <w:t xml:space="preserve">, for a </w:t>
      </w:r>
      <w:r w:rsidR="00CF46C0" w:rsidRPr="008762B1">
        <w:t xml:space="preserve">transitioning </w:t>
      </w:r>
      <w:r w:rsidRPr="008762B1">
        <w:t>project</w:t>
      </w:r>
      <w:r w:rsidR="00EF650A" w:rsidRPr="008762B1">
        <w:t xml:space="preserve"> in relation to a reporting period, means:</w:t>
      </w:r>
    </w:p>
    <w:p w:rsidR="00EF650A" w:rsidRPr="008762B1" w:rsidRDefault="00EF650A" w:rsidP="00EF650A">
      <w:pPr>
        <w:pStyle w:val="paragraph"/>
      </w:pPr>
      <w:r w:rsidRPr="008762B1">
        <w:tab/>
        <w:t>(a)</w:t>
      </w:r>
      <w:r w:rsidRPr="008762B1">
        <w:tab/>
        <w:t xml:space="preserve">if the </w:t>
      </w:r>
      <w:r w:rsidRPr="008762B1">
        <w:rPr>
          <w:i/>
        </w:rPr>
        <w:t>Carbon Credits (Carbon Farming Initiative) (Avoided Emissions from Diverting Legacy Waste from Landfill for Process Engineered Fuel Manufacture) Methodology Determination</w:t>
      </w:r>
      <w:r w:rsidR="008762B1" w:rsidRPr="008762B1">
        <w:rPr>
          <w:i/>
        </w:rPr>
        <w:t> </w:t>
      </w:r>
      <w:r w:rsidRPr="008762B1">
        <w:rPr>
          <w:i/>
        </w:rPr>
        <w:t>2012</w:t>
      </w:r>
      <w:r w:rsidRPr="008762B1">
        <w:t xml:space="preserve"> was the applicable methodology determination for the project during the reporting period—equation 9 of that determination; or</w:t>
      </w:r>
    </w:p>
    <w:p w:rsidR="00EF650A" w:rsidRPr="008762B1" w:rsidRDefault="00EF650A" w:rsidP="00EF650A">
      <w:pPr>
        <w:pStyle w:val="paragraph"/>
      </w:pPr>
      <w:r w:rsidRPr="008762B1">
        <w:tab/>
        <w:t>(b)</w:t>
      </w:r>
      <w:r w:rsidRPr="008762B1">
        <w:tab/>
        <w:t xml:space="preserve">if the </w:t>
      </w:r>
      <w:r w:rsidRPr="008762B1">
        <w:rPr>
          <w:i/>
        </w:rPr>
        <w:t>Carbon Credits (Carbon Farming Initiative) (Avoided Emissions from Diverting Legacy Waste through a Composting Alternative Waste Technology) Methodology Determination</w:t>
      </w:r>
      <w:r w:rsidR="008762B1" w:rsidRPr="008762B1">
        <w:rPr>
          <w:i/>
        </w:rPr>
        <w:t> </w:t>
      </w:r>
      <w:r w:rsidRPr="008762B1">
        <w:rPr>
          <w:i/>
        </w:rPr>
        <w:t>2013</w:t>
      </w:r>
      <w:r w:rsidRPr="008762B1">
        <w:t xml:space="preserve"> was the applicable methodology determination for the project during the reporting period—equation 11 of that determination; or</w:t>
      </w:r>
    </w:p>
    <w:p w:rsidR="00EF650A" w:rsidRPr="008762B1" w:rsidRDefault="00EF650A" w:rsidP="00EF650A">
      <w:pPr>
        <w:pStyle w:val="paragraph"/>
      </w:pPr>
      <w:r w:rsidRPr="008762B1">
        <w:tab/>
        <w:t>(c)</w:t>
      </w:r>
      <w:r w:rsidRPr="008762B1">
        <w:tab/>
        <w:t xml:space="preserve">if the </w:t>
      </w:r>
      <w:r w:rsidRPr="008762B1">
        <w:rPr>
          <w:i/>
        </w:rPr>
        <w:t>Carbon Credits (Carbon Farming Initiative) (Diversion of Legacy Waste to an Alternative Waste Treatment Facility) Methodology Determination</w:t>
      </w:r>
      <w:r w:rsidR="008762B1" w:rsidRPr="008762B1">
        <w:rPr>
          <w:i/>
        </w:rPr>
        <w:t> </w:t>
      </w:r>
      <w:r w:rsidRPr="008762B1">
        <w:rPr>
          <w:i/>
        </w:rPr>
        <w:t>2013</w:t>
      </w:r>
      <w:r w:rsidRPr="008762B1">
        <w:t xml:space="preserve"> was the applicable methodology determination for the project during the reporting period—equation 15 of that determination; or</w:t>
      </w:r>
    </w:p>
    <w:p w:rsidR="00AC5041" w:rsidRPr="008762B1" w:rsidRDefault="00EF650A" w:rsidP="00E35767">
      <w:pPr>
        <w:pStyle w:val="paragraph"/>
      </w:pPr>
      <w:r w:rsidRPr="008762B1">
        <w:tab/>
        <w:t>(d)</w:t>
      </w:r>
      <w:r w:rsidRPr="008762B1">
        <w:tab/>
        <w:t xml:space="preserve">if the </w:t>
      </w:r>
      <w:r w:rsidRPr="008762B1">
        <w:rPr>
          <w:i/>
        </w:rPr>
        <w:t>Carbon Credits (Carbon Farming Initiative) (Enclosed Mechanical Processing and Composting Alternative Waste Treatment) Methodology Determination</w:t>
      </w:r>
      <w:r w:rsidR="008762B1" w:rsidRPr="008762B1">
        <w:rPr>
          <w:i/>
        </w:rPr>
        <w:t> </w:t>
      </w:r>
      <w:r w:rsidRPr="008762B1">
        <w:rPr>
          <w:i/>
        </w:rPr>
        <w:t>2013</w:t>
      </w:r>
      <w:r w:rsidRPr="008762B1">
        <w:t xml:space="preserve"> was the applicable methodology determination for the project during the reporting period—equ</w:t>
      </w:r>
      <w:r w:rsidR="00E35767" w:rsidRPr="008762B1">
        <w:t>ation 11 of that determination.</w:t>
      </w:r>
    </w:p>
    <w:p w:rsidR="00297B3B" w:rsidRPr="008762B1" w:rsidRDefault="00854AE4" w:rsidP="00FF0BB8">
      <w:pPr>
        <w:pStyle w:val="ActHead2"/>
        <w:pageBreakBefore/>
      </w:pPr>
      <w:bookmarkStart w:id="77" w:name="_Toc407103356"/>
      <w:r w:rsidRPr="008762B1">
        <w:rPr>
          <w:rStyle w:val="CharPartNo"/>
        </w:rPr>
        <w:lastRenderedPageBreak/>
        <w:t>Part</w:t>
      </w:r>
      <w:r w:rsidR="008762B1" w:rsidRPr="008762B1">
        <w:rPr>
          <w:rStyle w:val="CharPartNo"/>
        </w:rPr>
        <w:t> </w:t>
      </w:r>
      <w:r w:rsidRPr="008762B1">
        <w:rPr>
          <w:rStyle w:val="CharPartNo"/>
        </w:rPr>
        <w:t>5</w:t>
      </w:r>
      <w:r w:rsidR="006E3AC0" w:rsidRPr="008762B1">
        <w:t>—</w:t>
      </w:r>
      <w:r w:rsidR="00297B3B" w:rsidRPr="008762B1">
        <w:rPr>
          <w:rStyle w:val="CharPartText"/>
        </w:rPr>
        <w:t>Reporting, record</w:t>
      </w:r>
      <w:r w:rsidR="008762B1" w:rsidRPr="008762B1">
        <w:rPr>
          <w:rStyle w:val="CharPartText"/>
        </w:rPr>
        <w:noBreakHyphen/>
      </w:r>
      <w:r w:rsidR="00297B3B" w:rsidRPr="008762B1">
        <w:rPr>
          <w:rStyle w:val="CharPartText"/>
        </w:rPr>
        <w:t xml:space="preserve">keeping </w:t>
      </w:r>
      <w:r w:rsidR="00C91DE7" w:rsidRPr="008762B1">
        <w:rPr>
          <w:rStyle w:val="CharPartText"/>
        </w:rPr>
        <w:t xml:space="preserve">and monitoring </w:t>
      </w:r>
      <w:r w:rsidR="00297B3B" w:rsidRPr="008762B1">
        <w:rPr>
          <w:rStyle w:val="CharPartText"/>
        </w:rPr>
        <w:t>requirements</w:t>
      </w:r>
      <w:bookmarkEnd w:id="77"/>
    </w:p>
    <w:p w:rsidR="008B0E85" w:rsidRPr="008762B1" w:rsidRDefault="008B0E85" w:rsidP="00043C40">
      <w:pPr>
        <w:pStyle w:val="notemargin"/>
      </w:pPr>
      <w:bookmarkStart w:id="78" w:name="f_Check_Lines_above"/>
      <w:bookmarkEnd w:id="78"/>
      <w:r w:rsidRPr="008762B1">
        <w:t>Note:</w:t>
      </w:r>
      <w:r w:rsidRPr="008762B1">
        <w:tab/>
        <w:t>Other reporting, record</w:t>
      </w:r>
      <w:r w:rsidR="008762B1">
        <w:noBreakHyphen/>
      </w:r>
      <w:r w:rsidRPr="008762B1">
        <w:t>keeping and monitoring requirements are set out in regulations and rules made under the Act.</w:t>
      </w:r>
    </w:p>
    <w:p w:rsidR="002C71F4" w:rsidRPr="008762B1" w:rsidRDefault="002C71F4" w:rsidP="002C71F4">
      <w:pPr>
        <w:pStyle w:val="ActHead3"/>
      </w:pPr>
      <w:bookmarkStart w:id="79" w:name="_Toc407103357"/>
      <w:r w:rsidRPr="008762B1">
        <w:rPr>
          <w:rStyle w:val="CharDivNo"/>
        </w:rPr>
        <w:t>Division</w:t>
      </w:r>
      <w:r w:rsidR="008762B1" w:rsidRPr="008762B1">
        <w:rPr>
          <w:rStyle w:val="CharDivNo"/>
        </w:rPr>
        <w:t> </w:t>
      </w:r>
      <w:r w:rsidRPr="008762B1">
        <w:rPr>
          <w:rStyle w:val="CharDivNo"/>
        </w:rPr>
        <w:t>1</w:t>
      </w:r>
      <w:r w:rsidRPr="008762B1">
        <w:t>—</w:t>
      </w:r>
      <w:r w:rsidRPr="008762B1">
        <w:rPr>
          <w:rStyle w:val="CharDivText"/>
        </w:rPr>
        <w:t>Offsets report requirements</w:t>
      </w:r>
      <w:bookmarkEnd w:id="79"/>
    </w:p>
    <w:p w:rsidR="002C71F4" w:rsidRPr="008762B1" w:rsidRDefault="004E7255" w:rsidP="002C71F4">
      <w:pPr>
        <w:pStyle w:val="ActHead5"/>
      </w:pPr>
      <w:bookmarkStart w:id="80" w:name="_Toc407103358"/>
      <w:r w:rsidRPr="008762B1">
        <w:rPr>
          <w:rStyle w:val="CharSectno"/>
        </w:rPr>
        <w:t>42</w:t>
      </w:r>
      <w:r w:rsidR="002C71F4" w:rsidRPr="008762B1">
        <w:t xml:space="preserve">  Operation of this Division</w:t>
      </w:r>
      <w:bookmarkEnd w:id="80"/>
    </w:p>
    <w:p w:rsidR="002C71F4" w:rsidRPr="008762B1" w:rsidRDefault="002C71F4" w:rsidP="002C71F4">
      <w:pPr>
        <w:pStyle w:val="subsection"/>
      </w:pPr>
      <w:r w:rsidRPr="008762B1">
        <w:tab/>
      </w:r>
      <w:r w:rsidRPr="008762B1">
        <w:tab/>
        <w:t>For paragraph</w:t>
      </w:r>
      <w:r w:rsidR="008762B1" w:rsidRPr="008762B1">
        <w:t> </w:t>
      </w:r>
      <w:r w:rsidRPr="008762B1">
        <w:t>106(3)(a) of the Act, this Division sets out information that must be included in an offsets report about an AWT project that is an eligible offsets project.</w:t>
      </w:r>
    </w:p>
    <w:p w:rsidR="000B6DA5" w:rsidRPr="008762B1" w:rsidRDefault="00BF1D0D" w:rsidP="00B13739">
      <w:pPr>
        <w:pStyle w:val="ActHead5"/>
      </w:pPr>
      <w:bookmarkStart w:id="81" w:name="_Toc407103359"/>
      <w:r w:rsidRPr="008762B1">
        <w:rPr>
          <w:rStyle w:val="CharSectno"/>
        </w:rPr>
        <w:t>43</w:t>
      </w:r>
      <w:r w:rsidR="000B6DA5" w:rsidRPr="008762B1">
        <w:t xml:space="preserve">  </w:t>
      </w:r>
      <w:r w:rsidRPr="008762B1">
        <w:t>Determination of certain f</w:t>
      </w:r>
      <w:r w:rsidR="000B6DA5" w:rsidRPr="008762B1">
        <w:t xml:space="preserve">actors </w:t>
      </w:r>
      <w:r w:rsidRPr="008762B1">
        <w:t>and parameters</w:t>
      </w:r>
      <w:bookmarkEnd w:id="81"/>
    </w:p>
    <w:p w:rsidR="000B6DA5" w:rsidRPr="008762B1" w:rsidRDefault="000B6DA5" w:rsidP="000B6DA5">
      <w:pPr>
        <w:pStyle w:val="subsection"/>
      </w:pPr>
      <w:r w:rsidRPr="008762B1">
        <w:tab/>
        <w:t>(1)</w:t>
      </w:r>
      <w:r w:rsidRPr="008762B1">
        <w:tab/>
      </w:r>
      <w:r w:rsidR="00BF1D0D" w:rsidRPr="008762B1">
        <w:t>I</w:t>
      </w:r>
      <w:r w:rsidRPr="008762B1">
        <w:t>f, in the circumstances described in paragraph</w:t>
      </w:r>
      <w:r w:rsidR="008762B1" w:rsidRPr="008762B1">
        <w:t> </w:t>
      </w:r>
      <w:r w:rsidRPr="008762B1">
        <w:t>8(2)(b), a factor or parameter is defined or calculated for a reporting period by reference to an instrument or writin</w:t>
      </w:r>
      <w:r w:rsidR="00BF1D0D" w:rsidRPr="008762B1">
        <w:t>g as in force from time to time, t</w:t>
      </w:r>
      <w:r w:rsidRPr="008762B1">
        <w:t>he offsets report about the project for the reporting period must include the following information for the factor or parameter:</w:t>
      </w:r>
    </w:p>
    <w:p w:rsidR="000B6DA5" w:rsidRPr="008762B1" w:rsidRDefault="000B6DA5" w:rsidP="000B6DA5">
      <w:pPr>
        <w:pStyle w:val="paragraph"/>
      </w:pPr>
      <w:r w:rsidRPr="008762B1">
        <w:tab/>
        <w:t>(a)</w:t>
      </w:r>
      <w:r w:rsidRPr="008762B1">
        <w:tab/>
        <w:t>the versions of the instrument or writing used;</w:t>
      </w:r>
    </w:p>
    <w:p w:rsidR="000B6DA5" w:rsidRPr="008762B1" w:rsidRDefault="000B6DA5" w:rsidP="000B6DA5">
      <w:pPr>
        <w:pStyle w:val="paragraph"/>
      </w:pPr>
      <w:r w:rsidRPr="008762B1">
        <w:tab/>
        <w:t>(b)</w:t>
      </w:r>
      <w:r w:rsidRPr="008762B1">
        <w:tab/>
        <w:t>the start and end dates of each use;</w:t>
      </w:r>
    </w:p>
    <w:p w:rsidR="000B6DA5" w:rsidRPr="008762B1" w:rsidRDefault="000B6DA5" w:rsidP="000B6DA5">
      <w:pPr>
        <w:pStyle w:val="paragraph"/>
      </w:pPr>
      <w:r w:rsidRPr="008762B1">
        <w:tab/>
        <w:t>(c)</w:t>
      </w:r>
      <w:r w:rsidRPr="008762B1">
        <w:tab/>
        <w:t>the reasons why it was not possible to define or calculate the factor or parameter by reference to the instrument or writing as in force at the end of the reporting period.</w:t>
      </w:r>
    </w:p>
    <w:p w:rsidR="002C71F4" w:rsidRPr="008762B1" w:rsidRDefault="00BF1D0D" w:rsidP="005B3428">
      <w:pPr>
        <w:pStyle w:val="subsection"/>
      </w:pPr>
      <w:r w:rsidRPr="008762B1">
        <w:tab/>
        <w:t>(2</w:t>
      </w:r>
      <w:r w:rsidR="005B3428" w:rsidRPr="008762B1">
        <w:t>)</w:t>
      </w:r>
      <w:r w:rsidR="005B3428" w:rsidRPr="008762B1">
        <w:tab/>
      </w:r>
      <w:r w:rsidRPr="008762B1">
        <w:t>I</w:t>
      </w:r>
      <w:r w:rsidR="005B3428" w:rsidRPr="008762B1">
        <w:t xml:space="preserve">f a parameter is determined </w:t>
      </w:r>
      <w:r w:rsidR="00921725" w:rsidRPr="008762B1">
        <w:t>under</w:t>
      </w:r>
      <w:r w:rsidR="005B3428" w:rsidRPr="008762B1">
        <w:t xml:space="preserve"> section</w:t>
      </w:r>
      <w:r w:rsidR="008762B1" w:rsidRPr="008762B1">
        <w:t> </w:t>
      </w:r>
      <w:r w:rsidR="004E7255" w:rsidRPr="008762B1">
        <w:t>46</w:t>
      </w:r>
      <w:r w:rsidR="005B3428" w:rsidRPr="008762B1">
        <w:t xml:space="preserve"> </w:t>
      </w:r>
      <w:r w:rsidR="002C71F4" w:rsidRPr="008762B1">
        <w:t xml:space="preserve">for the purpose of working out the activity abatement portions for an AWT </w:t>
      </w:r>
      <w:r w:rsidR="005B3428" w:rsidRPr="008762B1">
        <w:t>project fo</w:t>
      </w:r>
      <w:r w:rsidRPr="008762B1">
        <w:t>r a reporting period, t</w:t>
      </w:r>
      <w:r w:rsidR="002C71F4" w:rsidRPr="008762B1">
        <w:t xml:space="preserve">he offsets report about the project for the </w:t>
      </w:r>
      <w:r w:rsidR="005B3428" w:rsidRPr="008762B1">
        <w:t xml:space="preserve">reporting </w:t>
      </w:r>
      <w:r w:rsidR="002C71F4" w:rsidRPr="008762B1">
        <w:t>period must include the following information</w:t>
      </w:r>
      <w:r w:rsidR="001055F6" w:rsidRPr="008762B1">
        <w:t xml:space="preserve"> for </w:t>
      </w:r>
      <w:r w:rsidR="000225E3" w:rsidRPr="008762B1">
        <w:t>the parameter</w:t>
      </w:r>
      <w:r w:rsidR="002C71F4" w:rsidRPr="008762B1">
        <w:t>:</w:t>
      </w:r>
    </w:p>
    <w:p w:rsidR="005B3428" w:rsidRPr="008762B1" w:rsidRDefault="005B3428" w:rsidP="005B3428">
      <w:pPr>
        <w:pStyle w:val="paragraph"/>
      </w:pPr>
      <w:r w:rsidRPr="008762B1">
        <w:tab/>
      </w:r>
      <w:r w:rsidR="007174B8" w:rsidRPr="008762B1">
        <w:t>(a)</w:t>
      </w:r>
      <w:r w:rsidR="007174B8" w:rsidRPr="008762B1">
        <w:tab/>
        <w:t xml:space="preserve">the name of </w:t>
      </w:r>
      <w:r w:rsidR="001055F6" w:rsidRPr="008762B1">
        <w:t>the</w:t>
      </w:r>
      <w:r w:rsidR="007174B8" w:rsidRPr="008762B1">
        <w:t xml:space="preserve"> parameter</w:t>
      </w:r>
      <w:r w:rsidRPr="008762B1">
        <w:t>;</w:t>
      </w:r>
    </w:p>
    <w:p w:rsidR="005B3428" w:rsidRPr="008762B1" w:rsidRDefault="005B3428" w:rsidP="005B3428">
      <w:pPr>
        <w:pStyle w:val="paragraph"/>
      </w:pPr>
      <w:r w:rsidRPr="008762B1">
        <w:tab/>
        <w:t>(b)</w:t>
      </w:r>
      <w:r w:rsidRPr="008762B1">
        <w:tab/>
        <w:t>the start and end of the non</w:t>
      </w:r>
      <w:r w:rsidR="008762B1">
        <w:noBreakHyphen/>
      </w:r>
      <w:r w:rsidRPr="008762B1">
        <w:t xml:space="preserve">monitored period for which </w:t>
      </w:r>
      <w:r w:rsidR="001055F6" w:rsidRPr="008762B1">
        <w:t>the</w:t>
      </w:r>
      <w:r w:rsidRPr="008762B1">
        <w:t xml:space="preserve"> parameter was determined;</w:t>
      </w:r>
    </w:p>
    <w:p w:rsidR="003311B7" w:rsidRPr="008762B1" w:rsidRDefault="000416E5" w:rsidP="005B3428">
      <w:pPr>
        <w:pStyle w:val="paragraph"/>
      </w:pPr>
      <w:r w:rsidRPr="008762B1">
        <w:tab/>
        <w:t>(c</w:t>
      </w:r>
      <w:r w:rsidR="003311B7" w:rsidRPr="008762B1">
        <w:t>)</w:t>
      </w:r>
      <w:r w:rsidR="003311B7" w:rsidRPr="008762B1">
        <w:tab/>
        <w:t xml:space="preserve">the reasons why the project proponent failed to monitor the parameter as required by </w:t>
      </w:r>
      <w:r w:rsidR="00761530" w:rsidRPr="008762B1">
        <w:t>the monitoring requirements</w:t>
      </w:r>
      <w:r w:rsidRPr="008762B1">
        <w:t>;</w:t>
      </w:r>
    </w:p>
    <w:p w:rsidR="000416E5" w:rsidRPr="008762B1" w:rsidRDefault="000416E5" w:rsidP="005B3428">
      <w:pPr>
        <w:pStyle w:val="paragraph"/>
      </w:pPr>
      <w:r w:rsidRPr="008762B1">
        <w:tab/>
        <w:t>(d)</w:t>
      </w:r>
      <w:r w:rsidRPr="008762B1">
        <w:tab/>
        <w:t>either:</w:t>
      </w:r>
    </w:p>
    <w:p w:rsidR="000416E5" w:rsidRPr="008762B1" w:rsidRDefault="00C22168" w:rsidP="000416E5">
      <w:pPr>
        <w:pStyle w:val="paragraphsub"/>
      </w:pPr>
      <w:r w:rsidRPr="008762B1">
        <w:tab/>
        <w:t>(i</w:t>
      </w:r>
      <w:r w:rsidR="000416E5" w:rsidRPr="008762B1">
        <w:t>)</w:t>
      </w:r>
      <w:r w:rsidR="000416E5" w:rsidRPr="008762B1">
        <w:tab/>
        <w:t>if the parameter is DM</w:t>
      </w:r>
      <w:r w:rsidR="000416E5" w:rsidRPr="008762B1">
        <w:rPr>
          <w:vertAlign w:val="subscript"/>
        </w:rPr>
        <w:t>Compost</w:t>
      </w:r>
      <w:r w:rsidR="007369F2" w:rsidRPr="008762B1">
        <w:rPr>
          <w:vertAlign w:val="subscript"/>
        </w:rPr>
        <w:t>,j</w:t>
      </w:r>
      <w:r w:rsidR="000416E5" w:rsidRPr="008762B1">
        <w:t>—the value of the parameter E</w:t>
      </w:r>
      <w:r w:rsidR="000416E5" w:rsidRPr="008762B1">
        <w:rPr>
          <w:vertAlign w:val="subscript"/>
        </w:rPr>
        <w:t>Compost</w:t>
      </w:r>
      <w:r w:rsidR="000416E5" w:rsidRPr="008762B1">
        <w:t xml:space="preserve"> an</w:t>
      </w:r>
      <w:r w:rsidRPr="008762B1">
        <w:t>d how that value was determined; or</w:t>
      </w:r>
    </w:p>
    <w:p w:rsidR="00C22168" w:rsidRPr="008762B1" w:rsidRDefault="00C22168" w:rsidP="00C22168">
      <w:pPr>
        <w:pStyle w:val="paragraphsub"/>
      </w:pPr>
      <w:r w:rsidRPr="008762B1">
        <w:tab/>
        <w:t>(ii)</w:t>
      </w:r>
      <w:r w:rsidRPr="008762B1">
        <w:tab/>
        <w:t>otherwise—the value of the parameter and how that value was determined.</w:t>
      </w:r>
    </w:p>
    <w:p w:rsidR="002C71F4" w:rsidRPr="008762B1" w:rsidRDefault="002C71F4" w:rsidP="003D1D11">
      <w:pPr>
        <w:pStyle w:val="ActHead3"/>
        <w:pageBreakBefore/>
      </w:pPr>
      <w:bookmarkStart w:id="82" w:name="_Toc407103360"/>
      <w:r w:rsidRPr="008762B1">
        <w:rPr>
          <w:rStyle w:val="CharDivNo"/>
        </w:rPr>
        <w:lastRenderedPageBreak/>
        <w:t>Division</w:t>
      </w:r>
      <w:r w:rsidR="008762B1" w:rsidRPr="008762B1">
        <w:rPr>
          <w:rStyle w:val="CharDivNo"/>
        </w:rPr>
        <w:t> </w:t>
      </w:r>
      <w:r w:rsidRPr="008762B1">
        <w:rPr>
          <w:rStyle w:val="CharDivNo"/>
        </w:rPr>
        <w:t>2</w:t>
      </w:r>
      <w:r w:rsidRPr="008762B1">
        <w:t>—</w:t>
      </w:r>
      <w:r w:rsidRPr="008762B1">
        <w:rPr>
          <w:rStyle w:val="CharDivText"/>
        </w:rPr>
        <w:t>Monitoring requirements</w:t>
      </w:r>
      <w:bookmarkEnd w:id="82"/>
    </w:p>
    <w:p w:rsidR="00327004" w:rsidRPr="008762B1" w:rsidRDefault="004E7255" w:rsidP="00596B15">
      <w:pPr>
        <w:pStyle w:val="ActHead5"/>
      </w:pPr>
      <w:bookmarkStart w:id="83" w:name="_Toc407103361"/>
      <w:r w:rsidRPr="008762B1">
        <w:rPr>
          <w:rStyle w:val="CharSectno"/>
        </w:rPr>
        <w:t>44</w:t>
      </w:r>
      <w:r w:rsidR="00596B15" w:rsidRPr="008762B1">
        <w:t xml:space="preserve">  Operation of this </w:t>
      </w:r>
      <w:r w:rsidR="002C71F4" w:rsidRPr="008762B1">
        <w:t>Division</w:t>
      </w:r>
      <w:bookmarkEnd w:id="83"/>
    </w:p>
    <w:p w:rsidR="00A70A5D" w:rsidRPr="008762B1" w:rsidRDefault="00596B15" w:rsidP="00596B15">
      <w:pPr>
        <w:pStyle w:val="subsection"/>
      </w:pPr>
      <w:r w:rsidRPr="008762B1">
        <w:tab/>
      </w:r>
      <w:r w:rsidRPr="008762B1">
        <w:tab/>
        <w:t>For paragraph</w:t>
      </w:r>
      <w:r w:rsidR="008762B1" w:rsidRPr="008762B1">
        <w:t> </w:t>
      </w:r>
      <w:r w:rsidRPr="008762B1">
        <w:t xml:space="preserve">106(3)(d) of the Act, this </w:t>
      </w:r>
      <w:r w:rsidR="002C71F4" w:rsidRPr="008762B1">
        <w:t>Division</w:t>
      </w:r>
      <w:r w:rsidRPr="008762B1">
        <w:t xml:space="preserve"> </w:t>
      </w:r>
      <w:r w:rsidR="00D75B1B" w:rsidRPr="008762B1">
        <w:t>sets out</w:t>
      </w:r>
      <w:r w:rsidR="00A70A5D" w:rsidRPr="008762B1">
        <w:t>:</w:t>
      </w:r>
    </w:p>
    <w:p w:rsidR="00A70A5D" w:rsidRPr="008762B1" w:rsidRDefault="00A70A5D" w:rsidP="00A70A5D">
      <w:pPr>
        <w:pStyle w:val="paragraph"/>
      </w:pPr>
      <w:r w:rsidRPr="008762B1">
        <w:tab/>
        <w:t>(a)</w:t>
      </w:r>
      <w:r w:rsidRPr="008762B1">
        <w:tab/>
      </w:r>
      <w:r w:rsidR="00596B15" w:rsidRPr="008762B1">
        <w:t xml:space="preserve">requirements to monitor an </w:t>
      </w:r>
      <w:r w:rsidR="00930FA1" w:rsidRPr="008762B1">
        <w:t>AWT</w:t>
      </w:r>
      <w:r w:rsidR="00596B15" w:rsidRPr="008762B1">
        <w:t xml:space="preserve"> project that is an eligible offsets project</w:t>
      </w:r>
      <w:r w:rsidRPr="008762B1">
        <w:t xml:space="preserve"> (see section</w:t>
      </w:r>
      <w:r w:rsidR="008762B1" w:rsidRPr="008762B1">
        <w:t> </w:t>
      </w:r>
      <w:r w:rsidRPr="008762B1">
        <w:t>45); and</w:t>
      </w:r>
    </w:p>
    <w:p w:rsidR="00596B15" w:rsidRPr="008762B1" w:rsidRDefault="00A70A5D" w:rsidP="00A70A5D">
      <w:pPr>
        <w:pStyle w:val="paragraph"/>
      </w:pPr>
      <w:r w:rsidRPr="008762B1">
        <w:tab/>
        <w:t>(b)</w:t>
      </w:r>
      <w:r w:rsidRPr="008762B1">
        <w:tab/>
        <w:t>certain consequences if the project proponent fails to monitor the project as required (see section</w:t>
      </w:r>
      <w:r w:rsidR="008762B1" w:rsidRPr="008762B1">
        <w:t> </w:t>
      </w:r>
      <w:r w:rsidRPr="008762B1">
        <w:t>46)</w:t>
      </w:r>
      <w:r w:rsidR="00596B15" w:rsidRPr="008762B1">
        <w:t>.</w:t>
      </w:r>
    </w:p>
    <w:p w:rsidR="00596B15" w:rsidRPr="008762B1" w:rsidRDefault="004E7255" w:rsidP="00596B15">
      <w:pPr>
        <w:pStyle w:val="ActHead5"/>
      </w:pPr>
      <w:bookmarkStart w:id="84" w:name="_Toc407103362"/>
      <w:r w:rsidRPr="008762B1">
        <w:rPr>
          <w:rStyle w:val="CharSectno"/>
        </w:rPr>
        <w:t>45</w:t>
      </w:r>
      <w:r w:rsidR="00596B15" w:rsidRPr="008762B1">
        <w:t xml:space="preserve">  </w:t>
      </w:r>
      <w:r w:rsidR="006E4F0B" w:rsidRPr="008762B1">
        <w:t>Requirement</w:t>
      </w:r>
      <w:r w:rsidR="001F1F06" w:rsidRPr="008762B1">
        <w:t>s</w:t>
      </w:r>
      <w:r w:rsidR="006E4F0B" w:rsidRPr="008762B1">
        <w:t xml:space="preserve"> to monitor certain parameters</w:t>
      </w:r>
      <w:bookmarkEnd w:id="84"/>
    </w:p>
    <w:p w:rsidR="008C61A4" w:rsidRPr="008762B1" w:rsidRDefault="00030D63" w:rsidP="008C61A4">
      <w:pPr>
        <w:pStyle w:val="subsection"/>
      </w:pPr>
      <w:r w:rsidRPr="008762B1">
        <w:tab/>
        <w:t>(1)</w:t>
      </w:r>
      <w:r w:rsidRPr="008762B1">
        <w:tab/>
      </w:r>
      <w:r w:rsidR="006E4F0B" w:rsidRPr="008762B1">
        <w:t xml:space="preserve">The project proponent for an </w:t>
      </w:r>
      <w:r w:rsidR="00930FA1" w:rsidRPr="008762B1">
        <w:t>AWT</w:t>
      </w:r>
      <w:r w:rsidR="006E4F0B" w:rsidRPr="008762B1">
        <w:t xml:space="preserve"> project must monitor </w:t>
      </w:r>
      <w:r w:rsidR="00BA524C" w:rsidRPr="008762B1">
        <w:t xml:space="preserve">and determine </w:t>
      </w:r>
      <w:r w:rsidR="006E4F0B" w:rsidRPr="008762B1">
        <w:t xml:space="preserve">a parameter </w:t>
      </w:r>
      <w:r w:rsidR="00BA524C" w:rsidRPr="008762B1">
        <w:t>set out in an item</w:t>
      </w:r>
      <w:r w:rsidR="006E4F0B" w:rsidRPr="008762B1">
        <w:t xml:space="preserve"> </w:t>
      </w:r>
      <w:r w:rsidR="00BA524C" w:rsidRPr="008762B1">
        <w:t>of</w:t>
      </w:r>
      <w:r w:rsidR="006E4F0B" w:rsidRPr="008762B1">
        <w:t xml:space="preserve"> the following table</w:t>
      </w:r>
      <w:r w:rsidR="008C61A4" w:rsidRPr="008762B1">
        <w:t xml:space="preserve"> </w:t>
      </w:r>
      <w:r w:rsidR="00E3104E" w:rsidRPr="008762B1">
        <w:t>in accordance with</w:t>
      </w:r>
      <w:r w:rsidR="008C61A4" w:rsidRPr="008762B1">
        <w:t xml:space="preserve"> </w:t>
      </w:r>
      <w:r w:rsidR="005E70A1" w:rsidRPr="008762B1">
        <w:t xml:space="preserve">the </w:t>
      </w:r>
      <w:r w:rsidR="00BA524C" w:rsidRPr="008762B1">
        <w:t>instructions in the item</w:t>
      </w:r>
      <w:r w:rsidR="008C61A4" w:rsidRPr="008762B1">
        <w:t>.</w:t>
      </w:r>
    </w:p>
    <w:p w:rsidR="008C61A4" w:rsidRPr="008762B1" w:rsidRDefault="008C61A4" w:rsidP="008C61A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2"/>
        <w:gridCol w:w="1134"/>
        <w:gridCol w:w="1560"/>
        <w:gridCol w:w="1275"/>
        <w:gridCol w:w="1985"/>
        <w:gridCol w:w="1798"/>
      </w:tblGrid>
      <w:tr w:rsidR="008C61A4" w:rsidRPr="008762B1" w:rsidTr="008C61A4">
        <w:trPr>
          <w:tblHeader/>
        </w:trPr>
        <w:tc>
          <w:tcPr>
            <w:tcW w:w="8314" w:type="dxa"/>
            <w:gridSpan w:val="6"/>
            <w:tcBorders>
              <w:top w:val="single" w:sz="12" w:space="0" w:color="auto"/>
              <w:bottom w:val="single" w:sz="6" w:space="0" w:color="auto"/>
            </w:tcBorders>
            <w:shd w:val="clear" w:color="auto" w:fill="auto"/>
          </w:tcPr>
          <w:p w:rsidR="008C61A4" w:rsidRPr="008762B1" w:rsidRDefault="008C61A4" w:rsidP="008C61A4">
            <w:pPr>
              <w:pStyle w:val="TableHeading"/>
            </w:pPr>
            <w:r w:rsidRPr="008762B1">
              <w:t>Monitored param</w:t>
            </w:r>
            <w:r w:rsidR="00F22839" w:rsidRPr="008762B1">
              <w:t>e</w:t>
            </w:r>
            <w:r w:rsidRPr="008762B1">
              <w:t>ters</w:t>
            </w:r>
          </w:p>
        </w:tc>
      </w:tr>
      <w:tr w:rsidR="008C61A4" w:rsidRPr="008762B1" w:rsidTr="00A5099E">
        <w:trPr>
          <w:tblHeader/>
        </w:trPr>
        <w:tc>
          <w:tcPr>
            <w:tcW w:w="562" w:type="dxa"/>
            <w:tcBorders>
              <w:top w:val="single" w:sz="6" w:space="0" w:color="auto"/>
              <w:bottom w:val="single" w:sz="12" w:space="0" w:color="auto"/>
            </w:tcBorders>
            <w:shd w:val="clear" w:color="auto" w:fill="auto"/>
          </w:tcPr>
          <w:p w:rsidR="008C61A4" w:rsidRPr="008762B1" w:rsidRDefault="008C61A4" w:rsidP="008C61A4">
            <w:pPr>
              <w:pStyle w:val="TableHeading"/>
            </w:pPr>
          </w:p>
        </w:tc>
        <w:tc>
          <w:tcPr>
            <w:tcW w:w="1134" w:type="dxa"/>
            <w:tcBorders>
              <w:top w:val="single" w:sz="6" w:space="0" w:color="auto"/>
              <w:bottom w:val="single" w:sz="12" w:space="0" w:color="auto"/>
            </w:tcBorders>
            <w:shd w:val="clear" w:color="auto" w:fill="auto"/>
          </w:tcPr>
          <w:p w:rsidR="008C61A4" w:rsidRPr="008762B1" w:rsidRDefault="008C61A4" w:rsidP="008C61A4">
            <w:pPr>
              <w:pStyle w:val="TableHeading"/>
            </w:pPr>
            <w:r w:rsidRPr="008762B1">
              <w:t>Parameter</w:t>
            </w:r>
          </w:p>
        </w:tc>
        <w:tc>
          <w:tcPr>
            <w:tcW w:w="1560" w:type="dxa"/>
            <w:tcBorders>
              <w:top w:val="single" w:sz="6" w:space="0" w:color="auto"/>
              <w:bottom w:val="single" w:sz="12" w:space="0" w:color="auto"/>
            </w:tcBorders>
            <w:shd w:val="clear" w:color="auto" w:fill="auto"/>
          </w:tcPr>
          <w:p w:rsidR="008C61A4" w:rsidRPr="008762B1" w:rsidRDefault="008C61A4" w:rsidP="008C61A4">
            <w:pPr>
              <w:pStyle w:val="TableHeading"/>
            </w:pPr>
            <w:r w:rsidRPr="008762B1">
              <w:t>Description</w:t>
            </w:r>
          </w:p>
        </w:tc>
        <w:tc>
          <w:tcPr>
            <w:tcW w:w="1275" w:type="dxa"/>
            <w:tcBorders>
              <w:top w:val="single" w:sz="6" w:space="0" w:color="auto"/>
              <w:bottom w:val="single" w:sz="12" w:space="0" w:color="auto"/>
            </w:tcBorders>
            <w:shd w:val="clear" w:color="auto" w:fill="auto"/>
          </w:tcPr>
          <w:p w:rsidR="008C61A4" w:rsidRPr="008762B1" w:rsidRDefault="00BA524C" w:rsidP="00BA524C">
            <w:pPr>
              <w:pStyle w:val="TableHeading"/>
            </w:pPr>
            <w:r w:rsidRPr="008762B1">
              <w:t>Unit</w:t>
            </w:r>
          </w:p>
        </w:tc>
        <w:tc>
          <w:tcPr>
            <w:tcW w:w="1985" w:type="dxa"/>
            <w:tcBorders>
              <w:top w:val="single" w:sz="6" w:space="0" w:color="auto"/>
              <w:bottom w:val="single" w:sz="12" w:space="0" w:color="auto"/>
            </w:tcBorders>
            <w:shd w:val="clear" w:color="auto" w:fill="auto"/>
          </w:tcPr>
          <w:p w:rsidR="008C61A4" w:rsidRPr="008762B1" w:rsidRDefault="00BA524C" w:rsidP="008C61A4">
            <w:pPr>
              <w:pStyle w:val="TableHeading"/>
            </w:pPr>
            <w:r w:rsidRPr="008762B1">
              <w:t>Measurement procedure (including frequency as required)</w:t>
            </w:r>
          </w:p>
        </w:tc>
        <w:tc>
          <w:tcPr>
            <w:tcW w:w="1798" w:type="dxa"/>
            <w:tcBorders>
              <w:top w:val="single" w:sz="6" w:space="0" w:color="auto"/>
              <w:bottom w:val="single" w:sz="12" w:space="0" w:color="auto"/>
            </w:tcBorders>
            <w:shd w:val="clear" w:color="auto" w:fill="auto"/>
          </w:tcPr>
          <w:p w:rsidR="008C61A4" w:rsidRPr="008762B1" w:rsidRDefault="00BA524C" w:rsidP="00BA524C">
            <w:pPr>
              <w:pStyle w:val="TableHeading"/>
            </w:pPr>
            <w:r w:rsidRPr="008762B1">
              <w:t>Determination of parameter from measurements</w:t>
            </w:r>
          </w:p>
        </w:tc>
      </w:tr>
      <w:tr w:rsidR="004D61F0" w:rsidRPr="008762B1" w:rsidTr="00A5099E">
        <w:tc>
          <w:tcPr>
            <w:tcW w:w="562" w:type="dxa"/>
            <w:shd w:val="clear" w:color="auto" w:fill="auto"/>
          </w:tcPr>
          <w:p w:rsidR="004D61F0" w:rsidRPr="008762B1" w:rsidRDefault="003311B7" w:rsidP="008C61A4">
            <w:pPr>
              <w:pStyle w:val="Tabletext"/>
            </w:pPr>
            <w:r w:rsidRPr="008762B1">
              <w:t>1</w:t>
            </w:r>
          </w:p>
        </w:tc>
        <w:tc>
          <w:tcPr>
            <w:tcW w:w="1134" w:type="dxa"/>
            <w:shd w:val="clear" w:color="auto" w:fill="auto"/>
          </w:tcPr>
          <w:p w:rsidR="004D61F0" w:rsidRPr="008762B1" w:rsidRDefault="003311B7" w:rsidP="008C61A4">
            <w:pPr>
              <w:pStyle w:val="Tabletext"/>
              <w:rPr>
                <w:vertAlign w:val="subscript"/>
              </w:rPr>
            </w:pPr>
            <w:r w:rsidRPr="008762B1">
              <w:t>DM</w:t>
            </w:r>
            <w:r w:rsidR="004D61F0" w:rsidRPr="008762B1">
              <w:rPr>
                <w:vertAlign w:val="subscript"/>
              </w:rPr>
              <w:t>Compost</w:t>
            </w:r>
            <w:r w:rsidR="004C342E" w:rsidRPr="008762B1">
              <w:rPr>
                <w:vertAlign w:val="subscript"/>
              </w:rPr>
              <w:t>,j</w:t>
            </w:r>
          </w:p>
        </w:tc>
        <w:tc>
          <w:tcPr>
            <w:tcW w:w="1560" w:type="dxa"/>
            <w:shd w:val="clear" w:color="auto" w:fill="auto"/>
          </w:tcPr>
          <w:p w:rsidR="004D61F0" w:rsidRPr="008762B1" w:rsidRDefault="003311B7" w:rsidP="00452F22">
            <w:pPr>
              <w:pStyle w:val="Tabletext"/>
            </w:pPr>
            <w:r w:rsidRPr="008762B1">
              <w:t>Direct</w:t>
            </w:r>
            <w:r w:rsidR="004C342E" w:rsidRPr="008762B1">
              <w:t xml:space="preserve"> measurement</w:t>
            </w:r>
            <w:r w:rsidRPr="008762B1">
              <w:t xml:space="preserve"> e</w:t>
            </w:r>
            <w:r w:rsidR="004D61F0" w:rsidRPr="008762B1">
              <w:t>missions from composting processes</w:t>
            </w:r>
          </w:p>
        </w:tc>
        <w:tc>
          <w:tcPr>
            <w:tcW w:w="1275" w:type="dxa"/>
            <w:shd w:val="clear" w:color="auto" w:fill="auto"/>
          </w:tcPr>
          <w:p w:rsidR="004D61F0" w:rsidRPr="008762B1" w:rsidRDefault="004D61F0" w:rsidP="008C61A4">
            <w:pPr>
              <w:pStyle w:val="Tabletext"/>
            </w:pPr>
            <w:r w:rsidRPr="008762B1">
              <w:t>t</w:t>
            </w:r>
          </w:p>
        </w:tc>
        <w:tc>
          <w:tcPr>
            <w:tcW w:w="1985" w:type="dxa"/>
            <w:shd w:val="clear" w:color="auto" w:fill="auto"/>
          </w:tcPr>
          <w:p w:rsidR="004D61F0" w:rsidRPr="008762B1" w:rsidRDefault="00B95D10" w:rsidP="00B95D10">
            <w:pPr>
              <w:pStyle w:val="Tabletext"/>
            </w:pPr>
            <w:r w:rsidRPr="008762B1">
              <w:t xml:space="preserve">If </w:t>
            </w:r>
            <w:r w:rsidR="00E82DCA" w:rsidRPr="008762B1">
              <w:t>monitored continuously</w:t>
            </w:r>
            <w:r w:rsidRPr="008762B1">
              <w:t>, measured in a manner that is consistent with Part</w:t>
            </w:r>
            <w:r w:rsidR="008762B1" w:rsidRPr="008762B1">
              <w:t> </w:t>
            </w:r>
            <w:r w:rsidRPr="008762B1">
              <w:t>1.3</w:t>
            </w:r>
            <w:r w:rsidR="003311B7" w:rsidRPr="008762B1">
              <w:t xml:space="preserve"> </w:t>
            </w:r>
            <w:r w:rsidRPr="008762B1">
              <w:t>of the NGER (Measurement) Determination.</w:t>
            </w:r>
          </w:p>
          <w:p w:rsidR="00B95D10" w:rsidRPr="008762B1" w:rsidRDefault="00B95D10" w:rsidP="003311B7">
            <w:pPr>
              <w:pStyle w:val="Tabletext"/>
            </w:pPr>
            <w:r w:rsidRPr="008762B1">
              <w:t>Frequency—</w:t>
            </w:r>
            <w:r w:rsidR="00E82DCA" w:rsidRPr="008762B1">
              <w:t>if sub</w:t>
            </w:r>
            <w:r w:rsidR="008762B1">
              <w:noBreakHyphen/>
            </w:r>
            <w:r w:rsidR="00E82DCA" w:rsidRPr="008762B1">
              <w:t xml:space="preserve">method 2 </w:t>
            </w:r>
            <w:r w:rsidR="003311B7" w:rsidRPr="008762B1">
              <w:t>must</w:t>
            </w:r>
            <w:r w:rsidR="00E82DCA" w:rsidRPr="008762B1">
              <w:t xml:space="preserve"> be used</w:t>
            </w:r>
            <w:r w:rsidR="00E76073" w:rsidRPr="008762B1">
              <w:t xml:space="preserve"> </w:t>
            </w:r>
            <w:r w:rsidR="003311B7" w:rsidRPr="008762B1">
              <w:t>to calculate E</w:t>
            </w:r>
            <w:r w:rsidR="003311B7" w:rsidRPr="008762B1">
              <w:rPr>
                <w:vertAlign w:val="subscript"/>
              </w:rPr>
              <w:t xml:space="preserve">Compost </w:t>
            </w:r>
            <w:r w:rsidR="00E76073" w:rsidRPr="008762B1">
              <w:t>under subsection</w:t>
            </w:r>
            <w:r w:rsidR="008762B1" w:rsidRPr="008762B1">
              <w:t> </w:t>
            </w:r>
            <w:r w:rsidR="004E7255" w:rsidRPr="008762B1">
              <w:t>34</w:t>
            </w:r>
            <w:r w:rsidR="00E76073" w:rsidRPr="008762B1">
              <w:t xml:space="preserve">(5), </w:t>
            </w:r>
            <w:r w:rsidRPr="008762B1">
              <w:t>continuous</w:t>
            </w:r>
          </w:p>
        </w:tc>
        <w:tc>
          <w:tcPr>
            <w:tcW w:w="1798" w:type="dxa"/>
            <w:shd w:val="clear" w:color="auto" w:fill="auto"/>
          </w:tcPr>
          <w:p w:rsidR="004D61F0" w:rsidRPr="008762B1" w:rsidRDefault="00B95D10" w:rsidP="00665D1A">
            <w:pPr>
              <w:pStyle w:val="Tabletext"/>
            </w:pPr>
            <w:r w:rsidRPr="008762B1">
              <w:t>Cumulative value for the reporting period</w:t>
            </w:r>
          </w:p>
        </w:tc>
      </w:tr>
      <w:tr w:rsidR="008C61A4" w:rsidRPr="008762B1" w:rsidTr="00A5099E">
        <w:tc>
          <w:tcPr>
            <w:tcW w:w="562" w:type="dxa"/>
            <w:shd w:val="clear" w:color="auto" w:fill="auto"/>
          </w:tcPr>
          <w:p w:rsidR="008C61A4" w:rsidRPr="008762B1" w:rsidRDefault="003311B7" w:rsidP="008C61A4">
            <w:pPr>
              <w:pStyle w:val="Tabletext"/>
            </w:pPr>
            <w:r w:rsidRPr="008762B1">
              <w:t>2</w:t>
            </w:r>
          </w:p>
        </w:tc>
        <w:tc>
          <w:tcPr>
            <w:tcW w:w="1134" w:type="dxa"/>
            <w:shd w:val="clear" w:color="auto" w:fill="auto"/>
          </w:tcPr>
          <w:p w:rsidR="008C61A4" w:rsidRPr="008762B1" w:rsidRDefault="00CE5876" w:rsidP="008C61A4">
            <w:pPr>
              <w:pStyle w:val="Tabletext"/>
            </w:pPr>
            <w:r w:rsidRPr="008762B1">
              <w:t>FR</w:t>
            </w:r>
            <w:r w:rsidR="00BA0923" w:rsidRPr="008762B1">
              <w:rPr>
                <w:vertAlign w:val="subscript"/>
              </w:rPr>
              <w:t>q</w:t>
            </w:r>
          </w:p>
        </w:tc>
        <w:tc>
          <w:tcPr>
            <w:tcW w:w="1560" w:type="dxa"/>
            <w:shd w:val="clear" w:color="auto" w:fill="auto"/>
          </w:tcPr>
          <w:p w:rsidR="008C61A4" w:rsidRPr="008762B1" w:rsidRDefault="00CE5876" w:rsidP="00452F22">
            <w:pPr>
              <w:pStyle w:val="Tabletext"/>
            </w:pPr>
            <w:r w:rsidRPr="008762B1">
              <w:t xml:space="preserve">Average total daily flow of biogas from an </w:t>
            </w:r>
            <w:r w:rsidR="00452F22" w:rsidRPr="008762B1">
              <w:t xml:space="preserve">anaerobic </w:t>
            </w:r>
            <w:r w:rsidR="009144C8" w:rsidRPr="008762B1">
              <w:t xml:space="preserve">digester </w:t>
            </w:r>
            <w:r w:rsidRPr="008762B1">
              <w:t xml:space="preserve">for the </w:t>
            </w:r>
            <w:r w:rsidR="00E3104E" w:rsidRPr="008762B1">
              <w:t>7 days before</w:t>
            </w:r>
            <w:r w:rsidRPr="008762B1">
              <w:t xml:space="preserve"> a major venting event</w:t>
            </w:r>
          </w:p>
        </w:tc>
        <w:tc>
          <w:tcPr>
            <w:tcW w:w="1275" w:type="dxa"/>
            <w:shd w:val="clear" w:color="auto" w:fill="auto"/>
          </w:tcPr>
          <w:p w:rsidR="008C61A4" w:rsidRPr="008762B1" w:rsidRDefault="00BE7A06" w:rsidP="008C61A4">
            <w:pPr>
              <w:pStyle w:val="Tabletext"/>
            </w:pPr>
            <w:r w:rsidRPr="008762B1">
              <w:t>m</w:t>
            </w:r>
            <w:r w:rsidRPr="008762B1">
              <w:rPr>
                <w:vertAlign w:val="superscript"/>
              </w:rPr>
              <w:t>3</w:t>
            </w:r>
            <w:r w:rsidR="00CE5876" w:rsidRPr="008762B1">
              <w:t>/day</w:t>
            </w:r>
          </w:p>
        </w:tc>
        <w:tc>
          <w:tcPr>
            <w:tcW w:w="1985" w:type="dxa"/>
            <w:shd w:val="clear" w:color="auto" w:fill="auto"/>
          </w:tcPr>
          <w:p w:rsidR="008C61A4" w:rsidRPr="008762B1" w:rsidRDefault="00E3104E" w:rsidP="00A8161F">
            <w:pPr>
              <w:pStyle w:val="Tabletext"/>
            </w:pPr>
            <w:r w:rsidRPr="008762B1">
              <w:t>Calculated from Q</w:t>
            </w:r>
            <w:r w:rsidRPr="008762B1">
              <w:rPr>
                <w:vertAlign w:val="subscript"/>
              </w:rPr>
              <w:t>BG,h</w:t>
            </w:r>
            <w:r w:rsidR="00A8161F" w:rsidRPr="008762B1">
              <w:t xml:space="preserve">, </w:t>
            </w:r>
            <w:r w:rsidRPr="008762B1">
              <w:t>as monitored in accordance with item</w:t>
            </w:r>
            <w:r w:rsidR="008762B1" w:rsidRPr="008762B1">
              <w:t> </w:t>
            </w:r>
            <w:r w:rsidR="003311B7" w:rsidRPr="008762B1">
              <w:t>4</w:t>
            </w:r>
            <w:r w:rsidR="00A8161F" w:rsidRPr="008762B1">
              <w:t xml:space="preserve"> of this table</w:t>
            </w:r>
          </w:p>
        </w:tc>
        <w:tc>
          <w:tcPr>
            <w:tcW w:w="1798" w:type="dxa"/>
            <w:shd w:val="clear" w:color="auto" w:fill="auto"/>
          </w:tcPr>
          <w:p w:rsidR="00E3104E" w:rsidRPr="008762B1" w:rsidRDefault="00E3104E" w:rsidP="00665D1A">
            <w:pPr>
              <w:pStyle w:val="Tabletext"/>
            </w:pPr>
            <w:r w:rsidRPr="008762B1">
              <w:t>For each major venting event</w:t>
            </w:r>
          </w:p>
        </w:tc>
      </w:tr>
      <w:tr w:rsidR="00A8161F" w:rsidRPr="008762B1" w:rsidTr="00A5099E">
        <w:tc>
          <w:tcPr>
            <w:tcW w:w="562" w:type="dxa"/>
            <w:shd w:val="clear" w:color="auto" w:fill="auto"/>
          </w:tcPr>
          <w:p w:rsidR="00A8161F" w:rsidRPr="008762B1" w:rsidRDefault="003311B7" w:rsidP="008C61A4">
            <w:pPr>
              <w:pStyle w:val="Tabletext"/>
            </w:pPr>
            <w:r w:rsidRPr="008762B1">
              <w:t>3</w:t>
            </w:r>
          </w:p>
        </w:tc>
        <w:tc>
          <w:tcPr>
            <w:tcW w:w="1134" w:type="dxa"/>
            <w:shd w:val="clear" w:color="auto" w:fill="auto"/>
          </w:tcPr>
          <w:p w:rsidR="00A8161F" w:rsidRPr="008762B1" w:rsidRDefault="00E116FF" w:rsidP="008C61A4">
            <w:pPr>
              <w:pStyle w:val="Tabletext"/>
              <w:rPr>
                <w:i/>
              </w:rPr>
            </w:pPr>
            <w:r w:rsidRPr="008762B1">
              <w:t>MS</w:t>
            </w:r>
            <w:r w:rsidRPr="008762B1">
              <w:rPr>
                <w:vertAlign w:val="subscript"/>
              </w:rPr>
              <w:t>BCS</w:t>
            </w:r>
          </w:p>
        </w:tc>
        <w:tc>
          <w:tcPr>
            <w:tcW w:w="1560" w:type="dxa"/>
            <w:shd w:val="clear" w:color="auto" w:fill="auto"/>
          </w:tcPr>
          <w:p w:rsidR="00A8161F" w:rsidRPr="008762B1" w:rsidRDefault="00E116FF" w:rsidP="00773128">
            <w:pPr>
              <w:pStyle w:val="Tabletext"/>
            </w:pPr>
            <w:r w:rsidRPr="008762B1">
              <w:t xml:space="preserve">Maximum biogas storage capacity of </w:t>
            </w:r>
            <w:r w:rsidR="00452F22" w:rsidRPr="008762B1">
              <w:t xml:space="preserve">anaerobic </w:t>
            </w:r>
            <w:r w:rsidRPr="008762B1">
              <w:t>digester</w:t>
            </w:r>
            <w:r w:rsidR="00773128" w:rsidRPr="008762B1">
              <w:t>s</w:t>
            </w:r>
          </w:p>
        </w:tc>
        <w:tc>
          <w:tcPr>
            <w:tcW w:w="1275" w:type="dxa"/>
            <w:shd w:val="clear" w:color="auto" w:fill="auto"/>
          </w:tcPr>
          <w:p w:rsidR="00A8161F" w:rsidRPr="008762B1" w:rsidRDefault="00E116FF" w:rsidP="008C61A4">
            <w:pPr>
              <w:pStyle w:val="Tabletext"/>
            </w:pPr>
            <w:r w:rsidRPr="008762B1">
              <w:t>m</w:t>
            </w:r>
            <w:r w:rsidRPr="008762B1">
              <w:rPr>
                <w:vertAlign w:val="superscript"/>
              </w:rPr>
              <w:t>3</w:t>
            </w:r>
          </w:p>
        </w:tc>
        <w:tc>
          <w:tcPr>
            <w:tcW w:w="1985" w:type="dxa"/>
            <w:shd w:val="clear" w:color="auto" w:fill="auto"/>
          </w:tcPr>
          <w:p w:rsidR="00E116FF" w:rsidRPr="008762B1" w:rsidRDefault="00665D1A" w:rsidP="00665D1A">
            <w:pPr>
              <w:pStyle w:val="Tabletext"/>
            </w:pPr>
            <w:r w:rsidRPr="008762B1">
              <w:t>Either:</w:t>
            </w:r>
          </w:p>
          <w:p w:rsidR="00665D1A" w:rsidRPr="008762B1" w:rsidRDefault="00665D1A" w:rsidP="00665D1A">
            <w:pPr>
              <w:pStyle w:val="Tablea"/>
            </w:pPr>
            <w:r w:rsidRPr="008762B1">
              <w:t>(a) measured directly; or</w:t>
            </w:r>
          </w:p>
          <w:p w:rsidR="00665D1A" w:rsidRPr="008762B1" w:rsidRDefault="00665D1A" w:rsidP="00665D1A">
            <w:pPr>
              <w:pStyle w:val="Tablea"/>
            </w:pPr>
            <w:r w:rsidRPr="008762B1">
              <w:t xml:space="preserve">(b) calculated using the </w:t>
            </w:r>
            <w:r w:rsidRPr="008762B1">
              <w:lastRenderedPageBreak/>
              <w:t>manufacturer’s specifications for the anaerobic digester</w:t>
            </w:r>
            <w:r w:rsidR="00773128" w:rsidRPr="008762B1">
              <w:t>s</w:t>
            </w:r>
          </w:p>
        </w:tc>
        <w:tc>
          <w:tcPr>
            <w:tcW w:w="1798" w:type="dxa"/>
            <w:shd w:val="clear" w:color="auto" w:fill="auto"/>
          </w:tcPr>
          <w:p w:rsidR="00A8161F" w:rsidRPr="008762B1" w:rsidRDefault="00E116FF" w:rsidP="00A0613F">
            <w:pPr>
              <w:pStyle w:val="Tabletext"/>
            </w:pPr>
            <w:r w:rsidRPr="008762B1">
              <w:lastRenderedPageBreak/>
              <w:t>At the following times:</w:t>
            </w:r>
          </w:p>
          <w:p w:rsidR="00E116FF" w:rsidRPr="008762B1" w:rsidRDefault="00E116FF" w:rsidP="00E116FF">
            <w:pPr>
              <w:pStyle w:val="Tablea"/>
            </w:pPr>
            <w:r w:rsidRPr="008762B1">
              <w:t xml:space="preserve">(a) </w:t>
            </w:r>
            <w:r w:rsidR="00C06483" w:rsidRPr="008762B1">
              <w:t xml:space="preserve">when the </w:t>
            </w:r>
            <w:r w:rsidR="00452F22" w:rsidRPr="008762B1">
              <w:t xml:space="preserve">anaerobic </w:t>
            </w:r>
            <w:r w:rsidR="005A0BB6" w:rsidRPr="008762B1">
              <w:t>digester</w:t>
            </w:r>
            <w:r w:rsidR="00773128" w:rsidRPr="008762B1">
              <w:t>s</w:t>
            </w:r>
            <w:r w:rsidR="005A0BB6" w:rsidRPr="008762B1">
              <w:t xml:space="preserve"> </w:t>
            </w:r>
            <w:r w:rsidR="00773128" w:rsidRPr="008762B1">
              <w:t>are</w:t>
            </w:r>
            <w:r w:rsidR="005A0BB6" w:rsidRPr="008762B1">
              <w:t xml:space="preserve"> installed</w:t>
            </w:r>
            <w:r w:rsidR="00C06483" w:rsidRPr="008762B1">
              <w:t>;</w:t>
            </w:r>
          </w:p>
          <w:p w:rsidR="00C06483" w:rsidRPr="008762B1" w:rsidRDefault="00C06483" w:rsidP="00773128">
            <w:pPr>
              <w:pStyle w:val="Tablea"/>
            </w:pPr>
            <w:r w:rsidRPr="008762B1">
              <w:lastRenderedPageBreak/>
              <w:t xml:space="preserve">(b) when the </w:t>
            </w:r>
            <w:r w:rsidR="00452F22" w:rsidRPr="008762B1">
              <w:t xml:space="preserve">anaerobic </w:t>
            </w:r>
            <w:r w:rsidRPr="008762B1">
              <w:t>digester</w:t>
            </w:r>
            <w:r w:rsidR="00773128" w:rsidRPr="008762B1">
              <w:t>s</w:t>
            </w:r>
            <w:r w:rsidRPr="008762B1">
              <w:t xml:space="preserve"> </w:t>
            </w:r>
            <w:r w:rsidR="00773128" w:rsidRPr="008762B1">
              <w:t>are</w:t>
            </w:r>
            <w:r w:rsidRPr="008762B1">
              <w:t xml:space="preserve"> upgraded in a way that changes </w:t>
            </w:r>
            <w:r w:rsidR="00773128" w:rsidRPr="008762B1">
              <w:t>the</w:t>
            </w:r>
            <w:r w:rsidRPr="008762B1">
              <w:t xml:space="preserve"> storage capacity</w:t>
            </w:r>
          </w:p>
        </w:tc>
      </w:tr>
      <w:tr w:rsidR="008C61A4" w:rsidRPr="008762B1" w:rsidTr="00A5099E">
        <w:tc>
          <w:tcPr>
            <w:tcW w:w="562" w:type="dxa"/>
            <w:shd w:val="clear" w:color="auto" w:fill="auto"/>
          </w:tcPr>
          <w:p w:rsidR="008C61A4" w:rsidRPr="008762B1" w:rsidRDefault="003311B7" w:rsidP="008C61A4">
            <w:pPr>
              <w:pStyle w:val="Tabletext"/>
            </w:pPr>
            <w:r w:rsidRPr="008762B1">
              <w:lastRenderedPageBreak/>
              <w:t>4</w:t>
            </w:r>
          </w:p>
        </w:tc>
        <w:tc>
          <w:tcPr>
            <w:tcW w:w="1134" w:type="dxa"/>
            <w:shd w:val="clear" w:color="auto" w:fill="auto"/>
          </w:tcPr>
          <w:p w:rsidR="008C61A4" w:rsidRPr="008762B1" w:rsidRDefault="00A0613F" w:rsidP="008C61A4">
            <w:pPr>
              <w:pStyle w:val="Tabletext"/>
            </w:pPr>
            <w:r w:rsidRPr="008762B1">
              <w:t>Q</w:t>
            </w:r>
            <w:r w:rsidRPr="008762B1">
              <w:rPr>
                <w:vertAlign w:val="subscript"/>
              </w:rPr>
              <w:t>BG,h</w:t>
            </w:r>
          </w:p>
        </w:tc>
        <w:tc>
          <w:tcPr>
            <w:tcW w:w="1560" w:type="dxa"/>
            <w:shd w:val="clear" w:color="auto" w:fill="auto"/>
          </w:tcPr>
          <w:p w:rsidR="008C61A4" w:rsidRPr="008762B1" w:rsidRDefault="00A0613F" w:rsidP="00773128">
            <w:pPr>
              <w:pStyle w:val="Tabletext"/>
            </w:pPr>
            <w:r w:rsidRPr="008762B1">
              <w:t xml:space="preserve">Volume of biogas sent to </w:t>
            </w:r>
            <w:r w:rsidR="005A0BB6" w:rsidRPr="008762B1">
              <w:t>combustion device</w:t>
            </w:r>
            <w:r w:rsidR="00773128" w:rsidRPr="008762B1">
              <w:t>s</w:t>
            </w:r>
          </w:p>
        </w:tc>
        <w:tc>
          <w:tcPr>
            <w:tcW w:w="1275" w:type="dxa"/>
            <w:shd w:val="clear" w:color="auto" w:fill="auto"/>
          </w:tcPr>
          <w:p w:rsidR="008C61A4" w:rsidRPr="008762B1" w:rsidRDefault="00A0613F" w:rsidP="008C61A4">
            <w:pPr>
              <w:pStyle w:val="Tabletext"/>
            </w:pPr>
            <w:r w:rsidRPr="008762B1">
              <w:t>m</w:t>
            </w:r>
            <w:r w:rsidRPr="008762B1">
              <w:rPr>
                <w:vertAlign w:val="superscript"/>
              </w:rPr>
              <w:t>3</w:t>
            </w:r>
          </w:p>
        </w:tc>
        <w:tc>
          <w:tcPr>
            <w:tcW w:w="1985" w:type="dxa"/>
            <w:shd w:val="clear" w:color="auto" w:fill="auto"/>
          </w:tcPr>
          <w:p w:rsidR="00E3104E" w:rsidRPr="008762B1" w:rsidRDefault="00A0613F" w:rsidP="00C70F7F">
            <w:pPr>
              <w:pStyle w:val="Tabletext"/>
            </w:pPr>
            <w:r w:rsidRPr="008762B1">
              <w:t>Estimated in accordance with Division</w:t>
            </w:r>
            <w:r w:rsidR="008762B1" w:rsidRPr="008762B1">
              <w:t> </w:t>
            </w:r>
            <w:r w:rsidRPr="008762B1">
              <w:t>2.3.6 of the NGER (Measurement) Determination</w:t>
            </w:r>
            <w:r w:rsidR="00C70F7F" w:rsidRPr="008762B1">
              <w:t>.</w:t>
            </w:r>
          </w:p>
          <w:p w:rsidR="00C70F7F" w:rsidRPr="008762B1" w:rsidRDefault="004665B8" w:rsidP="00C70F7F">
            <w:pPr>
              <w:pStyle w:val="Tabletext"/>
            </w:pPr>
            <w:r w:rsidRPr="008762B1">
              <w:t>Frequency—</w:t>
            </w:r>
            <w:r w:rsidR="00C70F7F" w:rsidRPr="008762B1">
              <w:t>conti</w:t>
            </w:r>
            <w:r w:rsidRPr="008762B1">
              <w:t>nuous</w:t>
            </w:r>
          </w:p>
        </w:tc>
        <w:tc>
          <w:tcPr>
            <w:tcW w:w="1798" w:type="dxa"/>
            <w:shd w:val="clear" w:color="auto" w:fill="auto"/>
          </w:tcPr>
          <w:p w:rsidR="00C77F90" w:rsidRPr="008762B1" w:rsidRDefault="00C77F90" w:rsidP="00C70F7F">
            <w:pPr>
              <w:pStyle w:val="Tabletext"/>
            </w:pPr>
            <w:r w:rsidRPr="008762B1">
              <w:t>If W</w:t>
            </w:r>
            <w:r w:rsidRPr="008762B1">
              <w:rPr>
                <w:vertAlign w:val="subscript"/>
              </w:rPr>
              <w:t>BG,CH</w:t>
            </w:r>
            <w:r w:rsidRPr="008762B1">
              <w:rPr>
                <w:position w:val="-6"/>
                <w:vertAlign w:val="subscript"/>
              </w:rPr>
              <w:t>4</w:t>
            </w:r>
            <w:r w:rsidRPr="008762B1">
              <w:t xml:space="preserve"> is monitored continuously, the cumulative value for the time interval used </w:t>
            </w:r>
            <w:r w:rsidR="00BE1DDC" w:rsidRPr="008762B1">
              <w:t>to</w:t>
            </w:r>
            <w:r w:rsidRPr="008762B1">
              <w:t xml:space="preserve"> determin</w:t>
            </w:r>
            <w:r w:rsidR="00BE1DDC" w:rsidRPr="008762B1">
              <w:t>e</w:t>
            </w:r>
            <w:r w:rsidRPr="008762B1">
              <w:t xml:space="preserve"> W</w:t>
            </w:r>
            <w:r w:rsidRPr="008762B1">
              <w:rPr>
                <w:vertAlign w:val="subscript"/>
              </w:rPr>
              <w:t>BG,CH</w:t>
            </w:r>
            <w:r w:rsidRPr="008762B1">
              <w:rPr>
                <w:position w:val="-6"/>
                <w:vertAlign w:val="subscript"/>
              </w:rPr>
              <w:t>4</w:t>
            </w:r>
            <w:r w:rsidR="000416E5" w:rsidRPr="008762B1">
              <w:t xml:space="preserve"> for equation 17</w:t>
            </w:r>
            <w:r w:rsidRPr="008762B1">
              <w:t>.</w:t>
            </w:r>
          </w:p>
          <w:p w:rsidR="008C61A4" w:rsidRPr="008762B1" w:rsidRDefault="00C77F90" w:rsidP="00C70F7F">
            <w:pPr>
              <w:pStyle w:val="Tabletext"/>
            </w:pPr>
            <w:r w:rsidRPr="008762B1">
              <w:t>Otherwise, the cumulative value for the reporting period</w:t>
            </w:r>
          </w:p>
        </w:tc>
      </w:tr>
      <w:tr w:rsidR="008C61A4" w:rsidRPr="008762B1" w:rsidTr="00A5099E">
        <w:tc>
          <w:tcPr>
            <w:tcW w:w="562" w:type="dxa"/>
            <w:shd w:val="clear" w:color="auto" w:fill="auto"/>
          </w:tcPr>
          <w:p w:rsidR="008C61A4" w:rsidRPr="008762B1" w:rsidRDefault="003311B7" w:rsidP="008C61A4">
            <w:pPr>
              <w:pStyle w:val="Tabletext"/>
            </w:pPr>
            <w:r w:rsidRPr="008762B1">
              <w:t>5</w:t>
            </w:r>
          </w:p>
        </w:tc>
        <w:tc>
          <w:tcPr>
            <w:tcW w:w="1134" w:type="dxa"/>
            <w:shd w:val="clear" w:color="auto" w:fill="auto"/>
          </w:tcPr>
          <w:p w:rsidR="008C61A4" w:rsidRPr="008762B1" w:rsidRDefault="00C73168" w:rsidP="008C61A4">
            <w:pPr>
              <w:pStyle w:val="Tabletext"/>
            </w:pPr>
            <w:r w:rsidRPr="008762B1">
              <w:t>Q</w:t>
            </w:r>
            <w:r w:rsidRPr="008762B1">
              <w:rPr>
                <w:vertAlign w:val="subscript"/>
              </w:rPr>
              <w:t>C&amp;D</w:t>
            </w:r>
          </w:p>
        </w:tc>
        <w:tc>
          <w:tcPr>
            <w:tcW w:w="1560" w:type="dxa"/>
            <w:shd w:val="clear" w:color="auto" w:fill="auto"/>
          </w:tcPr>
          <w:p w:rsidR="008C61A4" w:rsidRPr="008762B1" w:rsidRDefault="00C73168" w:rsidP="00C73168">
            <w:pPr>
              <w:pStyle w:val="Tabletext"/>
            </w:pPr>
            <w:r w:rsidRPr="008762B1">
              <w:rPr>
                <w:szCs w:val="22"/>
              </w:rPr>
              <w:t>Quantity of eligible waste that is construction and demolition waste</w:t>
            </w:r>
          </w:p>
        </w:tc>
        <w:tc>
          <w:tcPr>
            <w:tcW w:w="1275" w:type="dxa"/>
            <w:shd w:val="clear" w:color="auto" w:fill="auto"/>
          </w:tcPr>
          <w:p w:rsidR="008C61A4" w:rsidRPr="008762B1" w:rsidRDefault="00096535" w:rsidP="00BE7A06">
            <w:pPr>
              <w:pStyle w:val="Tabletext"/>
            </w:pPr>
            <w:r w:rsidRPr="008762B1">
              <w:t>t</w:t>
            </w:r>
          </w:p>
        </w:tc>
        <w:tc>
          <w:tcPr>
            <w:tcW w:w="1985" w:type="dxa"/>
            <w:shd w:val="clear" w:color="auto" w:fill="auto"/>
          </w:tcPr>
          <w:p w:rsidR="00C73168" w:rsidRPr="008762B1" w:rsidRDefault="006A4FFF" w:rsidP="006A4FFF">
            <w:pPr>
              <w:pStyle w:val="Tabletext"/>
            </w:pPr>
            <w:r w:rsidRPr="008762B1">
              <w:t xml:space="preserve">Measured using an </w:t>
            </w:r>
            <w:r w:rsidR="00013EC9" w:rsidRPr="008762B1">
              <w:t xml:space="preserve">accepted </w:t>
            </w:r>
            <w:r w:rsidRPr="008762B1">
              <w:t>industry weighbridge</w:t>
            </w:r>
            <w:r w:rsidR="00C73168" w:rsidRPr="008762B1">
              <w:t xml:space="preserve"> that meet</w:t>
            </w:r>
            <w:r w:rsidRPr="008762B1">
              <w:t>s</w:t>
            </w:r>
            <w:r w:rsidR="00C73168" w:rsidRPr="008762B1">
              <w:t xml:space="preserve"> </w:t>
            </w:r>
            <w:r w:rsidR="00930C6B" w:rsidRPr="008762B1">
              <w:t>appropriate</w:t>
            </w:r>
            <w:r w:rsidR="00C73168" w:rsidRPr="008762B1">
              <w:t xml:space="preserve"> </w:t>
            </w:r>
            <w:r w:rsidR="003620C0" w:rsidRPr="008762B1">
              <w:t>measuring</w:t>
            </w:r>
            <w:r w:rsidR="00930C6B" w:rsidRPr="008762B1">
              <w:t xml:space="preserve"> requirements</w:t>
            </w:r>
            <w:r w:rsidR="009E3C9B" w:rsidRPr="008762B1">
              <w:t>.</w:t>
            </w:r>
          </w:p>
          <w:p w:rsidR="009E3C9B" w:rsidRPr="008762B1" w:rsidRDefault="004665B8" w:rsidP="00BE1DDC">
            <w:pPr>
              <w:pStyle w:val="Tabletext"/>
            </w:pPr>
            <w:r w:rsidRPr="008762B1">
              <w:t>Frequency—</w:t>
            </w:r>
            <w:r w:rsidR="009E3C9B" w:rsidRPr="008762B1">
              <w:t>for each load of eligible waste delivered to the AWT facility</w:t>
            </w:r>
          </w:p>
        </w:tc>
        <w:tc>
          <w:tcPr>
            <w:tcW w:w="1798" w:type="dxa"/>
            <w:shd w:val="clear" w:color="auto" w:fill="auto"/>
          </w:tcPr>
          <w:p w:rsidR="008C61A4" w:rsidRPr="008762B1" w:rsidRDefault="009E3C9B" w:rsidP="00773128">
            <w:pPr>
              <w:pStyle w:val="Tabletext"/>
            </w:pPr>
            <w:r w:rsidRPr="008762B1">
              <w:t>Cumulative value for the reporting period</w:t>
            </w:r>
          </w:p>
        </w:tc>
      </w:tr>
      <w:tr w:rsidR="00C73168" w:rsidRPr="008762B1" w:rsidTr="00A5099E">
        <w:tc>
          <w:tcPr>
            <w:tcW w:w="562" w:type="dxa"/>
            <w:shd w:val="clear" w:color="auto" w:fill="auto"/>
          </w:tcPr>
          <w:p w:rsidR="00C73168" w:rsidRPr="008762B1" w:rsidRDefault="003311B7" w:rsidP="008C61A4">
            <w:pPr>
              <w:pStyle w:val="Tabletext"/>
            </w:pPr>
            <w:r w:rsidRPr="008762B1">
              <w:t>6</w:t>
            </w:r>
          </w:p>
        </w:tc>
        <w:tc>
          <w:tcPr>
            <w:tcW w:w="1134" w:type="dxa"/>
            <w:shd w:val="clear" w:color="auto" w:fill="auto"/>
          </w:tcPr>
          <w:p w:rsidR="00C73168" w:rsidRPr="008762B1" w:rsidRDefault="00C73168" w:rsidP="008C61A4">
            <w:pPr>
              <w:pStyle w:val="Tabletext"/>
              <w:rPr>
                <w:i/>
              </w:rPr>
            </w:pPr>
            <w:r w:rsidRPr="008762B1">
              <w:t>Q</w:t>
            </w:r>
            <w:r w:rsidRPr="008762B1">
              <w:rPr>
                <w:vertAlign w:val="subscript"/>
              </w:rPr>
              <w:t>C&amp;I</w:t>
            </w:r>
          </w:p>
        </w:tc>
        <w:tc>
          <w:tcPr>
            <w:tcW w:w="1560" w:type="dxa"/>
            <w:shd w:val="clear" w:color="auto" w:fill="auto"/>
          </w:tcPr>
          <w:p w:rsidR="00C73168" w:rsidRPr="008762B1" w:rsidRDefault="00C73168" w:rsidP="008C61A4">
            <w:pPr>
              <w:pStyle w:val="Tabletext"/>
            </w:pPr>
            <w:r w:rsidRPr="008762B1">
              <w:rPr>
                <w:szCs w:val="22"/>
              </w:rPr>
              <w:t>Quantity of eligible waste that is commercial and industrial waste</w:t>
            </w:r>
          </w:p>
        </w:tc>
        <w:tc>
          <w:tcPr>
            <w:tcW w:w="1275" w:type="dxa"/>
            <w:shd w:val="clear" w:color="auto" w:fill="auto"/>
          </w:tcPr>
          <w:p w:rsidR="00C73168" w:rsidRPr="008762B1" w:rsidRDefault="00C73168" w:rsidP="00BE7A06">
            <w:pPr>
              <w:pStyle w:val="Tabletext"/>
            </w:pPr>
            <w:r w:rsidRPr="008762B1">
              <w:t>t</w:t>
            </w:r>
          </w:p>
        </w:tc>
        <w:tc>
          <w:tcPr>
            <w:tcW w:w="1985" w:type="dxa"/>
            <w:shd w:val="clear" w:color="auto" w:fill="auto"/>
          </w:tcPr>
          <w:p w:rsidR="00C73168" w:rsidRPr="008762B1" w:rsidRDefault="00004E0E" w:rsidP="00F5402E">
            <w:pPr>
              <w:pStyle w:val="Tabletext"/>
            </w:pPr>
            <w:r w:rsidRPr="008762B1">
              <w:t>Measured using an accepted industry weighbridge that meets appropriate measuring requirements</w:t>
            </w:r>
            <w:r w:rsidR="009E3C9B" w:rsidRPr="008762B1">
              <w:t>.</w:t>
            </w:r>
          </w:p>
          <w:p w:rsidR="009E3C9B" w:rsidRPr="008762B1" w:rsidRDefault="004665B8" w:rsidP="009E3C9B">
            <w:pPr>
              <w:pStyle w:val="Tabletext"/>
            </w:pPr>
            <w:r w:rsidRPr="008762B1">
              <w:t>Frequency—</w:t>
            </w:r>
            <w:r w:rsidR="009E3C9B" w:rsidRPr="008762B1">
              <w:t>for each load of eligible waste delivered to the AWT facility</w:t>
            </w:r>
          </w:p>
        </w:tc>
        <w:tc>
          <w:tcPr>
            <w:tcW w:w="1798" w:type="dxa"/>
            <w:shd w:val="clear" w:color="auto" w:fill="auto"/>
          </w:tcPr>
          <w:p w:rsidR="00C73168" w:rsidRPr="008762B1" w:rsidRDefault="009E3C9B" w:rsidP="00773128">
            <w:pPr>
              <w:pStyle w:val="Tabletext"/>
            </w:pPr>
            <w:r w:rsidRPr="008762B1">
              <w:t>Cumulative value for the reporting period</w:t>
            </w:r>
          </w:p>
        </w:tc>
      </w:tr>
      <w:tr w:rsidR="00A0613F" w:rsidRPr="008762B1" w:rsidTr="00A5099E">
        <w:tc>
          <w:tcPr>
            <w:tcW w:w="562" w:type="dxa"/>
            <w:shd w:val="clear" w:color="auto" w:fill="auto"/>
          </w:tcPr>
          <w:p w:rsidR="00A0613F" w:rsidRPr="008762B1" w:rsidRDefault="003311B7" w:rsidP="008C61A4">
            <w:pPr>
              <w:pStyle w:val="Tabletext"/>
            </w:pPr>
            <w:r w:rsidRPr="008762B1">
              <w:t>7</w:t>
            </w:r>
          </w:p>
        </w:tc>
        <w:tc>
          <w:tcPr>
            <w:tcW w:w="1134" w:type="dxa"/>
            <w:shd w:val="clear" w:color="auto" w:fill="auto"/>
          </w:tcPr>
          <w:p w:rsidR="00A0613F" w:rsidRPr="008762B1" w:rsidRDefault="00A0613F" w:rsidP="008C61A4">
            <w:pPr>
              <w:pStyle w:val="Tabletext"/>
              <w:rPr>
                <w:i/>
              </w:rPr>
            </w:pPr>
            <w:r w:rsidRPr="008762B1">
              <w:t>Q</w:t>
            </w:r>
            <w:r w:rsidR="00A35D5A" w:rsidRPr="008762B1">
              <w:rPr>
                <w:vertAlign w:val="subscript"/>
              </w:rPr>
              <w:t>Comp</w:t>
            </w:r>
            <w:r w:rsidR="00C0642F" w:rsidRPr="008762B1">
              <w:rPr>
                <w:vertAlign w:val="subscript"/>
              </w:rPr>
              <w:t>ost</w:t>
            </w:r>
          </w:p>
        </w:tc>
        <w:tc>
          <w:tcPr>
            <w:tcW w:w="1560" w:type="dxa"/>
            <w:shd w:val="clear" w:color="auto" w:fill="auto"/>
          </w:tcPr>
          <w:p w:rsidR="00A0613F" w:rsidRPr="008762B1" w:rsidRDefault="00A0613F" w:rsidP="00BB0727">
            <w:pPr>
              <w:pStyle w:val="Tabletext"/>
              <w:rPr>
                <w:szCs w:val="22"/>
              </w:rPr>
            </w:pPr>
            <w:r w:rsidRPr="008762B1">
              <w:rPr>
                <w:szCs w:val="22"/>
              </w:rPr>
              <w:t>Q</w:t>
            </w:r>
            <w:r w:rsidR="00C06483" w:rsidRPr="008762B1">
              <w:rPr>
                <w:szCs w:val="22"/>
              </w:rPr>
              <w:t>uantity</w:t>
            </w:r>
            <w:r w:rsidRPr="008762B1">
              <w:rPr>
                <w:szCs w:val="22"/>
              </w:rPr>
              <w:t xml:space="preserve"> of </w:t>
            </w:r>
            <w:r w:rsidR="0013741E" w:rsidRPr="008762B1">
              <w:rPr>
                <w:szCs w:val="22"/>
              </w:rPr>
              <w:t>waste composted</w:t>
            </w:r>
          </w:p>
        </w:tc>
        <w:tc>
          <w:tcPr>
            <w:tcW w:w="1275" w:type="dxa"/>
            <w:shd w:val="clear" w:color="auto" w:fill="auto"/>
          </w:tcPr>
          <w:p w:rsidR="00A0613F" w:rsidRPr="008762B1" w:rsidRDefault="00A0613F" w:rsidP="004A0A60">
            <w:pPr>
              <w:pStyle w:val="Tabletext"/>
            </w:pPr>
            <w:r w:rsidRPr="008762B1">
              <w:t>t</w:t>
            </w:r>
          </w:p>
        </w:tc>
        <w:tc>
          <w:tcPr>
            <w:tcW w:w="1985" w:type="dxa"/>
            <w:shd w:val="clear" w:color="auto" w:fill="auto"/>
          </w:tcPr>
          <w:p w:rsidR="00A0613F" w:rsidRPr="008762B1" w:rsidRDefault="00004E0E" w:rsidP="00930C6B">
            <w:pPr>
              <w:pStyle w:val="Tabletext"/>
            </w:pPr>
            <w:r w:rsidRPr="008762B1">
              <w:t xml:space="preserve">Measured using an accepted industry weighbridge that meets appropriate measuring </w:t>
            </w:r>
            <w:r w:rsidRPr="008762B1">
              <w:lastRenderedPageBreak/>
              <w:t>requirements</w:t>
            </w:r>
            <w:r w:rsidR="009E3C9B" w:rsidRPr="008762B1">
              <w:t>.</w:t>
            </w:r>
          </w:p>
          <w:p w:rsidR="009E3C9B" w:rsidRPr="008762B1" w:rsidRDefault="004665B8" w:rsidP="00930C6B">
            <w:pPr>
              <w:pStyle w:val="Tabletext"/>
            </w:pPr>
            <w:r w:rsidRPr="008762B1">
              <w:t>Frequency—</w:t>
            </w:r>
            <w:r w:rsidR="009E3C9B" w:rsidRPr="008762B1">
              <w:t>for each load of compost produced</w:t>
            </w:r>
          </w:p>
        </w:tc>
        <w:tc>
          <w:tcPr>
            <w:tcW w:w="1798" w:type="dxa"/>
            <w:shd w:val="clear" w:color="auto" w:fill="auto"/>
          </w:tcPr>
          <w:p w:rsidR="00A0613F" w:rsidRPr="008762B1" w:rsidRDefault="009E3C9B" w:rsidP="00773128">
            <w:pPr>
              <w:pStyle w:val="Tabletext"/>
            </w:pPr>
            <w:r w:rsidRPr="008762B1">
              <w:lastRenderedPageBreak/>
              <w:t>Cumulative value for the reporting period</w:t>
            </w:r>
          </w:p>
        </w:tc>
      </w:tr>
      <w:tr w:rsidR="00DE4724" w:rsidRPr="008762B1" w:rsidTr="00A5099E">
        <w:tc>
          <w:tcPr>
            <w:tcW w:w="562" w:type="dxa"/>
            <w:shd w:val="clear" w:color="auto" w:fill="auto"/>
          </w:tcPr>
          <w:p w:rsidR="00DE4724" w:rsidRPr="008762B1" w:rsidRDefault="003311B7" w:rsidP="008C61A4">
            <w:pPr>
              <w:pStyle w:val="Tabletext"/>
            </w:pPr>
            <w:r w:rsidRPr="008762B1">
              <w:lastRenderedPageBreak/>
              <w:t>8</w:t>
            </w:r>
          </w:p>
        </w:tc>
        <w:tc>
          <w:tcPr>
            <w:tcW w:w="1134" w:type="dxa"/>
            <w:shd w:val="clear" w:color="auto" w:fill="auto"/>
          </w:tcPr>
          <w:p w:rsidR="00DE4724" w:rsidRPr="008762B1" w:rsidRDefault="00DE4724" w:rsidP="008C61A4">
            <w:pPr>
              <w:pStyle w:val="Tabletext"/>
              <w:rPr>
                <w:i/>
              </w:rPr>
            </w:pPr>
            <w:r w:rsidRPr="008762B1">
              <w:t>Q</w:t>
            </w:r>
            <w:r w:rsidR="00A35D5A" w:rsidRPr="008762B1">
              <w:rPr>
                <w:vertAlign w:val="subscript"/>
              </w:rPr>
              <w:t>EG</w:t>
            </w:r>
            <w:r w:rsidRPr="008762B1">
              <w:rPr>
                <w:vertAlign w:val="subscript"/>
              </w:rPr>
              <w:t>,h</w:t>
            </w:r>
          </w:p>
        </w:tc>
        <w:tc>
          <w:tcPr>
            <w:tcW w:w="1560" w:type="dxa"/>
            <w:shd w:val="clear" w:color="auto" w:fill="auto"/>
          </w:tcPr>
          <w:p w:rsidR="00DE4724" w:rsidRPr="008762B1" w:rsidRDefault="00C06483" w:rsidP="00773128">
            <w:pPr>
              <w:pStyle w:val="Tabletext"/>
              <w:rPr>
                <w:szCs w:val="22"/>
              </w:rPr>
            </w:pPr>
            <w:r w:rsidRPr="008762B1">
              <w:rPr>
                <w:rFonts w:eastAsiaTheme="minorEastAsia"/>
              </w:rPr>
              <w:t>Quantity of e</w:t>
            </w:r>
            <w:r w:rsidR="00DE4724" w:rsidRPr="008762B1">
              <w:rPr>
                <w:rFonts w:eastAsiaTheme="minorEastAsia"/>
              </w:rPr>
              <w:t xml:space="preserve">lectricity generated by </w:t>
            </w:r>
            <w:r w:rsidRPr="008762B1">
              <w:rPr>
                <w:rFonts w:eastAsiaTheme="minorEastAsia"/>
              </w:rPr>
              <w:t>internal combustion engine</w:t>
            </w:r>
            <w:r w:rsidR="00773128" w:rsidRPr="008762B1">
              <w:rPr>
                <w:rFonts w:eastAsiaTheme="minorEastAsia"/>
              </w:rPr>
              <w:t>s</w:t>
            </w:r>
            <w:r w:rsidR="00DE4724" w:rsidRPr="008762B1">
              <w:rPr>
                <w:rFonts w:eastAsiaTheme="minorEastAsia"/>
              </w:rPr>
              <w:t xml:space="preserve"> (whether supplied to the grid or used on</w:t>
            </w:r>
            <w:r w:rsidR="008762B1">
              <w:rPr>
                <w:rFonts w:eastAsiaTheme="minorEastAsia"/>
              </w:rPr>
              <w:noBreakHyphen/>
            </w:r>
            <w:r w:rsidR="00DE4724" w:rsidRPr="008762B1">
              <w:rPr>
                <w:rFonts w:eastAsiaTheme="minorEastAsia"/>
              </w:rPr>
              <w:t>site)</w:t>
            </w:r>
          </w:p>
        </w:tc>
        <w:tc>
          <w:tcPr>
            <w:tcW w:w="1275" w:type="dxa"/>
            <w:shd w:val="clear" w:color="auto" w:fill="auto"/>
          </w:tcPr>
          <w:p w:rsidR="00DE4724" w:rsidRPr="008762B1" w:rsidRDefault="00DE4724" w:rsidP="004A0A60">
            <w:pPr>
              <w:pStyle w:val="Tabletext"/>
            </w:pPr>
            <w:r w:rsidRPr="008762B1">
              <w:t>MWh</w:t>
            </w:r>
          </w:p>
        </w:tc>
        <w:tc>
          <w:tcPr>
            <w:tcW w:w="1985" w:type="dxa"/>
            <w:shd w:val="clear" w:color="auto" w:fill="auto"/>
          </w:tcPr>
          <w:p w:rsidR="00DE4724" w:rsidRPr="008762B1" w:rsidRDefault="00DE4724" w:rsidP="008C61A4">
            <w:pPr>
              <w:pStyle w:val="Tabletext"/>
            </w:pPr>
            <w:r w:rsidRPr="008762B1">
              <w:t>Estimated in accordance with Part</w:t>
            </w:r>
            <w:r w:rsidR="008762B1" w:rsidRPr="008762B1">
              <w:t> </w:t>
            </w:r>
            <w:r w:rsidRPr="008762B1">
              <w:t>6.1 of the NGER (Measurement) Determination</w:t>
            </w:r>
            <w:r w:rsidR="009E3C9B" w:rsidRPr="008762B1">
              <w:t>.</w:t>
            </w:r>
          </w:p>
          <w:p w:rsidR="009E3C9B" w:rsidRPr="008762B1" w:rsidRDefault="004665B8" w:rsidP="008C61A4">
            <w:pPr>
              <w:pStyle w:val="Tabletext"/>
            </w:pPr>
            <w:r w:rsidRPr="008762B1">
              <w:t>Frequency—continuous</w:t>
            </w:r>
          </w:p>
        </w:tc>
        <w:tc>
          <w:tcPr>
            <w:tcW w:w="1798" w:type="dxa"/>
            <w:shd w:val="clear" w:color="auto" w:fill="auto"/>
          </w:tcPr>
          <w:p w:rsidR="00DE4724" w:rsidRPr="008762B1" w:rsidRDefault="009E3C9B" w:rsidP="008C61A4">
            <w:pPr>
              <w:pStyle w:val="Tabletext"/>
            </w:pPr>
            <w:r w:rsidRPr="008762B1">
              <w:t>Cumulative value for the reporting period</w:t>
            </w:r>
          </w:p>
        </w:tc>
      </w:tr>
      <w:tr w:rsidR="00EC2B11" w:rsidRPr="008762B1" w:rsidTr="00A5099E">
        <w:tc>
          <w:tcPr>
            <w:tcW w:w="562" w:type="dxa"/>
            <w:shd w:val="clear" w:color="auto" w:fill="auto"/>
          </w:tcPr>
          <w:p w:rsidR="00EC2B11" w:rsidRPr="008762B1" w:rsidRDefault="003311B7" w:rsidP="008C61A4">
            <w:pPr>
              <w:pStyle w:val="Tabletext"/>
            </w:pPr>
            <w:r w:rsidRPr="008762B1">
              <w:t>9</w:t>
            </w:r>
          </w:p>
        </w:tc>
        <w:tc>
          <w:tcPr>
            <w:tcW w:w="1134" w:type="dxa"/>
            <w:shd w:val="clear" w:color="auto" w:fill="auto"/>
          </w:tcPr>
          <w:p w:rsidR="00EC2B11" w:rsidRPr="008762B1" w:rsidRDefault="00EC2B11" w:rsidP="008C61A4">
            <w:pPr>
              <w:pStyle w:val="Tabletext"/>
              <w:rPr>
                <w:i/>
              </w:rPr>
            </w:pPr>
            <w:r w:rsidRPr="008762B1">
              <w:t>Q</w:t>
            </w:r>
            <w:r w:rsidR="00A35D5A" w:rsidRPr="008762B1">
              <w:rPr>
                <w:vertAlign w:val="subscript"/>
              </w:rPr>
              <w:t>EP</w:t>
            </w:r>
          </w:p>
        </w:tc>
        <w:tc>
          <w:tcPr>
            <w:tcW w:w="1560" w:type="dxa"/>
            <w:shd w:val="clear" w:color="auto" w:fill="auto"/>
          </w:tcPr>
          <w:p w:rsidR="00EC2B11" w:rsidRPr="008762B1" w:rsidRDefault="00EC2B11" w:rsidP="00773128">
            <w:pPr>
              <w:pStyle w:val="Tabletext"/>
              <w:rPr>
                <w:szCs w:val="22"/>
              </w:rPr>
            </w:pPr>
            <w:r w:rsidRPr="008762B1">
              <w:rPr>
                <w:szCs w:val="22"/>
              </w:rPr>
              <w:t>Qu</w:t>
            </w:r>
            <w:r w:rsidR="0013741E" w:rsidRPr="008762B1">
              <w:rPr>
                <w:szCs w:val="22"/>
              </w:rPr>
              <w:t>antity of electricity purchased</w:t>
            </w:r>
          </w:p>
        </w:tc>
        <w:tc>
          <w:tcPr>
            <w:tcW w:w="1275" w:type="dxa"/>
            <w:shd w:val="clear" w:color="auto" w:fill="auto"/>
          </w:tcPr>
          <w:p w:rsidR="00EC2B11" w:rsidRPr="008762B1" w:rsidRDefault="00A35D5A" w:rsidP="004A0A60">
            <w:pPr>
              <w:pStyle w:val="Tabletext"/>
            </w:pPr>
            <w:r w:rsidRPr="008762B1">
              <w:t>k</w:t>
            </w:r>
            <w:r w:rsidR="00EC2B11" w:rsidRPr="008762B1">
              <w:t>Wh</w:t>
            </w:r>
            <w:r w:rsidR="00286B97" w:rsidRPr="008762B1">
              <w:t xml:space="preserve"> or GJ</w:t>
            </w:r>
          </w:p>
        </w:tc>
        <w:tc>
          <w:tcPr>
            <w:tcW w:w="1985" w:type="dxa"/>
            <w:shd w:val="clear" w:color="auto" w:fill="auto"/>
          </w:tcPr>
          <w:p w:rsidR="00BB0727" w:rsidRPr="008762B1" w:rsidRDefault="0078690B" w:rsidP="0078690B">
            <w:pPr>
              <w:pStyle w:val="Tabletext"/>
            </w:pPr>
            <w:r w:rsidRPr="008762B1">
              <w:t>Evidenced by invoices, contractual arrangements or industry metering records.</w:t>
            </w:r>
          </w:p>
          <w:p w:rsidR="00A35D5A" w:rsidRPr="008762B1" w:rsidRDefault="00A35D5A" w:rsidP="00A35D5A">
            <w:pPr>
              <w:pStyle w:val="Tabletext"/>
            </w:pPr>
            <w:r w:rsidRPr="008762B1">
              <w:t>If Q</w:t>
            </w:r>
            <w:r w:rsidRPr="008762B1">
              <w:rPr>
                <w:vertAlign w:val="subscript"/>
              </w:rPr>
              <w:t>EP</w:t>
            </w:r>
            <w:r w:rsidRPr="008762B1">
              <w:t xml:space="preserve"> is measured in gigajoules, the quantity of kilowatt hours must be calculated by dividing the amount of gigajoules by the conversion factor of 0.0036</w:t>
            </w:r>
            <w:r w:rsidR="009E3C9B" w:rsidRPr="008762B1">
              <w:t>.</w:t>
            </w:r>
          </w:p>
          <w:p w:rsidR="00891E9B" w:rsidRPr="008762B1" w:rsidRDefault="004665B8" w:rsidP="008E2EE4">
            <w:pPr>
              <w:pStyle w:val="Tabletext"/>
            </w:pPr>
            <w:r w:rsidRPr="008762B1">
              <w:t>Frequency—continuous</w:t>
            </w:r>
          </w:p>
        </w:tc>
        <w:tc>
          <w:tcPr>
            <w:tcW w:w="1798" w:type="dxa"/>
            <w:shd w:val="clear" w:color="auto" w:fill="auto"/>
          </w:tcPr>
          <w:p w:rsidR="00EC2B11" w:rsidRPr="008762B1" w:rsidRDefault="009E3C9B" w:rsidP="008C61A4">
            <w:pPr>
              <w:pStyle w:val="Tabletext"/>
            </w:pPr>
            <w:r w:rsidRPr="008762B1">
              <w:t>Cumulative value for the reporting period</w:t>
            </w:r>
          </w:p>
        </w:tc>
      </w:tr>
      <w:tr w:rsidR="00096535" w:rsidRPr="008762B1" w:rsidTr="00A5099E">
        <w:tc>
          <w:tcPr>
            <w:tcW w:w="562" w:type="dxa"/>
            <w:shd w:val="clear" w:color="auto" w:fill="auto"/>
          </w:tcPr>
          <w:p w:rsidR="00096535" w:rsidRPr="008762B1" w:rsidRDefault="003311B7" w:rsidP="008C61A4">
            <w:pPr>
              <w:pStyle w:val="Tabletext"/>
            </w:pPr>
            <w:r w:rsidRPr="008762B1">
              <w:t>10</w:t>
            </w:r>
          </w:p>
        </w:tc>
        <w:tc>
          <w:tcPr>
            <w:tcW w:w="1134" w:type="dxa"/>
            <w:shd w:val="clear" w:color="auto" w:fill="auto"/>
          </w:tcPr>
          <w:p w:rsidR="00096535" w:rsidRPr="008762B1" w:rsidRDefault="00096535" w:rsidP="008C61A4">
            <w:pPr>
              <w:pStyle w:val="Tabletext"/>
              <w:rPr>
                <w:i/>
              </w:rPr>
            </w:pPr>
            <w:r w:rsidRPr="008762B1">
              <w:t>Q</w:t>
            </w:r>
            <w:r w:rsidR="00A35D5A" w:rsidRPr="008762B1">
              <w:rPr>
                <w:vertAlign w:val="subscript"/>
              </w:rPr>
              <w:t>F</w:t>
            </w:r>
            <w:r w:rsidRPr="008762B1">
              <w:rPr>
                <w:vertAlign w:val="subscript"/>
              </w:rPr>
              <w:t>,i</w:t>
            </w:r>
          </w:p>
        </w:tc>
        <w:tc>
          <w:tcPr>
            <w:tcW w:w="1560" w:type="dxa"/>
            <w:shd w:val="clear" w:color="auto" w:fill="auto"/>
          </w:tcPr>
          <w:p w:rsidR="00096535" w:rsidRPr="008762B1" w:rsidRDefault="00096535" w:rsidP="00A35D5A">
            <w:pPr>
              <w:pStyle w:val="Tabletext"/>
              <w:rPr>
                <w:szCs w:val="22"/>
              </w:rPr>
            </w:pPr>
            <w:r w:rsidRPr="008762B1">
              <w:rPr>
                <w:szCs w:val="22"/>
              </w:rPr>
              <w:t xml:space="preserve">Quantity of each fuel type </w:t>
            </w:r>
            <w:r w:rsidR="00773128" w:rsidRPr="008762B1">
              <w:rPr>
                <w:szCs w:val="22"/>
              </w:rPr>
              <w:t>used</w:t>
            </w:r>
          </w:p>
        </w:tc>
        <w:tc>
          <w:tcPr>
            <w:tcW w:w="1275" w:type="dxa"/>
            <w:shd w:val="clear" w:color="auto" w:fill="auto"/>
          </w:tcPr>
          <w:p w:rsidR="00C06483" w:rsidRPr="008762B1" w:rsidRDefault="001566E0" w:rsidP="00C06483">
            <w:pPr>
              <w:pStyle w:val="Tabletext"/>
            </w:pPr>
            <w:r w:rsidRPr="008762B1">
              <w:t>Either</w:t>
            </w:r>
            <w:r w:rsidR="00C06483" w:rsidRPr="008762B1">
              <w:t>:</w:t>
            </w:r>
          </w:p>
          <w:p w:rsidR="00096535" w:rsidRPr="008762B1" w:rsidRDefault="00096535" w:rsidP="00096535">
            <w:pPr>
              <w:pStyle w:val="Tablea"/>
            </w:pPr>
            <w:r w:rsidRPr="008762B1">
              <w:t>(a) t</w:t>
            </w:r>
            <w:r w:rsidR="00C06483" w:rsidRPr="008762B1">
              <w:t xml:space="preserve"> (for solid fuel)</w:t>
            </w:r>
            <w:r w:rsidRPr="008762B1">
              <w:t xml:space="preserve">; </w:t>
            </w:r>
            <w:r w:rsidR="00C06483" w:rsidRPr="008762B1">
              <w:t>or</w:t>
            </w:r>
          </w:p>
          <w:p w:rsidR="00096535" w:rsidRPr="008762B1" w:rsidRDefault="00096535" w:rsidP="00096535">
            <w:pPr>
              <w:pStyle w:val="Tablea"/>
            </w:pPr>
            <w:r w:rsidRPr="008762B1">
              <w:t xml:space="preserve">(b) </w:t>
            </w:r>
            <w:r w:rsidR="00BE7A06" w:rsidRPr="008762B1">
              <w:t>m</w:t>
            </w:r>
            <w:r w:rsidR="00BE7A06" w:rsidRPr="008762B1">
              <w:rPr>
                <w:vertAlign w:val="superscript"/>
              </w:rPr>
              <w:t>3</w:t>
            </w:r>
            <w:r w:rsidR="00C06483" w:rsidRPr="008762B1">
              <w:t>(for gas fuel); or</w:t>
            </w:r>
          </w:p>
          <w:p w:rsidR="00096535" w:rsidRPr="008762B1" w:rsidRDefault="00096535" w:rsidP="00C06483">
            <w:pPr>
              <w:pStyle w:val="Tablea"/>
            </w:pPr>
            <w:r w:rsidRPr="008762B1">
              <w:t xml:space="preserve">(c) </w:t>
            </w:r>
            <w:r w:rsidR="00BE7A06" w:rsidRPr="008762B1">
              <w:t>kL</w:t>
            </w:r>
            <w:r w:rsidR="00C06483" w:rsidRPr="008762B1">
              <w:t xml:space="preserve"> (for liquid fuel)</w:t>
            </w:r>
            <w:r w:rsidR="00C0642F" w:rsidRPr="008762B1">
              <w:t>; or</w:t>
            </w:r>
          </w:p>
          <w:p w:rsidR="00C0642F" w:rsidRPr="008762B1" w:rsidRDefault="004A0A60" w:rsidP="00C06483">
            <w:pPr>
              <w:pStyle w:val="Tablea"/>
            </w:pPr>
            <w:r w:rsidRPr="008762B1">
              <w:t>(d) GJ</w:t>
            </w:r>
          </w:p>
        </w:tc>
        <w:tc>
          <w:tcPr>
            <w:tcW w:w="1985" w:type="dxa"/>
            <w:shd w:val="clear" w:color="auto" w:fill="auto"/>
          </w:tcPr>
          <w:p w:rsidR="00096535" w:rsidRPr="008762B1" w:rsidRDefault="0078690B" w:rsidP="008C61A4">
            <w:pPr>
              <w:pStyle w:val="Tabletext"/>
            </w:pPr>
            <w:r w:rsidRPr="008762B1">
              <w:t>Either</w:t>
            </w:r>
            <w:r w:rsidR="00EC2B11" w:rsidRPr="008762B1">
              <w:t>:</w:t>
            </w:r>
          </w:p>
          <w:p w:rsidR="00EC2B11" w:rsidRPr="008762B1" w:rsidRDefault="00EC2B11" w:rsidP="00EC2B11">
            <w:pPr>
              <w:pStyle w:val="Tablea"/>
            </w:pPr>
            <w:r w:rsidRPr="008762B1">
              <w:t xml:space="preserve">(a) </w:t>
            </w:r>
            <w:r w:rsidR="0078690B" w:rsidRPr="008762B1">
              <w:t xml:space="preserve">monitored </w:t>
            </w:r>
            <w:r w:rsidRPr="008762B1">
              <w:t>in accordance with</w:t>
            </w:r>
            <w:r w:rsidR="00C0642F" w:rsidRPr="008762B1">
              <w:t xml:space="preserve"> section</w:t>
            </w:r>
            <w:r w:rsidR="008762B1" w:rsidRPr="008762B1">
              <w:t> </w:t>
            </w:r>
            <w:r w:rsidR="00D23AF9" w:rsidRPr="008762B1">
              <w:t>2.25, 2.3</w:t>
            </w:r>
            <w:r w:rsidR="00C0642F" w:rsidRPr="008762B1">
              <w:t>6 or</w:t>
            </w:r>
            <w:r w:rsidRPr="008762B1">
              <w:t xml:space="preserve"> Division</w:t>
            </w:r>
            <w:r w:rsidR="008762B1" w:rsidRPr="008762B1">
              <w:t> </w:t>
            </w:r>
            <w:r w:rsidRPr="008762B1">
              <w:t>2.4.6 of the NGER (Measurement) Determination</w:t>
            </w:r>
            <w:r w:rsidR="00C0642F" w:rsidRPr="008762B1">
              <w:t xml:space="preserve"> (as applicable to the fuel type)</w:t>
            </w:r>
            <w:r w:rsidRPr="008762B1">
              <w:t>; or</w:t>
            </w:r>
          </w:p>
          <w:p w:rsidR="00EC2B11" w:rsidRPr="008762B1" w:rsidRDefault="00EC2B11" w:rsidP="0078690B">
            <w:pPr>
              <w:pStyle w:val="Tablea"/>
            </w:pPr>
            <w:r w:rsidRPr="008762B1">
              <w:t xml:space="preserve">(b) </w:t>
            </w:r>
            <w:r w:rsidR="0078690B" w:rsidRPr="008762B1">
              <w:t xml:space="preserve">evidenced by invoices, contractual arrangements or industry metering </w:t>
            </w:r>
            <w:r w:rsidR="0078690B" w:rsidRPr="008762B1">
              <w:lastRenderedPageBreak/>
              <w:t>records</w:t>
            </w:r>
            <w:r w:rsidR="009E3C9B" w:rsidRPr="008762B1">
              <w:t>.</w:t>
            </w:r>
          </w:p>
          <w:p w:rsidR="009E3C9B" w:rsidRPr="008762B1" w:rsidRDefault="004665B8" w:rsidP="00812C99">
            <w:pPr>
              <w:pStyle w:val="Tabletext"/>
            </w:pPr>
            <w:r w:rsidRPr="008762B1">
              <w:t>Frequency—continuous</w:t>
            </w:r>
          </w:p>
        </w:tc>
        <w:tc>
          <w:tcPr>
            <w:tcW w:w="1798" w:type="dxa"/>
            <w:shd w:val="clear" w:color="auto" w:fill="auto"/>
          </w:tcPr>
          <w:p w:rsidR="00096535" w:rsidRPr="008762B1" w:rsidRDefault="009E3C9B" w:rsidP="008C61A4">
            <w:pPr>
              <w:pStyle w:val="Tabletext"/>
            </w:pPr>
            <w:r w:rsidRPr="008762B1">
              <w:lastRenderedPageBreak/>
              <w:t>Cumulative value for the reporting period</w:t>
            </w:r>
          </w:p>
        </w:tc>
      </w:tr>
      <w:tr w:rsidR="008C61A4" w:rsidRPr="008762B1" w:rsidTr="00A5099E">
        <w:tc>
          <w:tcPr>
            <w:tcW w:w="562" w:type="dxa"/>
            <w:shd w:val="clear" w:color="auto" w:fill="auto"/>
          </w:tcPr>
          <w:p w:rsidR="008C61A4" w:rsidRPr="008762B1" w:rsidRDefault="003311B7" w:rsidP="008C61A4">
            <w:pPr>
              <w:pStyle w:val="Tabletext"/>
            </w:pPr>
            <w:r w:rsidRPr="008762B1">
              <w:lastRenderedPageBreak/>
              <w:t>11</w:t>
            </w:r>
          </w:p>
        </w:tc>
        <w:tc>
          <w:tcPr>
            <w:tcW w:w="1134" w:type="dxa"/>
            <w:shd w:val="clear" w:color="auto" w:fill="auto"/>
          </w:tcPr>
          <w:p w:rsidR="008C61A4" w:rsidRPr="008762B1" w:rsidRDefault="00C73168" w:rsidP="008C61A4">
            <w:pPr>
              <w:pStyle w:val="Tabletext"/>
            </w:pPr>
            <w:r w:rsidRPr="008762B1">
              <w:t>Q</w:t>
            </w:r>
            <w:r w:rsidRPr="008762B1">
              <w:rPr>
                <w:vertAlign w:val="subscript"/>
              </w:rPr>
              <w:t>MSW</w:t>
            </w:r>
          </w:p>
        </w:tc>
        <w:tc>
          <w:tcPr>
            <w:tcW w:w="1560" w:type="dxa"/>
            <w:shd w:val="clear" w:color="auto" w:fill="auto"/>
          </w:tcPr>
          <w:p w:rsidR="008C61A4" w:rsidRPr="008762B1" w:rsidRDefault="00C73168" w:rsidP="008C61A4">
            <w:pPr>
              <w:pStyle w:val="Tabletext"/>
            </w:pPr>
            <w:r w:rsidRPr="008762B1">
              <w:rPr>
                <w:szCs w:val="22"/>
              </w:rPr>
              <w:t>Quantity of eligible waste that is municipal solid waste</w:t>
            </w:r>
          </w:p>
        </w:tc>
        <w:tc>
          <w:tcPr>
            <w:tcW w:w="1275" w:type="dxa"/>
            <w:shd w:val="clear" w:color="auto" w:fill="auto"/>
          </w:tcPr>
          <w:p w:rsidR="008C61A4" w:rsidRPr="008762B1" w:rsidRDefault="00C73168" w:rsidP="008C61A4">
            <w:pPr>
              <w:pStyle w:val="Tabletext"/>
            </w:pPr>
            <w:r w:rsidRPr="008762B1">
              <w:t>t</w:t>
            </w:r>
          </w:p>
        </w:tc>
        <w:tc>
          <w:tcPr>
            <w:tcW w:w="1985" w:type="dxa"/>
            <w:shd w:val="clear" w:color="auto" w:fill="auto"/>
          </w:tcPr>
          <w:p w:rsidR="008C61A4" w:rsidRPr="008762B1" w:rsidRDefault="00004E0E" w:rsidP="00930C6B">
            <w:pPr>
              <w:pStyle w:val="Tabletext"/>
            </w:pPr>
            <w:r w:rsidRPr="008762B1">
              <w:t>Measured using an accepted industry weighbridge that meets appropriate measuring requirements</w:t>
            </w:r>
            <w:r w:rsidR="009E3C9B" w:rsidRPr="008762B1">
              <w:t>.</w:t>
            </w:r>
          </w:p>
          <w:p w:rsidR="009E3C9B" w:rsidRPr="008762B1" w:rsidRDefault="004665B8" w:rsidP="00930C6B">
            <w:pPr>
              <w:pStyle w:val="Tabletext"/>
            </w:pPr>
            <w:r w:rsidRPr="008762B1">
              <w:t>Frequency—</w:t>
            </w:r>
            <w:r w:rsidR="009E3C9B" w:rsidRPr="008762B1">
              <w:t>for each load of eligible waste delivered to the AWT facility</w:t>
            </w:r>
          </w:p>
        </w:tc>
        <w:tc>
          <w:tcPr>
            <w:tcW w:w="1798" w:type="dxa"/>
            <w:shd w:val="clear" w:color="auto" w:fill="auto"/>
          </w:tcPr>
          <w:p w:rsidR="008C61A4" w:rsidRPr="008762B1" w:rsidRDefault="009E3C9B" w:rsidP="00773128">
            <w:pPr>
              <w:pStyle w:val="Tabletext"/>
            </w:pPr>
            <w:r w:rsidRPr="008762B1">
              <w:t>Cumulative value for the reporting period</w:t>
            </w:r>
          </w:p>
        </w:tc>
      </w:tr>
      <w:tr w:rsidR="008C61A4" w:rsidRPr="008762B1" w:rsidTr="00A5099E">
        <w:tc>
          <w:tcPr>
            <w:tcW w:w="562" w:type="dxa"/>
            <w:shd w:val="clear" w:color="auto" w:fill="auto"/>
          </w:tcPr>
          <w:p w:rsidR="008C61A4" w:rsidRPr="008762B1" w:rsidRDefault="003311B7" w:rsidP="008C61A4">
            <w:pPr>
              <w:pStyle w:val="Tabletext"/>
            </w:pPr>
            <w:r w:rsidRPr="008762B1">
              <w:t>12</w:t>
            </w:r>
          </w:p>
        </w:tc>
        <w:tc>
          <w:tcPr>
            <w:tcW w:w="1134" w:type="dxa"/>
            <w:shd w:val="clear" w:color="auto" w:fill="auto"/>
          </w:tcPr>
          <w:p w:rsidR="008C61A4" w:rsidRPr="008762B1" w:rsidRDefault="00643E10" w:rsidP="008C61A4">
            <w:pPr>
              <w:pStyle w:val="Tabletext"/>
            </w:pPr>
            <w:r w:rsidRPr="008762B1">
              <w:t>Q</w:t>
            </w:r>
            <w:r w:rsidRPr="008762B1">
              <w:rPr>
                <w:vertAlign w:val="subscript"/>
              </w:rPr>
              <w:t>NB</w:t>
            </w:r>
            <w:r w:rsidR="00991ACD" w:rsidRPr="008762B1">
              <w:rPr>
                <w:vertAlign w:val="subscript"/>
              </w:rPr>
              <w:t>P</w:t>
            </w:r>
          </w:p>
        </w:tc>
        <w:tc>
          <w:tcPr>
            <w:tcW w:w="1560" w:type="dxa"/>
            <w:shd w:val="clear" w:color="auto" w:fill="auto"/>
          </w:tcPr>
          <w:p w:rsidR="008C61A4" w:rsidRPr="008762B1" w:rsidRDefault="00643E10" w:rsidP="00773128">
            <w:pPr>
              <w:pStyle w:val="Tabletext"/>
            </w:pPr>
            <w:r w:rsidRPr="008762B1">
              <w:rPr>
                <w:szCs w:val="22"/>
              </w:rPr>
              <w:t>Quantity of non</w:t>
            </w:r>
            <w:r w:rsidR="008762B1">
              <w:rPr>
                <w:szCs w:val="22"/>
              </w:rPr>
              <w:noBreakHyphen/>
            </w:r>
            <w:r w:rsidR="00773128" w:rsidRPr="008762B1">
              <w:rPr>
                <w:szCs w:val="22"/>
              </w:rPr>
              <w:t>biobased products manufactured</w:t>
            </w:r>
          </w:p>
        </w:tc>
        <w:tc>
          <w:tcPr>
            <w:tcW w:w="1275" w:type="dxa"/>
            <w:shd w:val="clear" w:color="auto" w:fill="auto"/>
          </w:tcPr>
          <w:p w:rsidR="008C61A4" w:rsidRPr="008762B1" w:rsidRDefault="00643E10" w:rsidP="008C61A4">
            <w:pPr>
              <w:pStyle w:val="Tabletext"/>
            </w:pPr>
            <w:r w:rsidRPr="008762B1">
              <w:t>t</w:t>
            </w:r>
          </w:p>
        </w:tc>
        <w:tc>
          <w:tcPr>
            <w:tcW w:w="1985" w:type="dxa"/>
            <w:shd w:val="clear" w:color="auto" w:fill="auto"/>
          </w:tcPr>
          <w:p w:rsidR="008C61A4" w:rsidRPr="008762B1" w:rsidRDefault="00004E0E" w:rsidP="00004E0E">
            <w:pPr>
              <w:pStyle w:val="Tabletext"/>
            </w:pPr>
            <w:r w:rsidRPr="008762B1">
              <w:t>Measured using an accepted industry weighbridge that meets appropriate measuring requirements</w:t>
            </w:r>
            <w:r w:rsidR="0070675D" w:rsidRPr="008762B1">
              <w:t>.</w:t>
            </w:r>
          </w:p>
          <w:p w:rsidR="0070675D" w:rsidRPr="008762B1" w:rsidRDefault="004665B8" w:rsidP="00004E0E">
            <w:pPr>
              <w:pStyle w:val="Tabletext"/>
            </w:pPr>
            <w:r w:rsidRPr="008762B1">
              <w:t>Frequency—</w:t>
            </w:r>
            <w:r w:rsidR="0070675D" w:rsidRPr="008762B1">
              <w:t>for each load of non</w:t>
            </w:r>
            <w:r w:rsidR="008762B1">
              <w:noBreakHyphen/>
            </w:r>
            <w:r w:rsidR="0070675D" w:rsidRPr="008762B1">
              <w:t>biobased products manufactured</w:t>
            </w:r>
          </w:p>
        </w:tc>
        <w:tc>
          <w:tcPr>
            <w:tcW w:w="1798" w:type="dxa"/>
            <w:shd w:val="clear" w:color="auto" w:fill="auto"/>
          </w:tcPr>
          <w:p w:rsidR="0070675D" w:rsidRPr="008762B1" w:rsidRDefault="0070675D" w:rsidP="00712CD3">
            <w:pPr>
              <w:pStyle w:val="Tabletext"/>
            </w:pPr>
            <w:r w:rsidRPr="008762B1">
              <w:t>Cumulative value for the reporting period</w:t>
            </w:r>
          </w:p>
          <w:p w:rsidR="00643E10" w:rsidRPr="008762B1" w:rsidRDefault="00643E10" w:rsidP="00712CD3">
            <w:pPr>
              <w:pStyle w:val="Tabletext"/>
            </w:pPr>
          </w:p>
        </w:tc>
      </w:tr>
      <w:tr w:rsidR="008C61A4" w:rsidRPr="008762B1" w:rsidTr="00A5099E">
        <w:tc>
          <w:tcPr>
            <w:tcW w:w="562" w:type="dxa"/>
            <w:shd w:val="clear" w:color="auto" w:fill="auto"/>
          </w:tcPr>
          <w:p w:rsidR="008C61A4" w:rsidRPr="008762B1" w:rsidRDefault="003311B7" w:rsidP="008C61A4">
            <w:pPr>
              <w:pStyle w:val="Tabletext"/>
            </w:pPr>
            <w:r w:rsidRPr="008762B1">
              <w:t>13</w:t>
            </w:r>
          </w:p>
        </w:tc>
        <w:tc>
          <w:tcPr>
            <w:tcW w:w="1134" w:type="dxa"/>
            <w:shd w:val="clear" w:color="auto" w:fill="auto"/>
          </w:tcPr>
          <w:p w:rsidR="008C61A4" w:rsidRPr="008762B1" w:rsidRDefault="00643E10" w:rsidP="008C61A4">
            <w:pPr>
              <w:pStyle w:val="Tabletext"/>
            </w:pPr>
            <w:r w:rsidRPr="008762B1">
              <w:t>Q</w:t>
            </w:r>
            <w:r w:rsidRPr="008762B1">
              <w:rPr>
                <w:vertAlign w:val="subscript"/>
              </w:rPr>
              <w:t>RW</w:t>
            </w:r>
          </w:p>
        </w:tc>
        <w:tc>
          <w:tcPr>
            <w:tcW w:w="1560" w:type="dxa"/>
            <w:shd w:val="clear" w:color="auto" w:fill="auto"/>
          </w:tcPr>
          <w:p w:rsidR="008C61A4" w:rsidRPr="008762B1" w:rsidRDefault="00096535" w:rsidP="00EA362C">
            <w:pPr>
              <w:pStyle w:val="Tabletext"/>
            </w:pPr>
            <w:r w:rsidRPr="008762B1">
              <w:rPr>
                <w:szCs w:val="22"/>
              </w:rPr>
              <w:t xml:space="preserve">Quantity of </w:t>
            </w:r>
            <w:r w:rsidR="00EA362C" w:rsidRPr="008762B1">
              <w:rPr>
                <w:szCs w:val="22"/>
              </w:rPr>
              <w:t>residual waste disposed of</w:t>
            </w:r>
          </w:p>
        </w:tc>
        <w:tc>
          <w:tcPr>
            <w:tcW w:w="1275" w:type="dxa"/>
            <w:shd w:val="clear" w:color="auto" w:fill="auto"/>
          </w:tcPr>
          <w:p w:rsidR="008C61A4" w:rsidRPr="008762B1" w:rsidRDefault="00096535" w:rsidP="008C61A4">
            <w:pPr>
              <w:pStyle w:val="Tabletext"/>
            </w:pPr>
            <w:r w:rsidRPr="008762B1">
              <w:t>t</w:t>
            </w:r>
          </w:p>
        </w:tc>
        <w:tc>
          <w:tcPr>
            <w:tcW w:w="1985" w:type="dxa"/>
            <w:shd w:val="clear" w:color="auto" w:fill="auto"/>
          </w:tcPr>
          <w:p w:rsidR="008C61A4" w:rsidRPr="008762B1" w:rsidRDefault="00004E0E" w:rsidP="00930C6B">
            <w:pPr>
              <w:pStyle w:val="Tabletext"/>
            </w:pPr>
            <w:r w:rsidRPr="008762B1">
              <w:t>Measured using an accepted industry weighbridge that meets appropriate measuring requirements</w:t>
            </w:r>
            <w:r w:rsidR="004665B8" w:rsidRPr="008762B1">
              <w:t>.</w:t>
            </w:r>
          </w:p>
          <w:p w:rsidR="004665B8" w:rsidRPr="008762B1" w:rsidRDefault="004665B8" w:rsidP="00EA362C">
            <w:pPr>
              <w:pStyle w:val="Tabletext"/>
            </w:pPr>
            <w:r w:rsidRPr="008762B1">
              <w:t xml:space="preserve">Frequency—for each load of residual waste </w:t>
            </w:r>
            <w:r w:rsidR="00EA362C" w:rsidRPr="008762B1">
              <w:t>disposed of</w:t>
            </w:r>
          </w:p>
        </w:tc>
        <w:tc>
          <w:tcPr>
            <w:tcW w:w="1798" w:type="dxa"/>
            <w:shd w:val="clear" w:color="auto" w:fill="auto"/>
          </w:tcPr>
          <w:p w:rsidR="008C61A4" w:rsidRPr="008762B1" w:rsidRDefault="004665B8" w:rsidP="008C61A4">
            <w:pPr>
              <w:pStyle w:val="Tabletext"/>
            </w:pPr>
            <w:r w:rsidRPr="008762B1">
              <w:t>Cumulative value for the reporting period</w:t>
            </w:r>
          </w:p>
        </w:tc>
      </w:tr>
      <w:tr w:rsidR="004665B8" w:rsidRPr="008762B1" w:rsidTr="00A5099E">
        <w:tc>
          <w:tcPr>
            <w:tcW w:w="562" w:type="dxa"/>
            <w:shd w:val="clear" w:color="auto" w:fill="auto"/>
          </w:tcPr>
          <w:p w:rsidR="004665B8" w:rsidRPr="008762B1" w:rsidRDefault="003311B7" w:rsidP="008C61A4">
            <w:pPr>
              <w:pStyle w:val="Tabletext"/>
            </w:pPr>
            <w:r w:rsidRPr="008762B1">
              <w:t>14</w:t>
            </w:r>
          </w:p>
        </w:tc>
        <w:tc>
          <w:tcPr>
            <w:tcW w:w="1134" w:type="dxa"/>
            <w:shd w:val="clear" w:color="auto" w:fill="auto"/>
          </w:tcPr>
          <w:p w:rsidR="004665B8" w:rsidRPr="008762B1" w:rsidRDefault="004665B8" w:rsidP="008C61A4">
            <w:pPr>
              <w:pStyle w:val="Tabletext"/>
              <w:rPr>
                <w:vertAlign w:val="subscript"/>
              </w:rPr>
            </w:pPr>
            <w:r w:rsidRPr="008762B1">
              <w:t>Q</w:t>
            </w:r>
            <w:r w:rsidRPr="008762B1">
              <w:rPr>
                <w:vertAlign w:val="subscript"/>
              </w:rPr>
              <w:t>TW</w:t>
            </w:r>
          </w:p>
        </w:tc>
        <w:tc>
          <w:tcPr>
            <w:tcW w:w="1560" w:type="dxa"/>
            <w:shd w:val="clear" w:color="auto" w:fill="auto"/>
          </w:tcPr>
          <w:p w:rsidR="004665B8" w:rsidRPr="008762B1" w:rsidRDefault="004665B8" w:rsidP="00773128">
            <w:pPr>
              <w:pStyle w:val="Tabletext"/>
            </w:pPr>
            <w:r w:rsidRPr="008762B1">
              <w:rPr>
                <w:szCs w:val="22"/>
              </w:rPr>
              <w:t xml:space="preserve">Quantity of </w:t>
            </w:r>
            <w:r w:rsidRPr="008762B1">
              <w:rPr>
                <w:color w:val="000000" w:themeColor="text1"/>
                <w:szCs w:val="22"/>
              </w:rPr>
              <w:t>waste received</w:t>
            </w:r>
          </w:p>
        </w:tc>
        <w:tc>
          <w:tcPr>
            <w:tcW w:w="1275" w:type="dxa"/>
            <w:shd w:val="clear" w:color="auto" w:fill="auto"/>
          </w:tcPr>
          <w:p w:rsidR="004665B8" w:rsidRPr="008762B1" w:rsidRDefault="004665B8" w:rsidP="008C61A4">
            <w:pPr>
              <w:pStyle w:val="Tabletext"/>
            </w:pPr>
            <w:r w:rsidRPr="008762B1">
              <w:t>t</w:t>
            </w:r>
          </w:p>
        </w:tc>
        <w:tc>
          <w:tcPr>
            <w:tcW w:w="1985" w:type="dxa"/>
            <w:shd w:val="clear" w:color="auto" w:fill="auto"/>
          </w:tcPr>
          <w:p w:rsidR="004665B8" w:rsidRPr="008762B1" w:rsidRDefault="004665B8" w:rsidP="004665B8">
            <w:pPr>
              <w:pStyle w:val="Tabletext"/>
            </w:pPr>
            <w:r w:rsidRPr="008762B1">
              <w:t>Measured using an accepted industry weighbridge that meets appropriate measuring requirements.</w:t>
            </w:r>
          </w:p>
          <w:p w:rsidR="004665B8" w:rsidRPr="008762B1" w:rsidRDefault="004665B8" w:rsidP="004665B8">
            <w:pPr>
              <w:pStyle w:val="Tabletext"/>
            </w:pPr>
            <w:r w:rsidRPr="008762B1">
              <w:t>Frequency—for each load of waste delivered to the AWT facility</w:t>
            </w:r>
          </w:p>
        </w:tc>
        <w:tc>
          <w:tcPr>
            <w:tcW w:w="1798" w:type="dxa"/>
            <w:shd w:val="clear" w:color="auto" w:fill="auto"/>
          </w:tcPr>
          <w:p w:rsidR="004665B8" w:rsidRPr="008762B1" w:rsidRDefault="00807E74" w:rsidP="008C61A4">
            <w:pPr>
              <w:pStyle w:val="Tabletext"/>
            </w:pPr>
            <w:r w:rsidRPr="008762B1">
              <w:t>Cumulative value for the reporting period</w:t>
            </w:r>
          </w:p>
        </w:tc>
      </w:tr>
      <w:tr w:rsidR="008C61A4" w:rsidRPr="008762B1" w:rsidTr="00A5099E">
        <w:tc>
          <w:tcPr>
            <w:tcW w:w="562" w:type="dxa"/>
            <w:shd w:val="clear" w:color="auto" w:fill="auto"/>
          </w:tcPr>
          <w:p w:rsidR="008C61A4" w:rsidRPr="008762B1" w:rsidRDefault="003311B7" w:rsidP="008C61A4">
            <w:pPr>
              <w:pStyle w:val="Tabletext"/>
            </w:pPr>
            <w:r w:rsidRPr="008762B1">
              <w:t>15</w:t>
            </w:r>
          </w:p>
        </w:tc>
        <w:tc>
          <w:tcPr>
            <w:tcW w:w="1134" w:type="dxa"/>
            <w:shd w:val="clear" w:color="auto" w:fill="auto"/>
          </w:tcPr>
          <w:p w:rsidR="008C61A4" w:rsidRPr="008762B1" w:rsidRDefault="00080356" w:rsidP="008C61A4">
            <w:pPr>
              <w:pStyle w:val="Tabletext"/>
            </w:pPr>
            <w:r w:rsidRPr="008762B1">
              <w:t>t</w:t>
            </w:r>
            <w:r w:rsidRPr="008762B1">
              <w:rPr>
                <w:vertAlign w:val="subscript"/>
              </w:rPr>
              <w:t>q</w:t>
            </w:r>
          </w:p>
        </w:tc>
        <w:tc>
          <w:tcPr>
            <w:tcW w:w="1560" w:type="dxa"/>
            <w:shd w:val="clear" w:color="auto" w:fill="auto"/>
          </w:tcPr>
          <w:p w:rsidR="008C61A4" w:rsidRPr="008762B1" w:rsidRDefault="00080356" w:rsidP="00773128">
            <w:pPr>
              <w:pStyle w:val="Tabletext"/>
            </w:pPr>
            <w:r w:rsidRPr="008762B1">
              <w:t xml:space="preserve">Number of days for </w:t>
            </w:r>
            <w:r w:rsidR="009144C8" w:rsidRPr="008762B1">
              <w:t xml:space="preserve">all or part of </w:t>
            </w:r>
            <w:r w:rsidR="00773128" w:rsidRPr="008762B1">
              <w:lastRenderedPageBreak/>
              <w:t xml:space="preserve">which a major venting event </w:t>
            </w:r>
            <w:r w:rsidRPr="008762B1">
              <w:t>is uncontrolled</w:t>
            </w:r>
          </w:p>
        </w:tc>
        <w:tc>
          <w:tcPr>
            <w:tcW w:w="1275" w:type="dxa"/>
            <w:shd w:val="clear" w:color="auto" w:fill="auto"/>
          </w:tcPr>
          <w:p w:rsidR="008C61A4" w:rsidRPr="008762B1" w:rsidRDefault="00F15C60" w:rsidP="008C61A4">
            <w:pPr>
              <w:pStyle w:val="Tabletext"/>
            </w:pPr>
            <w:r w:rsidRPr="008762B1">
              <w:lastRenderedPageBreak/>
              <w:t>W</w:t>
            </w:r>
            <w:r w:rsidR="00080356" w:rsidRPr="008762B1">
              <w:t>hole days</w:t>
            </w:r>
          </w:p>
        </w:tc>
        <w:tc>
          <w:tcPr>
            <w:tcW w:w="1985" w:type="dxa"/>
            <w:shd w:val="clear" w:color="auto" w:fill="auto"/>
          </w:tcPr>
          <w:p w:rsidR="008C61A4" w:rsidRPr="008762B1" w:rsidRDefault="008C61A4" w:rsidP="008C61A4">
            <w:pPr>
              <w:pStyle w:val="Tabletext"/>
            </w:pPr>
          </w:p>
        </w:tc>
        <w:tc>
          <w:tcPr>
            <w:tcW w:w="1798" w:type="dxa"/>
            <w:shd w:val="clear" w:color="auto" w:fill="auto"/>
          </w:tcPr>
          <w:p w:rsidR="008C61A4" w:rsidRPr="008762B1" w:rsidRDefault="00E036FB" w:rsidP="008C61A4">
            <w:pPr>
              <w:pStyle w:val="Tabletext"/>
            </w:pPr>
            <w:r w:rsidRPr="008762B1">
              <w:t>For each</w:t>
            </w:r>
            <w:r w:rsidR="00080356" w:rsidRPr="008762B1">
              <w:t xml:space="preserve"> major venting event</w:t>
            </w:r>
          </w:p>
        </w:tc>
      </w:tr>
      <w:tr w:rsidR="008C61A4" w:rsidRPr="008762B1" w:rsidTr="00A5099E">
        <w:tc>
          <w:tcPr>
            <w:tcW w:w="562" w:type="dxa"/>
            <w:tcBorders>
              <w:bottom w:val="single" w:sz="12" w:space="0" w:color="auto"/>
            </w:tcBorders>
            <w:shd w:val="clear" w:color="auto" w:fill="auto"/>
          </w:tcPr>
          <w:p w:rsidR="008C61A4" w:rsidRPr="008762B1" w:rsidRDefault="003311B7" w:rsidP="008C61A4">
            <w:pPr>
              <w:pStyle w:val="Tabletext"/>
            </w:pPr>
            <w:r w:rsidRPr="008762B1">
              <w:lastRenderedPageBreak/>
              <w:t>16</w:t>
            </w:r>
          </w:p>
        </w:tc>
        <w:tc>
          <w:tcPr>
            <w:tcW w:w="1134" w:type="dxa"/>
            <w:tcBorders>
              <w:bottom w:val="single" w:sz="12" w:space="0" w:color="auto"/>
            </w:tcBorders>
            <w:shd w:val="clear" w:color="auto" w:fill="auto"/>
          </w:tcPr>
          <w:p w:rsidR="008C61A4" w:rsidRPr="008762B1" w:rsidRDefault="00CE5876" w:rsidP="008C61A4">
            <w:pPr>
              <w:pStyle w:val="Tabletext"/>
            </w:pPr>
            <w:r w:rsidRPr="008762B1">
              <w:t>W</w:t>
            </w:r>
            <w:r w:rsidRPr="008762B1">
              <w:rPr>
                <w:vertAlign w:val="subscript"/>
              </w:rPr>
              <w:t>BG,CH</w:t>
            </w:r>
            <w:r w:rsidRPr="008762B1">
              <w:rPr>
                <w:position w:val="-6"/>
                <w:vertAlign w:val="subscript"/>
              </w:rPr>
              <w:t>4</w:t>
            </w:r>
          </w:p>
        </w:tc>
        <w:tc>
          <w:tcPr>
            <w:tcW w:w="1560" w:type="dxa"/>
            <w:tcBorders>
              <w:bottom w:val="single" w:sz="12" w:space="0" w:color="auto"/>
            </w:tcBorders>
            <w:shd w:val="clear" w:color="auto" w:fill="auto"/>
          </w:tcPr>
          <w:p w:rsidR="00CE5876" w:rsidRPr="008762B1" w:rsidRDefault="009144C8" w:rsidP="00773128">
            <w:pPr>
              <w:pStyle w:val="Tabletext"/>
            </w:pPr>
            <w:r w:rsidRPr="008762B1">
              <w:t>Fraction of the volume of biogas</w:t>
            </w:r>
            <w:r w:rsidR="00CE5876" w:rsidRPr="008762B1">
              <w:t xml:space="preserve"> </w:t>
            </w:r>
            <w:r w:rsidR="00E036FB" w:rsidRPr="008762B1">
              <w:t>sent to combustion device</w:t>
            </w:r>
            <w:r w:rsidR="00773128" w:rsidRPr="008762B1">
              <w:t>s</w:t>
            </w:r>
            <w:r w:rsidR="00E036FB" w:rsidRPr="008762B1">
              <w:t xml:space="preserve"> </w:t>
            </w:r>
            <w:r w:rsidR="00CE5876" w:rsidRPr="008762B1">
              <w:t>that is methane</w:t>
            </w:r>
          </w:p>
        </w:tc>
        <w:tc>
          <w:tcPr>
            <w:tcW w:w="1275" w:type="dxa"/>
            <w:tcBorders>
              <w:bottom w:val="single" w:sz="12" w:space="0" w:color="auto"/>
            </w:tcBorders>
            <w:shd w:val="clear" w:color="auto" w:fill="auto"/>
          </w:tcPr>
          <w:p w:rsidR="00CE5876" w:rsidRPr="008762B1" w:rsidRDefault="00CE5876" w:rsidP="00665D1A">
            <w:pPr>
              <w:pStyle w:val="Tabletext"/>
            </w:pPr>
            <w:r w:rsidRPr="008762B1">
              <w:t>Fraction</w:t>
            </w:r>
          </w:p>
        </w:tc>
        <w:tc>
          <w:tcPr>
            <w:tcW w:w="1985" w:type="dxa"/>
            <w:tcBorders>
              <w:bottom w:val="single" w:sz="12" w:space="0" w:color="auto"/>
            </w:tcBorders>
            <w:shd w:val="clear" w:color="auto" w:fill="auto"/>
          </w:tcPr>
          <w:p w:rsidR="00807E74" w:rsidRPr="008762B1" w:rsidRDefault="00004E0E" w:rsidP="00807E74">
            <w:pPr>
              <w:pStyle w:val="Tabletext"/>
            </w:pPr>
            <w:r w:rsidRPr="008762B1">
              <w:t>If</w:t>
            </w:r>
            <w:r w:rsidR="00AB0430" w:rsidRPr="008762B1">
              <w:t xml:space="preserve"> monitored continuously, e</w:t>
            </w:r>
            <w:r w:rsidR="0076722E" w:rsidRPr="008762B1">
              <w:t>stimated in accordance with Division</w:t>
            </w:r>
            <w:r w:rsidR="008762B1" w:rsidRPr="008762B1">
              <w:t> </w:t>
            </w:r>
            <w:r w:rsidR="0076722E" w:rsidRPr="008762B1">
              <w:t>2.3.6 of the NGER (Measurement) Determination</w:t>
            </w:r>
            <w:r w:rsidR="00807E74" w:rsidRPr="008762B1">
              <w:t>.</w:t>
            </w:r>
            <w:r w:rsidR="00E036FB" w:rsidRPr="008762B1">
              <w:t xml:space="preserve"> </w:t>
            </w:r>
            <w:r w:rsidR="00807E74" w:rsidRPr="008762B1">
              <w:t xml:space="preserve">Frequency—subject to </w:t>
            </w:r>
            <w:r w:rsidR="008762B1" w:rsidRPr="008762B1">
              <w:t>subsection (</w:t>
            </w:r>
            <w:r w:rsidR="00807E74" w:rsidRPr="008762B1">
              <w:t>2), continuously or not at all</w:t>
            </w:r>
          </w:p>
        </w:tc>
        <w:tc>
          <w:tcPr>
            <w:tcW w:w="1798" w:type="dxa"/>
            <w:tcBorders>
              <w:bottom w:val="single" w:sz="12" w:space="0" w:color="auto"/>
            </w:tcBorders>
            <w:shd w:val="clear" w:color="auto" w:fill="auto"/>
          </w:tcPr>
          <w:p w:rsidR="00807E74" w:rsidRPr="008762B1" w:rsidRDefault="00807E74" w:rsidP="00807E74">
            <w:pPr>
              <w:pStyle w:val="Tabletext"/>
            </w:pPr>
            <w:r w:rsidRPr="008762B1">
              <w:t>If</w:t>
            </w:r>
            <w:r w:rsidR="00C77F90" w:rsidRPr="008762B1">
              <w:t xml:space="preserve"> monitored continuously:</w:t>
            </w:r>
          </w:p>
          <w:p w:rsidR="00807E74" w:rsidRPr="008762B1" w:rsidRDefault="00807E74" w:rsidP="00807E74">
            <w:pPr>
              <w:pStyle w:val="Tablea"/>
            </w:pPr>
            <w:r w:rsidRPr="008762B1">
              <w:t xml:space="preserve">(a) for </w:t>
            </w:r>
            <w:r w:rsidR="0086684F" w:rsidRPr="008762B1">
              <w:t>equation 17</w:t>
            </w:r>
            <w:r w:rsidR="00C77F90" w:rsidRPr="008762B1">
              <w:t>, the average value for a time interval not greater than 1 hour must be</w:t>
            </w:r>
            <w:r w:rsidRPr="008762B1">
              <w:t xml:space="preserve"> </w:t>
            </w:r>
            <w:r w:rsidR="00C77F90" w:rsidRPr="008762B1">
              <w:t>paired</w:t>
            </w:r>
            <w:r w:rsidRPr="008762B1">
              <w:t xml:space="preserve"> </w:t>
            </w:r>
            <w:r w:rsidR="00C77F90" w:rsidRPr="008762B1">
              <w:t>to measurements of</w:t>
            </w:r>
            <w:r w:rsidRPr="008762B1">
              <w:t xml:space="preserve"> Q</w:t>
            </w:r>
            <w:r w:rsidRPr="008762B1">
              <w:rPr>
                <w:vertAlign w:val="subscript"/>
              </w:rPr>
              <w:t>BG,h</w:t>
            </w:r>
            <w:r w:rsidRPr="008762B1">
              <w:t xml:space="preserve"> </w:t>
            </w:r>
            <w:r w:rsidR="00C77F90" w:rsidRPr="008762B1">
              <w:t>for the same time interval</w:t>
            </w:r>
            <w:r w:rsidRPr="008762B1">
              <w:t>;</w:t>
            </w:r>
            <w:r w:rsidR="00C77F90" w:rsidRPr="008762B1">
              <w:t xml:space="preserve"> and</w:t>
            </w:r>
          </w:p>
          <w:p w:rsidR="008F50D9" w:rsidRPr="008762B1" w:rsidRDefault="00807E74" w:rsidP="00C77F90">
            <w:pPr>
              <w:pStyle w:val="Tablea"/>
            </w:pPr>
            <w:r w:rsidRPr="008762B1">
              <w:t xml:space="preserve">(b) for </w:t>
            </w:r>
            <w:r w:rsidR="0086684F" w:rsidRPr="008762B1">
              <w:t>equation 19</w:t>
            </w:r>
            <w:r w:rsidR="00C77F90" w:rsidRPr="008762B1">
              <w:t xml:space="preserve">, the average value for </w:t>
            </w:r>
            <w:r w:rsidRPr="008762B1">
              <w:t>the period of 7 days before a major venting event</w:t>
            </w:r>
          </w:p>
        </w:tc>
      </w:tr>
    </w:tbl>
    <w:p w:rsidR="008C61A4" w:rsidRPr="008762B1" w:rsidRDefault="008C61A4" w:rsidP="008C61A4">
      <w:pPr>
        <w:pStyle w:val="Tabletext"/>
      </w:pPr>
    </w:p>
    <w:p w:rsidR="00375493" w:rsidRPr="008762B1" w:rsidRDefault="00375493" w:rsidP="00D0561A">
      <w:pPr>
        <w:pStyle w:val="subsection"/>
      </w:pPr>
      <w:r w:rsidRPr="008762B1">
        <w:tab/>
        <w:t>(2)</w:t>
      </w:r>
      <w:r w:rsidRPr="008762B1">
        <w:tab/>
      </w:r>
      <w:r w:rsidR="00AB0430" w:rsidRPr="008762B1">
        <w:t>If t</w:t>
      </w:r>
      <w:r w:rsidRPr="008762B1">
        <w:t>he project proponent decide</w:t>
      </w:r>
      <w:r w:rsidR="00AB0430" w:rsidRPr="008762B1">
        <w:t>s to monitor parameter W</w:t>
      </w:r>
      <w:r w:rsidR="00AB0430" w:rsidRPr="008762B1">
        <w:rPr>
          <w:vertAlign w:val="subscript"/>
        </w:rPr>
        <w:t>BG,CH</w:t>
      </w:r>
      <w:r w:rsidR="00AB0430" w:rsidRPr="008762B1">
        <w:rPr>
          <w:position w:val="-6"/>
          <w:vertAlign w:val="subscript"/>
        </w:rPr>
        <w:t xml:space="preserve">4 </w:t>
      </w:r>
      <w:r w:rsidR="00AB0430" w:rsidRPr="008762B1">
        <w:t xml:space="preserve">continuously, the </w:t>
      </w:r>
      <w:r w:rsidRPr="008762B1">
        <w:t>project proponent must monitor th</w:t>
      </w:r>
      <w:r w:rsidR="003176B9" w:rsidRPr="008762B1">
        <w:t>e</w:t>
      </w:r>
      <w:r w:rsidRPr="008762B1">
        <w:t xml:space="preserve"> parameter at </w:t>
      </w:r>
      <w:r w:rsidR="00AB0430" w:rsidRPr="008762B1">
        <w:t>that frequency</w:t>
      </w:r>
      <w:r w:rsidRPr="008762B1">
        <w:t xml:space="preserve"> </w:t>
      </w:r>
      <w:r w:rsidR="006C42F4" w:rsidRPr="008762B1">
        <w:t>for the remainder of the project</w:t>
      </w:r>
      <w:r w:rsidRPr="008762B1">
        <w:t>.</w:t>
      </w:r>
    </w:p>
    <w:p w:rsidR="005254C9" w:rsidRPr="008762B1" w:rsidRDefault="00CF46C0" w:rsidP="005254C9">
      <w:pPr>
        <w:pStyle w:val="notetext"/>
      </w:pPr>
      <w:r w:rsidRPr="008762B1">
        <w:t>Note</w:t>
      </w:r>
      <w:r w:rsidR="00597791" w:rsidRPr="008762B1">
        <w:t xml:space="preserve"> 1</w:t>
      </w:r>
      <w:r w:rsidR="005254C9" w:rsidRPr="008762B1">
        <w:t>:</w:t>
      </w:r>
      <w:r w:rsidR="005254C9" w:rsidRPr="008762B1">
        <w:tab/>
        <w:t xml:space="preserve">If the project proponent initially decides not to monitor the parameter continuously, the project proponent may subsequently decide to monitor the parameter continuously. However, </w:t>
      </w:r>
      <w:r w:rsidR="00620DB7" w:rsidRPr="008762B1">
        <w:t xml:space="preserve">once the project proponent decides to monitor the parameter continuously, that is how </w:t>
      </w:r>
      <w:r w:rsidR="00F5402E" w:rsidRPr="008762B1">
        <w:t>the parameter must be monitored.</w:t>
      </w:r>
    </w:p>
    <w:p w:rsidR="00597791" w:rsidRPr="008762B1" w:rsidRDefault="00597791" w:rsidP="005254C9">
      <w:pPr>
        <w:pStyle w:val="notetext"/>
      </w:pPr>
      <w:r w:rsidRPr="008762B1">
        <w:t>Note 2:</w:t>
      </w:r>
      <w:r w:rsidRPr="008762B1">
        <w:tab/>
        <w:t>If the project proponent initially decides not to monitor the parameter continuously, the fraction mentioned in subsection</w:t>
      </w:r>
      <w:r w:rsidR="008762B1" w:rsidRPr="008762B1">
        <w:t> </w:t>
      </w:r>
      <w:r w:rsidRPr="008762B1">
        <w:t xml:space="preserve">5.37(2) of the NGER (Measurement) Determination is used </w:t>
      </w:r>
      <w:r w:rsidR="000416E5" w:rsidRPr="008762B1">
        <w:t>for the purposes of equations 17 and 19</w:t>
      </w:r>
      <w:r w:rsidRPr="008762B1">
        <w:t>. However, if the project proponent initially or subsequently decides to monitor the parameter continuously and the</w:t>
      </w:r>
      <w:r w:rsidR="001A26F2" w:rsidRPr="008762B1">
        <w:t>n</w:t>
      </w:r>
      <w:r w:rsidRPr="008762B1">
        <w:t xml:space="preserve">, during a reporting period, fails to do so, the parameter is </w:t>
      </w:r>
      <w:r w:rsidR="00940834" w:rsidRPr="008762B1">
        <w:t xml:space="preserve">determined in accordance with </w:t>
      </w:r>
      <w:r w:rsidRPr="008762B1">
        <w:t>section</w:t>
      </w:r>
      <w:r w:rsidR="008762B1" w:rsidRPr="008762B1">
        <w:t> </w:t>
      </w:r>
      <w:r w:rsidR="004E7255" w:rsidRPr="008762B1">
        <w:t>46</w:t>
      </w:r>
      <w:r w:rsidR="00940834" w:rsidRPr="008762B1">
        <w:t xml:space="preserve"> of this determination</w:t>
      </w:r>
      <w:r w:rsidRPr="008762B1">
        <w:t>.</w:t>
      </w:r>
    </w:p>
    <w:p w:rsidR="008060BA" w:rsidRPr="008762B1" w:rsidRDefault="00FB39E7" w:rsidP="008060BA">
      <w:pPr>
        <w:pStyle w:val="subsection"/>
      </w:pPr>
      <w:r w:rsidRPr="008762B1">
        <w:tab/>
        <w:t>(3)</w:t>
      </w:r>
      <w:r w:rsidRPr="008762B1">
        <w:tab/>
      </w:r>
      <w:r w:rsidR="00900D5D" w:rsidRPr="008762B1">
        <w:t xml:space="preserve">Any equipment or device used to monitor a parameter must be calibrated by an accredited third party technician at intervals, and using methods, </w:t>
      </w:r>
      <w:r w:rsidR="00555A76" w:rsidRPr="008762B1">
        <w:t>that are in accordance with the manufacturer’s specifications.</w:t>
      </w:r>
    </w:p>
    <w:p w:rsidR="00D0561A" w:rsidRPr="008762B1" w:rsidRDefault="00F55262" w:rsidP="00A70CB6">
      <w:pPr>
        <w:pStyle w:val="subsection"/>
      </w:pPr>
      <w:r w:rsidRPr="008762B1">
        <w:tab/>
      </w:r>
      <w:r w:rsidR="00A70CB6" w:rsidRPr="008762B1">
        <w:t>(</w:t>
      </w:r>
      <w:r w:rsidR="00344973" w:rsidRPr="008762B1">
        <w:t>4</w:t>
      </w:r>
      <w:r w:rsidRPr="008762B1">
        <w:t>)</w:t>
      </w:r>
      <w:r w:rsidRPr="008762B1">
        <w:tab/>
      </w:r>
      <w:r w:rsidR="00FB5CB7" w:rsidRPr="008762B1">
        <w:t>In this section:</w:t>
      </w:r>
    </w:p>
    <w:p w:rsidR="003D29C2" w:rsidRPr="008762B1" w:rsidRDefault="00930C6B" w:rsidP="003D29C2">
      <w:pPr>
        <w:pStyle w:val="Definition"/>
      </w:pPr>
      <w:r w:rsidRPr="008762B1">
        <w:rPr>
          <w:b/>
          <w:i/>
        </w:rPr>
        <w:t xml:space="preserve">appropriate </w:t>
      </w:r>
      <w:r w:rsidR="00F5402E" w:rsidRPr="008762B1">
        <w:rPr>
          <w:b/>
          <w:i/>
        </w:rPr>
        <w:t>measuring</w:t>
      </w:r>
      <w:r w:rsidRPr="008762B1">
        <w:rPr>
          <w:b/>
          <w:i/>
        </w:rPr>
        <w:t xml:space="preserve"> requirements</w:t>
      </w:r>
      <w:r w:rsidR="00F5402E" w:rsidRPr="008762B1">
        <w:t xml:space="preserve">, in relation to a measurement or estimate, </w:t>
      </w:r>
      <w:r w:rsidRPr="008762B1">
        <w:t>means requirements that</w:t>
      </w:r>
      <w:r w:rsidR="00F5402E" w:rsidRPr="008762B1">
        <w:t xml:space="preserve"> are consistent with</w:t>
      </w:r>
      <w:r w:rsidR="003D29C2" w:rsidRPr="008762B1">
        <w:t>:</w:t>
      </w:r>
    </w:p>
    <w:p w:rsidR="00D0561A" w:rsidRPr="008762B1" w:rsidRDefault="003D29C2" w:rsidP="003D29C2">
      <w:pPr>
        <w:pStyle w:val="paragraph"/>
      </w:pPr>
      <w:r w:rsidRPr="008762B1">
        <w:lastRenderedPageBreak/>
        <w:tab/>
        <w:t>(a)</w:t>
      </w:r>
      <w:r w:rsidRPr="008762B1">
        <w:tab/>
      </w:r>
      <w:r w:rsidR="00930C6B" w:rsidRPr="008762B1">
        <w:t>requirements that apply in relation to similar measurements or estimates under the N</w:t>
      </w:r>
      <w:r w:rsidRPr="008762B1">
        <w:t xml:space="preserve">GER (Measurement) Determination; </w:t>
      </w:r>
      <w:r w:rsidR="007548F5" w:rsidRPr="008762B1">
        <w:t>or</w:t>
      </w:r>
    </w:p>
    <w:p w:rsidR="002A3CE2" w:rsidRPr="008762B1" w:rsidRDefault="003D29C2" w:rsidP="00F5402E">
      <w:pPr>
        <w:pStyle w:val="paragraph"/>
      </w:pPr>
      <w:r w:rsidRPr="008762B1">
        <w:tab/>
        <w:t>(b)</w:t>
      </w:r>
      <w:r w:rsidRPr="008762B1">
        <w:tab/>
      </w:r>
      <w:r w:rsidR="002A3CE2" w:rsidRPr="008762B1">
        <w:t xml:space="preserve">relevant standards </w:t>
      </w:r>
      <w:r w:rsidR="00A30CDC" w:rsidRPr="008762B1">
        <w:t>and</w:t>
      </w:r>
      <w:r w:rsidR="002A3CE2" w:rsidRPr="008762B1">
        <w:t xml:space="preserve"> other requirements under the </w:t>
      </w:r>
      <w:r w:rsidR="002A3CE2" w:rsidRPr="008762B1">
        <w:rPr>
          <w:i/>
        </w:rPr>
        <w:t>National Measurement Act 1960</w:t>
      </w:r>
      <w:r w:rsidR="00F5402E" w:rsidRPr="008762B1">
        <w:t>.</w:t>
      </w:r>
    </w:p>
    <w:p w:rsidR="00CF46C0" w:rsidRPr="008762B1" w:rsidRDefault="004E7255" w:rsidP="00CF46C0">
      <w:pPr>
        <w:pStyle w:val="ActHead5"/>
      </w:pPr>
      <w:bookmarkStart w:id="85" w:name="_Toc407103363"/>
      <w:r w:rsidRPr="008762B1">
        <w:rPr>
          <w:rStyle w:val="CharSectno"/>
        </w:rPr>
        <w:t>46</w:t>
      </w:r>
      <w:r w:rsidR="00CF46C0" w:rsidRPr="008762B1">
        <w:t xml:space="preserve">  Consequence</w:t>
      </w:r>
      <w:r w:rsidR="00DF43F6" w:rsidRPr="008762B1">
        <w:t>s</w:t>
      </w:r>
      <w:r w:rsidR="00CF46C0" w:rsidRPr="008762B1">
        <w:t xml:space="preserve"> </w:t>
      </w:r>
      <w:r w:rsidR="00DF43F6" w:rsidRPr="008762B1">
        <w:t xml:space="preserve">of </w:t>
      </w:r>
      <w:r w:rsidR="00940834" w:rsidRPr="008762B1">
        <w:t>not meeting requirement to</w:t>
      </w:r>
      <w:r w:rsidR="00CF46C0" w:rsidRPr="008762B1">
        <w:t xml:space="preserve"> monitor </w:t>
      </w:r>
      <w:r w:rsidR="00940834" w:rsidRPr="008762B1">
        <w:t xml:space="preserve">certain </w:t>
      </w:r>
      <w:r w:rsidR="00466107" w:rsidRPr="008762B1">
        <w:t>parameter</w:t>
      </w:r>
      <w:r w:rsidR="00DF43F6" w:rsidRPr="008762B1">
        <w:t>s</w:t>
      </w:r>
      <w:bookmarkEnd w:id="85"/>
    </w:p>
    <w:p w:rsidR="00A16DD4" w:rsidRPr="008762B1" w:rsidRDefault="00CC189A" w:rsidP="00773F30">
      <w:pPr>
        <w:pStyle w:val="subsection"/>
      </w:pPr>
      <w:r w:rsidRPr="008762B1">
        <w:tab/>
      </w:r>
      <w:r w:rsidR="000B43FC" w:rsidRPr="008762B1">
        <w:t>(1)</w:t>
      </w:r>
      <w:r w:rsidR="000B43FC" w:rsidRPr="008762B1">
        <w:tab/>
      </w:r>
      <w:r w:rsidR="00A16DD4" w:rsidRPr="008762B1">
        <w:t xml:space="preserve">If, during a particular period </w:t>
      </w:r>
      <w:r w:rsidR="00BF7134" w:rsidRPr="008762B1">
        <w:t xml:space="preserve">(the </w:t>
      </w:r>
      <w:r w:rsidR="00BF7134" w:rsidRPr="008762B1">
        <w:rPr>
          <w:b/>
          <w:i/>
        </w:rPr>
        <w:t>non</w:t>
      </w:r>
      <w:r w:rsidR="008762B1">
        <w:rPr>
          <w:b/>
          <w:i/>
        </w:rPr>
        <w:noBreakHyphen/>
      </w:r>
      <w:r w:rsidR="00BF7134" w:rsidRPr="008762B1">
        <w:rPr>
          <w:b/>
          <w:i/>
        </w:rPr>
        <w:t>monitored period</w:t>
      </w:r>
      <w:r w:rsidR="00BF7134" w:rsidRPr="008762B1">
        <w:t>)</w:t>
      </w:r>
      <w:r w:rsidR="00891E9B" w:rsidRPr="008762B1">
        <w:t xml:space="preserve"> in a reporting period</w:t>
      </w:r>
      <w:r w:rsidR="00A16DD4" w:rsidRPr="008762B1">
        <w:t>, a project pro</w:t>
      </w:r>
      <w:r w:rsidR="00773F30" w:rsidRPr="008762B1">
        <w:t xml:space="preserve">ponent for an AWT project fails to monitor a parameter as required by </w:t>
      </w:r>
      <w:r w:rsidR="00761530" w:rsidRPr="008762B1">
        <w:t>the monitoring requirements</w:t>
      </w:r>
      <w:r w:rsidR="00773F30" w:rsidRPr="008762B1">
        <w:t>, the value of the parameter for the purpose of working out the activity abatement portions for the reporting period is to be determined for the non</w:t>
      </w:r>
      <w:r w:rsidR="008762B1">
        <w:noBreakHyphen/>
      </w:r>
      <w:r w:rsidR="00773F30" w:rsidRPr="008762B1">
        <w:t>monitored period in accordance with the following table.</w:t>
      </w:r>
    </w:p>
    <w:p w:rsidR="00A16DD4" w:rsidRPr="008762B1" w:rsidRDefault="00A16DD4" w:rsidP="00A16DD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4631"/>
      </w:tblGrid>
      <w:tr w:rsidR="00A16DD4" w:rsidRPr="008762B1" w:rsidTr="00A16DD4">
        <w:trPr>
          <w:tblHeader/>
        </w:trPr>
        <w:tc>
          <w:tcPr>
            <w:tcW w:w="8312" w:type="dxa"/>
            <w:gridSpan w:val="3"/>
            <w:tcBorders>
              <w:top w:val="single" w:sz="12" w:space="0" w:color="auto"/>
              <w:bottom w:val="single" w:sz="6" w:space="0" w:color="auto"/>
            </w:tcBorders>
            <w:shd w:val="clear" w:color="auto" w:fill="auto"/>
          </w:tcPr>
          <w:p w:rsidR="00A16DD4" w:rsidRPr="008762B1" w:rsidRDefault="00A16DD4" w:rsidP="00A16DD4">
            <w:pPr>
              <w:pStyle w:val="TableHeading"/>
            </w:pPr>
            <w:r w:rsidRPr="008762B1">
              <w:t>Consequence of not meeting requirement to monitor certain parameters</w:t>
            </w:r>
          </w:p>
        </w:tc>
      </w:tr>
      <w:tr w:rsidR="00A16DD4" w:rsidRPr="008762B1" w:rsidTr="006F1179">
        <w:trPr>
          <w:tblHeader/>
        </w:trPr>
        <w:tc>
          <w:tcPr>
            <w:tcW w:w="714" w:type="dxa"/>
            <w:tcBorders>
              <w:top w:val="single" w:sz="6" w:space="0" w:color="auto"/>
              <w:bottom w:val="single" w:sz="12" w:space="0" w:color="auto"/>
            </w:tcBorders>
            <w:shd w:val="clear" w:color="auto" w:fill="auto"/>
          </w:tcPr>
          <w:p w:rsidR="00A16DD4" w:rsidRPr="008762B1" w:rsidRDefault="00A16DD4" w:rsidP="00A16DD4">
            <w:pPr>
              <w:pStyle w:val="TableHeading"/>
            </w:pPr>
            <w:r w:rsidRPr="008762B1">
              <w:t>Item</w:t>
            </w:r>
          </w:p>
        </w:tc>
        <w:tc>
          <w:tcPr>
            <w:tcW w:w="2967" w:type="dxa"/>
            <w:tcBorders>
              <w:top w:val="single" w:sz="6" w:space="0" w:color="auto"/>
              <w:bottom w:val="single" w:sz="12" w:space="0" w:color="auto"/>
            </w:tcBorders>
            <w:shd w:val="clear" w:color="auto" w:fill="auto"/>
          </w:tcPr>
          <w:p w:rsidR="00A16DD4" w:rsidRPr="008762B1" w:rsidRDefault="00A16DD4" w:rsidP="00A16DD4">
            <w:pPr>
              <w:pStyle w:val="TableHeading"/>
            </w:pPr>
            <w:r w:rsidRPr="008762B1">
              <w:t>Parameter</w:t>
            </w:r>
          </w:p>
        </w:tc>
        <w:tc>
          <w:tcPr>
            <w:tcW w:w="4631" w:type="dxa"/>
            <w:tcBorders>
              <w:top w:val="single" w:sz="6" w:space="0" w:color="auto"/>
              <w:bottom w:val="single" w:sz="12" w:space="0" w:color="auto"/>
            </w:tcBorders>
            <w:shd w:val="clear" w:color="auto" w:fill="auto"/>
          </w:tcPr>
          <w:p w:rsidR="00A16DD4" w:rsidRPr="008762B1" w:rsidRDefault="00A16DD4" w:rsidP="00891E9B">
            <w:pPr>
              <w:pStyle w:val="TableHeading"/>
            </w:pPr>
            <w:r w:rsidRPr="008762B1">
              <w:t xml:space="preserve">Determination of parameter </w:t>
            </w:r>
            <w:r w:rsidR="00891E9B" w:rsidRPr="008762B1">
              <w:t>for non</w:t>
            </w:r>
            <w:r w:rsidR="008762B1">
              <w:noBreakHyphen/>
            </w:r>
            <w:r w:rsidR="00891E9B" w:rsidRPr="008762B1">
              <w:t>monitored period</w:t>
            </w:r>
          </w:p>
        </w:tc>
      </w:tr>
      <w:tr w:rsidR="00A16DD4" w:rsidRPr="008762B1" w:rsidTr="006F1179">
        <w:tc>
          <w:tcPr>
            <w:tcW w:w="714" w:type="dxa"/>
            <w:tcBorders>
              <w:bottom w:val="single" w:sz="4" w:space="0" w:color="auto"/>
            </w:tcBorders>
            <w:shd w:val="clear" w:color="auto" w:fill="auto"/>
          </w:tcPr>
          <w:p w:rsidR="00A16DD4" w:rsidRPr="008762B1" w:rsidRDefault="00095041" w:rsidP="00A16DD4">
            <w:pPr>
              <w:pStyle w:val="Tabletext"/>
            </w:pPr>
            <w:r w:rsidRPr="008762B1">
              <w:t>1</w:t>
            </w:r>
          </w:p>
        </w:tc>
        <w:tc>
          <w:tcPr>
            <w:tcW w:w="2967" w:type="dxa"/>
            <w:tcBorders>
              <w:bottom w:val="single" w:sz="4" w:space="0" w:color="auto"/>
            </w:tcBorders>
            <w:shd w:val="clear" w:color="auto" w:fill="auto"/>
          </w:tcPr>
          <w:p w:rsidR="00A16DD4" w:rsidRPr="008762B1" w:rsidRDefault="007704CF" w:rsidP="00095041">
            <w:pPr>
              <w:pStyle w:val="Tabletext"/>
              <w:rPr>
                <w:vertAlign w:val="superscript"/>
              </w:rPr>
            </w:pPr>
            <w:r w:rsidRPr="008762B1">
              <w:t>W</w:t>
            </w:r>
            <w:r w:rsidRPr="008762B1">
              <w:rPr>
                <w:vertAlign w:val="subscript"/>
              </w:rPr>
              <w:t>BG,CH</w:t>
            </w:r>
            <w:r w:rsidRPr="008762B1">
              <w:rPr>
                <w:position w:val="-6"/>
                <w:vertAlign w:val="subscript"/>
              </w:rPr>
              <w:t>4</w:t>
            </w:r>
            <w:r w:rsidR="00095041" w:rsidRPr="008762B1">
              <w:t xml:space="preserve"> (see subsection</w:t>
            </w:r>
            <w:r w:rsidR="008762B1" w:rsidRPr="008762B1">
              <w:t> </w:t>
            </w:r>
            <w:r w:rsidR="004E7255" w:rsidRPr="008762B1">
              <w:t>36</w:t>
            </w:r>
            <w:r w:rsidR="00095041" w:rsidRPr="008762B1">
              <w:t>(2) and section</w:t>
            </w:r>
            <w:r w:rsidR="008762B1" w:rsidRPr="008762B1">
              <w:t> </w:t>
            </w:r>
            <w:r w:rsidR="004E7255" w:rsidRPr="008762B1">
              <w:t>37</w:t>
            </w:r>
            <w:r w:rsidR="00095041" w:rsidRPr="008762B1">
              <w:t>)</w:t>
            </w:r>
          </w:p>
        </w:tc>
        <w:tc>
          <w:tcPr>
            <w:tcW w:w="4631" w:type="dxa"/>
            <w:tcBorders>
              <w:bottom w:val="single" w:sz="4" w:space="0" w:color="auto"/>
            </w:tcBorders>
            <w:shd w:val="clear" w:color="auto" w:fill="auto"/>
          </w:tcPr>
          <w:p w:rsidR="00A16DD4" w:rsidRPr="008762B1" w:rsidRDefault="00BF7134" w:rsidP="00A16DD4">
            <w:pPr>
              <w:pStyle w:val="Tabletext"/>
            </w:pPr>
            <w:r w:rsidRPr="008762B1">
              <w:t xml:space="preserve">The </w:t>
            </w:r>
            <w:r w:rsidR="009216E7" w:rsidRPr="008762B1">
              <w:t>parameter</w:t>
            </w:r>
            <w:r w:rsidRPr="008762B1">
              <w:t xml:space="preserve"> </w:t>
            </w:r>
            <w:r w:rsidR="00681BCB" w:rsidRPr="008762B1">
              <w:t>is</w:t>
            </w:r>
            <w:r w:rsidRPr="008762B1">
              <w:t>:</w:t>
            </w:r>
          </w:p>
          <w:p w:rsidR="00BF7134" w:rsidRPr="008762B1" w:rsidRDefault="00BF7134" w:rsidP="00BF7134">
            <w:pPr>
              <w:pStyle w:val="Tablea"/>
            </w:pPr>
            <w:r w:rsidRPr="008762B1">
              <w:t>(a) f</w:t>
            </w:r>
            <w:r w:rsidR="00681BCB" w:rsidRPr="008762B1">
              <w:t>or any</w:t>
            </w:r>
            <w:r w:rsidR="00891E9B" w:rsidRPr="008762B1">
              <w:t xml:space="preserve"> cumulative period</w:t>
            </w:r>
            <w:r w:rsidR="009638AE" w:rsidRPr="008762B1">
              <w:t xml:space="preserve"> </w:t>
            </w:r>
            <w:r w:rsidRPr="008762B1">
              <w:t xml:space="preserve">of up to 3 months in any 12 months of a crediting period for the project—the amount set out </w:t>
            </w:r>
            <w:r w:rsidR="004A0A60" w:rsidRPr="008762B1">
              <w:t xml:space="preserve">in </w:t>
            </w:r>
            <w:r w:rsidRPr="008762B1">
              <w:t>section</w:t>
            </w:r>
            <w:r w:rsidR="008762B1" w:rsidRPr="008762B1">
              <w:t> </w:t>
            </w:r>
            <w:r w:rsidRPr="008762B1">
              <w:t>5.14C of the NGER (Measurement) Determination multiplied by 1.1; and</w:t>
            </w:r>
          </w:p>
          <w:p w:rsidR="00BF7134" w:rsidRPr="008762B1" w:rsidRDefault="00BF7134" w:rsidP="00891E9B">
            <w:pPr>
              <w:pStyle w:val="Tablea"/>
            </w:pPr>
            <w:r w:rsidRPr="008762B1">
              <w:t xml:space="preserve">(b) </w:t>
            </w:r>
            <w:r w:rsidR="00891E9B" w:rsidRPr="008762B1">
              <w:t>for any period</w:t>
            </w:r>
            <w:r w:rsidR="009638AE" w:rsidRPr="008762B1">
              <w:t xml:space="preserve"> </w:t>
            </w:r>
            <w:r w:rsidR="00681BCB" w:rsidRPr="008762B1">
              <w:t>in excess of that 3 months—</w:t>
            </w:r>
            <w:r w:rsidR="007F1F0F" w:rsidRPr="008762B1">
              <w:t xml:space="preserve">the amount set out </w:t>
            </w:r>
            <w:r w:rsidR="004A0A60" w:rsidRPr="008762B1">
              <w:t xml:space="preserve">in </w:t>
            </w:r>
            <w:r w:rsidR="007F1F0F" w:rsidRPr="008762B1">
              <w:t>section</w:t>
            </w:r>
            <w:r w:rsidR="008762B1" w:rsidRPr="008762B1">
              <w:t> </w:t>
            </w:r>
            <w:r w:rsidR="007F1F0F" w:rsidRPr="008762B1">
              <w:t>5.14C of the NGER (Measurement) Determination multiplied by 1.5</w:t>
            </w:r>
          </w:p>
        </w:tc>
      </w:tr>
      <w:tr w:rsidR="00A16DD4" w:rsidRPr="008762B1" w:rsidTr="006F1179">
        <w:tc>
          <w:tcPr>
            <w:tcW w:w="714" w:type="dxa"/>
            <w:tcBorders>
              <w:bottom w:val="single" w:sz="12" w:space="0" w:color="auto"/>
            </w:tcBorders>
            <w:shd w:val="clear" w:color="auto" w:fill="auto"/>
          </w:tcPr>
          <w:p w:rsidR="00A16DD4" w:rsidRPr="008762B1" w:rsidRDefault="006F1179" w:rsidP="00A16DD4">
            <w:pPr>
              <w:pStyle w:val="Tabletext"/>
            </w:pPr>
            <w:r w:rsidRPr="008762B1">
              <w:t>2</w:t>
            </w:r>
          </w:p>
        </w:tc>
        <w:tc>
          <w:tcPr>
            <w:tcW w:w="2967" w:type="dxa"/>
            <w:tcBorders>
              <w:bottom w:val="single" w:sz="12" w:space="0" w:color="auto"/>
            </w:tcBorders>
            <w:shd w:val="clear" w:color="auto" w:fill="auto"/>
          </w:tcPr>
          <w:p w:rsidR="007704CF" w:rsidRPr="008762B1" w:rsidRDefault="005462EE" w:rsidP="00A16DD4">
            <w:pPr>
              <w:pStyle w:val="Tabletext"/>
            </w:pPr>
            <w:r w:rsidRPr="008762B1">
              <w:t>Each of the following</w:t>
            </w:r>
            <w:r w:rsidR="007704CF" w:rsidRPr="008762B1">
              <w:t>:</w:t>
            </w:r>
          </w:p>
          <w:p w:rsidR="00A16DD4" w:rsidRPr="008762B1" w:rsidRDefault="007704CF" w:rsidP="007704CF">
            <w:pPr>
              <w:pStyle w:val="Tablea"/>
            </w:pPr>
            <w:r w:rsidRPr="008762B1">
              <w:t xml:space="preserve">(a) </w:t>
            </w:r>
            <w:r w:rsidR="006F2E42" w:rsidRPr="008762B1">
              <w:t>FR</w:t>
            </w:r>
            <w:r w:rsidR="006F2E42" w:rsidRPr="008762B1">
              <w:rPr>
                <w:vertAlign w:val="subscript"/>
              </w:rPr>
              <w:t>q</w:t>
            </w:r>
            <w:r w:rsidR="00095041" w:rsidRPr="008762B1">
              <w:t xml:space="preserve"> (see section</w:t>
            </w:r>
            <w:r w:rsidR="008762B1" w:rsidRPr="008762B1">
              <w:t> </w:t>
            </w:r>
            <w:r w:rsidR="004E7255" w:rsidRPr="008762B1">
              <w:t>37</w:t>
            </w:r>
            <w:r w:rsidR="00095041" w:rsidRPr="008762B1">
              <w:t>);</w:t>
            </w:r>
          </w:p>
          <w:p w:rsidR="007704CF" w:rsidRPr="008762B1" w:rsidRDefault="007704CF" w:rsidP="007704CF">
            <w:pPr>
              <w:pStyle w:val="Tablea"/>
            </w:pPr>
            <w:r w:rsidRPr="008762B1">
              <w:t>(b) Q</w:t>
            </w:r>
            <w:r w:rsidRPr="008762B1">
              <w:rPr>
                <w:vertAlign w:val="subscript"/>
              </w:rPr>
              <w:t>BG,h</w:t>
            </w:r>
            <w:r w:rsidR="00095041" w:rsidRPr="008762B1">
              <w:t xml:space="preserve"> (see subsection</w:t>
            </w:r>
            <w:r w:rsidR="008762B1" w:rsidRPr="008762B1">
              <w:t> </w:t>
            </w:r>
            <w:r w:rsidR="004E7255" w:rsidRPr="008762B1">
              <w:t>36</w:t>
            </w:r>
            <w:r w:rsidR="00095041" w:rsidRPr="008762B1">
              <w:t>(2));</w:t>
            </w:r>
          </w:p>
          <w:p w:rsidR="00BE7247" w:rsidRPr="008762B1" w:rsidRDefault="00BE7247" w:rsidP="007704CF">
            <w:pPr>
              <w:pStyle w:val="Tablea"/>
            </w:pPr>
            <w:r w:rsidRPr="008762B1">
              <w:t>(c) Q</w:t>
            </w:r>
            <w:r w:rsidRPr="008762B1">
              <w:rPr>
                <w:vertAlign w:val="subscript"/>
              </w:rPr>
              <w:t>Compost</w:t>
            </w:r>
            <w:r w:rsidR="00095041" w:rsidRPr="008762B1">
              <w:t xml:space="preserve"> (see</w:t>
            </w:r>
            <w:r w:rsidR="006F1179" w:rsidRPr="008762B1">
              <w:t xml:space="preserve"> subsection</w:t>
            </w:r>
            <w:r w:rsidR="008762B1" w:rsidRPr="008762B1">
              <w:t> </w:t>
            </w:r>
            <w:r w:rsidR="004E7255" w:rsidRPr="008762B1">
              <w:t>34</w:t>
            </w:r>
            <w:r w:rsidR="006F1179" w:rsidRPr="008762B1">
              <w:t>(6));</w:t>
            </w:r>
          </w:p>
          <w:p w:rsidR="007704CF" w:rsidRPr="008762B1" w:rsidRDefault="00BE7247" w:rsidP="007704CF">
            <w:pPr>
              <w:pStyle w:val="Tablea"/>
            </w:pPr>
            <w:r w:rsidRPr="008762B1">
              <w:t>(d</w:t>
            </w:r>
            <w:r w:rsidR="007704CF" w:rsidRPr="008762B1">
              <w:t>) Q</w:t>
            </w:r>
            <w:r w:rsidR="007704CF" w:rsidRPr="008762B1">
              <w:rPr>
                <w:vertAlign w:val="subscript"/>
              </w:rPr>
              <w:t>EG,h</w:t>
            </w:r>
            <w:r w:rsidR="006F1179" w:rsidRPr="008762B1">
              <w:t xml:space="preserve"> (see subsection</w:t>
            </w:r>
            <w:r w:rsidR="008762B1" w:rsidRPr="008762B1">
              <w:t> </w:t>
            </w:r>
            <w:r w:rsidR="004E7255" w:rsidRPr="008762B1">
              <w:t>36</w:t>
            </w:r>
            <w:r w:rsidR="006F1179" w:rsidRPr="008762B1">
              <w:t>(3));</w:t>
            </w:r>
          </w:p>
          <w:p w:rsidR="007704CF" w:rsidRPr="008762B1" w:rsidRDefault="00BE7247" w:rsidP="007704CF">
            <w:pPr>
              <w:pStyle w:val="Tablea"/>
            </w:pPr>
            <w:r w:rsidRPr="008762B1">
              <w:t>(e</w:t>
            </w:r>
            <w:r w:rsidR="007704CF" w:rsidRPr="008762B1">
              <w:t>) Q</w:t>
            </w:r>
            <w:r w:rsidR="007704CF" w:rsidRPr="008762B1">
              <w:rPr>
                <w:vertAlign w:val="subscript"/>
              </w:rPr>
              <w:t>EP</w:t>
            </w:r>
            <w:r w:rsidR="006F1179" w:rsidRPr="008762B1">
              <w:t xml:space="preserve"> (see subsection</w:t>
            </w:r>
            <w:r w:rsidR="008762B1" w:rsidRPr="008762B1">
              <w:t> </w:t>
            </w:r>
            <w:r w:rsidR="004E7255" w:rsidRPr="008762B1">
              <w:t>31</w:t>
            </w:r>
            <w:r w:rsidR="006F1179" w:rsidRPr="008762B1">
              <w:t>(1));</w:t>
            </w:r>
          </w:p>
          <w:p w:rsidR="007704CF" w:rsidRPr="008762B1" w:rsidRDefault="00BE7247" w:rsidP="007704CF">
            <w:pPr>
              <w:pStyle w:val="Tablea"/>
            </w:pPr>
            <w:r w:rsidRPr="008762B1">
              <w:t>(f</w:t>
            </w:r>
            <w:r w:rsidR="007704CF" w:rsidRPr="008762B1">
              <w:t>) Q</w:t>
            </w:r>
            <w:r w:rsidR="007704CF" w:rsidRPr="008762B1">
              <w:rPr>
                <w:vertAlign w:val="subscript"/>
              </w:rPr>
              <w:t>F,i</w:t>
            </w:r>
            <w:r w:rsidR="006F1179" w:rsidRPr="008762B1">
              <w:t xml:space="preserve"> (see section</w:t>
            </w:r>
            <w:r w:rsidR="008762B1" w:rsidRPr="008762B1">
              <w:t> </w:t>
            </w:r>
            <w:r w:rsidR="004E7255" w:rsidRPr="008762B1">
              <w:t>30</w:t>
            </w:r>
            <w:r w:rsidR="006F1179" w:rsidRPr="008762B1">
              <w:t>);</w:t>
            </w:r>
          </w:p>
          <w:p w:rsidR="007704CF" w:rsidRPr="008762B1" w:rsidRDefault="00BE7247" w:rsidP="007704CF">
            <w:pPr>
              <w:pStyle w:val="Tablea"/>
            </w:pPr>
            <w:r w:rsidRPr="008762B1">
              <w:t>(g</w:t>
            </w:r>
            <w:r w:rsidR="007704CF" w:rsidRPr="008762B1">
              <w:t>) t</w:t>
            </w:r>
            <w:r w:rsidR="007704CF" w:rsidRPr="008762B1">
              <w:rPr>
                <w:vertAlign w:val="subscript"/>
              </w:rPr>
              <w:t>q</w:t>
            </w:r>
            <w:r w:rsidR="006F1179" w:rsidRPr="008762B1">
              <w:rPr>
                <w:vertAlign w:val="subscript"/>
              </w:rPr>
              <w:t xml:space="preserve"> </w:t>
            </w:r>
            <w:r w:rsidR="006F1179" w:rsidRPr="008762B1">
              <w:t>(see section</w:t>
            </w:r>
            <w:r w:rsidR="008762B1" w:rsidRPr="008762B1">
              <w:t> </w:t>
            </w:r>
            <w:r w:rsidR="004E7255" w:rsidRPr="008762B1">
              <w:t>37</w:t>
            </w:r>
            <w:r w:rsidR="006F1179" w:rsidRPr="008762B1">
              <w:t>)</w:t>
            </w:r>
          </w:p>
        </w:tc>
        <w:tc>
          <w:tcPr>
            <w:tcW w:w="4631" w:type="dxa"/>
            <w:tcBorders>
              <w:bottom w:val="single" w:sz="12" w:space="0" w:color="auto"/>
            </w:tcBorders>
            <w:shd w:val="clear" w:color="auto" w:fill="auto"/>
          </w:tcPr>
          <w:p w:rsidR="00A16DD4" w:rsidRPr="008762B1" w:rsidRDefault="008018E3" w:rsidP="009638AE">
            <w:pPr>
              <w:pStyle w:val="Tabletext"/>
            </w:pPr>
            <w:r w:rsidRPr="008762B1">
              <w:t>The</w:t>
            </w:r>
            <w:r w:rsidR="009638AE" w:rsidRPr="008762B1">
              <w:t xml:space="preserve"> project proponent must make a conserv</w:t>
            </w:r>
            <w:r w:rsidR="00891E9B" w:rsidRPr="008762B1">
              <w:t>ative estimate of the parameter</w:t>
            </w:r>
            <w:r w:rsidR="009638AE" w:rsidRPr="008762B1">
              <w:t xml:space="preserve"> having regard to:</w:t>
            </w:r>
          </w:p>
          <w:p w:rsidR="009638AE" w:rsidRPr="008762B1" w:rsidRDefault="009638AE" w:rsidP="009638AE">
            <w:pPr>
              <w:pStyle w:val="Tablea"/>
            </w:pPr>
            <w:r w:rsidRPr="008762B1">
              <w:t>(a) any relevant measur</w:t>
            </w:r>
            <w:r w:rsidR="001F1F06" w:rsidRPr="008762B1">
              <w:t>ement</w:t>
            </w:r>
            <w:r w:rsidRPr="008762B1">
              <w:t xml:space="preserve"> or estimation approaches or requirements that apply to the parameter under the NGER (Measurement) Determination; and</w:t>
            </w:r>
          </w:p>
          <w:p w:rsidR="009638AE" w:rsidRPr="008762B1" w:rsidRDefault="009638AE" w:rsidP="009638AE">
            <w:pPr>
              <w:pStyle w:val="Tablea"/>
            </w:pPr>
            <w:r w:rsidRPr="008762B1">
              <w:t>(b) any relevant historical data for the project; and</w:t>
            </w:r>
          </w:p>
          <w:p w:rsidR="009638AE" w:rsidRPr="008762B1" w:rsidRDefault="009638AE" w:rsidP="009638AE">
            <w:pPr>
              <w:pStyle w:val="Tablea"/>
            </w:pPr>
            <w:r w:rsidRPr="008762B1">
              <w:t xml:space="preserve">(c) </w:t>
            </w:r>
            <w:r w:rsidR="005462EE" w:rsidRPr="008762B1">
              <w:t>any other data for the project that relates to the parameter; and</w:t>
            </w:r>
          </w:p>
          <w:p w:rsidR="009638AE" w:rsidRPr="008762B1" w:rsidRDefault="009638AE" w:rsidP="009638AE">
            <w:pPr>
              <w:pStyle w:val="Tablea"/>
            </w:pPr>
            <w:r w:rsidRPr="008762B1">
              <w:t>(d) any other matter the proje</w:t>
            </w:r>
            <w:r w:rsidR="004A7E18" w:rsidRPr="008762B1">
              <w:t>ct proponent considers relevant</w:t>
            </w:r>
          </w:p>
        </w:tc>
      </w:tr>
    </w:tbl>
    <w:p w:rsidR="00AA080D" w:rsidRPr="008762B1" w:rsidRDefault="00AA080D" w:rsidP="00E85610">
      <w:pPr>
        <w:pStyle w:val="Tabletext"/>
      </w:pPr>
    </w:p>
    <w:p w:rsidR="00A0088F" w:rsidRPr="008762B1" w:rsidRDefault="0073293F" w:rsidP="00A0088F">
      <w:pPr>
        <w:pStyle w:val="subsection"/>
        <w:rPr>
          <w:szCs w:val="22"/>
        </w:rPr>
      </w:pPr>
      <w:r w:rsidRPr="008762B1">
        <w:tab/>
      </w:r>
      <w:r w:rsidR="00095041" w:rsidRPr="008762B1">
        <w:t>(2</w:t>
      </w:r>
      <w:r w:rsidRPr="008762B1">
        <w:t>)</w:t>
      </w:r>
      <w:r w:rsidRPr="008762B1">
        <w:tab/>
      </w:r>
      <w:r w:rsidR="006F1179" w:rsidRPr="008762B1">
        <w:t>If, during the non</w:t>
      </w:r>
      <w:r w:rsidR="008762B1">
        <w:noBreakHyphen/>
      </w:r>
      <w:r w:rsidR="006F1179" w:rsidRPr="008762B1">
        <w:t>monitored period, the project proponent fails to monitor parameter DM</w:t>
      </w:r>
      <w:r w:rsidR="006F1179" w:rsidRPr="008762B1">
        <w:rPr>
          <w:vertAlign w:val="subscript"/>
        </w:rPr>
        <w:t>Compost</w:t>
      </w:r>
      <w:r w:rsidR="00927294" w:rsidRPr="008762B1">
        <w:rPr>
          <w:vertAlign w:val="subscript"/>
        </w:rPr>
        <w:t>,j</w:t>
      </w:r>
      <w:r w:rsidR="006F1179" w:rsidRPr="008762B1">
        <w:t xml:space="preserve"> as required by </w:t>
      </w:r>
      <w:r w:rsidR="00761530" w:rsidRPr="008762B1">
        <w:t>the monitoring requirements</w:t>
      </w:r>
      <w:r w:rsidR="006F1179" w:rsidRPr="008762B1">
        <w:t xml:space="preserve">, </w:t>
      </w:r>
      <w:r w:rsidR="006F1179" w:rsidRPr="008762B1">
        <w:rPr>
          <w:szCs w:val="22"/>
        </w:rPr>
        <w:t>the emissions (E</w:t>
      </w:r>
      <w:r w:rsidR="006F1179" w:rsidRPr="008762B1">
        <w:rPr>
          <w:szCs w:val="22"/>
          <w:vertAlign w:val="subscript"/>
        </w:rPr>
        <w:t>Compost</w:t>
      </w:r>
      <w:r w:rsidR="006F1179" w:rsidRPr="008762B1">
        <w:rPr>
          <w:szCs w:val="22"/>
        </w:rPr>
        <w:t xml:space="preserve">) from enclosed composting technology used during the </w:t>
      </w:r>
      <w:r w:rsidR="000416E5" w:rsidRPr="008762B1">
        <w:rPr>
          <w:szCs w:val="22"/>
        </w:rPr>
        <w:t>non</w:t>
      </w:r>
      <w:r w:rsidR="008762B1">
        <w:rPr>
          <w:szCs w:val="22"/>
        </w:rPr>
        <w:noBreakHyphen/>
      </w:r>
      <w:r w:rsidR="000416E5" w:rsidRPr="008762B1">
        <w:rPr>
          <w:szCs w:val="22"/>
        </w:rPr>
        <w:t>monitored</w:t>
      </w:r>
      <w:r w:rsidR="006F1179" w:rsidRPr="008762B1">
        <w:rPr>
          <w:szCs w:val="22"/>
        </w:rPr>
        <w:t xml:space="preserve"> period, in tonnes CO</w:t>
      </w:r>
      <w:r w:rsidR="006F1179" w:rsidRPr="008762B1">
        <w:rPr>
          <w:szCs w:val="22"/>
          <w:vertAlign w:val="subscript"/>
        </w:rPr>
        <w:t>2</w:t>
      </w:r>
      <w:r w:rsidR="008762B1">
        <w:rPr>
          <w:szCs w:val="22"/>
        </w:rPr>
        <w:noBreakHyphen/>
      </w:r>
      <w:r w:rsidR="006F1179" w:rsidRPr="008762B1">
        <w:rPr>
          <w:szCs w:val="22"/>
        </w:rPr>
        <w:t>e, are worked out as follows:</w:t>
      </w:r>
    </w:p>
    <w:p w:rsidR="006F1179" w:rsidRPr="008762B1" w:rsidRDefault="006F1179" w:rsidP="006F1179">
      <w:pPr>
        <w:pStyle w:val="paragraph"/>
      </w:pPr>
      <w:r w:rsidRPr="008762B1">
        <w:tab/>
        <w:t>(a)</w:t>
      </w:r>
      <w:r w:rsidRPr="008762B1">
        <w:tab/>
        <w:t>for any cumulative period of up to 3 months in any 12 months of a crediting period for the project—</w:t>
      </w:r>
      <w:r w:rsidR="00F55A63" w:rsidRPr="008762B1">
        <w:t>using</w:t>
      </w:r>
      <w:r w:rsidR="00E153C0" w:rsidRPr="008762B1">
        <w:t xml:space="preserve"> sub</w:t>
      </w:r>
      <w:r w:rsidR="008762B1">
        <w:noBreakHyphen/>
      </w:r>
      <w:r w:rsidR="00E153C0" w:rsidRPr="008762B1">
        <w:t>method 1 in subsection</w:t>
      </w:r>
      <w:r w:rsidR="008762B1" w:rsidRPr="008762B1">
        <w:t> </w:t>
      </w:r>
      <w:r w:rsidR="004E7255" w:rsidRPr="008762B1">
        <w:t>34</w:t>
      </w:r>
      <w:r w:rsidR="00E153C0" w:rsidRPr="008762B1">
        <w:t>(6)</w:t>
      </w:r>
      <w:r w:rsidR="004462B7" w:rsidRPr="008762B1">
        <w:t>,</w:t>
      </w:r>
      <w:r w:rsidR="00E153C0" w:rsidRPr="008762B1">
        <w:t xml:space="preserve"> but multiply</w:t>
      </w:r>
      <w:r w:rsidR="00F55A63" w:rsidRPr="008762B1">
        <w:t>ing</w:t>
      </w:r>
      <w:r w:rsidR="00E153C0" w:rsidRPr="008762B1">
        <w:t xml:space="preserve"> the parameter EF</w:t>
      </w:r>
      <w:r w:rsidR="00E153C0" w:rsidRPr="008762B1">
        <w:rPr>
          <w:vertAlign w:val="subscript"/>
        </w:rPr>
        <w:t>Compost,j</w:t>
      </w:r>
      <w:r w:rsidR="00E153C0" w:rsidRPr="008762B1">
        <w:t xml:space="preserve"> by 1.1</w:t>
      </w:r>
      <w:r w:rsidRPr="008762B1">
        <w:t>; and</w:t>
      </w:r>
    </w:p>
    <w:p w:rsidR="006F1179" w:rsidRPr="008762B1" w:rsidRDefault="00E153C0" w:rsidP="00E153C0">
      <w:pPr>
        <w:pStyle w:val="paragraph"/>
      </w:pPr>
      <w:r w:rsidRPr="008762B1">
        <w:tab/>
        <w:t>(b)</w:t>
      </w:r>
      <w:r w:rsidRPr="008762B1">
        <w:tab/>
      </w:r>
      <w:r w:rsidR="006F1179" w:rsidRPr="008762B1">
        <w:t>for any period in excess of that 3 months—</w:t>
      </w:r>
      <w:r w:rsidR="00F55A63" w:rsidRPr="008762B1">
        <w:t>using</w:t>
      </w:r>
      <w:r w:rsidR="009532A0" w:rsidRPr="008762B1">
        <w:t xml:space="preserve"> sub</w:t>
      </w:r>
      <w:r w:rsidR="008762B1">
        <w:noBreakHyphen/>
      </w:r>
      <w:r w:rsidR="009532A0" w:rsidRPr="008762B1">
        <w:t>method 1 in subsection</w:t>
      </w:r>
      <w:r w:rsidR="008762B1" w:rsidRPr="008762B1">
        <w:t> </w:t>
      </w:r>
      <w:r w:rsidR="004E7255" w:rsidRPr="008762B1">
        <w:t>34</w:t>
      </w:r>
      <w:r w:rsidR="009532A0" w:rsidRPr="008762B1">
        <w:t>(6)</w:t>
      </w:r>
      <w:r w:rsidR="004462B7" w:rsidRPr="008762B1">
        <w:t>,</w:t>
      </w:r>
      <w:r w:rsidR="009532A0" w:rsidRPr="008762B1">
        <w:t xml:space="preserve"> but multiply</w:t>
      </w:r>
      <w:r w:rsidR="00F55A63" w:rsidRPr="008762B1">
        <w:t>ing</w:t>
      </w:r>
      <w:r w:rsidR="009532A0" w:rsidRPr="008762B1">
        <w:t xml:space="preserve"> the parameter EF</w:t>
      </w:r>
      <w:r w:rsidR="009532A0" w:rsidRPr="008762B1">
        <w:rPr>
          <w:vertAlign w:val="subscript"/>
        </w:rPr>
        <w:t>Compost,j</w:t>
      </w:r>
      <w:r w:rsidR="009532A0" w:rsidRPr="008762B1">
        <w:t xml:space="preserve"> by 1.5.</w:t>
      </w:r>
    </w:p>
    <w:p w:rsidR="0073293F" w:rsidRPr="008762B1" w:rsidRDefault="006F1179" w:rsidP="0073293F">
      <w:pPr>
        <w:pStyle w:val="subsection"/>
      </w:pPr>
      <w:r w:rsidRPr="008762B1">
        <w:lastRenderedPageBreak/>
        <w:tab/>
        <w:t>(3)</w:t>
      </w:r>
      <w:r w:rsidRPr="008762B1">
        <w:tab/>
      </w:r>
      <w:r w:rsidR="00CF0203" w:rsidRPr="008762B1">
        <w:t>To avoid doubt, t</w:t>
      </w:r>
      <w:r w:rsidR="0073293F" w:rsidRPr="008762B1">
        <w:t xml:space="preserve">his section does not prevent </w:t>
      </w:r>
      <w:r w:rsidR="00356076" w:rsidRPr="008762B1">
        <w:t xml:space="preserve">the Regulator from taking action </w:t>
      </w:r>
      <w:r w:rsidR="00CF0203" w:rsidRPr="008762B1">
        <w:t>under the Act, or regulations or rules made under the Act,</w:t>
      </w:r>
      <w:r w:rsidR="0073293F" w:rsidRPr="008762B1">
        <w:t xml:space="preserve"> in relation to the project proponent’s failure to monitor a parameter as required by </w:t>
      </w:r>
      <w:r w:rsidR="00761530" w:rsidRPr="008762B1">
        <w:t>the monitoring requirements</w:t>
      </w:r>
      <w:r w:rsidR="0073293F" w:rsidRPr="008762B1">
        <w:t>.</w:t>
      </w:r>
    </w:p>
    <w:p w:rsidR="00F26009" w:rsidRPr="008762B1" w:rsidRDefault="00F26009" w:rsidP="00F26009">
      <w:pPr>
        <w:pStyle w:val="notetext"/>
      </w:pPr>
      <w:r w:rsidRPr="008762B1">
        <w:t>Note:</w:t>
      </w:r>
      <w:r w:rsidRPr="008762B1">
        <w:tab/>
      </w:r>
      <w:r w:rsidR="00356076" w:rsidRPr="008762B1">
        <w:t>Examples of action that may be taken include the following:</w:t>
      </w:r>
    </w:p>
    <w:p w:rsidR="00356076" w:rsidRPr="008762B1" w:rsidRDefault="00356076" w:rsidP="00356076">
      <w:pPr>
        <w:pStyle w:val="notepara"/>
      </w:pPr>
      <w:r w:rsidRPr="008762B1">
        <w:t>(a)</w:t>
      </w:r>
      <w:r w:rsidRPr="008762B1">
        <w:tab/>
      </w:r>
      <w:r w:rsidR="00E84740" w:rsidRPr="008762B1">
        <w:t>if the failure constitutes a breach of a civil penalty provision in section</w:t>
      </w:r>
      <w:r w:rsidR="008762B1" w:rsidRPr="008762B1">
        <w:t> </w:t>
      </w:r>
      <w:r w:rsidR="00E84740" w:rsidRPr="008762B1">
        <w:t xml:space="preserve">194 of the Act (which deals with project monitoring requirements), </w:t>
      </w:r>
      <w:r w:rsidRPr="008762B1">
        <w:t xml:space="preserve">the Regulator may apply for a civil penalty order </w:t>
      </w:r>
      <w:r w:rsidR="00E84740" w:rsidRPr="008762B1">
        <w:t>in respect of the breach</w:t>
      </w:r>
      <w:r w:rsidRPr="008762B1">
        <w:t>;</w:t>
      </w:r>
    </w:p>
    <w:p w:rsidR="00356076" w:rsidRPr="008762B1" w:rsidRDefault="00356076" w:rsidP="00356076">
      <w:pPr>
        <w:pStyle w:val="notepara"/>
      </w:pPr>
      <w:r w:rsidRPr="008762B1">
        <w:t>(b)</w:t>
      </w:r>
      <w:r w:rsidRPr="008762B1">
        <w:tab/>
      </w:r>
      <w:r w:rsidR="00E84740" w:rsidRPr="008762B1">
        <w:t>if false or misleading information was given to the Regulator in relation to the failure, the Regulator may revoke the project</w:t>
      </w:r>
      <w:r w:rsidR="00911442" w:rsidRPr="008762B1">
        <w:t>’s section</w:t>
      </w:r>
      <w:r w:rsidR="008762B1" w:rsidRPr="008762B1">
        <w:t> </w:t>
      </w:r>
      <w:r w:rsidR="00911442" w:rsidRPr="008762B1">
        <w:t>27 declaration</w:t>
      </w:r>
      <w:r w:rsidR="00E84740" w:rsidRPr="008762B1">
        <w:t xml:space="preserve"> </w:t>
      </w:r>
      <w:r w:rsidR="00911442" w:rsidRPr="008762B1">
        <w:t>under regulations or rules made for the purposes of section</w:t>
      </w:r>
      <w:r w:rsidR="008762B1" w:rsidRPr="008762B1">
        <w:t> </w:t>
      </w:r>
      <w:r w:rsidR="00911442" w:rsidRPr="008762B1">
        <w:t>38 of the Act;</w:t>
      </w:r>
    </w:p>
    <w:p w:rsidR="00911442" w:rsidRPr="008762B1" w:rsidRDefault="00911442" w:rsidP="00356076">
      <w:pPr>
        <w:pStyle w:val="notepara"/>
      </w:pPr>
      <w:r w:rsidRPr="008762B1">
        <w:t>(c)</w:t>
      </w:r>
      <w:r w:rsidRPr="008762B1">
        <w:tab/>
        <w:t>if the giving of false or misleading information in relation to the failure led to the issue of Australian carbon credit units, the Regulator may require all or some of those units to be relinquished under section</w:t>
      </w:r>
      <w:r w:rsidR="008762B1" w:rsidRPr="008762B1">
        <w:t> </w:t>
      </w:r>
      <w:r w:rsidRPr="008762B1">
        <w:t>88 of the Act.</w:t>
      </w:r>
    </w:p>
    <w:sectPr w:rsidR="00911442" w:rsidRPr="008762B1" w:rsidSect="001877C5">
      <w:headerReference w:type="even" r:id="rId63"/>
      <w:headerReference w:type="default" r:id="rId64"/>
      <w:footerReference w:type="even" r:id="rId65"/>
      <w:footerReference w:type="default" r:id="rId66"/>
      <w:headerReference w:type="first" r:id="rId67"/>
      <w:footerReference w:type="first" r:id="rId6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9C8" w:rsidRDefault="00C569C8" w:rsidP="00715914">
      <w:pPr>
        <w:spacing w:line="240" w:lineRule="auto"/>
      </w:pPr>
      <w:r>
        <w:separator/>
      </w:r>
    </w:p>
  </w:endnote>
  <w:endnote w:type="continuationSeparator" w:id="0">
    <w:p w:rsidR="00C569C8" w:rsidRDefault="00C569C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C5" w:rsidRPr="001877C5" w:rsidRDefault="001877C5" w:rsidP="001877C5">
    <w:pPr>
      <w:pStyle w:val="Footer"/>
      <w:rPr>
        <w:i/>
        <w:sz w:val="18"/>
      </w:rPr>
    </w:pPr>
    <w:r w:rsidRPr="001877C5">
      <w:rPr>
        <w:i/>
        <w:sz w:val="18"/>
      </w:rPr>
      <w:t>OPC60653 -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Default="00C569C8" w:rsidP="007500C8">
    <w:pPr>
      <w:pStyle w:val="Footer"/>
    </w:pPr>
  </w:p>
  <w:p w:rsidR="00C569C8" w:rsidRPr="007500C8" w:rsidRDefault="001877C5" w:rsidP="001877C5">
    <w:pPr>
      <w:pStyle w:val="Footer"/>
    </w:pPr>
    <w:r w:rsidRPr="001877C5">
      <w:rPr>
        <w:i/>
        <w:sz w:val="18"/>
      </w:rPr>
      <w:t>OPC60653 -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ED79B6" w:rsidRDefault="00C569C8"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1877C5" w:rsidRDefault="00C569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C569C8" w:rsidRPr="001877C5" w:rsidTr="003344B9">
      <w:tc>
        <w:tcPr>
          <w:tcW w:w="709" w:type="dxa"/>
          <w:tcBorders>
            <w:top w:val="nil"/>
            <w:left w:val="nil"/>
            <w:bottom w:val="nil"/>
            <w:right w:val="nil"/>
          </w:tcBorders>
        </w:tcPr>
        <w:p w:rsidR="00C569C8" w:rsidRPr="001877C5" w:rsidRDefault="00C569C8" w:rsidP="00DB0E5B">
          <w:pPr>
            <w:spacing w:line="0" w:lineRule="atLeast"/>
            <w:rPr>
              <w:rFonts w:cs="Times New Roman"/>
              <w:i/>
              <w:sz w:val="18"/>
            </w:rPr>
          </w:pPr>
          <w:r w:rsidRPr="001877C5">
            <w:rPr>
              <w:rFonts w:cs="Times New Roman"/>
              <w:i/>
              <w:sz w:val="18"/>
            </w:rPr>
            <w:fldChar w:fldCharType="begin"/>
          </w:r>
          <w:r w:rsidRPr="001877C5">
            <w:rPr>
              <w:rFonts w:cs="Times New Roman"/>
              <w:i/>
              <w:sz w:val="18"/>
            </w:rPr>
            <w:instrText xml:space="preserve"> PAGE </w:instrText>
          </w:r>
          <w:r w:rsidRPr="001877C5">
            <w:rPr>
              <w:rFonts w:cs="Times New Roman"/>
              <w:i/>
              <w:sz w:val="18"/>
            </w:rPr>
            <w:fldChar w:fldCharType="separate"/>
          </w:r>
          <w:r w:rsidR="005608FF">
            <w:rPr>
              <w:rFonts w:cs="Times New Roman"/>
              <w:i/>
              <w:noProof/>
              <w:sz w:val="18"/>
            </w:rPr>
            <w:t>ii</w:t>
          </w:r>
          <w:r w:rsidRPr="001877C5">
            <w:rPr>
              <w:rFonts w:cs="Times New Roman"/>
              <w:i/>
              <w:sz w:val="18"/>
            </w:rPr>
            <w:fldChar w:fldCharType="end"/>
          </w:r>
        </w:p>
      </w:tc>
      <w:tc>
        <w:tcPr>
          <w:tcW w:w="6379" w:type="dxa"/>
          <w:tcBorders>
            <w:top w:val="nil"/>
            <w:left w:val="nil"/>
            <w:bottom w:val="nil"/>
            <w:right w:val="nil"/>
          </w:tcBorders>
        </w:tcPr>
        <w:p w:rsidR="00C569C8" w:rsidRPr="001877C5" w:rsidRDefault="00C569C8" w:rsidP="00DB0E5B">
          <w:pPr>
            <w:spacing w:line="0" w:lineRule="atLeast"/>
            <w:jc w:val="center"/>
            <w:rPr>
              <w:rFonts w:cs="Times New Roman"/>
              <w:i/>
              <w:sz w:val="18"/>
            </w:rPr>
          </w:pPr>
          <w:r w:rsidRPr="001877C5">
            <w:rPr>
              <w:rFonts w:cs="Times New Roman"/>
              <w:i/>
              <w:sz w:val="18"/>
            </w:rPr>
            <w:fldChar w:fldCharType="begin"/>
          </w:r>
          <w:r w:rsidRPr="001877C5">
            <w:rPr>
              <w:rFonts w:cs="Times New Roman"/>
              <w:i/>
              <w:sz w:val="18"/>
            </w:rPr>
            <w:instrText xml:space="preserve"> DOCPROPERTY ShortT </w:instrText>
          </w:r>
          <w:r w:rsidRPr="001877C5">
            <w:rPr>
              <w:rFonts w:cs="Times New Roman"/>
              <w:i/>
              <w:sz w:val="18"/>
            </w:rPr>
            <w:fldChar w:fldCharType="separate"/>
          </w:r>
          <w:r w:rsidR="005608FF">
            <w:rPr>
              <w:rFonts w:cs="Times New Roman"/>
              <w:i/>
              <w:sz w:val="18"/>
            </w:rPr>
            <w:t>Carbon Credits (Carbon Farming Initiative—Alternative Waste Treatment) Methodology Determination 2015</w:t>
          </w:r>
          <w:r w:rsidRPr="001877C5">
            <w:rPr>
              <w:rFonts w:cs="Times New Roman"/>
              <w:i/>
              <w:sz w:val="18"/>
            </w:rPr>
            <w:fldChar w:fldCharType="end"/>
          </w:r>
        </w:p>
      </w:tc>
      <w:tc>
        <w:tcPr>
          <w:tcW w:w="1384" w:type="dxa"/>
          <w:tcBorders>
            <w:top w:val="nil"/>
            <w:left w:val="nil"/>
            <w:bottom w:val="nil"/>
            <w:right w:val="nil"/>
          </w:tcBorders>
        </w:tcPr>
        <w:p w:rsidR="00C569C8" w:rsidRPr="001877C5" w:rsidRDefault="00C569C8" w:rsidP="00DB0E5B">
          <w:pPr>
            <w:spacing w:line="0" w:lineRule="atLeast"/>
            <w:jc w:val="right"/>
            <w:rPr>
              <w:rFonts w:cs="Times New Roman"/>
              <w:i/>
              <w:sz w:val="18"/>
            </w:rPr>
          </w:pPr>
        </w:p>
      </w:tc>
    </w:tr>
  </w:tbl>
  <w:p w:rsidR="00C569C8" w:rsidRPr="001877C5" w:rsidRDefault="001877C5" w:rsidP="001877C5">
    <w:pPr>
      <w:rPr>
        <w:rFonts w:cs="Times New Roman"/>
        <w:i/>
        <w:sz w:val="18"/>
      </w:rPr>
    </w:pPr>
    <w:r w:rsidRPr="001877C5">
      <w:rPr>
        <w:rFonts w:cs="Times New Roman"/>
        <w:i/>
        <w:sz w:val="18"/>
      </w:rPr>
      <w:t>OPC60653 -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E33C1C" w:rsidRDefault="00C569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569C8" w:rsidTr="00B33709">
      <w:tc>
        <w:tcPr>
          <w:tcW w:w="1383" w:type="dxa"/>
          <w:tcBorders>
            <w:top w:val="nil"/>
            <w:left w:val="nil"/>
            <w:bottom w:val="nil"/>
            <w:right w:val="nil"/>
          </w:tcBorders>
        </w:tcPr>
        <w:p w:rsidR="00C569C8" w:rsidRDefault="00C569C8" w:rsidP="00DB0E5B">
          <w:pPr>
            <w:spacing w:line="0" w:lineRule="atLeast"/>
            <w:rPr>
              <w:sz w:val="18"/>
            </w:rPr>
          </w:pPr>
        </w:p>
      </w:tc>
      <w:tc>
        <w:tcPr>
          <w:tcW w:w="6380" w:type="dxa"/>
          <w:tcBorders>
            <w:top w:val="nil"/>
            <w:left w:val="nil"/>
            <w:bottom w:val="nil"/>
            <w:right w:val="nil"/>
          </w:tcBorders>
        </w:tcPr>
        <w:p w:rsidR="00C569C8" w:rsidRDefault="00C569C8" w:rsidP="00DB0E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08FF">
            <w:rPr>
              <w:i/>
              <w:sz w:val="18"/>
            </w:rPr>
            <w:t>Carbon Credits (Carbon Farming Initiative—Alternative Waste Treatment) Methodology Determination 2015</w:t>
          </w:r>
          <w:r w:rsidRPr="007A1328">
            <w:rPr>
              <w:i/>
              <w:sz w:val="18"/>
            </w:rPr>
            <w:fldChar w:fldCharType="end"/>
          </w:r>
        </w:p>
      </w:tc>
      <w:tc>
        <w:tcPr>
          <w:tcW w:w="709" w:type="dxa"/>
          <w:tcBorders>
            <w:top w:val="nil"/>
            <w:left w:val="nil"/>
            <w:bottom w:val="nil"/>
            <w:right w:val="nil"/>
          </w:tcBorders>
        </w:tcPr>
        <w:p w:rsidR="00C569C8" w:rsidRDefault="00C569C8" w:rsidP="00DB0E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08FF">
            <w:rPr>
              <w:i/>
              <w:noProof/>
              <w:sz w:val="18"/>
            </w:rPr>
            <w:t>i</w:t>
          </w:r>
          <w:r w:rsidRPr="00ED79B6">
            <w:rPr>
              <w:i/>
              <w:sz w:val="18"/>
            </w:rPr>
            <w:fldChar w:fldCharType="end"/>
          </w:r>
        </w:p>
      </w:tc>
    </w:tr>
  </w:tbl>
  <w:p w:rsidR="00C569C8" w:rsidRPr="00ED79B6" w:rsidRDefault="001877C5" w:rsidP="001877C5">
    <w:pPr>
      <w:rPr>
        <w:i/>
        <w:sz w:val="18"/>
      </w:rPr>
    </w:pPr>
    <w:r w:rsidRPr="001877C5">
      <w:rPr>
        <w:rFonts w:cs="Times New Roman"/>
        <w:i/>
        <w:sz w:val="18"/>
      </w:rPr>
      <w:t>OPC60653 -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1877C5" w:rsidRDefault="00C569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C569C8" w:rsidRPr="001877C5" w:rsidTr="003344B9">
      <w:tc>
        <w:tcPr>
          <w:tcW w:w="709" w:type="dxa"/>
          <w:tcBorders>
            <w:top w:val="nil"/>
            <w:left w:val="nil"/>
            <w:bottom w:val="nil"/>
            <w:right w:val="nil"/>
          </w:tcBorders>
        </w:tcPr>
        <w:p w:rsidR="00C569C8" w:rsidRPr="001877C5" w:rsidRDefault="00C569C8" w:rsidP="00DB0E5B">
          <w:pPr>
            <w:spacing w:line="0" w:lineRule="atLeast"/>
            <w:rPr>
              <w:rFonts w:cs="Times New Roman"/>
              <w:i/>
              <w:sz w:val="18"/>
            </w:rPr>
          </w:pPr>
          <w:r w:rsidRPr="001877C5">
            <w:rPr>
              <w:rFonts w:cs="Times New Roman"/>
              <w:i/>
              <w:sz w:val="18"/>
            </w:rPr>
            <w:fldChar w:fldCharType="begin"/>
          </w:r>
          <w:r w:rsidRPr="001877C5">
            <w:rPr>
              <w:rFonts w:cs="Times New Roman"/>
              <w:i/>
              <w:sz w:val="18"/>
            </w:rPr>
            <w:instrText xml:space="preserve"> PAGE </w:instrText>
          </w:r>
          <w:r w:rsidRPr="001877C5">
            <w:rPr>
              <w:rFonts w:cs="Times New Roman"/>
              <w:i/>
              <w:sz w:val="18"/>
            </w:rPr>
            <w:fldChar w:fldCharType="separate"/>
          </w:r>
          <w:r w:rsidR="005608FF">
            <w:rPr>
              <w:rFonts w:cs="Times New Roman"/>
              <w:i/>
              <w:noProof/>
              <w:sz w:val="18"/>
            </w:rPr>
            <w:t>2</w:t>
          </w:r>
          <w:r w:rsidRPr="001877C5">
            <w:rPr>
              <w:rFonts w:cs="Times New Roman"/>
              <w:i/>
              <w:sz w:val="18"/>
            </w:rPr>
            <w:fldChar w:fldCharType="end"/>
          </w:r>
        </w:p>
      </w:tc>
      <w:tc>
        <w:tcPr>
          <w:tcW w:w="6379" w:type="dxa"/>
          <w:tcBorders>
            <w:top w:val="nil"/>
            <w:left w:val="nil"/>
            <w:bottom w:val="nil"/>
            <w:right w:val="nil"/>
          </w:tcBorders>
        </w:tcPr>
        <w:p w:rsidR="00C569C8" w:rsidRPr="001877C5" w:rsidRDefault="00C569C8" w:rsidP="00DB0E5B">
          <w:pPr>
            <w:spacing w:line="0" w:lineRule="atLeast"/>
            <w:jc w:val="center"/>
            <w:rPr>
              <w:rFonts w:cs="Times New Roman"/>
              <w:i/>
              <w:sz w:val="18"/>
            </w:rPr>
          </w:pPr>
          <w:r w:rsidRPr="001877C5">
            <w:rPr>
              <w:rFonts w:cs="Times New Roman"/>
              <w:i/>
              <w:sz w:val="18"/>
            </w:rPr>
            <w:fldChar w:fldCharType="begin"/>
          </w:r>
          <w:r w:rsidRPr="001877C5">
            <w:rPr>
              <w:rFonts w:cs="Times New Roman"/>
              <w:i/>
              <w:sz w:val="18"/>
            </w:rPr>
            <w:instrText xml:space="preserve"> DOCPROPERTY ShortT </w:instrText>
          </w:r>
          <w:r w:rsidRPr="001877C5">
            <w:rPr>
              <w:rFonts w:cs="Times New Roman"/>
              <w:i/>
              <w:sz w:val="18"/>
            </w:rPr>
            <w:fldChar w:fldCharType="separate"/>
          </w:r>
          <w:r w:rsidR="005608FF">
            <w:rPr>
              <w:rFonts w:cs="Times New Roman"/>
              <w:i/>
              <w:sz w:val="18"/>
            </w:rPr>
            <w:t>Carbon Credits (Carbon Farming Initiative—Alternative Waste Treatment) Methodology Determination 2015</w:t>
          </w:r>
          <w:r w:rsidRPr="001877C5">
            <w:rPr>
              <w:rFonts w:cs="Times New Roman"/>
              <w:i/>
              <w:sz w:val="18"/>
            </w:rPr>
            <w:fldChar w:fldCharType="end"/>
          </w:r>
        </w:p>
      </w:tc>
      <w:tc>
        <w:tcPr>
          <w:tcW w:w="1384" w:type="dxa"/>
          <w:tcBorders>
            <w:top w:val="nil"/>
            <w:left w:val="nil"/>
            <w:bottom w:val="nil"/>
            <w:right w:val="nil"/>
          </w:tcBorders>
        </w:tcPr>
        <w:p w:rsidR="00C569C8" w:rsidRPr="001877C5" w:rsidRDefault="00C569C8" w:rsidP="00DB0E5B">
          <w:pPr>
            <w:spacing w:line="0" w:lineRule="atLeast"/>
            <w:jc w:val="right"/>
            <w:rPr>
              <w:rFonts w:cs="Times New Roman"/>
              <w:i/>
              <w:sz w:val="18"/>
            </w:rPr>
          </w:pPr>
        </w:p>
      </w:tc>
    </w:tr>
  </w:tbl>
  <w:p w:rsidR="00C569C8" w:rsidRPr="001877C5" w:rsidRDefault="001877C5" w:rsidP="001877C5">
    <w:pPr>
      <w:rPr>
        <w:rFonts w:cs="Times New Roman"/>
        <w:i/>
        <w:sz w:val="18"/>
      </w:rPr>
    </w:pPr>
    <w:r w:rsidRPr="001877C5">
      <w:rPr>
        <w:rFonts w:cs="Times New Roman"/>
        <w:i/>
        <w:sz w:val="18"/>
      </w:rPr>
      <w:t>OPC60653 -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E33C1C" w:rsidRDefault="00C569C8"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569C8" w:rsidTr="00DB0E5B">
      <w:tc>
        <w:tcPr>
          <w:tcW w:w="1384" w:type="dxa"/>
          <w:tcBorders>
            <w:top w:val="nil"/>
            <w:left w:val="nil"/>
            <w:bottom w:val="nil"/>
            <w:right w:val="nil"/>
          </w:tcBorders>
        </w:tcPr>
        <w:p w:rsidR="00C569C8" w:rsidRDefault="00C569C8" w:rsidP="00DB0E5B">
          <w:pPr>
            <w:spacing w:line="0" w:lineRule="atLeast"/>
            <w:rPr>
              <w:sz w:val="18"/>
            </w:rPr>
          </w:pPr>
        </w:p>
      </w:tc>
      <w:tc>
        <w:tcPr>
          <w:tcW w:w="6379" w:type="dxa"/>
          <w:tcBorders>
            <w:top w:val="nil"/>
            <w:left w:val="nil"/>
            <w:bottom w:val="nil"/>
            <w:right w:val="nil"/>
          </w:tcBorders>
        </w:tcPr>
        <w:p w:rsidR="00C569C8" w:rsidRDefault="00C569C8" w:rsidP="00DB0E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08FF">
            <w:rPr>
              <w:i/>
              <w:sz w:val="18"/>
            </w:rPr>
            <w:t>Carbon Credits (Carbon Farming Initiative—Alternative Waste Treatment) Methodology Determination 2015</w:t>
          </w:r>
          <w:r w:rsidRPr="007A1328">
            <w:rPr>
              <w:i/>
              <w:sz w:val="18"/>
            </w:rPr>
            <w:fldChar w:fldCharType="end"/>
          </w:r>
        </w:p>
      </w:tc>
      <w:tc>
        <w:tcPr>
          <w:tcW w:w="709" w:type="dxa"/>
          <w:tcBorders>
            <w:top w:val="nil"/>
            <w:left w:val="nil"/>
            <w:bottom w:val="nil"/>
            <w:right w:val="nil"/>
          </w:tcBorders>
        </w:tcPr>
        <w:p w:rsidR="00C569C8" w:rsidRDefault="00C569C8" w:rsidP="00DB0E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08FF">
            <w:rPr>
              <w:i/>
              <w:noProof/>
              <w:sz w:val="18"/>
            </w:rPr>
            <w:t>3</w:t>
          </w:r>
          <w:r w:rsidRPr="00ED79B6">
            <w:rPr>
              <w:i/>
              <w:sz w:val="18"/>
            </w:rPr>
            <w:fldChar w:fldCharType="end"/>
          </w:r>
        </w:p>
      </w:tc>
    </w:tr>
  </w:tbl>
  <w:p w:rsidR="00C569C8" w:rsidRPr="00ED79B6" w:rsidRDefault="001877C5" w:rsidP="001877C5">
    <w:pPr>
      <w:rPr>
        <w:i/>
        <w:sz w:val="18"/>
      </w:rPr>
    </w:pPr>
    <w:r w:rsidRPr="001877C5">
      <w:rPr>
        <w:rFonts w:cs="Times New Roman"/>
        <w:i/>
        <w:sz w:val="18"/>
      </w:rPr>
      <w:t>OPC60653 -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E33C1C" w:rsidRDefault="00C569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569C8" w:rsidTr="00B33709">
      <w:tc>
        <w:tcPr>
          <w:tcW w:w="1384" w:type="dxa"/>
          <w:tcBorders>
            <w:top w:val="nil"/>
            <w:left w:val="nil"/>
            <w:bottom w:val="nil"/>
            <w:right w:val="nil"/>
          </w:tcBorders>
        </w:tcPr>
        <w:p w:rsidR="00C569C8" w:rsidRDefault="00C569C8" w:rsidP="00DB0E5B">
          <w:pPr>
            <w:spacing w:line="0" w:lineRule="atLeast"/>
            <w:rPr>
              <w:sz w:val="18"/>
            </w:rPr>
          </w:pPr>
        </w:p>
      </w:tc>
      <w:tc>
        <w:tcPr>
          <w:tcW w:w="6379" w:type="dxa"/>
          <w:tcBorders>
            <w:top w:val="nil"/>
            <w:left w:val="nil"/>
            <w:bottom w:val="nil"/>
            <w:right w:val="nil"/>
          </w:tcBorders>
        </w:tcPr>
        <w:p w:rsidR="00C569C8" w:rsidRDefault="00C569C8" w:rsidP="00DB0E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08FF">
            <w:rPr>
              <w:i/>
              <w:sz w:val="18"/>
            </w:rPr>
            <w:t>Carbon Credits (Carbon Farming Initiative—Alternative Waste Treatment) Methodology Determination 2015</w:t>
          </w:r>
          <w:r w:rsidRPr="007A1328">
            <w:rPr>
              <w:i/>
              <w:sz w:val="18"/>
            </w:rPr>
            <w:fldChar w:fldCharType="end"/>
          </w:r>
        </w:p>
      </w:tc>
      <w:tc>
        <w:tcPr>
          <w:tcW w:w="709" w:type="dxa"/>
          <w:tcBorders>
            <w:top w:val="nil"/>
            <w:left w:val="nil"/>
            <w:bottom w:val="nil"/>
            <w:right w:val="nil"/>
          </w:tcBorders>
        </w:tcPr>
        <w:p w:rsidR="00C569C8" w:rsidRDefault="00C569C8" w:rsidP="00DB0E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08FF">
            <w:rPr>
              <w:i/>
              <w:noProof/>
              <w:sz w:val="18"/>
            </w:rPr>
            <w:t>34</w:t>
          </w:r>
          <w:r w:rsidRPr="00ED79B6">
            <w:rPr>
              <w:i/>
              <w:sz w:val="18"/>
            </w:rPr>
            <w:fldChar w:fldCharType="end"/>
          </w:r>
        </w:p>
      </w:tc>
    </w:tr>
  </w:tbl>
  <w:p w:rsidR="00C569C8" w:rsidRPr="00ED79B6" w:rsidRDefault="00C569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9C8" w:rsidRDefault="00C569C8" w:rsidP="00715914">
      <w:pPr>
        <w:spacing w:line="240" w:lineRule="auto"/>
      </w:pPr>
      <w:r>
        <w:separator/>
      </w:r>
    </w:p>
  </w:footnote>
  <w:footnote w:type="continuationSeparator" w:id="0">
    <w:p w:rsidR="00C569C8" w:rsidRDefault="00C569C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5F1388" w:rsidRDefault="00C569C8"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5F1388" w:rsidRDefault="00C569C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5F1388" w:rsidRDefault="00C569C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ED79B6" w:rsidRDefault="00C569C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ED79B6" w:rsidRDefault="00C569C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ED79B6" w:rsidRDefault="00C569C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Default="00C569C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569C8" w:rsidRDefault="00C569C8" w:rsidP="00715914">
    <w:pPr>
      <w:rPr>
        <w:sz w:val="20"/>
      </w:rPr>
    </w:pPr>
    <w:r w:rsidRPr="007A1328">
      <w:rPr>
        <w:b/>
        <w:sz w:val="20"/>
      </w:rPr>
      <w:fldChar w:fldCharType="begin"/>
    </w:r>
    <w:r w:rsidRPr="007A1328">
      <w:rPr>
        <w:b/>
        <w:sz w:val="20"/>
      </w:rPr>
      <w:instrText xml:space="preserve"> STYLEREF CharPartNo </w:instrText>
    </w:r>
    <w:r w:rsidR="005608FF">
      <w:rPr>
        <w:b/>
        <w:sz w:val="20"/>
      </w:rPr>
      <w:fldChar w:fldCharType="separate"/>
    </w:r>
    <w:r w:rsidR="005608FF">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608FF">
      <w:rPr>
        <w:sz w:val="20"/>
      </w:rPr>
      <w:fldChar w:fldCharType="separate"/>
    </w:r>
    <w:r w:rsidR="005608FF">
      <w:rPr>
        <w:noProof/>
        <w:sz w:val="20"/>
      </w:rPr>
      <w:t>Preliminary</w:t>
    </w:r>
    <w:r>
      <w:rPr>
        <w:sz w:val="20"/>
      </w:rPr>
      <w:fldChar w:fldCharType="end"/>
    </w:r>
  </w:p>
  <w:p w:rsidR="00C569C8" w:rsidRPr="007A1328" w:rsidRDefault="00C569C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569C8" w:rsidRPr="007A1328" w:rsidRDefault="00C569C8" w:rsidP="00715914">
    <w:pPr>
      <w:rPr>
        <w:b/>
        <w:sz w:val="24"/>
      </w:rPr>
    </w:pPr>
  </w:p>
  <w:p w:rsidR="00C569C8" w:rsidRPr="007A1328" w:rsidRDefault="00C569C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608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608FF">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7A1328" w:rsidRDefault="00C569C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569C8" w:rsidRPr="007A1328" w:rsidRDefault="00C569C8" w:rsidP="00715914">
    <w:pPr>
      <w:jc w:val="right"/>
      <w:rPr>
        <w:sz w:val="20"/>
      </w:rPr>
    </w:pPr>
    <w:r w:rsidRPr="007A1328">
      <w:rPr>
        <w:sz w:val="20"/>
      </w:rPr>
      <w:fldChar w:fldCharType="begin"/>
    </w:r>
    <w:r w:rsidRPr="007A1328">
      <w:rPr>
        <w:sz w:val="20"/>
      </w:rPr>
      <w:instrText xml:space="preserve"> STYLEREF CharPartText </w:instrText>
    </w:r>
    <w:r w:rsidR="005608FF">
      <w:rPr>
        <w:sz w:val="20"/>
      </w:rPr>
      <w:fldChar w:fldCharType="separate"/>
    </w:r>
    <w:r w:rsidR="005608F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608FF">
      <w:rPr>
        <w:b/>
        <w:sz w:val="20"/>
      </w:rPr>
      <w:fldChar w:fldCharType="separate"/>
    </w:r>
    <w:r w:rsidR="005608FF">
      <w:rPr>
        <w:b/>
        <w:noProof/>
        <w:sz w:val="20"/>
      </w:rPr>
      <w:t>Part 1</w:t>
    </w:r>
    <w:r>
      <w:rPr>
        <w:b/>
        <w:sz w:val="20"/>
      </w:rPr>
      <w:fldChar w:fldCharType="end"/>
    </w:r>
  </w:p>
  <w:p w:rsidR="00C569C8" w:rsidRPr="007A1328" w:rsidRDefault="00C569C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569C8" w:rsidRPr="007A1328" w:rsidRDefault="00C569C8" w:rsidP="00715914">
    <w:pPr>
      <w:jc w:val="right"/>
      <w:rPr>
        <w:b/>
        <w:sz w:val="24"/>
      </w:rPr>
    </w:pPr>
  </w:p>
  <w:p w:rsidR="00C569C8" w:rsidRPr="007A1328" w:rsidRDefault="00C569C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608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608FF">
      <w:rPr>
        <w:noProof/>
        <w:sz w:val="24"/>
      </w:rPr>
      <w:t>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C8" w:rsidRPr="007A1328" w:rsidRDefault="00C569C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94"/>
    <w:rsid w:val="000011C0"/>
    <w:rsid w:val="00004470"/>
    <w:rsid w:val="00004E0E"/>
    <w:rsid w:val="00005F8D"/>
    <w:rsid w:val="00010657"/>
    <w:rsid w:val="00010E4E"/>
    <w:rsid w:val="000117BC"/>
    <w:rsid w:val="000136AF"/>
    <w:rsid w:val="000139F7"/>
    <w:rsid w:val="00013EC9"/>
    <w:rsid w:val="00020D8D"/>
    <w:rsid w:val="00020DCE"/>
    <w:rsid w:val="000225E3"/>
    <w:rsid w:val="00024C48"/>
    <w:rsid w:val="00025884"/>
    <w:rsid w:val="000302D4"/>
    <w:rsid w:val="00030D63"/>
    <w:rsid w:val="00032AE2"/>
    <w:rsid w:val="000340DE"/>
    <w:rsid w:val="00036E1B"/>
    <w:rsid w:val="000416E5"/>
    <w:rsid w:val="000437C1"/>
    <w:rsid w:val="00043C40"/>
    <w:rsid w:val="00044C6D"/>
    <w:rsid w:val="0005268B"/>
    <w:rsid w:val="0005365D"/>
    <w:rsid w:val="000600F4"/>
    <w:rsid w:val="000614BF"/>
    <w:rsid w:val="00063CC8"/>
    <w:rsid w:val="000676F9"/>
    <w:rsid w:val="000769CF"/>
    <w:rsid w:val="00080356"/>
    <w:rsid w:val="0008090C"/>
    <w:rsid w:val="00084685"/>
    <w:rsid w:val="00084B01"/>
    <w:rsid w:val="00086D09"/>
    <w:rsid w:val="0009379E"/>
    <w:rsid w:val="00095041"/>
    <w:rsid w:val="00096535"/>
    <w:rsid w:val="000A147E"/>
    <w:rsid w:val="000A241D"/>
    <w:rsid w:val="000A5936"/>
    <w:rsid w:val="000B43FC"/>
    <w:rsid w:val="000B464B"/>
    <w:rsid w:val="000B58FA"/>
    <w:rsid w:val="000B6D12"/>
    <w:rsid w:val="000B6DA5"/>
    <w:rsid w:val="000C1353"/>
    <w:rsid w:val="000D05EF"/>
    <w:rsid w:val="000D1C88"/>
    <w:rsid w:val="000D4C36"/>
    <w:rsid w:val="000D4FAD"/>
    <w:rsid w:val="000D5392"/>
    <w:rsid w:val="000D75A4"/>
    <w:rsid w:val="000E02DA"/>
    <w:rsid w:val="000E2261"/>
    <w:rsid w:val="000E34FE"/>
    <w:rsid w:val="000E4AA4"/>
    <w:rsid w:val="000E654E"/>
    <w:rsid w:val="000E76B4"/>
    <w:rsid w:val="000E774D"/>
    <w:rsid w:val="000F21C1"/>
    <w:rsid w:val="000F2461"/>
    <w:rsid w:val="000F2B55"/>
    <w:rsid w:val="000F4134"/>
    <w:rsid w:val="000F4C90"/>
    <w:rsid w:val="001055F6"/>
    <w:rsid w:val="0010745C"/>
    <w:rsid w:val="00111040"/>
    <w:rsid w:val="001135A2"/>
    <w:rsid w:val="00115AE2"/>
    <w:rsid w:val="00117795"/>
    <w:rsid w:val="00117B4D"/>
    <w:rsid w:val="001264B8"/>
    <w:rsid w:val="0013051C"/>
    <w:rsid w:val="00131540"/>
    <w:rsid w:val="00132CEB"/>
    <w:rsid w:val="00136E10"/>
    <w:rsid w:val="0013741E"/>
    <w:rsid w:val="00141200"/>
    <w:rsid w:val="00142B62"/>
    <w:rsid w:val="001447F0"/>
    <w:rsid w:val="00144851"/>
    <w:rsid w:val="00144C46"/>
    <w:rsid w:val="00145F41"/>
    <w:rsid w:val="00147B48"/>
    <w:rsid w:val="00150A2E"/>
    <w:rsid w:val="00153C41"/>
    <w:rsid w:val="001566E0"/>
    <w:rsid w:val="00157B8B"/>
    <w:rsid w:val="0016693F"/>
    <w:rsid w:val="00166C2F"/>
    <w:rsid w:val="001676A0"/>
    <w:rsid w:val="00170615"/>
    <w:rsid w:val="00170631"/>
    <w:rsid w:val="001737F9"/>
    <w:rsid w:val="00177C8B"/>
    <w:rsid w:val="001809D7"/>
    <w:rsid w:val="00181CA6"/>
    <w:rsid w:val="00183340"/>
    <w:rsid w:val="001877C5"/>
    <w:rsid w:val="00190560"/>
    <w:rsid w:val="001939E1"/>
    <w:rsid w:val="00193E30"/>
    <w:rsid w:val="00194C3E"/>
    <w:rsid w:val="00195382"/>
    <w:rsid w:val="001A26F2"/>
    <w:rsid w:val="001A2D5C"/>
    <w:rsid w:val="001A469E"/>
    <w:rsid w:val="001A662F"/>
    <w:rsid w:val="001B140C"/>
    <w:rsid w:val="001B197D"/>
    <w:rsid w:val="001B45A7"/>
    <w:rsid w:val="001B645F"/>
    <w:rsid w:val="001B6B4E"/>
    <w:rsid w:val="001C55CE"/>
    <w:rsid w:val="001C61C5"/>
    <w:rsid w:val="001C69C4"/>
    <w:rsid w:val="001D37EF"/>
    <w:rsid w:val="001D7F40"/>
    <w:rsid w:val="001E04EC"/>
    <w:rsid w:val="001E06AE"/>
    <w:rsid w:val="001E3590"/>
    <w:rsid w:val="001E3FF0"/>
    <w:rsid w:val="001E5BCE"/>
    <w:rsid w:val="001E7407"/>
    <w:rsid w:val="001F09D9"/>
    <w:rsid w:val="001F1D65"/>
    <w:rsid w:val="001F1F06"/>
    <w:rsid w:val="001F1F4F"/>
    <w:rsid w:val="001F3BE2"/>
    <w:rsid w:val="001F5D5E"/>
    <w:rsid w:val="001F6219"/>
    <w:rsid w:val="001F6CD4"/>
    <w:rsid w:val="00200E9B"/>
    <w:rsid w:val="00206C4D"/>
    <w:rsid w:val="0021053C"/>
    <w:rsid w:val="0021379F"/>
    <w:rsid w:val="00213E6A"/>
    <w:rsid w:val="00215AF1"/>
    <w:rsid w:val="00216E85"/>
    <w:rsid w:val="0021730E"/>
    <w:rsid w:val="00220922"/>
    <w:rsid w:val="002232A3"/>
    <w:rsid w:val="00227AB7"/>
    <w:rsid w:val="00230DE2"/>
    <w:rsid w:val="00230F10"/>
    <w:rsid w:val="002321E8"/>
    <w:rsid w:val="002332F8"/>
    <w:rsid w:val="00236EEC"/>
    <w:rsid w:val="002375B9"/>
    <w:rsid w:val="0024010F"/>
    <w:rsid w:val="00240749"/>
    <w:rsid w:val="00242AFA"/>
    <w:rsid w:val="00243018"/>
    <w:rsid w:val="00245ABC"/>
    <w:rsid w:val="00245C97"/>
    <w:rsid w:val="002508BF"/>
    <w:rsid w:val="00251ED7"/>
    <w:rsid w:val="00251FB9"/>
    <w:rsid w:val="00253633"/>
    <w:rsid w:val="00255C10"/>
    <w:rsid w:val="002564A4"/>
    <w:rsid w:val="002613A4"/>
    <w:rsid w:val="00262E15"/>
    <w:rsid w:val="002631D7"/>
    <w:rsid w:val="002634E6"/>
    <w:rsid w:val="00264DA1"/>
    <w:rsid w:val="00265FCA"/>
    <w:rsid w:val="0026736C"/>
    <w:rsid w:val="0027663B"/>
    <w:rsid w:val="00276710"/>
    <w:rsid w:val="00276A5E"/>
    <w:rsid w:val="00276D62"/>
    <w:rsid w:val="00281308"/>
    <w:rsid w:val="0028337B"/>
    <w:rsid w:val="00284719"/>
    <w:rsid w:val="00284768"/>
    <w:rsid w:val="00286B97"/>
    <w:rsid w:val="0028703B"/>
    <w:rsid w:val="00297275"/>
    <w:rsid w:val="00297B3B"/>
    <w:rsid w:val="00297ECB"/>
    <w:rsid w:val="002A23C7"/>
    <w:rsid w:val="002A3161"/>
    <w:rsid w:val="002A3CE2"/>
    <w:rsid w:val="002A7BCF"/>
    <w:rsid w:val="002B103A"/>
    <w:rsid w:val="002B4C38"/>
    <w:rsid w:val="002B5717"/>
    <w:rsid w:val="002C1B5E"/>
    <w:rsid w:val="002C4978"/>
    <w:rsid w:val="002C54E7"/>
    <w:rsid w:val="002C71F4"/>
    <w:rsid w:val="002D043A"/>
    <w:rsid w:val="002D6224"/>
    <w:rsid w:val="002D6B59"/>
    <w:rsid w:val="002E35E3"/>
    <w:rsid w:val="002E3F4B"/>
    <w:rsid w:val="002E4FEB"/>
    <w:rsid w:val="002F5845"/>
    <w:rsid w:val="0030444E"/>
    <w:rsid w:val="0030477B"/>
    <w:rsid w:val="00304F8B"/>
    <w:rsid w:val="00311487"/>
    <w:rsid w:val="00311D04"/>
    <w:rsid w:val="003175AB"/>
    <w:rsid w:val="003176B9"/>
    <w:rsid w:val="00317ED8"/>
    <w:rsid w:val="003222A3"/>
    <w:rsid w:val="003262BA"/>
    <w:rsid w:val="00327004"/>
    <w:rsid w:val="003311B7"/>
    <w:rsid w:val="003344B9"/>
    <w:rsid w:val="003354D2"/>
    <w:rsid w:val="00335BC6"/>
    <w:rsid w:val="003415D3"/>
    <w:rsid w:val="003423EC"/>
    <w:rsid w:val="00344701"/>
    <w:rsid w:val="00344973"/>
    <w:rsid w:val="00345D78"/>
    <w:rsid w:val="003466B3"/>
    <w:rsid w:val="00352B0F"/>
    <w:rsid w:val="00356076"/>
    <w:rsid w:val="00356690"/>
    <w:rsid w:val="00360459"/>
    <w:rsid w:val="003620C0"/>
    <w:rsid w:val="0036231B"/>
    <w:rsid w:val="003708DA"/>
    <w:rsid w:val="00370BC6"/>
    <w:rsid w:val="00375493"/>
    <w:rsid w:val="00377EF2"/>
    <w:rsid w:val="00380F6E"/>
    <w:rsid w:val="00383A75"/>
    <w:rsid w:val="0038423D"/>
    <w:rsid w:val="0038560E"/>
    <w:rsid w:val="003904FC"/>
    <w:rsid w:val="00397517"/>
    <w:rsid w:val="003A06E3"/>
    <w:rsid w:val="003A16A4"/>
    <w:rsid w:val="003A5665"/>
    <w:rsid w:val="003A6520"/>
    <w:rsid w:val="003B67C9"/>
    <w:rsid w:val="003C35DB"/>
    <w:rsid w:val="003C4346"/>
    <w:rsid w:val="003C4CBE"/>
    <w:rsid w:val="003C4D3E"/>
    <w:rsid w:val="003C5DDB"/>
    <w:rsid w:val="003C6231"/>
    <w:rsid w:val="003D0BFE"/>
    <w:rsid w:val="003D1D11"/>
    <w:rsid w:val="003D1EE7"/>
    <w:rsid w:val="003D29C2"/>
    <w:rsid w:val="003D5700"/>
    <w:rsid w:val="003E00C7"/>
    <w:rsid w:val="003E341B"/>
    <w:rsid w:val="003E464D"/>
    <w:rsid w:val="003E5D35"/>
    <w:rsid w:val="003F3228"/>
    <w:rsid w:val="00401027"/>
    <w:rsid w:val="00404273"/>
    <w:rsid w:val="004116CD"/>
    <w:rsid w:val="00411D09"/>
    <w:rsid w:val="0041338C"/>
    <w:rsid w:val="004144EC"/>
    <w:rsid w:val="00414A43"/>
    <w:rsid w:val="004151E4"/>
    <w:rsid w:val="00417EB9"/>
    <w:rsid w:val="00422C8E"/>
    <w:rsid w:val="00424CA9"/>
    <w:rsid w:val="00425A33"/>
    <w:rsid w:val="004260EE"/>
    <w:rsid w:val="0042786D"/>
    <w:rsid w:val="00427BD6"/>
    <w:rsid w:val="00431E9B"/>
    <w:rsid w:val="00432F39"/>
    <w:rsid w:val="004360A5"/>
    <w:rsid w:val="004368E0"/>
    <w:rsid w:val="004379E3"/>
    <w:rsid w:val="0044015E"/>
    <w:rsid w:val="0044291A"/>
    <w:rsid w:val="00444ABD"/>
    <w:rsid w:val="004462B7"/>
    <w:rsid w:val="004503D6"/>
    <w:rsid w:val="0045148A"/>
    <w:rsid w:val="00452F22"/>
    <w:rsid w:val="0046225F"/>
    <w:rsid w:val="00464FBF"/>
    <w:rsid w:val="00465DDA"/>
    <w:rsid w:val="00466107"/>
    <w:rsid w:val="004665B8"/>
    <w:rsid w:val="004673BD"/>
    <w:rsid w:val="00467661"/>
    <w:rsid w:val="00470563"/>
    <w:rsid w:val="004705B7"/>
    <w:rsid w:val="00472DBE"/>
    <w:rsid w:val="00472E9F"/>
    <w:rsid w:val="0047495E"/>
    <w:rsid w:val="00474A19"/>
    <w:rsid w:val="00476683"/>
    <w:rsid w:val="00480131"/>
    <w:rsid w:val="00486244"/>
    <w:rsid w:val="004929D1"/>
    <w:rsid w:val="004937B9"/>
    <w:rsid w:val="00494BF4"/>
    <w:rsid w:val="00496F97"/>
    <w:rsid w:val="00497CCB"/>
    <w:rsid w:val="004A0763"/>
    <w:rsid w:val="004A0A60"/>
    <w:rsid w:val="004A7E18"/>
    <w:rsid w:val="004B17F3"/>
    <w:rsid w:val="004B4D4B"/>
    <w:rsid w:val="004B6A7E"/>
    <w:rsid w:val="004B6C31"/>
    <w:rsid w:val="004B7440"/>
    <w:rsid w:val="004B7B22"/>
    <w:rsid w:val="004C342E"/>
    <w:rsid w:val="004C64B0"/>
    <w:rsid w:val="004D50CE"/>
    <w:rsid w:val="004D61F0"/>
    <w:rsid w:val="004D691E"/>
    <w:rsid w:val="004E004F"/>
    <w:rsid w:val="004E063A"/>
    <w:rsid w:val="004E1110"/>
    <w:rsid w:val="004E7255"/>
    <w:rsid w:val="004E7BEC"/>
    <w:rsid w:val="004F0AC1"/>
    <w:rsid w:val="004F270E"/>
    <w:rsid w:val="004F2761"/>
    <w:rsid w:val="004F4CA6"/>
    <w:rsid w:val="004F733B"/>
    <w:rsid w:val="004F7521"/>
    <w:rsid w:val="005027AD"/>
    <w:rsid w:val="00505C7D"/>
    <w:rsid w:val="00505D3D"/>
    <w:rsid w:val="00506AF6"/>
    <w:rsid w:val="00507E1D"/>
    <w:rsid w:val="00511740"/>
    <w:rsid w:val="00516B8D"/>
    <w:rsid w:val="00516CA2"/>
    <w:rsid w:val="0052059E"/>
    <w:rsid w:val="00520CCC"/>
    <w:rsid w:val="00521504"/>
    <w:rsid w:val="00522CAA"/>
    <w:rsid w:val="00522E42"/>
    <w:rsid w:val="005246F0"/>
    <w:rsid w:val="005254C9"/>
    <w:rsid w:val="0052571F"/>
    <w:rsid w:val="005264EF"/>
    <w:rsid w:val="00537FBC"/>
    <w:rsid w:val="00540030"/>
    <w:rsid w:val="0054098D"/>
    <w:rsid w:val="005424EC"/>
    <w:rsid w:val="0054569E"/>
    <w:rsid w:val="005462EE"/>
    <w:rsid w:val="00547C34"/>
    <w:rsid w:val="00552895"/>
    <w:rsid w:val="00554A8A"/>
    <w:rsid w:val="00555A76"/>
    <w:rsid w:val="00556057"/>
    <w:rsid w:val="005574D1"/>
    <w:rsid w:val="005575DF"/>
    <w:rsid w:val="005608FF"/>
    <w:rsid w:val="00566882"/>
    <w:rsid w:val="0057114A"/>
    <w:rsid w:val="00573458"/>
    <w:rsid w:val="00573B6A"/>
    <w:rsid w:val="005772B1"/>
    <w:rsid w:val="0058208C"/>
    <w:rsid w:val="00584811"/>
    <w:rsid w:val="00585784"/>
    <w:rsid w:val="00585809"/>
    <w:rsid w:val="005870A0"/>
    <w:rsid w:val="005915F9"/>
    <w:rsid w:val="00593AA6"/>
    <w:rsid w:val="00594161"/>
    <w:rsid w:val="00594749"/>
    <w:rsid w:val="0059552C"/>
    <w:rsid w:val="00596403"/>
    <w:rsid w:val="00596B15"/>
    <w:rsid w:val="00597791"/>
    <w:rsid w:val="00597A87"/>
    <w:rsid w:val="005A0238"/>
    <w:rsid w:val="005A0BB6"/>
    <w:rsid w:val="005B1989"/>
    <w:rsid w:val="005B299F"/>
    <w:rsid w:val="005B3428"/>
    <w:rsid w:val="005B4067"/>
    <w:rsid w:val="005B43E1"/>
    <w:rsid w:val="005C3F41"/>
    <w:rsid w:val="005C489A"/>
    <w:rsid w:val="005C7494"/>
    <w:rsid w:val="005D000A"/>
    <w:rsid w:val="005D2D09"/>
    <w:rsid w:val="005D41F6"/>
    <w:rsid w:val="005E325F"/>
    <w:rsid w:val="005E50E5"/>
    <w:rsid w:val="005E70A1"/>
    <w:rsid w:val="005F1435"/>
    <w:rsid w:val="005F3979"/>
    <w:rsid w:val="005F7379"/>
    <w:rsid w:val="00600219"/>
    <w:rsid w:val="00603DC4"/>
    <w:rsid w:val="00603EBC"/>
    <w:rsid w:val="00614710"/>
    <w:rsid w:val="00616951"/>
    <w:rsid w:val="00617EE4"/>
    <w:rsid w:val="00620076"/>
    <w:rsid w:val="00620223"/>
    <w:rsid w:val="00620DB7"/>
    <w:rsid w:val="00622049"/>
    <w:rsid w:val="006227B3"/>
    <w:rsid w:val="00623CBF"/>
    <w:rsid w:val="00626836"/>
    <w:rsid w:val="00631E20"/>
    <w:rsid w:val="006326AF"/>
    <w:rsid w:val="006361D7"/>
    <w:rsid w:val="00643E10"/>
    <w:rsid w:val="00644290"/>
    <w:rsid w:val="00651036"/>
    <w:rsid w:val="006549BB"/>
    <w:rsid w:val="00654A19"/>
    <w:rsid w:val="006559AC"/>
    <w:rsid w:val="00656AB7"/>
    <w:rsid w:val="006570CB"/>
    <w:rsid w:val="0065744C"/>
    <w:rsid w:val="00662F57"/>
    <w:rsid w:val="00665D1A"/>
    <w:rsid w:val="0066630A"/>
    <w:rsid w:val="0066648D"/>
    <w:rsid w:val="00670EA1"/>
    <w:rsid w:val="00673DC7"/>
    <w:rsid w:val="00674429"/>
    <w:rsid w:val="00677CC2"/>
    <w:rsid w:val="00680542"/>
    <w:rsid w:val="00681076"/>
    <w:rsid w:val="00681BCB"/>
    <w:rsid w:val="006824F7"/>
    <w:rsid w:val="0068379D"/>
    <w:rsid w:val="00686D3A"/>
    <w:rsid w:val="006905DC"/>
    <w:rsid w:val="006905DE"/>
    <w:rsid w:val="0069076D"/>
    <w:rsid w:val="00691BEB"/>
    <w:rsid w:val="0069207B"/>
    <w:rsid w:val="00694477"/>
    <w:rsid w:val="00695D04"/>
    <w:rsid w:val="006960B8"/>
    <w:rsid w:val="006A4FFF"/>
    <w:rsid w:val="006B0D7A"/>
    <w:rsid w:val="006B0EFA"/>
    <w:rsid w:val="006B4F1C"/>
    <w:rsid w:val="006B5789"/>
    <w:rsid w:val="006B60F2"/>
    <w:rsid w:val="006C1662"/>
    <w:rsid w:val="006C30C5"/>
    <w:rsid w:val="006C340C"/>
    <w:rsid w:val="006C42F4"/>
    <w:rsid w:val="006C7F8C"/>
    <w:rsid w:val="006D71BE"/>
    <w:rsid w:val="006E2432"/>
    <w:rsid w:val="006E3AC0"/>
    <w:rsid w:val="006E4F0B"/>
    <w:rsid w:val="006E5F34"/>
    <w:rsid w:val="006E6246"/>
    <w:rsid w:val="006E7DC4"/>
    <w:rsid w:val="006F098B"/>
    <w:rsid w:val="006F1179"/>
    <w:rsid w:val="006F2E42"/>
    <w:rsid w:val="006F318F"/>
    <w:rsid w:val="006F4226"/>
    <w:rsid w:val="006F502C"/>
    <w:rsid w:val="006F5205"/>
    <w:rsid w:val="006F6F44"/>
    <w:rsid w:val="0070017E"/>
    <w:rsid w:val="007003E2"/>
    <w:rsid w:val="00700B2C"/>
    <w:rsid w:val="00701850"/>
    <w:rsid w:val="00702CDD"/>
    <w:rsid w:val="00703901"/>
    <w:rsid w:val="007050A2"/>
    <w:rsid w:val="00705CE6"/>
    <w:rsid w:val="0070675D"/>
    <w:rsid w:val="0071060D"/>
    <w:rsid w:val="00712BBC"/>
    <w:rsid w:val="00712CD3"/>
    <w:rsid w:val="00713084"/>
    <w:rsid w:val="00714F20"/>
    <w:rsid w:val="0071590F"/>
    <w:rsid w:val="00715914"/>
    <w:rsid w:val="00715A41"/>
    <w:rsid w:val="00715E1A"/>
    <w:rsid w:val="007174B8"/>
    <w:rsid w:val="00720B4E"/>
    <w:rsid w:val="00721CCB"/>
    <w:rsid w:val="00731E00"/>
    <w:rsid w:val="007321A9"/>
    <w:rsid w:val="0073293F"/>
    <w:rsid w:val="007354C5"/>
    <w:rsid w:val="007369F2"/>
    <w:rsid w:val="00742B51"/>
    <w:rsid w:val="007440B7"/>
    <w:rsid w:val="00744C83"/>
    <w:rsid w:val="0074630D"/>
    <w:rsid w:val="007500C8"/>
    <w:rsid w:val="00753D8F"/>
    <w:rsid w:val="0075426C"/>
    <w:rsid w:val="007548F5"/>
    <w:rsid w:val="00756272"/>
    <w:rsid w:val="00760834"/>
    <w:rsid w:val="00761530"/>
    <w:rsid w:val="007648D8"/>
    <w:rsid w:val="00765565"/>
    <w:rsid w:val="0076681A"/>
    <w:rsid w:val="00766D75"/>
    <w:rsid w:val="0076722E"/>
    <w:rsid w:val="007704CF"/>
    <w:rsid w:val="00770A64"/>
    <w:rsid w:val="007715C9"/>
    <w:rsid w:val="00771613"/>
    <w:rsid w:val="007724B6"/>
    <w:rsid w:val="00773128"/>
    <w:rsid w:val="00773F30"/>
    <w:rsid w:val="00774EDD"/>
    <w:rsid w:val="007757EC"/>
    <w:rsid w:val="00775CB8"/>
    <w:rsid w:val="00777B65"/>
    <w:rsid w:val="00780DA1"/>
    <w:rsid w:val="00783E89"/>
    <w:rsid w:val="00785D59"/>
    <w:rsid w:val="0078690B"/>
    <w:rsid w:val="0078712D"/>
    <w:rsid w:val="007875DB"/>
    <w:rsid w:val="0079020C"/>
    <w:rsid w:val="00793915"/>
    <w:rsid w:val="00795A54"/>
    <w:rsid w:val="00797304"/>
    <w:rsid w:val="007974EA"/>
    <w:rsid w:val="007A3841"/>
    <w:rsid w:val="007B2D9E"/>
    <w:rsid w:val="007B3EC3"/>
    <w:rsid w:val="007B447A"/>
    <w:rsid w:val="007B5A5E"/>
    <w:rsid w:val="007B61C1"/>
    <w:rsid w:val="007B7C57"/>
    <w:rsid w:val="007C2253"/>
    <w:rsid w:val="007C46E7"/>
    <w:rsid w:val="007D1D93"/>
    <w:rsid w:val="007D3ECC"/>
    <w:rsid w:val="007E163D"/>
    <w:rsid w:val="007E3BC7"/>
    <w:rsid w:val="007E584D"/>
    <w:rsid w:val="007E667A"/>
    <w:rsid w:val="007F1F0F"/>
    <w:rsid w:val="007F2022"/>
    <w:rsid w:val="007F28C9"/>
    <w:rsid w:val="007F34E5"/>
    <w:rsid w:val="007F56B7"/>
    <w:rsid w:val="007F69FB"/>
    <w:rsid w:val="008018E3"/>
    <w:rsid w:val="00801C53"/>
    <w:rsid w:val="00803587"/>
    <w:rsid w:val="00803CAA"/>
    <w:rsid w:val="008060BA"/>
    <w:rsid w:val="008066FD"/>
    <w:rsid w:val="008077D1"/>
    <w:rsid w:val="00807E74"/>
    <w:rsid w:val="008117E9"/>
    <w:rsid w:val="00812AA1"/>
    <w:rsid w:val="00812C99"/>
    <w:rsid w:val="008149E0"/>
    <w:rsid w:val="00815069"/>
    <w:rsid w:val="0081524B"/>
    <w:rsid w:val="00821F48"/>
    <w:rsid w:val="00822829"/>
    <w:rsid w:val="008240CF"/>
    <w:rsid w:val="00824498"/>
    <w:rsid w:val="00834389"/>
    <w:rsid w:val="00836E1F"/>
    <w:rsid w:val="00840B9A"/>
    <w:rsid w:val="008450D9"/>
    <w:rsid w:val="00851822"/>
    <w:rsid w:val="00852261"/>
    <w:rsid w:val="008526EE"/>
    <w:rsid w:val="008548BB"/>
    <w:rsid w:val="00854AE4"/>
    <w:rsid w:val="008552F3"/>
    <w:rsid w:val="00856A31"/>
    <w:rsid w:val="008613E8"/>
    <w:rsid w:val="00864995"/>
    <w:rsid w:val="00864A52"/>
    <w:rsid w:val="00865084"/>
    <w:rsid w:val="0086684F"/>
    <w:rsid w:val="00867B37"/>
    <w:rsid w:val="0087045D"/>
    <w:rsid w:val="00871BA8"/>
    <w:rsid w:val="00873974"/>
    <w:rsid w:val="008754D0"/>
    <w:rsid w:val="008762B1"/>
    <w:rsid w:val="008801C4"/>
    <w:rsid w:val="00883EC4"/>
    <w:rsid w:val="008855C9"/>
    <w:rsid w:val="00886456"/>
    <w:rsid w:val="00890DF5"/>
    <w:rsid w:val="00891E9B"/>
    <w:rsid w:val="0089293E"/>
    <w:rsid w:val="008A000E"/>
    <w:rsid w:val="008A46E1"/>
    <w:rsid w:val="008A491E"/>
    <w:rsid w:val="008A4F43"/>
    <w:rsid w:val="008A4FE9"/>
    <w:rsid w:val="008A590E"/>
    <w:rsid w:val="008B0E85"/>
    <w:rsid w:val="008B2706"/>
    <w:rsid w:val="008B46FD"/>
    <w:rsid w:val="008B4FBB"/>
    <w:rsid w:val="008C09CC"/>
    <w:rsid w:val="008C3838"/>
    <w:rsid w:val="008C61A4"/>
    <w:rsid w:val="008D0707"/>
    <w:rsid w:val="008D0EE0"/>
    <w:rsid w:val="008D329D"/>
    <w:rsid w:val="008D4ED0"/>
    <w:rsid w:val="008D59A9"/>
    <w:rsid w:val="008E261A"/>
    <w:rsid w:val="008E2B94"/>
    <w:rsid w:val="008E2EE4"/>
    <w:rsid w:val="008E44F8"/>
    <w:rsid w:val="008E54D8"/>
    <w:rsid w:val="008E5BB3"/>
    <w:rsid w:val="008E6067"/>
    <w:rsid w:val="008E7A1A"/>
    <w:rsid w:val="008F50D9"/>
    <w:rsid w:val="008F54E7"/>
    <w:rsid w:val="00900D5D"/>
    <w:rsid w:val="009030F0"/>
    <w:rsid w:val="00903422"/>
    <w:rsid w:val="00906312"/>
    <w:rsid w:val="00907651"/>
    <w:rsid w:val="00907C1C"/>
    <w:rsid w:val="00910485"/>
    <w:rsid w:val="00910BB2"/>
    <w:rsid w:val="00910FE0"/>
    <w:rsid w:val="00911442"/>
    <w:rsid w:val="009130C5"/>
    <w:rsid w:val="009144C8"/>
    <w:rsid w:val="009145B4"/>
    <w:rsid w:val="00915DF9"/>
    <w:rsid w:val="009216E7"/>
    <w:rsid w:val="00921725"/>
    <w:rsid w:val="009248AE"/>
    <w:rsid w:val="009254C3"/>
    <w:rsid w:val="0092693F"/>
    <w:rsid w:val="00927294"/>
    <w:rsid w:val="00930C6B"/>
    <w:rsid w:val="00930FA1"/>
    <w:rsid w:val="009316E0"/>
    <w:rsid w:val="009317C3"/>
    <w:rsid w:val="00932377"/>
    <w:rsid w:val="00935F63"/>
    <w:rsid w:val="00936BD1"/>
    <w:rsid w:val="00940834"/>
    <w:rsid w:val="009428AC"/>
    <w:rsid w:val="009439EB"/>
    <w:rsid w:val="009440A3"/>
    <w:rsid w:val="009443D7"/>
    <w:rsid w:val="00947D5A"/>
    <w:rsid w:val="0095297A"/>
    <w:rsid w:val="009532A0"/>
    <w:rsid w:val="009532A5"/>
    <w:rsid w:val="0095760A"/>
    <w:rsid w:val="00961165"/>
    <w:rsid w:val="009631EA"/>
    <w:rsid w:val="009638AE"/>
    <w:rsid w:val="0096526C"/>
    <w:rsid w:val="0096554B"/>
    <w:rsid w:val="00975FEB"/>
    <w:rsid w:val="00976322"/>
    <w:rsid w:val="00976D07"/>
    <w:rsid w:val="00977259"/>
    <w:rsid w:val="009774AA"/>
    <w:rsid w:val="00977894"/>
    <w:rsid w:val="0098083E"/>
    <w:rsid w:val="00980DA5"/>
    <w:rsid w:val="00982242"/>
    <w:rsid w:val="00984E80"/>
    <w:rsid w:val="00985A7C"/>
    <w:rsid w:val="00985E2A"/>
    <w:rsid w:val="009868E9"/>
    <w:rsid w:val="00987D7B"/>
    <w:rsid w:val="0099119F"/>
    <w:rsid w:val="00991ACD"/>
    <w:rsid w:val="009949DD"/>
    <w:rsid w:val="009A08D5"/>
    <w:rsid w:val="009A0DCE"/>
    <w:rsid w:val="009A16AC"/>
    <w:rsid w:val="009A348C"/>
    <w:rsid w:val="009A6880"/>
    <w:rsid w:val="009A7668"/>
    <w:rsid w:val="009A7DF1"/>
    <w:rsid w:val="009B068D"/>
    <w:rsid w:val="009B2873"/>
    <w:rsid w:val="009B31B1"/>
    <w:rsid w:val="009B3D86"/>
    <w:rsid w:val="009B3EF7"/>
    <w:rsid w:val="009B719C"/>
    <w:rsid w:val="009B73A1"/>
    <w:rsid w:val="009B7F22"/>
    <w:rsid w:val="009C1E8B"/>
    <w:rsid w:val="009C2EC7"/>
    <w:rsid w:val="009C3A29"/>
    <w:rsid w:val="009D5EB0"/>
    <w:rsid w:val="009D7263"/>
    <w:rsid w:val="009E051A"/>
    <w:rsid w:val="009E3C9B"/>
    <w:rsid w:val="009E5CFC"/>
    <w:rsid w:val="009E73EB"/>
    <w:rsid w:val="009E7B73"/>
    <w:rsid w:val="009F5E38"/>
    <w:rsid w:val="009F6272"/>
    <w:rsid w:val="009F6BEC"/>
    <w:rsid w:val="00A0088F"/>
    <w:rsid w:val="00A0613F"/>
    <w:rsid w:val="00A079CB"/>
    <w:rsid w:val="00A1063B"/>
    <w:rsid w:val="00A1097D"/>
    <w:rsid w:val="00A12128"/>
    <w:rsid w:val="00A14D72"/>
    <w:rsid w:val="00A16DD4"/>
    <w:rsid w:val="00A22C98"/>
    <w:rsid w:val="00A231E2"/>
    <w:rsid w:val="00A30CDC"/>
    <w:rsid w:val="00A3252A"/>
    <w:rsid w:val="00A35D5A"/>
    <w:rsid w:val="00A371EA"/>
    <w:rsid w:val="00A37523"/>
    <w:rsid w:val="00A377E3"/>
    <w:rsid w:val="00A400B9"/>
    <w:rsid w:val="00A43B61"/>
    <w:rsid w:val="00A5099E"/>
    <w:rsid w:val="00A521F1"/>
    <w:rsid w:val="00A5220E"/>
    <w:rsid w:val="00A52F8B"/>
    <w:rsid w:val="00A610E0"/>
    <w:rsid w:val="00A621B5"/>
    <w:rsid w:val="00A6261B"/>
    <w:rsid w:val="00A63BFC"/>
    <w:rsid w:val="00A64500"/>
    <w:rsid w:val="00A64912"/>
    <w:rsid w:val="00A67136"/>
    <w:rsid w:val="00A67E58"/>
    <w:rsid w:val="00A70577"/>
    <w:rsid w:val="00A70A5D"/>
    <w:rsid w:val="00A70A74"/>
    <w:rsid w:val="00A70CB6"/>
    <w:rsid w:val="00A70D6C"/>
    <w:rsid w:val="00A72C80"/>
    <w:rsid w:val="00A8161F"/>
    <w:rsid w:val="00A833BA"/>
    <w:rsid w:val="00A837C2"/>
    <w:rsid w:val="00A900C2"/>
    <w:rsid w:val="00A906D7"/>
    <w:rsid w:val="00A93CD8"/>
    <w:rsid w:val="00A9552E"/>
    <w:rsid w:val="00A960DD"/>
    <w:rsid w:val="00A96B91"/>
    <w:rsid w:val="00AA080D"/>
    <w:rsid w:val="00AB0430"/>
    <w:rsid w:val="00AB068E"/>
    <w:rsid w:val="00AB1713"/>
    <w:rsid w:val="00AB18B3"/>
    <w:rsid w:val="00AB22D7"/>
    <w:rsid w:val="00AB278D"/>
    <w:rsid w:val="00AB4608"/>
    <w:rsid w:val="00AC13AE"/>
    <w:rsid w:val="00AC5041"/>
    <w:rsid w:val="00AC7C65"/>
    <w:rsid w:val="00AD25FE"/>
    <w:rsid w:val="00AD36EC"/>
    <w:rsid w:val="00AD5641"/>
    <w:rsid w:val="00AD6836"/>
    <w:rsid w:val="00AD7889"/>
    <w:rsid w:val="00AE0D83"/>
    <w:rsid w:val="00AE4C7C"/>
    <w:rsid w:val="00AF021B"/>
    <w:rsid w:val="00AF06CF"/>
    <w:rsid w:val="00AF35F7"/>
    <w:rsid w:val="00AF5A77"/>
    <w:rsid w:val="00AF7416"/>
    <w:rsid w:val="00B02B85"/>
    <w:rsid w:val="00B02BD0"/>
    <w:rsid w:val="00B02D69"/>
    <w:rsid w:val="00B05CF4"/>
    <w:rsid w:val="00B05E6E"/>
    <w:rsid w:val="00B06197"/>
    <w:rsid w:val="00B06C75"/>
    <w:rsid w:val="00B07CDB"/>
    <w:rsid w:val="00B07F88"/>
    <w:rsid w:val="00B12367"/>
    <w:rsid w:val="00B13739"/>
    <w:rsid w:val="00B14BCF"/>
    <w:rsid w:val="00B16A31"/>
    <w:rsid w:val="00B17B2A"/>
    <w:rsid w:val="00B17DFD"/>
    <w:rsid w:val="00B2207D"/>
    <w:rsid w:val="00B224CB"/>
    <w:rsid w:val="00B235C8"/>
    <w:rsid w:val="00B23D46"/>
    <w:rsid w:val="00B249ED"/>
    <w:rsid w:val="00B26AEE"/>
    <w:rsid w:val="00B308FE"/>
    <w:rsid w:val="00B326D3"/>
    <w:rsid w:val="00B33709"/>
    <w:rsid w:val="00B33B3C"/>
    <w:rsid w:val="00B3402A"/>
    <w:rsid w:val="00B4483D"/>
    <w:rsid w:val="00B45EDD"/>
    <w:rsid w:val="00B50ADC"/>
    <w:rsid w:val="00B52C4C"/>
    <w:rsid w:val="00B566B1"/>
    <w:rsid w:val="00B623D0"/>
    <w:rsid w:val="00B63834"/>
    <w:rsid w:val="00B64F4D"/>
    <w:rsid w:val="00B6745D"/>
    <w:rsid w:val="00B72734"/>
    <w:rsid w:val="00B740E8"/>
    <w:rsid w:val="00B74AEB"/>
    <w:rsid w:val="00B80199"/>
    <w:rsid w:val="00B8131C"/>
    <w:rsid w:val="00B83204"/>
    <w:rsid w:val="00B83E23"/>
    <w:rsid w:val="00B8441F"/>
    <w:rsid w:val="00B8773E"/>
    <w:rsid w:val="00B8782D"/>
    <w:rsid w:val="00B87F4F"/>
    <w:rsid w:val="00B90506"/>
    <w:rsid w:val="00B92AD8"/>
    <w:rsid w:val="00B935AE"/>
    <w:rsid w:val="00B95D10"/>
    <w:rsid w:val="00BA0923"/>
    <w:rsid w:val="00BA186D"/>
    <w:rsid w:val="00BA220B"/>
    <w:rsid w:val="00BA3A57"/>
    <w:rsid w:val="00BA524C"/>
    <w:rsid w:val="00BA6E78"/>
    <w:rsid w:val="00BA77CC"/>
    <w:rsid w:val="00BA7D5D"/>
    <w:rsid w:val="00BB0727"/>
    <w:rsid w:val="00BB4E1A"/>
    <w:rsid w:val="00BB519E"/>
    <w:rsid w:val="00BC015E"/>
    <w:rsid w:val="00BC597C"/>
    <w:rsid w:val="00BC59EA"/>
    <w:rsid w:val="00BC5D37"/>
    <w:rsid w:val="00BC76AC"/>
    <w:rsid w:val="00BD0ECB"/>
    <w:rsid w:val="00BD27E1"/>
    <w:rsid w:val="00BD2C68"/>
    <w:rsid w:val="00BE09F2"/>
    <w:rsid w:val="00BE1DDC"/>
    <w:rsid w:val="00BE2099"/>
    <w:rsid w:val="00BE2155"/>
    <w:rsid w:val="00BE2213"/>
    <w:rsid w:val="00BE32C3"/>
    <w:rsid w:val="00BE5708"/>
    <w:rsid w:val="00BE5964"/>
    <w:rsid w:val="00BE6A9B"/>
    <w:rsid w:val="00BE719A"/>
    <w:rsid w:val="00BE720A"/>
    <w:rsid w:val="00BE7247"/>
    <w:rsid w:val="00BE7A06"/>
    <w:rsid w:val="00BF0D73"/>
    <w:rsid w:val="00BF1AE7"/>
    <w:rsid w:val="00BF1D0D"/>
    <w:rsid w:val="00BF2465"/>
    <w:rsid w:val="00BF7134"/>
    <w:rsid w:val="00C00837"/>
    <w:rsid w:val="00C0642F"/>
    <w:rsid w:val="00C06483"/>
    <w:rsid w:val="00C0781A"/>
    <w:rsid w:val="00C079A4"/>
    <w:rsid w:val="00C135E5"/>
    <w:rsid w:val="00C22168"/>
    <w:rsid w:val="00C2401E"/>
    <w:rsid w:val="00C25E7F"/>
    <w:rsid w:val="00C2746F"/>
    <w:rsid w:val="00C30D96"/>
    <w:rsid w:val="00C324A0"/>
    <w:rsid w:val="00C3300F"/>
    <w:rsid w:val="00C3642C"/>
    <w:rsid w:val="00C3652C"/>
    <w:rsid w:val="00C42BF8"/>
    <w:rsid w:val="00C42D57"/>
    <w:rsid w:val="00C43296"/>
    <w:rsid w:val="00C47D03"/>
    <w:rsid w:val="00C50043"/>
    <w:rsid w:val="00C52419"/>
    <w:rsid w:val="00C569C8"/>
    <w:rsid w:val="00C66E49"/>
    <w:rsid w:val="00C6720A"/>
    <w:rsid w:val="00C70F7F"/>
    <w:rsid w:val="00C73168"/>
    <w:rsid w:val="00C74394"/>
    <w:rsid w:val="00C7573B"/>
    <w:rsid w:val="00C7614C"/>
    <w:rsid w:val="00C77F90"/>
    <w:rsid w:val="00C808F8"/>
    <w:rsid w:val="00C81647"/>
    <w:rsid w:val="00C84170"/>
    <w:rsid w:val="00C87839"/>
    <w:rsid w:val="00C91571"/>
    <w:rsid w:val="00C91DE7"/>
    <w:rsid w:val="00C923B8"/>
    <w:rsid w:val="00C93C03"/>
    <w:rsid w:val="00CA2F2B"/>
    <w:rsid w:val="00CA577E"/>
    <w:rsid w:val="00CB012C"/>
    <w:rsid w:val="00CB23FE"/>
    <w:rsid w:val="00CB2C15"/>
    <w:rsid w:val="00CB2C8E"/>
    <w:rsid w:val="00CB5D92"/>
    <w:rsid w:val="00CB602E"/>
    <w:rsid w:val="00CC189A"/>
    <w:rsid w:val="00CC18AC"/>
    <w:rsid w:val="00CC1CAD"/>
    <w:rsid w:val="00CC6353"/>
    <w:rsid w:val="00CC6ABA"/>
    <w:rsid w:val="00CC6FDB"/>
    <w:rsid w:val="00CD4963"/>
    <w:rsid w:val="00CD5F31"/>
    <w:rsid w:val="00CE051D"/>
    <w:rsid w:val="00CE1335"/>
    <w:rsid w:val="00CE2437"/>
    <w:rsid w:val="00CE2C64"/>
    <w:rsid w:val="00CE493D"/>
    <w:rsid w:val="00CE53C9"/>
    <w:rsid w:val="00CE5876"/>
    <w:rsid w:val="00CF0203"/>
    <w:rsid w:val="00CF07FA"/>
    <w:rsid w:val="00CF0BB2"/>
    <w:rsid w:val="00CF274A"/>
    <w:rsid w:val="00CF3EE8"/>
    <w:rsid w:val="00CF46C0"/>
    <w:rsid w:val="00D004CD"/>
    <w:rsid w:val="00D0211F"/>
    <w:rsid w:val="00D03BF3"/>
    <w:rsid w:val="00D041DF"/>
    <w:rsid w:val="00D04F36"/>
    <w:rsid w:val="00D050E6"/>
    <w:rsid w:val="00D0561A"/>
    <w:rsid w:val="00D076AC"/>
    <w:rsid w:val="00D10268"/>
    <w:rsid w:val="00D13441"/>
    <w:rsid w:val="00D15046"/>
    <w:rsid w:val="00D150E7"/>
    <w:rsid w:val="00D23A98"/>
    <w:rsid w:val="00D23AF9"/>
    <w:rsid w:val="00D32F65"/>
    <w:rsid w:val="00D341A2"/>
    <w:rsid w:val="00D357A5"/>
    <w:rsid w:val="00D37281"/>
    <w:rsid w:val="00D40A2B"/>
    <w:rsid w:val="00D41E8A"/>
    <w:rsid w:val="00D4720B"/>
    <w:rsid w:val="00D51808"/>
    <w:rsid w:val="00D52DC2"/>
    <w:rsid w:val="00D53BCC"/>
    <w:rsid w:val="00D54C59"/>
    <w:rsid w:val="00D54DF3"/>
    <w:rsid w:val="00D57912"/>
    <w:rsid w:val="00D664F1"/>
    <w:rsid w:val="00D66C85"/>
    <w:rsid w:val="00D66F98"/>
    <w:rsid w:val="00D70DFB"/>
    <w:rsid w:val="00D71BA3"/>
    <w:rsid w:val="00D72E15"/>
    <w:rsid w:val="00D73BC7"/>
    <w:rsid w:val="00D75B1B"/>
    <w:rsid w:val="00D766DF"/>
    <w:rsid w:val="00D77D6B"/>
    <w:rsid w:val="00D91BAF"/>
    <w:rsid w:val="00D93281"/>
    <w:rsid w:val="00DA186E"/>
    <w:rsid w:val="00DA2048"/>
    <w:rsid w:val="00DA237E"/>
    <w:rsid w:val="00DA4116"/>
    <w:rsid w:val="00DA41E6"/>
    <w:rsid w:val="00DA427E"/>
    <w:rsid w:val="00DA4753"/>
    <w:rsid w:val="00DA7176"/>
    <w:rsid w:val="00DB0E5B"/>
    <w:rsid w:val="00DB251C"/>
    <w:rsid w:val="00DB4630"/>
    <w:rsid w:val="00DB6192"/>
    <w:rsid w:val="00DC1A81"/>
    <w:rsid w:val="00DC48D6"/>
    <w:rsid w:val="00DC4F88"/>
    <w:rsid w:val="00DC6257"/>
    <w:rsid w:val="00DD0B02"/>
    <w:rsid w:val="00DD0C33"/>
    <w:rsid w:val="00DD577D"/>
    <w:rsid w:val="00DD65DE"/>
    <w:rsid w:val="00DE4724"/>
    <w:rsid w:val="00DE5EB0"/>
    <w:rsid w:val="00DE69D2"/>
    <w:rsid w:val="00DF41F5"/>
    <w:rsid w:val="00DF43F6"/>
    <w:rsid w:val="00DF7363"/>
    <w:rsid w:val="00DF75A6"/>
    <w:rsid w:val="00E00297"/>
    <w:rsid w:val="00E036FB"/>
    <w:rsid w:val="00E05704"/>
    <w:rsid w:val="00E0667F"/>
    <w:rsid w:val="00E06EC1"/>
    <w:rsid w:val="00E116FF"/>
    <w:rsid w:val="00E11E44"/>
    <w:rsid w:val="00E153C0"/>
    <w:rsid w:val="00E1577F"/>
    <w:rsid w:val="00E256EB"/>
    <w:rsid w:val="00E26128"/>
    <w:rsid w:val="00E3104E"/>
    <w:rsid w:val="00E32128"/>
    <w:rsid w:val="00E32653"/>
    <w:rsid w:val="00E338EF"/>
    <w:rsid w:val="00E35767"/>
    <w:rsid w:val="00E43E2F"/>
    <w:rsid w:val="00E44E1D"/>
    <w:rsid w:val="00E45CC1"/>
    <w:rsid w:val="00E52265"/>
    <w:rsid w:val="00E53B34"/>
    <w:rsid w:val="00E544BB"/>
    <w:rsid w:val="00E662CB"/>
    <w:rsid w:val="00E73346"/>
    <w:rsid w:val="00E74DC7"/>
    <w:rsid w:val="00E76073"/>
    <w:rsid w:val="00E76AC1"/>
    <w:rsid w:val="00E8075A"/>
    <w:rsid w:val="00E80B7F"/>
    <w:rsid w:val="00E82DCA"/>
    <w:rsid w:val="00E84740"/>
    <w:rsid w:val="00E85610"/>
    <w:rsid w:val="00E87706"/>
    <w:rsid w:val="00E90668"/>
    <w:rsid w:val="00E9343C"/>
    <w:rsid w:val="00E94446"/>
    <w:rsid w:val="00E94D5E"/>
    <w:rsid w:val="00E969BC"/>
    <w:rsid w:val="00EA11DE"/>
    <w:rsid w:val="00EA362C"/>
    <w:rsid w:val="00EA533C"/>
    <w:rsid w:val="00EA7063"/>
    <w:rsid w:val="00EA7100"/>
    <w:rsid w:val="00EA7F9F"/>
    <w:rsid w:val="00EB1274"/>
    <w:rsid w:val="00EB1955"/>
    <w:rsid w:val="00EB2846"/>
    <w:rsid w:val="00EB3CFF"/>
    <w:rsid w:val="00EC26F2"/>
    <w:rsid w:val="00EC2B11"/>
    <w:rsid w:val="00EC5438"/>
    <w:rsid w:val="00ED2BB6"/>
    <w:rsid w:val="00ED34E1"/>
    <w:rsid w:val="00ED3B8D"/>
    <w:rsid w:val="00ED589C"/>
    <w:rsid w:val="00EE01CA"/>
    <w:rsid w:val="00EE47AD"/>
    <w:rsid w:val="00EE65EF"/>
    <w:rsid w:val="00EF29EF"/>
    <w:rsid w:val="00EF2E3A"/>
    <w:rsid w:val="00EF650A"/>
    <w:rsid w:val="00F00E70"/>
    <w:rsid w:val="00F024A2"/>
    <w:rsid w:val="00F072A7"/>
    <w:rsid w:val="00F078DC"/>
    <w:rsid w:val="00F079A6"/>
    <w:rsid w:val="00F1493B"/>
    <w:rsid w:val="00F15C60"/>
    <w:rsid w:val="00F20C08"/>
    <w:rsid w:val="00F20F58"/>
    <w:rsid w:val="00F22079"/>
    <w:rsid w:val="00F22839"/>
    <w:rsid w:val="00F234CC"/>
    <w:rsid w:val="00F2540A"/>
    <w:rsid w:val="00F26009"/>
    <w:rsid w:val="00F26762"/>
    <w:rsid w:val="00F273DC"/>
    <w:rsid w:val="00F3042F"/>
    <w:rsid w:val="00F312E7"/>
    <w:rsid w:val="00F32BA8"/>
    <w:rsid w:val="00F32C74"/>
    <w:rsid w:val="00F349F1"/>
    <w:rsid w:val="00F37C6D"/>
    <w:rsid w:val="00F4025E"/>
    <w:rsid w:val="00F4350D"/>
    <w:rsid w:val="00F471CA"/>
    <w:rsid w:val="00F5402E"/>
    <w:rsid w:val="00F55262"/>
    <w:rsid w:val="00F55A63"/>
    <w:rsid w:val="00F567F7"/>
    <w:rsid w:val="00F57D54"/>
    <w:rsid w:val="00F61B4B"/>
    <w:rsid w:val="00F62036"/>
    <w:rsid w:val="00F64F6C"/>
    <w:rsid w:val="00F65B52"/>
    <w:rsid w:val="00F668EE"/>
    <w:rsid w:val="00F67BCA"/>
    <w:rsid w:val="00F67F46"/>
    <w:rsid w:val="00F73BD6"/>
    <w:rsid w:val="00F74490"/>
    <w:rsid w:val="00F7753B"/>
    <w:rsid w:val="00F77B53"/>
    <w:rsid w:val="00F77DB2"/>
    <w:rsid w:val="00F77F09"/>
    <w:rsid w:val="00F81C22"/>
    <w:rsid w:val="00F83989"/>
    <w:rsid w:val="00F85099"/>
    <w:rsid w:val="00F85B0C"/>
    <w:rsid w:val="00F86A50"/>
    <w:rsid w:val="00F87AD6"/>
    <w:rsid w:val="00F92519"/>
    <w:rsid w:val="00F9379C"/>
    <w:rsid w:val="00F96270"/>
    <w:rsid w:val="00F9632C"/>
    <w:rsid w:val="00F96902"/>
    <w:rsid w:val="00FA1E52"/>
    <w:rsid w:val="00FA1F7D"/>
    <w:rsid w:val="00FA3082"/>
    <w:rsid w:val="00FA378B"/>
    <w:rsid w:val="00FA5B98"/>
    <w:rsid w:val="00FA6EBC"/>
    <w:rsid w:val="00FB07C0"/>
    <w:rsid w:val="00FB137E"/>
    <w:rsid w:val="00FB1986"/>
    <w:rsid w:val="00FB1F0B"/>
    <w:rsid w:val="00FB322D"/>
    <w:rsid w:val="00FB39E7"/>
    <w:rsid w:val="00FB5CB7"/>
    <w:rsid w:val="00FB6C46"/>
    <w:rsid w:val="00FC419D"/>
    <w:rsid w:val="00FC5CF1"/>
    <w:rsid w:val="00FD310D"/>
    <w:rsid w:val="00FD352B"/>
    <w:rsid w:val="00FD3B13"/>
    <w:rsid w:val="00FD3CC9"/>
    <w:rsid w:val="00FD4E10"/>
    <w:rsid w:val="00FD6C96"/>
    <w:rsid w:val="00FE06BD"/>
    <w:rsid w:val="00FE12B7"/>
    <w:rsid w:val="00FE4577"/>
    <w:rsid w:val="00FE4688"/>
    <w:rsid w:val="00FE64A5"/>
    <w:rsid w:val="00FE6882"/>
    <w:rsid w:val="00FE6CB6"/>
    <w:rsid w:val="00FE75D6"/>
    <w:rsid w:val="00FF0BB8"/>
    <w:rsid w:val="00FF2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62B1"/>
    <w:pPr>
      <w:spacing w:line="260" w:lineRule="atLeast"/>
    </w:pPr>
    <w:rPr>
      <w:sz w:val="22"/>
    </w:rPr>
  </w:style>
  <w:style w:type="paragraph" w:styleId="Heading5">
    <w:name w:val="heading 5"/>
    <w:basedOn w:val="Normal"/>
    <w:next w:val="Normal"/>
    <w:link w:val="Heading5Char"/>
    <w:uiPriority w:val="9"/>
    <w:semiHidden/>
    <w:unhideWhenUsed/>
    <w:qFormat/>
    <w:rsid w:val="004260E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62B1"/>
  </w:style>
  <w:style w:type="paragraph" w:customStyle="1" w:styleId="OPCParaBase">
    <w:name w:val="OPCParaBase"/>
    <w:qFormat/>
    <w:rsid w:val="008762B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62B1"/>
    <w:pPr>
      <w:spacing w:line="240" w:lineRule="auto"/>
    </w:pPr>
    <w:rPr>
      <w:b/>
      <w:sz w:val="40"/>
    </w:rPr>
  </w:style>
  <w:style w:type="paragraph" w:customStyle="1" w:styleId="ActHead1">
    <w:name w:val="ActHead 1"/>
    <w:aliases w:val="c"/>
    <w:basedOn w:val="OPCParaBase"/>
    <w:next w:val="Normal"/>
    <w:qFormat/>
    <w:rsid w:val="008762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62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62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2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62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2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2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2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2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62B1"/>
  </w:style>
  <w:style w:type="paragraph" w:customStyle="1" w:styleId="Blocks">
    <w:name w:val="Blocks"/>
    <w:aliases w:val="bb"/>
    <w:basedOn w:val="OPCParaBase"/>
    <w:qFormat/>
    <w:rsid w:val="008762B1"/>
    <w:pPr>
      <w:spacing w:line="240" w:lineRule="auto"/>
    </w:pPr>
    <w:rPr>
      <w:sz w:val="24"/>
    </w:rPr>
  </w:style>
  <w:style w:type="paragraph" w:customStyle="1" w:styleId="BoxText">
    <w:name w:val="BoxText"/>
    <w:aliases w:val="bt"/>
    <w:basedOn w:val="OPCParaBase"/>
    <w:qFormat/>
    <w:rsid w:val="008762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2B1"/>
    <w:rPr>
      <w:b/>
    </w:rPr>
  </w:style>
  <w:style w:type="paragraph" w:customStyle="1" w:styleId="BoxHeadItalic">
    <w:name w:val="BoxHeadItalic"/>
    <w:aliases w:val="bhi"/>
    <w:basedOn w:val="BoxText"/>
    <w:next w:val="BoxStep"/>
    <w:qFormat/>
    <w:rsid w:val="008762B1"/>
    <w:rPr>
      <w:i/>
    </w:rPr>
  </w:style>
  <w:style w:type="paragraph" w:customStyle="1" w:styleId="BoxList">
    <w:name w:val="BoxList"/>
    <w:aliases w:val="bl"/>
    <w:basedOn w:val="BoxText"/>
    <w:qFormat/>
    <w:rsid w:val="008762B1"/>
    <w:pPr>
      <w:ind w:left="1559" w:hanging="425"/>
    </w:pPr>
  </w:style>
  <w:style w:type="paragraph" w:customStyle="1" w:styleId="BoxNote">
    <w:name w:val="BoxNote"/>
    <w:aliases w:val="bn"/>
    <w:basedOn w:val="BoxText"/>
    <w:qFormat/>
    <w:rsid w:val="008762B1"/>
    <w:pPr>
      <w:tabs>
        <w:tab w:val="left" w:pos="1985"/>
      </w:tabs>
      <w:spacing w:before="122" w:line="198" w:lineRule="exact"/>
      <w:ind w:left="2948" w:hanging="1814"/>
    </w:pPr>
    <w:rPr>
      <w:sz w:val="18"/>
    </w:rPr>
  </w:style>
  <w:style w:type="paragraph" w:customStyle="1" w:styleId="BoxPara">
    <w:name w:val="BoxPara"/>
    <w:aliases w:val="bp"/>
    <w:basedOn w:val="BoxText"/>
    <w:qFormat/>
    <w:rsid w:val="008762B1"/>
    <w:pPr>
      <w:tabs>
        <w:tab w:val="right" w:pos="2268"/>
      </w:tabs>
      <w:ind w:left="2552" w:hanging="1418"/>
    </w:pPr>
  </w:style>
  <w:style w:type="paragraph" w:customStyle="1" w:styleId="BoxStep">
    <w:name w:val="BoxStep"/>
    <w:aliases w:val="bs"/>
    <w:basedOn w:val="BoxText"/>
    <w:qFormat/>
    <w:rsid w:val="008762B1"/>
    <w:pPr>
      <w:ind w:left="1985" w:hanging="851"/>
    </w:pPr>
  </w:style>
  <w:style w:type="character" w:customStyle="1" w:styleId="CharAmPartNo">
    <w:name w:val="CharAmPartNo"/>
    <w:basedOn w:val="OPCCharBase"/>
    <w:uiPriority w:val="1"/>
    <w:qFormat/>
    <w:rsid w:val="008762B1"/>
  </w:style>
  <w:style w:type="character" w:customStyle="1" w:styleId="CharAmPartText">
    <w:name w:val="CharAmPartText"/>
    <w:basedOn w:val="OPCCharBase"/>
    <w:uiPriority w:val="1"/>
    <w:qFormat/>
    <w:rsid w:val="008762B1"/>
  </w:style>
  <w:style w:type="character" w:customStyle="1" w:styleId="CharAmSchNo">
    <w:name w:val="CharAmSchNo"/>
    <w:basedOn w:val="OPCCharBase"/>
    <w:uiPriority w:val="1"/>
    <w:qFormat/>
    <w:rsid w:val="008762B1"/>
  </w:style>
  <w:style w:type="character" w:customStyle="1" w:styleId="CharAmSchText">
    <w:name w:val="CharAmSchText"/>
    <w:basedOn w:val="OPCCharBase"/>
    <w:uiPriority w:val="1"/>
    <w:qFormat/>
    <w:rsid w:val="008762B1"/>
  </w:style>
  <w:style w:type="character" w:customStyle="1" w:styleId="CharBoldItalic">
    <w:name w:val="CharBoldItalic"/>
    <w:basedOn w:val="OPCCharBase"/>
    <w:uiPriority w:val="1"/>
    <w:qFormat/>
    <w:rsid w:val="008762B1"/>
    <w:rPr>
      <w:b/>
      <w:i/>
    </w:rPr>
  </w:style>
  <w:style w:type="character" w:customStyle="1" w:styleId="CharChapNo">
    <w:name w:val="CharChapNo"/>
    <w:basedOn w:val="OPCCharBase"/>
    <w:qFormat/>
    <w:rsid w:val="008762B1"/>
  </w:style>
  <w:style w:type="character" w:customStyle="1" w:styleId="CharChapText">
    <w:name w:val="CharChapText"/>
    <w:basedOn w:val="OPCCharBase"/>
    <w:qFormat/>
    <w:rsid w:val="008762B1"/>
  </w:style>
  <w:style w:type="character" w:customStyle="1" w:styleId="CharDivNo">
    <w:name w:val="CharDivNo"/>
    <w:basedOn w:val="OPCCharBase"/>
    <w:qFormat/>
    <w:rsid w:val="008762B1"/>
  </w:style>
  <w:style w:type="character" w:customStyle="1" w:styleId="CharDivText">
    <w:name w:val="CharDivText"/>
    <w:basedOn w:val="OPCCharBase"/>
    <w:qFormat/>
    <w:rsid w:val="008762B1"/>
  </w:style>
  <w:style w:type="character" w:customStyle="1" w:styleId="CharItalic">
    <w:name w:val="CharItalic"/>
    <w:basedOn w:val="OPCCharBase"/>
    <w:uiPriority w:val="1"/>
    <w:qFormat/>
    <w:rsid w:val="008762B1"/>
    <w:rPr>
      <w:i/>
    </w:rPr>
  </w:style>
  <w:style w:type="character" w:customStyle="1" w:styleId="CharPartNo">
    <w:name w:val="CharPartNo"/>
    <w:basedOn w:val="OPCCharBase"/>
    <w:qFormat/>
    <w:rsid w:val="008762B1"/>
  </w:style>
  <w:style w:type="character" w:customStyle="1" w:styleId="CharPartText">
    <w:name w:val="CharPartText"/>
    <w:basedOn w:val="OPCCharBase"/>
    <w:qFormat/>
    <w:rsid w:val="008762B1"/>
  </w:style>
  <w:style w:type="character" w:customStyle="1" w:styleId="CharSectno">
    <w:name w:val="CharSectno"/>
    <w:basedOn w:val="OPCCharBase"/>
    <w:qFormat/>
    <w:rsid w:val="008762B1"/>
  </w:style>
  <w:style w:type="character" w:customStyle="1" w:styleId="CharSubdNo">
    <w:name w:val="CharSubdNo"/>
    <w:basedOn w:val="OPCCharBase"/>
    <w:uiPriority w:val="1"/>
    <w:qFormat/>
    <w:rsid w:val="008762B1"/>
  </w:style>
  <w:style w:type="character" w:customStyle="1" w:styleId="CharSubdText">
    <w:name w:val="CharSubdText"/>
    <w:basedOn w:val="OPCCharBase"/>
    <w:uiPriority w:val="1"/>
    <w:qFormat/>
    <w:rsid w:val="008762B1"/>
  </w:style>
  <w:style w:type="paragraph" w:customStyle="1" w:styleId="CTA--">
    <w:name w:val="CTA --"/>
    <w:basedOn w:val="OPCParaBase"/>
    <w:next w:val="Normal"/>
    <w:rsid w:val="008762B1"/>
    <w:pPr>
      <w:spacing w:before="60" w:line="240" w:lineRule="atLeast"/>
      <w:ind w:left="142" w:hanging="142"/>
    </w:pPr>
    <w:rPr>
      <w:sz w:val="20"/>
    </w:rPr>
  </w:style>
  <w:style w:type="paragraph" w:customStyle="1" w:styleId="CTA-">
    <w:name w:val="CTA -"/>
    <w:basedOn w:val="OPCParaBase"/>
    <w:rsid w:val="008762B1"/>
    <w:pPr>
      <w:spacing w:before="60" w:line="240" w:lineRule="atLeast"/>
      <w:ind w:left="85" w:hanging="85"/>
    </w:pPr>
    <w:rPr>
      <w:sz w:val="20"/>
    </w:rPr>
  </w:style>
  <w:style w:type="paragraph" w:customStyle="1" w:styleId="CTA---">
    <w:name w:val="CTA ---"/>
    <w:basedOn w:val="OPCParaBase"/>
    <w:next w:val="Normal"/>
    <w:rsid w:val="008762B1"/>
    <w:pPr>
      <w:spacing w:before="60" w:line="240" w:lineRule="atLeast"/>
      <w:ind w:left="198" w:hanging="198"/>
    </w:pPr>
    <w:rPr>
      <w:sz w:val="20"/>
    </w:rPr>
  </w:style>
  <w:style w:type="paragraph" w:customStyle="1" w:styleId="CTA----">
    <w:name w:val="CTA ----"/>
    <w:basedOn w:val="OPCParaBase"/>
    <w:next w:val="Normal"/>
    <w:rsid w:val="008762B1"/>
    <w:pPr>
      <w:spacing w:before="60" w:line="240" w:lineRule="atLeast"/>
      <w:ind w:left="255" w:hanging="255"/>
    </w:pPr>
    <w:rPr>
      <w:sz w:val="20"/>
    </w:rPr>
  </w:style>
  <w:style w:type="paragraph" w:customStyle="1" w:styleId="CTA1a">
    <w:name w:val="CTA 1(a)"/>
    <w:basedOn w:val="OPCParaBase"/>
    <w:rsid w:val="008762B1"/>
    <w:pPr>
      <w:tabs>
        <w:tab w:val="right" w:pos="414"/>
      </w:tabs>
      <w:spacing w:before="40" w:line="240" w:lineRule="atLeast"/>
      <w:ind w:left="675" w:hanging="675"/>
    </w:pPr>
    <w:rPr>
      <w:sz w:val="20"/>
    </w:rPr>
  </w:style>
  <w:style w:type="paragraph" w:customStyle="1" w:styleId="CTA1ai">
    <w:name w:val="CTA 1(a)(i)"/>
    <w:basedOn w:val="OPCParaBase"/>
    <w:rsid w:val="008762B1"/>
    <w:pPr>
      <w:tabs>
        <w:tab w:val="right" w:pos="1004"/>
      </w:tabs>
      <w:spacing w:before="40" w:line="240" w:lineRule="atLeast"/>
      <w:ind w:left="1253" w:hanging="1253"/>
    </w:pPr>
    <w:rPr>
      <w:sz w:val="20"/>
    </w:rPr>
  </w:style>
  <w:style w:type="paragraph" w:customStyle="1" w:styleId="CTA2a">
    <w:name w:val="CTA 2(a)"/>
    <w:basedOn w:val="OPCParaBase"/>
    <w:rsid w:val="008762B1"/>
    <w:pPr>
      <w:tabs>
        <w:tab w:val="right" w:pos="482"/>
      </w:tabs>
      <w:spacing w:before="40" w:line="240" w:lineRule="atLeast"/>
      <w:ind w:left="748" w:hanging="748"/>
    </w:pPr>
    <w:rPr>
      <w:sz w:val="20"/>
    </w:rPr>
  </w:style>
  <w:style w:type="paragraph" w:customStyle="1" w:styleId="CTA2ai">
    <w:name w:val="CTA 2(a)(i)"/>
    <w:basedOn w:val="OPCParaBase"/>
    <w:rsid w:val="008762B1"/>
    <w:pPr>
      <w:tabs>
        <w:tab w:val="right" w:pos="1089"/>
      </w:tabs>
      <w:spacing w:before="40" w:line="240" w:lineRule="atLeast"/>
      <w:ind w:left="1327" w:hanging="1327"/>
    </w:pPr>
    <w:rPr>
      <w:sz w:val="20"/>
    </w:rPr>
  </w:style>
  <w:style w:type="paragraph" w:customStyle="1" w:styleId="CTA3a">
    <w:name w:val="CTA 3(a)"/>
    <w:basedOn w:val="OPCParaBase"/>
    <w:rsid w:val="008762B1"/>
    <w:pPr>
      <w:tabs>
        <w:tab w:val="right" w:pos="556"/>
      </w:tabs>
      <w:spacing w:before="40" w:line="240" w:lineRule="atLeast"/>
      <w:ind w:left="805" w:hanging="805"/>
    </w:pPr>
    <w:rPr>
      <w:sz w:val="20"/>
    </w:rPr>
  </w:style>
  <w:style w:type="paragraph" w:customStyle="1" w:styleId="CTA3ai">
    <w:name w:val="CTA 3(a)(i)"/>
    <w:basedOn w:val="OPCParaBase"/>
    <w:rsid w:val="008762B1"/>
    <w:pPr>
      <w:tabs>
        <w:tab w:val="right" w:pos="1140"/>
      </w:tabs>
      <w:spacing w:before="40" w:line="240" w:lineRule="atLeast"/>
      <w:ind w:left="1361" w:hanging="1361"/>
    </w:pPr>
    <w:rPr>
      <w:sz w:val="20"/>
    </w:rPr>
  </w:style>
  <w:style w:type="paragraph" w:customStyle="1" w:styleId="CTA4a">
    <w:name w:val="CTA 4(a)"/>
    <w:basedOn w:val="OPCParaBase"/>
    <w:rsid w:val="008762B1"/>
    <w:pPr>
      <w:tabs>
        <w:tab w:val="right" w:pos="624"/>
      </w:tabs>
      <w:spacing w:before="40" w:line="240" w:lineRule="atLeast"/>
      <w:ind w:left="873" w:hanging="873"/>
    </w:pPr>
    <w:rPr>
      <w:sz w:val="20"/>
    </w:rPr>
  </w:style>
  <w:style w:type="paragraph" w:customStyle="1" w:styleId="CTA4ai">
    <w:name w:val="CTA 4(a)(i)"/>
    <w:basedOn w:val="OPCParaBase"/>
    <w:rsid w:val="008762B1"/>
    <w:pPr>
      <w:tabs>
        <w:tab w:val="right" w:pos="1213"/>
      </w:tabs>
      <w:spacing w:before="40" w:line="240" w:lineRule="atLeast"/>
      <w:ind w:left="1452" w:hanging="1452"/>
    </w:pPr>
    <w:rPr>
      <w:sz w:val="20"/>
    </w:rPr>
  </w:style>
  <w:style w:type="paragraph" w:customStyle="1" w:styleId="CTACAPS">
    <w:name w:val="CTA CAPS"/>
    <w:basedOn w:val="OPCParaBase"/>
    <w:rsid w:val="008762B1"/>
    <w:pPr>
      <w:spacing w:before="60" w:line="240" w:lineRule="atLeast"/>
    </w:pPr>
    <w:rPr>
      <w:sz w:val="20"/>
    </w:rPr>
  </w:style>
  <w:style w:type="paragraph" w:customStyle="1" w:styleId="CTAright">
    <w:name w:val="CTA right"/>
    <w:basedOn w:val="OPCParaBase"/>
    <w:rsid w:val="008762B1"/>
    <w:pPr>
      <w:spacing w:before="60" w:line="240" w:lineRule="auto"/>
      <w:jc w:val="right"/>
    </w:pPr>
    <w:rPr>
      <w:sz w:val="20"/>
    </w:rPr>
  </w:style>
  <w:style w:type="paragraph" w:customStyle="1" w:styleId="subsection">
    <w:name w:val="subsection"/>
    <w:aliases w:val="ss"/>
    <w:basedOn w:val="OPCParaBase"/>
    <w:link w:val="subsectionChar"/>
    <w:rsid w:val="008762B1"/>
    <w:pPr>
      <w:tabs>
        <w:tab w:val="right" w:pos="1021"/>
      </w:tabs>
      <w:spacing w:before="180" w:line="240" w:lineRule="auto"/>
      <w:ind w:left="1134" w:hanging="1134"/>
    </w:pPr>
  </w:style>
  <w:style w:type="paragraph" w:customStyle="1" w:styleId="Definition">
    <w:name w:val="Definition"/>
    <w:aliases w:val="dd"/>
    <w:basedOn w:val="OPCParaBase"/>
    <w:rsid w:val="008762B1"/>
    <w:pPr>
      <w:spacing w:before="180" w:line="240" w:lineRule="auto"/>
      <w:ind w:left="1134"/>
    </w:pPr>
  </w:style>
  <w:style w:type="paragraph" w:customStyle="1" w:styleId="EndNotespara">
    <w:name w:val="EndNotes(para)"/>
    <w:aliases w:val="eta"/>
    <w:basedOn w:val="OPCParaBase"/>
    <w:next w:val="EndNotessubpara"/>
    <w:rsid w:val="008762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2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62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2B1"/>
    <w:pPr>
      <w:tabs>
        <w:tab w:val="right" w:pos="1412"/>
      </w:tabs>
      <w:spacing w:before="60" w:line="240" w:lineRule="auto"/>
      <w:ind w:left="1525" w:hanging="1525"/>
    </w:pPr>
    <w:rPr>
      <w:sz w:val="20"/>
    </w:rPr>
  </w:style>
  <w:style w:type="paragraph" w:customStyle="1" w:styleId="Formula">
    <w:name w:val="Formula"/>
    <w:basedOn w:val="OPCParaBase"/>
    <w:rsid w:val="008762B1"/>
    <w:pPr>
      <w:spacing w:line="240" w:lineRule="auto"/>
      <w:ind w:left="1134"/>
    </w:pPr>
    <w:rPr>
      <w:sz w:val="20"/>
    </w:rPr>
  </w:style>
  <w:style w:type="paragraph" w:styleId="Header">
    <w:name w:val="header"/>
    <w:basedOn w:val="OPCParaBase"/>
    <w:link w:val="HeaderChar"/>
    <w:unhideWhenUsed/>
    <w:rsid w:val="008762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62B1"/>
    <w:rPr>
      <w:rFonts w:eastAsia="Times New Roman" w:cs="Times New Roman"/>
      <w:sz w:val="16"/>
      <w:lang w:eastAsia="en-AU"/>
    </w:rPr>
  </w:style>
  <w:style w:type="paragraph" w:customStyle="1" w:styleId="House">
    <w:name w:val="House"/>
    <w:basedOn w:val="OPCParaBase"/>
    <w:rsid w:val="008762B1"/>
    <w:pPr>
      <w:spacing w:line="240" w:lineRule="auto"/>
    </w:pPr>
    <w:rPr>
      <w:sz w:val="28"/>
    </w:rPr>
  </w:style>
  <w:style w:type="paragraph" w:customStyle="1" w:styleId="Item">
    <w:name w:val="Item"/>
    <w:aliases w:val="i"/>
    <w:basedOn w:val="OPCParaBase"/>
    <w:next w:val="ItemHead"/>
    <w:rsid w:val="008762B1"/>
    <w:pPr>
      <w:keepLines/>
      <w:spacing w:before="80" w:line="240" w:lineRule="auto"/>
      <w:ind w:left="709"/>
    </w:pPr>
  </w:style>
  <w:style w:type="paragraph" w:customStyle="1" w:styleId="ItemHead">
    <w:name w:val="ItemHead"/>
    <w:aliases w:val="ih"/>
    <w:basedOn w:val="OPCParaBase"/>
    <w:next w:val="Item"/>
    <w:rsid w:val="008762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2B1"/>
    <w:pPr>
      <w:spacing w:line="240" w:lineRule="auto"/>
    </w:pPr>
    <w:rPr>
      <w:b/>
      <w:sz w:val="32"/>
    </w:rPr>
  </w:style>
  <w:style w:type="paragraph" w:customStyle="1" w:styleId="notedraft">
    <w:name w:val="note(draft)"/>
    <w:aliases w:val="nd"/>
    <w:basedOn w:val="OPCParaBase"/>
    <w:rsid w:val="008762B1"/>
    <w:pPr>
      <w:spacing w:before="240" w:line="240" w:lineRule="auto"/>
      <w:ind w:left="284" w:hanging="284"/>
    </w:pPr>
    <w:rPr>
      <w:i/>
      <w:sz w:val="24"/>
    </w:rPr>
  </w:style>
  <w:style w:type="paragraph" w:customStyle="1" w:styleId="notemargin">
    <w:name w:val="note(margin)"/>
    <w:aliases w:val="nm"/>
    <w:basedOn w:val="OPCParaBase"/>
    <w:rsid w:val="008762B1"/>
    <w:pPr>
      <w:tabs>
        <w:tab w:val="left" w:pos="709"/>
      </w:tabs>
      <w:spacing w:before="122" w:line="198" w:lineRule="exact"/>
      <w:ind w:left="709" w:hanging="709"/>
    </w:pPr>
    <w:rPr>
      <w:sz w:val="18"/>
    </w:rPr>
  </w:style>
  <w:style w:type="paragraph" w:customStyle="1" w:styleId="noteToPara">
    <w:name w:val="noteToPara"/>
    <w:aliases w:val="ntp"/>
    <w:basedOn w:val="OPCParaBase"/>
    <w:rsid w:val="008762B1"/>
    <w:pPr>
      <w:spacing w:before="122" w:line="198" w:lineRule="exact"/>
      <w:ind w:left="2353" w:hanging="709"/>
    </w:pPr>
    <w:rPr>
      <w:sz w:val="18"/>
    </w:rPr>
  </w:style>
  <w:style w:type="paragraph" w:customStyle="1" w:styleId="noteParlAmend">
    <w:name w:val="note(ParlAmend)"/>
    <w:aliases w:val="npp"/>
    <w:basedOn w:val="OPCParaBase"/>
    <w:next w:val="ParlAmend"/>
    <w:rsid w:val="008762B1"/>
    <w:pPr>
      <w:spacing w:line="240" w:lineRule="auto"/>
      <w:jc w:val="right"/>
    </w:pPr>
    <w:rPr>
      <w:rFonts w:ascii="Arial" w:hAnsi="Arial"/>
      <w:b/>
      <w:i/>
    </w:rPr>
  </w:style>
  <w:style w:type="paragraph" w:customStyle="1" w:styleId="Page1">
    <w:name w:val="Page1"/>
    <w:basedOn w:val="OPCParaBase"/>
    <w:rsid w:val="008762B1"/>
    <w:pPr>
      <w:spacing w:before="5600" w:line="240" w:lineRule="auto"/>
    </w:pPr>
    <w:rPr>
      <w:b/>
      <w:sz w:val="32"/>
    </w:rPr>
  </w:style>
  <w:style w:type="paragraph" w:customStyle="1" w:styleId="PageBreak">
    <w:name w:val="PageBreak"/>
    <w:aliases w:val="pb"/>
    <w:basedOn w:val="OPCParaBase"/>
    <w:rsid w:val="008762B1"/>
    <w:pPr>
      <w:spacing w:line="240" w:lineRule="auto"/>
    </w:pPr>
    <w:rPr>
      <w:sz w:val="20"/>
    </w:rPr>
  </w:style>
  <w:style w:type="paragraph" w:customStyle="1" w:styleId="paragraphsub">
    <w:name w:val="paragraph(sub)"/>
    <w:aliases w:val="aa"/>
    <w:basedOn w:val="OPCParaBase"/>
    <w:rsid w:val="008762B1"/>
    <w:pPr>
      <w:tabs>
        <w:tab w:val="right" w:pos="1985"/>
      </w:tabs>
      <w:spacing w:before="40" w:line="240" w:lineRule="auto"/>
      <w:ind w:left="2098" w:hanging="2098"/>
    </w:pPr>
  </w:style>
  <w:style w:type="paragraph" w:customStyle="1" w:styleId="paragraphsub-sub">
    <w:name w:val="paragraph(sub-sub)"/>
    <w:aliases w:val="aaa"/>
    <w:basedOn w:val="OPCParaBase"/>
    <w:rsid w:val="008762B1"/>
    <w:pPr>
      <w:tabs>
        <w:tab w:val="right" w:pos="2722"/>
      </w:tabs>
      <w:spacing w:before="40" w:line="240" w:lineRule="auto"/>
      <w:ind w:left="2835" w:hanging="2835"/>
    </w:pPr>
  </w:style>
  <w:style w:type="paragraph" w:customStyle="1" w:styleId="paragraph">
    <w:name w:val="paragraph"/>
    <w:aliases w:val="a"/>
    <w:basedOn w:val="OPCParaBase"/>
    <w:rsid w:val="008762B1"/>
    <w:pPr>
      <w:tabs>
        <w:tab w:val="right" w:pos="1531"/>
      </w:tabs>
      <w:spacing w:before="40" w:line="240" w:lineRule="auto"/>
      <w:ind w:left="1644" w:hanging="1644"/>
    </w:pPr>
  </w:style>
  <w:style w:type="paragraph" w:customStyle="1" w:styleId="ParlAmend">
    <w:name w:val="ParlAmend"/>
    <w:aliases w:val="pp"/>
    <w:basedOn w:val="OPCParaBase"/>
    <w:rsid w:val="008762B1"/>
    <w:pPr>
      <w:spacing w:before="240" w:line="240" w:lineRule="atLeast"/>
      <w:ind w:hanging="567"/>
    </w:pPr>
    <w:rPr>
      <w:sz w:val="24"/>
    </w:rPr>
  </w:style>
  <w:style w:type="paragraph" w:customStyle="1" w:styleId="Penalty">
    <w:name w:val="Penalty"/>
    <w:basedOn w:val="OPCParaBase"/>
    <w:rsid w:val="008762B1"/>
    <w:pPr>
      <w:tabs>
        <w:tab w:val="left" w:pos="2977"/>
      </w:tabs>
      <w:spacing w:before="180" w:line="240" w:lineRule="auto"/>
      <w:ind w:left="1985" w:hanging="851"/>
    </w:pPr>
  </w:style>
  <w:style w:type="paragraph" w:customStyle="1" w:styleId="Portfolio">
    <w:name w:val="Portfolio"/>
    <w:basedOn w:val="OPCParaBase"/>
    <w:rsid w:val="008762B1"/>
    <w:pPr>
      <w:spacing w:line="240" w:lineRule="auto"/>
    </w:pPr>
    <w:rPr>
      <w:i/>
      <w:sz w:val="20"/>
    </w:rPr>
  </w:style>
  <w:style w:type="paragraph" w:customStyle="1" w:styleId="Preamble">
    <w:name w:val="Preamble"/>
    <w:basedOn w:val="OPCParaBase"/>
    <w:next w:val="Normal"/>
    <w:rsid w:val="008762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2B1"/>
    <w:pPr>
      <w:spacing w:line="240" w:lineRule="auto"/>
    </w:pPr>
    <w:rPr>
      <w:i/>
      <w:sz w:val="20"/>
    </w:rPr>
  </w:style>
  <w:style w:type="paragraph" w:customStyle="1" w:styleId="Session">
    <w:name w:val="Session"/>
    <w:basedOn w:val="OPCParaBase"/>
    <w:rsid w:val="008762B1"/>
    <w:pPr>
      <w:spacing w:line="240" w:lineRule="auto"/>
    </w:pPr>
    <w:rPr>
      <w:sz w:val="28"/>
    </w:rPr>
  </w:style>
  <w:style w:type="paragraph" w:customStyle="1" w:styleId="Sponsor">
    <w:name w:val="Sponsor"/>
    <w:basedOn w:val="OPCParaBase"/>
    <w:rsid w:val="008762B1"/>
    <w:pPr>
      <w:spacing w:line="240" w:lineRule="auto"/>
    </w:pPr>
    <w:rPr>
      <w:i/>
    </w:rPr>
  </w:style>
  <w:style w:type="paragraph" w:customStyle="1" w:styleId="Subitem">
    <w:name w:val="Subitem"/>
    <w:aliases w:val="iss"/>
    <w:basedOn w:val="OPCParaBase"/>
    <w:rsid w:val="008762B1"/>
    <w:pPr>
      <w:spacing w:before="180" w:line="240" w:lineRule="auto"/>
      <w:ind w:left="709" w:hanging="709"/>
    </w:pPr>
  </w:style>
  <w:style w:type="paragraph" w:customStyle="1" w:styleId="SubitemHead">
    <w:name w:val="SubitemHead"/>
    <w:aliases w:val="issh"/>
    <w:basedOn w:val="OPCParaBase"/>
    <w:rsid w:val="008762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62B1"/>
    <w:pPr>
      <w:spacing w:before="40" w:line="240" w:lineRule="auto"/>
      <w:ind w:left="1134"/>
    </w:pPr>
  </w:style>
  <w:style w:type="paragraph" w:customStyle="1" w:styleId="SubsectionHead">
    <w:name w:val="SubsectionHead"/>
    <w:aliases w:val="ssh"/>
    <w:basedOn w:val="OPCParaBase"/>
    <w:next w:val="subsection"/>
    <w:rsid w:val="008762B1"/>
    <w:pPr>
      <w:keepNext/>
      <w:keepLines/>
      <w:spacing w:before="240" w:line="240" w:lineRule="auto"/>
      <w:ind w:left="1134"/>
    </w:pPr>
    <w:rPr>
      <w:i/>
    </w:rPr>
  </w:style>
  <w:style w:type="paragraph" w:customStyle="1" w:styleId="Tablea">
    <w:name w:val="Table(a)"/>
    <w:aliases w:val="ta"/>
    <w:basedOn w:val="OPCParaBase"/>
    <w:rsid w:val="008762B1"/>
    <w:pPr>
      <w:spacing w:before="60" w:line="240" w:lineRule="auto"/>
      <w:ind w:left="284" w:hanging="284"/>
    </w:pPr>
    <w:rPr>
      <w:sz w:val="20"/>
    </w:rPr>
  </w:style>
  <w:style w:type="paragraph" w:customStyle="1" w:styleId="TableAA">
    <w:name w:val="Table(AA)"/>
    <w:aliases w:val="taaa"/>
    <w:basedOn w:val="OPCParaBase"/>
    <w:rsid w:val="008762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2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2B1"/>
    <w:pPr>
      <w:spacing w:before="60" w:line="240" w:lineRule="atLeast"/>
    </w:pPr>
    <w:rPr>
      <w:sz w:val="20"/>
    </w:rPr>
  </w:style>
  <w:style w:type="paragraph" w:customStyle="1" w:styleId="TLPBoxTextnote">
    <w:name w:val="TLPBoxText(note"/>
    <w:aliases w:val="right)"/>
    <w:basedOn w:val="OPCParaBase"/>
    <w:rsid w:val="008762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2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2B1"/>
    <w:pPr>
      <w:spacing w:before="122" w:line="198" w:lineRule="exact"/>
      <w:ind w:left="1985" w:hanging="851"/>
      <w:jc w:val="right"/>
    </w:pPr>
    <w:rPr>
      <w:sz w:val="18"/>
    </w:rPr>
  </w:style>
  <w:style w:type="paragraph" w:customStyle="1" w:styleId="TLPTableBullet">
    <w:name w:val="TLPTableBullet"/>
    <w:aliases w:val="ttb"/>
    <w:basedOn w:val="OPCParaBase"/>
    <w:rsid w:val="008762B1"/>
    <w:pPr>
      <w:spacing w:line="240" w:lineRule="exact"/>
      <w:ind w:left="284" w:hanging="284"/>
    </w:pPr>
    <w:rPr>
      <w:sz w:val="20"/>
    </w:rPr>
  </w:style>
  <w:style w:type="paragraph" w:styleId="TOC1">
    <w:name w:val="toc 1"/>
    <w:basedOn w:val="OPCParaBase"/>
    <w:next w:val="Normal"/>
    <w:uiPriority w:val="39"/>
    <w:semiHidden/>
    <w:unhideWhenUsed/>
    <w:rsid w:val="008762B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62B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762B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762B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762B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762B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762B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62B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762B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62B1"/>
    <w:pPr>
      <w:keepLines/>
      <w:spacing w:before="240" w:after="120" w:line="240" w:lineRule="auto"/>
      <w:ind w:left="794"/>
    </w:pPr>
    <w:rPr>
      <w:b/>
      <w:kern w:val="28"/>
      <w:sz w:val="20"/>
    </w:rPr>
  </w:style>
  <w:style w:type="paragraph" w:customStyle="1" w:styleId="TofSectsHeading">
    <w:name w:val="TofSects(Heading)"/>
    <w:basedOn w:val="OPCParaBase"/>
    <w:rsid w:val="008762B1"/>
    <w:pPr>
      <w:spacing w:before="240" w:after="120" w:line="240" w:lineRule="auto"/>
    </w:pPr>
    <w:rPr>
      <w:b/>
      <w:sz w:val="24"/>
    </w:rPr>
  </w:style>
  <w:style w:type="paragraph" w:customStyle="1" w:styleId="TofSectsSection">
    <w:name w:val="TofSects(Section)"/>
    <w:basedOn w:val="OPCParaBase"/>
    <w:rsid w:val="008762B1"/>
    <w:pPr>
      <w:keepLines/>
      <w:spacing w:before="40" w:line="240" w:lineRule="auto"/>
      <w:ind w:left="1588" w:hanging="794"/>
    </w:pPr>
    <w:rPr>
      <w:kern w:val="28"/>
      <w:sz w:val="18"/>
    </w:rPr>
  </w:style>
  <w:style w:type="paragraph" w:customStyle="1" w:styleId="TofSectsSubdiv">
    <w:name w:val="TofSects(Subdiv)"/>
    <w:basedOn w:val="OPCParaBase"/>
    <w:rsid w:val="008762B1"/>
    <w:pPr>
      <w:keepLines/>
      <w:spacing w:before="80" w:line="240" w:lineRule="auto"/>
      <w:ind w:left="1588" w:hanging="794"/>
    </w:pPr>
    <w:rPr>
      <w:kern w:val="28"/>
    </w:rPr>
  </w:style>
  <w:style w:type="paragraph" w:customStyle="1" w:styleId="WRStyle">
    <w:name w:val="WR Style"/>
    <w:aliases w:val="WR"/>
    <w:basedOn w:val="OPCParaBase"/>
    <w:rsid w:val="008762B1"/>
    <w:pPr>
      <w:spacing w:before="240" w:line="240" w:lineRule="auto"/>
      <w:ind w:left="284" w:hanging="284"/>
    </w:pPr>
    <w:rPr>
      <w:b/>
      <w:i/>
      <w:kern w:val="28"/>
      <w:sz w:val="24"/>
    </w:rPr>
  </w:style>
  <w:style w:type="paragraph" w:customStyle="1" w:styleId="notepara">
    <w:name w:val="note(para)"/>
    <w:aliases w:val="na"/>
    <w:basedOn w:val="OPCParaBase"/>
    <w:rsid w:val="008762B1"/>
    <w:pPr>
      <w:spacing w:before="40" w:line="198" w:lineRule="exact"/>
      <w:ind w:left="2354" w:hanging="369"/>
    </w:pPr>
    <w:rPr>
      <w:sz w:val="18"/>
    </w:rPr>
  </w:style>
  <w:style w:type="paragraph" w:styleId="Footer">
    <w:name w:val="footer"/>
    <w:link w:val="FooterChar"/>
    <w:rsid w:val="008762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62B1"/>
    <w:rPr>
      <w:rFonts w:eastAsia="Times New Roman" w:cs="Times New Roman"/>
      <w:sz w:val="22"/>
      <w:szCs w:val="24"/>
      <w:lang w:eastAsia="en-AU"/>
    </w:rPr>
  </w:style>
  <w:style w:type="character" w:styleId="LineNumber">
    <w:name w:val="line number"/>
    <w:basedOn w:val="OPCCharBase"/>
    <w:uiPriority w:val="99"/>
    <w:semiHidden/>
    <w:unhideWhenUsed/>
    <w:rsid w:val="008762B1"/>
    <w:rPr>
      <w:sz w:val="16"/>
    </w:rPr>
  </w:style>
  <w:style w:type="table" w:customStyle="1" w:styleId="CFlag">
    <w:name w:val="CFlag"/>
    <w:basedOn w:val="TableNormal"/>
    <w:uiPriority w:val="99"/>
    <w:rsid w:val="008762B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62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2B1"/>
    <w:rPr>
      <w:rFonts w:ascii="Tahoma" w:hAnsi="Tahoma" w:cs="Tahoma"/>
      <w:sz w:val="16"/>
      <w:szCs w:val="16"/>
    </w:rPr>
  </w:style>
  <w:style w:type="table" w:styleId="TableGrid">
    <w:name w:val="Table Grid"/>
    <w:basedOn w:val="TableNormal"/>
    <w:uiPriority w:val="59"/>
    <w:rsid w:val="00876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762B1"/>
    <w:rPr>
      <w:b/>
      <w:sz w:val="28"/>
      <w:szCs w:val="32"/>
    </w:rPr>
  </w:style>
  <w:style w:type="paragraph" w:customStyle="1" w:styleId="LegislationMadeUnder">
    <w:name w:val="LegislationMadeUnder"/>
    <w:basedOn w:val="OPCParaBase"/>
    <w:next w:val="Normal"/>
    <w:rsid w:val="008762B1"/>
    <w:rPr>
      <w:i/>
      <w:sz w:val="32"/>
      <w:szCs w:val="32"/>
    </w:rPr>
  </w:style>
  <w:style w:type="paragraph" w:customStyle="1" w:styleId="SignCoverPageEnd">
    <w:name w:val="SignCoverPageEnd"/>
    <w:basedOn w:val="OPCParaBase"/>
    <w:next w:val="Normal"/>
    <w:rsid w:val="008762B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762B1"/>
    <w:pPr>
      <w:pBdr>
        <w:top w:val="single" w:sz="4" w:space="1" w:color="auto"/>
      </w:pBdr>
      <w:spacing w:before="360"/>
      <w:ind w:right="397"/>
      <w:jc w:val="both"/>
    </w:pPr>
  </w:style>
  <w:style w:type="paragraph" w:customStyle="1" w:styleId="NotesHeading1">
    <w:name w:val="NotesHeading 1"/>
    <w:basedOn w:val="OPCParaBase"/>
    <w:next w:val="Normal"/>
    <w:rsid w:val="008762B1"/>
    <w:pPr>
      <w:outlineLvl w:val="0"/>
    </w:pPr>
    <w:rPr>
      <w:b/>
      <w:sz w:val="28"/>
      <w:szCs w:val="28"/>
    </w:rPr>
  </w:style>
  <w:style w:type="paragraph" w:customStyle="1" w:styleId="NotesHeading2">
    <w:name w:val="NotesHeading 2"/>
    <w:basedOn w:val="OPCParaBase"/>
    <w:next w:val="Normal"/>
    <w:rsid w:val="008762B1"/>
    <w:rPr>
      <w:b/>
      <w:sz w:val="28"/>
      <w:szCs w:val="28"/>
    </w:rPr>
  </w:style>
  <w:style w:type="paragraph" w:customStyle="1" w:styleId="CompiledActNo">
    <w:name w:val="CompiledActNo"/>
    <w:basedOn w:val="OPCParaBase"/>
    <w:next w:val="Normal"/>
    <w:rsid w:val="008762B1"/>
    <w:rPr>
      <w:b/>
      <w:sz w:val="24"/>
      <w:szCs w:val="24"/>
    </w:rPr>
  </w:style>
  <w:style w:type="paragraph" w:customStyle="1" w:styleId="ENotesText">
    <w:name w:val="ENotesText"/>
    <w:aliases w:val="Ent"/>
    <w:basedOn w:val="OPCParaBase"/>
    <w:next w:val="Normal"/>
    <w:rsid w:val="008762B1"/>
    <w:pPr>
      <w:spacing w:before="120"/>
    </w:pPr>
  </w:style>
  <w:style w:type="paragraph" w:customStyle="1" w:styleId="CompiledMadeUnder">
    <w:name w:val="CompiledMadeUnder"/>
    <w:basedOn w:val="OPCParaBase"/>
    <w:next w:val="Normal"/>
    <w:rsid w:val="008762B1"/>
    <w:rPr>
      <w:i/>
      <w:sz w:val="24"/>
      <w:szCs w:val="24"/>
    </w:rPr>
  </w:style>
  <w:style w:type="paragraph" w:customStyle="1" w:styleId="Paragraphsub-sub-sub">
    <w:name w:val="Paragraph(sub-sub-sub)"/>
    <w:aliases w:val="aaaa"/>
    <w:basedOn w:val="OPCParaBase"/>
    <w:rsid w:val="008762B1"/>
    <w:pPr>
      <w:tabs>
        <w:tab w:val="right" w:pos="3402"/>
      </w:tabs>
      <w:spacing w:before="40" w:line="240" w:lineRule="auto"/>
      <w:ind w:left="3402" w:hanging="3402"/>
    </w:pPr>
  </w:style>
  <w:style w:type="paragraph" w:customStyle="1" w:styleId="TableTextEndNotes">
    <w:name w:val="TableTextEndNotes"/>
    <w:aliases w:val="Tten"/>
    <w:basedOn w:val="Normal"/>
    <w:rsid w:val="008762B1"/>
    <w:pPr>
      <w:spacing w:before="60" w:line="240" w:lineRule="auto"/>
    </w:pPr>
    <w:rPr>
      <w:rFonts w:cs="Arial"/>
      <w:sz w:val="20"/>
      <w:szCs w:val="22"/>
    </w:rPr>
  </w:style>
  <w:style w:type="paragraph" w:customStyle="1" w:styleId="NoteToSubpara">
    <w:name w:val="NoteToSubpara"/>
    <w:aliases w:val="nts"/>
    <w:basedOn w:val="OPCParaBase"/>
    <w:rsid w:val="008762B1"/>
    <w:pPr>
      <w:spacing w:before="40" w:line="198" w:lineRule="exact"/>
      <w:ind w:left="2835" w:hanging="709"/>
    </w:pPr>
    <w:rPr>
      <w:sz w:val="18"/>
    </w:rPr>
  </w:style>
  <w:style w:type="paragraph" w:customStyle="1" w:styleId="ENoteTableHeading">
    <w:name w:val="ENoteTableHeading"/>
    <w:aliases w:val="enth"/>
    <w:basedOn w:val="OPCParaBase"/>
    <w:rsid w:val="008762B1"/>
    <w:pPr>
      <w:keepNext/>
      <w:spacing w:before="60" w:line="240" w:lineRule="atLeast"/>
    </w:pPr>
    <w:rPr>
      <w:rFonts w:ascii="Arial" w:hAnsi="Arial"/>
      <w:b/>
      <w:sz w:val="16"/>
    </w:rPr>
  </w:style>
  <w:style w:type="paragraph" w:customStyle="1" w:styleId="ENoteTTi">
    <w:name w:val="ENoteTTi"/>
    <w:aliases w:val="entti"/>
    <w:basedOn w:val="OPCParaBase"/>
    <w:rsid w:val="008762B1"/>
    <w:pPr>
      <w:keepNext/>
      <w:spacing w:before="60" w:line="240" w:lineRule="atLeast"/>
      <w:ind w:left="170"/>
    </w:pPr>
    <w:rPr>
      <w:sz w:val="16"/>
    </w:rPr>
  </w:style>
  <w:style w:type="paragraph" w:customStyle="1" w:styleId="ENotesHeading1">
    <w:name w:val="ENotesHeading 1"/>
    <w:aliases w:val="Enh1"/>
    <w:basedOn w:val="OPCParaBase"/>
    <w:next w:val="Normal"/>
    <w:rsid w:val="008762B1"/>
    <w:pPr>
      <w:spacing w:before="120"/>
      <w:outlineLvl w:val="1"/>
    </w:pPr>
    <w:rPr>
      <w:b/>
      <w:sz w:val="28"/>
      <w:szCs w:val="28"/>
    </w:rPr>
  </w:style>
  <w:style w:type="paragraph" w:customStyle="1" w:styleId="ENotesHeading2">
    <w:name w:val="ENotesHeading 2"/>
    <w:aliases w:val="Enh2"/>
    <w:basedOn w:val="OPCParaBase"/>
    <w:next w:val="Normal"/>
    <w:rsid w:val="008762B1"/>
    <w:pPr>
      <w:spacing w:before="120" w:after="120"/>
      <w:outlineLvl w:val="2"/>
    </w:pPr>
    <w:rPr>
      <w:b/>
      <w:sz w:val="24"/>
      <w:szCs w:val="28"/>
    </w:rPr>
  </w:style>
  <w:style w:type="paragraph" w:customStyle="1" w:styleId="ENoteTTIndentHeading">
    <w:name w:val="ENoteTTIndentHeading"/>
    <w:aliases w:val="enTTHi"/>
    <w:basedOn w:val="OPCParaBase"/>
    <w:rsid w:val="008762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62B1"/>
    <w:pPr>
      <w:spacing w:before="60" w:line="240" w:lineRule="atLeast"/>
    </w:pPr>
    <w:rPr>
      <w:sz w:val="16"/>
    </w:rPr>
  </w:style>
  <w:style w:type="paragraph" w:customStyle="1" w:styleId="MadeunderText">
    <w:name w:val="MadeunderText"/>
    <w:basedOn w:val="OPCParaBase"/>
    <w:next w:val="CompiledMadeUnder"/>
    <w:rsid w:val="008762B1"/>
    <w:pPr>
      <w:spacing w:before="240"/>
    </w:pPr>
    <w:rPr>
      <w:sz w:val="24"/>
      <w:szCs w:val="24"/>
    </w:rPr>
  </w:style>
  <w:style w:type="paragraph" w:customStyle="1" w:styleId="ENotesHeading3">
    <w:name w:val="ENotesHeading 3"/>
    <w:aliases w:val="Enh3"/>
    <w:basedOn w:val="OPCParaBase"/>
    <w:next w:val="Normal"/>
    <w:rsid w:val="008762B1"/>
    <w:pPr>
      <w:keepNext/>
      <w:spacing w:before="120" w:line="240" w:lineRule="auto"/>
      <w:outlineLvl w:val="4"/>
    </w:pPr>
    <w:rPr>
      <w:b/>
      <w:szCs w:val="24"/>
    </w:rPr>
  </w:style>
  <w:style w:type="paragraph" w:customStyle="1" w:styleId="SubPartCASA">
    <w:name w:val="SubPart(CASA)"/>
    <w:aliases w:val="csp"/>
    <w:basedOn w:val="OPCParaBase"/>
    <w:next w:val="ActHead3"/>
    <w:rsid w:val="008762B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762B1"/>
  </w:style>
  <w:style w:type="character" w:customStyle="1" w:styleId="CharSubPartNoCASA">
    <w:name w:val="CharSubPartNo(CASA)"/>
    <w:basedOn w:val="OPCCharBase"/>
    <w:uiPriority w:val="1"/>
    <w:rsid w:val="008762B1"/>
  </w:style>
  <w:style w:type="paragraph" w:customStyle="1" w:styleId="ENoteTTIndentHeadingSub">
    <w:name w:val="ENoteTTIndentHeadingSub"/>
    <w:aliases w:val="enTTHis"/>
    <w:basedOn w:val="OPCParaBase"/>
    <w:rsid w:val="008762B1"/>
    <w:pPr>
      <w:keepNext/>
      <w:spacing w:before="60" w:line="240" w:lineRule="atLeast"/>
      <w:ind w:left="340"/>
    </w:pPr>
    <w:rPr>
      <w:b/>
      <w:sz w:val="16"/>
    </w:rPr>
  </w:style>
  <w:style w:type="paragraph" w:customStyle="1" w:styleId="ENoteTTiSub">
    <w:name w:val="ENoteTTiSub"/>
    <w:aliases w:val="enttis"/>
    <w:basedOn w:val="OPCParaBase"/>
    <w:rsid w:val="008762B1"/>
    <w:pPr>
      <w:keepNext/>
      <w:spacing w:before="60" w:line="240" w:lineRule="atLeast"/>
      <w:ind w:left="340"/>
    </w:pPr>
    <w:rPr>
      <w:sz w:val="16"/>
    </w:rPr>
  </w:style>
  <w:style w:type="paragraph" w:customStyle="1" w:styleId="SubDivisionMigration">
    <w:name w:val="SubDivisionMigration"/>
    <w:aliases w:val="sdm"/>
    <w:basedOn w:val="OPCParaBase"/>
    <w:rsid w:val="008762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2B1"/>
    <w:pPr>
      <w:keepNext/>
      <w:keepLines/>
      <w:spacing w:before="240" w:line="240" w:lineRule="auto"/>
      <w:ind w:left="1134" w:hanging="1134"/>
    </w:pPr>
    <w:rPr>
      <w:b/>
      <w:sz w:val="28"/>
    </w:rPr>
  </w:style>
  <w:style w:type="paragraph" w:customStyle="1" w:styleId="notetext">
    <w:name w:val="note(text)"/>
    <w:aliases w:val="n"/>
    <w:basedOn w:val="OPCParaBase"/>
    <w:rsid w:val="008762B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762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62B1"/>
    <w:rPr>
      <w:sz w:val="22"/>
    </w:rPr>
  </w:style>
  <w:style w:type="paragraph" w:customStyle="1" w:styleId="SOTextNote">
    <w:name w:val="SO TextNote"/>
    <w:aliases w:val="sont"/>
    <w:basedOn w:val="SOText"/>
    <w:qFormat/>
    <w:rsid w:val="008762B1"/>
    <w:pPr>
      <w:spacing w:before="122" w:line="198" w:lineRule="exact"/>
      <w:ind w:left="1843" w:hanging="709"/>
    </w:pPr>
    <w:rPr>
      <w:sz w:val="18"/>
    </w:rPr>
  </w:style>
  <w:style w:type="paragraph" w:customStyle="1" w:styleId="SOPara">
    <w:name w:val="SO Para"/>
    <w:aliases w:val="soa"/>
    <w:basedOn w:val="SOText"/>
    <w:link w:val="SOParaChar"/>
    <w:qFormat/>
    <w:rsid w:val="008762B1"/>
    <w:pPr>
      <w:tabs>
        <w:tab w:val="right" w:pos="1786"/>
      </w:tabs>
      <w:spacing w:before="40"/>
      <w:ind w:left="2070" w:hanging="936"/>
    </w:pPr>
  </w:style>
  <w:style w:type="character" w:customStyle="1" w:styleId="SOParaChar">
    <w:name w:val="SO Para Char"/>
    <w:aliases w:val="soa Char"/>
    <w:basedOn w:val="DefaultParagraphFont"/>
    <w:link w:val="SOPara"/>
    <w:rsid w:val="008762B1"/>
    <w:rPr>
      <w:sz w:val="22"/>
    </w:rPr>
  </w:style>
  <w:style w:type="paragraph" w:customStyle="1" w:styleId="FileName">
    <w:name w:val="FileName"/>
    <w:basedOn w:val="Normal"/>
    <w:rsid w:val="008762B1"/>
  </w:style>
  <w:style w:type="paragraph" w:customStyle="1" w:styleId="TableHeading">
    <w:name w:val="TableHeading"/>
    <w:aliases w:val="th"/>
    <w:basedOn w:val="OPCParaBase"/>
    <w:next w:val="Tabletext"/>
    <w:rsid w:val="008762B1"/>
    <w:pPr>
      <w:keepNext/>
      <w:spacing w:before="60" w:line="240" w:lineRule="atLeast"/>
    </w:pPr>
    <w:rPr>
      <w:b/>
      <w:sz w:val="20"/>
    </w:rPr>
  </w:style>
  <w:style w:type="paragraph" w:customStyle="1" w:styleId="SOHeadBold">
    <w:name w:val="SO HeadBold"/>
    <w:aliases w:val="sohb"/>
    <w:basedOn w:val="SOText"/>
    <w:next w:val="SOText"/>
    <w:link w:val="SOHeadBoldChar"/>
    <w:qFormat/>
    <w:rsid w:val="008762B1"/>
    <w:rPr>
      <w:b/>
    </w:rPr>
  </w:style>
  <w:style w:type="character" w:customStyle="1" w:styleId="SOHeadBoldChar">
    <w:name w:val="SO HeadBold Char"/>
    <w:aliases w:val="sohb Char"/>
    <w:basedOn w:val="DefaultParagraphFont"/>
    <w:link w:val="SOHeadBold"/>
    <w:rsid w:val="008762B1"/>
    <w:rPr>
      <w:b/>
      <w:sz w:val="22"/>
    </w:rPr>
  </w:style>
  <w:style w:type="paragraph" w:customStyle="1" w:styleId="SOHeadItalic">
    <w:name w:val="SO HeadItalic"/>
    <w:aliases w:val="sohi"/>
    <w:basedOn w:val="SOText"/>
    <w:next w:val="SOText"/>
    <w:link w:val="SOHeadItalicChar"/>
    <w:qFormat/>
    <w:rsid w:val="008762B1"/>
    <w:rPr>
      <w:i/>
    </w:rPr>
  </w:style>
  <w:style w:type="character" w:customStyle="1" w:styleId="SOHeadItalicChar">
    <w:name w:val="SO HeadItalic Char"/>
    <w:aliases w:val="sohi Char"/>
    <w:basedOn w:val="DefaultParagraphFont"/>
    <w:link w:val="SOHeadItalic"/>
    <w:rsid w:val="008762B1"/>
    <w:rPr>
      <w:i/>
      <w:sz w:val="22"/>
    </w:rPr>
  </w:style>
  <w:style w:type="paragraph" w:customStyle="1" w:styleId="SOBullet">
    <w:name w:val="SO Bullet"/>
    <w:aliases w:val="sotb"/>
    <w:basedOn w:val="SOText"/>
    <w:link w:val="SOBulletChar"/>
    <w:qFormat/>
    <w:rsid w:val="008762B1"/>
    <w:pPr>
      <w:ind w:left="1559" w:hanging="425"/>
    </w:pPr>
  </w:style>
  <w:style w:type="character" w:customStyle="1" w:styleId="SOBulletChar">
    <w:name w:val="SO Bullet Char"/>
    <w:aliases w:val="sotb Char"/>
    <w:basedOn w:val="DefaultParagraphFont"/>
    <w:link w:val="SOBullet"/>
    <w:rsid w:val="008762B1"/>
    <w:rPr>
      <w:sz w:val="22"/>
    </w:rPr>
  </w:style>
  <w:style w:type="paragraph" w:customStyle="1" w:styleId="SOBulletNote">
    <w:name w:val="SO BulletNote"/>
    <w:aliases w:val="sonb"/>
    <w:basedOn w:val="SOTextNote"/>
    <w:link w:val="SOBulletNoteChar"/>
    <w:qFormat/>
    <w:rsid w:val="008762B1"/>
    <w:pPr>
      <w:tabs>
        <w:tab w:val="left" w:pos="1560"/>
      </w:tabs>
      <w:ind w:left="2268" w:hanging="1134"/>
    </w:pPr>
  </w:style>
  <w:style w:type="character" w:customStyle="1" w:styleId="SOBulletNoteChar">
    <w:name w:val="SO BulletNote Char"/>
    <w:aliases w:val="sonb Char"/>
    <w:basedOn w:val="DefaultParagraphFont"/>
    <w:link w:val="SOBulletNote"/>
    <w:rsid w:val="008762B1"/>
    <w:rPr>
      <w:sz w:val="18"/>
    </w:rPr>
  </w:style>
  <w:style w:type="paragraph" w:customStyle="1" w:styleId="SOText2">
    <w:name w:val="SO Text2"/>
    <w:aliases w:val="sot2"/>
    <w:basedOn w:val="Normal"/>
    <w:next w:val="SOText"/>
    <w:link w:val="SOText2Char"/>
    <w:rsid w:val="008762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2B1"/>
    <w:rPr>
      <w:sz w:val="22"/>
    </w:rPr>
  </w:style>
  <w:style w:type="paragraph" w:styleId="ListParagraph">
    <w:name w:val="List Paragraph"/>
    <w:basedOn w:val="Normal"/>
    <w:link w:val="ListParagraphChar"/>
    <w:uiPriority w:val="34"/>
    <w:qFormat/>
    <w:rsid w:val="007E3BC7"/>
    <w:pPr>
      <w:spacing w:before="120" w:after="120" w:line="276" w:lineRule="auto"/>
      <w:ind w:left="720"/>
      <w:contextualSpacing/>
    </w:pPr>
    <w:rPr>
      <w:rFonts w:ascii="Calibri" w:eastAsia="Times New Roman" w:hAnsi="Calibri" w:cs="Times New Roman"/>
      <w:szCs w:val="22"/>
    </w:rPr>
  </w:style>
  <w:style w:type="character" w:customStyle="1" w:styleId="ListParagraphChar">
    <w:name w:val="List Paragraph Char"/>
    <w:basedOn w:val="DefaultParagraphFont"/>
    <w:link w:val="ListParagraph"/>
    <w:uiPriority w:val="34"/>
    <w:locked/>
    <w:rsid w:val="007E3BC7"/>
    <w:rPr>
      <w:rFonts w:ascii="Calibri" w:eastAsia="Times New Roman" w:hAnsi="Calibri" w:cs="Times New Roman"/>
      <w:sz w:val="22"/>
      <w:szCs w:val="22"/>
    </w:rPr>
  </w:style>
  <w:style w:type="character" w:customStyle="1" w:styleId="Heading5Char">
    <w:name w:val="Heading 5 Char"/>
    <w:basedOn w:val="DefaultParagraphFont"/>
    <w:link w:val="Heading5"/>
    <w:uiPriority w:val="9"/>
    <w:semiHidden/>
    <w:rsid w:val="004260EE"/>
    <w:rPr>
      <w:rFonts w:asciiTheme="majorHAnsi" w:eastAsiaTheme="majorEastAsia" w:hAnsiTheme="majorHAnsi" w:cstheme="majorBidi"/>
      <w:color w:val="243F60" w:themeColor="accent1" w:themeShade="7F"/>
      <w:sz w:val="22"/>
    </w:rPr>
  </w:style>
  <w:style w:type="character" w:styleId="PlaceholderText">
    <w:name w:val="Placeholder Text"/>
    <w:basedOn w:val="DefaultParagraphFont"/>
    <w:uiPriority w:val="99"/>
    <w:semiHidden/>
    <w:rsid w:val="004260EE"/>
    <w:rPr>
      <w:color w:val="808080"/>
    </w:rPr>
  </w:style>
  <w:style w:type="character" w:customStyle="1" w:styleId="subsectionChar">
    <w:name w:val="subsection Char"/>
    <w:aliases w:val="ss Char"/>
    <w:basedOn w:val="DefaultParagraphFont"/>
    <w:link w:val="subsection"/>
    <w:locked/>
    <w:rsid w:val="00383A75"/>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62B1"/>
    <w:pPr>
      <w:spacing w:line="260" w:lineRule="atLeast"/>
    </w:pPr>
    <w:rPr>
      <w:sz w:val="22"/>
    </w:rPr>
  </w:style>
  <w:style w:type="paragraph" w:styleId="Heading5">
    <w:name w:val="heading 5"/>
    <w:basedOn w:val="Normal"/>
    <w:next w:val="Normal"/>
    <w:link w:val="Heading5Char"/>
    <w:uiPriority w:val="9"/>
    <w:semiHidden/>
    <w:unhideWhenUsed/>
    <w:qFormat/>
    <w:rsid w:val="004260E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62B1"/>
  </w:style>
  <w:style w:type="paragraph" w:customStyle="1" w:styleId="OPCParaBase">
    <w:name w:val="OPCParaBase"/>
    <w:qFormat/>
    <w:rsid w:val="008762B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62B1"/>
    <w:pPr>
      <w:spacing w:line="240" w:lineRule="auto"/>
    </w:pPr>
    <w:rPr>
      <w:b/>
      <w:sz w:val="40"/>
    </w:rPr>
  </w:style>
  <w:style w:type="paragraph" w:customStyle="1" w:styleId="ActHead1">
    <w:name w:val="ActHead 1"/>
    <w:aliases w:val="c"/>
    <w:basedOn w:val="OPCParaBase"/>
    <w:next w:val="Normal"/>
    <w:qFormat/>
    <w:rsid w:val="008762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62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62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2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62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2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2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2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2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62B1"/>
  </w:style>
  <w:style w:type="paragraph" w:customStyle="1" w:styleId="Blocks">
    <w:name w:val="Blocks"/>
    <w:aliases w:val="bb"/>
    <w:basedOn w:val="OPCParaBase"/>
    <w:qFormat/>
    <w:rsid w:val="008762B1"/>
    <w:pPr>
      <w:spacing w:line="240" w:lineRule="auto"/>
    </w:pPr>
    <w:rPr>
      <w:sz w:val="24"/>
    </w:rPr>
  </w:style>
  <w:style w:type="paragraph" w:customStyle="1" w:styleId="BoxText">
    <w:name w:val="BoxText"/>
    <w:aliases w:val="bt"/>
    <w:basedOn w:val="OPCParaBase"/>
    <w:qFormat/>
    <w:rsid w:val="008762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2B1"/>
    <w:rPr>
      <w:b/>
    </w:rPr>
  </w:style>
  <w:style w:type="paragraph" w:customStyle="1" w:styleId="BoxHeadItalic">
    <w:name w:val="BoxHeadItalic"/>
    <w:aliases w:val="bhi"/>
    <w:basedOn w:val="BoxText"/>
    <w:next w:val="BoxStep"/>
    <w:qFormat/>
    <w:rsid w:val="008762B1"/>
    <w:rPr>
      <w:i/>
    </w:rPr>
  </w:style>
  <w:style w:type="paragraph" w:customStyle="1" w:styleId="BoxList">
    <w:name w:val="BoxList"/>
    <w:aliases w:val="bl"/>
    <w:basedOn w:val="BoxText"/>
    <w:qFormat/>
    <w:rsid w:val="008762B1"/>
    <w:pPr>
      <w:ind w:left="1559" w:hanging="425"/>
    </w:pPr>
  </w:style>
  <w:style w:type="paragraph" w:customStyle="1" w:styleId="BoxNote">
    <w:name w:val="BoxNote"/>
    <w:aliases w:val="bn"/>
    <w:basedOn w:val="BoxText"/>
    <w:qFormat/>
    <w:rsid w:val="008762B1"/>
    <w:pPr>
      <w:tabs>
        <w:tab w:val="left" w:pos="1985"/>
      </w:tabs>
      <w:spacing w:before="122" w:line="198" w:lineRule="exact"/>
      <w:ind w:left="2948" w:hanging="1814"/>
    </w:pPr>
    <w:rPr>
      <w:sz w:val="18"/>
    </w:rPr>
  </w:style>
  <w:style w:type="paragraph" w:customStyle="1" w:styleId="BoxPara">
    <w:name w:val="BoxPara"/>
    <w:aliases w:val="bp"/>
    <w:basedOn w:val="BoxText"/>
    <w:qFormat/>
    <w:rsid w:val="008762B1"/>
    <w:pPr>
      <w:tabs>
        <w:tab w:val="right" w:pos="2268"/>
      </w:tabs>
      <w:ind w:left="2552" w:hanging="1418"/>
    </w:pPr>
  </w:style>
  <w:style w:type="paragraph" w:customStyle="1" w:styleId="BoxStep">
    <w:name w:val="BoxStep"/>
    <w:aliases w:val="bs"/>
    <w:basedOn w:val="BoxText"/>
    <w:qFormat/>
    <w:rsid w:val="008762B1"/>
    <w:pPr>
      <w:ind w:left="1985" w:hanging="851"/>
    </w:pPr>
  </w:style>
  <w:style w:type="character" w:customStyle="1" w:styleId="CharAmPartNo">
    <w:name w:val="CharAmPartNo"/>
    <w:basedOn w:val="OPCCharBase"/>
    <w:uiPriority w:val="1"/>
    <w:qFormat/>
    <w:rsid w:val="008762B1"/>
  </w:style>
  <w:style w:type="character" w:customStyle="1" w:styleId="CharAmPartText">
    <w:name w:val="CharAmPartText"/>
    <w:basedOn w:val="OPCCharBase"/>
    <w:uiPriority w:val="1"/>
    <w:qFormat/>
    <w:rsid w:val="008762B1"/>
  </w:style>
  <w:style w:type="character" w:customStyle="1" w:styleId="CharAmSchNo">
    <w:name w:val="CharAmSchNo"/>
    <w:basedOn w:val="OPCCharBase"/>
    <w:uiPriority w:val="1"/>
    <w:qFormat/>
    <w:rsid w:val="008762B1"/>
  </w:style>
  <w:style w:type="character" w:customStyle="1" w:styleId="CharAmSchText">
    <w:name w:val="CharAmSchText"/>
    <w:basedOn w:val="OPCCharBase"/>
    <w:uiPriority w:val="1"/>
    <w:qFormat/>
    <w:rsid w:val="008762B1"/>
  </w:style>
  <w:style w:type="character" w:customStyle="1" w:styleId="CharBoldItalic">
    <w:name w:val="CharBoldItalic"/>
    <w:basedOn w:val="OPCCharBase"/>
    <w:uiPriority w:val="1"/>
    <w:qFormat/>
    <w:rsid w:val="008762B1"/>
    <w:rPr>
      <w:b/>
      <w:i/>
    </w:rPr>
  </w:style>
  <w:style w:type="character" w:customStyle="1" w:styleId="CharChapNo">
    <w:name w:val="CharChapNo"/>
    <w:basedOn w:val="OPCCharBase"/>
    <w:qFormat/>
    <w:rsid w:val="008762B1"/>
  </w:style>
  <w:style w:type="character" w:customStyle="1" w:styleId="CharChapText">
    <w:name w:val="CharChapText"/>
    <w:basedOn w:val="OPCCharBase"/>
    <w:qFormat/>
    <w:rsid w:val="008762B1"/>
  </w:style>
  <w:style w:type="character" w:customStyle="1" w:styleId="CharDivNo">
    <w:name w:val="CharDivNo"/>
    <w:basedOn w:val="OPCCharBase"/>
    <w:qFormat/>
    <w:rsid w:val="008762B1"/>
  </w:style>
  <w:style w:type="character" w:customStyle="1" w:styleId="CharDivText">
    <w:name w:val="CharDivText"/>
    <w:basedOn w:val="OPCCharBase"/>
    <w:qFormat/>
    <w:rsid w:val="008762B1"/>
  </w:style>
  <w:style w:type="character" w:customStyle="1" w:styleId="CharItalic">
    <w:name w:val="CharItalic"/>
    <w:basedOn w:val="OPCCharBase"/>
    <w:uiPriority w:val="1"/>
    <w:qFormat/>
    <w:rsid w:val="008762B1"/>
    <w:rPr>
      <w:i/>
    </w:rPr>
  </w:style>
  <w:style w:type="character" w:customStyle="1" w:styleId="CharPartNo">
    <w:name w:val="CharPartNo"/>
    <w:basedOn w:val="OPCCharBase"/>
    <w:qFormat/>
    <w:rsid w:val="008762B1"/>
  </w:style>
  <w:style w:type="character" w:customStyle="1" w:styleId="CharPartText">
    <w:name w:val="CharPartText"/>
    <w:basedOn w:val="OPCCharBase"/>
    <w:qFormat/>
    <w:rsid w:val="008762B1"/>
  </w:style>
  <w:style w:type="character" w:customStyle="1" w:styleId="CharSectno">
    <w:name w:val="CharSectno"/>
    <w:basedOn w:val="OPCCharBase"/>
    <w:qFormat/>
    <w:rsid w:val="008762B1"/>
  </w:style>
  <w:style w:type="character" w:customStyle="1" w:styleId="CharSubdNo">
    <w:name w:val="CharSubdNo"/>
    <w:basedOn w:val="OPCCharBase"/>
    <w:uiPriority w:val="1"/>
    <w:qFormat/>
    <w:rsid w:val="008762B1"/>
  </w:style>
  <w:style w:type="character" w:customStyle="1" w:styleId="CharSubdText">
    <w:name w:val="CharSubdText"/>
    <w:basedOn w:val="OPCCharBase"/>
    <w:uiPriority w:val="1"/>
    <w:qFormat/>
    <w:rsid w:val="008762B1"/>
  </w:style>
  <w:style w:type="paragraph" w:customStyle="1" w:styleId="CTA--">
    <w:name w:val="CTA --"/>
    <w:basedOn w:val="OPCParaBase"/>
    <w:next w:val="Normal"/>
    <w:rsid w:val="008762B1"/>
    <w:pPr>
      <w:spacing w:before="60" w:line="240" w:lineRule="atLeast"/>
      <w:ind w:left="142" w:hanging="142"/>
    </w:pPr>
    <w:rPr>
      <w:sz w:val="20"/>
    </w:rPr>
  </w:style>
  <w:style w:type="paragraph" w:customStyle="1" w:styleId="CTA-">
    <w:name w:val="CTA -"/>
    <w:basedOn w:val="OPCParaBase"/>
    <w:rsid w:val="008762B1"/>
    <w:pPr>
      <w:spacing w:before="60" w:line="240" w:lineRule="atLeast"/>
      <w:ind w:left="85" w:hanging="85"/>
    </w:pPr>
    <w:rPr>
      <w:sz w:val="20"/>
    </w:rPr>
  </w:style>
  <w:style w:type="paragraph" w:customStyle="1" w:styleId="CTA---">
    <w:name w:val="CTA ---"/>
    <w:basedOn w:val="OPCParaBase"/>
    <w:next w:val="Normal"/>
    <w:rsid w:val="008762B1"/>
    <w:pPr>
      <w:spacing w:before="60" w:line="240" w:lineRule="atLeast"/>
      <w:ind w:left="198" w:hanging="198"/>
    </w:pPr>
    <w:rPr>
      <w:sz w:val="20"/>
    </w:rPr>
  </w:style>
  <w:style w:type="paragraph" w:customStyle="1" w:styleId="CTA----">
    <w:name w:val="CTA ----"/>
    <w:basedOn w:val="OPCParaBase"/>
    <w:next w:val="Normal"/>
    <w:rsid w:val="008762B1"/>
    <w:pPr>
      <w:spacing w:before="60" w:line="240" w:lineRule="atLeast"/>
      <w:ind w:left="255" w:hanging="255"/>
    </w:pPr>
    <w:rPr>
      <w:sz w:val="20"/>
    </w:rPr>
  </w:style>
  <w:style w:type="paragraph" w:customStyle="1" w:styleId="CTA1a">
    <w:name w:val="CTA 1(a)"/>
    <w:basedOn w:val="OPCParaBase"/>
    <w:rsid w:val="008762B1"/>
    <w:pPr>
      <w:tabs>
        <w:tab w:val="right" w:pos="414"/>
      </w:tabs>
      <w:spacing w:before="40" w:line="240" w:lineRule="atLeast"/>
      <w:ind w:left="675" w:hanging="675"/>
    </w:pPr>
    <w:rPr>
      <w:sz w:val="20"/>
    </w:rPr>
  </w:style>
  <w:style w:type="paragraph" w:customStyle="1" w:styleId="CTA1ai">
    <w:name w:val="CTA 1(a)(i)"/>
    <w:basedOn w:val="OPCParaBase"/>
    <w:rsid w:val="008762B1"/>
    <w:pPr>
      <w:tabs>
        <w:tab w:val="right" w:pos="1004"/>
      </w:tabs>
      <w:spacing w:before="40" w:line="240" w:lineRule="atLeast"/>
      <w:ind w:left="1253" w:hanging="1253"/>
    </w:pPr>
    <w:rPr>
      <w:sz w:val="20"/>
    </w:rPr>
  </w:style>
  <w:style w:type="paragraph" w:customStyle="1" w:styleId="CTA2a">
    <w:name w:val="CTA 2(a)"/>
    <w:basedOn w:val="OPCParaBase"/>
    <w:rsid w:val="008762B1"/>
    <w:pPr>
      <w:tabs>
        <w:tab w:val="right" w:pos="482"/>
      </w:tabs>
      <w:spacing w:before="40" w:line="240" w:lineRule="atLeast"/>
      <w:ind w:left="748" w:hanging="748"/>
    </w:pPr>
    <w:rPr>
      <w:sz w:val="20"/>
    </w:rPr>
  </w:style>
  <w:style w:type="paragraph" w:customStyle="1" w:styleId="CTA2ai">
    <w:name w:val="CTA 2(a)(i)"/>
    <w:basedOn w:val="OPCParaBase"/>
    <w:rsid w:val="008762B1"/>
    <w:pPr>
      <w:tabs>
        <w:tab w:val="right" w:pos="1089"/>
      </w:tabs>
      <w:spacing w:before="40" w:line="240" w:lineRule="atLeast"/>
      <w:ind w:left="1327" w:hanging="1327"/>
    </w:pPr>
    <w:rPr>
      <w:sz w:val="20"/>
    </w:rPr>
  </w:style>
  <w:style w:type="paragraph" w:customStyle="1" w:styleId="CTA3a">
    <w:name w:val="CTA 3(a)"/>
    <w:basedOn w:val="OPCParaBase"/>
    <w:rsid w:val="008762B1"/>
    <w:pPr>
      <w:tabs>
        <w:tab w:val="right" w:pos="556"/>
      </w:tabs>
      <w:spacing w:before="40" w:line="240" w:lineRule="atLeast"/>
      <w:ind w:left="805" w:hanging="805"/>
    </w:pPr>
    <w:rPr>
      <w:sz w:val="20"/>
    </w:rPr>
  </w:style>
  <w:style w:type="paragraph" w:customStyle="1" w:styleId="CTA3ai">
    <w:name w:val="CTA 3(a)(i)"/>
    <w:basedOn w:val="OPCParaBase"/>
    <w:rsid w:val="008762B1"/>
    <w:pPr>
      <w:tabs>
        <w:tab w:val="right" w:pos="1140"/>
      </w:tabs>
      <w:spacing w:before="40" w:line="240" w:lineRule="atLeast"/>
      <w:ind w:left="1361" w:hanging="1361"/>
    </w:pPr>
    <w:rPr>
      <w:sz w:val="20"/>
    </w:rPr>
  </w:style>
  <w:style w:type="paragraph" w:customStyle="1" w:styleId="CTA4a">
    <w:name w:val="CTA 4(a)"/>
    <w:basedOn w:val="OPCParaBase"/>
    <w:rsid w:val="008762B1"/>
    <w:pPr>
      <w:tabs>
        <w:tab w:val="right" w:pos="624"/>
      </w:tabs>
      <w:spacing w:before="40" w:line="240" w:lineRule="atLeast"/>
      <w:ind w:left="873" w:hanging="873"/>
    </w:pPr>
    <w:rPr>
      <w:sz w:val="20"/>
    </w:rPr>
  </w:style>
  <w:style w:type="paragraph" w:customStyle="1" w:styleId="CTA4ai">
    <w:name w:val="CTA 4(a)(i)"/>
    <w:basedOn w:val="OPCParaBase"/>
    <w:rsid w:val="008762B1"/>
    <w:pPr>
      <w:tabs>
        <w:tab w:val="right" w:pos="1213"/>
      </w:tabs>
      <w:spacing w:before="40" w:line="240" w:lineRule="atLeast"/>
      <w:ind w:left="1452" w:hanging="1452"/>
    </w:pPr>
    <w:rPr>
      <w:sz w:val="20"/>
    </w:rPr>
  </w:style>
  <w:style w:type="paragraph" w:customStyle="1" w:styleId="CTACAPS">
    <w:name w:val="CTA CAPS"/>
    <w:basedOn w:val="OPCParaBase"/>
    <w:rsid w:val="008762B1"/>
    <w:pPr>
      <w:spacing w:before="60" w:line="240" w:lineRule="atLeast"/>
    </w:pPr>
    <w:rPr>
      <w:sz w:val="20"/>
    </w:rPr>
  </w:style>
  <w:style w:type="paragraph" w:customStyle="1" w:styleId="CTAright">
    <w:name w:val="CTA right"/>
    <w:basedOn w:val="OPCParaBase"/>
    <w:rsid w:val="008762B1"/>
    <w:pPr>
      <w:spacing w:before="60" w:line="240" w:lineRule="auto"/>
      <w:jc w:val="right"/>
    </w:pPr>
    <w:rPr>
      <w:sz w:val="20"/>
    </w:rPr>
  </w:style>
  <w:style w:type="paragraph" w:customStyle="1" w:styleId="subsection">
    <w:name w:val="subsection"/>
    <w:aliases w:val="ss"/>
    <w:basedOn w:val="OPCParaBase"/>
    <w:link w:val="subsectionChar"/>
    <w:rsid w:val="008762B1"/>
    <w:pPr>
      <w:tabs>
        <w:tab w:val="right" w:pos="1021"/>
      </w:tabs>
      <w:spacing w:before="180" w:line="240" w:lineRule="auto"/>
      <w:ind w:left="1134" w:hanging="1134"/>
    </w:pPr>
  </w:style>
  <w:style w:type="paragraph" w:customStyle="1" w:styleId="Definition">
    <w:name w:val="Definition"/>
    <w:aliases w:val="dd"/>
    <w:basedOn w:val="OPCParaBase"/>
    <w:rsid w:val="008762B1"/>
    <w:pPr>
      <w:spacing w:before="180" w:line="240" w:lineRule="auto"/>
      <w:ind w:left="1134"/>
    </w:pPr>
  </w:style>
  <w:style w:type="paragraph" w:customStyle="1" w:styleId="EndNotespara">
    <w:name w:val="EndNotes(para)"/>
    <w:aliases w:val="eta"/>
    <w:basedOn w:val="OPCParaBase"/>
    <w:next w:val="EndNotessubpara"/>
    <w:rsid w:val="008762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2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62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2B1"/>
    <w:pPr>
      <w:tabs>
        <w:tab w:val="right" w:pos="1412"/>
      </w:tabs>
      <w:spacing w:before="60" w:line="240" w:lineRule="auto"/>
      <w:ind w:left="1525" w:hanging="1525"/>
    </w:pPr>
    <w:rPr>
      <w:sz w:val="20"/>
    </w:rPr>
  </w:style>
  <w:style w:type="paragraph" w:customStyle="1" w:styleId="Formula">
    <w:name w:val="Formula"/>
    <w:basedOn w:val="OPCParaBase"/>
    <w:rsid w:val="008762B1"/>
    <w:pPr>
      <w:spacing w:line="240" w:lineRule="auto"/>
      <w:ind w:left="1134"/>
    </w:pPr>
    <w:rPr>
      <w:sz w:val="20"/>
    </w:rPr>
  </w:style>
  <w:style w:type="paragraph" w:styleId="Header">
    <w:name w:val="header"/>
    <w:basedOn w:val="OPCParaBase"/>
    <w:link w:val="HeaderChar"/>
    <w:unhideWhenUsed/>
    <w:rsid w:val="008762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62B1"/>
    <w:rPr>
      <w:rFonts w:eastAsia="Times New Roman" w:cs="Times New Roman"/>
      <w:sz w:val="16"/>
      <w:lang w:eastAsia="en-AU"/>
    </w:rPr>
  </w:style>
  <w:style w:type="paragraph" w:customStyle="1" w:styleId="House">
    <w:name w:val="House"/>
    <w:basedOn w:val="OPCParaBase"/>
    <w:rsid w:val="008762B1"/>
    <w:pPr>
      <w:spacing w:line="240" w:lineRule="auto"/>
    </w:pPr>
    <w:rPr>
      <w:sz w:val="28"/>
    </w:rPr>
  </w:style>
  <w:style w:type="paragraph" w:customStyle="1" w:styleId="Item">
    <w:name w:val="Item"/>
    <w:aliases w:val="i"/>
    <w:basedOn w:val="OPCParaBase"/>
    <w:next w:val="ItemHead"/>
    <w:rsid w:val="008762B1"/>
    <w:pPr>
      <w:keepLines/>
      <w:spacing w:before="80" w:line="240" w:lineRule="auto"/>
      <w:ind w:left="709"/>
    </w:pPr>
  </w:style>
  <w:style w:type="paragraph" w:customStyle="1" w:styleId="ItemHead">
    <w:name w:val="ItemHead"/>
    <w:aliases w:val="ih"/>
    <w:basedOn w:val="OPCParaBase"/>
    <w:next w:val="Item"/>
    <w:rsid w:val="008762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2B1"/>
    <w:pPr>
      <w:spacing w:line="240" w:lineRule="auto"/>
    </w:pPr>
    <w:rPr>
      <w:b/>
      <w:sz w:val="32"/>
    </w:rPr>
  </w:style>
  <w:style w:type="paragraph" w:customStyle="1" w:styleId="notedraft">
    <w:name w:val="note(draft)"/>
    <w:aliases w:val="nd"/>
    <w:basedOn w:val="OPCParaBase"/>
    <w:rsid w:val="008762B1"/>
    <w:pPr>
      <w:spacing w:before="240" w:line="240" w:lineRule="auto"/>
      <w:ind w:left="284" w:hanging="284"/>
    </w:pPr>
    <w:rPr>
      <w:i/>
      <w:sz w:val="24"/>
    </w:rPr>
  </w:style>
  <w:style w:type="paragraph" w:customStyle="1" w:styleId="notemargin">
    <w:name w:val="note(margin)"/>
    <w:aliases w:val="nm"/>
    <w:basedOn w:val="OPCParaBase"/>
    <w:rsid w:val="008762B1"/>
    <w:pPr>
      <w:tabs>
        <w:tab w:val="left" w:pos="709"/>
      </w:tabs>
      <w:spacing w:before="122" w:line="198" w:lineRule="exact"/>
      <w:ind w:left="709" w:hanging="709"/>
    </w:pPr>
    <w:rPr>
      <w:sz w:val="18"/>
    </w:rPr>
  </w:style>
  <w:style w:type="paragraph" w:customStyle="1" w:styleId="noteToPara">
    <w:name w:val="noteToPara"/>
    <w:aliases w:val="ntp"/>
    <w:basedOn w:val="OPCParaBase"/>
    <w:rsid w:val="008762B1"/>
    <w:pPr>
      <w:spacing w:before="122" w:line="198" w:lineRule="exact"/>
      <w:ind w:left="2353" w:hanging="709"/>
    </w:pPr>
    <w:rPr>
      <w:sz w:val="18"/>
    </w:rPr>
  </w:style>
  <w:style w:type="paragraph" w:customStyle="1" w:styleId="noteParlAmend">
    <w:name w:val="note(ParlAmend)"/>
    <w:aliases w:val="npp"/>
    <w:basedOn w:val="OPCParaBase"/>
    <w:next w:val="ParlAmend"/>
    <w:rsid w:val="008762B1"/>
    <w:pPr>
      <w:spacing w:line="240" w:lineRule="auto"/>
      <w:jc w:val="right"/>
    </w:pPr>
    <w:rPr>
      <w:rFonts w:ascii="Arial" w:hAnsi="Arial"/>
      <w:b/>
      <w:i/>
    </w:rPr>
  </w:style>
  <w:style w:type="paragraph" w:customStyle="1" w:styleId="Page1">
    <w:name w:val="Page1"/>
    <w:basedOn w:val="OPCParaBase"/>
    <w:rsid w:val="008762B1"/>
    <w:pPr>
      <w:spacing w:before="5600" w:line="240" w:lineRule="auto"/>
    </w:pPr>
    <w:rPr>
      <w:b/>
      <w:sz w:val="32"/>
    </w:rPr>
  </w:style>
  <w:style w:type="paragraph" w:customStyle="1" w:styleId="PageBreak">
    <w:name w:val="PageBreak"/>
    <w:aliases w:val="pb"/>
    <w:basedOn w:val="OPCParaBase"/>
    <w:rsid w:val="008762B1"/>
    <w:pPr>
      <w:spacing w:line="240" w:lineRule="auto"/>
    </w:pPr>
    <w:rPr>
      <w:sz w:val="20"/>
    </w:rPr>
  </w:style>
  <w:style w:type="paragraph" w:customStyle="1" w:styleId="paragraphsub">
    <w:name w:val="paragraph(sub)"/>
    <w:aliases w:val="aa"/>
    <w:basedOn w:val="OPCParaBase"/>
    <w:rsid w:val="008762B1"/>
    <w:pPr>
      <w:tabs>
        <w:tab w:val="right" w:pos="1985"/>
      </w:tabs>
      <w:spacing w:before="40" w:line="240" w:lineRule="auto"/>
      <w:ind w:left="2098" w:hanging="2098"/>
    </w:pPr>
  </w:style>
  <w:style w:type="paragraph" w:customStyle="1" w:styleId="paragraphsub-sub">
    <w:name w:val="paragraph(sub-sub)"/>
    <w:aliases w:val="aaa"/>
    <w:basedOn w:val="OPCParaBase"/>
    <w:rsid w:val="008762B1"/>
    <w:pPr>
      <w:tabs>
        <w:tab w:val="right" w:pos="2722"/>
      </w:tabs>
      <w:spacing w:before="40" w:line="240" w:lineRule="auto"/>
      <w:ind w:left="2835" w:hanging="2835"/>
    </w:pPr>
  </w:style>
  <w:style w:type="paragraph" w:customStyle="1" w:styleId="paragraph">
    <w:name w:val="paragraph"/>
    <w:aliases w:val="a"/>
    <w:basedOn w:val="OPCParaBase"/>
    <w:rsid w:val="008762B1"/>
    <w:pPr>
      <w:tabs>
        <w:tab w:val="right" w:pos="1531"/>
      </w:tabs>
      <w:spacing w:before="40" w:line="240" w:lineRule="auto"/>
      <w:ind w:left="1644" w:hanging="1644"/>
    </w:pPr>
  </w:style>
  <w:style w:type="paragraph" w:customStyle="1" w:styleId="ParlAmend">
    <w:name w:val="ParlAmend"/>
    <w:aliases w:val="pp"/>
    <w:basedOn w:val="OPCParaBase"/>
    <w:rsid w:val="008762B1"/>
    <w:pPr>
      <w:spacing w:before="240" w:line="240" w:lineRule="atLeast"/>
      <w:ind w:hanging="567"/>
    </w:pPr>
    <w:rPr>
      <w:sz w:val="24"/>
    </w:rPr>
  </w:style>
  <w:style w:type="paragraph" w:customStyle="1" w:styleId="Penalty">
    <w:name w:val="Penalty"/>
    <w:basedOn w:val="OPCParaBase"/>
    <w:rsid w:val="008762B1"/>
    <w:pPr>
      <w:tabs>
        <w:tab w:val="left" w:pos="2977"/>
      </w:tabs>
      <w:spacing w:before="180" w:line="240" w:lineRule="auto"/>
      <w:ind w:left="1985" w:hanging="851"/>
    </w:pPr>
  </w:style>
  <w:style w:type="paragraph" w:customStyle="1" w:styleId="Portfolio">
    <w:name w:val="Portfolio"/>
    <w:basedOn w:val="OPCParaBase"/>
    <w:rsid w:val="008762B1"/>
    <w:pPr>
      <w:spacing w:line="240" w:lineRule="auto"/>
    </w:pPr>
    <w:rPr>
      <w:i/>
      <w:sz w:val="20"/>
    </w:rPr>
  </w:style>
  <w:style w:type="paragraph" w:customStyle="1" w:styleId="Preamble">
    <w:name w:val="Preamble"/>
    <w:basedOn w:val="OPCParaBase"/>
    <w:next w:val="Normal"/>
    <w:rsid w:val="008762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2B1"/>
    <w:pPr>
      <w:spacing w:line="240" w:lineRule="auto"/>
    </w:pPr>
    <w:rPr>
      <w:i/>
      <w:sz w:val="20"/>
    </w:rPr>
  </w:style>
  <w:style w:type="paragraph" w:customStyle="1" w:styleId="Session">
    <w:name w:val="Session"/>
    <w:basedOn w:val="OPCParaBase"/>
    <w:rsid w:val="008762B1"/>
    <w:pPr>
      <w:spacing w:line="240" w:lineRule="auto"/>
    </w:pPr>
    <w:rPr>
      <w:sz w:val="28"/>
    </w:rPr>
  </w:style>
  <w:style w:type="paragraph" w:customStyle="1" w:styleId="Sponsor">
    <w:name w:val="Sponsor"/>
    <w:basedOn w:val="OPCParaBase"/>
    <w:rsid w:val="008762B1"/>
    <w:pPr>
      <w:spacing w:line="240" w:lineRule="auto"/>
    </w:pPr>
    <w:rPr>
      <w:i/>
    </w:rPr>
  </w:style>
  <w:style w:type="paragraph" w:customStyle="1" w:styleId="Subitem">
    <w:name w:val="Subitem"/>
    <w:aliases w:val="iss"/>
    <w:basedOn w:val="OPCParaBase"/>
    <w:rsid w:val="008762B1"/>
    <w:pPr>
      <w:spacing w:before="180" w:line="240" w:lineRule="auto"/>
      <w:ind w:left="709" w:hanging="709"/>
    </w:pPr>
  </w:style>
  <w:style w:type="paragraph" w:customStyle="1" w:styleId="SubitemHead">
    <w:name w:val="SubitemHead"/>
    <w:aliases w:val="issh"/>
    <w:basedOn w:val="OPCParaBase"/>
    <w:rsid w:val="008762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62B1"/>
    <w:pPr>
      <w:spacing w:before="40" w:line="240" w:lineRule="auto"/>
      <w:ind w:left="1134"/>
    </w:pPr>
  </w:style>
  <w:style w:type="paragraph" w:customStyle="1" w:styleId="SubsectionHead">
    <w:name w:val="SubsectionHead"/>
    <w:aliases w:val="ssh"/>
    <w:basedOn w:val="OPCParaBase"/>
    <w:next w:val="subsection"/>
    <w:rsid w:val="008762B1"/>
    <w:pPr>
      <w:keepNext/>
      <w:keepLines/>
      <w:spacing w:before="240" w:line="240" w:lineRule="auto"/>
      <w:ind w:left="1134"/>
    </w:pPr>
    <w:rPr>
      <w:i/>
    </w:rPr>
  </w:style>
  <w:style w:type="paragraph" w:customStyle="1" w:styleId="Tablea">
    <w:name w:val="Table(a)"/>
    <w:aliases w:val="ta"/>
    <w:basedOn w:val="OPCParaBase"/>
    <w:rsid w:val="008762B1"/>
    <w:pPr>
      <w:spacing w:before="60" w:line="240" w:lineRule="auto"/>
      <w:ind w:left="284" w:hanging="284"/>
    </w:pPr>
    <w:rPr>
      <w:sz w:val="20"/>
    </w:rPr>
  </w:style>
  <w:style w:type="paragraph" w:customStyle="1" w:styleId="TableAA">
    <w:name w:val="Table(AA)"/>
    <w:aliases w:val="taaa"/>
    <w:basedOn w:val="OPCParaBase"/>
    <w:rsid w:val="008762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2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2B1"/>
    <w:pPr>
      <w:spacing w:before="60" w:line="240" w:lineRule="atLeast"/>
    </w:pPr>
    <w:rPr>
      <w:sz w:val="20"/>
    </w:rPr>
  </w:style>
  <w:style w:type="paragraph" w:customStyle="1" w:styleId="TLPBoxTextnote">
    <w:name w:val="TLPBoxText(note"/>
    <w:aliases w:val="right)"/>
    <w:basedOn w:val="OPCParaBase"/>
    <w:rsid w:val="008762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2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2B1"/>
    <w:pPr>
      <w:spacing w:before="122" w:line="198" w:lineRule="exact"/>
      <w:ind w:left="1985" w:hanging="851"/>
      <w:jc w:val="right"/>
    </w:pPr>
    <w:rPr>
      <w:sz w:val="18"/>
    </w:rPr>
  </w:style>
  <w:style w:type="paragraph" w:customStyle="1" w:styleId="TLPTableBullet">
    <w:name w:val="TLPTableBullet"/>
    <w:aliases w:val="ttb"/>
    <w:basedOn w:val="OPCParaBase"/>
    <w:rsid w:val="008762B1"/>
    <w:pPr>
      <w:spacing w:line="240" w:lineRule="exact"/>
      <w:ind w:left="284" w:hanging="284"/>
    </w:pPr>
    <w:rPr>
      <w:sz w:val="20"/>
    </w:rPr>
  </w:style>
  <w:style w:type="paragraph" w:styleId="TOC1">
    <w:name w:val="toc 1"/>
    <w:basedOn w:val="OPCParaBase"/>
    <w:next w:val="Normal"/>
    <w:uiPriority w:val="39"/>
    <w:semiHidden/>
    <w:unhideWhenUsed/>
    <w:rsid w:val="008762B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62B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762B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762B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762B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762B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762B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62B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762B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62B1"/>
    <w:pPr>
      <w:keepLines/>
      <w:spacing w:before="240" w:after="120" w:line="240" w:lineRule="auto"/>
      <w:ind w:left="794"/>
    </w:pPr>
    <w:rPr>
      <w:b/>
      <w:kern w:val="28"/>
      <w:sz w:val="20"/>
    </w:rPr>
  </w:style>
  <w:style w:type="paragraph" w:customStyle="1" w:styleId="TofSectsHeading">
    <w:name w:val="TofSects(Heading)"/>
    <w:basedOn w:val="OPCParaBase"/>
    <w:rsid w:val="008762B1"/>
    <w:pPr>
      <w:spacing w:before="240" w:after="120" w:line="240" w:lineRule="auto"/>
    </w:pPr>
    <w:rPr>
      <w:b/>
      <w:sz w:val="24"/>
    </w:rPr>
  </w:style>
  <w:style w:type="paragraph" w:customStyle="1" w:styleId="TofSectsSection">
    <w:name w:val="TofSects(Section)"/>
    <w:basedOn w:val="OPCParaBase"/>
    <w:rsid w:val="008762B1"/>
    <w:pPr>
      <w:keepLines/>
      <w:spacing w:before="40" w:line="240" w:lineRule="auto"/>
      <w:ind w:left="1588" w:hanging="794"/>
    </w:pPr>
    <w:rPr>
      <w:kern w:val="28"/>
      <w:sz w:val="18"/>
    </w:rPr>
  </w:style>
  <w:style w:type="paragraph" w:customStyle="1" w:styleId="TofSectsSubdiv">
    <w:name w:val="TofSects(Subdiv)"/>
    <w:basedOn w:val="OPCParaBase"/>
    <w:rsid w:val="008762B1"/>
    <w:pPr>
      <w:keepLines/>
      <w:spacing w:before="80" w:line="240" w:lineRule="auto"/>
      <w:ind w:left="1588" w:hanging="794"/>
    </w:pPr>
    <w:rPr>
      <w:kern w:val="28"/>
    </w:rPr>
  </w:style>
  <w:style w:type="paragraph" w:customStyle="1" w:styleId="WRStyle">
    <w:name w:val="WR Style"/>
    <w:aliases w:val="WR"/>
    <w:basedOn w:val="OPCParaBase"/>
    <w:rsid w:val="008762B1"/>
    <w:pPr>
      <w:spacing w:before="240" w:line="240" w:lineRule="auto"/>
      <w:ind w:left="284" w:hanging="284"/>
    </w:pPr>
    <w:rPr>
      <w:b/>
      <w:i/>
      <w:kern w:val="28"/>
      <w:sz w:val="24"/>
    </w:rPr>
  </w:style>
  <w:style w:type="paragraph" w:customStyle="1" w:styleId="notepara">
    <w:name w:val="note(para)"/>
    <w:aliases w:val="na"/>
    <w:basedOn w:val="OPCParaBase"/>
    <w:rsid w:val="008762B1"/>
    <w:pPr>
      <w:spacing w:before="40" w:line="198" w:lineRule="exact"/>
      <w:ind w:left="2354" w:hanging="369"/>
    </w:pPr>
    <w:rPr>
      <w:sz w:val="18"/>
    </w:rPr>
  </w:style>
  <w:style w:type="paragraph" w:styleId="Footer">
    <w:name w:val="footer"/>
    <w:link w:val="FooterChar"/>
    <w:rsid w:val="008762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62B1"/>
    <w:rPr>
      <w:rFonts w:eastAsia="Times New Roman" w:cs="Times New Roman"/>
      <w:sz w:val="22"/>
      <w:szCs w:val="24"/>
      <w:lang w:eastAsia="en-AU"/>
    </w:rPr>
  </w:style>
  <w:style w:type="character" w:styleId="LineNumber">
    <w:name w:val="line number"/>
    <w:basedOn w:val="OPCCharBase"/>
    <w:uiPriority w:val="99"/>
    <w:semiHidden/>
    <w:unhideWhenUsed/>
    <w:rsid w:val="008762B1"/>
    <w:rPr>
      <w:sz w:val="16"/>
    </w:rPr>
  </w:style>
  <w:style w:type="table" w:customStyle="1" w:styleId="CFlag">
    <w:name w:val="CFlag"/>
    <w:basedOn w:val="TableNormal"/>
    <w:uiPriority w:val="99"/>
    <w:rsid w:val="008762B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62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2B1"/>
    <w:rPr>
      <w:rFonts w:ascii="Tahoma" w:hAnsi="Tahoma" w:cs="Tahoma"/>
      <w:sz w:val="16"/>
      <w:szCs w:val="16"/>
    </w:rPr>
  </w:style>
  <w:style w:type="table" w:styleId="TableGrid">
    <w:name w:val="Table Grid"/>
    <w:basedOn w:val="TableNormal"/>
    <w:uiPriority w:val="59"/>
    <w:rsid w:val="00876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762B1"/>
    <w:rPr>
      <w:b/>
      <w:sz w:val="28"/>
      <w:szCs w:val="32"/>
    </w:rPr>
  </w:style>
  <w:style w:type="paragraph" w:customStyle="1" w:styleId="LegislationMadeUnder">
    <w:name w:val="LegislationMadeUnder"/>
    <w:basedOn w:val="OPCParaBase"/>
    <w:next w:val="Normal"/>
    <w:rsid w:val="008762B1"/>
    <w:rPr>
      <w:i/>
      <w:sz w:val="32"/>
      <w:szCs w:val="32"/>
    </w:rPr>
  </w:style>
  <w:style w:type="paragraph" w:customStyle="1" w:styleId="SignCoverPageEnd">
    <w:name w:val="SignCoverPageEnd"/>
    <w:basedOn w:val="OPCParaBase"/>
    <w:next w:val="Normal"/>
    <w:rsid w:val="008762B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762B1"/>
    <w:pPr>
      <w:pBdr>
        <w:top w:val="single" w:sz="4" w:space="1" w:color="auto"/>
      </w:pBdr>
      <w:spacing w:before="360"/>
      <w:ind w:right="397"/>
      <w:jc w:val="both"/>
    </w:pPr>
  </w:style>
  <w:style w:type="paragraph" w:customStyle="1" w:styleId="NotesHeading1">
    <w:name w:val="NotesHeading 1"/>
    <w:basedOn w:val="OPCParaBase"/>
    <w:next w:val="Normal"/>
    <w:rsid w:val="008762B1"/>
    <w:pPr>
      <w:outlineLvl w:val="0"/>
    </w:pPr>
    <w:rPr>
      <w:b/>
      <w:sz w:val="28"/>
      <w:szCs w:val="28"/>
    </w:rPr>
  </w:style>
  <w:style w:type="paragraph" w:customStyle="1" w:styleId="NotesHeading2">
    <w:name w:val="NotesHeading 2"/>
    <w:basedOn w:val="OPCParaBase"/>
    <w:next w:val="Normal"/>
    <w:rsid w:val="008762B1"/>
    <w:rPr>
      <w:b/>
      <w:sz w:val="28"/>
      <w:szCs w:val="28"/>
    </w:rPr>
  </w:style>
  <w:style w:type="paragraph" w:customStyle="1" w:styleId="CompiledActNo">
    <w:name w:val="CompiledActNo"/>
    <w:basedOn w:val="OPCParaBase"/>
    <w:next w:val="Normal"/>
    <w:rsid w:val="008762B1"/>
    <w:rPr>
      <w:b/>
      <w:sz w:val="24"/>
      <w:szCs w:val="24"/>
    </w:rPr>
  </w:style>
  <w:style w:type="paragraph" w:customStyle="1" w:styleId="ENotesText">
    <w:name w:val="ENotesText"/>
    <w:aliases w:val="Ent"/>
    <w:basedOn w:val="OPCParaBase"/>
    <w:next w:val="Normal"/>
    <w:rsid w:val="008762B1"/>
    <w:pPr>
      <w:spacing w:before="120"/>
    </w:pPr>
  </w:style>
  <w:style w:type="paragraph" w:customStyle="1" w:styleId="CompiledMadeUnder">
    <w:name w:val="CompiledMadeUnder"/>
    <w:basedOn w:val="OPCParaBase"/>
    <w:next w:val="Normal"/>
    <w:rsid w:val="008762B1"/>
    <w:rPr>
      <w:i/>
      <w:sz w:val="24"/>
      <w:szCs w:val="24"/>
    </w:rPr>
  </w:style>
  <w:style w:type="paragraph" w:customStyle="1" w:styleId="Paragraphsub-sub-sub">
    <w:name w:val="Paragraph(sub-sub-sub)"/>
    <w:aliases w:val="aaaa"/>
    <w:basedOn w:val="OPCParaBase"/>
    <w:rsid w:val="008762B1"/>
    <w:pPr>
      <w:tabs>
        <w:tab w:val="right" w:pos="3402"/>
      </w:tabs>
      <w:spacing w:before="40" w:line="240" w:lineRule="auto"/>
      <w:ind w:left="3402" w:hanging="3402"/>
    </w:pPr>
  </w:style>
  <w:style w:type="paragraph" w:customStyle="1" w:styleId="TableTextEndNotes">
    <w:name w:val="TableTextEndNotes"/>
    <w:aliases w:val="Tten"/>
    <w:basedOn w:val="Normal"/>
    <w:rsid w:val="008762B1"/>
    <w:pPr>
      <w:spacing w:before="60" w:line="240" w:lineRule="auto"/>
    </w:pPr>
    <w:rPr>
      <w:rFonts w:cs="Arial"/>
      <w:sz w:val="20"/>
      <w:szCs w:val="22"/>
    </w:rPr>
  </w:style>
  <w:style w:type="paragraph" w:customStyle="1" w:styleId="NoteToSubpara">
    <w:name w:val="NoteToSubpara"/>
    <w:aliases w:val="nts"/>
    <w:basedOn w:val="OPCParaBase"/>
    <w:rsid w:val="008762B1"/>
    <w:pPr>
      <w:spacing w:before="40" w:line="198" w:lineRule="exact"/>
      <w:ind w:left="2835" w:hanging="709"/>
    </w:pPr>
    <w:rPr>
      <w:sz w:val="18"/>
    </w:rPr>
  </w:style>
  <w:style w:type="paragraph" w:customStyle="1" w:styleId="ENoteTableHeading">
    <w:name w:val="ENoteTableHeading"/>
    <w:aliases w:val="enth"/>
    <w:basedOn w:val="OPCParaBase"/>
    <w:rsid w:val="008762B1"/>
    <w:pPr>
      <w:keepNext/>
      <w:spacing w:before="60" w:line="240" w:lineRule="atLeast"/>
    </w:pPr>
    <w:rPr>
      <w:rFonts w:ascii="Arial" w:hAnsi="Arial"/>
      <w:b/>
      <w:sz w:val="16"/>
    </w:rPr>
  </w:style>
  <w:style w:type="paragraph" w:customStyle="1" w:styleId="ENoteTTi">
    <w:name w:val="ENoteTTi"/>
    <w:aliases w:val="entti"/>
    <w:basedOn w:val="OPCParaBase"/>
    <w:rsid w:val="008762B1"/>
    <w:pPr>
      <w:keepNext/>
      <w:spacing w:before="60" w:line="240" w:lineRule="atLeast"/>
      <w:ind w:left="170"/>
    </w:pPr>
    <w:rPr>
      <w:sz w:val="16"/>
    </w:rPr>
  </w:style>
  <w:style w:type="paragraph" w:customStyle="1" w:styleId="ENotesHeading1">
    <w:name w:val="ENotesHeading 1"/>
    <w:aliases w:val="Enh1"/>
    <w:basedOn w:val="OPCParaBase"/>
    <w:next w:val="Normal"/>
    <w:rsid w:val="008762B1"/>
    <w:pPr>
      <w:spacing w:before="120"/>
      <w:outlineLvl w:val="1"/>
    </w:pPr>
    <w:rPr>
      <w:b/>
      <w:sz w:val="28"/>
      <w:szCs w:val="28"/>
    </w:rPr>
  </w:style>
  <w:style w:type="paragraph" w:customStyle="1" w:styleId="ENotesHeading2">
    <w:name w:val="ENotesHeading 2"/>
    <w:aliases w:val="Enh2"/>
    <w:basedOn w:val="OPCParaBase"/>
    <w:next w:val="Normal"/>
    <w:rsid w:val="008762B1"/>
    <w:pPr>
      <w:spacing w:before="120" w:after="120"/>
      <w:outlineLvl w:val="2"/>
    </w:pPr>
    <w:rPr>
      <w:b/>
      <w:sz w:val="24"/>
      <w:szCs w:val="28"/>
    </w:rPr>
  </w:style>
  <w:style w:type="paragraph" w:customStyle="1" w:styleId="ENoteTTIndentHeading">
    <w:name w:val="ENoteTTIndentHeading"/>
    <w:aliases w:val="enTTHi"/>
    <w:basedOn w:val="OPCParaBase"/>
    <w:rsid w:val="008762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62B1"/>
    <w:pPr>
      <w:spacing w:before="60" w:line="240" w:lineRule="atLeast"/>
    </w:pPr>
    <w:rPr>
      <w:sz w:val="16"/>
    </w:rPr>
  </w:style>
  <w:style w:type="paragraph" w:customStyle="1" w:styleId="MadeunderText">
    <w:name w:val="MadeunderText"/>
    <w:basedOn w:val="OPCParaBase"/>
    <w:next w:val="CompiledMadeUnder"/>
    <w:rsid w:val="008762B1"/>
    <w:pPr>
      <w:spacing w:before="240"/>
    </w:pPr>
    <w:rPr>
      <w:sz w:val="24"/>
      <w:szCs w:val="24"/>
    </w:rPr>
  </w:style>
  <w:style w:type="paragraph" w:customStyle="1" w:styleId="ENotesHeading3">
    <w:name w:val="ENotesHeading 3"/>
    <w:aliases w:val="Enh3"/>
    <w:basedOn w:val="OPCParaBase"/>
    <w:next w:val="Normal"/>
    <w:rsid w:val="008762B1"/>
    <w:pPr>
      <w:keepNext/>
      <w:spacing w:before="120" w:line="240" w:lineRule="auto"/>
      <w:outlineLvl w:val="4"/>
    </w:pPr>
    <w:rPr>
      <w:b/>
      <w:szCs w:val="24"/>
    </w:rPr>
  </w:style>
  <w:style w:type="paragraph" w:customStyle="1" w:styleId="SubPartCASA">
    <w:name w:val="SubPart(CASA)"/>
    <w:aliases w:val="csp"/>
    <w:basedOn w:val="OPCParaBase"/>
    <w:next w:val="ActHead3"/>
    <w:rsid w:val="008762B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762B1"/>
  </w:style>
  <w:style w:type="character" w:customStyle="1" w:styleId="CharSubPartNoCASA">
    <w:name w:val="CharSubPartNo(CASA)"/>
    <w:basedOn w:val="OPCCharBase"/>
    <w:uiPriority w:val="1"/>
    <w:rsid w:val="008762B1"/>
  </w:style>
  <w:style w:type="paragraph" w:customStyle="1" w:styleId="ENoteTTIndentHeadingSub">
    <w:name w:val="ENoteTTIndentHeadingSub"/>
    <w:aliases w:val="enTTHis"/>
    <w:basedOn w:val="OPCParaBase"/>
    <w:rsid w:val="008762B1"/>
    <w:pPr>
      <w:keepNext/>
      <w:spacing w:before="60" w:line="240" w:lineRule="atLeast"/>
      <w:ind w:left="340"/>
    </w:pPr>
    <w:rPr>
      <w:b/>
      <w:sz w:val="16"/>
    </w:rPr>
  </w:style>
  <w:style w:type="paragraph" w:customStyle="1" w:styleId="ENoteTTiSub">
    <w:name w:val="ENoteTTiSub"/>
    <w:aliases w:val="enttis"/>
    <w:basedOn w:val="OPCParaBase"/>
    <w:rsid w:val="008762B1"/>
    <w:pPr>
      <w:keepNext/>
      <w:spacing w:before="60" w:line="240" w:lineRule="atLeast"/>
      <w:ind w:left="340"/>
    </w:pPr>
    <w:rPr>
      <w:sz w:val="16"/>
    </w:rPr>
  </w:style>
  <w:style w:type="paragraph" w:customStyle="1" w:styleId="SubDivisionMigration">
    <w:name w:val="SubDivisionMigration"/>
    <w:aliases w:val="sdm"/>
    <w:basedOn w:val="OPCParaBase"/>
    <w:rsid w:val="008762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2B1"/>
    <w:pPr>
      <w:keepNext/>
      <w:keepLines/>
      <w:spacing w:before="240" w:line="240" w:lineRule="auto"/>
      <w:ind w:left="1134" w:hanging="1134"/>
    </w:pPr>
    <w:rPr>
      <w:b/>
      <w:sz w:val="28"/>
    </w:rPr>
  </w:style>
  <w:style w:type="paragraph" w:customStyle="1" w:styleId="notetext">
    <w:name w:val="note(text)"/>
    <w:aliases w:val="n"/>
    <w:basedOn w:val="OPCParaBase"/>
    <w:rsid w:val="008762B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762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62B1"/>
    <w:rPr>
      <w:sz w:val="22"/>
    </w:rPr>
  </w:style>
  <w:style w:type="paragraph" w:customStyle="1" w:styleId="SOTextNote">
    <w:name w:val="SO TextNote"/>
    <w:aliases w:val="sont"/>
    <w:basedOn w:val="SOText"/>
    <w:qFormat/>
    <w:rsid w:val="008762B1"/>
    <w:pPr>
      <w:spacing w:before="122" w:line="198" w:lineRule="exact"/>
      <w:ind w:left="1843" w:hanging="709"/>
    </w:pPr>
    <w:rPr>
      <w:sz w:val="18"/>
    </w:rPr>
  </w:style>
  <w:style w:type="paragraph" w:customStyle="1" w:styleId="SOPara">
    <w:name w:val="SO Para"/>
    <w:aliases w:val="soa"/>
    <w:basedOn w:val="SOText"/>
    <w:link w:val="SOParaChar"/>
    <w:qFormat/>
    <w:rsid w:val="008762B1"/>
    <w:pPr>
      <w:tabs>
        <w:tab w:val="right" w:pos="1786"/>
      </w:tabs>
      <w:spacing w:before="40"/>
      <w:ind w:left="2070" w:hanging="936"/>
    </w:pPr>
  </w:style>
  <w:style w:type="character" w:customStyle="1" w:styleId="SOParaChar">
    <w:name w:val="SO Para Char"/>
    <w:aliases w:val="soa Char"/>
    <w:basedOn w:val="DefaultParagraphFont"/>
    <w:link w:val="SOPara"/>
    <w:rsid w:val="008762B1"/>
    <w:rPr>
      <w:sz w:val="22"/>
    </w:rPr>
  </w:style>
  <w:style w:type="paragraph" w:customStyle="1" w:styleId="FileName">
    <w:name w:val="FileName"/>
    <w:basedOn w:val="Normal"/>
    <w:rsid w:val="008762B1"/>
  </w:style>
  <w:style w:type="paragraph" w:customStyle="1" w:styleId="TableHeading">
    <w:name w:val="TableHeading"/>
    <w:aliases w:val="th"/>
    <w:basedOn w:val="OPCParaBase"/>
    <w:next w:val="Tabletext"/>
    <w:rsid w:val="008762B1"/>
    <w:pPr>
      <w:keepNext/>
      <w:spacing w:before="60" w:line="240" w:lineRule="atLeast"/>
    </w:pPr>
    <w:rPr>
      <w:b/>
      <w:sz w:val="20"/>
    </w:rPr>
  </w:style>
  <w:style w:type="paragraph" w:customStyle="1" w:styleId="SOHeadBold">
    <w:name w:val="SO HeadBold"/>
    <w:aliases w:val="sohb"/>
    <w:basedOn w:val="SOText"/>
    <w:next w:val="SOText"/>
    <w:link w:val="SOHeadBoldChar"/>
    <w:qFormat/>
    <w:rsid w:val="008762B1"/>
    <w:rPr>
      <w:b/>
    </w:rPr>
  </w:style>
  <w:style w:type="character" w:customStyle="1" w:styleId="SOHeadBoldChar">
    <w:name w:val="SO HeadBold Char"/>
    <w:aliases w:val="sohb Char"/>
    <w:basedOn w:val="DefaultParagraphFont"/>
    <w:link w:val="SOHeadBold"/>
    <w:rsid w:val="008762B1"/>
    <w:rPr>
      <w:b/>
      <w:sz w:val="22"/>
    </w:rPr>
  </w:style>
  <w:style w:type="paragraph" w:customStyle="1" w:styleId="SOHeadItalic">
    <w:name w:val="SO HeadItalic"/>
    <w:aliases w:val="sohi"/>
    <w:basedOn w:val="SOText"/>
    <w:next w:val="SOText"/>
    <w:link w:val="SOHeadItalicChar"/>
    <w:qFormat/>
    <w:rsid w:val="008762B1"/>
    <w:rPr>
      <w:i/>
    </w:rPr>
  </w:style>
  <w:style w:type="character" w:customStyle="1" w:styleId="SOHeadItalicChar">
    <w:name w:val="SO HeadItalic Char"/>
    <w:aliases w:val="sohi Char"/>
    <w:basedOn w:val="DefaultParagraphFont"/>
    <w:link w:val="SOHeadItalic"/>
    <w:rsid w:val="008762B1"/>
    <w:rPr>
      <w:i/>
      <w:sz w:val="22"/>
    </w:rPr>
  </w:style>
  <w:style w:type="paragraph" w:customStyle="1" w:styleId="SOBullet">
    <w:name w:val="SO Bullet"/>
    <w:aliases w:val="sotb"/>
    <w:basedOn w:val="SOText"/>
    <w:link w:val="SOBulletChar"/>
    <w:qFormat/>
    <w:rsid w:val="008762B1"/>
    <w:pPr>
      <w:ind w:left="1559" w:hanging="425"/>
    </w:pPr>
  </w:style>
  <w:style w:type="character" w:customStyle="1" w:styleId="SOBulletChar">
    <w:name w:val="SO Bullet Char"/>
    <w:aliases w:val="sotb Char"/>
    <w:basedOn w:val="DefaultParagraphFont"/>
    <w:link w:val="SOBullet"/>
    <w:rsid w:val="008762B1"/>
    <w:rPr>
      <w:sz w:val="22"/>
    </w:rPr>
  </w:style>
  <w:style w:type="paragraph" w:customStyle="1" w:styleId="SOBulletNote">
    <w:name w:val="SO BulletNote"/>
    <w:aliases w:val="sonb"/>
    <w:basedOn w:val="SOTextNote"/>
    <w:link w:val="SOBulletNoteChar"/>
    <w:qFormat/>
    <w:rsid w:val="008762B1"/>
    <w:pPr>
      <w:tabs>
        <w:tab w:val="left" w:pos="1560"/>
      </w:tabs>
      <w:ind w:left="2268" w:hanging="1134"/>
    </w:pPr>
  </w:style>
  <w:style w:type="character" w:customStyle="1" w:styleId="SOBulletNoteChar">
    <w:name w:val="SO BulletNote Char"/>
    <w:aliases w:val="sonb Char"/>
    <w:basedOn w:val="DefaultParagraphFont"/>
    <w:link w:val="SOBulletNote"/>
    <w:rsid w:val="008762B1"/>
    <w:rPr>
      <w:sz w:val="18"/>
    </w:rPr>
  </w:style>
  <w:style w:type="paragraph" w:customStyle="1" w:styleId="SOText2">
    <w:name w:val="SO Text2"/>
    <w:aliases w:val="sot2"/>
    <w:basedOn w:val="Normal"/>
    <w:next w:val="SOText"/>
    <w:link w:val="SOText2Char"/>
    <w:rsid w:val="008762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2B1"/>
    <w:rPr>
      <w:sz w:val="22"/>
    </w:rPr>
  </w:style>
  <w:style w:type="paragraph" w:styleId="ListParagraph">
    <w:name w:val="List Paragraph"/>
    <w:basedOn w:val="Normal"/>
    <w:link w:val="ListParagraphChar"/>
    <w:uiPriority w:val="34"/>
    <w:qFormat/>
    <w:rsid w:val="007E3BC7"/>
    <w:pPr>
      <w:spacing w:before="120" w:after="120" w:line="276" w:lineRule="auto"/>
      <w:ind w:left="720"/>
      <w:contextualSpacing/>
    </w:pPr>
    <w:rPr>
      <w:rFonts w:ascii="Calibri" w:eastAsia="Times New Roman" w:hAnsi="Calibri" w:cs="Times New Roman"/>
      <w:szCs w:val="22"/>
    </w:rPr>
  </w:style>
  <w:style w:type="character" w:customStyle="1" w:styleId="ListParagraphChar">
    <w:name w:val="List Paragraph Char"/>
    <w:basedOn w:val="DefaultParagraphFont"/>
    <w:link w:val="ListParagraph"/>
    <w:uiPriority w:val="34"/>
    <w:locked/>
    <w:rsid w:val="007E3BC7"/>
    <w:rPr>
      <w:rFonts w:ascii="Calibri" w:eastAsia="Times New Roman" w:hAnsi="Calibri" w:cs="Times New Roman"/>
      <w:sz w:val="22"/>
      <w:szCs w:val="22"/>
    </w:rPr>
  </w:style>
  <w:style w:type="character" w:customStyle="1" w:styleId="Heading5Char">
    <w:name w:val="Heading 5 Char"/>
    <w:basedOn w:val="DefaultParagraphFont"/>
    <w:link w:val="Heading5"/>
    <w:uiPriority w:val="9"/>
    <w:semiHidden/>
    <w:rsid w:val="004260EE"/>
    <w:rPr>
      <w:rFonts w:asciiTheme="majorHAnsi" w:eastAsiaTheme="majorEastAsia" w:hAnsiTheme="majorHAnsi" w:cstheme="majorBidi"/>
      <w:color w:val="243F60" w:themeColor="accent1" w:themeShade="7F"/>
      <w:sz w:val="22"/>
    </w:rPr>
  </w:style>
  <w:style w:type="character" w:styleId="PlaceholderText">
    <w:name w:val="Placeholder Text"/>
    <w:basedOn w:val="DefaultParagraphFont"/>
    <w:uiPriority w:val="99"/>
    <w:semiHidden/>
    <w:rsid w:val="004260EE"/>
    <w:rPr>
      <w:color w:val="808080"/>
    </w:rPr>
  </w:style>
  <w:style w:type="character" w:customStyle="1" w:styleId="subsectionChar">
    <w:name w:val="subsection Char"/>
    <w:aliases w:val="ss Char"/>
    <w:basedOn w:val="DefaultParagraphFont"/>
    <w:link w:val="subsection"/>
    <w:locked/>
    <w:rsid w:val="00383A7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4466">
      <w:bodyDiv w:val="1"/>
      <w:marLeft w:val="0"/>
      <w:marRight w:val="0"/>
      <w:marTop w:val="0"/>
      <w:marBottom w:val="0"/>
      <w:divBdr>
        <w:top w:val="none" w:sz="0" w:space="0" w:color="auto"/>
        <w:left w:val="none" w:sz="0" w:space="0" w:color="auto"/>
        <w:bottom w:val="none" w:sz="0" w:space="0" w:color="auto"/>
        <w:right w:val="none" w:sz="0" w:space="0" w:color="auto"/>
      </w:divBdr>
    </w:div>
    <w:div w:id="308364948">
      <w:bodyDiv w:val="1"/>
      <w:marLeft w:val="0"/>
      <w:marRight w:val="0"/>
      <w:marTop w:val="0"/>
      <w:marBottom w:val="0"/>
      <w:divBdr>
        <w:top w:val="none" w:sz="0" w:space="0" w:color="auto"/>
        <w:left w:val="none" w:sz="0" w:space="0" w:color="auto"/>
        <w:bottom w:val="none" w:sz="0" w:space="0" w:color="auto"/>
        <w:right w:val="none" w:sz="0" w:space="0" w:color="auto"/>
      </w:divBdr>
    </w:div>
    <w:div w:id="651641593">
      <w:bodyDiv w:val="1"/>
      <w:marLeft w:val="0"/>
      <w:marRight w:val="0"/>
      <w:marTop w:val="0"/>
      <w:marBottom w:val="0"/>
      <w:divBdr>
        <w:top w:val="none" w:sz="0" w:space="0" w:color="auto"/>
        <w:left w:val="none" w:sz="0" w:space="0" w:color="auto"/>
        <w:bottom w:val="none" w:sz="0" w:space="0" w:color="auto"/>
        <w:right w:val="none" w:sz="0" w:space="0" w:color="auto"/>
      </w:divBdr>
    </w:div>
    <w:div w:id="1725710955">
      <w:bodyDiv w:val="1"/>
      <w:marLeft w:val="0"/>
      <w:marRight w:val="0"/>
      <w:marTop w:val="0"/>
      <w:marBottom w:val="0"/>
      <w:divBdr>
        <w:top w:val="none" w:sz="0" w:space="0" w:color="auto"/>
        <w:left w:val="none" w:sz="0" w:space="0" w:color="auto"/>
        <w:bottom w:val="none" w:sz="0" w:space="0" w:color="auto"/>
        <w:right w:val="none" w:sz="0" w:space="0" w:color="auto"/>
      </w:divBdr>
    </w:div>
    <w:div w:id="17683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image" Target="media/image19.wmf"/><Relationship Id="rId63" Type="http://schemas.openxmlformats.org/officeDocument/2006/relationships/header" Target="header7.xml"/><Relationship Id="rId68"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9.bin"/><Relationship Id="rId66"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image" Target="media/image20.wmf"/><Relationship Id="rId61" Type="http://schemas.openxmlformats.org/officeDocument/2006/relationships/image" Target="media/image22.w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header" Target="header8.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1.wmf"/><Relationship Id="rId67" Type="http://schemas.openxmlformats.org/officeDocument/2006/relationships/header" Target="header9.xml"/><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C7A3-6BEE-4499-BE2D-15F89879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39</Pages>
  <Words>10454</Words>
  <Characters>56457</Characters>
  <Application>Microsoft Office Word</Application>
  <DocSecurity>0</DocSecurity>
  <PresentationFormat/>
  <Lines>1660</Lines>
  <Paragraphs>998</Paragraphs>
  <ScaleCrop>false</ScaleCrop>
  <HeadingPairs>
    <vt:vector size="2" baseType="variant">
      <vt:variant>
        <vt:lpstr>Title</vt:lpstr>
      </vt:variant>
      <vt:variant>
        <vt:i4>1</vt:i4>
      </vt:variant>
    </vt:vector>
  </HeadingPairs>
  <TitlesOfParts>
    <vt:vector size="1" baseType="lpstr">
      <vt:lpstr>Carbon Credits (Carbon Farming Initiative—Alternative Waste Treatment) Methodology Determination 2015</vt:lpstr>
    </vt:vector>
  </TitlesOfParts>
  <Manager/>
  <Company/>
  <LinksUpToDate>false</LinksUpToDate>
  <CharactersWithSpaces>65913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2014-11-19T23:24:00Z</cp:lastPrinted>
  <dcterms:created xsi:type="dcterms:W3CDTF">2015-01-19T01:37:00Z</dcterms:created>
  <dcterms:modified xsi:type="dcterms:W3CDTF">2015-01-19T01:39:00Z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Carbon Credits (Carbon Farming Initiative—Alternative Waste Treatment) Methodology Determination 2015</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OPC60653</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Carbon Credits (Carbon Farming Initiative) Act 2011</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12 January 2015</vt:lpwstr>
  </property>
</Properties>
</file>