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281FC" w14:textId="77777777" w:rsidR="003B7524" w:rsidRPr="00A712E4" w:rsidRDefault="003B7524" w:rsidP="003B7524">
      <w:pPr>
        <w:rPr>
          <w:rFonts w:ascii="Times New Roman" w:hAnsi="Times New Roman"/>
          <w:b/>
        </w:rPr>
      </w:pPr>
      <w:bookmarkStart w:id="0" w:name="_GoBack"/>
      <w:bookmarkEnd w:id="0"/>
    </w:p>
    <w:p w14:paraId="40015B5E" w14:textId="77777777" w:rsidR="003B7524" w:rsidRPr="00A712E4" w:rsidRDefault="003B7524" w:rsidP="003B7524">
      <w:pPr>
        <w:rPr>
          <w:rFonts w:ascii="Times New Roman" w:hAnsi="Times New Roman"/>
          <w:b/>
        </w:rPr>
      </w:pPr>
    </w:p>
    <w:p w14:paraId="0F1AEF2E" w14:textId="77777777" w:rsidR="003B7524" w:rsidRPr="00A712E4" w:rsidRDefault="003B7524" w:rsidP="003B7524">
      <w:pPr>
        <w:rPr>
          <w:rFonts w:ascii="Times New Roman" w:hAnsi="Times New Roman"/>
          <w:b/>
        </w:rPr>
      </w:pPr>
    </w:p>
    <w:p w14:paraId="17567CDF" w14:textId="77777777" w:rsidR="003B7524" w:rsidRPr="00A712E4" w:rsidRDefault="008071D6" w:rsidP="003B7524">
      <w:pPr>
        <w:tabs>
          <w:tab w:val="right" w:pos="8312"/>
        </w:tabs>
        <w:rPr>
          <w:rFonts w:ascii="Times New Roman" w:hAnsi="Times New Roman"/>
          <w:b/>
        </w:rPr>
      </w:pPr>
      <w:r>
        <w:rPr>
          <w:rFonts w:ascii="Times New Roman" w:hAnsi="Times New Roman"/>
          <w:b/>
          <w:noProof/>
        </w:rPr>
        <w:pict w14:anchorId="5920D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85pt;margin-top:-10.8pt;width:250.6pt;height:63.95pt;z-index:251657728">
            <v:imagedata r:id="rId9" o:title="AUSTRAC_L2"/>
          </v:shape>
        </w:pict>
      </w:r>
      <w:r w:rsidR="003B7524" w:rsidRPr="00A712E4">
        <w:rPr>
          <w:rFonts w:ascii="Times New Roman" w:hAnsi="Times New Roman"/>
          <w:b/>
        </w:rPr>
        <w:tab/>
      </w:r>
    </w:p>
    <w:p w14:paraId="6C014396" w14:textId="77777777" w:rsidR="003B7524" w:rsidRPr="00A712E4" w:rsidRDefault="003B7524" w:rsidP="003B7524">
      <w:pPr>
        <w:rPr>
          <w:rFonts w:ascii="Times New Roman" w:hAnsi="Times New Roman"/>
          <w:b/>
        </w:rPr>
      </w:pPr>
    </w:p>
    <w:p w14:paraId="078AC3C3" w14:textId="77777777" w:rsidR="003B7524" w:rsidRPr="00A712E4" w:rsidRDefault="003B7524" w:rsidP="003B7524">
      <w:pPr>
        <w:rPr>
          <w:rFonts w:ascii="Times New Roman" w:hAnsi="Times New Roman"/>
          <w:b/>
        </w:rPr>
      </w:pPr>
    </w:p>
    <w:p w14:paraId="7184C376" w14:textId="77777777" w:rsidR="003B7524" w:rsidRPr="00A712E4" w:rsidRDefault="003B7524" w:rsidP="003B7524">
      <w:pPr>
        <w:rPr>
          <w:rFonts w:ascii="Times New Roman" w:hAnsi="Times New Roman"/>
          <w:b/>
        </w:rPr>
      </w:pPr>
    </w:p>
    <w:p w14:paraId="0D4B8BD8" w14:textId="77777777" w:rsidR="003B7524" w:rsidRPr="00A712E4" w:rsidRDefault="003B7524" w:rsidP="00051713">
      <w:pPr>
        <w:rPr>
          <w:rFonts w:ascii="Times New Roman" w:hAnsi="Times New Roman"/>
          <w:b/>
          <w:sz w:val="24"/>
        </w:rPr>
      </w:pPr>
    </w:p>
    <w:p w14:paraId="26408841" w14:textId="77777777" w:rsidR="003B7524" w:rsidRPr="00A712E4" w:rsidRDefault="003B7524" w:rsidP="00051713">
      <w:pPr>
        <w:rPr>
          <w:rFonts w:ascii="Times New Roman" w:hAnsi="Times New Roman"/>
          <w:b/>
          <w:sz w:val="24"/>
        </w:rPr>
      </w:pPr>
    </w:p>
    <w:p w14:paraId="2F0E3F68" w14:textId="77777777" w:rsidR="00051713" w:rsidRPr="00A712E4" w:rsidRDefault="00051713" w:rsidP="00051713">
      <w:pPr>
        <w:rPr>
          <w:rFonts w:ascii="Times New Roman" w:hAnsi="Times New Roman"/>
          <w:b/>
          <w:sz w:val="24"/>
        </w:rPr>
      </w:pPr>
    </w:p>
    <w:p w14:paraId="1BBA6B78" w14:textId="4C5A8798" w:rsidR="003B7524" w:rsidRPr="00A712E4" w:rsidRDefault="003B7524" w:rsidP="003B7524">
      <w:pPr>
        <w:tabs>
          <w:tab w:val="left" w:pos="360"/>
          <w:tab w:val="left" w:pos="1080"/>
          <w:tab w:val="left" w:pos="3600"/>
        </w:tabs>
        <w:jc w:val="center"/>
        <w:rPr>
          <w:rFonts w:ascii="Times New Roman" w:hAnsi="Times New Roman"/>
          <w:b/>
          <w:sz w:val="24"/>
        </w:rPr>
      </w:pPr>
      <w:r w:rsidRPr="00A712E4">
        <w:rPr>
          <w:rFonts w:ascii="Times New Roman" w:hAnsi="Times New Roman"/>
          <w:b/>
          <w:sz w:val="24"/>
        </w:rPr>
        <w:t xml:space="preserve">Explanatory </w:t>
      </w:r>
      <w:r w:rsidR="003C0500" w:rsidRPr="00A712E4">
        <w:rPr>
          <w:rFonts w:ascii="Times New Roman" w:hAnsi="Times New Roman"/>
          <w:b/>
          <w:sz w:val="24"/>
        </w:rPr>
        <w:t xml:space="preserve">Statement </w:t>
      </w:r>
      <w:r w:rsidRPr="00A712E4">
        <w:rPr>
          <w:rFonts w:ascii="Times New Roman" w:hAnsi="Times New Roman"/>
          <w:b/>
          <w:sz w:val="24"/>
        </w:rPr>
        <w:t xml:space="preserve">– </w:t>
      </w:r>
      <w:r w:rsidR="00134CA6" w:rsidRPr="00A712E4">
        <w:rPr>
          <w:rFonts w:ascii="Times New Roman" w:hAnsi="Times New Roman"/>
          <w:b/>
          <w:i/>
          <w:sz w:val="24"/>
        </w:rPr>
        <w:t xml:space="preserve">Anti-Money Laundering and Counter-Terrorism Financing Rules </w:t>
      </w:r>
      <w:r w:rsidR="00856FD6" w:rsidRPr="00A712E4">
        <w:rPr>
          <w:rFonts w:ascii="Times New Roman" w:hAnsi="Times New Roman"/>
          <w:b/>
          <w:i/>
          <w:sz w:val="24"/>
        </w:rPr>
        <w:t>Amendment Instrument 201</w:t>
      </w:r>
      <w:r w:rsidR="00876CDC">
        <w:rPr>
          <w:rFonts w:ascii="Times New Roman" w:hAnsi="Times New Roman"/>
          <w:b/>
          <w:i/>
          <w:sz w:val="24"/>
        </w:rPr>
        <w:t>5</w:t>
      </w:r>
      <w:r w:rsidR="00856FD6" w:rsidRPr="00A712E4">
        <w:rPr>
          <w:rFonts w:ascii="Times New Roman" w:hAnsi="Times New Roman"/>
          <w:b/>
          <w:i/>
          <w:sz w:val="24"/>
        </w:rPr>
        <w:t xml:space="preserve"> (No. </w:t>
      </w:r>
      <w:r w:rsidR="00876CDC">
        <w:rPr>
          <w:rFonts w:ascii="Times New Roman" w:hAnsi="Times New Roman"/>
          <w:b/>
          <w:i/>
          <w:sz w:val="24"/>
        </w:rPr>
        <w:t>1</w:t>
      </w:r>
      <w:r w:rsidR="00134CA6" w:rsidRPr="00A712E4">
        <w:rPr>
          <w:rFonts w:ascii="Times New Roman" w:hAnsi="Times New Roman"/>
          <w:b/>
          <w:i/>
          <w:sz w:val="24"/>
        </w:rPr>
        <w:t xml:space="preserve">) </w:t>
      </w:r>
      <w:r w:rsidR="00134CA6" w:rsidRPr="00A712E4">
        <w:rPr>
          <w:rFonts w:ascii="Times New Roman" w:hAnsi="Times New Roman"/>
          <w:b/>
          <w:sz w:val="24"/>
        </w:rPr>
        <w:t xml:space="preserve">amending the </w:t>
      </w:r>
      <w:r w:rsidRPr="00A712E4">
        <w:rPr>
          <w:rFonts w:ascii="Times New Roman" w:hAnsi="Times New Roman"/>
          <w:b/>
          <w:i/>
          <w:sz w:val="24"/>
        </w:rPr>
        <w:t xml:space="preserve">Anti-Money Laundering and Counter-Terrorism Financing Rules Instrument 2007 (No. 1) </w:t>
      </w:r>
    </w:p>
    <w:p w14:paraId="59B98BE5" w14:textId="77777777" w:rsidR="003B7524" w:rsidRPr="00A712E4" w:rsidRDefault="003B7524" w:rsidP="003B7524">
      <w:pPr>
        <w:rPr>
          <w:rFonts w:ascii="Times New Roman" w:hAnsi="Times New Roman"/>
          <w:b/>
          <w:sz w:val="24"/>
        </w:rPr>
      </w:pPr>
    </w:p>
    <w:p w14:paraId="3E38BDF6" w14:textId="77777777" w:rsidR="003B7524" w:rsidRPr="00A712E4" w:rsidRDefault="003B7524" w:rsidP="003B7524">
      <w:pPr>
        <w:rPr>
          <w:rFonts w:ascii="Times New Roman" w:hAnsi="Times New Roman"/>
          <w:b/>
          <w:sz w:val="24"/>
        </w:rPr>
      </w:pPr>
    </w:p>
    <w:p w14:paraId="21DC642E" w14:textId="0A431A8F" w:rsidR="003B7524" w:rsidRPr="00A712E4" w:rsidRDefault="003B7524" w:rsidP="003B7524">
      <w:pPr>
        <w:ind w:left="720" w:hanging="720"/>
        <w:rPr>
          <w:rFonts w:ascii="Times New Roman" w:hAnsi="Times New Roman"/>
          <w:b/>
          <w:sz w:val="24"/>
        </w:rPr>
      </w:pPr>
      <w:r w:rsidRPr="00A712E4">
        <w:rPr>
          <w:rFonts w:ascii="Times New Roman" w:hAnsi="Times New Roman"/>
          <w:b/>
          <w:sz w:val="24"/>
        </w:rPr>
        <w:t>1.</w:t>
      </w:r>
      <w:r w:rsidRPr="00A712E4">
        <w:rPr>
          <w:rFonts w:ascii="Times New Roman" w:hAnsi="Times New Roman"/>
          <w:b/>
          <w:sz w:val="24"/>
        </w:rPr>
        <w:tab/>
        <w:t>Purpose and operation of An</w:t>
      </w:r>
      <w:r w:rsidR="00F7392E" w:rsidRPr="00A712E4">
        <w:rPr>
          <w:rFonts w:ascii="Times New Roman" w:hAnsi="Times New Roman"/>
          <w:b/>
          <w:sz w:val="24"/>
        </w:rPr>
        <w:t>ti-Money Laundering</w:t>
      </w:r>
      <w:r w:rsidR="009808DB" w:rsidRPr="00A712E4">
        <w:rPr>
          <w:rFonts w:ascii="Times New Roman" w:hAnsi="Times New Roman"/>
          <w:b/>
          <w:sz w:val="24"/>
        </w:rPr>
        <w:t>/</w:t>
      </w:r>
      <w:r w:rsidR="00F7392E" w:rsidRPr="00A712E4">
        <w:rPr>
          <w:rFonts w:ascii="Times New Roman" w:hAnsi="Times New Roman"/>
          <w:b/>
          <w:sz w:val="24"/>
        </w:rPr>
        <w:t>Counter</w:t>
      </w:r>
      <w:r w:rsidR="00F7392E" w:rsidRPr="00A712E4">
        <w:rPr>
          <w:rFonts w:ascii="Times New Roman" w:hAnsi="Times New Roman"/>
          <w:b/>
          <w:sz w:val="24"/>
        </w:rPr>
        <w:noBreakHyphen/>
      </w:r>
      <w:r w:rsidRPr="00A712E4">
        <w:rPr>
          <w:rFonts w:ascii="Times New Roman" w:hAnsi="Times New Roman"/>
          <w:b/>
          <w:sz w:val="24"/>
        </w:rPr>
        <w:t xml:space="preserve">Terrorism Financing Rules (AML/CTF Rules) </w:t>
      </w:r>
      <w:r w:rsidR="00285882" w:rsidRPr="00A712E4">
        <w:rPr>
          <w:rFonts w:ascii="Times New Roman" w:hAnsi="Times New Roman"/>
          <w:b/>
          <w:sz w:val="24"/>
        </w:rPr>
        <w:t xml:space="preserve">amending </w:t>
      </w:r>
      <w:r w:rsidR="004D29B8" w:rsidRPr="00A712E4">
        <w:rPr>
          <w:rFonts w:ascii="Times New Roman" w:hAnsi="Times New Roman"/>
          <w:b/>
          <w:sz w:val="24"/>
        </w:rPr>
        <w:t>Chapter</w:t>
      </w:r>
      <w:r w:rsidR="00BA1275" w:rsidRPr="00A712E4">
        <w:rPr>
          <w:rFonts w:ascii="Times New Roman" w:hAnsi="Times New Roman"/>
          <w:b/>
          <w:sz w:val="24"/>
        </w:rPr>
        <w:t>s</w:t>
      </w:r>
      <w:r w:rsidR="0029686B" w:rsidRPr="00A712E4">
        <w:rPr>
          <w:rFonts w:ascii="Times New Roman" w:hAnsi="Times New Roman"/>
          <w:b/>
          <w:sz w:val="24"/>
        </w:rPr>
        <w:t xml:space="preserve"> </w:t>
      </w:r>
      <w:r w:rsidR="00910C62" w:rsidRPr="00A712E4">
        <w:rPr>
          <w:rFonts w:ascii="Times New Roman" w:hAnsi="Times New Roman"/>
          <w:b/>
          <w:sz w:val="24"/>
        </w:rPr>
        <w:t>4, 63 and 65</w:t>
      </w:r>
      <w:r w:rsidR="00285882" w:rsidRPr="00A712E4">
        <w:rPr>
          <w:rFonts w:ascii="Times New Roman" w:hAnsi="Times New Roman"/>
          <w:b/>
          <w:sz w:val="24"/>
        </w:rPr>
        <w:t xml:space="preserve"> </w:t>
      </w:r>
    </w:p>
    <w:p w14:paraId="1EFBFC13" w14:textId="77777777" w:rsidR="003B7524" w:rsidRPr="00A712E4" w:rsidRDefault="003B7524" w:rsidP="003B7524">
      <w:pPr>
        <w:rPr>
          <w:rFonts w:ascii="Times New Roman" w:hAnsi="Times New Roman"/>
          <w:b/>
          <w:sz w:val="24"/>
        </w:rPr>
      </w:pPr>
    </w:p>
    <w:p w14:paraId="440223B1" w14:textId="77777777" w:rsidR="003B7524" w:rsidRPr="00A712E4" w:rsidRDefault="003B7524" w:rsidP="00F7392E">
      <w:pPr>
        <w:numPr>
          <w:ilvl w:val="0"/>
          <w:numId w:val="2"/>
        </w:numPr>
        <w:autoSpaceDE w:val="0"/>
        <w:autoSpaceDN w:val="0"/>
        <w:adjustRightInd w:val="0"/>
        <w:ind w:hanging="720"/>
        <w:rPr>
          <w:rFonts w:ascii="Times New Roman" w:hAnsi="Times New Roman"/>
          <w:sz w:val="24"/>
        </w:rPr>
      </w:pPr>
      <w:r w:rsidRPr="00A712E4">
        <w:rPr>
          <w:rFonts w:ascii="Times New Roman" w:hAnsi="Times New Roman"/>
          <w:sz w:val="24"/>
        </w:rPr>
        <w:t xml:space="preserve">Section 229 of the </w:t>
      </w:r>
      <w:r w:rsidRPr="00A712E4">
        <w:rPr>
          <w:rFonts w:ascii="Times New Roman" w:hAnsi="Times New Roman"/>
          <w:i/>
          <w:sz w:val="24"/>
        </w:rPr>
        <w:t>Anti-Money Laundering and Counter-Terrorism Financing Act 2006</w:t>
      </w:r>
      <w:r w:rsidRPr="00A712E4">
        <w:rPr>
          <w:rFonts w:ascii="Times New Roman" w:hAnsi="Times New Roman"/>
          <w:sz w:val="24"/>
        </w:rPr>
        <w:t xml:space="preserve"> (AML/CTF Act) provides that the AUSTRAC Chief Executive Officer (AUSTRAC CEO) </w:t>
      </w:r>
      <w:r w:rsidR="009531E4" w:rsidRPr="00A712E4">
        <w:rPr>
          <w:rFonts w:ascii="Times New Roman" w:hAnsi="Times New Roman"/>
          <w:sz w:val="24"/>
        </w:rPr>
        <w:t>may, b</w:t>
      </w:r>
      <w:r w:rsidRPr="00A712E4">
        <w:rPr>
          <w:rFonts w:ascii="Times New Roman" w:hAnsi="Times New Roman"/>
          <w:sz w:val="24"/>
        </w:rPr>
        <w:t>y writing, make AML/CTF Rules prescribing matters required or permitted by any other provision of the AML/CTF Act.</w:t>
      </w:r>
    </w:p>
    <w:p w14:paraId="73CEEEDF" w14:textId="77777777" w:rsidR="00DE08BE" w:rsidRPr="00A712E4" w:rsidRDefault="00DE08BE" w:rsidP="00DE08BE">
      <w:pPr>
        <w:autoSpaceDE w:val="0"/>
        <w:autoSpaceDN w:val="0"/>
        <w:adjustRightInd w:val="0"/>
        <w:ind w:left="720"/>
        <w:rPr>
          <w:rFonts w:ascii="Times New Roman" w:hAnsi="Times New Roman"/>
          <w:sz w:val="24"/>
        </w:rPr>
      </w:pPr>
    </w:p>
    <w:p w14:paraId="050E5C80" w14:textId="22F49ACF" w:rsidR="00910C62" w:rsidRPr="00A712E4" w:rsidRDefault="00910C62" w:rsidP="00910C62">
      <w:pPr>
        <w:autoSpaceDE w:val="0"/>
        <w:autoSpaceDN w:val="0"/>
        <w:adjustRightInd w:val="0"/>
        <w:rPr>
          <w:rFonts w:ascii="Times New Roman" w:hAnsi="Times New Roman"/>
          <w:b/>
          <w:color w:val="000000"/>
          <w:sz w:val="24"/>
        </w:rPr>
      </w:pPr>
      <w:r w:rsidRPr="00A712E4">
        <w:rPr>
          <w:rFonts w:ascii="Times New Roman" w:hAnsi="Times New Roman"/>
          <w:b/>
          <w:sz w:val="24"/>
        </w:rPr>
        <w:t>Amendments to Chapter 4</w:t>
      </w:r>
    </w:p>
    <w:p w14:paraId="3655FC4D" w14:textId="4CFF1200" w:rsidR="00676778" w:rsidRDefault="00676778" w:rsidP="00676778">
      <w:pPr>
        <w:numPr>
          <w:ilvl w:val="0"/>
          <w:numId w:val="2"/>
        </w:numPr>
        <w:autoSpaceDE w:val="0"/>
        <w:autoSpaceDN w:val="0"/>
        <w:adjustRightInd w:val="0"/>
        <w:spacing w:before="240"/>
        <w:ind w:hanging="720"/>
        <w:rPr>
          <w:rFonts w:ascii="Times New Roman" w:hAnsi="Times New Roman"/>
          <w:sz w:val="24"/>
        </w:rPr>
      </w:pPr>
      <w:r>
        <w:rPr>
          <w:rFonts w:ascii="Times New Roman" w:hAnsi="Times New Roman"/>
          <w:sz w:val="24"/>
        </w:rPr>
        <w:t xml:space="preserve">The </w:t>
      </w:r>
      <w:r w:rsidRPr="009E5551">
        <w:rPr>
          <w:rFonts w:ascii="Times New Roman" w:hAnsi="Times New Roman"/>
          <w:i/>
          <w:sz w:val="24"/>
        </w:rPr>
        <w:t>Anti-Money Laundering and Counter-Terrorism Financing Rules Amendment Instrument 2014 (No. 3</w:t>
      </w:r>
      <w:r>
        <w:rPr>
          <w:rFonts w:ascii="Times New Roman" w:hAnsi="Times New Roman"/>
          <w:i/>
          <w:sz w:val="24"/>
        </w:rPr>
        <w:t>)</w:t>
      </w:r>
      <w:r>
        <w:rPr>
          <w:rFonts w:ascii="Times New Roman" w:hAnsi="Times New Roman"/>
          <w:sz w:val="24"/>
        </w:rPr>
        <w:t xml:space="preserve"> introduced new customer due diligence requirements which took effect on 1 June 2014.  That Instrument amended Chapter 4 (relating to customer identification and verification) to include procedures for collecting and verifying beneficial owner information (Part 4.12) and politically exposed persons information (Part 4.13). </w:t>
      </w:r>
    </w:p>
    <w:p w14:paraId="75763AB2" w14:textId="68C459B1" w:rsidR="00676778" w:rsidRDefault="00676778" w:rsidP="00E61139">
      <w:pPr>
        <w:numPr>
          <w:ilvl w:val="0"/>
          <w:numId w:val="2"/>
        </w:numPr>
        <w:autoSpaceDE w:val="0"/>
        <w:autoSpaceDN w:val="0"/>
        <w:adjustRightInd w:val="0"/>
        <w:spacing w:before="240"/>
        <w:ind w:hanging="720"/>
        <w:rPr>
          <w:rFonts w:ascii="Times New Roman" w:hAnsi="Times New Roman"/>
          <w:sz w:val="24"/>
        </w:rPr>
      </w:pPr>
      <w:r w:rsidRPr="00E61139">
        <w:rPr>
          <w:rFonts w:ascii="Times New Roman" w:hAnsi="Times New Roman"/>
          <w:sz w:val="24"/>
        </w:rPr>
        <w:t xml:space="preserve">Paragraph 4.12.2 provides an exemption for reporting entities from beneficial owner identification requirements if certain criteria are met by the customer. Subparagraph 4.12.2(2)(d) has been amended to clarify its intention and operation for reporting entities. </w:t>
      </w:r>
    </w:p>
    <w:p w14:paraId="1531E38C" w14:textId="77777777" w:rsidR="006E3AB3" w:rsidRPr="00A712E4" w:rsidRDefault="006E3AB3" w:rsidP="006E3AB3">
      <w:pPr>
        <w:autoSpaceDE w:val="0"/>
        <w:autoSpaceDN w:val="0"/>
        <w:adjustRightInd w:val="0"/>
        <w:rPr>
          <w:rFonts w:ascii="Times New Roman" w:hAnsi="Times New Roman"/>
          <w:sz w:val="24"/>
        </w:rPr>
      </w:pPr>
    </w:p>
    <w:p w14:paraId="35F332F9" w14:textId="4DF74E60" w:rsidR="006E3AB3" w:rsidRPr="00A712E4" w:rsidRDefault="006E3AB3" w:rsidP="006E3AB3">
      <w:pPr>
        <w:autoSpaceDE w:val="0"/>
        <w:autoSpaceDN w:val="0"/>
        <w:adjustRightInd w:val="0"/>
        <w:rPr>
          <w:rFonts w:ascii="Times New Roman" w:hAnsi="Times New Roman"/>
          <w:b/>
          <w:sz w:val="24"/>
        </w:rPr>
      </w:pPr>
      <w:r w:rsidRPr="00A712E4">
        <w:rPr>
          <w:rFonts w:ascii="Times New Roman" w:hAnsi="Times New Roman"/>
          <w:b/>
          <w:sz w:val="24"/>
        </w:rPr>
        <w:t>Amendments to Chapters 63 and 65</w:t>
      </w:r>
    </w:p>
    <w:p w14:paraId="11C8FD81" w14:textId="77777777" w:rsidR="007A5903" w:rsidRPr="00A712E4" w:rsidRDefault="007A5903" w:rsidP="007A5903">
      <w:pPr>
        <w:autoSpaceDE w:val="0"/>
        <w:autoSpaceDN w:val="0"/>
        <w:adjustRightInd w:val="0"/>
        <w:rPr>
          <w:rFonts w:ascii="Times New Roman" w:hAnsi="Times New Roman"/>
          <w:sz w:val="24"/>
        </w:rPr>
      </w:pPr>
    </w:p>
    <w:p w14:paraId="207F55F1" w14:textId="28C53404" w:rsidR="00AD47F9" w:rsidRDefault="00AD47F9" w:rsidP="00AD47F9">
      <w:pPr>
        <w:numPr>
          <w:ilvl w:val="0"/>
          <w:numId w:val="2"/>
        </w:numPr>
        <w:autoSpaceDE w:val="0"/>
        <w:autoSpaceDN w:val="0"/>
        <w:adjustRightInd w:val="0"/>
        <w:ind w:hanging="720"/>
        <w:rPr>
          <w:rFonts w:ascii="Times New Roman" w:hAnsi="Times New Roman"/>
          <w:sz w:val="24"/>
        </w:rPr>
      </w:pPr>
      <w:r w:rsidRPr="00A712E4">
        <w:rPr>
          <w:rFonts w:ascii="Times New Roman" w:hAnsi="Times New Roman"/>
          <w:sz w:val="24"/>
        </w:rPr>
        <w:t xml:space="preserve">Chapter 63 of the AML/CTF Rules specifies the enrolment information to be provided or related to a person applying for enrolment.  Part A of the Schedule to Chapter 63 specifies the enrolment details to be provided by a person applying for enrolment, while Part B of the Schedule specifies the information to be obtained and retained by a person applying for enrolment. </w:t>
      </w:r>
    </w:p>
    <w:p w14:paraId="1697FC44" w14:textId="77777777" w:rsidR="00385069" w:rsidRPr="00A712E4" w:rsidRDefault="00385069" w:rsidP="00385069">
      <w:pPr>
        <w:autoSpaceDE w:val="0"/>
        <w:autoSpaceDN w:val="0"/>
        <w:adjustRightInd w:val="0"/>
        <w:ind w:left="720"/>
        <w:rPr>
          <w:rFonts w:ascii="Times New Roman" w:hAnsi="Times New Roman"/>
          <w:sz w:val="24"/>
        </w:rPr>
      </w:pPr>
    </w:p>
    <w:p w14:paraId="635186F0" w14:textId="316CA192" w:rsidR="00AD47F9" w:rsidRDefault="00AD47F9" w:rsidP="00AD47F9">
      <w:pPr>
        <w:numPr>
          <w:ilvl w:val="0"/>
          <w:numId w:val="2"/>
        </w:numPr>
        <w:autoSpaceDE w:val="0"/>
        <w:autoSpaceDN w:val="0"/>
        <w:adjustRightInd w:val="0"/>
        <w:ind w:hanging="720"/>
        <w:rPr>
          <w:rFonts w:ascii="Times New Roman" w:hAnsi="Times New Roman"/>
          <w:sz w:val="24"/>
        </w:rPr>
      </w:pPr>
      <w:r w:rsidRPr="00A712E4">
        <w:rPr>
          <w:rFonts w:ascii="Times New Roman" w:hAnsi="Times New Roman"/>
          <w:sz w:val="24"/>
          <w:lang w:eastAsia="en-AU"/>
        </w:rPr>
        <w:t xml:space="preserve">Chapter 65 specifies the information which must be included in a request to remove a person’s name and enrolment details from the Roll.  </w:t>
      </w:r>
    </w:p>
    <w:p w14:paraId="5FB56935" w14:textId="77777777" w:rsidR="00385069" w:rsidRPr="00A712E4" w:rsidRDefault="00385069" w:rsidP="00385069">
      <w:pPr>
        <w:autoSpaceDE w:val="0"/>
        <w:autoSpaceDN w:val="0"/>
        <w:adjustRightInd w:val="0"/>
        <w:rPr>
          <w:rFonts w:ascii="Times New Roman" w:hAnsi="Times New Roman"/>
          <w:sz w:val="24"/>
        </w:rPr>
      </w:pPr>
    </w:p>
    <w:p w14:paraId="3C5B9784" w14:textId="342346D3" w:rsidR="006734CF" w:rsidRPr="00A712E4" w:rsidRDefault="00C126D8" w:rsidP="006734CF">
      <w:pPr>
        <w:numPr>
          <w:ilvl w:val="0"/>
          <w:numId w:val="2"/>
        </w:numPr>
        <w:autoSpaceDE w:val="0"/>
        <w:autoSpaceDN w:val="0"/>
        <w:adjustRightInd w:val="0"/>
        <w:ind w:hanging="720"/>
        <w:rPr>
          <w:rFonts w:ascii="Times New Roman" w:hAnsi="Times New Roman"/>
          <w:sz w:val="24"/>
        </w:rPr>
      </w:pPr>
      <w:r w:rsidRPr="00A712E4">
        <w:rPr>
          <w:rFonts w:ascii="Times New Roman" w:hAnsi="Times New Roman"/>
          <w:sz w:val="24"/>
        </w:rPr>
        <w:t xml:space="preserve">The amendments to Chapter 63 and 65 are consequential to the introduction of the AUSTRAC Industry Contribution.  </w:t>
      </w:r>
      <w:r w:rsidR="006734CF" w:rsidRPr="00A712E4">
        <w:rPr>
          <w:rFonts w:ascii="Times New Roman" w:hAnsi="Times New Roman"/>
          <w:sz w:val="24"/>
        </w:rPr>
        <w:t xml:space="preserve">The </w:t>
      </w:r>
      <w:r w:rsidR="006734CF" w:rsidRPr="00A712E4">
        <w:rPr>
          <w:rFonts w:ascii="Times New Roman" w:hAnsi="Times New Roman"/>
          <w:i/>
          <w:sz w:val="24"/>
        </w:rPr>
        <w:t xml:space="preserve">Australian Transaction Reports </w:t>
      </w:r>
      <w:r w:rsidR="006734CF" w:rsidRPr="00A712E4">
        <w:rPr>
          <w:rFonts w:ascii="Times New Roman" w:hAnsi="Times New Roman"/>
          <w:i/>
          <w:sz w:val="24"/>
        </w:rPr>
        <w:lastRenderedPageBreak/>
        <w:t xml:space="preserve">and Analysis Centre Industry Contribution </w:t>
      </w:r>
      <w:r w:rsidR="006734CF" w:rsidRPr="00A712E4">
        <w:rPr>
          <w:rFonts w:ascii="Times New Roman" w:hAnsi="Times New Roman"/>
          <w:i/>
          <w:sz w:val="24"/>
          <w:lang w:val="en-US"/>
        </w:rPr>
        <w:t xml:space="preserve">Act 2011 </w:t>
      </w:r>
      <w:r w:rsidR="006734CF" w:rsidRPr="00A712E4">
        <w:rPr>
          <w:rFonts w:ascii="Times New Roman" w:hAnsi="Times New Roman"/>
          <w:sz w:val="24"/>
          <w:lang w:val="en-US"/>
        </w:rPr>
        <w:t xml:space="preserve">(the Industry Contribution Act) and the </w:t>
      </w:r>
      <w:r w:rsidR="006734CF" w:rsidRPr="00A712E4">
        <w:rPr>
          <w:rFonts w:ascii="Times New Roman" w:hAnsi="Times New Roman"/>
          <w:i/>
          <w:sz w:val="24"/>
        </w:rPr>
        <w:t xml:space="preserve">Australian Transaction Reports and Analysis Centre Industry Contribution (Collection) </w:t>
      </w:r>
      <w:r w:rsidR="006734CF" w:rsidRPr="00A712E4">
        <w:rPr>
          <w:rFonts w:ascii="Times New Roman" w:hAnsi="Times New Roman"/>
          <w:i/>
          <w:sz w:val="24"/>
          <w:lang w:val="en-US"/>
        </w:rPr>
        <w:t xml:space="preserve">Act 2011 </w:t>
      </w:r>
      <w:r w:rsidR="00ED38B0" w:rsidRPr="00A712E4">
        <w:rPr>
          <w:rFonts w:ascii="Times New Roman" w:hAnsi="Times New Roman"/>
          <w:sz w:val="24"/>
          <w:lang w:val="en-US"/>
        </w:rPr>
        <w:t xml:space="preserve">(the Collection Act) </w:t>
      </w:r>
      <w:r w:rsidR="006734CF" w:rsidRPr="00A712E4">
        <w:rPr>
          <w:rFonts w:ascii="Times New Roman" w:hAnsi="Times New Roman"/>
          <w:sz w:val="24"/>
          <w:lang w:val="en-US"/>
        </w:rPr>
        <w:t xml:space="preserve">give effect to the 2014 Budget announcement that the Australian Government would replace the cost recovery arrangements administered by AUSTRAC (known as the AUSTRAC Supervisory Levy) with an industry contribution to fund AUSTRAC’s regulatory and intelligence functions. </w:t>
      </w:r>
    </w:p>
    <w:p w14:paraId="7ED299F9" w14:textId="77777777" w:rsidR="00C126D8" w:rsidRPr="00A712E4" w:rsidRDefault="00C126D8" w:rsidP="00C126D8">
      <w:pPr>
        <w:pStyle w:val="ListParagraph"/>
        <w:rPr>
          <w:rFonts w:ascii="Times New Roman" w:hAnsi="Times New Roman"/>
          <w:sz w:val="24"/>
        </w:rPr>
      </w:pPr>
    </w:p>
    <w:p w14:paraId="27157FBF" w14:textId="78398C4E" w:rsidR="00C126D8" w:rsidRPr="00A712E4" w:rsidRDefault="00C126D8" w:rsidP="00C126D8">
      <w:pPr>
        <w:numPr>
          <w:ilvl w:val="0"/>
          <w:numId w:val="2"/>
        </w:numPr>
        <w:ind w:hanging="720"/>
        <w:rPr>
          <w:rFonts w:ascii="Times New Roman" w:hAnsi="Times New Roman"/>
          <w:sz w:val="24"/>
        </w:rPr>
      </w:pPr>
      <w:r w:rsidRPr="00A712E4">
        <w:rPr>
          <w:rFonts w:ascii="Times New Roman" w:hAnsi="Times New Roman"/>
          <w:sz w:val="24"/>
        </w:rPr>
        <w:t xml:space="preserve">The amendments to Chapter 63 also reflect proposed changes to the calculation of the levy, which will be determined by the Minister for Justice by legislative instrument (Ministerial Determination), as specified in the </w:t>
      </w:r>
      <w:r w:rsidR="006734CF" w:rsidRPr="00A712E4">
        <w:rPr>
          <w:rFonts w:ascii="Times New Roman" w:hAnsi="Times New Roman"/>
          <w:sz w:val="24"/>
        </w:rPr>
        <w:t xml:space="preserve">Industry Contribution Act. </w:t>
      </w:r>
      <w:r w:rsidRPr="00A712E4">
        <w:rPr>
          <w:rFonts w:ascii="Times New Roman" w:hAnsi="Times New Roman"/>
          <w:sz w:val="24"/>
        </w:rPr>
        <w:t xml:space="preserve"> </w:t>
      </w:r>
    </w:p>
    <w:p w14:paraId="78D05CFF" w14:textId="77777777" w:rsidR="00C126D8" w:rsidRPr="00A712E4" w:rsidRDefault="00C126D8" w:rsidP="00C126D8">
      <w:pPr>
        <w:pStyle w:val="ListParagraph"/>
        <w:rPr>
          <w:rFonts w:ascii="Times New Roman" w:hAnsi="Times New Roman"/>
          <w:sz w:val="24"/>
        </w:rPr>
      </w:pPr>
    </w:p>
    <w:p w14:paraId="0F729865" w14:textId="77777777" w:rsidR="00F7392E" w:rsidRPr="00A712E4" w:rsidRDefault="009C7626" w:rsidP="00F7392E">
      <w:pPr>
        <w:rPr>
          <w:rFonts w:ascii="Times New Roman" w:hAnsi="Times New Roman"/>
          <w:b/>
          <w:i/>
          <w:sz w:val="24"/>
          <w:lang w:eastAsia="en-AU"/>
        </w:rPr>
      </w:pPr>
      <w:r w:rsidRPr="00A712E4">
        <w:rPr>
          <w:rFonts w:ascii="Times New Roman" w:hAnsi="Times New Roman"/>
          <w:b/>
          <w:sz w:val="24"/>
          <w:lang w:eastAsia="en-AU"/>
        </w:rPr>
        <w:t>Statement</w:t>
      </w:r>
      <w:r w:rsidR="00F7392E" w:rsidRPr="00A712E4">
        <w:rPr>
          <w:rFonts w:ascii="Times New Roman" w:hAnsi="Times New Roman"/>
          <w:b/>
          <w:sz w:val="24"/>
          <w:lang w:eastAsia="en-AU"/>
        </w:rPr>
        <w:t xml:space="preserve"> of Compatibility with the </w:t>
      </w:r>
      <w:r w:rsidR="00F7392E" w:rsidRPr="00A712E4">
        <w:rPr>
          <w:rFonts w:ascii="Times New Roman" w:hAnsi="Times New Roman"/>
          <w:b/>
          <w:i/>
          <w:sz w:val="24"/>
          <w:lang w:eastAsia="en-AU"/>
        </w:rPr>
        <w:t>Human Rights (Parliamentary Scrutiny) Act 2011</w:t>
      </w:r>
    </w:p>
    <w:p w14:paraId="3A4D246C" w14:textId="77777777" w:rsidR="003340DB" w:rsidRPr="00A712E4" w:rsidRDefault="003340DB" w:rsidP="00F7392E">
      <w:pPr>
        <w:rPr>
          <w:rFonts w:ascii="Times New Roman" w:hAnsi="Times New Roman"/>
          <w:b/>
          <w:sz w:val="24"/>
          <w:lang w:eastAsia="en-AU"/>
        </w:rPr>
      </w:pPr>
    </w:p>
    <w:p w14:paraId="3C7B12E2" w14:textId="0A2F77D7" w:rsidR="00F7392E" w:rsidRPr="00A712E4" w:rsidRDefault="00F7392E" w:rsidP="007202F1">
      <w:pPr>
        <w:numPr>
          <w:ilvl w:val="0"/>
          <w:numId w:val="2"/>
        </w:numPr>
        <w:tabs>
          <w:tab w:val="clear" w:pos="720"/>
          <w:tab w:val="left" w:pos="709"/>
        </w:tabs>
        <w:autoSpaceDE w:val="0"/>
        <w:autoSpaceDN w:val="0"/>
        <w:adjustRightInd w:val="0"/>
        <w:ind w:hanging="720"/>
        <w:rPr>
          <w:rFonts w:ascii="Times New Roman" w:hAnsi="Times New Roman"/>
          <w:sz w:val="24"/>
        </w:rPr>
      </w:pPr>
      <w:r w:rsidRPr="00A712E4">
        <w:rPr>
          <w:rFonts w:ascii="Times New Roman" w:hAnsi="Times New Roman"/>
          <w:sz w:val="24"/>
        </w:rPr>
        <w:t xml:space="preserve">The </w:t>
      </w:r>
      <w:r w:rsidRPr="00A712E4">
        <w:rPr>
          <w:rFonts w:ascii="Times New Roman" w:hAnsi="Times New Roman"/>
          <w:i/>
          <w:sz w:val="24"/>
        </w:rPr>
        <w:t>Human Rights (Parliamentary Scrutiny) Act 2011</w:t>
      </w:r>
      <w:r w:rsidR="00193377" w:rsidRPr="00A712E4">
        <w:rPr>
          <w:rFonts w:ascii="Times New Roman" w:hAnsi="Times New Roman"/>
          <w:sz w:val="24"/>
        </w:rPr>
        <w:t xml:space="preserve"> was passed</w:t>
      </w:r>
      <w:r w:rsidR="00412175" w:rsidRPr="00A712E4">
        <w:rPr>
          <w:rFonts w:ascii="Times New Roman" w:hAnsi="Times New Roman"/>
          <w:sz w:val="24"/>
        </w:rPr>
        <w:t xml:space="preserve"> on 25 </w:t>
      </w:r>
      <w:r w:rsidRPr="00A712E4">
        <w:rPr>
          <w:rFonts w:ascii="Times New Roman" w:hAnsi="Times New Roman"/>
          <w:sz w:val="24"/>
        </w:rPr>
        <w:t>November 2011 and came into effect o</w:t>
      </w:r>
      <w:r w:rsidR="006B2808" w:rsidRPr="00A712E4">
        <w:rPr>
          <w:rFonts w:ascii="Times New Roman" w:hAnsi="Times New Roman"/>
          <w:sz w:val="24"/>
        </w:rPr>
        <w:t>n 4 January 2012.  It introduced</w:t>
      </w:r>
      <w:r w:rsidRPr="00A712E4">
        <w:rPr>
          <w:rFonts w:ascii="Times New Roman" w:hAnsi="Times New Roman"/>
          <w:sz w:val="24"/>
        </w:rPr>
        <w:t xml:space="preserve"> a requirement for </w:t>
      </w:r>
      <w:r w:rsidR="000D143A" w:rsidRPr="00A712E4">
        <w:rPr>
          <w:rFonts w:ascii="Times New Roman" w:hAnsi="Times New Roman"/>
          <w:sz w:val="24"/>
        </w:rPr>
        <w:t>a Statement</w:t>
      </w:r>
      <w:r w:rsidRPr="00A712E4">
        <w:rPr>
          <w:rFonts w:ascii="Times New Roman" w:hAnsi="Times New Roman"/>
          <w:sz w:val="24"/>
        </w:rPr>
        <w:t xml:space="preserve"> of Compatibility to accompany all new Bills and disallowable legislative instruments.</w:t>
      </w:r>
    </w:p>
    <w:p w14:paraId="58904529" w14:textId="77777777" w:rsidR="00F7392E" w:rsidRPr="00A712E4" w:rsidRDefault="00F7392E" w:rsidP="007202F1">
      <w:pPr>
        <w:tabs>
          <w:tab w:val="left" w:pos="709"/>
        </w:tabs>
        <w:autoSpaceDE w:val="0"/>
        <w:autoSpaceDN w:val="0"/>
        <w:adjustRightInd w:val="0"/>
        <w:ind w:left="720"/>
        <w:rPr>
          <w:rFonts w:ascii="Times New Roman" w:hAnsi="Times New Roman"/>
          <w:sz w:val="24"/>
        </w:rPr>
      </w:pPr>
    </w:p>
    <w:p w14:paraId="31BA26AA" w14:textId="74AC7D86" w:rsidR="00F7392E" w:rsidRPr="00A712E4" w:rsidRDefault="00F7392E" w:rsidP="007202F1">
      <w:pPr>
        <w:numPr>
          <w:ilvl w:val="0"/>
          <w:numId w:val="2"/>
        </w:numPr>
        <w:tabs>
          <w:tab w:val="clear" w:pos="720"/>
          <w:tab w:val="left" w:pos="709"/>
        </w:tabs>
        <w:autoSpaceDE w:val="0"/>
        <w:autoSpaceDN w:val="0"/>
        <w:adjustRightInd w:val="0"/>
        <w:ind w:hanging="720"/>
        <w:rPr>
          <w:rFonts w:ascii="Times New Roman" w:hAnsi="Times New Roman"/>
          <w:sz w:val="24"/>
        </w:rPr>
      </w:pPr>
      <w:r w:rsidRPr="00A712E4">
        <w:rPr>
          <w:rFonts w:ascii="Times New Roman" w:hAnsi="Times New Roman"/>
          <w:sz w:val="24"/>
        </w:rPr>
        <w:t xml:space="preserve">The </w:t>
      </w:r>
      <w:r w:rsidR="000D143A" w:rsidRPr="00A712E4">
        <w:rPr>
          <w:rFonts w:ascii="Times New Roman" w:hAnsi="Times New Roman"/>
          <w:sz w:val="24"/>
        </w:rPr>
        <w:t>Statement</w:t>
      </w:r>
      <w:r w:rsidRPr="00A712E4">
        <w:rPr>
          <w:rFonts w:ascii="Times New Roman" w:hAnsi="Times New Roman"/>
          <w:sz w:val="24"/>
        </w:rPr>
        <w:t xml:space="preserve"> of Compatibility for</w:t>
      </w:r>
      <w:r w:rsidR="0030571B" w:rsidRPr="00A712E4">
        <w:rPr>
          <w:rFonts w:ascii="Times New Roman" w:hAnsi="Times New Roman"/>
          <w:sz w:val="24"/>
        </w:rPr>
        <w:t xml:space="preserve"> the</w:t>
      </w:r>
      <w:r w:rsidRPr="00A712E4">
        <w:rPr>
          <w:rFonts w:ascii="Times New Roman" w:hAnsi="Times New Roman"/>
          <w:sz w:val="24"/>
        </w:rPr>
        <w:t xml:space="preserve"> </w:t>
      </w:r>
      <w:r w:rsidRPr="00A712E4">
        <w:rPr>
          <w:rFonts w:ascii="Times New Roman" w:hAnsi="Times New Roman"/>
          <w:i/>
          <w:sz w:val="24"/>
        </w:rPr>
        <w:t>Anti-Money Laundering and Counter-Terrorism Financing Rules Amendment Instrument 201</w:t>
      </w:r>
      <w:r w:rsidR="002C7F14">
        <w:rPr>
          <w:rFonts w:ascii="Times New Roman" w:hAnsi="Times New Roman"/>
          <w:i/>
          <w:sz w:val="24"/>
        </w:rPr>
        <w:t>5</w:t>
      </w:r>
      <w:r w:rsidRPr="00A712E4">
        <w:rPr>
          <w:rFonts w:ascii="Times New Roman" w:hAnsi="Times New Roman"/>
          <w:i/>
          <w:sz w:val="24"/>
        </w:rPr>
        <w:t xml:space="preserve"> (N</w:t>
      </w:r>
      <w:r w:rsidR="00A35354" w:rsidRPr="00A712E4">
        <w:rPr>
          <w:rFonts w:ascii="Times New Roman" w:hAnsi="Times New Roman"/>
          <w:i/>
          <w:sz w:val="24"/>
        </w:rPr>
        <w:t>o.</w:t>
      </w:r>
      <w:r w:rsidR="002C7F14">
        <w:rPr>
          <w:rFonts w:ascii="Times New Roman" w:hAnsi="Times New Roman"/>
          <w:i/>
          <w:sz w:val="24"/>
        </w:rPr>
        <w:t xml:space="preserve"> 1</w:t>
      </w:r>
      <w:r w:rsidRPr="00A712E4">
        <w:rPr>
          <w:rFonts w:ascii="Times New Roman" w:hAnsi="Times New Roman"/>
          <w:i/>
          <w:sz w:val="24"/>
        </w:rPr>
        <w:t>)</w:t>
      </w:r>
      <w:r w:rsidRPr="00A712E4">
        <w:rPr>
          <w:rFonts w:ascii="Times New Roman" w:hAnsi="Times New Roman"/>
          <w:sz w:val="24"/>
        </w:rPr>
        <w:t xml:space="preserve"> is included in this Explanatory </w:t>
      </w:r>
      <w:r w:rsidR="009C7626" w:rsidRPr="00A712E4">
        <w:rPr>
          <w:rFonts w:ascii="Times New Roman" w:hAnsi="Times New Roman"/>
          <w:sz w:val="24"/>
        </w:rPr>
        <w:t>Statement</w:t>
      </w:r>
      <w:r w:rsidRPr="00A712E4">
        <w:rPr>
          <w:rFonts w:ascii="Times New Roman" w:hAnsi="Times New Roman"/>
          <w:sz w:val="24"/>
        </w:rPr>
        <w:t xml:space="preserve"> at page</w:t>
      </w:r>
      <w:r w:rsidR="00385069">
        <w:rPr>
          <w:rFonts w:ascii="Times New Roman" w:hAnsi="Times New Roman"/>
          <w:sz w:val="24"/>
        </w:rPr>
        <w:t xml:space="preserve"> 6</w:t>
      </w:r>
      <w:r w:rsidRPr="00A712E4">
        <w:rPr>
          <w:rFonts w:ascii="Times New Roman" w:hAnsi="Times New Roman"/>
          <w:sz w:val="24"/>
        </w:rPr>
        <w:t xml:space="preserve">. </w:t>
      </w:r>
      <w:r w:rsidR="006B2808" w:rsidRPr="00A712E4">
        <w:rPr>
          <w:rFonts w:ascii="Times New Roman" w:hAnsi="Times New Roman"/>
          <w:sz w:val="24"/>
        </w:rPr>
        <w:t xml:space="preserve"> </w:t>
      </w:r>
      <w:r w:rsidRPr="00A712E4">
        <w:rPr>
          <w:rFonts w:ascii="Times New Roman" w:hAnsi="Times New Roman"/>
          <w:sz w:val="24"/>
        </w:rPr>
        <w:t>The AUSTRAC CEO</w:t>
      </w:r>
      <w:r w:rsidR="0030571B" w:rsidRPr="00A712E4">
        <w:rPr>
          <w:rFonts w:ascii="Times New Roman" w:hAnsi="Times New Roman"/>
          <w:sz w:val="24"/>
        </w:rPr>
        <w:t>,</w:t>
      </w:r>
      <w:r w:rsidRPr="00A712E4">
        <w:rPr>
          <w:rFonts w:ascii="Times New Roman" w:hAnsi="Times New Roman"/>
          <w:sz w:val="24"/>
        </w:rPr>
        <w:t xml:space="preserve"> as the rule-maker of this legislative instrument</w:t>
      </w:r>
      <w:r w:rsidR="0030571B" w:rsidRPr="00A712E4">
        <w:rPr>
          <w:rFonts w:ascii="Times New Roman" w:hAnsi="Times New Roman"/>
          <w:sz w:val="24"/>
        </w:rPr>
        <w:t>,</w:t>
      </w:r>
      <w:r w:rsidRPr="00A712E4">
        <w:rPr>
          <w:rFonts w:ascii="Times New Roman" w:hAnsi="Times New Roman"/>
          <w:sz w:val="24"/>
        </w:rPr>
        <w:t xml:space="preserve"> has stated that it is compatible with the human rights and freedoms recognised or declared in the international instruments list</w:t>
      </w:r>
      <w:r w:rsidR="005B5D9A" w:rsidRPr="00A712E4">
        <w:rPr>
          <w:rFonts w:ascii="Times New Roman" w:hAnsi="Times New Roman"/>
          <w:sz w:val="24"/>
        </w:rPr>
        <w:t>ed</w:t>
      </w:r>
      <w:r w:rsidRPr="00A712E4">
        <w:rPr>
          <w:rFonts w:ascii="Times New Roman" w:hAnsi="Times New Roman"/>
          <w:sz w:val="24"/>
        </w:rPr>
        <w:t xml:space="preserve"> in section 3 of the </w:t>
      </w:r>
      <w:r w:rsidRPr="00A712E4">
        <w:rPr>
          <w:rFonts w:ascii="Times New Roman" w:hAnsi="Times New Roman"/>
          <w:i/>
          <w:sz w:val="24"/>
        </w:rPr>
        <w:t>Human Rights (Parliamentary Scrutiny) Act 2011</w:t>
      </w:r>
      <w:r w:rsidRPr="00A712E4">
        <w:rPr>
          <w:rFonts w:ascii="Times New Roman" w:hAnsi="Times New Roman"/>
          <w:sz w:val="24"/>
        </w:rPr>
        <w:t>.</w:t>
      </w:r>
    </w:p>
    <w:p w14:paraId="60658CFD" w14:textId="77777777" w:rsidR="00D71B84" w:rsidRPr="00A712E4" w:rsidRDefault="00D71B84" w:rsidP="00E33BDF">
      <w:pPr>
        <w:rPr>
          <w:rFonts w:ascii="Times New Roman" w:hAnsi="Times New Roman"/>
          <w:b/>
          <w:sz w:val="24"/>
        </w:rPr>
      </w:pPr>
    </w:p>
    <w:p w14:paraId="77F74606" w14:textId="41CD81AE" w:rsidR="003B7524" w:rsidRPr="00A712E4" w:rsidRDefault="003B7524" w:rsidP="00E33BDF">
      <w:pPr>
        <w:rPr>
          <w:rFonts w:ascii="Times New Roman" w:hAnsi="Times New Roman"/>
          <w:b/>
          <w:sz w:val="24"/>
        </w:rPr>
      </w:pPr>
      <w:r w:rsidRPr="00A712E4">
        <w:rPr>
          <w:rFonts w:ascii="Times New Roman" w:hAnsi="Times New Roman"/>
          <w:b/>
          <w:sz w:val="24"/>
        </w:rPr>
        <w:t>2.</w:t>
      </w:r>
      <w:r w:rsidRPr="00A712E4">
        <w:rPr>
          <w:rFonts w:ascii="Times New Roman" w:hAnsi="Times New Roman"/>
          <w:b/>
          <w:sz w:val="24"/>
        </w:rPr>
        <w:tab/>
        <w:t>Notes on sections</w:t>
      </w:r>
    </w:p>
    <w:p w14:paraId="64464851" w14:textId="77777777" w:rsidR="003B7524" w:rsidRPr="00A712E4" w:rsidRDefault="003B7524" w:rsidP="00326047">
      <w:pPr>
        <w:rPr>
          <w:rFonts w:ascii="Times New Roman" w:hAnsi="Times New Roman"/>
          <w:b/>
          <w:sz w:val="24"/>
        </w:rPr>
      </w:pPr>
    </w:p>
    <w:p w14:paraId="77513A18" w14:textId="77777777" w:rsidR="003B7524" w:rsidRPr="00A712E4" w:rsidRDefault="003B7524" w:rsidP="003B7524">
      <w:pPr>
        <w:rPr>
          <w:rFonts w:ascii="Times New Roman" w:hAnsi="Times New Roman"/>
          <w:b/>
          <w:sz w:val="24"/>
        </w:rPr>
      </w:pPr>
      <w:r w:rsidRPr="00A712E4">
        <w:rPr>
          <w:rFonts w:ascii="Times New Roman" w:hAnsi="Times New Roman"/>
          <w:b/>
          <w:sz w:val="24"/>
        </w:rPr>
        <w:t>Section 1</w:t>
      </w:r>
    </w:p>
    <w:p w14:paraId="022E8F6D" w14:textId="77777777" w:rsidR="003B7524" w:rsidRPr="00A712E4" w:rsidRDefault="003B7524" w:rsidP="003B7524">
      <w:pPr>
        <w:rPr>
          <w:rFonts w:ascii="Times New Roman" w:hAnsi="Times New Roman"/>
          <w:b/>
          <w:sz w:val="24"/>
        </w:rPr>
      </w:pPr>
    </w:p>
    <w:p w14:paraId="4F4100DE" w14:textId="3C7BEE65" w:rsidR="003B7524" w:rsidRPr="00A712E4" w:rsidRDefault="003B7524" w:rsidP="003B7524">
      <w:pPr>
        <w:rPr>
          <w:rFonts w:ascii="Times New Roman" w:hAnsi="Times New Roman"/>
          <w:i/>
          <w:sz w:val="24"/>
        </w:rPr>
      </w:pPr>
      <w:r w:rsidRPr="00A712E4">
        <w:rPr>
          <w:rFonts w:ascii="Times New Roman" w:hAnsi="Times New Roman"/>
          <w:sz w:val="24"/>
        </w:rPr>
        <w:t xml:space="preserve">This section sets out the name of the </w:t>
      </w:r>
      <w:r w:rsidR="00535FD4" w:rsidRPr="00A712E4">
        <w:rPr>
          <w:rFonts w:ascii="Times New Roman" w:hAnsi="Times New Roman"/>
          <w:sz w:val="24"/>
        </w:rPr>
        <w:t>I</w:t>
      </w:r>
      <w:r w:rsidRPr="00A712E4">
        <w:rPr>
          <w:rFonts w:ascii="Times New Roman" w:hAnsi="Times New Roman"/>
          <w:sz w:val="24"/>
        </w:rPr>
        <w:t xml:space="preserve">nstrument, i.e. the </w:t>
      </w:r>
      <w:r w:rsidRPr="00A712E4">
        <w:rPr>
          <w:rFonts w:ascii="Times New Roman" w:hAnsi="Times New Roman"/>
          <w:i/>
          <w:sz w:val="24"/>
        </w:rPr>
        <w:t xml:space="preserve">Anti-Money Laundering and Counter-Terrorism Financing Rules Amendment Instrument </w:t>
      </w:r>
      <w:r w:rsidR="00A434EF" w:rsidRPr="00A712E4">
        <w:rPr>
          <w:rFonts w:ascii="Times New Roman" w:hAnsi="Times New Roman"/>
          <w:i/>
          <w:sz w:val="24"/>
        </w:rPr>
        <w:t>201</w:t>
      </w:r>
      <w:r w:rsidR="002C7F14">
        <w:rPr>
          <w:rFonts w:ascii="Times New Roman" w:hAnsi="Times New Roman"/>
          <w:i/>
          <w:sz w:val="24"/>
        </w:rPr>
        <w:t>5</w:t>
      </w:r>
      <w:r w:rsidR="00A434EF" w:rsidRPr="00A712E4">
        <w:rPr>
          <w:rFonts w:ascii="Times New Roman" w:hAnsi="Times New Roman"/>
          <w:i/>
          <w:sz w:val="24"/>
        </w:rPr>
        <w:t xml:space="preserve"> </w:t>
      </w:r>
      <w:r w:rsidRPr="00A712E4">
        <w:rPr>
          <w:rFonts w:ascii="Times New Roman" w:hAnsi="Times New Roman"/>
          <w:i/>
          <w:sz w:val="24"/>
        </w:rPr>
        <w:t>(No.</w:t>
      </w:r>
      <w:r w:rsidR="0030571B" w:rsidRPr="00A712E4">
        <w:rPr>
          <w:rFonts w:ascii="Times New Roman" w:hAnsi="Times New Roman"/>
          <w:i/>
          <w:sz w:val="24"/>
        </w:rPr>
        <w:t xml:space="preserve"> </w:t>
      </w:r>
      <w:r w:rsidR="002C7F14">
        <w:rPr>
          <w:rFonts w:ascii="Times New Roman" w:hAnsi="Times New Roman"/>
          <w:i/>
          <w:sz w:val="24"/>
        </w:rPr>
        <w:t>1</w:t>
      </w:r>
      <w:r w:rsidRPr="00A712E4">
        <w:rPr>
          <w:rFonts w:ascii="Times New Roman" w:hAnsi="Times New Roman"/>
          <w:i/>
          <w:sz w:val="24"/>
        </w:rPr>
        <w:t>).</w:t>
      </w:r>
    </w:p>
    <w:p w14:paraId="0BCB2E4E" w14:textId="77777777" w:rsidR="003B7524" w:rsidRPr="00A712E4" w:rsidRDefault="003B7524" w:rsidP="003B7524">
      <w:pPr>
        <w:rPr>
          <w:rFonts w:ascii="Times New Roman" w:hAnsi="Times New Roman"/>
          <w:b/>
          <w:sz w:val="24"/>
        </w:rPr>
      </w:pPr>
    </w:p>
    <w:p w14:paraId="0CBC0ECD" w14:textId="77777777" w:rsidR="003B7524" w:rsidRPr="00A712E4" w:rsidRDefault="003B7524" w:rsidP="003B7524">
      <w:pPr>
        <w:rPr>
          <w:rFonts w:ascii="Times New Roman" w:hAnsi="Times New Roman"/>
          <w:b/>
          <w:sz w:val="24"/>
        </w:rPr>
      </w:pPr>
      <w:r w:rsidRPr="00A712E4">
        <w:rPr>
          <w:rFonts w:ascii="Times New Roman" w:hAnsi="Times New Roman"/>
          <w:b/>
          <w:sz w:val="24"/>
        </w:rPr>
        <w:t>Section 2</w:t>
      </w:r>
    </w:p>
    <w:p w14:paraId="2590853F" w14:textId="77777777" w:rsidR="003B7524" w:rsidRPr="00A712E4" w:rsidRDefault="003B7524" w:rsidP="003B7524">
      <w:pPr>
        <w:rPr>
          <w:rFonts w:ascii="Times New Roman" w:hAnsi="Times New Roman"/>
          <w:b/>
          <w:sz w:val="24"/>
        </w:rPr>
      </w:pPr>
    </w:p>
    <w:p w14:paraId="34549343" w14:textId="45F44834" w:rsidR="003B7524" w:rsidRPr="00A712E4" w:rsidRDefault="003B7524" w:rsidP="003B7524">
      <w:pPr>
        <w:rPr>
          <w:rFonts w:ascii="Times New Roman" w:hAnsi="Times New Roman"/>
          <w:sz w:val="24"/>
        </w:rPr>
      </w:pPr>
      <w:r w:rsidRPr="00A712E4">
        <w:rPr>
          <w:rFonts w:ascii="Times New Roman" w:hAnsi="Times New Roman"/>
          <w:sz w:val="24"/>
        </w:rPr>
        <w:t xml:space="preserve">This section specifies that </w:t>
      </w:r>
      <w:r w:rsidR="00412175" w:rsidRPr="00A712E4">
        <w:rPr>
          <w:rFonts w:ascii="Times New Roman" w:hAnsi="Times New Roman"/>
          <w:sz w:val="24"/>
        </w:rPr>
        <w:t>Instrument</w:t>
      </w:r>
      <w:r w:rsidR="004878CA" w:rsidRPr="00A712E4">
        <w:rPr>
          <w:rFonts w:ascii="Times New Roman" w:hAnsi="Times New Roman"/>
          <w:sz w:val="24"/>
        </w:rPr>
        <w:t xml:space="preserve"> </w:t>
      </w:r>
      <w:r w:rsidRPr="00A712E4">
        <w:rPr>
          <w:rFonts w:ascii="Times New Roman" w:hAnsi="Times New Roman"/>
          <w:sz w:val="24"/>
        </w:rPr>
        <w:t>commence</w:t>
      </w:r>
      <w:r w:rsidR="008B14C4" w:rsidRPr="00A712E4">
        <w:rPr>
          <w:rFonts w:ascii="Times New Roman" w:hAnsi="Times New Roman"/>
          <w:sz w:val="24"/>
        </w:rPr>
        <w:t>s</w:t>
      </w:r>
      <w:r w:rsidRPr="00A712E4">
        <w:rPr>
          <w:rFonts w:ascii="Times New Roman" w:hAnsi="Times New Roman"/>
          <w:sz w:val="24"/>
        </w:rPr>
        <w:t xml:space="preserve"> on the day after </w:t>
      </w:r>
      <w:r w:rsidR="00412175" w:rsidRPr="00A712E4">
        <w:rPr>
          <w:rFonts w:ascii="Times New Roman" w:hAnsi="Times New Roman"/>
          <w:sz w:val="24"/>
        </w:rPr>
        <w:t>it</w:t>
      </w:r>
      <w:r w:rsidR="00B85A4C" w:rsidRPr="00A712E4">
        <w:rPr>
          <w:rFonts w:ascii="Times New Roman" w:hAnsi="Times New Roman"/>
          <w:sz w:val="24"/>
        </w:rPr>
        <w:t xml:space="preserve"> is</w:t>
      </w:r>
      <w:r w:rsidRPr="00A712E4">
        <w:rPr>
          <w:rFonts w:ascii="Times New Roman" w:hAnsi="Times New Roman"/>
          <w:sz w:val="24"/>
        </w:rPr>
        <w:t xml:space="preserve"> registered.</w:t>
      </w:r>
    </w:p>
    <w:p w14:paraId="2D899CAE" w14:textId="77777777" w:rsidR="00EF1910" w:rsidRPr="00A712E4" w:rsidRDefault="00EF1910" w:rsidP="003B7524">
      <w:pPr>
        <w:rPr>
          <w:rFonts w:ascii="Times New Roman" w:hAnsi="Times New Roman"/>
          <w:b/>
          <w:sz w:val="24"/>
        </w:rPr>
      </w:pPr>
    </w:p>
    <w:p w14:paraId="07EC6646" w14:textId="5FFFE9FE" w:rsidR="003B7524" w:rsidRPr="00A712E4" w:rsidRDefault="003B7524" w:rsidP="003B7524">
      <w:pPr>
        <w:rPr>
          <w:rFonts w:ascii="Times New Roman" w:hAnsi="Times New Roman"/>
          <w:b/>
          <w:sz w:val="24"/>
        </w:rPr>
      </w:pPr>
      <w:r w:rsidRPr="00A712E4">
        <w:rPr>
          <w:rFonts w:ascii="Times New Roman" w:hAnsi="Times New Roman"/>
          <w:b/>
          <w:sz w:val="24"/>
        </w:rPr>
        <w:t>Section 3</w:t>
      </w:r>
    </w:p>
    <w:p w14:paraId="131C2F53" w14:textId="77777777" w:rsidR="00F7392E" w:rsidRPr="00A712E4" w:rsidRDefault="00F7392E" w:rsidP="003B7524">
      <w:pPr>
        <w:rPr>
          <w:rFonts w:ascii="Times New Roman" w:hAnsi="Times New Roman"/>
          <w:b/>
          <w:sz w:val="24"/>
        </w:rPr>
      </w:pPr>
    </w:p>
    <w:p w14:paraId="3B5036DA" w14:textId="4782D280" w:rsidR="00F7392E" w:rsidRPr="00A712E4" w:rsidRDefault="00F7392E" w:rsidP="00F7392E">
      <w:pPr>
        <w:rPr>
          <w:rFonts w:ascii="Times New Roman" w:hAnsi="Times New Roman"/>
          <w:sz w:val="24"/>
        </w:rPr>
      </w:pPr>
      <w:r w:rsidRPr="00A712E4">
        <w:rPr>
          <w:rFonts w:ascii="Times New Roman" w:hAnsi="Times New Roman"/>
          <w:sz w:val="24"/>
        </w:rPr>
        <w:t>This section contains the details of the amendment</w:t>
      </w:r>
      <w:r w:rsidR="00412175" w:rsidRPr="00A712E4">
        <w:rPr>
          <w:rFonts w:ascii="Times New Roman" w:hAnsi="Times New Roman"/>
          <w:sz w:val="24"/>
        </w:rPr>
        <w:t>s</w:t>
      </w:r>
      <w:r w:rsidRPr="00A712E4">
        <w:rPr>
          <w:rFonts w:ascii="Times New Roman" w:hAnsi="Times New Roman"/>
          <w:sz w:val="24"/>
        </w:rPr>
        <w:t>:</w:t>
      </w:r>
    </w:p>
    <w:p w14:paraId="0F552FC7" w14:textId="77777777" w:rsidR="00F7392E" w:rsidRPr="00A712E4" w:rsidRDefault="00F7392E" w:rsidP="00F7392E">
      <w:pPr>
        <w:rPr>
          <w:rFonts w:ascii="Times New Roman" w:hAnsi="Times New Roman"/>
          <w:b/>
          <w:sz w:val="24"/>
        </w:rPr>
      </w:pPr>
    </w:p>
    <w:p w14:paraId="6BC272DD" w14:textId="738FB08D" w:rsidR="00412175" w:rsidRPr="00A712E4" w:rsidRDefault="00F7392E" w:rsidP="00F7392E">
      <w:pPr>
        <w:rPr>
          <w:rFonts w:ascii="Times New Roman" w:hAnsi="Times New Roman"/>
          <w:sz w:val="24"/>
        </w:rPr>
      </w:pPr>
      <w:r w:rsidRPr="00A712E4">
        <w:rPr>
          <w:rFonts w:ascii="Times New Roman" w:hAnsi="Times New Roman"/>
          <w:sz w:val="24"/>
        </w:rPr>
        <w:t>Schedule 1</w:t>
      </w:r>
      <w:r w:rsidR="00B85A4C" w:rsidRPr="00A712E4">
        <w:rPr>
          <w:rFonts w:ascii="Times New Roman" w:hAnsi="Times New Roman"/>
          <w:sz w:val="24"/>
        </w:rPr>
        <w:t xml:space="preserve"> </w:t>
      </w:r>
      <w:r w:rsidR="00412175" w:rsidRPr="00A712E4">
        <w:rPr>
          <w:rFonts w:ascii="Times New Roman" w:hAnsi="Times New Roman"/>
          <w:sz w:val="24"/>
        </w:rPr>
        <w:t xml:space="preserve">and Schedule 2 </w:t>
      </w:r>
      <w:r w:rsidR="00B85A4C" w:rsidRPr="00A712E4">
        <w:rPr>
          <w:rFonts w:ascii="Times New Roman" w:hAnsi="Times New Roman"/>
          <w:sz w:val="24"/>
        </w:rPr>
        <w:t>amend</w:t>
      </w:r>
      <w:r w:rsidRPr="00A712E4">
        <w:rPr>
          <w:rFonts w:ascii="Times New Roman" w:hAnsi="Times New Roman"/>
          <w:sz w:val="24"/>
        </w:rPr>
        <w:t xml:space="preserve"> the </w:t>
      </w:r>
      <w:r w:rsidRPr="00A712E4">
        <w:rPr>
          <w:rFonts w:ascii="Times New Roman" w:hAnsi="Times New Roman"/>
          <w:i/>
          <w:sz w:val="24"/>
        </w:rPr>
        <w:t>Anti-Money Laundering and Counter-Terrorism Financing Rules Instrument 2007 (No.</w:t>
      </w:r>
      <w:r w:rsidR="00FE78D3" w:rsidRPr="00A712E4">
        <w:rPr>
          <w:rFonts w:ascii="Times New Roman" w:hAnsi="Times New Roman"/>
          <w:i/>
          <w:sz w:val="24"/>
        </w:rPr>
        <w:t xml:space="preserve"> </w:t>
      </w:r>
      <w:r w:rsidRPr="00A712E4">
        <w:rPr>
          <w:rFonts w:ascii="Times New Roman" w:hAnsi="Times New Roman"/>
          <w:i/>
          <w:sz w:val="24"/>
        </w:rPr>
        <w:t>1)</w:t>
      </w:r>
      <w:r w:rsidRPr="00A712E4">
        <w:rPr>
          <w:rFonts w:ascii="Times New Roman" w:hAnsi="Times New Roman"/>
          <w:sz w:val="24"/>
        </w:rPr>
        <w:t>.</w:t>
      </w:r>
    </w:p>
    <w:p w14:paraId="4604055A" w14:textId="77777777" w:rsidR="00F7392E" w:rsidRPr="00A712E4" w:rsidRDefault="00F7392E" w:rsidP="00F7392E">
      <w:pPr>
        <w:rPr>
          <w:rFonts w:ascii="Times New Roman" w:hAnsi="Times New Roman"/>
          <w:b/>
          <w:sz w:val="24"/>
        </w:rPr>
      </w:pPr>
    </w:p>
    <w:p w14:paraId="234E3540" w14:textId="2D984F4E" w:rsidR="00F7392E" w:rsidRPr="00A712E4" w:rsidRDefault="00F7392E" w:rsidP="00F7392E">
      <w:pPr>
        <w:rPr>
          <w:rFonts w:ascii="Times New Roman" w:hAnsi="Times New Roman"/>
          <w:b/>
          <w:sz w:val="24"/>
        </w:rPr>
      </w:pPr>
      <w:r w:rsidRPr="00A712E4">
        <w:rPr>
          <w:rFonts w:ascii="Times New Roman" w:hAnsi="Times New Roman"/>
          <w:b/>
          <w:sz w:val="24"/>
        </w:rPr>
        <w:t>Schedule 1</w:t>
      </w:r>
    </w:p>
    <w:p w14:paraId="0A5D8CC7" w14:textId="77777777" w:rsidR="003340DB" w:rsidRPr="00A712E4" w:rsidRDefault="003340DB" w:rsidP="00F7392E">
      <w:pPr>
        <w:rPr>
          <w:rFonts w:ascii="Times New Roman" w:hAnsi="Times New Roman"/>
          <w:b/>
          <w:sz w:val="24"/>
        </w:rPr>
      </w:pPr>
    </w:p>
    <w:p w14:paraId="0023D775" w14:textId="77777777" w:rsidR="00141E34" w:rsidRPr="00A712E4" w:rsidRDefault="00141E34" w:rsidP="00141E34">
      <w:pPr>
        <w:rPr>
          <w:rFonts w:ascii="Times New Roman" w:hAnsi="Times New Roman"/>
          <w:sz w:val="24"/>
        </w:rPr>
      </w:pPr>
      <w:r w:rsidRPr="00A712E4">
        <w:rPr>
          <w:rFonts w:ascii="Times New Roman" w:hAnsi="Times New Roman"/>
          <w:sz w:val="24"/>
        </w:rPr>
        <w:t xml:space="preserve">This schedule sets out the amendment to Chapter 4. </w:t>
      </w:r>
    </w:p>
    <w:p w14:paraId="73953E48" w14:textId="77777777" w:rsidR="00412175" w:rsidRPr="00A712E4" w:rsidRDefault="00412175" w:rsidP="005114F2">
      <w:pPr>
        <w:rPr>
          <w:rFonts w:ascii="Times New Roman" w:hAnsi="Times New Roman"/>
          <w:sz w:val="24"/>
        </w:rPr>
      </w:pPr>
    </w:p>
    <w:p w14:paraId="6122F378" w14:textId="5AC75431" w:rsidR="00412175" w:rsidRPr="00A712E4" w:rsidRDefault="00412175" w:rsidP="00412175">
      <w:pPr>
        <w:rPr>
          <w:rFonts w:ascii="Times New Roman" w:hAnsi="Times New Roman"/>
          <w:b/>
          <w:sz w:val="24"/>
        </w:rPr>
      </w:pPr>
      <w:r w:rsidRPr="00A712E4">
        <w:rPr>
          <w:rFonts w:ascii="Times New Roman" w:hAnsi="Times New Roman"/>
          <w:b/>
          <w:sz w:val="24"/>
        </w:rPr>
        <w:lastRenderedPageBreak/>
        <w:t>Schedule 2</w:t>
      </w:r>
    </w:p>
    <w:p w14:paraId="14E33563" w14:textId="77777777" w:rsidR="00412175" w:rsidRPr="00A712E4" w:rsidRDefault="00412175" w:rsidP="00412175">
      <w:pPr>
        <w:rPr>
          <w:rFonts w:ascii="Times New Roman" w:hAnsi="Times New Roman"/>
          <w:b/>
          <w:sz w:val="24"/>
        </w:rPr>
      </w:pPr>
    </w:p>
    <w:p w14:paraId="49FB139D" w14:textId="77777777" w:rsidR="00141E34" w:rsidRPr="00A712E4" w:rsidRDefault="00141E34" w:rsidP="00141E34">
      <w:pPr>
        <w:rPr>
          <w:rFonts w:ascii="Times New Roman" w:hAnsi="Times New Roman"/>
          <w:sz w:val="24"/>
        </w:rPr>
      </w:pPr>
      <w:r w:rsidRPr="00A712E4">
        <w:rPr>
          <w:rFonts w:ascii="Times New Roman" w:hAnsi="Times New Roman"/>
          <w:sz w:val="24"/>
        </w:rPr>
        <w:t xml:space="preserve">This schedule sets out the amendments to Chapters 63 and 65. </w:t>
      </w:r>
    </w:p>
    <w:p w14:paraId="53967E96" w14:textId="13824E5E" w:rsidR="003B7524" w:rsidRPr="00A712E4" w:rsidRDefault="003B7524" w:rsidP="003B7524">
      <w:pPr>
        <w:spacing w:before="240"/>
        <w:rPr>
          <w:rFonts w:ascii="Times New Roman" w:hAnsi="Times New Roman"/>
          <w:b/>
          <w:sz w:val="24"/>
        </w:rPr>
      </w:pPr>
      <w:r w:rsidRPr="00A712E4">
        <w:rPr>
          <w:rFonts w:ascii="Times New Roman" w:hAnsi="Times New Roman"/>
          <w:b/>
          <w:sz w:val="24"/>
        </w:rPr>
        <w:t>3.</w:t>
      </w:r>
      <w:r w:rsidRPr="00A712E4">
        <w:rPr>
          <w:rFonts w:ascii="Times New Roman" w:hAnsi="Times New Roman"/>
          <w:b/>
          <w:sz w:val="24"/>
        </w:rPr>
        <w:tab/>
        <w:t xml:space="preserve">Notes on </w:t>
      </w:r>
      <w:r w:rsidR="00F7392E" w:rsidRPr="00A712E4">
        <w:rPr>
          <w:rFonts w:ascii="Times New Roman" w:hAnsi="Times New Roman"/>
          <w:b/>
          <w:sz w:val="24"/>
        </w:rPr>
        <w:t>I</w:t>
      </w:r>
      <w:r w:rsidR="00430DA3" w:rsidRPr="00A712E4">
        <w:rPr>
          <w:rFonts w:ascii="Times New Roman" w:hAnsi="Times New Roman"/>
          <w:b/>
          <w:sz w:val="24"/>
        </w:rPr>
        <w:t>tems</w:t>
      </w:r>
    </w:p>
    <w:p w14:paraId="44602CDA" w14:textId="0CDEC096" w:rsidR="00141E34" w:rsidRPr="00A712E4" w:rsidRDefault="00141E34" w:rsidP="00141E34">
      <w:pPr>
        <w:spacing w:before="240"/>
        <w:rPr>
          <w:rFonts w:ascii="Times New Roman" w:hAnsi="Times New Roman"/>
          <w:b/>
          <w:sz w:val="24"/>
        </w:rPr>
      </w:pPr>
      <w:r>
        <w:rPr>
          <w:rFonts w:ascii="Times New Roman" w:hAnsi="Times New Roman"/>
          <w:b/>
          <w:sz w:val="24"/>
        </w:rPr>
        <w:t>Schedule 1</w:t>
      </w:r>
    </w:p>
    <w:p w14:paraId="38A57F3D" w14:textId="77777777" w:rsidR="00141E34" w:rsidRPr="00A712E4" w:rsidRDefault="00141E34" w:rsidP="00141E34">
      <w:pPr>
        <w:tabs>
          <w:tab w:val="left" w:pos="709"/>
        </w:tabs>
        <w:spacing w:before="240"/>
        <w:ind w:left="709" w:hanging="709"/>
        <w:rPr>
          <w:rFonts w:ascii="Times New Roman" w:hAnsi="Times New Roman"/>
          <w:b/>
          <w:sz w:val="24"/>
        </w:rPr>
      </w:pPr>
      <w:r w:rsidRPr="00A712E4">
        <w:rPr>
          <w:rFonts w:ascii="Times New Roman" w:hAnsi="Times New Roman"/>
          <w:b/>
          <w:sz w:val="24"/>
        </w:rPr>
        <w:t xml:space="preserve">1. </w:t>
      </w:r>
      <w:r w:rsidRPr="00A712E4">
        <w:rPr>
          <w:rFonts w:ascii="Times New Roman" w:hAnsi="Times New Roman"/>
          <w:b/>
          <w:sz w:val="24"/>
        </w:rPr>
        <w:tab/>
        <w:t>Chapter 4</w:t>
      </w:r>
    </w:p>
    <w:p w14:paraId="400F0B0C" w14:textId="77777777" w:rsidR="00141E34" w:rsidRPr="00A712E4" w:rsidRDefault="00141E34" w:rsidP="00141E34">
      <w:pPr>
        <w:spacing w:before="240"/>
        <w:rPr>
          <w:rFonts w:ascii="Times New Roman" w:hAnsi="Times New Roman"/>
          <w:b/>
          <w:sz w:val="24"/>
        </w:rPr>
      </w:pPr>
      <w:r w:rsidRPr="00A712E4">
        <w:rPr>
          <w:rFonts w:ascii="Times New Roman" w:hAnsi="Times New Roman"/>
          <w:b/>
          <w:sz w:val="24"/>
        </w:rPr>
        <w:t>Item 1</w:t>
      </w:r>
    </w:p>
    <w:p w14:paraId="121382BD" w14:textId="2568B688" w:rsidR="00141E34" w:rsidRPr="00385069" w:rsidRDefault="00141E34" w:rsidP="007B0B01">
      <w:pPr>
        <w:spacing w:before="240"/>
        <w:rPr>
          <w:rFonts w:ascii="Times New Roman" w:hAnsi="Times New Roman"/>
          <w:sz w:val="24"/>
        </w:rPr>
      </w:pPr>
      <w:r w:rsidRPr="00A712E4">
        <w:rPr>
          <w:rFonts w:ascii="Times New Roman" w:hAnsi="Times New Roman"/>
          <w:sz w:val="24"/>
        </w:rPr>
        <w:t xml:space="preserve">This item </w:t>
      </w:r>
      <w:r w:rsidR="00385069">
        <w:rPr>
          <w:rFonts w:ascii="Times New Roman" w:hAnsi="Times New Roman"/>
          <w:sz w:val="24"/>
        </w:rPr>
        <w:t>clarifies the operation of</w:t>
      </w:r>
      <w:r w:rsidRPr="00A712E4">
        <w:rPr>
          <w:rFonts w:ascii="Times New Roman" w:hAnsi="Times New Roman"/>
          <w:sz w:val="24"/>
        </w:rPr>
        <w:t xml:space="preserve"> subparagraph 4.12.2(2)(d)</w:t>
      </w:r>
      <w:r>
        <w:rPr>
          <w:rFonts w:ascii="Times New Roman" w:hAnsi="Times New Roman"/>
          <w:sz w:val="24"/>
        </w:rPr>
        <w:t xml:space="preserve"> by </w:t>
      </w:r>
      <w:r w:rsidR="005871DD">
        <w:rPr>
          <w:rFonts w:ascii="Times New Roman" w:hAnsi="Times New Roman"/>
          <w:sz w:val="24"/>
        </w:rPr>
        <w:t xml:space="preserve">the insertion of the </w:t>
      </w:r>
      <w:r>
        <w:rPr>
          <w:rFonts w:ascii="Times New Roman" w:hAnsi="Times New Roman"/>
          <w:sz w:val="24"/>
        </w:rPr>
        <w:t>words ‘the same as’</w:t>
      </w:r>
      <w:r w:rsidRPr="00A712E4">
        <w:rPr>
          <w:rFonts w:ascii="Times New Roman" w:hAnsi="Times New Roman"/>
          <w:sz w:val="24"/>
        </w:rPr>
        <w:t xml:space="preserve">. </w:t>
      </w:r>
    </w:p>
    <w:p w14:paraId="4F832592" w14:textId="673A4D91" w:rsidR="007B0B01" w:rsidRPr="00A712E4" w:rsidRDefault="007B0B01" w:rsidP="007B0B01">
      <w:pPr>
        <w:spacing w:before="240"/>
        <w:rPr>
          <w:rFonts w:ascii="Times New Roman" w:hAnsi="Times New Roman"/>
          <w:b/>
          <w:sz w:val="24"/>
        </w:rPr>
      </w:pPr>
      <w:r w:rsidRPr="00A712E4">
        <w:rPr>
          <w:rFonts w:ascii="Times New Roman" w:hAnsi="Times New Roman"/>
          <w:b/>
          <w:sz w:val="24"/>
        </w:rPr>
        <w:t xml:space="preserve">Schedule </w:t>
      </w:r>
      <w:r w:rsidR="00141E34">
        <w:rPr>
          <w:rFonts w:ascii="Times New Roman" w:hAnsi="Times New Roman"/>
          <w:b/>
          <w:sz w:val="24"/>
        </w:rPr>
        <w:t>2</w:t>
      </w:r>
    </w:p>
    <w:p w14:paraId="16ABBDF4" w14:textId="3A7A1869" w:rsidR="0049116B" w:rsidRPr="00A712E4" w:rsidRDefault="0049116B" w:rsidP="003D1772">
      <w:pPr>
        <w:numPr>
          <w:ilvl w:val="0"/>
          <w:numId w:val="21"/>
        </w:numPr>
        <w:tabs>
          <w:tab w:val="left" w:pos="709"/>
        </w:tabs>
        <w:spacing w:before="240"/>
        <w:ind w:left="709" w:hanging="709"/>
        <w:rPr>
          <w:rFonts w:ascii="Times New Roman" w:hAnsi="Times New Roman"/>
          <w:b/>
          <w:sz w:val="24"/>
        </w:rPr>
      </w:pPr>
      <w:r w:rsidRPr="00A712E4">
        <w:rPr>
          <w:rFonts w:ascii="Times New Roman" w:hAnsi="Times New Roman"/>
          <w:b/>
          <w:sz w:val="24"/>
        </w:rPr>
        <w:t xml:space="preserve">Chapter </w:t>
      </w:r>
      <w:r w:rsidR="00412175" w:rsidRPr="00A712E4">
        <w:rPr>
          <w:rFonts w:ascii="Times New Roman" w:hAnsi="Times New Roman"/>
          <w:b/>
          <w:sz w:val="24"/>
        </w:rPr>
        <w:t>63</w:t>
      </w:r>
    </w:p>
    <w:p w14:paraId="79E20635" w14:textId="77777777" w:rsidR="007B0B01" w:rsidRPr="00A712E4" w:rsidRDefault="007B0B01" w:rsidP="007B0B01">
      <w:pPr>
        <w:spacing w:before="240"/>
        <w:rPr>
          <w:rFonts w:ascii="Times New Roman" w:hAnsi="Times New Roman"/>
          <w:b/>
          <w:sz w:val="24"/>
        </w:rPr>
      </w:pPr>
      <w:r w:rsidRPr="00A712E4">
        <w:rPr>
          <w:rFonts w:ascii="Times New Roman" w:hAnsi="Times New Roman"/>
          <w:b/>
          <w:sz w:val="24"/>
        </w:rPr>
        <w:t>Item 1</w:t>
      </w:r>
    </w:p>
    <w:p w14:paraId="7907430A" w14:textId="4AF249A1" w:rsidR="00412175" w:rsidRPr="00A712E4" w:rsidRDefault="00412175" w:rsidP="00231302">
      <w:pPr>
        <w:spacing w:before="240"/>
        <w:rPr>
          <w:rFonts w:ascii="Times New Roman" w:hAnsi="Times New Roman"/>
          <w:sz w:val="24"/>
        </w:rPr>
      </w:pPr>
      <w:r w:rsidRPr="00A712E4">
        <w:rPr>
          <w:rFonts w:ascii="Times New Roman" w:hAnsi="Times New Roman"/>
          <w:sz w:val="24"/>
        </w:rPr>
        <w:t xml:space="preserve">This item removes </w:t>
      </w:r>
      <w:r w:rsidR="004A2991">
        <w:rPr>
          <w:rFonts w:ascii="Times New Roman" w:hAnsi="Times New Roman"/>
          <w:sz w:val="24"/>
        </w:rPr>
        <w:t xml:space="preserve">the </w:t>
      </w:r>
      <w:r w:rsidRPr="00A712E4">
        <w:rPr>
          <w:rFonts w:ascii="Times New Roman" w:hAnsi="Times New Roman"/>
          <w:sz w:val="24"/>
        </w:rPr>
        <w:t xml:space="preserve">reference to the commencement of the Chapter, as this is now redundant. </w:t>
      </w:r>
    </w:p>
    <w:p w14:paraId="0EFCCF4F" w14:textId="0ABCD535" w:rsidR="00412175" w:rsidRPr="00A712E4" w:rsidRDefault="00412175" w:rsidP="00231302">
      <w:pPr>
        <w:spacing w:before="240"/>
        <w:rPr>
          <w:rFonts w:ascii="Times New Roman" w:hAnsi="Times New Roman"/>
          <w:b/>
          <w:sz w:val="24"/>
        </w:rPr>
      </w:pPr>
      <w:r w:rsidRPr="00A712E4">
        <w:rPr>
          <w:rFonts w:ascii="Times New Roman" w:hAnsi="Times New Roman"/>
          <w:b/>
          <w:sz w:val="24"/>
        </w:rPr>
        <w:t>Item 2</w:t>
      </w:r>
    </w:p>
    <w:p w14:paraId="7113414B" w14:textId="2C636AA1" w:rsidR="00412175" w:rsidRPr="00A712E4" w:rsidRDefault="00412175" w:rsidP="00231302">
      <w:pPr>
        <w:spacing w:before="240"/>
        <w:rPr>
          <w:rFonts w:ascii="Times New Roman" w:hAnsi="Times New Roman"/>
          <w:sz w:val="24"/>
        </w:rPr>
      </w:pPr>
      <w:r w:rsidRPr="00A712E4">
        <w:rPr>
          <w:rFonts w:ascii="Times New Roman" w:hAnsi="Times New Roman"/>
          <w:sz w:val="24"/>
        </w:rPr>
        <w:t xml:space="preserve">This item </w:t>
      </w:r>
      <w:r w:rsidR="004A2991">
        <w:rPr>
          <w:rFonts w:ascii="Times New Roman" w:hAnsi="Times New Roman"/>
          <w:sz w:val="24"/>
        </w:rPr>
        <w:t xml:space="preserve">amends the </w:t>
      </w:r>
      <w:r w:rsidRPr="00A712E4">
        <w:rPr>
          <w:rFonts w:ascii="Times New Roman" w:hAnsi="Times New Roman"/>
          <w:sz w:val="24"/>
        </w:rPr>
        <w:t xml:space="preserve"> definitions of ‘annual financial statements’, ‘authorised individual’, ‘earnings’, ‘foreign company’, ‘</w:t>
      </w:r>
      <w:r w:rsidR="00C50C3E" w:rsidRPr="00A712E4">
        <w:rPr>
          <w:rFonts w:ascii="Times New Roman" w:hAnsi="Times New Roman"/>
          <w:sz w:val="24"/>
        </w:rPr>
        <w:t xml:space="preserve">leviable entity’ and ‘related bodies corporate’.  </w:t>
      </w:r>
      <w:r w:rsidR="004A2991">
        <w:rPr>
          <w:rFonts w:ascii="Times New Roman" w:hAnsi="Times New Roman"/>
          <w:sz w:val="24"/>
        </w:rPr>
        <w:t>In addition, t</w:t>
      </w:r>
      <w:r w:rsidR="00C50C3E" w:rsidRPr="00A712E4">
        <w:rPr>
          <w:rFonts w:ascii="Times New Roman" w:hAnsi="Times New Roman"/>
          <w:sz w:val="24"/>
        </w:rPr>
        <w:t xml:space="preserve">he definition of ‘levy’ has been removed </w:t>
      </w:r>
      <w:r w:rsidRPr="00A712E4">
        <w:rPr>
          <w:rFonts w:ascii="Times New Roman" w:hAnsi="Times New Roman"/>
          <w:sz w:val="24"/>
        </w:rPr>
        <w:t xml:space="preserve">and </w:t>
      </w:r>
      <w:r w:rsidR="00C50C3E" w:rsidRPr="00A712E4">
        <w:rPr>
          <w:rFonts w:ascii="Times New Roman" w:hAnsi="Times New Roman"/>
          <w:sz w:val="24"/>
        </w:rPr>
        <w:t xml:space="preserve">replaced with </w:t>
      </w:r>
      <w:r w:rsidRPr="00A712E4">
        <w:rPr>
          <w:rFonts w:ascii="Times New Roman" w:hAnsi="Times New Roman"/>
          <w:sz w:val="24"/>
        </w:rPr>
        <w:t>‘instalment of levy’</w:t>
      </w:r>
      <w:r w:rsidR="00385069">
        <w:rPr>
          <w:rFonts w:ascii="Times New Roman" w:hAnsi="Times New Roman"/>
          <w:sz w:val="24"/>
        </w:rPr>
        <w:t xml:space="preserve"> and a</w:t>
      </w:r>
      <w:r w:rsidR="0097739D" w:rsidRPr="00A712E4">
        <w:rPr>
          <w:rFonts w:ascii="Times New Roman" w:hAnsi="Times New Roman"/>
          <w:sz w:val="24"/>
        </w:rPr>
        <w:t xml:space="preserve"> definition for </w:t>
      </w:r>
      <w:r w:rsidR="00C50C3E" w:rsidRPr="00A712E4">
        <w:rPr>
          <w:rFonts w:ascii="Times New Roman" w:hAnsi="Times New Roman"/>
          <w:sz w:val="24"/>
        </w:rPr>
        <w:t>‘previous financial year’ has</w:t>
      </w:r>
      <w:r w:rsidRPr="00A712E4">
        <w:rPr>
          <w:rFonts w:ascii="Times New Roman" w:hAnsi="Times New Roman"/>
          <w:sz w:val="24"/>
        </w:rPr>
        <w:t xml:space="preserve"> been added. </w:t>
      </w:r>
    </w:p>
    <w:p w14:paraId="26A3E11A" w14:textId="1AFCE9E2" w:rsidR="00412175" w:rsidRPr="00A712E4" w:rsidRDefault="00027022" w:rsidP="00231302">
      <w:pPr>
        <w:spacing w:before="240"/>
        <w:rPr>
          <w:rFonts w:ascii="Times New Roman" w:hAnsi="Times New Roman"/>
          <w:b/>
          <w:sz w:val="24"/>
        </w:rPr>
      </w:pPr>
      <w:r w:rsidRPr="00A712E4">
        <w:rPr>
          <w:rFonts w:ascii="Times New Roman" w:hAnsi="Times New Roman"/>
          <w:b/>
          <w:sz w:val="24"/>
        </w:rPr>
        <w:t>Item 3</w:t>
      </w:r>
    </w:p>
    <w:p w14:paraId="0ACDFA03" w14:textId="47643A39" w:rsidR="00027022" w:rsidRPr="00A712E4" w:rsidRDefault="00027022" w:rsidP="00231302">
      <w:pPr>
        <w:spacing w:before="240"/>
        <w:rPr>
          <w:rFonts w:ascii="Times New Roman" w:hAnsi="Times New Roman"/>
          <w:sz w:val="24"/>
        </w:rPr>
      </w:pPr>
      <w:r w:rsidRPr="00A712E4">
        <w:rPr>
          <w:rFonts w:ascii="Times New Roman" w:hAnsi="Times New Roman"/>
          <w:sz w:val="24"/>
        </w:rPr>
        <w:t xml:space="preserve">This item corrects a grammatical error. </w:t>
      </w:r>
    </w:p>
    <w:p w14:paraId="35598C32" w14:textId="6B1A714C" w:rsidR="00027022" w:rsidRPr="00A712E4" w:rsidRDefault="00027022" w:rsidP="00231302">
      <w:pPr>
        <w:spacing w:before="240"/>
        <w:rPr>
          <w:rFonts w:ascii="Times New Roman" w:hAnsi="Times New Roman"/>
          <w:sz w:val="24"/>
        </w:rPr>
      </w:pPr>
      <w:r w:rsidRPr="00A712E4">
        <w:rPr>
          <w:rFonts w:ascii="Times New Roman" w:hAnsi="Times New Roman"/>
          <w:b/>
          <w:sz w:val="24"/>
        </w:rPr>
        <w:t>Item 4</w:t>
      </w:r>
    </w:p>
    <w:p w14:paraId="70797395" w14:textId="4A29221B" w:rsidR="00027022" w:rsidRPr="00A712E4" w:rsidRDefault="00027022" w:rsidP="00231302">
      <w:pPr>
        <w:spacing w:before="240"/>
        <w:rPr>
          <w:rFonts w:ascii="Times New Roman" w:hAnsi="Times New Roman"/>
          <w:sz w:val="24"/>
        </w:rPr>
      </w:pPr>
      <w:r w:rsidRPr="00A712E4">
        <w:rPr>
          <w:rFonts w:ascii="Times New Roman" w:hAnsi="Times New Roman"/>
          <w:sz w:val="24"/>
        </w:rPr>
        <w:t>This item changes the heading to Item 21 in Part A of the Schedule in Chapter 63 to reflect the new AUSTRAC Industry Contribution</w:t>
      </w:r>
      <w:r w:rsidR="00A712E4" w:rsidRPr="00A712E4">
        <w:rPr>
          <w:rFonts w:ascii="Times New Roman" w:hAnsi="Times New Roman"/>
          <w:sz w:val="24"/>
        </w:rPr>
        <w:t>.</w:t>
      </w:r>
    </w:p>
    <w:p w14:paraId="35658300" w14:textId="719B63BC" w:rsidR="00027022" w:rsidRPr="00A712E4" w:rsidRDefault="00027022" w:rsidP="00231302">
      <w:pPr>
        <w:spacing w:before="240"/>
        <w:rPr>
          <w:rFonts w:ascii="Times New Roman" w:hAnsi="Times New Roman"/>
          <w:sz w:val="24"/>
        </w:rPr>
      </w:pPr>
      <w:r w:rsidRPr="00A712E4">
        <w:rPr>
          <w:rFonts w:ascii="Times New Roman" w:hAnsi="Times New Roman"/>
          <w:b/>
          <w:sz w:val="24"/>
        </w:rPr>
        <w:t>Item 5</w:t>
      </w:r>
    </w:p>
    <w:p w14:paraId="714E0719" w14:textId="159B7377" w:rsidR="00027022" w:rsidRPr="00A712E4" w:rsidRDefault="00027022" w:rsidP="00231302">
      <w:pPr>
        <w:spacing w:before="240"/>
        <w:rPr>
          <w:rFonts w:ascii="Times New Roman" w:eastAsia="Calibri" w:hAnsi="Times New Roman"/>
          <w:sz w:val="24"/>
        </w:rPr>
      </w:pPr>
      <w:r w:rsidRPr="00A712E4">
        <w:rPr>
          <w:rFonts w:ascii="Times New Roman" w:hAnsi="Times New Roman"/>
          <w:sz w:val="24"/>
        </w:rPr>
        <w:t xml:space="preserve">This item amends the earnings information which must be provided by certain entities enrolling on the Reporting Entities Roll.  Item 21 reflects that the AUSTRAC Industry Contribution will </w:t>
      </w:r>
      <w:r w:rsidRPr="00A712E4">
        <w:rPr>
          <w:rFonts w:ascii="Times New Roman" w:eastAsia="Calibri" w:hAnsi="Times New Roman"/>
          <w:sz w:val="24"/>
        </w:rPr>
        <w:t>only take into account earnings of foreign companies, or subsidiaries of foreign companies, derived from operations in Australia</w:t>
      </w:r>
      <w:r w:rsidR="0097739D" w:rsidRPr="00A712E4">
        <w:rPr>
          <w:rFonts w:ascii="Times New Roman" w:eastAsia="Calibri" w:hAnsi="Times New Roman"/>
          <w:sz w:val="24"/>
        </w:rPr>
        <w:t>.</w:t>
      </w:r>
    </w:p>
    <w:p w14:paraId="43110B0C" w14:textId="208B5E7C" w:rsidR="00027022" w:rsidRPr="00A712E4" w:rsidRDefault="00027022" w:rsidP="00231302">
      <w:pPr>
        <w:spacing w:before="240"/>
        <w:rPr>
          <w:rFonts w:ascii="Times New Roman" w:eastAsia="Calibri" w:hAnsi="Times New Roman"/>
          <w:b/>
          <w:sz w:val="24"/>
        </w:rPr>
      </w:pPr>
      <w:r w:rsidRPr="00A712E4">
        <w:rPr>
          <w:rFonts w:ascii="Times New Roman" w:eastAsia="Calibri" w:hAnsi="Times New Roman"/>
          <w:b/>
          <w:sz w:val="24"/>
        </w:rPr>
        <w:t>Item 6</w:t>
      </w:r>
    </w:p>
    <w:p w14:paraId="103D73AD" w14:textId="07A9607E" w:rsidR="00027022" w:rsidRDefault="00027022" w:rsidP="00231302">
      <w:pPr>
        <w:spacing w:before="240"/>
        <w:rPr>
          <w:rFonts w:ascii="Times New Roman" w:hAnsi="Times New Roman"/>
          <w:sz w:val="24"/>
        </w:rPr>
      </w:pPr>
      <w:r w:rsidRPr="00A712E4">
        <w:rPr>
          <w:rFonts w:ascii="Times New Roman" w:hAnsi="Times New Roman"/>
          <w:sz w:val="24"/>
        </w:rPr>
        <w:t>T</w:t>
      </w:r>
      <w:r w:rsidR="00CD2059" w:rsidRPr="00A712E4">
        <w:rPr>
          <w:rFonts w:ascii="Times New Roman" w:hAnsi="Times New Roman"/>
          <w:sz w:val="24"/>
        </w:rPr>
        <w:t>his item amends the reference</w:t>
      </w:r>
      <w:r w:rsidRPr="00A712E4">
        <w:rPr>
          <w:rFonts w:ascii="Times New Roman" w:hAnsi="Times New Roman"/>
          <w:sz w:val="24"/>
        </w:rPr>
        <w:t xml:space="preserve"> </w:t>
      </w:r>
      <w:r w:rsidR="0097739D" w:rsidRPr="00A712E4">
        <w:rPr>
          <w:rFonts w:ascii="Times New Roman" w:hAnsi="Times New Roman"/>
          <w:sz w:val="24"/>
        </w:rPr>
        <w:t xml:space="preserve">of </w:t>
      </w:r>
      <w:r w:rsidRPr="00A712E4">
        <w:rPr>
          <w:rFonts w:ascii="Times New Roman" w:hAnsi="Times New Roman"/>
          <w:sz w:val="24"/>
        </w:rPr>
        <w:t xml:space="preserve">‘census date’ to ‘census day’, consistent with the Industry Contribution Act. </w:t>
      </w:r>
    </w:p>
    <w:p w14:paraId="506E23F5" w14:textId="77777777" w:rsidR="00B16E25" w:rsidRPr="00A712E4" w:rsidRDefault="00B16E25" w:rsidP="00231302">
      <w:pPr>
        <w:spacing w:before="240"/>
        <w:rPr>
          <w:rFonts w:ascii="Times New Roman" w:hAnsi="Times New Roman"/>
          <w:sz w:val="24"/>
        </w:rPr>
      </w:pPr>
    </w:p>
    <w:p w14:paraId="093097CD" w14:textId="2B91A8EB" w:rsidR="00ED38B0" w:rsidRPr="00A712E4" w:rsidRDefault="00ED38B0" w:rsidP="00231302">
      <w:pPr>
        <w:spacing w:before="240"/>
        <w:rPr>
          <w:rFonts w:ascii="Times New Roman" w:hAnsi="Times New Roman"/>
          <w:b/>
          <w:sz w:val="24"/>
        </w:rPr>
      </w:pPr>
      <w:r w:rsidRPr="00A712E4">
        <w:rPr>
          <w:rFonts w:ascii="Times New Roman" w:hAnsi="Times New Roman"/>
          <w:b/>
          <w:sz w:val="24"/>
        </w:rPr>
        <w:lastRenderedPageBreak/>
        <w:t xml:space="preserve">2. </w:t>
      </w:r>
      <w:r w:rsidRPr="00A712E4">
        <w:rPr>
          <w:rFonts w:ascii="Times New Roman" w:hAnsi="Times New Roman"/>
          <w:b/>
          <w:sz w:val="24"/>
        </w:rPr>
        <w:tab/>
        <w:t>Chapter 65</w:t>
      </w:r>
    </w:p>
    <w:p w14:paraId="70B21639" w14:textId="77777777" w:rsidR="00ED38B0" w:rsidRPr="00A712E4" w:rsidRDefault="00ED38B0" w:rsidP="00ED38B0">
      <w:pPr>
        <w:spacing w:before="240"/>
        <w:rPr>
          <w:rFonts w:ascii="Times New Roman" w:hAnsi="Times New Roman"/>
          <w:b/>
          <w:sz w:val="24"/>
        </w:rPr>
      </w:pPr>
      <w:r w:rsidRPr="00A712E4">
        <w:rPr>
          <w:rFonts w:ascii="Times New Roman" w:hAnsi="Times New Roman"/>
          <w:b/>
          <w:sz w:val="24"/>
        </w:rPr>
        <w:t>Item 1</w:t>
      </w:r>
    </w:p>
    <w:p w14:paraId="7B0B895B" w14:textId="6D4282E5" w:rsidR="00ED38B0" w:rsidRPr="00A712E4" w:rsidRDefault="00ED38B0" w:rsidP="00ED38B0">
      <w:pPr>
        <w:spacing w:before="240"/>
        <w:rPr>
          <w:rFonts w:ascii="Times New Roman" w:hAnsi="Times New Roman"/>
          <w:sz w:val="24"/>
        </w:rPr>
      </w:pPr>
      <w:r w:rsidRPr="00A712E4">
        <w:rPr>
          <w:rFonts w:ascii="Times New Roman" w:hAnsi="Times New Roman"/>
          <w:sz w:val="24"/>
        </w:rPr>
        <w:t>This item removes</w:t>
      </w:r>
      <w:r w:rsidR="004A2991">
        <w:rPr>
          <w:rFonts w:ascii="Times New Roman" w:hAnsi="Times New Roman"/>
          <w:sz w:val="24"/>
        </w:rPr>
        <w:t xml:space="preserve"> the</w:t>
      </w:r>
      <w:r w:rsidRPr="00A712E4">
        <w:rPr>
          <w:rFonts w:ascii="Times New Roman" w:hAnsi="Times New Roman"/>
          <w:sz w:val="24"/>
        </w:rPr>
        <w:t xml:space="preserve"> reference to the commencement of the Chapter, as this is now redundant. </w:t>
      </w:r>
    </w:p>
    <w:p w14:paraId="04A1639F" w14:textId="77777777" w:rsidR="00ED38B0" w:rsidRPr="00A712E4" w:rsidRDefault="00ED38B0" w:rsidP="00ED38B0">
      <w:pPr>
        <w:spacing w:before="240"/>
        <w:rPr>
          <w:rFonts w:ascii="Times New Roman" w:hAnsi="Times New Roman"/>
          <w:b/>
          <w:sz w:val="24"/>
        </w:rPr>
      </w:pPr>
      <w:r w:rsidRPr="00A712E4">
        <w:rPr>
          <w:rFonts w:ascii="Times New Roman" w:hAnsi="Times New Roman"/>
          <w:b/>
          <w:sz w:val="24"/>
        </w:rPr>
        <w:t>Item 2</w:t>
      </w:r>
    </w:p>
    <w:p w14:paraId="50863033" w14:textId="46F3E30D" w:rsidR="00385069" w:rsidRPr="00385069" w:rsidRDefault="00ED38B0" w:rsidP="00385069">
      <w:pPr>
        <w:spacing w:before="240"/>
        <w:rPr>
          <w:rFonts w:ascii="Times New Roman" w:hAnsi="Times New Roman"/>
          <w:sz w:val="24"/>
        </w:rPr>
      </w:pPr>
      <w:r w:rsidRPr="00A712E4">
        <w:rPr>
          <w:rFonts w:ascii="Times New Roman" w:hAnsi="Times New Roman"/>
          <w:sz w:val="24"/>
        </w:rPr>
        <w:t xml:space="preserve">This item </w:t>
      </w:r>
      <w:r w:rsidR="004A2991">
        <w:rPr>
          <w:rFonts w:ascii="Times New Roman" w:hAnsi="Times New Roman"/>
          <w:sz w:val="24"/>
        </w:rPr>
        <w:t>inserts</w:t>
      </w:r>
      <w:r w:rsidR="004A2991" w:rsidRPr="00A712E4">
        <w:rPr>
          <w:rFonts w:ascii="Times New Roman" w:hAnsi="Times New Roman"/>
          <w:sz w:val="24"/>
        </w:rPr>
        <w:t xml:space="preserve"> </w:t>
      </w:r>
      <w:r w:rsidRPr="00A712E4">
        <w:rPr>
          <w:rFonts w:ascii="Times New Roman" w:hAnsi="Times New Roman"/>
          <w:sz w:val="24"/>
        </w:rPr>
        <w:t xml:space="preserve">the new short title of the Collection Act. </w:t>
      </w:r>
    </w:p>
    <w:p w14:paraId="0C64A2C1" w14:textId="12075C39" w:rsidR="003B7524" w:rsidRPr="00A712E4" w:rsidRDefault="003B7524" w:rsidP="00385069">
      <w:pPr>
        <w:autoSpaceDE w:val="0"/>
        <w:autoSpaceDN w:val="0"/>
        <w:adjustRightInd w:val="0"/>
        <w:spacing w:before="360"/>
        <w:rPr>
          <w:rFonts w:ascii="Times New Roman" w:hAnsi="Times New Roman"/>
          <w:b/>
          <w:sz w:val="24"/>
        </w:rPr>
      </w:pPr>
      <w:r w:rsidRPr="00A712E4">
        <w:rPr>
          <w:rFonts w:ascii="Times New Roman" w:hAnsi="Times New Roman"/>
          <w:b/>
          <w:sz w:val="24"/>
        </w:rPr>
        <w:t>4.</w:t>
      </w:r>
      <w:r w:rsidRPr="00A712E4">
        <w:rPr>
          <w:rFonts w:ascii="Times New Roman" w:hAnsi="Times New Roman"/>
          <w:b/>
          <w:sz w:val="24"/>
        </w:rPr>
        <w:tab/>
        <w:t>Legislative instruments</w:t>
      </w:r>
    </w:p>
    <w:p w14:paraId="3EAA8650" w14:textId="3D82EC14" w:rsidR="00385069" w:rsidRPr="00385069" w:rsidRDefault="003B7524" w:rsidP="003B7524">
      <w:pPr>
        <w:spacing w:before="240"/>
        <w:rPr>
          <w:rFonts w:ascii="Times New Roman" w:hAnsi="Times New Roman"/>
          <w:sz w:val="24"/>
        </w:rPr>
      </w:pPr>
      <w:r w:rsidRPr="00A712E4">
        <w:rPr>
          <w:rFonts w:ascii="Times New Roman" w:hAnsi="Times New Roman"/>
          <w:sz w:val="24"/>
        </w:rPr>
        <w:t xml:space="preserve">These AML/CTF Rules are </w:t>
      </w:r>
      <w:r w:rsidR="006D6123">
        <w:rPr>
          <w:rFonts w:ascii="Times New Roman" w:hAnsi="Times New Roman"/>
          <w:sz w:val="24"/>
        </w:rPr>
        <w:t>a legislative instrument</w:t>
      </w:r>
      <w:r w:rsidRPr="00A712E4">
        <w:rPr>
          <w:rFonts w:ascii="Times New Roman" w:hAnsi="Times New Roman"/>
          <w:sz w:val="24"/>
        </w:rPr>
        <w:t xml:space="preserve"> as defined in section 5 of the </w:t>
      </w:r>
      <w:r w:rsidRPr="00A712E4">
        <w:rPr>
          <w:rFonts w:ascii="Times New Roman" w:hAnsi="Times New Roman"/>
          <w:i/>
          <w:sz w:val="24"/>
        </w:rPr>
        <w:t>Legislative Instruments Act 2003</w:t>
      </w:r>
      <w:r w:rsidRPr="00A712E4">
        <w:rPr>
          <w:rFonts w:ascii="Times New Roman" w:hAnsi="Times New Roman"/>
          <w:sz w:val="24"/>
        </w:rPr>
        <w:t>.</w:t>
      </w:r>
    </w:p>
    <w:p w14:paraId="0BB2E4F2" w14:textId="77777777" w:rsidR="003B7524" w:rsidRPr="00A712E4" w:rsidRDefault="003B7524" w:rsidP="00385069">
      <w:pPr>
        <w:spacing w:before="360"/>
        <w:rPr>
          <w:rFonts w:ascii="Times New Roman" w:hAnsi="Times New Roman"/>
          <w:b/>
          <w:sz w:val="24"/>
        </w:rPr>
      </w:pPr>
      <w:r w:rsidRPr="00A712E4">
        <w:rPr>
          <w:rFonts w:ascii="Times New Roman" w:hAnsi="Times New Roman"/>
          <w:b/>
          <w:sz w:val="24"/>
        </w:rPr>
        <w:t>5.</w:t>
      </w:r>
      <w:r w:rsidRPr="00A712E4">
        <w:rPr>
          <w:rFonts w:ascii="Times New Roman" w:hAnsi="Times New Roman"/>
          <w:b/>
          <w:sz w:val="24"/>
        </w:rPr>
        <w:tab/>
        <w:t>Likely impact</w:t>
      </w:r>
    </w:p>
    <w:p w14:paraId="534139EF" w14:textId="77777777" w:rsidR="00385069" w:rsidRPr="00A712E4" w:rsidRDefault="00385069" w:rsidP="00385069">
      <w:pPr>
        <w:spacing w:before="240"/>
        <w:rPr>
          <w:rFonts w:ascii="Times New Roman" w:hAnsi="Times New Roman"/>
          <w:sz w:val="24"/>
        </w:rPr>
      </w:pPr>
      <w:r w:rsidRPr="00A712E4">
        <w:rPr>
          <w:rFonts w:ascii="Times New Roman" w:hAnsi="Times New Roman"/>
          <w:sz w:val="24"/>
        </w:rPr>
        <w:t xml:space="preserve">The amendment to Chapter 4 </w:t>
      </w:r>
      <w:r>
        <w:rPr>
          <w:rFonts w:ascii="Times New Roman" w:hAnsi="Times New Roman"/>
          <w:sz w:val="24"/>
        </w:rPr>
        <w:t xml:space="preserve">clarifies the operation of the subparagraph and will have a positive impact on reporting entities as its meaning and intent have been clarified. </w:t>
      </w:r>
    </w:p>
    <w:p w14:paraId="0858630A" w14:textId="5EC4C33D" w:rsidR="00385069" w:rsidRPr="00385069" w:rsidRDefault="005301E1" w:rsidP="003B7524">
      <w:pPr>
        <w:spacing w:before="240"/>
        <w:rPr>
          <w:rFonts w:ascii="Times New Roman" w:hAnsi="Times New Roman"/>
          <w:sz w:val="24"/>
        </w:rPr>
      </w:pPr>
      <w:r w:rsidRPr="00A712E4">
        <w:rPr>
          <w:rFonts w:ascii="Times New Roman" w:hAnsi="Times New Roman"/>
          <w:sz w:val="24"/>
        </w:rPr>
        <w:t>As the</w:t>
      </w:r>
      <w:r w:rsidR="00ED38B0" w:rsidRPr="00A712E4">
        <w:rPr>
          <w:rFonts w:ascii="Times New Roman" w:hAnsi="Times New Roman"/>
          <w:sz w:val="24"/>
        </w:rPr>
        <w:t xml:space="preserve"> amendments to Chapters 63 and 65 </w:t>
      </w:r>
      <w:r w:rsidRPr="00A712E4">
        <w:rPr>
          <w:rFonts w:ascii="Times New Roman" w:hAnsi="Times New Roman"/>
          <w:sz w:val="24"/>
        </w:rPr>
        <w:t xml:space="preserve">are machinery changes which are consequential to the introduction of the AUSTRAC Industry Contribution by the Industry Contribution and Collection Acts, the regulatory impact of these changes on reporting entities will be minor. </w:t>
      </w:r>
    </w:p>
    <w:p w14:paraId="1D6CD79B" w14:textId="77777777" w:rsidR="003B7524" w:rsidRPr="00A712E4" w:rsidRDefault="003B7524" w:rsidP="00385069">
      <w:pPr>
        <w:spacing w:before="360"/>
        <w:rPr>
          <w:rFonts w:ascii="Times New Roman" w:hAnsi="Times New Roman"/>
          <w:b/>
          <w:color w:val="000000" w:themeColor="text1"/>
          <w:sz w:val="24"/>
        </w:rPr>
      </w:pPr>
      <w:r w:rsidRPr="00A712E4">
        <w:rPr>
          <w:rFonts w:ascii="Times New Roman" w:hAnsi="Times New Roman"/>
          <w:b/>
          <w:color w:val="000000" w:themeColor="text1"/>
          <w:sz w:val="24"/>
        </w:rPr>
        <w:t>6.</w:t>
      </w:r>
      <w:r w:rsidRPr="00A712E4">
        <w:rPr>
          <w:rFonts w:ascii="Times New Roman" w:hAnsi="Times New Roman"/>
          <w:b/>
          <w:color w:val="000000" w:themeColor="text1"/>
          <w:sz w:val="24"/>
        </w:rPr>
        <w:tab/>
        <w:t>Assessment of benefits</w:t>
      </w:r>
    </w:p>
    <w:p w14:paraId="360EC86E" w14:textId="77777777" w:rsidR="00385069" w:rsidRPr="00A712E4" w:rsidRDefault="00385069" w:rsidP="00385069">
      <w:pPr>
        <w:pStyle w:val="Paragraph"/>
      </w:pPr>
      <w:r w:rsidRPr="00A712E4">
        <w:t xml:space="preserve">The amendment to Chapter 4 will clarify the modification of the requirements to collect and verify beneficial owner information for a customer </w:t>
      </w:r>
      <w:r>
        <w:t>which</w:t>
      </w:r>
      <w:r w:rsidRPr="00A712E4">
        <w:t xml:space="preserve"> is a foreign listed public company, </w:t>
      </w:r>
      <w:r>
        <w:t xml:space="preserve">as </w:t>
      </w:r>
      <w:r w:rsidRPr="00A712E4">
        <w:t xml:space="preserve">contained in subparagraph 4.12.2(2).  This will benefit reporting entities seeking to rely on this modification.  </w:t>
      </w:r>
    </w:p>
    <w:p w14:paraId="60BE8F1C" w14:textId="52B8CC70" w:rsidR="005301E1" w:rsidRPr="00A712E4" w:rsidRDefault="005301E1" w:rsidP="007103FF">
      <w:pPr>
        <w:pStyle w:val="Paragraph"/>
        <w:rPr>
          <w:color w:val="000000" w:themeColor="text1"/>
        </w:rPr>
      </w:pPr>
      <w:r w:rsidRPr="00A712E4">
        <w:rPr>
          <w:color w:val="000000" w:themeColor="text1"/>
        </w:rPr>
        <w:t>The amendments to Chapter 63 will lessen the regulatory impact on reporting entities enrolling on the Roll</w:t>
      </w:r>
      <w:r w:rsidR="00141E34">
        <w:rPr>
          <w:color w:val="000000" w:themeColor="text1"/>
        </w:rPr>
        <w:t>,</w:t>
      </w:r>
      <w:r w:rsidRPr="00A712E4">
        <w:rPr>
          <w:color w:val="000000" w:themeColor="text1"/>
        </w:rPr>
        <w:t xml:space="preserve"> as reporting entities </w:t>
      </w:r>
      <w:r w:rsidR="00A47890" w:rsidRPr="00A712E4">
        <w:rPr>
          <w:color w:val="000000" w:themeColor="text1"/>
        </w:rPr>
        <w:t>which are foreign companies or subsidiaries of foreign companies w</w:t>
      </w:r>
      <w:r w:rsidR="0097739D" w:rsidRPr="00A712E4">
        <w:rPr>
          <w:color w:val="000000" w:themeColor="text1"/>
        </w:rPr>
        <w:t>ill only be required to provide earnings</w:t>
      </w:r>
      <w:r w:rsidR="00A47890" w:rsidRPr="00A712E4">
        <w:rPr>
          <w:color w:val="000000" w:themeColor="text1"/>
        </w:rPr>
        <w:t xml:space="preserve"> </w:t>
      </w:r>
      <w:r w:rsidR="002848A4" w:rsidRPr="00A712E4">
        <w:rPr>
          <w:color w:val="000000" w:themeColor="text1"/>
        </w:rPr>
        <w:t xml:space="preserve">information </w:t>
      </w:r>
      <w:r w:rsidR="0097739D" w:rsidRPr="00A712E4">
        <w:rPr>
          <w:color w:val="000000" w:themeColor="text1"/>
        </w:rPr>
        <w:t>regarding</w:t>
      </w:r>
      <w:r w:rsidR="002848A4" w:rsidRPr="00A712E4">
        <w:rPr>
          <w:color w:val="000000" w:themeColor="text1"/>
        </w:rPr>
        <w:t xml:space="preserve"> earnings derived from</w:t>
      </w:r>
      <w:r w:rsidR="00A47890" w:rsidRPr="00A712E4">
        <w:rPr>
          <w:color w:val="000000" w:themeColor="text1"/>
        </w:rPr>
        <w:t xml:space="preserve"> operations</w:t>
      </w:r>
      <w:r w:rsidRPr="00A712E4">
        <w:rPr>
          <w:color w:val="000000" w:themeColor="text1"/>
        </w:rPr>
        <w:t xml:space="preserve"> </w:t>
      </w:r>
      <w:r w:rsidR="002848A4" w:rsidRPr="00A712E4">
        <w:rPr>
          <w:color w:val="000000" w:themeColor="text1"/>
        </w:rPr>
        <w:t xml:space="preserve">in Australia, rather than their total earnings. </w:t>
      </w:r>
    </w:p>
    <w:p w14:paraId="0FA87F6D" w14:textId="252CF894" w:rsidR="002848A4" w:rsidRPr="00A712E4" w:rsidRDefault="002848A4" w:rsidP="007103FF">
      <w:pPr>
        <w:pStyle w:val="Paragraph"/>
      </w:pPr>
      <w:r w:rsidRPr="00A712E4">
        <w:rPr>
          <w:color w:val="000000" w:themeColor="text1"/>
        </w:rPr>
        <w:t xml:space="preserve">The amendments to Chapter 65 are </w:t>
      </w:r>
      <w:r w:rsidR="00141E34">
        <w:rPr>
          <w:color w:val="000000" w:themeColor="text1"/>
        </w:rPr>
        <w:t xml:space="preserve">neutral as they are </w:t>
      </w:r>
      <w:r w:rsidR="004A2991">
        <w:rPr>
          <w:color w:val="000000" w:themeColor="text1"/>
        </w:rPr>
        <w:t xml:space="preserve">machinery changes relating to the removal of </w:t>
      </w:r>
      <w:r w:rsidR="0097739D" w:rsidRPr="00A712E4">
        <w:t xml:space="preserve">the </w:t>
      </w:r>
      <w:r w:rsidRPr="00A712E4">
        <w:t xml:space="preserve">reference to the commencement of the Chapter and </w:t>
      </w:r>
      <w:r w:rsidR="004A2991">
        <w:t>the insertion of</w:t>
      </w:r>
      <w:r w:rsidR="004A2991" w:rsidRPr="00A712E4">
        <w:t xml:space="preserve"> </w:t>
      </w:r>
      <w:r w:rsidRPr="00A712E4">
        <w:t>the new short title of the Collection Act.</w:t>
      </w:r>
    </w:p>
    <w:p w14:paraId="10F39859" w14:textId="2BAFA4A5" w:rsidR="003B7524" w:rsidRPr="00A712E4" w:rsidRDefault="003B7524" w:rsidP="00385069">
      <w:pPr>
        <w:pStyle w:val="Paragraph"/>
        <w:spacing w:before="360"/>
        <w:rPr>
          <w:b/>
          <w:szCs w:val="24"/>
        </w:rPr>
      </w:pPr>
      <w:r w:rsidRPr="00A712E4">
        <w:rPr>
          <w:b/>
        </w:rPr>
        <w:t>7.</w:t>
      </w:r>
      <w:r w:rsidRPr="00A712E4">
        <w:rPr>
          <w:b/>
        </w:rPr>
        <w:tab/>
        <w:t>Consultation</w:t>
      </w:r>
    </w:p>
    <w:p w14:paraId="466C5FF2" w14:textId="39A8B309" w:rsidR="00A14FF4" w:rsidRDefault="00A14FF4" w:rsidP="00E9115C">
      <w:pPr>
        <w:spacing w:before="240"/>
        <w:rPr>
          <w:rFonts w:ascii="Times New Roman" w:hAnsi="Times New Roman"/>
          <w:sz w:val="24"/>
        </w:rPr>
      </w:pPr>
      <w:r>
        <w:rPr>
          <w:rFonts w:ascii="Times New Roman" w:hAnsi="Times New Roman"/>
          <w:sz w:val="24"/>
        </w:rPr>
        <w:t xml:space="preserve">Subsection 212(2) of the AML/CTF Act requires the AUSTRAC CEO to consult with reporting entities and </w:t>
      </w:r>
      <w:r w:rsidR="00E9115C" w:rsidRPr="00A712E4">
        <w:rPr>
          <w:rFonts w:ascii="Times New Roman" w:hAnsi="Times New Roman"/>
          <w:sz w:val="24"/>
        </w:rPr>
        <w:t xml:space="preserve">the </w:t>
      </w:r>
      <w:r w:rsidR="00832FD7" w:rsidRPr="00A712E4">
        <w:rPr>
          <w:rFonts w:ascii="Times New Roman" w:hAnsi="Times New Roman"/>
          <w:sz w:val="24"/>
        </w:rPr>
        <w:t>Australian Taxation Office, the Australia</w:t>
      </w:r>
      <w:r w:rsidR="008D25B6" w:rsidRPr="00A712E4">
        <w:rPr>
          <w:rFonts w:ascii="Times New Roman" w:hAnsi="Times New Roman"/>
          <w:sz w:val="24"/>
        </w:rPr>
        <w:t>n</w:t>
      </w:r>
      <w:r w:rsidR="00832FD7" w:rsidRPr="00A712E4">
        <w:rPr>
          <w:rFonts w:ascii="Times New Roman" w:hAnsi="Times New Roman"/>
          <w:sz w:val="24"/>
        </w:rPr>
        <w:t xml:space="preserve"> Customs and Border Protection Service, the Australian Federal Police, the Australian Crime Commission and the Office of the Australian Information Commissioner</w:t>
      </w:r>
      <w:r>
        <w:rPr>
          <w:rFonts w:ascii="Times New Roman" w:hAnsi="Times New Roman"/>
          <w:sz w:val="24"/>
        </w:rPr>
        <w:t xml:space="preserve">. </w:t>
      </w:r>
    </w:p>
    <w:p w14:paraId="620D1C44" w14:textId="77777777" w:rsidR="00385069" w:rsidRPr="00A712E4" w:rsidRDefault="00385069" w:rsidP="00385069">
      <w:pPr>
        <w:spacing w:before="240"/>
        <w:rPr>
          <w:rFonts w:ascii="Times New Roman" w:hAnsi="Times New Roman"/>
          <w:sz w:val="24"/>
        </w:rPr>
      </w:pPr>
      <w:r w:rsidRPr="00A712E4">
        <w:rPr>
          <w:rFonts w:ascii="Times New Roman" w:hAnsi="Times New Roman"/>
          <w:sz w:val="24"/>
        </w:rPr>
        <w:lastRenderedPageBreak/>
        <w:t xml:space="preserve">AUSTRAC did not undertake public consultation on the amendment to Chapter 4 as it is a minor amendment. </w:t>
      </w:r>
    </w:p>
    <w:p w14:paraId="04B97CCF" w14:textId="6C056CFB" w:rsidR="00E9115C" w:rsidRPr="00A712E4" w:rsidRDefault="00A14FF4" w:rsidP="00E9115C">
      <w:pPr>
        <w:spacing w:before="240"/>
        <w:rPr>
          <w:rFonts w:ascii="Times New Roman" w:hAnsi="Times New Roman"/>
          <w:sz w:val="24"/>
        </w:rPr>
      </w:pPr>
      <w:r w:rsidRPr="00A712E4">
        <w:rPr>
          <w:rFonts w:ascii="Times New Roman" w:hAnsi="Times New Roman"/>
          <w:sz w:val="24"/>
        </w:rPr>
        <w:t>AUSTRAC published draft AML/CTF Rules amending Chapters 63 and 65 for public consultation on AUSTRAC’s website from 25 September 2014 to 24 October 2014</w:t>
      </w:r>
      <w:r w:rsidR="00385069">
        <w:rPr>
          <w:rFonts w:ascii="Times New Roman" w:hAnsi="Times New Roman"/>
          <w:sz w:val="24"/>
        </w:rPr>
        <w:t xml:space="preserve"> and</w:t>
      </w:r>
      <w:r>
        <w:rPr>
          <w:rFonts w:ascii="Times New Roman" w:hAnsi="Times New Roman"/>
          <w:sz w:val="24"/>
        </w:rPr>
        <w:t xml:space="preserve"> also consulted with the above</w:t>
      </w:r>
      <w:r w:rsidR="004A2991">
        <w:rPr>
          <w:rFonts w:ascii="Times New Roman" w:hAnsi="Times New Roman"/>
          <w:sz w:val="24"/>
        </w:rPr>
        <w:t xml:space="preserve"> </w:t>
      </w:r>
      <w:r>
        <w:rPr>
          <w:rFonts w:ascii="Times New Roman" w:hAnsi="Times New Roman"/>
          <w:sz w:val="24"/>
        </w:rPr>
        <w:t>agencies</w:t>
      </w:r>
      <w:r w:rsidR="00656124" w:rsidRPr="00A712E4">
        <w:rPr>
          <w:rFonts w:ascii="Times New Roman" w:hAnsi="Times New Roman"/>
          <w:sz w:val="24"/>
        </w:rPr>
        <w:t>.</w:t>
      </w:r>
    </w:p>
    <w:p w14:paraId="21040039" w14:textId="77777777" w:rsidR="003B7524" w:rsidRPr="00A712E4" w:rsidRDefault="003B7524" w:rsidP="00385069">
      <w:pPr>
        <w:spacing w:before="360"/>
        <w:rPr>
          <w:rFonts w:ascii="Times New Roman" w:hAnsi="Times New Roman"/>
          <w:b/>
          <w:sz w:val="24"/>
        </w:rPr>
      </w:pPr>
      <w:r w:rsidRPr="00A712E4">
        <w:rPr>
          <w:rFonts w:ascii="Times New Roman" w:hAnsi="Times New Roman"/>
          <w:b/>
          <w:sz w:val="24"/>
        </w:rPr>
        <w:t>8.</w:t>
      </w:r>
      <w:r w:rsidRPr="00A712E4">
        <w:rPr>
          <w:rFonts w:ascii="Times New Roman" w:hAnsi="Times New Roman"/>
          <w:b/>
          <w:sz w:val="24"/>
        </w:rPr>
        <w:tab/>
        <w:t>Ongoing consultation</w:t>
      </w:r>
    </w:p>
    <w:p w14:paraId="318942AE" w14:textId="128B1295" w:rsidR="00D852BA" w:rsidRPr="00A712E4" w:rsidRDefault="007929FC" w:rsidP="003B7524">
      <w:pPr>
        <w:spacing w:before="240"/>
        <w:rPr>
          <w:rFonts w:ascii="Times New Roman" w:hAnsi="Times New Roman"/>
          <w:sz w:val="24"/>
        </w:rPr>
      </w:pPr>
      <w:r w:rsidRPr="00A712E4">
        <w:rPr>
          <w:rFonts w:ascii="Times New Roman" w:hAnsi="Times New Roman"/>
          <w:sz w:val="24"/>
        </w:rPr>
        <w:t>AUSTRAC will conduct ongoing consultation with stakeholders on the operation of the</w:t>
      </w:r>
      <w:r w:rsidR="007D2DBB" w:rsidRPr="00A712E4">
        <w:rPr>
          <w:rFonts w:ascii="Times New Roman" w:hAnsi="Times New Roman"/>
          <w:sz w:val="24"/>
        </w:rPr>
        <w:t>se</w:t>
      </w:r>
      <w:r w:rsidRPr="00A712E4">
        <w:rPr>
          <w:rFonts w:ascii="Times New Roman" w:hAnsi="Times New Roman"/>
          <w:sz w:val="24"/>
        </w:rPr>
        <w:t xml:space="preserve"> AML/CTF Rules</w:t>
      </w:r>
      <w:r w:rsidR="003B7524" w:rsidRPr="00A712E4">
        <w:rPr>
          <w:rFonts w:ascii="Times New Roman" w:hAnsi="Times New Roman"/>
          <w:sz w:val="24"/>
        </w:rPr>
        <w:t>.</w:t>
      </w:r>
    </w:p>
    <w:p w14:paraId="79CFDAFC" w14:textId="77777777" w:rsidR="00D852BA" w:rsidRPr="00A712E4" w:rsidRDefault="00D852BA" w:rsidP="005B69DB">
      <w:pPr>
        <w:pBdr>
          <w:top w:val="single" w:sz="4" w:space="1" w:color="auto"/>
          <w:left w:val="single" w:sz="4" w:space="4" w:color="auto"/>
          <w:bottom w:val="single" w:sz="4" w:space="1" w:color="auto"/>
          <w:right w:val="single" w:sz="4" w:space="4" w:color="auto"/>
        </w:pBdr>
        <w:jc w:val="center"/>
        <w:rPr>
          <w:rFonts w:ascii="Times New Roman" w:hAnsi="Times New Roman"/>
          <w:b/>
          <w:sz w:val="28"/>
          <w:szCs w:val="28"/>
        </w:rPr>
      </w:pPr>
      <w:r w:rsidRPr="00A712E4">
        <w:rPr>
          <w:rFonts w:ascii="Times New Roman" w:hAnsi="Times New Roman"/>
        </w:rPr>
        <w:br w:type="page"/>
      </w:r>
      <w:r w:rsidRPr="00A712E4">
        <w:rPr>
          <w:rFonts w:ascii="Times New Roman" w:hAnsi="Times New Roman"/>
          <w:b/>
          <w:sz w:val="28"/>
          <w:szCs w:val="28"/>
        </w:rPr>
        <w:lastRenderedPageBreak/>
        <w:t>Statement of Compatibility with Human Rights</w:t>
      </w:r>
    </w:p>
    <w:p w14:paraId="3610E438" w14:textId="77777777" w:rsidR="00D852BA" w:rsidRPr="00A712E4" w:rsidRDefault="00D852BA"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410FF6C2" w14:textId="77777777" w:rsidR="00D852BA" w:rsidRPr="00A712E4" w:rsidRDefault="00D852BA" w:rsidP="005B69DB">
      <w:pPr>
        <w:pBdr>
          <w:top w:val="single" w:sz="4" w:space="1" w:color="auto"/>
          <w:left w:val="single" w:sz="4" w:space="4" w:color="auto"/>
          <w:bottom w:val="single" w:sz="4" w:space="1" w:color="auto"/>
          <w:right w:val="single" w:sz="4" w:space="4" w:color="auto"/>
        </w:pBdr>
        <w:rPr>
          <w:rFonts w:ascii="Times New Roman" w:hAnsi="Times New Roman"/>
          <w:i/>
          <w:szCs w:val="22"/>
        </w:rPr>
      </w:pPr>
      <w:r w:rsidRPr="00A712E4">
        <w:rPr>
          <w:rFonts w:ascii="Times New Roman" w:hAnsi="Times New Roman"/>
          <w:i/>
          <w:szCs w:val="22"/>
        </w:rPr>
        <w:t>Prepared in accordance with Part 3 of the Human Rights (Parliamentary Scrutiny) Act 2011</w:t>
      </w:r>
    </w:p>
    <w:p w14:paraId="1C7A5615" w14:textId="77777777" w:rsidR="00D852BA" w:rsidRPr="00A712E4" w:rsidRDefault="00D852BA"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1C4522CC" w14:textId="62B81A33" w:rsidR="00D852BA" w:rsidRPr="00A712E4" w:rsidRDefault="00D852BA" w:rsidP="005B69DB">
      <w:pPr>
        <w:pBdr>
          <w:top w:val="single" w:sz="4" w:space="1" w:color="auto"/>
          <w:left w:val="single" w:sz="4" w:space="4" w:color="auto"/>
          <w:bottom w:val="single" w:sz="4" w:space="1" w:color="auto"/>
          <w:right w:val="single" w:sz="4" w:space="4" w:color="auto"/>
        </w:pBdr>
        <w:jc w:val="center"/>
        <w:rPr>
          <w:rFonts w:ascii="Times New Roman" w:hAnsi="Times New Roman"/>
          <w:b/>
          <w:i/>
          <w:sz w:val="24"/>
        </w:rPr>
      </w:pPr>
      <w:r w:rsidRPr="00A712E4">
        <w:rPr>
          <w:rFonts w:ascii="Times New Roman" w:hAnsi="Times New Roman"/>
          <w:b/>
          <w:i/>
          <w:sz w:val="24"/>
        </w:rPr>
        <w:t>Anti-Money Laundering and Counter-Terrorism Financing Rules Amendment Instrument 201</w:t>
      </w:r>
      <w:r w:rsidR="006D6123">
        <w:rPr>
          <w:rFonts w:ascii="Times New Roman" w:hAnsi="Times New Roman"/>
          <w:b/>
          <w:i/>
          <w:sz w:val="24"/>
        </w:rPr>
        <w:t>5</w:t>
      </w:r>
      <w:r w:rsidRPr="00A712E4">
        <w:rPr>
          <w:rFonts w:ascii="Times New Roman" w:hAnsi="Times New Roman"/>
          <w:b/>
          <w:i/>
          <w:sz w:val="24"/>
        </w:rPr>
        <w:t xml:space="preserve"> (No.</w:t>
      </w:r>
      <w:r w:rsidR="00745E6D" w:rsidRPr="00A712E4">
        <w:rPr>
          <w:rFonts w:ascii="Times New Roman" w:hAnsi="Times New Roman"/>
          <w:b/>
          <w:i/>
          <w:sz w:val="24"/>
        </w:rPr>
        <w:t xml:space="preserve"> </w:t>
      </w:r>
      <w:r w:rsidR="006D6123">
        <w:rPr>
          <w:rFonts w:ascii="Times New Roman" w:hAnsi="Times New Roman"/>
          <w:b/>
          <w:i/>
          <w:sz w:val="24"/>
        </w:rPr>
        <w:t>1</w:t>
      </w:r>
      <w:r w:rsidRPr="00A712E4">
        <w:rPr>
          <w:rFonts w:ascii="Times New Roman" w:hAnsi="Times New Roman"/>
          <w:b/>
          <w:i/>
          <w:sz w:val="24"/>
        </w:rPr>
        <w:t>)</w:t>
      </w:r>
    </w:p>
    <w:p w14:paraId="2354A44F" w14:textId="77777777" w:rsidR="00D852BA" w:rsidRPr="00A712E4" w:rsidRDefault="00D852BA" w:rsidP="005B69DB">
      <w:pPr>
        <w:pBdr>
          <w:top w:val="single" w:sz="4" w:space="1" w:color="auto"/>
          <w:left w:val="single" w:sz="4" w:space="4" w:color="auto"/>
          <w:bottom w:val="single" w:sz="4" w:space="1" w:color="auto"/>
          <w:right w:val="single" w:sz="4" w:space="4" w:color="auto"/>
        </w:pBdr>
        <w:jc w:val="center"/>
        <w:rPr>
          <w:rFonts w:ascii="Times New Roman" w:hAnsi="Times New Roman"/>
          <w:b/>
          <w:i/>
        </w:rPr>
      </w:pPr>
    </w:p>
    <w:p w14:paraId="01302705" w14:textId="77777777" w:rsidR="00D852BA" w:rsidRPr="00A712E4" w:rsidRDefault="00D852BA" w:rsidP="005B69DB">
      <w:pPr>
        <w:pBdr>
          <w:top w:val="single" w:sz="4" w:space="1" w:color="auto"/>
          <w:left w:val="single" w:sz="4" w:space="4" w:color="auto"/>
          <w:bottom w:val="single" w:sz="4" w:space="1" w:color="auto"/>
          <w:right w:val="single" w:sz="4" w:space="4" w:color="auto"/>
        </w:pBdr>
        <w:rPr>
          <w:rFonts w:ascii="Times New Roman" w:hAnsi="Times New Roman"/>
          <w:sz w:val="24"/>
        </w:rPr>
      </w:pPr>
      <w:r w:rsidRPr="00A712E4">
        <w:rPr>
          <w:rFonts w:ascii="Times New Roman" w:hAnsi="Times New Roman"/>
          <w:sz w:val="24"/>
        </w:rPr>
        <w:t xml:space="preserve">This Instrument is compatible with the human rights and freedoms recognised or declared in the international instruments listed in section 3 of the </w:t>
      </w:r>
      <w:r w:rsidRPr="00A712E4">
        <w:rPr>
          <w:rFonts w:ascii="Times New Roman" w:hAnsi="Times New Roman"/>
          <w:i/>
          <w:sz w:val="24"/>
        </w:rPr>
        <w:t>Human Rights (Parliamentary Scrutiny) Act 2011</w:t>
      </w:r>
      <w:r w:rsidRPr="00A712E4">
        <w:rPr>
          <w:rFonts w:ascii="Times New Roman" w:hAnsi="Times New Roman"/>
          <w:sz w:val="24"/>
        </w:rPr>
        <w:t>.</w:t>
      </w:r>
    </w:p>
    <w:p w14:paraId="4F023C75" w14:textId="77777777" w:rsidR="00E07FA9" w:rsidRPr="00A712E4" w:rsidRDefault="00E07FA9"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03EB464F" w14:textId="77777777" w:rsidR="00D852BA" w:rsidRPr="00A712E4" w:rsidRDefault="00D852BA" w:rsidP="005B69DB">
      <w:pPr>
        <w:pBdr>
          <w:top w:val="single" w:sz="4" w:space="1" w:color="auto"/>
          <w:left w:val="single" w:sz="4" w:space="4" w:color="auto"/>
          <w:bottom w:val="single" w:sz="4" w:space="1" w:color="auto"/>
          <w:right w:val="single" w:sz="4" w:space="4" w:color="auto"/>
        </w:pBdr>
        <w:rPr>
          <w:rFonts w:ascii="Times New Roman" w:hAnsi="Times New Roman"/>
          <w:b/>
          <w:sz w:val="24"/>
        </w:rPr>
      </w:pPr>
      <w:r w:rsidRPr="00A712E4">
        <w:rPr>
          <w:rFonts w:ascii="Times New Roman" w:hAnsi="Times New Roman"/>
          <w:b/>
          <w:sz w:val="24"/>
        </w:rPr>
        <w:t>Overview of the legislative instrument</w:t>
      </w:r>
    </w:p>
    <w:p w14:paraId="17D3D072" w14:textId="77777777" w:rsidR="00E07FA9" w:rsidRPr="00A712E4" w:rsidRDefault="00E07FA9" w:rsidP="005B69DB">
      <w:pPr>
        <w:pBdr>
          <w:top w:val="single" w:sz="4" w:space="1" w:color="auto"/>
          <w:left w:val="single" w:sz="4" w:space="4" w:color="auto"/>
          <w:bottom w:val="single" w:sz="4" w:space="1" w:color="auto"/>
          <w:right w:val="single" w:sz="4" w:space="4" w:color="auto"/>
        </w:pBdr>
        <w:rPr>
          <w:rFonts w:ascii="Times New Roman" w:hAnsi="Times New Roman"/>
          <w:b/>
          <w:sz w:val="24"/>
        </w:rPr>
      </w:pPr>
    </w:p>
    <w:p w14:paraId="32C7FAD1" w14:textId="77777777" w:rsidR="00656124" w:rsidRPr="00A712E4" w:rsidRDefault="003F16C9" w:rsidP="00656124">
      <w:pPr>
        <w:pBdr>
          <w:top w:val="single" w:sz="4" w:space="1" w:color="auto"/>
          <w:left w:val="single" w:sz="4" w:space="4" w:color="auto"/>
          <w:bottom w:val="single" w:sz="4" w:space="1" w:color="auto"/>
          <w:right w:val="single" w:sz="4" w:space="4" w:color="auto"/>
        </w:pBdr>
        <w:rPr>
          <w:rFonts w:ascii="Times New Roman" w:hAnsi="Times New Roman"/>
          <w:color w:val="000000" w:themeColor="text1"/>
          <w:sz w:val="24"/>
        </w:rPr>
      </w:pPr>
      <w:r w:rsidRPr="00A712E4">
        <w:rPr>
          <w:rFonts w:ascii="Times New Roman" w:hAnsi="Times New Roman"/>
          <w:color w:val="000000" w:themeColor="text1"/>
          <w:sz w:val="24"/>
        </w:rPr>
        <w:t xml:space="preserve">The Instrument </w:t>
      </w:r>
      <w:r w:rsidR="00656124" w:rsidRPr="00A712E4">
        <w:rPr>
          <w:rFonts w:ascii="Times New Roman" w:hAnsi="Times New Roman"/>
          <w:color w:val="000000" w:themeColor="text1"/>
          <w:sz w:val="24"/>
        </w:rPr>
        <w:t xml:space="preserve">amends Chapters 4, 63 and 65 of </w:t>
      </w:r>
      <w:r w:rsidRPr="00A712E4">
        <w:rPr>
          <w:rFonts w:ascii="Times New Roman" w:hAnsi="Times New Roman"/>
          <w:color w:val="000000" w:themeColor="text1"/>
          <w:sz w:val="24"/>
        </w:rPr>
        <w:t>the Anti-Money Laundering/Counter-Terrorism Financing Rules (AML/CTF Rules)</w:t>
      </w:r>
      <w:r w:rsidR="00656124" w:rsidRPr="00A712E4">
        <w:rPr>
          <w:rFonts w:ascii="Times New Roman" w:hAnsi="Times New Roman"/>
          <w:color w:val="000000" w:themeColor="text1"/>
          <w:sz w:val="24"/>
        </w:rPr>
        <w:t xml:space="preserve"> to:</w:t>
      </w:r>
    </w:p>
    <w:p w14:paraId="0D3387A9" w14:textId="77777777" w:rsidR="00656124" w:rsidRPr="00A712E4" w:rsidRDefault="00656124" w:rsidP="00656124">
      <w:pPr>
        <w:pBdr>
          <w:top w:val="single" w:sz="4" w:space="1" w:color="auto"/>
          <w:left w:val="single" w:sz="4" w:space="4" w:color="auto"/>
          <w:bottom w:val="single" w:sz="4" w:space="1" w:color="auto"/>
          <w:right w:val="single" w:sz="4" w:space="4" w:color="auto"/>
        </w:pBdr>
        <w:rPr>
          <w:rFonts w:ascii="Times New Roman" w:hAnsi="Times New Roman"/>
          <w:color w:val="000000" w:themeColor="text1"/>
          <w:sz w:val="24"/>
        </w:rPr>
      </w:pPr>
    </w:p>
    <w:p w14:paraId="45185BB5" w14:textId="04910362" w:rsidR="00656124" w:rsidRPr="00A712E4" w:rsidRDefault="00BE14AD" w:rsidP="00656124">
      <w:pPr>
        <w:numPr>
          <w:ilvl w:val="0"/>
          <w:numId w:val="13"/>
        </w:numPr>
        <w:pBdr>
          <w:top w:val="single" w:sz="4" w:space="1" w:color="auto"/>
          <w:left w:val="single" w:sz="4" w:space="4" w:color="auto"/>
          <w:bottom w:val="single" w:sz="4" w:space="1" w:color="auto"/>
          <w:right w:val="single" w:sz="4" w:space="4" w:color="auto"/>
        </w:pBdr>
        <w:rPr>
          <w:rFonts w:ascii="Times New Roman" w:hAnsi="Times New Roman"/>
          <w:color w:val="000000" w:themeColor="text1"/>
          <w:sz w:val="24"/>
        </w:rPr>
      </w:pPr>
      <w:r>
        <w:rPr>
          <w:rFonts w:ascii="Times New Roman" w:hAnsi="Times New Roman"/>
          <w:color w:val="000000" w:themeColor="text1"/>
          <w:sz w:val="24"/>
        </w:rPr>
        <w:t xml:space="preserve"> clarify the meaning of a subparagraph </w:t>
      </w:r>
      <w:r w:rsidR="00656124" w:rsidRPr="00A712E4">
        <w:rPr>
          <w:rFonts w:ascii="Times New Roman" w:hAnsi="Times New Roman"/>
          <w:color w:val="000000" w:themeColor="text1"/>
          <w:sz w:val="24"/>
        </w:rPr>
        <w:t>in Chapter 4; and</w:t>
      </w:r>
    </w:p>
    <w:p w14:paraId="057ADD16" w14:textId="6886FBDA" w:rsidR="00656124" w:rsidRPr="00A712E4" w:rsidRDefault="00656124" w:rsidP="00656124">
      <w:pPr>
        <w:numPr>
          <w:ilvl w:val="0"/>
          <w:numId w:val="13"/>
        </w:numPr>
        <w:pBdr>
          <w:top w:val="single" w:sz="4" w:space="1" w:color="auto"/>
          <w:left w:val="single" w:sz="4" w:space="4" w:color="auto"/>
          <w:bottom w:val="single" w:sz="4" w:space="1" w:color="auto"/>
          <w:right w:val="single" w:sz="4" w:space="4" w:color="auto"/>
        </w:pBdr>
        <w:spacing w:before="240"/>
        <w:ind w:left="357" w:hanging="357"/>
        <w:rPr>
          <w:rFonts w:ascii="Times New Roman" w:hAnsi="Times New Roman"/>
          <w:color w:val="000000" w:themeColor="text1"/>
          <w:sz w:val="24"/>
        </w:rPr>
      </w:pPr>
      <w:r w:rsidRPr="00A712E4">
        <w:rPr>
          <w:rFonts w:ascii="Times New Roman" w:hAnsi="Times New Roman"/>
          <w:color w:val="000000" w:themeColor="text1"/>
          <w:sz w:val="24"/>
        </w:rPr>
        <w:t xml:space="preserve">implement changes to </w:t>
      </w:r>
      <w:r w:rsidR="00BE14AD">
        <w:rPr>
          <w:rFonts w:ascii="Times New Roman" w:hAnsi="Times New Roman"/>
          <w:color w:val="000000" w:themeColor="text1"/>
          <w:sz w:val="24"/>
        </w:rPr>
        <w:t xml:space="preserve">Chapters 63 and 65 of </w:t>
      </w:r>
      <w:r w:rsidRPr="00A712E4">
        <w:rPr>
          <w:rFonts w:ascii="Times New Roman" w:hAnsi="Times New Roman"/>
          <w:color w:val="000000" w:themeColor="text1"/>
          <w:sz w:val="24"/>
        </w:rPr>
        <w:t>the AML/CTF Rules which are consequential to the AUSTRAC Industry Contribution</w:t>
      </w:r>
      <w:r w:rsidR="00954005" w:rsidRPr="00A712E4">
        <w:rPr>
          <w:rFonts w:ascii="Times New Roman" w:hAnsi="Times New Roman"/>
          <w:color w:val="000000" w:themeColor="text1"/>
          <w:sz w:val="24"/>
        </w:rPr>
        <w:t xml:space="preserve"> </w:t>
      </w:r>
      <w:r w:rsidR="00BE14AD">
        <w:rPr>
          <w:rFonts w:ascii="Times New Roman" w:hAnsi="Times New Roman"/>
          <w:sz w:val="24"/>
          <w:lang w:val="en-US"/>
        </w:rPr>
        <w:t xml:space="preserve">as </w:t>
      </w:r>
      <w:r w:rsidR="00954005" w:rsidRPr="00A712E4">
        <w:rPr>
          <w:rFonts w:ascii="Times New Roman" w:hAnsi="Times New Roman"/>
          <w:sz w:val="24"/>
          <w:lang w:val="en-US"/>
        </w:rPr>
        <w:t xml:space="preserve">established by </w:t>
      </w:r>
      <w:r w:rsidRPr="00A712E4">
        <w:rPr>
          <w:rFonts w:ascii="Times New Roman" w:hAnsi="Times New Roman"/>
          <w:color w:val="000000" w:themeColor="text1"/>
          <w:sz w:val="24"/>
        </w:rPr>
        <w:t xml:space="preserve">the </w:t>
      </w:r>
      <w:r w:rsidRPr="00A712E4">
        <w:rPr>
          <w:rFonts w:ascii="Times New Roman" w:hAnsi="Times New Roman"/>
          <w:i/>
          <w:sz w:val="24"/>
        </w:rPr>
        <w:t xml:space="preserve">Australian Transaction Reports and Analysis Centre Industry Contribution </w:t>
      </w:r>
      <w:r w:rsidRPr="00A712E4">
        <w:rPr>
          <w:rFonts w:ascii="Times New Roman" w:hAnsi="Times New Roman"/>
          <w:i/>
          <w:sz w:val="24"/>
          <w:lang w:val="en-US"/>
        </w:rPr>
        <w:t xml:space="preserve">Act 2011 </w:t>
      </w:r>
      <w:r w:rsidRPr="00A712E4">
        <w:rPr>
          <w:rFonts w:ascii="Times New Roman" w:hAnsi="Times New Roman"/>
          <w:sz w:val="24"/>
          <w:lang w:val="en-US"/>
        </w:rPr>
        <w:t xml:space="preserve">and the </w:t>
      </w:r>
      <w:r w:rsidRPr="00A712E4">
        <w:rPr>
          <w:rFonts w:ascii="Times New Roman" w:hAnsi="Times New Roman"/>
          <w:i/>
          <w:sz w:val="24"/>
        </w:rPr>
        <w:t xml:space="preserve">Australian Transaction Reports and Analysis Centre Industry Contribution (Collection) </w:t>
      </w:r>
      <w:r w:rsidRPr="00A712E4">
        <w:rPr>
          <w:rFonts w:ascii="Times New Roman" w:hAnsi="Times New Roman"/>
          <w:i/>
          <w:sz w:val="24"/>
          <w:lang w:val="en-US"/>
        </w:rPr>
        <w:t>Act 2011</w:t>
      </w:r>
      <w:r w:rsidR="00BE14AD">
        <w:rPr>
          <w:rFonts w:ascii="Times New Roman" w:hAnsi="Times New Roman"/>
          <w:i/>
          <w:sz w:val="24"/>
          <w:lang w:val="en-US"/>
        </w:rPr>
        <w:t xml:space="preserve">. </w:t>
      </w:r>
      <w:r w:rsidR="00BE14AD">
        <w:rPr>
          <w:rFonts w:ascii="Times New Roman" w:hAnsi="Times New Roman"/>
          <w:sz w:val="24"/>
          <w:lang w:val="en-US"/>
        </w:rPr>
        <w:t xml:space="preserve">These Acts replace </w:t>
      </w:r>
      <w:r w:rsidR="00385069">
        <w:rPr>
          <w:rFonts w:ascii="Times New Roman" w:hAnsi="Times New Roman"/>
          <w:sz w:val="24"/>
          <w:lang w:val="en-US"/>
        </w:rPr>
        <w:t>t</w:t>
      </w:r>
      <w:r w:rsidR="00954005" w:rsidRPr="00A712E4">
        <w:rPr>
          <w:rFonts w:ascii="Times New Roman" w:hAnsi="Times New Roman"/>
          <w:sz w:val="24"/>
          <w:lang w:val="en-US"/>
        </w:rPr>
        <w:t>he cost recovery arrangement</w:t>
      </w:r>
      <w:r w:rsidR="00BE14AD">
        <w:rPr>
          <w:rFonts w:ascii="Times New Roman" w:hAnsi="Times New Roman"/>
          <w:sz w:val="24"/>
          <w:lang w:val="en-US"/>
        </w:rPr>
        <w:t xml:space="preserve"> previously</w:t>
      </w:r>
      <w:r w:rsidR="00954005" w:rsidRPr="00A712E4">
        <w:rPr>
          <w:rFonts w:ascii="Times New Roman" w:hAnsi="Times New Roman"/>
          <w:sz w:val="24"/>
          <w:lang w:val="en-US"/>
        </w:rPr>
        <w:t xml:space="preserve"> administered by AUSTRAC</w:t>
      </w:r>
      <w:r w:rsidR="00BE14AD">
        <w:rPr>
          <w:rFonts w:ascii="Times New Roman" w:hAnsi="Times New Roman"/>
          <w:sz w:val="24"/>
          <w:lang w:val="en-US"/>
        </w:rPr>
        <w:t xml:space="preserve">, which was </w:t>
      </w:r>
      <w:r w:rsidR="00954005" w:rsidRPr="00A712E4">
        <w:rPr>
          <w:rFonts w:ascii="Times New Roman" w:hAnsi="Times New Roman"/>
          <w:sz w:val="24"/>
          <w:lang w:val="en-US"/>
        </w:rPr>
        <w:t xml:space="preserve">known as the AUSTRAC Supervisory Levy. </w:t>
      </w:r>
    </w:p>
    <w:p w14:paraId="780DA2B4" w14:textId="77777777" w:rsidR="00954005" w:rsidRPr="00A712E4" w:rsidRDefault="00954005" w:rsidP="00954005">
      <w:pPr>
        <w:pBdr>
          <w:top w:val="single" w:sz="4" w:space="1" w:color="auto"/>
          <w:left w:val="single" w:sz="4" w:space="4" w:color="auto"/>
          <w:bottom w:val="single" w:sz="4" w:space="1" w:color="auto"/>
          <w:right w:val="single" w:sz="4" w:space="4" w:color="auto"/>
        </w:pBdr>
        <w:rPr>
          <w:rFonts w:ascii="Times New Roman" w:hAnsi="Times New Roman"/>
          <w:sz w:val="24"/>
        </w:rPr>
      </w:pPr>
    </w:p>
    <w:p w14:paraId="3E27C608" w14:textId="77777777" w:rsidR="00954005" w:rsidRPr="00A712E4" w:rsidRDefault="00954005" w:rsidP="00954005">
      <w:pPr>
        <w:pBdr>
          <w:top w:val="single" w:sz="4" w:space="1" w:color="auto"/>
          <w:left w:val="single" w:sz="4" w:space="4" w:color="auto"/>
          <w:bottom w:val="single" w:sz="4" w:space="1" w:color="auto"/>
          <w:right w:val="single" w:sz="4" w:space="4" w:color="auto"/>
        </w:pBdr>
        <w:rPr>
          <w:rFonts w:ascii="Times New Roman" w:hAnsi="Times New Roman"/>
          <w:b/>
          <w:sz w:val="24"/>
        </w:rPr>
      </w:pPr>
      <w:r w:rsidRPr="00A712E4">
        <w:rPr>
          <w:rFonts w:ascii="Times New Roman" w:hAnsi="Times New Roman"/>
          <w:b/>
          <w:sz w:val="24"/>
        </w:rPr>
        <w:t>Human rights implications</w:t>
      </w:r>
    </w:p>
    <w:p w14:paraId="16E4F74D" w14:textId="77777777" w:rsidR="00954005" w:rsidRPr="00A712E4" w:rsidRDefault="00954005" w:rsidP="00954005">
      <w:pPr>
        <w:pBdr>
          <w:top w:val="single" w:sz="4" w:space="1" w:color="auto"/>
          <w:left w:val="single" w:sz="4" w:space="4" w:color="auto"/>
          <w:bottom w:val="single" w:sz="4" w:space="1" w:color="auto"/>
          <w:right w:val="single" w:sz="4" w:space="4" w:color="auto"/>
        </w:pBdr>
        <w:rPr>
          <w:rFonts w:ascii="Times New Roman" w:hAnsi="Times New Roman"/>
          <w:sz w:val="24"/>
        </w:rPr>
      </w:pPr>
    </w:p>
    <w:p w14:paraId="68F00901" w14:textId="77777777" w:rsidR="00954005" w:rsidRPr="00A712E4" w:rsidRDefault="00954005" w:rsidP="00954005">
      <w:pPr>
        <w:pBdr>
          <w:top w:val="single" w:sz="4" w:space="1" w:color="auto"/>
          <w:left w:val="single" w:sz="4" w:space="4" w:color="auto"/>
          <w:bottom w:val="single" w:sz="4" w:space="1" w:color="auto"/>
          <w:right w:val="single" w:sz="4" w:space="4" w:color="auto"/>
        </w:pBdr>
        <w:rPr>
          <w:rFonts w:ascii="Times New Roman" w:hAnsi="Times New Roman"/>
          <w:sz w:val="24"/>
        </w:rPr>
      </w:pPr>
      <w:r w:rsidRPr="00A712E4">
        <w:rPr>
          <w:rFonts w:ascii="Times New Roman" w:hAnsi="Times New Roman"/>
          <w:sz w:val="24"/>
        </w:rPr>
        <w:t xml:space="preserve">This Instrument does not engage any of the applicable rights or freedoms. </w:t>
      </w:r>
    </w:p>
    <w:p w14:paraId="5B9668DE" w14:textId="77777777" w:rsidR="00954005" w:rsidRPr="00A712E4" w:rsidRDefault="00954005" w:rsidP="00954005">
      <w:pPr>
        <w:pBdr>
          <w:top w:val="single" w:sz="4" w:space="1" w:color="auto"/>
          <w:left w:val="single" w:sz="4" w:space="4" w:color="auto"/>
          <w:bottom w:val="single" w:sz="4" w:space="1" w:color="auto"/>
          <w:right w:val="single" w:sz="4" w:space="4" w:color="auto"/>
        </w:pBdr>
        <w:rPr>
          <w:rFonts w:ascii="Times New Roman" w:hAnsi="Times New Roman"/>
          <w:sz w:val="24"/>
        </w:rPr>
      </w:pPr>
    </w:p>
    <w:p w14:paraId="3441F001" w14:textId="77777777" w:rsidR="00954005" w:rsidRPr="00A712E4" w:rsidRDefault="00954005" w:rsidP="00954005">
      <w:pPr>
        <w:pBdr>
          <w:top w:val="single" w:sz="4" w:space="1" w:color="auto"/>
          <w:left w:val="single" w:sz="4" w:space="4" w:color="auto"/>
          <w:bottom w:val="single" w:sz="4" w:space="1" w:color="auto"/>
          <w:right w:val="single" w:sz="4" w:space="4" w:color="auto"/>
        </w:pBdr>
        <w:rPr>
          <w:rFonts w:ascii="Times New Roman" w:hAnsi="Times New Roman"/>
          <w:b/>
          <w:sz w:val="24"/>
        </w:rPr>
      </w:pPr>
      <w:r w:rsidRPr="00A712E4">
        <w:rPr>
          <w:rFonts w:ascii="Times New Roman" w:hAnsi="Times New Roman"/>
          <w:b/>
          <w:sz w:val="24"/>
        </w:rPr>
        <w:t>Conclusion</w:t>
      </w:r>
    </w:p>
    <w:p w14:paraId="60A12AA8" w14:textId="77777777" w:rsidR="00954005" w:rsidRPr="00A712E4" w:rsidRDefault="00954005" w:rsidP="00954005">
      <w:pPr>
        <w:pBdr>
          <w:top w:val="single" w:sz="4" w:space="1" w:color="auto"/>
          <w:left w:val="single" w:sz="4" w:space="4" w:color="auto"/>
          <w:bottom w:val="single" w:sz="4" w:space="1" w:color="auto"/>
          <w:right w:val="single" w:sz="4" w:space="4" w:color="auto"/>
        </w:pBdr>
        <w:rPr>
          <w:rFonts w:ascii="Times New Roman" w:hAnsi="Times New Roman"/>
          <w:sz w:val="24"/>
        </w:rPr>
      </w:pPr>
    </w:p>
    <w:p w14:paraId="21EE5622" w14:textId="77777777" w:rsidR="00954005" w:rsidRPr="00A712E4" w:rsidRDefault="00954005" w:rsidP="00954005">
      <w:pPr>
        <w:pBdr>
          <w:top w:val="single" w:sz="4" w:space="1" w:color="auto"/>
          <w:left w:val="single" w:sz="4" w:space="4" w:color="auto"/>
          <w:bottom w:val="single" w:sz="4" w:space="1" w:color="auto"/>
          <w:right w:val="single" w:sz="4" w:space="4" w:color="auto"/>
        </w:pBdr>
        <w:rPr>
          <w:rFonts w:ascii="Times New Roman" w:hAnsi="Times New Roman"/>
          <w:sz w:val="24"/>
        </w:rPr>
      </w:pPr>
      <w:r w:rsidRPr="00A712E4">
        <w:rPr>
          <w:rFonts w:ascii="Times New Roman" w:hAnsi="Times New Roman"/>
          <w:sz w:val="24"/>
        </w:rPr>
        <w:t xml:space="preserve">This Instrument is compatible with human rights as it does not raise any human rights issues. </w:t>
      </w:r>
    </w:p>
    <w:p w14:paraId="0D59E0E0" w14:textId="77777777" w:rsidR="00BC0846" w:rsidRPr="00A712E4" w:rsidRDefault="00BC0846" w:rsidP="009531E4">
      <w:pPr>
        <w:pBdr>
          <w:top w:val="single" w:sz="4" w:space="1" w:color="auto"/>
          <w:left w:val="single" w:sz="4" w:space="4" w:color="auto"/>
          <w:bottom w:val="single" w:sz="4" w:space="1" w:color="auto"/>
          <w:right w:val="single" w:sz="4" w:space="4" w:color="auto"/>
        </w:pBdr>
        <w:rPr>
          <w:rFonts w:ascii="Times New Roman" w:hAnsi="Times New Roman"/>
          <w:b/>
          <w:sz w:val="24"/>
        </w:rPr>
      </w:pPr>
    </w:p>
    <w:p w14:paraId="30559E7E" w14:textId="77777777" w:rsidR="00D852BA" w:rsidRPr="00A712E4" w:rsidRDefault="00D852BA"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4F6B2DCB" w14:textId="77777777" w:rsidR="00954005" w:rsidRPr="00A712E4" w:rsidRDefault="00954005"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5DC89D9C" w14:textId="77777777" w:rsidR="00954005" w:rsidRPr="00A712E4" w:rsidRDefault="00954005"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4EDE6F30" w14:textId="77777777" w:rsidR="00E7671F" w:rsidRPr="00A712E4" w:rsidRDefault="00E7671F"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5F40AAFB" w14:textId="77777777" w:rsidR="00E7671F" w:rsidRPr="00A712E4" w:rsidRDefault="00E7671F"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5FAE2655" w14:textId="77777777" w:rsidR="003340DB" w:rsidRPr="00A712E4" w:rsidRDefault="003340DB"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37016D8F" w14:textId="77777777" w:rsidR="003340DB" w:rsidRPr="00A712E4" w:rsidRDefault="003340DB" w:rsidP="005B69DB">
      <w:pPr>
        <w:pBdr>
          <w:top w:val="single" w:sz="4" w:space="1" w:color="auto"/>
          <w:left w:val="single" w:sz="4" w:space="4" w:color="auto"/>
          <w:bottom w:val="single" w:sz="4" w:space="1" w:color="auto"/>
          <w:right w:val="single" w:sz="4" w:space="4" w:color="auto"/>
        </w:pBdr>
        <w:rPr>
          <w:rFonts w:ascii="Times New Roman" w:hAnsi="Times New Roman"/>
          <w:sz w:val="24"/>
        </w:rPr>
      </w:pPr>
    </w:p>
    <w:p w14:paraId="445E2A82" w14:textId="280A05A4" w:rsidR="006D6123" w:rsidRPr="00A712E4" w:rsidRDefault="00461459" w:rsidP="006D6123">
      <w:pPr>
        <w:pBdr>
          <w:top w:val="single" w:sz="4" w:space="1" w:color="auto"/>
          <w:left w:val="single" w:sz="4" w:space="4" w:color="auto"/>
          <w:bottom w:val="single" w:sz="4" w:space="1" w:color="auto"/>
          <w:right w:val="single" w:sz="4" w:space="4" w:color="auto"/>
        </w:pBdr>
        <w:rPr>
          <w:rFonts w:ascii="Times New Roman" w:hAnsi="Times New Roman"/>
          <w:sz w:val="24"/>
        </w:rPr>
      </w:pPr>
      <w:r>
        <w:rPr>
          <w:rFonts w:ascii="Times New Roman" w:hAnsi="Times New Roman"/>
          <w:sz w:val="24"/>
        </w:rPr>
        <w:t xml:space="preserve">Paul </w:t>
      </w:r>
      <w:proofErr w:type="spellStart"/>
      <w:r>
        <w:rPr>
          <w:rFonts w:ascii="Times New Roman" w:hAnsi="Times New Roman"/>
          <w:sz w:val="24"/>
        </w:rPr>
        <w:t>Jevtovic</w:t>
      </w:r>
      <w:proofErr w:type="spellEnd"/>
      <w:r w:rsidR="00F36BFC">
        <w:rPr>
          <w:rFonts w:ascii="Times New Roman" w:hAnsi="Times New Roman"/>
          <w:sz w:val="24"/>
        </w:rPr>
        <w:t xml:space="preserve"> </w:t>
      </w:r>
      <w:r w:rsidR="00F36BFC" w:rsidRPr="00F36BFC">
        <w:rPr>
          <w:rFonts w:ascii="Times New Roman" w:hAnsi="Times New Roman"/>
          <w:sz w:val="20"/>
          <w:szCs w:val="20"/>
        </w:rPr>
        <w:t>APM</w:t>
      </w:r>
    </w:p>
    <w:p w14:paraId="1F054871" w14:textId="7FDB6687" w:rsidR="009531E4" w:rsidRPr="00A712E4" w:rsidRDefault="00640C28" w:rsidP="005B69DB">
      <w:pPr>
        <w:pBdr>
          <w:top w:val="single" w:sz="4" w:space="1" w:color="auto"/>
          <w:left w:val="single" w:sz="4" w:space="4" w:color="auto"/>
          <w:bottom w:val="single" w:sz="4" w:space="1" w:color="auto"/>
          <w:right w:val="single" w:sz="4" w:space="4" w:color="auto"/>
        </w:pBdr>
        <w:rPr>
          <w:rFonts w:ascii="Times New Roman" w:hAnsi="Times New Roman"/>
          <w:sz w:val="24"/>
        </w:rPr>
      </w:pPr>
      <w:r w:rsidRPr="00A712E4">
        <w:rPr>
          <w:rFonts w:ascii="Times New Roman" w:hAnsi="Times New Roman"/>
          <w:sz w:val="24"/>
        </w:rPr>
        <w:t>Chief Executive Officer</w:t>
      </w:r>
    </w:p>
    <w:p w14:paraId="28B8EB1F" w14:textId="77777777" w:rsidR="00D65393" w:rsidRPr="00A712E4" w:rsidRDefault="00640C28" w:rsidP="005B69DB">
      <w:pPr>
        <w:pBdr>
          <w:top w:val="single" w:sz="4" w:space="1" w:color="auto"/>
          <w:left w:val="single" w:sz="4" w:space="4" w:color="auto"/>
          <w:bottom w:val="single" w:sz="4" w:space="1" w:color="auto"/>
          <w:right w:val="single" w:sz="4" w:space="4" w:color="auto"/>
        </w:pBdr>
        <w:rPr>
          <w:rFonts w:ascii="Times New Roman" w:hAnsi="Times New Roman"/>
          <w:sz w:val="24"/>
        </w:rPr>
      </w:pPr>
      <w:r w:rsidRPr="00A712E4">
        <w:rPr>
          <w:rFonts w:ascii="Times New Roman" w:hAnsi="Times New Roman"/>
          <w:sz w:val="24"/>
        </w:rPr>
        <w:t>Australian Transaction Reports and Analysis Centre</w:t>
      </w:r>
    </w:p>
    <w:sectPr w:rsidR="00D65393" w:rsidRPr="00A712E4" w:rsidSect="0091656F">
      <w:footerReference w:type="even" r:id="rId10"/>
      <w:footerReference w:type="default" r:id="rId11"/>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029E" w14:textId="77777777" w:rsidR="00FD6954" w:rsidRDefault="00FD6954">
      <w:r>
        <w:separator/>
      </w:r>
    </w:p>
  </w:endnote>
  <w:endnote w:type="continuationSeparator" w:id="0">
    <w:p w14:paraId="1CED8562" w14:textId="77777777" w:rsidR="00FD6954" w:rsidRDefault="00FD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BEE1"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EB9ADF" w14:textId="77777777" w:rsidR="00FD6954" w:rsidRDefault="00FD6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D0745" w14:textId="77777777" w:rsidR="00FD6954" w:rsidRDefault="00FD6954" w:rsidP="003F2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71D6">
      <w:rPr>
        <w:rStyle w:val="PageNumber"/>
        <w:noProof/>
      </w:rPr>
      <w:t>6</w:t>
    </w:r>
    <w:r>
      <w:rPr>
        <w:rStyle w:val="PageNumber"/>
      </w:rPr>
      <w:fldChar w:fldCharType="end"/>
    </w:r>
  </w:p>
  <w:p w14:paraId="1D4C9A6A" w14:textId="77777777" w:rsidR="00FD6954" w:rsidRDefault="00FD6954" w:rsidP="003B752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02A4F" w14:textId="77777777" w:rsidR="00FD6954" w:rsidRDefault="00FD6954">
      <w:r>
        <w:separator/>
      </w:r>
    </w:p>
  </w:footnote>
  <w:footnote w:type="continuationSeparator" w:id="0">
    <w:p w14:paraId="385BED6D" w14:textId="77777777" w:rsidR="00FD6954" w:rsidRDefault="00FD6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503"/>
    <w:multiLevelType w:val="hybridMultilevel"/>
    <w:tmpl w:val="FDC2C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126EF2"/>
    <w:multiLevelType w:val="hybridMultilevel"/>
    <w:tmpl w:val="8BE0A230"/>
    <w:lvl w:ilvl="0" w:tplc="5AF4C4D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8252079"/>
    <w:multiLevelType w:val="hybridMultilevel"/>
    <w:tmpl w:val="D42C468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nsid w:val="0C6D6350"/>
    <w:multiLevelType w:val="hybridMultilevel"/>
    <w:tmpl w:val="427E53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25A2E73"/>
    <w:multiLevelType w:val="hybridMultilevel"/>
    <w:tmpl w:val="626638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9A32BF4"/>
    <w:multiLevelType w:val="hybridMultilevel"/>
    <w:tmpl w:val="C6288D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CBD24EF"/>
    <w:multiLevelType w:val="hybridMultilevel"/>
    <w:tmpl w:val="60F40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853313A"/>
    <w:multiLevelType w:val="hybridMultilevel"/>
    <w:tmpl w:val="9380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F06278F"/>
    <w:multiLevelType w:val="multilevel"/>
    <w:tmpl w:val="FF9C90D0"/>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DC16C4"/>
    <w:multiLevelType w:val="hybridMultilevel"/>
    <w:tmpl w:val="57B2ABA4"/>
    <w:lvl w:ilvl="0" w:tplc="FFB6A95A">
      <w:start w:val="1"/>
      <w:numFmt w:val="decimal"/>
      <w:lvlText w:val="%1."/>
      <w:lvlJc w:val="left"/>
      <w:pPr>
        <w:ind w:left="360" w:hanging="360"/>
      </w:pPr>
      <w:rPr>
        <w:rFonts w:ascii="Times New Roman" w:eastAsia="Times New Roman" w:hAnsi="Times New Roman" w:cs="Times New Roman"/>
      </w:rPr>
    </w:lvl>
    <w:lvl w:ilvl="1" w:tplc="515A7CE6">
      <w:start w:val="1"/>
      <w:numFmt w:val="lowerLetter"/>
      <w:lvlText w:val="(%2)"/>
      <w:lvlJc w:val="left"/>
      <w:pPr>
        <w:ind w:left="1080" w:hanging="360"/>
      </w:pPr>
      <w:rPr>
        <w:rFonts w:ascii="Times New Roman" w:eastAsia="Times New Roman" w:hAnsi="Times New Roman" w:cs="Times New Roman"/>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9CB548B"/>
    <w:multiLevelType w:val="hybridMultilevel"/>
    <w:tmpl w:val="3A08B9A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nsid w:val="3E212D74"/>
    <w:multiLevelType w:val="hybridMultilevel"/>
    <w:tmpl w:val="04429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04A293B"/>
    <w:multiLevelType w:val="hybridMultilevel"/>
    <w:tmpl w:val="830A868E"/>
    <w:lvl w:ilvl="0" w:tplc="F6606D1A">
      <w:start w:val="1"/>
      <w:numFmt w:val="bullet"/>
      <w:lvlText w:val=""/>
      <w:lvlJc w:val="left"/>
      <w:pPr>
        <w:tabs>
          <w:tab w:val="num" w:pos="0"/>
        </w:tabs>
        <w:ind w:left="17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807B4B"/>
    <w:multiLevelType w:val="hybridMultilevel"/>
    <w:tmpl w:val="7D3A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AF029E9"/>
    <w:multiLevelType w:val="hybridMultilevel"/>
    <w:tmpl w:val="27B6D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F98301C"/>
    <w:multiLevelType w:val="hybridMultilevel"/>
    <w:tmpl w:val="B7A0FB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17670BA"/>
    <w:multiLevelType w:val="hybridMultilevel"/>
    <w:tmpl w:val="9C0CDF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20C64AE"/>
    <w:multiLevelType w:val="hybridMultilevel"/>
    <w:tmpl w:val="A7C6D62A"/>
    <w:lvl w:ilvl="0" w:tplc="1FECFAA6">
      <w:start w:val="1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5296005F"/>
    <w:multiLevelType w:val="hybridMultilevel"/>
    <w:tmpl w:val="AB989A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2FC5908"/>
    <w:multiLevelType w:val="hybridMultilevel"/>
    <w:tmpl w:val="A32C36E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nsid w:val="58C65A21"/>
    <w:multiLevelType w:val="hybridMultilevel"/>
    <w:tmpl w:val="EEF4C094"/>
    <w:lvl w:ilvl="0" w:tplc="5AF4C4DC">
      <w:start w:val="30"/>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FC13A1B"/>
    <w:multiLevelType w:val="hybridMultilevel"/>
    <w:tmpl w:val="4C8E725C"/>
    <w:lvl w:ilvl="0" w:tplc="F6606D1A">
      <w:start w:val="1"/>
      <w:numFmt w:val="bullet"/>
      <w:lvlText w:val=""/>
      <w:lvlJc w:val="left"/>
      <w:pPr>
        <w:tabs>
          <w:tab w:val="num" w:pos="1500"/>
        </w:tabs>
        <w:ind w:left="1670" w:hanging="170"/>
      </w:pPr>
      <w:rPr>
        <w:rFonts w:ascii="Symbol" w:hAnsi="Symbol" w:hint="default"/>
      </w:rPr>
    </w:lvl>
    <w:lvl w:ilvl="1" w:tplc="0C090003" w:tentative="1">
      <w:start w:val="1"/>
      <w:numFmt w:val="bullet"/>
      <w:lvlText w:val="o"/>
      <w:lvlJc w:val="left"/>
      <w:pPr>
        <w:tabs>
          <w:tab w:val="num" w:pos="2940"/>
        </w:tabs>
        <w:ind w:left="2940" w:hanging="360"/>
      </w:pPr>
      <w:rPr>
        <w:rFonts w:ascii="Courier New" w:hAnsi="Courier New" w:cs="Courier New" w:hint="default"/>
      </w:rPr>
    </w:lvl>
    <w:lvl w:ilvl="2" w:tplc="0C090005" w:tentative="1">
      <w:start w:val="1"/>
      <w:numFmt w:val="bullet"/>
      <w:lvlText w:val=""/>
      <w:lvlJc w:val="left"/>
      <w:pPr>
        <w:tabs>
          <w:tab w:val="num" w:pos="3660"/>
        </w:tabs>
        <w:ind w:left="3660" w:hanging="360"/>
      </w:pPr>
      <w:rPr>
        <w:rFonts w:ascii="Wingdings" w:hAnsi="Wingdings" w:hint="default"/>
      </w:rPr>
    </w:lvl>
    <w:lvl w:ilvl="3" w:tplc="0C090001" w:tentative="1">
      <w:start w:val="1"/>
      <w:numFmt w:val="bullet"/>
      <w:lvlText w:val=""/>
      <w:lvlJc w:val="left"/>
      <w:pPr>
        <w:tabs>
          <w:tab w:val="num" w:pos="4380"/>
        </w:tabs>
        <w:ind w:left="4380" w:hanging="360"/>
      </w:pPr>
      <w:rPr>
        <w:rFonts w:ascii="Symbol" w:hAnsi="Symbol" w:hint="default"/>
      </w:rPr>
    </w:lvl>
    <w:lvl w:ilvl="4" w:tplc="0C090003" w:tentative="1">
      <w:start w:val="1"/>
      <w:numFmt w:val="bullet"/>
      <w:lvlText w:val="o"/>
      <w:lvlJc w:val="left"/>
      <w:pPr>
        <w:tabs>
          <w:tab w:val="num" w:pos="5100"/>
        </w:tabs>
        <w:ind w:left="5100" w:hanging="360"/>
      </w:pPr>
      <w:rPr>
        <w:rFonts w:ascii="Courier New" w:hAnsi="Courier New" w:cs="Courier New" w:hint="default"/>
      </w:rPr>
    </w:lvl>
    <w:lvl w:ilvl="5" w:tplc="0C090005" w:tentative="1">
      <w:start w:val="1"/>
      <w:numFmt w:val="bullet"/>
      <w:lvlText w:val=""/>
      <w:lvlJc w:val="left"/>
      <w:pPr>
        <w:tabs>
          <w:tab w:val="num" w:pos="5820"/>
        </w:tabs>
        <w:ind w:left="5820" w:hanging="360"/>
      </w:pPr>
      <w:rPr>
        <w:rFonts w:ascii="Wingdings" w:hAnsi="Wingdings" w:hint="default"/>
      </w:rPr>
    </w:lvl>
    <w:lvl w:ilvl="6" w:tplc="0C090001" w:tentative="1">
      <w:start w:val="1"/>
      <w:numFmt w:val="bullet"/>
      <w:lvlText w:val=""/>
      <w:lvlJc w:val="left"/>
      <w:pPr>
        <w:tabs>
          <w:tab w:val="num" w:pos="6540"/>
        </w:tabs>
        <w:ind w:left="6540" w:hanging="360"/>
      </w:pPr>
      <w:rPr>
        <w:rFonts w:ascii="Symbol" w:hAnsi="Symbol" w:hint="default"/>
      </w:rPr>
    </w:lvl>
    <w:lvl w:ilvl="7" w:tplc="0C090003" w:tentative="1">
      <w:start w:val="1"/>
      <w:numFmt w:val="bullet"/>
      <w:lvlText w:val="o"/>
      <w:lvlJc w:val="left"/>
      <w:pPr>
        <w:tabs>
          <w:tab w:val="num" w:pos="7260"/>
        </w:tabs>
        <w:ind w:left="7260" w:hanging="360"/>
      </w:pPr>
      <w:rPr>
        <w:rFonts w:ascii="Courier New" w:hAnsi="Courier New" w:cs="Courier New" w:hint="default"/>
      </w:rPr>
    </w:lvl>
    <w:lvl w:ilvl="8" w:tplc="0C090005" w:tentative="1">
      <w:start w:val="1"/>
      <w:numFmt w:val="bullet"/>
      <w:lvlText w:val=""/>
      <w:lvlJc w:val="left"/>
      <w:pPr>
        <w:tabs>
          <w:tab w:val="num" w:pos="7980"/>
        </w:tabs>
        <w:ind w:left="7980" w:hanging="360"/>
      </w:pPr>
      <w:rPr>
        <w:rFonts w:ascii="Wingdings" w:hAnsi="Wingdings" w:hint="default"/>
      </w:rPr>
    </w:lvl>
  </w:abstractNum>
  <w:abstractNum w:abstractNumId="22">
    <w:nsid w:val="5FE80D0D"/>
    <w:multiLevelType w:val="hybridMultilevel"/>
    <w:tmpl w:val="D6EA8562"/>
    <w:lvl w:ilvl="0" w:tplc="78ACFE64">
      <w:start w:val="1"/>
      <w:numFmt w:val="decimal"/>
      <w:lvlText w:val="%1."/>
      <w:lvlJc w:val="left"/>
      <w:pPr>
        <w:tabs>
          <w:tab w:val="num" w:pos="720"/>
        </w:tabs>
        <w:ind w:left="720" w:hanging="360"/>
      </w:pPr>
      <w:rPr>
        <w:rFonts w:hint="default"/>
        <w:b w:val="0"/>
        <w:i w:val="0"/>
        <w:sz w:val="24"/>
        <w:szCs w:val="24"/>
      </w:rPr>
    </w:lvl>
    <w:lvl w:ilvl="1" w:tplc="F6606D1A">
      <w:start w:val="1"/>
      <w:numFmt w:val="bullet"/>
      <w:lvlText w:val=""/>
      <w:lvlJc w:val="left"/>
      <w:pPr>
        <w:tabs>
          <w:tab w:val="num" w:pos="1080"/>
        </w:tabs>
        <w:ind w:left="1250" w:hanging="170"/>
      </w:pPr>
      <w:rPr>
        <w:rFonts w:ascii="Symbol" w:hAnsi="Symbol" w:hint="default"/>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4F429FD"/>
    <w:multiLevelType w:val="hybridMultilevel"/>
    <w:tmpl w:val="5A1A1DA4"/>
    <w:lvl w:ilvl="0" w:tplc="414099EC">
      <w:start w:val="1"/>
      <w:numFmt w:val="lowerLetter"/>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65BF2A2F"/>
    <w:multiLevelType w:val="multilevel"/>
    <w:tmpl w:val="468CB70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64070E2"/>
    <w:multiLevelType w:val="hybridMultilevel"/>
    <w:tmpl w:val="3B90928A"/>
    <w:lvl w:ilvl="0" w:tplc="952667DA">
      <w:start w:val="2"/>
      <w:numFmt w:val="decimal"/>
      <w:lvlText w:val="(%1)"/>
      <w:lvlJc w:val="left"/>
      <w:pPr>
        <w:ind w:left="1080" w:hanging="360"/>
      </w:pPr>
      <w:rPr>
        <w:rFonts w:hint="default"/>
      </w:rPr>
    </w:lvl>
    <w:lvl w:ilvl="1" w:tplc="3B4C537C">
      <w:start w:val="1"/>
      <w:numFmt w:val="lowerLetter"/>
      <w:lvlText w:val="(%2)"/>
      <w:lvlJc w:val="left"/>
      <w:pPr>
        <w:ind w:left="1800" w:hanging="360"/>
      </w:pPr>
      <w:rPr>
        <w:rFonts w:ascii="Times New Roman" w:eastAsia="Times New Roman" w:hAnsi="Times New Roman" w:cs="Times New Roman"/>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89A19DC"/>
    <w:multiLevelType w:val="multilevel"/>
    <w:tmpl w:val="5100D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8C34085"/>
    <w:multiLevelType w:val="hybridMultilevel"/>
    <w:tmpl w:val="ECEA7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C2042D"/>
    <w:multiLevelType w:val="hybridMultilevel"/>
    <w:tmpl w:val="A9B2C40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9">
    <w:nsid w:val="737E09C7"/>
    <w:multiLevelType w:val="hybridMultilevel"/>
    <w:tmpl w:val="7196F280"/>
    <w:lvl w:ilvl="0" w:tplc="04463F80">
      <w:start w:val="1"/>
      <w:numFmt w:val="decimal"/>
      <w:lvlText w:val="(%1)"/>
      <w:lvlJc w:val="left"/>
      <w:pPr>
        <w:tabs>
          <w:tab w:val="num" w:pos="1110"/>
        </w:tabs>
        <w:ind w:left="1110" w:hanging="39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6"/>
  </w:num>
  <w:num w:numId="2">
    <w:abstractNumId w:val="22"/>
  </w:num>
  <w:num w:numId="3">
    <w:abstractNumId w:val="1"/>
  </w:num>
  <w:num w:numId="4">
    <w:abstractNumId w:val="20"/>
  </w:num>
  <w:num w:numId="5">
    <w:abstractNumId w:val="26"/>
  </w:num>
  <w:num w:numId="6">
    <w:abstractNumId w:val="17"/>
  </w:num>
  <w:num w:numId="7">
    <w:abstractNumId w:val="29"/>
  </w:num>
  <w:num w:numId="8">
    <w:abstractNumId w:val="24"/>
  </w:num>
  <w:num w:numId="9">
    <w:abstractNumId w:val="8"/>
  </w:num>
  <w:num w:numId="10">
    <w:abstractNumId w:val="21"/>
  </w:num>
  <w:num w:numId="11">
    <w:abstractNumId w:val="12"/>
  </w:num>
  <w:num w:numId="12">
    <w:abstractNumId w:val="23"/>
  </w:num>
  <w:num w:numId="13">
    <w:abstractNumId w:val="7"/>
  </w:num>
  <w:num w:numId="14">
    <w:abstractNumId w:val="3"/>
  </w:num>
  <w:num w:numId="15">
    <w:abstractNumId w:val="5"/>
  </w:num>
  <w:num w:numId="16">
    <w:abstractNumId w:val="9"/>
  </w:num>
  <w:num w:numId="17">
    <w:abstractNumId w:val="25"/>
  </w:num>
  <w:num w:numId="18">
    <w:abstractNumId w:val="4"/>
  </w:num>
  <w:num w:numId="19">
    <w:abstractNumId w:val="0"/>
  </w:num>
  <w:num w:numId="20">
    <w:abstractNumId w:val="27"/>
  </w:num>
  <w:num w:numId="21">
    <w:abstractNumId w:val="18"/>
  </w:num>
  <w:num w:numId="22">
    <w:abstractNumId w:val="13"/>
  </w:num>
  <w:num w:numId="23">
    <w:abstractNumId w:val="6"/>
  </w:num>
  <w:num w:numId="24">
    <w:abstractNumId w:val="11"/>
  </w:num>
  <w:num w:numId="25">
    <w:abstractNumId w:val="28"/>
  </w:num>
  <w:num w:numId="26">
    <w:abstractNumId w:val="14"/>
  </w:num>
  <w:num w:numId="27">
    <w:abstractNumId w:val="15"/>
  </w:num>
  <w:num w:numId="28">
    <w:abstractNumId w:val="2"/>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524"/>
    <w:rsid w:val="0000129C"/>
    <w:rsid w:val="00002D59"/>
    <w:rsid w:val="00004237"/>
    <w:rsid w:val="00005185"/>
    <w:rsid w:val="00011BFD"/>
    <w:rsid w:val="00013686"/>
    <w:rsid w:val="0001564A"/>
    <w:rsid w:val="00024C66"/>
    <w:rsid w:val="00027022"/>
    <w:rsid w:val="00027747"/>
    <w:rsid w:val="00035795"/>
    <w:rsid w:val="000430D4"/>
    <w:rsid w:val="00050CE5"/>
    <w:rsid w:val="00051713"/>
    <w:rsid w:val="000572EA"/>
    <w:rsid w:val="00057C98"/>
    <w:rsid w:val="0006328D"/>
    <w:rsid w:val="00075472"/>
    <w:rsid w:val="0008191B"/>
    <w:rsid w:val="00092891"/>
    <w:rsid w:val="0009363E"/>
    <w:rsid w:val="000A0109"/>
    <w:rsid w:val="000A1B36"/>
    <w:rsid w:val="000A448C"/>
    <w:rsid w:val="000A71FF"/>
    <w:rsid w:val="000B07C2"/>
    <w:rsid w:val="000B3D22"/>
    <w:rsid w:val="000B7D16"/>
    <w:rsid w:val="000C4CBB"/>
    <w:rsid w:val="000C4DEC"/>
    <w:rsid w:val="000C5E2A"/>
    <w:rsid w:val="000D0E25"/>
    <w:rsid w:val="000D143A"/>
    <w:rsid w:val="000D180A"/>
    <w:rsid w:val="000D1DA2"/>
    <w:rsid w:val="000D261E"/>
    <w:rsid w:val="000E63EE"/>
    <w:rsid w:val="00100A29"/>
    <w:rsid w:val="00100E9D"/>
    <w:rsid w:val="00101CDF"/>
    <w:rsid w:val="0010649D"/>
    <w:rsid w:val="001138C2"/>
    <w:rsid w:val="00115CA1"/>
    <w:rsid w:val="001161BA"/>
    <w:rsid w:val="00121FC3"/>
    <w:rsid w:val="00122D9B"/>
    <w:rsid w:val="0013429C"/>
    <w:rsid w:val="00134CA6"/>
    <w:rsid w:val="00141E34"/>
    <w:rsid w:val="00146670"/>
    <w:rsid w:val="00146C29"/>
    <w:rsid w:val="00151851"/>
    <w:rsid w:val="00151CE0"/>
    <w:rsid w:val="0015491C"/>
    <w:rsid w:val="00156041"/>
    <w:rsid w:val="0015621A"/>
    <w:rsid w:val="00156C39"/>
    <w:rsid w:val="00160041"/>
    <w:rsid w:val="001663D5"/>
    <w:rsid w:val="0017034F"/>
    <w:rsid w:val="00193377"/>
    <w:rsid w:val="001941DA"/>
    <w:rsid w:val="00197E8A"/>
    <w:rsid w:val="001A58BA"/>
    <w:rsid w:val="001A63E8"/>
    <w:rsid w:val="001B005E"/>
    <w:rsid w:val="001B3A61"/>
    <w:rsid w:val="001B679A"/>
    <w:rsid w:val="001B7DCC"/>
    <w:rsid w:val="001C2371"/>
    <w:rsid w:val="001C37C9"/>
    <w:rsid w:val="001C57DA"/>
    <w:rsid w:val="001C5B36"/>
    <w:rsid w:val="001C60F1"/>
    <w:rsid w:val="001C6C6F"/>
    <w:rsid w:val="001D3034"/>
    <w:rsid w:val="001D3559"/>
    <w:rsid w:val="001D3968"/>
    <w:rsid w:val="001D3C6E"/>
    <w:rsid w:val="001D5E25"/>
    <w:rsid w:val="001D6003"/>
    <w:rsid w:val="001E005B"/>
    <w:rsid w:val="001E23BF"/>
    <w:rsid w:val="001E2728"/>
    <w:rsid w:val="001E4D8A"/>
    <w:rsid w:val="001F108A"/>
    <w:rsid w:val="001F396D"/>
    <w:rsid w:val="00205D35"/>
    <w:rsid w:val="0020702F"/>
    <w:rsid w:val="002222BA"/>
    <w:rsid w:val="00231302"/>
    <w:rsid w:val="00234EE9"/>
    <w:rsid w:val="002358FE"/>
    <w:rsid w:val="00237735"/>
    <w:rsid w:val="00241858"/>
    <w:rsid w:val="00243298"/>
    <w:rsid w:val="00243C97"/>
    <w:rsid w:val="00244D95"/>
    <w:rsid w:val="00246666"/>
    <w:rsid w:val="00247043"/>
    <w:rsid w:val="002475AC"/>
    <w:rsid w:val="002526C4"/>
    <w:rsid w:val="00252A86"/>
    <w:rsid w:val="0025603C"/>
    <w:rsid w:val="002570AB"/>
    <w:rsid w:val="002700FC"/>
    <w:rsid w:val="00272368"/>
    <w:rsid w:val="00276CC0"/>
    <w:rsid w:val="002848A4"/>
    <w:rsid w:val="00285882"/>
    <w:rsid w:val="00291994"/>
    <w:rsid w:val="0029686B"/>
    <w:rsid w:val="002A0A5F"/>
    <w:rsid w:val="002A5004"/>
    <w:rsid w:val="002A6852"/>
    <w:rsid w:val="002A6B5F"/>
    <w:rsid w:val="002B0655"/>
    <w:rsid w:val="002B0D2D"/>
    <w:rsid w:val="002B4D5C"/>
    <w:rsid w:val="002C10AE"/>
    <w:rsid w:val="002C2936"/>
    <w:rsid w:val="002C75DD"/>
    <w:rsid w:val="002C76AE"/>
    <w:rsid w:val="002C7F14"/>
    <w:rsid w:val="002D123A"/>
    <w:rsid w:val="002D18EA"/>
    <w:rsid w:val="002D67A4"/>
    <w:rsid w:val="002D7A9B"/>
    <w:rsid w:val="002E74AC"/>
    <w:rsid w:val="002F4E2A"/>
    <w:rsid w:val="003017CC"/>
    <w:rsid w:val="0030571B"/>
    <w:rsid w:val="00306189"/>
    <w:rsid w:val="0031084E"/>
    <w:rsid w:val="00322DBF"/>
    <w:rsid w:val="00325102"/>
    <w:rsid w:val="00326047"/>
    <w:rsid w:val="00330393"/>
    <w:rsid w:val="003340DB"/>
    <w:rsid w:val="00344E15"/>
    <w:rsid w:val="00345CA1"/>
    <w:rsid w:val="003568F8"/>
    <w:rsid w:val="00363F21"/>
    <w:rsid w:val="00365FD7"/>
    <w:rsid w:val="003676D9"/>
    <w:rsid w:val="003747EE"/>
    <w:rsid w:val="00385069"/>
    <w:rsid w:val="003911F4"/>
    <w:rsid w:val="003912AD"/>
    <w:rsid w:val="003917FA"/>
    <w:rsid w:val="003932F4"/>
    <w:rsid w:val="00393952"/>
    <w:rsid w:val="00393D2A"/>
    <w:rsid w:val="003A1795"/>
    <w:rsid w:val="003A3B0B"/>
    <w:rsid w:val="003A73B8"/>
    <w:rsid w:val="003B2DDD"/>
    <w:rsid w:val="003B4F88"/>
    <w:rsid w:val="003B7524"/>
    <w:rsid w:val="003C0500"/>
    <w:rsid w:val="003D1772"/>
    <w:rsid w:val="003D7390"/>
    <w:rsid w:val="003E13D0"/>
    <w:rsid w:val="003E6AA6"/>
    <w:rsid w:val="003F166D"/>
    <w:rsid w:val="003F16C9"/>
    <w:rsid w:val="003F250A"/>
    <w:rsid w:val="003F2F59"/>
    <w:rsid w:val="003F5ADD"/>
    <w:rsid w:val="003F623E"/>
    <w:rsid w:val="00402D9E"/>
    <w:rsid w:val="0040415D"/>
    <w:rsid w:val="00404190"/>
    <w:rsid w:val="0040525D"/>
    <w:rsid w:val="004065F6"/>
    <w:rsid w:val="00412175"/>
    <w:rsid w:val="004132BB"/>
    <w:rsid w:val="00413391"/>
    <w:rsid w:val="00413620"/>
    <w:rsid w:val="0041386C"/>
    <w:rsid w:val="0041387C"/>
    <w:rsid w:val="004164E5"/>
    <w:rsid w:val="0042132D"/>
    <w:rsid w:val="004253AB"/>
    <w:rsid w:val="00430DA3"/>
    <w:rsid w:val="004321FD"/>
    <w:rsid w:val="00433B24"/>
    <w:rsid w:val="00433C9D"/>
    <w:rsid w:val="0043626D"/>
    <w:rsid w:val="004379C6"/>
    <w:rsid w:val="00445B35"/>
    <w:rsid w:val="004479B7"/>
    <w:rsid w:val="004521B8"/>
    <w:rsid w:val="004571E2"/>
    <w:rsid w:val="00460BA8"/>
    <w:rsid w:val="00460E86"/>
    <w:rsid w:val="00461459"/>
    <w:rsid w:val="004619BB"/>
    <w:rsid w:val="004661D5"/>
    <w:rsid w:val="00474718"/>
    <w:rsid w:val="004760F8"/>
    <w:rsid w:val="00482B80"/>
    <w:rsid w:val="00484BF4"/>
    <w:rsid w:val="00486E49"/>
    <w:rsid w:val="004878CA"/>
    <w:rsid w:val="0049116B"/>
    <w:rsid w:val="00492C90"/>
    <w:rsid w:val="0049443F"/>
    <w:rsid w:val="004A2991"/>
    <w:rsid w:val="004A3E59"/>
    <w:rsid w:val="004A49A4"/>
    <w:rsid w:val="004B06CC"/>
    <w:rsid w:val="004B06F0"/>
    <w:rsid w:val="004B17CA"/>
    <w:rsid w:val="004C1454"/>
    <w:rsid w:val="004D1BEF"/>
    <w:rsid w:val="004D29B8"/>
    <w:rsid w:val="004D3937"/>
    <w:rsid w:val="004D6131"/>
    <w:rsid w:val="004F566E"/>
    <w:rsid w:val="00507EC4"/>
    <w:rsid w:val="005114F2"/>
    <w:rsid w:val="005117CC"/>
    <w:rsid w:val="00512DE8"/>
    <w:rsid w:val="00514F91"/>
    <w:rsid w:val="00515AE5"/>
    <w:rsid w:val="00517752"/>
    <w:rsid w:val="00521F8E"/>
    <w:rsid w:val="0052299B"/>
    <w:rsid w:val="00524990"/>
    <w:rsid w:val="00527C66"/>
    <w:rsid w:val="005300D6"/>
    <w:rsid w:val="005301E1"/>
    <w:rsid w:val="005352F5"/>
    <w:rsid w:val="00535FD4"/>
    <w:rsid w:val="0054012A"/>
    <w:rsid w:val="00542129"/>
    <w:rsid w:val="00543C45"/>
    <w:rsid w:val="005472C1"/>
    <w:rsid w:val="005474A0"/>
    <w:rsid w:val="005516F3"/>
    <w:rsid w:val="0055701C"/>
    <w:rsid w:val="00560220"/>
    <w:rsid w:val="0056172E"/>
    <w:rsid w:val="00565748"/>
    <w:rsid w:val="00570274"/>
    <w:rsid w:val="005723CF"/>
    <w:rsid w:val="00573FB1"/>
    <w:rsid w:val="00580BF2"/>
    <w:rsid w:val="0058606F"/>
    <w:rsid w:val="005871DD"/>
    <w:rsid w:val="0059487B"/>
    <w:rsid w:val="00596868"/>
    <w:rsid w:val="005A3C8A"/>
    <w:rsid w:val="005A3F83"/>
    <w:rsid w:val="005B548D"/>
    <w:rsid w:val="005B5AD3"/>
    <w:rsid w:val="005B5D9A"/>
    <w:rsid w:val="005B6807"/>
    <w:rsid w:val="005B69DB"/>
    <w:rsid w:val="005C0442"/>
    <w:rsid w:val="005C0E87"/>
    <w:rsid w:val="005C51C8"/>
    <w:rsid w:val="005D1F34"/>
    <w:rsid w:val="005D51C8"/>
    <w:rsid w:val="005D58B2"/>
    <w:rsid w:val="005D650F"/>
    <w:rsid w:val="005D67E7"/>
    <w:rsid w:val="005E5E7F"/>
    <w:rsid w:val="005E600A"/>
    <w:rsid w:val="005E7F24"/>
    <w:rsid w:val="005F2F3D"/>
    <w:rsid w:val="005F5E52"/>
    <w:rsid w:val="00603BC5"/>
    <w:rsid w:val="00611827"/>
    <w:rsid w:val="00613E6B"/>
    <w:rsid w:val="00624DF2"/>
    <w:rsid w:val="00625479"/>
    <w:rsid w:val="006262A1"/>
    <w:rsid w:val="00626E80"/>
    <w:rsid w:val="00627996"/>
    <w:rsid w:val="00627C0B"/>
    <w:rsid w:val="0063048E"/>
    <w:rsid w:val="00631371"/>
    <w:rsid w:val="006361B8"/>
    <w:rsid w:val="00637851"/>
    <w:rsid w:val="00640C28"/>
    <w:rsid w:val="00642710"/>
    <w:rsid w:val="006474D5"/>
    <w:rsid w:val="00650E63"/>
    <w:rsid w:val="006552E8"/>
    <w:rsid w:val="00656124"/>
    <w:rsid w:val="00656B01"/>
    <w:rsid w:val="00657A4D"/>
    <w:rsid w:val="006613BC"/>
    <w:rsid w:val="00662190"/>
    <w:rsid w:val="006734CF"/>
    <w:rsid w:val="006757A9"/>
    <w:rsid w:val="006760CB"/>
    <w:rsid w:val="00676778"/>
    <w:rsid w:val="00685A58"/>
    <w:rsid w:val="00685FBE"/>
    <w:rsid w:val="00686BF3"/>
    <w:rsid w:val="006A0527"/>
    <w:rsid w:val="006A44F1"/>
    <w:rsid w:val="006B1285"/>
    <w:rsid w:val="006B2808"/>
    <w:rsid w:val="006B3A2F"/>
    <w:rsid w:val="006B520D"/>
    <w:rsid w:val="006C1ED7"/>
    <w:rsid w:val="006C3F77"/>
    <w:rsid w:val="006D0503"/>
    <w:rsid w:val="006D1560"/>
    <w:rsid w:val="006D6123"/>
    <w:rsid w:val="006E3AB3"/>
    <w:rsid w:val="006E438F"/>
    <w:rsid w:val="006E51E2"/>
    <w:rsid w:val="006E5F4D"/>
    <w:rsid w:val="006F4E28"/>
    <w:rsid w:val="0070191D"/>
    <w:rsid w:val="0070277B"/>
    <w:rsid w:val="007030C7"/>
    <w:rsid w:val="00703DE2"/>
    <w:rsid w:val="00704289"/>
    <w:rsid w:val="00706BE4"/>
    <w:rsid w:val="007103FF"/>
    <w:rsid w:val="00710EA7"/>
    <w:rsid w:val="00712840"/>
    <w:rsid w:val="00715DED"/>
    <w:rsid w:val="007202F1"/>
    <w:rsid w:val="00722B4C"/>
    <w:rsid w:val="00722E42"/>
    <w:rsid w:val="00724695"/>
    <w:rsid w:val="00730049"/>
    <w:rsid w:val="00731178"/>
    <w:rsid w:val="00731CAB"/>
    <w:rsid w:val="007350B4"/>
    <w:rsid w:val="00736E51"/>
    <w:rsid w:val="007402D2"/>
    <w:rsid w:val="00740E05"/>
    <w:rsid w:val="00743DDD"/>
    <w:rsid w:val="00745E6D"/>
    <w:rsid w:val="00746C4A"/>
    <w:rsid w:val="00747409"/>
    <w:rsid w:val="00753E95"/>
    <w:rsid w:val="00766E95"/>
    <w:rsid w:val="00774219"/>
    <w:rsid w:val="00775723"/>
    <w:rsid w:val="00775BBE"/>
    <w:rsid w:val="00777AA8"/>
    <w:rsid w:val="0078248D"/>
    <w:rsid w:val="00784906"/>
    <w:rsid w:val="00785B2D"/>
    <w:rsid w:val="00787D9C"/>
    <w:rsid w:val="00791450"/>
    <w:rsid w:val="007929FC"/>
    <w:rsid w:val="00794DB6"/>
    <w:rsid w:val="007A5903"/>
    <w:rsid w:val="007B0B01"/>
    <w:rsid w:val="007B1B95"/>
    <w:rsid w:val="007B404C"/>
    <w:rsid w:val="007C52B3"/>
    <w:rsid w:val="007C6B20"/>
    <w:rsid w:val="007C7671"/>
    <w:rsid w:val="007D0816"/>
    <w:rsid w:val="007D2DBB"/>
    <w:rsid w:val="007D52F8"/>
    <w:rsid w:val="007D57F7"/>
    <w:rsid w:val="007D5F87"/>
    <w:rsid w:val="007E08A2"/>
    <w:rsid w:val="007E2861"/>
    <w:rsid w:val="007E32CD"/>
    <w:rsid w:val="007E6720"/>
    <w:rsid w:val="007E67BF"/>
    <w:rsid w:val="007F6303"/>
    <w:rsid w:val="00800383"/>
    <w:rsid w:val="00801D69"/>
    <w:rsid w:val="00803999"/>
    <w:rsid w:val="008071D6"/>
    <w:rsid w:val="008103BF"/>
    <w:rsid w:val="008156AC"/>
    <w:rsid w:val="008158AC"/>
    <w:rsid w:val="008169EF"/>
    <w:rsid w:val="00820717"/>
    <w:rsid w:val="0082090C"/>
    <w:rsid w:val="00821DE1"/>
    <w:rsid w:val="00822B6C"/>
    <w:rsid w:val="00822E79"/>
    <w:rsid w:val="008275EE"/>
    <w:rsid w:val="00832FD7"/>
    <w:rsid w:val="008344D1"/>
    <w:rsid w:val="00834E6A"/>
    <w:rsid w:val="00842441"/>
    <w:rsid w:val="00851AE0"/>
    <w:rsid w:val="00853EB5"/>
    <w:rsid w:val="00854FDF"/>
    <w:rsid w:val="00856FD6"/>
    <w:rsid w:val="008634E5"/>
    <w:rsid w:val="008759D0"/>
    <w:rsid w:val="00876CDC"/>
    <w:rsid w:val="0088590B"/>
    <w:rsid w:val="008929D0"/>
    <w:rsid w:val="00893479"/>
    <w:rsid w:val="00893E97"/>
    <w:rsid w:val="008944A3"/>
    <w:rsid w:val="008A5AE5"/>
    <w:rsid w:val="008A602F"/>
    <w:rsid w:val="008B14C4"/>
    <w:rsid w:val="008B2491"/>
    <w:rsid w:val="008B5AA2"/>
    <w:rsid w:val="008C3631"/>
    <w:rsid w:val="008C67CA"/>
    <w:rsid w:val="008D0E3B"/>
    <w:rsid w:val="008D128E"/>
    <w:rsid w:val="008D1D16"/>
    <w:rsid w:val="008D25B6"/>
    <w:rsid w:val="008E09CA"/>
    <w:rsid w:val="008E7F86"/>
    <w:rsid w:val="008F5EA5"/>
    <w:rsid w:val="008F6EB6"/>
    <w:rsid w:val="00901510"/>
    <w:rsid w:val="00903128"/>
    <w:rsid w:val="009103AC"/>
    <w:rsid w:val="00910C62"/>
    <w:rsid w:val="00915C8B"/>
    <w:rsid w:val="0091656F"/>
    <w:rsid w:val="00920455"/>
    <w:rsid w:val="00922EA2"/>
    <w:rsid w:val="00923A47"/>
    <w:rsid w:val="009413B8"/>
    <w:rsid w:val="00941850"/>
    <w:rsid w:val="009430AC"/>
    <w:rsid w:val="009451CB"/>
    <w:rsid w:val="00951A7D"/>
    <w:rsid w:val="009531E4"/>
    <w:rsid w:val="00954005"/>
    <w:rsid w:val="00955AF7"/>
    <w:rsid w:val="0096018A"/>
    <w:rsid w:val="009671EF"/>
    <w:rsid w:val="0097268A"/>
    <w:rsid w:val="0097373B"/>
    <w:rsid w:val="00976AF8"/>
    <w:rsid w:val="0097739D"/>
    <w:rsid w:val="009808DB"/>
    <w:rsid w:val="00980BB2"/>
    <w:rsid w:val="00983976"/>
    <w:rsid w:val="00986F88"/>
    <w:rsid w:val="00992FA8"/>
    <w:rsid w:val="00995FE6"/>
    <w:rsid w:val="009A05A7"/>
    <w:rsid w:val="009A70D8"/>
    <w:rsid w:val="009B18E1"/>
    <w:rsid w:val="009B66AA"/>
    <w:rsid w:val="009C2AEA"/>
    <w:rsid w:val="009C7626"/>
    <w:rsid w:val="009D20F2"/>
    <w:rsid w:val="009D4EDA"/>
    <w:rsid w:val="009D7365"/>
    <w:rsid w:val="009D7454"/>
    <w:rsid w:val="009E2403"/>
    <w:rsid w:val="009E3ABB"/>
    <w:rsid w:val="009E5551"/>
    <w:rsid w:val="009F1526"/>
    <w:rsid w:val="009F24E4"/>
    <w:rsid w:val="009F55D4"/>
    <w:rsid w:val="009F7B8D"/>
    <w:rsid w:val="00A14FF4"/>
    <w:rsid w:val="00A15D25"/>
    <w:rsid w:val="00A15FD8"/>
    <w:rsid w:val="00A220EF"/>
    <w:rsid w:val="00A3220B"/>
    <w:rsid w:val="00A33486"/>
    <w:rsid w:val="00A33736"/>
    <w:rsid w:val="00A35354"/>
    <w:rsid w:val="00A364BC"/>
    <w:rsid w:val="00A40D24"/>
    <w:rsid w:val="00A41DC2"/>
    <w:rsid w:val="00A42783"/>
    <w:rsid w:val="00A427FE"/>
    <w:rsid w:val="00A42967"/>
    <w:rsid w:val="00A434EF"/>
    <w:rsid w:val="00A44FB5"/>
    <w:rsid w:val="00A47890"/>
    <w:rsid w:val="00A52F00"/>
    <w:rsid w:val="00A55140"/>
    <w:rsid w:val="00A57F33"/>
    <w:rsid w:val="00A629AC"/>
    <w:rsid w:val="00A66647"/>
    <w:rsid w:val="00A673EB"/>
    <w:rsid w:val="00A67B86"/>
    <w:rsid w:val="00A712E4"/>
    <w:rsid w:val="00A73A2F"/>
    <w:rsid w:val="00A76C79"/>
    <w:rsid w:val="00A810CD"/>
    <w:rsid w:val="00A82F52"/>
    <w:rsid w:val="00A83001"/>
    <w:rsid w:val="00A91296"/>
    <w:rsid w:val="00A920E5"/>
    <w:rsid w:val="00A93FC1"/>
    <w:rsid w:val="00AA1EBA"/>
    <w:rsid w:val="00AA28B4"/>
    <w:rsid w:val="00AB3147"/>
    <w:rsid w:val="00AC2B2D"/>
    <w:rsid w:val="00AC4EFE"/>
    <w:rsid w:val="00AD12F4"/>
    <w:rsid w:val="00AD47F9"/>
    <w:rsid w:val="00AE0609"/>
    <w:rsid w:val="00AE0E61"/>
    <w:rsid w:val="00AE10CB"/>
    <w:rsid w:val="00AE23BF"/>
    <w:rsid w:val="00AF361F"/>
    <w:rsid w:val="00AF543F"/>
    <w:rsid w:val="00B05B5F"/>
    <w:rsid w:val="00B06115"/>
    <w:rsid w:val="00B142A8"/>
    <w:rsid w:val="00B14DFD"/>
    <w:rsid w:val="00B16E25"/>
    <w:rsid w:val="00B20C44"/>
    <w:rsid w:val="00B235C2"/>
    <w:rsid w:val="00B268B2"/>
    <w:rsid w:val="00B3042A"/>
    <w:rsid w:val="00B319D0"/>
    <w:rsid w:val="00B647FD"/>
    <w:rsid w:val="00B66083"/>
    <w:rsid w:val="00B7008F"/>
    <w:rsid w:val="00B70663"/>
    <w:rsid w:val="00B746AB"/>
    <w:rsid w:val="00B76175"/>
    <w:rsid w:val="00B77480"/>
    <w:rsid w:val="00B804DA"/>
    <w:rsid w:val="00B85A4C"/>
    <w:rsid w:val="00B907A6"/>
    <w:rsid w:val="00B925C6"/>
    <w:rsid w:val="00B936F6"/>
    <w:rsid w:val="00B969D5"/>
    <w:rsid w:val="00BA0C4A"/>
    <w:rsid w:val="00BA1275"/>
    <w:rsid w:val="00BA2CFE"/>
    <w:rsid w:val="00BA7E86"/>
    <w:rsid w:val="00BB186F"/>
    <w:rsid w:val="00BB454B"/>
    <w:rsid w:val="00BB59CE"/>
    <w:rsid w:val="00BB6FC8"/>
    <w:rsid w:val="00BC0846"/>
    <w:rsid w:val="00BC221B"/>
    <w:rsid w:val="00BD06AD"/>
    <w:rsid w:val="00BD07E8"/>
    <w:rsid w:val="00BD14DB"/>
    <w:rsid w:val="00BD3813"/>
    <w:rsid w:val="00BE14AD"/>
    <w:rsid w:val="00BE3D82"/>
    <w:rsid w:val="00BE509D"/>
    <w:rsid w:val="00BF0E87"/>
    <w:rsid w:val="00BF4F6F"/>
    <w:rsid w:val="00BF7EAB"/>
    <w:rsid w:val="00C00D41"/>
    <w:rsid w:val="00C039F5"/>
    <w:rsid w:val="00C126D8"/>
    <w:rsid w:val="00C13686"/>
    <w:rsid w:val="00C1446B"/>
    <w:rsid w:val="00C15AD7"/>
    <w:rsid w:val="00C320D4"/>
    <w:rsid w:val="00C3257C"/>
    <w:rsid w:val="00C35547"/>
    <w:rsid w:val="00C40447"/>
    <w:rsid w:val="00C40CB3"/>
    <w:rsid w:val="00C47BCA"/>
    <w:rsid w:val="00C50C3E"/>
    <w:rsid w:val="00C64858"/>
    <w:rsid w:val="00C672BC"/>
    <w:rsid w:val="00C813A6"/>
    <w:rsid w:val="00C83B9B"/>
    <w:rsid w:val="00C87509"/>
    <w:rsid w:val="00CA0D07"/>
    <w:rsid w:val="00CA215F"/>
    <w:rsid w:val="00CA497D"/>
    <w:rsid w:val="00CB12E9"/>
    <w:rsid w:val="00CB2E92"/>
    <w:rsid w:val="00CB5002"/>
    <w:rsid w:val="00CB6711"/>
    <w:rsid w:val="00CB675F"/>
    <w:rsid w:val="00CC054E"/>
    <w:rsid w:val="00CC34D4"/>
    <w:rsid w:val="00CD2059"/>
    <w:rsid w:val="00CD5822"/>
    <w:rsid w:val="00CE05AD"/>
    <w:rsid w:val="00CE3A3D"/>
    <w:rsid w:val="00CE3E37"/>
    <w:rsid w:val="00CE7678"/>
    <w:rsid w:val="00CE7F16"/>
    <w:rsid w:val="00CF081A"/>
    <w:rsid w:val="00CF3A4F"/>
    <w:rsid w:val="00CF684B"/>
    <w:rsid w:val="00D071F3"/>
    <w:rsid w:val="00D13DE2"/>
    <w:rsid w:val="00D13F7F"/>
    <w:rsid w:val="00D17CB5"/>
    <w:rsid w:val="00D25D42"/>
    <w:rsid w:val="00D26799"/>
    <w:rsid w:val="00D300A2"/>
    <w:rsid w:val="00D335F0"/>
    <w:rsid w:val="00D34049"/>
    <w:rsid w:val="00D36795"/>
    <w:rsid w:val="00D37860"/>
    <w:rsid w:val="00D426F8"/>
    <w:rsid w:val="00D4382C"/>
    <w:rsid w:val="00D44977"/>
    <w:rsid w:val="00D44DEA"/>
    <w:rsid w:val="00D456F1"/>
    <w:rsid w:val="00D62BC3"/>
    <w:rsid w:val="00D65393"/>
    <w:rsid w:val="00D656CC"/>
    <w:rsid w:val="00D70C84"/>
    <w:rsid w:val="00D71B84"/>
    <w:rsid w:val="00D72E28"/>
    <w:rsid w:val="00D74443"/>
    <w:rsid w:val="00D763EF"/>
    <w:rsid w:val="00D808DA"/>
    <w:rsid w:val="00D80A79"/>
    <w:rsid w:val="00D80B64"/>
    <w:rsid w:val="00D8338A"/>
    <w:rsid w:val="00D852BA"/>
    <w:rsid w:val="00D9183F"/>
    <w:rsid w:val="00D92A32"/>
    <w:rsid w:val="00D932DB"/>
    <w:rsid w:val="00DA141C"/>
    <w:rsid w:val="00DA5511"/>
    <w:rsid w:val="00DA6E85"/>
    <w:rsid w:val="00DA7965"/>
    <w:rsid w:val="00DB317D"/>
    <w:rsid w:val="00DB46BA"/>
    <w:rsid w:val="00DB59B1"/>
    <w:rsid w:val="00DB626B"/>
    <w:rsid w:val="00DB6EF1"/>
    <w:rsid w:val="00DC3F5A"/>
    <w:rsid w:val="00DC5399"/>
    <w:rsid w:val="00DD029B"/>
    <w:rsid w:val="00DD17DD"/>
    <w:rsid w:val="00DE08BE"/>
    <w:rsid w:val="00DE43EB"/>
    <w:rsid w:val="00DE4563"/>
    <w:rsid w:val="00DE6A9B"/>
    <w:rsid w:val="00DE7AA1"/>
    <w:rsid w:val="00E00882"/>
    <w:rsid w:val="00E06A12"/>
    <w:rsid w:val="00E07FA9"/>
    <w:rsid w:val="00E108DB"/>
    <w:rsid w:val="00E1250A"/>
    <w:rsid w:val="00E1765C"/>
    <w:rsid w:val="00E32833"/>
    <w:rsid w:val="00E32F27"/>
    <w:rsid w:val="00E33BDF"/>
    <w:rsid w:val="00E36D58"/>
    <w:rsid w:val="00E5533D"/>
    <w:rsid w:val="00E600DC"/>
    <w:rsid w:val="00E61139"/>
    <w:rsid w:val="00E61D36"/>
    <w:rsid w:val="00E624B5"/>
    <w:rsid w:val="00E64F1D"/>
    <w:rsid w:val="00E72232"/>
    <w:rsid w:val="00E7671F"/>
    <w:rsid w:val="00E90EF9"/>
    <w:rsid w:val="00E9115C"/>
    <w:rsid w:val="00E912AF"/>
    <w:rsid w:val="00E92A2E"/>
    <w:rsid w:val="00E943AE"/>
    <w:rsid w:val="00E961FB"/>
    <w:rsid w:val="00EA1048"/>
    <w:rsid w:val="00EB5C57"/>
    <w:rsid w:val="00EC51D6"/>
    <w:rsid w:val="00EC58C8"/>
    <w:rsid w:val="00ED38B0"/>
    <w:rsid w:val="00ED38BE"/>
    <w:rsid w:val="00ED6C78"/>
    <w:rsid w:val="00EE04A8"/>
    <w:rsid w:val="00EE3472"/>
    <w:rsid w:val="00EF1910"/>
    <w:rsid w:val="00EF1BAE"/>
    <w:rsid w:val="00F021D4"/>
    <w:rsid w:val="00F03C63"/>
    <w:rsid w:val="00F06A0F"/>
    <w:rsid w:val="00F10923"/>
    <w:rsid w:val="00F15258"/>
    <w:rsid w:val="00F17295"/>
    <w:rsid w:val="00F21CB2"/>
    <w:rsid w:val="00F36BFC"/>
    <w:rsid w:val="00F36D4C"/>
    <w:rsid w:val="00F3748B"/>
    <w:rsid w:val="00F43D4C"/>
    <w:rsid w:val="00F44835"/>
    <w:rsid w:val="00F47B4B"/>
    <w:rsid w:val="00F53284"/>
    <w:rsid w:val="00F7392E"/>
    <w:rsid w:val="00F74E13"/>
    <w:rsid w:val="00F76DE0"/>
    <w:rsid w:val="00F82B9F"/>
    <w:rsid w:val="00F83DEF"/>
    <w:rsid w:val="00F8508D"/>
    <w:rsid w:val="00F85165"/>
    <w:rsid w:val="00F905A2"/>
    <w:rsid w:val="00F910C0"/>
    <w:rsid w:val="00FA17AB"/>
    <w:rsid w:val="00FA45DE"/>
    <w:rsid w:val="00FA4A39"/>
    <w:rsid w:val="00FA7AE1"/>
    <w:rsid w:val="00FC3DE0"/>
    <w:rsid w:val="00FC42B9"/>
    <w:rsid w:val="00FC504D"/>
    <w:rsid w:val="00FD3177"/>
    <w:rsid w:val="00FD5727"/>
    <w:rsid w:val="00FD5819"/>
    <w:rsid w:val="00FD6954"/>
    <w:rsid w:val="00FD72F0"/>
    <w:rsid w:val="00FE38AB"/>
    <w:rsid w:val="00FE415A"/>
    <w:rsid w:val="00FE5A97"/>
    <w:rsid w:val="00FE71A3"/>
    <w:rsid w:val="00FE78D3"/>
    <w:rsid w:val="00FF7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F4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524"/>
    <w:rPr>
      <w:rFonts w:ascii="CG Omega" w:hAnsi="CG Omega"/>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7524"/>
    <w:pPr>
      <w:numPr>
        <w:ilvl w:val="12"/>
      </w:numPr>
      <w:spacing w:before="240"/>
    </w:pPr>
    <w:rPr>
      <w:rFonts w:ascii="Times New Roman" w:hAnsi="Times New Roman"/>
      <w:sz w:val="24"/>
      <w:szCs w:val="20"/>
      <w:lang w:eastAsia="en-AU"/>
    </w:rPr>
  </w:style>
  <w:style w:type="paragraph" w:customStyle="1" w:styleId="StyleLeft349cmRight-011cm">
    <w:name w:val="Style Left:  3.49 cm Right:  -0.11 cm"/>
    <w:basedOn w:val="Normal"/>
    <w:rsid w:val="003B7524"/>
    <w:pPr>
      <w:ind w:left="1979" w:right="1701"/>
    </w:pPr>
    <w:rPr>
      <w:rFonts w:ascii="Times New Roman" w:hAnsi="Times New Roman"/>
      <w:sz w:val="24"/>
      <w:szCs w:val="20"/>
      <w:lang w:eastAsia="en-AU"/>
    </w:rPr>
  </w:style>
  <w:style w:type="paragraph" w:styleId="Footer">
    <w:name w:val="footer"/>
    <w:basedOn w:val="Normal"/>
    <w:rsid w:val="003B7524"/>
    <w:pPr>
      <w:tabs>
        <w:tab w:val="center" w:pos="4153"/>
        <w:tab w:val="right" w:pos="8306"/>
      </w:tabs>
    </w:pPr>
  </w:style>
  <w:style w:type="character" w:styleId="PageNumber">
    <w:name w:val="page number"/>
    <w:basedOn w:val="DefaultParagraphFont"/>
    <w:rsid w:val="003B7524"/>
  </w:style>
  <w:style w:type="paragraph" w:customStyle="1" w:styleId="Default1">
    <w:name w:val="Default1"/>
    <w:basedOn w:val="Normal"/>
    <w:next w:val="Normal"/>
    <w:rsid w:val="003B7524"/>
    <w:pPr>
      <w:autoSpaceDE w:val="0"/>
      <w:autoSpaceDN w:val="0"/>
      <w:adjustRightInd w:val="0"/>
      <w:spacing w:after="240"/>
    </w:pPr>
    <w:rPr>
      <w:rFonts w:ascii="Times New Roman" w:hAnsi="Times New Roman"/>
      <w:sz w:val="24"/>
      <w:lang w:eastAsia="en-AU"/>
    </w:rPr>
  </w:style>
  <w:style w:type="paragraph" w:styleId="Header">
    <w:name w:val="header"/>
    <w:aliases w:val="h"/>
    <w:basedOn w:val="Normal"/>
    <w:rsid w:val="003B7524"/>
    <w:pPr>
      <w:tabs>
        <w:tab w:val="center" w:pos="4153"/>
        <w:tab w:val="right" w:pos="8306"/>
      </w:tabs>
    </w:pPr>
  </w:style>
  <w:style w:type="paragraph" w:styleId="BalloonText">
    <w:name w:val="Balloon Text"/>
    <w:basedOn w:val="Normal"/>
    <w:semiHidden/>
    <w:rsid w:val="00146C29"/>
    <w:rPr>
      <w:rFonts w:ascii="Tahoma" w:hAnsi="Tahoma" w:cs="Tahoma"/>
      <w:sz w:val="16"/>
      <w:szCs w:val="16"/>
    </w:rPr>
  </w:style>
  <w:style w:type="character" w:styleId="CommentReference">
    <w:name w:val="annotation reference"/>
    <w:semiHidden/>
    <w:rsid w:val="0009363E"/>
    <w:rPr>
      <w:sz w:val="16"/>
      <w:szCs w:val="16"/>
    </w:rPr>
  </w:style>
  <w:style w:type="paragraph" w:styleId="CommentText">
    <w:name w:val="annotation text"/>
    <w:basedOn w:val="Normal"/>
    <w:semiHidden/>
    <w:rsid w:val="0009363E"/>
    <w:rPr>
      <w:sz w:val="20"/>
      <w:szCs w:val="20"/>
    </w:rPr>
  </w:style>
  <w:style w:type="paragraph" w:styleId="CommentSubject">
    <w:name w:val="annotation subject"/>
    <w:basedOn w:val="CommentText"/>
    <w:next w:val="CommentText"/>
    <w:semiHidden/>
    <w:rsid w:val="0009363E"/>
    <w:rPr>
      <w:b/>
      <w:bCs/>
    </w:rPr>
  </w:style>
  <w:style w:type="paragraph" w:customStyle="1" w:styleId="Default">
    <w:name w:val="Default"/>
    <w:rsid w:val="00F7392E"/>
    <w:pPr>
      <w:autoSpaceDE w:val="0"/>
      <w:autoSpaceDN w:val="0"/>
      <w:adjustRightInd w:val="0"/>
    </w:pPr>
    <w:rPr>
      <w:color w:val="000000"/>
      <w:sz w:val="24"/>
      <w:szCs w:val="24"/>
    </w:rPr>
  </w:style>
  <w:style w:type="character" w:styleId="Hyperlink">
    <w:name w:val="Hyperlink"/>
    <w:rsid w:val="004D1BEF"/>
    <w:rPr>
      <w:color w:val="0000FF"/>
      <w:u w:val="single"/>
    </w:rPr>
  </w:style>
  <w:style w:type="paragraph" w:styleId="ListParagraph">
    <w:name w:val="List Paragraph"/>
    <w:basedOn w:val="Normal"/>
    <w:uiPriority w:val="34"/>
    <w:qFormat/>
    <w:rsid w:val="00433B24"/>
    <w:pPr>
      <w:ind w:left="720"/>
    </w:pPr>
  </w:style>
  <w:style w:type="paragraph" w:customStyle="1" w:styleId="default0">
    <w:name w:val="default"/>
    <w:basedOn w:val="Normal"/>
    <w:rsid w:val="00AD47F9"/>
    <w:pPr>
      <w:spacing w:before="100" w:beforeAutospacing="1" w:after="100" w:afterAutospacing="1"/>
    </w:pPr>
    <w:rPr>
      <w:rFonts w:ascii="Times New Roman" w:hAnsi="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872440">
      <w:bodyDiv w:val="1"/>
      <w:marLeft w:val="0"/>
      <w:marRight w:val="0"/>
      <w:marTop w:val="0"/>
      <w:marBottom w:val="0"/>
      <w:divBdr>
        <w:top w:val="none" w:sz="0" w:space="0" w:color="auto"/>
        <w:left w:val="none" w:sz="0" w:space="0" w:color="auto"/>
        <w:bottom w:val="none" w:sz="0" w:space="0" w:color="auto"/>
        <w:right w:val="none" w:sz="0" w:space="0" w:color="auto"/>
      </w:divBdr>
      <w:divsChild>
        <w:div w:id="1404644779">
          <w:marLeft w:val="0"/>
          <w:marRight w:val="0"/>
          <w:marTop w:val="0"/>
          <w:marBottom w:val="0"/>
          <w:divBdr>
            <w:top w:val="none" w:sz="0" w:space="0" w:color="auto"/>
            <w:left w:val="none" w:sz="0" w:space="0" w:color="auto"/>
            <w:bottom w:val="none" w:sz="0" w:space="0" w:color="auto"/>
            <w:right w:val="none" w:sz="0" w:space="0" w:color="auto"/>
          </w:divBdr>
          <w:divsChild>
            <w:div w:id="1917010367">
              <w:marLeft w:val="0"/>
              <w:marRight w:val="0"/>
              <w:marTop w:val="0"/>
              <w:marBottom w:val="0"/>
              <w:divBdr>
                <w:top w:val="none" w:sz="0" w:space="0" w:color="auto"/>
                <w:left w:val="none" w:sz="0" w:space="0" w:color="auto"/>
                <w:bottom w:val="none" w:sz="0" w:space="0" w:color="auto"/>
                <w:right w:val="none" w:sz="0" w:space="0" w:color="auto"/>
              </w:divBdr>
              <w:divsChild>
                <w:div w:id="560530191">
                  <w:marLeft w:val="0"/>
                  <w:marRight w:val="0"/>
                  <w:marTop w:val="0"/>
                  <w:marBottom w:val="0"/>
                  <w:divBdr>
                    <w:top w:val="none" w:sz="0" w:space="0" w:color="auto"/>
                    <w:left w:val="none" w:sz="0" w:space="0" w:color="auto"/>
                    <w:bottom w:val="none" w:sz="0" w:space="0" w:color="auto"/>
                    <w:right w:val="none" w:sz="0" w:space="0" w:color="auto"/>
                  </w:divBdr>
                  <w:divsChild>
                    <w:div w:id="1120805574">
                      <w:marLeft w:val="0"/>
                      <w:marRight w:val="0"/>
                      <w:marTop w:val="0"/>
                      <w:marBottom w:val="0"/>
                      <w:divBdr>
                        <w:top w:val="none" w:sz="0" w:space="0" w:color="auto"/>
                        <w:left w:val="none" w:sz="0" w:space="0" w:color="auto"/>
                        <w:bottom w:val="none" w:sz="0" w:space="0" w:color="auto"/>
                        <w:right w:val="none" w:sz="0" w:space="0" w:color="auto"/>
                      </w:divBdr>
                      <w:divsChild>
                        <w:div w:id="61567873">
                          <w:marLeft w:val="0"/>
                          <w:marRight w:val="0"/>
                          <w:marTop w:val="0"/>
                          <w:marBottom w:val="0"/>
                          <w:divBdr>
                            <w:top w:val="single" w:sz="6" w:space="0" w:color="828282"/>
                            <w:left w:val="single" w:sz="6" w:space="0" w:color="828282"/>
                            <w:bottom w:val="single" w:sz="6" w:space="0" w:color="828282"/>
                            <w:right w:val="single" w:sz="6" w:space="0" w:color="828282"/>
                          </w:divBdr>
                          <w:divsChild>
                            <w:div w:id="147527418">
                              <w:marLeft w:val="0"/>
                              <w:marRight w:val="0"/>
                              <w:marTop w:val="0"/>
                              <w:marBottom w:val="0"/>
                              <w:divBdr>
                                <w:top w:val="none" w:sz="0" w:space="0" w:color="auto"/>
                                <w:left w:val="none" w:sz="0" w:space="0" w:color="auto"/>
                                <w:bottom w:val="none" w:sz="0" w:space="0" w:color="auto"/>
                                <w:right w:val="none" w:sz="0" w:space="0" w:color="auto"/>
                              </w:divBdr>
                              <w:divsChild>
                                <w:div w:id="1391853878">
                                  <w:marLeft w:val="0"/>
                                  <w:marRight w:val="0"/>
                                  <w:marTop w:val="0"/>
                                  <w:marBottom w:val="0"/>
                                  <w:divBdr>
                                    <w:top w:val="none" w:sz="0" w:space="0" w:color="auto"/>
                                    <w:left w:val="none" w:sz="0" w:space="0" w:color="auto"/>
                                    <w:bottom w:val="none" w:sz="0" w:space="0" w:color="auto"/>
                                    <w:right w:val="none" w:sz="0" w:space="0" w:color="auto"/>
                                  </w:divBdr>
                                  <w:divsChild>
                                    <w:div w:id="732430573">
                                      <w:marLeft w:val="0"/>
                                      <w:marRight w:val="0"/>
                                      <w:marTop w:val="0"/>
                                      <w:marBottom w:val="0"/>
                                      <w:divBdr>
                                        <w:top w:val="none" w:sz="0" w:space="0" w:color="auto"/>
                                        <w:left w:val="none" w:sz="0" w:space="0" w:color="auto"/>
                                        <w:bottom w:val="none" w:sz="0" w:space="0" w:color="auto"/>
                                        <w:right w:val="none" w:sz="0" w:space="0" w:color="auto"/>
                                      </w:divBdr>
                                      <w:divsChild>
                                        <w:div w:id="1887914881">
                                          <w:marLeft w:val="0"/>
                                          <w:marRight w:val="0"/>
                                          <w:marTop w:val="0"/>
                                          <w:marBottom w:val="0"/>
                                          <w:divBdr>
                                            <w:top w:val="none" w:sz="0" w:space="0" w:color="auto"/>
                                            <w:left w:val="none" w:sz="0" w:space="0" w:color="auto"/>
                                            <w:bottom w:val="none" w:sz="0" w:space="0" w:color="auto"/>
                                            <w:right w:val="none" w:sz="0" w:space="0" w:color="auto"/>
                                          </w:divBdr>
                                          <w:divsChild>
                                            <w:div w:id="818695900">
                                              <w:marLeft w:val="0"/>
                                              <w:marRight w:val="0"/>
                                              <w:marTop w:val="0"/>
                                              <w:marBottom w:val="0"/>
                                              <w:divBdr>
                                                <w:top w:val="none" w:sz="0" w:space="0" w:color="auto"/>
                                                <w:left w:val="none" w:sz="0" w:space="0" w:color="auto"/>
                                                <w:bottom w:val="none" w:sz="0" w:space="0" w:color="auto"/>
                                                <w:right w:val="none" w:sz="0" w:space="0" w:color="auto"/>
                                              </w:divBdr>
                                              <w:divsChild>
                                                <w:div w:id="10622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344563">
      <w:bodyDiv w:val="1"/>
      <w:marLeft w:val="0"/>
      <w:marRight w:val="0"/>
      <w:marTop w:val="0"/>
      <w:marBottom w:val="0"/>
      <w:divBdr>
        <w:top w:val="none" w:sz="0" w:space="0" w:color="auto"/>
        <w:left w:val="none" w:sz="0" w:space="0" w:color="auto"/>
        <w:bottom w:val="none" w:sz="0" w:space="0" w:color="auto"/>
        <w:right w:val="none" w:sz="0" w:space="0" w:color="auto"/>
      </w:divBdr>
      <w:divsChild>
        <w:div w:id="1964190191">
          <w:marLeft w:val="0"/>
          <w:marRight w:val="0"/>
          <w:marTop w:val="0"/>
          <w:marBottom w:val="0"/>
          <w:divBdr>
            <w:top w:val="none" w:sz="0" w:space="0" w:color="auto"/>
            <w:left w:val="none" w:sz="0" w:space="0" w:color="auto"/>
            <w:bottom w:val="none" w:sz="0" w:space="0" w:color="auto"/>
            <w:right w:val="none" w:sz="0" w:space="0" w:color="auto"/>
          </w:divBdr>
          <w:divsChild>
            <w:div w:id="490953801">
              <w:marLeft w:val="0"/>
              <w:marRight w:val="0"/>
              <w:marTop w:val="0"/>
              <w:marBottom w:val="0"/>
              <w:divBdr>
                <w:top w:val="none" w:sz="0" w:space="0" w:color="auto"/>
                <w:left w:val="none" w:sz="0" w:space="0" w:color="auto"/>
                <w:bottom w:val="none" w:sz="0" w:space="0" w:color="auto"/>
                <w:right w:val="none" w:sz="0" w:space="0" w:color="auto"/>
              </w:divBdr>
              <w:divsChild>
                <w:div w:id="230434239">
                  <w:marLeft w:val="0"/>
                  <w:marRight w:val="0"/>
                  <w:marTop w:val="0"/>
                  <w:marBottom w:val="0"/>
                  <w:divBdr>
                    <w:top w:val="none" w:sz="0" w:space="0" w:color="auto"/>
                    <w:left w:val="none" w:sz="0" w:space="0" w:color="auto"/>
                    <w:bottom w:val="none" w:sz="0" w:space="0" w:color="auto"/>
                    <w:right w:val="none" w:sz="0" w:space="0" w:color="auto"/>
                  </w:divBdr>
                  <w:divsChild>
                    <w:div w:id="383528119">
                      <w:marLeft w:val="0"/>
                      <w:marRight w:val="0"/>
                      <w:marTop w:val="0"/>
                      <w:marBottom w:val="0"/>
                      <w:divBdr>
                        <w:top w:val="none" w:sz="0" w:space="0" w:color="auto"/>
                        <w:left w:val="none" w:sz="0" w:space="0" w:color="auto"/>
                        <w:bottom w:val="none" w:sz="0" w:space="0" w:color="auto"/>
                        <w:right w:val="none" w:sz="0" w:space="0" w:color="auto"/>
                      </w:divBdr>
                      <w:divsChild>
                        <w:div w:id="482279865">
                          <w:marLeft w:val="0"/>
                          <w:marRight w:val="0"/>
                          <w:marTop w:val="0"/>
                          <w:marBottom w:val="0"/>
                          <w:divBdr>
                            <w:top w:val="single" w:sz="6" w:space="0" w:color="828282"/>
                            <w:left w:val="single" w:sz="6" w:space="0" w:color="828282"/>
                            <w:bottom w:val="single" w:sz="6" w:space="0" w:color="828282"/>
                            <w:right w:val="single" w:sz="6" w:space="0" w:color="828282"/>
                          </w:divBdr>
                          <w:divsChild>
                            <w:div w:id="179782681">
                              <w:marLeft w:val="0"/>
                              <w:marRight w:val="0"/>
                              <w:marTop w:val="0"/>
                              <w:marBottom w:val="0"/>
                              <w:divBdr>
                                <w:top w:val="none" w:sz="0" w:space="0" w:color="auto"/>
                                <w:left w:val="none" w:sz="0" w:space="0" w:color="auto"/>
                                <w:bottom w:val="none" w:sz="0" w:space="0" w:color="auto"/>
                                <w:right w:val="none" w:sz="0" w:space="0" w:color="auto"/>
                              </w:divBdr>
                              <w:divsChild>
                                <w:div w:id="1272586429">
                                  <w:marLeft w:val="0"/>
                                  <w:marRight w:val="0"/>
                                  <w:marTop w:val="0"/>
                                  <w:marBottom w:val="0"/>
                                  <w:divBdr>
                                    <w:top w:val="none" w:sz="0" w:space="0" w:color="auto"/>
                                    <w:left w:val="none" w:sz="0" w:space="0" w:color="auto"/>
                                    <w:bottom w:val="none" w:sz="0" w:space="0" w:color="auto"/>
                                    <w:right w:val="none" w:sz="0" w:space="0" w:color="auto"/>
                                  </w:divBdr>
                                  <w:divsChild>
                                    <w:div w:id="445320909">
                                      <w:marLeft w:val="0"/>
                                      <w:marRight w:val="0"/>
                                      <w:marTop w:val="0"/>
                                      <w:marBottom w:val="0"/>
                                      <w:divBdr>
                                        <w:top w:val="none" w:sz="0" w:space="0" w:color="auto"/>
                                        <w:left w:val="none" w:sz="0" w:space="0" w:color="auto"/>
                                        <w:bottom w:val="none" w:sz="0" w:space="0" w:color="auto"/>
                                        <w:right w:val="none" w:sz="0" w:space="0" w:color="auto"/>
                                      </w:divBdr>
                                      <w:divsChild>
                                        <w:div w:id="1056199526">
                                          <w:marLeft w:val="0"/>
                                          <w:marRight w:val="0"/>
                                          <w:marTop w:val="0"/>
                                          <w:marBottom w:val="0"/>
                                          <w:divBdr>
                                            <w:top w:val="none" w:sz="0" w:space="0" w:color="auto"/>
                                            <w:left w:val="none" w:sz="0" w:space="0" w:color="auto"/>
                                            <w:bottom w:val="none" w:sz="0" w:space="0" w:color="auto"/>
                                            <w:right w:val="none" w:sz="0" w:space="0" w:color="auto"/>
                                          </w:divBdr>
                                          <w:divsChild>
                                            <w:div w:id="1812792612">
                                              <w:marLeft w:val="0"/>
                                              <w:marRight w:val="0"/>
                                              <w:marTop w:val="0"/>
                                              <w:marBottom w:val="0"/>
                                              <w:divBdr>
                                                <w:top w:val="none" w:sz="0" w:space="0" w:color="auto"/>
                                                <w:left w:val="none" w:sz="0" w:space="0" w:color="auto"/>
                                                <w:bottom w:val="none" w:sz="0" w:space="0" w:color="auto"/>
                                                <w:right w:val="none" w:sz="0" w:space="0" w:color="auto"/>
                                              </w:divBdr>
                                              <w:divsChild>
                                                <w:div w:id="20526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606634">
      <w:bodyDiv w:val="1"/>
      <w:marLeft w:val="0"/>
      <w:marRight w:val="0"/>
      <w:marTop w:val="0"/>
      <w:marBottom w:val="0"/>
      <w:divBdr>
        <w:top w:val="none" w:sz="0" w:space="0" w:color="auto"/>
        <w:left w:val="none" w:sz="0" w:space="0" w:color="auto"/>
        <w:bottom w:val="none" w:sz="0" w:space="0" w:color="auto"/>
        <w:right w:val="none" w:sz="0" w:space="0" w:color="auto"/>
      </w:divBdr>
      <w:divsChild>
        <w:div w:id="49041946">
          <w:marLeft w:val="0"/>
          <w:marRight w:val="0"/>
          <w:marTop w:val="0"/>
          <w:marBottom w:val="0"/>
          <w:divBdr>
            <w:top w:val="none" w:sz="0" w:space="0" w:color="auto"/>
            <w:left w:val="none" w:sz="0" w:space="0" w:color="auto"/>
            <w:bottom w:val="none" w:sz="0" w:space="0" w:color="auto"/>
            <w:right w:val="none" w:sz="0" w:space="0" w:color="auto"/>
          </w:divBdr>
          <w:divsChild>
            <w:div w:id="593510328">
              <w:marLeft w:val="0"/>
              <w:marRight w:val="0"/>
              <w:marTop w:val="0"/>
              <w:marBottom w:val="0"/>
              <w:divBdr>
                <w:top w:val="none" w:sz="0" w:space="0" w:color="auto"/>
                <w:left w:val="none" w:sz="0" w:space="0" w:color="auto"/>
                <w:bottom w:val="none" w:sz="0" w:space="0" w:color="auto"/>
                <w:right w:val="none" w:sz="0" w:space="0" w:color="auto"/>
              </w:divBdr>
              <w:divsChild>
                <w:div w:id="670989462">
                  <w:marLeft w:val="0"/>
                  <w:marRight w:val="0"/>
                  <w:marTop w:val="0"/>
                  <w:marBottom w:val="0"/>
                  <w:divBdr>
                    <w:top w:val="none" w:sz="0" w:space="0" w:color="auto"/>
                    <w:left w:val="none" w:sz="0" w:space="0" w:color="auto"/>
                    <w:bottom w:val="none" w:sz="0" w:space="0" w:color="auto"/>
                    <w:right w:val="none" w:sz="0" w:space="0" w:color="auto"/>
                  </w:divBdr>
                  <w:divsChild>
                    <w:div w:id="2058310723">
                      <w:marLeft w:val="0"/>
                      <w:marRight w:val="0"/>
                      <w:marTop w:val="0"/>
                      <w:marBottom w:val="0"/>
                      <w:divBdr>
                        <w:top w:val="none" w:sz="0" w:space="0" w:color="auto"/>
                        <w:left w:val="none" w:sz="0" w:space="0" w:color="auto"/>
                        <w:bottom w:val="none" w:sz="0" w:space="0" w:color="auto"/>
                        <w:right w:val="none" w:sz="0" w:space="0" w:color="auto"/>
                      </w:divBdr>
                      <w:divsChild>
                        <w:div w:id="1369335952">
                          <w:marLeft w:val="0"/>
                          <w:marRight w:val="0"/>
                          <w:marTop w:val="0"/>
                          <w:marBottom w:val="0"/>
                          <w:divBdr>
                            <w:top w:val="single" w:sz="6" w:space="0" w:color="828282"/>
                            <w:left w:val="single" w:sz="6" w:space="0" w:color="828282"/>
                            <w:bottom w:val="single" w:sz="6" w:space="0" w:color="828282"/>
                            <w:right w:val="single" w:sz="6" w:space="0" w:color="828282"/>
                          </w:divBdr>
                          <w:divsChild>
                            <w:div w:id="1807355750">
                              <w:marLeft w:val="0"/>
                              <w:marRight w:val="0"/>
                              <w:marTop w:val="0"/>
                              <w:marBottom w:val="0"/>
                              <w:divBdr>
                                <w:top w:val="none" w:sz="0" w:space="0" w:color="auto"/>
                                <w:left w:val="none" w:sz="0" w:space="0" w:color="auto"/>
                                <w:bottom w:val="none" w:sz="0" w:space="0" w:color="auto"/>
                                <w:right w:val="none" w:sz="0" w:space="0" w:color="auto"/>
                              </w:divBdr>
                              <w:divsChild>
                                <w:div w:id="1159035018">
                                  <w:marLeft w:val="0"/>
                                  <w:marRight w:val="0"/>
                                  <w:marTop w:val="0"/>
                                  <w:marBottom w:val="0"/>
                                  <w:divBdr>
                                    <w:top w:val="none" w:sz="0" w:space="0" w:color="auto"/>
                                    <w:left w:val="none" w:sz="0" w:space="0" w:color="auto"/>
                                    <w:bottom w:val="none" w:sz="0" w:space="0" w:color="auto"/>
                                    <w:right w:val="none" w:sz="0" w:space="0" w:color="auto"/>
                                  </w:divBdr>
                                  <w:divsChild>
                                    <w:div w:id="351424010">
                                      <w:marLeft w:val="0"/>
                                      <w:marRight w:val="0"/>
                                      <w:marTop w:val="0"/>
                                      <w:marBottom w:val="0"/>
                                      <w:divBdr>
                                        <w:top w:val="none" w:sz="0" w:space="0" w:color="auto"/>
                                        <w:left w:val="none" w:sz="0" w:space="0" w:color="auto"/>
                                        <w:bottom w:val="none" w:sz="0" w:space="0" w:color="auto"/>
                                        <w:right w:val="none" w:sz="0" w:space="0" w:color="auto"/>
                                      </w:divBdr>
                                      <w:divsChild>
                                        <w:div w:id="1750270917">
                                          <w:marLeft w:val="0"/>
                                          <w:marRight w:val="0"/>
                                          <w:marTop w:val="0"/>
                                          <w:marBottom w:val="0"/>
                                          <w:divBdr>
                                            <w:top w:val="none" w:sz="0" w:space="0" w:color="auto"/>
                                            <w:left w:val="none" w:sz="0" w:space="0" w:color="auto"/>
                                            <w:bottom w:val="none" w:sz="0" w:space="0" w:color="auto"/>
                                            <w:right w:val="none" w:sz="0" w:space="0" w:color="auto"/>
                                          </w:divBdr>
                                          <w:divsChild>
                                            <w:div w:id="981419759">
                                              <w:marLeft w:val="0"/>
                                              <w:marRight w:val="0"/>
                                              <w:marTop w:val="0"/>
                                              <w:marBottom w:val="0"/>
                                              <w:divBdr>
                                                <w:top w:val="none" w:sz="0" w:space="0" w:color="auto"/>
                                                <w:left w:val="none" w:sz="0" w:space="0" w:color="auto"/>
                                                <w:bottom w:val="none" w:sz="0" w:space="0" w:color="auto"/>
                                                <w:right w:val="none" w:sz="0" w:space="0" w:color="auto"/>
                                              </w:divBdr>
                                              <w:divsChild>
                                                <w:div w:id="11826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635635">
      <w:bodyDiv w:val="1"/>
      <w:marLeft w:val="0"/>
      <w:marRight w:val="0"/>
      <w:marTop w:val="0"/>
      <w:marBottom w:val="0"/>
      <w:divBdr>
        <w:top w:val="none" w:sz="0" w:space="0" w:color="auto"/>
        <w:left w:val="none" w:sz="0" w:space="0" w:color="auto"/>
        <w:bottom w:val="none" w:sz="0" w:space="0" w:color="auto"/>
        <w:right w:val="none" w:sz="0" w:space="0" w:color="auto"/>
      </w:divBdr>
      <w:divsChild>
        <w:div w:id="1592852706">
          <w:marLeft w:val="0"/>
          <w:marRight w:val="0"/>
          <w:marTop w:val="0"/>
          <w:marBottom w:val="0"/>
          <w:divBdr>
            <w:top w:val="none" w:sz="0" w:space="0" w:color="auto"/>
            <w:left w:val="none" w:sz="0" w:space="0" w:color="auto"/>
            <w:bottom w:val="none" w:sz="0" w:space="0" w:color="auto"/>
            <w:right w:val="none" w:sz="0" w:space="0" w:color="auto"/>
          </w:divBdr>
          <w:divsChild>
            <w:div w:id="1283683248">
              <w:marLeft w:val="0"/>
              <w:marRight w:val="0"/>
              <w:marTop w:val="0"/>
              <w:marBottom w:val="0"/>
              <w:divBdr>
                <w:top w:val="none" w:sz="0" w:space="0" w:color="auto"/>
                <w:left w:val="none" w:sz="0" w:space="0" w:color="auto"/>
                <w:bottom w:val="none" w:sz="0" w:space="0" w:color="auto"/>
                <w:right w:val="none" w:sz="0" w:space="0" w:color="auto"/>
              </w:divBdr>
              <w:divsChild>
                <w:div w:id="745538696">
                  <w:marLeft w:val="0"/>
                  <w:marRight w:val="0"/>
                  <w:marTop w:val="0"/>
                  <w:marBottom w:val="0"/>
                  <w:divBdr>
                    <w:top w:val="none" w:sz="0" w:space="0" w:color="auto"/>
                    <w:left w:val="none" w:sz="0" w:space="0" w:color="auto"/>
                    <w:bottom w:val="none" w:sz="0" w:space="0" w:color="auto"/>
                    <w:right w:val="none" w:sz="0" w:space="0" w:color="auto"/>
                  </w:divBdr>
                  <w:divsChild>
                    <w:div w:id="1830822909">
                      <w:marLeft w:val="0"/>
                      <w:marRight w:val="0"/>
                      <w:marTop w:val="0"/>
                      <w:marBottom w:val="0"/>
                      <w:divBdr>
                        <w:top w:val="none" w:sz="0" w:space="0" w:color="auto"/>
                        <w:left w:val="none" w:sz="0" w:space="0" w:color="auto"/>
                        <w:bottom w:val="none" w:sz="0" w:space="0" w:color="auto"/>
                        <w:right w:val="none" w:sz="0" w:space="0" w:color="auto"/>
                      </w:divBdr>
                      <w:divsChild>
                        <w:div w:id="541552664">
                          <w:marLeft w:val="0"/>
                          <w:marRight w:val="0"/>
                          <w:marTop w:val="0"/>
                          <w:marBottom w:val="0"/>
                          <w:divBdr>
                            <w:top w:val="single" w:sz="6" w:space="0" w:color="828282"/>
                            <w:left w:val="single" w:sz="6" w:space="0" w:color="828282"/>
                            <w:bottom w:val="single" w:sz="6" w:space="0" w:color="828282"/>
                            <w:right w:val="single" w:sz="6" w:space="0" w:color="828282"/>
                          </w:divBdr>
                          <w:divsChild>
                            <w:div w:id="1814985387">
                              <w:marLeft w:val="0"/>
                              <w:marRight w:val="0"/>
                              <w:marTop w:val="0"/>
                              <w:marBottom w:val="0"/>
                              <w:divBdr>
                                <w:top w:val="none" w:sz="0" w:space="0" w:color="auto"/>
                                <w:left w:val="none" w:sz="0" w:space="0" w:color="auto"/>
                                <w:bottom w:val="none" w:sz="0" w:space="0" w:color="auto"/>
                                <w:right w:val="none" w:sz="0" w:space="0" w:color="auto"/>
                              </w:divBdr>
                              <w:divsChild>
                                <w:div w:id="108863062">
                                  <w:marLeft w:val="0"/>
                                  <w:marRight w:val="0"/>
                                  <w:marTop w:val="0"/>
                                  <w:marBottom w:val="0"/>
                                  <w:divBdr>
                                    <w:top w:val="none" w:sz="0" w:space="0" w:color="auto"/>
                                    <w:left w:val="none" w:sz="0" w:space="0" w:color="auto"/>
                                    <w:bottom w:val="none" w:sz="0" w:space="0" w:color="auto"/>
                                    <w:right w:val="none" w:sz="0" w:space="0" w:color="auto"/>
                                  </w:divBdr>
                                  <w:divsChild>
                                    <w:div w:id="1603489470">
                                      <w:marLeft w:val="0"/>
                                      <w:marRight w:val="0"/>
                                      <w:marTop w:val="0"/>
                                      <w:marBottom w:val="0"/>
                                      <w:divBdr>
                                        <w:top w:val="none" w:sz="0" w:space="0" w:color="auto"/>
                                        <w:left w:val="none" w:sz="0" w:space="0" w:color="auto"/>
                                        <w:bottom w:val="none" w:sz="0" w:space="0" w:color="auto"/>
                                        <w:right w:val="none" w:sz="0" w:space="0" w:color="auto"/>
                                      </w:divBdr>
                                      <w:divsChild>
                                        <w:div w:id="1134249885">
                                          <w:marLeft w:val="0"/>
                                          <w:marRight w:val="0"/>
                                          <w:marTop w:val="0"/>
                                          <w:marBottom w:val="0"/>
                                          <w:divBdr>
                                            <w:top w:val="none" w:sz="0" w:space="0" w:color="auto"/>
                                            <w:left w:val="none" w:sz="0" w:space="0" w:color="auto"/>
                                            <w:bottom w:val="none" w:sz="0" w:space="0" w:color="auto"/>
                                            <w:right w:val="none" w:sz="0" w:space="0" w:color="auto"/>
                                          </w:divBdr>
                                          <w:divsChild>
                                            <w:div w:id="1992827825">
                                              <w:marLeft w:val="0"/>
                                              <w:marRight w:val="0"/>
                                              <w:marTop w:val="0"/>
                                              <w:marBottom w:val="0"/>
                                              <w:divBdr>
                                                <w:top w:val="none" w:sz="0" w:space="0" w:color="auto"/>
                                                <w:left w:val="none" w:sz="0" w:space="0" w:color="auto"/>
                                                <w:bottom w:val="none" w:sz="0" w:space="0" w:color="auto"/>
                                                <w:right w:val="none" w:sz="0" w:space="0" w:color="auto"/>
                                              </w:divBdr>
                                              <w:divsChild>
                                                <w:div w:id="90140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9913">
      <w:bodyDiv w:val="1"/>
      <w:marLeft w:val="0"/>
      <w:marRight w:val="0"/>
      <w:marTop w:val="0"/>
      <w:marBottom w:val="0"/>
      <w:divBdr>
        <w:top w:val="none" w:sz="0" w:space="0" w:color="auto"/>
        <w:left w:val="none" w:sz="0" w:space="0" w:color="auto"/>
        <w:bottom w:val="none" w:sz="0" w:space="0" w:color="auto"/>
        <w:right w:val="none" w:sz="0" w:space="0" w:color="auto"/>
      </w:divBdr>
      <w:divsChild>
        <w:div w:id="1758482914">
          <w:marLeft w:val="0"/>
          <w:marRight w:val="0"/>
          <w:marTop w:val="0"/>
          <w:marBottom w:val="0"/>
          <w:divBdr>
            <w:top w:val="none" w:sz="0" w:space="0" w:color="auto"/>
            <w:left w:val="none" w:sz="0" w:space="0" w:color="auto"/>
            <w:bottom w:val="none" w:sz="0" w:space="0" w:color="auto"/>
            <w:right w:val="none" w:sz="0" w:space="0" w:color="auto"/>
          </w:divBdr>
          <w:divsChild>
            <w:div w:id="168107400">
              <w:marLeft w:val="0"/>
              <w:marRight w:val="0"/>
              <w:marTop w:val="0"/>
              <w:marBottom w:val="0"/>
              <w:divBdr>
                <w:top w:val="none" w:sz="0" w:space="0" w:color="auto"/>
                <w:left w:val="none" w:sz="0" w:space="0" w:color="auto"/>
                <w:bottom w:val="none" w:sz="0" w:space="0" w:color="auto"/>
                <w:right w:val="none" w:sz="0" w:space="0" w:color="auto"/>
              </w:divBdr>
              <w:divsChild>
                <w:div w:id="302857948">
                  <w:marLeft w:val="0"/>
                  <w:marRight w:val="0"/>
                  <w:marTop w:val="0"/>
                  <w:marBottom w:val="0"/>
                  <w:divBdr>
                    <w:top w:val="none" w:sz="0" w:space="0" w:color="auto"/>
                    <w:left w:val="none" w:sz="0" w:space="0" w:color="auto"/>
                    <w:bottom w:val="none" w:sz="0" w:space="0" w:color="auto"/>
                    <w:right w:val="none" w:sz="0" w:space="0" w:color="auto"/>
                  </w:divBdr>
                  <w:divsChild>
                    <w:div w:id="30544591">
                      <w:marLeft w:val="0"/>
                      <w:marRight w:val="0"/>
                      <w:marTop w:val="0"/>
                      <w:marBottom w:val="0"/>
                      <w:divBdr>
                        <w:top w:val="none" w:sz="0" w:space="0" w:color="auto"/>
                        <w:left w:val="none" w:sz="0" w:space="0" w:color="auto"/>
                        <w:bottom w:val="none" w:sz="0" w:space="0" w:color="auto"/>
                        <w:right w:val="none" w:sz="0" w:space="0" w:color="auto"/>
                      </w:divBdr>
                      <w:divsChild>
                        <w:div w:id="649019293">
                          <w:marLeft w:val="0"/>
                          <w:marRight w:val="0"/>
                          <w:marTop w:val="0"/>
                          <w:marBottom w:val="0"/>
                          <w:divBdr>
                            <w:top w:val="single" w:sz="6" w:space="0" w:color="828282"/>
                            <w:left w:val="single" w:sz="6" w:space="0" w:color="828282"/>
                            <w:bottom w:val="single" w:sz="6" w:space="0" w:color="828282"/>
                            <w:right w:val="single" w:sz="6" w:space="0" w:color="828282"/>
                          </w:divBdr>
                          <w:divsChild>
                            <w:div w:id="614412686">
                              <w:marLeft w:val="0"/>
                              <w:marRight w:val="0"/>
                              <w:marTop w:val="0"/>
                              <w:marBottom w:val="0"/>
                              <w:divBdr>
                                <w:top w:val="none" w:sz="0" w:space="0" w:color="auto"/>
                                <w:left w:val="none" w:sz="0" w:space="0" w:color="auto"/>
                                <w:bottom w:val="none" w:sz="0" w:space="0" w:color="auto"/>
                                <w:right w:val="none" w:sz="0" w:space="0" w:color="auto"/>
                              </w:divBdr>
                              <w:divsChild>
                                <w:div w:id="990062953">
                                  <w:marLeft w:val="0"/>
                                  <w:marRight w:val="0"/>
                                  <w:marTop w:val="0"/>
                                  <w:marBottom w:val="0"/>
                                  <w:divBdr>
                                    <w:top w:val="none" w:sz="0" w:space="0" w:color="auto"/>
                                    <w:left w:val="none" w:sz="0" w:space="0" w:color="auto"/>
                                    <w:bottom w:val="none" w:sz="0" w:space="0" w:color="auto"/>
                                    <w:right w:val="none" w:sz="0" w:space="0" w:color="auto"/>
                                  </w:divBdr>
                                  <w:divsChild>
                                    <w:div w:id="921063922">
                                      <w:marLeft w:val="0"/>
                                      <w:marRight w:val="0"/>
                                      <w:marTop w:val="0"/>
                                      <w:marBottom w:val="0"/>
                                      <w:divBdr>
                                        <w:top w:val="none" w:sz="0" w:space="0" w:color="auto"/>
                                        <w:left w:val="none" w:sz="0" w:space="0" w:color="auto"/>
                                        <w:bottom w:val="none" w:sz="0" w:space="0" w:color="auto"/>
                                        <w:right w:val="none" w:sz="0" w:space="0" w:color="auto"/>
                                      </w:divBdr>
                                      <w:divsChild>
                                        <w:div w:id="172767421">
                                          <w:marLeft w:val="0"/>
                                          <w:marRight w:val="0"/>
                                          <w:marTop w:val="0"/>
                                          <w:marBottom w:val="0"/>
                                          <w:divBdr>
                                            <w:top w:val="none" w:sz="0" w:space="0" w:color="auto"/>
                                            <w:left w:val="none" w:sz="0" w:space="0" w:color="auto"/>
                                            <w:bottom w:val="none" w:sz="0" w:space="0" w:color="auto"/>
                                            <w:right w:val="none" w:sz="0" w:space="0" w:color="auto"/>
                                          </w:divBdr>
                                          <w:divsChild>
                                            <w:div w:id="731735017">
                                              <w:marLeft w:val="0"/>
                                              <w:marRight w:val="0"/>
                                              <w:marTop w:val="0"/>
                                              <w:marBottom w:val="0"/>
                                              <w:divBdr>
                                                <w:top w:val="none" w:sz="0" w:space="0" w:color="auto"/>
                                                <w:left w:val="none" w:sz="0" w:space="0" w:color="auto"/>
                                                <w:bottom w:val="none" w:sz="0" w:space="0" w:color="auto"/>
                                                <w:right w:val="none" w:sz="0" w:space="0" w:color="auto"/>
                                              </w:divBdr>
                                              <w:divsChild>
                                                <w:div w:id="17920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051817">
      <w:bodyDiv w:val="1"/>
      <w:marLeft w:val="0"/>
      <w:marRight w:val="0"/>
      <w:marTop w:val="0"/>
      <w:marBottom w:val="0"/>
      <w:divBdr>
        <w:top w:val="none" w:sz="0" w:space="0" w:color="auto"/>
        <w:left w:val="none" w:sz="0" w:space="0" w:color="auto"/>
        <w:bottom w:val="none" w:sz="0" w:space="0" w:color="auto"/>
        <w:right w:val="none" w:sz="0" w:space="0" w:color="auto"/>
      </w:divBdr>
      <w:divsChild>
        <w:div w:id="369572965">
          <w:marLeft w:val="0"/>
          <w:marRight w:val="0"/>
          <w:marTop w:val="0"/>
          <w:marBottom w:val="0"/>
          <w:divBdr>
            <w:top w:val="none" w:sz="0" w:space="0" w:color="auto"/>
            <w:left w:val="none" w:sz="0" w:space="0" w:color="auto"/>
            <w:bottom w:val="none" w:sz="0" w:space="0" w:color="auto"/>
            <w:right w:val="none" w:sz="0" w:space="0" w:color="auto"/>
          </w:divBdr>
          <w:divsChild>
            <w:div w:id="1795439811">
              <w:marLeft w:val="0"/>
              <w:marRight w:val="0"/>
              <w:marTop w:val="0"/>
              <w:marBottom w:val="0"/>
              <w:divBdr>
                <w:top w:val="none" w:sz="0" w:space="0" w:color="auto"/>
                <w:left w:val="none" w:sz="0" w:space="0" w:color="auto"/>
                <w:bottom w:val="none" w:sz="0" w:space="0" w:color="auto"/>
                <w:right w:val="none" w:sz="0" w:space="0" w:color="auto"/>
              </w:divBdr>
              <w:divsChild>
                <w:div w:id="487790089">
                  <w:marLeft w:val="0"/>
                  <w:marRight w:val="0"/>
                  <w:marTop w:val="0"/>
                  <w:marBottom w:val="0"/>
                  <w:divBdr>
                    <w:top w:val="none" w:sz="0" w:space="0" w:color="auto"/>
                    <w:left w:val="none" w:sz="0" w:space="0" w:color="auto"/>
                    <w:bottom w:val="none" w:sz="0" w:space="0" w:color="auto"/>
                    <w:right w:val="none" w:sz="0" w:space="0" w:color="auto"/>
                  </w:divBdr>
                  <w:divsChild>
                    <w:div w:id="1069617614">
                      <w:marLeft w:val="0"/>
                      <w:marRight w:val="0"/>
                      <w:marTop w:val="0"/>
                      <w:marBottom w:val="0"/>
                      <w:divBdr>
                        <w:top w:val="none" w:sz="0" w:space="0" w:color="auto"/>
                        <w:left w:val="none" w:sz="0" w:space="0" w:color="auto"/>
                        <w:bottom w:val="none" w:sz="0" w:space="0" w:color="auto"/>
                        <w:right w:val="none" w:sz="0" w:space="0" w:color="auto"/>
                      </w:divBdr>
                      <w:divsChild>
                        <w:div w:id="1609389040">
                          <w:marLeft w:val="0"/>
                          <w:marRight w:val="0"/>
                          <w:marTop w:val="0"/>
                          <w:marBottom w:val="0"/>
                          <w:divBdr>
                            <w:top w:val="single" w:sz="6" w:space="0" w:color="828282"/>
                            <w:left w:val="single" w:sz="6" w:space="0" w:color="828282"/>
                            <w:bottom w:val="single" w:sz="6" w:space="0" w:color="828282"/>
                            <w:right w:val="single" w:sz="6" w:space="0" w:color="828282"/>
                          </w:divBdr>
                          <w:divsChild>
                            <w:div w:id="75522608">
                              <w:marLeft w:val="0"/>
                              <w:marRight w:val="0"/>
                              <w:marTop w:val="0"/>
                              <w:marBottom w:val="0"/>
                              <w:divBdr>
                                <w:top w:val="none" w:sz="0" w:space="0" w:color="auto"/>
                                <w:left w:val="none" w:sz="0" w:space="0" w:color="auto"/>
                                <w:bottom w:val="none" w:sz="0" w:space="0" w:color="auto"/>
                                <w:right w:val="none" w:sz="0" w:space="0" w:color="auto"/>
                              </w:divBdr>
                              <w:divsChild>
                                <w:div w:id="1745106184">
                                  <w:marLeft w:val="0"/>
                                  <w:marRight w:val="0"/>
                                  <w:marTop w:val="0"/>
                                  <w:marBottom w:val="0"/>
                                  <w:divBdr>
                                    <w:top w:val="none" w:sz="0" w:space="0" w:color="auto"/>
                                    <w:left w:val="none" w:sz="0" w:space="0" w:color="auto"/>
                                    <w:bottom w:val="none" w:sz="0" w:space="0" w:color="auto"/>
                                    <w:right w:val="none" w:sz="0" w:space="0" w:color="auto"/>
                                  </w:divBdr>
                                  <w:divsChild>
                                    <w:div w:id="1343357999">
                                      <w:marLeft w:val="0"/>
                                      <w:marRight w:val="0"/>
                                      <w:marTop w:val="0"/>
                                      <w:marBottom w:val="0"/>
                                      <w:divBdr>
                                        <w:top w:val="none" w:sz="0" w:space="0" w:color="auto"/>
                                        <w:left w:val="none" w:sz="0" w:space="0" w:color="auto"/>
                                        <w:bottom w:val="none" w:sz="0" w:space="0" w:color="auto"/>
                                        <w:right w:val="none" w:sz="0" w:space="0" w:color="auto"/>
                                      </w:divBdr>
                                      <w:divsChild>
                                        <w:div w:id="1770468888">
                                          <w:marLeft w:val="0"/>
                                          <w:marRight w:val="0"/>
                                          <w:marTop w:val="0"/>
                                          <w:marBottom w:val="0"/>
                                          <w:divBdr>
                                            <w:top w:val="none" w:sz="0" w:space="0" w:color="auto"/>
                                            <w:left w:val="none" w:sz="0" w:space="0" w:color="auto"/>
                                            <w:bottom w:val="none" w:sz="0" w:space="0" w:color="auto"/>
                                            <w:right w:val="none" w:sz="0" w:space="0" w:color="auto"/>
                                          </w:divBdr>
                                          <w:divsChild>
                                            <w:div w:id="181671029">
                                              <w:marLeft w:val="0"/>
                                              <w:marRight w:val="0"/>
                                              <w:marTop w:val="0"/>
                                              <w:marBottom w:val="0"/>
                                              <w:divBdr>
                                                <w:top w:val="none" w:sz="0" w:space="0" w:color="auto"/>
                                                <w:left w:val="none" w:sz="0" w:space="0" w:color="auto"/>
                                                <w:bottom w:val="none" w:sz="0" w:space="0" w:color="auto"/>
                                                <w:right w:val="none" w:sz="0" w:space="0" w:color="auto"/>
                                              </w:divBdr>
                                              <w:divsChild>
                                                <w:div w:id="18191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97C9B-D207-4FBD-B379-921E91A1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1382</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AUSTRAC</Company>
  <LinksUpToDate>false</LinksUpToDate>
  <CharactersWithSpaces>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pjohns</dc:creator>
  <cp:keywords/>
  <dc:description/>
  <cp:lastModifiedBy>Hugh Dixon</cp:lastModifiedBy>
  <cp:revision>2</cp:revision>
  <cp:lastPrinted>2015-01-13T00:11:00Z</cp:lastPrinted>
  <dcterms:created xsi:type="dcterms:W3CDTF">2015-01-21T23:50:00Z</dcterms:created>
  <dcterms:modified xsi:type="dcterms:W3CDTF">2015-01-21T23:50:00Z</dcterms:modified>
</cp:coreProperties>
</file>