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2B6BA" w14:textId="77777777" w:rsidR="00267AC5" w:rsidRPr="008B6C52" w:rsidRDefault="00C11F11" w:rsidP="00267AC5">
      <w:bookmarkStart w:id="0" w:name="_Toc206822568"/>
      <w:bookmarkStart w:id="1" w:name="_GoBack"/>
      <w:bookmarkEnd w:id="1"/>
      <w:r>
        <w:pict w14:anchorId="6CFE1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pt;height:87.05pt" fillcolor="window">
            <v:imagedata r:id="rId9" o:title=""/>
          </v:shape>
        </w:pict>
      </w:r>
    </w:p>
    <w:p w14:paraId="0FA8F276" w14:textId="4F6A983D" w:rsidR="00267AC5" w:rsidRDefault="00267AC5" w:rsidP="00267AC5">
      <w:pPr>
        <w:pStyle w:val="Title"/>
        <w:pBdr>
          <w:bottom w:val="single" w:sz="4" w:space="3" w:color="auto"/>
        </w:pBdr>
      </w:pPr>
      <w:bookmarkStart w:id="2" w:name="Citation"/>
      <w:r>
        <w:t>Anti-Money Laundering and Counter-Terrorism Financing Rules Amendment Instrument 201</w:t>
      </w:r>
      <w:r w:rsidR="0059193D">
        <w:t>5</w:t>
      </w:r>
      <w:r w:rsidRPr="00C57DD4">
        <w:t xml:space="preserve"> (No. </w:t>
      </w:r>
      <w:r w:rsidR="0059193D">
        <w:t>1</w:t>
      </w:r>
      <w:r w:rsidRPr="00C57DD4">
        <w:t>)</w:t>
      </w:r>
      <w:bookmarkEnd w:id="2"/>
    </w:p>
    <w:p w14:paraId="5F6A5A21" w14:textId="77777777" w:rsidR="00267AC5" w:rsidRPr="00831E19" w:rsidRDefault="00267AC5" w:rsidP="00267AC5">
      <w:pPr>
        <w:pBdr>
          <w:bottom w:val="single" w:sz="4" w:space="3" w:color="auto"/>
        </w:pBdr>
        <w:spacing w:before="480"/>
        <w:rPr>
          <w:rFonts w:ascii="Arial" w:hAnsi="Arial" w:cs="Arial"/>
          <w:b/>
        </w:rPr>
      </w:pPr>
      <w:r>
        <w:rPr>
          <w:rFonts w:ascii="Arial" w:hAnsi="Arial" w:cs="Arial"/>
          <w:i/>
          <w:sz w:val="28"/>
          <w:szCs w:val="28"/>
        </w:rPr>
        <w:t>Anti-Money Laundering and Counter-Terrorism Financing Act 2006</w:t>
      </w:r>
    </w:p>
    <w:p w14:paraId="0E1085D9" w14:textId="28C00BA9" w:rsidR="00267AC5" w:rsidRPr="00C40535" w:rsidRDefault="00267AC5" w:rsidP="00267AC5">
      <w:pPr>
        <w:spacing w:before="360"/>
        <w:jc w:val="both"/>
        <w:rPr>
          <w:rFonts w:ascii="Times New Roman" w:hAnsi="Times New Roman"/>
          <w:sz w:val="24"/>
        </w:rPr>
      </w:pPr>
      <w:r w:rsidRPr="00C40535">
        <w:rPr>
          <w:rFonts w:ascii="Times New Roman" w:hAnsi="Times New Roman"/>
          <w:sz w:val="24"/>
        </w:rPr>
        <w:t xml:space="preserve">I, </w:t>
      </w:r>
      <w:r w:rsidR="008C7D1B">
        <w:rPr>
          <w:rFonts w:ascii="Times New Roman" w:hAnsi="Times New Roman"/>
          <w:sz w:val="24"/>
        </w:rPr>
        <w:t xml:space="preserve">Paul </w:t>
      </w:r>
      <w:proofErr w:type="spellStart"/>
      <w:r w:rsidR="008C7D1B">
        <w:rPr>
          <w:rFonts w:ascii="Times New Roman" w:hAnsi="Times New Roman"/>
          <w:sz w:val="24"/>
        </w:rPr>
        <w:t>Jevtovic</w:t>
      </w:r>
      <w:proofErr w:type="spellEnd"/>
      <w:r w:rsidRPr="00C4053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C40535">
        <w:rPr>
          <w:rFonts w:ascii="Times New Roman" w:hAnsi="Times New Roman"/>
          <w:sz w:val="24"/>
        </w:rPr>
        <w:t xml:space="preserve">Chief Executive Officer, Australian Transaction Reports and Analysis Centre, make this Instrument under section 229 of the </w:t>
      </w:r>
      <w:r w:rsidRPr="00C40535">
        <w:rPr>
          <w:rFonts w:ascii="Times New Roman" w:hAnsi="Times New Roman"/>
          <w:i/>
          <w:sz w:val="24"/>
        </w:rPr>
        <w:t>Anti-Money Laundering and Counter-Terrorism Financing Act 2006</w:t>
      </w:r>
      <w:r w:rsidRPr="00C40535">
        <w:rPr>
          <w:rFonts w:ascii="Times New Roman" w:hAnsi="Times New Roman"/>
          <w:sz w:val="24"/>
        </w:rPr>
        <w:t>.</w:t>
      </w:r>
    </w:p>
    <w:p w14:paraId="2AEB91DA" w14:textId="77777777" w:rsidR="00267AC5" w:rsidRPr="00C40535" w:rsidRDefault="00267AC5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bookmarkStart w:id="3" w:name="Minister"/>
    </w:p>
    <w:p w14:paraId="2A471EA1" w14:textId="33AE2D53" w:rsidR="00267AC5" w:rsidRPr="00C40535" w:rsidRDefault="00267AC5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Dated </w:t>
      </w:r>
      <w:r w:rsidR="00BA5D03">
        <w:rPr>
          <w:rFonts w:ascii="Times New Roman" w:hAnsi="Times New Roman"/>
          <w:sz w:val="24"/>
        </w:rPr>
        <w:tab/>
        <w:t xml:space="preserve"> </w:t>
      </w:r>
      <w:r w:rsidR="00185CB2">
        <w:rPr>
          <w:rFonts w:ascii="Times New Roman" w:hAnsi="Times New Roman"/>
          <w:sz w:val="24"/>
        </w:rPr>
        <w:t>22</w:t>
      </w:r>
      <w:r w:rsidR="00BA5D03">
        <w:rPr>
          <w:rFonts w:ascii="Times New Roman" w:hAnsi="Times New Roman"/>
          <w:sz w:val="24"/>
        </w:rPr>
        <w:t xml:space="preserve"> </w:t>
      </w:r>
      <w:r w:rsidR="0059193D">
        <w:rPr>
          <w:rFonts w:ascii="Times New Roman" w:hAnsi="Times New Roman"/>
          <w:sz w:val="24"/>
        </w:rPr>
        <w:t>January</w:t>
      </w:r>
      <w:r w:rsidR="00BA5D03">
        <w:rPr>
          <w:rFonts w:ascii="Times New Roman" w:hAnsi="Times New Roman"/>
          <w:sz w:val="24"/>
        </w:rPr>
        <w:t xml:space="preserve"> </w:t>
      </w:r>
      <w:r w:rsidR="0059193D">
        <w:rPr>
          <w:rFonts w:ascii="Times New Roman" w:hAnsi="Times New Roman"/>
          <w:sz w:val="24"/>
        </w:rPr>
        <w:t>2015</w:t>
      </w:r>
    </w:p>
    <w:p w14:paraId="056ED671" w14:textId="77777777" w:rsidR="00267AC5" w:rsidRPr="00C40535" w:rsidRDefault="00267AC5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08255943" w14:textId="77777777" w:rsidR="00267AC5" w:rsidRPr="00C40535" w:rsidRDefault="00267AC5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327BE27A" w14:textId="77777777" w:rsidR="00267AC5" w:rsidRDefault="00267AC5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0A85309A" w14:textId="77777777" w:rsidR="00BA5D03" w:rsidRDefault="00BA5D03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5AC3291" w14:textId="3C0D93DB" w:rsidR="00267AC5" w:rsidRDefault="00185CB2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[signed]</w:t>
      </w:r>
    </w:p>
    <w:p w14:paraId="2B9253F6" w14:textId="77777777" w:rsidR="00BA5D03" w:rsidRDefault="00BA5D03" w:rsidP="00267AC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21839994" w14:textId="26235E90" w:rsidR="0059193D" w:rsidRPr="00C40535" w:rsidRDefault="008C7D1B" w:rsidP="0059193D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Paul </w:t>
      </w:r>
      <w:proofErr w:type="spellStart"/>
      <w:r>
        <w:rPr>
          <w:rFonts w:ascii="Times New Roman" w:hAnsi="Times New Roman"/>
          <w:sz w:val="24"/>
        </w:rPr>
        <w:t>Jevtovic</w:t>
      </w:r>
      <w:proofErr w:type="spellEnd"/>
    </w:p>
    <w:p w14:paraId="5D76046C" w14:textId="35EF8265" w:rsidR="00267AC5" w:rsidRPr="00C40535" w:rsidRDefault="0059193D" w:rsidP="0059193D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rFonts w:ascii="Times New Roman" w:hAnsi="Times New Roman"/>
          <w:sz w:val="24"/>
        </w:rPr>
      </w:pPr>
      <w:r w:rsidRPr="00C40535">
        <w:rPr>
          <w:rFonts w:ascii="Times New Roman" w:hAnsi="Times New Roman"/>
          <w:sz w:val="24"/>
        </w:rPr>
        <w:t>Chief Executive Officer</w:t>
      </w:r>
      <w:r w:rsidR="00267AC5" w:rsidRPr="00C40535">
        <w:rPr>
          <w:rFonts w:ascii="Times New Roman" w:hAnsi="Times New Roman"/>
          <w:sz w:val="24"/>
        </w:rPr>
        <w:br/>
        <w:t>Australian Transaction Reports and Analysis Centre</w:t>
      </w:r>
      <w:bookmarkEnd w:id="3"/>
    </w:p>
    <w:p w14:paraId="13949760" w14:textId="142A6F23" w:rsidR="00267AC5" w:rsidRDefault="00267AC5" w:rsidP="00267AC5">
      <w:pPr>
        <w:pBdr>
          <w:bottom w:val="single" w:sz="4" w:space="12" w:color="auto"/>
        </w:pBdr>
        <w:tabs>
          <w:tab w:val="left" w:pos="3119"/>
        </w:tabs>
        <w:spacing w:line="300" w:lineRule="atLeast"/>
      </w:pPr>
      <w:r>
        <w:br w:type="page"/>
      </w:r>
    </w:p>
    <w:p w14:paraId="4680062E" w14:textId="77777777" w:rsidR="00267AC5" w:rsidRDefault="00267AC5" w:rsidP="00B5106A">
      <w:pPr>
        <w:pStyle w:val="HR"/>
        <w:ind w:left="851" w:hanging="851"/>
      </w:pPr>
      <w:r>
        <w:t>1</w:t>
      </w:r>
      <w:r>
        <w:tab/>
        <w:t>Name of Instrument</w:t>
      </w:r>
    </w:p>
    <w:p w14:paraId="3879F76A" w14:textId="5F3404B6" w:rsidR="00267AC5" w:rsidRDefault="00267AC5" w:rsidP="00B5106A">
      <w:pPr>
        <w:pStyle w:val="R1"/>
        <w:tabs>
          <w:tab w:val="clear" w:pos="794"/>
        </w:tabs>
        <w:spacing w:before="240"/>
        <w:ind w:left="851" w:firstLine="0"/>
        <w:jc w:val="left"/>
      </w:pPr>
      <w:r>
        <w:t>This Instrument is the</w:t>
      </w:r>
      <w:r>
        <w:rPr>
          <w:i/>
        </w:rPr>
        <w:t xml:space="preserve"> Anti-Money Laundering and Counter-Terrorism Financing Rules Amendment Instrument 201</w:t>
      </w:r>
      <w:r w:rsidR="006C2E59">
        <w:rPr>
          <w:i/>
        </w:rPr>
        <w:t>5</w:t>
      </w:r>
      <w:r>
        <w:rPr>
          <w:i/>
        </w:rPr>
        <w:t xml:space="preserve"> (No</w:t>
      </w:r>
      <w:r w:rsidR="00E84C52">
        <w:rPr>
          <w:i/>
        </w:rPr>
        <w:t>.</w:t>
      </w:r>
      <w:r w:rsidR="006C2E59">
        <w:rPr>
          <w:i/>
        </w:rPr>
        <w:t xml:space="preserve"> 1</w:t>
      </w:r>
      <w:r>
        <w:rPr>
          <w:i/>
        </w:rPr>
        <w:t>)</w:t>
      </w:r>
      <w:r w:rsidRPr="00C57DD4">
        <w:t>.</w:t>
      </w:r>
    </w:p>
    <w:p w14:paraId="3A157C25" w14:textId="6C3FF4EB" w:rsidR="00267AC5" w:rsidRDefault="00267AC5" w:rsidP="00B5106A">
      <w:pPr>
        <w:pStyle w:val="HR"/>
        <w:ind w:left="851" w:hanging="851"/>
      </w:pPr>
      <w:r>
        <w:t>2</w:t>
      </w:r>
      <w:r>
        <w:tab/>
        <w:t>Commencement</w:t>
      </w:r>
    </w:p>
    <w:p w14:paraId="37EF886A" w14:textId="69DE115D" w:rsidR="00E84C52" w:rsidRDefault="00267AC5" w:rsidP="00B5106A">
      <w:pPr>
        <w:pStyle w:val="paragraph"/>
        <w:tabs>
          <w:tab w:val="clear" w:pos="1531"/>
        </w:tabs>
        <w:spacing w:before="240"/>
        <w:ind w:left="851" w:firstLine="0"/>
        <w:rPr>
          <w:sz w:val="24"/>
        </w:rPr>
      </w:pPr>
      <w:r w:rsidRPr="00516724">
        <w:rPr>
          <w:sz w:val="24"/>
        </w:rPr>
        <w:t xml:space="preserve">This Instrument commences </w:t>
      </w:r>
      <w:r w:rsidR="00B5106A">
        <w:rPr>
          <w:sz w:val="24"/>
        </w:rPr>
        <w:t>on the day after it is registered.</w:t>
      </w:r>
    </w:p>
    <w:p w14:paraId="7B5109D2" w14:textId="074D1BF1" w:rsidR="00E84C52" w:rsidRDefault="00E84C52" w:rsidP="00E84C52">
      <w:pPr>
        <w:pStyle w:val="paragraph"/>
        <w:tabs>
          <w:tab w:val="left" w:pos="900"/>
        </w:tabs>
        <w:rPr>
          <w:sz w:val="24"/>
        </w:rPr>
      </w:pPr>
    </w:p>
    <w:p w14:paraId="6EF2A9C8" w14:textId="77777777" w:rsidR="00267AC5" w:rsidRPr="00E84C52" w:rsidRDefault="00267AC5" w:rsidP="00B5106A">
      <w:pPr>
        <w:pStyle w:val="paragraph"/>
        <w:tabs>
          <w:tab w:val="clear" w:pos="1531"/>
        </w:tabs>
        <w:ind w:left="851" w:hanging="851"/>
        <w:rPr>
          <w:rFonts w:ascii="Arial" w:hAnsi="Arial" w:cs="Arial"/>
          <w:b/>
          <w:sz w:val="24"/>
        </w:rPr>
      </w:pPr>
      <w:r w:rsidRPr="00E84C52">
        <w:rPr>
          <w:rFonts w:ascii="Arial" w:hAnsi="Arial" w:cs="Arial"/>
          <w:b/>
          <w:sz w:val="24"/>
        </w:rPr>
        <w:t>3</w:t>
      </w:r>
      <w:r w:rsidRPr="00E84C52">
        <w:rPr>
          <w:rFonts w:ascii="Arial" w:hAnsi="Arial" w:cs="Arial"/>
          <w:b/>
          <w:sz w:val="24"/>
        </w:rPr>
        <w:tab/>
        <w:t xml:space="preserve">Amendment </w:t>
      </w:r>
    </w:p>
    <w:p w14:paraId="6E685E75" w14:textId="3AEC1747" w:rsidR="00B5106A" w:rsidRDefault="00AA44EA" w:rsidP="00AA44EA">
      <w:pPr>
        <w:pStyle w:val="R1"/>
        <w:tabs>
          <w:tab w:val="clear" w:pos="794"/>
        </w:tabs>
        <w:spacing w:before="240"/>
        <w:ind w:left="1418" w:hanging="567"/>
        <w:rPr>
          <w:i/>
        </w:rPr>
      </w:pPr>
      <w:r>
        <w:t xml:space="preserve">(a) </w:t>
      </w:r>
      <w:r>
        <w:tab/>
      </w:r>
      <w:r w:rsidR="00267AC5" w:rsidRPr="00394CCD">
        <w:t xml:space="preserve">Schedule </w:t>
      </w:r>
      <w:r w:rsidR="00267AC5">
        <w:t xml:space="preserve">1 </w:t>
      </w:r>
      <w:r w:rsidR="00267AC5" w:rsidRPr="00394CCD">
        <w:t>amend</w:t>
      </w:r>
      <w:r w:rsidR="00267AC5">
        <w:t>s</w:t>
      </w:r>
      <w:r w:rsidR="00267AC5" w:rsidRPr="00394CCD">
        <w:t xml:space="preserve"> the </w:t>
      </w:r>
      <w:r w:rsidR="00267AC5" w:rsidRPr="00394CCD">
        <w:rPr>
          <w:i/>
        </w:rPr>
        <w:t>Anti-Money Laundering and Counter-Terrorism Financing Rules</w:t>
      </w:r>
      <w:r w:rsidR="00267AC5">
        <w:rPr>
          <w:i/>
        </w:rPr>
        <w:t xml:space="preserve"> Instrument </w:t>
      </w:r>
      <w:r w:rsidR="00267AC5" w:rsidRPr="00394CCD">
        <w:rPr>
          <w:i/>
        </w:rPr>
        <w:t>2007 (No.</w:t>
      </w:r>
      <w:r w:rsidR="00267AC5">
        <w:rPr>
          <w:i/>
        </w:rPr>
        <w:t xml:space="preserve"> 1</w:t>
      </w:r>
      <w:r w:rsidR="00267AC5" w:rsidRPr="00394CCD">
        <w:rPr>
          <w:i/>
        </w:rPr>
        <w:t>)</w:t>
      </w:r>
      <w:r>
        <w:rPr>
          <w:i/>
        </w:rPr>
        <w:t xml:space="preserve">; </w:t>
      </w:r>
    </w:p>
    <w:p w14:paraId="402A898F" w14:textId="633E8947" w:rsidR="00AA44EA" w:rsidRDefault="00AA44EA" w:rsidP="00AA44EA">
      <w:pPr>
        <w:pStyle w:val="R1"/>
        <w:tabs>
          <w:tab w:val="clear" w:pos="794"/>
        </w:tabs>
        <w:spacing w:before="240"/>
        <w:ind w:left="1418" w:hanging="567"/>
        <w:rPr>
          <w:i/>
        </w:rPr>
      </w:pPr>
      <w:r>
        <w:t xml:space="preserve">(b) </w:t>
      </w:r>
      <w:r>
        <w:tab/>
      </w:r>
      <w:r w:rsidRPr="00394CCD">
        <w:t xml:space="preserve">Schedule </w:t>
      </w:r>
      <w:r>
        <w:t xml:space="preserve">2 </w:t>
      </w:r>
      <w:r w:rsidRPr="00394CCD">
        <w:t>amend</w:t>
      </w:r>
      <w:r>
        <w:t>s</w:t>
      </w:r>
      <w:r w:rsidRPr="00394CCD">
        <w:t xml:space="preserve"> the </w:t>
      </w:r>
      <w:r w:rsidRPr="00394CCD">
        <w:rPr>
          <w:i/>
        </w:rPr>
        <w:t>Anti-Money Laundering and Counter-Terrorism Financing Rules</w:t>
      </w:r>
      <w:r>
        <w:rPr>
          <w:i/>
        </w:rPr>
        <w:t xml:space="preserve"> Instrument </w:t>
      </w:r>
      <w:r w:rsidRPr="00394CCD">
        <w:rPr>
          <w:i/>
        </w:rPr>
        <w:t>2007 (No.</w:t>
      </w:r>
      <w:r>
        <w:rPr>
          <w:i/>
        </w:rPr>
        <w:t xml:space="preserve"> 1</w:t>
      </w:r>
      <w:r w:rsidRPr="00394CCD">
        <w:rPr>
          <w:i/>
        </w:rPr>
        <w:t>)</w:t>
      </w:r>
      <w:r>
        <w:rPr>
          <w:i/>
        </w:rPr>
        <w:t>.</w:t>
      </w:r>
    </w:p>
    <w:p w14:paraId="7094F14F" w14:textId="77777777" w:rsidR="001A1A8D" w:rsidRDefault="001A1A8D" w:rsidP="001156F3">
      <w:pPr>
        <w:rPr>
          <w:lang w:eastAsia="en-AU"/>
        </w:rPr>
      </w:pPr>
    </w:p>
    <w:p w14:paraId="59A650F6" w14:textId="3D1E9DD0" w:rsidR="00DD2CB8" w:rsidRDefault="00DD2CB8" w:rsidP="00DD2CB8">
      <w:pPr>
        <w:pStyle w:val="AS"/>
        <w:spacing w:before="100" w:beforeAutospacing="1"/>
        <w:rPr>
          <w:sz w:val="24"/>
        </w:rPr>
      </w:pPr>
      <w:r w:rsidRPr="00E626A4">
        <w:rPr>
          <w:sz w:val="28"/>
          <w:szCs w:val="28"/>
        </w:rPr>
        <w:t xml:space="preserve">Schedule </w:t>
      </w:r>
      <w:r>
        <w:rPr>
          <w:sz w:val="28"/>
          <w:szCs w:val="28"/>
        </w:rPr>
        <w:t>1</w:t>
      </w:r>
      <w:r w:rsidRPr="009B1EB4">
        <w:rPr>
          <w:sz w:val="24"/>
        </w:rPr>
        <w:tab/>
        <w:t>Amendment</w:t>
      </w:r>
      <w:r>
        <w:rPr>
          <w:sz w:val="24"/>
        </w:rPr>
        <w:t xml:space="preserve"> of the </w:t>
      </w:r>
      <w:r w:rsidRPr="00A47DBE">
        <w:rPr>
          <w:i/>
          <w:sz w:val="24"/>
        </w:rPr>
        <w:t>Anti-Money Laundering and Counter-Terrorism Financing Rules Instrument 2007 (No. 1)</w:t>
      </w:r>
      <w:r w:rsidRPr="00A47DBE">
        <w:rPr>
          <w:sz w:val="24"/>
        </w:rPr>
        <w:t>.</w:t>
      </w:r>
    </w:p>
    <w:p w14:paraId="3BDBB7F1" w14:textId="77777777" w:rsidR="00DD2CB8" w:rsidRPr="00C40535" w:rsidRDefault="00DD2CB8" w:rsidP="00DD2CB8">
      <w:pPr>
        <w:tabs>
          <w:tab w:val="left" w:pos="1800"/>
        </w:tabs>
        <w:rPr>
          <w:rFonts w:ascii="Times New Roman" w:hAnsi="Times New Roman"/>
          <w:sz w:val="24"/>
        </w:rPr>
      </w:pPr>
    </w:p>
    <w:p w14:paraId="772C67E6" w14:textId="77777777" w:rsidR="00DD2CB8" w:rsidRPr="006A6A98" w:rsidRDefault="00DD2CB8" w:rsidP="00DD2CB8">
      <w:pPr>
        <w:ind w:left="851" w:hanging="851"/>
        <w:rPr>
          <w:rFonts w:ascii="Arial" w:hAnsi="Arial" w:cs="Arial"/>
          <w:b/>
          <w:sz w:val="28"/>
          <w:szCs w:val="28"/>
        </w:rPr>
      </w:pPr>
      <w:r w:rsidRPr="006A6A98">
        <w:rPr>
          <w:rFonts w:ascii="Arial" w:hAnsi="Arial" w:cs="Arial"/>
          <w:b/>
          <w:sz w:val="28"/>
          <w:szCs w:val="28"/>
        </w:rPr>
        <w:t>1.</w:t>
      </w:r>
      <w:r w:rsidRPr="006A6A98">
        <w:rPr>
          <w:rFonts w:ascii="Arial" w:hAnsi="Arial" w:cs="Arial"/>
          <w:b/>
          <w:sz w:val="28"/>
          <w:szCs w:val="28"/>
        </w:rPr>
        <w:tab/>
        <w:t xml:space="preserve">Chapter </w:t>
      </w:r>
      <w:r>
        <w:rPr>
          <w:rFonts w:ascii="Arial" w:hAnsi="Arial" w:cs="Arial"/>
          <w:b/>
          <w:sz w:val="28"/>
          <w:szCs w:val="28"/>
        </w:rPr>
        <w:t>4</w:t>
      </w:r>
    </w:p>
    <w:p w14:paraId="7D9ACA1A" w14:textId="77777777" w:rsidR="00DD2CB8" w:rsidRDefault="00DD2CB8" w:rsidP="00DD2CB8">
      <w:pPr>
        <w:pStyle w:val="Default"/>
        <w:tabs>
          <w:tab w:val="left" w:pos="1440"/>
        </w:tabs>
      </w:pPr>
    </w:p>
    <w:p w14:paraId="364848B3" w14:textId="77777777" w:rsidR="00DD2CB8" w:rsidRPr="006A6A98" w:rsidRDefault="00DD2CB8" w:rsidP="00DD2CB8">
      <w:pPr>
        <w:ind w:left="851" w:hanging="851"/>
        <w:rPr>
          <w:rFonts w:ascii="Times New Roman" w:hAnsi="Times New Roman"/>
          <w:sz w:val="24"/>
        </w:rPr>
      </w:pPr>
      <w:r w:rsidRPr="00A46ABA">
        <w:rPr>
          <w:rFonts w:ascii="Times New Roman" w:hAnsi="Times New Roman"/>
          <w:b/>
          <w:sz w:val="24"/>
        </w:rPr>
        <w:t>Item 1</w:t>
      </w:r>
      <w:r w:rsidRPr="00A46ABA">
        <w:rPr>
          <w:rFonts w:ascii="Times New Roman" w:hAnsi="Times New Roman"/>
          <w:b/>
          <w:sz w:val="24"/>
        </w:rPr>
        <w:tab/>
      </w:r>
      <w:r w:rsidRPr="006E6786"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b/>
          <w:sz w:val="24"/>
        </w:rPr>
        <w:t xml:space="preserve"> subp</w:t>
      </w:r>
      <w:r w:rsidRPr="006A6A98">
        <w:rPr>
          <w:rFonts w:ascii="Times New Roman" w:hAnsi="Times New Roman"/>
          <w:b/>
          <w:sz w:val="24"/>
        </w:rPr>
        <w:t xml:space="preserve">aragraph </w:t>
      </w:r>
      <w:r>
        <w:rPr>
          <w:rFonts w:ascii="Times New Roman" w:hAnsi="Times New Roman"/>
          <w:b/>
          <w:sz w:val="24"/>
        </w:rPr>
        <w:t>4.12.2(2)</w:t>
      </w:r>
    </w:p>
    <w:p w14:paraId="0E19BB3F" w14:textId="77777777" w:rsidR="00DD2CB8" w:rsidRDefault="00DD2CB8" w:rsidP="00DD2CB8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0C31068E" w14:textId="77777777" w:rsidR="00DD2CB8" w:rsidRDefault="00DD2CB8" w:rsidP="00DD2CB8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subparagraph</w:t>
      </w:r>
      <w:r>
        <w:rPr>
          <w:rFonts w:ascii="Times New Roman" w:hAnsi="Times New Roman"/>
          <w:i/>
          <w:sz w:val="24"/>
        </w:rPr>
        <w:t xml:space="preserve">, substitute: </w:t>
      </w:r>
    </w:p>
    <w:p w14:paraId="4FD51E92" w14:textId="77777777" w:rsidR="00DD2CB8" w:rsidRDefault="00DD2CB8" w:rsidP="00DD2CB8">
      <w:pPr>
        <w:pStyle w:val="Default"/>
        <w:tabs>
          <w:tab w:val="left" w:pos="1440"/>
        </w:tabs>
      </w:pPr>
    </w:p>
    <w:p w14:paraId="3E02AE97" w14:textId="77777777" w:rsidR="00DD2CB8" w:rsidRDefault="00DD2CB8" w:rsidP="00DD2CB8">
      <w:pPr>
        <w:ind w:left="1418" w:hanging="567"/>
        <w:rPr>
          <w:rFonts w:ascii="Times New Roman" w:hAnsi="Times New Roman"/>
          <w:sz w:val="24"/>
          <w:lang w:eastAsia="en-AU"/>
        </w:rPr>
      </w:pPr>
      <w:r w:rsidRPr="00AA44EA">
        <w:rPr>
          <w:rFonts w:ascii="Times New Roman" w:hAnsi="Times New Roman"/>
          <w:sz w:val="24"/>
          <w:lang w:eastAsia="en-AU"/>
        </w:rPr>
        <w:t xml:space="preserve">(2) </w:t>
      </w:r>
      <w:r>
        <w:rPr>
          <w:rFonts w:ascii="Times New Roman" w:hAnsi="Times New Roman"/>
          <w:sz w:val="24"/>
          <w:lang w:eastAsia="en-AU"/>
        </w:rPr>
        <w:tab/>
      </w:r>
      <w:proofErr w:type="gramStart"/>
      <w:r w:rsidRPr="00AA44EA">
        <w:rPr>
          <w:rFonts w:ascii="Times New Roman" w:hAnsi="Times New Roman"/>
          <w:sz w:val="24"/>
          <w:lang w:eastAsia="en-AU"/>
        </w:rPr>
        <w:t>for</w:t>
      </w:r>
      <w:proofErr w:type="gramEnd"/>
      <w:r w:rsidRPr="00AA44EA">
        <w:rPr>
          <w:rFonts w:ascii="Times New Roman" w:hAnsi="Times New Roman"/>
          <w:sz w:val="24"/>
          <w:lang w:eastAsia="en-AU"/>
        </w:rPr>
        <w:t xml:space="preserve"> a customer who is:</w:t>
      </w:r>
    </w:p>
    <w:p w14:paraId="07F0B1BF" w14:textId="77777777" w:rsidR="00DD2CB8" w:rsidRPr="00AA44EA" w:rsidRDefault="00DD2CB8" w:rsidP="00DD2CB8">
      <w:pPr>
        <w:ind w:left="1418" w:hanging="567"/>
        <w:rPr>
          <w:rFonts w:ascii="Times New Roman" w:hAnsi="Times New Roman"/>
          <w:sz w:val="24"/>
          <w:lang w:eastAsia="en-AU"/>
        </w:rPr>
      </w:pPr>
    </w:p>
    <w:p w14:paraId="37DFAC87" w14:textId="77777777" w:rsidR="00DD2CB8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  <w:r w:rsidRPr="00AA44EA">
        <w:rPr>
          <w:rFonts w:ascii="Times New Roman" w:hAnsi="Times New Roman"/>
          <w:sz w:val="24"/>
          <w:lang w:eastAsia="en-AU"/>
        </w:rPr>
        <w:t xml:space="preserve">(a) </w:t>
      </w:r>
      <w:r>
        <w:rPr>
          <w:rFonts w:ascii="Times New Roman" w:hAnsi="Times New Roman"/>
          <w:sz w:val="24"/>
          <w:lang w:eastAsia="en-AU"/>
        </w:rPr>
        <w:tab/>
      </w:r>
      <w:proofErr w:type="gramStart"/>
      <w:r w:rsidRPr="00AA44EA">
        <w:rPr>
          <w:rFonts w:ascii="Times New Roman" w:hAnsi="Times New Roman"/>
          <w:sz w:val="24"/>
          <w:lang w:eastAsia="en-AU"/>
        </w:rPr>
        <w:t>a</w:t>
      </w:r>
      <w:proofErr w:type="gramEnd"/>
      <w:r w:rsidRPr="00AA44EA">
        <w:rPr>
          <w:rFonts w:ascii="Times New Roman" w:hAnsi="Times New Roman"/>
          <w:sz w:val="24"/>
          <w:lang w:eastAsia="en-AU"/>
        </w:rPr>
        <w:t xml:space="preserve"> company which is verified under the simplified company verification procedure under paragraph 4.3.8 of these Rules;</w:t>
      </w:r>
    </w:p>
    <w:p w14:paraId="1AEA7D1A" w14:textId="77777777" w:rsidR="00DD2CB8" w:rsidRPr="00AA44EA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</w:p>
    <w:p w14:paraId="30CE21EB" w14:textId="77777777" w:rsidR="00DD2CB8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  <w:r w:rsidRPr="00AA44EA">
        <w:rPr>
          <w:rFonts w:ascii="Times New Roman" w:hAnsi="Times New Roman"/>
          <w:sz w:val="24"/>
          <w:lang w:eastAsia="en-AU"/>
        </w:rPr>
        <w:t xml:space="preserve">(b) </w:t>
      </w:r>
      <w:r>
        <w:rPr>
          <w:rFonts w:ascii="Times New Roman" w:hAnsi="Times New Roman"/>
          <w:sz w:val="24"/>
          <w:lang w:eastAsia="en-AU"/>
        </w:rPr>
        <w:tab/>
      </w:r>
      <w:proofErr w:type="gramStart"/>
      <w:r w:rsidRPr="00AA44EA">
        <w:rPr>
          <w:rFonts w:ascii="Times New Roman" w:hAnsi="Times New Roman"/>
          <w:sz w:val="24"/>
          <w:lang w:eastAsia="en-AU"/>
        </w:rPr>
        <w:t>a</w:t>
      </w:r>
      <w:proofErr w:type="gramEnd"/>
      <w:r w:rsidRPr="00AA44EA">
        <w:rPr>
          <w:rFonts w:ascii="Times New Roman" w:hAnsi="Times New Roman"/>
          <w:sz w:val="24"/>
          <w:lang w:eastAsia="en-AU"/>
        </w:rPr>
        <w:t xml:space="preserve"> trust which is verified under the simplified trustee verification procedure under paragraph 4.4.8 of these Rules; </w:t>
      </w:r>
    </w:p>
    <w:p w14:paraId="6EF7F52E" w14:textId="77777777" w:rsidR="00DD2CB8" w:rsidRPr="00AA44EA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</w:p>
    <w:p w14:paraId="3985EA7C" w14:textId="77777777" w:rsidR="00DD2CB8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  <w:r w:rsidRPr="00AA44EA">
        <w:rPr>
          <w:rFonts w:ascii="Times New Roman" w:hAnsi="Times New Roman"/>
          <w:sz w:val="24"/>
          <w:lang w:eastAsia="en-AU"/>
        </w:rPr>
        <w:t xml:space="preserve">(c) </w:t>
      </w:r>
      <w:r>
        <w:rPr>
          <w:rFonts w:ascii="Times New Roman" w:hAnsi="Times New Roman"/>
          <w:sz w:val="24"/>
          <w:lang w:eastAsia="en-AU"/>
        </w:rPr>
        <w:tab/>
      </w:r>
      <w:proofErr w:type="gramStart"/>
      <w:r w:rsidRPr="00AA44EA">
        <w:rPr>
          <w:rFonts w:ascii="Times New Roman" w:hAnsi="Times New Roman"/>
          <w:sz w:val="24"/>
          <w:lang w:eastAsia="en-AU"/>
        </w:rPr>
        <w:t>an</w:t>
      </w:r>
      <w:proofErr w:type="gramEnd"/>
      <w:r w:rsidRPr="00AA44EA">
        <w:rPr>
          <w:rFonts w:ascii="Times New Roman" w:hAnsi="Times New Roman"/>
          <w:sz w:val="24"/>
          <w:lang w:eastAsia="en-AU"/>
        </w:rPr>
        <w:t xml:space="preserve"> Australian Government Entity; or</w:t>
      </w:r>
    </w:p>
    <w:p w14:paraId="61816BCA" w14:textId="77777777" w:rsidR="00DD2CB8" w:rsidRPr="00AA44EA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</w:p>
    <w:p w14:paraId="3D110EEE" w14:textId="77777777" w:rsidR="00DD2CB8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  <w:r w:rsidRPr="00AA44EA">
        <w:rPr>
          <w:rFonts w:ascii="Times New Roman" w:hAnsi="Times New Roman"/>
          <w:sz w:val="24"/>
          <w:lang w:eastAsia="en-AU"/>
        </w:rPr>
        <w:t xml:space="preserve">(d) </w:t>
      </w:r>
      <w:r>
        <w:rPr>
          <w:rFonts w:ascii="Times New Roman" w:hAnsi="Times New Roman"/>
          <w:sz w:val="24"/>
          <w:lang w:eastAsia="en-AU"/>
        </w:rPr>
        <w:tab/>
      </w:r>
      <w:r w:rsidRPr="00AA44EA">
        <w:rPr>
          <w:rFonts w:ascii="Times New Roman" w:hAnsi="Times New Roman"/>
          <w:sz w:val="24"/>
          <w:lang w:eastAsia="en-AU"/>
        </w:rPr>
        <w:t>for a customer who is a foreign listed public company subject to disclosure requirements (whether by stock exchange rules or by law or enforceable means) to ensure transparency of beneficial ownership which are</w:t>
      </w:r>
      <w:r>
        <w:rPr>
          <w:rFonts w:ascii="Times New Roman" w:hAnsi="Times New Roman"/>
          <w:sz w:val="24"/>
          <w:lang w:eastAsia="en-AU"/>
        </w:rPr>
        <w:t xml:space="preserve"> the same as</w:t>
      </w:r>
      <w:r w:rsidRPr="00AA44EA">
        <w:rPr>
          <w:rFonts w:ascii="Times New Roman" w:hAnsi="Times New Roman"/>
          <w:sz w:val="24"/>
          <w:lang w:eastAsia="en-AU"/>
        </w:rPr>
        <w:t>, or are comparable to, the requirements in Australia;</w:t>
      </w:r>
    </w:p>
    <w:p w14:paraId="5276A58A" w14:textId="77777777" w:rsidR="00DD2CB8" w:rsidRPr="00AA44EA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</w:p>
    <w:p w14:paraId="2CB97A3F" w14:textId="77777777" w:rsidR="00DD2CB8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  <w:proofErr w:type="gramStart"/>
      <w:r w:rsidRPr="00AA44EA">
        <w:rPr>
          <w:rFonts w:ascii="Times New Roman" w:hAnsi="Times New Roman"/>
          <w:sz w:val="24"/>
          <w:lang w:eastAsia="en-AU"/>
        </w:rPr>
        <w:t>then</w:t>
      </w:r>
      <w:proofErr w:type="gramEnd"/>
      <w:r w:rsidRPr="00AA44EA">
        <w:rPr>
          <w:rFonts w:ascii="Times New Roman" w:hAnsi="Times New Roman"/>
          <w:sz w:val="24"/>
          <w:lang w:eastAsia="en-AU"/>
        </w:rPr>
        <w:t>,</w:t>
      </w:r>
    </w:p>
    <w:p w14:paraId="629397EE" w14:textId="77777777" w:rsidR="00DD2CB8" w:rsidRPr="00AA44EA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</w:p>
    <w:p w14:paraId="76A9581D" w14:textId="53386585" w:rsidR="00DD2CB8" w:rsidRDefault="00DD2CB8" w:rsidP="00DD2CB8">
      <w:pPr>
        <w:ind w:left="2127" w:hanging="709"/>
        <w:rPr>
          <w:rFonts w:ascii="Times New Roman" w:hAnsi="Times New Roman"/>
          <w:sz w:val="24"/>
          <w:lang w:eastAsia="en-AU"/>
        </w:rPr>
      </w:pPr>
      <w:r w:rsidRPr="00AA44EA">
        <w:rPr>
          <w:rFonts w:ascii="Times New Roman" w:hAnsi="Times New Roman"/>
          <w:sz w:val="24"/>
          <w:lang w:eastAsia="en-AU"/>
        </w:rPr>
        <w:t xml:space="preserve">(e) </w:t>
      </w:r>
      <w:r>
        <w:rPr>
          <w:rFonts w:ascii="Times New Roman" w:hAnsi="Times New Roman"/>
          <w:sz w:val="24"/>
          <w:lang w:eastAsia="en-AU"/>
        </w:rPr>
        <w:tab/>
      </w:r>
      <w:proofErr w:type="gramStart"/>
      <w:r w:rsidRPr="00AA44EA">
        <w:rPr>
          <w:rFonts w:ascii="Times New Roman" w:hAnsi="Times New Roman"/>
          <w:sz w:val="24"/>
          <w:lang w:eastAsia="en-AU"/>
        </w:rPr>
        <w:t>paragraph</w:t>
      </w:r>
      <w:proofErr w:type="gramEnd"/>
      <w:r w:rsidRPr="00AA44EA">
        <w:rPr>
          <w:rFonts w:ascii="Times New Roman" w:hAnsi="Times New Roman"/>
          <w:sz w:val="24"/>
          <w:lang w:eastAsia="en-AU"/>
        </w:rPr>
        <w:t xml:space="preserve"> 4.12.1 need not be applied.</w:t>
      </w:r>
    </w:p>
    <w:p w14:paraId="586BD9AE" w14:textId="208CE0BC" w:rsidR="00267AC5" w:rsidRDefault="00267AC5" w:rsidP="00267AC5">
      <w:pPr>
        <w:pStyle w:val="AS"/>
        <w:spacing w:before="100" w:beforeAutospacing="1"/>
        <w:rPr>
          <w:sz w:val="24"/>
        </w:rPr>
      </w:pPr>
      <w:r w:rsidRPr="00E626A4">
        <w:rPr>
          <w:sz w:val="28"/>
          <w:szCs w:val="28"/>
        </w:rPr>
        <w:lastRenderedPageBreak/>
        <w:t xml:space="preserve">Schedule </w:t>
      </w:r>
      <w:r w:rsidR="00DD2CB8">
        <w:rPr>
          <w:sz w:val="28"/>
          <w:szCs w:val="28"/>
        </w:rPr>
        <w:t>2</w:t>
      </w:r>
      <w:r w:rsidRPr="009B1EB4">
        <w:rPr>
          <w:sz w:val="24"/>
        </w:rPr>
        <w:tab/>
        <w:t>Amendment</w:t>
      </w:r>
      <w:r>
        <w:rPr>
          <w:sz w:val="24"/>
        </w:rPr>
        <w:t xml:space="preserve"> of the </w:t>
      </w:r>
      <w:r w:rsidRPr="00A47DBE">
        <w:rPr>
          <w:i/>
          <w:sz w:val="24"/>
        </w:rPr>
        <w:t>Anti-Money Laundering and Counter-Terrorism Financing Rules Instrument 2007 (No. 1)</w:t>
      </w:r>
      <w:r w:rsidRPr="00A47DBE">
        <w:rPr>
          <w:sz w:val="24"/>
        </w:rPr>
        <w:t>.</w:t>
      </w:r>
    </w:p>
    <w:p w14:paraId="39418708" w14:textId="77777777" w:rsidR="001A1A8D" w:rsidRPr="00C40535" w:rsidRDefault="001A1A8D" w:rsidP="00267AC5">
      <w:pPr>
        <w:tabs>
          <w:tab w:val="left" w:pos="1800"/>
        </w:tabs>
        <w:rPr>
          <w:rFonts w:ascii="Times New Roman" w:hAnsi="Times New Roman"/>
          <w:sz w:val="24"/>
        </w:rPr>
      </w:pPr>
    </w:p>
    <w:bookmarkEnd w:id="0"/>
    <w:p w14:paraId="3165E85B" w14:textId="191E9511" w:rsidR="00925B6E" w:rsidRPr="006A6A98" w:rsidRDefault="00A25CC7" w:rsidP="0011785B">
      <w:pPr>
        <w:ind w:left="851" w:hanging="851"/>
        <w:rPr>
          <w:rFonts w:ascii="Arial" w:hAnsi="Arial" w:cs="Arial"/>
          <w:b/>
          <w:sz w:val="28"/>
          <w:szCs w:val="28"/>
        </w:rPr>
      </w:pPr>
      <w:r w:rsidRPr="006A6A98">
        <w:rPr>
          <w:rFonts w:ascii="Arial" w:hAnsi="Arial" w:cs="Arial"/>
          <w:b/>
          <w:sz w:val="28"/>
          <w:szCs w:val="28"/>
        </w:rPr>
        <w:t>1.</w:t>
      </w:r>
      <w:r w:rsidRPr="006A6A98">
        <w:rPr>
          <w:rFonts w:ascii="Arial" w:hAnsi="Arial" w:cs="Arial"/>
          <w:b/>
          <w:sz w:val="28"/>
          <w:szCs w:val="28"/>
        </w:rPr>
        <w:tab/>
        <w:t xml:space="preserve">Chapter </w:t>
      </w:r>
      <w:r w:rsidR="00BA5D03">
        <w:rPr>
          <w:rFonts w:ascii="Arial" w:hAnsi="Arial" w:cs="Arial"/>
          <w:b/>
          <w:sz w:val="28"/>
          <w:szCs w:val="28"/>
        </w:rPr>
        <w:t>63</w:t>
      </w:r>
    </w:p>
    <w:p w14:paraId="2D8FA880" w14:textId="77777777" w:rsidR="00FB2398" w:rsidRDefault="00FB2398" w:rsidP="00FB2398">
      <w:pPr>
        <w:tabs>
          <w:tab w:val="left" w:pos="720"/>
        </w:tabs>
        <w:ind w:left="1440" w:hanging="1440"/>
        <w:rPr>
          <w:rFonts w:ascii="Times New Roman" w:hAnsi="Times New Roman"/>
          <w:b/>
          <w:sz w:val="24"/>
        </w:rPr>
      </w:pPr>
    </w:p>
    <w:p w14:paraId="7B400E3D" w14:textId="4917942D" w:rsidR="00FB2398" w:rsidRPr="00453E13" w:rsidRDefault="00FB2398" w:rsidP="00FD771C">
      <w:pPr>
        <w:ind w:left="851" w:hanging="851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b/>
          <w:sz w:val="24"/>
        </w:rPr>
        <w:t>Item 1</w:t>
      </w:r>
      <w:r w:rsidRPr="00453E13">
        <w:rPr>
          <w:rFonts w:ascii="Times New Roman" w:hAnsi="Times New Roman"/>
          <w:b/>
          <w:sz w:val="24"/>
        </w:rPr>
        <w:tab/>
      </w:r>
      <w:r w:rsidR="006E6786" w:rsidRPr="00872941">
        <w:rPr>
          <w:rFonts w:ascii="Times New Roman" w:hAnsi="Times New Roman"/>
          <w:sz w:val="24"/>
        </w:rPr>
        <w:t>For</w:t>
      </w:r>
      <w:r w:rsidR="006E6786">
        <w:rPr>
          <w:rFonts w:ascii="Times New Roman" w:hAnsi="Times New Roman"/>
          <w:b/>
          <w:sz w:val="24"/>
        </w:rPr>
        <w:t xml:space="preserve"> p</w:t>
      </w:r>
      <w:r w:rsidRPr="00453E13">
        <w:rPr>
          <w:rFonts w:ascii="Times New Roman" w:hAnsi="Times New Roman"/>
          <w:b/>
          <w:sz w:val="24"/>
        </w:rPr>
        <w:t xml:space="preserve">aragraph </w:t>
      </w:r>
      <w:r w:rsidR="00BA5D03" w:rsidRPr="00453E13">
        <w:rPr>
          <w:rFonts w:ascii="Times New Roman" w:hAnsi="Times New Roman"/>
          <w:b/>
          <w:sz w:val="24"/>
        </w:rPr>
        <w:t>63.1</w:t>
      </w:r>
    </w:p>
    <w:p w14:paraId="636F2EE6" w14:textId="77777777" w:rsidR="00FB2398" w:rsidRPr="00453E13" w:rsidRDefault="00FB2398" w:rsidP="00FB2398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3B67073F" w14:textId="74353E4C" w:rsidR="00FB2398" w:rsidRPr="00453E13" w:rsidRDefault="00BA5D03" w:rsidP="00FC036D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paragraph</w:t>
      </w:r>
      <w:r w:rsidRPr="00453E13">
        <w:rPr>
          <w:rFonts w:ascii="Times New Roman" w:hAnsi="Times New Roman"/>
          <w:i/>
          <w:sz w:val="24"/>
        </w:rPr>
        <w:t xml:space="preserve">, substitute: </w:t>
      </w:r>
    </w:p>
    <w:p w14:paraId="65241EDC" w14:textId="77777777" w:rsidR="00BA5D03" w:rsidRPr="00453E13" w:rsidRDefault="00BA5D03" w:rsidP="00FC036D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</w:p>
    <w:p w14:paraId="3FC089B5" w14:textId="3BAFCB7F" w:rsidR="00BA5D03" w:rsidRPr="00453E13" w:rsidRDefault="00BA5D03" w:rsidP="00BA5D03">
      <w:pPr>
        <w:tabs>
          <w:tab w:val="left" w:pos="851"/>
        </w:tabs>
        <w:ind w:left="851" w:hanging="851"/>
        <w:rPr>
          <w:rFonts w:ascii="Times New Roman" w:hAnsi="Times New Roman"/>
          <w:i/>
          <w:sz w:val="28"/>
        </w:rPr>
      </w:pPr>
      <w:r w:rsidRPr="00453E13">
        <w:rPr>
          <w:rFonts w:ascii="Times New Roman" w:hAnsi="Times New Roman"/>
          <w:sz w:val="24"/>
        </w:rPr>
        <w:t>63.1.</w:t>
      </w:r>
      <w:r w:rsidRPr="00453E13">
        <w:rPr>
          <w:rFonts w:ascii="Times New Roman" w:hAnsi="Times New Roman"/>
          <w:sz w:val="24"/>
        </w:rPr>
        <w:tab/>
        <w:t xml:space="preserve">These Anti-Money Laundering and Counter-Terrorism Financing Rules (Rules) are made under section 229 of the </w:t>
      </w:r>
      <w:r w:rsidRPr="00453E13">
        <w:rPr>
          <w:rFonts w:ascii="Times New Roman" w:hAnsi="Times New Roman"/>
          <w:i/>
          <w:iCs/>
          <w:sz w:val="24"/>
        </w:rPr>
        <w:t xml:space="preserve">Anti-Money Laundering and Counter-Terrorism Financing Act 2006 </w:t>
      </w:r>
      <w:r w:rsidRPr="00453E13">
        <w:rPr>
          <w:rFonts w:ascii="Times New Roman" w:hAnsi="Times New Roman"/>
          <w:sz w:val="24"/>
        </w:rPr>
        <w:t>(AML/CTF Act) for the purposes of subsection 51C(4) and paragraph 51E(2)(b) of that Act.</w:t>
      </w:r>
    </w:p>
    <w:p w14:paraId="5AC2ACD6" w14:textId="77777777" w:rsidR="001A1A8D" w:rsidRPr="00453E13" w:rsidRDefault="001A1A8D" w:rsidP="001A1A8D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79E2DA7B" w14:textId="10A65954" w:rsidR="001A1A8D" w:rsidRPr="00453E13" w:rsidRDefault="001A1A8D" w:rsidP="001A1A8D">
      <w:pPr>
        <w:ind w:left="851" w:hanging="851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b/>
          <w:sz w:val="24"/>
        </w:rPr>
        <w:t>Item 2</w:t>
      </w:r>
      <w:r w:rsidRPr="00453E13">
        <w:rPr>
          <w:rFonts w:ascii="Times New Roman" w:hAnsi="Times New Roman"/>
          <w:b/>
          <w:sz w:val="24"/>
        </w:rPr>
        <w:tab/>
      </w:r>
      <w:r w:rsidR="006E6786" w:rsidRPr="00872941">
        <w:rPr>
          <w:rFonts w:ascii="Times New Roman" w:hAnsi="Times New Roman"/>
          <w:sz w:val="24"/>
        </w:rPr>
        <w:t>For</w:t>
      </w:r>
      <w:r w:rsidR="006E6786">
        <w:rPr>
          <w:rFonts w:ascii="Times New Roman" w:hAnsi="Times New Roman"/>
          <w:b/>
          <w:sz w:val="24"/>
        </w:rPr>
        <w:t xml:space="preserve"> p</w:t>
      </w:r>
      <w:r w:rsidRPr="00453E13">
        <w:rPr>
          <w:rFonts w:ascii="Times New Roman" w:hAnsi="Times New Roman"/>
          <w:b/>
          <w:sz w:val="24"/>
        </w:rPr>
        <w:t>aragraph 63.5</w:t>
      </w:r>
    </w:p>
    <w:p w14:paraId="0EE49BF2" w14:textId="77777777" w:rsidR="001A1A8D" w:rsidRPr="00453E13" w:rsidRDefault="001A1A8D" w:rsidP="001A1A8D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733F3EBF" w14:textId="5C1A92AD" w:rsidR="001A1A8D" w:rsidRPr="00453E13" w:rsidRDefault="001A1A8D" w:rsidP="001A1A8D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paragraph</w:t>
      </w:r>
      <w:r w:rsidRPr="00453E13">
        <w:rPr>
          <w:rFonts w:ascii="Times New Roman" w:hAnsi="Times New Roman"/>
          <w:i/>
          <w:sz w:val="24"/>
        </w:rPr>
        <w:t xml:space="preserve">, substitute: </w:t>
      </w:r>
    </w:p>
    <w:p w14:paraId="771D4734" w14:textId="77777777" w:rsidR="001A1A8D" w:rsidRPr="00453E13" w:rsidRDefault="001A1A8D" w:rsidP="001A1A8D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</w:p>
    <w:p w14:paraId="4ADED27A" w14:textId="77777777" w:rsidR="001A1A8D" w:rsidRPr="00453E13" w:rsidRDefault="001A1A8D" w:rsidP="001A1A8D">
      <w:pPr>
        <w:pStyle w:val="Default"/>
      </w:pPr>
      <w:r w:rsidRPr="00453E13">
        <w:t>63.5.</w:t>
      </w:r>
      <w:r w:rsidRPr="00453E13">
        <w:tab/>
        <w:t xml:space="preserve">In this Chapter: </w:t>
      </w:r>
    </w:p>
    <w:p w14:paraId="613D6B8F" w14:textId="77777777" w:rsidR="001A1A8D" w:rsidRPr="00453E13" w:rsidRDefault="001A1A8D" w:rsidP="001A1A8D">
      <w:pPr>
        <w:pStyle w:val="Default"/>
      </w:pPr>
    </w:p>
    <w:p w14:paraId="0C54339B" w14:textId="77777777" w:rsidR="001A1A8D" w:rsidRPr="00453E13" w:rsidRDefault="001A1A8D" w:rsidP="001A1A8D">
      <w:pPr>
        <w:pStyle w:val="Default"/>
        <w:ind w:left="1440" w:hanging="720"/>
      </w:pPr>
      <w:r w:rsidRPr="00453E13">
        <w:t>(1)</w:t>
      </w:r>
      <w:r w:rsidRPr="00453E13">
        <w:tab/>
        <w:t>‘ADI’ (short for authorised deposit-taking institution) has the same meaning as in the AML/CTF Act;</w:t>
      </w:r>
    </w:p>
    <w:p w14:paraId="154C6EF1" w14:textId="77777777" w:rsidR="001A1A8D" w:rsidRPr="00453E13" w:rsidRDefault="001A1A8D" w:rsidP="001A1A8D">
      <w:pPr>
        <w:pStyle w:val="Default"/>
        <w:ind w:left="720" w:hanging="720"/>
      </w:pPr>
    </w:p>
    <w:p w14:paraId="3048DEC8" w14:textId="77777777" w:rsidR="001A1A8D" w:rsidRPr="00453E13" w:rsidRDefault="001A1A8D" w:rsidP="001A1A8D">
      <w:pPr>
        <w:pStyle w:val="Default"/>
        <w:ind w:left="720"/>
      </w:pPr>
      <w:r w:rsidRPr="00453E13">
        <w:t>(2)</w:t>
      </w:r>
      <w:r w:rsidRPr="00453E13">
        <w:tab/>
        <w:t>‘</w:t>
      </w:r>
      <w:proofErr w:type="gramStart"/>
      <w:r w:rsidRPr="00453E13">
        <w:t>annual</w:t>
      </w:r>
      <w:proofErr w:type="gramEnd"/>
      <w:r w:rsidRPr="00453E13">
        <w:t xml:space="preserve"> financial statements’ means:</w:t>
      </w:r>
    </w:p>
    <w:p w14:paraId="76976037" w14:textId="77777777" w:rsidR="001A1A8D" w:rsidRPr="00453E13" w:rsidRDefault="001A1A8D" w:rsidP="001A1A8D">
      <w:pPr>
        <w:pStyle w:val="Default"/>
        <w:ind w:left="720"/>
      </w:pPr>
    </w:p>
    <w:p w14:paraId="28531BB6" w14:textId="77777777" w:rsidR="001A1A8D" w:rsidRPr="00453E13" w:rsidRDefault="001A1A8D" w:rsidP="001A1A8D">
      <w:pPr>
        <w:pStyle w:val="Default"/>
        <w:numPr>
          <w:ilvl w:val="2"/>
          <w:numId w:val="25"/>
        </w:numPr>
        <w:tabs>
          <w:tab w:val="clear" w:pos="3060"/>
          <w:tab w:val="num" w:pos="2160"/>
        </w:tabs>
        <w:ind w:left="2160"/>
      </w:pPr>
      <w:r w:rsidRPr="00453E13">
        <w:t xml:space="preserve">if the person has an obligation under Part 2M.3 of the </w:t>
      </w:r>
      <w:r w:rsidRPr="00453E13">
        <w:rPr>
          <w:i/>
        </w:rPr>
        <w:t>Corporations Act 2001</w:t>
      </w:r>
      <w:r w:rsidRPr="00453E13">
        <w:t>:</w:t>
      </w:r>
    </w:p>
    <w:p w14:paraId="175AE704" w14:textId="77777777" w:rsidR="001A1A8D" w:rsidRPr="00453E13" w:rsidRDefault="001A1A8D" w:rsidP="001A1A8D">
      <w:pPr>
        <w:pStyle w:val="Default"/>
        <w:ind w:left="1440"/>
      </w:pPr>
    </w:p>
    <w:p w14:paraId="155D4C63" w14:textId="3E541FD5" w:rsidR="001A1A8D" w:rsidRPr="00453E13" w:rsidRDefault="001A1A8D" w:rsidP="001A1A8D">
      <w:pPr>
        <w:pStyle w:val="Default"/>
        <w:numPr>
          <w:ilvl w:val="0"/>
          <w:numId w:val="26"/>
        </w:numPr>
      </w:pPr>
      <w:r w:rsidRPr="00453E13">
        <w:t>the financial report (or foreign equivalent) for the most recent financial year before the census day;</w:t>
      </w:r>
    </w:p>
    <w:p w14:paraId="374833D4" w14:textId="77777777" w:rsidR="001A1A8D" w:rsidRPr="00453E13" w:rsidRDefault="001A1A8D" w:rsidP="001A1A8D">
      <w:pPr>
        <w:pStyle w:val="Default"/>
        <w:ind w:left="2160"/>
      </w:pPr>
    </w:p>
    <w:p w14:paraId="67F918E4" w14:textId="77777777" w:rsidR="001A1A8D" w:rsidRPr="00453E13" w:rsidRDefault="001A1A8D" w:rsidP="001A1A8D">
      <w:pPr>
        <w:pStyle w:val="Default"/>
        <w:numPr>
          <w:ilvl w:val="2"/>
          <w:numId w:val="25"/>
        </w:numPr>
        <w:tabs>
          <w:tab w:val="clear" w:pos="3060"/>
          <w:tab w:val="num" w:pos="2160"/>
        </w:tabs>
        <w:ind w:left="2160"/>
      </w:pPr>
      <w:r w:rsidRPr="00453E13">
        <w:t xml:space="preserve">if the person does not have an obligation under Part 2M.3 of the </w:t>
      </w:r>
      <w:r w:rsidRPr="00453E13">
        <w:rPr>
          <w:i/>
        </w:rPr>
        <w:t>Corporations Act 2001</w:t>
      </w:r>
      <w:r w:rsidRPr="00453E13">
        <w:t>:</w:t>
      </w:r>
    </w:p>
    <w:p w14:paraId="5A3CCA9A" w14:textId="77777777" w:rsidR="001A1A8D" w:rsidRPr="00453E13" w:rsidRDefault="001A1A8D" w:rsidP="001A1A8D">
      <w:pPr>
        <w:pStyle w:val="Default"/>
        <w:ind w:left="1440"/>
      </w:pPr>
    </w:p>
    <w:p w14:paraId="693565BC" w14:textId="73F27CD8" w:rsidR="001A1A8D" w:rsidRPr="00453E13" w:rsidRDefault="001A1A8D" w:rsidP="001A1A8D">
      <w:pPr>
        <w:pStyle w:val="Default"/>
        <w:numPr>
          <w:ilvl w:val="0"/>
          <w:numId w:val="27"/>
        </w:numPr>
      </w:pPr>
      <w:r w:rsidRPr="00453E13">
        <w:t>those consolidated documents which are used to calculate the EBITDA for the most recent financial year before the census day;</w:t>
      </w:r>
    </w:p>
    <w:p w14:paraId="408CDDCD" w14:textId="77777777" w:rsidR="001A1A8D" w:rsidRPr="00453E13" w:rsidRDefault="001A1A8D" w:rsidP="001A1A8D">
      <w:pPr>
        <w:pStyle w:val="Default"/>
        <w:ind w:left="2160"/>
      </w:pPr>
    </w:p>
    <w:p w14:paraId="7725C8A7" w14:textId="77777777" w:rsidR="001A1A8D" w:rsidRPr="00453E13" w:rsidRDefault="001A1A8D" w:rsidP="001A1A8D">
      <w:pPr>
        <w:pStyle w:val="Default"/>
        <w:ind w:left="720"/>
      </w:pPr>
      <w:r w:rsidRPr="00453E13">
        <w:t>(3)</w:t>
      </w:r>
      <w:r w:rsidRPr="00453E13">
        <w:tab/>
        <w:t>‘Australian Government Entity’ means:</w:t>
      </w:r>
    </w:p>
    <w:p w14:paraId="7F8F9DEF" w14:textId="77777777" w:rsidR="001A1A8D" w:rsidRPr="00453E13" w:rsidRDefault="001A1A8D" w:rsidP="001A1A8D">
      <w:pPr>
        <w:pStyle w:val="Default"/>
        <w:ind w:left="720"/>
      </w:pPr>
    </w:p>
    <w:p w14:paraId="43AACFFC" w14:textId="77777777" w:rsidR="001A1A8D" w:rsidRPr="00453E13" w:rsidRDefault="001A1A8D" w:rsidP="001A1A8D">
      <w:pPr>
        <w:pStyle w:val="Default"/>
        <w:ind w:left="720"/>
      </w:pPr>
      <w:r w:rsidRPr="00453E13">
        <w:tab/>
        <w:t>(a)</w:t>
      </w:r>
      <w:r w:rsidRPr="00453E13">
        <w:tab/>
      </w:r>
      <w:proofErr w:type="gramStart"/>
      <w:r w:rsidRPr="00453E13">
        <w:t>the</w:t>
      </w:r>
      <w:proofErr w:type="gramEnd"/>
      <w:r w:rsidRPr="00453E13">
        <w:t xml:space="preserve"> Commonwealth, a State or a Territory; or</w:t>
      </w:r>
    </w:p>
    <w:p w14:paraId="0AF9E19F" w14:textId="77777777" w:rsidR="001A1A8D" w:rsidRPr="00453E13" w:rsidRDefault="001A1A8D" w:rsidP="001A1A8D">
      <w:pPr>
        <w:pStyle w:val="Default"/>
        <w:ind w:left="720"/>
      </w:pPr>
    </w:p>
    <w:p w14:paraId="2F5159E5" w14:textId="77777777" w:rsidR="001A1A8D" w:rsidRPr="00453E13" w:rsidRDefault="001A1A8D" w:rsidP="001A1A8D">
      <w:pPr>
        <w:pStyle w:val="Default"/>
        <w:spacing w:after="120"/>
        <w:ind w:left="720"/>
      </w:pPr>
      <w:r w:rsidRPr="00453E13">
        <w:tab/>
        <w:t>(b)</w:t>
      </w:r>
      <w:r w:rsidRPr="00453E13">
        <w:tab/>
      </w:r>
      <w:proofErr w:type="gramStart"/>
      <w:r w:rsidRPr="00453E13">
        <w:t>an</w:t>
      </w:r>
      <w:proofErr w:type="gramEnd"/>
      <w:r w:rsidRPr="00453E13">
        <w:t xml:space="preserve"> agency or authority of:</w:t>
      </w:r>
    </w:p>
    <w:p w14:paraId="5EF26475" w14:textId="77777777" w:rsidR="001A1A8D" w:rsidRPr="00453E13" w:rsidRDefault="001A1A8D" w:rsidP="001A1A8D">
      <w:pPr>
        <w:pStyle w:val="Default"/>
        <w:spacing w:before="240" w:after="120"/>
        <w:ind w:left="720"/>
      </w:pPr>
      <w:r w:rsidRPr="00453E13">
        <w:tab/>
      </w:r>
      <w:r w:rsidRPr="00453E13">
        <w:tab/>
        <w:t>(</w:t>
      </w:r>
      <w:proofErr w:type="spellStart"/>
      <w:r w:rsidRPr="00453E13">
        <w:t>i</w:t>
      </w:r>
      <w:proofErr w:type="spellEnd"/>
      <w:r w:rsidRPr="00453E13">
        <w:t>)</w:t>
      </w:r>
      <w:r w:rsidRPr="00453E13">
        <w:tab/>
      </w:r>
      <w:proofErr w:type="gramStart"/>
      <w:r w:rsidRPr="00453E13">
        <w:t>the</w:t>
      </w:r>
      <w:proofErr w:type="gramEnd"/>
      <w:r w:rsidRPr="00453E13">
        <w:t xml:space="preserve"> Commonwealth; or</w:t>
      </w:r>
    </w:p>
    <w:p w14:paraId="1404B42C" w14:textId="6129EF2B" w:rsidR="001A1A8D" w:rsidRPr="00453E13" w:rsidRDefault="000F0B19" w:rsidP="001A1A8D">
      <w:pPr>
        <w:pStyle w:val="Default"/>
        <w:spacing w:before="120" w:after="120"/>
        <w:ind w:left="720"/>
      </w:pPr>
      <w:r w:rsidRPr="00453E13">
        <w:tab/>
      </w:r>
      <w:r w:rsidRPr="00453E13">
        <w:tab/>
        <w:t>(ii)</w:t>
      </w:r>
      <w:r w:rsidRPr="00453E13">
        <w:tab/>
      </w:r>
      <w:proofErr w:type="gramStart"/>
      <w:r w:rsidRPr="00453E13">
        <w:t>a</w:t>
      </w:r>
      <w:proofErr w:type="gramEnd"/>
      <w:r w:rsidRPr="00453E13">
        <w:t xml:space="preserve"> State;</w:t>
      </w:r>
      <w:r w:rsidR="001A1A8D" w:rsidRPr="00453E13">
        <w:t xml:space="preserve"> or</w:t>
      </w:r>
    </w:p>
    <w:p w14:paraId="1380C365" w14:textId="77777777" w:rsidR="001A1A8D" w:rsidRPr="00453E13" w:rsidRDefault="001A1A8D" w:rsidP="001A1A8D">
      <w:pPr>
        <w:pStyle w:val="Default"/>
        <w:spacing w:before="120" w:after="120"/>
        <w:ind w:left="720"/>
      </w:pPr>
      <w:r w:rsidRPr="00453E13">
        <w:tab/>
      </w:r>
      <w:r w:rsidRPr="00453E13">
        <w:tab/>
        <w:t>(iii)</w:t>
      </w:r>
      <w:r w:rsidRPr="00453E13">
        <w:tab/>
      </w:r>
      <w:proofErr w:type="gramStart"/>
      <w:r w:rsidRPr="00453E13">
        <w:t>a</w:t>
      </w:r>
      <w:proofErr w:type="gramEnd"/>
      <w:r w:rsidRPr="00453E13">
        <w:t xml:space="preserve"> Territory; or</w:t>
      </w:r>
    </w:p>
    <w:p w14:paraId="4DD4B123" w14:textId="77777777" w:rsidR="001A1A8D" w:rsidRPr="00453E13" w:rsidRDefault="001A1A8D" w:rsidP="001A1A8D">
      <w:pPr>
        <w:pStyle w:val="Default"/>
        <w:ind w:left="720"/>
      </w:pPr>
    </w:p>
    <w:p w14:paraId="739C7570" w14:textId="77777777" w:rsidR="001A1A8D" w:rsidRPr="00453E13" w:rsidRDefault="001A1A8D" w:rsidP="001A1A8D">
      <w:pPr>
        <w:pStyle w:val="Default"/>
        <w:ind w:left="2160" w:hanging="720"/>
      </w:pPr>
      <w:r w:rsidRPr="00453E13">
        <w:lastRenderedPageBreak/>
        <w:t>(c)</w:t>
      </w:r>
      <w:r w:rsidRPr="00453E13">
        <w:tab/>
        <w:t>a local governing body established by or under a law of the Commonwealth, a State or Territory, other than a body whose sole or principal function is to provide a particular service, such as the supply of electricity or water;</w:t>
      </w:r>
    </w:p>
    <w:p w14:paraId="54522ED7" w14:textId="77777777" w:rsidR="001A1A8D" w:rsidRPr="00453E13" w:rsidRDefault="001A1A8D" w:rsidP="001A1A8D">
      <w:pPr>
        <w:pStyle w:val="Default"/>
        <w:ind w:left="720"/>
      </w:pPr>
    </w:p>
    <w:p w14:paraId="6FDBD02F" w14:textId="77777777" w:rsidR="001A1A8D" w:rsidRPr="00453E13" w:rsidRDefault="001A1A8D" w:rsidP="001A1A8D">
      <w:pPr>
        <w:pStyle w:val="Default"/>
        <w:ind w:left="720"/>
      </w:pPr>
      <w:r w:rsidRPr="00453E13">
        <w:t>(4)</w:t>
      </w:r>
      <w:r w:rsidRPr="00453E13">
        <w:tab/>
        <w:t>‘</w:t>
      </w:r>
      <w:proofErr w:type="gramStart"/>
      <w:r w:rsidRPr="00453E13">
        <w:t>authorised</w:t>
      </w:r>
      <w:proofErr w:type="gramEnd"/>
      <w:r w:rsidRPr="00453E13">
        <w:t xml:space="preserve"> individual’ means a natural person who is:</w:t>
      </w:r>
    </w:p>
    <w:p w14:paraId="5ECE925C" w14:textId="77777777" w:rsidR="001A1A8D" w:rsidRPr="00453E13" w:rsidRDefault="001A1A8D" w:rsidP="001A1A8D">
      <w:pPr>
        <w:pStyle w:val="Default"/>
        <w:ind w:left="720"/>
      </w:pPr>
    </w:p>
    <w:p w14:paraId="35D1B3DB" w14:textId="77777777" w:rsidR="001A1A8D" w:rsidRPr="00453E13" w:rsidRDefault="001A1A8D" w:rsidP="001A1A8D">
      <w:pPr>
        <w:pStyle w:val="Default"/>
        <w:tabs>
          <w:tab w:val="left" w:pos="2160"/>
        </w:tabs>
        <w:ind w:left="1440"/>
      </w:pPr>
      <w:r w:rsidRPr="00453E13">
        <w:t>(a)</w:t>
      </w:r>
      <w:r w:rsidRPr="00453E13">
        <w:tab/>
      </w:r>
      <w:proofErr w:type="gramStart"/>
      <w:r w:rsidRPr="00453E13">
        <w:t>a</w:t>
      </w:r>
      <w:proofErr w:type="gramEnd"/>
      <w:r w:rsidRPr="00453E13">
        <w:t xml:space="preserve"> beneficial owner; </w:t>
      </w:r>
    </w:p>
    <w:p w14:paraId="48EDA9A1" w14:textId="77777777" w:rsidR="001A1A8D" w:rsidRPr="00453E13" w:rsidRDefault="001A1A8D" w:rsidP="001A1A8D">
      <w:pPr>
        <w:pStyle w:val="Default"/>
        <w:tabs>
          <w:tab w:val="left" w:pos="2160"/>
        </w:tabs>
        <w:ind w:left="1440"/>
      </w:pPr>
    </w:p>
    <w:p w14:paraId="609173DB" w14:textId="77777777" w:rsidR="001A1A8D" w:rsidRPr="00453E13" w:rsidRDefault="001A1A8D" w:rsidP="001A1A8D">
      <w:pPr>
        <w:pStyle w:val="Default"/>
        <w:tabs>
          <w:tab w:val="left" w:pos="2160"/>
        </w:tabs>
        <w:ind w:left="1440"/>
      </w:pPr>
      <w:r w:rsidRPr="00453E13">
        <w:t>(b)</w:t>
      </w:r>
      <w:r w:rsidRPr="00453E13">
        <w:tab/>
      </w:r>
      <w:proofErr w:type="gramStart"/>
      <w:r w:rsidRPr="00453E13">
        <w:t>an</w:t>
      </w:r>
      <w:proofErr w:type="gramEnd"/>
      <w:r w:rsidRPr="00453E13">
        <w:t xml:space="preserve"> officer as defined in section 9 of the </w:t>
      </w:r>
      <w:r w:rsidRPr="00453E13">
        <w:rPr>
          <w:i/>
        </w:rPr>
        <w:t>Corporations Act 2001</w:t>
      </w:r>
      <w:r w:rsidRPr="00453E13">
        <w:t>;</w:t>
      </w:r>
    </w:p>
    <w:p w14:paraId="471687C1" w14:textId="77777777" w:rsidR="001A1A8D" w:rsidRPr="00453E13" w:rsidRDefault="001A1A8D" w:rsidP="001A1A8D">
      <w:pPr>
        <w:pStyle w:val="Default"/>
        <w:tabs>
          <w:tab w:val="left" w:pos="2160"/>
        </w:tabs>
      </w:pPr>
    </w:p>
    <w:p w14:paraId="4662BFDE" w14:textId="77777777" w:rsidR="001A1A8D" w:rsidRPr="00453E13" w:rsidRDefault="001A1A8D" w:rsidP="001A1A8D">
      <w:pPr>
        <w:pStyle w:val="Default"/>
        <w:numPr>
          <w:ilvl w:val="2"/>
          <w:numId w:val="25"/>
        </w:numPr>
        <w:tabs>
          <w:tab w:val="clear" w:pos="3060"/>
          <w:tab w:val="num" w:pos="1440"/>
          <w:tab w:val="left" w:pos="2160"/>
        </w:tabs>
        <w:ind w:left="2160"/>
      </w:pPr>
      <w:r w:rsidRPr="00453E13">
        <w:t xml:space="preserve">an agent of the person; </w:t>
      </w:r>
    </w:p>
    <w:p w14:paraId="55678FCC" w14:textId="77777777" w:rsidR="001A1A8D" w:rsidRPr="00453E13" w:rsidRDefault="001A1A8D" w:rsidP="001A1A8D">
      <w:pPr>
        <w:pStyle w:val="Default"/>
        <w:tabs>
          <w:tab w:val="left" w:pos="2160"/>
        </w:tabs>
      </w:pPr>
    </w:p>
    <w:p w14:paraId="01047163" w14:textId="5CE69791" w:rsidR="001A1A8D" w:rsidRPr="00453E13" w:rsidRDefault="001A1A8D" w:rsidP="001A1A8D">
      <w:pPr>
        <w:pStyle w:val="Default"/>
        <w:tabs>
          <w:tab w:val="left" w:pos="2160"/>
        </w:tabs>
        <w:ind w:left="2160" w:hanging="720"/>
      </w:pPr>
      <w:r w:rsidRPr="00453E13">
        <w:t>(d)</w:t>
      </w:r>
      <w:r w:rsidRPr="00453E13">
        <w:tab/>
        <w:t xml:space="preserve">a nominee pursuant to subsection 8(2) of the </w:t>
      </w:r>
      <w:r w:rsidRPr="00453E13">
        <w:rPr>
          <w:i/>
        </w:rPr>
        <w:t>Australian Transaction Reports and Analysis Centre Industry Contribution</w:t>
      </w:r>
      <w:r w:rsidRPr="00453E13">
        <w:rPr>
          <w:b/>
          <w:i/>
        </w:rPr>
        <w:t xml:space="preserve"> </w:t>
      </w:r>
      <w:r w:rsidRPr="00453E13">
        <w:rPr>
          <w:i/>
        </w:rPr>
        <w:t>(Collection) Act 2011</w:t>
      </w:r>
      <w:r w:rsidRPr="00453E13">
        <w:t xml:space="preserve"> who has been authorised in writing by the person to act on their behalf as a nominee; or</w:t>
      </w:r>
    </w:p>
    <w:p w14:paraId="227E8223" w14:textId="77777777" w:rsidR="001A1A8D" w:rsidRPr="00453E13" w:rsidRDefault="001A1A8D" w:rsidP="001A1A8D">
      <w:pPr>
        <w:pStyle w:val="Default"/>
        <w:tabs>
          <w:tab w:val="left" w:pos="1440"/>
        </w:tabs>
        <w:ind w:left="1440"/>
      </w:pPr>
    </w:p>
    <w:p w14:paraId="6A5341C5" w14:textId="77777777" w:rsidR="001A1A8D" w:rsidRPr="00453E13" w:rsidRDefault="001A1A8D" w:rsidP="001A1A8D">
      <w:pPr>
        <w:pStyle w:val="Default"/>
        <w:tabs>
          <w:tab w:val="left" w:pos="2127"/>
        </w:tabs>
        <w:ind w:left="2127" w:hanging="709"/>
      </w:pPr>
      <w:r w:rsidRPr="00453E13">
        <w:t>(e)</w:t>
      </w:r>
      <w:r w:rsidRPr="00453E13">
        <w:tab/>
      </w:r>
      <w:proofErr w:type="gramStart"/>
      <w:r w:rsidRPr="00453E13">
        <w:t>an</w:t>
      </w:r>
      <w:proofErr w:type="gramEnd"/>
      <w:r w:rsidRPr="00453E13">
        <w:t xml:space="preserve"> employee of the person who has been authorised in writing by the person to act on their behalf;</w:t>
      </w:r>
    </w:p>
    <w:p w14:paraId="170F0BBB" w14:textId="77777777" w:rsidR="001A1A8D" w:rsidRPr="00453E13" w:rsidRDefault="001A1A8D" w:rsidP="001A1A8D">
      <w:pPr>
        <w:pStyle w:val="Default"/>
        <w:tabs>
          <w:tab w:val="left" w:pos="1440"/>
        </w:tabs>
        <w:ind w:left="1440"/>
      </w:pPr>
    </w:p>
    <w:p w14:paraId="3741C90B" w14:textId="77777777" w:rsidR="001A1A8D" w:rsidRPr="00453E13" w:rsidRDefault="001A1A8D" w:rsidP="001A1A8D">
      <w:pPr>
        <w:pStyle w:val="Default"/>
        <w:tabs>
          <w:tab w:val="left" w:pos="1440"/>
        </w:tabs>
        <w:ind w:left="1440" w:hanging="720"/>
      </w:pPr>
      <w:r w:rsidRPr="00453E13">
        <w:t>(5)</w:t>
      </w:r>
      <w:r w:rsidRPr="00453E13">
        <w:tab/>
        <w:t>‘</w:t>
      </w:r>
      <w:proofErr w:type="gramStart"/>
      <w:r w:rsidRPr="00453E13">
        <w:t>beneficial</w:t>
      </w:r>
      <w:proofErr w:type="gramEnd"/>
      <w:r w:rsidRPr="00453E13">
        <w:t xml:space="preserve"> owner’ has the same meaning as in Chapter 1 of these AML/CTF Rules;</w:t>
      </w:r>
    </w:p>
    <w:p w14:paraId="71CA891A" w14:textId="77777777" w:rsidR="001A1A8D" w:rsidRPr="00453E13" w:rsidRDefault="001A1A8D" w:rsidP="001A1A8D">
      <w:pPr>
        <w:pStyle w:val="Default"/>
        <w:tabs>
          <w:tab w:val="left" w:pos="1440"/>
        </w:tabs>
        <w:ind w:left="1440"/>
      </w:pPr>
    </w:p>
    <w:p w14:paraId="01FAB00C" w14:textId="77777777" w:rsidR="001A1A8D" w:rsidRPr="00453E13" w:rsidRDefault="001A1A8D" w:rsidP="001A1A8D">
      <w:pPr>
        <w:pStyle w:val="Default"/>
        <w:ind w:left="720"/>
      </w:pPr>
      <w:r w:rsidRPr="00453E13">
        <w:t>(6)</w:t>
      </w:r>
      <w:r w:rsidRPr="00453E13">
        <w:tab/>
        <w:t>‘</w:t>
      </w:r>
      <w:proofErr w:type="gramStart"/>
      <w:r w:rsidRPr="00453E13">
        <w:t>company</w:t>
      </w:r>
      <w:proofErr w:type="gramEnd"/>
      <w:r w:rsidRPr="00453E13">
        <w:t xml:space="preserve">’ has the same meaning as in the </w:t>
      </w:r>
      <w:r w:rsidRPr="00453E13">
        <w:rPr>
          <w:i/>
        </w:rPr>
        <w:t>Corporations Act 2001</w:t>
      </w:r>
      <w:r w:rsidRPr="00453E13">
        <w:t xml:space="preserve">; </w:t>
      </w:r>
    </w:p>
    <w:p w14:paraId="09406ABE" w14:textId="77777777" w:rsidR="001A1A8D" w:rsidRPr="00453E13" w:rsidRDefault="001A1A8D" w:rsidP="001A1A8D">
      <w:pPr>
        <w:pStyle w:val="Default"/>
        <w:ind w:left="720"/>
      </w:pPr>
    </w:p>
    <w:p w14:paraId="074BBF37" w14:textId="77777777" w:rsidR="001A1A8D" w:rsidRPr="00453E13" w:rsidRDefault="001A1A8D" w:rsidP="001A1A8D">
      <w:pPr>
        <w:pStyle w:val="Default"/>
        <w:ind w:left="1440" w:hanging="720"/>
      </w:pPr>
      <w:r w:rsidRPr="00453E13">
        <w:t>(7)</w:t>
      </w:r>
      <w:r w:rsidRPr="00453E13">
        <w:tab/>
        <w:t>‘</w:t>
      </w:r>
      <w:proofErr w:type="gramStart"/>
      <w:r w:rsidRPr="00453E13">
        <w:t>consolidated</w:t>
      </w:r>
      <w:proofErr w:type="gramEnd"/>
      <w:r w:rsidRPr="00453E13">
        <w:t xml:space="preserve"> documents’ means those documents which contain financial information relating to the calculation of earnings;</w:t>
      </w:r>
    </w:p>
    <w:p w14:paraId="7FF35052" w14:textId="77777777" w:rsidR="001A1A8D" w:rsidRPr="00453E13" w:rsidRDefault="001A1A8D" w:rsidP="001A1A8D">
      <w:pPr>
        <w:pStyle w:val="PlainParagraph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53E13">
        <w:rPr>
          <w:rFonts w:ascii="Times New Roman" w:hAnsi="Times New Roman" w:cs="Times New Roman"/>
          <w:sz w:val="24"/>
          <w:szCs w:val="24"/>
        </w:rPr>
        <w:t>(8)</w:t>
      </w:r>
      <w:r w:rsidRPr="00453E13">
        <w:rPr>
          <w:rFonts w:ascii="Times New Roman" w:hAnsi="Times New Roman" w:cs="Times New Roman"/>
          <w:sz w:val="24"/>
          <w:szCs w:val="24"/>
        </w:rPr>
        <w:tab/>
        <w:t>‘</w:t>
      </w:r>
      <w:proofErr w:type="gramStart"/>
      <w:r w:rsidRPr="00453E13">
        <w:rPr>
          <w:rFonts w:ascii="Times New Roman" w:hAnsi="Times New Roman" w:cs="Times New Roman"/>
          <w:sz w:val="24"/>
          <w:szCs w:val="24"/>
        </w:rPr>
        <w:t>earnings</w:t>
      </w:r>
      <w:proofErr w:type="gramEnd"/>
      <w:r w:rsidRPr="00453E13">
        <w:rPr>
          <w:rFonts w:ascii="Times New Roman" w:hAnsi="Times New Roman" w:cs="Times New Roman"/>
          <w:sz w:val="24"/>
          <w:szCs w:val="24"/>
        </w:rPr>
        <w:t xml:space="preserve">’, in relation to a </w:t>
      </w:r>
      <w:proofErr w:type="spellStart"/>
      <w:r w:rsidRPr="00453E13">
        <w:rPr>
          <w:rFonts w:ascii="Times New Roman" w:hAnsi="Times New Roman" w:cs="Times New Roman"/>
          <w:sz w:val="24"/>
          <w:szCs w:val="24"/>
        </w:rPr>
        <w:t>leviable</w:t>
      </w:r>
      <w:proofErr w:type="spellEnd"/>
      <w:r w:rsidRPr="00453E13">
        <w:rPr>
          <w:rFonts w:ascii="Times New Roman" w:hAnsi="Times New Roman" w:cs="Times New Roman"/>
          <w:sz w:val="24"/>
          <w:szCs w:val="24"/>
        </w:rPr>
        <w:t xml:space="preserve"> entity, means: </w:t>
      </w:r>
    </w:p>
    <w:p w14:paraId="1BFAA902" w14:textId="710A62CB" w:rsidR="001A1A8D" w:rsidRPr="00453E13" w:rsidRDefault="001A1A8D" w:rsidP="001A1A8D">
      <w:pPr>
        <w:pStyle w:val="PlainParagraph"/>
        <w:ind w:left="2160" w:hanging="630"/>
        <w:rPr>
          <w:rFonts w:ascii="Times New Roman" w:hAnsi="Times New Roman" w:cs="Times New Roman"/>
          <w:sz w:val="24"/>
          <w:szCs w:val="24"/>
        </w:rPr>
      </w:pPr>
      <w:r w:rsidRPr="00453E13">
        <w:rPr>
          <w:rFonts w:ascii="Times New Roman" w:hAnsi="Times New Roman" w:cs="Times New Roman"/>
          <w:sz w:val="24"/>
          <w:szCs w:val="24"/>
        </w:rPr>
        <w:t>(a)</w:t>
      </w:r>
      <w:r w:rsidRPr="00453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53E1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453E1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53E13">
        <w:rPr>
          <w:rFonts w:ascii="Times New Roman" w:hAnsi="Times New Roman" w:cs="Times New Roman"/>
          <w:sz w:val="24"/>
          <w:szCs w:val="24"/>
        </w:rPr>
        <w:t>leviable</w:t>
      </w:r>
      <w:proofErr w:type="spellEnd"/>
      <w:r w:rsidRPr="00453E13">
        <w:rPr>
          <w:rFonts w:ascii="Times New Roman" w:hAnsi="Times New Roman" w:cs="Times New Roman"/>
          <w:sz w:val="24"/>
          <w:szCs w:val="24"/>
        </w:rPr>
        <w:t xml:space="preserve"> entity is an ADI or a registered financial corporation – the total profit before tax, depreciation and amortisation (PBTDA), not adjusted for significant items; or</w:t>
      </w:r>
    </w:p>
    <w:p w14:paraId="7A327A67" w14:textId="6B30C522" w:rsidR="001A1A8D" w:rsidRPr="00453E13" w:rsidRDefault="001A1A8D" w:rsidP="001A1A8D">
      <w:pPr>
        <w:pStyle w:val="PlainParagraph"/>
        <w:ind w:left="2160" w:hanging="630"/>
        <w:rPr>
          <w:rFonts w:ascii="Times New Roman" w:hAnsi="Times New Roman" w:cs="Times New Roman"/>
          <w:sz w:val="24"/>
          <w:szCs w:val="24"/>
        </w:rPr>
      </w:pPr>
      <w:r w:rsidRPr="00453E13">
        <w:rPr>
          <w:rFonts w:ascii="Times New Roman" w:hAnsi="Times New Roman" w:cs="Times New Roman"/>
          <w:sz w:val="24"/>
          <w:szCs w:val="24"/>
        </w:rPr>
        <w:t>(b)</w:t>
      </w:r>
      <w:r w:rsidRPr="00453E13">
        <w:rPr>
          <w:rFonts w:ascii="Times New Roman" w:hAnsi="Times New Roman" w:cs="Times New Roman"/>
          <w:sz w:val="24"/>
          <w:szCs w:val="24"/>
        </w:rPr>
        <w:tab/>
        <w:t xml:space="preserve">if the </w:t>
      </w:r>
      <w:proofErr w:type="spellStart"/>
      <w:r w:rsidRPr="00453E13">
        <w:rPr>
          <w:rFonts w:ascii="Times New Roman" w:hAnsi="Times New Roman" w:cs="Times New Roman"/>
          <w:sz w:val="24"/>
          <w:szCs w:val="24"/>
        </w:rPr>
        <w:t>leviable</w:t>
      </w:r>
      <w:proofErr w:type="spellEnd"/>
      <w:r w:rsidRPr="00453E13">
        <w:rPr>
          <w:rFonts w:ascii="Times New Roman" w:hAnsi="Times New Roman" w:cs="Times New Roman"/>
          <w:sz w:val="24"/>
          <w:szCs w:val="24"/>
        </w:rPr>
        <w:t xml:space="preserve"> entity is a member of a group of </w:t>
      </w:r>
      <w:proofErr w:type="spellStart"/>
      <w:r w:rsidRPr="00453E13">
        <w:rPr>
          <w:rFonts w:ascii="Times New Roman" w:hAnsi="Times New Roman" w:cs="Times New Roman"/>
          <w:sz w:val="24"/>
          <w:szCs w:val="24"/>
        </w:rPr>
        <w:t>leviable</w:t>
      </w:r>
      <w:proofErr w:type="spellEnd"/>
      <w:r w:rsidRPr="00453E13">
        <w:rPr>
          <w:rFonts w:ascii="Times New Roman" w:hAnsi="Times New Roman" w:cs="Times New Roman"/>
          <w:sz w:val="24"/>
          <w:szCs w:val="24"/>
        </w:rPr>
        <w:t xml:space="preserve"> entities and any member of that group is an ADI or a registered financial corporati</w:t>
      </w:r>
      <w:r w:rsidR="00FD17A2" w:rsidRPr="00453E13">
        <w:rPr>
          <w:rFonts w:ascii="Times New Roman" w:hAnsi="Times New Roman" w:cs="Times New Roman"/>
          <w:sz w:val="24"/>
          <w:szCs w:val="24"/>
        </w:rPr>
        <w:t>on – PBTDA,</w:t>
      </w:r>
      <w:r w:rsidRPr="00453E13">
        <w:rPr>
          <w:rFonts w:ascii="Times New Roman" w:hAnsi="Times New Roman" w:cs="Times New Roman"/>
          <w:sz w:val="24"/>
          <w:szCs w:val="24"/>
        </w:rPr>
        <w:t xml:space="preserve"> not adjusted for significant items; or</w:t>
      </w:r>
    </w:p>
    <w:p w14:paraId="7D8EC8F6" w14:textId="1F1538C5" w:rsidR="001A1A8D" w:rsidRPr="00453E13" w:rsidRDefault="001A1A8D" w:rsidP="001A1A8D">
      <w:pPr>
        <w:pStyle w:val="PlainParagraph"/>
        <w:ind w:left="2160" w:hanging="630"/>
        <w:rPr>
          <w:rFonts w:ascii="Times New Roman" w:hAnsi="Times New Roman" w:cs="Times New Roman"/>
          <w:sz w:val="24"/>
          <w:szCs w:val="24"/>
        </w:rPr>
      </w:pPr>
      <w:r w:rsidRPr="00453E13">
        <w:rPr>
          <w:rFonts w:ascii="Times New Roman" w:hAnsi="Times New Roman" w:cs="Times New Roman"/>
          <w:sz w:val="24"/>
          <w:szCs w:val="24"/>
        </w:rPr>
        <w:t>(c)</w:t>
      </w:r>
      <w:r w:rsidRPr="00453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53E1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53E13">
        <w:rPr>
          <w:rFonts w:ascii="Times New Roman" w:hAnsi="Times New Roman" w:cs="Times New Roman"/>
          <w:sz w:val="24"/>
          <w:szCs w:val="24"/>
        </w:rPr>
        <w:t xml:space="preserve"> any other case – the total earnings before tax, interest, depreciation and amortisation (EBITDA)</w:t>
      </w:r>
      <w:r w:rsidR="00FD17A2" w:rsidRPr="00453E13">
        <w:rPr>
          <w:rFonts w:ascii="Times New Roman" w:hAnsi="Times New Roman" w:cs="Times New Roman"/>
          <w:sz w:val="24"/>
          <w:szCs w:val="24"/>
        </w:rPr>
        <w:t>,</w:t>
      </w:r>
      <w:r w:rsidRPr="00453E13">
        <w:rPr>
          <w:rFonts w:ascii="Times New Roman" w:hAnsi="Times New Roman" w:cs="Times New Roman"/>
          <w:sz w:val="24"/>
          <w:szCs w:val="24"/>
        </w:rPr>
        <w:t xml:space="preserve"> not adjusted for significant items;</w:t>
      </w:r>
    </w:p>
    <w:p w14:paraId="69C075D5" w14:textId="3E28328C" w:rsidR="001A1A8D" w:rsidRPr="00453E13" w:rsidRDefault="001A1A8D" w:rsidP="001A1A8D">
      <w:pPr>
        <w:pStyle w:val="PlainParagraph"/>
        <w:ind w:left="1560"/>
        <w:rPr>
          <w:rFonts w:ascii="Times New Roman" w:hAnsi="Times New Roman" w:cs="Times New Roman"/>
          <w:sz w:val="24"/>
          <w:szCs w:val="24"/>
        </w:rPr>
      </w:pPr>
      <w:r w:rsidRPr="00453E13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Pr="00453E13">
        <w:rPr>
          <w:rFonts w:ascii="Times New Roman" w:hAnsi="Times New Roman" w:cs="Times New Roman"/>
          <w:sz w:val="24"/>
          <w:szCs w:val="24"/>
        </w:rPr>
        <w:t>leviable</w:t>
      </w:r>
      <w:proofErr w:type="spellEnd"/>
      <w:r w:rsidRPr="00453E13">
        <w:rPr>
          <w:rFonts w:ascii="Times New Roman" w:hAnsi="Times New Roman" w:cs="Times New Roman"/>
          <w:sz w:val="24"/>
          <w:szCs w:val="24"/>
        </w:rPr>
        <w:t xml:space="preserve"> entity, for a year ending in the previous financial year, the details of which have been recorded in accordance with the requirements for the roll maintained by the AUSTRAC CEO under</w:t>
      </w:r>
      <w:r w:rsidR="000F0B19" w:rsidRPr="00453E13">
        <w:rPr>
          <w:rFonts w:ascii="Times New Roman" w:hAnsi="Times New Roman" w:cs="Times New Roman"/>
          <w:sz w:val="24"/>
          <w:szCs w:val="24"/>
        </w:rPr>
        <w:t xml:space="preserve"> section 51C of the AML/CTF Act;</w:t>
      </w:r>
    </w:p>
    <w:p w14:paraId="17755EF2" w14:textId="15F5598B" w:rsidR="001A1A8D" w:rsidRPr="00453E13" w:rsidRDefault="001A1A8D" w:rsidP="000F0B19">
      <w:pPr>
        <w:pStyle w:val="PlainParagraph"/>
        <w:ind w:left="2127" w:hanging="567"/>
        <w:rPr>
          <w:rFonts w:ascii="Times New Roman" w:hAnsi="Times New Roman" w:cs="Times New Roman"/>
          <w:i/>
          <w:sz w:val="24"/>
          <w:szCs w:val="24"/>
        </w:rPr>
      </w:pPr>
      <w:r w:rsidRPr="00453E13">
        <w:rPr>
          <w:rFonts w:ascii="Times New Roman" w:hAnsi="Times New Roman" w:cs="Times New Roman"/>
          <w:i/>
          <w:sz w:val="24"/>
          <w:szCs w:val="24"/>
        </w:rPr>
        <w:t>Note:</w:t>
      </w:r>
      <w:r w:rsidRPr="00453E13">
        <w:rPr>
          <w:rFonts w:ascii="Times New Roman" w:hAnsi="Times New Roman" w:cs="Times New Roman"/>
          <w:i/>
          <w:sz w:val="24"/>
          <w:szCs w:val="24"/>
        </w:rPr>
        <w:tab/>
        <w:t xml:space="preserve">The above definition recognises that </w:t>
      </w:r>
      <w:proofErr w:type="spellStart"/>
      <w:r w:rsidRPr="00453E13">
        <w:rPr>
          <w:rFonts w:ascii="Times New Roman" w:hAnsi="Times New Roman" w:cs="Times New Roman"/>
          <w:i/>
          <w:sz w:val="24"/>
          <w:szCs w:val="24"/>
        </w:rPr>
        <w:t>leviable</w:t>
      </w:r>
      <w:proofErr w:type="spellEnd"/>
      <w:r w:rsidRPr="00453E13">
        <w:rPr>
          <w:rFonts w:ascii="Times New Roman" w:hAnsi="Times New Roman" w:cs="Times New Roman"/>
          <w:i/>
          <w:sz w:val="24"/>
          <w:szCs w:val="24"/>
        </w:rPr>
        <w:t xml:space="preserve"> entities may have annual accounting periods that end on </w:t>
      </w:r>
      <w:r w:rsidR="00FD17A2" w:rsidRPr="00453E13">
        <w:rPr>
          <w:rFonts w:ascii="Times New Roman" w:hAnsi="Times New Roman" w:cs="Times New Roman"/>
          <w:i/>
          <w:sz w:val="24"/>
          <w:szCs w:val="24"/>
        </w:rPr>
        <w:t>a date other than 30 </w:t>
      </w:r>
      <w:r w:rsidRPr="00453E13">
        <w:rPr>
          <w:rFonts w:ascii="Times New Roman" w:hAnsi="Times New Roman" w:cs="Times New Roman"/>
          <w:i/>
          <w:sz w:val="24"/>
          <w:szCs w:val="24"/>
        </w:rPr>
        <w:t>June in any year.</w:t>
      </w:r>
    </w:p>
    <w:p w14:paraId="0CC83957" w14:textId="77777777" w:rsidR="001A1A8D" w:rsidRPr="00453E13" w:rsidRDefault="001A1A8D" w:rsidP="001A1A8D">
      <w:pPr>
        <w:pStyle w:val="Default"/>
        <w:ind w:left="1440" w:hanging="720"/>
        <w:rPr>
          <w:i/>
        </w:rPr>
      </w:pPr>
      <w:r w:rsidRPr="00453E13">
        <w:lastRenderedPageBreak/>
        <w:t>(9)</w:t>
      </w:r>
      <w:r w:rsidRPr="00453E13">
        <w:tab/>
        <w:t>‘</w:t>
      </w:r>
      <w:proofErr w:type="gramStart"/>
      <w:r w:rsidRPr="00453E13">
        <w:t>financial</w:t>
      </w:r>
      <w:proofErr w:type="gramEnd"/>
      <w:r w:rsidRPr="00453E13">
        <w:t xml:space="preserve"> report’ has the same meaning as in section 9 of the </w:t>
      </w:r>
      <w:r w:rsidRPr="00453E13">
        <w:rPr>
          <w:i/>
        </w:rPr>
        <w:t>Corporations Act 2001;</w:t>
      </w:r>
    </w:p>
    <w:p w14:paraId="784C86C2" w14:textId="77777777" w:rsidR="001A1A8D" w:rsidRPr="00453E13" w:rsidRDefault="001A1A8D" w:rsidP="001A1A8D">
      <w:pPr>
        <w:pStyle w:val="Default"/>
        <w:ind w:left="720"/>
        <w:rPr>
          <w:color w:val="auto"/>
        </w:rPr>
      </w:pPr>
    </w:p>
    <w:p w14:paraId="2ADABD9C" w14:textId="367CFF35" w:rsidR="001A1A8D" w:rsidRPr="00453E13" w:rsidRDefault="001A1A8D" w:rsidP="001A1A8D">
      <w:pPr>
        <w:pStyle w:val="Default"/>
        <w:ind w:left="1440" w:hanging="720"/>
        <w:rPr>
          <w:b/>
        </w:rPr>
      </w:pPr>
      <w:r w:rsidRPr="00453E13">
        <w:t>(10)</w:t>
      </w:r>
      <w:r w:rsidRPr="00453E13">
        <w:tab/>
        <w:t>‘</w:t>
      </w:r>
      <w:proofErr w:type="gramStart"/>
      <w:r w:rsidRPr="00453E13">
        <w:t>foreign</w:t>
      </w:r>
      <w:proofErr w:type="gramEnd"/>
      <w:r w:rsidRPr="00453E13">
        <w:t xml:space="preserve"> company’</w:t>
      </w:r>
      <w:r w:rsidRPr="00453E13">
        <w:rPr>
          <w:b/>
        </w:rPr>
        <w:t xml:space="preserve"> </w:t>
      </w:r>
      <w:r w:rsidRPr="00453E13">
        <w:t xml:space="preserve">has the same meaning as in the </w:t>
      </w:r>
      <w:r w:rsidRPr="00453E13">
        <w:rPr>
          <w:i/>
        </w:rPr>
        <w:t>Corporations Act 2001</w:t>
      </w:r>
      <w:r w:rsidRPr="00453E13">
        <w:t xml:space="preserve">; </w:t>
      </w:r>
    </w:p>
    <w:p w14:paraId="24A8CA30" w14:textId="77777777" w:rsidR="001A1A8D" w:rsidRPr="00453E13" w:rsidRDefault="001A1A8D" w:rsidP="001A1A8D">
      <w:pPr>
        <w:pStyle w:val="Default"/>
      </w:pPr>
    </w:p>
    <w:p w14:paraId="7A6155F8" w14:textId="77777777" w:rsidR="001A1A8D" w:rsidRPr="00453E13" w:rsidRDefault="001A1A8D" w:rsidP="001A1A8D">
      <w:pPr>
        <w:pStyle w:val="Default"/>
        <w:ind w:left="1418" w:hanging="709"/>
      </w:pPr>
      <w:r w:rsidRPr="00453E13">
        <w:t>(11)</w:t>
      </w:r>
      <w:r w:rsidRPr="00453E13">
        <w:tab/>
        <w:t>‘</w:t>
      </w:r>
      <w:proofErr w:type="gramStart"/>
      <w:r w:rsidRPr="00453E13">
        <w:t>group</w:t>
      </w:r>
      <w:proofErr w:type="gramEnd"/>
      <w:r w:rsidRPr="00453E13">
        <w:t xml:space="preserve"> of </w:t>
      </w:r>
      <w:proofErr w:type="spellStart"/>
      <w:r w:rsidRPr="00453E13">
        <w:t>leviable</w:t>
      </w:r>
      <w:proofErr w:type="spellEnd"/>
      <w:r w:rsidRPr="00453E13">
        <w:t xml:space="preserve"> entities’ means all </w:t>
      </w:r>
      <w:proofErr w:type="spellStart"/>
      <w:r w:rsidRPr="00453E13">
        <w:t>leviable</w:t>
      </w:r>
      <w:proofErr w:type="spellEnd"/>
      <w:r w:rsidRPr="00453E13">
        <w:t xml:space="preserve"> entities that are related bodies corporate;</w:t>
      </w:r>
    </w:p>
    <w:p w14:paraId="745758A9" w14:textId="77777777" w:rsidR="001A1A8D" w:rsidRPr="00453E13" w:rsidRDefault="001A1A8D" w:rsidP="001A1A8D">
      <w:pPr>
        <w:pStyle w:val="Default"/>
        <w:ind w:left="1418" w:hanging="709"/>
      </w:pPr>
    </w:p>
    <w:p w14:paraId="032C16B0" w14:textId="77777777" w:rsidR="001A1A8D" w:rsidRPr="00453E13" w:rsidRDefault="001A1A8D" w:rsidP="001A1A8D">
      <w:pPr>
        <w:autoSpaceDE w:val="0"/>
        <w:autoSpaceDN w:val="0"/>
        <w:adjustRightInd w:val="0"/>
        <w:ind w:left="1418" w:hanging="709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sz w:val="24"/>
        </w:rPr>
        <w:t>(12)</w:t>
      </w:r>
      <w:r w:rsidRPr="00453E13">
        <w:rPr>
          <w:rFonts w:ascii="Times New Roman" w:hAnsi="Times New Roman"/>
          <w:sz w:val="24"/>
        </w:rPr>
        <w:tab/>
        <w:t>‘</w:t>
      </w:r>
      <w:proofErr w:type="gramStart"/>
      <w:r w:rsidRPr="00453E13">
        <w:rPr>
          <w:rFonts w:ascii="Times New Roman" w:hAnsi="Times New Roman"/>
          <w:sz w:val="24"/>
        </w:rPr>
        <w:t>instalment</w:t>
      </w:r>
      <w:proofErr w:type="gramEnd"/>
      <w:r w:rsidRPr="00453E13">
        <w:rPr>
          <w:rFonts w:ascii="Times New Roman" w:hAnsi="Times New Roman"/>
          <w:sz w:val="24"/>
        </w:rPr>
        <w:t xml:space="preserve"> of levy’ means an amount of levy imposed by a determination under subsection 9(1) of the </w:t>
      </w:r>
      <w:r w:rsidRPr="00453E13">
        <w:rPr>
          <w:rFonts w:ascii="Times New Roman" w:hAnsi="Times New Roman"/>
          <w:i/>
          <w:sz w:val="24"/>
        </w:rPr>
        <w:t>Australian Transaction Reports and Analysis Centre Industry Contribution Act 2011</w:t>
      </w:r>
      <w:r w:rsidRPr="00453E13">
        <w:rPr>
          <w:rFonts w:ascii="Times New Roman" w:hAnsi="Times New Roman"/>
          <w:sz w:val="24"/>
        </w:rPr>
        <w:t xml:space="preserve">; </w:t>
      </w:r>
    </w:p>
    <w:p w14:paraId="4D6F20B3" w14:textId="77777777" w:rsidR="001A1A8D" w:rsidRPr="00453E13" w:rsidRDefault="001A1A8D" w:rsidP="001A1A8D">
      <w:pPr>
        <w:pStyle w:val="Default"/>
      </w:pPr>
    </w:p>
    <w:p w14:paraId="3B4646CD" w14:textId="186B8815" w:rsidR="001A1A8D" w:rsidRPr="00453E13" w:rsidRDefault="001A1A8D" w:rsidP="001A1A8D">
      <w:pPr>
        <w:pStyle w:val="Default"/>
        <w:ind w:left="1440" w:hanging="720"/>
      </w:pPr>
      <w:r w:rsidRPr="00453E13">
        <w:t>(13)</w:t>
      </w:r>
      <w:r w:rsidRPr="00453E13">
        <w:tab/>
        <w:t>‘</w:t>
      </w:r>
      <w:proofErr w:type="spellStart"/>
      <w:proofErr w:type="gramStart"/>
      <w:r w:rsidRPr="00453E13">
        <w:t>leviable</w:t>
      </w:r>
      <w:proofErr w:type="spellEnd"/>
      <w:proofErr w:type="gramEnd"/>
      <w:r w:rsidRPr="00453E13">
        <w:t xml:space="preserve"> entity’, in relation to the financial year, has the same meaning as in the </w:t>
      </w:r>
      <w:r w:rsidRPr="00453E13">
        <w:rPr>
          <w:i/>
        </w:rPr>
        <w:t>Australian Transaction Reports and Analysis Centre Industry Contribution Act 2011</w:t>
      </w:r>
      <w:r w:rsidRPr="00453E13">
        <w:t>;</w:t>
      </w:r>
    </w:p>
    <w:p w14:paraId="55F14560" w14:textId="77777777" w:rsidR="001A1A8D" w:rsidRPr="00453E13" w:rsidRDefault="001A1A8D" w:rsidP="001A1A8D">
      <w:pPr>
        <w:pStyle w:val="Default"/>
        <w:ind w:left="1440" w:hanging="720"/>
      </w:pPr>
    </w:p>
    <w:p w14:paraId="1593C456" w14:textId="5137C1FB" w:rsidR="001A1A8D" w:rsidRPr="00453E13" w:rsidRDefault="001A1A8D" w:rsidP="001A1A8D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color w:val="000000"/>
          <w:sz w:val="24"/>
        </w:rPr>
        <w:t>(14</w:t>
      </w:r>
      <w:r w:rsidRPr="00453E13">
        <w:rPr>
          <w:rFonts w:ascii="Times New Roman" w:hAnsi="Times New Roman"/>
          <w:sz w:val="24"/>
        </w:rPr>
        <w:t>)</w:t>
      </w:r>
      <w:r w:rsidRPr="00453E13">
        <w:rPr>
          <w:rFonts w:ascii="Times New Roman" w:hAnsi="Times New Roman"/>
          <w:sz w:val="24"/>
        </w:rPr>
        <w:tab/>
        <w:t>‘</w:t>
      </w:r>
      <w:proofErr w:type="gramStart"/>
      <w:r w:rsidRPr="00453E13">
        <w:rPr>
          <w:rFonts w:ascii="Times New Roman" w:hAnsi="Times New Roman"/>
          <w:sz w:val="24"/>
        </w:rPr>
        <w:t>person</w:t>
      </w:r>
      <w:proofErr w:type="gramEnd"/>
      <w:r w:rsidRPr="00453E13">
        <w:rPr>
          <w:rFonts w:ascii="Times New Roman" w:hAnsi="Times New Roman"/>
          <w:sz w:val="24"/>
        </w:rPr>
        <w:t>’ has the same meaning as in the AML/CTF Act;</w:t>
      </w:r>
    </w:p>
    <w:p w14:paraId="63199C6A" w14:textId="77777777" w:rsidR="001A1A8D" w:rsidRPr="00453E13" w:rsidRDefault="001A1A8D" w:rsidP="001A1A8D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</w:p>
    <w:p w14:paraId="60DFC7F2" w14:textId="77777777" w:rsidR="001A1A8D" w:rsidRPr="00453E13" w:rsidRDefault="001A1A8D" w:rsidP="001A1A8D">
      <w:pPr>
        <w:autoSpaceDE w:val="0"/>
        <w:autoSpaceDN w:val="0"/>
        <w:adjustRightInd w:val="0"/>
        <w:ind w:left="1418" w:hanging="709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color w:val="000000"/>
          <w:sz w:val="24"/>
        </w:rPr>
        <w:t>(15)</w:t>
      </w:r>
      <w:r w:rsidRPr="00453E13">
        <w:rPr>
          <w:rFonts w:ascii="Times New Roman" w:hAnsi="Times New Roman"/>
          <w:color w:val="000000"/>
          <w:sz w:val="24"/>
        </w:rPr>
        <w:tab/>
        <w:t>‘</w:t>
      </w:r>
      <w:proofErr w:type="gramStart"/>
      <w:r w:rsidRPr="00453E13">
        <w:rPr>
          <w:rFonts w:ascii="Times New Roman" w:hAnsi="Times New Roman"/>
          <w:color w:val="000000"/>
          <w:sz w:val="24"/>
        </w:rPr>
        <w:t>previous</w:t>
      </w:r>
      <w:proofErr w:type="gramEnd"/>
      <w:r w:rsidRPr="00453E13">
        <w:rPr>
          <w:rFonts w:ascii="Times New Roman" w:hAnsi="Times New Roman"/>
          <w:color w:val="000000"/>
          <w:sz w:val="24"/>
        </w:rPr>
        <w:t xml:space="preserve"> financial year’ means the financial year beginning on 1 July of the financial year immediately preceding the census day;</w:t>
      </w:r>
    </w:p>
    <w:p w14:paraId="04066B4E" w14:textId="77777777" w:rsidR="001A1A8D" w:rsidRPr="00453E13" w:rsidRDefault="001A1A8D" w:rsidP="001A1A8D">
      <w:pPr>
        <w:pStyle w:val="Default"/>
        <w:ind w:left="1440" w:hanging="720"/>
      </w:pPr>
    </w:p>
    <w:p w14:paraId="054F4164" w14:textId="68926D5D" w:rsidR="001A1A8D" w:rsidRPr="00453E13" w:rsidRDefault="001A1A8D" w:rsidP="001A1A8D">
      <w:pPr>
        <w:pStyle w:val="Default"/>
        <w:ind w:left="1440" w:hanging="720"/>
      </w:pPr>
      <w:r w:rsidRPr="00453E13">
        <w:t>(16)</w:t>
      </w:r>
      <w:r w:rsidRPr="00453E13">
        <w:tab/>
        <w:t>‘</w:t>
      </w:r>
      <w:proofErr w:type="gramStart"/>
      <w:r w:rsidRPr="00453E13">
        <w:t>registered</w:t>
      </w:r>
      <w:proofErr w:type="gramEnd"/>
      <w:r w:rsidRPr="00453E13">
        <w:t xml:space="preserve"> financial corporation’ has the same meaning as ‘registered entity’ in the </w:t>
      </w:r>
      <w:r w:rsidRPr="00453E13">
        <w:rPr>
          <w:i/>
        </w:rPr>
        <w:t>Financial Sector (Collection of Data) Act 2001</w:t>
      </w:r>
      <w:r w:rsidRPr="00453E13">
        <w:t>;</w:t>
      </w:r>
    </w:p>
    <w:p w14:paraId="4C8C59B1" w14:textId="77777777" w:rsidR="001A1A8D" w:rsidRPr="00453E13" w:rsidRDefault="001A1A8D" w:rsidP="001A1A8D">
      <w:pPr>
        <w:pStyle w:val="Default"/>
        <w:ind w:left="1440" w:hanging="720"/>
      </w:pPr>
    </w:p>
    <w:p w14:paraId="3F59B644" w14:textId="7BA6E66D" w:rsidR="001A1A8D" w:rsidRPr="00453E13" w:rsidRDefault="001A1A8D" w:rsidP="001A1A8D">
      <w:pPr>
        <w:pStyle w:val="Default"/>
        <w:ind w:left="1440" w:hanging="720"/>
      </w:pPr>
      <w:r w:rsidRPr="00453E13">
        <w:t>(17)</w:t>
      </w:r>
      <w:r w:rsidRPr="00453E13">
        <w:tab/>
        <w:t>‘</w:t>
      </w:r>
      <w:proofErr w:type="gramStart"/>
      <w:r w:rsidRPr="00453E13">
        <w:t>related</w:t>
      </w:r>
      <w:proofErr w:type="gramEnd"/>
      <w:r w:rsidRPr="00453E13">
        <w:t xml:space="preserve"> bodies corporate’ has the same meaning as in the </w:t>
      </w:r>
      <w:r w:rsidRPr="00453E13">
        <w:rPr>
          <w:i/>
        </w:rPr>
        <w:t>Corporations Act 2001</w:t>
      </w:r>
      <w:r w:rsidRPr="00453E13">
        <w:t>;</w:t>
      </w:r>
    </w:p>
    <w:p w14:paraId="6FB215CF" w14:textId="77777777" w:rsidR="001A1A8D" w:rsidRPr="00453E13" w:rsidRDefault="001A1A8D" w:rsidP="001A1A8D">
      <w:pPr>
        <w:pStyle w:val="Default"/>
        <w:ind w:left="1440" w:hanging="720"/>
      </w:pPr>
    </w:p>
    <w:p w14:paraId="1DFB8E80" w14:textId="4CE2CAEC" w:rsidR="001A1A8D" w:rsidRPr="00453E13" w:rsidRDefault="001A1A8D" w:rsidP="001A1A8D">
      <w:pPr>
        <w:pStyle w:val="Default"/>
        <w:ind w:left="1440" w:hanging="720"/>
      </w:pPr>
      <w:r w:rsidRPr="00453E13">
        <w:t>(18)</w:t>
      </w:r>
      <w:r w:rsidRPr="00453E13">
        <w:tab/>
        <w:t>‘</w:t>
      </w:r>
      <w:proofErr w:type="gramStart"/>
      <w:r w:rsidRPr="00453E13">
        <w:t>significant</w:t>
      </w:r>
      <w:proofErr w:type="gramEnd"/>
      <w:r w:rsidRPr="00453E13">
        <w:t xml:space="preserve"> items’ means a revenue or an expense from ordinary activities of such size, nature or incidence that its disclosure is relevant to the Australian Accounting Standard AASB 1018 (5.4); </w:t>
      </w:r>
    </w:p>
    <w:p w14:paraId="56969858" w14:textId="77777777" w:rsidR="001A1A8D" w:rsidRPr="00453E13" w:rsidRDefault="001A1A8D" w:rsidP="001A1A8D">
      <w:pPr>
        <w:pStyle w:val="Default"/>
        <w:ind w:left="720"/>
      </w:pPr>
    </w:p>
    <w:p w14:paraId="6A5F4B9F" w14:textId="338FAC28" w:rsidR="001A1A8D" w:rsidRPr="00453E13" w:rsidRDefault="001A1A8D" w:rsidP="001A1A8D">
      <w:pPr>
        <w:pStyle w:val="Default"/>
        <w:ind w:left="720"/>
      </w:pPr>
      <w:r w:rsidRPr="00453E13">
        <w:t>(19)</w:t>
      </w:r>
      <w:r w:rsidRPr="00453E13">
        <w:tab/>
        <w:t>‘</w:t>
      </w:r>
      <w:proofErr w:type="gramStart"/>
      <w:r w:rsidRPr="00453E13">
        <w:t>subsidiary</w:t>
      </w:r>
      <w:proofErr w:type="gramEnd"/>
      <w:r w:rsidRPr="00453E13">
        <w:t xml:space="preserve">’ has the same meaning as in the </w:t>
      </w:r>
      <w:r w:rsidRPr="00453E13">
        <w:rPr>
          <w:i/>
        </w:rPr>
        <w:t>Corporations Act 2001</w:t>
      </w:r>
      <w:r w:rsidRPr="00453E13">
        <w:t>;</w:t>
      </w:r>
    </w:p>
    <w:p w14:paraId="64E502ED" w14:textId="77777777" w:rsidR="001A1A8D" w:rsidRPr="00453E13" w:rsidRDefault="001A1A8D" w:rsidP="001A1A8D">
      <w:pPr>
        <w:pStyle w:val="Default"/>
        <w:ind w:left="720"/>
      </w:pPr>
    </w:p>
    <w:p w14:paraId="40AE3B14" w14:textId="1DD93D2E" w:rsidR="001A1A8D" w:rsidRPr="00453E13" w:rsidRDefault="001A1A8D" w:rsidP="001A1A8D">
      <w:pPr>
        <w:pStyle w:val="default0"/>
        <w:spacing w:before="0" w:beforeAutospacing="0" w:after="0" w:afterAutospacing="0"/>
        <w:ind w:left="1440" w:hanging="720"/>
        <w:rPr>
          <w:b/>
        </w:rPr>
      </w:pPr>
      <w:r w:rsidRPr="00453E13">
        <w:t>(20)</w:t>
      </w:r>
      <w:r w:rsidRPr="00453E13">
        <w:tab/>
        <w:t>‘</w:t>
      </w:r>
      <w:proofErr w:type="gramStart"/>
      <w:r w:rsidRPr="00453E13">
        <w:t>ultimate</w:t>
      </w:r>
      <w:proofErr w:type="gramEnd"/>
      <w:r w:rsidRPr="00453E13">
        <w:t xml:space="preserve"> holding company’ has the same meaning as in the </w:t>
      </w:r>
      <w:r w:rsidRPr="00453E13">
        <w:rPr>
          <w:i/>
          <w:iCs/>
        </w:rPr>
        <w:t>Corporations Act 2001</w:t>
      </w:r>
      <w:r w:rsidRPr="00453E13">
        <w:t>.</w:t>
      </w:r>
    </w:p>
    <w:p w14:paraId="4766B948" w14:textId="77777777" w:rsidR="001A1A8D" w:rsidRPr="00453E13" w:rsidRDefault="001A1A8D" w:rsidP="001A1A8D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</w:p>
    <w:p w14:paraId="0BFFCAB4" w14:textId="1EB45BEA" w:rsidR="000F0B19" w:rsidRPr="00453E13" w:rsidRDefault="000F0B19" w:rsidP="000F0B19">
      <w:pPr>
        <w:ind w:left="851" w:hanging="851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b/>
          <w:sz w:val="24"/>
        </w:rPr>
        <w:t>Item 3</w:t>
      </w:r>
      <w:r w:rsidRPr="00453E13">
        <w:rPr>
          <w:rFonts w:ascii="Times New Roman" w:hAnsi="Times New Roman"/>
          <w:b/>
          <w:sz w:val="24"/>
        </w:rPr>
        <w:tab/>
      </w:r>
      <w:proofErr w:type="gramStart"/>
      <w:r w:rsidR="006E6786" w:rsidRPr="006E6786">
        <w:rPr>
          <w:rFonts w:ascii="Times New Roman" w:hAnsi="Times New Roman"/>
          <w:sz w:val="24"/>
        </w:rPr>
        <w:t>For</w:t>
      </w:r>
      <w:proofErr w:type="gramEnd"/>
      <w:r w:rsidR="006E6786">
        <w:rPr>
          <w:rFonts w:ascii="Times New Roman" w:hAnsi="Times New Roman"/>
          <w:b/>
          <w:sz w:val="24"/>
        </w:rPr>
        <w:t xml:space="preserve"> </w:t>
      </w:r>
      <w:r w:rsidRPr="00453E13">
        <w:rPr>
          <w:rFonts w:ascii="Times New Roman" w:hAnsi="Times New Roman"/>
          <w:b/>
          <w:sz w:val="24"/>
        </w:rPr>
        <w:t>Item 16(a) in Part A of the Schedule in Chapter 63</w:t>
      </w:r>
    </w:p>
    <w:p w14:paraId="6F1017B5" w14:textId="77777777" w:rsidR="000F0B19" w:rsidRPr="00453E13" w:rsidRDefault="000F0B19" w:rsidP="000F0B19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796D870C" w14:textId="0553D80B" w:rsidR="001A1A8D" w:rsidRPr="00453E13" w:rsidRDefault="000F0B19" w:rsidP="001A1A8D">
      <w:pPr>
        <w:tabs>
          <w:tab w:val="left" w:pos="851"/>
        </w:tabs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i/>
          <w:sz w:val="24"/>
        </w:rPr>
        <w:t xml:space="preserve">Omit </w:t>
      </w:r>
      <w:r w:rsidRPr="00453E13">
        <w:rPr>
          <w:rFonts w:ascii="Times New Roman" w:hAnsi="Times New Roman"/>
          <w:sz w:val="24"/>
        </w:rPr>
        <w:t>“a”</w:t>
      </w:r>
      <w:r w:rsidR="00872941">
        <w:rPr>
          <w:rFonts w:ascii="Times New Roman" w:hAnsi="Times New Roman"/>
          <w:sz w:val="24"/>
        </w:rPr>
        <w:t>,</w:t>
      </w:r>
      <w:r w:rsidRPr="00453E13">
        <w:rPr>
          <w:rFonts w:ascii="Times New Roman" w:hAnsi="Times New Roman"/>
          <w:sz w:val="24"/>
        </w:rPr>
        <w:t xml:space="preserve"> </w:t>
      </w:r>
      <w:r w:rsidRPr="00453E13">
        <w:rPr>
          <w:rFonts w:ascii="Times New Roman" w:hAnsi="Times New Roman"/>
          <w:i/>
          <w:sz w:val="24"/>
        </w:rPr>
        <w:t>substitute</w:t>
      </w:r>
      <w:r w:rsidRPr="00453E13">
        <w:rPr>
          <w:rFonts w:ascii="Times New Roman" w:hAnsi="Times New Roman"/>
          <w:sz w:val="24"/>
        </w:rPr>
        <w:t xml:space="preserve"> “an”.</w:t>
      </w:r>
    </w:p>
    <w:p w14:paraId="3BE0D874" w14:textId="77777777" w:rsidR="000F0B19" w:rsidRPr="00453E13" w:rsidRDefault="000F0B19" w:rsidP="001A1A8D">
      <w:pPr>
        <w:tabs>
          <w:tab w:val="left" w:pos="851"/>
        </w:tabs>
        <w:rPr>
          <w:rFonts w:ascii="Times New Roman" w:hAnsi="Times New Roman"/>
          <w:sz w:val="24"/>
        </w:rPr>
      </w:pPr>
    </w:p>
    <w:p w14:paraId="45496991" w14:textId="58BDB133" w:rsidR="00BA5D03" w:rsidRPr="00453E13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b/>
          <w:sz w:val="24"/>
        </w:rPr>
        <w:t>Item 4</w:t>
      </w:r>
      <w:r w:rsidRPr="00453E13">
        <w:rPr>
          <w:rFonts w:ascii="Times New Roman" w:hAnsi="Times New Roman"/>
          <w:b/>
          <w:sz w:val="24"/>
        </w:rPr>
        <w:tab/>
      </w:r>
      <w:r w:rsidR="006E6786" w:rsidRPr="006E6786">
        <w:rPr>
          <w:rFonts w:ascii="Times New Roman" w:hAnsi="Times New Roman"/>
          <w:sz w:val="24"/>
        </w:rPr>
        <w:t>For the heading preceding</w:t>
      </w:r>
      <w:r w:rsidR="006E6786">
        <w:rPr>
          <w:rFonts w:ascii="Times New Roman" w:hAnsi="Times New Roman"/>
          <w:b/>
          <w:sz w:val="24"/>
        </w:rPr>
        <w:t xml:space="preserve"> </w:t>
      </w:r>
      <w:r w:rsidRPr="00453E13">
        <w:rPr>
          <w:rFonts w:ascii="Times New Roman" w:hAnsi="Times New Roman"/>
          <w:b/>
          <w:sz w:val="24"/>
        </w:rPr>
        <w:t xml:space="preserve">Item 21 in Part A of the Schedule in Chapter 63 </w:t>
      </w:r>
    </w:p>
    <w:p w14:paraId="0B20F3FD" w14:textId="77777777" w:rsidR="00BA5D03" w:rsidRPr="00453E13" w:rsidRDefault="00BA5D03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05331517" w14:textId="1C947306" w:rsidR="000F0B19" w:rsidRPr="00453E13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heading</w:t>
      </w:r>
      <w:r w:rsidRPr="00453E13">
        <w:rPr>
          <w:rFonts w:ascii="Times New Roman" w:hAnsi="Times New Roman"/>
          <w:i/>
          <w:sz w:val="24"/>
        </w:rPr>
        <w:t>, substitute:</w:t>
      </w:r>
    </w:p>
    <w:p w14:paraId="785F06FE" w14:textId="77777777" w:rsidR="000F0B19" w:rsidRPr="00453E13" w:rsidRDefault="000F0B19" w:rsidP="000F0B19">
      <w:pPr>
        <w:tabs>
          <w:tab w:val="left" w:pos="851"/>
        </w:tabs>
        <w:rPr>
          <w:rStyle w:val="CommentReference"/>
          <w:rFonts w:ascii="Times New Roman" w:hAnsi="Times New Roman"/>
          <w:i/>
          <w:sz w:val="24"/>
          <w:szCs w:val="24"/>
        </w:rPr>
      </w:pPr>
    </w:p>
    <w:p w14:paraId="561BD7CF" w14:textId="13BCD49F" w:rsidR="000F0B19" w:rsidRPr="00453E13" w:rsidRDefault="000F0B19" w:rsidP="000F0B19">
      <w:pPr>
        <w:tabs>
          <w:tab w:val="left" w:pos="0"/>
          <w:tab w:val="left" w:pos="2268"/>
        </w:tabs>
        <w:spacing w:after="240"/>
        <w:rPr>
          <w:rStyle w:val="CommentReference"/>
          <w:rFonts w:ascii="Times New Roman" w:hAnsi="Times New Roman"/>
          <w:i/>
          <w:sz w:val="24"/>
        </w:rPr>
      </w:pPr>
      <w:r w:rsidRPr="00453E13">
        <w:rPr>
          <w:rStyle w:val="CommentReference"/>
          <w:rFonts w:ascii="Times New Roman" w:hAnsi="Times New Roman"/>
          <w:i/>
          <w:sz w:val="24"/>
        </w:rPr>
        <w:t>Earnings information and the AUSTRAC Industry Contribution</w:t>
      </w:r>
    </w:p>
    <w:p w14:paraId="22D2EB9F" w14:textId="11218F6E" w:rsidR="000F0B19" w:rsidRPr="00453E13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b/>
          <w:sz w:val="24"/>
        </w:rPr>
        <w:t>Item 5</w:t>
      </w:r>
      <w:r w:rsidRPr="00453E13">
        <w:rPr>
          <w:rFonts w:ascii="Times New Roman" w:hAnsi="Times New Roman"/>
          <w:b/>
          <w:sz w:val="24"/>
        </w:rPr>
        <w:tab/>
      </w:r>
      <w:proofErr w:type="gramStart"/>
      <w:r w:rsidR="006E6786" w:rsidRPr="006E6786">
        <w:rPr>
          <w:rFonts w:ascii="Times New Roman" w:hAnsi="Times New Roman"/>
          <w:sz w:val="24"/>
        </w:rPr>
        <w:t>For</w:t>
      </w:r>
      <w:proofErr w:type="gramEnd"/>
      <w:r w:rsidR="006E6786">
        <w:rPr>
          <w:rFonts w:ascii="Times New Roman" w:hAnsi="Times New Roman"/>
          <w:b/>
          <w:sz w:val="24"/>
        </w:rPr>
        <w:t xml:space="preserve"> </w:t>
      </w:r>
      <w:r w:rsidRPr="00453E13">
        <w:rPr>
          <w:rFonts w:ascii="Times New Roman" w:hAnsi="Times New Roman"/>
          <w:b/>
          <w:sz w:val="24"/>
        </w:rPr>
        <w:t xml:space="preserve">Item 21 in Part A of the Schedule in Chapter 63 </w:t>
      </w:r>
    </w:p>
    <w:p w14:paraId="10A60376" w14:textId="77777777" w:rsidR="000F0B19" w:rsidRPr="00453E13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7A657F55" w14:textId="4CCB817A" w:rsidR="000F0B19" w:rsidRPr="00453E13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item</w:t>
      </w:r>
      <w:r w:rsidRPr="00453E13">
        <w:rPr>
          <w:rFonts w:ascii="Times New Roman" w:hAnsi="Times New Roman"/>
          <w:i/>
          <w:sz w:val="24"/>
        </w:rPr>
        <w:t>, substitute:</w:t>
      </w:r>
    </w:p>
    <w:p w14:paraId="7BE96CE8" w14:textId="77777777" w:rsidR="000F0B19" w:rsidRPr="00453E13" w:rsidRDefault="000F0B19" w:rsidP="000F0B19">
      <w:pPr>
        <w:tabs>
          <w:tab w:val="left" w:pos="851"/>
        </w:tabs>
        <w:rPr>
          <w:rStyle w:val="CommentReference"/>
          <w:rFonts w:ascii="Times New Roman" w:hAnsi="Times New Roman"/>
          <w:i/>
          <w:sz w:val="24"/>
          <w:szCs w:val="24"/>
        </w:rPr>
      </w:pPr>
    </w:p>
    <w:p w14:paraId="6A5E9F2C" w14:textId="5A715B4B" w:rsidR="000F0B19" w:rsidRPr="00453E13" w:rsidRDefault="000F0B19" w:rsidP="000F0B19">
      <w:pPr>
        <w:tabs>
          <w:tab w:val="left" w:pos="720"/>
          <w:tab w:val="left" w:pos="2268"/>
        </w:tabs>
        <w:spacing w:after="240"/>
        <w:ind w:left="720" w:hanging="720"/>
        <w:rPr>
          <w:rFonts w:ascii="Times New Roman" w:hAnsi="Times New Roman"/>
          <w:sz w:val="24"/>
        </w:rPr>
      </w:pPr>
      <w:r w:rsidRPr="00453E13">
        <w:rPr>
          <w:rStyle w:val="CommentReference"/>
          <w:rFonts w:ascii="Times New Roman" w:hAnsi="Times New Roman"/>
          <w:sz w:val="24"/>
        </w:rPr>
        <w:t>21.</w:t>
      </w:r>
      <w:r w:rsidRPr="00453E13">
        <w:rPr>
          <w:rStyle w:val="CommentReference"/>
          <w:rFonts w:ascii="Times New Roman" w:hAnsi="Times New Roman"/>
          <w:sz w:val="24"/>
        </w:rPr>
        <w:tab/>
        <w:t xml:space="preserve">The earnings of the </w:t>
      </w:r>
      <w:r w:rsidRPr="00453E13">
        <w:rPr>
          <w:rFonts w:ascii="Times New Roman" w:hAnsi="Times New Roman"/>
          <w:sz w:val="24"/>
        </w:rPr>
        <w:t xml:space="preserve">person for a year ending in the financial year immediately </w:t>
      </w:r>
      <w:proofErr w:type="gramStart"/>
      <w:r w:rsidRPr="00453E13">
        <w:rPr>
          <w:rFonts w:ascii="Times New Roman" w:hAnsi="Times New Roman"/>
          <w:sz w:val="24"/>
        </w:rPr>
        <w:t>preceding</w:t>
      </w:r>
      <w:proofErr w:type="gramEnd"/>
      <w:r w:rsidRPr="00453E13">
        <w:rPr>
          <w:rFonts w:ascii="Times New Roman" w:hAnsi="Times New Roman"/>
          <w:sz w:val="24"/>
        </w:rPr>
        <w:t xml:space="preserve"> the census day, if the circumstances described below apply:</w:t>
      </w:r>
    </w:p>
    <w:p w14:paraId="4B0D4921" w14:textId="77777777" w:rsidR="000F0B19" w:rsidRPr="00453E13" w:rsidRDefault="000F0B19" w:rsidP="000F0B19">
      <w:pPr>
        <w:tabs>
          <w:tab w:val="left" w:pos="1418"/>
        </w:tabs>
        <w:spacing w:after="240"/>
        <w:ind w:left="1418" w:hanging="709"/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i/>
          <w:sz w:val="24"/>
        </w:rPr>
        <w:t>Note:</w:t>
      </w:r>
      <w:r w:rsidRPr="00453E13">
        <w:rPr>
          <w:rFonts w:ascii="Times New Roman" w:hAnsi="Times New Roman"/>
          <w:i/>
          <w:sz w:val="24"/>
        </w:rPr>
        <w:tab/>
        <w:t>If an earnings figure is required to be provided it may need to be updated each year as required by the AML/CTF Rules made under section 51F of the AML/CTF Act which deal with the requirement to update 'enrolment details'.</w:t>
      </w:r>
    </w:p>
    <w:p w14:paraId="57BB5147" w14:textId="77777777" w:rsidR="000F0B19" w:rsidRPr="00453E13" w:rsidRDefault="000F0B19" w:rsidP="000F0B19">
      <w:pPr>
        <w:tabs>
          <w:tab w:val="left" w:pos="1260"/>
        </w:tabs>
        <w:spacing w:after="240"/>
        <w:ind w:left="1260" w:hanging="540"/>
        <w:rPr>
          <w:rFonts w:ascii="Times New Roman" w:hAnsi="Times New Roman"/>
          <w:i/>
          <w:sz w:val="24"/>
        </w:rPr>
      </w:pPr>
      <w:r w:rsidRPr="00453E13">
        <w:rPr>
          <w:rFonts w:ascii="Times New Roman" w:hAnsi="Times New Roman"/>
          <w:i/>
          <w:sz w:val="24"/>
        </w:rPr>
        <w:t>When earnings details have to be provided</w:t>
      </w:r>
    </w:p>
    <w:p w14:paraId="3C0ECCF0" w14:textId="77777777" w:rsidR="00DA027C" w:rsidRPr="00453E13" w:rsidRDefault="000F0B19" w:rsidP="00DA027C">
      <w:pPr>
        <w:pStyle w:val="Default"/>
        <w:numPr>
          <w:ilvl w:val="4"/>
          <w:numId w:val="29"/>
        </w:numPr>
        <w:tabs>
          <w:tab w:val="clear" w:pos="3240"/>
          <w:tab w:val="num" w:pos="1418"/>
        </w:tabs>
        <w:ind w:left="1418" w:hanging="709"/>
      </w:pPr>
      <w:r w:rsidRPr="00453E13">
        <w:t xml:space="preserve">that entity is not part of a group of </w:t>
      </w:r>
      <w:proofErr w:type="spellStart"/>
      <w:r w:rsidRPr="00453E13">
        <w:t>leviable</w:t>
      </w:r>
      <w:proofErr w:type="spellEnd"/>
      <w:r w:rsidRPr="00453E13">
        <w:t xml:space="preserve"> entities and has earnings equal to or greater than $100,000,000; or</w:t>
      </w:r>
    </w:p>
    <w:p w14:paraId="0088F40F" w14:textId="77777777" w:rsidR="00DA027C" w:rsidRPr="00453E13" w:rsidRDefault="00DA027C" w:rsidP="00DA027C">
      <w:pPr>
        <w:pStyle w:val="Default"/>
        <w:ind w:left="1418"/>
      </w:pPr>
    </w:p>
    <w:p w14:paraId="1F0FDC28" w14:textId="4CB90FC2" w:rsidR="00DA027C" w:rsidRPr="00453E13" w:rsidRDefault="000F0B19" w:rsidP="00DA027C">
      <w:pPr>
        <w:pStyle w:val="Default"/>
        <w:numPr>
          <w:ilvl w:val="4"/>
          <w:numId w:val="29"/>
        </w:numPr>
        <w:tabs>
          <w:tab w:val="clear" w:pos="3240"/>
          <w:tab w:val="num" w:pos="1418"/>
        </w:tabs>
        <w:ind w:left="1418" w:hanging="709"/>
      </w:pPr>
      <w:r w:rsidRPr="00453E13">
        <w:t xml:space="preserve">that entity is part of a group of </w:t>
      </w:r>
      <w:proofErr w:type="spellStart"/>
      <w:r w:rsidRPr="00453E13">
        <w:t>leviable</w:t>
      </w:r>
      <w:proofErr w:type="spellEnd"/>
      <w:r w:rsidRPr="00453E13">
        <w:t xml:space="preserve"> entities where the total earnings of the group of </w:t>
      </w:r>
      <w:proofErr w:type="spellStart"/>
      <w:r w:rsidRPr="00453E13">
        <w:t>leviable</w:t>
      </w:r>
      <w:proofErr w:type="spellEnd"/>
      <w:r w:rsidRPr="00453E13">
        <w:t xml:space="preserve"> entities </w:t>
      </w:r>
      <w:r w:rsidR="008F51F0" w:rsidRPr="00453E13">
        <w:t>is</w:t>
      </w:r>
      <w:r w:rsidRPr="00453E13">
        <w:t xml:space="preserve"> equal to or greater than $100,000,000; or</w:t>
      </w:r>
    </w:p>
    <w:p w14:paraId="752BF87F" w14:textId="77777777" w:rsidR="00DA027C" w:rsidRPr="00453E13" w:rsidRDefault="00DA027C" w:rsidP="00DA027C">
      <w:pPr>
        <w:pStyle w:val="ListParagraph"/>
      </w:pPr>
    </w:p>
    <w:p w14:paraId="3F6AADE0" w14:textId="02A4B585" w:rsidR="000F0B19" w:rsidRPr="00453E13" w:rsidRDefault="000F0B19" w:rsidP="00DA027C">
      <w:pPr>
        <w:pStyle w:val="Default"/>
        <w:numPr>
          <w:ilvl w:val="4"/>
          <w:numId w:val="29"/>
        </w:numPr>
        <w:tabs>
          <w:tab w:val="clear" w:pos="3240"/>
          <w:tab w:val="num" w:pos="1418"/>
        </w:tabs>
        <w:ind w:left="1418" w:hanging="709"/>
      </w:pPr>
      <w:r w:rsidRPr="00453E13">
        <w:t xml:space="preserve">that entity is a foreign company or a subsidiary of a foreign company and is not part of a group of </w:t>
      </w:r>
      <w:proofErr w:type="spellStart"/>
      <w:r w:rsidRPr="00453E13">
        <w:t>leviable</w:t>
      </w:r>
      <w:proofErr w:type="spellEnd"/>
      <w:r w:rsidRPr="00453E13">
        <w:t xml:space="preserve"> entities </w:t>
      </w:r>
      <w:r w:rsidR="008F51F0" w:rsidRPr="00453E13">
        <w:t>and</w:t>
      </w:r>
      <w:r w:rsidRPr="00453E13">
        <w:t xml:space="preserve"> the earnings of the entity derived</w:t>
      </w:r>
      <w:r w:rsidR="008F51F0" w:rsidRPr="00453E13">
        <w:t xml:space="preserve"> from operations in Australia is</w:t>
      </w:r>
      <w:r w:rsidRPr="00453E13">
        <w:t xml:space="preserve"> equal to or greater than $100,000,000; or </w:t>
      </w:r>
    </w:p>
    <w:p w14:paraId="4AC8FFF7" w14:textId="6B9FF5FD" w:rsidR="000F0B19" w:rsidRPr="00453E13" w:rsidRDefault="00773E44" w:rsidP="00773E44">
      <w:pPr>
        <w:pStyle w:val="default0"/>
        <w:ind w:left="1418" w:hanging="720"/>
      </w:pPr>
      <w:r w:rsidRPr="00453E13">
        <w:t xml:space="preserve"> </w:t>
      </w:r>
      <w:r w:rsidR="00DA027C" w:rsidRPr="00453E13">
        <w:t>(d</w:t>
      </w:r>
      <w:r w:rsidR="000F0B19" w:rsidRPr="00453E13">
        <w:t xml:space="preserve">) </w:t>
      </w:r>
      <w:r w:rsidR="000F0B19" w:rsidRPr="00453E13">
        <w:tab/>
      </w:r>
      <w:proofErr w:type="gramStart"/>
      <w:r w:rsidR="000F0B19" w:rsidRPr="00453E13">
        <w:t>that</w:t>
      </w:r>
      <w:proofErr w:type="gramEnd"/>
      <w:r w:rsidR="000F0B19" w:rsidRPr="00453E13">
        <w:t xml:space="preserve"> entity is part of a group of </w:t>
      </w:r>
      <w:proofErr w:type="spellStart"/>
      <w:r w:rsidR="000F0B19" w:rsidRPr="00453E13">
        <w:t>levia</w:t>
      </w:r>
      <w:r w:rsidR="00C91FE5" w:rsidRPr="00453E13">
        <w:t>ble</w:t>
      </w:r>
      <w:proofErr w:type="spellEnd"/>
      <w:r w:rsidR="00C91FE5" w:rsidRPr="00453E13">
        <w:t xml:space="preserve"> entities</w:t>
      </w:r>
      <w:r w:rsidR="000F0B19" w:rsidRPr="00453E13">
        <w:t xml:space="preserve"> where one or more </w:t>
      </w:r>
      <w:r w:rsidR="008F51F0" w:rsidRPr="00453E13">
        <w:t>entities</w:t>
      </w:r>
      <w:r w:rsidR="000F0B19" w:rsidRPr="00453E13">
        <w:t xml:space="preserve"> is a foreign company or a subsidiary of a foreign company (‘foreign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entity’) and the total earnings of all of the foreign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entities from operations in Australia is:</w:t>
      </w:r>
    </w:p>
    <w:p w14:paraId="1C1074F5" w14:textId="215EE3FB" w:rsidR="000F0B19" w:rsidRPr="00453E13" w:rsidRDefault="00DA027C" w:rsidP="00773E44">
      <w:pPr>
        <w:pStyle w:val="default0"/>
        <w:ind w:left="2160" w:hanging="742"/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equal</w:t>
      </w:r>
      <w:proofErr w:type="gramEnd"/>
      <w:r w:rsidR="000F0B19" w:rsidRPr="00453E13">
        <w:t xml:space="preserve"> to or greater than $100,000,000; </w:t>
      </w:r>
    </w:p>
    <w:p w14:paraId="3E63A6C2" w14:textId="77777777" w:rsidR="000F0B19" w:rsidRPr="00453E13" w:rsidRDefault="000F0B19" w:rsidP="00773E44">
      <w:pPr>
        <w:pStyle w:val="default0"/>
        <w:ind w:left="2160" w:hanging="742"/>
      </w:pPr>
      <w:proofErr w:type="gramStart"/>
      <w:r w:rsidRPr="00453E13">
        <w:t>or</w:t>
      </w:r>
      <w:proofErr w:type="gramEnd"/>
    </w:p>
    <w:p w14:paraId="10012C75" w14:textId="0A2B38A3" w:rsidR="000F0B19" w:rsidRPr="00453E13" w:rsidRDefault="00DA027C" w:rsidP="00773E44">
      <w:pPr>
        <w:pStyle w:val="default0"/>
        <w:ind w:left="2127" w:hanging="709"/>
      </w:pPr>
      <w:r w:rsidRPr="00453E13">
        <w:t>(ii</w:t>
      </w:r>
      <w:r w:rsidR="000F0B19" w:rsidRPr="00453E13">
        <w:t>)</w:t>
      </w:r>
      <w:r w:rsidR="000F0B19" w:rsidRPr="00453E13">
        <w:tab/>
      </w:r>
      <w:r w:rsidRPr="00453E13">
        <w:t>(A</w:t>
      </w:r>
      <w:r w:rsidR="000F0B19" w:rsidRPr="00453E13">
        <w:t>)</w:t>
      </w:r>
      <w:r w:rsidR="000F0B19" w:rsidRPr="00453E13">
        <w:tab/>
      </w:r>
      <w:r w:rsidR="008F51F0" w:rsidRPr="00453E13">
        <w:t>less than $100,000,000;</w:t>
      </w:r>
      <w:r w:rsidR="000F0B19" w:rsidRPr="00453E13">
        <w:t xml:space="preserve"> and </w:t>
      </w:r>
    </w:p>
    <w:p w14:paraId="7E695CBA" w14:textId="1F4F8C9C" w:rsidR="00DA027C" w:rsidRPr="00453E13" w:rsidRDefault="00DA027C" w:rsidP="00DA027C">
      <w:pPr>
        <w:pStyle w:val="default0"/>
        <w:spacing w:before="0" w:beforeAutospacing="0" w:after="0" w:afterAutospacing="0"/>
        <w:ind w:left="2835" w:hanging="709"/>
      </w:pPr>
      <w:r w:rsidRPr="00453E13">
        <w:t>(B</w:t>
      </w:r>
      <w:r w:rsidR="000F0B19" w:rsidRPr="00453E13">
        <w:t xml:space="preserve">) 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total earnings of the foreign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entity or entities </w:t>
      </w:r>
      <w:r w:rsidR="008F51F0" w:rsidRPr="00453E13">
        <w:t xml:space="preserve">from operation in Australia </w:t>
      </w:r>
      <w:r w:rsidR="000F0B19" w:rsidRPr="00453E13">
        <w:t xml:space="preserve">and </w:t>
      </w:r>
      <w:r w:rsidR="008F51F0" w:rsidRPr="00453E13">
        <w:t xml:space="preserve">the total </w:t>
      </w:r>
      <w:r w:rsidR="000F0B19" w:rsidRPr="00453E13">
        <w:t xml:space="preserve">earnings of all other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entities in the group is equal to or greater than $100,000,000; </w:t>
      </w:r>
    </w:p>
    <w:p w14:paraId="49BF51CF" w14:textId="77777777" w:rsidR="00DA027C" w:rsidRPr="00453E13" w:rsidRDefault="00DA027C" w:rsidP="00DA027C">
      <w:pPr>
        <w:pStyle w:val="default0"/>
        <w:spacing w:before="0" w:beforeAutospacing="0" w:after="0" w:afterAutospacing="0"/>
        <w:ind w:left="2835" w:hanging="709"/>
      </w:pPr>
    </w:p>
    <w:p w14:paraId="165FB1AC" w14:textId="36588CF9" w:rsidR="000F0B19" w:rsidRPr="00453E13" w:rsidRDefault="000F0B19" w:rsidP="00DA027C">
      <w:pPr>
        <w:pStyle w:val="default0"/>
        <w:spacing w:before="0" w:beforeAutospacing="0" w:after="0" w:afterAutospacing="0"/>
        <w:ind w:left="709"/>
      </w:pPr>
      <w:proofErr w:type="gramStart"/>
      <w:r w:rsidRPr="00453E13">
        <w:t>comprising</w:t>
      </w:r>
      <w:proofErr w:type="gramEnd"/>
      <w:r w:rsidRPr="00453E13">
        <w:t>:</w:t>
      </w:r>
    </w:p>
    <w:p w14:paraId="4BB25913" w14:textId="77777777" w:rsidR="00DA027C" w:rsidRPr="00453E13" w:rsidRDefault="00DA027C" w:rsidP="00DA027C">
      <w:pPr>
        <w:pStyle w:val="default0"/>
        <w:spacing w:before="0" w:beforeAutospacing="0" w:after="0" w:afterAutospacing="0"/>
        <w:ind w:left="709"/>
      </w:pPr>
    </w:p>
    <w:p w14:paraId="702FDE8F" w14:textId="739EC0A1" w:rsidR="000F0B19" w:rsidRPr="00453E13" w:rsidRDefault="00DA027C" w:rsidP="00773E44">
      <w:pPr>
        <w:pStyle w:val="Default"/>
        <w:ind w:left="1418" w:hanging="720"/>
      </w:pPr>
      <w:r w:rsidRPr="00453E13">
        <w:t>(e</w:t>
      </w:r>
      <w:r w:rsidR="000F0B19" w:rsidRPr="00453E13">
        <w:t xml:space="preserve">) </w:t>
      </w:r>
      <w:r w:rsidR="000F0B19" w:rsidRPr="00453E13">
        <w:tab/>
      </w:r>
      <w:proofErr w:type="gramStart"/>
      <w:r w:rsidR="000F0B19" w:rsidRPr="00453E13">
        <w:t>where</w:t>
      </w:r>
      <w:proofErr w:type="gramEnd"/>
      <w:r w:rsidR="000F0B19" w:rsidRPr="00453E13">
        <w:t xml:space="preserve"> the person is an ADI or a Registered Financial Corporation, and is not a foreign company:</w:t>
      </w:r>
    </w:p>
    <w:p w14:paraId="777A144C" w14:textId="77777777" w:rsidR="000F0B19" w:rsidRPr="00453E13" w:rsidRDefault="000F0B19" w:rsidP="000F0B19">
      <w:pPr>
        <w:pStyle w:val="Default"/>
        <w:ind w:left="2160"/>
      </w:pPr>
    </w:p>
    <w:p w14:paraId="2169ADA9" w14:textId="494CCA39" w:rsidR="000F0B19" w:rsidRPr="00453E13" w:rsidRDefault="00DA027C" w:rsidP="00773E44">
      <w:pPr>
        <w:pStyle w:val="Default"/>
        <w:ind w:left="2127" w:hanging="720"/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total profit before tax</w:t>
      </w:r>
      <w:r w:rsidR="00B27A6C">
        <w:t>,</w:t>
      </w:r>
      <w:r w:rsidRPr="00453E13">
        <w:t xml:space="preserve"> </w:t>
      </w:r>
      <w:r w:rsidR="000F0B19" w:rsidRPr="00453E13">
        <w:t>depreciation and amortisation (PBTDA), not adjusted for significant items; or</w:t>
      </w:r>
    </w:p>
    <w:p w14:paraId="6E37DE38" w14:textId="77777777" w:rsidR="000F0B19" w:rsidRPr="00453E13" w:rsidRDefault="000F0B19" w:rsidP="000F0B19">
      <w:pPr>
        <w:pStyle w:val="Default"/>
        <w:ind w:left="2160" w:hanging="720"/>
      </w:pPr>
    </w:p>
    <w:p w14:paraId="70550287" w14:textId="41707D67" w:rsidR="000F0B19" w:rsidRPr="00453E13" w:rsidRDefault="00DA027C" w:rsidP="00773E44">
      <w:pPr>
        <w:pStyle w:val="Default"/>
        <w:ind w:left="1418" w:hanging="720"/>
      </w:pPr>
      <w:r w:rsidRPr="00453E13">
        <w:t>(f</w:t>
      </w:r>
      <w:r w:rsidR="000F0B19" w:rsidRPr="00453E13">
        <w:t xml:space="preserve">) </w:t>
      </w:r>
      <w:r w:rsidR="000F0B19" w:rsidRPr="00453E13">
        <w:tab/>
      </w:r>
      <w:proofErr w:type="gramStart"/>
      <w:r w:rsidR="000F0B19" w:rsidRPr="00453E13">
        <w:t>where</w:t>
      </w:r>
      <w:proofErr w:type="gramEnd"/>
      <w:r w:rsidR="000F0B19" w:rsidRPr="00453E13">
        <w:t xml:space="preserve"> the person is a member of a group of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entities and any member of that group is an ADI or a Registered Financial Corporation, and the person is not a foreign company:</w:t>
      </w:r>
    </w:p>
    <w:p w14:paraId="084EDC5F" w14:textId="77777777" w:rsidR="000F0B19" w:rsidRPr="00453E13" w:rsidRDefault="000F0B19" w:rsidP="000F0B19">
      <w:pPr>
        <w:pStyle w:val="Default"/>
        <w:ind w:left="2160"/>
      </w:pPr>
    </w:p>
    <w:p w14:paraId="5468EE92" w14:textId="3CAC802B" w:rsidR="000F0B19" w:rsidRPr="00453E13" w:rsidRDefault="00DA027C" w:rsidP="00773E44">
      <w:pPr>
        <w:pStyle w:val="Default"/>
        <w:ind w:left="2127" w:hanging="720"/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PBTDA, not adjusted for significant items; or</w:t>
      </w:r>
    </w:p>
    <w:p w14:paraId="58952A82" w14:textId="77777777" w:rsidR="000F0B19" w:rsidRPr="00453E13" w:rsidRDefault="000F0B19" w:rsidP="000F0B19">
      <w:pPr>
        <w:pStyle w:val="Default"/>
        <w:ind w:left="2160"/>
      </w:pPr>
    </w:p>
    <w:p w14:paraId="6D8CA466" w14:textId="4285DBFC" w:rsidR="000F0B19" w:rsidRPr="00453E13" w:rsidRDefault="00DA027C" w:rsidP="00773E44">
      <w:pPr>
        <w:pStyle w:val="Default"/>
        <w:ind w:left="1418" w:hanging="720"/>
      </w:pPr>
      <w:r w:rsidRPr="00453E13">
        <w:t>(g</w:t>
      </w:r>
      <w:r w:rsidR="000F0B19" w:rsidRPr="00453E13">
        <w:t>)</w:t>
      </w:r>
      <w:r w:rsidR="000F0B19" w:rsidRPr="00453E13">
        <w:tab/>
      </w:r>
      <w:proofErr w:type="gramStart"/>
      <w:r w:rsidR="000F0B19" w:rsidRPr="00453E13">
        <w:t>where</w:t>
      </w:r>
      <w:proofErr w:type="gramEnd"/>
      <w:r w:rsidR="000F0B19" w:rsidRPr="00453E13">
        <w:t xml:space="preserve"> the person is an ADI or a Registered Financial Corporation, and the person is a foreign company: </w:t>
      </w:r>
    </w:p>
    <w:p w14:paraId="478BE1D4" w14:textId="77777777" w:rsidR="000F0B19" w:rsidRPr="00453E13" w:rsidRDefault="000F0B19" w:rsidP="000F0B19">
      <w:pPr>
        <w:pStyle w:val="Default"/>
        <w:ind w:left="2160"/>
      </w:pPr>
    </w:p>
    <w:p w14:paraId="5C6356C2" w14:textId="4B567D9B" w:rsidR="000F0B19" w:rsidRPr="00453E13" w:rsidRDefault="00DA027C" w:rsidP="00773E44">
      <w:pPr>
        <w:pStyle w:val="Default"/>
        <w:ind w:left="2127" w:hanging="720"/>
        <w:rPr>
          <w:strike/>
        </w:rPr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PBTDA, not adjusted for significant items derived from its operations in Australia; or</w:t>
      </w:r>
      <w:r w:rsidR="000F0B19" w:rsidRPr="00453E13">
        <w:rPr>
          <w:strike/>
        </w:rPr>
        <w:t xml:space="preserve"> </w:t>
      </w:r>
    </w:p>
    <w:p w14:paraId="5D1CD117" w14:textId="77777777" w:rsidR="000F0B19" w:rsidRPr="00453E13" w:rsidRDefault="000F0B19" w:rsidP="00773E44">
      <w:pPr>
        <w:pStyle w:val="Default"/>
      </w:pPr>
    </w:p>
    <w:p w14:paraId="358E3466" w14:textId="26824C76" w:rsidR="000F0B19" w:rsidRPr="00453E13" w:rsidRDefault="00DA027C" w:rsidP="00773E44">
      <w:pPr>
        <w:pStyle w:val="Default"/>
        <w:ind w:left="1418" w:hanging="720"/>
      </w:pPr>
      <w:r w:rsidRPr="00453E13">
        <w:t>(h</w:t>
      </w:r>
      <w:r w:rsidR="000F0B19" w:rsidRPr="00453E13">
        <w:t>)</w:t>
      </w:r>
      <w:r w:rsidR="000F0B19" w:rsidRPr="00453E13">
        <w:tab/>
      </w:r>
      <w:proofErr w:type="gramStart"/>
      <w:r w:rsidR="000F0B19" w:rsidRPr="00453E13">
        <w:t>where</w:t>
      </w:r>
      <w:proofErr w:type="gramEnd"/>
      <w:r w:rsidR="000F0B19" w:rsidRPr="00453E13">
        <w:t xml:space="preserve"> the person is a member of a group of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entities and any member of that group is an ADI or a Registered Financial Corporation, and the person is a foreign company: </w:t>
      </w:r>
    </w:p>
    <w:p w14:paraId="2B7D0D1D" w14:textId="77777777" w:rsidR="000F0B19" w:rsidRPr="00453E13" w:rsidRDefault="000F0B19" w:rsidP="000F0B19">
      <w:pPr>
        <w:pStyle w:val="Default"/>
        <w:ind w:left="2160"/>
      </w:pPr>
    </w:p>
    <w:p w14:paraId="776CE620" w14:textId="3757F10F" w:rsidR="000F0B19" w:rsidRPr="00453E13" w:rsidRDefault="00DA027C" w:rsidP="00773E44">
      <w:pPr>
        <w:pStyle w:val="Default"/>
        <w:ind w:left="2127" w:hanging="720"/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PBTDA, not adjusted for significant items derived from its operations in Australia; or</w:t>
      </w:r>
    </w:p>
    <w:p w14:paraId="27C55C9A" w14:textId="77777777" w:rsidR="000F0B19" w:rsidRPr="00453E13" w:rsidRDefault="000F0B19" w:rsidP="000F0B19">
      <w:pPr>
        <w:pStyle w:val="Default"/>
      </w:pPr>
    </w:p>
    <w:p w14:paraId="597E46E7" w14:textId="317FA2D9" w:rsidR="000F0B19" w:rsidRPr="00453E13" w:rsidRDefault="000F0B19" w:rsidP="00773E44">
      <w:pPr>
        <w:pStyle w:val="Default"/>
        <w:ind w:left="1418" w:hanging="720"/>
      </w:pPr>
      <w:r w:rsidRPr="00453E13">
        <w:t>(</w:t>
      </w:r>
      <w:proofErr w:type="spellStart"/>
      <w:r w:rsidRPr="00453E13">
        <w:t>i</w:t>
      </w:r>
      <w:proofErr w:type="spellEnd"/>
      <w:r w:rsidRPr="00453E13">
        <w:t>)</w:t>
      </w:r>
      <w:r w:rsidRPr="00453E13">
        <w:tab/>
      </w:r>
      <w:proofErr w:type="gramStart"/>
      <w:r w:rsidRPr="00453E13">
        <w:t>where</w:t>
      </w:r>
      <w:proofErr w:type="gramEnd"/>
      <w:r w:rsidRPr="00453E13">
        <w:t xml:space="preserve"> the person is not an ADI or a Registered Financial Corporation, and is not a foreign company:</w:t>
      </w:r>
    </w:p>
    <w:p w14:paraId="5C72E648" w14:textId="77777777" w:rsidR="000F0B19" w:rsidRPr="00453E13" w:rsidRDefault="000F0B19" w:rsidP="000F0B19">
      <w:pPr>
        <w:pStyle w:val="Default"/>
        <w:ind w:left="2880" w:hanging="720"/>
      </w:pPr>
    </w:p>
    <w:p w14:paraId="3EF9343E" w14:textId="34615088" w:rsidR="000F0B19" w:rsidRPr="00453E13" w:rsidRDefault="00DA027C" w:rsidP="00DA027C">
      <w:pPr>
        <w:pStyle w:val="Default"/>
        <w:ind w:left="2127" w:hanging="709"/>
      </w:pPr>
      <w:r w:rsidRPr="00453E13">
        <w:t>(</w:t>
      </w:r>
      <w:proofErr w:type="spellStart"/>
      <w:r w:rsidRPr="00453E13">
        <w:t>i</w:t>
      </w:r>
      <w:proofErr w:type="spellEnd"/>
      <w:r w:rsidRPr="00453E13">
        <w:t xml:space="preserve">) </w:t>
      </w:r>
      <w:r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total earnings before tax, interest, depreciation and amortisation (EBITDA), not adjusted for significant items; or</w:t>
      </w:r>
    </w:p>
    <w:p w14:paraId="7956116D" w14:textId="77777777" w:rsidR="000F0B19" w:rsidRPr="00453E13" w:rsidRDefault="000F0B19" w:rsidP="000F0B19">
      <w:pPr>
        <w:pStyle w:val="Default"/>
      </w:pPr>
    </w:p>
    <w:p w14:paraId="75E779CE" w14:textId="3ECE8D1D" w:rsidR="000F0B19" w:rsidRPr="00453E13" w:rsidRDefault="00DA027C" w:rsidP="00773E44">
      <w:pPr>
        <w:pStyle w:val="Default"/>
        <w:ind w:left="1418" w:hanging="720"/>
      </w:pPr>
      <w:r w:rsidRPr="00453E13">
        <w:t>(j</w:t>
      </w:r>
      <w:r w:rsidR="000F0B19" w:rsidRPr="00453E13">
        <w:t>)</w:t>
      </w:r>
      <w:r w:rsidR="000F0B19" w:rsidRPr="00453E13">
        <w:tab/>
      </w:r>
      <w:proofErr w:type="gramStart"/>
      <w:r w:rsidR="000F0B19" w:rsidRPr="00453E13">
        <w:t>where</w:t>
      </w:r>
      <w:proofErr w:type="gramEnd"/>
      <w:r w:rsidR="000F0B19" w:rsidRPr="00453E13">
        <w:t xml:space="preserve"> the person is a member of a group of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entities and none of the members is an ADI or a Registered Financial Corporation, and the person is not a foreign company:</w:t>
      </w:r>
    </w:p>
    <w:p w14:paraId="4C38D3BD" w14:textId="77777777" w:rsidR="000F0B19" w:rsidRPr="00453E13" w:rsidRDefault="000F0B19" w:rsidP="000F0B19">
      <w:pPr>
        <w:pStyle w:val="Default"/>
        <w:ind w:left="2880" w:hanging="720"/>
      </w:pPr>
    </w:p>
    <w:p w14:paraId="3B1FD5E6" w14:textId="290F3A1B" w:rsidR="000F0B19" w:rsidRPr="00453E13" w:rsidRDefault="00DA027C" w:rsidP="00773E44">
      <w:pPr>
        <w:pStyle w:val="Default"/>
        <w:ind w:left="2127" w:hanging="720"/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EBITDA, not adjusted for significant items; or</w:t>
      </w:r>
    </w:p>
    <w:p w14:paraId="4F5DA308" w14:textId="77777777" w:rsidR="000F0B19" w:rsidRPr="00453E13" w:rsidRDefault="000F0B19" w:rsidP="000F0B19">
      <w:pPr>
        <w:pStyle w:val="Default"/>
        <w:ind w:left="2160"/>
      </w:pPr>
    </w:p>
    <w:p w14:paraId="564458E0" w14:textId="77E6B174" w:rsidR="000F0B19" w:rsidRPr="00453E13" w:rsidRDefault="000F0B19" w:rsidP="00773E44">
      <w:pPr>
        <w:pStyle w:val="Default"/>
        <w:ind w:left="1418" w:hanging="720"/>
      </w:pPr>
      <w:r w:rsidRPr="00453E13">
        <w:t>(</w:t>
      </w:r>
      <w:r w:rsidR="00DA027C" w:rsidRPr="00453E13">
        <w:t>k</w:t>
      </w:r>
      <w:r w:rsidRPr="00453E13">
        <w:t>)</w:t>
      </w:r>
      <w:r w:rsidRPr="00453E13">
        <w:tab/>
      </w:r>
      <w:proofErr w:type="gramStart"/>
      <w:r w:rsidRPr="00453E13">
        <w:t>where</w:t>
      </w:r>
      <w:proofErr w:type="gramEnd"/>
      <w:r w:rsidRPr="00453E13">
        <w:t xml:space="preserve"> the person is not an ADI or a Registered Financial Corporation, and is a foreign company:</w:t>
      </w:r>
    </w:p>
    <w:p w14:paraId="17126397" w14:textId="77777777" w:rsidR="000F0B19" w:rsidRPr="00453E13" w:rsidRDefault="000F0B19" w:rsidP="000F0B19">
      <w:pPr>
        <w:pStyle w:val="Default"/>
        <w:ind w:left="2160"/>
      </w:pPr>
    </w:p>
    <w:p w14:paraId="37836602" w14:textId="01EA962E" w:rsidR="000F0B19" w:rsidRPr="00453E13" w:rsidRDefault="00DA027C" w:rsidP="00773E44">
      <w:pPr>
        <w:pStyle w:val="Default"/>
        <w:ind w:left="2127" w:hanging="720"/>
        <w:rPr>
          <w:strike/>
        </w:rPr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EBITDA, not adjusted for significant items derived from its operations in Australia; or</w:t>
      </w:r>
      <w:r w:rsidR="000F0B19" w:rsidRPr="00453E13">
        <w:rPr>
          <w:strike/>
        </w:rPr>
        <w:t xml:space="preserve"> </w:t>
      </w:r>
    </w:p>
    <w:p w14:paraId="27C6A472" w14:textId="77777777" w:rsidR="000F0B19" w:rsidRPr="00453E13" w:rsidRDefault="000F0B19" w:rsidP="000F0B19">
      <w:pPr>
        <w:pStyle w:val="Default"/>
        <w:rPr>
          <w:rStyle w:val="CommentReference"/>
          <w:strike/>
        </w:rPr>
      </w:pPr>
    </w:p>
    <w:p w14:paraId="0A9F8175" w14:textId="2018EC8D" w:rsidR="000F0B19" w:rsidRPr="00453E13" w:rsidRDefault="00DA027C" w:rsidP="00773E44">
      <w:pPr>
        <w:pStyle w:val="Default"/>
        <w:ind w:left="1418" w:hanging="720"/>
      </w:pPr>
      <w:r w:rsidRPr="00453E13">
        <w:t>(l</w:t>
      </w:r>
      <w:r w:rsidR="000F0B19" w:rsidRPr="00453E13">
        <w:t>)</w:t>
      </w:r>
      <w:r w:rsidR="000F0B19" w:rsidRPr="00453E13">
        <w:tab/>
      </w:r>
      <w:proofErr w:type="gramStart"/>
      <w:r w:rsidR="000F0B19" w:rsidRPr="00453E13">
        <w:t>where</w:t>
      </w:r>
      <w:proofErr w:type="gramEnd"/>
      <w:r w:rsidR="000F0B19" w:rsidRPr="00453E13">
        <w:t xml:space="preserve"> the person is a member of a group of </w:t>
      </w:r>
      <w:proofErr w:type="spellStart"/>
      <w:r w:rsidR="000F0B19" w:rsidRPr="00453E13">
        <w:t>leviable</w:t>
      </w:r>
      <w:proofErr w:type="spellEnd"/>
      <w:r w:rsidR="000F0B19" w:rsidRPr="00453E13">
        <w:t xml:space="preserve"> entities and none of the members is an ADI or a Registered Financial Corporation, and the person is a foreign company:</w:t>
      </w:r>
    </w:p>
    <w:p w14:paraId="24362964" w14:textId="77777777" w:rsidR="000F0B19" w:rsidRPr="00453E13" w:rsidRDefault="000F0B19" w:rsidP="000F0B19">
      <w:pPr>
        <w:pStyle w:val="Default"/>
        <w:ind w:left="2880" w:hanging="720"/>
      </w:pPr>
    </w:p>
    <w:p w14:paraId="3192DE15" w14:textId="0C10FD8E" w:rsidR="000F0B19" w:rsidRPr="00453E13" w:rsidRDefault="00DA027C" w:rsidP="00C91FE5">
      <w:pPr>
        <w:pStyle w:val="Default"/>
        <w:ind w:left="2127" w:hanging="720"/>
      </w:pPr>
      <w:r w:rsidRPr="00453E13">
        <w:t>(</w:t>
      </w:r>
      <w:proofErr w:type="spellStart"/>
      <w:r w:rsidRPr="00453E13">
        <w:t>i</w:t>
      </w:r>
      <w:proofErr w:type="spellEnd"/>
      <w:r w:rsidR="000F0B19" w:rsidRPr="00453E13">
        <w:t>)</w:t>
      </w:r>
      <w:r w:rsidR="000F0B19" w:rsidRPr="00453E13">
        <w:tab/>
      </w:r>
      <w:proofErr w:type="gramStart"/>
      <w:r w:rsidR="000F0B19" w:rsidRPr="00453E13">
        <w:t>the</w:t>
      </w:r>
      <w:proofErr w:type="gramEnd"/>
      <w:r w:rsidR="000F0B19" w:rsidRPr="00453E13">
        <w:t xml:space="preserve"> EBITDA, not adjusted for significant items derived from its operations in Australia;</w:t>
      </w:r>
    </w:p>
    <w:p w14:paraId="02DBF693" w14:textId="77777777" w:rsidR="00C91FE5" w:rsidRPr="00453E13" w:rsidRDefault="00C91FE5" w:rsidP="00C91FE5">
      <w:pPr>
        <w:pStyle w:val="Default"/>
        <w:ind w:left="2127" w:hanging="720"/>
        <w:rPr>
          <w:rStyle w:val="CommentReference"/>
          <w:sz w:val="24"/>
          <w:szCs w:val="24"/>
        </w:rPr>
      </w:pPr>
    </w:p>
    <w:p w14:paraId="7DD1AED4" w14:textId="2E86A390" w:rsidR="00C91FE5" w:rsidRPr="00453E13" w:rsidRDefault="00C91FE5" w:rsidP="00C91FE5">
      <w:pPr>
        <w:ind w:left="851" w:hanging="851"/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b/>
          <w:sz w:val="24"/>
        </w:rPr>
        <w:t>Item 6</w:t>
      </w:r>
      <w:r w:rsidRPr="00453E13">
        <w:rPr>
          <w:rFonts w:ascii="Times New Roman" w:hAnsi="Times New Roman"/>
          <w:b/>
          <w:sz w:val="24"/>
        </w:rPr>
        <w:tab/>
      </w:r>
      <w:proofErr w:type="gramStart"/>
      <w:r w:rsidR="006E6786" w:rsidRPr="006E6786">
        <w:rPr>
          <w:rFonts w:ascii="Times New Roman" w:hAnsi="Times New Roman"/>
          <w:sz w:val="24"/>
        </w:rPr>
        <w:t>For</w:t>
      </w:r>
      <w:proofErr w:type="gramEnd"/>
      <w:r w:rsidR="006E6786" w:rsidRPr="006E6786">
        <w:rPr>
          <w:rFonts w:ascii="Times New Roman" w:hAnsi="Times New Roman"/>
          <w:sz w:val="24"/>
        </w:rPr>
        <w:t xml:space="preserve"> </w:t>
      </w:r>
      <w:r w:rsidRPr="00453E13">
        <w:rPr>
          <w:rFonts w:ascii="Times New Roman" w:hAnsi="Times New Roman"/>
          <w:b/>
          <w:sz w:val="24"/>
        </w:rPr>
        <w:t>Item 1 in Part B of the Schedule in Chapter 63</w:t>
      </w:r>
    </w:p>
    <w:p w14:paraId="702CF080" w14:textId="77777777" w:rsidR="00C91FE5" w:rsidRPr="00453E13" w:rsidRDefault="00C91FE5" w:rsidP="00C91FE5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07135783" w14:textId="4B0940F6" w:rsidR="00C91FE5" w:rsidRPr="00453E13" w:rsidRDefault="00C91FE5" w:rsidP="00C91FE5">
      <w:pPr>
        <w:tabs>
          <w:tab w:val="left" w:pos="851"/>
        </w:tabs>
        <w:rPr>
          <w:rFonts w:ascii="Times New Roman" w:hAnsi="Times New Roman"/>
          <w:sz w:val="24"/>
        </w:rPr>
      </w:pPr>
      <w:r w:rsidRPr="00453E13">
        <w:rPr>
          <w:rFonts w:ascii="Times New Roman" w:hAnsi="Times New Roman"/>
          <w:i/>
          <w:sz w:val="24"/>
        </w:rPr>
        <w:t xml:space="preserve">Omit </w:t>
      </w:r>
      <w:r w:rsidRPr="00453E13">
        <w:rPr>
          <w:rFonts w:ascii="Times New Roman" w:hAnsi="Times New Roman"/>
          <w:sz w:val="24"/>
        </w:rPr>
        <w:t>“date</w:t>
      </w:r>
      <w:r w:rsidR="00872941">
        <w:rPr>
          <w:rFonts w:ascii="Times New Roman" w:hAnsi="Times New Roman"/>
          <w:sz w:val="24"/>
        </w:rPr>
        <w:t>,</w:t>
      </w:r>
      <w:proofErr w:type="gramStart"/>
      <w:r w:rsidRPr="00453E13">
        <w:rPr>
          <w:rFonts w:ascii="Times New Roman" w:hAnsi="Times New Roman"/>
          <w:sz w:val="24"/>
        </w:rPr>
        <w:t>”,</w:t>
      </w:r>
      <w:proofErr w:type="gramEnd"/>
      <w:r w:rsidRPr="00453E13">
        <w:rPr>
          <w:rFonts w:ascii="Times New Roman" w:hAnsi="Times New Roman"/>
          <w:sz w:val="24"/>
        </w:rPr>
        <w:t xml:space="preserve"> </w:t>
      </w:r>
      <w:r w:rsidRPr="00453E13">
        <w:rPr>
          <w:rFonts w:ascii="Times New Roman" w:hAnsi="Times New Roman"/>
          <w:i/>
          <w:sz w:val="24"/>
        </w:rPr>
        <w:t>substitute</w:t>
      </w:r>
      <w:r w:rsidRPr="00453E13">
        <w:rPr>
          <w:rFonts w:ascii="Times New Roman" w:hAnsi="Times New Roman"/>
          <w:sz w:val="24"/>
        </w:rPr>
        <w:t xml:space="preserve"> “day</w:t>
      </w:r>
      <w:r w:rsidR="00872941">
        <w:rPr>
          <w:rFonts w:ascii="Times New Roman" w:hAnsi="Times New Roman"/>
          <w:sz w:val="24"/>
        </w:rPr>
        <w:t>,</w:t>
      </w:r>
      <w:r w:rsidRPr="00453E13">
        <w:rPr>
          <w:rFonts w:ascii="Times New Roman" w:hAnsi="Times New Roman"/>
          <w:sz w:val="24"/>
        </w:rPr>
        <w:t>”.</w:t>
      </w:r>
    </w:p>
    <w:p w14:paraId="24907D18" w14:textId="77777777" w:rsidR="000F0B19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7095B80D" w14:textId="77777777" w:rsidR="000F0B19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44EABD48" w14:textId="5A9911EC" w:rsidR="00C91FE5" w:rsidRPr="006A6A98" w:rsidRDefault="00DD2CB8" w:rsidP="00C91FE5">
      <w:pPr>
        <w:ind w:left="851" w:hanging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C91FE5">
        <w:rPr>
          <w:rFonts w:ascii="Arial" w:hAnsi="Arial" w:cs="Arial"/>
          <w:b/>
          <w:sz w:val="28"/>
          <w:szCs w:val="28"/>
        </w:rPr>
        <w:lastRenderedPageBreak/>
        <w:t>2</w:t>
      </w:r>
      <w:r w:rsidR="00C91FE5" w:rsidRPr="006A6A98">
        <w:rPr>
          <w:rFonts w:ascii="Arial" w:hAnsi="Arial" w:cs="Arial"/>
          <w:b/>
          <w:sz w:val="28"/>
          <w:szCs w:val="28"/>
        </w:rPr>
        <w:t>.</w:t>
      </w:r>
      <w:r w:rsidR="00C91FE5" w:rsidRPr="006A6A98">
        <w:rPr>
          <w:rFonts w:ascii="Arial" w:hAnsi="Arial" w:cs="Arial"/>
          <w:b/>
          <w:sz w:val="28"/>
          <w:szCs w:val="28"/>
        </w:rPr>
        <w:tab/>
        <w:t xml:space="preserve">Chapter </w:t>
      </w:r>
      <w:r w:rsidR="00C91FE5">
        <w:rPr>
          <w:rFonts w:ascii="Arial" w:hAnsi="Arial" w:cs="Arial"/>
          <w:b/>
          <w:sz w:val="28"/>
          <w:szCs w:val="28"/>
        </w:rPr>
        <w:t>65</w:t>
      </w:r>
    </w:p>
    <w:p w14:paraId="7C6C5A67" w14:textId="77777777" w:rsidR="00C91FE5" w:rsidRDefault="00C91FE5" w:rsidP="00C91FE5">
      <w:pPr>
        <w:tabs>
          <w:tab w:val="left" w:pos="720"/>
        </w:tabs>
        <w:ind w:left="1440" w:hanging="1440"/>
        <w:rPr>
          <w:rFonts w:ascii="Times New Roman" w:hAnsi="Times New Roman"/>
          <w:b/>
          <w:sz w:val="24"/>
        </w:rPr>
      </w:pPr>
    </w:p>
    <w:p w14:paraId="63D52D28" w14:textId="43706BBC" w:rsidR="00C91FE5" w:rsidRPr="006A6A98" w:rsidRDefault="00C91FE5" w:rsidP="00C91FE5">
      <w:pPr>
        <w:ind w:left="851" w:hanging="851"/>
        <w:rPr>
          <w:rFonts w:ascii="Times New Roman" w:hAnsi="Times New Roman"/>
          <w:sz w:val="24"/>
        </w:rPr>
      </w:pPr>
      <w:r w:rsidRPr="00A46ABA">
        <w:rPr>
          <w:rFonts w:ascii="Times New Roman" w:hAnsi="Times New Roman"/>
          <w:b/>
          <w:sz w:val="24"/>
        </w:rPr>
        <w:t>Item 1</w:t>
      </w:r>
      <w:r w:rsidRPr="00A46ABA">
        <w:rPr>
          <w:rFonts w:ascii="Times New Roman" w:hAnsi="Times New Roman"/>
          <w:b/>
          <w:sz w:val="24"/>
        </w:rPr>
        <w:tab/>
      </w:r>
      <w:r w:rsidR="006E6786" w:rsidRPr="00872941">
        <w:rPr>
          <w:rFonts w:ascii="Times New Roman" w:hAnsi="Times New Roman"/>
          <w:sz w:val="24"/>
        </w:rPr>
        <w:t>For</w:t>
      </w:r>
      <w:r w:rsidR="006E6786">
        <w:rPr>
          <w:rFonts w:ascii="Times New Roman" w:hAnsi="Times New Roman"/>
          <w:b/>
          <w:sz w:val="24"/>
        </w:rPr>
        <w:t xml:space="preserve"> p</w:t>
      </w:r>
      <w:r w:rsidRPr="006A6A98">
        <w:rPr>
          <w:rFonts w:ascii="Times New Roman" w:hAnsi="Times New Roman"/>
          <w:b/>
          <w:sz w:val="24"/>
        </w:rPr>
        <w:t xml:space="preserve">aragraph </w:t>
      </w:r>
      <w:r>
        <w:rPr>
          <w:rFonts w:ascii="Times New Roman" w:hAnsi="Times New Roman"/>
          <w:b/>
          <w:sz w:val="24"/>
        </w:rPr>
        <w:t>65.1</w:t>
      </w:r>
    </w:p>
    <w:p w14:paraId="04324E99" w14:textId="77777777" w:rsidR="00C91FE5" w:rsidRDefault="00C91FE5" w:rsidP="00C91FE5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18FDE8C0" w14:textId="3632F412" w:rsidR="00C91FE5" w:rsidRDefault="00C91FE5" w:rsidP="00C91FE5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paragraph</w:t>
      </w:r>
      <w:r>
        <w:rPr>
          <w:rFonts w:ascii="Times New Roman" w:hAnsi="Times New Roman"/>
          <w:i/>
          <w:sz w:val="24"/>
        </w:rPr>
        <w:t xml:space="preserve">, substitute: </w:t>
      </w:r>
    </w:p>
    <w:p w14:paraId="3AC2D0B2" w14:textId="77777777" w:rsidR="000F0B19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1D069515" w14:textId="167DC881" w:rsidR="00C91FE5" w:rsidRPr="00C91FE5" w:rsidRDefault="00C91FE5" w:rsidP="00C91FE5">
      <w:pPr>
        <w:tabs>
          <w:tab w:val="left" w:pos="851"/>
        </w:tabs>
        <w:ind w:left="851" w:hanging="851"/>
        <w:rPr>
          <w:rFonts w:ascii="Times New Roman" w:hAnsi="Times New Roman"/>
          <w:i/>
          <w:sz w:val="24"/>
        </w:rPr>
      </w:pPr>
      <w:r w:rsidRPr="00C91FE5">
        <w:rPr>
          <w:rFonts w:ascii="Times New Roman" w:hAnsi="Times New Roman"/>
          <w:sz w:val="24"/>
        </w:rPr>
        <w:t>65.1.</w:t>
      </w:r>
      <w:r w:rsidRPr="00C91FE5">
        <w:rPr>
          <w:rFonts w:ascii="Times New Roman" w:hAnsi="Times New Roman"/>
          <w:sz w:val="24"/>
        </w:rPr>
        <w:tab/>
        <w:t xml:space="preserve">These Anti-Money Laundering and Counter-Terrorism Financing Rules (Rules) are made under section 229 of the </w:t>
      </w:r>
      <w:r w:rsidRPr="00C91FE5">
        <w:rPr>
          <w:rFonts w:ascii="Times New Roman" w:hAnsi="Times New Roman"/>
          <w:i/>
          <w:iCs/>
          <w:sz w:val="24"/>
        </w:rPr>
        <w:t xml:space="preserve">Anti-Money Laundering and Counter-Terrorism Financing Act 2006 </w:t>
      </w:r>
      <w:r w:rsidRPr="00C91FE5">
        <w:rPr>
          <w:rFonts w:ascii="Times New Roman" w:hAnsi="Times New Roman"/>
          <w:sz w:val="24"/>
        </w:rPr>
        <w:t>(AML/CTF Act) for the purposes of paragraph 51G(2)(b) of that Act</w:t>
      </w:r>
      <w:r w:rsidR="003447F4">
        <w:rPr>
          <w:rFonts w:ascii="Times New Roman" w:hAnsi="Times New Roman"/>
          <w:sz w:val="24"/>
        </w:rPr>
        <w:t>.</w:t>
      </w:r>
    </w:p>
    <w:p w14:paraId="5ECD0DCF" w14:textId="77777777" w:rsidR="000F0B19" w:rsidRDefault="000F0B19" w:rsidP="000F0B19">
      <w:pPr>
        <w:tabs>
          <w:tab w:val="left" w:pos="851"/>
        </w:tabs>
        <w:rPr>
          <w:rFonts w:ascii="Times New Roman" w:hAnsi="Times New Roman"/>
          <w:i/>
          <w:sz w:val="24"/>
        </w:rPr>
      </w:pPr>
    </w:p>
    <w:p w14:paraId="1AEB48ED" w14:textId="5AEB8845" w:rsidR="003447F4" w:rsidRPr="006A6A98" w:rsidRDefault="003447F4" w:rsidP="003447F4">
      <w:pPr>
        <w:ind w:left="851"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Item 2</w:t>
      </w:r>
      <w:r w:rsidRPr="00A46ABA">
        <w:rPr>
          <w:rFonts w:ascii="Times New Roman" w:hAnsi="Times New Roman"/>
          <w:b/>
          <w:sz w:val="24"/>
        </w:rPr>
        <w:tab/>
      </w:r>
      <w:r w:rsidR="006E6786" w:rsidRPr="00872941">
        <w:rPr>
          <w:rFonts w:ascii="Times New Roman" w:hAnsi="Times New Roman"/>
          <w:sz w:val="24"/>
        </w:rPr>
        <w:t>For</w:t>
      </w:r>
      <w:r w:rsidR="006E6786">
        <w:rPr>
          <w:rFonts w:ascii="Times New Roman" w:hAnsi="Times New Roman"/>
          <w:b/>
          <w:sz w:val="24"/>
        </w:rPr>
        <w:t xml:space="preserve"> s</w:t>
      </w:r>
      <w:r>
        <w:rPr>
          <w:rFonts w:ascii="Times New Roman" w:hAnsi="Times New Roman"/>
          <w:b/>
          <w:sz w:val="24"/>
        </w:rPr>
        <w:t>ubp</w:t>
      </w:r>
      <w:r w:rsidRPr="006A6A98">
        <w:rPr>
          <w:rFonts w:ascii="Times New Roman" w:hAnsi="Times New Roman"/>
          <w:b/>
          <w:sz w:val="24"/>
        </w:rPr>
        <w:t xml:space="preserve">aragraph </w:t>
      </w:r>
      <w:r>
        <w:rPr>
          <w:rFonts w:ascii="Times New Roman" w:hAnsi="Times New Roman"/>
          <w:b/>
          <w:sz w:val="24"/>
        </w:rPr>
        <w:t>65.5</w:t>
      </w:r>
      <w:r w:rsidR="0087294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(1)(d)</w:t>
      </w:r>
    </w:p>
    <w:p w14:paraId="4F59705B" w14:textId="77777777" w:rsidR="003447F4" w:rsidRDefault="003447F4" w:rsidP="003447F4">
      <w:pPr>
        <w:tabs>
          <w:tab w:val="left" w:pos="720"/>
        </w:tabs>
        <w:ind w:left="1440" w:hanging="1440"/>
        <w:rPr>
          <w:rFonts w:ascii="Times New Roman" w:hAnsi="Times New Roman"/>
          <w:i/>
          <w:sz w:val="24"/>
        </w:rPr>
      </w:pPr>
    </w:p>
    <w:p w14:paraId="35383F1B" w14:textId="5BCA2CB5" w:rsidR="003447F4" w:rsidRDefault="003447F4" w:rsidP="003447F4">
      <w:pPr>
        <w:tabs>
          <w:tab w:val="left" w:pos="851"/>
        </w:tabs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Repeal </w:t>
      </w:r>
      <w:r w:rsidRPr="006E6786">
        <w:rPr>
          <w:rFonts w:ascii="Times New Roman" w:hAnsi="Times New Roman"/>
          <w:sz w:val="24"/>
        </w:rPr>
        <w:t>the subparagraph</w:t>
      </w:r>
      <w:r>
        <w:rPr>
          <w:rFonts w:ascii="Times New Roman" w:hAnsi="Times New Roman"/>
          <w:i/>
          <w:sz w:val="24"/>
        </w:rPr>
        <w:t xml:space="preserve">, substitute: </w:t>
      </w:r>
    </w:p>
    <w:p w14:paraId="2F99D1CF" w14:textId="77777777" w:rsidR="003447F4" w:rsidRPr="00A10F4E" w:rsidRDefault="003447F4" w:rsidP="003447F4">
      <w:pPr>
        <w:pStyle w:val="Default"/>
        <w:tabs>
          <w:tab w:val="left" w:pos="2160"/>
        </w:tabs>
      </w:pPr>
    </w:p>
    <w:p w14:paraId="3B12BA22" w14:textId="6AAC461A" w:rsidR="003447F4" w:rsidRPr="00A10F4E" w:rsidRDefault="003447F4" w:rsidP="003447F4">
      <w:pPr>
        <w:pStyle w:val="Default"/>
        <w:ind w:left="2127" w:hanging="709"/>
      </w:pPr>
      <w:r w:rsidRPr="00A10F4E">
        <w:t>(d)</w:t>
      </w:r>
      <w:r w:rsidRPr="00A10F4E">
        <w:tab/>
        <w:t xml:space="preserve">a nominee pursuant to subsection 8(2) of the </w:t>
      </w:r>
      <w:r w:rsidRPr="00A10F4E">
        <w:rPr>
          <w:i/>
        </w:rPr>
        <w:t xml:space="preserve">Australian Transaction Reports and Analysis Centre </w:t>
      </w:r>
      <w:r w:rsidRPr="003447F4">
        <w:rPr>
          <w:i/>
        </w:rPr>
        <w:t>Industry Contribution</w:t>
      </w:r>
      <w:r>
        <w:rPr>
          <w:b/>
          <w:i/>
        </w:rPr>
        <w:t xml:space="preserve"> </w:t>
      </w:r>
      <w:r w:rsidRPr="00A10F4E">
        <w:rPr>
          <w:i/>
        </w:rPr>
        <w:t>(Collection) Act 2011</w:t>
      </w:r>
      <w:r w:rsidRPr="00A10F4E">
        <w:t xml:space="preserve"> who has been authorised in writing by the person to act on their behalf as a nominee; or</w:t>
      </w:r>
    </w:p>
    <w:p w14:paraId="342B7D81" w14:textId="77777777" w:rsidR="00AA44EA" w:rsidRDefault="00AA44EA" w:rsidP="00AA44EA">
      <w:pPr>
        <w:pStyle w:val="Default"/>
        <w:tabs>
          <w:tab w:val="left" w:pos="1440"/>
        </w:tabs>
      </w:pPr>
    </w:p>
    <w:p w14:paraId="53736981" w14:textId="29888D81" w:rsidR="00AA44EA" w:rsidRPr="00AA44EA" w:rsidRDefault="00AA44EA" w:rsidP="00DD2CB8">
      <w:pPr>
        <w:pStyle w:val="AS"/>
        <w:spacing w:before="100" w:beforeAutospacing="1"/>
        <w:ind w:left="0" w:firstLine="0"/>
        <w:rPr>
          <w:rFonts w:ascii="Times New Roman" w:hAnsi="Times New Roman"/>
          <w:sz w:val="24"/>
          <w:lang w:eastAsia="en-AU"/>
        </w:rPr>
      </w:pPr>
    </w:p>
    <w:p w14:paraId="1AFA8F51" w14:textId="77777777" w:rsidR="00AA44EA" w:rsidRPr="00A10F4E" w:rsidRDefault="00AA44EA" w:rsidP="00AA44EA">
      <w:pPr>
        <w:pStyle w:val="Default"/>
        <w:tabs>
          <w:tab w:val="left" w:pos="1440"/>
        </w:tabs>
      </w:pPr>
    </w:p>
    <w:sectPr w:rsidR="00AA44EA" w:rsidRPr="00A10F4E">
      <w:footerReference w:type="even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8F7CA" w14:textId="77777777" w:rsidR="00BA5D03" w:rsidRDefault="00BA5D03">
      <w:r>
        <w:separator/>
      </w:r>
    </w:p>
  </w:endnote>
  <w:endnote w:type="continuationSeparator" w:id="0">
    <w:p w14:paraId="7B31AEA3" w14:textId="77777777" w:rsidR="00BA5D03" w:rsidRDefault="00BA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827C" w14:textId="77777777" w:rsidR="00BA5D03" w:rsidRDefault="00BA5D03" w:rsidP="00267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B4AB36" w14:textId="77777777" w:rsidR="00BA5D03" w:rsidRDefault="00BA5D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670DA" w14:textId="77777777" w:rsidR="00BA5D03" w:rsidRDefault="00BA5D03">
      <w:r>
        <w:separator/>
      </w:r>
    </w:p>
  </w:footnote>
  <w:footnote w:type="continuationSeparator" w:id="0">
    <w:p w14:paraId="65BAD6CE" w14:textId="77777777" w:rsidR="00BA5D03" w:rsidRDefault="00BA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6919B7"/>
    <w:multiLevelType w:val="hybridMultilevel"/>
    <w:tmpl w:val="9E5A4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D2B99"/>
    <w:multiLevelType w:val="hybridMultilevel"/>
    <w:tmpl w:val="9342E840"/>
    <w:lvl w:ilvl="0" w:tplc="6CDC9816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C026F3A">
      <w:start w:val="4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9787DA4"/>
    <w:multiLevelType w:val="multilevel"/>
    <w:tmpl w:val="4BA450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1325"/>
        </w:tabs>
        <w:ind w:left="1325" w:hanging="425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</w:abstractNum>
  <w:abstractNum w:abstractNumId="3">
    <w:nsid w:val="143D2D1E"/>
    <w:multiLevelType w:val="hybridMultilevel"/>
    <w:tmpl w:val="F1BA29BC"/>
    <w:lvl w:ilvl="0" w:tplc="2202131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BB4277"/>
    <w:multiLevelType w:val="hybridMultilevel"/>
    <w:tmpl w:val="F304A910"/>
    <w:lvl w:ilvl="0" w:tplc="5192A9A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B5D77E8"/>
    <w:multiLevelType w:val="hybridMultilevel"/>
    <w:tmpl w:val="D53844BE"/>
    <w:lvl w:ilvl="0" w:tplc="EA00C158">
      <w:start w:val="1"/>
      <w:numFmt w:val="upperLetter"/>
      <w:lvlText w:val="(%1)"/>
      <w:lvlJc w:val="left"/>
      <w:pPr>
        <w:ind w:left="40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766" w:hanging="360"/>
      </w:pPr>
    </w:lvl>
    <w:lvl w:ilvl="2" w:tplc="0C09001B" w:tentative="1">
      <w:start w:val="1"/>
      <w:numFmt w:val="lowerRoman"/>
      <w:lvlText w:val="%3."/>
      <w:lvlJc w:val="right"/>
      <w:pPr>
        <w:ind w:left="5486" w:hanging="180"/>
      </w:pPr>
    </w:lvl>
    <w:lvl w:ilvl="3" w:tplc="0C09000F" w:tentative="1">
      <w:start w:val="1"/>
      <w:numFmt w:val="decimal"/>
      <w:lvlText w:val="%4."/>
      <w:lvlJc w:val="left"/>
      <w:pPr>
        <w:ind w:left="6206" w:hanging="360"/>
      </w:pPr>
    </w:lvl>
    <w:lvl w:ilvl="4" w:tplc="0C090019" w:tentative="1">
      <w:start w:val="1"/>
      <w:numFmt w:val="lowerLetter"/>
      <w:lvlText w:val="%5."/>
      <w:lvlJc w:val="left"/>
      <w:pPr>
        <w:ind w:left="6926" w:hanging="360"/>
      </w:pPr>
    </w:lvl>
    <w:lvl w:ilvl="5" w:tplc="0C09001B" w:tentative="1">
      <w:start w:val="1"/>
      <w:numFmt w:val="lowerRoman"/>
      <w:lvlText w:val="%6."/>
      <w:lvlJc w:val="right"/>
      <w:pPr>
        <w:ind w:left="7646" w:hanging="180"/>
      </w:pPr>
    </w:lvl>
    <w:lvl w:ilvl="6" w:tplc="0C09000F" w:tentative="1">
      <w:start w:val="1"/>
      <w:numFmt w:val="decimal"/>
      <w:lvlText w:val="%7."/>
      <w:lvlJc w:val="left"/>
      <w:pPr>
        <w:ind w:left="8366" w:hanging="360"/>
      </w:pPr>
    </w:lvl>
    <w:lvl w:ilvl="7" w:tplc="0C090019" w:tentative="1">
      <w:start w:val="1"/>
      <w:numFmt w:val="lowerLetter"/>
      <w:lvlText w:val="%8."/>
      <w:lvlJc w:val="left"/>
      <w:pPr>
        <w:ind w:left="9086" w:hanging="360"/>
      </w:pPr>
    </w:lvl>
    <w:lvl w:ilvl="8" w:tplc="0C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1D592025"/>
    <w:multiLevelType w:val="hybridMultilevel"/>
    <w:tmpl w:val="7318E334"/>
    <w:lvl w:ilvl="0" w:tplc="24E01B30">
      <w:start w:val="1"/>
      <w:numFmt w:val="upperLetter"/>
      <w:lvlText w:val="(%1)"/>
      <w:lvlJc w:val="left"/>
      <w:pPr>
        <w:ind w:left="4046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4766" w:hanging="360"/>
      </w:pPr>
    </w:lvl>
    <w:lvl w:ilvl="2" w:tplc="0C09001B" w:tentative="1">
      <w:start w:val="1"/>
      <w:numFmt w:val="lowerRoman"/>
      <w:lvlText w:val="%3."/>
      <w:lvlJc w:val="right"/>
      <w:pPr>
        <w:ind w:left="5486" w:hanging="180"/>
      </w:pPr>
    </w:lvl>
    <w:lvl w:ilvl="3" w:tplc="0C09000F" w:tentative="1">
      <w:start w:val="1"/>
      <w:numFmt w:val="decimal"/>
      <w:lvlText w:val="%4."/>
      <w:lvlJc w:val="left"/>
      <w:pPr>
        <w:ind w:left="6206" w:hanging="360"/>
      </w:pPr>
    </w:lvl>
    <w:lvl w:ilvl="4" w:tplc="0C090019" w:tentative="1">
      <w:start w:val="1"/>
      <w:numFmt w:val="lowerLetter"/>
      <w:lvlText w:val="%5."/>
      <w:lvlJc w:val="left"/>
      <w:pPr>
        <w:ind w:left="6926" w:hanging="360"/>
      </w:pPr>
    </w:lvl>
    <w:lvl w:ilvl="5" w:tplc="0C09001B" w:tentative="1">
      <w:start w:val="1"/>
      <w:numFmt w:val="lowerRoman"/>
      <w:lvlText w:val="%6."/>
      <w:lvlJc w:val="right"/>
      <w:pPr>
        <w:ind w:left="7646" w:hanging="180"/>
      </w:pPr>
    </w:lvl>
    <w:lvl w:ilvl="6" w:tplc="0C09000F" w:tentative="1">
      <w:start w:val="1"/>
      <w:numFmt w:val="decimal"/>
      <w:lvlText w:val="%7."/>
      <w:lvlJc w:val="left"/>
      <w:pPr>
        <w:ind w:left="8366" w:hanging="360"/>
      </w:pPr>
    </w:lvl>
    <w:lvl w:ilvl="7" w:tplc="0C090019" w:tentative="1">
      <w:start w:val="1"/>
      <w:numFmt w:val="lowerLetter"/>
      <w:lvlText w:val="%8."/>
      <w:lvlJc w:val="left"/>
      <w:pPr>
        <w:ind w:left="9086" w:hanging="360"/>
      </w:pPr>
    </w:lvl>
    <w:lvl w:ilvl="8" w:tplc="0C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28557917"/>
    <w:multiLevelType w:val="hybridMultilevel"/>
    <w:tmpl w:val="ACA830A8"/>
    <w:lvl w:ilvl="0" w:tplc="1B3AD4F4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1C28AA32">
      <w:start w:val="1"/>
      <w:numFmt w:val="low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ECF7BE3"/>
    <w:multiLevelType w:val="hybridMultilevel"/>
    <w:tmpl w:val="189A3406"/>
    <w:lvl w:ilvl="0" w:tplc="61A4490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C56A71"/>
    <w:multiLevelType w:val="hybridMultilevel"/>
    <w:tmpl w:val="5B2C3E6E"/>
    <w:lvl w:ilvl="0" w:tplc="73283E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7134F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1">
    <w:nsid w:val="3FC51EDF"/>
    <w:multiLevelType w:val="hybridMultilevel"/>
    <w:tmpl w:val="0AC8EDB4"/>
    <w:lvl w:ilvl="0" w:tplc="28661FA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3402140"/>
    <w:multiLevelType w:val="hybridMultilevel"/>
    <w:tmpl w:val="A238EAB2"/>
    <w:lvl w:ilvl="0" w:tplc="2B9EB3F0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92B13"/>
    <w:multiLevelType w:val="hybridMultilevel"/>
    <w:tmpl w:val="E97AB0DA"/>
    <w:lvl w:ilvl="0" w:tplc="45CC341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E882CC">
      <w:start w:val="1"/>
      <w:numFmt w:val="lowerLetter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5240C2F"/>
    <w:multiLevelType w:val="hybridMultilevel"/>
    <w:tmpl w:val="FD86C404"/>
    <w:lvl w:ilvl="0" w:tplc="5E0EA82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3A01FD"/>
    <w:multiLevelType w:val="hybridMultilevel"/>
    <w:tmpl w:val="9190E5C8"/>
    <w:lvl w:ilvl="0" w:tplc="3D040C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C71DF2"/>
    <w:multiLevelType w:val="hybridMultilevel"/>
    <w:tmpl w:val="E5C8E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90EC0"/>
    <w:multiLevelType w:val="hybridMultilevel"/>
    <w:tmpl w:val="9042C0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371C9"/>
    <w:multiLevelType w:val="hybridMultilevel"/>
    <w:tmpl w:val="C4440C5C"/>
    <w:lvl w:ilvl="0" w:tplc="9BFEE182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33C3E84"/>
    <w:multiLevelType w:val="hybridMultilevel"/>
    <w:tmpl w:val="246001D8"/>
    <w:lvl w:ilvl="0" w:tplc="A9D4CE78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3524216">
      <w:start w:val="1"/>
      <w:numFmt w:val="upp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BC2943"/>
    <w:multiLevelType w:val="multilevel"/>
    <w:tmpl w:val="22E89CEA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709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1325"/>
        </w:tabs>
        <w:ind w:left="1325" w:hanging="425"/>
      </w:pPr>
      <w:rPr>
        <w:rFonts w:ascii="Times New Roman" w:eastAsia="Times New Roman" w:hAnsi="Times New Roman" w:cs="Times New Roman"/>
      </w:r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21">
    <w:nsid w:val="6F4706B8"/>
    <w:multiLevelType w:val="hybridMultilevel"/>
    <w:tmpl w:val="388E1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6AD10DA"/>
    <w:multiLevelType w:val="hybridMultilevel"/>
    <w:tmpl w:val="18F00A80"/>
    <w:lvl w:ilvl="0" w:tplc="AF561BE8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>
    <w:nsid w:val="7BD60A67"/>
    <w:multiLevelType w:val="hybridMultilevel"/>
    <w:tmpl w:val="011C0D2C"/>
    <w:lvl w:ilvl="0" w:tplc="789804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DED3462"/>
    <w:multiLevelType w:val="hybridMultilevel"/>
    <w:tmpl w:val="45541D30"/>
    <w:lvl w:ilvl="0" w:tplc="E03CDD32">
      <w:start w:val="1"/>
      <w:numFmt w:val="lowerRoman"/>
      <w:lvlText w:val="(%1)"/>
      <w:lvlJc w:val="left"/>
      <w:pPr>
        <w:ind w:left="24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12"/>
  </w:num>
  <w:num w:numId="5">
    <w:abstractNumId w:val="16"/>
  </w:num>
  <w:num w:numId="6">
    <w:abstractNumId w:val="17"/>
  </w:num>
  <w:num w:numId="7">
    <w:abstractNumId w:val="15"/>
  </w:num>
  <w:num w:numId="8">
    <w:abstractNumId w:val="14"/>
  </w:num>
  <w:num w:numId="9">
    <w:abstractNumId w:val="9"/>
  </w:num>
  <w:num w:numId="10">
    <w:abstractNumId w:val="4"/>
  </w:num>
  <w:num w:numId="11">
    <w:abstractNumId w:val="2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5"/>
  </w:num>
  <w:num w:numId="21">
    <w:abstractNumId w:val="3"/>
  </w:num>
  <w:num w:numId="22">
    <w:abstractNumId w:val="23"/>
  </w:num>
  <w:num w:numId="23">
    <w:abstractNumId w:val="11"/>
  </w:num>
  <w:num w:numId="24">
    <w:abstractNumId w:val="8"/>
  </w:num>
  <w:num w:numId="25">
    <w:abstractNumId w:val="13"/>
  </w:num>
  <w:num w:numId="26">
    <w:abstractNumId w:val="22"/>
  </w:num>
  <w:num w:numId="27">
    <w:abstractNumId w:val="7"/>
  </w:num>
  <w:num w:numId="28">
    <w:abstractNumId w:val="19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AC5"/>
    <w:rsid w:val="00001AA1"/>
    <w:rsid w:val="00001CD3"/>
    <w:rsid w:val="00022233"/>
    <w:rsid w:val="00023531"/>
    <w:rsid w:val="00035795"/>
    <w:rsid w:val="00042C01"/>
    <w:rsid w:val="00044071"/>
    <w:rsid w:val="00057191"/>
    <w:rsid w:val="00063416"/>
    <w:rsid w:val="00065073"/>
    <w:rsid w:val="00070FAB"/>
    <w:rsid w:val="00077221"/>
    <w:rsid w:val="00085C54"/>
    <w:rsid w:val="000A44BD"/>
    <w:rsid w:val="000E2E31"/>
    <w:rsid w:val="000E5734"/>
    <w:rsid w:val="000F0B19"/>
    <w:rsid w:val="000F2C03"/>
    <w:rsid w:val="00101432"/>
    <w:rsid w:val="00101905"/>
    <w:rsid w:val="00101F7A"/>
    <w:rsid w:val="00114766"/>
    <w:rsid w:val="001156F3"/>
    <w:rsid w:val="0011785B"/>
    <w:rsid w:val="00122694"/>
    <w:rsid w:val="00123EAE"/>
    <w:rsid w:val="00134832"/>
    <w:rsid w:val="00154255"/>
    <w:rsid w:val="00157BF6"/>
    <w:rsid w:val="00161559"/>
    <w:rsid w:val="0017190D"/>
    <w:rsid w:val="00171A90"/>
    <w:rsid w:val="00172596"/>
    <w:rsid w:val="00173860"/>
    <w:rsid w:val="00182017"/>
    <w:rsid w:val="0018441A"/>
    <w:rsid w:val="001853C0"/>
    <w:rsid w:val="00185CB2"/>
    <w:rsid w:val="001A1A8D"/>
    <w:rsid w:val="001A6413"/>
    <w:rsid w:val="001C19F2"/>
    <w:rsid w:val="001C28BE"/>
    <w:rsid w:val="001C3987"/>
    <w:rsid w:val="001C5103"/>
    <w:rsid w:val="001D1877"/>
    <w:rsid w:val="001D3559"/>
    <w:rsid w:val="001E4B14"/>
    <w:rsid w:val="00200CE6"/>
    <w:rsid w:val="00214208"/>
    <w:rsid w:val="00231B0A"/>
    <w:rsid w:val="00267AC5"/>
    <w:rsid w:val="00270B3F"/>
    <w:rsid w:val="0029065E"/>
    <w:rsid w:val="00292DFA"/>
    <w:rsid w:val="002B0655"/>
    <w:rsid w:val="002B7343"/>
    <w:rsid w:val="002D177A"/>
    <w:rsid w:val="002D392F"/>
    <w:rsid w:val="002D551F"/>
    <w:rsid w:val="002F0DFD"/>
    <w:rsid w:val="002F1BC9"/>
    <w:rsid w:val="002F33C7"/>
    <w:rsid w:val="002F417F"/>
    <w:rsid w:val="00304A3F"/>
    <w:rsid w:val="00304C17"/>
    <w:rsid w:val="00305227"/>
    <w:rsid w:val="00320686"/>
    <w:rsid w:val="003447F4"/>
    <w:rsid w:val="003460C3"/>
    <w:rsid w:val="0034741C"/>
    <w:rsid w:val="00350244"/>
    <w:rsid w:val="0036259E"/>
    <w:rsid w:val="00376C6C"/>
    <w:rsid w:val="00385861"/>
    <w:rsid w:val="003A0DE5"/>
    <w:rsid w:val="003A55BF"/>
    <w:rsid w:val="003A73B8"/>
    <w:rsid w:val="003B2FD3"/>
    <w:rsid w:val="003C3A0C"/>
    <w:rsid w:val="003C4603"/>
    <w:rsid w:val="003D00E9"/>
    <w:rsid w:val="003D3A47"/>
    <w:rsid w:val="003E712A"/>
    <w:rsid w:val="003F2A10"/>
    <w:rsid w:val="003F4C29"/>
    <w:rsid w:val="00400400"/>
    <w:rsid w:val="00406838"/>
    <w:rsid w:val="0043763C"/>
    <w:rsid w:val="00440B53"/>
    <w:rsid w:val="00441D69"/>
    <w:rsid w:val="00445AAE"/>
    <w:rsid w:val="00453E13"/>
    <w:rsid w:val="00463561"/>
    <w:rsid w:val="00466942"/>
    <w:rsid w:val="00474F8E"/>
    <w:rsid w:val="00490D49"/>
    <w:rsid w:val="00492FE9"/>
    <w:rsid w:val="0049701A"/>
    <w:rsid w:val="004B15E8"/>
    <w:rsid w:val="004B1E01"/>
    <w:rsid w:val="004B489D"/>
    <w:rsid w:val="004B5A6B"/>
    <w:rsid w:val="004B5C27"/>
    <w:rsid w:val="004B6809"/>
    <w:rsid w:val="004D0DE9"/>
    <w:rsid w:val="004F4D09"/>
    <w:rsid w:val="005037B4"/>
    <w:rsid w:val="005103F8"/>
    <w:rsid w:val="00510BFB"/>
    <w:rsid w:val="00510D6A"/>
    <w:rsid w:val="00531AD1"/>
    <w:rsid w:val="00537CDA"/>
    <w:rsid w:val="00547B85"/>
    <w:rsid w:val="00557189"/>
    <w:rsid w:val="005605BA"/>
    <w:rsid w:val="0059193D"/>
    <w:rsid w:val="005C497B"/>
    <w:rsid w:val="005C747A"/>
    <w:rsid w:val="005D2E86"/>
    <w:rsid w:val="005D4E97"/>
    <w:rsid w:val="005D67E7"/>
    <w:rsid w:val="005E2C67"/>
    <w:rsid w:val="005E31D0"/>
    <w:rsid w:val="005F0B81"/>
    <w:rsid w:val="0060485E"/>
    <w:rsid w:val="00610EEA"/>
    <w:rsid w:val="00625EC6"/>
    <w:rsid w:val="0062775F"/>
    <w:rsid w:val="00627F07"/>
    <w:rsid w:val="00635A00"/>
    <w:rsid w:val="00640109"/>
    <w:rsid w:val="006424A8"/>
    <w:rsid w:val="006474D5"/>
    <w:rsid w:val="0066457C"/>
    <w:rsid w:val="006757A9"/>
    <w:rsid w:val="006905E3"/>
    <w:rsid w:val="00692127"/>
    <w:rsid w:val="006A3617"/>
    <w:rsid w:val="006A6A98"/>
    <w:rsid w:val="006C2E59"/>
    <w:rsid w:val="006E5F27"/>
    <w:rsid w:val="006E6786"/>
    <w:rsid w:val="006F05E1"/>
    <w:rsid w:val="006F116E"/>
    <w:rsid w:val="006F3E09"/>
    <w:rsid w:val="006F5D47"/>
    <w:rsid w:val="00715A08"/>
    <w:rsid w:val="00716B54"/>
    <w:rsid w:val="00731203"/>
    <w:rsid w:val="0073399A"/>
    <w:rsid w:val="007434C7"/>
    <w:rsid w:val="00750347"/>
    <w:rsid w:val="0075397C"/>
    <w:rsid w:val="007629E2"/>
    <w:rsid w:val="00773530"/>
    <w:rsid w:val="00773E44"/>
    <w:rsid w:val="00777645"/>
    <w:rsid w:val="0079716D"/>
    <w:rsid w:val="007A0879"/>
    <w:rsid w:val="007B20A0"/>
    <w:rsid w:val="007B4A18"/>
    <w:rsid w:val="007C52B3"/>
    <w:rsid w:val="007D72FE"/>
    <w:rsid w:val="007E20A3"/>
    <w:rsid w:val="00827332"/>
    <w:rsid w:val="008343B2"/>
    <w:rsid w:val="00844D9E"/>
    <w:rsid w:val="00867C3C"/>
    <w:rsid w:val="008727B9"/>
    <w:rsid w:val="00872941"/>
    <w:rsid w:val="00874A7B"/>
    <w:rsid w:val="008751C2"/>
    <w:rsid w:val="008803AC"/>
    <w:rsid w:val="008929D0"/>
    <w:rsid w:val="008A46FE"/>
    <w:rsid w:val="008C0128"/>
    <w:rsid w:val="008C57C8"/>
    <w:rsid w:val="008C7D1B"/>
    <w:rsid w:val="008D48C9"/>
    <w:rsid w:val="008E1455"/>
    <w:rsid w:val="008F4A2A"/>
    <w:rsid w:val="008F51F0"/>
    <w:rsid w:val="008F6EB6"/>
    <w:rsid w:val="0091043E"/>
    <w:rsid w:val="00911781"/>
    <w:rsid w:val="00911BD8"/>
    <w:rsid w:val="00916730"/>
    <w:rsid w:val="00925B6E"/>
    <w:rsid w:val="00937C6C"/>
    <w:rsid w:val="00972299"/>
    <w:rsid w:val="00980667"/>
    <w:rsid w:val="0099236A"/>
    <w:rsid w:val="0099257B"/>
    <w:rsid w:val="009B2190"/>
    <w:rsid w:val="009B65AE"/>
    <w:rsid w:val="009D263D"/>
    <w:rsid w:val="009D6C58"/>
    <w:rsid w:val="009D7365"/>
    <w:rsid w:val="00A0745B"/>
    <w:rsid w:val="00A25CC7"/>
    <w:rsid w:val="00A30061"/>
    <w:rsid w:val="00A31AFC"/>
    <w:rsid w:val="00A365D1"/>
    <w:rsid w:val="00A448AB"/>
    <w:rsid w:val="00A7363E"/>
    <w:rsid w:val="00A82FF9"/>
    <w:rsid w:val="00AA44EA"/>
    <w:rsid w:val="00AA49E9"/>
    <w:rsid w:val="00AA60F9"/>
    <w:rsid w:val="00AB5C8F"/>
    <w:rsid w:val="00AB68B8"/>
    <w:rsid w:val="00AC4D19"/>
    <w:rsid w:val="00AD54FC"/>
    <w:rsid w:val="00AE4B4F"/>
    <w:rsid w:val="00AF2133"/>
    <w:rsid w:val="00B00A76"/>
    <w:rsid w:val="00B02505"/>
    <w:rsid w:val="00B05435"/>
    <w:rsid w:val="00B06C8D"/>
    <w:rsid w:val="00B07478"/>
    <w:rsid w:val="00B20C44"/>
    <w:rsid w:val="00B27A6C"/>
    <w:rsid w:val="00B312FF"/>
    <w:rsid w:val="00B35188"/>
    <w:rsid w:val="00B5106A"/>
    <w:rsid w:val="00B52186"/>
    <w:rsid w:val="00B62498"/>
    <w:rsid w:val="00B64677"/>
    <w:rsid w:val="00B77670"/>
    <w:rsid w:val="00B804DA"/>
    <w:rsid w:val="00B8717E"/>
    <w:rsid w:val="00BA5D03"/>
    <w:rsid w:val="00BC40EF"/>
    <w:rsid w:val="00BC4D3D"/>
    <w:rsid w:val="00BD15C4"/>
    <w:rsid w:val="00BE1584"/>
    <w:rsid w:val="00BF599C"/>
    <w:rsid w:val="00C036CF"/>
    <w:rsid w:val="00C11F11"/>
    <w:rsid w:val="00C174D2"/>
    <w:rsid w:val="00C20554"/>
    <w:rsid w:val="00C2377C"/>
    <w:rsid w:val="00C37BF7"/>
    <w:rsid w:val="00C4056F"/>
    <w:rsid w:val="00C42F32"/>
    <w:rsid w:val="00C52E16"/>
    <w:rsid w:val="00C64A34"/>
    <w:rsid w:val="00C726CD"/>
    <w:rsid w:val="00C7532D"/>
    <w:rsid w:val="00C76CF2"/>
    <w:rsid w:val="00C91FE5"/>
    <w:rsid w:val="00C9255B"/>
    <w:rsid w:val="00C972E2"/>
    <w:rsid w:val="00CA1F93"/>
    <w:rsid w:val="00CA640A"/>
    <w:rsid w:val="00CA7D65"/>
    <w:rsid w:val="00CB2874"/>
    <w:rsid w:val="00CB3BFF"/>
    <w:rsid w:val="00CC1E40"/>
    <w:rsid w:val="00CF096E"/>
    <w:rsid w:val="00CF17D8"/>
    <w:rsid w:val="00D11413"/>
    <w:rsid w:val="00D13DE2"/>
    <w:rsid w:val="00D16980"/>
    <w:rsid w:val="00D2062E"/>
    <w:rsid w:val="00D36E14"/>
    <w:rsid w:val="00D373C6"/>
    <w:rsid w:val="00D53972"/>
    <w:rsid w:val="00D57C51"/>
    <w:rsid w:val="00D60106"/>
    <w:rsid w:val="00D65DD1"/>
    <w:rsid w:val="00D80A79"/>
    <w:rsid w:val="00D82968"/>
    <w:rsid w:val="00D84DC1"/>
    <w:rsid w:val="00D85D97"/>
    <w:rsid w:val="00DA027C"/>
    <w:rsid w:val="00DA6898"/>
    <w:rsid w:val="00DC4A5E"/>
    <w:rsid w:val="00DD2C80"/>
    <w:rsid w:val="00DD2CB8"/>
    <w:rsid w:val="00DE5A68"/>
    <w:rsid w:val="00DF0564"/>
    <w:rsid w:val="00DF2039"/>
    <w:rsid w:val="00DF3828"/>
    <w:rsid w:val="00E146D5"/>
    <w:rsid w:val="00E153D1"/>
    <w:rsid w:val="00E262B2"/>
    <w:rsid w:val="00E523F2"/>
    <w:rsid w:val="00E626A4"/>
    <w:rsid w:val="00E82E45"/>
    <w:rsid w:val="00E83C35"/>
    <w:rsid w:val="00E84C52"/>
    <w:rsid w:val="00EA602A"/>
    <w:rsid w:val="00EB07C9"/>
    <w:rsid w:val="00EB3BE8"/>
    <w:rsid w:val="00EC40E6"/>
    <w:rsid w:val="00EF0774"/>
    <w:rsid w:val="00EF0BE9"/>
    <w:rsid w:val="00F03927"/>
    <w:rsid w:val="00F23230"/>
    <w:rsid w:val="00F32C73"/>
    <w:rsid w:val="00F379CF"/>
    <w:rsid w:val="00F5098C"/>
    <w:rsid w:val="00F5204F"/>
    <w:rsid w:val="00F526D8"/>
    <w:rsid w:val="00F53C39"/>
    <w:rsid w:val="00F55DA1"/>
    <w:rsid w:val="00F612B2"/>
    <w:rsid w:val="00F7675C"/>
    <w:rsid w:val="00F804E6"/>
    <w:rsid w:val="00F8508D"/>
    <w:rsid w:val="00FA1DD7"/>
    <w:rsid w:val="00FA30AF"/>
    <w:rsid w:val="00FA45DE"/>
    <w:rsid w:val="00FB0344"/>
    <w:rsid w:val="00FB2398"/>
    <w:rsid w:val="00FC036D"/>
    <w:rsid w:val="00FC5D78"/>
    <w:rsid w:val="00FD0EF6"/>
    <w:rsid w:val="00FD17A2"/>
    <w:rsid w:val="00FD771C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C1F9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AAE"/>
    <w:rPr>
      <w:rFonts w:ascii="CG Omega" w:hAnsi="CG Omega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7A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7AC5"/>
  </w:style>
  <w:style w:type="paragraph" w:customStyle="1" w:styleId="paragraph">
    <w:name w:val="paragraph"/>
    <w:aliases w:val="a"/>
    <w:rsid w:val="00267AC5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paragraph" w:styleId="Title">
    <w:name w:val="Title"/>
    <w:basedOn w:val="Normal"/>
    <w:next w:val="Normal"/>
    <w:qFormat/>
    <w:rsid w:val="00267AC5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paragraph" w:customStyle="1" w:styleId="HR">
    <w:name w:val="HR"/>
    <w:aliases w:val="Regulation Heading"/>
    <w:basedOn w:val="Normal"/>
    <w:next w:val="R1"/>
    <w:rsid w:val="00267AC5"/>
    <w:pPr>
      <w:keepNext/>
      <w:spacing w:before="360"/>
      <w:ind w:left="964" w:hanging="964"/>
    </w:pPr>
    <w:rPr>
      <w:rFonts w:ascii="Arial" w:hAnsi="Arial"/>
      <w:b/>
      <w:sz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267AC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eastAsia="en-AU"/>
    </w:rPr>
  </w:style>
  <w:style w:type="paragraph" w:customStyle="1" w:styleId="AS">
    <w:name w:val="AS"/>
    <w:aliases w:val="Schedule title Amendment"/>
    <w:basedOn w:val="Normal"/>
    <w:next w:val="Normal"/>
    <w:rsid w:val="00267AC5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Default">
    <w:name w:val="Default"/>
    <w:rsid w:val="00267A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aliases w:val="h"/>
    <w:basedOn w:val="Normal"/>
    <w:link w:val="HeaderChar"/>
    <w:rsid w:val="00267AC5"/>
    <w:pPr>
      <w:tabs>
        <w:tab w:val="center" w:pos="4153"/>
        <w:tab w:val="right" w:pos="8306"/>
      </w:tabs>
      <w:spacing w:before="240"/>
    </w:pPr>
    <w:rPr>
      <w:rFonts w:ascii="Times New Roman" w:hAnsi="Times New Roman"/>
      <w:lang w:eastAsia="en-AU"/>
    </w:rPr>
  </w:style>
  <w:style w:type="character" w:styleId="Emphasis">
    <w:name w:val="Emphasis"/>
    <w:basedOn w:val="DefaultParagraphFont"/>
    <w:qFormat/>
    <w:rsid w:val="00E626A4"/>
    <w:rPr>
      <w:i/>
      <w:iCs/>
    </w:rPr>
  </w:style>
  <w:style w:type="paragraph" w:styleId="BalloonText">
    <w:name w:val="Balloon Text"/>
    <w:basedOn w:val="Normal"/>
    <w:link w:val="BalloonTextChar"/>
    <w:semiHidden/>
    <w:rsid w:val="002142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5AAE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445AAE"/>
    <w:rPr>
      <w:rFonts w:ascii="Arial Narrow" w:hAnsi="Arial Narrow"/>
      <w:sz w:val="20"/>
      <w:szCs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7B4A18"/>
  </w:style>
  <w:style w:type="character" w:customStyle="1" w:styleId="CharDivNo">
    <w:name w:val="CharDivNo"/>
    <w:rsid w:val="007B4A18"/>
  </w:style>
  <w:style w:type="character" w:customStyle="1" w:styleId="CharDivText">
    <w:name w:val="CharDivText"/>
    <w:rsid w:val="007B4A18"/>
  </w:style>
  <w:style w:type="character" w:customStyle="1" w:styleId="CharPartNo">
    <w:name w:val="CharPartNo"/>
    <w:rsid w:val="007B4A18"/>
  </w:style>
  <w:style w:type="character" w:customStyle="1" w:styleId="CharPartText">
    <w:name w:val="CharPartText"/>
    <w:rsid w:val="007B4A18"/>
  </w:style>
  <w:style w:type="character" w:customStyle="1" w:styleId="CharSchPTNo">
    <w:name w:val="CharSchPTNo"/>
    <w:rsid w:val="007B4A18"/>
  </w:style>
  <w:style w:type="paragraph" w:customStyle="1" w:styleId="HP">
    <w:name w:val="HP"/>
    <w:aliases w:val="Part Heading"/>
    <w:basedOn w:val="Normal"/>
    <w:next w:val="Normal"/>
    <w:rsid w:val="007B4A18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Note">
    <w:name w:val="Note"/>
    <w:rsid w:val="007B4A18"/>
    <w:pPr>
      <w:spacing w:before="120" w:line="220" w:lineRule="exact"/>
      <w:ind w:left="964"/>
      <w:jc w:val="both"/>
    </w:pPr>
    <w:rPr>
      <w:szCs w:val="24"/>
    </w:rPr>
  </w:style>
  <w:style w:type="paragraph" w:customStyle="1" w:styleId="HD">
    <w:name w:val="HD"/>
    <w:aliases w:val="Division Heading"/>
    <w:basedOn w:val="Normal"/>
    <w:next w:val="Normal"/>
    <w:rsid w:val="007B4A18"/>
    <w:pPr>
      <w:keepNext/>
      <w:spacing w:before="360"/>
      <w:ind w:left="2410" w:hanging="2410"/>
    </w:pPr>
    <w:rPr>
      <w:rFonts w:ascii="Arial" w:hAnsi="Arial"/>
      <w:b/>
      <w:sz w:val="28"/>
      <w:lang w:eastAsia="en-AU"/>
    </w:rPr>
  </w:style>
  <w:style w:type="character" w:customStyle="1" w:styleId="BalloonTextChar">
    <w:name w:val="Balloon Text Char"/>
    <w:link w:val="BalloonText"/>
    <w:semiHidden/>
    <w:rsid w:val="007B4A18"/>
    <w:rPr>
      <w:rFonts w:ascii="Tahoma" w:hAnsi="Tahoma" w:cs="Tahoma"/>
      <w:sz w:val="16"/>
      <w:szCs w:val="16"/>
      <w:lang w:eastAsia="en-US"/>
    </w:rPr>
  </w:style>
  <w:style w:type="character" w:customStyle="1" w:styleId="CommentTextChar">
    <w:name w:val="Comment Text Char"/>
    <w:semiHidden/>
    <w:rsid w:val="007B4A18"/>
  </w:style>
  <w:style w:type="paragraph" w:styleId="CommentSubject">
    <w:name w:val="annotation subject"/>
    <w:basedOn w:val="CommentText"/>
    <w:next w:val="CommentText"/>
    <w:link w:val="CommentSubjectChar"/>
    <w:rsid w:val="007B4A18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7B4A18"/>
    <w:rPr>
      <w:rFonts w:ascii="Arial Narrow" w:hAnsi="Arial Narrow"/>
    </w:rPr>
  </w:style>
  <w:style w:type="character" w:customStyle="1" w:styleId="CommentSubjectChar">
    <w:name w:val="Comment Subject Char"/>
    <w:basedOn w:val="CommentTextChar1"/>
    <w:link w:val="CommentSubject"/>
    <w:rsid w:val="007B4A18"/>
    <w:rPr>
      <w:rFonts w:ascii="Arial Narrow" w:hAnsi="Arial Narrow"/>
      <w:b/>
      <w:bCs/>
    </w:rPr>
  </w:style>
  <w:style w:type="character" w:customStyle="1" w:styleId="HeaderChar">
    <w:name w:val="Header Char"/>
    <w:aliases w:val="h Char"/>
    <w:link w:val="Header"/>
    <w:rsid w:val="007B4A18"/>
    <w:rPr>
      <w:sz w:val="22"/>
      <w:szCs w:val="24"/>
    </w:rPr>
  </w:style>
  <w:style w:type="character" w:customStyle="1" w:styleId="FooterChar">
    <w:name w:val="Footer Char"/>
    <w:link w:val="Footer"/>
    <w:rsid w:val="007B4A18"/>
    <w:rPr>
      <w:rFonts w:ascii="CG Omega" w:hAnsi="CG Omega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B4A18"/>
    <w:pPr>
      <w:ind w:left="720"/>
      <w:contextualSpacing/>
    </w:pPr>
    <w:rPr>
      <w:rFonts w:ascii="Times New Roman" w:hAnsi="Times New Roman"/>
      <w:sz w:val="24"/>
      <w:lang w:eastAsia="en-AU"/>
    </w:rPr>
  </w:style>
  <w:style w:type="paragraph" w:customStyle="1" w:styleId="NumberLevel1">
    <w:name w:val="Number Level 1"/>
    <w:basedOn w:val="Normal"/>
    <w:rsid w:val="00385861"/>
    <w:pPr>
      <w:numPr>
        <w:numId w:val="12"/>
      </w:numPr>
      <w:spacing w:before="140" w:after="140" w:line="280" w:lineRule="atLeast"/>
    </w:pPr>
    <w:rPr>
      <w:rFonts w:ascii="Arial" w:hAnsi="Arial" w:cs="Arial"/>
      <w:b/>
      <w:szCs w:val="22"/>
      <w:lang w:eastAsia="en-AU"/>
    </w:rPr>
  </w:style>
  <w:style w:type="paragraph" w:customStyle="1" w:styleId="NumberLevel2">
    <w:name w:val="Number Level 2"/>
    <w:basedOn w:val="Normal"/>
    <w:rsid w:val="00385861"/>
    <w:pPr>
      <w:numPr>
        <w:ilvl w:val="1"/>
        <w:numId w:val="12"/>
      </w:numPr>
      <w:spacing w:before="140" w:after="140" w:line="280" w:lineRule="atLeast"/>
    </w:pPr>
    <w:rPr>
      <w:rFonts w:ascii="Arial" w:hAnsi="Arial" w:cs="Arial"/>
      <w:szCs w:val="22"/>
      <w:lang w:eastAsia="en-AU"/>
    </w:rPr>
  </w:style>
  <w:style w:type="paragraph" w:customStyle="1" w:styleId="NumberLevel3">
    <w:name w:val="Number Level 3"/>
    <w:basedOn w:val="Normal"/>
    <w:rsid w:val="00385861"/>
    <w:pPr>
      <w:numPr>
        <w:ilvl w:val="2"/>
        <w:numId w:val="12"/>
      </w:numPr>
      <w:spacing w:before="140" w:after="140" w:line="280" w:lineRule="atLeast"/>
    </w:pPr>
    <w:rPr>
      <w:rFonts w:ascii="Arial" w:hAnsi="Arial" w:cs="Arial"/>
      <w:szCs w:val="22"/>
      <w:lang w:eastAsia="en-AU"/>
    </w:rPr>
  </w:style>
  <w:style w:type="paragraph" w:customStyle="1" w:styleId="NumberLevel4">
    <w:name w:val="Number Level 4"/>
    <w:basedOn w:val="Normal"/>
    <w:rsid w:val="00385861"/>
    <w:pPr>
      <w:numPr>
        <w:ilvl w:val="3"/>
        <w:numId w:val="12"/>
      </w:numPr>
      <w:spacing w:after="140" w:line="280" w:lineRule="atLeast"/>
    </w:pPr>
    <w:rPr>
      <w:rFonts w:ascii="Arial" w:hAnsi="Arial" w:cs="Arial"/>
      <w:szCs w:val="22"/>
      <w:lang w:eastAsia="en-AU"/>
    </w:rPr>
  </w:style>
  <w:style w:type="paragraph" w:customStyle="1" w:styleId="NumberLevel5">
    <w:name w:val="Number Level 5"/>
    <w:basedOn w:val="Normal"/>
    <w:semiHidden/>
    <w:rsid w:val="00385861"/>
    <w:pPr>
      <w:numPr>
        <w:ilvl w:val="4"/>
        <w:numId w:val="12"/>
      </w:numPr>
      <w:spacing w:after="140" w:line="280" w:lineRule="atLeast"/>
    </w:pPr>
    <w:rPr>
      <w:rFonts w:ascii="Arial" w:hAnsi="Arial" w:cs="Arial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385861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385861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385861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385861"/>
    <w:pPr>
      <w:numPr>
        <w:ilvl w:val="8"/>
      </w:numPr>
    </w:pPr>
  </w:style>
  <w:style w:type="paragraph" w:customStyle="1" w:styleId="Paragraph0">
    <w:name w:val="Paragraph"/>
    <w:basedOn w:val="Normal"/>
    <w:rsid w:val="00E523F2"/>
    <w:pPr>
      <w:numPr>
        <w:ilvl w:val="12"/>
      </w:numPr>
      <w:spacing w:before="240"/>
    </w:pPr>
    <w:rPr>
      <w:rFonts w:ascii="Times New Roman" w:hAnsi="Times New Roman"/>
      <w:sz w:val="24"/>
      <w:szCs w:val="20"/>
      <w:lang w:eastAsia="en-AU"/>
    </w:rPr>
  </w:style>
  <w:style w:type="paragraph" w:customStyle="1" w:styleId="PlainParagraph">
    <w:name w:val="Plain Paragraph"/>
    <w:basedOn w:val="Normal"/>
    <w:rsid w:val="001A1A8D"/>
    <w:pPr>
      <w:spacing w:before="140" w:after="140" w:line="280" w:lineRule="atLeast"/>
    </w:pPr>
    <w:rPr>
      <w:rFonts w:ascii="Arial" w:hAnsi="Arial" w:cs="Arial"/>
      <w:szCs w:val="22"/>
      <w:lang w:eastAsia="en-AU"/>
    </w:rPr>
  </w:style>
  <w:style w:type="paragraph" w:customStyle="1" w:styleId="default0">
    <w:name w:val="default"/>
    <w:basedOn w:val="Normal"/>
    <w:rsid w:val="001A1A8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370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76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4787-A52F-4056-BC59-535882B1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1760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AUSTRAC</Company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pjohns</dc:creator>
  <cp:keywords/>
  <dc:description/>
  <cp:lastModifiedBy>Hugh Dixon</cp:lastModifiedBy>
  <cp:revision>2</cp:revision>
  <cp:lastPrinted>2015-01-13T00:12:00Z</cp:lastPrinted>
  <dcterms:created xsi:type="dcterms:W3CDTF">2015-01-21T23:45:00Z</dcterms:created>
  <dcterms:modified xsi:type="dcterms:W3CDTF">2015-01-21T23:45:00Z</dcterms:modified>
</cp:coreProperties>
</file>