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41B" w:rsidRDefault="0051641B">
      <w:pPr>
        <w:rPr>
          <w:rFonts w:ascii="Arial" w:hAnsi="Arial" w:cs="Arial"/>
        </w:rPr>
      </w:pPr>
    </w:p>
    <w:p w:rsidR="0051641B" w:rsidRDefault="0051641B">
      <w:pPr>
        <w:rPr>
          <w:rFonts w:ascii="Arial" w:hAnsi="Arial" w:cs="Arial"/>
        </w:rPr>
      </w:pPr>
    </w:p>
    <w:p w:rsidR="0051641B" w:rsidRDefault="0051641B">
      <w:pPr>
        <w:rPr>
          <w:rFonts w:ascii="Arial" w:hAnsi="Arial" w:cs="Arial"/>
        </w:rPr>
      </w:pPr>
    </w:p>
    <w:p w:rsidR="0051641B" w:rsidRDefault="0051641B">
      <w:pPr>
        <w:jc w:val="center"/>
        <w:rPr>
          <w:rFonts w:ascii="Arial" w:hAnsi="Arial" w:cs="Arial"/>
        </w:rPr>
      </w:pPr>
      <w:r>
        <w:rPr>
          <w:rFonts w:ascii="Arial" w:hAnsi="Arial" w:cs="Arial"/>
        </w:rPr>
        <w:t xml:space="preserve">COMMONWEALTH OF </w:t>
      </w:r>
      <w:smartTag w:uri="urn:schemas-microsoft-com:office:smarttags" w:element="country-region">
        <w:smartTag w:uri="urn:schemas-microsoft-com:office:smarttags" w:element="place">
          <w:r>
            <w:rPr>
              <w:rFonts w:ascii="Arial" w:hAnsi="Arial" w:cs="Arial"/>
            </w:rPr>
            <w:t>AUSTRALIA</w:t>
          </w:r>
        </w:smartTag>
      </w:smartTag>
    </w:p>
    <w:p w:rsidR="0051641B" w:rsidRDefault="0051641B">
      <w:pPr>
        <w:jc w:val="center"/>
        <w:rPr>
          <w:rFonts w:ascii="Arial" w:hAnsi="Arial" w:cs="Arial"/>
          <w:i/>
        </w:rPr>
      </w:pPr>
    </w:p>
    <w:p w:rsidR="0051641B" w:rsidRDefault="0051641B">
      <w:pPr>
        <w:jc w:val="center"/>
        <w:rPr>
          <w:rFonts w:ascii="Arial" w:hAnsi="Arial" w:cs="Arial"/>
          <w:i/>
        </w:rPr>
      </w:pPr>
      <w:r>
        <w:rPr>
          <w:rFonts w:ascii="Arial" w:hAnsi="Arial" w:cs="Arial"/>
          <w:i/>
        </w:rPr>
        <w:t>Environment Protection and Biodiversity Conservation Act 1999</w:t>
      </w:r>
    </w:p>
    <w:p w:rsidR="0051641B" w:rsidRDefault="0051641B">
      <w:pPr>
        <w:jc w:val="center"/>
        <w:rPr>
          <w:rFonts w:ascii="Arial" w:hAnsi="Arial" w:cs="Arial"/>
          <w:i/>
        </w:rPr>
      </w:pPr>
    </w:p>
    <w:p w:rsidR="0051641B" w:rsidRDefault="0051641B">
      <w:pPr>
        <w:jc w:val="center"/>
        <w:rPr>
          <w:rFonts w:ascii="Arial" w:hAnsi="Arial" w:cs="Arial"/>
          <w:i/>
        </w:rPr>
      </w:pPr>
    </w:p>
    <w:p w:rsidR="0051641B" w:rsidRDefault="0051641B">
      <w:pPr>
        <w:jc w:val="center"/>
        <w:rPr>
          <w:rFonts w:ascii="Arial" w:hAnsi="Arial" w:cs="Arial"/>
          <w:b/>
        </w:rPr>
      </w:pPr>
      <w:r>
        <w:rPr>
          <w:rFonts w:ascii="Arial" w:hAnsi="Arial" w:cs="Arial"/>
          <w:b/>
        </w:rPr>
        <w:t>Amendment to List of CITES Species</w:t>
      </w:r>
    </w:p>
    <w:p w:rsidR="0051641B" w:rsidRDefault="0051641B">
      <w:pPr>
        <w:jc w:val="center"/>
        <w:rPr>
          <w:rFonts w:ascii="Arial" w:hAnsi="Arial" w:cs="Arial"/>
        </w:rPr>
      </w:pPr>
    </w:p>
    <w:p w:rsidR="0051641B" w:rsidRDefault="0051641B">
      <w:pPr>
        <w:jc w:val="center"/>
        <w:rPr>
          <w:rFonts w:ascii="Arial" w:hAnsi="Arial" w:cs="Arial"/>
        </w:rPr>
      </w:pPr>
    </w:p>
    <w:p w:rsidR="0051641B" w:rsidRDefault="0051641B">
      <w:pPr>
        <w:jc w:val="center"/>
        <w:rPr>
          <w:rFonts w:ascii="Arial" w:hAnsi="Arial" w:cs="Arial"/>
        </w:rPr>
      </w:pPr>
    </w:p>
    <w:p w:rsidR="0051641B" w:rsidRDefault="0051641B">
      <w:pPr>
        <w:jc w:val="both"/>
        <w:rPr>
          <w:rFonts w:ascii="Arial" w:hAnsi="Arial" w:cs="Arial"/>
        </w:rPr>
      </w:pPr>
      <w:r>
        <w:rPr>
          <w:rFonts w:ascii="Arial" w:hAnsi="Arial" w:cs="Arial"/>
        </w:rPr>
        <w:t xml:space="preserve">I, </w:t>
      </w:r>
      <w:r w:rsidR="00CE537D">
        <w:rPr>
          <w:rFonts w:ascii="Arial" w:hAnsi="Arial" w:cs="Arial"/>
        </w:rPr>
        <w:t>Paul Murphy</w:t>
      </w:r>
      <w:r>
        <w:rPr>
          <w:rFonts w:ascii="Arial" w:hAnsi="Arial" w:cs="Arial"/>
        </w:rPr>
        <w:t>,</w:t>
      </w:r>
      <w:r w:rsidR="000E646C">
        <w:rPr>
          <w:rFonts w:ascii="Arial" w:hAnsi="Arial" w:cs="Arial"/>
        </w:rPr>
        <w:t xml:space="preserve"> </w:t>
      </w:r>
      <w:r>
        <w:rPr>
          <w:rFonts w:ascii="Arial" w:hAnsi="Arial" w:cs="Arial"/>
        </w:rPr>
        <w:t>Assistant Secretary</w:t>
      </w:r>
      <w:r w:rsidR="0064007F">
        <w:rPr>
          <w:rFonts w:ascii="Arial" w:hAnsi="Arial" w:cs="Arial"/>
        </w:rPr>
        <w:t>,</w:t>
      </w:r>
      <w:r>
        <w:rPr>
          <w:rFonts w:ascii="Arial" w:hAnsi="Arial" w:cs="Arial"/>
        </w:rPr>
        <w:t xml:space="preserve"> Wildlife </w:t>
      </w:r>
      <w:r w:rsidR="00D83677">
        <w:rPr>
          <w:rFonts w:ascii="Arial" w:hAnsi="Arial" w:cs="Arial"/>
        </w:rPr>
        <w:t xml:space="preserve">Trade and Biosecurity </w:t>
      </w:r>
      <w:r>
        <w:rPr>
          <w:rFonts w:ascii="Arial" w:hAnsi="Arial" w:cs="Arial"/>
        </w:rPr>
        <w:t>Branch</w:t>
      </w:r>
      <w:r w:rsidR="0064007F">
        <w:rPr>
          <w:rFonts w:ascii="Arial" w:hAnsi="Arial" w:cs="Arial"/>
        </w:rPr>
        <w:t>, delegate</w:t>
      </w:r>
      <w:r>
        <w:rPr>
          <w:rFonts w:ascii="Arial" w:hAnsi="Arial" w:cs="Arial"/>
        </w:rPr>
        <w:t xml:space="preserve"> of the </w:t>
      </w:r>
      <w:r w:rsidR="0064007F">
        <w:rPr>
          <w:rFonts w:ascii="Arial" w:hAnsi="Arial" w:cs="Arial"/>
        </w:rPr>
        <w:t>Minister for</w:t>
      </w:r>
      <w:r>
        <w:rPr>
          <w:rFonts w:ascii="Arial" w:hAnsi="Arial" w:cs="Arial"/>
        </w:rPr>
        <w:t xml:space="preserve"> </w:t>
      </w:r>
      <w:r w:rsidR="00D83677">
        <w:rPr>
          <w:rFonts w:ascii="Arial" w:hAnsi="Arial" w:cs="Arial"/>
        </w:rPr>
        <w:t>the</w:t>
      </w:r>
      <w:r>
        <w:rPr>
          <w:rFonts w:ascii="Arial" w:hAnsi="Arial" w:cs="Arial"/>
        </w:rPr>
        <w:t xml:space="preserve"> Environment pursuant to paragraphs 303CA(9)(b) and (c) of the </w:t>
      </w:r>
      <w:r>
        <w:rPr>
          <w:rFonts w:ascii="Arial" w:hAnsi="Arial" w:cs="Arial"/>
          <w:i/>
        </w:rPr>
        <w:t>Environment Protection and Biodiversity Conservation Act 1999</w:t>
      </w:r>
      <w:r>
        <w:rPr>
          <w:rFonts w:ascii="Arial" w:hAnsi="Arial" w:cs="Arial"/>
        </w:rPr>
        <w:t xml:space="preserve">, amend the List of CITES Species established under subsection 303CA(1) of that Act, as set out in Schedule 1 to this </w:t>
      </w:r>
      <w:r w:rsidR="00051A74">
        <w:rPr>
          <w:rFonts w:ascii="Arial" w:hAnsi="Arial" w:cs="Arial"/>
        </w:rPr>
        <w:t>I</w:t>
      </w:r>
      <w:r>
        <w:rPr>
          <w:rFonts w:ascii="Arial" w:hAnsi="Arial" w:cs="Arial"/>
        </w:rPr>
        <w:t xml:space="preserve">nstrument. </w:t>
      </w:r>
    </w:p>
    <w:p w:rsidR="0051641B" w:rsidRDefault="0051641B">
      <w:pPr>
        <w:jc w:val="both"/>
        <w:rPr>
          <w:rFonts w:ascii="Arial" w:hAnsi="Arial" w:cs="Arial"/>
        </w:rPr>
      </w:pPr>
    </w:p>
    <w:p w:rsidR="0051641B" w:rsidRDefault="0051641B">
      <w:pPr>
        <w:jc w:val="both"/>
        <w:rPr>
          <w:rFonts w:ascii="Arial" w:hAnsi="Arial" w:cs="Arial"/>
        </w:rPr>
      </w:pPr>
      <w:r w:rsidRPr="00E1440F">
        <w:rPr>
          <w:rFonts w:ascii="Arial" w:hAnsi="Arial" w:cs="Arial"/>
        </w:rPr>
        <w:t xml:space="preserve">This </w:t>
      </w:r>
      <w:r w:rsidR="0064007F" w:rsidRPr="00E1440F">
        <w:rPr>
          <w:rFonts w:ascii="Arial" w:hAnsi="Arial" w:cs="Arial"/>
        </w:rPr>
        <w:t>I</w:t>
      </w:r>
      <w:r w:rsidRPr="00E1440F">
        <w:rPr>
          <w:rFonts w:ascii="Arial" w:hAnsi="Arial" w:cs="Arial"/>
        </w:rPr>
        <w:t xml:space="preserve">nstrument will </w:t>
      </w:r>
      <w:r w:rsidR="001753C8" w:rsidRPr="00E1440F">
        <w:rPr>
          <w:rFonts w:ascii="Arial" w:hAnsi="Arial" w:cs="Arial"/>
        </w:rPr>
        <w:t>commence</w:t>
      </w:r>
      <w:r w:rsidRPr="00E1440F">
        <w:rPr>
          <w:rFonts w:ascii="Arial" w:hAnsi="Arial" w:cs="Arial"/>
        </w:rPr>
        <w:t xml:space="preserve"> </w:t>
      </w:r>
      <w:r w:rsidR="0043497F">
        <w:rPr>
          <w:rFonts w:ascii="Arial" w:hAnsi="Arial" w:cs="Arial"/>
        </w:rPr>
        <w:t>the day after registration on the Federal Register of Legislative Instruments</w:t>
      </w:r>
      <w:r w:rsidRPr="00E1440F">
        <w:rPr>
          <w:rFonts w:ascii="Arial" w:hAnsi="Arial" w:cs="Arial"/>
        </w:rPr>
        <w:t>.</w:t>
      </w:r>
    </w:p>
    <w:p w:rsidR="0051641B" w:rsidRDefault="0051641B">
      <w:pPr>
        <w:rPr>
          <w:rFonts w:ascii="Arial" w:hAnsi="Arial" w:cs="Arial"/>
        </w:rPr>
      </w:pPr>
    </w:p>
    <w:p w:rsidR="0051641B" w:rsidRDefault="0051641B">
      <w:pPr>
        <w:rPr>
          <w:rFonts w:ascii="Arial" w:hAnsi="Arial" w:cs="Arial"/>
        </w:rPr>
      </w:pPr>
    </w:p>
    <w:p w:rsidR="0051641B" w:rsidRDefault="000E646C">
      <w:pPr>
        <w:jc w:val="center"/>
        <w:rPr>
          <w:rFonts w:ascii="Arial" w:hAnsi="Arial" w:cs="Arial"/>
        </w:rPr>
      </w:pPr>
      <w:r>
        <w:rPr>
          <w:rFonts w:ascii="Arial" w:hAnsi="Arial" w:cs="Arial"/>
        </w:rPr>
        <w:t xml:space="preserve">Dated this </w:t>
      </w:r>
      <w:r w:rsidR="00253659">
        <w:rPr>
          <w:rFonts w:ascii="Arial" w:hAnsi="Arial" w:cs="Arial"/>
        </w:rPr>
        <w:t xml:space="preserve"> </w:t>
      </w:r>
      <w:r w:rsidR="00AA4D52">
        <w:rPr>
          <w:rFonts w:ascii="Arial" w:hAnsi="Arial" w:cs="Arial"/>
          <w:b/>
        </w:rPr>
        <w:t xml:space="preserve">      </w:t>
      </w:r>
      <w:r w:rsidR="00D83677">
        <w:rPr>
          <w:rFonts w:ascii="Arial" w:hAnsi="Arial" w:cs="Arial"/>
          <w:b/>
        </w:rPr>
        <w:t xml:space="preserve">   </w:t>
      </w:r>
      <w:r w:rsidR="00436E08">
        <w:rPr>
          <w:rFonts w:ascii="Arial" w:hAnsi="Arial" w:cs="Arial"/>
          <w:b/>
        </w:rPr>
        <w:t xml:space="preserve"> </w:t>
      </w:r>
      <w:r w:rsidR="00C50150">
        <w:rPr>
          <w:rFonts w:ascii="Arial" w:hAnsi="Arial" w:cs="Arial"/>
          <w:b/>
        </w:rPr>
        <w:t xml:space="preserve"> </w:t>
      </w:r>
      <w:r w:rsidR="008B0437">
        <w:rPr>
          <w:rFonts w:ascii="Arial" w:hAnsi="Arial" w:cs="Arial"/>
          <w:b/>
        </w:rPr>
        <w:t xml:space="preserve"> </w:t>
      </w:r>
      <w:r w:rsidR="00C50150">
        <w:rPr>
          <w:rFonts w:ascii="Arial" w:hAnsi="Arial" w:cs="Arial"/>
          <w:b/>
        </w:rPr>
        <w:t xml:space="preserve">  </w:t>
      </w:r>
      <w:r w:rsidR="00EC1451">
        <w:rPr>
          <w:rFonts w:ascii="Arial" w:hAnsi="Arial" w:cs="Arial"/>
          <w:b/>
        </w:rPr>
        <w:t>3rd</w:t>
      </w:r>
      <w:r w:rsidR="00436E08">
        <w:rPr>
          <w:rFonts w:ascii="Arial" w:hAnsi="Arial" w:cs="Arial"/>
          <w:b/>
        </w:rPr>
        <w:t xml:space="preserve"> </w:t>
      </w:r>
      <w:r w:rsidR="00AA4D52">
        <w:rPr>
          <w:rFonts w:ascii="Arial" w:hAnsi="Arial" w:cs="Arial"/>
          <w:b/>
        </w:rPr>
        <w:t xml:space="preserve">          </w:t>
      </w:r>
      <w:r w:rsidR="0051641B">
        <w:rPr>
          <w:rFonts w:ascii="Arial" w:hAnsi="Arial" w:cs="Arial"/>
        </w:rPr>
        <w:t>day of</w:t>
      </w:r>
      <w:r w:rsidR="00AB3EDE">
        <w:rPr>
          <w:rFonts w:ascii="Arial" w:hAnsi="Arial" w:cs="Arial"/>
        </w:rPr>
        <w:t xml:space="preserve"> </w:t>
      </w:r>
      <w:r w:rsidR="00D63517">
        <w:rPr>
          <w:rFonts w:ascii="Arial" w:hAnsi="Arial" w:cs="Arial"/>
        </w:rPr>
        <w:t xml:space="preserve">       </w:t>
      </w:r>
      <w:r w:rsidR="00AA4D52">
        <w:rPr>
          <w:rFonts w:ascii="Arial" w:hAnsi="Arial" w:cs="Arial"/>
        </w:rPr>
        <w:t xml:space="preserve">  </w:t>
      </w:r>
      <w:r w:rsidR="00436E08" w:rsidRPr="001E3466">
        <w:rPr>
          <w:rFonts w:ascii="Arial" w:hAnsi="Arial" w:cs="Arial"/>
          <w:b/>
        </w:rPr>
        <w:t xml:space="preserve"> </w:t>
      </w:r>
      <w:r w:rsidR="00436E08">
        <w:rPr>
          <w:rFonts w:ascii="Arial" w:hAnsi="Arial" w:cs="Arial"/>
        </w:rPr>
        <w:t xml:space="preserve">  </w:t>
      </w:r>
      <w:r w:rsidR="008B0437">
        <w:rPr>
          <w:rFonts w:ascii="Arial" w:hAnsi="Arial" w:cs="Arial"/>
        </w:rPr>
        <w:t xml:space="preserve"> </w:t>
      </w:r>
      <w:r w:rsidR="00C50150">
        <w:rPr>
          <w:rFonts w:ascii="Arial" w:hAnsi="Arial" w:cs="Arial"/>
        </w:rPr>
        <w:t xml:space="preserve">   </w:t>
      </w:r>
      <w:r w:rsidR="00EC1451" w:rsidRPr="00EC1451">
        <w:rPr>
          <w:rFonts w:ascii="Arial" w:hAnsi="Arial" w:cs="Arial"/>
          <w:b/>
        </w:rPr>
        <w:t>February</w:t>
      </w:r>
      <w:r w:rsidR="00436E08">
        <w:rPr>
          <w:rFonts w:ascii="Arial" w:hAnsi="Arial" w:cs="Arial"/>
        </w:rPr>
        <w:t xml:space="preserve">  </w:t>
      </w:r>
      <w:r w:rsidR="00AA4D52">
        <w:rPr>
          <w:rFonts w:ascii="Arial" w:hAnsi="Arial" w:cs="Arial"/>
        </w:rPr>
        <w:t xml:space="preserve"> </w:t>
      </w:r>
      <w:r w:rsidR="00D83677">
        <w:rPr>
          <w:rFonts w:ascii="Arial" w:hAnsi="Arial" w:cs="Arial"/>
        </w:rPr>
        <w:t xml:space="preserve">  </w:t>
      </w:r>
      <w:r w:rsidR="00D63517">
        <w:rPr>
          <w:rFonts w:ascii="Arial" w:hAnsi="Arial" w:cs="Arial"/>
        </w:rPr>
        <w:t xml:space="preserve">     </w:t>
      </w:r>
      <w:r w:rsidR="002106C4">
        <w:rPr>
          <w:rFonts w:ascii="Arial" w:hAnsi="Arial" w:cs="Arial"/>
        </w:rPr>
        <w:t>2015</w:t>
      </w:r>
    </w:p>
    <w:p w:rsidR="0051641B" w:rsidRDefault="00D83677">
      <w:pPr>
        <w:jc w:val="center"/>
        <w:rPr>
          <w:rFonts w:ascii="Arial" w:hAnsi="Arial" w:cs="Arial"/>
        </w:rPr>
      </w:pPr>
      <w:r>
        <w:rPr>
          <w:rFonts w:ascii="Arial" w:hAnsi="Arial" w:cs="Arial"/>
        </w:rPr>
        <w:t xml:space="preserve"> </w:t>
      </w:r>
    </w:p>
    <w:p w:rsidR="0051641B" w:rsidRDefault="0051641B">
      <w:pPr>
        <w:jc w:val="center"/>
        <w:rPr>
          <w:rFonts w:ascii="Arial" w:hAnsi="Arial" w:cs="Arial"/>
        </w:rPr>
      </w:pPr>
    </w:p>
    <w:p w:rsidR="00253659" w:rsidRDefault="00253659">
      <w:pPr>
        <w:jc w:val="center"/>
        <w:rPr>
          <w:rFonts w:ascii="Arial" w:hAnsi="Arial" w:cs="Arial"/>
          <w:b/>
        </w:rPr>
      </w:pPr>
    </w:p>
    <w:p w:rsidR="00AA4D52" w:rsidRDefault="00EC1451">
      <w:pPr>
        <w:jc w:val="center"/>
        <w:rPr>
          <w:rFonts w:ascii="Arial" w:hAnsi="Arial" w:cs="Arial"/>
          <w:b/>
        </w:rPr>
      </w:pPr>
      <w:r>
        <w:rPr>
          <w:rFonts w:ascii="Arial" w:hAnsi="Arial" w:cs="Arial"/>
          <w:b/>
        </w:rPr>
        <w:t>Paul Murphy</w:t>
      </w:r>
    </w:p>
    <w:p w:rsidR="00C50150" w:rsidRDefault="00C50150">
      <w:pPr>
        <w:jc w:val="center"/>
        <w:rPr>
          <w:rFonts w:ascii="Arial" w:hAnsi="Arial" w:cs="Arial"/>
          <w:b/>
        </w:rPr>
      </w:pPr>
    </w:p>
    <w:p w:rsidR="00D63517" w:rsidRDefault="00D63517">
      <w:pPr>
        <w:jc w:val="center"/>
        <w:rPr>
          <w:rFonts w:ascii="Arial" w:hAnsi="Arial" w:cs="Arial"/>
          <w:b/>
        </w:rPr>
      </w:pPr>
    </w:p>
    <w:p w:rsidR="0051641B" w:rsidRDefault="0051641B">
      <w:pPr>
        <w:jc w:val="center"/>
        <w:rPr>
          <w:rFonts w:ascii="Arial" w:hAnsi="Arial" w:cs="Arial"/>
          <w:b/>
        </w:rPr>
      </w:pPr>
    </w:p>
    <w:p w:rsidR="0051641B" w:rsidRDefault="00CE537D">
      <w:pPr>
        <w:jc w:val="center"/>
        <w:rPr>
          <w:rFonts w:ascii="Arial" w:hAnsi="Arial" w:cs="Arial"/>
          <w:b/>
          <w:caps/>
        </w:rPr>
      </w:pPr>
      <w:r>
        <w:rPr>
          <w:rFonts w:ascii="Arial" w:hAnsi="Arial" w:cs="Arial"/>
          <w:b/>
          <w:caps/>
        </w:rPr>
        <w:t>Paul Murphy</w:t>
      </w:r>
    </w:p>
    <w:p w:rsidR="0051641B" w:rsidRDefault="0051641B">
      <w:pPr>
        <w:jc w:val="center"/>
        <w:rPr>
          <w:rFonts w:ascii="Arial" w:hAnsi="Arial" w:cs="Arial"/>
        </w:rPr>
      </w:pPr>
    </w:p>
    <w:p w:rsidR="0051641B" w:rsidRDefault="0051641B">
      <w:pPr>
        <w:jc w:val="center"/>
        <w:rPr>
          <w:rFonts w:ascii="Arial" w:hAnsi="Arial" w:cs="Arial"/>
        </w:rPr>
      </w:pPr>
      <w:r>
        <w:rPr>
          <w:rFonts w:ascii="Arial" w:hAnsi="Arial" w:cs="Arial"/>
        </w:rPr>
        <w:t>Assistant Secretary</w:t>
      </w:r>
    </w:p>
    <w:p w:rsidR="0051641B" w:rsidRDefault="0051641B">
      <w:pPr>
        <w:jc w:val="center"/>
        <w:rPr>
          <w:rFonts w:ascii="Arial" w:hAnsi="Arial" w:cs="Arial"/>
        </w:rPr>
      </w:pPr>
      <w:r>
        <w:rPr>
          <w:rFonts w:ascii="Arial" w:hAnsi="Arial" w:cs="Arial"/>
        </w:rPr>
        <w:t xml:space="preserve">Wildlife </w:t>
      </w:r>
      <w:r w:rsidR="00D83677">
        <w:rPr>
          <w:rFonts w:ascii="Arial" w:hAnsi="Arial" w:cs="Arial"/>
        </w:rPr>
        <w:t xml:space="preserve">Trade and Biosecurity </w:t>
      </w:r>
      <w:r>
        <w:rPr>
          <w:rFonts w:ascii="Arial" w:hAnsi="Arial" w:cs="Arial"/>
        </w:rPr>
        <w:t>Branch</w:t>
      </w:r>
    </w:p>
    <w:p w:rsidR="0051641B" w:rsidRDefault="0051641B" w:rsidP="00D83677">
      <w:pPr>
        <w:jc w:val="center"/>
        <w:rPr>
          <w:rFonts w:ascii="Arial" w:hAnsi="Arial" w:cs="Arial"/>
        </w:rPr>
      </w:pPr>
      <w:r>
        <w:rPr>
          <w:rFonts w:ascii="Arial" w:hAnsi="Arial" w:cs="Arial"/>
        </w:rPr>
        <w:t>De</w:t>
      </w:r>
      <w:r w:rsidR="00051A74">
        <w:rPr>
          <w:rFonts w:ascii="Arial" w:hAnsi="Arial" w:cs="Arial"/>
        </w:rPr>
        <w:t>legate</w:t>
      </w:r>
      <w:r>
        <w:rPr>
          <w:rFonts w:ascii="Arial" w:hAnsi="Arial" w:cs="Arial"/>
        </w:rPr>
        <w:t xml:space="preserve"> of</w:t>
      </w:r>
      <w:r w:rsidR="00051A74">
        <w:rPr>
          <w:rFonts w:ascii="Arial" w:hAnsi="Arial" w:cs="Arial"/>
        </w:rPr>
        <w:t xml:space="preserve"> the Minister for</w:t>
      </w:r>
      <w:r w:rsidR="00D83677">
        <w:rPr>
          <w:rFonts w:ascii="Arial" w:hAnsi="Arial" w:cs="Arial"/>
        </w:rPr>
        <w:t xml:space="preserve"> the Environment</w:t>
      </w:r>
    </w:p>
    <w:p w:rsidR="0051641B" w:rsidRDefault="0051641B">
      <w:pPr>
        <w:autoSpaceDE w:val="0"/>
        <w:autoSpaceDN w:val="0"/>
        <w:adjustRightInd w:val="0"/>
        <w:rPr>
          <w:rFonts w:ascii="Arial" w:hAnsi="Arial" w:cs="Arial"/>
        </w:rPr>
      </w:pPr>
    </w:p>
    <w:p w:rsidR="00D83677" w:rsidRDefault="00D83677">
      <w:pPr>
        <w:rPr>
          <w:rFonts w:ascii="Arial" w:hAnsi="Arial" w:cs="Arial"/>
          <w:sz w:val="20"/>
        </w:rPr>
      </w:pPr>
    </w:p>
    <w:p w:rsidR="0051641B" w:rsidRDefault="0051641B">
      <w:pPr>
        <w:rPr>
          <w:rFonts w:ascii="Arial" w:hAnsi="Arial" w:cs="Arial"/>
          <w:sz w:val="20"/>
        </w:rPr>
      </w:pPr>
      <w:r>
        <w:rPr>
          <w:rFonts w:ascii="Arial" w:hAnsi="Arial" w:cs="Arial"/>
          <w:sz w:val="20"/>
        </w:rPr>
        <w:t>Notes:</w:t>
      </w:r>
    </w:p>
    <w:p w:rsidR="0051641B" w:rsidRDefault="0051641B">
      <w:pPr>
        <w:rPr>
          <w:rFonts w:ascii="Arial" w:hAnsi="Arial" w:cs="Arial"/>
          <w:sz w:val="20"/>
        </w:rPr>
      </w:pPr>
    </w:p>
    <w:p w:rsidR="0051641B" w:rsidRDefault="0051641B">
      <w:pPr>
        <w:rPr>
          <w:rFonts w:ascii="Arial" w:hAnsi="Arial" w:cs="Arial"/>
          <w:sz w:val="20"/>
        </w:rPr>
      </w:pPr>
      <w:r>
        <w:rPr>
          <w:rFonts w:ascii="Arial" w:hAnsi="Arial" w:cs="Arial"/>
          <w:b/>
          <w:bCs/>
          <w:i/>
          <w:iCs/>
          <w:sz w:val="20"/>
        </w:rPr>
        <w:t>CITES</w:t>
      </w:r>
      <w:r>
        <w:rPr>
          <w:rFonts w:ascii="Arial" w:hAnsi="Arial" w:cs="Arial"/>
          <w:sz w:val="20"/>
        </w:rPr>
        <w:t xml:space="preserve"> means the Convention on International Trade in Endangered Species of Wild Fauna and Flora made at </w:t>
      </w:r>
      <w:smartTag w:uri="urn:schemas-microsoft-com:office:smarttags" w:element="State">
        <w:r>
          <w:rPr>
            <w:rFonts w:ascii="Arial" w:hAnsi="Arial" w:cs="Arial"/>
            <w:sz w:val="20"/>
          </w:rPr>
          <w:t>Washington</w:t>
        </w:r>
      </w:smartTag>
      <w:r>
        <w:rPr>
          <w:rFonts w:ascii="Arial" w:hAnsi="Arial" w:cs="Arial"/>
          <w:sz w:val="20"/>
        </w:rPr>
        <w:t xml:space="preserve"> on 3 March 1973, as amended and in force for </w:t>
      </w:r>
      <w:smartTag w:uri="urn:schemas-microsoft-com:office:smarttags" w:element="country-region">
        <w:smartTag w:uri="urn:schemas-microsoft-com:office:smarttags" w:element="place">
          <w:r>
            <w:rPr>
              <w:rFonts w:ascii="Arial" w:hAnsi="Arial" w:cs="Arial"/>
              <w:sz w:val="20"/>
            </w:rPr>
            <w:t>Australia</w:t>
          </w:r>
        </w:smartTag>
      </w:smartTag>
      <w:r>
        <w:rPr>
          <w:rFonts w:ascii="Arial" w:hAnsi="Arial" w:cs="Arial"/>
          <w:sz w:val="20"/>
        </w:rPr>
        <w:t xml:space="preserve"> from time to time.</w:t>
      </w:r>
    </w:p>
    <w:p w:rsidR="0051641B" w:rsidRDefault="0051641B">
      <w:pPr>
        <w:jc w:val="center"/>
        <w:rPr>
          <w:rFonts w:ascii="Arial" w:hAnsi="Arial" w:cs="Arial"/>
        </w:rPr>
      </w:pPr>
    </w:p>
    <w:p w:rsidR="0051641B" w:rsidRDefault="0051641B">
      <w:pPr>
        <w:rPr>
          <w:rFonts w:ascii="Arial" w:hAnsi="Arial" w:cs="Arial"/>
        </w:rPr>
        <w:sectPr w:rsidR="0051641B">
          <w:pgSz w:w="11906" w:h="16838"/>
          <w:pgMar w:top="1440" w:right="1800" w:bottom="1440" w:left="1800" w:header="708" w:footer="708" w:gutter="0"/>
          <w:cols w:space="708"/>
          <w:docGrid w:linePitch="360"/>
        </w:sectPr>
      </w:pPr>
    </w:p>
    <w:p w:rsidR="0051641B" w:rsidRPr="003B43EF" w:rsidRDefault="0051641B" w:rsidP="0039585F">
      <w:pPr>
        <w:ind w:right="-1333" w:hanging="1134"/>
        <w:rPr>
          <w:rFonts w:ascii="Arial" w:hAnsi="Arial" w:cs="Arial"/>
          <w:sz w:val="22"/>
          <w:szCs w:val="22"/>
          <w:u w:val="single"/>
        </w:rPr>
      </w:pPr>
      <w:r>
        <w:rPr>
          <w:rFonts w:ascii="Arial" w:hAnsi="Arial" w:cs="Arial"/>
        </w:rPr>
        <w:lastRenderedPageBreak/>
        <w:br w:type="page"/>
      </w:r>
      <w:r w:rsidRPr="003B43EF">
        <w:rPr>
          <w:rFonts w:ascii="Arial" w:hAnsi="Arial" w:cs="Arial"/>
          <w:sz w:val="22"/>
          <w:szCs w:val="22"/>
          <w:u w:val="single"/>
        </w:rPr>
        <w:lastRenderedPageBreak/>
        <w:t>Amendments to ensure the List of CITES Species is consistent with Appendix</w:t>
      </w:r>
      <w:r w:rsidR="00E71FB4" w:rsidRPr="003B43EF">
        <w:rPr>
          <w:rFonts w:ascii="Arial" w:hAnsi="Arial" w:cs="Arial"/>
          <w:sz w:val="22"/>
          <w:szCs w:val="22"/>
          <w:u w:val="single"/>
        </w:rPr>
        <w:t> </w:t>
      </w:r>
      <w:r w:rsidRPr="003B43EF">
        <w:rPr>
          <w:rFonts w:ascii="Arial" w:hAnsi="Arial" w:cs="Arial"/>
          <w:sz w:val="22"/>
          <w:szCs w:val="22"/>
          <w:u w:val="single"/>
        </w:rPr>
        <w:t>III</w:t>
      </w:r>
      <w:r w:rsidR="00E71FB4" w:rsidRPr="003B43EF">
        <w:rPr>
          <w:rFonts w:ascii="Arial" w:hAnsi="Arial" w:cs="Arial"/>
          <w:sz w:val="22"/>
          <w:szCs w:val="22"/>
          <w:u w:val="single"/>
        </w:rPr>
        <w:t xml:space="preserve"> of the Convention</w:t>
      </w:r>
    </w:p>
    <w:p w:rsidR="006249E9" w:rsidRDefault="006249E9" w:rsidP="006E2518">
      <w:pPr>
        <w:ind w:right="-1333"/>
        <w:rPr>
          <w:sz w:val="22"/>
          <w:szCs w:val="22"/>
          <w:u w:val="single"/>
        </w:rPr>
      </w:pPr>
    </w:p>
    <w:p w:rsidR="0051641B" w:rsidRDefault="0051641B" w:rsidP="0039585F">
      <w:pPr>
        <w:ind w:right="-1333" w:hanging="1134"/>
        <w:rPr>
          <w:sz w:val="22"/>
          <w:szCs w:val="22"/>
          <w:u w:val="single"/>
        </w:rPr>
      </w:pPr>
      <w:r w:rsidRPr="00416670">
        <w:rPr>
          <w:sz w:val="22"/>
          <w:szCs w:val="22"/>
          <w:u w:val="single"/>
        </w:rPr>
        <w:t>Insert in appropriate alphabetical order:</w:t>
      </w:r>
    </w:p>
    <w:p w:rsidR="006249E9" w:rsidRPr="00416670" w:rsidRDefault="006249E9" w:rsidP="0039585F">
      <w:pPr>
        <w:ind w:right="-1333" w:hanging="1134"/>
        <w:rPr>
          <w:sz w:val="22"/>
          <w:szCs w:val="22"/>
          <w:u w:val="single"/>
        </w:rPr>
      </w:pPr>
    </w:p>
    <w:tbl>
      <w:tblPr>
        <w:tblW w:w="1043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3"/>
        <w:gridCol w:w="1559"/>
        <w:gridCol w:w="850"/>
        <w:gridCol w:w="4395"/>
        <w:gridCol w:w="1559"/>
      </w:tblGrid>
      <w:tr w:rsidR="0051641B" w:rsidTr="00D657A6">
        <w:trPr>
          <w:trHeight w:val="209"/>
          <w:tblHeader/>
        </w:trPr>
        <w:tc>
          <w:tcPr>
            <w:tcW w:w="2073" w:type="dxa"/>
            <w:shd w:val="clear" w:color="auto" w:fill="F2F2F2" w:themeFill="background1" w:themeFillShade="F2"/>
          </w:tcPr>
          <w:p w:rsidR="0051641B" w:rsidRPr="00D657A6" w:rsidRDefault="0051641B">
            <w:pPr>
              <w:rPr>
                <w:b/>
                <w:sz w:val="22"/>
                <w:szCs w:val="22"/>
              </w:rPr>
            </w:pPr>
            <w:proofErr w:type="spellStart"/>
            <w:r w:rsidRPr="00D657A6">
              <w:rPr>
                <w:b/>
                <w:sz w:val="22"/>
                <w:szCs w:val="22"/>
              </w:rPr>
              <w:t>Taxon</w:t>
            </w:r>
            <w:proofErr w:type="spellEnd"/>
          </w:p>
        </w:tc>
        <w:tc>
          <w:tcPr>
            <w:tcW w:w="1559" w:type="dxa"/>
            <w:shd w:val="clear" w:color="auto" w:fill="F2F2F2" w:themeFill="background1" w:themeFillShade="F2"/>
          </w:tcPr>
          <w:p w:rsidR="0051641B" w:rsidRPr="00D657A6" w:rsidRDefault="0051641B">
            <w:pPr>
              <w:rPr>
                <w:b/>
                <w:sz w:val="22"/>
                <w:szCs w:val="22"/>
              </w:rPr>
            </w:pPr>
            <w:r w:rsidRPr="00D657A6">
              <w:rPr>
                <w:b/>
                <w:sz w:val="22"/>
                <w:szCs w:val="22"/>
              </w:rPr>
              <w:t>Common Name</w:t>
            </w:r>
          </w:p>
        </w:tc>
        <w:tc>
          <w:tcPr>
            <w:tcW w:w="850" w:type="dxa"/>
            <w:shd w:val="clear" w:color="auto" w:fill="F2F2F2" w:themeFill="background1" w:themeFillShade="F2"/>
          </w:tcPr>
          <w:p w:rsidR="0051641B" w:rsidRPr="00D657A6" w:rsidRDefault="0051641B">
            <w:pPr>
              <w:rPr>
                <w:b/>
                <w:sz w:val="22"/>
                <w:szCs w:val="22"/>
              </w:rPr>
            </w:pPr>
            <w:r w:rsidRPr="00D657A6">
              <w:rPr>
                <w:b/>
                <w:sz w:val="22"/>
                <w:szCs w:val="22"/>
              </w:rPr>
              <w:t>Appendix</w:t>
            </w:r>
          </w:p>
        </w:tc>
        <w:tc>
          <w:tcPr>
            <w:tcW w:w="4395" w:type="dxa"/>
            <w:shd w:val="clear" w:color="auto" w:fill="F2F2F2" w:themeFill="background1" w:themeFillShade="F2"/>
          </w:tcPr>
          <w:p w:rsidR="0051641B" w:rsidRPr="00D657A6" w:rsidRDefault="0051641B">
            <w:pPr>
              <w:rPr>
                <w:b/>
                <w:sz w:val="22"/>
                <w:szCs w:val="22"/>
              </w:rPr>
            </w:pPr>
            <w:r w:rsidRPr="00D657A6">
              <w:rPr>
                <w:b/>
                <w:sz w:val="22"/>
                <w:szCs w:val="22"/>
              </w:rPr>
              <w:t>Notation</w:t>
            </w:r>
          </w:p>
        </w:tc>
        <w:tc>
          <w:tcPr>
            <w:tcW w:w="1559" w:type="dxa"/>
            <w:shd w:val="clear" w:color="auto" w:fill="F2F2F2" w:themeFill="background1" w:themeFillShade="F2"/>
          </w:tcPr>
          <w:p w:rsidR="0051641B" w:rsidRPr="00D657A6" w:rsidRDefault="0051641B">
            <w:pPr>
              <w:rPr>
                <w:b/>
                <w:sz w:val="22"/>
                <w:szCs w:val="22"/>
              </w:rPr>
            </w:pPr>
            <w:r w:rsidRPr="00D657A6">
              <w:rPr>
                <w:b/>
                <w:sz w:val="22"/>
                <w:szCs w:val="22"/>
              </w:rPr>
              <w:t>First Listed</w:t>
            </w:r>
          </w:p>
        </w:tc>
      </w:tr>
      <w:tr w:rsidR="0051641B" w:rsidTr="00436E08">
        <w:trPr>
          <w:trHeight w:val="444"/>
        </w:trPr>
        <w:tc>
          <w:tcPr>
            <w:tcW w:w="2073" w:type="dxa"/>
          </w:tcPr>
          <w:p w:rsidR="0051641B" w:rsidRPr="00026F39" w:rsidRDefault="00CE537D" w:rsidP="00436E08">
            <w:pPr>
              <w:pStyle w:val="Default"/>
              <w:rPr>
                <w:rFonts w:ascii="Times New Roman" w:hAnsi="Times New Roman" w:cs="Times New Roman"/>
                <w:i/>
                <w:iCs/>
                <w:sz w:val="22"/>
                <w:szCs w:val="22"/>
              </w:rPr>
            </w:pPr>
            <w:proofErr w:type="spellStart"/>
            <w:r>
              <w:rPr>
                <w:rFonts w:ascii="Times New Roman" w:hAnsi="Times New Roman" w:cs="Times New Roman"/>
                <w:i/>
                <w:iCs/>
                <w:sz w:val="22"/>
                <w:szCs w:val="22"/>
              </w:rPr>
              <w:t>Dalbergia</w:t>
            </w:r>
            <w:proofErr w:type="spellEnd"/>
            <w:r>
              <w:rPr>
                <w:rFonts w:ascii="Times New Roman" w:hAnsi="Times New Roman" w:cs="Times New Roman"/>
                <w:i/>
                <w:iCs/>
                <w:sz w:val="22"/>
                <w:szCs w:val="22"/>
              </w:rPr>
              <w:t xml:space="preserve"> </w:t>
            </w:r>
            <w:proofErr w:type="spellStart"/>
            <w:r>
              <w:rPr>
                <w:rFonts w:ascii="Times New Roman" w:hAnsi="Times New Roman" w:cs="Times New Roman"/>
                <w:i/>
                <w:iCs/>
                <w:sz w:val="22"/>
                <w:szCs w:val="22"/>
              </w:rPr>
              <w:t>calycina</w:t>
            </w:r>
            <w:proofErr w:type="spellEnd"/>
          </w:p>
        </w:tc>
        <w:tc>
          <w:tcPr>
            <w:tcW w:w="1559" w:type="dxa"/>
          </w:tcPr>
          <w:p w:rsidR="0051641B" w:rsidRPr="00D82545" w:rsidRDefault="0051641B" w:rsidP="00DA3C59">
            <w:pPr>
              <w:rPr>
                <w:color w:val="000000"/>
                <w:sz w:val="22"/>
                <w:szCs w:val="22"/>
              </w:rPr>
            </w:pPr>
          </w:p>
        </w:tc>
        <w:tc>
          <w:tcPr>
            <w:tcW w:w="850" w:type="dxa"/>
          </w:tcPr>
          <w:p w:rsidR="0051641B" w:rsidRPr="00D82545" w:rsidRDefault="00CE537D">
            <w:pPr>
              <w:rPr>
                <w:color w:val="000000"/>
                <w:sz w:val="22"/>
                <w:szCs w:val="22"/>
              </w:rPr>
            </w:pPr>
            <w:r>
              <w:rPr>
                <w:color w:val="000000"/>
                <w:sz w:val="22"/>
                <w:szCs w:val="22"/>
              </w:rPr>
              <w:t>III</w:t>
            </w:r>
          </w:p>
        </w:tc>
        <w:tc>
          <w:tcPr>
            <w:tcW w:w="4395" w:type="dxa"/>
          </w:tcPr>
          <w:p w:rsidR="00D82545" w:rsidRPr="00CE537D" w:rsidRDefault="00CE537D" w:rsidP="00BF6E3F">
            <w:pPr>
              <w:autoSpaceDE w:val="0"/>
              <w:autoSpaceDN w:val="0"/>
              <w:adjustRightInd w:val="0"/>
              <w:rPr>
                <w:color w:val="000000"/>
                <w:sz w:val="22"/>
                <w:szCs w:val="22"/>
              </w:rPr>
            </w:pPr>
            <w:r>
              <w:rPr>
                <w:color w:val="000000"/>
                <w:sz w:val="22"/>
                <w:szCs w:val="22"/>
              </w:rPr>
              <w:t xml:space="preserve">Population of Guatemala. </w:t>
            </w:r>
            <w:r w:rsidRPr="00CE537D">
              <w:rPr>
                <w:color w:val="000000"/>
                <w:sz w:val="22"/>
                <w:szCs w:val="22"/>
              </w:rPr>
              <w:t>Only logs, sawn wood, veneer sheets and plywood are subject to the</w:t>
            </w:r>
            <w:r w:rsidR="00007351">
              <w:rPr>
                <w:color w:val="000000"/>
                <w:sz w:val="22"/>
                <w:szCs w:val="22"/>
              </w:rPr>
              <w:t xml:space="preserve"> provisions of the</w:t>
            </w:r>
            <w:r w:rsidRPr="00CE537D">
              <w:rPr>
                <w:color w:val="000000"/>
                <w:sz w:val="22"/>
                <w:szCs w:val="22"/>
              </w:rPr>
              <w:t xml:space="preserve"> Convention</w:t>
            </w:r>
            <w:r w:rsidR="00007351">
              <w:rPr>
                <w:color w:val="000000"/>
                <w:sz w:val="22"/>
                <w:szCs w:val="22"/>
              </w:rPr>
              <w:t>.</w:t>
            </w:r>
          </w:p>
        </w:tc>
        <w:tc>
          <w:tcPr>
            <w:tcW w:w="1559" w:type="dxa"/>
          </w:tcPr>
          <w:p w:rsidR="0051641B" w:rsidRPr="00D82545" w:rsidRDefault="00CE537D" w:rsidP="00CB657F">
            <w:pPr>
              <w:rPr>
                <w:color w:val="000000"/>
                <w:sz w:val="22"/>
                <w:szCs w:val="22"/>
                <w:highlight w:val="yellow"/>
              </w:rPr>
            </w:pPr>
            <w:r w:rsidRPr="00CE537D">
              <w:rPr>
                <w:color w:val="000000"/>
                <w:sz w:val="22"/>
                <w:szCs w:val="22"/>
              </w:rPr>
              <w:t>5 Feb 15</w:t>
            </w:r>
          </w:p>
        </w:tc>
      </w:tr>
      <w:tr w:rsidR="00DA3C59" w:rsidTr="00436E08">
        <w:trPr>
          <w:trHeight w:val="444"/>
        </w:trPr>
        <w:tc>
          <w:tcPr>
            <w:tcW w:w="2073" w:type="dxa"/>
          </w:tcPr>
          <w:p w:rsidR="00DA3C59" w:rsidRDefault="00CE537D" w:rsidP="00436E08">
            <w:pPr>
              <w:pStyle w:val="Default"/>
              <w:rPr>
                <w:rFonts w:ascii="Times New Roman" w:hAnsi="Times New Roman" w:cs="Times New Roman"/>
                <w:i/>
                <w:iCs/>
                <w:sz w:val="22"/>
                <w:szCs w:val="22"/>
              </w:rPr>
            </w:pPr>
            <w:proofErr w:type="spellStart"/>
            <w:r>
              <w:rPr>
                <w:rFonts w:ascii="Times New Roman" w:hAnsi="Times New Roman" w:cs="Times New Roman"/>
                <w:i/>
                <w:iCs/>
                <w:sz w:val="22"/>
                <w:szCs w:val="22"/>
              </w:rPr>
              <w:t>Dalbergia</w:t>
            </w:r>
            <w:proofErr w:type="spellEnd"/>
            <w:r>
              <w:rPr>
                <w:rFonts w:ascii="Times New Roman" w:hAnsi="Times New Roman" w:cs="Times New Roman"/>
                <w:i/>
                <w:iCs/>
                <w:sz w:val="22"/>
                <w:szCs w:val="22"/>
              </w:rPr>
              <w:t xml:space="preserve"> </w:t>
            </w:r>
            <w:proofErr w:type="spellStart"/>
            <w:r>
              <w:rPr>
                <w:rFonts w:ascii="Times New Roman" w:hAnsi="Times New Roman" w:cs="Times New Roman"/>
                <w:i/>
                <w:iCs/>
                <w:sz w:val="22"/>
                <w:szCs w:val="22"/>
              </w:rPr>
              <w:t>cubilquitzensis</w:t>
            </w:r>
            <w:proofErr w:type="spellEnd"/>
          </w:p>
        </w:tc>
        <w:tc>
          <w:tcPr>
            <w:tcW w:w="1559" w:type="dxa"/>
          </w:tcPr>
          <w:p w:rsidR="00DA3C59" w:rsidRDefault="00DA3C59">
            <w:pPr>
              <w:rPr>
                <w:color w:val="000000"/>
                <w:sz w:val="22"/>
                <w:szCs w:val="22"/>
              </w:rPr>
            </w:pPr>
          </w:p>
        </w:tc>
        <w:tc>
          <w:tcPr>
            <w:tcW w:w="850" w:type="dxa"/>
          </w:tcPr>
          <w:p w:rsidR="00DA3C59" w:rsidRPr="00D82545" w:rsidRDefault="00CE537D" w:rsidP="00DA3C59">
            <w:pPr>
              <w:rPr>
                <w:color w:val="000000"/>
                <w:sz w:val="22"/>
                <w:szCs w:val="22"/>
              </w:rPr>
            </w:pPr>
            <w:r>
              <w:rPr>
                <w:color w:val="000000"/>
                <w:sz w:val="22"/>
                <w:szCs w:val="22"/>
              </w:rPr>
              <w:t>III</w:t>
            </w:r>
          </w:p>
        </w:tc>
        <w:tc>
          <w:tcPr>
            <w:tcW w:w="4395" w:type="dxa"/>
          </w:tcPr>
          <w:p w:rsidR="00DA3C59" w:rsidRPr="00026F39" w:rsidRDefault="00CE537D" w:rsidP="00D82545">
            <w:pPr>
              <w:autoSpaceDE w:val="0"/>
              <w:autoSpaceDN w:val="0"/>
              <w:adjustRightInd w:val="0"/>
              <w:rPr>
                <w:color w:val="000000"/>
                <w:sz w:val="22"/>
                <w:szCs w:val="22"/>
              </w:rPr>
            </w:pPr>
            <w:r>
              <w:rPr>
                <w:color w:val="000000"/>
                <w:sz w:val="22"/>
                <w:szCs w:val="22"/>
              </w:rPr>
              <w:t xml:space="preserve">Population of Guatemala. </w:t>
            </w:r>
            <w:r w:rsidR="00007351" w:rsidRPr="00CE537D">
              <w:rPr>
                <w:color w:val="000000"/>
                <w:sz w:val="22"/>
                <w:szCs w:val="22"/>
              </w:rPr>
              <w:t>Only logs, sawn wood, veneer sheets and plywood are subject to the</w:t>
            </w:r>
            <w:r w:rsidR="00007351">
              <w:rPr>
                <w:color w:val="000000"/>
                <w:sz w:val="22"/>
                <w:szCs w:val="22"/>
              </w:rPr>
              <w:t xml:space="preserve"> provisions of the</w:t>
            </w:r>
            <w:r w:rsidR="00007351" w:rsidRPr="00CE537D">
              <w:rPr>
                <w:color w:val="000000"/>
                <w:sz w:val="22"/>
                <w:szCs w:val="22"/>
              </w:rPr>
              <w:t xml:space="preserve"> Convention</w:t>
            </w:r>
            <w:r w:rsidR="00007351">
              <w:rPr>
                <w:color w:val="000000"/>
                <w:sz w:val="22"/>
                <w:szCs w:val="22"/>
              </w:rPr>
              <w:t>.</w:t>
            </w:r>
          </w:p>
        </w:tc>
        <w:tc>
          <w:tcPr>
            <w:tcW w:w="1559" w:type="dxa"/>
          </w:tcPr>
          <w:p w:rsidR="00DA3C59" w:rsidRDefault="00CE537D" w:rsidP="00CB657F">
            <w:pPr>
              <w:rPr>
                <w:color w:val="000000"/>
                <w:sz w:val="22"/>
                <w:szCs w:val="22"/>
              </w:rPr>
            </w:pPr>
            <w:r w:rsidRPr="00CE537D">
              <w:rPr>
                <w:color w:val="000000"/>
                <w:sz w:val="22"/>
                <w:szCs w:val="22"/>
              </w:rPr>
              <w:t>5 Feb 15</w:t>
            </w:r>
          </w:p>
        </w:tc>
      </w:tr>
      <w:tr w:rsidR="00DA3C59" w:rsidTr="00436E08">
        <w:trPr>
          <w:trHeight w:val="444"/>
        </w:trPr>
        <w:tc>
          <w:tcPr>
            <w:tcW w:w="2073" w:type="dxa"/>
          </w:tcPr>
          <w:p w:rsidR="00DA3C59" w:rsidRDefault="00CE537D" w:rsidP="00436E08">
            <w:pPr>
              <w:pStyle w:val="Default"/>
              <w:rPr>
                <w:rFonts w:ascii="Times New Roman" w:hAnsi="Times New Roman" w:cs="Times New Roman"/>
                <w:i/>
                <w:iCs/>
                <w:sz w:val="22"/>
                <w:szCs w:val="22"/>
              </w:rPr>
            </w:pPr>
            <w:proofErr w:type="spellStart"/>
            <w:r>
              <w:rPr>
                <w:rFonts w:ascii="Times New Roman" w:hAnsi="Times New Roman" w:cs="Times New Roman"/>
                <w:i/>
                <w:iCs/>
                <w:sz w:val="22"/>
                <w:szCs w:val="22"/>
              </w:rPr>
              <w:t>Dalbergia</w:t>
            </w:r>
            <w:proofErr w:type="spellEnd"/>
            <w:r>
              <w:rPr>
                <w:rFonts w:ascii="Times New Roman" w:hAnsi="Times New Roman" w:cs="Times New Roman"/>
                <w:i/>
                <w:iCs/>
                <w:sz w:val="22"/>
                <w:szCs w:val="22"/>
              </w:rPr>
              <w:t xml:space="preserve"> </w:t>
            </w:r>
            <w:proofErr w:type="spellStart"/>
            <w:r>
              <w:rPr>
                <w:rFonts w:ascii="Times New Roman" w:hAnsi="Times New Roman" w:cs="Times New Roman"/>
                <w:i/>
                <w:iCs/>
                <w:sz w:val="22"/>
                <w:szCs w:val="22"/>
              </w:rPr>
              <w:t>glomerata</w:t>
            </w:r>
            <w:proofErr w:type="spellEnd"/>
          </w:p>
        </w:tc>
        <w:tc>
          <w:tcPr>
            <w:tcW w:w="1559" w:type="dxa"/>
          </w:tcPr>
          <w:p w:rsidR="00DA3C59" w:rsidRDefault="00DA3C59">
            <w:pPr>
              <w:rPr>
                <w:color w:val="000000"/>
                <w:sz w:val="22"/>
                <w:szCs w:val="22"/>
              </w:rPr>
            </w:pPr>
          </w:p>
        </w:tc>
        <w:tc>
          <w:tcPr>
            <w:tcW w:w="850" w:type="dxa"/>
          </w:tcPr>
          <w:p w:rsidR="00DA3C59" w:rsidRPr="00D82545" w:rsidRDefault="00CE537D" w:rsidP="00DA3C59">
            <w:pPr>
              <w:rPr>
                <w:color w:val="000000"/>
                <w:sz w:val="22"/>
                <w:szCs w:val="22"/>
              </w:rPr>
            </w:pPr>
            <w:r>
              <w:rPr>
                <w:color w:val="000000"/>
                <w:sz w:val="22"/>
                <w:szCs w:val="22"/>
              </w:rPr>
              <w:t>III</w:t>
            </w:r>
          </w:p>
        </w:tc>
        <w:tc>
          <w:tcPr>
            <w:tcW w:w="4395" w:type="dxa"/>
          </w:tcPr>
          <w:p w:rsidR="00DA3C59" w:rsidRPr="00026F39" w:rsidRDefault="00CE537D" w:rsidP="00D82545">
            <w:pPr>
              <w:autoSpaceDE w:val="0"/>
              <w:autoSpaceDN w:val="0"/>
              <w:adjustRightInd w:val="0"/>
              <w:rPr>
                <w:color w:val="000000"/>
                <w:sz w:val="22"/>
                <w:szCs w:val="22"/>
              </w:rPr>
            </w:pPr>
            <w:r>
              <w:rPr>
                <w:color w:val="000000"/>
                <w:sz w:val="22"/>
                <w:szCs w:val="22"/>
              </w:rPr>
              <w:t xml:space="preserve">Population of Guatemala. </w:t>
            </w:r>
            <w:r w:rsidR="00007351" w:rsidRPr="00CE537D">
              <w:rPr>
                <w:color w:val="000000"/>
                <w:sz w:val="22"/>
                <w:szCs w:val="22"/>
              </w:rPr>
              <w:t>Only logs, sawn wood, veneer sheets and plywood are subject to the</w:t>
            </w:r>
            <w:r w:rsidR="00007351">
              <w:rPr>
                <w:color w:val="000000"/>
                <w:sz w:val="22"/>
                <w:szCs w:val="22"/>
              </w:rPr>
              <w:t xml:space="preserve"> provisions of the</w:t>
            </w:r>
            <w:r w:rsidR="00007351" w:rsidRPr="00CE537D">
              <w:rPr>
                <w:color w:val="000000"/>
                <w:sz w:val="22"/>
                <w:szCs w:val="22"/>
              </w:rPr>
              <w:t xml:space="preserve"> Convention</w:t>
            </w:r>
            <w:r w:rsidR="00007351">
              <w:rPr>
                <w:color w:val="000000"/>
                <w:sz w:val="22"/>
                <w:szCs w:val="22"/>
              </w:rPr>
              <w:t>.</w:t>
            </w:r>
          </w:p>
        </w:tc>
        <w:tc>
          <w:tcPr>
            <w:tcW w:w="1559" w:type="dxa"/>
          </w:tcPr>
          <w:p w:rsidR="00DA3C59" w:rsidRDefault="00CE537D" w:rsidP="00CB657F">
            <w:pPr>
              <w:rPr>
                <w:color w:val="000000"/>
                <w:sz w:val="22"/>
                <w:szCs w:val="22"/>
              </w:rPr>
            </w:pPr>
            <w:r w:rsidRPr="00CE537D">
              <w:rPr>
                <w:color w:val="000000"/>
                <w:sz w:val="22"/>
                <w:szCs w:val="22"/>
              </w:rPr>
              <w:t>5 Feb 15</w:t>
            </w:r>
          </w:p>
        </w:tc>
      </w:tr>
    </w:tbl>
    <w:p w:rsidR="003D5A77" w:rsidRDefault="003D5A77" w:rsidP="009F29A1">
      <w:pPr>
        <w:rPr>
          <w:highlight w:val="yellow"/>
        </w:rPr>
      </w:pPr>
    </w:p>
    <w:p w:rsidR="00CB657F" w:rsidRPr="00416670" w:rsidRDefault="00CB657F" w:rsidP="00CB657F">
      <w:pPr>
        <w:ind w:left="-1134" w:right="-1333"/>
        <w:rPr>
          <w:sz w:val="22"/>
          <w:szCs w:val="22"/>
          <w:u w:val="single"/>
        </w:rPr>
      </w:pPr>
      <w:r w:rsidRPr="00416670">
        <w:rPr>
          <w:sz w:val="22"/>
          <w:szCs w:val="22"/>
          <w:u w:val="single"/>
        </w:rPr>
        <w:t>Change the following existing entries to reflect amendments to their notation:</w:t>
      </w:r>
    </w:p>
    <w:p w:rsidR="00CB657F" w:rsidRPr="00043695" w:rsidRDefault="00CB657F" w:rsidP="00CB657F">
      <w:pPr>
        <w:ind w:right="-1333" w:hanging="1134"/>
        <w:rPr>
          <w:sz w:val="22"/>
          <w:szCs w:val="22"/>
          <w:u w:val="single"/>
        </w:rPr>
      </w:pPr>
    </w:p>
    <w:tbl>
      <w:tblPr>
        <w:tblW w:w="1043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4"/>
        <w:gridCol w:w="2126"/>
        <w:gridCol w:w="2126"/>
        <w:gridCol w:w="1134"/>
        <w:gridCol w:w="2410"/>
        <w:gridCol w:w="1276"/>
      </w:tblGrid>
      <w:tr w:rsidR="00CB657F" w:rsidRPr="00043695" w:rsidTr="00CB657F">
        <w:trPr>
          <w:trHeight w:val="227"/>
          <w:tblHeader/>
        </w:trPr>
        <w:tc>
          <w:tcPr>
            <w:tcW w:w="1364" w:type="dxa"/>
            <w:tcBorders>
              <w:top w:val="nil"/>
              <w:left w:val="nil"/>
              <w:bottom w:val="nil"/>
              <w:right w:val="single" w:sz="4" w:space="0" w:color="auto"/>
            </w:tcBorders>
          </w:tcPr>
          <w:p w:rsidR="00CB657F" w:rsidRPr="00043695" w:rsidRDefault="00CB657F" w:rsidP="00CB657F">
            <w:pPr>
              <w:rPr>
                <w:b/>
                <w:sz w:val="22"/>
                <w:szCs w:val="22"/>
              </w:rPr>
            </w:pPr>
          </w:p>
        </w:tc>
        <w:tc>
          <w:tcPr>
            <w:tcW w:w="2126" w:type="dxa"/>
            <w:tcBorders>
              <w:left w:val="single" w:sz="4" w:space="0" w:color="auto"/>
            </w:tcBorders>
            <w:shd w:val="clear" w:color="auto" w:fill="F2F2F2" w:themeFill="background1" w:themeFillShade="F2"/>
          </w:tcPr>
          <w:p w:rsidR="00CB657F" w:rsidRPr="00043695" w:rsidRDefault="00CB657F" w:rsidP="00CB657F">
            <w:pPr>
              <w:rPr>
                <w:b/>
                <w:sz w:val="22"/>
                <w:szCs w:val="22"/>
              </w:rPr>
            </w:pPr>
            <w:proofErr w:type="spellStart"/>
            <w:r w:rsidRPr="00043695">
              <w:rPr>
                <w:b/>
                <w:sz w:val="22"/>
                <w:szCs w:val="22"/>
              </w:rPr>
              <w:t>Taxon</w:t>
            </w:r>
            <w:proofErr w:type="spellEnd"/>
          </w:p>
        </w:tc>
        <w:tc>
          <w:tcPr>
            <w:tcW w:w="2126" w:type="dxa"/>
            <w:shd w:val="clear" w:color="auto" w:fill="F2F2F2" w:themeFill="background1" w:themeFillShade="F2"/>
          </w:tcPr>
          <w:p w:rsidR="00CB657F" w:rsidRPr="00043695" w:rsidRDefault="00CB657F" w:rsidP="00CB657F">
            <w:pPr>
              <w:rPr>
                <w:b/>
                <w:sz w:val="22"/>
                <w:szCs w:val="22"/>
              </w:rPr>
            </w:pPr>
            <w:r w:rsidRPr="00043695">
              <w:rPr>
                <w:b/>
                <w:sz w:val="22"/>
                <w:szCs w:val="22"/>
              </w:rPr>
              <w:t>Common Name</w:t>
            </w:r>
          </w:p>
        </w:tc>
        <w:tc>
          <w:tcPr>
            <w:tcW w:w="1134" w:type="dxa"/>
            <w:shd w:val="clear" w:color="auto" w:fill="F2F2F2" w:themeFill="background1" w:themeFillShade="F2"/>
          </w:tcPr>
          <w:p w:rsidR="00CB657F" w:rsidRPr="00043695" w:rsidRDefault="00CB657F" w:rsidP="00CB657F">
            <w:pPr>
              <w:rPr>
                <w:b/>
                <w:sz w:val="22"/>
                <w:szCs w:val="22"/>
              </w:rPr>
            </w:pPr>
            <w:r w:rsidRPr="00043695">
              <w:rPr>
                <w:b/>
                <w:sz w:val="22"/>
                <w:szCs w:val="22"/>
              </w:rPr>
              <w:t>Appendix</w:t>
            </w:r>
          </w:p>
        </w:tc>
        <w:tc>
          <w:tcPr>
            <w:tcW w:w="2410" w:type="dxa"/>
            <w:shd w:val="clear" w:color="auto" w:fill="F2F2F2" w:themeFill="background1" w:themeFillShade="F2"/>
          </w:tcPr>
          <w:p w:rsidR="00CB657F" w:rsidRPr="00043695" w:rsidRDefault="00CB657F" w:rsidP="00CB657F">
            <w:pPr>
              <w:rPr>
                <w:b/>
                <w:sz w:val="22"/>
                <w:szCs w:val="22"/>
              </w:rPr>
            </w:pPr>
            <w:r w:rsidRPr="00043695">
              <w:rPr>
                <w:b/>
                <w:sz w:val="22"/>
                <w:szCs w:val="22"/>
              </w:rPr>
              <w:t>Notation</w:t>
            </w:r>
          </w:p>
        </w:tc>
        <w:tc>
          <w:tcPr>
            <w:tcW w:w="1276" w:type="dxa"/>
            <w:shd w:val="clear" w:color="auto" w:fill="F2F2F2" w:themeFill="background1" w:themeFillShade="F2"/>
          </w:tcPr>
          <w:p w:rsidR="00CB657F" w:rsidRPr="00043695" w:rsidRDefault="00CB657F" w:rsidP="00CB657F">
            <w:pPr>
              <w:rPr>
                <w:b/>
                <w:sz w:val="22"/>
                <w:szCs w:val="22"/>
              </w:rPr>
            </w:pPr>
            <w:r w:rsidRPr="00043695">
              <w:rPr>
                <w:b/>
                <w:sz w:val="22"/>
                <w:szCs w:val="22"/>
              </w:rPr>
              <w:t>First Listed</w:t>
            </w:r>
          </w:p>
        </w:tc>
      </w:tr>
      <w:tr w:rsidR="00BA341F" w:rsidRPr="00043695" w:rsidTr="00CB657F">
        <w:trPr>
          <w:trHeight w:val="227"/>
        </w:trPr>
        <w:tc>
          <w:tcPr>
            <w:tcW w:w="1364" w:type="dxa"/>
            <w:tcBorders>
              <w:top w:val="nil"/>
              <w:left w:val="nil"/>
              <w:bottom w:val="nil"/>
              <w:right w:val="single" w:sz="4" w:space="0" w:color="auto"/>
            </w:tcBorders>
          </w:tcPr>
          <w:p w:rsidR="00BA341F" w:rsidRPr="00043695" w:rsidRDefault="00BA341F" w:rsidP="00BA341F">
            <w:pPr>
              <w:pStyle w:val="Default"/>
              <w:rPr>
                <w:rFonts w:ascii="Times New Roman" w:hAnsi="Times New Roman" w:cs="Times New Roman"/>
                <w:b/>
                <w:sz w:val="22"/>
                <w:szCs w:val="22"/>
              </w:rPr>
            </w:pPr>
            <w:r w:rsidRPr="00043695">
              <w:rPr>
                <w:rFonts w:ascii="Times New Roman" w:hAnsi="Times New Roman" w:cs="Times New Roman"/>
                <w:b/>
                <w:sz w:val="22"/>
                <w:szCs w:val="22"/>
              </w:rPr>
              <w:t>Change:</w:t>
            </w:r>
          </w:p>
        </w:tc>
        <w:tc>
          <w:tcPr>
            <w:tcW w:w="2126" w:type="dxa"/>
            <w:tcBorders>
              <w:left w:val="single" w:sz="4" w:space="0" w:color="auto"/>
            </w:tcBorders>
            <w:shd w:val="clear" w:color="auto" w:fill="FFFFFF" w:themeFill="background1"/>
          </w:tcPr>
          <w:p w:rsidR="00BA341F" w:rsidRPr="00BA341F" w:rsidRDefault="00BA341F" w:rsidP="00BA341F">
            <w:pPr>
              <w:pStyle w:val="Default"/>
              <w:rPr>
                <w:rFonts w:ascii="Times New Roman" w:hAnsi="Times New Roman" w:cs="Times New Roman"/>
                <w:i/>
                <w:iCs/>
                <w:sz w:val="22"/>
                <w:szCs w:val="22"/>
              </w:rPr>
            </w:pPr>
            <w:proofErr w:type="spellStart"/>
            <w:r w:rsidRPr="00BA341F">
              <w:rPr>
                <w:rFonts w:ascii="Times New Roman" w:hAnsi="Times New Roman" w:cs="Times New Roman"/>
                <w:i/>
                <w:iCs/>
                <w:sz w:val="22"/>
                <w:szCs w:val="22"/>
              </w:rPr>
              <w:t>Dalbergia</w:t>
            </w:r>
            <w:proofErr w:type="spellEnd"/>
            <w:r w:rsidRPr="00BA341F">
              <w:rPr>
                <w:rFonts w:ascii="Times New Roman" w:hAnsi="Times New Roman" w:cs="Times New Roman"/>
                <w:i/>
                <w:iCs/>
                <w:sz w:val="22"/>
                <w:szCs w:val="22"/>
              </w:rPr>
              <w:t xml:space="preserve"> </w:t>
            </w:r>
            <w:proofErr w:type="spellStart"/>
            <w:r w:rsidRPr="00BA341F">
              <w:rPr>
                <w:rFonts w:ascii="Times New Roman" w:hAnsi="Times New Roman" w:cs="Times New Roman"/>
                <w:i/>
                <w:iCs/>
                <w:sz w:val="22"/>
                <w:szCs w:val="22"/>
              </w:rPr>
              <w:t>tucurensis</w:t>
            </w:r>
            <w:proofErr w:type="spellEnd"/>
          </w:p>
        </w:tc>
        <w:tc>
          <w:tcPr>
            <w:tcW w:w="2126" w:type="dxa"/>
            <w:shd w:val="clear" w:color="auto" w:fill="FFFFFF" w:themeFill="background1"/>
          </w:tcPr>
          <w:p w:rsidR="00BA341F" w:rsidRPr="00BA341F" w:rsidRDefault="00BA341F" w:rsidP="00BA341F">
            <w:pPr>
              <w:rPr>
                <w:color w:val="000000"/>
                <w:sz w:val="22"/>
                <w:szCs w:val="22"/>
              </w:rPr>
            </w:pPr>
            <w:r w:rsidRPr="00BA341F">
              <w:rPr>
                <w:color w:val="000000"/>
                <w:sz w:val="22"/>
                <w:szCs w:val="22"/>
              </w:rPr>
              <w:t>Yucatan rosewood</w:t>
            </w:r>
          </w:p>
        </w:tc>
        <w:tc>
          <w:tcPr>
            <w:tcW w:w="1134" w:type="dxa"/>
            <w:shd w:val="clear" w:color="auto" w:fill="FFFFFF" w:themeFill="background1"/>
          </w:tcPr>
          <w:p w:rsidR="00BA341F" w:rsidRPr="00BA341F" w:rsidRDefault="00BA341F" w:rsidP="00BA341F">
            <w:pPr>
              <w:rPr>
                <w:color w:val="000000"/>
                <w:sz w:val="22"/>
                <w:szCs w:val="22"/>
              </w:rPr>
            </w:pPr>
            <w:r w:rsidRPr="00BA341F">
              <w:rPr>
                <w:color w:val="000000"/>
                <w:sz w:val="22"/>
                <w:szCs w:val="22"/>
              </w:rPr>
              <w:t>III</w:t>
            </w:r>
          </w:p>
        </w:tc>
        <w:tc>
          <w:tcPr>
            <w:tcW w:w="2410" w:type="dxa"/>
            <w:shd w:val="clear" w:color="auto" w:fill="FFFFFF" w:themeFill="background1"/>
          </w:tcPr>
          <w:p w:rsidR="00BA341F" w:rsidRPr="00043695" w:rsidRDefault="00BA341F" w:rsidP="00CB657F">
            <w:pPr>
              <w:pStyle w:val="Default"/>
              <w:rPr>
                <w:rFonts w:ascii="Times New Roman" w:hAnsi="Times New Roman" w:cs="Times New Roman"/>
                <w:color w:val="auto"/>
                <w:sz w:val="22"/>
                <w:szCs w:val="22"/>
              </w:rPr>
            </w:pPr>
            <w:r>
              <w:rPr>
                <w:rFonts w:ascii="Times New Roman" w:hAnsi="Times New Roman" w:cs="Times New Roman"/>
                <w:color w:val="auto"/>
                <w:sz w:val="22"/>
                <w:szCs w:val="22"/>
              </w:rPr>
              <w:t>Listed by Nicaragua. Only logs, sawn wood, veneer sheets and plywood are subject to the Convention.</w:t>
            </w:r>
          </w:p>
        </w:tc>
        <w:tc>
          <w:tcPr>
            <w:tcW w:w="1276" w:type="dxa"/>
            <w:shd w:val="clear" w:color="auto" w:fill="FFFFFF" w:themeFill="background1"/>
          </w:tcPr>
          <w:p w:rsidR="00BA341F" w:rsidRPr="00043695" w:rsidRDefault="00BA341F" w:rsidP="00CB657F">
            <w:pPr>
              <w:pStyle w:val="Default"/>
              <w:rPr>
                <w:rFonts w:ascii="Times New Roman" w:hAnsi="Times New Roman" w:cs="Times New Roman"/>
                <w:sz w:val="22"/>
                <w:szCs w:val="22"/>
              </w:rPr>
            </w:pPr>
            <w:r>
              <w:rPr>
                <w:rFonts w:ascii="Times New Roman" w:hAnsi="Times New Roman" w:cs="Times New Roman"/>
                <w:sz w:val="22"/>
                <w:szCs w:val="22"/>
              </w:rPr>
              <w:t>24 Jun 2014</w:t>
            </w:r>
          </w:p>
        </w:tc>
      </w:tr>
      <w:tr w:rsidR="00BA341F" w:rsidRPr="00043695" w:rsidTr="00CB657F">
        <w:trPr>
          <w:trHeight w:val="70"/>
        </w:trPr>
        <w:tc>
          <w:tcPr>
            <w:tcW w:w="1364" w:type="dxa"/>
            <w:tcBorders>
              <w:top w:val="nil"/>
              <w:left w:val="nil"/>
              <w:bottom w:val="nil"/>
              <w:right w:val="single" w:sz="4" w:space="0" w:color="auto"/>
            </w:tcBorders>
          </w:tcPr>
          <w:p w:rsidR="00BA341F" w:rsidRPr="00043695" w:rsidRDefault="00BA341F" w:rsidP="00BA341F">
            <w:pPr>
              <w:pStyle w:val="Default"/>
              <w:rPr>
                <w:rFonts w:ascii="Times New Roman" w:hAnsi="Times New Roman" w:cs="Times New Roman"/>
                <w:b/>
                <w:iCs/>
                <w:sz w:val="22"/>
                <w:szCs w:val="22"/>
              </w:rPr>
            </w:pPr>
            <w:r w:rsidRPr="00043695">
              <w:rPr>
                <w:rFonts w:ascii="Times New Roman" w:hAnsi="Times New Roman" w:cs="Times New Roman"/>
                <w:b/>
                <w:iCs/>
                <w:sz w:val="22"/>
                <w:szCs w:val="22"/>
              </w:rPr>
              <w:t>To:</w:t>
            </w:r>
          </w:p>
        </w:tc>
        <w:tc>
          <w:tcPr>
            <w:tcW w:w="2126" w:type="dxa"/>
            <w:tcBorders>
              <w:left w:val="single" w:sz="4" w:space="0" w:color="auto"/>
            </w:tcBorders>
            <w:shd w:val="clear" w:color="auto" w:fill="FFFFFF" w:themeFill="background1"/>
          </w:tcPr>
          <w:p w:rsidR="00BA341F" w:rsidRPr="00BA341F" w:rsidRDefault="00BA341F" w:rsidP="00BA341F">
            <w:pPr>
              <w:pStyle w:val="Default"/>
              <w:rPr>
                <w:rFonts w:ascii="Times New Roman" w:hAnsi="Times New Roman" w:cs="Times New Roman"/>
                <w:i/>
                <w:iCs/>
                <w:sz w:val="22"/>
                <w:szCs w:val="22"/>
              </w:rPr>
            </w:pPr>
            <w:proofErr w:type="spellStart"/>
            <w:r w:rsidRPr="00BA341F">
              <w:rPr>
                <w:rFonts w:ascii="Times New Roman" w:hAnsi="Times New Roman" w:cs="Times New Roman"/>
                <w:i/>
                <w:iCs/>
                <w:sz w:val="22"/>
                <w:szCs w:val="22"/>
              </w:rPr>
              <w:t>Dalbergia</w:t>
            </w:r>
            <w:proofErr w:type="spellEnd"/>
            <w:r w:rsidRPr="00BA341F">
              <w:rPr>
                <w:rFonts w:ascii="Times New Roman" w:hAnsi="Times New Roman" w:cs="Times New Roman"/>
                <w:i/>
                <w:iCs/>
                <w:sz w:val="22"/>
                <w:szCs w:val="22"/>
              </w:rPr>
              <w:t xml:space="preserve"> </w:t>
            </w:r>
            <w:proofErr w:type="spellStart"/>
            <w:r w:rsidRPr="00BA341F">
              <w:rPr>
                <w:rFonts w:ascii="Times New Roman" w:hAnsi="Times New Roman" w:cs="Times New Roman"/>
                <w:i/>
                <w:iCs/>
                <w:sz w:val="22"/>
                <w:szCs w:val="22"/>
              </w:rPr>
              <w:t>tucurensis</w:t>
            </w:r>
            <w:proofErr w:type="spellEnd"/>
          </w:p>
        </w:tc>
        <w:tc>
          <w:tcPr>
            <w:tcW w:w="2126" w:type="dxa"/>
            <w:shd w:val="clear" w:color="auto" w:fill="FFFFFF" w:themeFill="background1"/>
          </w:tcPr>
          <w:p w:rsidR="00BA341F" w:rsidRPr="00BA341F" w:rsidRDefault="00BA341F" w:rsidP="00BA341F">
            <w:pPr>
              <w:rPr>
                <w:color w:val="000000"/>
                <w:sz w:val="22"/>
                <w:szCs w:val="22"/>
              </w:rPr>
            </w:pPr>
            <w:r w:rsidRPr="00BA341F">
              <w:rPr>
                <w:color w:val="000000"/>
                <w:sz w:val="22"/>
                <w:szCs w:val="22"/>
              </w:rPr>
              <w:t>Yucatan rosewood</w:t>
            </w:r>
          </w:p>
        </w:tc>
        <w:tc>
          <w:tcPr>
            <w:tcW w:w="1134" w:type="dxa"/>
            <w:shd w:val="clear" w:color="auto" w:fill="FFFFFF" w:themeFill="background1"/>
          </w:tcPr>
          <w:p w:rsidR="00BA341F" w:rsidRPr="00BA341F" w:rsidRDefault="00BA341F" w:rsidP="00BA341F">
            <w:pPr>
              <w:rPr>
                <w:color w:val="000000"/>
                <w:sz w:val="22"/>
                <w:szCs w:val="22"/>
              </w:rPr>
            </w:pPr>
            <w:r w:rsidRPr="00BA341F">
              <w:rPr>
                <w:color w:val="000000"/>
                <w:sz w:val="22"/>
                <w:szCs w:val="22"/>
              </w:rPr>
              <w:t>III</w:t>
            </w:r>
          </w:p>
        </w:tc>
        <w:tc>
          <w:tcPr>
            <w:tcW w:w="2410" w:type="dxa"/>
            <w:shd w:val="clear" w:color="auto" w:fill="FFFFFF" w:themeFill="background1"/>
          </w:tcPr>
          <w:p w:rsidR="00BA341F" w:rsidRDefault="00777CD1" w:rsidP="00CB657F">
            <w:pPr>
              <w:pStyle w:val="Default"/>
              <w:rPr>
                <w:rFonts w:ascii="Times New Roman" w:hAnsi="Times New Roman" w:cs="Times New Roman"/>
                <w:color w:val="auto"/>
                <w:sz w:val="22"/>
                <w:szCs w:val="22"/>
              </w:rPr>
            </w:pPr>
            <w:r>
              <w:rPr>
                <w:rFonts w:ascii="Times New Roman" w:hAnsi="Times New Roman" w:cs="Times New Roman"/>
                <w:color w:val="auto"/>
                <w:sz w:val="22"/>
                <w:szCs w:val="22"/>
              </w:rPr>
              <w:t>Listed by</w:t>
            </w:r>
            <w:r w:rsidR="00BA341F">
              <w:rPr>
                <w:rFonts w:ascii="Times New Roman" w:hAnsi="Times New Roman" w:cs="Times New Roman"/>
                <w:color w:val="auto"/>
                <w:sz w:val="22"/>
                <w:szCs w:val="22"/>
              </w:rPr>
              <w:t xml:space="preserve"> Nicaragua and Guatemala.</w:t>
            </w:r>
          </w:p>
          <w:p w:rsidR="00BA341F" w:rsidRPr="00043695" w:rsidRDefault="00007351" w:rsidP="00CB657F">
            <w:pPr>
              <w:pStyle w:val="Default"/>
              <w:rPr>
                <w:rFonts w:ascii="Times New Roman" w:hAnsi="Times New Roman" w:cs="Times New Roman"/>
                <w:color w:val="auto"/>
                <w:sz w:val="22"/>
                <w:szCs w:val="22"/>
              </w:rPr>
            </w:pPr>
            <w:r w:rsidRPr="00007351">
              <w:rPr>
                <w:rFonts w:ascii="Times New Roman" w:hAnsi="Times New Roman" w:cs="Times New Roman"/>
                <w:color w:val="auto"/>
                <w:sz w:val="22"/>
                <w:szCs w:val="22"/>
              </w:rPr>
              <w:t>Only logs, sawn wood, veneer sheets and plywood are subject to the provisions of the Convention</w:t>
            </w:r>
            <w:r>
              <w:rPr>
                <w:rFonts w:ascii="Times New Roman" w:hAnsi="Times New Roman" w:cs="Times New Roman"/>
                <w:color w:val="auto"/>
                <w:sz w:val="22"/>
                <w:szCs w:val="22"/>
              </w:rPr>
              <w:t>.</w:t>
            </w:r>
          </w:p>
        </w:tc>
        <w:tc>
          <w:tcPr>
            <w:tcW w:w="1276" w:type="dxa"/>
            <w:shd w:val="clear" w:color="auto" w:fill="FFFFFF" w:themeFill="background1"/>
          </w:tcPr>
          <w:p w:rsidR="00BA341F" w:rsidRPr="00043695" w:rsidRDefault="00BA341F" w:rsidP="00CB657F">
            <w:pPr>
              <w:pStyle w:val="Default"/>
              <w:rPr>
                <w:rFonts w:ascii="Times New Roman" w:hAnsi="Times New Roman" w:cs="Times New Roman"/>
                <w:sz w:val="22"/>
                <w:szCs w:val="22"/>
              </w:rPr>
            </w:pPr>
            <w:r>
              <w:rPr>
                <w:rFonts w:ascii="Times New Roman" w:hAnsi="Times New Roman" w:cs="Times New Roman"/>
                <w:sz w:val="22"/>
                <w:szCs w:val="22"/>
              </w:rPr>
              <w:t>24 Jun 14</w:t>
            </w:r>
          </w:p>
        </w:tc>
      </w:tr>
      <w:tr w:rsidR="00BA341F" w:rsidRPr="00043695" w:rsidTr="00CB657F">
        <w:trPr>
          <w:trHeight w:val="70"/>
        </w:trPr>
        <w:tc>
          <w:tcPr>
            <w:tcW w:w="1364" w:type="dxa"/>
            <w:tcBorders>
              <w:top w:val="nil"/>
              <w:left w:val="nil"/>
              <w:bottom w:val="nil"/>
              <w:right w:val="single" w:sz="4" w:space="0" w:color="auto"/>
            </w:tcBorders>
          </w:tcPr>
          <w:p w:rsidR="00BA341F" w:rsidRPr="00043695" w:rsidRDefault="00BA341F" w:rsidP="00BA341F">
            <w:pPr>
              <w:pStyle w:val="Default"/>
              <w:rPr>
                <w:rFonts w:ascii="Times New Roman" w:hAnsi="Times New Roman" w:cs="Times New Roman"/>
                <w:b/>
                <w:sz w:val="22"/>
                <w:szCs w:val="22"/>
              </w:rPr>
            </w:pPr>
            <w:r w:rsidRPr="00043695">
              <w:rPr>
                <w:rFonts w:ascii="Times New Roman" w:hAnsi="Times New Roman" w:cs="Times New Roman"/>
                <w:b/>
                <w:sz w:val="22"/>
                <w:szCs w:val="22"/>
              </w:rPr>
              <w:t>Change:</w:t>
            </w:r>
          </w:p>
        </w:tc>
        <w:tc>
          <w:tcPr>
            <w:tcW w:w="2126" w:type="dxa"/>
            <w:tcBorders>
              <w:left w:val="single" w:sz="4" w:space="0" w:color="auto"/>
            </w:tcBorders>
            <w:shd w:val="clear" w:color="auto" w:fill="FFFFFF" w:themeFill="background1"/>
          </w:tcPr>
          <w:p w:rsidR="00BA341F" w:rsidRPr="00043695" w:rsidRDefault="00BA341F" w:rsidP="00BA341F">
            <w:pPr>
              <w:pStyle w:val="Default"/>
              <w:rPr>
                <w:rFonts w:ascii="Times New Roman" w:hAnsi="Times New Roman" w:cs="Times New Roman"/>
                <w:i/>
                <w:iCs/>
                <w:sz w:val="22"/>
                <w:szCs w:val="22"/>
              </w:rPr>
            </w:pPr>
            <w:r>
              <w:rPr>
                <w:rFonts w:ascii="Times New Roman" w:hAnsi="Times New Roman" w:cs="Times New Roman"/>
                <w:i/>
                <w:iCs/>
                <w:sz w:val="22"/>
                <w:szCs w:val="22"/>
              </w:rPr>
              <w:t xml:space="preserve">Capra </w:t>
            </w:r>
            <w:proofErr w:type="spellStart"/>
            <w:r>
              <w:rPr>
                <w:rFonts w:ascii="Times New Roman" w:hAnsi="Times New Roman" w:cs="Times New Roman"/>
                <w:i/>
                <w:iCs/>
                <w:sz w:val="22"/>
                <w:szCs w:val="22"/>
              </w:rPr>
              <w:t>hircus</w:t>
            </w:r>
            <w:proofErr w:type="spellEnd"/>
            <w:r>
              <w:rPr>
                <w:rFonts w:ascii="Times New Roman" w:hAnsi="Times New Roman" w:cs="Times New Roman"/>
                <w:i/>
                <w:iCs/>
                <w:sz w:val="22"/>
                <w:szCs w:val="22"/>
              </w:rPr>
              <w:t xml:space="preserve"> </w:t>
            </w:r>
            <w:proofErr w:type="spellStart"/>
            <w:r>
              <w:rPr>
                <w:rFonts w:ascii="Times New Roman" w:hAnsi="Times New Roman" w:cs="Times New Roman"/>
                <w:i/>
                <w:iCs/>
                <w:sz w:val="22"/>
                <w:szCs w:val="22"/>
              </w:rPr>
              <w:t>aegagrus</w:t>
            </w:r>
            <w:proofErr w:type="spellEnd"/>
            <w:r w:rsidRPr="00043695">
              <w:rPr>
                <w:rFonts w:ascii="Times New Roman" w:hAnsi="Times New Roman" w:cs="Times New Roman"/>
                <w:i/>
                <w:iCs/>
                <w:sz w:val="22"/>
                <w:szCs w:val="22"/>
              </w:rPr>
              <w:t xml:space="preserve"> </w:t>
            </w:r>
          </w:p>
        </w:tc>
        <w:tc>
          <w:tcPr>
            <w:tcW w:w="2126" w:type="dxa"/>
            <w:shd w:val="clear" w:color="auto" w:fill="FFFFFF" w:themeFill="background1"/>
          </w:tcPr>
          <w:p w:rsidR="00BA341F" w:rsidRPr="00043695" w:rsidRDefault="00BA341F" w:rsidP="00BA341F">
            <w:pPr>
              <w:pStyle w:val="Default"/>
              <w:rPr>
                <w:rFonts w:ascii="Times New Roman" w:hAnsi="Times New Roman" w:cs="Times New Roman"/>
                <w:sz w:val="22"/>
                <w:szCs w:val="22"/>
              </w:rPr>
            </w:pPr>
            <w:proofErr w:type="spellStart"/>
            <w:r>
              <w:rPr>
                <w:rFonts w:ascii="Times New Roman" w:hAnsi="Times New Roman" w:cs="Times New Roman"/>
                <w:sz w:val="22"/>
                <w:szCs w:val="22"/>
              </w:rPr>
              <w:t>Bezoar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ibex,sind</w:t>
            </w:r>
            <w:proofErr w:type="spellEnd"/>
            <w:r>
              <w:rPr>
                <w:rFonts w:ascii="Times New Roman" w:hAnsi="Times New Roman" w:cs="Times New Roman"/>
                <w:sz w:val="22"/>
                <w:szCs w:val="22"/>
              </w:rPr>
              <w:t xml:space="preserve"> wild goat</w:t>
            </w:r>
          </w:p>
        </w:tc>
        <w:tc>
          <w:tcPr>
            <w:tcW w:w="1134" w:type="dxa"/>
            <w:shd w:val="clear" w:color="auto" w:fill="FFFFFF" w:themeFill="background1"/>
          </w:tcPr>
          <w:p w:rsidR="00BA341F" w:rsidRPr="00043695" w:rsidRDefault="00BA341F" w:rsidP="00BA341F">
            <w:pPr>
              <w:pStyle w:val="Default"/>
              <w:rPr>
                <w:rFonts w:ascii="Times New Roman" w:hAnsi="Times New Roman" w:cs="Times New Roman"/>
                <w:sz w:val="22"/>
                <w:szCs w:val="22"/>
              </w:rPr>
            </w:pPr>
            <w:r w:rsidRPr="00043695">
              <w:rPr>
                <w:rFonts w:ascii="Times New Roman" w:hAnsi="Times New Roman" w:cs="Times New Roman"/>
                <w:sz w:val="22"/>
                <w:szCs w:val="22"/>
              </w:rPr>
              <w:t xml:space="preserve">III </w:t>
            </w:r>
          </w:p>
        </w:tc>
        <w:tc>
          <w:tcPr>
            <w:tcW w:w="2410" w:type="dxa"/>
            <w:shd w:val="clear" w:color="auto" w:fill="FFFFFF" w:themeFill="background1"/>
          </w:tcPr>
          <w:p w:rsidR="00BA341F" w:rsidRPr="00043695" w:rsidRDefault="00BA341F" w:rsidP="00BA341F">
            <w:pPr>
              <w:pStyle w:val="Default"/>
              <w:rPr>
                <w:rFonts w:ascii="Times New Roman" w:hAnsi="Times New Roman" w:cs="Times New Roman"/>
                <w:color w:val="auto"/>
                <w:sz w:val="22"/>
                <w:szCs w:val="22"/>
              </w:rPr>
            </w:pPr>
            <w:r w:rsidRPr="00043695">
              <w:rPr>
                <w:rFonts w:ascii="Times New Roman" w:hAnsi="Times New Roman" w:cs="Times New Roman"/>
                <w:color w:val="auto"/>
                <w:sz w:val="22"/>
                <w:szCs w:val="22"/>
              </w:rPr>
              <w:t xml:space="preserve">Listed by </w:t>
            </w:r>
            <w:r>
              <w:rPr>
                <w:rFonts w:ascii="Times New Roman" w:hAnsi="Times New Roman" w:cs="Times New Roman"/>
                <w:color w:val="auto"/>
                <w:sz w:val="22"/>
                <w:szCs w:val="22"/>
              </w:rPr>
              <w:t>Pakistan</w:t>
            </w:r>
            <w:r w:rsidRPr="00043695">
              <w:rPr>
                <w:rFonts w:ascii="Times New Roman" w:hAnsi="Times New Roman" w:cs="Times New Roman"/>
                <w:color w:val="auto"/>
                <w:sz w:val="22"/>
                <w:szCs w:val="22"/>
              </w:rPr>
              <w:t xml:space="preserve"> </w:t>
            </w:r>
          </w:p>
        </w:tc>
        <w:tc>
          <w:tcPr>
            <w:tcW w:w="1276" w:type="dxa"/>
            <w:shd w:val="clear" w:color="auto" w:fill="FFFFFF" w:themeFill="background1"/>
          </w:tcPr>
          <w:p w:rsidR="00BA341F" w:rsidRPr="00043695" w:rsidRDefault="00BA341F" w:rsidP="00BA341F">
            <w:pPr>
              <w:pStyle w:val="Default"/>
              <w:rPr>
                <w:rFonts w:ascii="Times New Roman" w:hAnsi="Times New Roman" w:cs="Times New Roman"/>
                <w:sz w:val="22"/>
                <w:szCs w:val="22"/>
              </w:rPr>
            </w:pPr>
            <w:r>
              <w:rPr>
                <w:rFonts w:ascii="Times New Roman" w:hAnsi="Times New Roman" w:cs="Times New Roman"/>
                <w:sz w:val="22"/>
                <w:szCs w:val="22"/>
              </w:rPr>
              <w:t>24 Jun 14</w:t>
            </w:r>
            <w:r w:rsidRPr="00043695">
              <w:rPr>
                <w:rFonts w:ascii="Times New Roman" w:hAnsi="Times New Roman" w:cs="Times New Roman"/>
                <w:sz w:val="22"/>
                <w:szCs w:val="22"/>
              </w:rPr>
              <w:t xml:space="preserve"> </w:t>
            </w:r>
          </w:p>
        </w:tc>
      </w:tr>
      <w:tr w:rsidR="00BA341F" w:rsidRPr="00043695" w:rsidTr="00CB657F">
        <w:trPr>
          <w:trHeight w:val="70"/>
        </w:trPr>
        <w:tc>
          <w:tcPr>
            <w:tcW w:w="1364" w:type="dxa"/>
            <w:tcBorders>
              <w:top w:val="nil"/>
              <w:left w:val="nil"/>
              <w:bottom w:val="nil"/>
              <w:right w:val="single" w:sz="4" w:space="0" w:color="auto"/>
            </w:tcBorders>
          </w:tcPr>
          <w:p w:rsidR="00BA341F" w:rsidRPr="00043695" w:rsidRDefault="00BA341F" w:rsidP="00BA341F">
            <w:pPr>
              <w:pStyle w:val="Default"/>
              <w:rPr>
                <w:rFonts w:ascii="Times New Roman" w:hAnsi="Times New Roman" w:cs="Times New Roman"/>
                <w:b/>
                <w:iCs/>
                <w:sz w:val="22"/>
                <w:szCs w:val="22"/>
              </w:rPr>
            </w:pPr>
            <w:r w:rsidRPr="00043695">
              <w:rPr>
                <w:rFonts w:ascii="Times New Roman" w:hAnsi="Times New Roman" w:cs="Times New Roman"/>
                <w:b/>
                <w:iCs/>
                <w:sz w:val="22"/>
                <w:szCs w:val="22"/>
              </w:rPr>
              <w:t>To:</w:t>
            </w:r>
          </w:p>
        </w:tc>
        <w:tc>
          <w:tcPr>
            <w:tcW w:w="2126" w:type="dxa"/>
            <w:tcBorders>
              <w:left w:val="single" w:sz="4" w:space="0" w:color="auto"/>
            </w:tcBorders>
            <w:shd w:val="clear" w:color="auto" w:fill="FFFFFF" w:themeFill="background1"/>
          </w:tcPr>
          <w:p w:rsidR="00BA341F" w:rsidRPr="00043695" w:rsidRDefault="00BA341F" w:rsidP="00BA341F">
            <w:pPr>
              <w:pStyle w:val="Default"/>
              <w:rPr>
                <w:rFonts w:ascii="Times New Roman" w:hAnsi="Times New Roman" w:cs="Times New Roman"/>
                <w:i/>
                <w:iCs/>
                <w:sz w:val="22"/>
                <w:szCs w:val="22"/>
              </w:rPr>
            </w:pPr>
            <w:r>
              <w:rPr>
                <w:rFonts w:ascii="Times New Roman" w:hAnsi="Times New Roman" w:cs="Times New Roman"/>
                <w:i/>
                <w:iCs/>
                <w:sz w:val="22"/>
                <w:szCs w:val="22"/>
              </w:rPr>
              <w:t xml:space="preserve">Capra </w:t>
            </w:r>
            <w:proofErr w:type="spellStart"/>
            <w:r>
              <w:rPr>
                <w:rFonts w:ascii="Times New Roman" w:hAnsi="Times New Roman" w:cs="Times New Roman"/>
                <w:i/>
                <w:iCs/>
                <w:sz w:val="22"/>
                <w:szCs w:val="22"/>
              </w:rPr>
              <w:t>hircus</w:t>
            </w:r>
            <w:proofErr w:type="spellEnd"/>
            <w:r>
              <w:rPr>
                <w:rFonts w:ascii="Times New Roman" w:hAnsi="Times New Roman" w:cs="Times New Roman"/>
                <w:i/>
                <w:iCs/>
                <w:sz w:val="22"/>
                <w:szCs w:val="22"/>
              </w:rPr>
              <w:t xml:space="preserve"> </w:t>
            </w:r>
            <w:proofErr w:type="spellStart"/>
            <w:r>
              <w:rPr>
                <w:rFonts w:ascii="Times New Roman" w:hAnsi="Times New Roman" w:cs="Times New Roman"/>
                <w:i/>
                <w:iCs/>
                <w:sz w:val="22"/>
                <w:szCs w:val="22"/>
              </w:rPr>
              <w:t>aegagrus</w:t>
            </w:r>
            <w:proofErr w:type="spellEnd"/>
          </w:p>
        </w:tc>
        <w:tc>
          <w:tcPr>
            <w:tcW w:w="2126" w:type="dxa"/>
            <w:shd w:val="clear" w:color="auto" w:fill="FFFFFF" w:themeFill="background1"/>
          </w:tcPr>
          <w:p w:rsidR="00BA341F" w:rsidRPr="00043695" w:rsidRDefault="00BA341F" w:rsidP="00BA341F">
            <w:pPr>
              <w:pStyle w:val="Default"/>
              <w:rPr>
                <w:rFonts w:ascii="Times New Roman" w:hAnsi="Times New Roman" w:cs="Times New Roman"/>
                <w:sz w:val="22"/>
                <w:szCs w:val="22"/>
              </w:rPr>
            </w:pPr>
            <w:proofErr w:type="spellStart"/>
            <w:r>
              <w:rPr>
                <w:rFonts w:ascii="Times New Roman" w:hAnsi="Times New Roman" w:cs="Times New Roman"/>
                <w:sz w:val="22"/>
                <w:szCs w:val="22"/>
              </w:rPr>
              <w:t>Bezoar</w:t>
            </w:r>
            <w:proofErr w:type="spellEnd"/>
            <w:r>
              <w:rPr>
                <w:rFonts w:ascii="Times New Roman" w:hAnsi="Times New Roman" w:cs="Times New Roman"/>
                <w:sz w:val="22"/>
                <w:szCs w:val="22"/>
              </w:rPr>
              <w:t xml:space="preserve"> ibex,</w:t>
            </w:r>
            <w:r w:rsidR="003B4DCE">
              <w:rPr>
                <w:rFonts w:ascii="Times New Roman" w:hAnsi="Times New Roman" w:cs="Times New Roman"/>
                <w:sz w:val="22"/>
                <w:szCs w:val="22"/>
              </w:rPr>
              <w:t xml:space="preserve"> </w:t>
            </w:r>
            <w:proofErr w:type="spellStart"/>
            <w:r>
              <w:rPr>
                <w:rFonts w:ascii="Times New Roman" w:hAnsi="Times New Roman" w:cs="Times New Roman"/>
                <w:sz w:val="22"/>
                <w:szCs w:val="22"/>
              </w:rPr>
              <w:t>sind</w:t>
            </w:r>
            <w:proofErr w:type="spellEnd"/>
            <w:r w:rsidR="003B4DCE">
              <w:rPr>
                <w:rFonts w:ascii="Times New Roman" w:hAnsi="Times New Roman" w:cs="Times New Roman"/>
                <w:sz w:val="22"/>
                <w:szCs w:val="22"/>
              </w:rPr>
              <w:t>,</w:t>
            </w:r>
            <w:r>
              <w:rPr>
                <w:rFonts w:ascii="Times New Roman" w:hAnsi="Times New Roman" w:cs="Times New Roman"/>
                <w:sz w:val="22"/>
                <w:szCs w:val="22"/>
              </w:rPr>
              <w:t xml:space="preserve"> wild goat</w:t>
            </w:r>
          </w:p>
        </w:tc>
        <w:tc>
          <w:tcPr>
            <w:tcW w:w="1134" w:type="dxa"/>
            <w:shd w:val="clear" w:color="auto" w:fill="FFFFFF" w:themeFill="background1"/>
          </w:tcPr>
          <w:p w:rsidR="00BA341F" w:rsidRPr="00043695" w:rsidRDefault="00BA341F" w:rsidP="00BA341F">
            <w:pPr>
              <w:pStyle w:val="Default"/>
              <w:rPr>
                <w:rFonts w:ascii="Times New Roman" w:hAnsi="Times New Roman" w:cs="Times New Roman"/>
                <w:sz w:val="22"/>
                <w:szCs w:val="22"/>
              </w:rPr>
            </w:pPr>
            <w:r w:rsidRPr="00043695">
              <w:rPr>
                <w:rFonts w:ascii="Times New Roman" w:hAnsi="Times New Roman" w:cs="Times New Roman"/>
                <w:sz w:val="22"/>
                <w:szCs w:val="22"/>
              </w:rPr>
              <w:t xml:space="preserve">III </w:t>
            </w:r>
          </w:p>
        </w:tc>
        <w:tc>
          <w:tcPr>
            <w:tcW w:w="2410" w:type="dxa"/>
            <w:shd w:val="clear" w:color="auto" w:fill="FFFFFF" w:themeFill="background1"/>
          </w:tcPr>
          <w:p w:rsidR="00BA341F" w:rsidRPr="00043695" w:rsidRDefault="00777CD1" w:rsidP="00BA341F">
            <w:pPr>
              <w:pStyle w:val="Default"/>
              <w:rPr>
                <w:rFonts w:ascii="Times New Roman" w:hAnsi="Times New Roman" w:cs="Times New Roman"/>
                <w:color w:val="auto"/>
                <w:sz w:val="22"/>
                <w:szCs w:val="22"/>
              </w:rPr>
            </w:pPr>
            <w:r w:rsidRPr="00043695">
              <w:rPr>
                <w:rFonts w:ascii="Times New Roman" w:hAnsi="Times New Roman" w:cs="Times New Roman"/>
                <w:color w:val="auto"/>
                <w:sz w:val="22"/>
                <w:szCs w:val="22"/>
              </w:rPr>
              <w:t xml:space="preserve">Listed by </w:t>
            </w:r>
            <w:r w:rsidR="00BA341F">
              <w:rPr>
                <w:rFonts w:ascii="Times New Roman" w:hAnsi="Times New Roman" w:cs="Times New Roman"/>
                <w:color w:val="auto"/>
                <w:sz w:val="22"/>
                <w:szCs w:val="22"/>
              </w:rPr>
              <w:t xml:space="preserve">Pakistan. Specimens of the domesticated form are not subject to the provisions of the Convention. </w:t>
            </w:r>
          </w:p>
        </w:tc>
        <w:tc>
          <w:tcPr>
            <w:tcW w:w="1276" w:type="dxa"/>
            <w:shd w:val="clear" w:color="auto" w:fill="FFFFFF" w:themeFill="background1"/>
          </w:tcPr>
          <w:p w:rsidR="00BA341F" w:rsidRPr="00043695" w:rsidRDefault="00BA341F" w:rsidP="00BA341F">
            <w:pPr>
              <w:pStyle w:val="Default"/>
              <w:rPr>
                <w:rFonts w:ascii="Times New Roman" w:hAnsi="Times New Roman" w:cs="Times New Roman"/>
                <w:sz w:val="22"/>
                <w:szCs w:val="22"/>
              </w:rPr>
            </w:pPr>
            <w:r>
              <w:rPr>
                <w:rFonts w:ascii="Times New Roman" w:hAnsi="Times New Roman" w:cs="Times New Roman"/>
                <w:sz w:val="22"/>
                <w:szCs w:val="22"/>
              </w:rPr>
              <w:t>24 Jun 14</w:t>
            </w:r>
          </w:p>
        </w:tc>
      </w:tr>
      <w:tr w:rsidR="00CB657F" w:rsidRPr="00043695" w:rsidTr="00CB657F">
        <w:trPr>
          <w:trHeight w:val="227"/>
        </w:trPr>
        <w:tc>
          <w:tcPr>
            <w:tcW w:w="1364" w:type="dxa"/>
            <w:tcBorders>
              <w:top w:val="nil"/>
              <w:left w:val="nil"/>
              <w:bottom w:val="nil"/>
              <w:right w:val="single" w:sz="4" w:space="0" w:color="auto"/>
            </w:tcBorders>
          </w:tcPr>
          <w:p w:rsidR="00CB657F" w:rsidRPr="00043695" w:rsidRDefault="00CB657F" w:rsidP="00CB657F">
            <w:pPr>
              <w:pStyle w:val="Default"/>
              <w:rPr>
                <w:rFonts w:ascii="Times New Roman" w:hAnsi="Times New Roman" w:cs="Times New Roman"/>
                <w:b/>
                <w:sz w:val="22"/>
                <w:szCs w:val="22"/>
              </w:rPr>
            </w:pPr>
            <w:r w:rsidRPr="00043695">
              <w:rPr>
                <w:rFonts w:ascii="Times New Roman" w:hAnsi="Times New Roman" w:cs="Times New Roman"/>
                <w:b/>
                <w:sz w:val="22"/>
                <w:szCs w:val="22"/>
              </w:rPr>
              <w:t>Change:</w:t>
            </w:r>
          </w:p>
        </w:tc>
        <w:tc>
          <w:tcPr>
            <w:tcW w:w="2126" w:type="dxa"/>
            <w:tcBorders>
              <w:left w:val="single" w:sz="4" w:space="0" w:color="auto"/>
            </w:tcBorders>
          </w:tcPr>
          <w:p w:rsidR="00CB657F" w:rsidRPr="00484184" w:rsidRDefault="00D657A6" w:rsidP="00CB657F">
            <w:pPr>
              <w:pStyle w:val="Default"/>
              <w:rPr>
                <w:rFonts w:ascii="Times New Roman" w:hAnsi="Times New Roman" w:cs="Times New Roman"/>
                <w:i/>
                <w:sz w:val="22"/>
                <w:szCs w:val="22"/>
              </w:rPr>
            </w:pPr>
            <w:proofErr w:type="spellStart"/>
            <w:r>
              <w:rPr>
                <w:rFonts w:ascii="Times New Roman" w:hAnsi="Times New Roman" w:cs="Times New Roman"/>
                <w:i/>
                <w:sz w:val="22"/>
                <w:szCs w:val="22"/>
              </w:rPr>
              <w:t>Loxodonta</w:t>
            </w:r>
            <w:proofErr w:type="spellEnd"/>
            <w:r>
              <w:rPr>
                <w:rFonts w:ascii="Times New Roman" w:hAnsi="Times New Roman" w:cs="Times New Roman"/>
                <w:i/>
                <w:sz w:val="22"/>
                <w:szCs w:val="22"/>
              </w:rPr>
              <w:t xml:space="preserve"> </w:t>
            </w:r>
            <w:proofErr w:type="spellStart"/>
            <w:r>
              <w:rPr>
                <w:rFonts w:ascii="Times New Roman" w:hAnsi="Times New Roman" w:cs="Times New Roman"/>
                <w:i/>
                <w:sz w:val="22"/>
                <w:szCs w:val="22"/>
              </w:rPr>
              <w:t>a</w:t>
            </w:r>
            <w:r w:rsidR="00DD518E">
              <w:rPr>
                <w:rFonts w:ascii="Times New Roman" w:hAnsi="Times New Roman" w:cs="Times New Roman"/>
                <w:i/>
                <w:sz w:val="22"/>
                <w:szCs w:val="22"/>
              </w:rPr>
              <w:t>fricana</w:t>
            </w:r>
            <w:proofErr w:type="spellEnd"/>
          </w:p>
        </w:tc>
        <w:tc>
          <w:tcPr>
            <w:tcW w:w="2126" w:type="dxa"/>
          </w:tcPr>
          <w:p w:rsidR="00CB657F" w:rsidRPr="00484184" w:rsidRDefault="00DD518E" w:rsidP="00CB657F">
            <w:pPr>
              <w:pStyle w:val="Default"/>
              <w:rPr>
                <w:rFonts w:ascii="Times New Roman" w:hAnsi="Times New Roman" w:cs="Times New Roman"/>
                <w:sz w:val="22"/>
                <w:szCs w:val="22"/>
              </w:rPr>
            </w:pPr>
            <w:r>
              <w:rPr>
                <w:rFonts w:ascii="Times New Roman" w:hAnsi="Times New Roman" w:cs="Times New Roman"/>
                <w:sz w:val="22"/>
                <w:szCs w:val="22"/>
              </w:rPr>
              <w:t>African Elephant</w:t>
            </w:r>
          </w:p>
        </w:tc>
        <w:tc>
          <w:tcPr>
            <w:tcW w:w="1134" w:type="dxa"/>
          </w:tcPr>
          <w:p w:rsidR="00CB657F" w:rsidRPr="00484184" w:rsidRDefault="00DD518E" w:rsidP="00CB657F">
            <w:pPr>
              <w:pStyle w:val="Default"/>
              <w:rPr>
                <w:rFonts w:ascii="Times New Roman" w:hAnsi="Times New Roman" w:cs="Times New Roman"/>
                <w:sz w:val="22"/>
                <w:szCs w:val="22"/>
              </w:rPr>
            </w:pPr>
            <w:r>
              <w:rPr>
                <w:rFonts w:ascii="Times New Roman" w:hAnsi="Times New Roman" w:cs="Times New Roman"/>
                <w:sz w:val="22"/>
                <w:szCs w:val="22"/>
              </w:rPr>
              <w:t>I</w:t>
            </w:r>
          </w:p>
        </w:tc>
        <w:tc>
          <w:tcPr>
            <w:tcW w:w="2410" w:type="dxa"/>
          </w:tcPr>
          <w:p w:rsidR="00DD518E" w:rsidRPr="009C3C9B" w:rsidRDefault="00DD518E" w:rsidP="00DD518E">
            <w:pPr>
              <w:pStyle w:val="Default"/>
              <w:rPr>
                <w:rFonts w:ascii="Times New Roman" w:hAnsi="Times New Roman" w:cs="Times New Roman"/>
                <w:sz w:val="22"/>
                <w:szCs w:val="22"/>
              </w:rPr>
            </w:pPr>
            <w:r w:rsidRPr="009C3C9B">
              <w:rPr>
                <w:rFonts w:ascii="Times New Roman" w:hAnsi="Times New Roman" w:cs="Times New Roman"/>
                <w:sz w:val="22"/>
                <w:szCs w:val="22"/>
              </w:rPr>
              <w:t>Populations of Botswana, Namibia, South Africa only for the exclusive purpose of allowing:</w:t>
            </w:r>
          </w:p>
          <w:p w:rsidR="00DD518E" w:rsidRPr="00DD518E" w:rsidRDefault="00DD518E" w:rsidP="00DD518E">
            <w:pPr>
              <w:pStyle w:val="Default"/>
              <w:rPr>
                <w:sz w:val="22"/>
                <w:szCs w:val="22"/>
              </w:rPr>
            </w:pPr>
            <w:r w:rsidRPr="009C3C9B">
              <w:rPr>
                <w:rFonts w:ascii="Times New Roman" w:hAnsi="Times New Roman" w:cs="Times New Roman"/>
                <w:sz w:val="22"/>
                <w:szCs w:val="22"/>
              </w:rPr>
              <w:t>1) Trade in hunting trophies for non-</w:t>
            </w:r>
            <w:r w:rsidRPr="00242993">
              <w:rPr>
                <w:rFonts w:ascii="Times New Roman" w:hAnsi="Times New Roman" w:cs="Times New Roman"/>
                <w:sz w:val="22"/>
                <w:szCs w:val="22"/>
              </w:rPr>
              <w:t xml:space="preserve">commercial purposes; 2) Trade in live animals for </w:t>
            </w:r>
            <w:r w:rsidRPr="00242993">
              <w:rPr>
                <w:rFonts w:ascii="Times New Roman" w:hAnsi="Times New Roman" w:cs="Times New Roman"/>
                <w:i/>
                <w:iCs/>
                <w:sz w:val="22"/>
                <w:szCs w:val="22"/>
              </w:rPr>
              <w:t>in-situ</w:t>
            </w:r>
            <w:r w:rsidRPr="00242993">
              <w:rPr>
                <w:rFonts w:ascii="Times New Roman" w:hAnsi="Times New Roman" w:cs="Times New Roman"/>
                <w:sz w:val="22"/>
                <w:szCs w:val="22"/>
              </w:rPr>
              <w:t xml:space="preserve"> conservation programmes; 3</w:t>
            </w:r>
            <w:r w:rsidRPr="009C3C9B">
              <w:rPr>
                <w:rFonts w:ascii="Times New Roman" w:hAnsi="Times New Roman" w:cs="Times New Roman"/>
                <w:sz w:val="22"/>
                <w:szCs w:val="22"/>
              </w:rPr>
              <w:t>) Trade in hides; 4) Trade in leather goods for non-</w:t>
            </w:r>
            <w:proofErr w:type="spellStart"/>
            <w:r w:rsidRPr="009C3C9B">
              <w:rPr>
                <w:rFonts w:ascii="Times New Roman" w:hAnsi="Times New Roman" w:cs="Times New Roman"/>
                <w:sz w:val="22"/>
                <w:szCs w:val="22"/>
              </w:rPr>
              <w:t>commecial</w:t>
            </w:r>
            <w:proofErr w:type="spellEnd"/>
            <w:r w:rsidRPr="009C3C9B">
              <w:rPr>
                <w:rFonts w:ascii="Times New Roman" w:hAnsi="Times New Roman" w:cs="Times New Roman"/>
                <w:sz w:val="22"/>
                <w:szCs w:val="22"/>
              </w:rPr>
              <w:t xml:space="preserve"> purposes for </w:t>
            </w:r>
            <w:r w:rsidRPr="009C3C9B">
              <w:rPr>
                <w:rFonts w:ascii="Times New Roman" w:hAnsi="Times New Roman" w:cs="Times New Roman"/>
                <w:sz w:val="22"/>
                <w:szCs w:val="22"/>
              </w:rPr>
              <w:lastRenderedPageBreak/>
              <w:t xml:space="preserve">Botswana; for commercial or non-commercial purposes for Namibia and South Africa; 5) trade in hair for commercial or non-commercial purposes for Namibia; 6) trade in individually marked and certified </w:t>
            </w:r>
            <w:proofErr w:type="spellStart"/>
            <w:r w:rsidRPr="009C3C9B">
              <w:rPr>
                <w:rFonts w:ascii="Times New Roman" w:hAnsi="Times New Roman" w:cs="Times New Roman"/>
                <w:sz w:val="22"/>
                <w:szCs w:val="22"/>
              </w:rPr>
              <w:t>ekipas</w:t>
            </w:r>
            <w:proofErr w:type="spellEnd"/>
            <w:r w:rsidRPr="009C3C9B">
              <w:rPr>
                <w:rFonts w:ascii="Times New Roman" w:hAnsi="Times New Roman" w:cs="Times New Roman"/>
                <w:sz w:val="22"/>
                <w:szCs w:val="22"/>
              </w:rPr>
              <w:t xml:space="preserve"> incorporated in finished jewellery for non-commercial purposes form Namibia; and 7)trade in registered raw ivory (for Botswana and Namibia, whole tusks and pieces; for South Africa, whole tusks and cut pieces of ivory that are both 20cm or more in length and one </w:t>
            </w:r>
            <w:proofErr w:type="spellStart"/>
            <w:r w:rsidRPr="009C3C9B">
              <w:rPr>
                <w:rFonts w:ascii="Times New Roman" w:hAnsi="Times New Roman" w:cs="Times New Roman"/>
                <w:sz w:val="22"/>
                <w:szCs w:val="22"/>
              </w:rPr>
              <w:t>kilogramme</w:t>
            </w:r>
            <w:proofErr w:type="spellEnd"/>
            <w:r w:rsidRPr="009C3C9B">
              <w:rPr>
                <w:rFonts w:ascii="Times New Roman" w:hAnsi="Times New Roman" w:cs="Times New Roman"/>
                <w:sz w:val="22"/>
                <w:szCs w:val="22"/>
              </w:rPr>
              <w:t xml:space="preserve"> or more in weight) subject to the following: I) only registered government-owned stocks, originating in State (excluding seized ivory and ivory of unknown origin) and, in the </w:t>
            </w:r>
            <w:proofErr w:type="spellStart"/>
            <w:r w:rsidRPr="009C3C9B">
              <w:rPr>
                <w:rFonts w:ascii="Times New Roman" w:hAnsi="Times New Roman" w:cs="Times New Roman"/>
                <w:sz w:val="22"/>
                <w:szCs w:val="22"/>
              </w:rPr>
              <w:t>cawe</w:t>
            </w:r>
            <w:proofErr w:type="spellEnd"/>
            <w:r w:rsidRPr="009C3C9B">
              <w:rPr>
                <w:rFonts w:ascii="Times New Roman" w:hAnsi="Times New Roman" w:cs="Times New Roman"/>
                <w:sz w:val="22"/>
                <w:szCs w:val="22"/>
              </w:rPr>
              <w:t xml:space="preserve"> of South Africa, only ivory originating from the Kruger National Park); ii) only to trading partners that have been verified by the Secretariat, in consultation with the Standing Committee, to have sufficient national legislation and domestic trade controls to ensure that the imported ivory will not be re-exported and will be managed in accordance with all requirements of Resolution Conf. 10.10 (Rev. CoP12) concerning domestic manufacturing and trade; iii) not before the </w:t>
            </w:r>
            <w:r w:rsidRPr="009C3C9B">
              <w:rPr>
                <w:rFonts w:ascii="Times New Roman" w:hAnsi="Times New Roman" w:cs="Times New Roman"/>
                <w:sz w:val="22"/>
                <w:szCs w:val="22"/>
              </w:rPr>
              <w:lastRenderedPageBreak/>
              <w:t xml:space="preserve">Secretariat has verified the prospective importing countries, and the MIKE has reported to the Secretariat on the baseline information (e.g. elephant population numbers, incidence of illegal killing); iv) a maximum amount of 20,000kg (Botswana), 10,000kg (Namibia) and 30,000kg (South Africa) of ivory may be traded, and despatched in a single shipment under strict supervision of the Secretariat; v.) </w:t>
            </w:r>
            <w:proofErr w:type="gramStart"/>
            <w:r w:rsidRPr="009C3C9B">
              <w:rPr>
                <w:rFonts w:ascii="Times New Roman" w:hAnsi="Times New Roman" w:cs="Times New Roman"/>
                <w:sz w:val="22"/>
                <w:szCs w:val="22"/>
              </w:rPr>
              <w:t>the</w:t>
            </w:r>
            <w:proofErr w:type="gramEnd"/>
            <w:r w:rsidRPr="009C3C9B">
              <w:rPr>
                <w:rFonts w:ascii="Times New Roman" w:hAnsi="Times New Roman" w:cs="Times New Roman"/>
                <w:sz w:val="22"/>
                <w:szCs w:val="22"/>
              </w:rPr>
              <w:t xml:space="preserve"> proceeds of the trade are used exclusively for elephant conservation and community conservation and development programs within or adjacent to the elephant range; vi) only after the Standing Committee has agreed that the above conditions have been met. On a proposal from the Secretariat, the Standing Committee can decide to cause this trade to partially or completely cease in the event of non-compliance by exporting or importing countries, or in the case of proven detrimental impacts of the trade on other elephant populations. All specimens shall be deemed to be specimens of species included in Appendix I and the trade in them shall be regulated accordingly.</w:t>
            </w:r>
          </w:p>
          <w:p w:rsidR="00CB657F" w:rsidRPr="00484184" w:rsidRDefault="00CB657F" w:rsidP="00CB657F">
            <w:pPr>
              <w:pStyle w:val="Default"/>
              <w:rPr>
                <w:rFonts w:ascii="Times New Roman" w:hAnsi="Times New Roman" w:cs="Times New Roman"/>
                <w:sz w:val="22"/>
                <w:szCs w:val="22"/>
              </w:rPr>
            </w:pPr>
          </w:p>
        </w:tc>
        <w:tc>
          <w:tcPr>
            <w:tcW w:w="1276" w:type="dxa"/>
          </w:tcPr>
          <w:p w:rsidR="009C3C9B" w:rsidRPr="009C3C9B" w:rsidRDefault="009C3C9B" w:rsidP="009C3C9B">
            <w:pPr>
              <w:pStyle w:val="Default"/>
              <w:rPr>
                <w:rFonts w:ascii="Times New Roman" w:hAnsi="Times New Roman" w:cs="Times New Roman"/>
                <w:sz w:val="22"/>
                <w:szCs w:val="22"/>
              </w:rPr>
            </w:pPr>
            <w:r w:rsidRPr="009C3C9B">
              <w:rPr>
                <w:rFonts w:ascii="Times New Roman" w:hAnsi="Times New Roman" w:cs="Times New Roman"/>
                <w:sz w:val="22"/>
                <w:szCs w:val="22"/>
              </w:rPr>
              <w:lastRenderedPageBreak/>
              <w:t xml:space="preserve">4 Feb 77 </w:t>
            </w:r>
          </w:p>
          <w:p w:rsidR="00CB657F" w:rsidRPr="00484184" w:rsidRDefault="00CB657F" w:rsidP="00CB657F">
            <w:pPr>
              <w:pStyle w:val="Default"/>
              <w:rPr>
                <w:rFonts w:ascii="Times New Roman" w:hAnsi="Times New Roman" w:cs="Times New Roman"/>
                <w:sz w:val="22"/>
                <w:szCs w:val="22"/>
              </w:rPr>
            </w:pPr>
          </w:p>
        </w:tc>
      </w:tr>
      <w:tr w:rsidR="005014C7" w:rsidRPr="00043695" w:rsidTr="00CB657F">
        <w:trPr>
          <w:trHeight w:val="227"/>
        </w:trPr>
        <w:tc>
          <w:tcPr>
            <w:tcW w:w="1364" w:type="dxa"/>
            <w:tcBorders>
              <w:top w:val="nil"/>
              <w:left w:val="nil"/>
              <w:bottom w:val="nil"/>
              <w:right w:val="single" w:sz="4" w:space="0" w:color="auto"/>
            </w:tcBorders>
          </w:tcPr>
          <w:p w:rsidR="005014C7" w:rsidRPr="00043695" w:rsidRDefault="005014C7" w:rsidP="00CB657F">
            <w:pPr>
              <w:pStyle w:val="Default"/>
              <w:rPr>
                <w:rFonts w:ascii="Times New Roman" w:hAnsi="Times New Roman" w:cs="Times New Roman"/>
                <w:b/>
                <w:sz w:val="22"/>
                <w:szCs w:val="22"/>
              </w:rPr>
            </w:pPr>
            <w:r w:rsidRPr="00043695">
              <w:rPr>
                <w:rFonts w:ascii="Times New Roman" w:hAnsi="Times New Roman" w:cs="Times New Roman"/>
                <w:b/>
                <w:sz w:val="22"/>
                <w:szCs w:val="22"/>
              </w:rPr>
              <w:lastRenderedPageBreak/>
              <w:t>To:</w:t>
            </w:r>
          </w:p>
        </w:tc>
        <w:tc>
          <w:tcPr>
            <w:tcW w:w="2126" w:type="dxa"/>
            <w:tcBorders>
              <w:left w:val="single" w:sz="4" w:space="0" w:color="auto"/>
            </w:tcBorders>
          </w:tcPr>
          <w:p w:rsidR="005014C7" w:rsidRPr="00484184" w:rsidRDefault="005014C7" w:rsidP="00D657A6">
            <w:pPr>
              <w:pStyle w:val="Default"/>
              <w:rPr>
                <w:rFonts w:ascii="Times New Roman" w:hAnsi="Times New Roman" w:cs="Times New Roman"/>
                <w:i/>
                <w:sz w:val="22"/>
                <w:szCs w:val="22"/>
              </w:rPr>
            </w:pPr>
            <w:proofErr w:type="spellStart"/>
            <w:r>
              <w:rPr>
                <w:rFonts w:ascii="Times New Roman" w:hAnsi="Times New Roman" w:cs="Times New Roman"/>
                <w:i/>
                <w:sz w:val="22"/>
                <w:szCs w:val="22"/>
              </w:rPr>
              <w:t>Loxodonta</w:t>
            </w:r>
            <w:proofErr w:type="spellEnd"/>
            <w:r>
              <w:rPr>
                <w:rFonts w:ascii="Times New Roman" w:hAnsi="Times New Roman" w:cs="Times New Roman"/>
                <w:i/>
                <w:sz w:val="22"/>
                <w:szCs w:val="22"/>
              </w:rPr>
              <w:t xml:space="preserve"> </w:t>
            </w:r>
            <w:proofErr w:type="spellStart"/>
            <w:r w:rsidR="00D657A6">
              <w:rPr>
                <w:rFonts w:ascii="Times New Roman" w:hAnsi="Times New Roman" w:cs="Times New Roman"/>
                <w:i/>
                <w:sz w:val="22"/>
                <w:szCs w:val="22"/>
              </w:rPr>
              <w:t>a</w:t>
            </w:r>
            <w:r>
              <w:rPr>
                <w:rFonts w:ascii="Times New Roman" w:hAnsi="Times New Roman" w:cs="Times New Roman"/>
                <w:i/>
                <w:sz w:val="22"/>
                <w:szCs w:val="22"/>
              </w:rPr>
              <w:t>fricana</w:t>
            </w:r>
            <w:proofErr w:type="spellEnd"/>
          </w:p>
        </w:tc>
        <w:tc>
          <w:tcPr>
            <w:tcW w:w="2126" w:type="dxa"/>
          </w:tcPr>
          <w:p w:rsidR="005014C7" w:rsidRPr="00484184" w:rsidRDefault="005014C7" w:rsidP="00E31C2C">
            <w:pPr>
              <w:pStyle w:val="Default"/>
              <w:rPr>
                <w:rFonts w:ascii="Times New Roman" w:hAnsi="Times New Roman" w:cs="Times New Roman"/>
                <w:sz w:val="22"/>
                <w:szCs w:val="22"/>
              </w:rPr>
            </w:pPr>
            <w:r>
              <w:rPr>
                <w:rFonts w:ascii="Times New Roman" w:hAnsi="Times New Roman" w:cs="Times New Roman"/>
                <w:sz w:val="22"/>
                <w:szCs w:val="22"/>
              </w:rPr>
              <w:t>African Elephant</w:t>
            </w:r>
          </w:p>
        </w:tc>
        <w:tc>
          <w:tcPr>
            <w:tcW w:w="1134" w:type="dxa"/>
          </w:tcPr>
          <w:p w:rsidR="005014C7" w:rsidRPr="00484184" w:rsidRDefault="005014C7" w:rsidP="00E31C2C">
            <w:pPr>
              <w:pStyle w:val="Default"/>
              <w:rPr>
                <w:rFonts w:ascii="Times New Roman" w:hAnsi="Times New Roman" w:cs="Times New Roman"/>
                <w:sz w:val="22"/>
                <w:szCs w:val="22"/>
              </w:rPr>
            </w:pPr>
            <w:r>
              <w:rPr>
                <w:rFonts w:ascii="Times New Roman" w:hAnsi="Times New Roman" w:cs="Times New Roman"/>
                <w:sz w:val="22"/>
                <w:szCs w:val="22"/>
              </w:rPr>
              <w:t>I</w:t>
            </w:r>
          </w:p>
        </w:tc>
        <w:tc>
          <w:tcPr>
            <w:tcW w:w="2410" w:type="dxa"/>
          </w:tcPr>
          <w:p w:rsidR="005014C7" w:rsidRPr="00484184" w:rsidRDefault="00D657A6" w:rsidP="00CB657F">
            <w:pPr>
              <w:pStyle w:val="Default"/>
              <w:rPr>
                <w:rFonts w:ascii="Times New Roman" w:hAnsi="Times New Roman" w:cs="Times New Roman"/>
                <w:sz w:val="22"/>
                <w:szCs w:val="22"/>
              </w:rPr>
            </w:pPr>
            <w:r>
              <w:rPr>
                <w:rFonts w:ascii="Times New Roman" w:hAnsi="Times New Roman" w:cs="Times New Roman"/>
                <w:sz w:val="22"/>
                <w:szCs w:val="22"/>
              </w:rPr>
              <w:t xml:space="preserve">Under the </w:t>
            </w:r>
            <w:r w:rsidRPr="00D657A6">
              <w:rPr>
                <w:rFonts w:ascii="Times New Roman" w:hAnsi="Times New Roman" w:cs="Times New Roman"/>
                <w:i/>
                <w:sz w:val="22"/>
                <w:szCs w:val="22"/>
              </w:rPr>
              <w:t xml:space="preserve">Listing of CITES Species – Declaration of Stricter </w:t>
            </w:r>
            <w:r w:rsidRPr="00D657A6">
              <w:rPr>
                <w:rFonts w:ascii="Times New Roman" w:hAnsi="Times New Roman" w:cs="Times New Roman"/>
                <w:i/>
                <w:sz w:val="22"/>
                <w:szCs w:val="22"/>
              </w:rPr>
              <w:lastRenderedPageBreak/>
              <w:t>Domestic Measure</w:t>
            </w:r>
            <w:r>
              <w:rPr>
                <w:rFonts w:ascii="Times New Roman" w:hAnsi="Times New Roman" w:cs="Times New Roman"/>
                <w:sz w:val="22"/>
                <w:szCs w:val="22"/>
              </w:rPr>
              <w:t xml:space="preserve"> dated 10 December 2002 (F2007B00192), all populations of this species are considered to be included in Appendix I.</w:t>
            </w:r>
          </w:p>
        </w:tc>
        <w:tc>
          <w:tcPr>
            <w:tcW w:w="1276" w:type="dxa"/>
          </w:tcPr>
          <w:p w:rsidR="005014C7" w:rsidRPr="00484184" w:rsidRDefault="005014C7" w:rsidP="00CB657F">
            <w:pPr>
              <w:pStyle w:val="Default"/>
              <w:rPr>
                <w:rFonts w:ascii="Times New Roman" w:hAnsi="Times New Roman" w:cs="Times New Roman"/>
                <w:sz w:val="22"/>
                <w:szCs w:val="22"/>
              </w:rPr>
            </w:pPr>
            <w:r w:rsidRPr="009C3C9B">
              <w:rPr>
                <w:rFonts w:ascii="Times New Roman" w:hAnsi="Times New Roman" w:cs="Times New Roman"/>
                <w:sz w:val="22"/>
                <w:szCs w:val="22"/>
              </w:rPr>
              <w:lastRenderedPageBreak/>
              <w:t xml:space="preserve">4 Feb 77 </w:t>
            </w:r>
          </w:p>
        </w:tc>
      </w:tr>
    </w:tbl>
    <w:p w:rsidR="00CB657F" w:rsidRPr="00043695" w:rsidRDefault="00CB657F" w:rsidP="00CB657F">
      <w:pPr>
        <w:pStyle w:val="Title"/>
        <w:rPr>
          <w:sz w:val="22"/>
          <w:szCs w:val="22"/>
        </w:rPr>
      </w:pPr>
    </w:p>
    <w:p w:rsidR="00043695" w:rsidRDefault="00D657A6" w:rsidP="00043695">
      <w:pPr>
        <w:ind w:right="-1333" w:hanging="1134"/>
        <w:rPr>
          <w:sz w:val="22"/>
          <w:szCs w:val="22"/>
          <w:u w:val="single"/>
        </w:rPr>
      </w:pPr>
      <w:r>
        <w:rPr>
          <w:sz w:val="22"/>
          <w:szCs w:val="22"/>
          <w:u w:val="single"/>
        </w:rPr>
        <w:t>Remove</w:t>
      </w:r>
      <w:r w:rsidRPr="00416670">
        <w:rPr>
          <w:sz w:val="22"/>
          <w:szCs w:val="22"/>
          <w:u w:val="single"/>
        </w:rPr>
        <w:t xml:space="preserve"> the following existing entries</w:t>
      </w:r>
      <w:r>
        <w:rPr>
          <w:sz w:val="22"/>
          <w:szCs w:val="22"/>
          <w:u w:val="single"/>
        </w:rPr>
        <w:t>:</w:t>
      </w:r>
    </w:p>
    <w:p w:rsidR="00D657A6" w:rsidRDefault="00D657A6" w:rsidP="00043695">
      <w:pPr>
        <w:ind w:right="-1333" w:hanging="1134"/>
        <w:rPr>
          <w:sz w:val="22"/>
          <w:szCs w:val="22"/>
          <w:u w:val="single"/>
        </w:rPr>
      </w:pPr>
    </w:p>
    <w:tbl>
      <w:tblPr>
        <w:tblW w:w="1043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3"/>
        <w:gridCol w:w="1559"/>
        <w:gridCol w:w="850"/>
        <w:gridCol w:w="4395"/>
        <w:gridCol w:w="1559"/>
      </w:tblGrid>
      <w:tr w:rsidR="00D657A6" w:rsidTr="00D657A6">
        <w:trPr>
          <w:trHeight w:val="209"/>
          <w:tblHeader/>
        </w:trPr>
        <w:tc>
          <w:tcPr>
            <w:tcW w:w="2073" w:type="dxa"/>
            <w:shd w:val="clear" w:color="auto" w:fill="F2F2F2" w:themeFill="background1" w:themeFillShade="F2"/>
          </w:tcPr>
          <w:p w:rsidR="00D657A6" w:rsidRPr="00D657A6" w:rsidRDefault="00D657A6" w:rsidP="00D657A6">
            <w:pPr>
              <w:rPr>
                <w:b/>
                <w:sz w:val="22"/>
                <w:szCs w:val="22"/>
              </w:rPr>
            </w:pPr>
            <w:proofErr w:type="spellStart"/>
            <w:r w:rsidRPr="00D657A6">
              <w:rPr>
                <w:b/>
                <w:sz w:val="22"/>
                <w:szCs w:val="22"/>
              </w:rPr>
              <w:t>Taxon</w:t>
            </w:r>
            <w:proofErr w:type="spellEnd"/>
          </w:p>
        </w:tc>
        <w:tc>
          <w:tcPr>
            <w:tcW w:w="1559" w:type="dxa"/>
            <w:shd w:val="clear" w:color="auto" w:fill="F2F2F2" w:themeFill="background1" w:themeFillShade="F2"/>
          </w:tcPr>
          <w:p w:rsidR="00D657A6" w:rsidRPr="00D657A6" w:rsidRDefault="00D657A6" w:rsidP="00D657A6">
            <w:pPr>
              <w:rPr>
                <w:b/>
                <w:sz w:val="22"/>
                <w:szCs w:val="22"/>
              </w:rPr>
            </w:pPr>
            <w:r w:rsidRPr="00D657A6">
              <w:rPr>
                <w:b/>
                <w:sz w:val="22"/>
                <w:szCs w:val="22"/>
              </w:rPr>
              <w:t>Common Name</w:t>
            </w:r>
          </w:p>
        </w:tc>
        <w:tc>
          <w:tcPr>
            <w:tcW w:w="850" w:type="dxa"/>
            <w:shd w:val="clear" w:color="auto" w:fill="F2F2F2" w:themeFill="background1" w:themeFillShade="F2"/>
          </w:tcPr>
          <w:p w:rsidR="00D657A6" w:rsidRPr="00D657A6" w:rsidRDefault="00D657A6" w:rsidP="00D657A6">
            <w:pPr>
              <w:rPr>
                <w:b/>
                <w:sz w:val="22"/>
                <w:szCs w:val="22"/>
              </w:rPr>
            </w:pPr>
            <w:r w:rsidRPr="00D657A6">
              <w:rPr>
                <w:b/>
                <w:sz w:val="22"/>
                <w:szCs w:val="22"/>
              </w:rPr>
              <w:t>Appendix</w:t>
            </w:r>
          </w:p>
        </w:tc>
        <w:tc>
          <w:tcPr>
            <w:tcW w:w="4395" w:type="dxa"/>
            <w:shd w:val="clear" w:color="auto" w:fill="F2F2F2" w:themeFill="background1" w:themeFillShade="F2"/>
          </w:tcPr>
          <w:p w:rsidR="00D657A6" w:rsidRPr="00D657A6" w:rsidRDefault="00D657A6" w:rsidP="00D657A6">
            <w:pPr>
              <w:rPr>
                <w:b/>
                <w:sz w:val="22"/>
                <w:szCs w:val="22"/>
              </w:rPr>
            </w:pPr>
            <w:r w:rsidRPr="00D657A6">
              <w:rPr>
                <w:b/>
                <w:sz w:val="22"/>
                <w:szCs w:val="22"/>
              </w:rPr>
              <w:t>Notation</w:t>
            </w:r>
          </w:p>
        </w:tc>
        <w:tc>
          <w:tcPr>
            <w:tcW w:w="1559" w:type="dxa"/>
            <w:shd w:val="clear" w:color="auto" w:fill="F2F2F2" w:themeFill="background1" w:themeFillShade="F2"/>
          </w:tcPr>
          <w:p w:rsidR="00D657A6" w:rsidRPr="00D657A6" w:rsidRDefault="00D657A6" w:rsidP="00D657A6">
            <w:pPr>
              <w:rPr>
                <w:b/>
                <w:sz w:val="22"/>
                <w:szCs w:val="22"/>
              </w:rPr>
            </w:pPr>
            <w:r w:rsidRPr="00D657A6">
              <w:rPr>
                <w:b/>
                <w:sz w:val="22"/>
                <w:szCs w:val="22"/>
              </w:rPr>
              <w:t>First Listed</w:t>
            </w:r>
          </w:p>
        </w:tc>
      </w:tr>
      <w:tr w:rsidR="00D657A6" w:rsidTr="00D657A6">
        <w:trPr>
          <w:trHeight w:val="444"/>
        </w:trPr>
        <w:tc>
          <w:tcPr>
            <w:tcW w:w="2073" w:type="dxa"/>
          </w:tcPr>
          <w:p w:rsidR="00D657A6" w:rsidRPr="00026F39" w:rsidRDefault="00D657A6" w:rsidP="00D657A6">
            <w:pPr>
              <w:pStyle w:val="Default"/>
              <w:rPr>
                <w:rFonts w:ascii="Times New Roman" w:hAnsi="Times New Roman" w:cs="Times New Roman"/>
                <w:i/>
                <w:iCs/>
                <w:sz w:val="22"/>
                <w:szCs w:val="22"/>
              </w:rPr>
            </w:pPr>
            <w:proofErr w:type="spellStart"/>
            <w:r>
              <w:rPr>
                <w:rFonts w:ascii="Times New Roman" w:hAnsi="Times New Roman" w:cs="Times New Roman"/>
                <w:i/>
                <w:iCs/>
                <w:sz w:val="22"/>
                <w:szCs w:val="22"/>
              </w:rPr>
              <w:t>Loxodonta</w:t>
            </w:r>
            <w:proofErr w:type="spellEnd"/>
            <w:r>
              <w:rPr>
                <w:rFonts w:ascii="Times New Roman" w:hAnsi="Times New Roman" w:cs="Times New Roman"/>
                <w:i/>
                <w:iCs/>
                <w:sz w:val="22"/>
                <w:szCs w:val="22"/>
              </w:rPr>
              <w:t xml:space="preserve"> </w:t>
            </w:r>
            <w:proofErr w:type="spellStart"/>
            <w:r>
              <w:rPr>
                <w:rFonts w:ascii="Times New Roman" w:hAnsi="Times New Roman" w:cs="Times New Roman"/>
                <w:i/>
                <w:iCs/>
                <w:sz w:val="22"/>
                <w:szCs w:val="22"/>
              </w:rPr>
              <w:t>africana</w:t>
            </w:r>
            <w:proofErr w:type="spellEnd"/>
          </w:p>
        </w:tc>
        <w:tc>
          <w:tcPr>
            <w:tcW w:w="1559" w:type="dxa"/>
          </w:tcPr>
          <w:p w:rsidR="00D657A6" w:rsidRPr="00D82545" w:rsidRDefault="00D657A6" w:rsidP="00D657A6">
            <w:pPr>
              <w:rPr>
                <w:color w:val="000000"/>
                <w:sz w:val="22"/>
                <w:szCs w:val="22"/>
              </w:rPr>
            </w:pPr>
            <w:r>
              <w:rPr>
                <w:color w:val="000000"/>
                <w:sz w:val="22"/>
                <w:szCs w:val="22"/>
              </w:rPr>
              <w:t>African Elephant</w:t>
            </w:r>
          </w:p>
        </w:tc>
        <w:tc>
          <w:tcPr>
            <w:tcW w:w="850" w:type="dxa"/>
          </w:tcPr>
          <w:p w:rsidR="00D657A6" w:rsidRPr="00D82545" w:rsidRDefault="00D657A6" w:rsidP="00D657A6">
            <w:pPr>
              <w:rPr>
                <w:color w:val="000000"/>
                <w:sz w:val="22"/>
                <w:szCs w:val="22"/>
              </w:rPr>
            </w:pPr>
            <w:r>
              <w:rPr>
                <w:color w:val="000000"/>
                <w:sz w:val="22"/>
                <w:szCs w:val="22"/>
              </w:rPr>
              <w:t>I</w:t>
            </w:r>
          </w:p>
        </w:tc>
        <w:tc>
          <w:tcPr>
            <w:tcW w:w="4395" w:type="dxa"/>
          </w:tcPr>
          <w:p w:rsidR="00D657A6" w:rsidRPr="00C10AEF" w:rsidRDefault="00D657A6" w:rsidP="00D657A6">
            <w:pPr>
              <w:autoSpaceDE w:val="0"/>
              <w:autoSpaceDN w:val="0"/>
              <w:adjustRightInd w:val="0"/>
              <w:rPr>
                <w:color w:val="000000"/>
                <w:sz w:val="22"/>
                <w:szCs w:val="22"/>
              </w:rPr>
            </w:pPr>
            <w:r w:rsidRPr="00C10AEF">
              <w:rPr>
                <w:color w:val="000000"/>
                <w:sz w:val="22"/>
                <w:szCs w:val="22"/>
              </w:rPr>
              <w:t>Except populations of Botswana, Namibia, South Africa and Zimbabwe</w:t>
            </w:r>
          </w:p>
        </w:tc>
        <w:tc>
          <w:tcPr>
            <w:tcW w:w="1559" w:type="dxa"/>
          </w:tcPr>
          <w:p w:rsidR="00D657A6" w:rsidRPr="00C10AEF" w:rsidRDefault="00C10AEF" w:rsidP="00D657A6">
            <w:pPr>
              <w:rPr>
                <w:color w:val="000000"/>
                <w:sz w:val="22"/>
                <w:szCs w:val="22"/>
              </w:rPr>
            </w:pPr>
            <w:r w:rsidRPr="00C10AEF">
              <w:rPr>
                <w:color w:val="000000"/>
                <w:sz w:val="22"/>
                <w:szCs w:val="22"/>
              </w:rPr>
              <w:t>4 Feb 77</w:t>
            </w:r>
          </w:p>
        </w:tc>
      </w:tr>
    </w:tbl>
    <w:p w:rsidR="00D657A6" w:rsidRPr="00043695" w:rsidRDefault="00D657A6" w:rsidP="00043695">
      <w:pPr>
        <w:ind w:right="-1333" w:hanging="1134"/>
        <w:rPr>
          <w:sz w:val="22"/>
          <w:szCs w:val="22"/>
          <w:u w:val="single"/>
        </w:rPr>
      </w:pPr>
    </w:p>
    <w:p w:rsidR="00367A43" w:rsidRDefault="00367A43"/>
    <w:p w:rsidR="003D5A77" w:rsidRPr="00043695" w:rsidRDefault="003D5A77" w:rsidP="003D5A77">
      <w:pPr>
        <w:pStyle w:val="Title"/>
        <w:rPr>
          <w:sz w:val="22"/>
          <w:szCs w:val="22"/>
        </w:rPr>
      </w:pPr>
    </w:p>
    <w:sectPr w:rsidR="003D5A77" w:rsidRPr="00043695" w:rsidSect="00F24161">
      <w:headerReference w:type="default" r:id="rId12"/>
      <w:footerReference w:type="default" r:id="rId13"/>
      <w:type w:val="continuous"/>
      <w:pgSz w:w="11906" w:h="16838"/>
      <w:pgMar w:top="1440" w:right="1800" w:bottom="1440" w:left="1800"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DCE" w:rsidRDefault="003B4DCE">
      <w:r>
        <w:separator/>
      </w:r>
    </w:p>
  </w:endnote>
  <w:endnote w:type="continuationSeparator" w:id="0">
    <w:p w:rsidR="003B4DCE" w:rsidRDefault="003B4D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DCE" w:rsidRDefault="003550FE">
    <w:pPr>
      <w:pStyle w:val="Footer"/>
    </w:pPr>
    <w:r>
      <w:rPr>
        <w:rStyle w:val="PageNumber"/>
      </w:rPr>
      <w:fldChar w:fldCharType="begin"/>
    </w:r>
    <w:r w:rsidR="003B4DCE">
      <w:rPr>
        <w:rStyle w:val="PageNumber"/>
      </w:rPr>
      <w:instrText xml:space="preserve"> PAGE </w:instrText>
    </w:r>
    <w:r>
      <w:rPr>
        <w:rStyle w:val="PageNumber"/>
      </w:rPr>
      <w:fldChar w:fldCharType="separate"/>
    </w:r>
    <w:r w:rsidR="00856F43">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DCE" w:rsidRDefault="003B4DCE">
      <w:r>
        <w:separator/>
      </w:r>
    </w:p>
  </w:footnote>
  <w:footnote w:type="continuationSeparator" w:id="0">
    <w:p w:rsidR="003B4DCE" w:rsidRDefault="003B4D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DCE" w:rsidRDefault="003B4DCE">
    <w:pPr>
      <w:pStyle w:val="Header"/>
      <w:rPr>
        <w:lang w:val="en-AU"/>
      </w:rPr>
    </w:pPr>
    <w:r>
      <w:rPr>
        <w:b/>
        <w:lang w:val="en-AU"/>
      </w:rPr>
      <w:t>Schedule 1</w:t>
    </w:r>
    <w:r>
      <w:rPr>
        <w:lang w:val="en-AU"/>
      </w:rPr>
      <w:t xml:space="preserve"> – List of CITES Species for the purposes of the EPBC Act s303CA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93A12F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F71482D"/>
    <w:multiLevelType w:val="hybridMultilevel"/>
    <w:tmpl w:val="4C886F40"/>
    <w:lvl w:ilvl="0" w:tplc="CA106FE8">
      <w:start w:val="1"/>
      <w:numFmt w:val="bullet"/>
      <w:lvlText w:val=""/>
      <w:lvlJc w:val="left"/>
      <w:pPr>
        <w:tabs>
          <w:tab w:val="num" w:pos="360"/>
        </w:tabs>
        <w:ind w:left="284" w:hanging="284"/>
      </w:pPr>
      <w:rPr>
        <w:rFonts w:ascii="Symbol" w:hAnsi="Symbol"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FD364C7"/>
    <w:multiLevelType w:val="hybridMultilevel"/>
    <w:tmpl w:val="0A244746"/>
    <w:lvl w:ilvl="0" w:tplc="CA106FE8">
      <w:start w:val="1"/>
      <w:numFmt w:val="bullet"/>
      <w:lvlText w:val=""/>
      <w:lvlJc w:val="left"/>
      <w:pPr>
        <w:tabs>
          <w:tab w:val="num" w:pos="360"/>
        </w:tabs>
        <w:ind w:left="284" w:hanging="284"/>
      </w:pPr>
      <w:rPr>
        <w:rFonts w:ascii="Symbol" w:hAnsi="Symbol"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D64430"/>
    <w:multiLevelType w:val="hybridMultilevel"/>
    <w:tmpl w:val="55B0AC0A"/>
    <w:lvl w:ilvl="0" w:tplc="83D4BB1E">
      <w:start w:val="1"/>
      <w:numFmt w:val="bullet"/>
      <w:lvlText w:val=""/>
      <w:lvlJc w:val="left"/>
      <w:pPr>
        <w:tabs>
          <w:tab w:val="num" w:pos="567"/>
        </w:tabs>
        <w:ind w:left="567" w:hanging="567"/>
      </w:pPr>
      <w:rPr>
        <w:rFonts w:ascii="Symbol" w:hAnsi="Symbol" w:hint="default"/>
        <w:color w:val="auto"/>
        <w:sz w:val="16"/>
      </w:rPr>
    </w:lvl>
    <w:lvl w:ilvl="1" w:tplc="D30C1DD2">
      <w:start w:val="1"/>
      <w:numFmt w:val="bullet"/>
      <w:lvlText w:val="-"/>
      <w:lvlJc w:val="left"/>
      <w:pPr>
        <w:tabs>
          <w:tab w:val="num" w:pos="644"/>
        </w:tabs>
        <w:ind w:left="567" w:hanging="283"/>
      </w:pPr>
      <w:rPr>
        <w:rFonts w:ascii="Times" w:hAnsi="Times" w:cs="Times New Roman" w:hint="default"/>
        <w:sz w:val="18"/>
      </w:rPr>
    </w:lvl>
    <w:lvl w:ilvl="2" w:tplc="6EA29B5E">
      <w:start w:val="1"/>
      <w:numFmt w:val="bullet"/>
      <w:lvlText w:val=""/>
      <w:lvlJc w:val="left"/>
      <w:pPr>
        <w:tabs>
          <w:tab w:val="num" w:pos="360"/>
        </w:tabs>
        <w:ind w:left="284" w:hanging="284"/>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D6A21A2"/>
    <w:multiLevelType w:val="hybridMultilevel"/>
    <w:tmpl w:val="F7F8A1C0"/>
    <w:lvl w:ilvl="0" w:tplc="CA106FE8">
      <w:start w:val="1"/>
      <w:numFmt w:val="bullet"/>
      <w:lvlText w:val=""/>
      <w:lvlJc w:val="left"/>
      <w:pPr>
        <w:tabs>
          <w:tab w:val="num" w:pos="360"/>
        </w:tabs>
        <w:ind w:left="284" w:hanging="284"/>
      </w:pPr>
      <w:rPr>
        <w:rFonts w:ascii="Symbol" w:hAnsi="Symbol"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41F62E7"/>
    <w:multiLevelType w:val="hybridMultilevel"/>
    <w:tmpl w:val="DA9E9A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7DE2BDA"/>
    <w:multiLevelType w:val="hybridMultilevel"/>
    <w:tmpl w:val="624C88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2E878A9"/>
    <w:multiLevelType w:val="hybridMultilevel"/>
    <w:tmpl w:val="55B0AC0A"/>
    <w:lvl w:ilvl="0" w:tplc="83D4BB1E">
      <w:start w:val="1"/>
      <w:numFmt w:val="bullet"/>
      <w:lvlText w:val=""/>
      <w:lvlJc w:val="left"/>
      <w:pPr>
        <w:tabs>
          <w:tab w:val="num" w:pos="567"/>
        </w:tabs>
        <w:ind w:left="567" w:hanging="567"/>
      </w:pPr>
      <w:rPr>
        <w:rFonts w:ascii="Symbol" w:hAnsi="Symbol" w:hint="default"/>
        <w:color w:val="auto"/>
        <w:sz w:val="16"/>
      </w:rPr>
    </w:lvl>
    <w:lvl w:ilvl="1" w:tplc="AC34D97A">
      <w:start w:val="1"/>
      <w:numFmt w:val="bullet"/>
      <w:lvlText w:val="-"/>
      <w:lvlJc w:val="left"/>
      <w:pPr>
        <w:tabs>
          <w:tab w:val="num" w:pos="927"/>
        </w:tabs>
        <w:ind w:left="851" w:hanging="284"/>
      </w:pPr>
      <w:rPr>
        <w:rFonts w:ascii="Times" w:hAnsi="Times" w:cs="Times New Roman" w:hint="default"/>
        <w:sz w:val="18"/>
      </w:rPr>
    </w:lvl>
    <w:lvl w:ilvl="2" w:tplc="6EA29B5E">
      <w:start w:val="1"/>
      <w:numFmt w:val="bullet"/>
      <w:lvlText w:val=""/>
      <w:lvlJc w:val="left"/>
      <w:pPr>
        <w:tabs>
          <w:tab w:val="num" w:pos="360"/>
        </w:tabs>
        <w:ind w:left="284" w:hanging="284"/>
      </w:pPr>
      <w:rPr>
        <w:rFonts w:ascii="Symbol" w:hAnsi="Symbol" w:hint="default"/>
        <w:b w:val="0"/>
        <w:i w:val="0"/>
        <w:color w:val="auto"/>
        <w:sz w:val="16"/>
      </w:rPr>
    </w:lvl>
    <w:lvl w:ilvl="3" w:tplc="2A94D068">
      <w:start w:val="1"/>
      <w:numFmt w:val="bullet"/>
      <w:lvlText w:val="-"/>
      <w:lvlJc w:val="left"/>
      <w:pPr>
        <w:tabs>
          <w:tab w:val="num" w:pos="644"/>
        </w:tabs>
        <w:ind w:left="567" w:hanging="283"/>
      </w:pPr>
      <w:rPr>
        <w:rFonts w:ascii="Times New Roman" w:eastAsia="Times New Roman" w:hAnsi="Times New Roman" w:cs="Times New Roman" w:hint="default"/>
      </w:rPr>
    </w:lvl>
    <w:lvl w:ilvl="4" w:tplc="938CFEA0">
      <w:start w:val="1"/>
      <w:numFmt w:val="bullet"/>
      <w:lvlText w:val="-"/>
      <w:lvlJc w:val="left"/>
      <w:pPr>
        <w:tabs>
          <w:tab w:val="num" w:pos="644"/>
        </w:tabs>
        <w:ind w:left="567" w:hanging="283"/>
      </w:pPr>
      <w:rPr>
        <w:rFonts w:ascii="Times New Roman" w:eastAsia="Times New Roman" w:hAnsi="Times New Roman" w:cs="Times New Roma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6"/>
  </w:num>
  <w:num w:numId="6">
    <w:abstractNumId w:val="4"/>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footnotePr>
    <w:footnote w:id="-1"/>
    <w:footnote w:id="0"/>
  </w:footnotePr>
  <w:endnotePr>
    <w:endnote w:id="-1"/>
    <w:endnote w:id="0"/>
  </w:endnotePr>
  <w:compat/>
  <w:rsids>
    <w:rsidRoot w:val="007A6302"/>
    <w:rsid w:val="0000686D"/>
    <w:rsid w:val="00007351"/>
    <w:rsid w:val="00026F39"/>
    <w:rsid w:val="00043695"/>
    <w:rsid w:val="00051A74"/>
    <w:rsid w:val="00072DC2"/>
    <w:rsid w:val="00094AA4"/>
    <w:rsid w:val="000B10E5"/>
    <w:rsid w:val="000B1E8E"/>
    <w:rsid w:val="000B3FC5"/>
    <w:rsid w:val="000D1C31"/>
    <w:rsid w:val="000E646C"/>
    <w:rsid w:val="000F2439"/>
    <w:rsid w:val="000F3AB2"/>
    <w:rsid w:val="00121633"/>
    <w:rsid w:val="00126AF9"/>
    <w:rsid w:val="001753C8"/>
    <w:rsid w:val="001977C8"/>
    <w:rsid w:val="001A3BF9"/>
    <w:rsid w:val="001A7C12"/>
    <w:rsid w:val="001D1F52"/>
    <w:rsid w:val="001D5CA9"/>
    <w:rsid w:val="001E3466"/>
    <w:rsid w:val="001F013F"/>
    <w:rsid w:val="00202780"/>
    <w:rsid w:val="002056AC"/>
    <w:rsid w:val="00206010"/>
    <w:rsid w:val="002106C4"/>
    <w:rsid w:val="0021193B"/>
    <w:rsid w:val="0023031F"/>
    <w:rsid w:val="00236F59"/>
    <w:rsid w:val="00242993"/>
    <w:rsid w:val="00253659"/>
    <w:rsid w:val="0026705F"/>
    <w:rsid w:val="002A2FEB"/>
    <w:rsid w:val="002D246F"/>
    <w:rsid w:val="00303DCB"/>
    <w:rsid w:val="00303E1D"/>
    <w:rsid w:val="00314214"/>
    <w:rsid w:val="0031689E"/>
    <w:rsid w:val="00322D2B"/>
    <w:rsid w:val="00326E5B"/>
    <w:rsid w:val="003305EE"/>
    <w:rsid w:val="0033228C"/>
    <w:rsid w:val="003550FE"/>
    <w:rsid w:val="00367A43"/>
    <w:rsid w:val="003940D0"/>
    <w:rsid w:val="0039585F"/>
    <w:rsid w:val="003B43EF"/>
    <w:rsid w:val="003B4DCE"/>
    <w:rsid w:val="003C46BE"/>
    <w:rsid w:val="003D5A77"/>
    <w:rsid w:val="003F4A51"/>
    <w:rsid w:val="003F4AB1"/>
    <w:rsid w:val="004022CE"/>
    <w:rsid w:val="00416670"/>
    <w:rsid w:val="0043497F"/>
    <w:rsid w:val="00436E08"/>
    <w:rsid w:val="00462457"/>
    <w:rsid w:val="00484184"/>
    <w:rsid w:val="004B1BB9"/>
    <w:rsid w:val="004C4C36"/>
    <w:rsid w:val="004C5695"/>
    <w:rsid w:val="004E14DD"/>
    <w:rsid w:val="004F0DCA"/>
    <w:rsid w:val="005014C7"/>
    <w:rsid w:val="0051641B"/>
    <w:rsid w:val="0052732D"/>
    <w:rsid w:val="00571B28"/>
    <w:rsid w:val="00575A02"/>
    <w:rsid w:val="005D5B25"/>
    <w:rsid w:val="005E53AC"/>
    <w:rsid w:val="005F3D5A"/>
    <w:rsid w:val="005F3FA9"/>
    <w:rsid w:val="005F7CDC"/>
    <w:rsid w:val="0062248D"/>
    <w:rsid w:val="006249E9"/>
    <w:rsid w:val="0064007F"/>
    <w:rsid w:val="00653B74"/>
    <w:rsid w:val="00670974"/>
    <w:rsid w:val="00693DC6"/>
    <w:rsid w:val="006C0F23"/>
    <w:rsid w:val="006C454E"/>
    <w:rsid w:val="006E2518"/>
    <w:rsid w:val="006E549B"/>
    <w:rsid w:val="00702991"/>
    <w:rsid w:val="007047EA"/>
    <w:rsid w:val="00705181"/>
    <w:rsid w:val="00731531"/>
    <w:rsid w:val="00777CD1"/>
    <w:rsid w:val="007A6302"/>
    <w:rsid w:val="007A7575"/>
    <w:rsid w:val="007B0B94"/>
    <w:rsid w:val="007F4CA5"/>
    <w:rsid w:val="00856F43"/>
    <w:rsid w:val="00884734"/>
    <w:rsid w:val="00892E8D"/>
    <w:rsid w:val="008934F2"/>
    <w:rsid w:val="008B0437"/>
    <w:rsid w:val="009022A4"/>
    <w:rsid w:val="0097079B"/>
    <w:rsid w:val="009B7939"/>
    <w:rsid w:val="009C3C9B"/>
    <w:rsid w:val="009E1526"/>
    <w:rsid w:val="009E1DB4"/>
    <w:rsid w:val="009F29A1"/>
    <w:rsid w:val="00A02E11"/>
    <w:rsid w:val="00A0510E"/>
    <w:rsid w:val="00A12DEC"/>
    <w:rsid w:val="00A2119A"/>
    <w:rsid w:val="00A4721E"/>
    <w:rsid w:val="00A61857"/>
    <w:rsid w:val="00A74972"/>
    <w:rsid w:val="00AA2D54"/>
    <w:rsid w:val="00AA4D52"/>
    <w:rsid w:val="00AB3EDE"/>
    <w:rsid w:val="00AB3FE8"/>
    <w:rsid w:val="00AD46C2"/>
    <w:rsid w:val="00AE04DB"/>
    <w:rsid w:val="00B14854"/>
    <w:rsid w:val="00B65278"/>
    <w:rsid w:val="00B7320A"/>
    <w:rsid w:val="00BA341F"/>
    <w:rsid w:val="00BE479F"/>
    <w:rsid w:val="00BF6E3F"/>
    <w:rsid w:val="00C10AEF"/>
    <w:rsid w:val="00C13B3F"/>
    <w:rsid w:val="00C42CB7"/>
    <w:rsid w:val="00C50150"/>
    <w:rsid w:val="00CA52AF"/>
    <w:rsid w:val="00CB5F40"/>
    <w:rsid w:val="00CB657F"/>
    <w:rsid w:val="00CE537D"/>
    <w:rsid w:val="00D34C59"/>
    <w:rsid w:val="00D35EDC"/>
    <w:rsid w:val="00D50E34"/>
    <w:rsid w:val="00D63517"/>
    <w:rsid w:val="00D657A6"/>
    <w:rsid w:val="00D82545"/>
    <w:rsid w:val="00D83677"/>
    <w:rsid w:val="00DA3C59"/>
    <w:rsid w:val="00DB5DDA"/>
    <w:rsid w:val="00DC1CE6"/>
    <w:rsid w:val="00DC21EA"/>
    <w:rsid w:val="00DD518E"/>
    <w:rsid w:val="00DF675B"/>
    <w:rsid w:val="00E1440F"/>
    <w:rsid w:val="00E31C2C"/>
    <w:rsid w:val="00E35A1D"/>
    <w:rsid w:val="00E525FD"/>
    <w:rsid w:val="00E533EF"/>
    <w:rsid w:val="00E64735"/>
    <w:rsid w:val="00E71FB4"/>
    <w:rsid w:val="00EC1451"/>
    <w:rsid w:val="00F24161"/>
    <w:rsid w:val="00F40A3E"/>
    <w:rsid w:val="00F50AAA"/>
    <w:rsid w:val="00F8198B"/>
    <w:rsid w:val="00F90870"/>
    <w:rsid w:val="00F9685F"/>
    <w:rsid w:val="00FA4883"/>
    <w:rsid w:val="00FA7983"/>
    <w:rsid w:val="00FD76A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41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F24161"/>
    <w:rPr>
      <w:sz w:val="16"/>
      <w:szCs w:val="16"/>
    </w:rPr>
  </w:style>
  <w:style w:type="paragraph" w:styleId="CommentText">
    <w:name w:val="annotation text"/>
    <w:basedOn w:val="Normal"/>
    <w:semiHidden/>
    <w:rsid w:val="00F24161"/>
    <w:rPr>
      <w:sz w:val="20"/>
      <w:szCs w:val="20"/>
    </w:rPr>
  </w:style>
  <w:style w:type="paragraph" w:styleId="CommentSubject">
    <w:name w:val="annotation subject"/>
    <w:basedOn w:val="CommentText"/>
    <w:next w:val="CommentText"/>
    <w:semiHidden/>
    <w:rsid w:val="00F24161"/>
    <w:rPr>
      <w:b/>
      <w:bCs/>
    </w:rPr>
  </w:style>
  <w:style w:type="paragraph" w:styleId="BalloonText">
    <w:name w:val="Balloon Text"/>
    <w:basedOn w:val="Normal"/>
    <w:semiHidden/>
    <w:rsid w:val="00F24161"/>
    <w:rPr>
      <w:rFonts w:ascii="Tahoma" w:hAnsi="Tahoma" w:cs="Tahoma"/>
      <w:sz w:val="16"/>
      <w:szCs w:val="16"/>
    </w:rPr>
  </w:style>
  <w:style w:type="paragraph" w:customStyle="1" w:styleId="Species">
    <w:name w:val="Species"/>
    <w:basedOn w:val="Normal"/>
    <w:rsid w:val="00F24161"/>
    <w:pPr>
      <w:widowControl w:val="0"/>
      <w:ind w:left="284"/>
    </w:pPr>
    <w:rPr>
      <w:i/>
      <w:snapToGrid w:val="0"/>
      <w:sz w:val="18"/>
      <w:szCs w:val="20"/>
      <w:lang w:val="en-US" w:eastAsia="en-US"/>
    </w:rPr>
  </w:style>
  <w:style w:type="paragraph" w:customStyle="1" w:styleId="Order">
    <w:name w:val="Order"/>
    <w:basedOn w:val="Normal"/>
    <w:rsid w:val="00F24161"/>
    <w:pPr>
      <w:widowControl w:val="0"/>
    </w:pPr>
    <w:rPr>
      <w:snapToGrid w:val="0"/>
      <w:sz w:val="18"/>
      <w:szCs w:val="20"/>
      <w:lang w:val="en-US" w:eastAsia="en-US"/>
    </w:rPr>
  </w:style>
  <w:style w:type="paragraph" w:customStyle="1" w:styleId="Family">
    <w:name w:val="Family"/>
    <w:basedOn w:val="Normal"/>
    <w:rsid w:val="00F24161"/>
    <w:pPr>
      <w:widowControl w:val="0"/>
      <w:ind w:left="142"/>
    </w:pPr>
    <w:rPr>
      <w:snapToGrid w:val="0"/>
      <w:sz w:val="18"/>
      <w:szCs w:val="20"/>
      <w:lang w:val="en-US" w:eastAsia="en-US"/>
    </w:rPr>
  </w:style>
  <w:style w:type="paragraph" w:styleId="BodyText">
    <w:name w:val="Body Text"/>
    <w:basedOn w:val="Normal"/>
    <w:rsid w:val="00F24161"/>
    <w:pPr>
      <w:autoSpaceDE w:val="0"/>
      <w:autoSpaceDN w:val="0"/>
      <w:adjustRightInd w:val="0"/>
    </w:pPr>
    <w:rPr>
      <w:color w:val="000000"/>
      <w:sz w:val="18"/>
      <w:lang w:val="en-US" w:eastAsia="en-US"/>
    </w:rPr>
  </w:style>
  <w:style w:type="paragraph" w:styleId="BodyTextIndent">
    <w:name w:val="Body Text Indent"/>
    <w:basedOn w:val="Normal"/>
    <w:rsid w:val="00F24161"/>
    <w:pPr>
      <w:ind w:left="20"/>
    </w:pPr>
    <w:rPr>
      <w:color w:val="000000"/>
      <w:sz w:val="18"/>
      <w:lang w:val="en-US" w:eastAsia="en-US"/>
    </w:rPr>
  </w:style>
  <w:style w:type="paragraph" w:styleId="Header">
    <w:name w:val="header"/>
    <w:basedOn w:val="Normal"/>
    <w:rsid w:val="00F24161"/>
    <w:pPr>
      <w:widowControl w:val="0"/>
      <w:tabs>
        <w:tab w:val="center" w:pos="4153"/>
        <w:tab w:val="right" w:pos="8306"/>
      </w:tabs>
    </w:pPr>
    <w:rPr>
      <w:snapToGrid w:val="0"/>
      <w:szCs w:val="20"/>
      <w:lang w:val="en-US" w:eastAsia="en-US"/>
    </w:rPr>
  </w:style>
  <w:style w:type="character" w:customStyle="1" w:styleId="small1">
    <w:name w:val="small1"/>
    <w:basedOn w:val="DefaultParagraphFont"/>
    <w:rsid w:val="00F24161"/>
    <w:rPr>
      <w:rFonts w:ascii="Arial" w:hAnsi="Arial" w:cs="Arial" w:hint="default"/>
      <w:sz w:val="13"/>
      <w:szCs w:val="13"/>
    </w:rPr>
  </w:style>
  <w:style w:type="paragraph" w:styleId="Footer">
    <w:name w:val="footer"/>
    <w:basedOn w:val="Normal"/>
    <w:rsid w:val="00F24161"/>
    <w:pPr>
      <w:tabs>
        <w:tab w:val="center" w:pos="4153"/>
        <w:tab w:val="right" w:pos="8306"/>
      </w:tabs>
    </w:pPr>
  </w:style>
  <w:style w:type="character" w:styleId="PageNumber">
    <w:name w:val="page number"/>
    <w:basedOn w:val="DefaultParagraphFont"/>
    <w:rsid w:val="00F24161"/>
  </w:style>
  <w:style w:type="paragraph" w:customStyle="1" w:styleId="Default">
    <w:name w:val="Default"/>
    <w:rsid w:val="00F24161"/>
    <w:pPr>
      <w:autoSpaceDE w:val="0"/>
      <w:autoSpaceDN w:val="0"/>
      <w:adjustRightInd w:val="0"/>
    </w:pPr>
    <w:rPr>
      <w:rFonts w:ascii="Arial" w:hAnsi="Arial" w:cs="Arial"/>
      <w:color w:val="000000"/>
      <w:sz w:val="24"/>
      <w:szCs w:val="24"/>
    </w:rPr>
  </w:style>
  <w:style w:type="paragraph" w:customStyle="1" w:styleId="hg4">
    <w:name w:val="hg4"/>
    <w:basedOn w:val="Default"/>
    <w:next w:val="Default"/>
    <w:rsid w:val="00F24161"/>
    <w:rPr>
      <w:rFonts w:cs="Times New Roman"/>
      <w:color w:val="auto"/>
    </w:rPr>
  </w:style>
  <w:style w:type="character" w:styleId="Hyperlink">
    <w:name w:val="Hyperlink"/>
    <w:basedOn w:val="DefaultParagraphFont"/>
    <w:rsid w:val="00F24161"/>
    <w:rPr>
      <w:rFonts w:ascii="Arial" w:hAnsi="Arial" w:cs="Arial" w:hint="default"/>
      <w:color w:val="003399"/>
      <w:u w:val="single"/>
    </w:rPr>
  </w:style>
  <w:style w:type="paragraph" w:styleId="BodyText2">
    <w:name w:val="Body Text 2"/>
    <w:basedOn w:val="Normal"/>
    <w:rsid w:val="003D5A77"/>
    <w:pPr>
      <w:spacing w:after="120" w:line="480" w:lineRule="auto"/>
    </w:pPr>
  </w:style>
  <w:style w:type="paragraph" w:styleId="Title">
    <w:name w:val="Title"/>
    <w:basedOn w:val="Normal"/>
    <w:qFormat/>
    <w:rsid w:val="003D5A77"/>
    <w:pPr>
      <w:jc w:val="center"/>
    </w:pPr>
    <w:rPr>
      <w:b/>
      <w:bCs/>
      <w:lang w:eastAsia="en-US"/>
    </w:rPr>
  </w:style>
  <w:style w:type="paragraph" w:styleId="Subtitle">
    <w:name w:val="Subtitle"/>
    <w:basedOn w:val="Normal"/>
    <w:qFormat/>
    <w:rsid w:val="003D5A77"/>
    <w:pPr>
      <w:jc w:val="center"/>
    </w:pPr>
    <w:rPr>
      <w:i/>
      <w:iCs/>
      <w:lang w:eastAsia="en-US"/>
    </w:rPr>
  </w:style>
  <w:style w:type="paragraph" w:styleId="NormalWeb">
    <w:name w:val="Normal (Web)"/>
    <w:basedOn w:val="Normal"/>
    <w:uiPriority w:val="99"/>
    <w:unhideWhenUsed/>
    <w:rsid w:val="003B43EF"/>
    <w:pPr>
      <w:spacing w:before="100" w:beforeAutospacing="1" w:after="100" w:afterAutospacing="1"/>
    </w:pPr>
    <w:rPr>
      <w:rFonts w:eastAsia="Calibri"/>
    </w:rPr>
  </w:style>
  <w:style w:type="paragraph" w:styleId="ListBullet">
    <w:name w:val="List Bullet"/>
    <w:basedOn w:val="Normal"/>
    <w:rsid w:val="00416670"/>
    <w:pPr>
      <w:numPr>
        <w:numId w:val="8"/>
      </w:numPr>
      <w:contextualSpacing/>
    </w:pPr>
  </w:style>
  <w:style w:type="paragraph" w:customStyle="1" w:styleId="default0">
    <w:name w:val="default"/>
    <w:basedOn w:val="Normal"/>
    <w:rsid w:val="009C3C9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Approval xmlns="7d1753f3-b6db-484b-93d6-b74f5ca30d2d">For Review</Approval>
    <Function xmlns="7d1753f3-b6db-484b-93d6-b74f5ca30d2d">International</Function>
    <DocumentDescription xmlns="7d1753f3-b6db-484b-93d6-b74f5ca30d2d">Instrument for amendment to the List of CITES Species under section 303CA of the EPBC Act to include several species of Dalbergia on Appendix III as of 5 February 2015.</DocumentDescription>
    <RecordNumber xmlns="7d1753f3-b6db-484b-93d6-b74f5ca30d2d">000262323</RecordNumb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7" ma:contentTypeDescription="SPIRE Document" ma:contentTypeScope="" ma:versionID="2dd36d450d929e4bef24488138dc89e2">
  <xsd:schema xmlns:xsd="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7d1753f3-b6db-484b-93d6-b74f5ca30d2d"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1FD1B1E-C144-411F-98A7-BBB6B27E9E0B}"/>
</file>

<file path=customXml/itemProps2.xml><?xml version="1.0" encoding="utf-8"?>
<ds:datastoreItem xmlns:ds="http://schemas.openxmlformats.org/officeDocument/2006/customXml" ds:itemID="{5A40AEFD-9B07-4605-981F-2C78CDF6D216}"/>
</file>

<file path=customXml/itemProps3.xml><?xml version="1.0" encoding="utf-8"?>
<ds:datastoreItem xmlns:ds="http://schemas.openxmlformats.org/officeDocument/2006/customXml" ds:itemID="{568B1D4E-AE09-46AD-BB5D-EE5DC0A4C7C0}"/>
</file>

<file path=customXml/itemProps4.xml><?xml version="1.0" encoding="utf-8"?>
<ds:datastoreItem xmlns:ds="http://schemas.openxmlformats.org/officeDocument/2006/customXml" ds:itemID="{79DD0518-0BF1-4A65-A664-95AD739269FA}"/>
</file>

<file path=customXml/itemProps5.xml><?xml version="1.0" encoding="utf-8"?>
<ds:datastoreItem xmlns:ds="http://schemas.openxmlformats.org/officeDocument/2006/customXml" ds:itemID="{8FD45392-23DE-4ED2-8C6C-2916D9D6DAFA}"/>
</file>

<file path=docProps/app.xml><?xml version="1.0" encoding="utf-8"?>
<Properties xmlns="http://schemas.openxmlformats.org/officeDocument/2006/extended-properties" xmlns:vt="http://schemas.openxmlformats.org/officeDocument/2006/docPropsVTypes">
  <Template>Normal</Template>
  <TotalTime>3</TotalTime>
  <Pages>5</Pages>
  <Words>823</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List - Amendments Instrument Dalbergia App III - 150119</vt:lpstr>
    </vt:vector>
  </TitlesOfParts>
  <Company>Department of the Environment and Heritage</Company>
  <LinksUpToDate>false</LinksUpToDate>
  <CharactersWithSpaces>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 Amendments Instrument Dalbergia App III - 150119</dc:title>
  <dc:creator>Department of the Environment and Heritage</dc:creator>
  <cp:lastModifiedBy>a15139</cp:lastModifiedBy>
  <cp:revision>2</cp:revision>
  <cp:lastPrinted>2014-07-18T03:55:00Z</cp:lastPrinted>
  <dcterms:created xsi:type="dcterms:W3CDTF">2015-02-04T22:23:00Z</dcterms:created>
  <dcterms:modified xsi:type="dcterms:W3CDTF">2015-02-04T22:23:00Z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0x010100BB2CA5D4910ACE4AADB481B488BD147400FA829B4AF55F244EAE47CDC9BD732406</vt:lpwstr>
  </property>
  <property fmtid="{D5CDD505-2E9C-101B-9397-08002B2CF9AE}" pid="3" name="RecordPoint_SubmissionDate">
    <vt:lpwstr/>
  </property>
  <property fmtid="{D5CDD505-2E9C-101B-9397-08002B2CF9AE}" pid="4" name="RecordPoint_RecordNumberSubmitted">
    <vt:lpwstr>000262323</vt:lpwstr>
  </property>
  <property fmtid="{D5CDD505-2E9C-101B-9397-08002B2CF9AE}" pid="5" name="RecordPoint_ActiveItemSiteId">
    <vt:lpwstr>{890acc58-830d-4c0f-8f38-0a6dcc0cb92f}</vt:lpwstr>
  </property>
  <property fmtid="{D5CDD505-2E9C-101B-9397-08002B2CF9AE}" pid="6" name="RecordPoint_ActiveItemListId">
    <vt:lpwstr>{8603bb64-ffce-48ca-be1c-084f01c244e0}</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2015-02-05T09:28:23.9570007+11:00</vt:lpwstr>
  </property>
  <property fmtid="{D5CDD505-2E9C-101B-9397-08002B2CF9AE}" pid="10" name="RecordPoint_ActiveItemUniqueId">
    <vt:lpwstr>{7f6dd3ba-59db-49f0-aa17-b274df56ae2d}</vt:lpwstr>
  </property>
  <property fmtid="{D5CDD505-2E9C-101B-9397-08002B2CF9AE}" pid="11" name="RecordPoint_ActiveItemWebId">
    <vt:lpwstr>{7d1753f3-b6db-484b-93d6-b74f5ca30d2d}</vt:lpwstr>
  </property>
  <property fmtid="{D5CDD505-2E9C-101B-9397-08002B2CF9AE}" pid="12" name="RecordPoint_WorkflowType">
    <vt:lpwstr>ActiveSubmitStub</vt:lpwstr>
  </property>
</Properties>
</file>