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6739CF" w:rsidRDefault="00952ED1" w:rsidP="00515B8E">
      <w:pPr>
        <w:pStyle w:val="Heading1"/>
        <w:spacing w:before="120" w:after="240"/>
        <w:jc w:val="center"/>
        <w:rPr>
          <w:vanish/>
          <w:specVanish/>
        </w:rPr>
      </w:pPr>
      <w:r w:rsidRPr="00BA0BF3">
        <w:t>E</w:t>
      </w:r>
      <w:r w:rsidR="00BA0BF3" w:rsidRPr="00BA0BF3">
        <w:t>XPLANATORY STATEMENT</w:t>
      </w:r>
    </w:p>
    <w:p w:rsidR="005B1796" w:rsidRDefault="005B1796" w:rsidP="005B1796">
      <w:pPr>
        <w:pStyle w:val="Heading1"/>
        <w:spacing w:before="120" w:after="240"/>
        <w:jc w:val="center"/>
        <w:rPr>
          <w:vanish/>
        </w:rPr>
      </w:pPr>
    </w:p>
    <w:p w:rsidR="005B1796" w:rsidRDefault="005B1796" w:rsidP="005B1796">
      <w:pPr>
        <w:pStyle w:val="Heading1"/>
        <w:spacing w:before="120" w:after="240"/>
        <w:jc w:val="center"/>
        <w:rPr>
          <w:vanish/>
        </w:rPr>
      </w:pPr>
    </w:p>
    <w:p w:rsidR="005B1796" w:rsidRPr="005B1796" w:rsidRDefault="005B1796" w:rsidP="005B1796"/>
    <w:p w:rsidR="00245977" w:rsidRPr="005B1796" w:rsidRDefault="008E60E1" w:rsidP="005B1796">
      <w:pPr>
        <w:pStyle w:val="Heading1"/>
        <w:spacing w:before="120" w:after="240"/>
        <w:jc w:val="center"/>
        <w:rPr>
          <w:b w:val="0"/>
          <w:sz w:val="24"/>
          <w:szCs w:val="24"/>
        </w:rPr>
      </w:pPr>
      <w:r w:rsidRPr="005B1796">
        <w:rPr>
          <w:sz w:val="24"/>
          <w:szCs w:val="24"/>
        </w:rPr>
        <w:t>Issued by the Authority of the Minister for Finance</w:t>
      </w:r>
    </w:p>
    <w:p w:rsidR="00245977" w:rsidRDefault="008E60E1" w:rsidP="004226F4">
      <w:pPr>
        <w:jc w:val="center"/>
        <w:rPr>
          <w:i/>
        </w:rPr>
      </w:pPr>
      <w:r w:rsidRPr="008E60E1">
        <w:rPr>
          <w:i/>
        </w:rPr>
        <w:t>Public Governance, Performance and Accountability Act 2013</w:t>
      </w:r>
    </w:p>
    <w:p w:rsidR="00245977" w:rsidRDefault="00245977">
      <w:pPr>
        <w:jc w:val="center"/>
        <w:rPr>
          <w:i/>
        </w:rPr>
      </w:pPr>
    </w:p>
    <w:p w:rsidR="004226F4" w:rsidRPr="004226F4" w:rsidRDefault="004226F4" w:rsidP="00A479B1">
      <w:pPr>
        <w:jc w:val="center"/>
        <w:rPr>
          <w:lang w:val="en-AU"/>
        </w:rPr>
      </w:pPr>
      <w:r w:rsidRPr="008E60E1">
        <w:rPr>
          <w:i/>
        </w:rPr>
        <w:t>Public Governance, Performance and Accountability</w:t>
      </w:r>
      <w:r>
        <w:rPr>
          <w:i/>
        </w:rPr>
        <w:t xml:space="preserve"> (Financial Reporting) </w:t>
      </w:r>
      <w:r w:rsidRPr="008E60E1">
        <w:rPr>
          <w:i/>
        </w:rPr>
        <w:t>Rule 201</w:t>
      </w:r>
      <w:r w:rsidR="000E2A62">
        <w:rPr>
          <w:i/>
        </w:rPr>
        <w:t>5</w:t>
      </w:r>
    </w:p>
    <w:p w:rsidR="004226F4" w:rsidRDefault="004226F4" w:rsidP="00D976E6">
      <w:pPr>
        <w:rPr>
          <w:lang w:val="en-AU"/>
        </w:rPr>
      </w:pPr>
    </w:p>
    <w:p w:rsidR="00A479B1" w:rsidRDefault="00A479B1" w:rsidP="000C0243"/>
    <w:p w:rsidR="00AA6D01" w:rsidRPr="00215DBA" w:rsidRDefault="00AA6D01" w:rsidP="00064DCF">
      <w:pPr>
        <w:rPr>
          <w:vanish/>
          <w:lang w:val="en-AU"/>
          <w:specVanish/>
        </w:rPr>
      </w:pPr>
      <w:r w:rsidRPr="00F95FE8">
        <w:rPr>
          <w:lang w:val="en-AU"/>
        </w:rPr>
        <w:t xml:space="preserve">The </w:t>
      </w:r>
      <w:r w:rsidRPr="00F95FE8">
        <w:rPr>
          <w:i/>
          <w:lang w:val="en-AU"/>
        </w:rPr>
        <w:t>Public Governance, Performance and Accountability Act 2013</w:t>
      </w:r>
      <w:r w:rsidRPr="00F95FE8">
        <w:rPr>
          <w:lang w:val="en-AU"/>
        </w:rPr>
        <w:t xml:space="preserve"> (PGPA Act) consolidates into a single piece of legislation the governance, performance and accountability requirements of the Commonwealth, setting out a fra</w:t>
      </w:r>
      <w:r>
        <w:rPr>
          <w:lang w:val="en-AU"/>
        </w:rPr>
        <w:t>mework for regulating resource</w:t>
      </w:r>
      <w:r w:rsidRPr="00F95FE8">
        <w:rPr>
          <w:lang w:val="en-AU"/>
        </w:rPr>
        <w:t xml:space="preserve"> management by the Commonwealth and relevant entities.</w:t>
      </w:r>
      <w:r w:rsidR="00923E8B">
        <w:rPr>
          <w:lang w:val="en-AU"/>
        </w:rPr>
        <w:t xml:space="preserve"> </w:t>
      </w:r>
      <w:r w:rsidR="00923E8B" w:rsidRPr="00132DCA">
        <w:rPr>
          <w:lang w:val="en-AU"/>
        </w:rPr>
        <w:t>The PGPA Act replace</w:t>
      </w:r>
      <w:r w:rsidR="00923E8B">
        <w:rPr>
          <w:lang w:val="en-AU"/>
        </w:rPr>
        <w:t>d</w:t>
      </w:r>
      <w:r w:rsidR="00923E8B" w:rsidRPr="00132DCA">
        <w:rPr>
          <w:lang w:val="en-AU"/>
        </w:rPr>
        <w:t xml:space="preserve"> the </w:t>
      </w:r>
      <w:r w:rsidR="00923E8B" w:rsidRPr="00132DCA">
        <w:rPr>
          <w:i/>
          <w:iCs/>
          <w:lang w:val="en-AU"/>
        </w:rPr>
        <w:t>Financial Management and Accountability Act 1997</w:t>
      </w:r>
      <w:r w:rsidR="00923E8B">
        <w:rPr>
          <w:lang w:val="en-AU"/>
        </w:rPr>
        <w:t xml:space="preserve"> </w:t>
      </w:r>
      <w:r w:rsidR="00AA2304">
        <w:rPr>
          <w:lang w:val="en-AU"/>
        </w:rPr>
        <w:t xml:space="preserve">(FMA Act) </w:t>
      </w:r>
      <w:r w:rsidR="00923E8B" w:rsidRPr="00132DCA">
        <w:rPr>
          <w:lang w:val="en-AU"/>
        </w:rPr>
        <w:t>and the</w:t>
      </w:r>
      <w:r w:rsidR="00923E8B">
        <w:rPr>
          <w:lang w:val="en-AU"/>
        </w:rPr>
        <w:t xml:space="preserve"> </w:t>
      </w:r>
      <w:r w:rsidR="00923E8B" w:rsidRPr="00132DCA">
        <w:rPr>
          <w:i/>
          <w:iCs/>
          <w:lang w:val="en-AU"/>
        </w:rPr>
        <w:t>Commonwealth Authorities and Companies Act 1997</w:t>
      </w:r>
      <w:r w:rsidR="00AA2304">
        <w:rPr>
          <w:iCs/>
          <w:lang w:val="en-AU"/>
        </w:rPr>
        <w:t xml:space="preserve"> (CAC Act)</w:t>
      </w:r>
      <w:r w:rsidR="00923E8B" w:rsidRPr="00132DCA">
        <w:rPr>
          <w:lang w:val="en-AU"/>
        </w:rPr>
        <w:t>.</w:t>
      </w:r>
    </w:p>
    <w:p w:rsidR="00AA6D01" w:rsidRDefault="00215DBA" w:rsidP="00064DCF">
      <w:pPr>
        <w:rPr>
          <w:lang w:val="en-AU"/>
        </w:rPr>
      </w:pPr>
      <w:r>
        <w:rPr>
          <w:lang w:val="en-AU"/>
        </w:rPr>
        <w:t xml:space="preserve"> </w:t>
      </w:r>
    </w:p>
    <w:p w:rsidR="00B87FAD" w:rsidRDefault="00B87FAD" w:rsidP="00064DCF">
      <w:pPr>
        <w:rPr>
          <w:lang w:val="en-AU"/>
        </w:rPr>
      </w:pPr>
    </w:p>
    <w:p w:rsidR="00064DCF" w:rsidRDefault="00064DCF" w:rsidP="00064DCF">
      <w:r>
        <w:rPr>
          <w:lang w:val="en-AU"/>
        </w:rPr>
        <w:t>Section 101 of the</w:t>
      </w:r>
      <w:r w:rsidR="00AA6D01">
        <w:rPr>
          <w:lang w:val="en-AU"/>
        </w:rPr>
        <w:t xml:space="preserve"> </w:t>
      </w:r>
      <w:r w:rsidRPr="00A479B1">
        <w:t>P</w:t>
      </w:r>
      <w:r>
        <w:t xml:space="preserve">GPA Act provides that the Finance Minister may make rules by legislative instrument to prescribe matters giving effect to the Act. </w:t>
      </w:r>
    </w:p>
    <w:p w:rsidR="00064DCF" w:rsidRDefault="00064DCF" w:rsidP="00064DCF"/>
    <w:p w:rsidR="004E76DF" w:rsidRDefault="004226F4" w:rsidP="000C0243">
      <w:r w:rsidRPr="00706F2A">
        <w:t>The</w:t>
      </w:r>
      <w:r w:rsidR="00A479B1">
        <w:t xml:space="preserve"> </w:t>
      </w:r>
      <w:r w:rsidR="00A479B1" w:rsidRPr="00A479B1">
        <w:rPr>
          <w:i/>
        </w:rPr>
        <w:t>Public G</w:t>
      </w:r>
      <w:r w:rsidR="00A479B1" w:rsidRPr="008E60E1">
        <w:rPr>
          <w:i/>
        </w:rPr>
        <w:t>overnance, Performance and Accountability</w:t>
      </w:r>
      <w:r w:rsidR="00A479B1">
        <w:rPr>
          <w:i/>
        </w:rPr>
        <w:t xml:space="preserve"> (Financial Reporting) </w:t>
      </w:r>
      <w:r w:rsidR="00A479B1" w:rsidRPr="008E60E1">
        <w:rPr>
          <w:i/>
        </w:rPr>
        <w:t>Rule 201</w:t>
      </w:r>
      <w:r w:rsidR="000E2A62">
        <w:rPr>
          <w:i/>
        </w:rPr>
        <w:t>5</w:t>
      </w:r>
      <w:r w:rsidR="00A479B1">
        <w:rPr>
          <w:i/>
        </w:rPr>
        <w:t xml:space="preserve"> </w:t>
      </w:r>
      <w:r w:rsidR="00A479B1" w:rsidRPr="004226F4">
        <w:t>(FR</w:t>
      </w:r>
      <w:r w:rsidR="000E2A62">
        <w:t>R</w:t>
      </w:r>
      <w:r w:rsidR="00A479B1" w:rsidRPr="004226F4">
        <w:t>)</w:t>
      </w:r>
      <w:r w:rsidRPr="00706F2A">
        <w:t xml:space="preserve"> </w:t>
      </w:r>
      <w:r w:rsidRPr="003C7301">
        <w:t>is</w:t>
      </w:r>
      <w:r w:rsidRPr="00706F2A">
        <w:t xml:space="preserve"> a legisla</w:t>
      </w:r>
      <w:r w:rsidR="00376A5C">
        <w:t>tive instrument for the purpose</w:t>
      </w:r>
      <w:r w:rsidRPr="00706F2A">
        <w:t xml:space="preserve"> of the</w:t>
      </w:r>
      <w:r w:rsidRPr="00706F2A">
        <w:rPr>
          <w:i/>
        </w:rPr>
        <w:t xml:space="preserve"> Legislative Instruments Act</w:t>
      </w:r>
      <w:r>
        <w:rPr>
          <w:i/>
        </w:rPr>
        <w:t> </w:t>
      </w:r>
      <w:r w:rsidRPr="00706F2A">
        <w:rPr>
          <w:i/>
        </w:rPr>
        <w:t>2003.</w:t>
      </w:r>
    </w:p>
    <w:p w:rsidR="00B87FAD" w:rsidRPr="00B87FAD" w:rsidRDefault="00B87FAD" w:rsidP="000C0243"/>
    <w:p w:rsidR="00A4672B" w:rsidRDefault="00A4672B" w:rsidP="000C0243"/>
    <w:p w:rsidR="00546DA5" w:rsidRPr="00F70A7B" w:rsidRDefault="00546DA5" w:rsidP="00F70A7B">
      <w:pPr>
        <w:tabs>
          <w:tab w:val="left" w:pos="4536"/>
        </w:tabs>
        <w:spacing w:after="120" w:line="240" w:lineRule="atLeast"/>
        <w:rPr>
          <w:rFonts w:eastAsia="Times New Roman"/>
          <w:b/>
          <w:bCs/>
          <w:lang w:val="en-AU" w:bidi="ar-SA"/>
          <w:specVanish/>
        </w:rPr>
      </w:pPr>
      <w:r w:rsidRPr="00F70A7B">
        <w:rPr>
          <w:rFonts w:eastAsia="Times New Roman"/>
          <w:b/>
          <w:bCs/>
          <w:lang w:val="en-AU" w:bidi="ar-SA"/>
        </w:rPr>
        <w:t>Other Legislative Provisions</w:t>
      </w:r>
    </w:p>
    <w:p w:rsidR="0071547F" w:rsidRDefault="0071547F" w:rsidP="00F70A7B">
      <w:pPr>
        <w:tabs>
          <w:tab w:val="left" w:pos="4536"/>
        </w:tabs>
        <w:spacing w:after="120" w:line="240" w:lineRule="atLeast"/>
      </w:pPr>
      <w:r>
        <w:t>The FR</w:t>
      </w:r>
      <w:r w:rsidR="000E2A62">
        <w:t>R</w:t>
      </w:r>
      <w:r>
        <w:t xml:space="preserve"> </w:t>
      </w:r>
      <w:r w:rsidR="008C0658">
        <w:t>sets out the requirements for preparation of financial statements under the following legislative provisions:</w:t>
      </w:r>
    </w:p>
    <w:p w:rsidR="0071547F" w:rsidRPr="009C5606" w:rsidRDefault="0071547F" w:rsidP="0071547F">
      <w:pPr>
        <w:pStyle w:val="ListParagraph"/>
        <w:numPr>
          <w:ilvl w:val="0"/>
          <w:numId w:val="32"/>
        </w:numPr>
        <w:jc w:val="both"/>
      </w:pPr>
      <w:r w:rsidRPr="009C5606">
        <w:t xml:space="preserve">subsection 42(2) of the </w:t>
      </w:r>
      <w:r w:rsidRPr="0071547F">
        <w:rPr>
          <w:i/>
        </w:rPr>
        <w:t>Public Governance, Performance and Accountability Act 2013</w:t>
      </w:r>
      <w:r w:rsidRPr="009C5606">
        <w:t xml:space="preserve">; </w:t>
      </w:r>
    </w:p>
    <w:p w:rsidR="0071547F" w:rsidRPr="009C5606" w:rsidRDefault="0071547F" w:rsidP="0071547F">
      <w:pPr>
        <w:pStyle w:val="ListParagraph"/>
        <w:numPr>
          <w:ilvl w:val="0"/>
          <w:numId w:val="32"/>
        </w:numPr>
        <w:jc w:val="both"/>
      </w:pPr>
      <w:r w:rsidRPr="009C5606">
        <w:t xml:space="preserve">subsection 47(1) of the </w:t>
      </w:r>
      <w:r w:rsidRPr="0071547F">
        <w:rPr>
          <w:i/>
        </w:rPr>
        <w:t>High Court of Australia Act 1979</w:t>
      </w:r>
      <w:r w:rsidRPr="009C5606">
        <w:t xml:space="preserve"> in relation to how financial statements must be prepared by the High Court of Australia; </w:t>
      </w:r>
    </w:p>
    <w:p w:rsidR="0071547F" w:rsidRPr="009C5606" w:rsidRDefault="0071547F" w:rsidP="0071547F">
      <w:pPr>
        <w:pStyle w:val="ListParagraph"/>
        <w:numPr>
          <w:ilvl w:val="0"/>
          <w:numId w:val="32"/>
        </w:numPr>
        <w:jc w:val="both"/>
      </w:pPr>
      <w:r w:rsidRPr="009C5606">
        <w:t xml:space="preserve">section 193H of the </w:t>
      </w:r>
      <w:r w:rsidRPr="0071547F">
        <w:rPr>
          <w:i/>
        </w:rPr>
        <w:t>Aboriginal and Torres Strait Islander Act 2005</w:t>
      </w:r>
      <w:r w:rsidRPr="009C5606">
        <w:t xml:space="preserve"> in relation to how the accounts and financial statements must be prepared for the Land Account;</w:t>
      </w:r>
    </w:p>
    <w:p w:rsidR="0071547F" w:rsidRPr="009C5606" w:rsidRDefault="0071547F" w:rsidP="0071547F">
      <w:pPr>
        <w:pStyle w:val="ListParagraph"/>
        <w:numPr>
          <w:ilvl w:val="0"/>
          <w:numId w:val="32"/>
        </w:numPr>
        <w:jc w:val="both"/>
      </w:pPr>
      <w:r w:rsidRPr="009C5606">
        <w:t xml:space="preserve">subsections 50B(2) and (4) of the </w:t>
      </w:r>
      <w:r w:rsidRPr="0071547F">
        <w:rPr>
          <w:i/>
        </w:rPr>
        <w:t>Defence Service Homes Act 1918</w:t>
      </w:r>
      <w:r w:rsidRPr="009C5606">
        <w:t xml:space="preserve"> in relation to how financial statements must be prepared by the Defence Service Homes Corporation; and </w:t>
      </w:r>
    </w:p>
    <w:p w:rsidR="0071547F" w:rsidRPr="009C5606" w:rsidRDefault="0071547F" w:rsidP="0071547F">
      <w:pPr>
        <w:pStyle w:val="ListParagraph"/>
        <w:numPr>
          <w:ilvl w:val="0"/>
          <w:numId w:val="32"/>
        </w:numPr>
        <w:jc w:val="both"/>
      </w:pPr>
      <w:r w:rsidRPr="009C5606">
        <w:t xml:space="preserve">subsections 43(1) and (3) of the </w:t>
      </w:r>
      <w:r w:rsidRPr="0071547F">
        <w:rPr>
          <w:i/>
        </w:rPr>
        <w:t>Natural Heritage Trust of Australia Act 1997</w:t>
      </w:r>
      <w:r w:rsidRPr="009C5606">
        <w:t xml:space="preserve"> in relation to how financial statements must be prepared for the Natural Heritage Trust of Australia Account. </w:t>
      </w:r>
    </w:p>
    <w:p w:rsidR="000377DD" w:rsidRDefault="000377DD" w:rsidP="000377DD"/>
    <w:p w:rsidR="000377DD" w:rsidRDefault="000377DD" w:rsidP="000377DD">
      <w:r>
        <w:t>Some provisions of the FR</w:t>
      </w:r>
      <w:r w:rsidR="000E2A62">
        <w:t>R</w:t>
      </w:r>
      <w:r>
        <w:t xml:space="preserve"> are also made under </w:t>
      </w:r>
      <w:r w:rsidR="001D14FB">
        <w:t>subs</w:t>
      </w:r>
      <w:r>
        <w:t>ection 102(1</w:t>
      </w:r>
      <w:proofErr w:type="gramStart"/>
      <w:r>
        <w:t>)(</w:t>
      </w:r>
      <w:proofErr w:type="gramEnd"/>
      <w:r>
        <w:t>b) of the PGPA Act.</w:t>
      </w:r>
    </w:p>
    <w:p w:rsidR="00B87FAD" w:rsidRDefault="00B87FAD" w:rsidP="000377DD"/>
    <w:p w:rsidR="0071547F" w:rsidRDefault="0071547F" w:rsidP="000C0243"/>
    <w:p w:rsidR="006730E5" w:rsidRPr="00F70A7B" w:rsidRDefault="006730E5"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Purpose and Operation</w:t>
      </w:r>
    </w:p>
    <w:p w:rsidR="00372046" w:rsidRDefault="00372046" w:rsidP="00372046">
      <w:pPr>
        <w:rPr>
          <w:lang w:val="en-AU"/>
        </w:rPr>
      </w:pPr>
      <w:r>
        <w:rPr>
          <w:lang w:val="en-AU"/>
        </w:rPr>
        <w:t>The FR</w:t>
      </w:r>
      <w:r w:rsidR="000E2A62">
        <w:rPr>
          <w:lang w:val="en-AU"/>
        </w:rPr>
        <w:t>R</w:t>
      </w:r>
      <w:r>
        <w:rPr>
          <w:lang w:val="en-AU"/>
        </w:rPr>
        <w:t xml:space="preserve"> applies to all Commonwealth entities</w:t>
      </w:r>
      <w:r w:rsidR="009C636B">
        <w:rPr>
          <w:lang w:val="en-AU"/>
        </w:rPr>
        <w:t xml:space="preserve"> that need to prepare financial statements</w:t>
      </w:r>
      <w:r w:rsidR="00B74A94">
        <w:rPr>
          <w:lang w:val="en-AU"/>
        </w:rPr>
        <w:t xml:space="preserve"> for reporting periods commencing on or after 1 July 2014</w:t>
      </w:r>
      <w:r w:rsidR="009C636B">
        <w:rPr>
          <w:lang w:val="en-AU"/>
        </w:rPr>
        <w:t>. The FR</w:t>
      </w:r>
      <w:r w:rsidR="000E2A62">
        <w:rPr>
          <w:lang w:val="en-AU"/>
        </w:rPr>
        <w:t>R</w:t>
      </w:r>
      <w:r w:rsidR="009C636B">
        <w:rPr>
          <w:lang w:val="en-AU"/>
        </w:rPr>
        <w:t xml:space="preserve"> </w:t>
      </w:r>
      <w:r>
        <w:rPr>
          <w:lang w:val="en-AU"/>
        </w:rPr>
        <w:t>sets out the financial reporting requirements for the preparation of financial statements</w:t>
      </w:r>
      <w:r w:rsidR="009C636B">
        <w:rPr>
          <w:lang w:val="en-AU"/>
        </w:rPr>
        <w:t xml:space="preserve"> and </w:t>
      </w:r>
      <w:r>
        <w:rPr>
          <w:lang w:val="en-AU"/>
        </w:rPr>
        <w:t>provides consistent financial reporting across the Commonwealth to facilitate comparison between entities’ financial statements</w:t>
      </w:r>
      <w:r w:rsidR="009C636B">
        <w:rPr>
          <w:lang w:val="en-AU"/>
        </w:rPr>
        <w:t>. This a</w:t>
      </w:r>
      <w:r>
        <w:rPr>
          <w:lang w:val="en-AU"/>
        </w:rPr>
        <w:t>llows for the consolidation of Commonwealth reporting entity financial statements to prepare the Australian Government consolidated financial statements.</w:t>
      </w:r>
    </w:p>
    <w:p w:rsidR="009F0F8C" w:rsidRDefault="00193FE0" w:rsidP="00193FE0">
      <w:pPr>
        <w:rPr>
          <w:lang w:val="en-AU"/>
        </w:rPr>
      </w:pPr>
      <w:r>
        <w:rPr>
          <w:lang w:val="en-AU"/>
        </w:rPr>
        <w:lastRenderedPageBreak/>
        <w:t>Under the FR</w:t>
      </w:r>
      <w:r w:rsidR="000E2A62">
        <w:rPr>
          <w:lang w:val="en-AU"/>
        </w:rPr>
        <w:t>R</w:t>
      </w:r>
      <w:r>
        <w:rPr>
          <w:lang w:val="en-AU"/>
        </w:rPr>
        <w:t>, f</w:t>
      </w:r>
      <w:r w:rsidR="009F0F8C" w:rsidRPr="00193FE0">
        <w:rPr>
          <w:lang w:val="en-AU"/>
        </w:rPr>
        <w:t>inancial statements are not required to be prepared for</w:t>
      </w:r>
      <w:r>
        <w:rPr>
          <w:lang w:val="en-AU"/>
        </w:rPr>
        <w:t xml:space="preserve"> </w:t>
      </w:r>
      <w:r w:rsidR="009F0F8C" w:rsidRPr="00193FE0">
        <w:rPr>
          <w:lang w:val="en-AU"/>
        </w:rPr>
        <w:t xml:space="preserve">a company for the purposes of the </w:t>
      </w:r>
      <w:r w:rsidR="009F0F8C" w:rsidRPr="00193FE0">
        <w:rPr>
          <w:i/>
          <w:lang w:val="en-AU"/>
        </w:rPr>
        <w:t>Corporations Act 2001</w:t>
      </w:r>
      <w:r>
        <w:rPr>
          <w:lang w:val="en-AU"/>
        </w:rPr>
        <w:t xml:space="preserve"> </w:t>
      </w:r>
      <w:r w:rsidR="009F0F8C" w:rsidRPr="00193FE0">
        <w:rPr>
          <w:lang w:val="en-AU"/>
        </w:rPr>
        <w:t>or</w:t>
      </w:r>
      <w:r>
        <w:rPr>
          <w:lang w:val="en-AU"/>
        </w:rPr>
        <w:t xml:space="preserve"> </w:t>
      </w:r>
      <w:r w:rsidR="009F0F8C" w:rsidRPr="00193FE0">
        <w:rPr>
          <w:lang w:val="en-AU"/>
        </w:rPr>
        <w:t>the subsidiary of a Commonwealth entity</w:t>
      </w:r>
      <w:r>
        <w:rPr>
          <w:lang w:val="en-AU"/>
        </w:rPr>
        <w:t xml:space="preserve"> </w:t>
      </w:r>
      <w:r w:rsidR="009F0F8C" w:rsidRPr="00193FE0">
        <w:rPr>
          <w:lang w:val="en-AU"/>
        </w:rPr>
        <w:t>as these are not Commonwealth entities.</w:t>
      </w:r>
      <w:r w:rsidR="00B309BF">
        <w:rPr>
          <w:lang w:val="en-AU"/>
        </w:rPr>
        <w:t xml:space="preserve"> Financial statements for these bodies are prepared under the </w:t>
      </w:r>
      <w:r w:rsidR="00B309BF" w:rsidRPr="00B309BF">
        <w:rPr>
          <w:i/>
          <w:lang w:val="en-AU"/>
        </w:rPr>
        <w:t>Corporations Act 2001</w:t>
      </w:r>
      <w:r w:rsidR="00B309BF">
        <w:rPr>
          <w:lang w:val="en-AU"/>
        </w:rPr>
        <w:t xml:space="preserve"> or other relevant legislation.</w:t>
      </w:r>
    </w:p>
    <w:p w:rsidR="007304BC" w:rsidRDefault="007304BC" w:rsidP="00193FE0">
      <w:pPr>
        <w:rPr>
          <w:lang w:val="en-AU"/>
        </w:rPr>
      </w:pPr>
    </w:p>
    <w:p w:rsidR="007304BC" w:rsidRDefault="007304BC" w:rsidP="00193FE0">
      <w:r>
        <w:t>The FR</w:t>
      </w:r>
      <w:r w:rsidR="000E2A62">
        <w:t>R</w:t>
      </w:r>
      <w:r>
        <w:t xml:space="preserve"> </w:t>
      </w:r>
      <w:r w:rsidRPr="00C62FD0">
        <w:t>focus</w:t>
      </w:r>
      <w:r>
        <w:t>es</w:t>
      </w:r>
      <w:r w:rsidRPr="00C62FD0">
        <w:t xml:space="preserve"> on </w:t>
      </w:r>
      <w:r>
        <w:t xml:space="preserve">simplifying disclosure requirements, </w:t>
      </w:r>
      <w:r w:rsidRPr="00C62FD0">
        <w:t>providing appropriate accountability and transparency for government reporting</w:t>
      </w:r>
      <w:r>
        <w:t>, and reducing ‘red tape’ in the preparation of financial statements</w:t>
      </w:r>
      <w:r w:rsidRPr="00C62FD0">
        <w:t>.</w:t>
      </w:r>
    </w:p>
    <w:p w:rsidR="00CA5D63" w:rsidRDefault="00CA5D63" w:rsidP="00CA5D63">
      <w:pPr>
        <w:pStyle w:val="NumberList"/>
        <w:numPr>
          <w:ilvl w:val="0"/>
          <w:numId w:val="0"/>
        </w:numPr>
        <w:tabs>
          <w:tab w:val="clear" w:pos="1985"/>
          <w:tab w:val="left" w:pos="426"/>
        </w:tabs>
        <w:spacing w:after="120"/>
      </w:pPr>
      <w:r>
        <w:t>A number of changes have been incorporated into the FR</w:t>
      </w:r>
      <w:r w:rsidR="000E2A62">
        <w:t>R</w:t>
      </w:r>
      <w:r>
        <w:t xml:space="preserve"> compared to the former 2013</w:t>
      </w:r>
      <w:r>
        <w:noBreakHyphen/>
        <w:t xml:space="preserve">14 Finance Minister’s Orders for Financial Reporting (FMOs). </w:t>
      </w:r>
      <w:r w:rsidRPr="00C62FD0">
        <w:t xml:space="preserve">Major changes </w:t>
      </w:r>
      <w:r>
        <w:t>are</w:t>
      </w:r>
      <w:r w:rsidRPr="00C62FD0">
        <w:t xml:space="preserve">: </w:t>
      </w:r>
    </w:p>
    <w:p w:rsidR="00CA5D63" w:rsidRPr="00C62FD0" w:rsidRDefault="00CA5D63" w:rsidP="00CA5D63">
      <w:pPr>
        <w:pStyle w:val="NumberList"/>
        <w:numPr>
          <w:ilvl w:val="0"/>
          <w:numId w:val="42"/>
        </w:numPr>
        <w:tabs>
          <w:tab w:val="clear" w:pos="1985"/>
          <w:tab w:val="left" w:pos="540"/>
        </w:tabs>
        <w:spacing w:before="0" w:after="120"/>
      </w:pPr>
      <w:r>
        <w:t>s</w:t>
      </w:r>
      <w:r w:rsidRPr="00C62FD0">
        <w:t>treamlin</w:t>
      </w:r>
      <w:r>
        <w:t xml:space="preserve">ing </w:t>
      </w:r>
      <w:r w:rsidRPr="00C62FD0">
        <w:t xml:space="preserve">the director/senior </w:t>
      </w:r>
      <w:r>
        <w:t>management personnel (</w:t>
      </w:r>
      <w:r w:rsidRPr="00C62FD0">
        <w:t>executive</w:t>
      </w:r>
      <w:r>
        <w:t>)</w:t>
      </w:r>
      <w:r w:rsidRPr="00C62FD0">
        <w:t xml:space="preserve"> remuneration disclosure</w:t>
      </w:r>
      <w:r>
        <w:t xml:space="preserve"> </w:t>
      </w:r>
      <w:r w:rsidRPr="00C62FD0">
        <w:t>to generally match up with AASB 124</w:t>
      </w:r>
      <w:r>
        <w:t xml:space="preserve">: </w:t>
      </w:r>
      <w:r w:rsidRPr="0015681C">
        <w:rPr>
          <w:i/>
        </w:rPr>
        <w:t>Related Part</w:t>
      </w:r>
      <w:r>
        <w:rPr>
          <w:i/>
        </w:rPr>
        <w:t>y</w:t>
      </w:r>
      <w:r w:rsidRPr="0015681C">
        <w:rPr>
          <w:i/>
        </w:rPr>
        <w:t xml:space="preserve"> Disclosures</w:t>
      </w:r>
      <w:r>
        <w:t xml:space="preserve"> that is applicable to the private sector;</w:t>
      </w:r>
    </w:p>
    <w:p w:rsidR="00CA5D63" w:rsidRPr="00C62FD0" w:rsidRDefault="00CA5D63" w:rsidP="00CA5D63">
      <w:pPr>
        <w:pStyle w:val="NumberList"/>
        <w:numPr>
          <w:ilvl w:val="0"/>
          <w:numId w:val="42"/>
        </w:numPr>
        <w:tabs>
          <w:tab w:val="clear" w:pos="1985"/>
          <w:tab w:val="left" w:pos="540"/>
        </w:tabs>
        <w:spacing w:before="0" w:after="120"/>
      </w:pPr>
      <w:r w:rsidRPr="00C62FD0">
        <w:t>simplif</w:t>
      </w:r>
      <w:r>
        <w:t>ying</w:t>
      </w:r>
      <w:r w:rsidRPr="00C62FD0">
        <w:t xml:space="preserve"> the Assets held in trust disclosure so entities no longer have to estimate the value of non-financial assets held in trust, but instead provide a general</w:t>
      </w:r>
      <w:r>
        <w:t xml:space="preserve"> description of the assets held;</w:t>
      </w:r>
    </w:p>
    <w:p w:rsidR="00CA5D63" w:rsidRPr="00C62FD0" w:rsidRDefault="00CA5D63" w:rsidP="00CA5D63">
      <w:pPr>
        <w:pStyle w:val="NumberList"/>
        <w:numPr>
          <w:ilvl w:val="0"/>
          <w:numId w:val="42"/>
        </w:numPr>
        <w:tabs>
          <w:tab w:val="clear" w:pos="1985"/>
          <w:tab w:val="left" w:pos="540"/>
        </w:tabs>
        <w:spacing w:before="0" w:after="120"/>
      </w:pPr>
      <w:r w:rsidRPr="00C62FD0">
        <w:t>remov</w:t>
      </w:r>
      <w:r>
        <w:t>ing</w:t>
      </w:r>
      <w:r w:rsidRPr="00C62FD0">
        <w:t xml:space="preserve"> the requirement for Collection Institutions to separately disclose their operating expenditure on heritage and cultural assets</w:t>
      </w:r>
      <w:r>
        <w:t xml:space="preserve"> as this duplicates information already reported in the financial statements;</w:t>
      </w:r>
    </w:p>
    <w:p w:rsidR="00CA5D63" w:rsidRDefault="00CA5D63" w:rsidP="00CA5D63">
      <w:pPr>
        <w:pStyle w:val="NumberList"/>
        <w:numPr>
          <w:ilvl w:val="0"/>
          <w:numId w:val="42"/>
        </w:numPr>
        <w:tabs>
          <w:tab w:val="clear" w:pos="1985"/>
          <w:tab w:val="left" w:pos="540"/>
        </w:tabs>
        <w:spacing w:before="0" w:after="120"/>
      </w:pPr>
      <w:r w:rsidRPr="00C62FD0">
        <w:t>streamlin</w:t>
      </w:r>
      <w:r>
        <w:t xml:space="preserve">ing </w:t>
      </w:r>
      <w:r w:rsidRPr="00C62FD0">
        <w:t>the reporting requirements for special accounts removing the requirement to report on investments</w:t>
      </w:r>
      <w:r>
        <w:t>;</w:t>
      </w:r>
    </w:p>
    <w:p w:rsidR="00CA5D63" w:rsidRPr="00C62FD0" w:rsidRDefault="00CA5D63" w:rsidP="00CA5D63">
      <w:pPr>
        <w:pStyle w:val="NumberList"/>
        <w:numPr>
          <w:ilvl w:val="0"/>
          <w:numId w:val="42"/>
        </w:numPr>
        <w:tabs>
          <w:tab w:val="clear" w:pos="1985"/>
          <w:tab w:val="left" w:pos="540"/>
        </w:tabs>
        <w:spacing w:before="0" w:after="120"/>
      </w:pPr>
      <w:r w:rsidRPr="00C62FD0">
        <w:t>remov</w:t>
      </w:r>
      <w:r>
        <w:t>ing</w:t>
      </w:r>
      <w:r w:rsidRPr="00C62FD0">
        <w:t xml:space="preserve"> the </w:t>
      </w:r>
      <w:r>
        <w:t>‘</w:t>
      </w:r>
      <w:r w:rsidRPr="00C62FD0">
        <w:t>Compensation and debt relief in special circumstances</w:t>
      </w:r>
      <w:r>
        <w:t>’</w:t>
      </w:r>
      <w:r w:rsidRPr="00C62FD0">
        <w:t xml:space="preserve"> note. This information will now be collected outside of th</w:t>
      </w:r>
      <w:r>
        <w:t>e financial statements process; and</w:t>
      </w:r>
    </w:p>
    <w:p w:rsidR="00CA5D63" w:rsidRPr="00CA5D63" w:rsidRDefault="00CA5D63" w:rsidP="00CA5D63">
      <w:pPr>
        <w:pStyle w:val="NumberList"/>
        <w:numPr>
          <w:ilvl w:val="0"/>
          <w:numId w:val="42"/>
        </w:numPr>
        <w:tabs>
          <w:tab w:val="clear" w:pos="1985"/>
          <w:tab w:val="left" w:pos="540"/>
        </w:tabs>
        <w:spacing w:before="0" w:after="120"/>
      </w:pPr>
      <w:r w:rsidRPr="00CA5D63">
        <w:t>removing the need for a schedule for contingencies as the schedule duplicated information included in the notes to the financial statements.</w:t>
      </w:r>
    </w:p>
    <w:p w:rsidR="00CA5D63" w:rsidRDefault="00CA5D63" w:rsidP="00193FE0"/>
    <w:p w:rsidR="0071547F" w:rsidRDefault="009E5245" w:rsidP="000C0243">
      <w:r>
        <w:t>The FR</w:t>
      </w:r>
      <w:r w:rsidR="000E2A62">
        <w:t>R</w:t>
      </w:r>
      <w:r>
        <w:t xml:space="preserve"> is divided into six parts as follows:</w:t>
      </w:r>
    </w:p>
    <w:p w:rsidR="009E5245" w:rsidRDefault="009E5245" w:rsidP="00904B9D">
      <w:pPr>
        <w:pStyle w:val="ListParagraph"/>
        <w:numPr>
          <w:ilvl w:val="0"/>
          <w:numId w:val="33"/>
        </w:numPr>
      </w:pPr>
      <w:r>
        <w:t xml:space="preserve">Part 1 provides an introduction to and preliminary information in regard to the </w:t>
      </w:r>
      <w:r w:rsidR="00FC41B6">
        <w:t>FR</w:t>
      </w:r>
      <w:r w:rsidR="000E2A62">
        <w:t>R</w:t>
      </w:r>
      <w:r>
        <w:t>;</w:t>
      </w:r>
    </w:p>
    <w:p w:rsidR="009E5245" w:rsidRPr="000269C4" w:rsidRDefault="009E5245" w:rsidP="00904B9D">
      <w:pPr>
        <w:pStyle w:val="ListParagraph"/>
        <w:numPr>
          <w:ilvl w:val="0"/>
          <w:numId w:val="33"/>
        </w:numPr>
        <w:rPr>
          <w:vanish/>
          <w:specVanish/>
        </w:rPr>
      </w:pPr>
      <w:r>
        <w:t>Part 2 sets out the principal financial reporting requirements that entities must follow in prepar</w:t>
      </w:r>
      <w:r w:rsidR="00C5231D">
        <w:t xml:space="preserve">ing </w:t>
      </w:r>
      <w:r>
        <w:t>financial statements;</w:t>
      </w:r>
    </w:p>
    <w:p w:rsidR="008821E0" w:rsidRDefault="000269C4" w:rsidP="00904B9D">
      <w:pPr>
        <w:pStyle w:val="ListParagraph"/>
        <w:numPr>
          <w:ilvl w:val="0"/>
          <w:numId w:val="33"/>
        </w:numPr>
      </w:pPr>
      <w:r>
        <w:t xml:space="preserve"> </w:t>
      </w:r>
    </w:p>
    <w:p w:rsidR="009E5245" w:rsidRPr="00EC7062" w:rsidRDefault="009E5245" w:rsidP="00904B9D">
      <w:pPr>
        <w:pStyle w:val="ListParagraph"/>
        <w:numPr>
          <w:ilvl w:val="0"/>
          <w:numId w:val="33"/>
        </w:numPr>
        <w:rPr>
          <w:vanish/>
          <w:specVanish/>
        </w:rPr>
      </w:pPr>
      <w:r>
        <w:t>Part 3 acts to restrict the accounting treatment available under specific Australian Accounting Standards (AAS)</w:t>
      </w:r>
      <w:r w:rsidR="00376A5C">
        <w:t xml:space="preserve"> </w:t>
      </w:r>
      <w:r>
        <w:t>to ensure a consistent approach to financial reporting across the Commonwealth</w:t>
      </w:r>
      <w:r w:rsidR="00376A5C">
        <w:t xml:space="preserve">. </w:t>
      </w:r>
      <w:r w:rsidR="00064DCF">
        <w:t xml:space="preserve">The </w:t>
      </w:r>
      <w:r w:rsidR="00376A5C">
        <w:t xml:space="preserve">AAS can be found at </w:t>
      </w:r>
      <w:hyperlink r:id="rId8" w:history="1">
        <w:r w:rsidR="00376A5C" w:rsidRPr="002C7F8D">
          <w:rPr>
            <w:rStyle w:val="Hyperlink"/>
          </w:rPr>
          <w:t>http://www.aasb.gov.au/</w:t>
        </w:r>
      </w:hyperlink>
      <w:r w:rsidR="00904B9D">
        <w:t>;</w:t>
      </w:r>
    </w:p>
    <w:p w:rsidR="00B24B0D" w:rsidRDefault="00EC7062" w:rsidP="00904B9D">
      <w:pPr>
        <w:pStyle w:val="ListParagraph"/>
        <w:numPr>
          <w:ilvl w:val="0"/>
          <w:numId w:val="33"/>
        </w:numPr>
      </w:pPr>
      <w:r>
        <w:t xml:space="preserve"> </w:t>
      </w:r>
    </w:p>
    <w:p w:rsidR="009E5245" w:rsidRDefault="009E5245" w:rsidP="00904B9D">
      <w:pPr>
        <w:pStyle w:val="ListParagraph"/>
        <w:numPr>
          <w:ilvl w:val="0"/>
          <w:numId w:val="33"/>
        </w:numPr>
      </w:pPr>
      <w:r>
        <w:t>Part 4 provides consistency in financial reporting across the Commonwealth by interpreting the AAS for public sector application</w:t>
      </w:r>
      <w:r w:rsidR="00904B9D">
        <w:t>;</w:t>
      </w:r>
    </w:p>
    <w:p w:rsidR="009E5245" w:rsidRDefault="009E5245" w:rsidP="00904B9D">
      <w:pPr>
        <w:pStyle w:val="ListParagraph"/>
        <w:numPr>
          <w:ilvl w:val="0"/>
          <w:numId w:val="33"/>
        </w:numPr>
      </w:pPr>
      <w:r>
        <w:t>Part 5 sets out all additional</w:t>
      </w:r>
      <w:r w:rsidR="00904B9D">
        <w:t xml:space="preserve"> </w:t>
      </w:r>
      <w:r>
        <w:t xml:space="preserve">financial reporting and disclosure requirements (excluding appropriations) required by </w:t>
      </w:r>
      <w:r w:rsidR="00904B9D">
        <w:t>Government to discharge their accountability and transparency requirements; and</w:t>
      </w:r>
    </w:p>
    <w:p w:rsidR="0071547F" w:rsidRDefault="009E5245" w:rsidP="00904B9D">
      <w:pPr>
        <w:pStyle w:val="ListParagraph"/>
        <w:numPr>
          <w:ilvl w:val="0"/>
          <w:numId w:val="33"/>
        </w:numPr>
      </w:pPr>
      <w:r>
        <w:t>Part 6</w:t>
      </w:r>
      <w:r w:rsidR="00904B9D">
        <w:t xml:space="preserve"> sets out the reporting and disclosure requirements for appropriations.</w:t>
      </w:r>
    </w:p>
    <w:p w:rsidR="0071547F" w:rsidRPr="004226F4" w:rsidRDefault="0071547F" w:rsidP="000C0243"/>
    <w:p w:rsidR="00CA5D63" w:rsidRDefault="00CA5D63" w:rsidP="00546DA5">
      <w:pPr>
        <w:pStyle w:val="ParaNumbering"/>
      </w:pPr>
    </w:p>
    <w:p w:rsidR="00546DA5" w:rsidRDefault="009505BB" w:rsidP="00546DA5">
      <w:pPr>
        <w:pStyle w:val="ParaNumbering"/>
      </w:pPr>
      <w:r w:rsidRPr="000E39BF">
        <w:t xml:space="preserve">Details of the </w:t>
      </w:r>
      <w:r>
        <w:t>FR</w:t>
      </w:r>
      <w:r w:rsidR="000E2A62">
        <w:t>R</w:t>
      </w:r>
      <w:r>
        <w:t xml:space="preserve"> are </w:t>
      </w:r>
      <w:r w:rsidRPr="000E39BF">
        <w:t xml:space="preserve">set out </w:t>
      </w:r>
      <w:r>
        <w:t>at</w:t>
      </w:r>
      <w:r w:rsidRPr="000E39BF">
        <w:t xml:space="preserve"> </w:t>
      </w:r>
      <w:r w:rsidRPr="000E39BF">
        <w:rPr>
          <w:u w:val="single"/>
        </w:rPr>
        <w:t>Attachment</w:t>
      </w:r>
      <w:r>
        <w:rPr>
          <w:u w:val="single"/>
        </w:rPr>
        <w:t xml:space="preserve"> A</w:t>
      </w:r>
      <w:r w:rsidRPr="000E39BF">
        <w:t>.</w:t>
      </w:r>
      <w:r>
        <w:t xml:space="preserve"> </w:t>
      </w:r>
      <w:r w:rsidR="00546DA5" w:rsidRPr="00546DA5">
        <w:t xml:space="preserve">A statement of compatibility with human rights is at </w:t>
      </w:r>
      <w:r w:rsidR="00546DA5" w:rsidRPr="00546DA5">
        <w:rPr>
          <w:u w:val="single"/>
        </w:rPr>
        <w:t xml:space="preserve">Attachment </w:t>
      </w:r>
      <w:r w:rsidR="00A4672B">
        <w:rPr>
          <w:u w:val="single"/>
        </w:rPr>
        <w:t>B</w:t>
      </w:r>
      <w:r w:rsidR="00B87FAD">
        <w:t>.</w:t>
      </w:r>
    </w:p>
    <w:p w:rsidR="00B87FAD" w:rsidRPr="00546DA5" w:rsidRDefault="00B87FAD" w:rsidP="00546DA5">
      <w:pPr>
        <w:pStyle w:val="ParaNumbering"/>
      </w:pPr>
    </w:p>
    <w:p w:rsidR="00FC7CE8" w:rsidRDefault="00FC7CE8">
      <w:pPr>
        <w:spacing w:after="200" w:line="276" w:lineRule="auto"/>
        <w:rPr>
          <w:rFonts w:eastAsia="Times New Roman"/>
          <w:szCs w:val="20"/>
          <w:lang w:val="en-AU" w:bidi="ar-SA"/>
        </w:rPr>
      </w:pPr>
      <w:r>
        <w:br w:type="page"/>
      </w:r>
    </w:p>
    <w:p w:rsidR="00546DA5" w:rsidRPr="001D14FB" w:rsidRDefault="00546DA5" w:rsidP="00546DA5">
      <w:pPr>
        <w:pStyle w:val="ParaNumbering"/>
      </w:pPr>
    </w:p>
    <w:p w:rsidR="00546DA5" w:rsidRPr="00F70A7B" w:rsidRDefault="00546DA5"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Timing</w:t>
      </w:r>
    </w:p>
    <w:p w:rsidR="009A33C5" w:rsidRPr="00546DA5" w:rsidRDefault="009A33C5">
      <w:pPr>
        <w:pStyle w:val="ParaNumbering"/>
        <w:rPr>
          <w:vanish/>
          <w:specVanish/>
        </w:rPr>
      </w:pPr>
      <w:r>
        <w:t>The commencement date of the FR</w:t>
      </w:r>
      <w:r w:rsidR="000E2A62">
        <w:t>R</w:t>
      </w:r>
      <w:r>
        <w:t xml:space="preserve"> (1 July 2014) does</w:t>
      </w:r>
      <w:r w:rsidR="00546DA5">
        <w:t xml:space="preserve"> </w:t>
      </w:r>
      <w:r>
        <w:t>not adversely affect the rights of persons or otherwise liabilities, other than onto the Commonwealth or Australian Government entities, and as such</w:t>
      </w:r>
    </w:p>
    <w:p w:rsidR="009A33C5" w:rsidRDefault="00546DA5">
      <w:pPr>
        <w:pStyle w:val="ParaNumbering"/>
      </w:pPr>
      <w:r>
        <w:t xml:space="preserve">, does not contravene subsection 12 (2) of the </w:t>
      </w:r>
      <w:r w:rsidRPr="00546DA5">
        <w:rPr>
          <w:i/>
        </w:rPr>
        <w:t>Legislative Instruments Act 2003</w:t>
      </w:r>
      <w:r>
        <w:t>.</w:t>
      </w:r>
    </w:p>
    <w:p w:rsidR="000F714A" w:rsidRDefault="000F714A">
      <w:pPr>
        <w:pStyle w:val="ParaNumbering"/>
      </w:pPr>
    </w:p>
    <w:p w:rsidR="000F714A" w:rsidRDefault="000F714A" w:rsidP="000F714A">
      <w:pPr>
        <w:pStyle w:val="Paragraph0"/>
        <w:spacing w:before="0"/>
        <w:rPr>
          <w:szCs w:val="24"/>
        </w:rPr>
      </w:pPr>
      <w:r w:rsidRPr="00407B73">
        <w:rPr>
          <w:szCs w:val="24"/>
        </w:rPr>
        <w:t xml:space="preserve">A retrospective commencement date has </w:t>
      </w:r>
      <w:r w:rsidR="00513C83">
        <w:rPr>
          <w:szCs w:val="24"/>
        </w:rPr>
        <w:t xml:space="preserve">previously </w:t>
      </w:r>
      <w:r w:rsidRPr="00407B73">
        <w:rPr>
          <w:szCs w:val="24"/>
        </w:rPr>
        <w:t xml:space="preserve">been used </w:t>
      </w:r>
      <w:r w:rsidR="00513C83">
        <w:rPr>
          <w:szCs w:val="24"/>
        </w:rPr>
        <w:t xml:space="preserve">for the </w:t>
      </w:r>
      <w:r w:rsidR="00CA5D63">
        <w:rPr>
          <w:szCs w:val="24"/>
        </w:rPr>
        <w:t>FMOs</w:t>
      </w:r>
      <w:r w:rsidR="00126842">
        <w:rPr>
          <w:szCs w:val="24"/>
        </w:rPr>
        <w:t xml:space="preserve"> as this </w:t>
      </w:r>
      <w:r w:rsidRPr="00407B73">
        <w:rPr>
          <w:szCs w:val="24"/>
        </w:rPr>
        <w:t xml:space="preserve">ensures that </w:t>
      </w:r>
      <w:r>
        <w:rPr>
          <w:szCs w:val="24"/>
        </w:rPr>
        <w:t xml:space="preserve">financial reporting requirements </w:t>
      </w:r>
      <w:r w:rsidRPr="00407B73">
        <w:rPr>
          <w:szCs w:val="24"/>
        </w:rPr>
        <w:t xml:space="preserve">are applicable </w:t>
      </w:r>
      <w:r w:rsidR="00513C83">
        <w:rPr>
          <w:szCs w:val="24"/>
        </w:rPr>
        <w:t xml:space="preserve">to </w:t>
      </w:r>
      <w:r w:rsidRPr="00407B73">
        <w:rPr>
          <w:szCs w:val="24"/>
        </w:rPr>
        <w:t xml:space="preserve">the same period </w:t>
      </w:r>
      <w:r w:rsidR="00513C83">
        <w:rPr>
          <w:szCs w:val="24"/>
        </w:rPr>
        <w:t xml:space="preserve">in </w:t>
      </w:r>
      <w:r w:rsidRPr="00407B73">
        <w:rPr>
          <w:szCs w:val="24"/>
        </w:rPr>
        <w:t xml:space="preserve">which the </w:t>
      </w:r>
      <w:r>
        <w:rPr>
          <w:szCs w:val="24"/>
        </w:rPr>
        <w:t>FR</w:t>
      </w:r>
      <w:r w:rsidR="000E2A62">
        <w:rPr>
          <w:szCs w:val="24"/>
        </w:rPr>
        <w:t>R</w:t>
      </w:r>
      <w:r>
        <w:rPr>
          <w:szCs w:val="24"/>
        </w:rPr>
        <w:t xml:space="preserve"> is made</w:t>
      </w:r>
      <w:r w:rsidRPr="00407B73">
        <w:rPr>
          <w:szCs w:val="24"/>
        </w:rPr>
        <w:t>.</w:t>
      </w:r>
    </w:p>
    <w:p w:rsidR="00B87FAD" w:rsidRDefault="00B87FAD" w:rsidP="000F714A">
      <w:pPr>
        <w:pStyle w:val="Paragraph0"/>
        <w:spacing w:before="0"/>
        <w:rPr>
          <w:szCs w:val="24"/>
        </w:rPr>
      </w:pPr>
    </w:p>
    <w:p w:rsidR="00301C10" w:rsidRDefault="00301C10" w:rsidP="00D976E6"/>
    <w:p w:rsidR="005C5470" w:rsidRPr="00F70A7B" w:rsidRDefault="00A53E39"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Consultation</w:t>
      </w:r>
    </w:p>
    <w:p w:rsidR="00372046" w:rsidRDefault="00A53E39">
      <w:r w:rsidRPr="00A53E39">
        <w:rPr>
          <w:lang w:val="en-AU"/>
        </w:rPr>
        <w:t xml:space="preserve">In accordance with section 17 of the </w:t>
      </w:r>
      <w:r w:rsidRPr="00A53E39">
        <w:rPr>
          <w:i/>
          <w:iCs/>
          <w:lang w:val="en-AU"/>
        </w:rPr>
        <w:t>Legislative Instruments Act 2003</w:t>
      </w:r>
      <w:r w:rsidRPr="00A53E39">
        <w:rPr>
          <w:lang w:val="en-AU"/>
        </w:rPr>
        <w:t>,</w:t>
      </w:r>
      <w:r>
        <w:rPr>
          <w:lang w:val="en-AU"/>
        </w:rPr>
        <w:t xml:space="preserve"> </w:t>
      </w:r>
      <w:r w:rsidR="00DD5F6E">
        <w:rPr>
          <w:lang w:val="en-AU"/>
        </w:rPr>
        <w:t>all Commonwealth reporting entities required to apply the FR</w:t>
      </w:r>
      <w:r w:rsidR="000E2A62">
        <w:rPr>
          <w:lang w:val="en-AU"/>
        </w:rPr>
        <w:t>R</w:t>
      </w:r>
      <w:r w:rsidR="006739CF">
        <w:rPr>
          <w:lang w:val="en-AU"/>
        </w:rPr>
        <w:t xml:space="preserve"> in preparing their financial statements</w:t>
      </w:r>
      <w:r w:rsidR="00DD5F6E">
        <w:rPr>
          <w:lang w:val="en-AU"/>
        </w:rPr>
        <w:t xml:space="preserve">, including the Australian </w:t>
      </w:r>
      <w:r w:rsidR="006739CF">
        <w:rPr>
          <w:lang w:val="en-AU"/>
        </w:rPr>
        <w:t>N</w:t>
      </w:r>
      <w:r w:rsidR="00DD5F6E">
        <w:rPr>
          <w:lang w:val="en-AU"/>
        </w:rPr>
        <w:t xml:space="preserve">ational Audit Office, </w:t>
      </w:r>
      <w:r w:rsidR="005B4709">
        <w:rPr>
          <w:lang w:val="en-AU"/>
        </w:rPr>
        <w:t xml:space="preserve">were </w:t>
      </w:r>
      <w:r w:rsidR="00DD5F6E">
        <w:rPr>
          <w:lang w:val="en-AU"/>
        </w:rPr>
        <w:t>consulted</w:t>
      </w:r>
      <w:r w:rsidR="005B4709">
        <w:rPr>
          <w:lang w:val="en-AU"/>
        </w:rPr>
        <w:t xml:space="preserve"> and participated in various workshops and information sessions </w:t>
      </w:r>
      <w:r w:rsidR="00DD5F6E">
        <w:rPr>
          <w:lang w:val="en-AU"/>
        </w:rPr>
        <w:t>on the FR</w:t>
      </w:r>
      <w:r w:rsidR="000E2A62">
        <w:rPr>
          <w:lang w:val="en-AU"/>
        </w:rPr>
        <w:t>R</w:t>
      </w:r>
      <w:r w:rsidR="00DD5F6E">
        <w:rPr>
          <w:lang w:val="en-AU"/>
        </w:rPr>
        <w:t xml:space="preserve"> and provided with the opportunity to submit comments.</w:t>
      </w:r>
    </w:p>
    <w:p w:rsidR="00372046" w:rsidRDefault="00372046"/>
    <w:p w:rsidR="004835F5" w:rsidRDefault="004835F5" w:rsidP="00D976E6">
      <w:pPr>
        <w:rPr>
          <w:rFonts w:eastAsiaTheme="majorEastAsia"/>
        </w:rPr>
        <w:sectPr w:rsidR="004835F5" w:rsidSect="00476667">
          <w:headerReference w:type="default" r:id="rId9"/>
          <w:headerReference w:type="first" r:id="rId10"/>
          <w:pgSz w:w="11906" w:h="16838"/>
          <w:pgMar w:top="1440" w:right="1440" w:bottom="1440" w:left="1440" w:header="708" w:footer="514" w:gutter="0"/>
          <w:cols w:space="708"/>
          <w:docGrid w:linePitch="360"/>
        </w:sectPr>
      </w:pPr>
    </w:p>
    <w:p w:rsidR="00CA463A" w:rsidRDefault="00CA463A" w:rsidP="00CA463A">
      <w:pPr>
        <w:rPr>
          <w:b/>
          <w:u w:val="single"/>
        </w:rPr>
      </w:pPr>
      <w:r w:rsidRPr="00C7369A">
        <w:rPr>
          <w:b/>
          <w:sz w:val="32"/>
          <w:szCs w:val="32"/>
          <w:u w:val="single"/>
        </w:rPr>
        <w:lastRenderedPageBreak/>
        <w:t xml:space="preserve">Details of the </w:t>
      </w:r>
      <w:r w:rsidRPr="00C7369A">
        <w:rPr>
          <w:b/>
          <w:i/>
          <w:sz w:val="32"/>
          <w:szCs w:val="32"/>
          <w:u w:val="single"/>
        </w:rPr>
        <w:t>Public Governance, Performance and Accountability (Financial Reporting) Rule 201</w:t>
      </w:r>
      <w:r w:rsidR="000E2A62">
        <w:rPr>
          <w:b/>
          <w:i/>
          <w:sz w:val="32"/>
          <w:szCs w:val="32"/>
          <w:u w:val="single"/>
        </w:rPr>
        <w:t>5</w:t>
      </w:r>
      <w:r w:rsidRPr="00CA463A">
        <w:rPr>
          <w:b/>
          <w:u w:val="single"/>
        </w:rPr>
        <w:t xml:space="preserve"> </w:t>
      </w:r>
    </w:p>
    <w:p w:rsidR="00CA463A" w:rsidRPr="001B3CE6" w:rsidRDefault="00CA463A" w:rsidP="00C7369A">
      <w:pPr>
        <w:pStyle w:val="Heading1"/>
        <w:rPr>
          <w:rFonts w:eastAsia="Times New Roman"/>
          <w:u w:val="single"/>
          <w:lang w:val="en-AU" w:bidi="ar-SA"/>
        </w:rPr>
      </w:pPr>
      <w:r w:rsidRPr="001B3CE6">
        <w:rPr>
          <w:rFonts w:eastAsia="Times New Roman"/>
          <w:u w:val="single"/>
          <w:lang w:val="en-AU" w:bidi="ar-SA"/>
        </w:rPr>
        <w:t>Part 1</w:t>
      </w:r>
      <w:r w:rsidR="0045091E" w:rsidRPr="001B3CE6">
        <w:rPr>
          <w:rFonts w:eastAsia="Times New Roman"/>
          <w:u w:val="single"/>
          <w:lang w:val="en-AU" w:bidi="ar-SA"/>
        </w:rPr>
        <w:t xml:space="preserve"> – Introduction and preliminary</w:t>
      </w:r>
    </w:p>
    <w:p w:rsidR="00CA463A" w:rsidRPr="004E1521" w:rsidRDefault="00CA463A" w:rsidP="00C7369A">
      <w:pPr>
        <w:pStyle w:val="Heading2"/>
        <w:rPr>
          <w:rFonts w:eastAsia="Times New Roman"/>
          <w:lang w:val="en-AU" w:bidi="ar-SA"/>
        </w:rPr>
      </w:pPr>
      <w:r w:rsidRPr="004E1521">
        <w:rPr>
          <w:rFonts w:eastAsia="Times New Roman"/>
          <w:lang w:val="en-AU" w:bidi="ar-SA"/>
        </w:rPr>
        <w:t>Division 1—Preliminary</w:t>
      </w:r>
    </w:p>
    <w:p w:rsidR="00CA463A" w:rsidRPr="00C21504" w:rsidRDefault="00CA463A" w:rsidP="00C7369A">
      <w:pPr>
        <w:pStyle w:val="Heading3"/>
        <w:rPr>
          <w:rFonts w:eastAsia="Times New Roman"/>
          <w:lang w:val="en-AU" w:bidi="ar-SA"/>
        </w:rPr>
      </w:pPr>
      <w:r w:rsidRPr="00C21504">
        <w:rPr>
          <w:rFonts w:eastAsia="Times New Roman"/>
          <w:lang w:val="en-AU" w:bidi="ar-SA"/>
        </w:rPr>
        <w:t>Section 1—Name of rule</w:t>
      </w:r>
    </w:p>
    <w:p w:rsidR="00A5629B" w:rsidRPr="001B3CE6" w:rsidRDefault="00A5629B" w:rsidP="00A5629B">
      <w:pPr>
        <w:rPr>
          <w:lang w:val="en-AU"/>
        </w:rPr>
      </w:pPr>
      <w:r w:rsidRPr="008F323F">
        <w:rPr>
          <w:lang w:val="en-AU"/>
        </w:rPr>
        <w:t xml:space="preserve">This section provides that the title of the </w:t>
      </w:r>
      <w:r>
        <w:rPr>
          <w:lang w:val="en-AU"/>
        </w:rPr>
        <w:t>rule</w:t>
      </w:r>
      <w:r w:rsidRPr="008F323F">
        <w:rPr>
          <w:lang w:val="en-AU"/>
        </w:rPr>
        <w:t xml:space="preserve"> is the </w:t>
      </w:r>
      <w:r w:rsidRPr="00483AC7">
        <w:rPr>
          <w:i/>
        </w:rPr>
        <w:t xml:space="preserve">Public Governance, Performance and Accountability </w:t>
      </w:r>
      <w:r>
        <w:rPr>
          <w:i/>
        </w:rPr>
        <w:t xml:space="preserve">(Financial Reporting) </w:t>
      </w:r>
      <w:r w:rsidRPr="00483AC7">
        <w:rPr>
          <w:i/>
        </w:rPr>
        <w:t xml:space="preserve">Rule </w:t>
      </w:r>
      <w:proofErr w:type="gramStart"/>
      <w:r w:rsidRPr="00483AC7">
        <w:rPr>
          <w:i/>
          <w:lang w:val="en-AU"/>
        </w:rPr>
        <w:t>201</w:t>
      </w:r>
      <w:r w:rsidR="000E2A62">
        <w:rPr>
          <w:i/>
          <w:lang w:val="en-AU"/>
        </w:rPr>
        <w:t xml:space="preserve">5 </w:t>
      </w:r>
      <w:r w:rsidR="001B3CE6">
        <w:rPr>
          <w:i/>
          <w:lang w:val="en-AU"/>
        </w:rPr>
        <w:t xml:space="preserve"> </w:t>
      </w:r>
      <w:r w:rsidR="000E2A62">
        <w:rPr>
          <w:lang w:val="en-AU"/>
        </w:rPr>
        <w:t>(</w:t>
      </w:r>
      <w:proofErr w:type="gramEnd"/>
      <w:r w:rsidR="000E2A62">
        <w:rPr>
          <w:lang w:val="en-AU"/>
        </w:rPr>
        <w:t>FRR</w:t>
      </w:r>
      <w:r w:rsidR="001B3CE6" w:rsidRPr="001B3CE6">
        <w:rPr>
          <w:lang w:val="en-AU"/>
        </w:rPr>
        <w:t>)</w:t>
      </w:r>
      <w:r w:rsidRPr="001B3CE6">
        <w:rPr>
          <w:lang w:val="en-AU"/>
        </w:rPr>
        <w:t>.</w:t>
      </w:r>
    </w:p>
    <w:p w:rsidR="002B5D8F" w:rsidRDefault="002B5D8F" w:rsidP="00CA463A">
      <w:pPr>
        <w:rPr>
          <w:lang w:val="en-AU"/>
        </w:rPr>
      </w:pPr>
    </w:p>
    <w:p w:rsidR="00CA463A" w:rsidRPr="00C21504" w:rsidRDefault="00CA463A" w:rsidP="00C7369A">
      <w:pPr>
        <w:pStyle w:val="Heading3"/>
        <w:rPr>
          <w:rFonts w:eastAsia="Times New Roman"/>
          <w:lang w:val="en-AU" w:bidi="ar-SA"/>
        </w:rPr>
      </w:pPr>
      <w:r w:rsidRPr="00C21504">
        <w:rPr>
          <w:rFonts w:eastAsia="Times New Roman"/>
          <w:lang w:val="en-AU" w:bidi="ar-SA"/>
        </w:rPr>
        <w:t xml:space="preserve">Section 2—Commencement </w:t>
      </w:r>
    </w:p>
    <w:p w:rsidR="00A5629B" w:rsidRDefault="00A5629B" w:rsidP="00CA463A">
      <w:pPr>
        <w:rPr>
          <w:lang w:val="en-AU"/>
        </w:rPr>
      </w:pPr>
      <w:r w:rsidRPr="008F323F">
        <w:rPr>
          <w:lang w:val="en-AU"/>
        </w:rPr>
        <w:t xml:space="preserve">This section </w:t>
      </w:r>
      <w:r>
        <w:rPr>
          <w:lang w:val="en-AU"/>
        </w:rPr>
        <w:t>sets out the timetable for the commencement of the provisions of the</w:t>
      </w:r>
      <w:r w:rsidR="001B3CE6">
        <w:rPr>
          <w:lang w:val="en-AU"/>
        </w:rPr>
        <w:t xml:space="preserve"> FR</w:t>
      </w:r>
      <w:r w:rsidR="000E2A62">
        <w:rPr>
          <w:lang w:val="en-AU"/>
        </w:rPr>
        <w:t>R</w:t>
      </w:r>
      <w:r>
        <w:rPr>
          <w:lang w:val="en-AU"/>
        </w:rPr>
        <w:t>.</w:t>
      </w:r>
      <w:r w:rsidR="001B3CE6">
        <w:rPr>
          <w:lang w:val="en-AU"/>
        </w:rPr>
        <w:t xml:space="preserve"> </w:t>
      </w:r>
    </w:p>
    <w:p w:rsidR="002B5D8F" w:rsidRDefault="002B5D8F" w:rsidP="00CA463A">
      <w:pPr>
        <w:rPr>
          <w:lang w:val="en-AU"/>
        </w:rPr>
      </w:pPr>
    </w:p>
    <w:p w:rsidR="00CA463A" w:rsidRPr="00C21504" w:rsidRDefault="00CA463A" w:rsidP="00C7369A">
      <w:pPr>
        <w:pStyle w:val="Heading3"/>
        <w:rPr>
          <w:rFonts w:eastAsia="Times New Roman"/>
          <w:lang w:val="en-AU" w:bidi="ar-SA"/>
        </w:rPr>
      </w:pPr>
      <w:r w:rsidRPr="00C21504">
        <w:rPr>
          <w:rFonts w:eastAsia="Times New Roman"/>
          <w:lang w:val="en-AU" w:bidi="ar-SA"/>
        </w:rPr>
        <w:t xml:space="preserve">Section 3—Authority </w:t>
      </w:r>
    </w:p>
    <w:p w:rsidR="00011B76" w:rsidRDefault="00A5629B" w:rsidP="00011B76">
      <w:pPr>
        <w:rPr>
          <w:lang w:val="en-AU"/>
        </w:rPr>
      </w:pPr>
      <w:r w:rsidRPr="008F323F">
        <w:rPr>
          <w:lang w:val="en-AU"/>
        </w:rPr>
        <w:t xml:space="preserve">This section </w:t>
      </w:r>
      <w:r>
        <w:rPr>
          <w:lang w:val="en-AU"/>
        </w:rPr>
        <w:t>states</w:t>
      </w:r>
      <w:r w:rsidRPr="008F323F">
        <w:rPr>
          <w:lang w:val="en-AU"/>
        </w:rPr>
        <w:t xml:space="preserve"> that the</w:t>
      </w:r>
      <w:r w:rsidR="001B3CE6">
        <w:rPr>
          <w:lang w:val="en-AU"/>
        </w:rPr>
        <w:t xml:space="preserve"> FR</w:t>
      </w:r>
      <w:r w:rsidR="000E2A62">
        <w:rPr>
          <w:lang w:val="en-AU"/>
        </w:rPr>
        <w:t>R</w:t>
      </w:r>
      <w:r w:rsidR="001B3CE6">
        <w:rPr>
          <w:lang w:val="en-AU"/>
        </w:rPr>
        <w:t xml:space="preserve"> </w:t>
      </w:r>
      <w:r w:rsidRPr="008F323F">
        <w:rPr>
          <w:lang w:val="en-AU"/>
        </w:rPr>
        <w:t>is made under the</w:t>
      </w:r>
      <w:r w:rsidR="00011B76">
        <w:rPr>
          <w:lang w:val="en-AU"/>
        </w:rPr>
        <w:t xml:space="preserve"> </w:t>
      </w:r>
      <w:r w:rsidR="00011B76" w:rsidRPr="00011B76">
        <w:rPr>
          <w:i/>
          <w:lang w:val="en-AU"/>
        </w:rPr>
        <w:t>Public Governance, Performance and Accountability Act 2013</w:t>
      </w:r>
      <w:r w:rsidRPr="008F323F">
        <w:rPr>
          <w:lang w:val="en-AU"/>
        </w:rPr>
        <w:t>.</w:t>
      </w:r>
      <w:r w:rsidR="00011B76">
        <w:rPr>
          <w:lang w:val="en-AU"/>
        </w:rPr>
        <w:t xml:space="preserve"> </w:t>
      </w:r>
    </w:p>
    <w:p w:rsidR="00011B76" w:rsidRDefault="00011B76" w:rsidP="00011B76">
      <w:pPr>
        <w:rPr>
          <w:lang w:val="en-AU"/>
        </w:rPr>
      </w:pPr>
    </w:p>
    <w:p w:rsidR="00011B76" w:rsidRPr="00011B76" w:rsidRDefault="00011B76" w:rsidP="00011B76">
      <w:pPr>
        <w:rPr>
          <w:lang w:val="en-AU"/>
        </w:rPr>
      </w:pPr>
      <w:r>
        <w:rPr>
          <w:lang w:val="en-AU"/>
        </w:rPr>
        <w:t xml:space="preserve">For reporting periods on or after 1 July 2014, </w:t>
      </w:r>
      <w:r w:rsidRPr="00011B76">
        <w:rPr>
          <w:lang w:val="en-AU"/>
        </w:rPr>
        <w:t>th</w:t>
      </w:r>
      <w:r w:rsidR="001B3CE6">
        <w:rPr>
          <w:lang w:val="en-AU"/>
        </w:rPr>
        <w:t>e FR</w:t>
      </w:r>
      <w:r w:rsidR="000E2A62">
        <w:rPr>
          <w:lang w:val="en-AU"/>
        </w:rPr>
        <w:t>R</w:t>
      </w:r>
      <w:r w:rsidR="001B3CE6">
        <w:rPr>
          <w:lang w:val="en-AU"/>
        </w:rPr>
        <w:t xml:space="preserve"> </w:t>
      </w:r>
      <w:r w:rsidRPr="00011B76">
        <w:rPr>
          <w:lang w:val="en-AU"/>
        </w:rPr>
        <w:t>sets out the requirements for the preparation of financial statements under:</w:t>
      </w:r>
    </w:p>
    <w:p w:rsidR="00011B76" w:rsidRPr="00011B76" w:rsidRDefault="007F16A0" w:rsidP="00011B76">
      <w:pPr>
        <w:rPr>
          <w:lang w:val="en-AU"/>
        </w:rPr>
      </w:pPr>
      <w:r>
        <w:rPr>
          <w:lang w:val="en-AU"/>
        </w:rPr>
        <w:t xml:space="preserve">(a) </w:t>
      </w:r>
      <w:r w:rsidR="00011B76" w:rsidRPr="00011B76">
        <w:rPr>
          <w:lang w:val="en-AU"/>
        </w:rPr>
        <w:t xml:space="preserve">subsection 42(2) of the </w:t>
      </w:r>
      <w:r w:rsidR="00011B76" w:rsidRPr="00011B76">
        <w:rPr>
          <w:i/>
          <w:lang w:val="en-AU"/>
        </w:rPr>
        <w:t>Public Governance, Performance and Accountability Act 2013</w:t>
      </w:r>
      <w:r w:rsidR="00011B76" w:rsidRPr="00011B76">
        <w:rPr>
          <w:lang w:val="en-AU"/>
        </w:rPr>
        <w:t xml:space="preserve">; </w:t>
      </w:r>
    </w:p>
    <w:p w:rsidR="00011B76" w:rsidRPr="00011B76" w:rsidRDefault="007F16A0" w:rsidP="00011B76">
      <w:pPr>
        <w:rPr>
          <w:lang w:val="en-AU"/>
        </w:rPr>
      </w:pPr>
      <w:r>
        <w:rPr>
          <w:lang w:val="en-AU"/>
        </w:rPr>
        <w:t xml:space="preserve">(b) </w:t>
      </w:r>
      <w:r w:rsidR="00011B76" w:rsidRPr="00011B76">
        <w:rPr>
          <w:lang w:val="en-AU"/>
        </w:rPr>
        <w:t xml:space="preserve">subsection 47(1) of the </w:t>
      </w:r>
      <w:r w:rsidR="00011B76" w:rsidRPr="00011B76">
        <w:rPr>
          <w:i/>
          <w:lang w:val="en-AU"/>
        </w:rPr>
        <w:t>High Court of Australia Act 1979</w:t>
      </w:r>
      <w:r w:rsidR="00011B76" w:rsidRPr="00011B76">
        <w:rPr>
          <w:lang w:val="en-AU"/>
        </w:rPr>
        <w:t xml:space="preserve"> in relation to how financial statements must be prepared by the High Court of Australia; </w:t>
      </w:r>
    </w:p>
    <w:p w:rsidR="00011B76" w:rsidRPr="00011B76" w:rsidRDefault="007F16A0" w:rsidP="00011B76">
      <w:pPr>
        <w:rPr>
          <w:lang w:val="en-AU"/>
        </w:rPr>
      </w:pPr>
      <w:r>
        <w:rPr>
          <w:lang w:val="en-AU"/>
        </w:rPr>
        <w:t xml:space="preserve">(c) </w:t>
      </w:r>
      <w:r w:rsidR="00011B76" w:rsidRPr="00011B76">
        <w:rPr>
          <w:lang w:val="en-AU"/>
        </w:rPr>
        <w:t xml:space="preserve">section 193H of the </w:t>
      </w:r>
      <w:r w:rsidR="00011B76" w:rsidRPr="00011B76">
        <w:rPr>
          <w:i/>
          <w:lang w:val="en-AU"/>
        </w:rPr>
        <w:t>Aboriginal and Torres Strait Islander Act 2005</w:t>
      </w:r>
      <w:r w:rsidR="00011B76" w:rsidRPr="00011B76">
        <w:rPr>
          <w:lang w:val="en-AU"/>
        </w:rPr>
        <w:t xml:space="preserve"> in relation to how the accounts and financial statements must be prepared for the Land Account;</w:t>
      </w:r>
    </w:p>
    <w:p w:rsidR="00011B76" w:rsidRPr="00011B76" w:rsidRDefault="007F16A0" w:rsidP="00011B76">
      <w:pPr>
        <w:rPr>
          <w:lang w:val="en-AU"/>
        </w:rPr>
      </w:pPr>
      <w:r>
        <w:rPr>
          <w:lang w:val="en-AU"/>
        </w:rPr>
        <w:t xml:space="preserve">(d) </w:t>
      </w:r>
      <w:r w:rsidR="00011B76" w:rsidRPr="00011B76">
        <w:rPr>
          <w:lang w:val="en-AU"/>
        </w:rPr>
        <w:t xml:space="preserve">subsections 50B(2) and (4) of the </w:t>
      </w:r>
      <w:r w:rsidR="00011B76" w:rsidRPr="00011B76">
        <w:rPr>
          <w:i/>
          <w:lang w:val="en-AU"/>
        </w:rPr>
        <w:t>Defence Service Homes Act 1918</w:t>
      </w:r>
      <w:r w:rsidR="00011B76" w:rsidRPr="00011B76">
        <w:rPr>
          <w:lang w:val="en-AU"/>
        </w:rPr>
        <w:t xml:space="preserve">  in relation to how financial statements must be prepared by the Defence Service Homes Corporation; and </w:t>
      </w:r>
    </w:p>
    <w:p w:rsidR="00011B76" w:rsidRPr="00011B76" w:rsidRDefault="007F16A0" w:rsidP="00011B76">
      <w:pPr>
        <w:rPr>
          <w:lang w:val="en-AU"/>
        </w:rPr>
      </w:pPr>
      <w:r>
        <w:rPr>
          <w:lang w:val="en-AU"/>
        </w:rPr>
        <w:t xml:space="preserve">(e) </w:t>
      </w:r>
      <w:r w:rsidR="00011B76" w:rsidRPr="00011B76">
        <w:rPr>
          <w:lang w:val="en-AU"/>
        </w:rPr>
        <w:t xml:space="preserve">subsections 43(1) and (3) of the </w:t>
      </w:r>
      <w:r w:rsidR="00011B76" w:rsidRPr="00011B76">
        <w:rPr>
          <w:i/>
          <w:lang w:val="en-AU"/>
        </w:rPr>
        <w:t>Natural Heritage Trust of Australia Act 1997</w:t>
      </w:r>
      <w:r w:rsidR="00011B76" w:rsidRPr="00011B76">
        <w:rPr>
          <w:lang w:val="en-AU"/>
        </w:rPr>
        <w:t xml:space="preserve"> in relation to how financial statements must be prepared for the Natural Heritage Trust of Australia Account. </w:t>
      </w:r>
    </w:p>
    <w:p w:rsidR="007F16A0" w:rsidRDefault="007F16A0" w:rsidP="00011B76">
      <w:pPr>
        <w:rPr>
          <w:lang w:val="en-AU"/>
        </w:rPr>
      </w:pPr>
    </w:p>
    <w:p w:rsidR="00011B76" w:rsidRPr="00011B76" w:rsidRDefault="00011B76" w:rsidP="00011B76">
      <w:pPr>
        <w:rPr>
          <w:lang w:val="en-AU"/>
        </w:rPr>
      </w:pPr>
      <w:r w:rsidRPr="00011B76">
        <w:rPr>
          <w:lang w:val="en-AU"/>
        </w:rPr>
        <w:t>Some provisions of th</w:t>
      </w:r>
      <w:r w:rsidR="001B3CE6">
        <w:rPr>
          <w:lang w:val="en-AU"/>
        </w:rPr>
        <w:t>e FR</w:t>
      </w:r>
      <w:r w:rsidR="000E2A62">
        <w:rPr>
          <w:lang w:val="en-AU"/>
        </w:rPr>
        <w:t>R</w:t>
      </w:r>
      <w:r w:rsidR="001B3CE6">
        <w:rPr>
          <w:lang w:val="en-AU"/>
        </w:rPr>
        <w:t xml:space="preserve"> </w:t>
      </w:r>
      <w:r w:rsidRPr="00011B76">
        <w:rPr>
          <w:lang w:val="en-AU"/>
        </w:rPr>
        <w:t>are made under paragraph 102(1</w:t>
      </w:r>
      <w:proofErr w:type="gramStart"/>
      <w:r w:rsidRPr="00011B76">
        <w:rPr>
          <w:lang w:val="en-AU"/>
        </w:rPr>
        <w:t>)(</w:t>
      </w:r>
      <w:proofErr w:type="gramEnd"/>
      <w:r w:rsidRPr="00011B76">
        <w:rPr>
          <w:lang w:val="en-AU"/>
        </w:rPr>
        <w:t xml:space="preserve">b) of the </w:t>
      </w:r>
      <w:r w:rsidRPr="00011B76">
        <w:rPr>
          <w:i/>
          <w:lang w:val="en-AU"/>
        </w:rPr>
        <w:t>Public Governance, Performance and Accountability Act 2013</w:t>
      </w:r>
      <w:r w:rsidRPr="00011B76">
        <w:rPr>
          <w:lang w:val="en-AU"/>
        </w:rPr>
        <w:t>.</w:t>
      </w:r>
    </w:p>
    <w:p w:rsidR="002B5D8F" w:rsidRDefault="002B5D8F" w:rsidP="0045091E">
      <w:pPr>
        <w:rPr>
          <w:b/>
          <w:lang w:val="en-AU"/>
        </w:rPr>
      </w:pPr>
    </w:p>
    <w:p w:rsidR="0045091E" w:rsidRPr="00C21504" w:rsidRDefault="0045091E" w:rsidP="00C7369A">
      <w:pPr>
        <w:pStyle w:val="Heading3"/>
        <w:rPr>
          <w:rFonts w:eastAsia="Times New Roman"/>
          <w:lang w:val="en-AU" w:bidi="ar-SA"/>
        </w:rPr>
      </w:pPr>
      <w:r w:rsidRPr="00C21504">
        <w:rPr>
          <w:rFonts w:eastAsia="Times New Roman"/>
          <w:lang w:val="en-AU" w:bidi="ar-SA"/>
        </w:rPr>
        <w:t xml:space="preserve">Section 4 — Guide to this rule </w:t>
      </w:r>
    </w:p>
    <w:p w:rsidR="00DB53CC" w:rsidRPr="009C5606" w:rsidRDefault="00DB53CC" w:rsidP="00DB53CC">
      <w:r w:rsidRPr="009C5606">
        <w:t>Th</w:t>
      </w:r>
      <w:r w:rsidR="001B3CE6">
        <w:t>e FR</w:t>
      </w:r>
      <w:r w:rsidR="000E2A62">
        <w:t>R</w:t>
      </w:r>
      <w:r w:rsidR="001B3CE6">
        <w:t xml:space="preserve"> </w:t>
      </w:r>
      <w:r w:rsidRPr="009C5606">
        <w:t xml:space="preserve">sets out the </w:t>
      </w:r>
      <w:r>
        <w:t xml:space="preserve">minimum </w:t>
      </w:r>
      <w:r w:rsidRPr="009C5606">
        <w:t>financial reporting requirements for all Commonwealth reporting entities in the preparation of their financial statements. This will</w:t>
      </w:r>
      <w:r w:rsidR="007F16A0">
        <w:t xml:space="preserve"> enable </w:t>
      </w:r>
      <w:r w:rsidRPr="009C5606">
        <w:t xml:space="preserve">consistent financial reporting across the Commonwealth to facilitate comparison between entities’ financial statements and allow for the </w:t>
      </w:r>
      <w:r>
        <w:t>preparation of</w:t>
      </w:r>
      <w:r w:rsidRPr="009C5606">
        <w:t xml:space="preserve"> consolidated financial statements.</w:t>
      </w:r>
    </w:p>
    <w:p w:rsidR="00A5629B" w:rsidRDefault="00A5629B" w:rsidP="00DB53CC"/>
    <w:p w:rsidR="00DB53CC" w:rsidRPr="009C5606" w:rsidRDefault="00DB53CC" w:rsidP="00DB53CC">
      <w:r w:rsidRPr="009C5606">
        <w:t xml:space="preserve">Financial statements are to be prepared </w:t>
      </w:r>
      <w:r>
        <w:t xml:space="preserve">in accordance with the requirements of </w:t>
      </w:r>
      <w:r w:rsidRPr="009C5606">
        <w:t xml:space="preserve">the Australian Accounting Standards (AAS). There are also additional reporting and disclosure requirements for Commonwealth reporting entities so the Government can discharge its accountability and transparency obligations. </w:t>
      </w:r>
    </w:p>
    <w:p w:rsidR="002B5D8F" w:rsidRDefault="002B5D8F" w:rsidP="0045091E">
      <w:pPr>
        <w:rPr>
          <w:lang w:val="en-AU"/>
        </w:rPr>
      </w:pPr>
    </w:p>
    <w:p w:rsidR="0045091E" w:rsidRPr="00C7369A" w:rsidRDefault="0045091E" w:rsidP="00C7369A">
      <w:pPr>
        <w:pStyle w:val="Heading2"/>
        <w:rPr>
          <w:rFonts w:eastAsia="Times New Roman"/>
          <w:lang w:val="en-AU" w:bidi="ar-SA"/>
        </w:rPr>
      </w:pPr>
      <w:r w:rsidRPr="00C21504">
        <w:rPr>
          <w:rFonts w:eastAsia="Times New Roman"/>
          <w:lang w:val="en-AU" w:bidi="ar-SA"/>
        </w:rPr>
        <w:lastRenderedPageBreak/>
        <w:t>Division 2 — Definitions</w:t>
      </w:r>
    </w:p>
    <w:p w:rsidR="0045091E" w:rsidRPr="00C21504" w:rsidRDefault="0045091E" w:rsidP="00C7369A">
      <w:pPr>
        <w:pStyle w:val="Heading3"/>
        <w:rPr>
          <w:rFonts w:eastAsia="Times New Roman"/>
          <w:lang w:val="en-AU" w:bidi="ar-SA"/>
        </w:rPr>
      </w:pPr>
      <w:r w:rsidRPr="00C21504">
        <w:rPr>
          <w:rFonts w:eastAsia="Times New Roman"/>
          <w:lang w:val="en-AU" w:bidi="ar-SA"/>
        </w:rPr>
        <w:t>Section </w:t>
      </w:r>
      <w:r w:rsidR="00DB53CC" w:rsidRPr="00C21504">
        <w:rPr>
          <w:rFonts w:eastAsia="Times New Roman"/>
          <w:lang w:val="en-AU" w:bidi="ar-SA"/>
        </w:rPr>
        <w:t xml:space="preserve">5 </w:t>
      </w:r>
      <w:r w:rsidRPr="00C21504">
        <w:rPr>
          <w:rFonts w:eastAsia="Times New Roman"/>
          <w:lang w:val="en-AU" w:bidi="ar-SA"/>
        </w:rPr>
        <w:t>—</w:t>
      </w:r>
      <w:r w:rsidR="00DB53CC" w:rsidRPr="00C21504">
        <w:rPr>
          <w:rFonts w:eastAsia="Times New Roman"/>
          <w:lang w:val="en-AU" w:bidi="ar-SA"/>
        </w:rPr>
        <w:t xml:space="preserve"> Definitions</w:t>
      </w:r>
    </w:p>
    <w:p w:rsidR="00DB53CC" w:rsidRPr="009C5606" w:rsidRDefault="00DB53CC" w:rsidP="00DB53CC">
      <w:r w:rsidRPr="009C5606">
        <w:t xml:space="preserve">The purpose of this section is to provide a list of every term that is defined in this rule. </w:t>
      </w:r>
      <w:r w:rsidR="00C44CBD">
        <w:t xml:space="preserve">Terms not included in this section can be found in </w:t>
      </w:r>
      <w:r w:rsidRPr="009C5606">
        <w:t>section</w:t>
      </w:r>
      <w:r>
        <w:t> </w:t>
      </w:r>
      <w:r w:rsidRPr="009C5606">
        <w:t xml:space="preserve">8 of the </w:t>
      </w:r>
      <w:r>
        <w:t>PGPA </w:t>
      </w:r>
      <w:r w:rsidRPr="009C5606">
        <w:t>Act.</w:t>
      </w:r>
      <w:r w:rsidR="00C44CBD">
        <w:t xml:space="preserve"> </w:t>
      </w:r>
      <w:r w:rsidRPr="009C5606">
        <w:t xml:space="preserve">Key accounting definitions </w:t>
      </w:r>
      <w:r w:rsidR="00C44CBD">
        <w:t xml:space="preserve">can be found in </w:t>
      </w:r>
      <w:r w:rsidRPr="009C5606">
        <w:t>the ‘</w:t>
      </w:r>
      <w:r w:rsidRPr="009C5606">
        <w:rPr>
          <w:i/>
        </w:rPr>
        <w:t>AASB glossary of Defined Terms</w:t>
      </w:r>
      <w:r w:rsidRPr="009C5606">
        <w:t xml:space="preserve">’ maintained and updated by the </w:t>
      </w:r>
      <w:r>
        <w:t>Australian Accounting Standards Board (</w:t>
      </w:r>
      <w:r w:rsidRPr="009C5606">
        <w:t>AASB</w:t>
      </w:r>
      <w:r>
        <w:t>)</w:t>
      </w:r>
      <w:r w:rsidRPr="009C5606">
        <w:t xml:space="preserve">. </w:t>
      </w:r>
    </w:p>
    <w:p w:rsidR="00DB53CC" w:rsidRDefault="00DB53CC" w:rsidP="0045091E">
      <w:pPr>
        <w:rPr>
          <w:b/>
        </w:rPr>
      </w:pPr>
    </w:p>
    <w:p w:rsidR="0045091E" w:rsidRPr="00C7369A" w:rsidRDefault="0045091E" w:rsidP="00C7369A">
      <w:pPr>
        <w:pStyle w:val="Heading2"/>
        <w:rPr>
          <w:rFonts w:eastAsia="Times New Roman"/>
          <w:lang w:val="en-AU" w:bidi="ar-SA"/>
        </w:rPr>
      </w:pPr>
      <w:r w:rsidRPr="00C21504">
        <w:rPr>
          <w:rFonts w:eastAsia="Times New Roman"/>
          <w:lang w:val="en-AU" w:bidi="ar-SA"/>
        </w:rPr>
        <w:t>Division 3 — Applicable entities</w:t>
      </w:r>
    </w:p>
    <w:p w:rsidR="0045091E" w:rsidRPr="0084224A" w:rsidRDefault="0045091E" w:rsidP="00C7369A">
      <w:pPr>
        <w:pStyle w:val="Heading3"/>
        <w:rPr>
          <w:rFonts w:eastAsia="Times New Roman"/>
          <w:lang w:val="en-AU" w:bidi="ar-SA"/>
        </w:rPr>
      </w:pPr>
      <w:r w:rsidRPr="0084224A">
        <w:rPr>
          <w:rFonts w:eastAsia="Times New Roman"/>
          <w:lang w:val="en-AU" w:bidi="ar-SA"/>
        </w:rPr>
        <w:t>Section 6 — Applicable entities</w:t>
      </w:r>
    </w:p>
    <w:p w:rsidR="00DB53CC" w:rsidRDefault="00DB53CC" w:rsidP="00DB53CC">
      <w:r w:rsidRPr="009C5606">
        <w:t>The purpose of this section is to set out which Commonwealth entities need to prepare financial statements</w:t>
      </w:r>
      <w:r w:rsidR="007F16A0">
        <w:t xml:space="preserve"> </w:t>
      </w:r>
      <w:r w:rsidRPr="009C5606">
        <w:t>in accordance with this rule.</w:t>
      </w:r>
    </w:p>
    <w:p w:rsidR="0045091E" w:rsidRPr="001B3CE6" w:rsidRDefault="0045091E" w:rsidP="00C7369A">
      <w:pPr>
        <w:pStyle w:val="Heading1"/>
        <w:rPr>
          <w:u w:val="single"/>
        </w:rPr>
      </w:pPr>
      <w:r w:rsidRPr="001B3CE6">
        <w:rPr>
          <w:rFonts w:eastAsia="Times New Roman"/>
          <w:u w:val="single"/>
          <w:lang w:val="en-AU" w:bidi="ar-SA"/>
        </w:rPr>
        <w:t>Part 2 – General Commonwealth entity financial reporting requirements</w:t>
      </w:r>
    </w:p>
    <w:p w:rsidR="00DB53CC" w:rsidRPr="009C5606" w:rsidRDefault="00DB53CC" w:rsidP="00DB53CC">
      <w:r w:rsidRPr="009C5606">
        <w:t xml:space="preserve">The purpose of this </w:t>
      </w:r>
      <w:r>
        <w:t>Part</w:t>
      </w:r>
      <w:r w:rsidRPr="009C5606">
        <w:t xml:space="preserve"> is to mandate the principles of financial reporting requirements for reporting entities.  </w:t>
      </w:r>
      <w:r>
        <w:t>Subsection 42(2) of t</w:t>
      </w:r>
      <w:r w:rsidRPr="009C5606">
        <w:t xml:space="preserve">he </w:t>
      </w:r>
      <w:r>
        <w:t>PGPA </w:t>
      </w:r>
      <w:r w:rsidRPr="009C5606">
        <w:t xml:space="preserve">Act states that </w:t>
      </w:r>
      <w:r>
        <w:t>“</w:t>
      </w:r>
      <w:r w:rsidRPr="009C5606">
        <w:t xml:space="preserve">the annual financial statements </w:t>
      </w:r>
      <w:r>
        <w:t>[</w:t>
      </w:r>
      <w:r w:rsidRPr="009C5606">
        <w:t>of Commonwealth entities</w:t>
      </w:r>
      <w:r>
        <w:t>]</w:t>
      </w:r>
      <w:r w:rsidRPr="009C5606">
        <w:t xml:space="preserve"> must comply with the</w:t>
      </w:r>
      <w:r>
        <w:t xml:space="preserve"> accounting standards</w:t>
      </w:r>
      <w:r w:rsidRPr="009C5606">
        <w:t xml:space="preserve"> </w:t>
      </w:r>
      <w:r>
        <w:t xml:space="preserve">[i.e. </w:t>
      </w:r>
      <w:r w:rsidRPr="009C5606">
        <w:t>AAS</w:t>
      </w:r>
      <w:r>
        <w:t>]</w:t>
      </w:r>
      <w:r w:rsidRPr="009C5606">
        <w:t xml:space="preserve"> and any other requirements prescribed by the rules</w:t>
      </w:r>
      <w:r>
        <w:t>”</w:t>
      </w:r>
      <w:r w:rsidRPr="009C5606">
        <w:t>.</w:t>
      </w:r>
    </w:p>
    <w:p w:rsidR="00A5629B" w:rsidRDefault="00A5629B" w:rsidP="00DB53CC"/>
    <w:p w:rsidR="00DB53CC" w:rsidRPr="009C5606" w:rsidRDefault="00DB53CC" w:rsidP="00DB53CC">
      <w:r>
        <w:t>This rule prescribes the requirements that reporting entities must comply with in preparing their annual financial statements</w:t>
      </w:r>
      <w:r w:rsidRPr="009C5606">
        <w:t xml:space="preserve"> so as to present </w:t>
      </w:r>
      <w:r>
        <w:t>fairly the entity’s financial position, financial performance and cash flows</w:t>
      </w:r>
      <w:r w:rsidRPr="009C5606">
        <w:t>.</w:t>
      </w:r>
    </w:p>
    <w:p w:rsidR="00DB53CC" w:rsidRDefault="00DB53CC" w:rsidP="0045091E">
      <w:pPr>
        <w:rPr>
          <w:b/>
          <w:lang w:val="en-AU"/>
        </w:rPr>
      </w:pPr>
    </w:p>
    <w:p w:rsidR="0045091E" w:rsidRPr="0084224A" w:rsidRDefault="0045091E" w:rsidP="00C7369A">
      <w:pPr>
        <w:pStyle w:val="Heading3"/>
        <w:rPr>
          <w:rFonts w:eastAsia="Times New Roman"/>
          <w:lang w:val="en-AU" w:bidi="ar-SA"/>
        </w:rPr>
      </w:pPr>
      <w:r w:rsidRPr="0084224A">
        <w:rPr>
          <w:rFonts w:eastAsia="Times New Roman"/>
          <w:lang w:val="en-AU" w:bidi="ar-SA"/>
        </w:rPr>
        <w:t xml:space="preserve">Section 8 — Departmental and administered: classification and reporting </w:t>
      </w:r>
    </w:p>
    <w:p w:rsidR="00DB53CC" w:rsidRPr="009C5606" w:rsidRDefault="00DB53CC" w:rsidP="00DB53CC">
      <w:r w:rsidRPr="009C5606">
        <w:t>The purpose of this section is to state that this rule applies to both departmental and administered reporting.</w:t>
      </w:r>
    </w:p>
    <w:p w:rsidR="0045091E" w:rsidRDefault="0045091E" w:rsidP="0045091E">
      <w:pPr>
        <w:rPr>
          <w:b/>
          <w:lang w:val="en-AU"/>
        </w:rPr>
      </w:pPr>
    </w:p>
    <w:p w:rsidR="0045091E" w:rsidRPr="0084224A" w:rsidRDefault="0045091E" w:rsidP="00C7369A">
      <w:pPr>
        <w:pStyle w:val="Heading3"/>
        <w:rPr>
          <w:rFonts w:eastAsia="Times New Roman"/>
          <w:lang w:val="en-AU" w:bidi="ar-SA"/>
        </w:rPr>
      </w:pPr>
      <w:r w:rsidRPr="0084224A">
        <w:rPr>
          <w:rFonts w:eastAsia="Times New Roman"/>
          <w:lang w:val="en-AU" w:bidi="ar-SA"/>
        </w:rPr>
        <w:t xml:space="preserve">Section 9 — Administered reporting </w:t>
      </w:r>
    </w:p>
    <w:p w:rsidR="000A445B" w:rsidRPr="009C5606" w:rsidRDefault="000A445B" w:rsidP="000A445B">
      <w:r w:rsidRPr="009C5606">
        <w:t>The purpose of this section is to set out the reporting and disclosure requirements for administered items.</w:t>
      </w:r>
      <w:r w:rsidR="005615FE">
        <w:t xml:space="preserve"> </w:t>
      </w:r>
      <w:r w:rsidRPr="009C5606">
        <w:t xml:space="preserve">In accordance with AASB 1050 </w:t>
      </w:r>
      <w:r w:rsidRPr="009C5606">
        <w:rPr>
          <w:i/>
        </w:rPr>
        <w:t>Administered Items</w:t>
      </w:r>
      <w:r w:rsidRPr="009C5606">
        <w:t xml:space="preserve">, reporting entities need to disclose all outcomes and activities that the department does not control but where they administer those activities on behalf of the Government. </w:t>
      </w:r>
    </w:p>
    <w:p w:rsidR="00A5629B" w:rsidRDefault="00A5629B" w:rsidP="000A445B"/>
    <w:p w:rsidR="00A5629B" w:rsidRDefault="000A445B" w:rsidP="000A445B">
      <w:r w:rsidRPr="009C5606">
        <w:t xml:space="preserve">Administered items refer to items that the reporting entity does not control but administers on behalf of the Government. Examples of administered items include taxes, subsidies, grants and personal benefits payments. </w:t>
      </w:r>
    </w:p>
    <w:p w:rsidR="0045091E" w:rsidRDefault="0045091E" w:rsidP="0045091E">
      <w:pPr>
        <w:spacing w:after="200" w:line="276" w:lineRule="auto"/>
      </w:pPr>
    </w:p>
    <w:p w:rsidR="0045091E" w:rsidRPr="0084224A" w:rsidRDefault="0045091E" w:rsidP="00C7369A">
      <w:pPr>
        <w:pStyle w:val="Heading3"/>
        <w:rPr>
          <w:rFonts w:eastAsia="Times New Roman"/>
          <w:lang w:val="en-AU" w:bidi="ar-SA"/>
        </w:rPr>
      </w:pPr>
      <w:r w:rsidRPr="0084224A">
        <w:rPr>
          <w:rFonts w:eastAsia="Times New Roman"/>
          <w:lang w:val="en-AU" w:bidi="ar-SA"/>
        </w:rPr>
        <w:t xml:space="preserve">Section 10 — </w:t>
      </w:r>
      <w:r w:rsidR="00FC0606" w:rsidRPr="0084224A">
        <w:rPr>
          <w:rFonts w:eastAsia="Times New Roman"/>
          <w:lang w:val="en-AU" w:bidi="ar-SA"/>
        </w:rPr>
        <w:t>Certificates and assurance</w:t>
      </w:r>
      <w:r w:rsidRPr="0084224A">
        <w:rPr>
          <w:rFonts w:eastAsia="Times New Roman"/>
          <w:lang w:val="en-AU" w:bidi="ar-SA"/>
        </w:rPr>
        <w:t xml:space="preserve"> </w:t>
      </w:r>
    </w:p>
    <w:p w:rsidR="000A445B" w:rsidRPr="009C5606" w:rsidRDefault="000A445B" w:rsidP="000A445B">
      <w:r w:rsidRPr="009C5606">
        <w:t>The purpose of this section is to set out what official signed assurances must be submitted</w:t>
      </w:r>
      <w:r>
        <w:t xml:space="preserve"> or attached</w:t>
      </w:r>
      <w:r w:rsidRPr="009C5606">
        <w:t xml:space="preserve"> with </w:t>
      </w:r>
      <w:r>
        <w:t>a reporting</w:t>
      </w:r>
      <w:r w:rsidRPr="009C5606">
        <w:t xml:space="preserve"> entity’s financial statements.</w:t>
      </w:r>
    </w:p>
    <w:p w:rsidR="00A5629B" w:rsidRDefault="00A5629B" w:rsidP="000A445B"/>
    <w:p w:rsidR="000A445B" w:rsidRPr="009C5606" w:rsidRDefault="000A445B" w:rsidP="000A445B">
      <w:r w:rsidRPr="009C5606">
        <w:lastRenderedPageBreak/>
        <w:t xml:space="preserve">These assurances include a signed audit report and a signed statement by the accountable authority and the </w:t>
      </w:r>
      <w:r>
        <w:t>Chief Financial/Finance Officer (</w:t>
      </w:r>
      <w:r w:rsidRPr="009C5606">
        <w:t>CFO</w:t>
      </w:r>
      <w:r>
        <w:t>)</w:t>
      </w:r>
      <w:r w:rsidRPr="009C5606">
        <w:t xml:space="preserve"> (or</w:t>
      </w:r>
      <w:r>
        <w:t xml:space="preserve"> equivalent,</w:t>
      </w:r>
      <w:r w:rsidRPr="009C5606">
        <w:t xml:space="preserve"> whomever is responsible for the preparation of the financial statements) of the entity. </w:t>
      </w:r>
    </w:p>
    <w:p w:rsidR="00A5629B" w:rsidRDefault="00A5629B" w:rsidP="000A445B"/>
    <w:p w:rsidR="0045091E" w:rsidRPr="00C21504" w:rsidRDefault="0045091E" w:rsidP="00C7369A">
      <w:pPr>
        <w:pStyle w:val="Heading3"/>
        <w:rPr>
          <w:rFonts w:eastAsia="Times New Roman"/>
          <w:lang w:val="en-AU" w:bidi="ar-SA"/>
        </w:rPr>
      </w:pPr>
      <w:r w:rsidRPr="00C21504">
        <w:rPr>
          <w:rFonts w:eastAsia="Times New Roman"/>
          <w:lang w:val="en-AU" w:bidi="ar-SA"/>
        </w:rPr>
        <w:t>Section </w:t>
      </w:r>
      <w:r w:rsidR="00FC0606" w:rsidRPr="00C21504">
        <w:rPr>
          <w:rFonts w:eastAsia="Times New Roman"/>
          <w:lang w:val="en-AU" w:bidi="ar-SA"/>
        </w:rPr>
        <w:t xml:space="preserve">11 </w:t>
      </w:r>
      <w:r w:rsidRPr="00C21504">
        <w:rPr>
          <w:rFonts w:eastAsia="Times New Roman"/>
          <w:lang w:val="en-AU" w:bidi="ar-SA"/>
        </w:rPr>
        <w:t xml:space="preserve">— </w:t>
      </w:r>
      <w:r w:rsidR="00FC0606" w:rsidRPr="00C21504">
        <w:rPr>
          <w:rFonts w:eastAsia="Times New Roman"/>
          <w:lang w:val="en-AU" w:bidi="ar-SA"/>
        </w:rPr>
        <w:t>Exemptions from requirements in this rule</w:t>
      </w:r>
      <w:r w:rsidRPr="00C21504">
        <w:rPr>
          <w:rFonts w:eastAsia="Times New Roman"/>
          <w:lang w:val="en-AU" w:bidi="ar-SA"/>
        </w:rPr>
        <w:t xml:space="preserve"> </w:t>
      </w:r>
    </w:p>
    <w:p w:rsidR="000A445B" w:rsidRPr="009C5606" w:rsidRDefault="000A445B" w:rsidP="000A445B">
      <w:r w:rsidRPr="009C5606">
        <w:t>The purpose of this section is to set out how reporting entities may be granted an exemption from</w:t>
      </w:r>
      <w:r>
        <w:t xml:space="preserve"> specific requirements within</w:t>
      </w:r>
      <w:r w:rsidRPr="009C5606">
        <w:t xml:space="preserve"> this rule when producing their financial statements and what requirements go with any exemption.</w:t>
      </w:r>
    </w:p>
    <w:p w:rsidR="00A5629B" w:rsidRPr="0045091E" w:rsidRDefault="00A5629B" w:rsidP="0045091E">
      <w:pPr>
        <w:spacing w:after="200" w:line="276" w:lineRule="auto"/>
      </w:pPr>
    </w:p>
    <w:p w:rsidR="00FC0606" w:rsidRPr="001B3CE6" w:rsidRDefault="00FC0606" w:rsidP="00C7369A">
      <w:pPr>
        <w:pStyle w:val="Heading1"/>
        <w:rPr>
          <w:rFonts w:eastAsia="Times New Roman"/>
          <w:u w:val="single"/>
          <w:lang w:val="en-AU" w:bidi="ar-SA"/>
        </w:rPr>
      </w:pPr>
      <w:r w:rsidRPr="001B3CE6">
        <w:rPr>
          <w:rFonts w:eastAsia="Times New Roman"/>
          <w:u w:val="single"/>
          <w:lang w:val="en-AU" w:bidi="ar-SA"/>
        </w:rPr>
        <w:t>Part 3 – Consistency of treatment – restricting choice available under the AAS</w:t>
      </w:r>
    </w:p>
    <w:p w:rsidR="000A445B" w:rsidRPr="009C5606" w:rsidRDefault="000A445B" w:rsidP="000A445B">
      <w:r w:rsidRPr="009C5606">
        <w:t xml:space="preserve">The purpose of this </w:t>
      </w:r>
      <w:r>
        <w:t>Part</w:t>
      </w:r>
      <w:r w:rsidRPr="009C5606">
        <w:t xml:space="preserve"> is to provide consistency in financial reporting across all </w:t>
      </w:r>
      <w:r>
        <w:t xml:space="preserve">reporting </w:t>
      </w:r>
      <w:r w:rsidRPr="009C5606">
        <w:t xml:space="preserve">entities.  </w:t>
      </w:r>
    </w:p>
    <w:p w:rsidR="004E1521" w:rsidRDefault="004E1521" w:rsidP="000A445B"/>
    <w:p w:rsidR="000A445B" w:rsidRDefault="000A445B" w:rsidP="000A445B">
      <w:pPr>
        <w:rPr>
          <w:b/>
          <w:lang w:val="en-AU"/>
        </w:rPr>
      </w:pPr>
      <w:r w:rsidRPr="009C5606">
        <w:t xml:space="preserve">Some AAS offer choices of accounting treatment. </w:t>
      </w:r>
      <w:r w:rsidR="007F16A0">
        <w:t xml:space="preserve">To enable </w:t>
      </w:r>
      <w:r w:rsidR="007F16A0" w:rsidRPr="009C5606">
        <w:t>a consistent approach in financial reporting across the Commonwealth</w:t>
      </w:r>
      <w:r w:rsidR="007F16A0">
        <w:t>, t</w:t>
      </w:r>
      <w:r w:rsidRPr="009C5606">
        <w:t xml:space="preserve">his </w:t>
      </w:r>
      <w:r>
        <w:t>Part</w:t>
      </w:r>
      <w:r w:rsidRPr="009C5606">
        <w:t xml:space="preserve"> restrict</w:t>
      </w:r>
      <w:r w:rsidR="00DF3B63">
        <w:t>s</w:t>
      </w:r>
      <w:r w:rsidRPr="009C5606">
        <w:t xml:space="preserve"> the choice of accounting treatments available for Commonwealth entities under certain AAS</w:t>
      </w:r>
      <w:r w:rsidR="00A5629B">
        <w:t xml:space="preserve"> listed below</w:t>
      </w:r>
      <w:r w:rsidRPr="009C5606">
        <w:t xml:space="preserve"> and prescribes the accounting treatment to be applied for those standards</w:t>
      </w:r>
      <w:r w:rsidR="007F16A0">
        <w:t>:</w:t>
      </w:r>
    </w:p>
    <w:p w:rsidR="000A445B" w:rsidRDefault="000A445B" w:rsidP="00FC0606">
      <w:pPr>
        <w:rPr>
          <w:b/>
          <w:lang w:val="en-AU"/>
        </w:rPr>
      </w:pPr>
    </w:p>
    <w:p w:rsidR="00FC0606" w:rsidRPr="004E1521" w:rsidRDefault="00FC0606" w:rsidP="004E1521">
      <w:pPr>
        <w:pStyle w:val="ListParagraph"/>
        <w:numPr>
          <w:ilvl w:val="0"/>
          <w:numId w:val="39"/>
        </w:numPr>
        <w:spacing w:after="200" w:line="276" w:lineRule="auto"/>
        <w:rPr>
          <w:lang w:val="en-AU"/>
        </w:rPr>
      </w:pPr>
      <w:r w:rsidRPr="004E1521">
        <w:rPr>
          <w:lang w:val="en-AU"/>
        </w:rPr>
        <w:t xml:space="preserve">AASB 101 </w:t>
      </w:r>
      <w:r w:rsidRPr="004E1521">
        <w:rPr>
          <w:i/>
          <w:lang w:val="en-AU"/>
        </w:rPr>
        <w:t>Presentation of Financial Statements</w:t>
      </w:r>
    </w:p>
    <w:p w:rsidR="004E1521" w:rsidRPr="004E1521" w:rsidRDefault="00FC0606" w:rsidP="004E1521">
      <w:pPr>
        <w:pStyle w:val="ListParagraph"/>
        <w:numPr>
          <w:ilvl w:val="0"/>
          <w:numId w:val="39"/>
        </w:numPr>
        <w:spacing w:after="200" w:line="276" w:lineRule="auto"/>
        <w:rPr>
          <w:lang w:val="en-AU"/>
        </w:rPr>
      </w:pPr>
      <w:r w:rsidRPr="004E1521">
        <w:rPr>
          <w:lang w:val="en-AU"/>
        </w:rPr>
        <w:t xml:space="preserve">AASB 107 </w:t>
      </w:r>
      <w:r w:rsidRPr="004E1521">
        <w:rPr>
          <w:i/>
          <w:lang w:val="en-AU"/>
        </w:rPr>
        <w:t>Statement of Cash Flows</w:t>
      </w:r>
      <w:r w:rsidRPr="004E1521">
        <w:rPr>
          <w:lang w:val="en-AU"/>
        </w:rPr>
        <w:t xml:space="preserve"> </w:t>
      </w:r>
    </w:p>
    <w:p w:rsidR="00FC0606" w:rsidRPr="004E1521" w:rsidRDefault="00FC0606" w:rsidP="004E1521">
      <w:pPr>
        <w:pStyle w:val="ListParagraph"/>
        <w:numPr>
          <w:ilvl w:val="0"/>
          <w:numId w:val="39"/>
        </w:numPr>
        <w:spacing w:after="200" w:line="276" w:lineRule="auto"/>
      </w:pPr>
      <w:r w:rsidRPr="004E1521">
        <w:t xml:space="preserve">AASB 120 </w:t>
      </w:r>
      <w:r w:rsidRPr="004E1521">
        <w:rPr>
          <w:i/>
        </w:rPr>
        <w:t>Accounting for Government Grants and Disclosure of Government Assistance</w:t>
      </w:r>
    </w:p>
    <w:p w:rsidR="00FC0606" w:rsidRPr="004E1521" w:rsidRDefault="00FC0606" w:rsidP="004E1521">
      <w:pPr>
        <w:pStyle w:val="ListParagraph"/>
        <w:keepNext/>
        <w:numPr>
          <w:ilvl w:val="0"/>
          <w:numId w:val="39"/>
        </w:numPr>
        <w:spacing w:after="200" w:line="276" w:lineRule="auto"/>
      </w:pPr>
      <w:r w:rsidRPr="004E1521">
        <w:t xml:space="preserve">AASB 123 </w:t>
      </w:r>
      <w:r w:rsidRPr="004E1521">
        <w:rPr>
          <w:i/>
        </w:rPr>
        <w:t>Borrowing Costs</w:t>
      </w:r>
      <w:r w:rsidRPr="004E1521">
        <w:t xml:space="preserve"> </w:t>
      </w:r>
    </w:p>
    <w:p w:rsidR="00FC0606" w:rsidRPr="004E1521" w:rsidRDefault="00FC0606" w:rsidP="004E1521">
      <w:pPr>
        <w:pStyle w:val="ListParagraph"/>
        <w:numPr>
          <w:ilvl w:val="0"/>
          <w:numId w:val="39"/>
        </w:numPr>
        <w:spacing w:after="200" w:line="276" w:lineRule="auto"/>
      </w:pPr>
      <w:r w:rsidRPr="004E1521">
        <w:t xml:space="preserve">Financial instruments (AASB 7 </w:t>
      </w:r>
      <w:r w:rsidRPr="004E1521">
        <w:rPr>
          <w:i/>
        </w:rPr>
        <w:t>Financial Instruments: Disclosures</w:t>
      </w:r>
      <w:r w:rsidRPr="004E1521">
        <w:t xml:space="preserve">, AASB 132 </w:t>
      </w:r>
      <w:r w:rsidRPr="004E1521">
        <w:rPr>
          <w:i/>
        </w:rPr>
        <w:t>Financial Instruments: Presentation</w:t>
      </w:r>
      <w:r w:rsidRPr="004E1521">
        <w:t xml:space="preserve"> and AASB 139 </w:t>
      </w:r>
      <w:r w:rsidRPr="004E1521">
        <w:rPr>
          <w:i/>
        </w:rPr>
        <w:t>Financial Instruments: Recognition and Measurement</w:t>
      </w:r>
      <w:r w:rsidRPr="004E1521">
        <w:t>)</w:t>
      </w:r>
    </w:p>
    <w:p w:rsidR="00FC0606" w:rsidRPr="004E1521" w:rsidRDefault="00FC0606" w:rsidP="004E1521">
      <w:pPr>
        <w:pStyle w:val="ListParagraph"/>
        <w:numPr>
          <w:ilvl w:val="0"/>
          <w:numId w:val="39"/>
        </w:numPr>
        <w:spacing w:after="200" w:line="276" w:lineRule="auto"/>
      </w:pPr>
      <w:r w:rsidRPr="004E1521">
        <w:t xml:space="preserve">Valuation of non-financial assets (AASB 116 </w:t>
      </w:r>
      <w:r w:rsidRPr="004E1521">
        <w:rPr>
          <w:i/>
        </w:rPr>
        <w:t>Property, Plant and Equipment</w:t>
      </w:r>
      <w:r w:rsidRPr="004E1521">
        <w:t xml:space="preserve">, AASB 138 </w:t>
      </w:r>
      <w:r w:rsidRPr="004E1521">
        <w:rPr>
          <w:i/>
        </w:rPr>
        <w:t>Intangible Assets</w:t>
      </w:r>
      <w:r w:rsidRPr="004E1521">
        <w:t xml:space="preserve"> or AASB 140 </w:t>
      </w:r>
      <w:r w:rsidRPr="004E1521">
        <w:rPr>
          <w:i/>
        </w:rPr>
        <w:t>Investment Property</w:t>
      </w:r>
      <w:r w:rsidRPr="004E1521">
        <w:t>)</w:t>
      </w:r>
    </w:p>
    <w:p w:rsidR="00FC0606" w:rsidRPr="004E1521" w:rsidRDefault="00FC0606" w:rsidP="004E1521">
      <w:pPr>
        <w:pStyle w:val="ListParagraph"/>
        <w:numPr>
          <w:ilvl w:val="0"/>
          <w:numId w:val="39"/>
        </w:numPr>
        <w:spacing w:after="200" w:line="276" w:lineRule="auto"/>
        <w:jc w:val="both"/>
      </w:pPr>
      <w:r w:rsidRPr="004E1521">
        <w:t xml:space="preserve">AASB 1053 </w:t>
      </w:r>
      <w:r w:rsidRPr="004E1521">
        <w:rPr>
          <w:i/>
        </w:rPr>
        <w:t>Application of Tiers of Australian Accounting Standards</w:t>
      </w:r>
    </w:p>
    <w:p w:rsidR="00FA342C" w:rsidRPr="0045091E" w:rsidRDefault="00FA342C" w:rsidP="0045091E">
      <w:pPr>
        <w:spacing w:after="200" w:line="276" w:lineRule="auto"/>
      </w:pPr>
    </w:p>
    <w:p w:rsidR="00FC0606" w:rsidRPr="001B3CE6" w:rsidRDefault="00FC0606" w:rsidP="00C7369A">
      <w:pPr>
        <w:pStyle w:val="Heading1"/>
        <w:rPr>
          <w:rFonts w:eastAsia="Times New Roman"/>
          <w:u w:val="single"/>
          <w:lang w:val="en-AU" w:bidi="ar-SA"/>
        </w:rPr>
      </w:pPr>
      <w:r w:rsidRPr="001B3CE6">
        <w:rPr>
          <w:rFonts w:eastAsia="Times New Roman"/>
          <w:u w:val="single"/>
          <w:lang w:val="en-AU" w:bidi="ar-SA"/>
        </w:rPr>
        <w:t>Part 4 – Interpretation and application of the AAS for the public sector</w:t>
      </w:r>
    </w:p>
    <w:p w:rsidR="00FA342C" w:rsidRPr="009C5606" w:rsidRDefault="00FA342C" w:rsidP="00FA342C">
      <w:r w:rsidRPr="00A5629B">
        <w:t>The purpose</w:t>
      </w:r>
      <w:r w:rsidRPr="009C5606">
        <w:t xml:space="preserve"> of this </w:t>
      </w:r>
      <w:r>
        <w:t>Part</w:t>
      </w:r>
      <w:r w:rsidRPr="009C5606">
        <w:t xml:space="preserve"> is to provide consistency in financial reporting across all </w:t>
      </w:r>
      <w:r>
        <w:t xml:space="preserve">reporting </w:t>
      </w:r>
      <w:r w:rsidRPr="009C5606">
        <w:t>entities</w:t>
      </w:r>
      <w:r w:rsidR="005615FE">
        <w:t xml:space="preserve"> including how </w:t>
      </w:r>
      <w:r>
        <w:t>reporting</w:t>
      </w:r>
      <w:r w:rsidRPr="009C5606">
        <w:t xml:space="preserve"> entities </w:t>
      </w:r>
      <w:r w:rsidR="005615FE">
        <w:t xml:space="preserve">should </w:t>
      </w:r>
      <w:r w:rsidRPr="009C5606">
        <w:t xml:space="preserve">interpret the AAS for public sector application. This will </w:t>
      </w:r>
      <w:r w:rsidR="005615FE">
        <w:t>assist in the preparation consolidated financial statements.</w:t>
      </w:r>
      <w:r w:rsidRPr="009C5606">
        <w:t xml:space="preserve"> </w:t>
      </w:r>
    </w:p>
    <w:p w:rsidR="00FA342C" w:rsidRDefault="00FA342C" w:rsidP="00FC0606">
      <w:pPr>
        <w:spacing w:after="200" w:line="276" w:lineRule="auto"/>
        <w:rPr>
          <w:b/>
          <w:lang w:val="en-AU"/>
        </w:rPr>
      </w:pPr>
    </w:p>
    <w:p w:rsidR="00651072" w:rsidRPr="0084224A" w:rsidRDefault="00FC0606" w:rsidP="00C7369A">
      <w:pPr>
        <w:pStyle w:val="Heading3"/>
        <w:rPr>
          <w:rFonts w:eastAsia="Times New Roman"/>
          <w:lang w:val="en-AU" w:bidi="ar-SA"/>
        </w:rPr>
      </w:pPr>
      <w:r w:rsidRPr="0084224A">
        <w:rPr>
          <w:rFonts w:eastAsia="Times New Roman"/>
          <w:lang w:val="en-AU" w:bidi="ar-SA"/>
        </w:rPr>
        <w:t>Section </w:t>
      </w:r>
      <w:r w:rsidR="00651072" w:rsidRPr="0084224A">
        <w:rPr>
          <w:rFonts w:eastAsia="Times New Roman"/>
          <w:lang w:val="en-AU" w:bidi="ar-SA"/>
        </w:rPr>
        <w:t>24</w:t>
      </w:r>
      <w:r w:rsidRPr="0084224A">
        <w:rPr>
          <w:rFonts w:eastAsia="Times New Roman"/>
          <w:lang w:val="en-AU" w:bidi="ar-SA"/>
        </w:rPr>
        <w:t xml:space="preserve"> — </w:t>
      </w:r>
      <w:r w:rsidR="00651072" w:rsidRPr="0084224A">
        <w:rPr>
          <w:rFonts w:eastAsia="Times New Roman"/>
          <w:lang w:val="en-AU" w:bidi="ar-SA"/>
        </w:rPr>
        <w:t>Employee benefits</w:t>
      </w:r>
    </w:p>
    <w:p w:rsidR="00FA342C" w:rsidRPr="009C5606" w:rsidRDefault="00FA342C" w:rsidP="00FA342C">
      <w:r w:rsidRPr="009C5606">
        <w:t xml:space="preserve">The purpose of this section is to establish consistent requirements for </w:t>
      </w:r>
      <w:r>
        <w:t xml:space="preserve">reporting </w:t>
      </w:r>
      <w:r w:rsidRPr="009C5606">
        <w:t>entities when calculating and reporting their employee benefits</w:t>
      </w:r>
      <w:r w:rsidR="00D911A8">
        <w:t>.</w:t>
      </w:r>
    </w:p>
    <w:p w:rsidR="00FC0606" w:rsidRDefault="00FC0606" w:rsidP="00FC0606">
      <w:pPr>
        <w:spacing w:after="200" w:line="276" w:lineRule="auto"/>
        <w:rPr>
          <w:lang w:val="en-AU"/>
        </w:rPr>
      </w:pPr>
    </w:p>
    <w:p w:rsidR="00651072" w:rsidRPr="0084224A" w:rsidRDefault="00FC0606" w:rsidP="00C7369A">
      <w:pPr>
        <w:pStyle w:val="Heading3"/>
        <w:rPr>
          <w:rFonts w:eastAsia="Times New Roman"/>
          <w:lang w:val="en-AU" w:bidi="ar-SA"/>
        </w:rPr>
      </w:pPr>
      <w:r w:rsidRPr="0084224A">
        <w:rPr>
          <w:rFonts w:eastAsia="Times New Roman"/>
          <w:lang w:val="en-AU" w:bidi="ar-SA"/>
        </w:rPr>
        <w:lastRenderedPageBreak/>
        <w:t>Section </w:t>
      </w:r>
      <w:r w:rsidR="00651072" w:rsidRPr="0084224A">
        <w:rPr>
          <w:rFonts w:eastAsia="Times New Roman"/>
          <w:lang w:val="en-AU" w:bidi="ar-SA"/>
        </w:rPr>
        <w:t xml:space="preserve">25 </w:t>
      </w:r>
      <w:r w:rsidRPr="0084224A">
        <w:rPr>
          <w:rFonts w:eastAsia="Times New Roman"/>
          <w:lang w:val="en-AU" w:bidi="ar-SA"/>
        </w:rPr>
        <w:t xml:space="preserve">— </w:t>
      </w:r>
      <w:r w:rsidR="00651072" w:rsidRPr="0084224A">
        <w:rPr>
          <w:rFonts w:eastAsia="Times New Roman"/>
          <w:lang w:val="en-AU" w:bidi="ar-SA"/>
        </w:rPr>
        <w:t>Measurement and disclosure of post employment plans</w:t>
      </w:r>
    </w:p>
    <w:p w:rsidR="00FA342C" w:rsidRPr="009C5606" w:rsidRDefault="00FA342C" w:rsidP="00FA342C">
      <w:r w:rsidRPr="009C5606">
        <w:t xml:space="preserve">The purpose of this section is to specify the reporting requirements for superannuation or similar obligations.  </w:t>
      </w:r>
    </w:p>
    <w:p w:rsidR="008441C2" w:rsidRDefault="008441C2" w:rsidP="00FC0606">
      <w:pPr>
        <w:spacing w:after="200" w:line="276" w:lineRule="auto"/>
        <w:rPr>
          <w:lang w:val="en-AU"/>
        </w:rPr>
      </w:pPr>
    </w:p>
    <w:p w:rsidR="00FC0606" w:rsidRPr="0084224A" w:rsidRDefault="00FC0606" w:rsidP="00C7369A">
      <w:pPr>
        <w:pStyle w:val="Heading3"/>
        <w:rPr>
          <w:rFonts w:eastAsia="Times New Roman"/>
          <w:lang w:val="en-AU" w:bidi="ar-SA"/>
        </w:rPr>
      </w:pPr>
      <w:r w:rsidRPr="0084224A">
        <w:rPr>
          <w:rFonts w:eastAsia="Times New Roman"/>
          <w:lang w:val="en-AU" w:bidi="ar-SA"/>
        </w:rPr>
        <w:t>Section </w:t>
      </w:r>
      <w:r w:rsidR="00651072" w:rsidRPr="0084224A">
        <w:rPr>
          <w:rFonts w:eastAsia="Times New Roman"/>
          <w:lang w:val="en-AU" w:bidi="ar-SA"/>
        </w:rPr>
        <w:t>26</w:t>
      </w:r>
      <w:r w:rsidRPr="0084224A">
        <w:rPr>
          <w:rFonts w:eastAsia="Times New Roman"/>
          <w:lang w:val="en-AU" w:bidi="ar-SA"/>
        </w:rPr>
        <w:t xml:space="preserve"> — </w:t>
      </w:r>
      <w:r w:rsidR="00651072" w:rsidRPr="0084224A">
        <w:rPr>
          <w:rFonts w:eastAsia="Times New Roman"/>
          <w:lang w:val="en-AU" w:bidi="ar-SA"/>
        </w:rPr>
        <w:t>Restructures of administrative arrangements</w:t>
      </w:r>
    </w:p>
    <w:p w:rsidR="00FA342C" w:rsidRPr="009C5606" w:rsidRDefault="00FA342C" w:rsidP="00FA342C">
      <w:r w:rsidRPr="009C5606">
        <w:t>The purpose of this section is to set out the reporting and disclosure requirements for when a restructure of administrative arrangements has occurred.</w:t>
      </w:r>
      <w:r w:rsidR="00D911A8">
        <w:t xml:space="preserve"> R</w:t>
      </w:r>
      <w:r w:rsidR="00D911A8" w:rsidRPr="009C5606">
        <w:t>eporting entities need to report on the change in structure of the entity</w:t>
      </w:r>
      <w:r w:rsidR="00D911A8">
        <w:t xml:space="preserve"> when </w:t>
      </w:r>
      <w:r w:rsidRPr="009C5606">
        <w:t xml:space="preserve">the Government changes the functions, outcomes and activities </w:t>
      </w:r>
      <w:r w:rsidR="00D911A8">
        <w:t>of a reporting entity.</w:t>
      </w:r>
    </w:p>
    <w:p w:rsidR="00FC0606" w:rsidRDefault="00FC0606" w:rsidP="00FC0606">
      <w:pPr>
        <w:spacing w:after="200" w:line="276" w:lineRule="auto"/>
        <w:rPr>
          <w:lang w:val="en-AU"/>
        </w:rPr>
      </w:pPr>
    </w:p>
    <w:p w:rsidR="00651072" w:rsidRPr="0084224A" w:rsidRDefault="00FC0606" w:rsidP="00C7369A">
      <w:pPr>
        <w:pStyle w:val="Heading3"/>
        <w:rPr>
          <w:rFonts w:eastAsia="Times New Roman"/>
          <w:lang w:val="en-AU" w:bidi="ar-SA"/>
        </w:rPr>
      </w:pPr>
      <w:r w:rsidRPr="0084224A">
        <w:rPr>
          <w:rFonts w:eastAsia="Times New Roman"/>
          <w:lang w:val="en-AU" w:bidi="ar-SA"/>
        </w:rPr>
        <w:t>Section </w:t>
      </w:r>
      <w:r w:rsidR="00651072" w:rsidRPr="0084224A">
        <w:rPr>
          <w:rFonts w:eastAsia="Times New Roman"/>
          <w:lang w:val="en-AU" w:bidi="ar-SA"/>
        </w:rPr>
        <w:t>27</w:t>
      </w:r>
      <w:r w:rsidRPr="0084224A">
        <w:rPr>
          <w:rFonts w:eastAsia="Times New Roman"/>
          <w:lang w:val="en-AU" w:bidi="ar-SA"/>
        </w:rPr>
        <w:t xml:space="preserve"> — </w:t>
      </w:r>
      <w:r w:rsidR="00651072" w:rsidRPr="0084224A">
        <w:rPr>
          <w:rFonts w:eastAsia="Times New Roman"/>
          <w:lang w:val="en-AU" w:bidi="ar-SA"/>
        </w:rPr>
        <w:t>Senior management personnel</w:t>
      </w:r>
      <w:r w:rsidR="00DF3B63">
        <w:rPr>
          <w:rFonts w:eastAsia="Times New Roman"/>
          <w:lang w:val="en-AU" w:bidi="ar-SA"/>
        </w:rPr>
        <w:t xml:space="preserve"> remuneration</w:t>
      </w:r>
    </w:p>
    <w:p w:rsidR="00FA342C" w:rsidRDefault="00FA342C" w:rsidP="00FA342C">
      <w:r w:rsidRPr="009C5606">
        <w:t xml:space="preserve">The purpose of this section is to set out minimum requirements for </w:t>
      </w:r>
      <w:r>
        <w:t xml:space="preserve">reporting </w:t>
      </w:r>
      <w:r w:rsidRPr="009C5606">
        <w:t xml:space="preserve">entities financial reporting disclosures for senior </w:t>
      </w:r>
      <w:r w:rsidR="00DF3B63">
        <w:t xml:space="preserve">management personnel </w:t>
      </w:r>
      <w:r w:rsidRPr="009C5606">
        <w:t>remuneration.</w:t>
      </w:r>
      <w:r w:rsidR="00D911A8">
        <w:t xml:space="preserve"> </w:t>
      </w:r>
      <w:r w:rsidRPr="009C5606">
        <w:t xml:space="preserve">The intention is to report the cost to the Commonwealth of employing </w:t>
      </w:r>
      <w:r>
        <w:t>senior</w:t>
      </w:r>
      <w:r w:rsidRPr="009C5606">
        <w:t xml:space="preserve"> management personnel for the reporting period, </w:t>
      </w:r>
      <w:r w:rsidR="00FE47E9">
        <w:t xml:space="preserve">but not </w:t>
      </w:r>
      <w:r w:rsidRPr="009C5606">
        <w:t>reporting the individual benefits received by those persons.</w:t>
      </w:r>
    </w:p>
    <w:p w:rsidR="00087D7A" w:rsidRPr="009C5606" w:rsidRDefault="00087D7A" w:rsidP="00FA342C"/>
    <w:p w:rsidR="00651072" w:rsidRPr="001B3CE6" w:rsidRDefault="00651072" w:rsidP="00C7369A">
      <w:pPr>
        <w:pStyle w:val="Heading1"/>
        <w:rPr>
          <w:rFonts w:eastAsia="Times New Roman"/>
          <w:u w:val="single"/>
          <w:lang w:val="en-AU" w:bidi="ar-SA"/>
        </w:rPr>
      </w:pPr>
      <w:r w:rsidRPr="001B3CE6">
        <w:rPr>
          <w:rFonts w:eastAsia="Times New Roman"/>
          <w:u w:val="single"/>
          <w:lang w:val="en-AU" w:bidi="ar-SA"/>
        </w:rPr>
        <w:t>Part 5 – Additional disclosure required by Government</w:t>
      </w:r>
    </w:p>
    <w:p w:rsidR="00FA342C" w:rsidRPr="009C5606" w:rsidRDefault="00FA342C" w:rsidP="00FA342C">
      <w:r w:rsidRPr="009C5606">
        <w:t xml:space="preserve">The purpose of this </w:t>
      </w:r>
      <w:r>
        <w:t>Part</w:t>
      </w:r>
      <w:r w:rsidRPr="009C5606">
        <w:t xml:space="preserve"> is to set out all financial reporting </w:t>
      </w:r>
      <w:r>
        <w:t xml:space="preserve">and disclosure </w:t>
      </w:r>
      <w:r w:rsidRPr="009C5606">
        <w:t xml:space="preserve">requirements for reporting entities that are required by Government to satisfy accountability and transparency requirements. </w:t>
      </w:r>
    </w:p>
    <w:p w:rsidR="00FA342C" w:rsidRDefault="00FA342C" w:rsidP="00651072">
      <w:pPr>
        <w:spacing w:after="200" w:line="276" w:lineRule="auto"/>
        <w:jc w:val="both"/>
        <w:rPr>
          <w:b/>
          <w:lang w:val="en-AU"/>
        </w:rPr>
      </w:pPr>
    </w:p>
    <w:p w:rsidR="00651072" w:rsidRPr="0084224A" w:rsidRDefault="00651072" w:rsidP="00C7369A">
      <w:pPr>
        <w:pStyle w:val="Heading3"/>
        <w:rPr>
          <w:rFonts w:eastAsia="Times New Roman"/>
          <w:lang w:val="en-AU" w:bidi="ar-SA"/>
        </w:rPr>
      </w:pPr>
      <w:r w:rsidRPr="0084224A">
        <w:rPr>
          <w:rFonts w:eastAsia="Times New Roman"/>
          <w:lang w:val="en-AU" w:bidi="ar-SA"/>
        </w:rPr>
        <w:t>Section 28 — Commitments</w:t>
      </w:r>
    </w:p>
    <w:p w:rsidR="00FA342C" w:rsidRPr="009C5606" w:rsidRDefault="00FA342C" w:rsidP="00FA342C">
      <w:r w:rsidRPr="009C5606">
        <w:t>The purpose of this section is to set out the reporting and disclosure requirements for commitments, that is, future agreements the reporting entity has the intention of entering into (for example future contracts that will involve future outflows from, or inflows to, the entity).</w:t>
      </w:r>
    </w:p>
    <w:p w:rsidR="0045091E" w:rsidRDefault="0045091E" w:rsidP="0045091E">
      <w:pPr>
        <w:spacing w:after="200" w:line="276" w:lineRule="auto"/>
      </w:pPr>
    </w:p>
    <w:p w:rsidR="00651072" w:rsidRPr="0084224A" w:rsidRDefault="00651072" w:rsidP="00C7369A">
      <w:pPr>
        <w:pStyle w:val="Heading3"/>
        <w:rPr>
          <w:rFonts w:eastAsia="Times New Roman"/>
          <w:lang w:val="en-AU" w:bidi="ar-SA"/>
        </w:rPr>
      </w:pPr>
      <w:r w:rsidRPr="0084224A">
        <w:rPr>
          <w:rFonts w:eastAsia="Times New Roman"/>
          <w:lang w:val="en-AU" w:bidi="ar-SA"/>
        </w:rPr>
        <w:t>Section 29 — Contingencies</w:t>
      </w:r>
    </w:p>
    <w:p w:rsidR="00FA342C" w:rsidRPr="009C5606" w:rsidRDefault="00FA342C" w:rsidP="00FA342C">
      <w:r w:rsidRPr="009C5606">
        <w:t xml:space="preserve">The purpose of this section is to set out additional reporting requirements for contingent assets and liabilities beyond the disclosures required in AASB 137 </w:t>
      </w:r>
      <w:r w:rsidRPr="009C5606">
        <w:rPr>
          <w:i/>
        </w:rPr>
        <w:t>Provisions, Contingent Liabilities and Contingent Assets</w:t>
      </w:r>
      <w:r w:rsidRPr="009C5606">
        <w:t>.</w:t>
      </w:r>
    </w:p>
    <w:p w:rsidR="00651072" w:rsidRDefault="00651072" w:rsidP="00651072">
      <w:pPr>
        <w:spacing w:after="200" w:line="276" w:lineRule="auto"/>
        <w:rPr>
          <w:lang w:val="en-AU"/>
        </w:rPr>
      </w:pPr>
    </w:p>
    <w:p w:rsidR="00651072" w:rsidRPr="0084224A" w:rsidRDefault="00651072" w:rsidP="00C7369A">
      <w:pPr>
        <w:pStyle w:val="Heading3"/>
        <w:rPr>
          <w:rFonts w:eastAsia="Times New Roman"/>
          <w:lang w:val="en-AU" w:bidi="ar-SA"/>
        </w:rPr>
      </w:pPr>
      <w:r w:rsidRPr="0084224A">
        <w:rPr>
          <w:rFonts w:eastAsia="Times New Roman"/>
          <w:lang w:val="en-AU" w:bidi="ar-SA"/>
        </w:rPr>
        <w:t>Section 30 — Heritage and cultural assets</w:t>
      </w:r>
    </w:p>
    <w:p w:rsidR="008441C2" w:rsidRPr="009C5606" w:rsidRDefault="008441C2" w:rsidP="008441C2">
      <w:r w:rsidRPr="009C5606">
        <w:t>The purpose of this section is to set out the disclosure requirements for reporting entities that have control o</w:t>
      </w:r>
      <w:r w:rsidR="00D911A8">
        <w:t xml:space="preserve">f heritage and cultural assets. </w:t>
      </w:r>
      <w:r w:rsidRPr="009C5606">
        <w:t xml:space="preserve">These assets are of national significance and </w:t>
      </w:r>
      <w:r w:rsidR="009E749D">
        <w:t>r</w:t>
      </w:r>
      <w:r w:rsidRPr="009C5606">
        <w:t>equire additional disclosure on how they are being managed and maintained by the Government for the national interest.</w:t>
      </w:r>
    </w:p>
    <w:p w:rsidR="00FA342C" w:rsidRDefault="00FA342C" w:rsidP="00651072">
      <w:pPr>
        <w:spacing w:after="200" w:line="276" w:lineRule="auto"/>
        <w:rPr>
          <w:lang w:val="en-AU"/>
        </w:rPr>
      </w:pPr>
    </w:p>
    <w:p w:rsidR="00651072" w:rsidRPr="0084224A" w:rsidRDefault="00651072" w:rsidP="00C7369A">
      <w:pPr>
        <w:pStyle w:val="Heading3"/>
        <w:rPr>
          <w:rFonts w:eastAsia="Times New Roman"/>
          <w:lang w:val="en-AU" w:bidi="ar-SA"/>
        </w:rPr>
      </w:pPr>
      <w:r w:rsidRPr="0084224A">
        <w:rPr>
          <w:rFonts w:eastAsia="Times New Roman"/>
          <w:lang w:val="en-AU" w:bidi="ar-SA"/>
        </w:rPr>
        <w:t>Section 31 — Assets held in trust</w:t>
      </w:r>
    </w:p>
    <w:p w:rsidR="00FA342C" w:rsidRPr="006834E4" w:rsidRDefault="00FA342C" w:rsidP="00FA342C">
      <w:r w:rsidRPr="009C5606">
        <w:t>The purpose of this section is to set out the disclosure requirements for assets held in trust by the reporting entity.</w:t>
      </w:r>
      <w:r w:rsidR="00D911A8">
        <w:t xml:space="preserve"> </w:t>
      </w:r>
      <w:r>
        <w:t>Assets held in trust are money and property that are not held on account of the Australian Government or for the use or benefit of the Australian Government</w:t>
      </w:r>
      <w:r w:rsidRPr="00637BE9">
        <w:t xml:space="preserve">. These funds are held by the Australian Government in a trustee capacity and are generally subject to </w:t>
      </w:r>
      <w:r w:rsidRPr="00637BE9">
        <w:lastRenderedPageBreak/>
        <w:t>trust law.</w:t>
      </w:r>
      <w:r>
        <w:t xml:space="preserve"> </w:t>
      </w:r>
      <w:r w:rsidR="00D911A8">
        <w:t>D</w:t>
      </w:r>
      <w:r w:rsidRPr="006834E4">
        <w:t xml:space="preserve">isclosure is required to discharge the Government’s accountability for these assets. </w:t>
      </w:r>
    </w:p>
    <w:p w:rsidR="00FA342C" w:rsidRDefault="00FA342C" w:rsidP="00651072">
      <w:pPr>
        <w:spacing w:after="200" w:line="276" w:lineRule="auto"/>
        <w:rPr>
          <w:lang w:val="en-AU"/>
        </w:rPr>
      </w:pPr>
    </w:p>
    <w:p w:rsidR="00651072" w:rsidRPr="0084224A" w:rsidRDefault="00651072" w:rsidP="00C7369A">
      <w:pPr>
        <w:pStyle w:val="Heading3"/>
        <w:rPr>
          <w:rFonts w:eastAsia="Times New Roman"/>
          <w:lang w:val="en-AU" w:bidi="ar-SA"/>
        </w:rPr>
      </w:pPr>
      <w:r w:rsidRPr="0084224A">
        <w:rPr>
          <w:rFonts w:eastAsia="Times New Roman"/>
          <w:lang w:val="en-AU" w:bidi="ar-SA"/>
        </w:rPr>
        <w:t>Section 32 — Administered investments</w:t>
      </w:r>
    </w:p>
    <w:p w:rsidR="00FA342C" w:rsidRPr="009C5606" w:rsidRDefault="00FA342C" w:rsidP="00FA342C">
      <w:r w:rsidRPr="009C5606">
        <w:t xml:space="preserve">The purpose of this section is to set out the accounting requirements for administered investments </w:t>
      </w:r>
      <w:r w:rsidR="00D911A8">
        <w:t xml:space="preserve">(eg. </w:t>
      </w:r>
      <w:r w:rsidR="00D911A8" w:rsidRPr="009C5606">
        <w:t xml:space="preserve">an interest by the Australian Government in a subsidiary, associate, joint arrangement or entity that is reported in the financial statements of a </w:t>
      </w:r>
      <w:r w:rsidR="00D911A8">
        <w:t xml:space="preserve">reporting </w:t>
      </w:r>
      <w:r w:rsidR="00D911A8" w:rsidRPr="009C5606">
        <w:t>entity</w:t>
      </w:r>
      <w:r w:rsidR="00D911A8">
        <w:t xml:space="preserve">) </w:t>
      </w:r>
      <w:r w:rsidRPr="009C5606">
        <w:t>held on behalf of the Commonwealth.</w:t>
      </w:r>
    </w:p>
    <w:p w:rsidR="00651072" w:rsidRDefault="00651072" w:rsidP="00651072">
      <w:pPr>
        <w:spacing w:after="200" w:line="276" w:lineRule="auto"/>
        <w:rPr>
          <w:lang w:val="en-AU"/>
        </w:rPr>
      </w:pPr>
    </w:p>
    <w:p w:rsidR="00CE099A" w:rsidRPr="0084224A" w:rsidRDefault="00651072" w:rsidP="00C7369A">
      <w:pPr>
        <w:pStyle w:val="Heading3"/>
        <w:rPr>
          <w:rFonts w:eastAsia="Times New Roman"/>
          <w:lang w:val="en-AU" w:bidi="ar-SA"/>
        </w:rPr>
      </w:pPr>
      <w:r w:rsidRPr="0084224A">
        <w:rPr>
          <w:rFonts w:eastAsia="Times New Roman"/>
          <w:lang w:val="en-AU" w:bidi="ar-SA"/>
        </w:rPr>
        <w:t xml:space="preserve">Section 33 — </w:t>
      </w:r>
      <w:r w:rsidR="00CE099A" w:rsidRPr="0084224A">
        <w:rPr>
          <w:rFonts w:eastAsia="Times New Roman"/>
          <w:lang w:val="en-AU" w:bidi="ar-SA"/>
        </w:rPr>
        <w:t>Administered investments held for sale</w:t>
      </w:r>
    </w:p>
    <w:p w:rsidR="00FA342C" w:rsidRPr="009C5606" w:rsidRDefault="00FA342C" w:rsidP="00FA342C">
      <w:r w:rsidRPr="009C5606">
        <w:t>The purpose of this section is to set out the accounting requirements for administered investments held for sale on behalf of the Commonwealth.</w:t>
      </w:r>
    </w:p>
    <w:p w:rsidR="00651072" w:rsidRDefault="00651072" w:rsidP="00651072">
      <w:pPr>
        <w:spacing w:after="200" w:line="276" w:lineRule="auto"/>
        <w:rPr>
          <w:lang w:val="en-AU"/>
        </w:rPr>
      </w:pPr>
    </w:p>
    <w:p w:rsidR="00CE099A" w:rsidRPr="0084224A" w:rsidRDefault="00651072" w:rsidP="00C7369A">
      <w:pPr>
        <w:pStyle w:val="Heading3"/>
        <w:rPr>
          <w:rFonts w:eastAsia="Times New Roman"/>
          <w:lang w:val="en-AU" w:bidi="ar-SA"/>
        </w:rPr>
      </w:pPr>
      <w:r w:rsidRPr="0084224A">
        <w:rPr>
          <w:rFonts w:eastAsia="Times New Roman"/>
          <w:lang w:val="en-AU" w:bidi="ar-SA"/>
        </w:rPr>
        <w:t xml:space="preserve">Section 34 — </w:t>
      </w:r>
      <w:r w:rsidR="00CE099A" w:rsidRPr="0084224A">
        <w:rPr>
          <w:rFonts w:eastAsia="Times New Roman"/>
          <w:lang w:val="en-AU" w:bidi="ar-SA"/>
        </w:rPr>
        <w:t xml:space="preserve">Reporting of outcomes </w:t>
      </w:r>
    </w:p>
    <w:p w:rsidR="00FA342C" w:rsidRPr="009C5606" w:rsidRDefault="00FA342C" w:rsidP="00FA342C">
      <w:r w:rsidRPr="009C5606">
        <w:t xml:space="preserve">The purpose of this section is to specify how reporting entities are to discharge their accountability in reporting their objectives and activities as per AASB 1052 </w:t>
      </w:r>
      <w:r w:rsidRPr="009C5606">
        <w:rPr>
          <w:i/>
        </w:rPr>
        <w:t>Disaggregated Disclosures</w:t>
      </w:r>
      <w:r w:rsidRPr="009C5606">
        <w:t>.</w:t>
      </w:r>
    </w:p>
    <w:p w:rsidR="00A61B38" w:rsidRPr="0045091E" w:rsidRDefault="00A61B38" w:rsidP="0045091E">
      <w:pPr>
        <w:spacing w:after="200" w:line="276" w:lineRule="auto"/>
      </w:pPr>
    </w:p>
    <w:p w:rsidR="00CE099A" w:rsidRPr="001B3CE6" w:rsidRDefault="00CE099A" w:rsidP="00C7369A">
      <w:pPr>
        <w:pStyle w:val="Heading1"/>
        <w:rPr>
          <w:rFonts w:eastAsia="Times New Roman"/>
          <w:u w:val="single"/>
          <w:lang w:val="en-AU" w:bidi="ar-SA"/>
        </w:rPr>
      </w:pPr>
      <w:r w:rsidRPr="001B3CE6">
        <w:rPr>
          <w:rFonts w:eastAsia="Times New Roman"/>
          <w:u w:val="single"/>
          <w:lang w:val="en-AU" w:bidi="ar-SA"/>
        </w:rPr>
        <w:t>Part 6 – Accounting and reporting for appropriations</w:t>
      </w:r>
    </w:p>
    <w:p w:rsidR="00CE099A" w:rsidRPr="0084224A" w:rsidRDefault="00CE099A" w:rsidP="00C7369A">
      <w:pPr>
        <w:pStyle w:val="Heading2"/>
        <w:rPr>
          <w:rFonts w:eastAsia="Times New Roman"/>
          <w:lang w:val="en-AU" w:bidi="ar-SA"/>
        </w:rPr>
      </w:pPr>
      <w:r w:rsidRPr="0084224A">
        <w:rPr>
          <w:rFonts w:eastAsia="Times New Roman"/>
          <w:lang w:val="en-AU" w:bidi="ar-SA"/>
        </w:rPr>
        <w:t>Division 1 — Guide to this Part</w:t>
      </w:r>
    </w:p>
    <w:p w:rsidR="00FA342C" w:rsidRPr="009C5606" w:rsidRDefault="00FA342C" w:rsidP="00FA342C">
      <w:r w:rsidRPr="009C5606">
        <w:t xml:space="preserve">The purpose of this </w:t>
      </w:r>
      <w:r>
        <w:t>Part</w:t>
      </w:r>
      <w:r w:rsidRPr="009C5606">
        <w:t xml:space="preserve"> is to set out how </w:t>
      </w:r>
      <w:r>
        <w:t xml:space="preserve">reporting </w:t>
      </w:r>
      <w:r w:rsidRPr="009C5606">
        <w:t>entities are to report appropriations in their financial statements.</w:t>
      </w:r>
    </w:p>
    <w:p w:rsidR="008441C2" w:rsidRDefault="008441C2" w:rsidP="00FA342C"/>
    <w:p w:rsidR="00FA342C" w:rsidRPr="009C5606" w:rsidRDefault="00FA342C" w:rsidP="00FA342C">
      <w:r w:rsidRPr="009C5606">
        <w:t>Appropriations are deemed to be material in nature for government financial reporting purposes as they are the legal instrument by which the Commonwealth provides funding to Commonwealth entities to undertake the outcomes and activities of the Government. As such to discharge its accountability requirements there is a need for adequate disclosure around all appropriation amounts available to Commonwealth entities.</w:t>
      </w:r>
    </w:p>
    <w:p w:rsidR="00FA342C" w:rsidRPr="00E677B6" w:rsidRDefault="00FA342C" w:rsidP="00CE099A">
      <w:pPr>
        <w:rPr>
          <w:b/>
        </w:rPr>
      </w:pPr>
    </w:p>
    <w:p w:rsidR="00CE099A" w:rsidRPr="00E677B6" w:rsidRDefault="00CE099A" w:rsidP="00C7369A">
      <w:pPr>
        <w:pStyle w:val="Heading2"/>
      </w:pPr>
      <w:r w:rsidRPr="008E60E1">
        <w:t xml:space="preserve">Division </w:t>
      </w:r>
      <w:r>
        <w:t xml:space="preserve">2 </w:t>
      </w:r>
      <w:r w:rsidRPr="008E60E1">
        <w:t>—</w:t>
      </w:r>
      <w:r>
        <w:t xml:space="preserve"> General requirements</w:t>
      </w:r>
    </w:p>
    <w:p w:rsidR="00677599" w:rsidRPr="008441C2" w:rsidRDefault="00677599" w:rsidP="00C7369A">
      <w:pPr>
        <w:pStyle w:val="Heading3"/>
        <w:rPr>
          <w:lang w:val="en-AU"/>
        </w:rPr>
      </w:pPr>
      <w:r w:rsidRPr="0084224A">
        <w:rPr>
          <w:rFonts w:eastAsia="Times New Roman"/>
          <w:lang w:val="en-AU" w:bidi="ar-SA"/>
        </w:rPr>
        <w:t>Section 36 — Quarantining of appropriations by the Department of Finance</w:t>
      </w:r>
    </w:p>
    <w:p w:rsidR="00FA342C" w:rsidRPr="009C5606" w:rsidRDefault="00FA342C" w:rsidP="00FA342C">
      <w:r w:rsidRPr="009C5606">
        <w:t>Th</w:t>
      </w:r>
      <w:r w:rsidR="00B106C1">
        <w:t xml:space="preserve">e purpose of this section is to </w:t>
      </w:r>
      <w:r w:rsidR="00116920">
        <w:t>advise</w:t>
      </w:r>
      <w:r w:rsidR="00B106C1">
        <w:t xml:space="preserve"> that appropriations quarantined by the Department of Finance do not result in a loss of control </w:t>
      </w:r>
      <w:r w:rsidR="00E56F33">
        <w:t xml:space="preserve">of the appropriation </w:t>
      </w:r>
      <w:r w:rsidR="00B106C1">
        <w:t>by an entity</w:t>
      </w:r>
      <w:r w:rsidR="00E56F33">
        <w:t>. Furthermore, this section states</w:t>
      </w:r>
      <w:r w:rsidR="00116920">
        <w:t xml:space="preserve"> that, under S</w:t>
      </w:r>
      <w:r>
        <w:t xml:space="preserve">ection 51 of the PGPA Act, the </w:t>
      </w:r>
      <w:r w:rsidRPr="009C5606">
        <w:t>Finance</w:t>
      </w:r>
      <w:r>
        <w:t xml:space="preserve"> Minister</w:t>
      </w:r>
      <w:r w:rsidRPr="009C5606">
        <w:t xml:space="preserve"> has the ability and power to quarantine available appropriations to Commonwealth entities</w:t>
      </w:r>
      <w:r>
        <w:t xml:space="preserve">. </w:t>
      </w:r>
    </w:p>
    <w:p w:rsidR="00677599" w:rsidRDefault="00677599" w:rsidP="0045091E">
      <w:pPr>
        <w:spacing w:after="200" w:line="276" w:lineRule="auto"/>
      </w:pPr>
    </w:p>
    <w:p w:rsidR="00677599" w:rsidRPr="0084224A" w:rsidRDefault="00677599" w:rsidP="00C7369A">
      <w:pPr>
        <w:pStyle w:val="Heading3"/>
        <w:rPr>
          <w:rFonts w:eastAsia="Times New Roman"/>
          <w:lang w:val="en-AU" w:bidi="ar-SA"/>
        </w:rPr>
      </w:pPr>
      <w:r w:rsidRPr="0084224A">
        <w:rPr>
          <w:rFonts w:eastAsia="Times New Roman"/>
          <w:lang w:val="en-AU" w:bidi="ar-SA"/>
        </w:rPr>
        <w:t>Section 37 — Adjustments to appropriations</w:t>
      </w:r>
    </w:p>
    <w:p w:rsidR="0002690A" w:rsidRPr="009C5606" w:rsidRDefault="0002690A" w:rsidP="0002690A">
      <w:r w:rsidRPr="009C5606">
        <w:t>The purpose of this section is to s</w:t>
      </w:r>
      <w:r w:rsidR="00116920">
        <w:t xml:space="preserve">pecify </w:t>
      </w:r>
      <w:r w:rsidRPr="009C5606">
        <w:t xml:space="preserve">different ways a legally appropriated amount to a </w:t>
      </w:r>
      <w:r>
        <w:t xml:space="preserve">reporting </w:t>
      </w:r>
      <w:r w:rsidRPr="009C5606">
        <w:t>entity can be adjusted in the reporting period</w:t>
      </w:r>
      <w:r w:rsidR="00116920">
        <w:t xml:space="preserve">. Adjustments </w:t>
      </w:r>
      <w:r w:rsidRPr="009C5606">
        <w:t xml:space="preserve">must be disclosed in relevant </w:t>
      </w:r>
      <w:r>
        <w:t>a</w:t>
      </w:r>
      <w:r w:rsidRPr="009C5606">
        <w:t xml:space="preserve">ppropriation disclosure note tables </w:t>
      </w:r>
      <w:r w:rsidR="00116920">
        <w:t xml:space="preserve">and be </w:t>
      </w:r>
      <w:r w:rsidRPr="009C5606">
        <w:t>correctly accounted for in the</w:t>
      </w:r>
      <w:r w:rsidR="00116920">
        <w:t xml:space="preserve"> </w:t>
      </w:r>
      <w:r w:rsidRPr="009C5606">
        <w:t>financial statements.</w:t>
      </w:r>
    </w:p>
    <w:p w:rsidR="00FA342C" w:rsidRDefault="00FA342C" w:rsidP="00677599">
      <w:pPr>
        <w:spacing w:after="200" w:line="276" w:lineRule="auto"/>
      </w:pPr>
    </w:p>
    <w:p w:rsidR="00677599" w:rsidRPr="00677599" w:rsidRDefault="00677599" w:rsidP="00C7369A">
      <w:pPr>
        <w:pStyle w:val="Heading2"/>
      </w:pPr>
      <w:r w:rsidRPr="00A61B38">
        <w:rPr>
          <w:lang w:val="en-AU"/>
        </w:rPr>
        <w:t>Division 3 — Departmental appropriations</w:t>
      </w:r>
      <w:r w:rsidRPr="00677599">
        <w:t xml:space="preserve"> </w:t>
      </w:r>
    </w:p>
    <w:p w:rsidR="0002690A" w:rsidRPr="009C5606" w:rsidRDefault="0002690A" w:rsidP="0002690A">
      <w:r w:rsidRPr="009C5606">
        <w:t xml:space="preserve">The purpose of this </w:t>
      </w:r>
      <w:r>
        <w:t>Division</w:t>
      </w:r>
      <w:r w:rsidRPr="009C5606">
        <w:t xml:space="preserve"> is to set out recognition and reporting</w:t>
      </w:r>
      <w:r w:rsidR="0037758C">
        <w:t xml:space="preserve"> </w:t>
      </w:r>
      <w:r w:rsidR="00E90D7B">
        <w:t>requirements</w:t>
      </w:r>
      <w:r w:rsidRPr="009C5606">
        <w:t xml:space="preserve"> for departmental appropriations.</w:t>
      </w:r>
      <w:r w:rsidR="007562AC">
        <w:t xml:space="preserve"> </w:t>
      </w:r>
      <w:r w:rsidRPr="009C5606">
        <w:t>Departmental appropriations are appropriations that the reporting entity has control over to spend for the ordinary operating costs of the entity and typically include salaries, accruing employee entitlements and operational expenditure such as the purchase of goods and services.</w:t>
      </w:r>
    </w:p>
    <w:p w:rsidR="0002690A" w:rsidRDefault="0002690A" w:rsidP="00677599">
      <w:pPr>
        <w:keepNext/>
        <w:spacing w:after="200" w:line="276" w:lineRule="auto"/>
        <w:jc w:val="both"/>
        <w:rPr>
          <w:b/>
          <w:lang w:val="en-AU"/>
        </w:rPr>
      </w:pPr>
    </w:p>
    <w:p w:rsidR="00677599" w:rsidRPr="0084224A" w:rsidRDefault="00677599" w:rsidP="00C7369A">
      <w:pPr>
        <w:pStyle w:val="Heading3"/>
        <w:rPr>
          <w:rFonts w:eastAsia="Times New Roman"/>
          <w:lang w:val="en-AU" w:bidi="ar-SA"/>
        </w:rPr>
      </w:pPr>
      <w:r w:rsidRPr="0084224A">
        <w:rPr>
          <w:rFonts w:eastAsia="Times New Roman"/>
          <w:lang w:val="en-AU" w:bidi="ar-SA"/>
        </w:rPr>
        <w:t>Section 39 — Equity returns and adjustments</w:t>
      </w:r>
    </w:p>
    <w:p w:rsidR="0002690A" w:rsidRDefault="0002690A" w:rsidP="0002690A">
      <w:r w:rsidRPr="009C5606">
        <w:t xml:space="preserve">The purpose of this </w:t>
      </w:r>
      <w:r>
        <w:t>section</w:t>
      </w:r>
      <w:r w:rsidRPr="009C5606">
        <w:t xml:space="preserve"> is to set out the required recognition and </w:t>
      </w:r>
      <w:r>
        <w:t>accounting</w:t>
      </w:r>
      <w:r w:rsidRPr="009C5606">
        <w:t xml:space="preserve"> for </w:t>
      </w:r>
      <w:r>
        <w:t xml:space="preserve">returns of </w:t>
      </w:r>
      <w:r w:rsidRPr="009C5606">
        <w:t xml:space="preserve">departmental </w:t>
      </w:r>
      <w:r>
        <w:t>equity</w:t>
      </w:r>
      <w:r w:rsidRPr="009C5606">
        <w:t>.</w:t>
      </w:r>
      <w:r w:rsidR="007562AC">
        <w:t xml:space="preserve"> </w:t>
      </w:r>
      <w:r>
        <w:t>Departmental equity includes surplus revenue received by the reporting entity in a previous reporting period that is now accounted for as equity (or net assets) of the entity in the current reporting period.</w:t>
      </w:r>
    </w:p>
    <w:p w:rsidR="0002690A" w:rsidRDefault="0002690A" w:rsidP="00677599">
      <w:pPr>
        <w:spacing w:after="200" w:line="276" w:lineRule="auto"/>
      </w:pPr>
    </w:p>
    <w:p w:rsidR="00677599" w:rsidRPr="0084224A" w:rsidRDefault="00677599" w:rsidP="00C7369A">
      <w:pPr>
        <w:pStyle w:val="Heading3"/>
        <w:rPr>
          <w:rFonts w:eastAsia="Times New Roman"/>
          <w:lang w:val="en-AU" w:bidi="ar-SA"/>
        </w:rPr>
      </w:pPr>
      <w:r w:rsidRPr="0084224A">
        <w:rPr>
          <w:rFonts w:eastAsia="Times New Roman"/>
          <w:lang w:val="en-AU" w:bidi="ar-SA"/>
        </w:rPr>
        <w:t>Section 40 — Formal additions or reductions</w:t>
      </w:r>
    </w:p>
    <w:p w:rsidR="0002690A" w:rsidRPr="009C5606" w:rsidRDefault="0002690A" w:rsidP="0002690A">
      <w:r w:rsidRPr="009C5606">
        <w:t>The purpose of this section is to establish what qualifies as a formal reduction or</w:t>
      </w:r>
      <w:r w:rsidR="00A61B38">
        <w:t xml:space="preserve"> addition to appropriation</w:t>
      </w:r>
      <w:r w:rsidR="00803887">
        <w:t xml:space="preserve"> revenue</w:t>
      </w:r>
      <w:r w:rsidR="00A61B38">
        <w:t xml:space="preserve">. </w:t>
      </w:r>
      <w:r w:rsidRPr="009C5606">
        <w:t>This is determined by an entity losing or gaining control of an appropriation during the reporting period.</w:t>
      </w:r>
    </w:p>
    <w:p w:rsidR="00A61B38" w:rsidRDefault="00A61B38" w:rsidP="0002690A"/>
    <w:p w:rsidR="0002690A" w:rsidRPr="009C5606" w:rsidRDefault="0002690A" w:rsidP="0002690A">
      <w:r w:rsidRPr="009C5606">
        <w:t xml:space="preserve">Reporting entities have to report all appropriations recognised in the reporting period in their primary financial statements. Reporting entities also have to disclose actual appropriations received and applied in the reporting period in the appropriation disclosure notes.  </w:t>
      </w:r>
    </w:p>
    <w:p w:rsidR="00677599" w:rsidRDefault="00677599" w:rsidP="00677599">
      <w:pPr>
        <w:spacing w:after="200" w:line="276" w:lineRule="auto"/>
      </w:pPr>
    </w:p>
    <w:p w:rsidR="00677599" w:rsidRPr="00E5564C" w:rsidRDefault="00677599" w:rsidP="00C7369A">
      <w:pPr>
        <w:pStyle w:val="Heading2"/>
        <w:rPr>
          <w:rFonts w:eastAsia="Times New Roman"/>
          <w:lang w:val="en-AU" w:bidi="ar-SA"/>
        </w:rPr>
      </w:pPr>
      <w:r w:rsidRPr="00E5564C">
        <w:rPr>
          <w:rFonts w:eastAsia="Times New Roman"/>
          <w:lang w:val="en-AU" w:bidi="ar-SA"/>
        </w:rPr>
        <w:t xml:space="preserve">Division 4 — Administered appropriations </w:t>
      </w:r>
    </w:p>
    <w:p w:rsidR="0002690A" w:rsidRPr="009C5606" w:rsidRDefault="0002690A" w:rsidP="0002690A">
      <w:r w:rsidRPr="009C5606">
        <w:t xml:space="preserve">The purpose of this </w:t>
      </w:r>
      <w:r>
        <w:t>Division</w:t>
      </w:r>
      <w:r w:rsidRPr="009C5606">
        <w:t xml:space="preserve"> is to outline the required recognition and reporting for administered appropriations.</w:t>
      </w:r>
      <w:r w:rsidR="007562AC">
        <w:t xml:space="preserve"> </w:t>
      </w:r>
      <w:r w:rsidRPr="009C5606">
        <w:t>Administered appropriations are for items over which the entity does not have control and is managing on behalf of the Commonwealth. These administered expenses are generally controlled by legislation or government policy and include items such as grants, subsidies and personal benefits</w:t>
      </w:r>
      <w:r w:rsidR="007562AC">
        <w:t>.</w:t>
      </w:r>
    </w:p>
    <w:p w:rsidR="0002690A" w:rsidRDefault="0002690A" w:rsidP="00677599">
      <w:pPr>
        <w:keepNext/>
        <w:spacing w:after="200" w:line="276" w:lineRule="auto"/>
        <w:jc w:val="both"/>
        <w:rPr>
          <w:b/>
          <w:lang w:val="en-AU"/>
        </w:rPr>
      </w:pPr>
    </w:p>
    <w:p w:rsidR="001E7D08" w:rsidRPr="0084224A" w:rsidRDefault="00677599" w:rsidP="00C7369A">
      <w:pPr>
        <w:pStyle w:val="Heading3"/>
        <w:rPr>
          <w:rFonts w:eastAsia="Times New Roman"/>
          <w:lang w:val="en-AU" w:bidi="ar-SA"/>
        </w:rPr>
      </w:pPr>
      <w:r w:rsidRPr="0084224A">
        <w:rPr>
          <w:rFonts w:eastAsia="Times New Roman"/>
          <w:lang w:val="en-AU" w:bidi="ar-SA"/>
        </w:rPr>
        <w:t xml:space="preserve">Section 42 — </w:t>
      </w:r>
      <w:r w:rsidR="001E7D08" w:rsidRPr="0084224A">
        <w:rPr>
          <w:rFonts w:eastAsia="Times New Roman"/>
          <w:lang w:val="en-AU" w:bidi="ar-SA"/>
        </w:rPr>
        <w:t xml:space="preserve">Payments to corporate Commonwealth entities </w:t>
      </w:r>
    </w:p>
    <w:p w:rsidR="0002690A" w:rsidRDefault="0002690A" w:rsidP="0002690A">
      <w:r w:rsidRPr="009C5606">
        <w:t xml:space="preserve">The purpose of this section is to set out the reporting and disclosure requirements for appropriations received by non-corporate </w:t>
      </w:r>
      <w:r>
        <w:t xml:space="preserve">Commonwealth </w:t>
      </w:r>
      <w:r w:rsidRPr="009C5606">
        <w:t xml:space="preserve">entities on behalf of, and to be paid to, corporate </w:t>
      </w:r>
      <w:r>
        <w:t xml:space="preserve">Commonwealth </w:t>
      </w:r>
      <w:r w:rsidRPr="009C5606">
        <w:t>entities</w:t>
      </w:r>
      <w:r>
        <w:t>.</w:t>
      </w:r>
      <w:r w:rsidRPr="009C5606">
        <w:t xml:space="preserve"> </w:t>
      </w:r>
    </w:p>
    <w:p w:rsidR="007562AC" w:rsidRDefault="007562AC" w:rsidP="0002690A"/>
    <w:p w:rsidR="0002690A" w:rsidRDefault="00691DD2" w:rsidP="0002690A">
      <w:r>
        <w:t>A</w:t>
      </w:r>
      <w:r w:rsidR="0002690A">
        <w:t xml:space="preserve">ppropriations </w:t>
      </w:r>
      <w:r w:rsidR="000D7EA7">
        <w:t xml:space="preserve">may be </w:t>
      </w:r>
      <w:r w:rsidR="0002690A">
        <w:t xml:space="preserve">provided directly to </w:t>
      </w:r>
      <w:r w:rsidR="007562AC">
        <w:t xml:space="preserve">some </w:t>
      </w:r>
      <w:r w:rsidR="0002690A">
        <w:t>corporate Commonwealth entities</w:t>
      </w:r>
      <w:r>
        <w:t xml:space="preserve">. However, </w:t>
      </w:r>
      <w:r w:rsidR="007562AC">
        <w:t xml:space="preserve">other </w:t>
      </w:r>
      <w:r w:rsidR="0002690A">
        <w:t>c</w:t>
      </w:r>
      <w:r w:rsidR="0002690A" w:rsidRPr="009C5606">
        <w:t xml:space="preserve">orporate </w:t>
      </w:r>
      <w:r w:rsidR="0002690A">
        <w:t xml:space="preserve">Commonwealth </w:t>
      </w:r>
      <w:r w:rsidR="0002690A" w:rsidRPr="009C5606">
        <w:t xml:space="preserve">entities are not able to directly access the Consolidated Revenue Fund </w:t>
      </w:r>
      <w:r w:rsidR="00B5314F">
        <w:t xml:space="preserve">resulting in </w:t>
      </w:r>
      <w:r w:rsidR="0002690A" w:rsidRPr="009C5606">
        <w:t xml:space="preserve">any appropriations </w:t>
      </w:r>
      <w:r w:rsidR="00B5314F">
        <w:t xml:space="preserve">being </w:t>
      </w:r>
      <w:r w:rsidR="0002690A" w:rsidRPr="009C5606">
        <w:t xml:space="preserve">paid to the portfolio department of the corporate </w:t>
      </w:r>
      <w:r w:rsidR="0002690A">
        <w:t xml:space="preserve">Commonwealth </w:t>
      </w:r>
      <w:r w:rsidR="0002690A" w:rsidRPr="009C5606">
        <w:t xml:space="preserve">entity and then paid to the corporate </w:t>
      </w:r>
      <w:r w:rsidR="0002690A">
        <w:t xml:space="preserve">Commonwealth </w:t>
      </w:r>
      <w:r w:rsidR="0002690A" w:rsidRPr="009C5606">
        <w:t>entity.</w:t>
      </w:r>
    </w:p>
    <w:p w:rsidR="0002690A" w:rsidRPr="009C5606" w:rsidRDefault="0002690A" w:rsidP="0002690A"/>
    <w:p w:rsidR="001B3CE6" w:rsidRDefault="001B3CE6">
      <w:pPr>
        <w:spacing w:after="200" w:line="276" w:lineRule="auto"/>
      </w:pPr>
      <w:r>
        <w:br w:type="page"/>
      </w:r>
    </w:p>
    <w:p w:rsidR="001E7D08" w:rsidRPr="0084224A" w:rsidRDefault="001E7D08" w:rsidP="00C7369A">
      <w:pPr>
        <w:pStyle w:val="Heading2"/>
        <w:rPr>
          <w:rFonts w:eastAsia="Times New Roman"/>
          <w:lang w:val="en-AU" w:bidi="ar-SA"/>
        </w:rPr>
      </w:pPr>
      <w:r w:rsidRPr="0084224A">
        <w:rPr>
          <w:rFonts w:eastAsia="Times New Roman"/>
          <w:lang w:val="en-AU" w:bidi="ar-SA"/>
        </w:rPr>
        <w:lastRenderedPageBreak/>
        <w:t>Division 5 — Disclosure of Appropriations</w:t>
      </w:r>
    </w:p>
    <w:p w:rsidR="0002690A" w:rsidRDefault="0002690A" w:rsidP="000A40C1">
      <w:pPr>
        <w:rPr>
          <w:b/>
          <w:lang w:val="en-AU"/>
        </w:rPr>
      </w:pPr>
      <w:r w:rsidRPr="009C5606">
        <w:t xml:space="preserve">The purpose of this </w:t>
      </w:r>
      <w:r>
        <w:t>Division</w:t>
      </w:r>
      <w:r w:rsidRPr="009C5606">
        <w:t xml:space="preserve"> is to mandate what information is to be captured in Appropriations disclosure tables </w:t>
      </w:r>
      <w:r w:rsidR="000A40C1">
        <w:t>as listed below:</w:t>
      </w:r>
    </w:p>
    <w:p w:rsidR="001E7D08" w:rsidRPr="00E5564C" w:rsidRDefault="001E7D08" w:rsidP="00E5564C">
      <w:pPr>
        <w:pStyle w:val="ListParagraph"/>
        <w:numPr>
          <w:ilvl w:val="0"/>
          <w:numId w:val="39"/>
        </w:numPr>
        <w:spacing w:after="200" w:line="276" w:lineRule="auto"/>
        <w:rPr>
          <w:lang w:val="en-AU"/>
        </w:rPr>
      </w:pPr>
      <w:r w:rsidRPr="00E5564C">
        <w:rPr>
          <w:lang w:val="en-AU"/>
        </w:rPr>
        <w:t>Table A - Annual appropriations</w:t>
      </w:r>
    </w:p>
    <w:p w:rsidR="001E7D08" w:rsidRPr="00E5564C" w:rsidRDefault="001E7D08" w:rsidP="00E5564C">
      <w:pPr>
        <w:pStyle w:val="ListParagraph"/>
        <w:numPr>
          <w:ilvl w:val="0"/>
          <w:numId w:val="39"/>
        </w:numPr>
        <w:spacing w:after="200" w:line="276" w:lineRule="auto"/>
        <w:rPr>
          <w:lang w:val="en-AU"/>
        </w:rPr>
      </w:pPr>
      <w:r w:rsidRPr="00E5564C">
        <w:rPr>
          <w:lang w:val="en-AU"/>
        </w:rPr>
        <w:t>Table B - Departmental and administered capital budgets</w:t>
      </w:r>
    </w:p>
    <w:p w:rsidR="001E7D08" w:rsidRPr="00E5564C" w:rsidRDefault="001E7D08" w:rsidP="00E5564C">
      <w:pPr>
        <w:pStyle w:val="ListParagraph"/>
        <w:numPr>
          <w:ilvl w:val="0"/>
          <w:numId w:val="39"/>
        </w:numPr>
        <w:spacing w:after="200" w:line="276" w:lineRule="auto"/>
        <w:rPr>
          <w:lang w:val="en-AU"/>
        </w:rPr>
      </w:pPr>
      <w:r w:rsidRPr="00E5564C">
        <w:rPr>
          <w:lang w:val="en-AU"/>
        </w:rPr>
        <w:t>Table C - Unspent annual appropriations</w:t>
      </w:r>
    </w:p>
    <w:p w:rsidR="001E7D08" w:rsidRPr="00E5564C" w:rsidRDefault="001E7D08" w:rsidP="00E5564C">
      <w:pPr>
        <w:pStyle w:val="ListParagraph"/>
        <w:numPr>
          <w:ilvl w:val="0"/>
          <w:numId w:val="39"/>
        </w:numPr>
        <w:spacing w:after="200" w:line="276" w:lineRule="auto"/>
        <w:rPr>
          <w:lang w:val="en-AU"/>
        </w:rPr>
      </w:pPr>
      <w:r w:rsidRPr="00E5564C">
        <w:rPr>
          <w:lang w:val="en-AU"/>
        </w:rPr>
        <w:t>Table D - Special appropriations</w:t>
      </w:r>
    </w:p>
    <w:p w:rsidR="00A61B38" w:rsidRDefault="001E7D08" w:rsidP="00677599">
      <w:pPr>
        <w:pStyle w:val="ListParagraph"/>
        <w:numPr>
          <w:ilvl w:val="0"/>
          <w:numId w:val="39"/>
        </w:numPr>
        <w:spacing w:after="200" w:line="276" w:lineRule="auto"/>
        <w:rPr>
          <w:lang w:val="en-AU"/>
        </w:rPr>
      </w:pPr>
      <w:r w:rsidRPr="00E5564C">
        <w:rPr>
          <w:lang w:val="en-AU"/>
        </w:rPr>
        <w:t>Table E - Disclosures by agent in relation to annual and special appropriations</w:t>
      </w:r>
    </w:p>
    <w:p w:rsidR="0037758C" w:rsidRPr="0037758C" w:rsidRDefault="0037758C" w:rsidP="0037758C">
      <w:pPr>
        <w:spacing w:after="200" w:line="276" w:lineRule="auto"/>
        <w:rPr>
          <w:lang w:val="en-AU"/>
        </w:rPr>
      </w:pPr>
    </w:p>
    <w:p w:rsidR="001E7D08" w:rsidRPr="00E5564C" w:rsidRDefault="001E7D08" w:rsidP="00C7369A">
      <w:pPr>
        <w:pStyle w:val="Heading2"/>
        <w:rPr>
          <w:rFonts w:eastAsia="Times New Roman"/>
          <w:lang w:val="en-AU" w:bidi="ar-SA"/>
        </w:rPr>
      </w:pPr>
      <w:r w:rsidRPr="00E5564C">
        <w:rPr>
          <w:rFonts w:eastAsia="Times New Roman"/>
          <w:lang w:val="en-AU" w:bidi="ar-SA"/>
        </w:rPr>
        <w:t>Division 6 — Special accounts</w:t>
      </w:r>
    </w:p>
    <w:p w:rsidR="0002690A" w:rsidRPr="009C5606" w:rsidRDefault="0002690A" w:rsidP="0002690A">
      <w:r w:rsidRPr="009C5606">
        <w:t xml:space="preserve">The purpose of this </w:t>
      </w:r>
      <w:r>
        <w:t>Division</w:t>
      </w:r>
      <w:r w:rsidRPr="009C5606">
        <w:t xml:space="preserve"> is to s</w:t>
      </w:r>
      <w:r w:rsidR="007562AC">
        <w:t xml:space="preserve">pecify </w:t>
      </w:r>
      <w:r w:rsidRPr="009C5606">
        <w:t>the reporting and disclosure requirements for special accounts.</w:t>
      </w:r>
      <w:r w:rsidR="007562AC">
        <w:t xml:space="preserve"> </w:t>
      </w:r>
      <w:r w:rsidRPr="009C5606">
        <w:t>A special account is an appropriation mechanism that notionally sets aside an amount within the CRF to be e</w:t>
      </w:r>
      <w:r w:rsidR="007562AC">
        <w:t xml:space="preserve">xpended for specific purposes. </w:t>
      </w:r>
      <w:r w:rsidRPr="009C5606">
        <w:t>The type of appropriation provided by a special acco</w:t>
      </w:r>
      <w:r w:rsidR="007562AC">
        <w:t>unt is a special appropriation.</w:t>
      </w:r>
    </w:p>
    <w:p w:rsidR="0002690A" w:rsidRDefault="0002690A" w:rsidP="00A61B38"/>
    <w:p w:rsidR="0002690A" w:rsidRDefault="0002690A" w:rsidP="00A61B38"/>
    <w:p w:rsidR="00CA463A" w:rsidRDefault="00CA463A" w:rsidP="00677599">
      <w:pPr>
        <w:spacing w:after="200" w:line="276" w:lineRule="auto"/>
        <w:rPr>
          <w:rFonts w:asciiTheme="majorHAnsi" w:eastAsiaTheme="majorEastAsia" w:hAnsiTheme="majorHAnsi" w:cstheme="majorBidi"/>
          <w:b/>
          <w:bCs/>
          <w:sz w:val="26"/>
          <w:szCs w:val="26"/>
        </w:rPr>
      </w:pPr>
    </w:p>
    <w:p w:rsidR="00F460D9" w:rsidRDefault="00F460D9" w:rsidP="00677599">
      <w:pPr>
        <w:spacing w:after="200" w:line="276" w:lineRule="auto"/>
        <w:rPr>
          <w:rFonts w:asciiTheme="majorHAnsi" w:eastAsiaTheme="majorEastAsia" w:hAnsiTheme="majorHAnsi" w:cstheme="majorBidi"/>
          <w:b/>
          <w:bCs/>
          <w:sz w:val="26"/>
          <w:szCs w:val="26"/>
        </w:rPr>
        <w:sectPr w:rsidR="00F460D9" w:rsidSect="00CA463A">
          <w:headerReference w:type="default" r:id="rId11"/>
          <w:pgSz w:w="11906" w:h="16838"/>
          <w:pgMar w:top="1440" w:right="1440" w:bottom="1440" w:left="1440" w:header="708" w:footer="514" w:gutter="0"/>
          <w:pgNumType w:start="1"/>
          <w:cols w:space="708"/>
          <w:docGrid w:linePitch="360"/>
        </w:sectPr>
      </w:pPr>
    </w:p>
    <w:p w:rsidR="00F460D9" w:rsidRDefault="00F460D9" w:rsidP="008A4793">
      <w:pPr>
        <w:pStyle w:val="Heading2"/>
      </w:pPr>
    </w:p>
    <w:p w:rsidR="00245977" w:rsidRDefault="00167E2E">
      <w:pPr>
        <w:pStyle w:val="Heading2"/>
        <w:jc w:val="center"/>
      </w:pPr>
      <w:r w:rsidRPr="00BA0BF3">
        <w:t xml:space="preserve">Statement of </w:t>
      </w:r>
      <w:r w:rsidR="002E307D">
        <w:t>c</w:t>
      </w:r>
      <w:r w:rsidRPr="00BA0BF3">
        <w:t xml:space="preserve">ompatibility with </w:t>
      </w:r>
      <w:r w:rsidR="002E307D">
        <w:t>h</w:t>
      </w:r>
      <w:r w:rsidRPr="00BA0BF3">
        <w:t xml:space="preserve">uman </w:t>
      </w:r>
      <w:r w:rsidR="002E307D">
        <w:t>r</w:t>
      </w:r>
      <w:r w:rsidRPr="00BA0BF3">
        <w:t>ights</w:t>
      </w:r>
    </w:p>
    <w:p w:rsidR="0060095E" w:rsidRDefault="0060095E" w:rsidP="00D976E6"/>
    <w:p w:rsidR="0060095E" w:rsidRDefault="00167E2E" w:rsidP="0060095E">
      <w:pPr>
        <w:jc w:val="center"/>
      </w:pPr>
      <w:r w:rsidRPr="00BA0BF3">
        <w:t>Prepared in accordance with Part 3 of the</w:t>
      </w:r>
    </w:p>
    <w:p w:rsidR="003C49CD" w:rsidRDefault="00483AC7" w:rsidP="0060095E">
      <w:pPr>
        <w:jc w:val="center"/>
      </w:pPr>
      <w:r w:rsidRPr="00483AC7">
        <w:rPr>
          <w:i/>
        </w:rPr>
        <w:t>Human Rights (Parliamentary Scrutiny) Act 2011</w:t>
      </w:r>
      <w:r w:rsidR="0060095E">
        <w:rPr>
          <w:i/>
        </w:rPr>
        <w:t>, section 9</w:t>
      </w:r>
    </w:p>
    <w:p w:rsidR="009C481F" w:rsidRDefault="009C481F" w:rsidP="00D976E6"/>
    <w:p w:rsidR="0060095E" w:rsidRDefault="0060095E" w:rsidP="00D976E6">
      <w:pPr>
        <w:rPr>
          <w:b/>
          <w:i/>
        </w:rPr>
      </w:pPr>
    </w:p>
    <w:p w:rsidR="003C49CD" w:rsidRPr="00661056" w:rsidRDefault="008E60E1" w:rsidP="00D976E6">
      <w:pPr>
        <w:rPr>
          <w:b/>
          <w:i/>
          <w:lang w:val="en-AU"/>
        </w:rPr>
      </w:pPr>
      <w:r w:rsidRPr="008E60E1">
        <w:rPr>
          <w:b/>
          <w:i/>
        </w:rPr>
        <w:t xml:space="preserve">Public Governance, Performance and Accountability </w:t>
      </w:r>
      <w:r w:rsidR="0060095E">
        <w:rPr>
          <w:b/>
          <w:i/>
        </w:rPr>
        <w:t xml:space="preserve">(Financial Reporting) </w:t>
      </w:r>
      <w:r w:rsidRPr="008E60E1">
        <w:rPr>
          <w:b/>
          <w:i/>
        </w:rPr>
        <w:t>Rule 201</w:t>
      </w:r>
      <w:r w:rsidR="000E2A62">
        <w:rPr>
          <w:b/>
          <w:i/>
        </w:rPr>
        <w:t>5</w:t>
      </w:r>
    </w:p>
    <w:p w:rsidR="009C481F" w:rsidRDefault="009C481F" w:rsidP="00D976E6"/>
    <w:p w:rsidR="00E00E37" w:rsidRPr="00376EAF" w:rsidRDefault="00E00E37" w:rsidP="00D976E6">
      <w:pPr>
        <w:rPr>
          <w:i/>
          <w:vanish/>
          <w:specVanish/>
        </w:rPr>
      </w:pPr>
      <w:r>
        <w:t xml:space="preserve">The </w:t>
      </w:r>
      <w:r w:rsidRPr="00E00E37">
        <w:rPr>
          <w:i/>
        </w:rPr>
        <w:t xml:space="preserve">Public Governance, Performance and </w:t>
      </w:r>
      <w:r w:rsidRPr="0060095E">
        <w:rPr>
          <w:i/>
        </w:rPr>
        <w:t xml:space="preserve">Accountability </w:t>
      </w:r>
      <w:r w:rsidR="0060095E" w:rsidRPr="0060095E">
        <w:rPr>
          <w:i/>
        </w:rPr>
        <w:t>(Financial Reporting</w:t>
      </w:r>
      <w:r w:rsidR="0060095E">
        <w:rPr>
          <w:i/>
        </w:rPr>
        <w:t>)</w:t>
      </w:r>
      <w:r w:rsidR="0060095E" w:rsidRPr="0060095E">
        <w:rPr>
          <w:i/>
        </w:rPr>
        <w:t xml:space="preserve"> </w:t>
      </w:r>
      <w:r w:rsidR="0060095E">
        <w:rPr>
          <w:i/>
        </w:rPr>
        <w:t>R</w:t>
      </w:r>
      <w:r w:rsidRPr="0060095E">
        <w:rPr>
          <w:i/>
        </w:rPr>
        <w:t>ule</w:t>
      </w:r>
      <w:r w:rsidRPr="00E00E37">
        <w:rPr>
          <w:i/>
        </w:rPr>
        <w:t xml:space="preserve"> 201</w:t>
      </w:r>
      <w:r w:rsidR="000E2A62">
        <w:rPr>
          <w:i/>
        </w:rPr>
        <w:t>5</w:t>
      </w:r>
      <w:r>
        <w:t xml:space="preserve"> </w:t>
      </w:r>
      <w:r w:rsidR="0060095E">
        <w:t>(FR</w:t>
      </w:r>
      <w:r w:rsidR="000E2A62">
        <w:t>R</w:t>
      </w:r>
      <w:r w:rsidR="0092738C">
        <w:t xml:space="preserve">) </w:t>
      </w:r>
      <w:r>
        <w:t>is</w:t>
      </w:r>
      <w:r w:rsidRPr="00BA0BF3">
        <w:t xml:space="preserve"> compatible with the human rights and freedoms recognised or declared in the international instruments listed in section 3 of the </w:t>
      </w:r>
      <w:r w:rsidRPr="00BA0BF3">
        <w:rPr>
          <w:i/>
        </w:rPr>
        <w:t>Human Rights (Parliamentary Scrutiny) Act 2011.</w:t>
      </w:r>
    </w:p>
    <w:p w:rsidR="009C481F" w:rsidRPr="00BA0BF3" w:rsidRDefault="00376EAF" w:rsidP="00D976E6">
      <w:r>
        <w:t xml:space="preserve"> </w:t>
      </w:r>
    </w:p>
    <w:p w:rsidR="00BA0B6E" w:rsidRDefault="00BA0B6E" w:rsidP="00D976E6">
      <w:pPr>
        <w:rPr>
          <w:b/>
          <w:lang w:val="en-AU"/>
        </w:rPr>
      </w:pPr>
    </w:p>
    <w:p w:rsidR="0037758C" w:rsidRDefault="0037758C" w:rsidP="00D976E6">
      <w:pPr>
        <w:rPr>
          <w:b/>
          <w:lang w:val="en-AU"/>
        </w:rPr>
      </w:pPr>
    </w:p>
    <w:p w:rsidR="00E00E37" w:rsidRPr="00F70A7B" w:rsidRDefault="00661056"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Overview</w:t>
      </w:r>
      <w:r w:rsidR="008E60E1" w:rsidRPr="00F70A7B">
        <w:rPr>
          <w:rFonts w:eastAsia="Times New Roman"/>
          <w:b/>
          <w:bCs/>
          <w:lang w:val="en-AU" w:bidi="ar-SA"/>
        </w:rPr>
        <w:t xml:space="preserve"> of the legislative instrument</w:t>
      </w:r>
    </w:p>
    <w:p w:rsidR="00BA0B6E" w:rsidRDefault="00BA0B6E" w:rsidP="00BA0B6E">
      <w:pPr>
        <w:rPr>
          <w:lang w:val="en-AU"/>
        </w:rPr>
      </w:pPr>
      <w:r>
        <w:rPr>
          <w:lang w:val="en-AU"/>
        </w:rPr>
        <w:t>The FR</w:t>
      </w:r>
      <w:r w:rsidR="000E2A62">
        <w:rPr>
          <w:lang w:val="en-AU"/>
        </w:rPr>
        <w:t>R</w:t>
      </w:r>
      <w:r>
        <w:rPr>
          <w:lang w:val="en-AU"/>
        </w:rPr>
        <w:t xml:space="preserve"> applies to all Commonwealth reporting entities and sets out the financial reporting requirements for the preparation of financial statements. This provides a consistent financial reporting across the Commonwealth to facilitate comparison between entities’ financial statements and allows for the consolidation of Commonwealth reporting entity financial statements to prepare the Australian Government consolidated financial statements.</w:t>
      </w:r>
    </w:p>
    <w:p w:rsidR="00BA0B6E" w:rsidRPr="00BA0B6E" w:rsidRDefault="00BA0B6E" w:rsidP="00BA0B6E"/>
    <w:p w:rsidR="00C95AFC" w:rsidRDefault="00C95AFC" w:rsidP="00DD5F6E"/>
    <w:p w:rsidR="00167E2E" w:rsidRPr="00F70A7B" w:rsidRDefault="008E60E1"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Human rights implications</w:t>
      </w:r>
    </w:p>
    <w:p w:rsidR="00167E2E" w:rsidRPr="00BA0BF3" w:rsidRDefault="00167E2E" w:rsidP="00D976E6">
      <w:r w:rsidRPr="00BA0BF3">
        <w:t>Th</w:t>
      </w:r>
      <w:r w:rsidR="005503F7">
        <w:t>e</w:t>
      </w:r>
      <w:r w:rsidRPr="00BA0BF3">
        <w:t xml:space="preserve"> </w:t>
      </w:r>
      <w:r w:rsidR="0092738C">
        <w:t>l</w:t>
      </w:r>
      <w:r w:rsidRPr="00BA0BF3">
        <w:t xml:space="preserve">egislative </w:t>
      </w:r>
      <w:r w:rsidR="0092738C">
        <w:t>i</w:t>
      </w:r>
      <w:r w:rsidRPr="00BA0BF3">
        <w:t>nstrument do</w:t>
      </w:r>
      <w:r w:rsidR="005503F7">
        <w:t>es</w:t>
      </w:r>
      <w:r w:rsidRPr="00BA0BF3">
        <w:t xml:space="preserve"> not engage any of the applicable rights or freedoms.</w:t>
      </w:r>
    </w:p>
    <w:p w:rsidR="009C481F" w:rsidRDefault="009C481F" w:rsidP="00D976E6"/>
    <w:p w:rsidR="0037758C" w:rsidRDefault="0037758C" w:rsidP="00D976E6"/>
    <w:p w:rsidR="00167E2E" w:rsidRPr="00F70A7B" w:rsidRDefault="008E60E1" w:rsidP="00F70A7B">
      <w:pPr>
        <w:tabs>
          <w:tab w:val="left" w:pos="4536"/>
        </w:tabs>
        <w:spacing w:after="120" w:line="240" w:lineRule="atLeast"/>
        <w:rPr>
          <w:rFonts w:eastAsia="Times New Roman"/>
          <w:b/>
          <w:bCs/>
          <w:lang w:val="en-AU" w:bidi="ar-SA"/>
        </w:rPr>
      </w:pPr>
      <w:r w:rsidRPr="00F70A7B">
        <w:rPr>
          <w:rFonts w:eastAsia="Times New Roman"/>
          <w:b/>
          <w:bCs/>
          <w:lang w:val="en-AU" w:bidi="ar-SA"/>
        </w:rPr>
        <w:t>Conclusion</w:t>
      </w:r>
    </w:p>
    <w:p w:rsidR="00167E2E" w:rsidRPr="00BA0BF3" w:rsidRDefault="00167E2E" w:rsidP="00D976E6">
      <w:r w:rsidRPr="00BA0BF3">
        <w:t>Th</w:t>
      </w:r>
      <w:r w:rsidR="005503F7">
        <w:t>e</w:t>
      </w:r>
      <w:r w:rsidRPr="00BA0BF3">
        <w:t xml:space="preserve"> </w:t>
      </w:r>
      <w:r w:rsidR="0092738C">
        <w:t>l</w:t>
      </w:r>
      <w:r w:rsidRPr="00BA0BF3">
        <w:t xml:space="preserve">egislative </w:t>
      </w:r>
      <w:r w:rsidR="0092738C">
        <w:t>i</w:t>
      </w:r>
      <w:r w:rsidRPr="00BA0BF3">
        <w:t>nstrumen</w:t>
      </w:r>
      <w:r w:rsidR="006A6ED3" w:rsidRPr="00BA0BF3">
        <w:t>t</w:t>
      </w:r>
      <w:r w:rsidR="005503F7">
        <w:t xml:space="preserve"> i</w:t>
      </w:r>
      <w:r w:rsidR="006A6ED3" w:rsidRPr="00BA0BF3">
        <w:t>s</w:t>
      </w:r>
      <w:r w:rsidRPr="00BA0BF3">
        <w:t xml:space="preserve"> compatible with human rights as </w:t>
      </w:r>
      <w:r w:rsidR="0092738C">
        <w:t>it</w:t>
      </w:r>
      <w:r w:rsidR="0092738C" w:rsidRPr="00BA0BF3">
        <w:t xml:space="preserve"> </w:t>
      </w:r>
      <w:r w:rsidR="001C68FE" w:rsidRPr="00BA0BF3">
        <w:t>do</w:t>
      </w:r>
      <w:r w:rsidR="0092738C">
        <w:t>es</w:t>
      </w:r>
      <w:r w:rsidR="001C68FE" w:rsidRPr="00BA0BF3">
        <w:t xml:space="preserve"> </w:t>
      </w:r>
      <w:r w:rsidRPr="00BA0BF3">
        <w:t>not raise any human rights issues.</w:t>
      </w:r>
    </w:p>
    <w:p w:rsidR="009C481F" w:rsidRDefault="009C481F" w:rsidP="00D976E6"/>
    <w:p w:rsidR="009C481F" w:rsidRPr="009C481F" w:rsidRDefault="009C481F" w:rsidP="00D976E6"/>
    <w:p w:rsidR="00661056" w:rsidRDefault="00661056" w:rsidP="00661056">
      <w:pPr>
        <w:pStyle w:val="paranumbering0"/>
        <w:spacing w:before="0" w:beforeAutospacing="0" w:after="0" w:afterAutospacing="0"/>
        <w:jc w:val="center"/>
        <w:rPr>
          <w:b/>
        </w:rPr>
      </w:pPr>
      <w:r w:rsidRPr="00AF0637">
        <w:rPr>
          <w:b/>
        </w:rPr>
        <w:t>Senator the Hon Mathias Cormann</w:t>
      </w:r>
    </w:p>
    <w:p w:rsidR="00661056" w:rsidRDefault="00661056" w:rsidP="00661056">
      <w:pPr>
        <w:pStyle w:val="paranumbering0"/>
        <w:spacing w:before="0" w:beforeAutospacing="0" w:after="0" w:afterAutospacing="0"/>
        <w:jc w:val="center"/>
        <w:rPr>
          <w:b/>
        </w:rPr>
      </w:pPr>
      <w:r w:rsidRPr="00AF0637">
        <w:rPr>
          <w:b/>
        </w:rPr>
        <w:t>Minister for Finance</w:t>
      </w:r>
    </w:p>
    <w:p w:rsidR="00BE3437" w:rsidRPr="00BA0BF3" w:rsidRDefault="00BE3437" w:rsidP="00D976E6"/>
    <w:sectPr w:rsidR="00BE3437" w:rsidRPr="00BA0BF3" w:rsidSect="006769AA">
      <w:pgSz w:w="11906" w:h="16838"/>
      <w:pgMar w:top="1440" w:right="1440" w:bottom="1440" w:left="1440" w:header="708" w:footer="51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8C" w:rsidRDefault="009F0F8C" w:rsidP="00D976E6">
      <w:r>
        <w:separator/>
      </w:r>
    </w:p>
    <w:p w:rsidR="009F0F8C" w:rsidRDefault="009F0F8C" w:rsidP="00D976E6"/>
  </w:endnote>
  <w:endnote w:type="continuationSeparator" w:id="0">
    <w:p w:rsidR="009F0F8C" w:rsidRDefault="009F0F8C" w:rsidP="00D976E6">
      <w:r>
        <w:continuationSeparator/>
      </w:r>
    </w:p>
    <w:p w:rsidR="009F0F8C" w:rsidRDefault="009F0F8C"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8C" w:rsidRDefault="009F0F8C" w:rsidP="00D976E6">
      <w:r>
        <w:separator/>
      </w:r>
    </w:p>
    <w:p w:rsidR="009F0F8C" w:rsidRDefault="009F0F8C" w:rsidP="00D976E6"/>
  </w:footnote>
  <w:footnote w:type="continuationSeparator" w:id="0">
    <w:p w:rsidR="009F0F8C" w:rsidRDefault="009F0F8C" w:rsidP="00D976E6">
      <w:r>
        <w:continuationSeparator/>
      </w:r>
    </w:p>
    <w:p w:rsidR="009F0F8C" w:rsidRDefault="009F0F8C"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F8C" w:rsidRDefault="009F0F8C" w:rsidP="006769AA">
    <w:pPr>
      <w:pStyle w:val="Header"/>
    </w:pPr>
  </w:p>
  <w:p w:rsidR="009F0F8C" w:rsidRDefault="009F0F8C" w:rsidP="00676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F8C" w:rsidRDefault="009F0F8C" w:rsidP="006769AA">
    <w:pPr>
      <w:pStyle w:val="Header"/>
    </w:pPr>
    <w:r>
      <w:t>Attachment B</w:t>
    </w:r>
  </w:p>
  <w:p w:rsidR="009F0F8C" w:rsidRDefault="009F0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F8C" w:rsidRPr="006769AA" w:rsidRDefault="009F0F8C" w:rsidP="006769AA">
    <w:pPr>
      <w:pStyle w:val="Header"/>
    </w:pPr>
    <w:r w:rsidRPr="006769AA">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062"/>
    <w:multiLevelType w:val="hybridMultilevel"/>
    <w:tmpl w:val="A4C0D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1A44D2"/>
    <w:multiLevelType w:val="hybridMultilevel"/>
    <w:tmpl w:val="907C5222"/>
    <w:lvl w:ilvl="0" w:tplc="10CA715A">
      <w:start w:val="1"/>
      <w:numFmt w:val="decimal"/>
      <w:lvlText w:val="Division %1 - "/>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D420AB"/>
    <w:multiLevelType w:val="hybridMultilevel"/>
    <w:tmpl w:val="D122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9E79FA"/>
    <w:multiLevelType w:val="hybridMultilevel"/>
    <w:tmpl w:val="E01C2D68"/>
    <w:lvl w:ilvl="0" w:tplc="E4227152">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9">
    <w:nsid w:val="185D5040"/>
    <w:multiLevelType w:val="hybridMultilevel"/>
    <w:tmpl w:val="4BA8FE8A"/>
    <w:lvl w:ilvl="0" w:tplc="86783C58">
      <w:start w:val="1"/>
      <w:numFmt w:val="decimal"/>
      <w:lvlText w:val="Part %1 - "/>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8C276D5"/>
    <w:multiLevelType w:val="hybridMultilevel"/>
    <w:tmpl w:val="317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22">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CF04FB0"/>
    <w:multiLevelType w:val="hybridMultilevel"/>
    <w:tmpl w:val="D67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EF2708"/>
    <w:multiLevelType w:val="hybridMultilevel"/>
    <w:tmpl w:val="138AE8EC"/>
    <w:lvl w:ilvl="0" w:tplc="FB98A9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E44D69"/>
    <w:multiLevelType w:val="hybridMultilevel"/>
    <w:tmpl w:val="E0220B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30">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965546"/>
    <w:multiLevelType w:val="hybridMultilevel"/>
    <w:tmpl w:val="4822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B72F09"/>
    <w:multiLevelType w:val="hybridMultilevel"/>
    <w:tmpl w:val="27B23D50"/>
    <w:lvl w:ilvl="0" w:tplc="514654A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8FC6BE2"/>
    <w:multiLevelType w:val="hybridMultilevel"/>
    <w:tmpl w:val="2BB05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nsid w:val="6E8773AF"/>
    <w:multiLevelType w:val="hybridMultilevel"/>
    <w:tmpl w:val="8C841BDC"/>
    <w:lvl w:ilvl="0" w:tplc="823CB3F4">
      <w:start w:val="1"/>
      <w:numFmt w:val="lowerLetter"/>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6"/>
  </w:num>
  <w:num w:numId="4">
    <w:abstractNumId w:val="17"/>
  </w:num>
  <w:num w:numId="5">
    <w:abstractNumId w:val="6"/>
  </w:num>
  <w:num w:numId="6">
    <w:abstractNumId w:val="41"/>
  </w:num>
  <w:num w:numId="7">
    <w:abstractNumId w:val="1"/>
  </w:num>
  <w:num w:numId="8">
    <w:abstractNumId w:val="18"/>
  </w:num>
  <w:num w:numId="9">
    <w:abstractNumId w:val="19"/>
  </w:num>
  <w:num w:numId="10">
    <w:abstractNumId w:val="13"/>
  </w:num>
  <w:num w:numId="11">
    <w:abstractNumId w:val="7"/>
  </w:num>
  <w:num w:numId="12">
    <w:abstractNumId w:val="12"/>
  </w:num>
  <w:num w:numId="13">
    <w:abstractNumId w:val="22"/>
  </w:num>
  <w:num w:numId="14">
    <w:abstractNumId w:val="14"/>
  </w:num>
  <w:num w:numId="15">
    <w:abstractNumId w:val="24"/>
  </w:num>
  <w:num w:numId="16">
    <w:abstractNumId w:val="31"/>
  </w:num>
  <w:num w:numId="17">
    <w:abstractNumId w:val="11"/>
  </w:num>
  <w:num w:numId="18">
    <w:abstractNumId w:val="40"/>
  </w:num>
  <w:num w:numId="19">
    <w:abstractNumId w:val="28"/>
  </w:num>
  <w:num w:numId="20">
    <w:abstractNumId w:val="36"/>
  </w:num>
  <w:num w:numId="21">
    <w:abstractNumId w:val="21"/>
  </w:num>
  <w:num w:numId="22">
    <w:abstractNumId w:val="15"/>
  </w:num>
  <w:num w:numId="23">
    <w:abstractNumId w:val="2"/>
  </w:num>
  <w:num w:numId="24">
    <w:abstractNumId w:val="5"/>
  </w:num>
  <w:num w:numId="25">
    <w:abstractNumId w:val="38"/>
  </w:num>
  <w:num w:numId="26">
    <w:abstractNumId w:val="30"/>
  </w:num>
  <w:num w:numId="27">
    <w:abstractNumId w:val="39"/>
  </w:num>
  <w:num w:numId="28">
    <w:abstractNumId w:val="20"/>
  </w:num>
  <w:num w:numId="29">
    <w:abstractNumId w:val="29"/>
  </w:num>
  <w:num w:numId="30">
    <w:abstractNumId w:val="32"/>
  </w:num>
  <w:num w:numId="31">
    <w:abstractNumId w:val="27"/>
  </w:num>
  <w:num w:numId="32">
    <w:abstractNumId w:val="4"/>
  </w:num>
  <w:num w:numId="33">
    <w:abstractNumId w:val="10"/>
  </w:num>
  <w:num w:numId="34">
    <w:abstractNumId w:val="33"/>
  </w:num>
  <w:num w:numId="35">
    <w:abstractNumId w:val="9"/>
  </w:num>
  <w:num w:numId="36">
    <w:abstractNumId w:val="3"/>
  </w:num>
  <w:num w:numId="37">
    <w:abstractNumId w:val="0"/>
  </w:num>
  <w:num w:numId="38">
    <w:abstractNumId w:val="25"/>
  </w:num>
  <w:num w:numId="39">
    <w:abstractNumId w:val="34"/>
  </w:num>
  <w:num w:numId="40">
    <w:abstractNumId w:val="8"/>
  </w:num>
  <w:num w:numId="41">
    <w:abstractNumId w:val="35"/>
  </w:num>
  <w:num w:numId="42">
    <w:abstractNumId w:val="3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
  <w:rsids>
    <w:rsidRoot w:val="00452D0D"/>
    <w:rsid w:val="00000A08"/>
    <w:rsid w:val="000034CC"/>
    <w:rsid w:val="000043E7"/>
    <w:rsid w:val="00005815"/>
    <w:rsid w:val="00007FE2"/>
    <w:rsid w:val="0001085E"/>
    <w:rsid w:val="0001195F"/>
    <w:rsid w:val="00011B76"/>
    <w:rsid w:val="00012890"/>
    <w:rsid w:val="000128B4"/>
    <w:rsid w:val="0001494F"/>
    <w:rsid w:val="00016A7B"/>
    <w:rsid w:val="00016E00"/>
    <w:rsid w:val="00021B4D"/>
    <w:rsid w:val="00021D8B"/>
    <w:rsid w:val="00021EF2"/>
    <w:rsid w:val="00022030"/>
    <w:rsid w:val="00022317"/>
    <w:rsid w:val="00023434"/>
    <w:rsid w:val="00024772"/>
    <w:rsid w:val="000261AD"/>
    <w:rsid w:val="0002690A"/>
    <w:rsid w:val="00026944"/>
    <w:rsid w:val="000269C4"/>
    <w:rsid w:val="00026BC5"/>
    <w:rsid w:val="0003418C"/>
    <w:rsid w:val="00034E7B"/>
    <w:rsid w:val="000377DD"/>
    <w:rsid w:val="00037A61"/>
    <w:rsid w:val="00040627"/>
    <w:rsid w:val="0004247F"/>
    <w:rsid w:val="000433F3"/>
    <w:rsid w:val="00044073"/>
    <w:rsid w:val="000465AC"/>
    <w:rsid w:val="00050EC4"/>
    <w:rsid w:val="000512E1"/>
    <w:rsid w:val="00051C48"/>
    <w:rsid w:val="0005407E"/>
    <w:rsid w:val="000554B7"/>
    <w:rsid w:val="00057D2F"/>
    <w:rsid w:val="0006098E"/>
    <w:rsid w:val="00061B95"/>
    <w:rsid w:val="00063152"/>
    <w:rsid w:val="00064DCF"/>
    <w:rsid w:val="00064FA4"/>
    <w:rsid w:val="000678F3"/>
    <w:rsid w:val="000717A8"/>
    <w:rsid w:val="000718DC"/>
    <w:rsid w:val="00076A90"/>
    <w:rsid w:val="00076B6F"/>
    <w:rsid w:val="0007737C"/>
    <w:rsid w:val="000801D8"/>
    <w:rsid w:val="00080476"/>
    <w:rsid w:val="00080A2B"/>
    <w:rsid w:val="0008188E"/>
    <w:rsid w:val="00085E21"/>
    <w:rsid w:val="00087846"/>
    <w:rsid w:val="00087D7A"/>
    <w:rsid w:val="00090136"/>
    <w:rsid w:val="00090756"/>
    <w:rsid w:val="00091186"/>
    <w:rsid w:val="00093909"/>
    <w:rsid w:val="000969F7"/>
    <w:rsid w:val="00097075"/>
    <w:rsid w:val="000A40C1"/>
    <w:rsid w:val="000A445B"/>
    <w:rsid w:val="000A5518"/>
    <w:rsid w:val="000A5D25"/>
    <w:rsid w:val="000A69CF"/>
    <w:rsid w:val="000A6F15"/>
    <w:rsid w:val="000B09EC"/>
    <w:rsid w:val="000B11D8"/>
    <w:rsid w:val="000B280B"/>
    <w:rsid w:val="000B64FC"/>
    <w:rsid w:val="000B684F"/>
    <w:rsid w:val="000B693D"/>
    <w:rsid w:val="000B7217"/>
    <w:rsid w:val="000C0243"/>
    <w:rsid w:val="000C1985"/>
    <w:rsid w:val="000C2407"/>
    <w:rsid w:val="000D0AB1"/>
    <w:rsid w:val="000D15D9"/>
    <w:rsid w:val="000D18A0"/>
    <w:rsid w:val="000D2447"/>
    <w:rsid w:val="000D2ED1"/>
    <w:rsid w:val="000D4F6A"/>
    <w:rsid w:val="000D5C03"/>
    <w:rsid w:val="000D7EA7"/>
    <w:rsid w:val="000E0B88"/>
    <w:rsid w:val="000E2A62"/>
    <w:rsid w:val="000E540D"/>
    <w:rsid w:val="000E54FC"/>
    <w:rsid w:val="000F1205"/>
    <w:rsid w:val="000F1DC4"/>
    <w:rsid w:val="000F1F20"/>
    <w:rsid w:val="000F714A"/>
    <w:rsid w:val="001019A4"/>
    <w:rsid w:val="00103D96"/>
    <w:rsid w:val="00114A68"/>
    <w:rsid w:val="00116920"/>
    <w:rsid w:val="001217B8"/>
    <w:rsid w:val="00124E00"/>
    <w:rsid w:val="00125A1D"/>
    <w:rsid w:val="00126842"/>
    <w:rsid w:val="00132DCA"/>
    <w:rsid w:val="00132F9A"/>
    <w:rsid w:val="00134A1D"/>
    <w:rsid w:val="0013538B"/>
    <w:rsid w:val="00135B9F"/>
    <w:rsid w:val="00140166"/>
    <w:rsid w:val="00144068"/>
    <w:rsid w:val="00144EA6"/>
    <w:rsid w:val="00146231"/>
    <w:rsid w:val="00146277"/>
    <w:rsid w:val="0014629D"/>
    <w:rsid w:val="00152888"/>
    <w:rsid w:val="001555B1"/>
    <w:rsid w:val="00157EBE"/>
    <w:rsid w:val="0016392F"/>
    <w:rsid w:val="00163ADB"/>
    <w:rsid w:val="001647FC"/>
    <w:rsid w:val="001677F9"/>
    <w:rsid w:val="00167E2E"/>
    <w:rsid w:val="001709E7"/>
    <w:rsid w:val="00176D5D"/>
    <w:rsid w:val="0018067C"/>
    <w:rsid w:val="00185E46"/>
    <w:rsid w:val="001861C4"/>
    <w:rsid w:val="00186FE6"/>
    <w:rsid w:val="00191A27"/>
    <w:rsid w:val="00193FE0"/>
    <w:rsid w:val="001943C7"/>
    <w:rsid w:val="00196919"/>
    <w:rsid w:val="00197F02"/>
    <w:rsid w:val="001A019D"/>
    <w:rsid w:val="001A06F8"/>
    <w:rsid w:val="001A09DE"/>
    <w:rsid w:val="001A1EBC"/>
    <w:rsid w:val="001A228A"/>
    <w:rsid w:val="001A60F4"/>
    <w:rsid w:val="001A745A"/>
    <w:rsid w:val="001B18DD"/>
    <w:rsid w:val="001B24D6"/>
    <w:rsid w:val="001B3CE6"/>
    <w:rsid w:val="001B7ECD"/>
    <w:rsid w:val="001C0A53"/>
    <w:rsid w:val="001C0D33"/>
    <w:rsid w:val="001C2D98"/>
    <w:rsid w:val="001C3154"/>
    <w:rsid w:val="001C40A4"/>
    <w:rsid w:val="001C4F31"/>
    <w:rsid w:val="001C5E34"/>
    <w:rsid w:val="001C68FE"/>
    <w:rsid w:val="001D14FB"/>
    <w:rsid w:val="001D1914"/>
    <w:rsid w:val="001D551C"/>
    <w:rsid w:val="001D638D"/>
    <w:rsid w:val="001D6578"/>
    <w:rsid w:val="001D73B8"/>
    <w:rsid w:val="001D7E5A"/>
    <w:rsid w:val="001E087F"/>
    <w:rsid w:val="001E0982"/>
    <w:rsid w:val="001E1224"/>
    <w:rsid w:val="001E224B"/>
    <w:rsid w:val="001E34BC"/>
    <w:rsid w:val="001E40D6"/>
    <w:rsid w:val="001E4CEA"/>
    <w:rsid w:val="001E5E26"/>
    <w:rsid w:val="001E75C1"/>
    <w:rsid w:val="001E7D08"/>
    <w:rsid w:val="001F07AD"/>
    <w:rsid w:val="001F203B"/>
    <w:rsid w:val="001F2529"/>
    <w:rsid w:val="001F400C"/>
    <w:rsid w:val="001F5359"/>
    <w:rsid w:val="001F590C"/>
    <w:rsid w:val="001F687E"/>
    <w:rsid w:val="001F72A9"/>
    <w:rsid w:val="002032FC"/>
    <w:rsid w:val="0020484A"/>
    <w:rsid w:val="00206192"/>
    <w:rsid w:val="00206508"/>
    <w:rsid w:val="00207B5F"/>
    <w:rsid w:val="00210EFB"/>
    <w:rsid w:val="0021459A"/>
    <w:rsid w:val="00215DBA"/>
    <w:rsid w:val="00216919"/>
    <w:rsid w:val="0021740E"/>
    <w:rsid w:val="00220F02"/>
    <w:rsid w:val="002226FB"/>
    <w:rsid w:val="00222981"/>
    <w:rsid w:val="00222F07"/>
    <w:rsid w:val="00223932"/>
    <w:rsid w:val="0022412F"/>
    <w:rsid w:val="002246AE"/>
    <w:rsid w:val="002265B9"/>
    <w:rsid w:val="002272EA"/>
    <w:rsid w:val="00236791"/>
    <w:rsid w:val="00243BAA"/>
    <w:rsid w:val="002452CC"/>
    <w:rsid w:val="00245977"/>
    <w:rsid w:val="00246632"/>
    <w:rsid w:val="00251841"/>
    <w:rsid w:val="0025196F"/>
    <w:rsid w:val="00257472"/>
    <w:rsid w:val="00260183"/>
    <w:rsid w:val="002609DC"/>
    <w:rsid w:val="00261293"/>
    <w:rsid w:val="002616FA"/>
    <w:rsid w:val="0026508B"/>
    <w:rsid w:val="00266B6D"/>
    <w:rsid w:val="00267D8A"/>
    <w:rsid w:val="002711F5"/>
    <w:rsid w:val="00272007"/>
    <w:rsid w:val="002728D1"/>
    <w:rsid w:val="00274B9C"/>
    <w:rsid w:val="00274CAE"/>
    <w:rsid w:val="002772BE"/>
    <w:rsid w:val="0028025B"/>
    <w:rsid w:val="0028123C"/>
    <w:rsid w:val="00281515"/>
    <w:rsid w:val="002818AD"/>
    <w:rsid w:val="002839A5"/>
    <w:rsid w:val="002843D1"/>
    <w:rsid w:val="002853A5"/>
    <w:rsid w:val="0028727F"/>
    <w:rsid w:val="00287772"/>
    <w:rsid w:val="00287F5F"/>
    <w:rsid w:val="002908A1"/>
    <w:rsid w:val="002918CE"/>
    <w:rsid w:val="002934AF"/>
    <w:rsid w:val="0029535F"/>
    <w:rsid w:val="00296D46"/>
    <w:rsid w:val="00297FF2"/>
    <w:rsid w:val="002A1A8B"/>
    <w:rsid w:val="002A24AD"/>
    <w:rsid w:val="002A282E"/>
    <w:rsid w:val="002A49B0"/>
    <w:rsid w:val="002A6402"/>
    <w:rsid w:val="002A65CB"/>
    <w:rsid w:val="002A666E"/>
    <w:rsid w:val="002B1949"/>
    <w:rsid w:val="002B5D8F"/>
    <w:rsid w:val="002C1217"/>
    <w:rsid w:val="002C20D1"/>
    <w:rsid w:val="002C21C1"/>
    <w:rsid w:val="002C6606"/>
    <w:rsid w:val="002D36F0"/>
    <w:rsid w:val="002D51B2"/>
    <w:rsid w:val="002D6258"/>
    <w:rsid w:val="002E01CE"/>
    <w:rsid w:val="002E0D75"/>
    <w:rsid w:val="002E2701"/>
    <w:rsid w:val="002E307D"/>
    <w:rsid w:val="002F214A"/>
    <w:rsid w:val="002F2EC8"/>
    <w:rsid w:val="002F5C17"/>
    <w:rsid w:val="002F77DE"/>
    <w:rsid w:val="00301C10"/>
    <w:rsid w:val="00306D19"/>
    <w:rsid w:val="00312581"/>
    <w:rsid w:val="0031473F"/>
    <w:rsid w:val="00315546"/>
    <w:rsid w:val="00315A11"/>
    <w:rsid w:val="00315E9C"/>
    <w:rsid w:val="00316068"/>
    <w:rsid w:val="00322CAC"/>
    <w:rsid w:val="003233A0"/>
    <w:rsid w:val="00323A1A"/>
    <w:rsid w:val="00324047"/>
    <w:rsid w:val="003240DC"/>
    <w:rsid w:val="00326483"/>
    <w:rsid w:val="0032663B"/>
    <w:rsid w:val="003267C3"/>
    <w:rsid w:val="00332640"/>
    <w:rsid w:val="003327B3"/>
    <w:rsid w:val="00332F12"/>
    <w:rsid w:val="0033311F"/>
    <w:rsid w:val="00333469"/>
    <w:rsid w:val="0033754A"/>
    <w:rsid w:val="003422DE"/>
    <w:rsid w:val="00342EC7"/>
    <w:rsid w:val="003437FF"/>
    <w:rsid w:val="003458B4"/>
    <w:rsid w:val="003474BC"/>
    <w:rsid w:val="00347CC6"/>
    <w:rsid w:val="0035248E"/>
    <w:rsid w:val="003533EA"/>
    <w:rsid w:val="0035416D"/>
    <w:rsid w:val="003549E2"/>
    <w:rsid w:val="00356CCE"/>
    <w:rsid w:val="00357216"/>
    <w:rsid w:val="00362A63"/>
    <w:rsid w:val="0036443A"/>
    <w:rsid w:val="00365F54"/>
    <w:rsid w:val="003704E8"/>
    <w:rsid w:val="00370F50"/>
    <w:rsid w:val="00372046"/>
    <w:rsid w:val="00376A5C"/>
    <w:rsid w:val="00376EAF"/>
    <w:rsid w:val="0037758C"/>
    <w:rsid w:val="003804F8"/>
    <w:rsid w:val="0038080A"/>
    <w:rsid w:val="00380B15"/>
    <w:rsid w:val="00382FEA"/>
    <w:rsid w:val="0038485E"/>
    <w:rsid w:val="0038530C"/>
    <w:rsid w:val="003954A0"/>
    <w:rsid w:val="00395C9F"/>
    <w:rsid w:val="00395EB4"/>
    <w:rsid w:val="003A5651"/>
    <w:rsid w:val="003A5DB3"/>
    <w:rsid w:val="003A657C"/>
    <w:rsid w:val="003A6FF0"/>
    <w:rsid w:val="003B0C6F"/>
    <w:rsid w:val="003B1654"/>
    <w:rsid w:val="003B4161"/>
    <w:rsid w:val="003B72D5"/>
    <w:rsid w:val="003B738F"/>
    <w:rsid w:val="003C0972"/>
    <w:rsid w:val="003C0A8B"/>
    <w:rsid w:val="003C226F"/>
    <w:rsid w:val="003C2CC2"/>
    <w:rsid w:val="003C3575"/>
    <w:rsid w:val="003C49CD"/>
    <w:rsid w:val="003C4BF6"/>
    <w:rsid w:val="003C6CB8"/>
    <w:rsid w:val="003C6DB3"/>
    <w:rsid w:val="003D21CC"/>
    <w:rsid w:val="003E052E"/>
    <w:rsid w:val="003E179E"/>
    <w:rsid w:val="003E3538"/>
    <w:rsid w:val="003E3C8A"/>
    <w:rsid w:val="003F1963"/>
    <w:rsid w:val="003F5656"/>
    <w:rsid w:val="004043B7"/>
    <w:rsid w:val="004062D7"/>
    <w:rsid w:val="00406CDE"/>
    <w:rsid w:val="00406EB7"/>
    <w:rsid w:val="004111A2"/>
    <w:rsid w:val="00411D73"/>
    <w:rsid w:val="00413BD9"/>
    <w:rsid w:val="00413ED9"/>
    <w:rsid w:val="004146F9"/>
    <w:rsid w:val="00415B3F"/>
    <w:rsid w:val="00417420"/>
    <w:rsid w:val="004226F4"/>
    <w:rsid w:val="0042298C"/>
    <w:rsid w:val="0042666E"/>
    <w:rsid w:val="00427E4B"/>
    <w:rsid w:val="00431E77"/>
    <w:rsid w:val="00431F5D"/>
    <w:rsid w:val="00431FB8"/>
    <w:rsid w:val="004342C0"/>
    <w:rsid w:val="00434E5C"/>
    <w:rsid w:val="004367A4"/>
    <w:rsid w:val="004378A0"/>
    <w:rsid w:val="0044131F"/>
    <w:rsid w:val="00443C73"/>
    <w:rsid w:val="00446662"/>
    <w:rsid w:val="00446A8A"/>
    <w:rsid w:val="00447E0E"/>
    <w:rsid w:val="0045091E"/>
    <w:rsid w:val="00450C7D"/>
    <w:rsid w:val="00451CCE"/>
    <w:rsid w:val="00452D0D"/>
    <w:rsid w:val="00460F20"/>
    <w:rsid w:val="00461A2C"/>
    <w:rsid w:val="00467BD0"/>
    <w:rsid w:val="00471841"/>
    <w:rsid w:val="004725C6"/>
    <w:rsid w:val="004745B5"/>
    <w:rsid w:val="00476667"/>
    <w:rsid w:val="004766F4"/>
    <w:rsid w:val="004770DC"/>
    <w:rsid w:val="00481FF4"/>
    <w:rsid w:val="004835F5"/>
    <w:rsid w:val="00483AC7"/>
    <w:rsid w:val="004856FC"/>
    <w:rsid w:val="00487238"/>
    <w:rsid w:val="0048796C"/>
    <w:rsid w:val="00495107"/>
    <w:rsid w:val="00495DFE"/>
    <w:rsid w:val="00496EDF"/>
    <w:rsid w:val="004A039A"/>
    <w:rsid w:val="004A12BF"/>
    <w:rsid w:val="004A1967"/>
    <w:rsid w:val="004A1BDD"/>
    <w:rsid w:val="004A43A6"/>
    <w:rsid w:val="004A5CD4"/>
    <w:rsid w:val="004A6F55"/>
    <w:rsid w:val="004A7B43"/>
    <w:rsid w:val="004B1905"/>
    <w:rsid w:val="004B3ED8"/>
    <w:rsid w:val="004B6092"/>
    <w:rsid w:val="004C041D"/>
    <w:rsid w:val="004C243D"/>
    <w:rsid w:val="004C474E"/>
    <w:rsid w:val="004C4D35"/>
    <w:rsid w:val="004C54D6"/>
    <w:rsid w:val="004C5940"/>
    <w:rsid w:val="004C5D10"/>
    <w:rsid w:val="004C7719"/>
    <w:rsid w:val="004D0B37"/>
    <w:rsid w:val="004D102D"/>
    <w:rsid w:val="004D5837"/>
    <w:rsid w:val="004E1521"/>
    <w:rsid w:val="004E2F91"/>
    <w:rsid w:val="004E3AC2"/>
    <w:rsid w:val="004E76DF"/>
    <w:rsid w:val="004F0ADE"/>
    <w:rsid w:val="004F0C0F"/>
    <w:rsid w:val="004F1747"/>
    <w:rsid w:val="004F1F20"/>
    <w:rsid w:val="004F312F"/>
    <w:rsid w:val="004F48C7"/>
    <w:rsid w:val="004F55AD"/>
    <w:rsid w:val="00503225"/>
    <w:rsid w:val="00503562"/>
    <w:rsid w:val="00504022"/>
    <w:rsid w:val="00505B3D"/>
    <w:rsid w:val="00507E7A"/>
    <w:rsid w:val="00511E7E"/>
    <w:rsid w:val="00513C83"/>
    <w:rsid w:val="00514B3D"/>
    <w:rsid w:val="00515980"/>
    <w:rsid w:val="00515B8E"/>
    <w:rsid w:val="005219AA"/>
    <w:rsid w:val="00524327"/>
    <w:rsid w:val="00524376"/>
    <w:rsid w:val="00527EA6"/>
    <w:rsid w:val="00530040"/>
    <w:rsid w:val="0053006C"/>
    <w:rsid w:val="0053458D"/>
    <w:rsid w:val="005347EF"/>
    <w:rsid w:val="005354CD"/>
    <w:rsid w:val="005417A4"/>
    <w:rsid w:val="00542D61"/>
    <w:rsid w:val="00546DA5"/>
    <w:rsid w:val="005503F7"/>
    <w:rsid w:val="00550D2A"/>
    <w:rsid w:val="00551496"/>
    <w:rsid w:val="00552876"/>
    <w:rsid w:val="005532B4"/>
    <w:rsid w:val="005542C1"/>
    <w:rsid w:val="00554901"/>
    <w:rsid w:val="00554BFE"/>
    <w:rsid w:val="0055596F"/>
    <w:rsid w:val="0056043B"/>
    <w:rsid w:val="005615FE"/>
    <w:rsid w:val="00563C05"/>
    <w:rsid w:val="005667AA"/>
    <w:rsid w:val="00567785"/>
    <w:rsid w:val="00567DFD"/>
    <w:rsid w:val="005702E5"/>
    <w:rsid w:val="00572508"/>
    <w:rsid w:val="005746B4"/>
    <w:rsid w:val="00577587"/>
    <w:rsid w:val="00581920"/>
    <w:rsid w:val="00584F3E"/>
    <w:rsid w:val="005860DE"/>
    <w:rsid w:val="00590BAA"/>
    <w:rsid w:val="00594706"/>
    <w:rsid w:val="00594933"/>
    <w:rsid w:val="0059514B"/>
    <w:rsid w:val="005956AC"/>
    <w:rsid w:val="00595983"/>
    <w:rsid w:val="005A21CF"/>
    <w:rsid w:val="005B0034"/>
    <w:rsid w:val="005B01BF"/>
    <w:rsid w:val="005B1796"/>
    <w:rsid w:val="005B3CB2"/>
    <w:rsid w:val="005B4709"/>
    <w:rsid w:val="005B544C"/>
    <w:rsid w:val="005B7B3F"/>
    <w:rsid w:val="005C31A3"/>
    <w:rsid w:val="005C3715"/>
    <w:rsid w:val="005C5470"/>
    <w:rsid w:val="005C5DCF"/>
    <w:rsid w:val="005C6557"/>
    <w:rsid w:val="005D1B5E"/>
    <w:rsid w:val="005D2C2A"/>
    <w:rsid w:val="005D4A4D"/>
    <w:rsid w:val="005D6969"/>
    <w:rsid w:val="005E10A2"/>
    <w:rsid w:val="005E1175"/>
    <w:rsid w:val="005E3C3D"/>
    <w:rsid w:val="005E4FAF"/>
    <w:rsid w:val="005E6A8D"/>
    <w:rsid w:val="005E7912"/>
    <w:rsid w:val="005F23EF"/>
    <w:rsid w:val="005F3DBF"/>
    <w:rsid w:val="005F7A45"/>
    <w:rsid w:val="0060095E"/>
    <w:rsid w:val="006068AF"/>
    <w:rsid w:val="00610B00"/>
    <w:rsid w:val="0061335A"/>
    <w:rsid w:val="00614B21"/>
    <w:rsid w:val="006158C8"/>
    <w:rsid w:val="00616C5D"/>
    <w:rsid w:val="00622157"/>
    <w:rsid w:val="00626265"/>
    <w:rsid w:val="00631837"/>
    <w:rsid w:val="00632A86"/>
    <w:rsid w:val="006332BD"/>
    <w:rsid w:val="0063433B"/>
    <w:rsid w:val="00637F44"/>
    <w:rsid w:val="006400F5"/>
    <w:rsid w:val="00640FC7"/>
    <w:rsid w:val="006450F3"/>
    <w:rsid w:val="006461B9"/>
    <w:rsid w:val="00646F27"/>
    <w:rsid w:val="00646F88"/>
    <w:rsid w:val="00651072"/>
    <w:rsid w:val="00653702"/>
    <w:rsid w:val="00656E73"/>
    <w:rsid w:val="00657C55"/>
    <w:rsid w:val="00661056"/>
    <w:rsid w:val="00661076"/>
    <w:rsid w:val="006632FE"/>
    <w:rsid w:val="006639E8"/>
    <w:rsid w:val="0066606C"/>
    <w:rsid w:val="006674F1"/>
    <w:rsid w:val="0067186D"/>
    <w:rsid w:val="00672661"/>
    <w:rsid w:val="00672D48"/>
    <w:rsid w:val="006730E5"/>
    <w:rsid w:val="00673473"/>
    <w:rsid w:val="006739CF"/>
    <w:rsid w:val="00673D80"/>
    <w:rsid w:val="006769AA"/>
    <w:rsid w:val="00677599"/>
    <w:rsid w:val="0068160B"/>
    <w:rsid w:val="00687021"/>
    <w:rsid w:val="006915E2"/>
    <w:rsid w:val="006919AB"/>
    <w:rsid w:val="00691DD2"/>
    <w:rsid w:val="00693FB0"/>
    <w:rsid w:val="00695A8B"/>
    <w:rsid w:val="00695EA2"/>
    <w:rsid w:val="00697C43"/>
    <w:rsid w:val="00697F48"/>
    <w:rsid w:val="006A07A6"/>
    <w:rsid w:val="006A3C08"/>
    <w:rsid w:val="006A417C"/>
    <w:rsid w:val="006A5A1F"/>
    <w:rsid w:val="006A642D"/>
    <w:rsid w:val="006A6ED3"/>
    <w:rsid w:val="006A6F84"/>
    <w:rsid w:val="006B1670"/>
    <w:rsid w:val="006B30DE"/>
    <w:rsid w:val="006B3772"/>
    <w:rsid w:val="006B38D6"/>
    <w:rsid w:val="006B3E56"/>
    <w:rsid w:val="006B7B43"/>
    <w:rsid w:val="006C0FE5"/>
    <w:rsid w:val="006C120B"/>
    <w:rsid w:val="006C7E51"/>
    <w:rsid w:val="006D077B"/>
    <w:rsid w:val="006D2212"/>
    <w:rsid w:val="006D258C"/>
    <w:rsid w:val="006D36F5"/>
    <w:rsid w:val="006D4BCA"/>
    <w:rsid w:val="006D5003"/>
    <w:rsid w:val="006D5420"/>
    <w:rsid w:val="006E2791"/>
    <w:rsid w:val="006E43DE"/>
    <w:rsid w:val="006E5D24"/>
    <w:rsid w:val="006F47D9"/>
    <w:rsid w:val="006F7B99"/>
    <w:rsid w:val="00700652"/>
    <w:rsid w:val="00704FFE"/>
    <w:rsid w:val="00712114"/>
    <w:rsid w:val="00714068"/>
    <w:rsid w:val="00714F9F"/>
    <w:rsid w:val="00715461"/>
    <w:rsid w:val="0071547F"/>
    <w:rsid w:val="0071583C"/>
    <w:rsid w:val="0071739C"/>
    <w:rsid w:val="00723465"/>
    <w:rsid w:val="007251D8"/>
    <w:rsid w:val="007269C4"/>
    <w:rsid w:val="00727540"/>
    <w:rsid w:val="007304BC"/>
    <w:rsid w:val="007314B5"/>
    <w:rsid w:val="0073452A"/>
    <w:rsid w:val="00737470"/>
    <w:rsid w:val="00737824"/>
    <w:rsid w:val="00741A77"/>
    <w:rsid w:val="00742842"/>
    <w:rsid w:val="00742C87"/>
    <w:rsid w:val="00743C7A"/>
    <w:rsid w:val="007466FE"/>
    <w:rsid w:val="007478DD"/>
    <w:rsid w:val="007504F7"/>
    <w:rsid w:val="00750F20"/>
    <w:rsid w:val="007562AC"/>
    <w:rsid w:val="00757A24"/>
    <w:rsid w:val="00760C51"/>
    <w:rsid w:val="00760CA3"/>
    <w:rsid w:val="007632BB"/>
    <w:rsid w:val="00763F72"/>
    <w:rsid w:val="007643A5"/>
    <w:rsid w:val="00765F0B"/>
    <w:rsid w:val="00767345"/>
    <w:rsid w:val="00770245"/>
    <w:rsid w:val="007714FF"/>
    <w:rsid w:val="00776833"/>
    <w:rsid w:val="00784041"/>
    <w:rsid w:val="0078464F"/>
    <w:rsid w:val="00786CC5"/>
    <w:rsid w:val="00790DFE"/>
    <w:rsid w:val="00791817"/>
    <w:rsid w:val="00793904"/>
    <w:rsid w:val="00794FCA"/>
    <w:rsid w:val="007A0D3C"/>
    <w:rsid w:val="007A0DA6"/>
    <w:rsid w:val="007A2C4E"/>
    <w:rsid w:val="007A40CE"/>
    <w:rsid w:val="007A5801"/>
    <w:rsid w:val="007B011B"/>
    <w:rsid w:val="007B04BD"/>
    <w:rsid w:val="007B05A1"/>
    <w:rsid w:val="007B0A15"/>
    <w:rsid w:val="007B3498"/>
    <w:rsid w:val="007B3A58"/>
    <w:rsid w:val="007B54F1"/>
    <w:rsid w:val="007B7C4B"/>
    <w:rsid w:val="007C1962"/>
    <w:rsid w:val="007D056B"/>
    <w:rsid w:val="007D1AD7"/>
    <w:rsid w:val="007D5B8F"/>
    <w:rsid w:val="007D5C88"/>
    <w:rsid w:val="007D7A27"/>
    <w:rsid w:val="007E0308"/>
    <w:rsid w:val="007E37F9"/>
    <w:rsid w:val="007E5747"/>
    <w:rsid w:val="007E6382"/>
    <w:rsid w:val="007E7A2C"/>
    <w:rsid w:val="007E7C9D"/>
    <w:rsid w:val="007F12AE"/>
    <w:rsid w:val="007F16A0"/>
    <w:rsid w:val="007F42B1"/>
    <w:rsid w:val="007F4473"/>
    <w:rsid w:val="007F4937"/>
    <w:rsid w:val="007F5EDB"/>
    <w:rsid w:val="008005CE"/>
    <w:rsid w:val="008008C1"/>
    <w:rsid w:val="008025AB"/>
    <w:rsid w:val="00802C95"/>
    <w:rsid w:val="00803887"/>
    <w:rsid w:val="008042C5"/>
    <w:rsid w:val="00805160"/>
    <w:rsid w:val="00805A50"/>
    <w:rsid w:val="00806A5C"/>
    <w:rsid w:val="00807264"/>
    <w:rsid w:val="00807B22"/>
    <w:rsid w:val="008141C4"/>
    <w:rsid w:val="008171FB"/>
    <w:rsid w:val="00820BA6"/>
    <w:rsid w:val="0082495E"/>
    <w:rsid w:val="00827DFA"/>
    <w:rsid w:val="008302C6"/>
    <w:rsid w:val="008323B2"/>
    <w:rsid w:val="00833282"/>
    <w:rsid w:val="008350F9"/>
    <w:rsid w:val="00840A19"/>
    <w:rsid w:val="0084224A"/>
    <w:rsid w:val="008422E2"/>
    <w:rsid w:val="008441C2"/>
    <w:rsid w:val="00845110"/>
    <w:rsid w:val="008454FC"/>
    <w:rsid w:val="00850590"/>
    <w:rsid w:val="00855BE9"/>
    <w:rsid w:val="00856F7C"/>
    <w:rsid w:val="008576AD"/>
    <w:rsid w:val="00862698"/>
    <w:rsid w:val="00862F91"/>
    <w:rsid w:val="00864A15"/>
    <w:rsid w:val="008668A7"/>
    <w:rsid w:val="00872841"/>
    <w:rsid w:val="00875805"/>
    <w:rsid w:val="008765B6"/>
    <w:rsid w:val="008821E0"/>
    <w:rsid w:val="008833A8"/>
    <w:rsid w:val="00883586"/>
    <w:rsid w:val="008857DB"/>
    <w:rsid w:val="00886297"/>
    <w:rsid w:val="00891623"/>
    <w:rsid w:val="008940E3"/>
    <w:rsid w:val="008A27DF"/>
    <w:rsid w:val="008A4793"/>
    <w:rsid w:val="008A5901"/>
    <w:rsid w:val="008A610C"/>
    <w:rsid w:val="008B0C66"/>
    <w:rsid w:val="008B229B"/>
    <w:rsid w:val="008B2D4A"/>
    <w:rsid w:val="008C016F"/>
    <w:rsid w:val="008C022C"/>
    <w:rsid w:val="008C04FE"/>
    <w:rsid w:val="008C0658"/>
    <w:rsid w:val="008C2DBE"/>
    <w:rsid w:val="008D0485"/>
    <w:rsid w:val="008D0B81"/>
    <w:rsid w:val="008D1AC7"/>
    <w:rsid w:val="008D22B4"/>
    <w:rsid w:val="008E21FF"/>
    <w:rsid w:val="008E24F3"/>
    <w:rsid w:val="008E60E1"/>
    <w:rsid w:val="008E74E6"/>
    <w:rsid w:val="008F2166"/>
    <w:rsid w:val="008F323F"/>
    <w:rsid w:val="008F41F7"/>
    <w:rsid w:val="008F4F61"/>
    <w:rsid w:val="008F5EC7"/>
    <w:rsid w:val="008F7212"/>
    <w:rsid w:val="009002E4"/>
    <w:rsid w:val="009015C3"/>
    <w:rsid w:val="00902FEF"/>
    <w:rsid w:val="0090333B"/>
    <w:rsid w:val="0090363A"/>
    <w:rsid w:val="00904B9D"/>
    <w:rsid w:val="0090543F"/>
    <w:rsid w:val="00906220"/>
    <w:rsid w:val="00907FE8"/>
    <w:rsid w:val="00916010"/>
    <w:rsid w:val="00916BD3"/>
    <w:rsid w:val="0092041D"/>
    <w:rsid w:val="00921772"/>
    <w:rsid w:val="009221E2"/>
    <w:rsid w:val="009238AC"/>
    <w:rsid w:val="00923E8B"/>
    <w:rsid w:val="00925B37"/>
    <w:rsid w:val="00925FB7"/>
    <w:rsid w:val="0092738C"/>
    <w:rsid w:val="00930168"/>
    <w:rsid w:val="009321E5"/>
    <w:rsid w:val="00932527"/>
    <w:rsid w:val="009328FC"/>
    <w:rsid w:val="00937AA1"/>
    <w:rsid w:val="00940924"/>
    <w:rsid w:val="009421E1"/>
    <w:rsid w:val="00943E09"/>
    <w:rsid w:val="00944272"/>
    <w:rsid w:val="0094557D"/>
    <w:rsid w:val="00947605"/>
    <w:rsid w:val="009505BB"/>
    <w:rsid w:val="00952ED1"/>
    <w:rsid w:val="00952FA3"/>
    <w:rsid w:val="009542CF"/>
    <w:rsid w:val="009556C2"/>
    <w:rsid w:val="00961021"/>
    <w:rsid w:val="00965A32"/>
    <w:rsid w:val="009674C4"/>
    <w:rsid w:val="00972689"/>
    <w:rsid w:val="00973426"/>
    <w:rsid w:val="009735BA"/>
    <w:rsid w:val="0097482E"/>
    <w:rsid w:val="00974D8E"/>
    <w:rsid w:val="0097797C"/>
    <w:rsid w:val="0098153F"/>
    <w:rsid w:val="0098225E"/>
    <w:rsid w:val="009831BA"/>
    <w:rsid w:val="0098379F"/>
    <w:rsid w:val="00983DFB"/>
    <w:rsid w:val="00986D43"/>
    <w:rsid w:val="009877E2"/>
    <w:rsid w:val="0099057E"/>
    <w:rsid w:val="00990BB2"/>
    <w:rsid w:val="009910AE"/>
    <w:rsid w:val="0099342F"/>
    <w:rsid w:val="009935C5"/>
    <w:rsid w:val="00997CA2"/>
    <w:rsid w:val="00997FEE"/>
    <w:rsid w:val="009A1C81"/>
    <w:rsid w:val="009A31BF"/>
    <w:rsid w:val="009A3369"/>
    <w:rsid w:val="009A33C5"/>
    <w:rsid w:val="009A3D01"/>
    <w:rsid w:val="009A3ED7"/>
    <w:rsid w:val="009A4465"/>
    <w:rsid w:val="009B00DD"/>
    <w:rsid w:val="009B1CD2"/>
    <w:rsid w:val="009B2D1A"/>
    <w:rsid w:val="009B41D9"/>
    <w:rsid w:val="009B476F"/>
    <w:rsid w:val="009B5BC0"/>
    <w:rsid w:val="009C0A93"/>
    <w:rsid w:val="009C16CF"/>
    <w:rsid w:val="009C2D4F"/>
    <w:rsid w:val="009C449A"/>
    <w:rsid w:val="009C4556"/>
    <w:rsid w:val="009C481F"/>
    <w:rsid w:val="009C636B"/>
    <w:rsid w:val="009C75A8"/>
    <w:rsid w:val="009D1475"/>
    <w:rsid w:val="009D2EC9"/>
    <w:rsid w:val="009D319D"/>
    <w:rsid w:val="009D3A00"/>
    <w:rsid w:val="009E0210"/>
    <w:rsid w:val="009E3017"/>
    <w:rsid w:val="009E5245"/>
    <w:rsid w:val="009E749D"/>
    <w:rsid w:val="009F00B0"/>
    <w:rsid w:val="009F0F8C"/>
    <w:rsid w:val="009F2A78"/>
    <w:rsid w:val="009F319A"/>
    <w:rsid w:val="009F4A79"/>
    <w:rsid w:val="009F6142"/>
    <w:rsid w:val="009F6A71"/>
    <w:rsid w:val="009F6E07"/>
    <w:rsid w:val="009F7BDA"/>
    <w:rsid w:val="00A01C71"/>
    <w:rsid w:val="00A036AC"/>
    <w:rsid w:val="00A0393E"/>
    <w:rsid w:val="00A03A50"/>
    <w:rsid w:val="00A03C3E"/>
    <w:rsid w:val="00A068E4"/>
    <w:rsid w:val="00A07268"/>
    <w:rsid w:val="00A106AB"/>
    <w:rsid w:val="00A113B5"/>
    <w:rsid w:val="00A134EB"/>
    <w:rsid w:val="00A15A5F"/>
    <w:rsid w:val="00A160A6"/>
    <w:rsid w:val="00A201D2"/>
    <w:rsid w:val="00A23C92"/>
    <w:rsid w:val="00A26E77"/>
    <w:rsid w:val="00A26FA9"/>
    <w:rsid w:val="00A34934"/>
    <w:rsid w:val="00A35A63"/>
    <w:rsid w:val="00A37534"/>
    <w:rsid w:val="00A4672B"/>
    <w:rsid w:val="00A479B1"/>
    <w:rsid w:val="00A507E4"/>
    <w:rsid w:val="00A5154B"/>
    <w:rsid w:val="00A535AE"/>
    <w:rsid w:val="00A53C94"/>
    <w:rsid w:val="00A53E39"/>
    <w:rsid w:val="00A54EBB"/>
    <w:rsid w:val="00A5559B"/>
    <w:rsid w:val="00A5629B"/>
    <w:rsid w:val="00A56A24"/>
    <w:rsid w:val="00A601D6"/>
    <w:rsid w:val="00A61374"/>
    <w:rsid w:val="00A61470"/>
    <w:rsid w:val="00A61B38"/>
    <w:rsid w:val="00A63D98"/>
    <w:rsid w:val="00A63EDE"/>
    <w:rsid w:val="00A66CF7"/>
    <w:rsid w:val="00A66D05"/>
    <w:rsid w:val="00A67933"/>
    <w:rsid w:val="00A74C4D"/>
    <w:rsid w:val="00A74EDA"/>
    <w:rsid w:val="00A77863"/>
    <w:rsid w:val="00A812DF"/>
    <w:rsid w:val="00A8406D"/>
    <w:rsid w:val="00A87B4E"/>
    <w:rsid w:val="00A87C84"/>
    <w:rsid w:val="00A90508"/>
    <w:rsid w:val="00A93E8E"/>
    <w:rsid w:val="00A951A2"/>
    <w:rsid w:val="00AA2057"/>
    <w:rsid w:val="00AA2304"/>
    <w:rsid w:val="00AA6D01"/>
    <w:rsid w:val="00AA721B"/>
    <w:rsid w:val="00AB095D"/>
    <w:rsid w:val="00AB58F2"/>
    <w:rsid w:val="00AB5C8F"/>
    <w:rsid w:val="00AC24C5"/>
    <w:rsid w:val="00AC60B9"/>
    <w:rsid w:val="00AC6670"/>
    <w:rsid w:val="00AD2131"/>
    <w:rsid w:val="00AD325F"/>
    <w:rsid w:val="00AD45EA"/>
    <w:rsid w:val="00AE14FC"/>
    <w:rsid w:val="00AE2D3B"/>
    <w:rsid w:val="00AE55F9"/>
    <w:rsid w:val="00AF1B33"/>
    <w:rsid w:val="00AF2F58"/>
    <w:rsid w:val="00AF36CB"/>
    <w:rsid w:val="00AF3CF2"/>
    <w:rsid w:val="00AF4566"/>
    <w:rsid w:val="00AF474A"/>
    <w:rsid w:val="00AF4BEB"/>
    <w:rsid w:val="00AF7658"/>
    <w:rsid w:val="00B0140C"/>
    <w:rsid w:val="00B043E9"/>
    <w:rsid w:val="00B0788B"/>
    <w:rsid w:val="00B106C1"/>
    <w:rsid w:val="00B107AC"/>
    <w:rsid w:val="00B1348A"/>
    <w:rsid w:val="00B21A17"/>
    <w:rsid w:val="00B2203F"/>
    <w:rsid w:val="00B224C0"/>
    <w:rsid w:val="00B23DEA"/>
    <w:rsid w:val="00B24B0D"/>
    <w:rsid w:val="00B25B27"/>
    <w:rsid w:val="00B26533"/>
    <w:rsid w:val="00B26826"/>
    <w:rsid w:val="00B309BF"/>
    <w:rsid w:val="00B30CE7"/>
    <w:rsid w:val="00B30E98"/>
    <w:rsid w:val="00B31116"/>
    <w:rsid w:val="00B31308"/>
    <w:rsid w:val="00B31B0C"/>
    <w:rsid w:val="00B31EE3"/>
    <w:rsid w:val="00B3209C"/>
    <w:rsid w:val="00B328B9"/>
    <w:rsid w:val="00B36AF8"/>
    <w:rsid w:val="00B37F9F"/>
    <w:rsid w:val="00B41BDA"/>
    <w:rsid w:val="00B4482B"/>
    <w:rsid w:val="00B472AE"/>
    <w:rsid w:val="00B4789D"/>
    <w:rsid w:val="00B50230"/>
    <w:rsid w:val="00B515B3"/>
    <w:rsid w:val="00B5314F"/>
    <w:rsid w:val="00B5325D"/>
    <w:rsid w:val="00B54A74"/>
    <w:rsid w:val="00B5536C"/>
    <w:rsid w:val="00B60293"/>
    <w:rsid w:val="00B62B01"/>
    <w:rsid w:val="00B668FB"/>
    <w:rsid w:val="00B67849"/>
    <w:rsid w:val="00B71A39"/>
    <w:rsid w:val="00B74A94"/>
    <w:rsid w:val="00B76B30"/>
    <w:rsid w:val="00B77392"/>
    <w:rsid w:val="00B808DC"/>
    <w:rsid w:val="00B81DCF"/>
    <w:rsid w:val="00B82319"/>
    <w:rsid w:val="00B85851"/>
    <w:rsid w:val="00B872EA"/>
    <w:rsid w:val="00B87FAD"/>
    <w:rsid w:val="00B932BD"/>
    <w:rsid w:val="00B94A1E"/>
    <w:rsid w:val="00B96770"/>
    <w:rsid w:val="00B97CF7"/>
    <w:rsid w:val="00BA011E"/>
    <w:rsid w:val="00BA097C"/>
    <w:rsid w:val="00BA0B6E"/>
    <w:rsid w:val="00BA0BF3"/>
    <w:rsid w:val="00BA1763"/>
    <w:rsid w:val="00BA293D"/>
    <w:rsid w:val="00BA5077"/>
    <w:rsid w:val="00BA78F7"/>
    <w:rsid w:val="00BB0E7B"/>
    <w:rsid w:val="00BB16BA"/>
    <w:rsid w:val="00BB6960"/>
    <w:rsid w:val="00BC2158"/>
    <w:rsid w:val="00BC2A56"/>
    <w:rsid w:val="00BC4568"/>
    <w:rsid w:val="00BC4CDF"/>
    <w:rsid w:val="00BC63D5"/>
    <w:rsid w:val="00BC75E6"/>
    <w:rsid w:val="00BD0493"/>
    <w:rsid w:val="00BD0539"/>
    <w:rsid w:val="00BD1E94"/>
    <w:rsid w:val="00BD32FD"/>
    <w:rsid w:val="00BD4D4A"/>
    <w:rsid w:val="00BE3437"/>
    <w:rsid w:val="00BF036C"/>
    <w:rsid w:val="00BF32B9"/>
    <w:rsid w:val="00C10296"/>
    <w:rsid w:val="00C122F3"/>
    <w:rsid w:val="00C1311B"/>
    <w:rsid w:val="00C135D5"/>
    <w:rsid w:val="00C1421A"/>
    <w:rsid w:val="00C142D8"/>
    <w:rsid w:val="00C17205"/>
    <w:rsid w:val="00C176B4"/>
    <w:rsid w:val="00C200AC"/>
    <w:rsid w:val="00C21504"/>
    <w:rsid w:val="00C22C59"/>
    <w:rsid w:val="00C23E8A"/>
    <w:rsid w:val="00C24A3A"/>
    <w:rsid w:val="00C24E0A"/>
    <w:rsid w:val="00C24E61"/>
    <w:rsid w:val="00C25D7C"/>
    <w:rsid w:val="00C265EA"/>
    <w:rsid w:val="00C30B8A"/>
    <w:rsid w:val="00C30C40"/>
    <w:rsid w:val="00C32450"/>
    <w:rsid w:val="00C34769"/>
    <w:rsid w:val="00C372A7"/>
    <w:rsid w:val="00C3782D"/>
    <w:rsid w:val="00C37D30"/>
    <w:rsid w:val="00C413D7"/>
    <w:rsid w:val="00C44CBD"/>
    <w:rsid w:val="00C46EF6"/>
    <w:rsid w:val="00C510F2"/>
    <w:rsid w:val="00C5231D"/>
    <w:rsid w:val="00C528C2"/>
    <w:rsid w:val="00C52B6B"/>
    <w:rsid w:val="00C5484B"/>
    <w:rsid w:val="00C54C9F"/>
    <w:rsid w:val="00C569CF"/>
    <w:rsid w:val="00C57055"/>
    <w:rsid w:val="00C60565"/>
    <w:rsid w:val="00C61633"/>
    <w:rsid w:val="00C622A5"/>
    <w:rsid w:val="00C62FC6"/>
    <w:rsid w:val="00C65056"/>
    <w:rsid w:val="00C67025"/>
    <w:rsid w:val="00C71E62"/>
    <w:rsid w:val="00C72BCD"/>
    <w:rsid w:val="00C72EC5"/>
    <w:rsid w:val="00C733E5"/>
    <w:rsid w:val="00C7369A"/>
    <w:rsid w:val="00C761CE"/>
    <w:rsid w:val="00C7759D"/>
    <w:rsid w:val="00C77A77"/>
    <w:rsid w:val="00C827CD"/>
    <w:rsid w:val="00C857DE"/>
    <w:rsid w:val="00C91892"/>
    <w:rsid w:val="00C95AFC"/>
    <w:rsid w:val="00CA02BB"/>
    <w:rsid w:val="00CA2FAE"/>
    <w:rsid w:val="00CA35E3"/>
    <w:rsid w:val="00CA3908"/>
    <w:rsid w:val="00CA463A"/>
    <w:rsid w:val="00CA4984"/>
    <w:rsid w:val="00CA5D63"/>
    <w:rsid w:val="00CA629D"/>
    <w:rsid w:val="00CA6E2A"/>
    <w:rsid w:val="00CA7EEE"/>
    <w:rsid w:val="00CB0175"/>
    <w:rsid w:val="00CB1C6A"/>
    <w:rsid w:val="00CB2FD4"/>
    <w:rsid w:val="00CB5035"/>
    <w:rsid w:val="00CB5B00"/>
    <w:rsid w:val="00CB6F34"/>
    <w:rsid w:val="00CB7846"/>
    <w:rsid w:val="00CC02A2"/>
    <w:rsid w:val="00CC4C4B"/>
    <w:rsid w:val="00CC5033"/>
    <w:rsid w:val="00CC601F"/>
    <w:rsid w:val="00CC7D02"/>
    <w:rsid w:val="00CD268A"/>
    <w:rsid w:val="00CE099A"/>
    <w:rsid w:val="00CE34DB"/>
    <w:rsid w:val="00CE5699"/>
    <w:rsid w:val="00CE5AE7"/>
    <w:rsid w:val="00CE6052"/>
    <w:rsid w:val="00CE750C"/>
    <w:rsid w:val="00CE7CE8"/>
    <w:rsid w:val="00CF5055"/>
    <w:rsid w:val="00CF57EB"/>
    <w:rsid w:val="00CF7820"/>
    <w:rsid w:val="00D0194F"/>
    <w:rsid w:val="00D05FB3"/>
    <w:rsid w:val="00D077A9"/>
    <w:rsid w:val="00D10316"/>
    <w:rsid w:val="00D14961"/>
    <w:rsid w:val="00D14F93"/>
    <w:rsid w:val="00D15892"/>
    <w:rsid w:val="00D17163"/>
    <w:rsid w:val="00D17345"/>
    <w:rsid w:val="00D1787F"/>
    <w:rsid w:val="00D17999"/>
    <w:rsid w:val="00D2189E"/>
    <w:rsid w:val="00D233CD"/>
    <w:rsid w:val="00D24861"/>
    <w:rsid w:val="00D32D91"/>
    <w:rsid w:val="00D35E0C"/>
    <w:rsid w:val="00D3655B"/>
    <w:rsid w:val="00D36973"/>
    <w:rsid w:val="00D43942"/>
    <w:rsid w:val="00D43C69"/>
    <w:rsid w:val="00D44C6C"/>
    <w:rsid w:val="00D531F3"/>
    <w:rsid w:val="00D55978"/>
    <w:rsid w:val="00D56F87"/>
    <w:rsid w:val="00D6053E"/>
    <w:rsid w:val="00D615B4"/>
    <w:rsid w:val="00D61DD7"/>
    <w:rsid w:val="00D62D8C"/>
    <w:rsid w:val="00D64ECC"/>
    <w:rsid w:val="00D65DBE"/>
    <w:rsid w:val="00D66929"/>
    <w:rsid w:val="00D721AD"/>
    <w:rsid w:val="00D7315D"/>
    <w:rsid w:val="00D73A2C"/>
    <w:rsid w:val="00D7410D"/>
    <w:rsid w:val="00D747DC"/>
    <w:rsid w:val="00D7569F"/>
    <w:rsid w:val="00D76CB0"/>
    <w:rsid w:val="00D83186"/>
    <w:rsid w:val="00D8500C"/>
    <w:rsid w:val="00D865BD"/>
    <w:rsid w:val="00D87FE8"/>
    <w:rsid w:val="00D90DDF"/>
    <w:rsid w:val="00D911A8"/>
    <w:rsid w:val="00D9282C"/>
    <w:rsid w:val="00D92C1F"/>
    <w:rsid w:val="00D93F8A"/>
    <w:rsid w:val="00D94288"/>
    <w:rsid w:val="00D954CF"/>
    <w:rsid w:val="00D95C57"/>
    <w:rsid w:val="00D970BC"/>
    <w:rsid w:val="00D976E6"/>
    <w:rsid w:val="00DA2476"/>
    <w:rsid w:val="00DA4AE0"/>
    <w:rsid w:val="00DA7A40"/>
    <w:rsid w:val="00DA7D04"/>
    <w:rsid w:val="00DA7D55"/>
    <w:rsid w:val="00DB393C"/>
    <w:rsid w:val="00DB53CC"/>
    <w:rsid w:val="00DC0627"/>
    <w:rsid w:val="00DC44A8"/>
    <w:rsid w:val="00DC6867"/>
    <w:rsid w:val="00DC7576"/>
    <w:rsid w:val="00DD03A4"/>
    <w:rsid w:val="00DD3E47"/>
    <w:rsid w:val="00DD4F80"/>
    <w:rsid w:val="00DD513B"/>
    <w:rsid w:val="00DD5F6E"/>
    <w:rsid w:val="00DE1573"/>
    <w:rsid w:val="00DE1752"/>
    <w:rsid w:val="00DE37E4"/>
    <w:rsid w:val="00DE45C0"/>
    <w:rsid w:val="00DE4D9D"/>
    <w:rsid w:val="00DE5AD0"/>
    <w:rsid w:val="00DE7F94"/>
    <w:rsid w:val="00DF0800"/>
    <w:rsid w:val="00DF1BDD"/>
    <w:rsid w:val="00DF2942"/>
    <w:rsid w:val="00DF3118"/>
    <w:rsid w:val="00DF3B63"/>
    <w:rsid w:val="00DF441E"/>
    <w:rsid w:val="00DF4F3B"/>
    <w:rsid w:val="00DF5AEA"/>
    <w:rsid w:val="00DF71CB"/>
    <w:rsid w:val="00DF72BA"/>
    <w:rsid w:val="00E00144"/>
    <w:rsid w:val="00E00E37"/>
    <w:rsid w:val="00E01AFB"/>
    <w:rsid w:val="00E0251A"/>
    <w:rsid w:val="00E04F1E"/>
    <w:rsid w:val="00E05043"/>
    <w:rsid w:val="00E0539D"/>
    <w:rsid w:val="00E079BE"/>
    <w:rsid w:val="00E07A94"/>
    <w:rsid w:val="00E1052A"/>
    <w:rsid w:val="00E10565"/>
    <w:rsid w:val="00E13CAB"/>
    <w:rsid w:val="00E15A6B"/>
    <w:rsid w:val="00E22CAC"/>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021B"/>
    <w:rsid w:val="00E512C6"/>
    <w:rsid w:val="00E5134D"/>
    <w:rsid w:val="00E5200E"/>
    <w:rsid w:val="00E52593"/>
    <w:rsid w:val="00E529C6"/>
    <w:rsid w:val="00E532CC"/>
    <w:rsid w:val="00E5507F"/>
    <w:rsid w:val="00E5564C"/>
    <w:rsid w:val="00E56F33"/>
    <w:rsid w:val="00E577BB"/>
    <w:rsid w:val="00E661AC"/>
    <w:rsid w:val="00E66225"/>
    <w:rsid w:val="00E677A6"/>
    <w:rsid w:val="00E677B6"/>
    <w:rsid w:val="00E7012B"/>
    <w:rsid w:val="00E702CA"/>
    <w:rsid w:val="00E71F41"/>
    <w:rsid w:val="00E722D3"/>
    <w:rsid w:val="00E72F6D"/>
    <w:rsid w:val="00E77A64"/>
    <w:rsid w:val="00E80383"/>
    <w:rsid w:val="00E80978"/>
    <w:rsid w:val="00E817CC"/>
    <w:rsid w:val="00E851CB"/>
    <w:rsid w:val="00E85AEB"/>
    <w:rsid w:val="00E869EE"/>
    <w:rsid w:val="00E90D7B"/>
    <w:rsid w:val="00E94BCC"/>
    <w:rsid w:val="00E96A40"/>
    <w:rsid w:val="00E96B04"/>
    <w:rsid w:val="00E96BA1"/>
    <w:rsid w:val="00E978C4"/>
    <w:rsid w:val="00EA2575"/>
    <w:rsid w:val="00EA269B"/>
    <w:rsid w:val="00EA56D9"/>
    <w:rsid w:val="00EA75F5"/>
    <w:rsid w:val="00EB0480"/>
    <w:rsid w:val="00EB3435"/>
    <w:rsid w:val="00EB371B"/>
    <w:rsid w:val="00EB5BE7"/>
    <w:rsid w:val="00EB6FA4"/>
    <w:rsid w:val="00EB7010"/>
    <w:rsid w:val="00EC3ABF"/>
    <w:rsid w:val="00EC3CBE"/>
    <w:rsid w:val="00EC52D0"/>
    <w:rsid w:val="00EC7062"/>
    <w:rsid w:val="00ED49E8"/>
    <w:rsid w:val="00ED5767"/>
    <w:rsid w:val="00EE0899"/>
    <w:rsid w:val="00EE26F4"/>
    <w:rsid w:val="00EE37FE"/>
    <w:rsid w:val="00EE3CD0"/>
    <w:rsid w:val="00EE3FFA"/>
    <w:rsid w:val="00EE41EC"/>
    <w:rsid w:val="00EE66A0"/>
    <w:rsid w:val="00EE75F7"/>
    <w:rsid w:val="00EF0821"/>
    <w:rsid w:val="00EF2329"/>
    <w:rsid w:val="00EF5882"/>
    <w:rsid w:val="00EF6EA2"/>
    <w:rsid w:val="00F016F1"/>
    <w:rsid w:val="00F01D95"/>
    <w:rsid w:val="00F056D1"/>
    <w:rsid w:val="00F06173"/>
    <w:rsid w:val="00F075BE"/>
    <w:rsid w:val="00F102A8"/>
    <w:rsid w:val="00F11B14"/>
    <w:rsid w:val="00F12AF3"/>
    <w:rsid w:val="00F13281"/>
    <w:rsid w:val="00F152FD"/>
    <w:rsid w:val="00F16E92"/>
    <w:rsid w:val="00F22A0F"/>
    <w:rsid w:val="00F22A7A"/>
    <w:rsid w:val="00F2377C"/>
    <w:rsid w:val="00F23E79"/>
    <w:rsid w:val="00F2560A"/>
    <w:rsid w:val="00F2702D"/>
    <w:rsid w:val="00F274A9"/>
    <w:rsid w:val="00F30A3A"/>
    <w:rsid w:val="00F334CA"/>
    <w:rsid w:val="00F3586D"/>
    <w:rsid w:val="00F362CD"/>
    <w:rsid w:val="00F37299"/>
    <w:rsid w:val="00F4112E"/>
    <w:rsid w:val="00F411A8"/>
    <w:rsid w:val="00F41398"/>
    <w:rsid w:val="00F430D9"/>
    <w:rsid w:val="00F44D19"/>
    <w:rsid w:val="00F460D9"/>
    <w:rsid w:val="00F46201"/>
    <w:rsid w:val="00F4797F"/>
    <w:rsid w:val="00F52946"/>
    <w:rsid w:val="00F529BA"/>
    <w:rsid w:val="00F5623B"/>
    <w:rsid w:val="00F56EA9"/>
    <w:rsid w:val="00F60016"/>
    <w:rsid w:val="00F60224"/>
    <w:rsid w:val="00F70A7B"/>
    <w:rsid w:val="00F71353"/>
    <w:rsid w:val="00F74EDD"/>
    <w:rsid w:val="00F770B3"/>
    <w:rsid w:val="00F80D27"/>
    <w:rsid w:val="00F811C7"/>
    <w:rsid w:val="00F81851"/>
    <w:rsid w:val="00F83E96"/>
    <w:rsid w:val="00F84C29"/>
    <w:rsid w:val="00F86B20"/>
    <w:rsid w:val="00F9060C"/>
    <w:rsid w:val="00F90877"/>
    <w:rsid w:val="00F935E6"/>
    <w:rsid w:val="00F93C3D"/>
    <w:rsid w:val="00F95375"/>
    <w:rsid w:val="00F95FE8"/>
    <w:rsid w:val="00FA0E5E"/>
    <w:rsid w:val="00FA1CC7"/>
    <w:rsid w:val="00FA2C06"/>
    <w:rsid w:val="00FA342C"/>
    <w:rsid w:val="00FA62A1"/>
    <w:rsid w:val="00FA66F3"/>
    <w:rsid w:val="00FA6B79"/>
    <w:rsid w:val="00FB03BF"/>
    <w:rsid w:val="00FB5F28"/>
    <w:rsid w:val="00FB60A4"/>
    <w:rsid w:val="00FB724C"/>
    <w:rsid w:val="00FB778F"/>
    <w:rsid w:val="00FC0606"/>
    <w:rsid w:val="00FC309B"/>
    <w:rsid w:val="00FC3A9E"/>
    <w:rsid w:val="00FC41B6"/>
    <w:rsid w:val="00FC789C"/>
    <w:rsid w:val="00FC7A7C"/>
    <w:rsid w:val="00FC7CE8"/>
    <w:rsid w:val="00FD24F6"/>
    <w:rsid w:val="00FD372A"/>
    <w:rsid w:val="00FD3C56"/>
    <w:rsid w:val="00FD4113"/>
    <w:rsid w:val="00FD4A07"/>
    <w:rsid w:val="00FD659B"/>
    <w:rsid w:val="00FD6EC5"/>
    <w:rsid w:val="00FE05F4"/>
    <w:rsid w:val="00FE355B"/>
    <w:rsid w:val="00FE47E9"/>
    <w:rsid w:val="00FE6723"/>
    <w:rsid w:val="00FE6737"/>
    <w:rsid w:val="00FF13A8"/>
    <w:rsid w:val="00FF1A86"/>
    <w:rsid w:val="00FF3444"/>
    <w:rsid w:val="00FF37CC"/>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6769AA"/>
    <w:pPr>
      <w:tabs>
        <w:tab w:val="center" w:pos="4513"/>
        <w:tab w:val="right" w:pos="9026"/>
      </w:tabs>
      <w:jc w:val="right"/>
    </w:pPr>
    <w:rPr>
      <w:b/>
      <w:u w:val="single"/>
    </w:rPr>
  </w:style>
  <w:style w:type="character" w:customStyle="1" w:styleId="HeaderChar">
    <w:name w:val="Header Char"/>
    <w:basedOn w:val="DefaultParagraphFont"/>
    <w:link w:val="Header"/>
    <w:uiPriority w:val="99"/>
    <w:rsid w:val="006769AA"/>
    <w:rPr>
      <w:rFonts w:ascii="Times New Roman" w:hAnsi="Times New Roman" w:cs="Times New Roman"/>
      <w:b/>
      <w:sz w:val="24"/>
      <w:szCs w:val="24"/>
      <w:u w:val="single"/>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NumberList">
    <w:name w:val="Number List"/>
    <w:basedOn w:val="Normal"/>
    <w:rsid w:val="00A63D98"/>
    <w:pPr>
      <w:numPr>
        <w:numId w:val="29"/>
      </w:numPr>
      <w:tabs>
        <w:tab w:val="left" w:pos="1985"/>
      </w:tabs>
      <w:spacing w:before="240" w:line="240" w:lineRule="atLeast"/>
    </w:pPr>
    <w:rPr>
      <w:rFonts w:eastAsia="Times New Roman"/>
      <w:lang w:val="en-AU" w:bidi="ar-SA"/>
    </w:rPr>
  </w:style>
  <w:style w:type="paragraph" w:customStyle="1" w:styleId="Paragraph0">
    <w:name w:val="Paragraph"/>
    <w:basedOn w:val="Normal"/>
    <w:rsid w:val="000F714A"/>
    <w:pPr>
      <w:numPr>
        <w:ilvl w:val="12"/>
      </w:numPr>
      <w:spacing w:before="240"/>
    </w:pPr>
    <w:rPr>
      <w:rFonts w:eastAsia="Times New Roman"/>
      <w:szCs w:val="20"/>
      <w:lang w:val="en-AU" w:eastAsia="en-AU" w:bidi="ar-SA"/>
    </w:rPr>
  </w:style>
  <w:style w:type="paragraph" w:customStyle="1" w:styleId="subsection">
    <w:name w:val="subsection"/>
    <w:aliases w:val="ss"/>
    <w:basedOn w:val="Normal"/>
    <w:link w:val="subsectionChar"/>
    <w:rsid w:val="00651072"/>
    <w:pPr>
      <w:tabs>
        <w:tab w:val="right" w:pos="1021"/>
      </w:tabs>
      <w:spacing w:before="180"/>
      <w:ind w:left="1134" w:hanging="1134"/>
    </w:pPr>
    <w:rPr>
      <w:rFonts w:eastAsia="Times New Roman"/>
      <w:sz w:val="22"/>
      <w:szCs w:val="20"/>
      <w:lang w:val="en-AU" w:eastAsia="en-AU" w:bidi="ar-SA"/>
    </w:rPr>
  </w:style>
  <w:style w:type="character" w:customStyle="1" w:styleId="subsectionChar">
    <w:name w:val="subsection Char"/>
    <w:aliases w:val="ss Char"/>
    <w:basedOn w:val="DefaultParagraphFont"/>
    <w:link w:val="subsection"/>
    <w:locked/>
    <w:rsid w:val="00651072"/>
    <w:rPr>
      <w:rFonts w:ascii="Times New Roman" w:eastAsia="Times New Roman" w:hAnsi="Times New Roman" w:cs="Times New Roman"/>
      <w:szCs w:val="20"/>
      <w:lang w:val="en-AU" w:eastAsia="en-AU" w:bidi="ar-SA"/>
    </w:rPr>
  </w:style>
  <w:style w:type="paragraph" w:customStyle="1" w:styleId="NumberListSub">
    <w:name w:val="Number List Sub"/>
    <w:basedOn w:val="NumberList"/>
    <w:rsid w:val="00CA5D63"/>
    <w:pPr>
      <w:numPr>
        <w:numId w:val="0"/>
      </w:numPr>
      <w:tabs>
        <w:tab w:val="num" w:pos="1985"/>
        <w:tab w:val="left" w:pos="2552"/>
      </w:tabs>
      <w:ind w:left="1985"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4999">
      <w:bodyDiv w:val="1"/>
      <w:marLeft w:val="0"/>
      <w:marRight w:val="0"/>
      <w:marTop w:val="0"/>
      <w:marBottom w:val="0"/>
      <w:divBdr>
        <w:top w:val="none" w:sz="0" w:space="0" w:color="auto"/>
        <w:left w:val="none" w:sz="0" w:space="0" w:color="auto"/>
        <w:bottom w:val="none" w:sz="0" w:space="0" w:color="auto"/>
        <w:right w:val="none" w:sz="0" w:space="0" w:color="auto"/>
      </w:divBdr>
    </w:div>
    <w:div w:id="160320695">
      <w:bodyDiv w:val="1"/>
      <w:marLeft w:val="0"/>
      <w:marRight w:val="0"/>
      <w:marTop w:val="0"/>
      <w:marBottom w:val="0"/>
      <w:divBdr>
        <w:top w:val="none" w:sz="0" w:space="0" w:color="auto"/>
        <w:left w:val="none" w:sz="0" w:space="0" w:color="auto"/>
        <w:bottom w:val="none" w:sz="0" w:space="0" w:color="auto"/>
        <w:right w:val="none" w:sz="0" w:space="0" w:color="auto"/>
      </w:divBdr>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15427">
      <w:bodyDiv w:val="1"/>
      <w:marLeft w:val="0"/>
      <w:marRight w:val="0"/>
      <w:marTop w:val="0"/>
      <w:marBottom w:val="0"/>
      <w:divBdr>
        <w:top w:val="none" w:sz="0" w:space="0" w:color="auto"/>
        <w:left w:val="none" w:sz="0" w:space="0" w:color="auto"/>
        <w:bottom w:val="none" w:sz="0" w:space="0" w:color="auto"/>
        <w:right w:val="none" w:sz="0" w:space="0" w:color="auto"/>
      </w:divBdr>
    </w:div>
    <w:div w:id="747189775">
      <w:bodyDiv w:val="1"/>
      <w:marLeft w:val="0"/>
      <w:marRight w:val="0"/>
      <w:marTop w:val="0"/>
      <w:marBottom w:val="0"/>
      <w:divBdr>
        <w:top w:val="none" w:sz="0" w:space="0" w:color="auto"/>
        <w:left w:val="none" w:sz="0" w:space="0" w:color="auto"/>
        <w:bottom w:val="none" w:sz="0" w:space="0" w:color="auto"/>
        <w:right w:val="none" w:sz="0" w:space="0" w:color="auto"/>
      </w:divBdr>
    </w:div>
    <w:div w:id="17811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b.gov.a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C2715-6B22-42BC-B9E3-2C9D262A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Renton</dc:creator>
  <cp:lastModifiedBy>John Renton</cp:lastModifiedBy>
  <cp:revision>8</cp:revision>
  <cp:lastPrinted>2014-12-11T05:28:00Z</cp:lastPrinted>
  <dcterms:created xsi:type="dcterms:W3CDTF">2015-01-23T00:52:00Z</dcterms:created>
  <dcterms:modified xsi:type="dcterms:W3CDTF">2015-01-23T00:55:00Z</dcterms:modified>
</cp:coreProperties>
</file>