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0ED693" w14:textId="77777777" w:rsidR="00681E73" w:rsidRPr="00824A97" w:rsidRDefault="00681E73" w:rsidP="00681E73">
      <w:pPr>
        <w:pStyle w:val="Title"/>
        <w:rPr>
          <w:u w:val="none"/>
        </w:rPr>
      </w:pPr>
      <w:r>
        <w:rPr>
          <w:u w:val="none"/>
        </w:rPr>
        <w:t>Explanatory Statement</w:t>
      </w:r>
    </w:p>
    <w:p w14:paraId="284A9F2B" w14:textId="77777777" w:rsidR="00681E73" w:rsidRPr="00824A97" w:rsidRDefault="00681E73" w:rsidP="00681E73">
      <w:pPr>
        <w:rPr>
          <w:sz w:val="24"/>
        </w:rPr>
      </w:pPr>
    </w:p>
    <w:p w14:paraId="51C8FF53" w14:textId="77777777" w:rsidR="00681E73" w:rsidRPr="00824A97" w:rsidRDefault="00681E73" w:rsidP="00681E73">
      <w:pPr>
        <w:pStyle w:val="Heading1"/>
      </w:pPr>
      <w:r w:rsidRPr="00824A97">
        <w:t>Broadcasting Services Act 1992</w:t>
      </w:r>
    </w:p>
    <w:p w14:paraId="26F7F0AA" w14:textId="77777777" w:rsidR="00681E73" w:rsidRPr="00824A97" w:rsidRDefault="00681E73" w:rsidP="00681E73"/>
    <w:p w14:paraId="10D8779D" w14:textId="77777777" w:rsidR="00681E73" w:rsidRPr="00824A97" w:rsidRDefault="00681E73" w:rsidP="00681E73">
      <w:pPr>
        <w:jc w:val="center"/>
        <w:rPr>
          <w:b/>
          <w:sz w:val="28"/>
          <w:szCs w:val="28"/>
        </w:rPr>
      </w:pPr>
      <w:r w:rsidRPr="00824A97">
        <w:rPr>
          <w:b/>
          <w:sz w:val="28"/>
          <w:szCs w:val="28"/>
        </w:rPr>
        <w:t xml:space="preserve">Broadcasting Services (Events) Notice (No. 1) </w:t>
      </w:r>
      <w:r>
        <w:rPr>
          <w:b/>
          <w:sz w:val="28"/>
          <w:szCs w:val="28"/>
        </w:rPr>
        <w:t>2010</w:t>
      </w:r>
    </w:p>
    <w:p w14:paraId="5B716AF2" w14:textId="7E13388E" w:rsidR="00681E73" w:rsidRPr="00824A97" w:rsidRDefault="00681E73" w:rsidP="00681E73">
      <w:pPr>
        <w:jc w:val="center"/>
        <w:rPr>
          <w:b/>
          <w:sz w:val="28"/>
          <w:szCs w:val="28"/>
        </w:rPr>
      </w:pPr>
      <w:r w:rsidRPr="00824A97">
        <w:rPr>
          <w:b/>
          <w:sz w:val="28"/>
          <w:szCs w:val="28"/>
        </w:rPr>
        <w:t xml:space="preserve">(Amendment No. </w:t>
      </w:r>
      <w:r>
        <w:rPr>
          <w:b/>
          <w:sz w:val="28"/>
          <w:szCs w:val="28"/>
        </w:rPr>
        <w:t>1</w:t>
      </w:r>
      <w:r w:rsidR="00F25483">
        <w:rPr>
          <w:b/>
          <w:sz w:val="28"/>
          <w:szCs w:val="28"/>
        </w:rPr>
        <w:t xml:space="preserve"> of 2015</w:t>
      </w:r>
      <w:r w:rsidRPr="00824A97">
        <w:rPr>
          <w:b/>
          <w:sz w:val="28"/>
          <w:szCs w:val="28"/>
        </w:rPr>
        <w:t>)</w:t>
      </w:r>
    </w:p>
    <w:p w14:paraId="2920A680" w14:textId="77777777" w:rsidR="00681E73" w:rsidRPr="00824A97" w:rsidRDefault="00681E73" w:rsidP="00681E73">
      <w:pPr>
        <w:pStyle w:val="BodyText3"/>
      </w:pPr>
    </w:p>
    <w:p w14:paraId="64A03525" w14:textId="77777777" w:rsidR="00681E73" w:rsidRPr="00824A97" w:rsidRDefault="00681E73" w:rsidP="00681E73">
      <w:pPr>
        <w:pStyle w:val="BodyText3"/>
      </w:pPr>
    </w:p>
    <w:p w14:paraId="7123B291" w14:textId="77777777" w:rsidR="00681E73" w:rsidRPr="00824A97" w:rsidRDefault="00681E73" w:rsidP="00681E73">
      <w:pPr>
        <w:pStyle w:val="BodyText"/>
      </w:pPr>
      <w:r w:rsidRPr="00824A97">
        <w:t xml:space="preserve">Issued by the Authority of the Minister for Communications </w:t>
      </w:r>
    </w:p>
    <w:p w14:paraId="0186549F" w14:textId="77777777" w:rsidR="00681E73" w:rsidRPr="00824A97" w:rsidRDefault="00681E73" w:rsidP="00681E73">
      <w:pPr>
        <w:rPr>
          <w:sz w:val="24"/>
        </w:rPr>
      </w:pPr>
    </w:p>
    <w:p w14:paraId="196919A0" w14:textId="77777777" w:rsidR="00681E73" w:rsidRPr="0023682E" w:rsidRDefault="00681E73" w:rsidP="00681E73">
      <w:pPr>
        <w:rPr>
          <w:sz w:val="24"/>
          <w:u w:val="single"/>
        </w:rPr>
      </w:pPr>
      <w:r w:rsidRPr="0023682E">
        <w:rPr>
          <w:sz w:val="24"/>
          <w:u w:val="single"/>
        </w:rPr>
        <w:t>Purpose</w:t>
      </w:r>
    </w:p>
    <w:p w14:paraId="7008DC00" w14:textId="77777777" w:rsidR="00681E73" w:rsidRPr="0023682E" w:rsidRDefault="00681E73" w:rsidP="00681E73">
      <w:pPr>
        <w:rPr>
          <w:sz w:val="24"/>
          <w:szCs w:val="24"/>
        </w:rPr>
      </w:pPr>
    </w:p>
    <w:p w14:paraId="1EECDF48" w14:textId="6E412BC2" w:rsidR="00681E73" w:rsidRPr="0023682E" w:rsidRDefault="00681E73" w:rsidP="00681E73">
      <w:pPr>
        <w:rPr>
          <w:sz w:val="24"/>
          <w:szCs w:val="24"/>
        </w:rPr>
      </w:pPr>
      <w:r w:rsidRPr="0023682E">
        <w:rPr>
          <w:sz w:val="24"/>
          <w:szCs w:val="24"/>
        </w:rPr>
        <w:t xml:space="preserve">The </w:t>
      </w:r>
      <w:r w:rsidRPr="0023682E">
        <w:rPr>
          <w:i/>
          <w:sz w:val="24"/>
          <w:szCs w:val="24"/>
        </w:rPr>
        <w:t>Broadcasting Services (Events) Noti</w:t>
      </w:r>
      <w:r>
        <w:rPr>
          <w:i/>
          <w:sz w:val="24"/>
          <w:szCs w:val="24"/>
        </w:rPr>
        <w:t xml:space="preserve">ce (No. 1) 2010 (Amendment No. 1 </w:t>
      </w:r>
      <w:r w:rsidRPr="0023682E">
        <w:rPr>
          <w:i/>
          <w:sz w:val="24"/>
          <w:szCs w:val="24"/>
        </w:rPr>
        <w:t>of 201</w:t>
      </w:r>
      <w:r w:rsidR="00F25483">
        <w:rPr>
          <w:i/>
          <w:sz w:val="24"/>
          <w:szCs w:val="24"/>
        </w:rPr>
        <w:t>5</w:t>
      </w:r>
      <w:r w:rsidRPr="0023682E">
        <w:rPr>
          <w:i/>
          <w:sz w:val="24"/>
          <w:szCs w:val="24"/>
        </w:rPr>
        <w:t>)</w:t>
      </w:r>
      <w:r w:rsidRPr="0023682E">
        <w:rPr>
          <w:sz w:val="24"/>
          <w:szCs w:val="24"/>
        </w:rPr>
        <w:t xml:space="preserve"> (the Notice) is made by the Minister for </w:t>
      </w:r>
      <w:r>
        <w:rPr>
          <w:sz w:val="24"/>
          <w:szCs w:val="24"/>
        </w:rPr>
        <w:t xml:space="preserve">Communications </w:t>
      </w:r>
      <w:r w:rsidRPr="0023682E">
        <w:rPr>
          <w:sz w:val="24"/>
          <w:szCs w:val="24"/>
        </w:rPr>
        <w:t xml:space="preserve">(the Minister) under subsection 115(2) of the </w:t>
      </w:r>
      <w:r w:rsidRPr="0023682E">
        <w:rPr>
          <w:i/>
          <w:sz w:val="24"/>
          <w:szCs w:val="24"/>
        </w:rPr>
        <w:t>Broadcasting Services Act 1992</w:t>
      </w:r>
      <w:r>
        <w:rPr>
          <w:sz w:val="24"/>
          <w:szCs w:val="24"/>
        </w:rPr>
        <w:t xml:space="preserve"> (the BSA).</w:t>
      </w:r>
    </w:p>
    <w:p w14:paraId="003E7EFD" w14:textId="77777777" w:rsidR="00681E73" w:rsidRPr="0023682E" w:rsidRDefault="00681E73" w:rsidP="00681E73">
      <w:pPr>
        <w:rPr>
          <w:sz w:val="24"/>
          <w:szCs w:val="24"/>
        </w:rPr>
      </w:pPr>
    </w:p>
    <w:p w14:paraId="789A5B5E" w14:textId="77777777" w:rsidR="00681E73" w:rsidRPr="0023682E" w:rsidRDefault="00681E73" w:rsidP="00681E73">
      <w:pPr>
        <w:rPr>
          <w:sz w:val="24"/>
          <w:szCs w:val="24"/>
        </w:rPr>
      </w:pPr>
      <w:r w:rsidRPr="0023682E">
        <w:rPr>
          <w:sz w:val="24"/>
          <w:szCs w:val="24"/>
        </w:rPr>
        <w:t xml:space="preserve">The purpose of this Notice is to amend the </w:t>
      </w:r>
      <w:r w:rsidRPr="0023682E">
        <w:rPr>
          <w:i/>
          <w:sz w:val="24"/>
          <w:szCs w:val="24"/>
        </w:rPr>
        <w:t xml:space="preserve">Broadcasting Services (Events) Notice (No. 1) </w:t>
      </w:r>
      <w:r>
        <w:rPr>
          <w:i/>
          <w:sz w:val="24"/>
          <w:szCs w:val="24"/>
        </w:rPr>
        <w:t>2010</w:t>
      </w:r>
      <w:r w:rsidRPr="0023682E">
        <w:rPr>
          <w:sz w:val="24"/>
          <w:szCs w:val="24"/>
        </w:rPr>
        <w:t xml:space="preserve"> (the Principal Notice) to remove certain events from the Principal Notice to permit the events to be premiered on a </w:t>
      </w:r>
      <w:r>
        <w:rPr>
          <w:sz w:val="24"/>
          <w:szCs w:val="24"/>
        </w:rPr>
        <w:t>‘</w:t>
      </w:r>
      <w:r w:rsidRPr="0023682E">
        <w:rPr>
          <w:sz w:val="24"/>
          <w:szCs w:val="24"/>
        </w:rPr>
        <w:t>free-to-air</w:t>
      </w:r>
      <w:r>
        <w:rPr>
          <w:sz w:val="24"/>
          <w:szCs w:val="24"/>
        </w:rPr>
        <w:t>’</w:t>
      </w:r>
      <w:r w:rsidRPr="0023682E">
        <w:rPr>
          <w:sz w:val="24"/>
          <w:szCs w:val="24"/>
        </w:rPr>
        <w:t xml:space="preserve"> te</w:t>
      </w:r>
      <w:r>
        <w:rPr>
          <w:sz w:val="24"/>
          <w:szCs w:val="24"/>
        </w:rPr>
        <w:t>levision digital multichannel.</w:t>
      </w:r>
    </w:p>
    <w:p w14:paraId="54B00C7A" w14:textId="77777777" w:rsidR="00681E73" w:rsidRPr="0023682E" w:rsidRDefault="00681E73" w:rsidP="00681E73">
      <w:pPr>
        <w:rPr>
          <w:sz w:val="24"/>
          <w:szCs w:val="24"/>
        </w:rPr>
      </w:pPr>
    </w:p>
    <w:p w14:paraId="00DB78C5" w14:textId="77777777" w:rsidR="00681E73" w:rsidRPr="0023682E" w:rsidRDefault="00681E73" w:rsidP="00681E73">
      <w:pPr>
        <w:rPr>
          <w:sz w:val="24"/>
          <w:szCs w:val="24"/>
        </w:rPr>
      </w:pPr>
      <w:r w:rsidRPr="0023682E">
        <w:rPr>
          <w:sz w:val="24"/>
          <w:szCs w:val="24"/>
        </w:rPr>
        <w:t xml:space="preserve">This Notice is a legislative instrument for the purposes of </w:t>
      </w:r>
      <w:r>
        <w:rPr>
          <w:sz w:val="24"/>
          <w:szCs w:val="24"/>
        </w:rPr>
        <w:t>paragraph</w:t>
      </w:r>
      <w:r w:rsidRPr="0023682E">
        <w:rPr>
          <w:sz w:val="24"/>
          <w:szCs w:val="24"/>
        </w:rPr>
        <w:t xml:space="preserve"> 6(d) of the </w:t>
      </w:r>
      <w:r w:rsidRPr="0023682E">
        <w:rPr>
          <w:i/>
          <w:sz w:val="24"/>
          <w:szCs w:val="24"/>
        </w:rPr>
        <w:t>Legislative Instruments Act 2003</w:t>
      </w:r>
      <w:r w:rsidRPr="0023682E">
        <w:rPr>
          <w:sz w:val="24"/>
          <w:szCs w:val="24"/>
        </w:rPr>
        <w:t>.</w:t>
      </w:r>
    </w:p>
    <w:p w14:paraId="7EB4C5E0" w14:textId="77777777" w:rsidR="00681E73" w:rsidRPr="0023682E" w:rsidRDefault="00681E73" w:rsidP="00681E73">
      <w:pPr>
        <w:rPr>
          <w:sz w:val="24"/>
          <w:szCs w:val="24"/>
        </w:rPr>
      </w:pPr>
    </w:p>
    <w:p w14:paraId="781817F0" w14:textId="77777777" w:rsidR="00681E73" w:rsidRPr="0023682E" w:rsidRDefault="00681E73" w:rsidP="00681E73">
      <w:pPr>
        <w:rPr>
          <w:sz w:val="24"/>
          <w:u w:val="single"/>
        </w:rPr>
      </w:pPr>
      <w:r w:rsidRPr="0023682E">
        <w:rPr>
          <w:sz w:val="24"/>
          <w:u w:val="single"/>
        </w:rPr>
        <w:t>Background</w:t>
      </w:r>
    </w:p>
    <w:p w14:paraId="4F5B376A" w14:textId="77777777" w:rsidR="00681E73" w:rsidRPr="0023682E" w:rsidRDefault="00681E73" w:rsidP="00681E73">
      <w:pPr>
        <w:rPr>
          <w:sz w:val="24"/>
        </w:rPr>
      </w:pPr>
    </w:p>
    <w:p w14:paraId="7969C6A1" w14:textId="77777777" w:rsidR="00681E73" w:rsidRPr="0023682E" w:rsidRDefault="00681E73" w:rsidP="00681E73">
      <w:pPr>
        <w:rPr>
          <w:i/>
          <w:sz w:val="24"/>
        </w:rPr>
      </w:pPr>
      <w:r w:rsidRPr="0023682E">
        <w:rPr>
          <w:i/>
          <w:sz w:val="24"/>
        </w:rPr>
        <w:t xml:space="preserve">Legislative background </w:t>
      </w:r>
    </w:p>
    <w:p w14:paraId="69F6089F" w14:textId="77777777" w:rsidR="00681E73" w:rsidRPr="0023682E" w:rsidRDefault="00681E73" w:rsidP="00681E73">
      <w:pPr>
        <w:rPr>
          <w:sz w:val="24"/>
        </w:rPr>
      </w:pPr>
    </w:p>
    <w:p w14:paraId="1EB5989A" w14:textId="77777777" w:rsidR="00681E73" w:rsidRPr="0023682E" w:rsidRDefault="00681E73" w:rsidP="00681E73">
      <w:pPr>
        <w:pStyle w:val="Heading1"/>
        <w:jc w:val="left"/>
        <w:rPr>
          <w:i w:val="0"/>
          <w:szCs w:val="24"/>
        </w:rPr>
      </w:pPr>
      <w:r w:rsidRPr="0023682E">
        <w:rPr>
          <w:i w:val="0"/>
          <w:szCs w:val="24"/>
        </w:rPr>
        <w:t xml:space="preserve">Subsection </w:t>
      </w:r>
      <w:r w:rsidRPr="0023682E">
        <w:rPr>
          <w:i w:val="0"/>
        </w:rPr>
        <w:t>115(1)</w:t>
      </w:r>
      <w:r w:rsidRPr="0023682E">
        <w:rPr>
          <w:i w:val="0"/>
          <w:szCs w:val="24"/>
        </w:rPr>
        <w:t xml:space="preserve"> of the BSA provides that the Minister may </w:t>
      </w:r>
      <w:r>
        <w:rPr>
          <w:i w:val="0"/>
          <w:szCs w:val="24"/>
        </w:rPr>
        <w:t xml:space="preserve">make a notice that </w:t>
      </w:r>
      <w:r w:rsidRPr="0023682E">
        <w:rPr>
          <w:i w:val="0"/>
          <w:szCs w:val="24"/>
        </w:rPr>
        <w:t>specif</w:t>
      </w:r>
      <w:r>
        <w:rPr>
          <w:i w:val="0"/>
          <w:szCs w:val="24"/>
        </w:rPr>
        <w:t>ies</w:t>
      </w:r>
      <w:r w:rsidRPr="0023682E">
        <w:rPr>
          <w:i w:val="0"/>
          <w:szCs w:val="24"/>
        </w:rPr>
        <w:t xml:space="preserve"> events that</w:t>
      </w:r>
      <w:r>
        <w:rPr>
          <w:i w:val="0"/>
          <w:szCs w:val="24"/>
        </w:rPr>
        <w:t>,</w:t>
      </w:r>
      <w:r w:rsidRPr="0023682E">
        <w:rPr>
          <w:i w:val="0"/>
          <w:szCs w:val="24"/>
        </w:rPr>
        <w:t xml:space="preserve"> in the Minister’s opinion</w:t>
      </w:r>
      <w:r>
        <w:rPr>
          <w:i w:val="0"/>
          <w:szCs w:val="24"/>
        </w:rPr>
        <w:t>,</w:t>
      </w:r>
      <w:r w:rsidRPr="0023682E">
        <w:rPr>
          <w:i w:val="0"/>
          <w:szCs w:val="24"/>
        </w:rPr>
        <w:t xml:space="preserve"> should be televised free to the </w:t>
      </w:r>
      <w:r>
        <w:rPr>
          <w:i w:val="0"/>
          <w:szCs w:val="24"/>
        </w:rPr>
        <w:t xml:space="preserve">general </w:t>
      </w:r>
      <w:r w:rsidRPr="0023682E">
        <w:rPr>
          <w:i w:val="0"/>
          <w:szCs w:val="24"/>
        </w:rPr>
        <w:t xml:space="preserve">public. </w:t>
      </w:r>
      <w:r>
        <w:rPr>
          <w:i w:val="0"/>
          <w:szCs w:val="24"/>
        </w:rPr>
        <w:t xml:space="preserve">An event or an event of a kind specified in a notice under subsection 115(1) is an ‘anti-siphoning event’ for the purposes of the definition of that term in section 6 of the BSA. The notice made under subsection 115(1) </w:t>
      </w:r>
      <w:r w:rsidRPr="0023682E">
        <w:rPr>
          <w:i w:val="0"/>
          <w:szCs w:val="24"/>
        </w:rPr>
        <w:t>is commonly kn</w:t>
      </w:r>
      <w:r>
        <w:rPr>
          <w:i w:val="0"/>
          <w:szCs w:val="24"/>
        </w:rPr>
        <w:t>own as the anti</w:t>
      </w:r>
      <w:r>
        <w:rPr>
          <w:i w:val="0"/>
          <w:szCs w:val="24"/>
        </w:rPr>
        <w:noBreakHyphen/>
        <w:t>siphoning list.</w:t>
      </w:r>
    </w:p>
    <w:p w14:paraId="37AC0172" w14:textId="77777777" w:rsidR="00681E73" w:rsidRPr="0023682E" w:rsidRDefault="00681E73" w:rsidP="00681E73">
      <w:pPr>
        <w:pStyle w:val="Heading1"/>
        <w:keepNext w:val="0"/>
        <w:jc w:val="left"/>
        <w:rPr>
          <w:i w:val="0"/>
          <w:szCs w:val="24"/>
        </w:rPr>
      </w:pPr>
    </w:p>
    <w:p w14:paraId="5CC0406A" w14:textId="77777777" w:rsidR="00681E73" w:rsidRPr="0023682E" w:rsidRDefault="00681E73" w:rsidP="00681E73">
      <w:pPr>
        <w:pStyle w:val="Heading1"/>
        <w:jc w:val="left"/>
        <w:rPr>
          <w:i w:val="0"/>
          <w:szCs w:val="24"/>
        </w:rPr>
      </w:pPr>
      <w:r w:rsidRPr="0023682E">
        <w:rPr>
          <w:i w:val="0"/>
          <w:szCs w:val="24"/>
        </w:rPr>
        <w:t xml:space="preserve">The inclusion of an event </w:t>
      </w:r>
      <w:r>
        <w:rPr>
          <w:i w:val="0"/>
          <w:szCs w:val="24"/>
        </w:rPr>
        <w:t>in the anti-siphoning list</w:t>
      </w:r>
      <w:r w:rsidRPr="0023682E">
        <w:rPr>
          <w:i w:val="0"/>
          <w:szCs w:val="24"/>
        </w:rPr>
        <w:t xml:space="preserve"> triggers a licence condition for subscription television broadcasters </w:t>
      </w:r>
      <w:r>
        <w:rPr>
          <w:i w:val="0"/>
          <w:szCs w:val="24"/>
        </w:rPr>
        <w:t>that</w:t>
      </w:r>
      <w:r w:rsidRPr="0023682E">
        <w:rPr>
          <w:i w:val="0"/>
          <w:szCs w:val="24"/>
        </w:rPr>
        <w:t xml:space="preserve"> prohibits subscription television broadcasters from acquiring rights to televise the event ahead of </w:t>
      </w:r>
      <w:r>
        <w:rPr>
          <w:i w:val="0"/>
          <w:szCs w:val="24"/>
        </w:rPr>
        <w:t xml:space="preserve">free-to-air commercial television </w:t>
      </w:r>
      <w:r w:rsidRPr="0023682E">
        <w:rPr>
          <w:i w:val="0"/>
          <w:szCs w:val="24"/>
        </w:rPr>
        <w:t xml:space="preserve">broadcasters and </w:t>
      </w:r>
      <w:r>
        <w:rPr>
          <w:i w:val="0"/>
          <w:szCs w:val="24"/>
        </w:rPr>
        <w:t>national</w:t>
      </w:r>
      <w:r w:rsidRPr="0023682E">
        <w:rPr>
          <w:i w:val="0"/>
          <w:szCs w:val="24"/>
        </w:rPr>
        <w:t xml:space="preserve"> broadcasters (see section 99 of the BSA and paragraph 10(1</w:t>
      </w:r>
      <w:r>
        <w:rPr>
          <w:i w:val="0"/>
          <w:szCs w:val="24"/>
        </w:rPr>
        <w:t>)(e) of Schedule 2 to the BSA).</w:t>
      </w:r>
    </w:p>
    <w:p w14:paraId="5673FFB8" w14:textId="77777777" w:rsidR="00681E73" w:rsidRPr="0023682E" w:rsidRDefault="00681E73" w:rsidP="00681E73">
      <w:pPr>
        <w:rPr>
          <w:sz w:val="24"/>
          <w:szCs w:val="24"/>
        </w:rPr>
      </w:pPr>
    </w:p>
    <w:p w14:paraId="3B260E2F" w14:textId="77777777" w:rsidR="00681E73" w:rsidRPr="0023682E" w:rsidRDefault="00681E73" w:rsidP="00681E73">
      <w:pPr>
        <w:rPr>
          <w:sz w:val="24"/>
          <w:szCs w:val="24"/>
        </w:rPr>
      </w:pPr>
      <w:r w:rsidRPr="0023682E">
        <w:rPr>
          <w:sz w:val="24"/>
          <w:szCs w:val="24"/>
        </w:rPr>
        <w:t xml:space="preserve">The BSA also imposes restrictions on both </w:t>
      </w:r>
      <w:r w:rsidRPr="009D1654">
        <w:rPr>
          <w:sz w:val="24"/>
          <w:szCs w:val="24"/>
        </w:rPr>
        <w:t>free-to-air</w:t>
      </w:r>
      <w:r>
        <w:rPr>
          <w:i/>
          <w:szCs w:val="24"/>
        </w:rPr>
        <w:t xml:space="preserve"> </w:t>
      </w:r>
      <w:r w:rsidRPr="0023682E">
        <w:rPr>
          <w:sz w:val="24"/>
          <w:szCs w:val="24"/>
        </w:rPr>
        <w:t xml:space="preserve">commercial television broadcasters and national broadcasters with regard to televising events </w:t>
      </w:r>
      <w:r>
        <w:rPr>
          <w:sz w:val="24"/>
          <w:szCs w:val="24"/>
        </w:rPr>
        <w:t>from the anti</w:t>
      </w:r>
      <w:r>
        <w:rPr>
          <w:sz w:val="24"/>
          <w:szCs w:val="24"/>
        </w:rPr>
        <w:noBreakHyphen/>
        <w:t>siphoning list</w:t>
      </w:r>
      <w:r w:rsidRPr="0023682E">
        <w:rPr>
          <w:sz w:val="24"/>
          <w:szCs w:val="24"/>
        </w:rPr>
        <w:t xml:space="preserve">. Such restrictions ensure that </w:t>
      </w:r>
      <w:r>
        <w:rPr>
          <w:sz w:val="24"/>
          <w:szCs w:val="24"/>
        </w:rPr>
        <w:t>these</w:t>
      </w:r>
      <w:r w:rsidRPr="0023682E">
        <w:rPr>
          <w:sz w:val="24"/>
          <w:szCs w:val="24"/>
        </w:rPr>
        <w:t xml:space="preserve"> events (or parts of th</w:t>
      </w:r>
      <w:r>
        <w:rPr>
          <w:sz w:val="24"/>
          <w:szCs w:val="24"/>
        </w:rPr>
        <w:t>e</w:t>
      </w:r>
      <w:r w:rsidRPr="0023682E">
        <w:rPr>
          <w:sz w:val="24"/>
          <w:szCs w:val="24"/>
        </w:rPr>
        <w:t>se events) are not shown on the broadcasters’ standard definition or high definition digital television multichannels without first being shown, or being shown simultaneously, on the broadcasters’ main channels (see Part 4A of Schedule</w:t>
      </w:r>
      <w:r>
        <w:rPr>
          <w:sz w:val="24"/>
          <w:szCs w:val="24"/>
        </w:rPr>
        <w:t> </w:t>
      </w:r>
      <w:r w:rsidRPr="0023682E">
        <w:rPr>
          <w:sz w:val="24"/>
          <w:szCs w:val="24"/>
        </w:rPr>
        <w:t xml:space="preserve">4 to the BSA). </w:t>
      </w:r>
      <w:r>
        <w:rPr>
          <w:sz w:val="24"/>
          <w:szCs w:val="24"/>
        </w:rPr>
        <w:t>These restrictions continue to apply now that the ‘simulcast period’ has concluded.</w:t>
      </w:r>
    </w:p>
    <w:p w14:paraId="3DFB00D5" w14:textId="77777777" w:rsidR="00681E73" w:rsidRPr="0023682E" w:rsidRDefault="00681E73" w:rsidP="00681E73">
      <w:pPr>
        <w:rPr>
          <w:sz w:val="24"/>
          <w:szCs w:val="24"/>
        </w:rPr>
      </w:pPr>
    </w:p>
    <w:p w14:paraId="615BCA76" w14:textId="77777777" w:rsidR="00681E73" w:rsidRPr="0023682E" w:rsidRDefault="00681E73" w:rsidP="00681E73">
      <w:pPr>
        <w:rPr>
          <w:sz w:val="24"/>
          <w:szCs w:val="24"/>
        </w:rPr>
      </w:pPr>
      <w:r w:rsidRPr="0023682E">
        <w:rPr>
          <w:sz w:val="24"/>
          <w:szCs w:val="24"/>
        </w:rPr>
        <w:t xml:space="preserve">Subsection 115(2) of the BSA allows the Minister to amend a notice made under subsection 115(1) </w:t>
      </w:r>
      <w:r>
        <w:rPr>
          <w:sz w:val="24"/>
          <w:szCs w:val="24"/>
        </w:rPr>
        <w:t xml:space="preserve">of the BSA </w:t>
      </w:r>
      <w:r w:rsidRPr="0023682E">
        <w:rPr>
          <w:sz w:val="24"/>
          <w:szCs w:val="24"/>
        </w:rPr>
        <w:t>to remove an event from the notice.</w:t>
      </w:r>
    </w:p>
    <w:p w14:paraId="6031E6EF" w14:textId="39A56ED3" w:rsidR="00514007" w:rsidRDefault="00681E73" w:rsidP="00514007">
      <w:pPr>
        <w:rPr>
          <w:sz w:val="24"/>
          <w:szCs w:val="24"/>
        </w:rPr>
      </w:pPr>
      <w:r w:rsidRPr="00B818F3">
        <w:rPr>
          <w:sz w:val="24"/>
          <w:szCs w:val="24"/>
        </w:rPr>
        <w:lastRenderedPageBreak/>
        <w:t xml:space="preserve">The purpose of this Notice is to amend the Principal Notice to </w:t>
      </w:r>
      <w:r>
        <w:rPr>
          <w:sz w:val="24"/>
          <w:szCs w:val="24"/>
        </w:rPr>
        <w:t xml:space="preserve">effectively </w:t>
      </w:r>
      <w:r w:rsidRPr="00B818F3">
        <w:rPr>
          <w:sz w:val="24"/>
          <w:szCs w:val="24"/>
        </w:rPr>
        <w:t>remove from the current anti-siphoning list</w:t>
      </w:r>
      <w:r>
        <w:rPr>
          <w:sz w:val="24"/>
          <w:szCs w:val="24"/>
        </w:rPr>
        <w:t xml:space="preserve"> </w:t>
      </w:r>
      <w:r w:rsidR="00810716" w:rsidRPr="00810716">
        <w:rPr>
          <w:bCs/>
          <w:sz w:val="24"/>
          <w:szCs w:val="24"/>
        </w:rPr>
        <w:t>the semi</w:t>
      </w:r>
      <w:r w:rsidR="00810716" w:rsidRPr="00810716">
        <w:rPr>
          <w:bCs/>
          <w:sz w:val="24"/>
          <w:szCs w:val="24"/>
        </w:rPr>
        <w:noBreakHyphen/>
        <w:t xml:space="preserve">finals and the final </w:t>
      </w:r>
      <w:r w:rsidR="004D5570">
        <w:rPr>
          <w:bCs/>
          <w:sz w:val="24"/>
          <w:szCs w:val="24"/>
        </w:rPr>
        <w:t xml:space="preserve">of </w:t>
      </w:r>
      <w:r w:rsidR="00810716">
        <w:rPr>
          <w:bCs/>
          <w:sz w:val="24"/>
          <w:szCs w:val="24"/>
        </w:rPr>
        <w:t xml:space="preserve">the </w:t>
      </w:r>
      <w:r w:rsidR="00810716" w:rsidRPr="00810716">
        <w:rPr>
          <w:bCs/>
          <w:sz w:val="24"/>
          <w:szCs w:val="24"/>
        </w:rPr>
        <w:t xml:space="preserve">2015 International Cricket Council </w:t>
      </w:r>
      <w:r w:rsidR="000C508D">
        <w:rPr>
          <w:bCs/>
          <w:sz w:val="24"/>
          <w:szCs w:val="24"/>
        </w:rPr>
        <w:t xml:space="preserve">(ICC) </w:t>
      </w:r>
      <w:r w:rsidR="004D5570">
        <w:rPr>
          <w:bCs/>
          <w:sz w:val="24"/>
          <w:szCs w:val="24"/>
        </w:rPr>
        <w:t xml:space="preserve">One Day International World Cup (the ‘2015 </w:t>
      </w:r>
      <w:r w:rsidR="00416914">
        <w:rPr>
          <w:bCs/>
          <w:sz w:val="24"/>
          <w:szCs w:val="24"/>
        </w:rPr>
        <w:t xml:space="preserve">ICC </w:t>
      </w:r>
      <w:r w:rsidR="004D5570">
        <w:rPr>
          <w:bCs/>
          <w:sz w:val="24"/>
          <w:szCs w:val="24"/>
        </w:rPr>
        <w:t xml:space="preserve">World Cup’), and </w:t>
      </w:r>
      <w:r w:rsidR="004D5570" w:rsidRPr="00810716">
        <w:rPr>
          <w:bCs/>
          <w:sz w:val="24"/>
          <w:szCs w:val="24"/>
        </w:rPr>
        <w:t xml:space="preserve">each match </w:t>
      </w:r>
      <w:r w:rsidR="004D5570">
        <w:rPr>
          <w:bCs/>
          <w:sz w:val="24"/>
          <w:szCs w:val="24"/>
        </w:rPr>
        <w:t xml:space="preserve">of the </w:t>
      </w:r>
      <w:r w:rsidR="004D5570" w:rsidRPr="00810716">
        <w:rPr>
          <w:bCs/>
          <w:sz w:val="24"/>
          <w:szCs w:val="24"/>
        </w:rPr>
        <w:t xml:space="preserve">2015 </w:t>
      </w:r>
      <w:r w:rsidR="00416914">
        <w:rPr>
          <w:bCs/>
          <w:sz w:val="24"/>
          <w:szCs w:val="24"/>
        </w:rPr>
        <w:t xml:space="preserve">ICC </w:t>
      </w:r>
      <w:r w:rsidR="004D5570">
        <w:rPr>
          <w:bCs/>
          <w:sz w:val="24"/>
          <w:szCs w:val="24"/>
        </w:rPr>
        <w:t>World Cup</w:t>
      </w:r>
      <w:r w:rsidR="004D5570" w:rsidRPr="00B06129">
        <w:rPr>
          <w:bCs/>
          <w:sz w:val="24"/>
          <w:szCs w:val="24"/>
        </w:rPr>
        <w:t xml:space="preserve"> involving the senior Australian representative team selected by Cricket Australia</w:t>
      </w:r>
      <w:r w:rsidR="004D5570">
        <w:rPr>
          <w:bCs/>
          <w:sz w:val="24"/>
          <w:szCs w:val="24"/>
        </w:rPr>
        <w:t xml:space="preserve">. </w:t>
      </w:r>
      <w:r w:rsidR="00810716">
        <w:rPr>
          <w:bCs/>
          <w:sz w:val="24"/>
          <w:szCs w:val="24"/>
        </w:rPr>
        <w:t xml:space="preserve"> </w:t>
      </w:r>
      <w:r w:rsidRPr="00B818F3">
        <w:rPr>
          <w:sz w:val="24"/>
          <w:szCs w:val="24"/>
        </w:rPr>
        <w:t>The event</w:t>
      </w:r>
      <w:r>
        <w:rPr>
          <w:sz w:val="24"/>
          <w:szCs w:val="24"/>
        </w:rPr>
        <w:t>s</w:t>
      </w:r>
      <w:r w:rsidRPr="00B818F3">
        <w:rPr>
          <w:sz w:val="24"/>
          <w:szCs w:val="24"/>
        </w:rPr>
        <w:t xml:space="preserve"> to be removed </w:t>
      </w:r>
      <w:r>
        <w:rPr>
          <w:sz w:val="24"/>
          <w:szCs w:val="24"/>
        </w:rPr>
        <w:t>are</w:t>
      </w:r>
      <w:r w:rsidRPr="00B818F3">
        <w:rPr>
          <w:sz w:val="24"/>
          <w:szCs w:val="24"/>
        </w:rPr>
        <w:t xml:space="preserve"> specified </w:t>
      </w:r>
      <w:r>
        <w:rPr>
          <w:sz w:val="24"/>
          <w:szCs w:val="24"/>
        </w:rPr>
        <w:t xml:space="preserve">as exceptions </w:t>
      </w:r>
      <w:r w:rsidRPr="00B818F3">
        <w:rPr>
          <w:sz w:val="24"/>
          <w:szCs w:val="24"/>
        </w:rPr>
        <w:t>in</w:t>
      </w:r>
      <w:r>
        <w:rPr>
          <w:sz w:val="24"/>
          <w:szCs w:val="24"/>
        </w:rPr>
        <w:t xml:space="preserve"> clauses 7.</w:t>
      </w:r>
      <w:r w:rsidR="00327A1B">
        <w:rPr>
          <w:sz w:val="24"/>
          <w:szCs w:val="24"/>
        </w:rPr>
        <w:t>5</w:t>
      </w:r>
      <w:r>
        <w:rPr>
          <w:sz w:val="24"/>
          <w:szCs w:val="24"/>
        </w:rPr>
        <w:t xml:space="preserve"> and 7.</w:t>
      </w:r>
      <w:r w:rsidR="00327A1B">
        <w:rPr>
          <w:sz w:val="24"/>
          <w:szCs w:val="24"/>
        </w:rPr>
        <w:t>6</w:t>
      </w:r>
      <w:r w:rsidRPr="00B818F3">
        <w:rPr>
          <w:sz w:val="24"/>
          <w:szCs w:val="24"/>
        </w:rPr>
        <w:t xml:space="preserve"> of the Schedule to the Principal Notice, as amended by this </w:t>
      </w:r>
      <w:r w:rsidR="00810716" w:rsidRPr="00B818F3">
        <w:rPr>
          <w:sz w:val="24"/>
          <w:szCs w:val="24"/>
        </w:rPr>
        <w:t>Notice</w:t>
      </w:r>
      <w:r w:rsidRPr="00B818F3">
        <w:rPr>
          <w:sz w:val="24"/>
          <w:szCs w:val="24"/>
        </w:rPr>
        <w:t>.</w:t>
      </w:r>
      <w:r>
        <w:rPr>
          <w:sz w:val="24"/>
          <w:szCs w:val="24"/>
        </w:rPr>
        <w:t xml:space="preserve"> </w:t>
      </w:r>
      <w:r w:rsidR="00514007">
        <w:rPr>
          <w:sz w:val="24"/>
          <w:szCs w:val="24"/>
        </w:rPr>
        <w:t xml:space="preserve">This amending Notice also removes spent provisions in the Principal Notice concerning cricket “test” matches involving the senior Australian team played in Australia. </w:t>
      </w:r>
    </w:p>
    <w:p w14:paraId="6B85B230" w14:textId="77777777" w:rsidR="00681E73" w:rsidRPr="0023682E" w:rsidRDefault="00681E73" w:rsidP="00681E73">
      <w:pPr>
        <w:rPr>
          <w:sz w:val="24"/>
          <w:szCs w:val="24"/>
        </w:rPr>
      </w:pPr>
    </w:p>
    <w:p w14:paraId="0311C3E4" w14:textId="3A218755" w:rsidR="00681E73" w:rsidRDefault="00F53D86" w:rsidP="00681E73">
      <w:pPr>
        <w:rPr>
          <w:i/>
          <w:sz w:val="24"/>
          <w:szCs w:val="24"/>
        </w:rPr>
      </w:pPr>
      <w:r>
        <w:rPr>
          <w:bCs/>
          <w:i/>
          <w:sz w:val="24"/>
          <w:szCs w:val="24"/>
        </w:rPr>
        <w:t>T</w:t>
      </w:r>
      <w:r w:rsidR="00A61D2F" w:rsidRPr="00A61D2F">
        <w:rPr>
          <w:bCs/>
          <w:i/>
          <w:sz w:val="24"/>
          <w:szCs w:val="24"/>
        </w:rPr>
        <w:t xml:space="preserve">he 2015 </w:t>
      </w:r>
      <w:r w:rsidR="000C508D">
        <w:rPr>
          <w:bCs/>
          <w:i/>
          <w:sz w:val="24"/>
          <w:szCs w:val="24"/>
        </w:rPr>
        <w:t>ICC</w:t>
      </w:r>
      <w:r w:rsidR="00A61D2F" w:rsidRPr="00A61D2F">
        <w:rPr>
          <w:bCs/>
          <w:i/>
          <w:sz w:val="24"/>
          <w:szCs w:val="24"/>
        </w:rPr>
        <w:t xml:space="preserve"> One Day International World Cup</w:t>
      </w:r>
    </w:p>
    <w:p w14:paraId="5B94BD65" w14:textId="77777777" w:rsidR="00681E73" w:rsidRDefault="00681E73" w:rsidP="00681E73">
      <w:pPr>
        <w:rPr>
          <w:sz w:val="24"/>
          <w:szCs w:val="24"/>
        </w:rPr>
      </w:pPr>
    </w:p>
    <w:p w14:paraId="7A473283" w14:textId="6D17DFA8" w:rsidR="00F53D86" w:rsidRPr="00F53D86" w:rsidRDefault="00F53D86" w:rsidP="00681E73">
      <w:pPr>
        <w:rPr>
          <w:sz w:val="24"/>
          <w:szCs w:val="24"/>
        </w:rPr>
      </w:pPr>
      <w:r>
        <w:rPr>
          <w:sz w:val="24"/>
          <w:szCs w:val="24"/>
        </w:rPr>
        <w:t xml:space="preserve">The </w:t>
      </w:r>
      <w:r w:rsidRPr="00266FC6">
        <w:rPr>
          <w:sz w:val="24"/>
          <w:szCs w:val="24"/>
        </w:rPr>
        <w:t xml:space="preserve">2015 </w:t>
      </w:r>
      <w:r w:rsidR="00416914">
        <w:rPr>
          <w:sz w:val="24"/>
          <w:szCs w:val="24"/>
        </w:rPr>
        <w:t xml:space="preserve">ICC </w:t>
      </w:r>
      <w:r w:rsidRPr="00266FC6">
        <w:rPr>
          <w:sz w:val="24"/>
          <w:szCs w:val="24"/>
        </w:rPr>
        <w:t>World Cup</w:t>
      </w:r>
      <w:r>
        <w:rPr>
          <w:sz w:val="24"/>
          <w:szCs w:val="24"/>
        </w:rPr>
        <w:t xml:space="preserve"> will be played at various locations in Australia and New Zealand between 14 February and 29 March 2015 and will involve the senior Australian cricket team. </w:t>
      </w:r>
      <w:r w:rsidR="00681E73">
        <w:rPr>
          <w:sz w:val="24"/>
          <w:szCs w:val="24"/>
          <w:lang w:val="en-GB"/>
        </w:rPr>
        <w:t xml:space="preserve">This Notice will remove from the Principal Notice </w:t>
      </w:r>
      <w:r w:rsidRPr="00810716">
        <w:rPr>
          <w:bCs/>
          <w:sz w:val="24"/>
          <w:szCs w:val="24"/>
        </w:rPr>
        <w:t>the semi</w:t>
      </w:r>
      <w:r w:rsidRPr="00810716">
        <w:rPr>
          <w:bCs/>
          <w:sz w:val="24"/>
          <w:szCs w:val="24"/>
        </w:rPr>
        <w:noBreakHyphen/>
        <w:t xml:space="preserve">finals and the final </w:t>
      </w:r>
      <w:r>
        <w:rPr>
          <w:bCs/>
          <w:sz w:val="24"/>
          <w:szCs w:val="24"/>
        </w:rPr>
        <w:t>of the tournament</w:t>
      </w:r>
      <w:r w:rsidR="00865AB8">
        <w:rPr>
          <w:bCs/>
          <w:sz w:val="24"/>
          <w:szCs w:val="24"/>
        </w:rPr>
        <w:t>,</w:t>
      </w:r>
      <w:r>
        <w:rPr>
          <w:bCs/>
          <w:sz w:val="24"/>
          <w:szCs w:val="24"/>
        </w:rPr>
        <w:t xml:space="preserve"> along with </w:t>
      </w:r>
      <w:r w:rsidRPr="00810716">
        <w:rPr>
          <w:bCs/>
          <w:sz w:val="24"/>
          <w:szCs w:val="24"/>
        </w:rPr>
        <w:t>each</w:t>
      </w:r>
      <w:r w:rsidR="00F854D6">
        <w:rPr>
          <w:bCs/>
          <w:sz w:val="24"/>
          <w:szCs w:val="24"/>
        </w:rPr>
        <w:t xml:space="preserve"> match</w:t>
      </w:r>
      <w:r w:rsidRPr="00810716">
        <w:rPr>
          <w:bCs/>
          <w:sz w:val="24"/>
          <w:szCs w:val="24"/>
        </w:rPr>
        <w:t xml:space="preserve"> </w:t>
      </w:r>
      <w:r w:rsidRPr="00B06129">
        <w:rPr>
          <w:bCs/>
          <w:sz w:val="24"/>
          <w:szCs w:val="24"/>
        </w:rPr>
        <w:t>involving the senior Australian representative team selected by Cricket Australia</w:t>
      </w:r>
      <w:r>
        <w:rPr>
          <w:bCs/>
          <w:sz w:val="24"/>
          <w:szCs w:val="24"/>
        </w:rPr>
        <w:t xml:space="preserve">. </w:t>
      </w:r>
    </w:p>
    <w:p w14:paraId="64BA8DA9" w14:textId="269F6BF9" w:rsidR="00681E73" w:rsidRDefault="00681E73" w:rsidP="00681E73">
      <w:pPr>
        <w:rPr>
          <w:sz w:val="24"/>
          <w:szCs w:val="24"/>
          <w:lang w:val="en-GB"/>
        </w:rPr>
      </w:pPr>
    </w:p>
    <w:p w14:paraId="63D97E5C" w14:textId="09B1BFD6" w:rsidR="00681E73" w:rsidRPr="00D844EB" w:rsidRDefault="00681E73" w:rsidP="00681E73">
      <w:r>
        <w:rPr>
          <w:sz w:val="24"/>
          <w:szCs w:val="24"/>
          <w:lang w:val="en-GB"/>
        </w:rPr>
        <w:t>These amendments</w:t>
      </w:r>
      <w:r w:rsidRPr="00E650C3">
        <w:rPr>
          <w:sz w:val="24"/>
          <w:szCs w:val="24"/>
          <w:lang w:val="en-GB"/>
        </w:rPr>
        <w:t xml:space="preserve"> will allow </w:t>
      </w:r>
      <w:r>
        <w:rPr>
          <w:sz w:val="24"/>
          <w:szCs w:val="24"/>
          <w:lang w:val="en-GB"/>
        </w:rPr>
        <w:t xml:space="preserve">(but not require) </w:t>
      </w:r>
      <w:r w:rsidRPr="00E650C3">
        <w:rPr>
          <w:sz w:val="24"/>
          <w:szCs w:val="24"/>
          <w:lang w:val="en-GB"/>
        </w:rPr>
        <w:t>the free-to-air broadcaster</w:t>
      </w:r>
      <w:r>
        <w:rPr>
          <w:sz w:val="24"/>
          <w:szCs w:val="24"/>
          <w:lang w:val="en-GB"/>
        </w:rPr>
        <w:t xml:space="preserve"> that holds</w:t>
      </w:r>
      <w:r w:rsidRPr="00E650C3">
        <w:rPr>
          <w:sz w:val="24"/>
          <w:szCs w:val="24"/>
          <w:lang w:val="en-GB"/>
        </w:rPr>
        <w:t xml:space="preserve"> the</w:t>
      </w:r>
      <w:r>
        <w:rPr>
          <w:sz w:val="24"/>
          <w:szCs w:val="24"/>
          <w:lang w:val="en-GB"/>
        </w:rPr>
        <w:t xml:space="preserve"> </w:t>
      </w:r>
      <w:r w:rsidRPr="00E650C3">
        <w:rPr>
          <w:sz w:val="24"/>
          <w:szCs w:val="24"/>
          <w:lang w:val="en-GB"/>
        </w:rPr>
        <w:t xml:space="preserve">broadcast rights to </w:t>
      </w:r>
      <w:r w:rsidR="00416914">
        <w:rPr>
          <w:sz w:val="24"/>
          <w:szCs w:val="24"/>
          <w:lang w:val="en-GB"/>
        </w:rPr>
        <w:t>the 2015 ICC World Cup</w:t>
      </w:r>
      <w:r>
        <w:rPr>
          <w:sz w:val="24"/>
          <w:szCs w:val="24"/>
          <w:lang w:val="en-GB"/>
        </w:rPr>
        <w:t xml:space="preserve">, </w:t>
      </w:r>
      <w:r w:rsidR="00416914">
        <w:rPr>
          <w:sz w:val="24"/>
          <w:szCs w:val="24"/>
          <w:lang w:val="en-GB"/>
        </w:rPr>
        <w:t xml:space="preserve">the </w:t>
      </w:r>
      <w:r>
        <w:rPr>
          <w:sz w:val="24"/>
          <w:szCs w:val="24"/>
          <w:lang w:val="en-GB"/>
        </w:rPr>
        <w:t xml:space="preserve">Nine Network and its affiliates, </w:t>
      </w:r>
      <w:r w:rsidRPr="00E650C3">
        <w:rPr>
          <w:sz w:val="24"/>
          <w:szCs w:val="24"/>
          <w:lang w:val="en-GB"/>
        </w:rPr>
        <w:t>to premiere</w:t>
      </w:r>
      <w:r>
        <w:rPr>
          <w:sz w:val="24"/>
          <w:szCs w:val="24"/>
          <w:lang w:val="en-GB"/>
        </w:rPr>
        <w:t xml:space="preserve"> coverage of</w:t>
      </w:r>
      <w:r w:rsidRPr="00E650C3">
        <w:rPr>
          <w:sz w:val="24"/>
          <w:szCs w:val="24"/>
          <w:lang w:val="en-GB"/>
        </w:rPr>
        <w:t xml:space="preserve"> </w:t>
      </w:r>
      <w:r>
        <w:rPr>
          <w:sz w:val="24"/>
          <w:szCs w:val="24"/>
          <w:lang w:val="en-GB"/>
        </w:rPr>
        <w:t xml:space="preserve">the ‘delisted’ </w:t>
      </w:r>
      <w:r w:rsidR="00416914">
        <w:rPr>
          <w:sz w:val="24"/>
          <w:szCs w:val="24"/>
          <w:lang w:val="en-GB"/>
        </w:rPr>
        <w:t>events</w:t>
      </w:r>
      <w:r>
        <w:rPr>
          <w:sz w:val="24"/>
          <w:szCs w:val="24"/>
          <w:lang w:val="en-GB"/>
        </w:rPr>
        <w:t xml:space="preserve"> on a digital multichannel. </w:t>
      </w:r>
      <w:r w:rsidRPr="00E650C3">
        <w:rPr>
          <w:sz w:val="24"/>
          <w:szCs w:val="24"/>
        </w:rPr>
        <w:t xml:space="preserve">Removing </w:t>
      </w:r>
      <w:r>
        <w:rPr>
          <w:sz w:val="24"/>
          <w:szCs w:val="24"/>
        </w:rPr>
        <w:t xml:space="preserve">these </w:t>
      </w:r>
      <w:r w:rsidR="00416914">
        <w:rPr>
          <w:sz w:val="24"/>
          <w:szCs w:val="24"/>
        </w:rPr>
        <w:t>events</w:t>
      </w:r>
      <w:r>
        <w:rPr>
          <w:sz w:val="24"/>
          <w:szCs w:val="24"/>
        </w:rPr>
        <w:t xml:space="preserve"> </w:t>
      </w:r>
      <w:r w:rsidRPr="00E650C3">
        <w:rPr>
          <w:sz w:val="24"/>
          <w:szCs w:val="24"/>
        </w:rPr>
        <w:t xml:space="preserve">from the anti-siphoning list will provide for greater flexibility in the free-to-air television coverage of the </w:t>
      </w:r>
      <w:r w:rsidR="00F53D86">
        <w:rPr>
          <w:sz w:val="24"/>
          <w:szCs w:val="24"/>
        </w:rPr>
        <w:t xml:space="preserve">matches in question and thus </w:t>
      </w:r>
      <w:r w:rsidRPr="00E650C3">
        <w:rPr>
          <w:sz w:val="24"/>
          <w:szCs w:val="24"/>
        </w:rPr>
        <w:t>enhance the viewing experience for Australian audiences.</w:t>
      </w:r>
      <w:r>
        <w:rPr>
          <w:sz w:val="24"/>
          <w:szCs w:val="24"/>
        </w:rPr>
        <w:t xml:space="preserve"> </w:t>
      </w:r>
    </w:p>
    <w:p w14:paraId="29D173D4" w14:textId="77777777" w:rsidR="00681E73" w:rsidRDefault="00681E73" w:rsidP="00681E73">
      <w:pPr>
        <w:rPr>
          <w:sz w:val="24"/>
          <w:szCs w:val="24"/>
        </w:rPr>
      </w:pPr>
    </w:p>
    <w:p w14:paraId="63554EC6" w14:textId="77777777" w:rsidR="00681E73" w:rsidRPr="0023682E" w:rsidRDefault="00681E73" w:rsidP="00681E73">
      <w:pPr>
        <w:keepNext/>
        <w:ind w:right="91"/>
        <w:rPr>
          <w:sz w:val="24"/>
          <w:szCs w:val="24"/>
          <w:u w:val="single"/>
        </w:rPr>
      </w:pPr>
      <w:r w:rsidRPr="0023682E">
        <w:rPr>
          <w:sz w:val="24"/>
          <w:szCs w:val="24"/>
          <w:u w:val="single"/>
        </w:rPr>
        <w:t>Notes on Clauses</w:t>
      </w:r>
    </w:p>
    <w:p w14:paraId="5ABBFC10" w14:textId="77777777" w:rsidR="00681E73" w:rsidRPr="0023682E" w:rsidRDefault="00681E73" w:rsidP="00681E73">
      <w:pPr>
        <w:keepNext/>
        <w:ind w:right="91"/>
        <w:rPr>
          <w:sz w:val="24"/>
          <w:szCs w:val="24"/>
        </w:rPr>
      </w:pPr>
    </w:p>
    <w:p w14:paraId="78C1CE7F" w14:textId="3113188C" w:rsidR="00681E73" w:rsidRPr="0023682E" w:rsidRDefault="00681E73" w:rsidP="00681E73">
      <w:pPr>
        <w:ind w:right="91"/>
        <w:rPr>
          <w:sz w:val="24"/>
          <w:szCs w:val="24"/>
        </w:rPr>
      </w:pPr>
      <w:r>
        <w:rPr>
          <w:sz w:val="24"/>
          <w:szCs w:val="24"/>
          <w:u w:val="single"/>
        </w:rPr>
        <w:t>Section</w:t>
      </w:r>
      <w:r w:rsidRPr="0023682E">
        <w:rPr>
          <w:sz w:val="24"/>
          <w:szCs w:val="24"/>
          <w:u w:val="single"/>
        </w:rPr>
        <w:t xml:space="preserve"> 1</w:t>
      </w:r>
      <w:r w:rsidRPr="0023682E">
        <w:rPr>
          <w:sz w:val="24"/>
          <w:szCs w:val="24"/>
        </w:rPr>
        <w:t xml:space="preserve"> provides that the name of the Notice is the </w:t>
      </w:r>
      <w:r w:rsidRPr="0023682E">
        <w:rPr>
          <w:iCs/>
          <w:sz w:val="24"/>
          <w:szCs w:val="24"/>
        </w:rPr>
        <w:t xml:space="preserve">Broadcasting Services (Events) Notice (No. 1) </w:t>
      </w:r>
      <w:r>
        <w:rPr>
          <w:iCs/>
          <w:sz w:val="24"/>
          <w:szCs w:val="24"/>
        </w:rPr>
        <w:t>2010</w:t>
      </w:r>
      <w:r w:rsidRPr="0023682E">
        <w:rPr>
          <w:iCs/>
          <w:sz w:val="24"/>
          <w:szCs w:val="24"/>
        </w:rPr>
        <w:t xml:space="preserve"> (Amendment No. </w:t>
      </w:r>
      <w:r w:rsidR="00865AB8">
        <w:rPr>
          <w:iCs/>
          <w:sz w:val="24"/>
          <w:szCs w:val="24"/>
        </w:rPr>
        <w:t>1</w:t>
      </w:r>
      <w:r w:rsidRPr="0023682E">
        <w:rPr>
          <w:iCs/>
          <w:sz w:val="24"/>
          <w:szCs w:val="24"/>
        </w:rPr>
        <w:t xml:space="preserve"> of 201</w:t>
      </w:r>
      <w:r w:rsidR="00865AB8">
        <w:rPr>
          <w:iCs/>
          <w:sz w:val="24"/>
          <w:szCs w:val="24"/>
        </w:rPr>
        <w:t>5</w:t>
      </w:r>
      <w:r>
        <w:rPr>
          <w:iCs/>
          <w:sz w:val="24"/>
          <w:szCs w:val="24"/>
        </w:rPr>
        <w:t>)</w:t>
      </w:r>
      <w:r w:rsidRPr="0023682E">
        <w:rPr>
          <w:iCs/>
          <w:sz w:val="24"/>
          <w:szCs w:val="24"/>
        </w:rPr>
        <w:t>.</w:t>
      </w:r>
    </w:p>
    <w:p w14:paraId="3E1BD26D" w14:textId="77777777" w:rsidR="00681E73" w:rsidRPr="0023682E" w:rsidRDefault="00681E73" w:rsidP="00681E73">
      <w:pPr>
        <w:ind w:right="91"/>
        <w:rPr>
          <w:sz w:val="24"/>
          <w:szCs w:val="24"/>
        </w:rPr>
      </w:pPr>
    </w:p>
    <w:p w14:paraId="4C6475D7" w14:textId="77777777" w:rsidR="00681E73" w:rsidRPr="0023682E" w:rsidRDefault="00681E73" w:rsidP="00681E73">
      <w:pPr>
        <w:rPr>
          <w:sz w:val="24"/>
          <w:szCs w:val="24"/>
        </w:rPr>
      </w:pPr>
      <w:r>
        <w:rPr>
          <w:sz w:val="24"/>
          <w:szCs w:val="24"/>
          <w:u w:val="single"/>
        </w:rPr>
        <w:t>Section</w:t>
      </w:r>
      <w:r w:rsidRPr="0023682E">
        <w:rPr>
          <w:sz w:val="24"/>
          <w:szCs w:val="24"/>
          <w:u w:val="single"/>
        </w:rPr>
        <w:t xml:space="preserve"> 2</w:t>
      </w:r>
      <w:r w:rsidRPr="0023682E">
        <w:rPr>
          <w:sz w:val="24"/>
          <w:szCs w:val="24"/>
        </w:rPr>
        <w:t xml:space="preserve"> provides that the Notice will commence on the day it is registered on the Federal Register of Legislative Instruments.</w:t>
      </w:r>
    </w:p>
    <w:p w14:paraId="45099591" w14:textId="77777777" w:rsidR="00681E73" w:rsidRPr="0023682E" w:rsidRDefault="00681E73" w:rsidP="00681E73">
      <w:pPr>
        <w:ind w:right="91"/>
        <w:rPr>
          <w:sz w:val="24"/>
          <w:szCs w:val="24"/>
        </w:rPr>
      </w:pPr>
    </w:p>
    <w:p w14:paraId="1BBBBB10" w14:textId="77777777" w:rsidR="00681E73" w:rsidRPr="0023682E" w:rsidRDefault="00681E73" w:rsidP="00681E73">
      <w:pPr>
        <w:ind w:right="91"/>
        <w:rPr>
          <w:sz w:val="24"/>
          <w:szCs w:val="24"/>
        </w:rPr>
      </w:pPr>
      <w:r>
        <w:rPr>
          <w:sz w:val="24"/>
          <w:szCs w:val="24"/>
          <w:u w:val="single"/>
        </w:rPr>
        <w:t>Section</w:t>
      </w:r>
      <w:r w:rsidRPr="0023682E">
        <w:rPr>
          <w:sz w:val="24"/>
          <w:szCs w:val="24"/>
          <w:u w:val="single"/>
        </w:rPr>
        <w:t xml:space="preserve"> 3</w:t>
      </w:r>
      <w:r w:rsidRPr="0023682E">
        <w:rPr>
          <w:sz w:val="24"/>
          <w:szCs w:val="24"/>
        </w:rPr>
        <w:t xml:space="preserve"> </w:t>
      </w:r>
      <w:r>
        <w:rPr>
          <w:sz w:val="24"/>
          <w:szCs w:val="24"/>
        </w:rPr>
        <w:t xml:space="preserve">provides that the </w:t>
      </w:r>
      <w:r w:rsidRPr="00F54279">
        <w:rPr>
          <w:i/>
          <w:iCs/>
          <w:sz w:val="24"/>
          <w:szCs w:val="24"/>
        </w:rPr>
        <w:t>Broadcasting Services (Events) Notice (No. 1) 2010</w:t>
      </w:r>
      <w:r>
        <w:rPr>
          <w:iCs/>
          <w:sz w:val="24"/>
          <w:szCs w:val="24"/>
        </w:rPr>
        <w:t xml:space="preserve"> (the Principal Notice) is amended in accordance with the items contained in the attached Schedule.</w:t>
      </w:r>
    </w:p>
    <w:p w14:paraId="0C04110F" w14:textId="77777777" w:rsidR="00681E73" w:rsidRDefault="00681E73" w:rsidP="00681E73">
      <w:pPr>
        <w:ind w:right="91"/>
        <w:rPr>
          <w:sz w:val="24"/>
          <w:szCs w:val="24"/>
        </w:rPr>
      </w:pPr>
    </w:p>
    <w:p w14:paraId="130F216D" w14:textId="77777777" w:rsidR="00681E73" w:rsidRPr="005D5CB6" w:rsidRDefault="00681E73" w:rsidP="00681E73">
      <w:pPr>
        <w:ind w:right="91"/>
        <w:rPr>
          <w:b/>
          <w:sz w:val="24"/>
          <w:szCs w:val="24"/>
        </w:rPr>
      </w:pPr>
      <w:r>
        <w:rPr>
          <w:b/>
          <w:sz w:val="24"/>
          <w:szCs w:val="24"/>
        </w:rPr>
        <w:t>Schedule 1 - Amendments</w:t>
      </w:r>
    </w:p>
    <w:p w14:paraId="4682162F" w14:textId="77777777" w:rsidR="00681E73" w:rsidRDefault="00681E73" w:rsidP="00681E73">
      <w:pPr>
        <w:rPr>
          <w:sz w:val="24"/>
          <w:szCs w:val="24"/>
        </w:rPr>
      </w:pPr>
    </w:p>
    <w:p w14:paraId="105D5C27" w14:textId="05116D3F" w:rsidR="00865AB8" w:rsidRDefault="00865AB8" w:rsidP="00865AB8">
      <w:pPr>
        <w:rPr>
          <w:sz w:val="24"/>
          <w:szCs w:val="24"/>
        </w:rPr>
      </w:pPr>
      <w:r>
        <w:rPr>
          <w:sz w:val="24"/>
          <w:szCs w:val="24"/>
        </w:rPr>
        <w:t xml:space="preserve">Item 1 </w:t>
      </w:r>
      <w:r w:rsidRPr="0023682E">
        <w:rPr>
          <w:sz w:val="24"/>
          <w:szCs w:val="24"/>
        </w:rPr>
        <w:t xml:space="preserve">provides that the Principal Notice is amended by </w:t>
      </w:r>
      <w:r>
        <w:rPr>
          <w:sz w:val="24"/>
          <w:szCs w:val="24"/>
        </w:rPr>
        <w:t xml:space="preserve">repealing the existing clause 7.1 of the Schedule to the Principal Notice and substituting a new clause 7.1. This has the effect of removing spent provisions that concern cricket “test” matches involving the senior Australia representative team selected by Cricket Australia played in Australia. </w:t>
      </w:r>
    </w:p>
    <w:p w14:paraId="0D92C164" w14:textId="77777777" w:rsidR="00865AB8" w:rsidRDefault="00865AB8" w:rsidP="00681E73">
      <w:pPr>
        <w:rPr>
          <w:sz w:val="24"/>
          <w:szCs w:val="24"/>
        </w:rPr>
      </w:pPr>
    </w:p>
    <w:p w14:paraId="76368D90" w14:textId="031933B0" w:rsidR="00681E73" w:rsidRPr="00416914" w:rsidRDefault="00865AB8" w:rsidP="00681E73">
      <w:pPr>
        <w:rPr>
          <w:sz w:val="24"/>
          <w:szCs w:val="24"/>
        </w:rPr>
      </w:pPr>
      <w:r>
        <w:rPr>
          <w:sz w:val="24"/>
          <w:szCs w:val="24"/>
        </w:rPr>
        <w:t>Item 2</w:t>
      </w:r>
      <w:r w:rsidR="00681E73">
        <w:rPr>
          <w:sz w:val="24"/>
          <w:szCs w:val="24"/>
        </w:rPr>
        <w:t xml:space="preserve"> </w:t>
      </w:r>
      <w:r w:rsidR="00681E73" w:rsidRPr="0023682E">
        <w:rPr>
          <w:sz w:val="24"/>
          <w:szCs w:val="24"/>
        </w:rPr>
        <w:t xml:space="preserve">provides that the Principal Notice is amended by </w:t>
      </w:r>
      <w:r w:rsidR="00681E73">
        <w:rPr>
          <w:sz w:val="24"/>
          <w:szCs w:val="24"/>
        </w:rPr>
        <w:t>repealing the existing clause 7.</w:t>
      </w:r>
      <w:r w:rsidR="00A61D2F">
        <w:rPr>
          <w:sz w:val="24"/>
          <w:szCs w:val="24"/>
        </w:rPr>
        <w:t>5</w:t>
      </w:r>
      <w:r w:rsidR="00681E73">
        <w:rPr>
          <w:sz w:val="24"/>
          <w:szCs w:val="24"/>
        </w:rPr>
        <w:t xml:space="preserve"> of the Schedule to the Principal Notice and substituting a new clause 7</w:t>
      </w:r>
      <w:r w:rsidR="00A61D2F">
        <w:rPr>
          <w:sz w:val="24"/>
          <w:szCs w:val="24"/>
        </w:rPr>
        <w:t>.5</w:t>
      </w:r>
      <w:r w:rsidR="00681E73">
        <w:rPr>
          <w:sz w:val="24"/>
          <w:szCs w:val="24"/>
        </w:rPr>
        <w:t>. Clause</w:t>
      </w:r>
      <w:r w:rsidR="00681E73">
        <w:t xml:space="preserve"> </w:t>
      </w:r>
      <w:r w:rsidR="00681E73" w:rsidRPr="00B6045B">
        <w:rPr>
          <w:sz w:val="24"/>
          <w:szCs w:val="24"/>
        </w:rPr>
        <w:t>7</w:t>
      </w:r>
      <w:r w:rsidR="00681E73">
        <w:rPr>
          <w:sz w:val="24"/>
          <w:szCs w:val="24"/>
        </w:rPr>
        <w:t>.</w:t>
      </w:r>
      <w:r w:rsidR="00A61D2F">
        <w:rPr>
          <w:sz w:val="24"/>
          <w:szCs w:val="24"/>
        </w:rPr>
        <w:t>5</w:t>
      </w:r>
      <w:r w:rsidR="00681E73">
        <w:rPr>
          <w:sz w:val="24"/>
          <w:szCs w:val="24"/>
        </w:rPr>
        <w:t xml:space="preserve"> of the Principal Notice specifies that</w:t>
      </w:r>
      <w:r w:rsidR="00681E73" w:rsidRPr="00404663">
        <w:rPr>
          <w:sz w:val="24"/>
          <w:szCs w:val="24"/>
        </w:rPr>
        <w:t xml:space="preserve"> each </w:t>
      </w:r>
      <w:r w:rsidR="00A61D2F" w:rsidRPr="00023DCF">
        <w:rPr>
          <w:bCs/>
          <w:sz w:val="24"/>
          <w:szCs w:val="24"/>
        </w:rPr>
        <w:t>match in the semi</w:t>
      </w:r>
      <w:r w:rsidR="00A61D2F" w:rsidRPr="00023DCF">
        <w:rPr>
          <w:bCs/>
          <w:sz w:val="24"/>
          <w:szCs w:val="24"/>
        </w:rPr>
        <w:noBreakHyphen/>
        <w:t xml:space="preserve">finals and the final of the </w:t>
      </w:r>
      <w:r w:rsidR="000C508D">
        <w:rPr>
          <w:bCs/>
          <w:sz w:val="24"/>
          <w:szCs w:val="24"/>
        </w:rPr>
        <w:t>ICC</w:t>
      </w:r>
      <w:r w:rsidR="00A61D2F" w:rsidRPr="00023DCF">
        <w:rPr>
          <w:bCs/>
          <w:sz w:val="24"/>
          <w:szCs w:val="24"/>
        </w:rPr>
        <w:t xml:space="preserve"> One Day International World Cup</w:t>
      </w:r>
      <w:r w:rsidR="00A61D2F" w:rsidRPr="00404663">
        <w:rPr>
          <w:sz w:val="24"/>
          <w:szCs w:val="24"/>
        </w:rPr>
        <w:t xml:space="preserve"> </w:t>
      </w:r>
      <w:r w:rsidR="00681E73">
        <w:rPr>
          <w:sz w:val="24"/>
          <w:szCs w:val="24"/>
        </w:rPr>
        <w:t>is included in the anti</w:t>
      </w:r>
      <w:r w:rsidR="00681E73">
        <w:rPr>
          <w:sz w:val="24"/>
          <w:szCs w:val="24"/>
        </w:rPr>
        <w:noBreakHyphen/>
        <w:t xml:space="preserve">siphoning list. The </w:t>
      </w:r>
      <w:r w:rsidR="00681E73">
        <w:rPr>
          <w:sz w:val="24"/>
          <w:szCs w:val="24"/>
        </w:rPr>
        <w:lastRenderedPageBreak/>
        <w:t>amendment to</w:t>
      </w:r>
      <w:r w:rsidR="00A61D2F">
        <w:rPr>
          <w:sz w:val="24"/>
          <w:szCs w:val="24"/>
        </w:rPr>
        <w:t xml:space="preserve"> clause 7.5</w:t>
      </w:r>
      <w:r w:rsidR="00681E73">
        <w:rPr>
          <w:sz w:val="24"/>
          <w:szCs w:val="24"/>
        </w:rPr>
        <w:t xml:space="preserve"> effectively removes from the list </w:t>
      </w:r>
      <w:r w:rsidR="00A61D2F">
        <w:rPr>
          <w:sz w:val="24"/>
          <w:szCs w:val="24"/>
        </w:rPr>
        <w:t xml:space="preserve">the </w:t>
      </w:r>
      <w:r w:rsidR="00A61D2F" w:rsidRPr="00023DCF">
        <w:rPr>
          <w:bCs/>
          <w:sz w:val="24"/>
          <w:szCs w:val="24"/>
        </w:rPr>
        <w:t>semi</w:t>
      </w:r>
      <w:r w:rsidR="00A61D2F" w:rsidRPr="00023DCF">
        <w:rPr>
          <w:bCs/>
          <w:sz w:val="24"/>
          <w:szCs w:val="24"/>
        </w:rPr>
        <w:noBreakHyphen/>
        <w:t xml:space="preserve">finals and the final of the </w:t>
      </w:r>
      <w:r>
        <w:rPr>
          <w:bCs/>
          <w:sz w:val="24"/>
          <w:szCs w:val="24"/>
        </w:rPr>
        <w:t xml:space="preserve">2015 </w:t>
      </w:r>
      <w:r w:rsidR="00416914">
        <w:rPr>
          <w:bCs/>
          <w:sz w:val="24"/>
          <w:szCs w:val="24"/>
        </w:rPr>
        <w:t xml:space="preserve">ICC </w:t>
      </w:r>
      <w:r>
        <w:rPr>
          <w:bCs/>
          <w:sz w:val="24"/>
          <w:szCs w:val="24"/>
        </w:rPr>
        <w:t xml:space="preserve">World Cup. </w:t>
      </w:r>
    </w:p>
    <w:p w14:paraId="313817B7" w14:textId="77777777" w:rsidR="00865AB8" w:rsidRDefault="00865AB8" w:rsidP="00681E73">
      <w:pPr>
        <w:rPr>
          <w:sz w:val="24"/>
          <w:szCs w:val="24"/>
        </w:rPr>
      </w:pPr>
    </w:p>
    <w:p w14:paraId="61293D4F" w14:textId="0394AB71" w:rsidR="00681E73" w:rsidRDefault="00681E73" w:rsidP="00681E73">
      <w:pPr>
        <w:rPr>
          <w:bCs/>
          <w:sz w:val="24"/>
          <w:szCs w:val="24"/>
        </w:rPr>
      </w:pPr>
      <w:r>
        <w:rPr>
          <w:sz w:val="24"/>
          <w:szCs w:val="24"/>
        </w:rPr>
        <w:t xml:space="preserve">Item </w:t>
      </w:r>
      <w:r w:rsidR="00416914">
        <w:rPr>
          <w:sz w:val="24"/>
          <w:szCs w:val="24"/>
        </w:rPr>
        <w:t>3</w:t>
      </w:r>
      <w:r>
        <w:rPr>
          <w:sz w:val="24"/>
          <w:szCs w:val="24"/>
        </w:rPr>
        <w:t xml:space="preserve"> </w:t>
      </w:r>
      <w:r w:rsidRPr="0023682E">
        <w:rPr>
          <w:sz w:val="24"/>
          <w:szCs w:val="24"/>
        </w:rPr>
        <w:t xml:space="preserve">provides that the Principal Notice is amended by </w:t>
      </w:r>
      <w:r>
        <w:rPr>
          <w:sz w:val="24"/>
          <w:szCs w:val="24"/>
        </w:rPr>
        <w:t>r</w:t>
      </w:r>
      <w:r w:rsidR="004B25E3">
        <w:rPr>
          <w:sz w:val="24"/>
          <w:szCs w:val="24"/>
        </w:rPr>
        <w:t>epealing the existing clause 7.6</w:t>
      </w:r>
      <w:r>
        <w:rPr>
          <w:sz w:val="24"/>
          <w:szCs w:val="24"/>
        </w:rPr>
        <w:t xml:space="preserve"> of the Schedule to the Principal Notice and substituting a new cl</w:t>
      </w:r>
      <w:r w:rsidR="004B25E3">
        <w:rPr>
          <w:sz w:val="24"/>
          <w:szCs w:val="24"/>
        </w:rPr>
        <w:t>ause 7.6</w:t>
      </w:r>
      <w:r>
        <w:rPr>
          <w:sz w:val="24"/>
          <w:szCs w:val="24"/>
        </w:rPr>
        <w:t>. Clause</w:t>
      </w:r>
      <w:r w:rsidRPr="00B6045B">
        <w:rPr>
          <w:sz w:val="24"/>
          <w:szCs w:val="24"/>
        </w:rPr>
        <w:t xml:space="preserve"> 7</w:t>
      </w:r>
      <w:r w:rsidR="004B25E3">
        <w:rPr>
          <w:sz w:val="24"/>
          <w:szCs w:val="24"/>
        </w:rPr>
        <w:t>.6</w:t>
      </w:r>
      <w:r>
        <w:rPr>
          <w:sz w:val="24"/>
          <w:szCs w:val="24"/>
        </w:rPr>
        <w:t xml:space="preserve"> of the Principal Notice specifies that</w:t>
      </w:r>
      <w:r w:rsidRPr="00404663">
        <w:rPr>
          <w:sz w:val="24"/>
          <w:szCs w:val="24"/>
        </w:rPr>
        <w:t xml:space="preserve"> </w:t>
      </w:r>
      <w:r w:rsidR="004B25E3">
        <w:rPr>
          <w:sz w:val="24"/>
          <w:szCs w:val="24"/>
        </w:rPr>
        <w:t>e</w:t>
      </w:r>
      <w:r w:rsidR="004B25E3" w:rsidRPr="00B06129">
        <w:rPr>
          <w:bCs/>
          <w:sz w:val="24"/>
          <w:szCs w:val="24"/>
        </w:rPr>
        <w:t xml:space="preserve">ach match of the </w:t>
      </w:r>
      <w:r w:rsidR="000C508D">
        <w:rPr>
          <w:bCs/>
          <w:sz w:val="24"/>
          <w:szCs w:val="24"/>
        </w:rPr>
        <w:t xml:space="preserve">ICC </w:t>
      </w:r>
      <w:r w:rsidR="004B25E3" w:rsidRPr="00B06129">
        <w:rPr>
          <w:bCs/>
          <w:sz w:val="24"/>
          <w:szCs w:val="24"/>
        </w:rPr>
        <w:t>One Day International World Cup involving the senior Australian representative team selected by Cricket Australia</w:t>
      </w:r>
      <w:r w:rsidR="004B25E3" w:rsidRPr="00B6045B">
        <w:rPr>
          <w:sz w:val="24"/>
          <w:szCs w:val="24"/>
        </w:rPr>
        <w:t xml:space="preserve"> </w:t>
      </w:r>
      <w:r>
        <w:rPr>
          <w:sz w:val="24"/>
          <w:szCs w:val="24"/>
        </w:rPr>
        <w:t>is included in the anti</w:t>
      </w:r>
      <w:r>
        <w:rPr>
          <w:sz w:val="24"/>
          <w:szCs w:val="24"/>
        </w:rPr>
        <w:noBreakHyphen/>
        <w:t>siphoning list. The amendment to</w:t>
      </w:r>
      <w:r w:rsidRPr="00404663">
        <w:rPr>
          <w:sz w:val="24"/>
          <w:szCs w:val="24"/>
        </w:rPr>
        <w:t xml:space="preserve"> clause </w:t>
      </w:r>
      <w:r w:rsidR="004B25E3">
        <w:rPr>
          <w:sz w:val="24"/>
          <w:szCs w:val="24"/>
        </w:rPr>
        <w:t>7.6</w:t>
      </w:r>
      <w:r>
        <w:rPr>
          <w:sz w:val="24"/>
          <w:szCs w:val="24"/>
        </w:rPr>
        <w:t xml:space="preserve"> effectively removes from the list</w:t>
      </w:r>
      <w:r w:rsidRPr="00404663">
        <w:rPr>
          <w:sz w:val="24"/>
          <w:szCs w:val="24"/>
        </w:rPr>
        <w:t xml:space="preserve"> </w:t>
      </w:r>
      <w:r w:rsidR="004B25E3">
        <w:rPr>
          <w:sz w:val="24"/>
          <w:szCs w:val="24"/>
        </w:rPr>
        <w:t>e</w:t>
      </w:r>
      <w:r w:rsidR="004B25E3" w:rsidRPr="00B06129">
        <w:rPr>
          <w:bCs/>
          <w:sz w:val="24"/>
          <w:szCs w:val="24"/>
        </w:rPr>
        <w:t xml:space="preserve">ach match of the </w:t>
      </w:r>
      <w:r w:rsidR="00416914">
        <w:rPr>
          <w:bCs/>
          <w:sz w:val="24"/>
          <w:szCs w:val="24"/>
        </w:rPr>
        <w:t xml:space="preserve">2015 </w:t>
      </w:r>
      <w:r w:rsidR="000C508D">
        <w:rPr>
          <w:bCs/>
          <w:sz w:val="24"/>
          <w:szCs w:val="24"/>
        </w:rPr>
        <w:t>ICC</w:t>
      </w:r>
      <w:r w:rsidR="004B25E3" w:rsidRPr="00B06129">
        <w:rPr>
          <w:bCs/>
          <w:sz w:val="24"/>
          <w:szCs w:val="24"/>
        </w:rPr>
        <w:t xml:space="preserve"> World Cup involving the senior Australian representative team selected by Cricket Australia</w:t>
      </w:r>
      <w:r w:rsidR="00416914">
        <w:rPr>
          <w:bCs/>
          <w:sz w:val="24"/>
          <w:szCs w:val="24"/>
        </w:rPr>
        <w:t xml:space="preserve">. </w:t>
      </w:r>
      <w:r w:rsidR="001407E2">
        <w:rPr>
          <w:bCs/>
          <w:sz w:val="24"/>
          <w:szCs w:val="24"/>
        </w:rPr>
        <w:t xml:space="preserve"> </w:t>
      </w:r>
    </w:p>
    <w:p w14:paraId="7644CBCC" w14:textId="77777777" w:rsidR="00416914" w:rsidRPr="00404663" w:rsidRDefault="00416914" w:rsidP="00681E73">
      <w:pPr>
        <w:rPr>
          <w:sz w:val="24"/>
          <w:szCs w:val="24"/>
        </w:rPr>
      </w:pPr>
    </w:p>
    <w:p w14:paraId="0621FCE9" w14:textId="77777777" w:rsidR="00681E73" w:rsidRPr="00E663C2" w:rsidRDefault="00681E73" w:rsidP="00681E73">
      <w:pPr>
        <w:rPr>
          <w:sz w:val="24"/>
          <w:szCs w:val="24"/>
        </w:rPr>
      </w:pPr>
    </w:p>
    <w:p w14:paraId="48CB0D9A" w14:textId="77777777" w:rsidR="00681E73" w:rsidRPr="006C4FEF" w:rsidRDefault="00681E73" w:rsidP="00681E73">
      <w:pPr>
        <w:rPr>
          <w:sz w:val="24"/>
          <w:szCs w:val="24"/>
          <w:u w:val="single"/>
        </w:rPr>
      </w:pPr>
      <w:r w:rsidRPr="006C4FEF">
        <w:rPr>
          <w:sz w:val="24"/>
          <w:szCs w:val="24"/>
          <w:u w:val="single"/>
        </w:rPr>
        <w:t xml:space="preserve">Statement of Compatibility with Human Rights (prepared in accordance with Part 3 of the </w:t>
      </w:r>
      <w:r w:rsidRPr="006C4FEF">
        <w:rPr>
          <w:i/>
          <w:sz w:val="24"/>
          <w:szCs w:val="24"/>
          <w:u w:val="single"/>
        </w:rPr>
        <w:t>Human Rights (Parliamentary Scrutiny) Act 2011</w:t>
      </w:r>
      <w:r w:rsidRPr="006C4FEF">
        <w:rPr>
          <w:sz w:val="24"/>
          <w:szCs w:val="24"/>
          <w:u w:val="single"/>
        </w:rPr>
        <w:t>)</w:t>
      </w:r>
    </w:p>
    <w:p w14:paraId="30D5AFA1" w14:textId="77777777" w:rsidR="00681E73" w:rsidRDefault="00681E73" w:rsidP="00681E73">
      <w:pPr>
        <w:rPr>
          <w:sz w:val="24"/>
          <w:szCs w:val="24"/>
        </w:rPr>
      </w:pPr>
    </w:p>
    <w:p w14:paraId="10BF6F6F" w14:textId="77777777" w:rsidR="00681E73" w:rsidRPr="008F3FB6" w:rsidRDefault="00681E73" w:rsidP="00681E73">
      <w:pPr>
        <w:rPr>
          <w:sz w:val="24"/>
          <w:szCs w:val="24"/>
        </w:rPr>
      </w:pPr>
      <w:r w:rsidRPr="008F3FB6">
        <w:rPr>
          <w:sz w:val="24"/>
          <w:szCs w:val="24"/>
        </w:rPr>
        <w:t xml:space="preserve">This Notice is compatible with the human rights and freedoms recognised or declared in the international instruments listed in section 3 of the </w:t>
      </w:r>
      <w:r w:rsidRPr="00DF69C0">
        <w:rPr>
          <w:i/>
          <w:sz w:val="24"/>
          <w:szCs w:val="24"/>
        </w:rPr>
        <w:t>Human Rights (Parliamentary Scrutiny) Act 2011</w:t>
      </w:r>
      <w:r w:rsidRPr="008F3FB6">
        <w:rPr>
          <w:sz w:val="24"/>
          <w:szCs w:val="24"/>
        </w:rPr>
        <w:t xml:space="preserve">. This is because the Notice promotes freedom of expression and cultural rights by facilitating greater access by all Australians to live coverage of </w:t>
      </w:r>
      <w:r>
        <w:rPr>
          <w:sz w:val="24"/>
          <w:szCs w:val="24"/>
        </w:rPr>
        <w:t>cricket tournaments</w:t>
      </w:r>
      <w:r w:rsidRPr="00E650C3">
        <w:rPr>
          <w:sz w:val="24"/>
          <w:szCs w:val="24"/>
          <w:lang w:val="en-GB"/>
        </w:rPr>
        <w:t>.</w:t>
      </w:r>
    </w:p>
    <w:p w14:paraId="1B22B4CB" w14:textId="77777777" w:rsidR="00681E73" w:rsidRPr="008F3FB6" w:rsidRDefault="00681E73" w:rsidP="00681E73">
      <w:pPr>
        <w:rPr>
          <w:sz w:val="24"/>
          <w:szCs w:val="24"/>
        </w:rPr>
      </w:pPr>
    </w:p>
    <w:p w14:paraId="1D7E7D74" w14:textId="77777777" w:rsidR="00681E73" w:rsidRPr="008F3FB6" w:rsidRDefault="00681E73" w:rsidP="00681E73">
      <w:pPr>
        <w:rPr>
          <w:sz w:val="24"/>
          <w:szCs w:val="24"/>
        </w:rPr>
      </w:pPr>
      <w:r w:rsidRPr="008F3FB6">
        <w:rPr>
          <w:sz w:val="24"/>
          <w:szCs w:val="24"/>
        </w:rPr>
        <w:t xml:space="preserve">Australia is a signatory to the International Covenant on Civil and Political Rights (the ICCPR) and the International Covenant on Economic, Social and Cultural Rights (ICESCR) (two of the international instruments listed in section 3 of the </w:t>
      </w:r>
      <w:r w:rsidRPr="00DF69C0">
        <w:rPr>
          <w:i/>
          <w:sz w:val="24"/>
          <w:szCs w:val="24"/>
        </w:rPr>
        <w:t>Human Rights (Parliamentary Scrutiny) Act 2011)</w:t>
      </w:r>
      <w:r w:rsidRPr="008F3FB6">
        <w:rPr>
          <w:sz w:val="24"/>
          <w:szCs w:val="24"/>
        </w:rPr>
        <w:t>. Article 19(2) of the ICCPR protects freedom of expression, including the right to seek, receive and impart information and ideas of all kinds, and the means of their dissemination. Article 15(1) of the ICESCR protects the right of everyone to take part in cultural life.</w:t>
      </w:r>
      <w:r>
        <w:rPr>
          <w:sz w:val="24"/>
          <w:szCs w:val="24"/>
        </w:rPr>
        <w:t xml:space="preserve"> Cultural life includes sports.</w:t>
      </w:r>
    </w:p>
    <w:p w14:paraId="189F9D57" w14:textId="77777777" w:rsidR="00681E73" w:rsidRPr="008F3FB6" w:rsidRDefault="00681E73" w:rsidP="00681E73">
      <w:pPr>
        <w:rPr>
          <w:sz w:val="24"/>
          <w:szCs w:val="24"/>
        </w:rPr>
      </w:pPr>
    </w:p>
    <w:p w14:paraId="3E63D00C" w14:textId="77777777" w:rsidR="00681E73" w:rsidRPr="008F3FB6" w:rsidRDefault="00681E73" w:rsidP="00681E73">
      <w:pPr>
        <w:rPr>
          <w:sz w:val="24"/>
          <w:szCs w:val="24"/>
        </w:rPr>
      </w:pPr>
      <w:r w:rsidRPr="00F45174">
        <w:rPr>
          <w:sz w:val="24"/>
          <w:szCs w:val="24"/>
        </w:rPr>
        <w:t>The purpose of the Principal Notice is to ensure that specified events are televised free to the Aus</w:t>
      </w:r>
      <w:r>
        <w:rPr>
          <w:sz w:val="24"/>
          <w:szCs w:val="24"/>
        </w:rPr>
        <w:t>tralian public. The removal of</w:t>
      </w:r>
      <w:r w:rsidRPr="00F45174">
        <w:rPr>
          <w:sz w:val="24"/>
          <w:szCs w:val="24"/>
        </w:rPr>
        <w:t xml:space="preserve"> certain </w:t>
      </w:r>
      <w:r>
        <w:rPr>
          <w:sz w:val="24"/>
          <w:szCs w:val="24"/>
        </w:rPr>
        <w:t>cricket matches from the anti</w:t>
      </w:r>
      <w:r>
        <w:rPr>
          <w:sz w:val="24"/>
          <w:szCs w:val="24"/>
        </w:rPr>
        <w:noBreakHyphen/>
      </w:r>
      <w:r w:rsidRPr="00F45174">
        <w:rPr>
          <w:sz w:val="24"/>
          <w:szCs w:val="24"/>
        </w:rPr>
        <w:t xml:space="preserve">siphoning list will give </w:t>
      </w:r>
      <w:r>
        <w:rPr>
          <w:sz w:val="24"/>
          <w:szCs w:val="24"/>
        </w:rPr>
        <w:t xml:space="preserve">relevant </w:t>
      </w:r>
      <w:r w:rsidRPr="00F45174">
        <w:rPr>
          <w:sz w:val="24"/>
          <w:szCs w:val="24"/>
        </w:rPr>
        <w:t>free-to-air broadcasters greater flexibility an</w:t>
      </w:r>
      <w:r>
        <w:rPr>
          <w:sz w:val="24"/>
          <w:szCs w:val="24"/>
        </w:rPr>
        <w:t>d increase live coverage of the</w:t>
      </w:r>
      <w:r w:rsidRPr="00F45174">
        <w:rPr>
          <w:sz w:val="24"/>
          <w:szCs w:val="24"/>
        </w:rPr>
        <w:t xml:space="preserve"> event</w:t>
      </w:r>
      <w:r>
        <w:rPr>
          <w:sz w:val="24"/>
          <w:szCs w:val="24"/>
        </w:rPr>
        <w:t>s</w:t>
      </w:r>
      <w:r w:rsidRPr="00F45174">
        <w:rPr>
          <w:sz w:val="24"/>
          <w:szCs w:val="24"/>
        </w:rPr>
        <w:t>. This will enhance the viewing experience for Australian audiences.</w:t>
      </w:r>
    </w:p>
    <w:p w14:paraId="76D52CFA" w14:textId="77777777" w:rsidR="00681E73" w:rsidRDefault="00681E73" w:rsidP="00681E73">
      <w:pPr>
        <w:rPr>
          <w:sz w:val="24"/>
          <w:szCs w:val="24"/>
        </w:rPr>
      </w:pPr>
    </w:p>
    <w:p w14:paraId="6B2B5CFE" w14:textId="77777777" w:rsidR="00681E73" w:rsidRPr="0023682E" w:rsidRDefault="00681E73" w:rsidP="00681E73">
      <w:pPr>
        <w:rPr>
          <w:sz w:val="24"/>
          <w:szCs w:val="24"/>
          <w:u w:val="single"/>
        </w:rPr>
      </w:pPr>
      <w:r w:rsidRPr="0023682E">
        <w:rPr>
          <w:sz w:val="24"/>
          <w:szCs w:val="24"/>
          <w:u w:val="single"/>
        </w:rPr>
        <w:t>Consultation</w:t>
      </w:r>
    </w:p>
    <w:p w14:paraId="799B64F2" w14:textId="77777777" w:rsidR="00681E73" w:rsidRPr="0023682E" w:rsidRDefault="00681E73" w:rsidP="00681E73">
      <w:pPr>
        <w:rPr>
          <w:sz w:val="24"/>
          <w:szCs w:val="24"/>
        </w:rPr>
      </w:pPr>
    </w:p>
    <w:p w14:paraId="597C8EAD" w14:textId="1FD2A005" w:rsidR="00681E73" w:rsidRDefault="00681E73" w:rsidP="00681E73">
      <w:r w:rsidRPr="00002922">
        <w:rPr>
          <w:sz w:val="24"/>
          <w:szCs w:val="24"/>
        </w:rPr>
        <w:t xml:space="preserve">The office of the Minister for Communications consulted with </w:t>
      </w:r>
      <w:r>
        <w:rPr>
          <w:sz w:val="24"/>
          <w:szCs w:val="24"/>
        </w:rPr>
        <w:t xml:space="preserve">the Nine </w:t>
      </w:r>
      <w:r w:rsidRPr="00002922">
        <w:rPr>
          <w:sz w:val="24"/>
          <w:szCs w:val="24"/>
        </w:rPr>
        <w:t>Network</w:t>
      </w:r>
      <w:r w:rsidR="00944181">
        <w:rPr>
          <w:sz w:val="24"/>
          <w:szCs w:val="24"/>
        </w:rPr>
        <w:t xml:space="preserve"> and </w:t>
      </w:r>
      <w:r w:rsidR="00D81BF7">
        <w:rPr>
          <w:sz w:val="24"/>
          <w:szCs w:val="24"/>
        </w:rPr>
        <w:t xml:space="preserve">Foxtel </w:t>
      </w:r>
      <w:r w:rsidRPr="00002922">
        <w:rPr>
          <w:sz w:val="24"/>
          <w:szCs w:val="24"/>
        </w:rPr>
        <w:t xml:space="preserve">in relation to this Notice. </w:t>
      </w:r>
      <w:r w:rsidR="00F854D6">
        <w:rPr>
          <w:sz w:val="24"/>
          <w:szCs w:val="24"/>
        </w:rPr>
        <w:t xml:space="preserve">The </w:t>
      </w:r>
      <w:r w:rsidRPr="00002922">
        <w:rPr>
          <w:sz w:val="24"/>
          <w:szCs w:val="24"/>
        </w:rPr>
        <w:t>Nine</w:t>
      </w:r>
      <w:r w:rsidR="00F854D6">
        <w:rPr>
          <w:sz w:val="24"/>
          <w:szCs w:val="24"/>
        </w:rPr>
        <w:t xml:space="preserve"> Network</w:t>
      </w:r>
      <w:r w:rsidRPr="00002922">
        <w:rPr>
          <w:sz w:val="24"/>
          <w:szCs w:val="24"/>
        </w:rPr>
        <w:t xml:space="preserve"> currently holds the free-to-air broadcast rights to </w:t>
      </w:r>
      <w:r w:rsidR="000C508D">
        <w:rPr>
          <w:bCs/>
          <w:sz w:val="24"/>
          <w:szCs w:val="24"/>
        </w:rPr>
        <w:t>ICC</w:t>
      </w:r>
      <w:r w:rsidR="0030165D" w:rsidRPr="00B06129">
        <w:rPr>
          <w:bCs/>
          <w:sz w:val="24"/>
          <w:szCs w:val="24"/>
        </w:rPr>
        <w:t xml:space="preserve"> One Day International World Cup</w:t>
      </w:r>
      <w:r w:rsidR="0030165D" w:rsidRPr="00002922">
        <w:rPr>
          <w:sz w:val="24"/>
          <w:szCs w:val="24"/>
        </w:rPr>
        <w:t xml:space="preserve"> </w:t>
      </w:r>
      <w:r w:rsidRPr="00002922">
        <w:rPr>
          <w:sz w:val="24"/>
          <w:szCs w:val="24"/>
        </w:rPr>
        <w:t>matches affected by this Notice.</w:t>
      </w:r>
      <w:r w:rsidRPr="00002922">
        <w:rPr>
          <w:sz w:val="24"/>
          <w:szCs w:val="24"/>
          <w:lang w:val="en-GB"/>
        </w:rPr>
        <w:t xml:space="preserve"> </w:t>
      </w:r>
      <w:r w:rsidR="0030165D">
        <w:rPr>
          <w:sz w:val="24"/>
          <w:szCs w:val="24"/>
          <w:lang w:val="en-GB"/>
        </w:rPr>
        <w:t xml:space="preserve">Foxtel holds subscription television rights to the matches.  </w:t>
      </w:r>
    </w:p>
    <w:p w14:paraId="1A7A58F1" w14:textId="77777777" w:rsidR="00DC3985" w:rsidRPr="00681E73" w:rsidRDefault="00DC3985" w:rsidP="00681E73">
      <w:bookmarkStart w:id="0" w:name="_GoBack"/>
      <w:bookmarkEnd w:id="0"/>
    </w:p>
    <w:sectPr w:rsidR="00DC3985" w:rsidRPr="00681E73" w:rsidSect="002C0CD5">
      <w:headerReference w:type="default" r:id="rId9"/>
      <w:footerReference w:type="first" r:id="rId10"/>
      <w:pgSz w:w="11906" w:h="16838"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E7D33" w14:textId="77777777" w:rsidR="00173362" w:rsidRDefault="000C508D">
      <w:r>
        <w:separator/>
      </w:r>
    </w:p>
  </w:endnote>
  <w:endnote w:type="continuationSeparator" w:id="0">
    <w:p w14:paraId="21843544" w14:textId="77777777" w:rsidR="00173362" w:rsidRDefault="000C5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2C8A2" w14:textId="77777777" w:rsidR="005A1CCC" w:rsidRDefault="00670A59">
    <w:pPr>
      <w:pStyle w:val="Footer"/>
      <w:jc w:val="center"/>
    </w:pPr>
  </w:p>
  <w:p w14:paraId="37F7B164" w14:textId="77777777" w:rsidR="005A1CCC" w:rsidRDefault="00670A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8D36D" w14:textId="77777777" w:rsidR="00173362" w:rsidRDefault="000C508D">
      <w:r>
        <w:separator/>
      </w:r>
    </w:p>
  </w:footnote>
  <w:footnote w:type="continuationSeparator" w:id="0">
    <w:p w14:paraId="56033B16" w14:textId="77777777" w:rsidR="00173362" w:rsidRDefault="000C50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AE2A5" w14:textId="77777777" w:rsidR="005A1CCC" w:rsidRDefault="00CB5BDA">
    <w:pPr>
      <w:pStyle w:val="Header"/>
    </w:pPr>
    <w:r>
      <w:tab/>
    </w:r>
    <w:r>
      <w:rPr>
        <w:rStyle w:val="PageNumber"/>
      </w:rPr>
      <w:fldChar w:fldCharType="begin"/>
    </w:r>
    <w:r>
      <w:rPr>
        <w:rStyle w:val="PageNumber"/>
      </w:rPr>
      <w:instrText xml:space="preserve"> PAGE </w:instrText>
    </w:r>
    <w:r>
      <w:rPr>
        <w:rStyle w:val="PageNumber"/>
      </w:rPr>
      <w:fldChar w:fldCharType="separate"/>
    </w:r>
    <w:r w:rsidR="00670A59">
      <w:rPr>
        <w:rStyle w:val="PageNumber"/>
        <w:noProof/>
      </w:rPr>
      <w:t>3</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E73"/>
    <w:rsid w:val="000C508D"/>
    <w:rsid w:val="001407E2"/>
    <w:rsid w:val="00173362"/>
    <w:rsid w:val="00266FC6"/>
    <w:rsid w:val="0030165D"/>
    <w:rsid w:val="00327A1B"/>
    <w:rsid w:val="00390088"/>
    <w:rsid w:val="00416914"/>
    <w:rsid w:val="00473A28"/>
    <w:rsid w:val="004B25E3"/>
    <w:rsid w:val="004D5570"/>
    <w:rsid w:val="00514007"/>
    <w:rsid w:val="00587CDF"/>
    <w:rsid w:val="00670A59"/>
    <w:rsid w:val="00681E73"/>
    <w:rsid w:val="006D5C44"/>
    <w:rsid w:val="00810716"/>
    <w:rsid w:val="00865AB8"/>
    <w:rsid w:val="00870B0E"/>
    <w:rsid w:val="0090172E"/>
    <w:rsid w:val="00944181"/>
    <w:rsid w:val="00961AE0"/>
    <w:rsid w:val="00A61D2F"/>
    <w:rsid w:val="00CB5BDA"/>
    <w:rsid w:val="00D81BF7"/>
    <w:rsid w:val="00DC3985"/>
    <w:rsid w:val="00F25483"/>
    <w:rsid w:val="00F53D86"/>
    <w:rsid w:val="00F854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8BA84"/>
  <w15:docId w15:val="{BAF3F721-36F2-44EA-837A-7879DD580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E73"/>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681E73"/>
    <w:pPr>
      <w:keepNext/>
      <w:jc w:val="center"/>
      <w:outlineLvl w:val="0"/>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1E73"/>
    <w:rPr>
      <w:rFonts w:ascii="Times New Roman" w:eastAsia="Times New Roman" w:hAnsi="Times New Roman" w:cs="Times New Roman"/>
      <w:i/>
      <w:sz w:val="24"/>
      <w:szCs w:val="20"/>
      <w:lang w:eastAsia="en-AU"/>
    </w:rPr>
  </w:style>
  <w:style w:type="paragraph" w:styleId="Title">
    <w:name w:val="Title"/>
    <w:basedOn w:val="Normal"/>
    <w:link w:val="TitleChar"/>
    <w:qFormat/>
    <w:rsid w:val="00681E73"/>
    <w:pPr>
      <w:jc w:val="center"/>
    </w:pPr>
    <w:rPr>
      <w:b/>
      <w:sz w:val="24"/>
      <w:u w:val="single"/>
      <w:lang w:val="en-GB" w:eastAsia="en-US"/>
    </w:rPr>
  </w:style>
  <w:style w:type="character" w:customStyle="1" w:styleId="TitleChar">
    <w:name w:val="Title Char"/>
    <w:basedOn w:val="DefaultParagraphFont"/>
    <w:link w:val="Title"/>
    <w:rsid w:val="00681E73"/>
    <w:rPr>
      <w:rFonts w:ascii="Times New Roman" w:eastAsia="Times New Roman" w:hAnsi="Times New Roman" w:cs="Times New Roman"/>
      <w:b/>
      <w:sz w:val="24"/>
      <w:szCs w:val="20"/>
      <w:u w:val="single"/>
      <w:lang w:val="en-GB"/>
    </w:rPr>
  </w:style>
  <w:style w:type="paragraph" w:styleId="BodyText3">
    <w:name w:val="Body Text 3"/>
    <w:basedOn w:val="Normal"/>
    <w:link w:val="BodyText3Char"/>
    <w:rsid w:val="00681E73"/>
    <w:rPr>
      <w:sz w:val="24"/>
      <w:u w:val="single"/>
      <w:lang w:val="en-GB" w:eastAsia="en-US"/>
    </w:rPr>
  </w:style>
  <w:style w:type="character" w:customStyle="1" w:styleId="BodyText3Char">
    <w:name w:val="Body Text 3 Char"/>
    <w:basedOn w:val="DefaultParagraphFont"/>
    <w:link w:val="BodyText3"/>
    <w:rsid w:val="00681E73"/>
    <w:rPr>
      <w:rFonts w:ascii="Times New Roman" w:eastAsia="Times New Roman" w:hAnsi="Times New Roman" w:cs="Times New Roman"/>
      <w:sz w:val="24"/>
      <w:szCs w:val="20"/>
      <w:u w:val="single"/>
      <w:lang w:val="en-GB"/>
    </w:rPr>
  </w:style>
  <w:style w:type="paragraph" w:styleId="BodyText">
    <w:name w:val="Body Text"/>
    <w:basedOn w:val="Normal"/>
    <w:link w:val="BodyTextChar"/>
    <w:rsid w:val="00681E73"/>
    <w:pPr>
      <w:jc w:val="center"/>
    </w:pPr>
    <w:rPr>
      <w:sz w:val="24"/>
    </w:rPr>
  </w:style>
  <w:style w:type="character" w:customStyle="1" w:styleId="BodyTextChar">
    <w:name w:val="Body Text Char"/>
    <w:basedOn w:val="DefaultParagraphFont"/>
    <w:link w:val="BodyText"/>
    <w:rsid w:val="00681E73"/>
    <w:rPr>
      <w:rFonts w:ascii="Times New Roman" w:eastAsia="Times New Roman" w:hAnsi="Times New Roman" w:cs="Times New Roman"/>
      <w:sz w:val="24"/>
      <w:szCs w:val="20"/>
      <w:lang w:eastAsia="en-AU"/>
    </w:rPr>
  </w:style>
  <w:style w:type="paragraph" w:styleId="Header">
    <w:name w:val="header"/>
    <w:basedOn w:val="Normal"/>
    <w:link w:val="HeaderChar"/>
    <w:rsid w:val="00681E73"/>
    <w:pPr>
      <w:tabs>
        <w:tab w:val="center" w:pos="4320"/>
        <w:tab w:val="right" w:pos="8640"/>
      </w:tabs>
    </w:pPr>
    <w:rPr>
      <w:sz w:val="24"/>
    </w:rPr>
  </w:style>
  <w:style w:type="character" w:customStyle="1" w:styleId="HeaderChar">
    <w:name w:val="Header Char"/>
    <w:basedOn w:val="DefaultParagraphFont"/>
    <w:link w:val="Header"/>
    <w:rsid w:val="00681E73"/>
    <w:rPr>
      <w:rFonts w:ascii="Times New Roman" w:eastAsia="Times New Roman" w:hAnsi="Times New Roman" w:cs="Times New Roman"/>
      <w:sz w:val="24"/>
      <w:szCs w:val="20"/>
      <w:lang w:eastAsia="en-AU"/>
    </w:rPr>
  </w:style>
  <w:style w:type="character" w:styleId="PageNumber">
    <w:name w:val="page number"/>
    <w:basedOn w:val="DefaultParagraphFont"/>
    <w:rsid w:val="00681E73"/>
  </w:style>
  <w:style w:type="paragraph" w:styleId="Footer">
    <w:name w:val="footer"/>
    <w:basedOn w:val="Normal"/>
    <w:link w:val="FooterChar"/>
    <w:uiPriority w:val="99"/>
    <w:unhideWhenUsed/>
    <w:rsid w:val="00681E73"/>
    <w:pPr>
      <w:tabs>
        <w:tab w:val="center" w:pos="4513"/>
        <w:tab w:val="right" w:pos="9026"/>
      </w:tabs>
    </w:pPr>
  </w:style>
  <w:style w:type="character" w:customStyle="1" w:styleId="FooterChar">
    <w:name w:val="Footer Char"/>
    <w:basedOn w:val="DefaultParagraphFont"/>
    <w:link w:val="Footer"/>
    <w:uiPriority w:val="99"/>
    <w:rsid w:val="00681E73"/>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unhideWhenUsed/>
    <w:rsid w:val="001407E2"/>
    <w:rPr>
      <w:sz w:val="16"/>
      <w:szCs w:val="16"/>
    </w:rPr>
  </w:style>
  <w:style w:type="paragraph" w:styleId="CommentText">
    <w:name w:val="annotation text"/>
    <w:basedOn w:val="Normal"/>
    <w:link w:val="CommentTextChar"/>
    <w:uiPriority w:val="99"/>
    <w:semiHidden/>
    <w:unhideWhenUsed/>
    <w:rsid w:val="001407E2"/>
  </w:style>
  <w:style w:type="character" w:customStyle="1" w:styleId="CommentTextChar">
    <w:name w:val="Comment Text Char"/>
    <w:basedOn w:val="DefaultParagraphFont"/>
    <w:link w:val="CommentText"/>
    <w:uiPriority w:val="99"/>
    <w:semiHidden/>
    <w:rsid w:val="001407E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407E2"/>
    <w:rPr>
      <w:b/>
      <w:bCs/>
    </w:rPr>
  </w:style>
  <w:style w:type="character" w:customStyle="1" w:styleId="CommentSubjectChar">
    <w:name w:val="Comment Subject Char"/>
    <w:basedOn w:val="CommentTextChar"/>
    <w:link w:val="CommentSubject"/>
    <w:uiPriority w:val="99"/>
    <w:semiHidden/>
    <w:rsid w:val="001407E2"/>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1407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7E2"/>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8DFF0E8D596C459BF6924D447E3E9E" ma:contentTypeVersion="0" ma:contentTypeDescription="Create a new document." ma:contentTypeScope="" ma:versionID="1d43d26e62fc4211b3ea770fc1237dd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5896A1-FEDB-42CB-B743-AB99CFC9B2C0}">
  <ds:schemaRefs>
    <ds:schemaRef ds:uri="http://schemas.microsoft.com/sharepoint/v3/contenttype/forms"/>
  </ds:schemaRefs>
</ds:datastoreItem>
</file>

<file path=customXml/itemProps2.xml><?xml version="1.0" encoding="utf-8"?>
<ds:datastoreItem xmlns:ds="http://schemas.openxmlformats.org/officeDocument/2006/customXml" ds:itemID="{28D94F25-1428-49C2-A3DB-D7A967EB0FE2}">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4429B763-4904-4A88-9106-F3D1A7C5F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17C528FD.dotm</Template>
  <TotalTime>4</TotalTime>
  <Pages>3</Pages>
  <Words>1139</Words>
  <Characters>6494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ES - Broadcasting Services Events Notice No 1 of 2010 Amendment No 1 of 2015 - Final Draft - 16 Jan 2015</vt:lpstr>
    </vt:vector>
  </TitlesOfParts>
  <Company>Department of Communications</Company>
  <LinksUpToDate>false</LinksUpToDate>
  <CharactersWithSpaces>7618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Broadcasting Services Events Notice No 1 of 2010 Amendment No 1 of 2015 - Final Draft - 16 Jan 2015</dc:title>
  <dc:creator>Bergmann, Laura</dc:creator>
  <cp:lastModifiedBy>Penprase, James</cp:lastModifiedBy>
  <cp:revision>5</cp:revision>
  <cp:lastPrinted>2015-02-05T01:06:00Z</cp:lastPrinted>
  <dcterms:created xsi:type="dcterms:W3CDTF">2015-01-15T22:53:00Z</dcterms:created>
  <dcterms:modified xsi:type="dcterms:W3CDTF">2015-02-05T01:07:00Z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0x010100878DFF0E8D596C459BF6924D447E3E9E</vt:lpwstr>
  </property>
  <property fmtid="{D5CDD505-2E9C-101B-9397-08002B2CF9AE}" pid="3" name="TrimRevisionNumber">
    <vt:i4>4</vt:i4>
  </property>
</Properties>
</file>