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082"/>
        <w:gridCol w:w="5670"/>
      </w:tblGrid>
      <w:tr w:rsidR="00090A6F" w:rsidRPr="0000292B" w:rsidTr="001942B5">
        <w:tc>
          <w:tcPr>
            <w:tcW w:w="4082" w:type="dxa"/>
          </w:tcPr>
          <w:p w:rsidR="00090A6F" w:rsidRPr="0000292B" w:rsidRDefault="00364B30">
            <w:pPr>
              <w:pStyle w:val="CoverStandard"/>
            </w:pPr>
            <w:r>
              <w:t>AASB</w:t>
            </w:r>
            <w:r w:rsidR="00831497">
              <w:t xml:space="preserve"> Standard</w:t>
            </w:r>
          </w:p>
        </w:tc>
        <w:tc>
          <w:tcPr>
            <w:tcW w:w="5670" w:type="dxa"/>
          </w:tcPr>
          <w:p w:rsidR="00090A6F" w:rsidRPr="0000292B" w:rsidRDefault="00831497">
            <w:pPr>
              <w:pStyle w:val="CoverNumber"/>
            </w:pPr>
            <w:r>
              <w:t>AASB</w:t>
            </w:r>
            <w:r w:rsidR="00090A6F" w:rsidRPr="0000292B">
              <w:t xml:space="preserve"> </w:t>
            </w:r>
            <w:bookmarkStart w:id="0" w:name="DocNo"/>
            <w:r w:rsidR="00E66766">
              <w:t>2014-8</w:t>
            </w:r>
            <w:bookmarkEnd w:id="0"/>
          </w:p>
          <w:p w:rsidR="00090A6F" w:rsidRPr="0000292B" w:rsidRDefault="00E66766">
            <w:pPr>
              <w:pStyle w:val="CoverDate"/>
            </w:pPr>
            <w:bookmarkStart w:id="1" w:name="DocDate"/>
            <w:r>
              <w:t>December 2014</w:t>
            </w:r>
            <w:bookmarkEnd w:id="1"/>
          </w:p>
        </w:tc>
      </w:tr>
    </w:tbl>
    <w:p w:rsidR="00090A6F" w:rsidRPr="0000292B" w:rsidRDefault="00831497">
      <w:pPr>
        <w:pStyle w:val="CoverTitle"/>
      </w:pPr>
      <w:r>
        <w:t xml:space="preserve">Amendments to Australian Accounting Standards arising from </w:t>
      </w:r>
      <w:bookmarkStart w:id="2" w:name="ArisingNo"/>
      <w:r w:rsidR="00B34E18">
        <w:t>AASB 9</w:t>
      </w:r>
      <w:bookmarkEnd w:id="2"/>
      <w:r w:rsidR="00191E14">
        <w:t xml:space="preserve"> (December 2014)</w:t>
      </w:r>
      <w:r w:rsidR="00954E04">
        <w:t xml:space="preserve"> – Application of AASB 9 (December 2009) and AASB 9 (December 2010)</w:t>
      </w:r>
    </w:p>
    <w:p w:rsidR="00C5022C" w:rsidRPr="00C5022C" w:rsidRDefault="002B7803" w:rsidP="00C5022C">
      <w:pPr>
        <w:pStyle w:val="CoverSubtitle"/>
      </w:pPr>
      <w:r>
        <w:t>[</w:t>
      </w:r>
      <w:bookmarkStart w:id="3" w:name="AmendingNos"/>
      <w:r w:rsidR="00B34E18">
        <w:t xml:space="preserve">AASB 9 </w:t>
      </w:r>
      <w:r w:rsidR="00191E14">
        <w:t>(December 2009) &amp; AASB </w:t>
      </w:r>
      <w:r w:rsidR="00B34E18">
        <w:t>9</w:t>
      </w:r>
      <w:r w:rsidR="00191E14">
        <w:t xml:space="preserve"> (December 2010)</w:t>
      </w:r>
      <w:bookmarkEnd w:id="3"/>
      <w:r>
        <w:t>]</w:t>
      </w:r>
    </w:p>
    <w:p w:rsidR="00737714" w:rsidRPr="0000292B" w:rsidRDefault="00737714" w:rsidP="00737714"/>
    <w:p w:rsidR="00090A6F" w:rsidRPr="0000292B" w:rsidRDefault="008B643A">
      <w:pPr>
        <w:sectPr w:rsidR="00090A6F" w:rsidRPr="0000292B" w:rsidSect="001942B5">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20" w:footer="720" w:gutter="0"/>
          <w:cols w:space="720"/>
        </w:sectPr>
      </w:pPr>
      <w:r>
        <w:rPr>
          <w:noProof/>
          <w:lang w:eastAsia="en-AU"/>
        </w:rPr>
        <w:drawing>
          <wp:anchor distT="0" distB="0" distL="114300" distR="114300" simplePos="0" relativeHeight="251657728" behindDoc="0" locked="1" layoutInCell="1" allowOverlap="1" wp14:anchorId="5C46A3F3" wp14:editId="1D0C8F33">
            <wp:simplePos x="0" y="0"/>
            <wp:positionH relativeFrom="margin">
              <wp:align>left</wp:align>
            </wp:positionH>
            <wp:positionV relativeFrom="margin">
              <wp:align>bottom</wp:align>
            </wp:positionV>
            <wp:extent cx="1676400" cy="1333500"/>
            <wp:effectExtent l="0" t="0" r="0" b="0"/>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00292B" w:rsidRDefault="00737714" w:rsidP="00737714">
      <w:pPr>
        <w:pStyle w:val="Heading2"/>
      </w:pPr>
      <w:r w:rsidRPr="0000292B">
        <w:lastRenderedPageBreak/>
        <w:t xml:space="preserve">Obtaining a Copy of this </w:t>
      </w:r>
      <w:r w:rsidR="00C5022C">
        <w:t>Accounting Standard</w:t>
      </w:r>
    </w:p>
    <w:p w:rsidR="00737714" w:rsidRPr="0000292B" w:rsidRDefault="00737714" w:rsidP="00737714">
      <w:pPr>
        <w:pStyle w:val="CommentsPage"/>
      </w:pPr>
      <w:r w:rsidRPr="0000292B">
        <w:t xml:space="preserve">This </w:t>
      </w:r>
      <w:r w:rsidR="00C5022C">
        <w:t>Standard</w:t>
      </w:r>
      <w:r w:rsidRPr="0000292B">
        <w:t xml:space="preserve"> is available o</w:t>
      </w:r>
      <w:r w:rsidR="00923261">
        <w:t>n the AASB website: www.aasb.gov</w:t>
      </w:r>
      <w:r w:rsidRPr="0000292B">
        <w:t>.au.</w:t>
      </w:r>
    </w:p>
    <w:p w:rsidR="00737714" w:rsidRPr="0000292B" w:rsidRDefault="00737714" w:rsidP="003E0A68">
      <w:pPr>
        <w:pStyle w:val="CommentsPage"/>
        <w:ind w:right="-146"/>
      </w:pPr>
      <w:r w:rsidRPr="0000292B">
        <w:t xml:space="preserve">Alternatively, printed copies of this </w:t>
      </w:r>
      <w:r w:rsidR="00C5022C">
        <w:t>Standard</w:t>
      </w:r>
      <w:r w:rsidR="003E0A68" w:rsidRPr="0000292B">
        <w:t xml:space="preserve"> are available </w:t>
      </w:r>
      <w:r w:rsidR="00C5022C">
        <w:t xml:space="preserve">for purchase </w:t>
      </w:r>
      <w:r w:rsidR="003E0A68" w:rsidRPr="0000292B">
        <w:t>by contacting:</w:t>
      </w:r>
    </w:p>
    <w:p w:rsidR="00737714" w:rsidRPr="0000292B" w:rsidRDefault="00737714" w:rsidP="00737714"/>
    <w:tbl>
      <w:tblPr>
        <w:tblW w:w="0" w:type="auto"/>
        <w:tblLook w:val="0000" w:firstRow="0" w:lastRow="0" w:firstColumn="0" w:lastColumn="0" w:noHBand="0" w:noVBand="0"/>
        <w:tblCaption w:val="AASB contact details"/>
        <w:tblDescription w:val="Street address, postal address and other contact details for the AASB"/>
      </w:tblPr>
      <w:tblGrid>
        <w:gridCol w:w="3856"/>
        <w:gridCol w:w="1928"/>
      </w:tblGrid>
      <w:tr w:rsidR="00737714" w:rsidRPr="0000292B" w:rsidTr="001C225F">
        <w:trPr>
          <w:cantSplit/>
        </w:trPr>
        <w:tc>
          <w:tcPr>
            <w:tcW w:w="3856" w:type="dxa"/>
          </w:tcPr>
          <w:p w:rsidR="00737714" w:rsidRPr="0000292B" w:rsidRDefault="00737714" w:rsidP="00E24399">
            <w:r w:rsidRPr="0000292B">
              <w:t xml:space="preserve">The </w:t>
            </w:r>
            <w:r w:rsidR="003E0A68" w:rsidRPr="0000292B">
              <w:t>Customer Service Officer</w:t>
            </w:r>
          </w:p>
          <w:p w:rsidR="00737714" w:rsidRPr="0000292B" w:rsidRDefault="00737714" w:rsidP="00E24399">
            <w:r w:rsidRPr="0000292B">
              <w:t>Australian Accounting Standards Board</w:t>
            </w:r>
          </w:p>
          <w:p w:rsidR="00737714" w:rsidRPr="0000292B" w:rsidRDefault="003E0A68" w:rsidP="00E24399">
            <w:r w:rsidRPr="0000292B">
              <w:t>Level 7</w:t>
            </w:r>
          </w:p>
          <w:p w:rsidR="00737714" w:rsidRPr="0000292B" w:rsidRDefault="003E0A68" w:rsidP="00E24399">
            <w:r w:rsidRPr="0000292B">
              <w:t>600 Bourke Street</w:t>
            </w:r>
          </w:p>
          <w:p w:rsidR="003E0A68" w:rsidRPr="0000292B" w:rsidRDefault="007455F0" w:rsidP="00E24399">
            <w:r>
              <w:t>Melbourne   Victoria</w:t>
            </w:r>
          </w:p>
          <w:p w:rsidR="00737714" w:rsidRDefault="00737714" w:rsidP="00E24399">
            <w:r w:rsidRPr="0000292B">
              <w:t>AUSTRALIA</w:t>
            </w:r>
          </w:p>
          <w:p w:rsidR="00C5022C" w:rsidRPr="0000292B" w:rsidRDefault="00C5022C" w:rsidP="00E24399"/>
        </w:tc>
        <w:tc>
          <w:tcPr>
            <w:tcW w:w="1928" w:type="dxa"/>
            <w:tcMar>
              <w:left w:w="108" w:type="dxa"/>
              <w:right w:w="108" w:type="dxa"/>
            </w:tcMar>
          </w:tcPr>
          <w:p w:rsidR="00C5022C" w:rsidRDefault="00C5022C" w:rsidP="00C5022C"/>
          <w:p w:rsidR="00C5022C" w:rsidRPr="00C5022C" w:rsidRDefault="00C5022C" w:rsidP="00C5022C">
            <w:pPr>
              <w:rPr>
                <w:b/>
              </w:rPr>
            </w:pPr>
            <w:r w:rsidRPr="00C5022C">
              <w:rPr>
                <w:b/>
              </w:rPr>
              <w:t>Postal address:</w:t>
            </w:r>
          </w:p>
          <w:p w:rsidR="00E06C2F" w:rsidRDefault="00C5022C" w:rsidP="00C5022C">
            <w:r w:rsidRPr="00C5022C">
              <w:t>PO Box 204</w:t>
            </w:r>
          </w:p>
          <w:p w:rsidR="00B271BA" w:rsidRDefault="00C5022C" w:rsidP="00C5022C">
            <w:r w:rsidRPr="00C5022C">
              <w:t>Collins St</w:t>
            </w:r>
            <w:r w:rsidR="00AD42DA">
              <w:t>reet</w:t>
            </w:r>
            <w:r w:rsidRPr="00C5022C">
              <w:t xml:space="preserve"> West</w:t>
            </w:r>
          </w:p>
          <w:p w:rsidR="003E0A68" w:rsidRDefault="00C5022C" w:rsidP="00C5022C">
            <w:r w:rsidRPr="00C5022C">
              <w:t>Vic</w:t>
            </w:r>
            <w:r>
              <w:t>toria</w:t>
            </w:r>
            <w:r w:rsidRPr="00C5022C">
              <w:t xml:space="preserve">   8007</w:t>
            </w:r>
          </w:p>
          <w:p w:rsidR="00C5022C" w:rsidRPr="0000292B" w:rsidRDefault="00C5022C" w:rsidP="00C5022C">
            <w:r>
              <w:t>AUSTRALIA</w:t>
            </w:r>
          </w:p>
        </w:tc>
      </w:tr>
      <w:tr w:rsidR="00C5022C" w:rsidRPr="0000292B" w:rsidTr="001C225F">
        <w:trPr>
          <w:cantSplit/>
        </w:trPr>
        <w:tc>
          <w:tcPr>
            <w:tcW w:w="3856" w:type="dxa"/>
          </w:tcPr>
          <w:p w:rsidR="00C5022C" w:rsidRPr="00C5022C" w:rsidRDefault="00C5022C" w:rsidP="00C5022C">
            <w:pPr>
              <w:tabs>
                <w:tab w:val="left" w:pos="907"/>
              </w:tabs>
            </w:pPr>
            <w:r w:rsidRPr="00C5022C">
              <w:t>Phone:</w:t>
            </w:r>
            <w:r w:rsidRPr="00C5022C">
              <w:tab/>
              <w:t>(03) 9617 7637</w:t>
            </w:r>
          </w:p>
          <w:p w:rsidR="00C5022C" w:rsidRPr="00C5022C" w:rsidRDefault="00C5022C" w:rsidP="00C5022C">
            <w:pPr>
              <w:tabs>
                <w:tab w:val="left" w:pos="907"/>
              </w:tabs>
            </w:pPr>
            <w:r w:rsidRPr="00C5022C">
              <w:t>Fax:</w:t>
            </w:r>
            <w:r w:rsidRPr="00C5022C">
              <w:tab/>
              <w:t>(03) 9617 7608</w:t>
            </w:r>
          </w:p>
          <w:p w:rsidR="00C5022C" w:rsidRDefault="00923261" w:rsidP="00C5022C">
            <w:pPr>
              <w:tabs>
                <w:tab w:val="left" w:pos="907"/>
              </w:tabs>
            </w:pPr>
            <w:r>
              <w:t>E-mail:</w:t>
            </w:r>
            <w:r>
              <w:tab/>
              <w:t>publications@aasb.gov</w:t>
            </w:r>
            <w:r w:rsidR="00C5022C" w:rsidRPr="00C5022C">
              <w:t>.au</w:t>
            </w:r>
          </w:p>
          <w:p w:rsidR="00C5022C" w:rsidRPr="00C5022C" w:rsidRDefault="00923261" w:rsidP="00C5022C">
            <w:pPr>
              <w:tabs>
                <w:tab w:val="left" w:pos="907"/>
              </w:tabs>
            </w:pPr>
            <w:r>
              <w:t>Website:</w:t>
            </w:r>
            <w:r>
              <w:tab/>
              <w:t>www.aasb.gov</w:t>
            </w:r>
            <w:r w:rsidR="00C5022C">
              <w:t>.au</w:t>
            </w:r>
          </w:p>
          <w:p w:rsidR="00C5022C" w:rsidRPr="00C5022C" w:rsidRDefault="00C5022C" w:rsidP="00C5022C"/>
        </w:tc>
        <w:tc>
          <w:tcPr>
            <w:tcW w:w="1928" w:type="dxa"/>
            <w:tcMar>
              <w:left w:w="0" w:type="dxa"/>
              <w:right w:w="0" w:type="dxa"/>
            </w:tcMar>
          </w:tcPr>
          <w:p w:rsidR="00C5022C" w:rsidRPr="007455F0" w:rsidRDefault="00C5022C" w:rsidP="007455F0">
            <w:pPr>
              <w:tabs>
                <w:tab w:val="left" w:pos="802"/>
              </w:tabs>
              <w:ind w:left="77"/>
              <w:rPr>
                <w:b/>
              </w:rPr>
            </w:pPr>
          </w:p>
        </w:tc>
      </w:tr>
    </w:tbl>
    <w:p w:rsidR="00737714" w:rsidRPr="0000292B" w:rsidRDefault="00737714" w:rsidP="00737714"/>
    <w:p w:rsidR="00090A6F" w:rsidRPr="0000292B" w:rsidRDefault="00090A6F">
      <w:pPr>
        <w:pStyle w:val="Heading2"/>
      </w:pPr>
      <w:r w:rsidRPr="0000292B">
        <w:t xml:space="preserve">Other </w:t>
      </w:r>
      <w:r w:rsidR="003E0A68" w:rsidRPr="0000292B">
        <w:t>Enquiries</w:t>
      </w:r>
    </w:p>
    <w:p w:rsidR="00090A6F" w:rsidRPr="0000292B" w:rsidRDefault="00090A6F">
      <w:pPr>
        <w:pStyle w:val="CoverContact"/>
      </w:pPr>
      <w:r w:rsidRPr="0000292B">
        <w:t>Phone:</w:t>
      </w:r>
      <w:r w:rsidRPr="0000292B">
        <w:tab/>
        <w:t>(03) 9617 7600</w:t>
      </w:r>
    </w:p>
    <w:p w:rsidR="00090A6F" w:rsidRPr="0000292B" w:rsidRDefault="00090A6F">
      <w:pPr>
        <w:pStyle w:val="CoverContact"/>
      </w:pPr>
      <w:r w:rsidRPr="0000292B">
        <w:t>Fax:</w:t>
      </w:r>
      <w:r w:rsidRPr="0000292B">
        <w:tab/>
        <w:t>(03) 9617 7608</w:t>
      </w:r>
    </w:p>
    <w:p w:rsidR="00090A6F" w:rsidRPr="0000292B" w:rsidRDefault="00923261">
      <w:pPr>
        <w:pStyle w:val="CoverContact"/>
      </w:pPr>
      <w:r>
        <w:t>E-mail:</w:t>
      </w:r>
      <w:r>
        <w:tab/>
        <w:t>standard@aasb.gov</w:t>
      </w:r>
      <w:r w:rsidR="00090A6F" w:rsidRPr="0000292B">
        <w:t>.au</w:t>
      </w:r>
    </w:p>
    <w:p w:rsidR="00B34E18" w:rsidRDefault="00B34E18" w:rsidP="006D4700">
      <w:pPr>
        <w:spacing w:before="600"/>
      </w:pPr>
      <w:bookmarkStart w:id="4" w:name="CopyrightText"/>
      <w:r>
        <w:t>COPYRIGHT</w:t>
      </w:r>
    </w:p>
    <w:p w:rsidR="00B34E18" w:rsidRDefault="00B34E18" w:rsidP="006D4700"/>
    <w:p w:rsidR="00B34E18" w:rsidRDefault="00B34E18" w:rsidP="006D4700">
      <w:r>
        <w:t xml:space="preserve">© Commonwealth of Australia </w:t>
      </w:r>
      <w:bookmarkStart w:id="5" w:name="Year"/>
      <w:r>
        <w:t>2014</w:t>
      </w:r>
      <w:bookmarkEnd w:id="5"/>
    </w:p>
    <w:p w:rsidR="00B34E18" w:rsidRDefault="00B34E18" w:rsidP="006D4700"/>
    <w:p w:rsidR="00B34E18" w:rsidRPr="00DE4E67" w:rsidRDefault="00B34E18">
      <w:pPr>
        <w:pStyle w:val="CoverLeadPara"/>
      </w:pPr>
      <w:r w:rsidRPr="00DE4E67">
        <w:t xml:space="preserve">This AASB </w:t>
      </w:r>
      <w:bookmarkStart w:id="6" w:name="IASBCopyright"/>
      <w:bookmarkEnd w:id="6"/>
      <w:r w:rsidRPr="00DE4E67">
        <w:t xml:space="preserve">Standard contains </w:t>
      </w:r>
      <w:r>
        <w:t>IFRS</w:t>
      </w:r>
      <w:r w:rsidRPr="00DE4E67">
        <w:t xml:space="preserve">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w:t>
      </w:r>
      <w:r>
        <w:t xml:space="preserve"> of Finance and Administration</w:t>
      </w:r>
      <w:r w:rsidRPr="00DE4E67">
        <w:t>, Australian Accounting Standards Board, PO Box 204, Collins Street West, Victoria 8007.</w:t>
      </w:r>
    </w:p>
    <w:p w:rsidR="00B34E18" w:rsidRPr="00DE4E67" w:rsidRDefault="00B34E18">
      <w:r w:rsidRPr="00DE4E67">
        <w:t>All existing rights in this material are reserved outside Australia.</w:t>
      </w:r>
    </w:p>
    <w:p w:rsidR="00B34E18" w:rsidRPr="00DE4E67" w:rsidRDefault="00B34E18">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t>IFRS</w:t>
      </w:r>
      <w:r w:rsidRPr="00DE4E67">
        <w:t xml:space="preserve"> Foundation at www.</w:t>
      </w:r>
      <w:r>
        <w:t>ifrs</w:t>
      </w:r>
      <w:r w:rsidRPr="00DE4E67">
        <w:t>.org.</w:t>
      </w:r>
    </w:p>
    <w:bookmarkEnd w:id="4"/>
    <w:p w:rsidR="006D4700" w:rsidRDefault="006D4700" w:rsidP="006D4700"/>
    <w:p w:rsidR="007455F0" w:rsidRPr="0000292B" w:rsidRDefault="006D4700" w:rsidP="006D4700">
      <w:r>
        <w:t xml:space="preserve">ISSN </w:t>
      </w:r>
      <w:bookmarkStart w:id="7" w:name="ISSN"/>
      <w:r w:rsidR="00B34E18">
        <w:t>1036-4803</w:t>
      </w:r>
      <w:bookmarkEnd w:id="7"/>
    </w:p>
    <w:p w:rsidR="00090A6F" w:rsidRPr="0000292B" w:rsidRDefault="00090A6F">
      <w:pPr>
        <w:sectPr w:rsidR="00090A6F" w:rsidRPr="0000292B" w:rsidSect="001942B5">
          <w:footerReference w:type="default" r:id="rId16"/>
          <w:pgSz w:w="11907" w:h="16840" w:code="9"/>
          <w:pgMar w:top="1134" w:right="1134" w:bottom="1134" w:left="1134" w:header="720" w:footer="720" w:gutter="0"/>
          <w:cols w:space="720"/>
        </w:sectPr>
      </w:pPr>
    </w:p>
    <w:p w:rsidR="00090A6F" w:rsidRPr="0000292B" w:rsidRDefault="00090A6F">
      <w:pPr>
        <w:pStyle w:val="Heading1"/>
      </w:pPr>
      <w:r w:rsidRPr="0000292B">
        <w:lastRenderedPageBreak/>
        <w:t>CONTENTS</w:t>
      </w:r>
    </w:p>
    <w:p w:rsidR="00090A6F" w:rsidRPr="0000292B" w:rsidRDefault="00090A6F">
      <w:pPr>
        <w:pStyle w:val="ContentsCapsPlain"/>
      </w:pPr>
      <w:r w:rsidRPr="0000292B">
        <w:t>Preface</w:t>
      </w:r>
    </w:p>
    <w:p w:rsidR="00090A6F" w:rsidRPr="0000292B" w:rsidRDefault="00090A6F">
      <w:pPr>
        <w:pStyle w:val="ContentsCapsBold"/>
      </w:pPr>
      <w:r w:rsidRPr="0000292B">
        <w:t>Accounting Standard</w:t>
      </w:r>
    </w:p>
    <w:p w:rsidR="002B7803" w:rsidRPr="009C2940" w:rsidRDefault="00090A6F" w:rsidP="009C2940">
      <w:pPr>
        <w:pStyle w:val="ContentsCapsBold"/>
        <w:rPr>
          <w:i/>
        </w:rPr>
      </w:pPr>
      <w:r w:rsidRPr="0000292B">
        <w:t xml:space="preserve">AASB </w:t>
      </w:r>
      <w:r w:rsidR="009C2479"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E66766" w:rsidRPr="00E66766">
        <w:rPr>
          <w:iCs/>
        </w:rPr>
        <w:t>2014-8</w:t>
      </w:r>
      <w:r w:rsidR="009C2479" w:rsidRPr="00BC0D5D">
        <w:rPr>
          <w:iCs/>
        </w:rPr>
        <w:fldChar w:fldCharType="end"/>
      </w:r>
      <w:r w:rsidRPr="0000292B">
        <w:t xml:space="preserve"> </w:t>
      </w:r>
      <w:r w:rsidR="009C2940" w:rsidRPr="009C2940">
        <w:rPr>
          <w:i/>
        </w:rPr>
        <w:t>Amendments to Australian Accounting Standards arising from AASB 9 (December 2014) –</w:t>
      </w:r>
      <w:r w:rsidR="008976D1">
        <w:rPr>
          <w:i/>
        </w:rPr>
        <w:t xml:space="preserve"> </w:t>
      </w:r>
      <w:r w:rsidR="009C2940" w:rsidRPr="009C2940">
        <w:rPr>
          <w:i/>
        </w:rPr>
        <w:t>Application of AASB 9 (December 2009) and AASB 9 (December 2010)</w:t>
      </w:r>
    </w:p>
    <w:p w:rsidR="00090A6F" w:rsidRPr="0000292B" w:rsidRDefault="00090A6F" w:rsidP="005E3FA5">
      <w:pPr>
        <w:pStyle w:val="ContentsParaHead"/>
        <w:spacing w:before="120"/>
        <w:ind w:right="1701"/>
      </w:pPr>
      <w:r w:rsidRPr="0000292B">
        <w:t>Paragraphs</w:t>
      </w:r>
    </w:p>
    <w:p w:rsidR="00090A6F" w:rsidRPr="0000292B" w:rsidRDefault="00090A6F" w:rsidP="00C41462">
      <w:pPr>
        <w:pStyle w:val="ContentsLevel1"/>
        <w:tabs>
          <w:tab w:val="clear" w:pos="6237"/>
          <w:tab w:val="right" w:pos="7938"/>
        </w:tabs>
      </w:pPr>
      <w:bookmarkStart w:id="8" w:name="TOCRange"/>
      <w:r w:rsidRPr="0000292B">
        <w:t>Objective</w:t>
      </w:r>
      <w:r w:rsidRPr="0000292B">
        <w:tab/>
      </w:r>
      <w:r w:rsidR="00354850">
        <w:t>1</w:t>
      </w:r>
    </w:p>
    <w:p w:rsidR="00090A6F" w:rsidRDefault="00090A6F" w:rsidP="00C41462">
      <w:pPr>
        <w:pStyle w:val="ContentsLevel1"/>
        <w:tabs>
          <w:tab w:val="clear" w:pos="6237"/>
          <w:tab w:val="right" w:pos="7938"/>
        </w:tabs>
      </w:pPr>
      <w:r w:rsidRPr="0000292B">
        <w:t>Application</w:t>
      </w:r>
      <w:r w:rsidRPr="0000292B">
        <w:tab/>
      </w:r>
      <w:r w:rsidR="00354850">
        <w:t>2 – 4</w:t>
      </w:r>
    </w:p>
    <w:p w:rsidR="009C2940" w:rsidRDefault="009C2940" w:rsidP="00C41462">
      <w:pPr>
        <w:pStyle w:val="ContentsLevel1"/>
        <w:tabs>
          <w:tab w:val="clear" w:pos="6237"/>
          <w:tab w:val="right" w:pos="7938"/>
        </w:tabs>
      </w:pPr>
      <w:r>
        <w:t xml:space="preserve">Commencement </w:t>
      </w:r>
      <w:r w:rsidR="00354850">
        <w:tab/>
        <w:t>5</w:t>
      </w:r>
    </w:p>
    <w:p w:rsidR="00B34E18" w:rsidRDefault="009C2940" w:rsidP="00C41462">
      <w:pPr>
        <w:pStyle w:val="ContentsLevel1"/>
        <w:tabs>
          <w:tab w:val="clear" w:pos="6237"/>
          <w:tab w:val="right" w:pos="7938"/>
        </w:tabs>
      </w:pPr>
      <w:r>
        <w:t>Amendments to AASB 9 (December 2009)</w:t>
      </w:r>
      <w:r w:rsidR="00B34E18">
        <w:tab/>
      </w:r>
      <w:r w:rsidR="00354850">
        <w:t>6</w:t>
      </w:r>
      <w:r w:rsidR="007C4E46">
        <w:t xml:space="preserve"> – 7</w:t>
      </w:r>
    </w:p>
    <w:p w:rsidR="00B46040" w:rsidRDefault="00B34E18" w:rsidP="00C41462">
      <w:pPr>
        <w:pStyle w:val="ContentsLevel1"/>
        <w:tabs>
          <w:tab w:val="clear" w:pos="6237"/>
          <w:tab w:val="right" w:pos="7938"/>
        </w:tabs>
      </w:pPr>
      <w:r>
        <w:t>Amendments to AASB 9</w:t>
      </w:r>
      <w:r w:rsidR="009C2940">
        <w:t xml:space="preserve"> (December 2010)</w:t>
      </w:r>
      <w:r>
        <w:t xml:space="preserve"> </w:t>
      </w:r>
      <w:r>
        <w:tab/>
      </w:r>
      <w:r w:rsidR="000A62C9" w:rsidRPr="000A62C9">
        <w:t>8</w:t>
      </w:r>
      <w:r w:rsidR="007C4E46">
        <w:t xml:space="preserve"> – 9</w:t>
      </w:r>
    </w:p>
    <w:p w:rsidR="00090A6F" w:rsidRPr="0000292B" w:rsidRDefault="00755E40" w:rsidP="00B46040">
      <w:pPr>
        <w:pStyle w:val="ContentsLevel1"/>
      </w:pPr>
      <w:r>
        <w:t xml:space="preserve"> </w:t>
      </w:r>
      <w:bookmarkStart w:id="9" w:name="ContentsMarker"/>
      <w:bookmarkEnd w:id="9"/>
    </w:p>
    <w:bookmarkEnd w:id="8"/>
    <w:p w:rsidR="00090A6F" w:rsidRPr="0000292B" w:rsidRDefault="00090A6F">
      <w:pPr>
        <w:pStyle w:val="ContentsBox"/>
      </w:pPr>
      <w:r w:rsidRPr="0000292B">
        <w:t xml:space="preserve">Australian Accounting Standard AASB </w:t>
      </w:r>
      <w:r w:rsidR="00BC0D5D" w:rsidRPr="009C2940">
        <w:fldChar w:fldCharType="begin" w:fldLock="1"/>
      </w:r>
      <w:r w:rsidR="00BC0D5D" w:rsidRPr="009C2940">
        <w:instrText xml:space="preserve"> REF </w:instrText>
      </w:r>
      <w:r w:rsidR="009C2479" w:rsidRPr="009C2940">
        <w:instrText>Doc</w:instrText>
      </w:r>
      <w:r w:rsidR="00BC0D5D" w:rsidRPr="009C2940">
        <w:instrText xml:space="preserve">No \* charformat </w:instrText>
      </w:r>
      <w:r w:rsidR="009C2940">
        <w:instrText xml:space="preserve"> \* MERGEFORMAT </w:instrText>
      </w:r>
      <w:r w:rsidR="00BC0D5D" w:rsidRPr="009C2940">
        <w:fldChar w:fldCharType="separate"/>
      </w:r>
      <w:r w:rsidR="00E66766">
        <w:t>2014-8</w:t>
      </w:r>
      <w:r w:rsidR="00BC0D5D" w:rsidRPr="009C2940">
        <w:fldChar w:fldCharType="end"/>
      </w:r>
      <w:r w:rsidRPr="0000292B">
        <w:t xml:space="preserve"> </w:t>
      </w:r>
      <w:r w:rsidR="009C2479" w:rsidRPr="009C2940">
        <w:rPr>
          <w:i/>
        </w:rPr>
        <w:t xml:space="preserve">Amendments to Australian Accounting Standards </w:t>
      </w:r>
      <w:r w:rsidR="00460FBB" w:rsidRPr="009C2940">
        <w:rPr>
          <w:i/>
        </w:rPr>
        <w:t>a</w:t>
      </w:r>
      <w:r w:rsidR="009C2479" w:rsidRPr="009C2940">
        <w:rPr>
          <w:i/>
        </w:rPr>
        <w:t xml:space="preserve">rising </w:t>
      </w:r>
      <w:r w:rsidR="00460FBB" w:rsidRPr="009C2940">
        <w:rPr>
          <w:i/>
        </w:rPr>
        <w:t>f</w:t>
      </w:r>
      <w:r w:rsidR="009C2479" w:rsidRPr="009C2940">
        <w:rPr>
          <w:i/>
        </w:rPr>
        <w:t xml:space="preserve">rom </w:t>
      </w:r>
      <w:r w:rsidR="009C2940" w:rsidRPr="009C2940">
        <w:rPr>
          <w:i/>
        </w:rPr>
        <w:t>AASB 9 (December 2014) – Application of AASB 9 (December 2009) and AASB 9 (December 2010)</w:t>
      </w:r>
      <w:r w:rsidR="009C2940">
        <w:t xml:space="preserve"> </w:t>
      </w:r>
      <w:r w:rsidRPr="0000292B">
        <w:t xml:space="preserve">is set out in paragraphs </w:t>
      </w:r>
      <w:r w:rsidR="00354850" w:rsidRPr="00E07B6B">
        <w:t>1</w:t>
      </w:r>
      <w:r w:rsidR="00C36D63">
        <w:t> </w:t>
      </w:r>
      <w:r w:rsidR="00354850" w:rsidRPr="00E07B6B">
        <w:t>–</w:t>
      </w:r>
      <w:r w:rsidR="00C36D63">
        <w:t> </w:t>
      </w:r>
      <w:r w:rsidR="00E07B6B" w:rsidRPr="00E07B6B">
        <w:t>9</w:t>
      </w:r>
      <w:r w:rsidR="00B46040" w:rsidRPr="00E07B6B">
        <w:t>.</w:t>
      </w:r>
      <w:r w:rsidR="00B46040" w:rsidRPr="0000292B">
        <w:t xml:space="preserve"> </w:t>
      </w:r>
      <w:r w:rsidRPr="0000292B">
        <w:t>All the pa</w:t>
      </w:r>
      <w:r w:rsidR="009C2479">
        <w:t>ragraphs have equal authority.</w:t>
      </w:r>
    </w:p>
    <w:p w:rsidR="00090A6F" w:rsidRPr="0000292B" w:rsidRDefault="00090A6F">
      <w:pPr>
        <w:pStyle w:val="ContentsBox"/>
        <w:pBdr>
          <w:top w:val="none" w:sz="0" w:space="0" w:color="auto"/>
          <w:left w:val="none" w:sz="0" w:space="0" w:color="auto"/>
          <w:bottom w:val="none" w:sz="0" w:space="0" w:color="auto"/>
          <w:right w:val="none" w:sz="0" w:space="0" w:color="auto"/>
        </w:pBdr>
      </w:pPr>
    </w:p>
    <w:p w:rsidR="00090A6F" w:rsidRPr="0000292B" w:rsidRDefault="00090A6F">
      <w:pPr>
        <w:pStyle w:val="Heading1"/>
      </w:pPr>
      <w:r w:rsidRPr="0000292B">
        <w:t>Preface</w:t>
      </w:r>
    </w:p>
    <w:p w:rsidR="000F64CC" w:rsidRPr="0000292B" w:rsidRDefault="005A2514">
      <w:pPr>
        <w:pStyle w:val="Heading2"/>
      </w:pPr>
      <w:r>
        <w:t>Introduction</w:t>
      </w:r>
    </w:p>
    <w:p w:rsidR="00074133" w:rsidRDefault="009C2479" w:rsidP="005A2514">
      <w:pPr>
        <w:pStyle w:val="NoNumPlain1"/>
      </w:pPr>
      <w:r>
        <w:t xml:space="preserve">This Standard makes amendments to </w:t>
      </w:r>
      <w:r w:rsidR="009F7881">
        <w:t xml:space="preserve">AASB 9 </w:t>
      </w:r>
      <w:r w:rsidR="009F7881">
        <w:rPr>
          <w:i/>
        </w:rPr>
        <w:t xml:space="preserve">Financial Instruments </w:t>
      </w:r>
      <w:r w:rsidR="009F7881">
        <w:t xml:space="preserve">(December 2009) and AASB 9 </w:t>
      </w:r>
      <w:r w:rsidR="009F7881">
        <w:rPr>
          <w:i/>
        </w:rPr>
        <w:t xml:space="preserve">Financial Instruments </w:t>
      </w:r>
      <w:r w:rsidR="009F7881">
        <w:t>(December 2010)</w:t>
      </w:r>
      <w:r w:rsidR="005A2514">
        <w:t>.</w:t>
      </w:r>
      <w:r w:rsidR="005A2514" w:rsidRPr="005A2514">
        <w:t xml:space="preserve"> </w:t>
      </w:r>
    </w:p>
    <w:p w:rsidR="00401ECA" w:rsidRPr="009C2940" w:rsidRDefault="00401ECA" w:rsidP="00401ECA">
      <w:pPr>
        <w:pStyle w:val="NoNumPlain1"/>
      </w:pPr>
      <w:r>
        <w:t xml:space="preserve">These </w:t>
      </w:r>
      <w:r w:rsidR="00460FBB">
        <w:t>a</w:t>
      </w:r>
      <w:r>
        <w:t>mendments arise from</w:t>
      </w:r>
      <w:r w:rsidR="00D00FD5">
        <w:t xml:space="preserve"> the issuance of </w:t>
      </w:r>
      <w:r w:rsidR="009C2940">
        <w:t xml:space="preserve">AASB 9 </w:t>
      </w:r>
      <w:r w:rsidR="009C2940">
        <w:rPr>
          <w:i/>
        </w:rPr>
        <w:t xml:space="preserve">Financial Instruments </w:t>
      </w:r>
      <w:r w:rsidR="009C2940">
        <w:t>in December 2014.</w:t>
      </w:r>
    </w:p>
    <w:p w:rsidR="00354850" w:rsidRDefault="009C2940" w:rsidP="009C2940">
      <w:pPr>
        <w:pStyle w:val="Heading2"/>
      </w:pPr>
      <w:r>
        <w:t xml:space="preserve">Main </w:t>
      </w:r>
      <w:r w:rsidR="00354850">
        <w:t>Features of this Standard</w:t>
      </w:r>
    </w:p>
    <w:p w:rsidR="00090A6F" w:rsidRDefault="00354850" w:rsidP="00354850">
      <w:pPr>
        <w:pStyle w:val="Heading3"/>
      </w:pPr>
      <w:r>
        <w:t>Main Requirements</w:t>
      </w:r>
      <w:r w:rsidR="009C2940">
        <w:t xml:space="preserve"> </w:t>
      </w:r>
    </w:p>
    <w:p w:rsidR="009F7881" w:rsidRPr="009F7881" w:rsidRDefault="009F7881" w:rsidP="009F7881">
      <w:pPr>
        <w:pStyle w:val="NoNumPlain1"/>
      </w:pPr>
      <w:r>
        <w:t>This Standard makes amendments to AASB 9 (December 2009) and AASB 9 (December 2010)</w:t>
      </w:r>
      <w:r w:rsidR="00241C2B">
        <w:t xml:space="preserve"> such that for annual </w:t>
      </w:r>
      <w:r w:rsidR="00E75702">
        <w:t xml:space="preserve">reporting </w:t>
      </w:r>
      <w:r w:rsidR="00241C2B">
        <w:t xml:space="preserve">periods beginning on or after 1 January </w:t>
      </w:r>
      <w:r w:rsidR="00E75702">
        <w:t>2015</w:t>
      </w:r>
      <w:r w:rsidR="00241C2B">
        <w:t>, an entity may apply AASB 9 (December 2009) or AASB 9 (December 2010)</w:t>
      </w:r>
      <w:r>
        <w:t xml:space="preserve"> </w:t>
      </w:r>
      <w:r w:rsidR="00241C2B">
        <w:t xml:space="preserve">if, and only if, the entity’s date of initial application </w:t>
      </w:r>
      <w:r w:rsidR="00C1245C">
        <w:t xml:space="preserve">(as described in the applicable Standard) </w:t>
      </w:r>
      <w:r w:rsidR="00241C2B">
        <w:t>is before 1 February 2015.</w:t>
      </w:r>
    </w:p>
    <w:p w:rsidR="009C2940" w:rsidRPr="009C2940" w:rsidRDefault="009C2940" w:rsidP="00354850">
      <w:pPr>
        <w:pStyle w:val="Heading3"/>
      </w:pPr>
      <w:r>
        <w:t xml:space="preserve">Application Date </w:t>
      </w:r>
    </w:p>
    <w:p w:rsidR="00090A6F" w:rsidRDefault="0078157D">
      <w:r>
        <w:t>This Standard applies to annual reporting periods beginning on or after 1 January 2015.</w:t>
      </w:r>
    </w:p>
    <w:p w:rsidR="002047BB" w:rsidRPr="0000292B" w:rsidRDefault="002047BB">
      <w:pPr>
        <w:sectPr w:rsidR="002047BB" w:rsidRPr="0000292B" w:rsidSect="001942B5">
          <w:footerReference w:type="default" r:id="rId17"/>
          <w:pgSz w:w="11907" w:h="16840" w:code="9"/>
          <w:pgMar w:top="1134" w:right="1134" w:bottom="1134" w:left="1134" w:header="720" w:footer="720" w:gutter="0"/>
          <w:cols w:space="720"/>
        </w:sectPr>
      </w:pPr>
    </w:p>
    <w:p w:rsidR="001662B8" w:rsidRPr="0000292B" w:rsidRDefault="001662B8" w:rsidP="001662B8">
      <w:pPr>
        <w:pStyle w:val="Heading1"/>
      </w:pPr>
      <w:r w:rsidRPr="0000292B">
        <w:t xml:space="preserve">aCCOUNTING STANDARD AASB </w:t>
      </w:r>
      <w:r w:rsidRPr="00BC0D5D">
        <w:rPr>
          <w:iCs/>
        </w:rPr>
        <w:fldChar w:fldCharType="begin" w:fldLock="1"/>
      </w:r>
      <w:r w:rsidRPr="00BC0D5D">
        <w:rPr>
          <w:iCs/>
        </w:rPr>
        <w:instrText xml:space="preserve"> REF </w:instrText>
      </w:r>
      <w:r>
        <w:rPr>
          <w:iCs/>
        </w:rPr>
        <w:instrText>Doc</w:instrText>
      </w:r>
      <w:r w:rsidRPr="00BC0D5D">
        <w:rPr>
          <w:iCs/>
        </w:rPr>
        <w:instrText xml:space="preserve">No \* charformat </w:instrText>
      </w:r>
      <w:r w:rsidRPr="00BC0D5D">
        <w:rPr>
          <w:iCs/>
        </w:rPr>
        <w:fldChar w:fldCharType="separate"/>
      </w:r>
      <w:r w:rsidR="00E66766" w:rsidRPr="00E66766">
        <w:rPr>
          <w:iCs/>
        </w:rPr>
        <w:t>2014-8</w:t>
      </w:r>
      <w:r w:rsidRPr="00BC0D5D">
        <w:rPr>
          <w:iCs/>
        </w:rPr>
        <w:fldChar w:fldCharType="end"/>
      </w:r>
    </w:p>
    <w:p w:rsidR="001662B8" w:rsidRDefault="001662B8" w:rsidP="001662B8">
      <w:r>
        <w:t>The Australian Accounting Standards Board makes Accounting Standard AASB </w:t>
      </w:r>
      <w:fldSimple w:instr=" REF DocNo  \* charformat " w:fldLock="1">
        <w:r w:rsidR="00E66766">
          <w:t>2014-8</w:t>
        </w:r>
      </w:fldSimple>
      <w:r>
        <w:t xml:space="preserve"> </w:t>
      </w:r>
      <w:r w:rsidR="004F52E2" w:rsidRPr="009C2940">
        <w:rPr>
          <w:i/>
        </w:rPr>
        <w:t>Amendments to Australian Accounting Standards arising from AASB 9 (December 2014) – Application of AASB 9 (December 2009) and AASB 9 (December 2010)</w:t>
      </w:r>
      <w:r w:rsidR="004F52E2">
        <w:t xml:space="preserve"> </w:t>
      </w:r>
      <w:r>
        <w:t xml:space="preserve">under section 334 of the </w:t>
      </w:r>
      <w:r>
        <w:rPr>
          <w:i/>
          <w:iCs/>
        </w:rPr>
        <w:t>Corporations Act 2001</w:t>
      </w:r>
      <w:r>
        <w:t>.</w:t>
      </w:r>
    </w:p>
    <w:p w:rsidR="00C03C7B" w:rsidRDefault="00C03C7B" w:rsidP="00C03C7B"/>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6237"/>
        <w:gridCol w:w="3402"/>
      </w:tblGrid>
      <w:tr w:rsidR="00C03C7B" w:rsidTr="005E3FA5">
        <w:tc>
          <w:tcPr>
            <w:tcW w:w="6237" w:type="dxa"/>
          </w:tcPr>
          <w:p w:rsidR="00C03C7B" w:rsidRDefault="00C03C7B" w:rsidP="0048155F"/>
        </w:tc>
        <w:tc>
          <w:tcPr>
            <w:tcW w:w="3402" w:type="dxa"/>
          </w:tcPr>
          <w:p w:rsidR="00C03C7B" w:rsidRDefault="004F52E2" w:rsidP="0048155F">
            <w:pPr>
              <w:jc w:val="right"/>
            </w:pPr>
            <w:r>
              <w:t>Kris Peach</w:t>
            </w:r>
          </w:p>
        </w:tc>
      </w:tr>
      <w:tr w:rsidR="00C03C7B" w:rsidTr="005E3FA5">
        <w:tc>
          <w:tcPr>
            <w:tcW w:w="6237" w:type="dxa"/>
          </w:tcPr>
          <w:p w:rsidR="00C03C7B" w:rsidRDefault="00C03C7B" w:rsidP="0048155F">
            <w:r>
              <w:t xml:space="preserve">Dated </w:t>
            </w:r>
            <w:bookmarkStart w:id="11" w:name="DateSigned"/>
            <w:r w:rsidR="00E66766">
              <w:t>17 December 2014</w:t>
            </w:r>
            <w:bookmarkEnd w:id="11"/>
          </w:p>
        </w:tc>
        <w:tc>
          <w:tcPr>
            <w:tcW w:w="3402" w:type="dxa"/>
          </w:tcPr>
          <w:p w:rsidR="00C03C7B" w:rsidRDefault="00C03C7B" w:rsidP="0048155F">
            <w:pPr>
              <w:jc w:val="right"/>
            </w:pPr>
            <w:r>
              <w:t>Chair – AASB</w:t>
            </w:r>
          </w:p>
        </w:tc>
      </w:tr>
    </w:tbl>
    <w:p w:rsidR="00C03C7B" w:rsidRDefault="00C03C7B" w:rsidP="00C03C7B"/>
    <w:p w:rsidR="00C03C7B" w:rsidRDefault="00C03C7B" w:rsidP="00C03C7B"/>
    <w:p w:rsidR="00090A6F" w:rsidRPr="0000292B" w:rsidRDefault="00090A6F">
      <w:pPr>
        <w:pStyle w:val="Heading1"/>
      </w:pPr>
      <w:r w:rsidRPr="0000292B">
        <w:t xml:space="preserve">aCCOUNTING STANDARD 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E66766" w:rsidRPr="00E66766">
        <w:rPr>
          <w:iCs/>
        </w:rPr>
        <w:t>2014-8</w:t>
      </w:r>
      <w:r w:rsidR="00BC0D5D" w:rsidRPr="00BC0D5D">
        <w:rPr>
          <w:iCs/>
        </w:rPr>
        <w:fldChar w:fldCharType="end"/>
      </w:r>
    </w:p>
    <w:p w:rsidR="00090A6F" w:rsidRDefault="004F52E2">
      <w:pPr>
        <w:pStyle w:val="Heading1Italic"/>
      </w:pPr>
      <w:r w:rsidRPr="009C2940">
        <w:t>Amendments to Australian Accounting Standards arising from AASB 9 (December 2014) –</w:t>
      </w:r>
      <w:r w:rsidR="00FF5CAE">
        <w:t xml:space="preserve"> </w:t>
      </w:r>
      <w:r w:rsidRPr="009C2940">
        <w:t>Application of AASB 9 (December 2009) and AASB 9 (December</w:t>
      </w:r>
      <w:r w:rsidR="00FF5CAE">
        <w:t> </w:t>
      </w:r>
      <w:r w:rsidRPr="009C2940">
        <w:t>2010)</w:t>
      </w:r>
    </w:p>
    <w:p w:rsidR="00090A6F" w:rsidRPr="0000292B" w:rsidRDefault="00090A6F">
      <w:pPr>
        <w:pStyle w:val="Heading2"/>
      </w:pPr>
      <w:bookmarkStart w:id="12" w:name="TOCStart"/>
      <w:bookmarkEnd w:id="12"/>
      <w:r w:rsidRPr="0000292B">
        <w:t>Objective</w:t>
      </w:r>
    </w:p>
    <w:p w:rsidR="00090A6F" w:rsidRDefault="001662B8" w:rsidP="00422E4D">
      <w:pPr>
        <w:pStyle w:val="NumPlain1"/>
        <w:numPr>
          <w:ilvl w:val="0"/>
          <w:numId w:val="2"/>
        </w:numPr>
      </w:pPr>
      <w:r>
        <w:t xml:space="preserve">The </w:t>
      </w:r>
      <w:r w:rsidR="00460FBB">
        <w:t>o</w:t>
      </w:r>
      <w:r>
        <w:t>bjective of this Standard is to make amendments to:</w:t>
      </w:r>
    </w:p>
    <w:p w:rsidR="00B34E18" w:rsidRDefault="00B34E18" w:rsidP="00B34E18">
      <w:pPr>
        <w:pStyle w:val="NumPlain2"/>
      </w:pPr>
      <w:r>
        <w:t xml:space="preserve">AASB 9 </w:t>
      </w:r>
      <w:r w:rsidRPr="00B34E18">
        <w:rPr>
          <w:i/>
        </w:rPr>
        <w:t xml:space="preserve">Financial Instruments </w:t>
      </w:r>
      <w:r w:rsidRPr="004F52E2">
        <w:t>(December 2009)</w:t>
      </w:r>
      <w:r>
        <w:t>; and</w:t>
      </w:r>
    </w:p>
    <w:p w:rsidR="00B34E18" w:rsidRDefault="00B34E18" w:rsidP="00B34E18">
      <w:pPr>
        <w:pStyle w:val="NumPlain2"/>
      </w:pPr>
      <w:r>
        <w:t xml:space="preserve">AASB 9 </w:t>
      </w:r>
      <w:r w:rsidRPr="00B34E18">
        <w:rPr>
          <w:i/>
        </w:rPr>
        <w:t xml:space="preserve">Financial Instruments </w:t>
      </w:r>
      <w:r w:rsidRPr="004F52E2">
        <w:t>(December 2010)</w:t>
      </w:r>
      <w:r>
        <w:t>;</w:t>
      </w:r>
    </w:p>
    <w:p w:rsidR="001662B8" w:rsidRPr="0000292B" w:rsidRDefault="001662B8" w:rsidP="001662B8">
      <w:pPr>
        <w:pStyle w:val="NoNumPlain2"/>
      </w:pPr>
      <w:proofErr w:type="gramStart"/>
      <w:r>
        <w:t>a</w:t>
      </w:r>
      <w:bookmarkStart w:id="13" w:name="StndObj"/>
      <w:bookmarkEnd w:id="13"/>
      <w:r>
        <w:t>s</w:t>
      </w:r>
      <w:proofErr w:type="gramEnd"/>
      <w:r>
        <w:t xml:space="preserve"> a consequence of the issuance of </w:t>
      </w:r>
      <w:r w:rsidR="0078157D">
        <w:t xml:space="preserve">AASB 9 </w:t>
      </w:r>
      <w:r w:rsidR="004F52E2">
        <w:rPr>
          <w:i/>
        </w:rPr>
        <w:t>Financial Instruments</w:t>
      </w:r>
      <w:r>
        <w:t xml:space="preserve"> in</w:t>
      </w:r>
      <w:r w:rsidR="00742E4B">
        <w:t xml:space="preserve"> </w:t>
      </w:r>
      <w:bookmarkStart w:id="14" w:name="ArisingDate"/>
      <w:r w:rsidR="004F52E2">
        <w:t>December</w:t>
      </w:r>
      <w:r w:rsidR="00B34E18">
        <w:t xml:space="preserve"> 2014</w:t>
      </w:r>
      <w:bookmarkEnd w:id="14"/>
      <w:r>
        <w:t>.</w:t>
      </w:r>
    </w:p>
    <w:p w:rsidR="00090A6F" w:rsidRPr="0000292B" w:rsidRDefault="00090A6F">
      <w:pPr>
        <w:pStyle w:val="Heading2"/>
      </w:pPr>
      <w:r w:rsidRPr="0000292B">
        <w:t>Application</w:t>
      </w:r>
    </w:p>
    <w:p w:rsidR="00511C34" w:rsidRDefault="00E75702" w:rsidP="00027E8B">
      <w:pPr>
        <w:pStyle w:val="NumBold1"/>
      </w:pPr>
      <w:r>
        <w:t>T</w:t>
      </w:r>
      <w:r w:rsidR="00511C34">
        <w:t>his Standard applies to:</w:t>
      </w:r>
    </w:p>
    <w:p w:rsidR="00511C34" w:rsidRDefault="00511C34" w:rsidP="00511C34">
      <w:pPr>
        <w:pStyle w:val="NumBold2"/>
      </w:pPr>
      <w:r>
        <w:t xml:space="preserve">each entity that is required to prepare financial reports in accordance with Part 2M.3 of the </w:t>
      </w:r>
      <w:r w:rsidRPr="00D74038">
        <w:t>Corporations Act</w:t>
      </w:r>
      <w:r>
        <w:t xml:space="preserve"> and that is a reporting entity;</w:t>
      </w:r>
    </w:p>
    <w:p w:rsidR="00511C34" w:rsidRDefault="00511C34" w:rsidP="00511C34">
      <w:pPr>
        <w:pStyle w:val="NumBold2"/>
      </w:pPr>
      <w:r>
        <w:t>general purpose financial statements of each other reporting entity; and</w:t>
      </w:r>
    </w:p>
    <w:p w:rsidR="00511C34" w:rsidRDefault="00511C34" w:rsidP="00511C34">
      <w:pPr>
        <w:pStyle w:val="NumBold2"/>
      </w:pPr>
      <w:proofErr w:type="gramStart"/>
      <w:r>
        <w:t>financial</w:t>
      </w:r>
      <w:proofErr w:type="gramEnd"/>
      <w:r>
        <w:t xml:space="preserve"> statements that are, or are held out to be, general purpose financial statements.</w:t>
      </w:r>
    </w:p>
    <w:p w:rsidR="00090A6F" w:rsidRDefault="00090A6F" w:rsidP="006F455E">
      <w:pPr>
        <w:pStyle w:val="NumBold1"/>
      </w:pPr>
      <w:r w:rsidRPr="00027E8B">
        <w:t xml:space="preserve">This Standard applies to annual reporting periods </w:t>
      </w:r>
      <w:bookmarkStart w:id="15" w:name="ApplyText"/>
      <w:r w:rsidRPr="00027E8B">
        <w:t>beginning</w:t>
      </w:r>
      <w:bookmarkEnd w:id="15"/>
      <w:r w:rsidRPr="00027E8B">
        <w:t xml:space="preserve"> on or after</w:t>
      </w:r>
      <w:r w:rsidR="004F52E2">
        <w:t xml:space="preserve"> 1 January 201</w:t>
      </w:r>
      <w:r w:rsidR="00721602">
        <w:t>5</w:t>
      </w:r>
      <w:r w:rsidRPr="00027E8B">
        <w:t>.</w:t>
      </w:r>
    </w:p>
    <w:p w:rsidR="00090A6F" w:rsidRDefault="0048155F" w:rsidP="0048155F">
      <w:pPr>
        <w:pStyle w:val="NumBold1"/>
      </w:pPr>
      <w:r>
        <w:t>This Standard uses underlining, striking out and other typographical material to identify some of the amendments to a Standard, in order to make the amendments more understandable</w:t>
      </w:r>
      <w:r w:rsidR="00B46040">
        <w:t xml:space="preserve">. </w:t>
      </w:r>
      <w:r>
        <w:t>However, the amendments made by this Standard do not include that underlining, striking out or other typographical material.</w:t>
      </w:r>
    </w:p>
    <w:p w:rsidR="00E8642D" w:rsidRDefault="00E8642D" w:rsidP="00E8642D">
      <w:pPr>
        <w:pStyle w:val="Heading2"/>
      </w:pPr>
      <w:r>
        <w:t>Commencement</w:t>
      </w:r>
    </w:p>
    <w:p w:rsidR="00E8642D" w:rsidRDefault="00E8642D" w:rsidP="00E8642D">
      <w:pPr>
        <w:pStyle w:val="NumBold1"/>
      </w:pPr>
      <w:r w:rsidRPr="007E7893">
        <w:t>This Standard commences on the day this Standard is made by the Australian Accounting Standards Board.</w:t>
      </w:r>
    </w:p>
    <w:p w:rsidR="00B34E18" w:rsidRDefault="00B34E18">
      <w:pPr>
        <w:pStyle w:val="Heading2"/>
      </w:pPr>
      <w:r>
        <w:t>Amendments to AASB 9</w:t>
      </w:r>
      <w:r w:rsidR="00172B62">
        <w:t xml:space="preserve"> (December 2009)</w:t>
      </w:r>
    </w:p>
    <w:p w:rsidR="00191E14" w:rsidRDefault="00172B62" w:rsidP="00191E14">
      <w:pPr>
        <w:pStyle w:val="NumPlain1"/>
      </w:pPr>
      <w:bookmarkStart w:id="16" w:name="F33040896"/>
      <w:r>
        <w:t>P</w:t>
      </w:r>
      <w:r w:rsidR="00191E14">
        <w:t>aragraph</w:t>
      </w:r>
      <w:r w:rsidR="006F455E">
        <w:t>s</w:t>
      </w:r>
      <w:r w:rsidR="00191E14">
        <w:t xml:space="preserve"> </w:t>
      </w:r>
      <w:proofErr w:type="spellStart"/>
      <w:r w:rsidR="006F455E">
        <w:t>Aus</w:t>
      </w:r>
      <w:proofErr w:type="spellEnd"/>
      <w:r w:rsidR="006F455E">
        <w:t xml:space="preserve"> 1.3 and </w:t>
      </w:r>
      <w:r>
        <w:t>Aus1.4</w:t>
      </w:r>
      <w:r w:rsidR="00191E14">
        <w:t xml:space="preserve"> </w:t>
      </w:r>
      <w:r w:rsidR="006F455E">
        <w:t>are</w:t>
      </w:r>
      <w:r w:rsidR="00191E14">
        <w:t xml:space="preserve"> amended </w:t>
      </w:r>
      <w:r w:rsidR="00BD6A95">
        <w:t xml:space="preserve">(new text is underlined and deleted text is struck through) </w:t>
      </w:r>
      <w:r w:rsidR="00191E14">
        <w:t>as follows:</w:t>
      </w:r>
      <w:bookmarkEnd w:id="16"/>
    </w:p>
    <w:p w:rsidR="006F455E" w:rsidRDefault="00172B62" w:rsidP="00466161">
      <w:pPr>
        <w:pStyle w:val="BoldHanging1"/>
        <w:ind w:left="1190" w:hanging="680"/>
      </w:pPr>
      <w:r>
        <w:t>Aus1.</w:t>
      </w:r>
      <w:r w:rsidR="006F455E">
        <w:t>3</w:t>
      </w:r>
      <w:r w:rsidR="00191E14">
        <w:tab/>
      </w:r>
      <w:bookmarkStart w:id="17" w:name="F33040901"/>
      <w:r w:rsidR="006F455E">
        <w:t>This Standard applies to annual reporting periods beginning on or after 1 January 2018</w:t>
      </w:r>
      <w:r w:rsidR="009C2D9E" w:rsidRPr="00432C8C">
        <w:rPr>
          <w:u w:val="single"/>
        </w:rPr>
        <w:t xml:space="preserve"> and</w:t>
      </w:r>
      <w:r w:rsidR="00074496" w:rsidRPr="00432C8C">
        <w:rPr>
          <w:u w:val="single"/>
        </w:rPr>
        <w:t xml:space="preserve"> may be applied early only as set out in </w:t>
      </w:r>
      <w:r w:rsidR="009C2D9E" w:rsidRPr="00432C8C">
        <w:rPr>
          <w:u w:val="single"/>
        </w:rPr>
        <w:t xml:space="preserve">paragraph </w:t>
      </w:r>
      <w:r w:rsidR="00074496" w:rsidRPr="00432C8C">
        <w:rPr>
          <w:u w:val="single"/>
        </w:rPr>
        <w:t>Aus1.4</w:t>
      </w:r>
      <w:r w:rsidR="006F455E" w:rsidRPr="00432C8C">
        <w:rPr>
          <w:u w:val="single"/>
        </w:rPr>
        <w:t xml:space="preserve">. </w:t>
      </w:r>
      <w:r w:rsidR="005738F3" w:rsidRPr="00432C8C">
        <w:rPr>
          <w:u w:val="single"/>
        </w:rPr>
        <w:t xml:space="preserve">However, </w:t>
      </w:r>
      <w:r w:rsidR="00D30860" w:rsidRPr="00432C8C">
        <w:rPr>
          <w:u w:val="single"/>
        </w:rPr>
        <w:t>AASB</w:t>
      </w:r>
      <w:r w:rsidR="009C2D9E" w:rsidRPr="00432C8C">
        <w:rPr>
          <w:u w:val="single"/>
        </w:rPr>
        <w:t> </w:t>
      </w:r>
      <w:r w:rsidR="00D30860" w:rsidRPr="00432C8C">
        <w:rPr>
          <w:u w:val="single"/>
        </w:rPr>
        <w:t>9 (</w:t>
      </w:r>
      <w:r w:rsidR="006F455E" w:rsidRPr="00432C8C">
        <w:rPr>
          <w:u w:val="single"/>
        </w:rPr>
        <w:t>December 201</w:t>
      </w:r>
      <w:r w:rsidR="005738F3" w:rsidRPr="00432C8C">
        <w:rPr>
          <w:u w:val="single"/>
        </w:rPr>
        <w:t>0</w:t>
      </w:r>
      <w:r w:rsidR="00D30860" w:rsidRPr="00432C8C">
        <w:rPr>
          <w:u w:val="single"/>
        </w:rPr>
        <w:t>) and AASB 9 (</w:t>
      </w:r>
      <w:r w:rsidR="005738F3" w:rsidRPr="00432C8C">
        <w:rPr>
          <w:u w:val="single"/>
        </w:rPr>
        <w:t>December</w:t>
      </w:r>
      <w:r w:rsidR="00E75702">
        <w:rPr>
          <w:u w:val="single"/>
        </w:rPr>
        <w:t> </w:t>
      </w:r>
      <w:r w:rsidR="005738F3">
        <w:rPr>
          <w:u w:val="single"/>
        </w:rPr>
        <w:t>2014</w:t>
      </w:r>
      <w:r w:rsidR="00D30860">
        <w:rPr>
          <w:u w:val="single"/>
        </w:rPr>
        <w:t>)</w:t>
      </w:r>
      <w:r w:rsidR="005738F3">
        <w:rPr>
          <w:u w:val="single"/>
        </w:rPr>
        <w:t xml:space="preserve"> supersede</w:t>
      </w:r>
      <w:r w:rsidR="006F455E" w:rsidRPr="00CF4B89">
        <w:rPr>
          <w:u w:val="single"/>
        </w:rPr>
        <w:t xml:space="preserve"> this Standard</w:t>
      </w:r>
      <w:r w:rsidR="00D31E2E">
        <w:rPr>
          <w:u w:val="single"/>
        </w:rPr>
        <w:t xml:space="preserve">. </w:t>
      </w:r>
      <w:r w:rsidR="00D31E2E" w:rsidRPr="0040332C">
        <w:rPr>
          <w:u w:val="single"/>
        </w:rPr>
        <w:t xml:space="preserve">An entity shall apply </w:t>
      </w:r>
      <w:r w:rsidR="00D31E2E">
        <w:rPr>
          <w:u w:val="single"/>
        </w:rPr>
        <w:t>AASB</w:t>
      </w:r>
      <w:r w:rsidR="00D31E2E" w:rsidRPr="0040332C">
        <w:rPr>
          <w:u w:val="single"/>
        </w:rPr>
        <w:t xml:space="preserve"> 9 </w:t>
      </w:r>
      <w:r w:rsidR="00D30860">
        <w:rPr>
          <w:u w:val="single"/>
        </w:rPr>
        <w:t>(</w:t>
      </w:r>
      <w:r w:rsidR="00D31E2E">
        <w:rPr>
          <w:u w:val="single"/>
        </w:rPr>
        <w:t>December </w:t>
      </w:r>
      <w:r w:rsidR="00D31E2E" w:rsidRPr="0040332C">
        <w:rPr>
          <w:u w:val="single"/>
        </w:rPr>
        <w:t>2014</w:t>
      </w:r>
      <w:r w:rsidR="00D30860">
        <w:rPr>
          <w:u w:val="single"/>
        </w:rPr>
        <w:t>)</w:t>
      </w:r>
      <w:r w:rsidR="00D31E2E" w:rsidRPr="0040332C">
        <w:rPr>
          <w:u w:val="single"/>
        </w:rPr>
        <w:t xml:space="preserve"> for annual </w:t>
      </w:r>
      <w:r w:rsidR="00D31E2E">
        <w:rPr>
          <w:u w:val="single"/>
        </w:rPr>
        <w:t xml:space="preserve">reporting </w:t>
      </w:r>
      <w:r w:rsidR="00D31E2E" w:rsidRPr="0040332C">
        <w:rPr>
          <w:u w:val="single"/>
        </w:rPr>
        <w:t>periods beginning on or after 1 January 2018</w:t>
      </w:r>
      <w:r w:rsidR="00D31E2E" w:rsidRPr="0015166F">
        <w:t>.</w:t>
      </w:r>
    </w:p>
    <w:p w:rsidR="00191E14" w:rsidRDefault="009C551C" w:rsidP="00466161">
      <w:pPr>
        <w:pStyle w:val="BoldHanging1"/>
        <w:ind w:left="1190" w:hanging="680"/>
      </w:pPr>
      <w:r>
        <w:t>Aus</w:t>
      </w:r>
      <w:r w:rsidR="006F455E">
        <w:t>1.4</w:t>
      </w:r>
      <w:r w:rsidR="006F455E">
        <w:tab/>
      </w:r>
      <w:r w:rsidR="00603B95" w:rsidRPr="009F7854">
        <w:t>This Standard may be applied to</w:t>
      </w:r>
      <w:r w:rsidR="00603B95" w:rsidRPr="007F0C7A">
        <w:t xml:space="preserve"> annual reporting periods </w:t>
      </w:r>
      <w:bookmarkStart w:id="18" w:name="EarlyText"/>
      <w:r w:rsidR="00603B95" w:rsidRPr="009F7854">
        <w:t>ending</w:t>
      </w:r>
      <w:bookmarkEnd w:id="18"/>
      <w:r w:rsidR="00603B95" w:rsidRPr="009F7854">
        <w:t xml:space="preserve"> on or after </w:t>
      </w:r>
      <w:bookmarkStart w:id="19" w:name="EarlyDate"/>
      <w:r w:rsidR="00603B95" w:rsidRPr="009F7854">
        <w:t>31 December 2009</w:t>
      </w:r>
      <w:bookmarkEnd w:id="19"/>
      <w:r w:rsidR="00603B95" w:rsidRPr="009F7854">
        <w:t xml:space="preserve"> </w:t>
      </w:r>
      <w:bookmarkStart w:id="20" w:name="EarlyWord"/>
      <w:r w:rsidR="00603B95" w:rsidRPr="009F7854">
        <w:t>that begin</w:t>
      </w:r>
      <w:bookmarkEnd w:id="20"/>
      <w:r w:rsidR="00603B95" w:rsidRPr="007F0C7A">
        <w:t xml:space="preserve"> </w:t>
      </w:r>
      <w:r w:rsidR="00603B95" w:rsidRPr="00CF4B89">
        <w:t>before</w:t>
      </w:r>
      <w:r w:rsidR="00603B95">
        <w:t xml:space="preserve"> 1 January 2018</w:t>
      </w:r>
      <w:r w:rsidR="00B46040" w:rsidRPr="007F0C7A">
        <w:t xml:space="preserve">. </w:t>
      </w:r>
      <w:r w:rsidR="00603B95" w:rsidRPr="00CF4B89">
        <w:rPr>
          <w:strike/>
        </w:rPr>
        <w:t>When an entity applies this Standard to an</w:t>
      </w:r>
      <w:r w:rsidR="00603B95" w:rsidRPr="007F0C7A">
        <w:t xml:space="preserve"> </w:t>
      </w:r>
      <w:r w:rsidR="00CF4B89" w:rsidRPr="00CF4B89">
        <w:rPr>
          <w:u w:val="single"/>
        </w:rPr>
        <w:t>However, for</w:t>
      </w:r>
      <w:r w:rsidR="007C4E46">
        <w:rPr>
          <w:u w:val="single"/>
        </w:rPr>
        <w:t xml:space="preserve"> those periods</w:t>
      </w:r>
      <w:r w:rsidR="00CF4B89">
        <w:t xml:space="preserve"> </w:t>
      </w:r>
      <w:r w:rsidR="00603B95" w:rsidRPr="0015166F">
        <w:rPr>
          <w:rFonts w:ascii="Times New Roman Bold" w:hAnsi="Times New Roman Bold"/>
          <w:strike/>
        </w:rPr>
        <w:t>annual reporting period</w:t>
      </w:r>
      <w:r w:rsidR="00CF4B89" w:rsidRPr="0015166F">
        <w:rPr>
          <w:rFonts w:ascii="Times New Roman Bold" w:hAnsi="Times New Roman Bold"/>
          <w:strike/>
          <w:u w:val="single"/>
        </w:rPr>
        <w:t>s</w:t>
      </w:r>
      <w:r w:rsidR="00603B95" w:rsidRPr="0015166F">
        <w:rPr>
          <w:rFonts w:ascii="Times New Roman Bold" w:hAnsi="Times New Roman Bold"/>
          <w:strike/>
        </w:rPr>
        <w:t xml:space="preserve"> </w:t>
      </w:r>
      <w:r w:rsidR="00603B95" w:rsidRPr="0015166F">
        <w:rPr>
          <w:rFonts w:ascii="Times New Roman Bold" w:hAnsi="Times New Roman Bold"/>
          <w:strike/>
        </w:rPr>
        <w:fldChar w:fldCharType="begin" w:fldLock="1"/>
      </w:r>
      <w:r w:rsidR="00603B95" w:rsidRPr="0015166F">
        <w:rPr>
          <w:rFonts w:ascii="Times New Roman Bold" w:hAnsi="Times New Roman Bold"/>
          <w:strike/>
        </w:rPr>
        <w:instrText xml:space="preserve"> REF ApplyText  \* charformat  \* MERGEFORMAT </w:instrText>
      </w:r>
      <w:r w:rsidR="00603B95" w:rsidRPr="0015166F">
        <w:rPr>
          <w:rFonts w:ascii="Times New Roman Bold" w:hAnsi="Times New Roman Bold"/>
          <w:strike/>
        </w:rPr>
        <w:fldChar w:fldCharType="separate"/>
      </w:r>
      <w:r w:rsidR="00E66766" w:rsidRPr="00E66766">
        <w:rPr>
          <w:rFonts w:ascii="Times New Roman Bold" w:hAnsi="Times New Roman Bold"/>
          <w:strike/>
        </w:rPr>
        <w:t>beginning</w:t>
      </w:r>
      <w:r w:rsidR="00603B95" w:rsidRPr="0015166F">
        <w:rPr>
          <w:rFonts w:ascii="Times New Roman Bold" w:hAnsi="Times New Roman Bold"/>
          <w:strike/>
        </w:rPr>
        <w:fldChar w:fldCharType="end"/>
      </w:r>
      <w:r w:rsidR="00603B95" w:rsidRPr="0015166F">
        <w:rPr>
          <w:rFonts w:ascii="Times New Roman Bold" w:hAnsi="Times New Roman Bold"/>
          <w:strike/>
        </w:rPr>
        <w:t xml:space="preserve"> before </w:t>
      </w:r>
      <w:r w:rsidR="00CF4B89" w:rsidRPr="0015166F">
        <w:rPr>
          <w:rFonts w:ascii="Times New Roman Bold" w:hAnsi="Times New Roman Bold"/>
          <w:strike/>
        </w:rPr>
        <w:t>1 January 2018</w:t>
      </w:r>
      <w:r w:rsidR="00CF4B89" w:rsidRPr="00CF4B89">
        <w:rPr>
          <w:u w:val="single"/>
        </w:rPr>
        <w:t xml:space="preserve">, an entity may </w:t>
      </w:r>
      <w:r w:rsidR="00D30860">
        <w:rPr>
          <w:u w:val="single"/>
        </w:rPr>
        <w:t xml:space="preserve">elect to </w:t>
      </w:r>
      <w:r w:rsidR="00CF4B89" w:rsidRPr="00CF4B89">
        <w:rPr>
          <w:u w:val="single"/>
        </w:rPr>
        <w:t xml:space="preserve">apply this Standard if, and only if, the entity’s date of initial application </w:t>
      </w:r>
      <w:r w:rsidR="005738F3">
        <w:rPr>
          <w:u w:val="single"/>
        </w:rPr>
        <w:t xml:space="preserve">(as described in paragraph 8.2.2) </w:t>
      </w:r>
      <w:r w:rsidR="00CF4B89" w:rsidRPr="00CF4B89">
        <w:rPr>
          <w:u w:val="single"/>
        </w:rPr>
        <w:t>is before 1</w:t>
      </w:r>
      <w:r w:rsidR="005738F3">
        <w:rPr>
          <w:u w:val="single"/>
        </w:rPr>
        <w:t> </w:t>
      </w:r>
      <w:r w:rsidR="00CF4B89" w:rsidRPr="00CF4B89">
        <w:rPr>
          <w:u w:val="single"/>
        </w:rPr>
        <w:t>February 2015</w:t>
      </w:r>
      <w:r w:rsidR="005531AE" w:rsidRPr="00CF4B89">
        <w:rPr>
          <w:u w:val="single"/>
        </w:rPr>
        <w:t xml:space="preserve">. </w:t>
      </w:r>
      <w:r w:rsidR="00D30860">
        <w:rPr>
          <w:u w:val="single"/>
        </w:rPr>
        <w:t>If</w:t>
      </w:r>
      <w:r w:rsidR="00B4512B" w:rsidRPr="00CF4B89">
        <w:rPr>
          <w:u w:val="single"/>
        </w:rPr>
        <w:t xml:space="preserve"> </w:t>
      </w:r>
      <w:r w:rsidR="00CF4B89" w:rsidRPr="00CF4B89">
        <w:rPr>
          <w:u w:val="single"/>
        </w:rPr>
        <w:t xml:space="preserve">an entity </w:t>
      </w:r>
      <w:r w:rsidR="00D30860">
        <w:rPr>
          <w:u w:val="single"/>
        </w:rPr>
        <w:t xml:space="preserve">elects to </w:t>
      </w:r>
      <w:r w:rsidR="00CF4B89" w:rsidRPr="00CF4B89">
        <w:rPr>
          <w:u w:val="single"/>
        </w:rPr>
        <w:t>appl</w:t>
      </w:r>
      <w:r w:rsidR="00D30860">
        <w:rPr>
          <w:u w:val="single"/>
        </w:rPr>
        <w:t>y</w:t>
      </w:r>
      <w:r w:rsidR="00CF4B89" w:rsidRPr="00CF4B89">
        <w:rPr>
          <w:u w:val="single"/>
        </w:rPr>
        <w:t xml:space="preserve"> this Standard</w:t>
      </w:r>
      <w:r w:rsidR="00CF4B89" w:rsidRPr="007F0C7A">
        <w:t xml:space="preserve"> </w:t>
      </w:r>
      <w:r w:rsidR="00603B95" w:rsidRPr="007F0C7A">
        <w:t>it shall disclose that fact</w:t>
      </w:r>
      <w:r w:rsidR="00603B95">
        <w:t xml:space="preserve"> and at the same time apply the amendments in </w:t>
      </w:r>
      <w:r w:rsidR="00603B95" w:rsidRPr="003945A4">
        <w:t>AASB</w:t>
      </w:r>
      <w:r w:rsidR="00603B95">
        <w:t> </w:t>
      </w:r>
      <w:r w:rsidR="00603B95" w:rsidRPr="003945A4">
        <w:t>2009-</w:t>
      </w:r>
      <w:r w:rsidR="00603B95">
        <w:t>11</w:t>
      </w:r>
      <w:r w:rsidR="00603B95" w:rsidRPr="003945A4">
        <w:t xml:space="preserve"> </w:t>
      </w:r>
      <w:r w:rsidR="00603B95" w:rsidRPr="003945A4">
        <w:rPr>
          <w:i/>
        </w:rPr>
        <w:t xml:space="preserve">Amendments to Australian Accounting Standards </w:t>
      </w:r>
      <w:r w:rsidR="00603B95">
        <w:rPr>
          <w:i/>
        </w:rPr>
        <w:t>arising from AASB 9</w:t>
      </w:r>
      <w:r w:rsidR="00603B95">
        <w:t xml:space="preserve"> (as amended)</w:t>
      </w:r>
      <w:r w:rsidR="00603B95" w:rsidRPr="00727057">
        <w:t xml:space="preserve"> and the amendments </w:t>
      </w:r>
      <w:r w:rsidR="002D3537">
        <w:rPr>
          <w:u w:val="single"/>
        </w:rPr>
        <w:t>set out</w:t>
      </w:r>
      <w:r w:rsidR="002D3537">
        <w:t xml:space="preserve"> </w:t>
      </w:r>
      <w:r w:rsidR="00603B95" w:rsidRPr="002D3537">
        <w:t>in</w:t>
      </w:r>
      <w:r w:rsidR="00603B95" w:rsidRPr="00727057">
        <w:t xml:space="preserve"> </w:t>
      </w:r>
      <w:r w:rsidR="002D3537">
        <w:rPr>
          <w:u w:val="single"/>
        </w:rPr>
        <w:t>paragraphs 58-60 of</w:t>
      </w:r>
      <w:r w:rsidR="002D3537">
        <w:t xml:space="preserve"> </w:t>
      </w:r>
      <w:r w:rsidR="00603B95" w:rsidRPr="00727057">
        <w:t xml:space="preserve">Part E of AASB 2014-1 </w:t>
      </w:r>
      <w:r w:rsidR="00603B95" w:rsidRPr="00727057">
        <w:rPr>
          <w:i/>
        </w:rPr>
        <w:t>Amendments to Australian Accounting Standards</w:t>
      </w:r>
      <w:r w:rsidR="00191E14">
        <w:t>.</w:t>
      </w:r>
      <w:bookmarkEnd w:id="17"/>
    </w:p>
    <w:p w:rsidR="000A62C9" w:rsidRDefault="000A62C9" w:rsidP="00F371E7">
      <w:pPr>
        <w:pStyle w:val="NumPlain1"/>
        <w:keepNext/>
      </w:pPr>
      <w:r>
        <w:t xml:space="preserve">Paragraph 8.1.1 is amended </w:t>
      </w:r>
      <w:r w:rsidR="002630DD">
        <w:t xml:space="preserve">(new text is underlined) </w:t>
      </w:r>
      <w:r>
        <w:t>as follows:</w:t>
      </w:r>
    </w:p>
    <w:p w:rsidR="000A62C9" w:rsidRDefault="000A62C9" w:rsidP="000A62C9">
      <w:pPr>
        <w:pStyle w:val="PlainHanging1"/>
      </w:pPr>
      <w:r>
        <w:t>8.1.1</w:t>
      </w:r>
      <w:r>
        <w:tab/>
        <w:t>[Deleted by the AASB</w:t>
      </w:r>
      <w:r w:rsidRPr="000A62C9">
        <w:rPr>
          <w:u w:val="single"/>
        </w:rPr>
        <w:t xml:space="preserve"> – see paragraphs Aus1.3 and Aus1.4</w:t>
      </w:r>
      <w:r>
        <w:t>]</w:t>
      </w:r>
    </w:p>
    <w:p w:rsidR="00954E04" w:rsidRDefault="00954E04" w:rsidP="00B4512B">
      <w:pPr>
        <w:pStyle w:val="Heading2"/>
      </w:pPr>
      <w:bookmarkStart w:id="21" w:name="F33040903"/>
      <w:r>
        <w:t xml:space="preserve">Amendments to </w:t>
      </w:r>
      <w:bookmarkStart w:id="22" w:name="StndNo2"/>
      <w:r>
        <w:t xml:space="preserve">AASB 9 </w:t>
      </w:r>
      <w:bookmarkEnd w:id="22"/>
      <w:r w:rsidR="009F7854">
        <w:t>(December 2010)</w:t>
      </w:r>
    </w:p>
    <w:p w:rsidR="00191E14" w:rsidRDefault="00191E14" w:rsidP="00B4512B">
      <w:pPr>
        <w:pStyle w:val="NumPlain1"/>
        <w:keepNext/>
      </w:pPr>
      <w:bookmarkStart w:id="23" w:name="F33040913"/>
      <w:bookmarkEnd w:id="21"/>
      <w:r>
        <w:t xml:space="preserve">Paragraphs </w:t>
      </w:r>
      <w:r w:rsidR="005A722E">
        <w:t xml:space="preserve">Aus1.3, </w:t>
      </w:r>
      <w:r w:rsidR="00A928B4">
        <w:t>Aus1.4</w:t>
      </w:r>
      <w:r w:rsidR="00E07B6B">
        <w:t xml:space="preserve"> and </w:t>
      </w:r>
      <w:r w:rsidR="005A722E">
        <w:t>Aus1.</w:t>
      </w:r>
      <w:r w:rsidR="00A95ED1">
        <w:t xml:space="preserve">7 </w:t>
      </w:r>
      <w:r>
        <w:t xml:space="preserve">are amended </w:t>
      </w:r>
      <w:r w:rsidR="00BD6A95">
        <w:t xml:space="preserve">(new text is underlined and deleted text is struck through) and paragraph Aus1.5 is deleted </w:t>
      </w:r>
      <w:r>
        <w:t>as follows:</w:t>
      </w:r>
      <w:bookmarkEnd w:id="23"/>
    </w:p>
    <w:p w:rsidR="005A722E" w:rsidRPr="000566ED" w:rsidRDefault="005A722E" w:rsidP="0050475E">
      <w:pPr>
        <w:pStyle w:val="BoldHanging1"/>
        <w:ind w:left="1190" w:hanging="680"/>
      </w:pPr>
      <w:bookmarkStart w:id="24" w:name="F33040917"/>
      <w:r>
        <w:t>Aus1.3</w:t>
      </w:r>
      <w:r>
        <w:tab/>
      </w:r>
      <w:r w:rsidR="00A928B4" w:rsidRPr="00A928B4">
        <w:t>This Standard applies to</w:t>
      </w:r>
      <w:r w:rsidR="00A928B4">
        <w:t xml:space="preserve"> </w:t>
      </w:r>
      <w:r w:rsidRPr="00E17303">
        <w:t xml:space="preserve">annual reporting periods beginning on or after 1 January </w:t>
      </w:r>
      <w:r>
        <w:t>2018</w:t>
      </w:r>
      <w:r w:rsidR="00074496" w:rsidRPr="00432C8C">
        <w:rPr>
          <w:u w:val="single"/>
        </w:rPr>
        <w:t xml:space="preserve"> </w:t>
      </w:r>
      <w:r w:rsidR="009C2D9E" w:rsidRPr="00432C8C">
        <w:rPr>
          <w:u w:val="single"/>
        </w:rPr>
        <w:t>and</w:t>
      </w:r>
      <w:r w:rsidR="00074496" w:rsidRPr="00432C8C">
        <w:rPr>
          <w:u w:val="single"/>
        </w:rPr>
        <w:t xml:space="preserve"> may be applied early only as set out in </w:t>
      </w:r>
      <w:r w:rsidR="009C2D9E" w:rsidRPr="00432C8C">
        <w:rPr>
          <w:u w:val="single"/>
        </w:rPr>
        <w:t xml:space="preserve">paragraph </w:t>
      </w:r>
      <w:r w:rsidR="00074496" w:rsidRPr="00432C8C">
        <w:rPr>
          <w:u w:val="single"/>
        </w:rPr>
        <w:t>Aus1.4</w:t>
      </w:r>
      <w:r w:rsidR="005531AE" w:rsidRPr="00432C8C">
        <w:rPr>
          <w:u w:val="single"/>
        </w:rPr>
        <w:t xml:space="preserve">. </w:t>
      </w:r>
      <w:r w:rsidR="00D30860" w:rsidRPr="00432C8C">
        <w:rPr>
          <w:u w:val="single"/>
        </w:rPr>
        <w:t>However</w:t>
      </w:r>
      <w:r w:rsidR="00D30860">
        <w:rPr>
          <w:u w:val="single"/>
        </w:rPr>
        <w:t>, AASB</w:t>
      </w:r>
      <w:r w:rsidR="009C2D9E">
        <w:rPr>
          <w:u w:val="single"/>
        </w:rPr>
        <w:t> </w:t>
      </w:r>
      <w:r w:rsidR="00D30860">
        <w:rPr>
          <w:u w:val="single"/>
        </w:rPr>
        <w:t>9 (</w:t>
      </w:r>
      <w:r w:rsidR="00D31E2E" w:rsidRPr="00B4512B">
        <w:rPr>
          <w:u w:val="single"/>
        </w:rPr>
        <w:t>December 2014</w:t>
      </w:r>
      <w:r w:rsidR="00D30860">
        <w:rPr>
          <w:u w:val="single"/>
        </w:rPr>
        <w:t>)</w:t>
      </w:r>
      <w:r w:rsidR="00D31E2E" w:rsidRPr="00B4512B">
        <w:rPr>
          <w:u w:val="single"/>
        </w:rPr>
        <w:t xml:space="preserve"> supersedes this Standard. An entity </w:t>
      </w:r>
      <w:r w:rsidR="00D30860">
        <w:rPr>
          <w:u w:val="single"/>
        </w:rPr>
        <w:t>shall apply AASB 9 (</w:t>
      </w:r>
      <w:r w:rsidR="00D31E2E" w:rsidRPr="00B4512B">
        <w:rPr>
          <w:u w:val="single"/>
        </w:rPr>
        <w:t>December 2014</w:t>
      </w:r>
      <w:r w:rsidR="00D30860">
        <w:rPr>
          <w:u w:val="single"/>
        </w:rPr>
        <w:t>)</w:t>
      </w:r>
      <w:r w:rsidR="00D31E2E" w:rsidRPr="00B4512B">
        <w:rPr>
          <w:u w:val="single"/>
        </w:rPr>
        <w:t xml:space="preserve"> for annual reporting periods beginning on or after 1 January 2018</w:t>
      </w:r>
      <w:r w:rsidR="00B46040" w:rsidRPr="0015166F">
        <w:t>.</w:t>
      </w:r>
      <w:r w:rsidR="00B46040" w:rsidRPr="00E5468C">
        <w:t xml:space="preserve"> </w:t>
      </w:r>
      <w:r w:rsidRPr="005D5D30">
        <w:rPr>
          <w:strike/>
        </w:rPr>
        <w:t>Earlier application is permitted</w:t>
      </w:r>
      <w:r w:rsidR="00B46040" w:rsidRPr="005D5D30">
        <w:rPr>
          <w:strike/>
        </w:rPr>
        <w:t xml:space="preserve">. </w:t>
      </w:r>
      <w:r w:rsidRPr="005D5D30">
        <w:rPr>
          <w:strike/>
        </w:rPr>
        <w:t xml:space="preserve">However, if an entity elects to apply this Standard early and has not already applied AASB 9 </w:t>
      </w:r>
      <w:r w:rsidRPr="005D5D30">
        <w:rPr>
          <w:i/>
          <w:strike/>
        </w:rPr>
        <w:t>Financial Instruments</w:t>
      </w:r>
      <w:r w:rsidRPr="005D5D30">
        <w:rPr>
          <w:strike/>
        </w:rPr>
        <w:t xml:space="preserve"> issued in December 2009 (as amended), it must apply all of the requirements in this Standard at the same time (but see also paragraph Aus1.7</w:t>
      </w:r>
      <w:r w:rsidR="00ED2DBF">
        <w:rPr>
          <w:strike/>
        </w:rPr>
        <w:t xml:space="preserve"> of this Standard</w:t>
      </w:r>
      <w:r w:rsidRPr="005D5D30">
        <w:rPr>
          <w:strike/>
        </w:rPr>
        <w:t>)</w:t>
      </w:r>
      <w:r w:rsidR="00B46040" w:rsidRPr="005D5D30">
        <w:rPr>
          <w:strike/>
        </w:rPr>
        <w:t>.</w:t>
      </w:r>
      <w:r w:rsidR="00B46040" w:rsidRPr="00E5468C">
        <w:rPr>
          <w:strike/>
        </w:rPr>
        <w:t xml:space="preserve"> </w:t>
      </w:r>
      <w:r w:rsidRPr="00E5468C">
        <w:rPr>
          <w:strike/>
        </w:rPr>
        <w:t xml:space="preserve">If an entity applies this Standard in its financial statements for a period beginning before 1 January 2018, it shall disclose that fact and at the same time apply the amendments in AASB 2010-7 </w:t>
      </w:r>
      <w:r w:rsidRPr="00E5468C">
        <w:rPr>
          <w:i/>
          <w:strike/>
        </w:rPr>
        <w:t xml:space="preserve">Amendments to Australian Accounting Standards arising from AASB 9 (December 2010) </w:t>
      </w:r>
      <w:r w:rsidRPr="00E5468C">
        <w:rPr>
          <w:strike/>
        </w:rPr>
        <w:t xml:space="preserve">(as amended) and the amendments in Part E of AASB 2014-1 </w:t>
      </w:r>
      <w:r w:rsidRPr="00E5468C">
        <w:rPr>
          <w:i/>
          <w:strike/>
        </w:rPr>
        <w:t>Amendments to Australian Accounting Standards</w:t>
      </w:r>
      <w:r w:rsidR="000566ED" w:rsidRPr="00E5468C">
        <w:rPr>
          <w:strike/>
        </w:rPr>
        <w:t>.</w:t>
      </w:r>
    </w:p>
    <w:p w:rsidR="000566ED" w:rsidRPr="00927C90" w:rsidRDefault="000566ED" w:rsidP="000D6835">
      <w:pPr>
        <w:pStyle w:val="BoldHanging1"/>
        <w:ind w:left="1190" w:hanging="680"/>
      </w:pPr>
      <w:bookmarkStart w:id="25" w:name="EarlyYesPara"/>
      <w:r>
        <w:t>Aus</w:t>
      </w:r>
      <w:r w:rsidRPr="00927C90">
        <w:t>1.4</w:t>
      </w:r>
      <w:r w:rsidRPr="00927C90">
        <w:tab/>
      </w:r>
      <w:r w:rsidR="003A7835" w:rsidRPr="003A7835">
        <w:rPr>
          <w:strike/>
        </w:rPr>
        <w:t>This Standard may be applied</w:t>
      </w:r>
      <w:r w:rsidR="003A7835">
        <w:t xml:space="preserve"> </w:t>
      </w:r>
      <w:proofErr w:type="gramStart"/>
      <w:r w:rsidR="006319FE" w:rsidRPr="003A7835">
        <w:rPr>
          <w:u w:val="single"/>
        </w:rPr>
        <w:t>F</w:t>
      </w:r>
      <w:r w:rsidR="005D5D30" w:rsidRPr="003A7835">
        <w:rPr>
          <w:u w:val="single"/>
        </w:rPr>
        <w:t>or</w:t>
      </w:r>
      <w:proofErr w:type="gramEnd"/>
      <w:r w:rsidR="005D5D30" w:rsidRPr="003A7835">
        <w:rPr>
          <w:u w:val="single"/>
        </w:rPr>
        <w:t xml:space="preserve"> annual reporting periods beginning before 1 January 2018, an entity may apply this Standard</w:t>
      </w:r>
      <w:r w:rsidR="005D5D30">
        <w:t xml:space="preserve"> </w:t>
      </w:r>
      <w:r>
        <w:t>from</w:t>
      </w:r>
      <w:r w:rsidRPr="00927C90">
        <w:t>:</w:t>
      </w:r>
    </w:p>
    <w:p w:rsidR="000566ED" w:rsidRDefault="000566ED" w:rsidP="000D6835">
      <w:pPr>
        <w:pStyle w:val="BoldHanging2"/>
        <w:ind w:left="1700"/>
      </w:pPr>
      <w:r>
        <w:t>(a)</w:t>
      </w:r>
      <w:r>
        <w:tab/>
      </w:r>
      <w:proofErr w:type="gramStart"/>
      <w:r>
        <w:t>any</w:t>
      </w:r>
      <w:proofErr w:type="gramEnd"/>
      <w:r>
        <w:t xml:space="preserve"> date between the issue of this Standard and 31 December 2010, for entities initially applying this Standard before 1 January 2011; or</w:t>
      </w:r>
    </w:p>
    <w:p w:rsidR="000566ED" w:rsidRDefault="000566ED" w:rsidP="000D6835">
      <w:pPr>
        <w:pStyle w:val="BoldHanging2"/>
        <w:ind w:left="1700"/>
      </w:pPr>
      <w:r w:rsidRPr="00927C90">
        <w:t>(b)</w:t>
      </w:r>
      <w:r w:rsidRPr="00927C90">
        <w:tab/>
      </w:r>
      <w:proofErr w:type="gramStart"/>
      <w:r w:rsidRPr="00927C90">
        <w:t>the</w:t>
      </w:r>
      <w:proofErr w:type="gramEnd"/>
      <w:r w:rsidRPr="00927C90">
        <w:t xml:space="preserve"> beginning of the first reporting period in which the entity adopts this </w:t>
      </w:r>
      <w:r>
        <w:t>Standard</w:t>
      </w:r>
      <w:r w:rsidRPr="00927C90">
        <w:t>, for entities initially applying this S</w:t>
      </w:r>
      <w:r>
        <w:t>tandard on or after 1 January 2011</w:t>
      </w:r>
      <w:r w:rsidRPr="00E665BE">
        <w:rPr>
          <w:strike/>
        </w:rPr>
        <w:t>.</w:t>
      </w:r>
      <w:r w:rsidR="00E665BE" w:rsidRPr="00E665BE">
        <w:rPr>
          <w:u w:val="single"/>
        </w:rPr>
        <w:t>;</w:t>
      </w:r>
    </w:p>
    <w:p w:rsidR="000566ED" w:rsidRDefault="000566ED" w:rsidP="000D6835">
      <w:pPr>
        <w:pStyle w:val="NoNumBold3"/>
        <w:ind w:left="1190"/>
        <w:rPr>
          <w:u w:val="single"/>
        </w:rPr>
      </w:pPr>
      <w:proofErr w:type="gramStart"/>
      <w:r w:rsidRPr="00D31E2E">
        <w:rPr>
          <w:u w:val="single"/>
        </w:rPr>
        <w:t>if</w:t>
      </w:r>
      <w:proofErr w:type="gramEnd"/>
      <w:r w:rsidRPr="00D31E2E">
        <w:rPr>
          <w:u w:val="single"/>
        </w:rPr>
        <w:t>, and</w:t>
      </w:r>
      <w:r w:rsidRPr="000566ED">
        <w:rPr>
          <w:u w:val="single"/>
        </w:rPr>
        <w:t xml:space="preserve"> only if, the entity’s date of initial application </w:t>
      </w:r>
      <w:r w:rsidR="00ED7746">
        <w:rPr>
          <w:u w:val="single"/>
        </w:rPr>
        <w:t xml:space="preserve">(as described in paragraph 7.2.2) </w:t>
      </w:r>
      <w:r w:rsidRPr="000566ED">
        <w:rPr>
          <w:u w:val="single"/>
        </w:rPr>
        <w:t>is before 1</w:t>
      </w:r>
      <w:r w:rsidR="00194DB4">
        <w:rPr>
          <w:u w:val="single"/>
        </w:rPr>
        <w:t> </w:t>
      </w:r>
      <w:r w:rsidRPr="000566ED">
        <w:rPr>
          <w:u w:val="single"/>
        </w:rPr>
        <w:t xml:space="preserve">February </w:t>
      </w:r>
      <w:r w:rsidRPr="0089130A">
        <w:rPr>
          <w:u w:val="single"/>
        </w:rPr>
        <w:t>2015</w:t>
      </w:r>
      <w:r w:rsidR="005531AE" w:rsidRPr="0089130A">
        <w:rPr>
          <w:u w:val="single"/>
        </w:rPr>
        <w:t xml:space="preserve">. </w:t>
      </w:r>
      <w:r w:rsidR="00FF5CAE">
        <w:rPr>
          <w:u w:val="single"/>
        </w:rPr>
        <w:t xml:space="preserve">When </w:t>
      </w:r>
      <w:r w:rsidR="005D5D30">
        <w:rPr>
          <w:u w:val="single"/>
        </w:rPr>
        <w:t>an entity elects to apply this Standard, it must apply all of the requirements in this Standard at the same time (but see also paragraphs 7.1.2, 7.2.15 and 7.2.16)</w:t>
      </w:r>
      <w:r w:rsidR="005531AE">
        <w:rPr>
          <w:u w:val="single"/>
        </w:rPr>
        <w:t xml:space="preserve">. </w:t>
      </w:r>
      <w:r w:rsidR="00D30860">
        <w:rPr>
          <w:u w:val="single"/>
        </w:rPr>
        <w:t>If</w:t>
      </w:r>
      <w:r w:rsidR="00FF5CAE">
        <w:rPr>
          <w:u w:val="single"/>
        </w:rPr>
        <w:t xml:space="preserve"> </w:t>
      </w:r>
      <w:r w:rsidR="0089130A" w:rsidRPr="0089130A">
        <w:rPr>
          <w:u w:val="single"/>
        </w:rPr>
        <w:t xml:space="preserve">an entity applies this Standard, it shall disclose that fact and at the same time apply the amendments in AASB 2010-7 </w:t>
      </w:r>
      <w:r w:rsidR="0089130A" w:rsidRPr="0089130A">
        <w:rPr>
          <w:i/>
          <w:u w:val="single"/>
        </w:rPr>
        <w:t>Amendments to Australian Accounting Standards arising from AASB 9 (December</w:t>
      </w:r>
      <w:r w:rsidR="0089130A">
        <w:rPr>
          <w:i/>
          <w:u w:val="single"/>
        </w:rPr>
        <w:t> </w:t>
      </w:r>
      <w:r w:rsidR="0089130A" w:rsidRPr="0089130A">
        <w:rPr>
          <w:i/>
          <w:u w:val="single"/>
        </w:rPr>
        <w:t xml:space="preserve">2010) </w:t>
      </w:r>
      <w:r w:rsidR="0089130A" w:rsidRPr="0089130A">
        <w:rPr>
          <w:u w:val="single"/>
        </w:rPr>
        <w:t>(as amended) and the amendments in Part</w:t>
      </w:r>
      <w:r w:rsidR="00610611">
        <w:rPr>
          <w:u w:val="single"/>
        </w:rPr>
        <w:t> </w:t>
      </w:r>
      <w:r w:rsidR="0089130A" w:rsidRPr="0089130A">
        <w:rPr>
          <w:u w:val="single"/>
        </w:rPr>
        <w:t xml:space="preserve">E of AASB 2014-1 </w:t>
      </w:r>
      <w:r w:rsidR="0089130A" w:rsidRPr="0089130A">
        <w:rPr>
          <w:i/>
          <w:u w:val="single"/>
        </w:rPr>
        <w:t>Amendments to Australian Accounting Standards</w:t>
      </w:r>
      <w:r w:rsidR="0089130A" w:rsidRPr="009C4796">
        <w:rPr>
          <w:u w:val="single"/>
        </w:rPr>
        <w:t>.</w:t>
      </w:r>
    </w:p>
    <w:p w:rsidR="00BD6A95" w:rsidRDefault="00BD6A95" w:rsidP="00A95ED1">
      <w:pPr>
        <w:pStyle w:val="PlainHanging1"/>
        <w:ind w:left="1190" w:hanging="680"/>
      </w:pPr>
      <w:r>
        <w:t>Aus1.5</w:t>
      </w:r>
      <w:r>
        <w:tab/>
        <w:t>[Deleted by the AASB]</w:t>
      </w:r>
    </w:p>
    <w:p w:rsidR="00313D64" w:rsidRDefault="00ED2DBF" w:rsidP="00ED2DBF">
      <w:pPr>
        <w:pStyle w:val="PlainHanging1"/>
        <w:tabs>
          <w:tab w:val="left" w:pos="1304"/>
        </w:tabs>
        <w:ind w:left="1190" w:hanging="680"/>
      </w:pPr>
      <w:bookmarkStart w:id="26" w:name="F33214227"/>
      <w:bookmarkEnd w:id="24"/>
      <w:bookmarkEnd w:id="25"/>
      <w:r>
        <w:t>Aus1.7</w:t>
      </w:r>
      <w:r>
        <w:tab/>
      </w:r>
      <w:r w:rsidR="00313D64" w:rsidRPr="00091EBB">
        <w:t xml:space="preserve">When applied or operative, this Standard supersedes AASB 9 issued in December </w:t>
      </w:r>
      <w:r w:rsidR="00313D64" w:rsidRPr="004000F3">
        <w:t xml:space="preserve">2009 </w:t>
      </w:r>
      <w:r w:rsidR="00313D64" w:rsidRPr="00E17303">
        <w:t>(as amended)</w:t>
      </w:r>
      <w:r w:rsidR="00313D64" w:rsidRPr="004000F3">
        <w:t>. However</w:t>
      </w:r>
      <w:r w:rsidR="00313D64" w:rsidRPr="00091EBB">
        <w:t>, for annual reporting periods beginning before 1 January</w:t>
      </w:r>
      <w:r w:rsidR="00313D64" w:rsidRPr="00621366">
        <w:t xml:space="preserve"> </w:t>
      </w:r>
      <w:r w:rsidR="00313D64">
        <w:t>2018</w:t>
      </w:r>
      <w:r w:rsidR="00313D64" w:rsidRPr="00091EBB">
        <w:t>, an entity may elect to apply AASB 9 issued in December 2009</w:t>
      </w:r>
      <w:r w:rsidR="00313D64" w:rsidRPr="007C4E46">
        <w:t xml:space="preserve"> </w:t>
      </w:r>
      <w:r w:rsidR="00313D64" w:rsidRPr="0015166F">
        <w:t>(as amended)</w:t>
      </w:r>
      <w:r w:rsidR="00313D64">
        <w:t xml:space="preserve"> or this Standard </w:t>
      </w:r>
      <w:r w:rsidR="00313D64" w:rsidRPr="0015166F">
        <w:t xml:space="preserve">as amended to September 2012, instead of applying this Standard (as amended to </w:t>
      </w:r>
      <w:r w:rsidR="00E66766">
        <w:rPr>
          <w:u w:val="single"/>
        </w:rPr>
        <w:t>December</w:t>
      </w:r>
      <w:r w:rsidR="00E66766">
        <w:t xml:space="preserve"> </w:t>
      </w:r>
      <w:r w:rsidR="00313D64" w:rsidRPr="00E66766">
        <w:rPr>
          <w:strike/>
        </w:rPr>
        <w:t>June</w:t>
      </w:r>
      <w:r w:rsidR="00313D64" w:rsidRPr="00E66766">
        <w:t> </w:t>
      </w:r>
      <w:r w:rsidR="00313D64" w:rsidRPr="0015166F">
        <w:t>2014)</w:t>
      </w:r>
      <w:r w:rsidR="00423FB5">
        <w:t xml:space="preserve"> </w:t>
      </w:r>
      <w:r w:rsidR="00423FB5" w:rsidRPr="004B6BC7">
        <w:rPr>
          <w:u w:val="single"/>
        </w:rPr>
        <w:t>if</w:t>
      </w:r>
      <w:r w:rsidR="00423FB5" w:rsidRPr="00423FB5">
        <w:rPr>
          <w:u w:val="single"/>
        </w:rPr>
        <w:t>, and only if, the entity’s date of initial application is before 1 February 2015</w:t>
      </w:r>
      <w:r w:rsidR="00423FB5">
        <w:t>.</w:t>
      </w:r>
    </w:p>
    <w:p w:rsidR="00E07B6B" w:rsidRDefault="00E07B6B" w:rsidP="00E07B6B">
      <w:pPr>
        <w:pStyle w:val="NumPlain1"/>
      </w:pPr>
      <w:r>
        <w:t>Paragraphs 7.1.1, 7.1.2, 7.3.1 and 7.3.2</w:t>
      </w:r>
      <w:r w:rsidRPr="00E07B6B">
        <w:t xml:space="preserve"> </w:t>
      </w:r>
      <w:r w:rsidR="002630DD">
        <w:t xml:space="preserve">are amended (new text is underlined and deleted text is struck through) </w:t>
      </w:r>
      <w:r>
        <w:t>as follows:</w:t>
      </w:r>
    </w:p>
    <w:p w:rsidR="00423B05" w:rsidRPr="00423B05" w:rsidRDefault="00423B05" w:rsidP="00423B05">
      <w:pPr>
        <w:pStyle w:val="PlainHanging1"/>
        <w:tabs>
          <w:tab w:val="left" w:pos="1304"/>
        </w:tabs>
        <w:ind w:left="1190" w:hanging="680"/>
        <w:rPr>
          <w:u w:val="single"/>
        </w:rPr>
      </w:pPr>
      <w:r>
        <w:t>7.1.1</w:t>
      </w:r>
      <w:r>
        <w:tab/>
        <w:t>[Deleted by the AASB</w:t>
      </w:r>
      <w:r>
        <w:rPr>
          <w:u w:val="single"/>
        </w:rPr>
        <w:t xml:space="preserve"> – see paragraph Aus1.3</w:t>
      </w:r>
      <w:r w:rsidR="007C4E46">
        <w:rPr>
          <w:u w:val="single"/>
        </w:rPr>
        <w:t xml:space="preserve"> and Aus1.4</w:t>
      </w:r>
      <w:r w:rsidRPr="00384434">
        <w:t>]</w:t>
      </w:r>
    </w:p>
    <w:bookmarkEnd w:id="26"/>
    <w:p w:rsidR="007231A1" w:rsidRDefault="00191E14" w:rsidP="000A62C9">
      <w:pPr>
        <w:pStyle w:val="PlainHanging1"/>
        <w:tabs>
          <w:tab w:val="left" w:pos="1304"/>
        </w:tabs>
        <w:ind w:left="1190" w:hanging="680"/>
      </w:pPr>
      <w:r>
        <w:t>7.1.2</w:t>
      </w:r>
      <w:r>
        <w:tab/>
      </w:r>
      <w:bookmarkStart w:id="27" w:name="F33040919"/>
      <w:r w:rsidR="00482030" w:rsidRPr="00482030">
        <w:rPr>
          <w:strike/>
        </w:rPr>
        <w:t>Notwithstanding</w:t>
      </w:r>
      <w:r w:rsidR="00482030">
        <w:t xml:space="preserve"> </w:t>
      </w:r>
      <w:r w:rsidR="00482030">
        <w:rPr>
          <w:u w:val="single"/>
        </w:rPr>
        <w:t>Despite</w:t>
      </w:r>
      <w:r w:rsidR="00482030">
        <w:t xml:space="preserve"> the requirements in paragraphs </w:t>
      </w:r>
      <w:r w:rsidR="00482030" w:rsidRPr="009C4796">
        <w:rPr>
          <w:strike/>
        </w:rPr>
        <w:t>Aus1.2-Aus1.8</w:t>
      </w:r>
      <w:r w:rsidR="009C4796">
        <w:t xml:space="preserve"> </w:t>
      </w:r>
      <w:r w:rsidR="009C4796">
        <w:rPr>
          <w:u w:val="single"/>
        </w:rPr>
        <w:t>Aus1.3</w:t>
      </w:r>
      <w:r w:rsidR="007C4E46">
        <w:rPr>
          <w:u w:val="single"/>
        </w:rPr>
        <w:t xml:space="preserve"> and </w:t>
      </w:r>
      <w:r w:rsidR="009C4796">
        <w:rPr>
          <w:u w:val="single"/>
        </w:rPr>
        <w:t>Aus1.4</w:t>
      </w:r>
      <w:r w:rsidR="00482030">
        <w:t xml:space="preserve">, </w:t>
      </w:r>
      <w:r w:rsidR="00482030">
        <w:rPr>
          <w:u w:val="single"/>
        </w:rPr>
        <w:t>for annual reporting periods beginning before 1 January 2018,</w:t>
      </w:r>
      <w:r w:rsidR="00482030">
        <w:t xml:space="preserve"> an entity may elect to apply the requirements for the presentation of gains and losses on financial liabilities designated as at fair value through profit or loss in paragraphs 5.7.1(c), 5.7.7-5.7.9, </w:t>
      </w:r>
      <w:r w:rsidR="00482030" w:rsidRPr="00482030">
        <w:rPr>
          <w:strike/>
        </w:rPr>
        <w:t>7.2.12</w:t>
      </w:r>
      <w:r w:rsidR="00482030">
        <w:t xml:space="preserve"> </w:t>
      </w:r>
      <w:r w:rsidR="00482030" w:rsidRPr="00482030">
        <w:rPr>
          <w:u w:val="single"/>
        </w:rPr>
        <w:t>7.2.13</w:t>
      </w:r>
      <w:r w:rsidR="00482030">
        <w:t xml:space="preserve"> and B5.7.5-B5.7.20 without applying the other requirements in this Standard. If an entity elects to apply only those paragraphs, it shall disclose that fact and provide on an ongoing basis the related disclosures set out in paragraphs 10</w:t>
      </w:r>
      <w:r w:rsidR="00B36BE7">
        <w:noBreakHyphen/>
      </w:r>
      <w:r w:rsidR="00482030">
        <w:t>11 of AASB 7 (as amended</w:t>
      </w:r>
      <w:r w:rsidR="001D399F">
        <w:t xml:space="preserve"> by </w:t>
      </w:r>
      <w:r w:rsidR="001D399F" w:rsidRPr="00A15058">
        <w:t>AASB 2010</w:t>
      </w:r>
      <w:r w:rsidR="001D399F" w:rsidRPr="00A15058">
        <w:noBreakHyphen/>
        <w:t xml:space="preserve">7 </w:t>
      </w:r>
      <w:r w:rsidR="001D399F" w:rsidRPr="00A15058">
        <w:rPr>
          <w:i/>
        </w:rPr>
        <w:t>Amendments to Australian Accounting Standards arising from AASB 9 (December 2010)</w:t>
      </w:r>
      <w:r w:rsidR="00482030">
        <w:t>).</w:t>
      </w:r>
      <w:bookmarkEnd w:id="27"/>
    </w:p>
    <w:p w:rsidR="00423B05" w:rsidRDefault="00423B05" w:rsidP="000A62C9">
      <w:pPr>
        <w:pStyle w:val="PlainHanging1"/>
        <w:tabs>
          <w:tab w:val="left" w:pos="1304"/>
        </w:tabs>
        <w:ind w:left="1190" w:hanging="680"/>
      </w:pPr>
      <w:r>
        <w:t>7.3.1</w:t>
      </w:r>
      <w:r>
        <w:tab/>
        <w:t>[Deleted by the AASB</w:t>
      </w:r>
      <w:r>
        <w:rPr>
          <w:u w:val="single"/>
        </w:rPr>
        <w:t xml:space="preserve"> – see paragraph Aus1.8</w:t>
      </w:r>
      <w:r>
        <w:t>]</w:t>
      </w:r>
    </w:p>
    <w:p w:rsidR="00423B05" w:rsidRPr="00423B05" w:rsidRDefault="00423B05" w:rsidP="000A62C9">
      <w:pPr>
        <w:pStyle w:val="PlainHanging1"/>
        <w:tabs>
          <w:tab w:val="left" w:pos="1304"/>
        </w:tabs>
        <w:ind w:left="1190" w:hanging="680"/>
      </w:pPr>
      <w:r>
        <w:t>7.3.2</w:t>
      </w:r>
      <w:r>
        <w:tab/>
        <w:t>[Deleted by the AASB</w:t>
      </w:r>
      <w:r w:rsidRPr="00384434">
        <w:rPr>
          <w:u w:val="single"/>
        </w:rPr>
        <w:t xml:space="preserve"> – see paragraph Aus1.7</w:t>
      </w:r>
      <w:r>
        <w:t>]</w:t>
      </w:r>
    </w:p>
    <w:sectPr w:rsidR="00423B05" w:rsidRPr="00423B05" w:rsidSect="001942B5">
      <w:headerReference w:type="default" r:id="rId18"/>
      <w:footerReference w:type="default" r:id="rId19"/>
      <w:headerReference w:type="first" r:id="rId20"/>
      <w:footerReference w:type="first" r:id="rId21"/>
      <w:pgSz w:w="11907" w:h="16840" w:code="9"/>
      <w:pgMar w:top="1134" w:right="1134" w:bottom="1134" w:left="1134" w:header="720" w:footer="72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D88" w:rsidRDefault="00AA6D88">
      <w:r>
        <w:separator/>
      </w:r>
    </w:p>
  </w:endnote>
  <w:endnote w:type="continuationSeparator" w:id="0">
    <w:p w:rsidR="00AA6D88" w:rsidRDefault="00AA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C0" w:rsidRDefault="009944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C0" w:rsidRDefault="009944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C0" w:rsidRDefault="009944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1942B5">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E66766" w:rsidRPr="00E66766">
      <w:rPr>
        <w:b/>
      </w:rPr>
      <w:t>2014-8</w:t>
    </w:r>
    <w:r>
      <w:rPr>
        <w:b/>
      </w:rPr>
      <w:fldChar w:fldCharType="end"/>
    </w:r>
    <w:r>
      <w:rPr>
        <w:b/>
      </w:rPr>
      <w:tab/>
    </w:r>
    <w:r>
      <w:fldChar w:fldCharType="begin"/>
    </w:r>
    <w:r>
      <w:instrText>PAGE</w:instrText>
    </w:r>
    <w:r>
      <w:fldChar w:fldCharType="separate"/>
    </w:r>
    <w:r w:rsidR="009944C0">
      <w:rPr>
        <w:noProof/>
      </w:rPr>
      <w:t>2</w:t>
    </w:r>
    <w:r>
      <w:fldChar w:fldCharType="end"/>
    </w:r>
    <w:r>
      <w:tab/>
    </w:r>
    <w:r>
      <w:rPr>
        <w:b/>
        <w:bCs/>
      </w:rPr>
      <w:t>COPYRIGHT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1942B5">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E66766" w:rsidRPr="00E66766">
      <w:rPr>
        <w:b/>
      </w:rPr>
      <w:t>2014-8</w:t>
    </w:r>
    <w:r>
      <w:rPr>
        <w:b/>
      </w:rPr>
      <w:fldChar w:fldCharType="end"/>
    </w:r>
    <w:r>
      <w:rPr>
        <w:b/>
      </w:rPr>
      <w:tab/>
    </w:r>
    <w:r>
      <w:fldChar w:fldCharType="begin"/>
    </w:r>
    <w:r>
      <w:instrText>PAGE</w:instrText>
    </w:r>
    <w:r>
      <w:fldChar w:fldCharType="separate"/>
    </w:r>
    <w:r w:rsidR="009944C0">
      <w:rPr>
        <w:noProof/>
      </w:rPr>
      <w:t>3</w:t>
    </w:r>
    <w:r>
      <w:fldChar w:fldCharType="end"/>
    </w:r>
    <w:r>
      <w:tab/>
    </w:r>
    <w:r w:rsidR="009944C0">
      <w:rPr>
        <w:b/>
      </w:rPr>
      <w:t xml:space="preserve">CONTENTS and </w:t>
    </w:r>
    <w:bookmarkStart w:id="10" w:name="_GoBack"/>
    <w:bookmarkEnd w:id="10"/>
    <w:r>
      <w:rPr>
        <w:b/>
        <w:bCs/>
      </w:rPr>
      <w:t>PREFACE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1942B5">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E66766" w:rsidRPr="00E66766">
      <w:rPr>
        <w:b/>
      </w:rPr>
      <w:t>2014-8</w:t>
    </w:r>
    <w:r>
      <w:rPr>
        <w:b/>
      </w:rPr>
      <w:fldChar w:fldCharType="end"/>
    </w:r>
    <w:r>
      <w:rPr>
        <w:b/>
      </w:rPr>
      <w:tab/>
    </w:r>
    <w:r>
      <w:fldChar w:fldCharType="begin"/>
    </w:r>
    <w:r>
      <w:instrText>PAGE</w:instrText>
    </w:r>
    <w:r>
      <w:fldChar w:fldCharType="separate"/>
    </w:r>
    <w:r w:rsidR="009944C0">
      <w:rPr>
        <w:noProof/>
      </w:rPr>
      <w:t>4</w:t>
    </w:r>
    <w:r>
      <w:fldChar w:fldCharType="end"/>
    </w:r>
    <w:r>
      <w:tab/>
    </w:r>
    <w:r>
      <w:rPr>
        <w:b/>
        <w:bCs/>
      </w:rPr>
      <w:t>STANDARD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D88" w:rsidRDefault="00AA6D88">
      <w:r>
        <w:separator/>
      </w:r>
    </w:p>
  </w:footnote>
  <w:footnote w:type="continuationSeparator" w:id="0">
    <w:p w:rsidR="00AA6D88" w:rsidRDefault="00AA6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C0" w:rsidRDefault="00994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C0" w:rsidRDefault="009944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C0" w:rsidRDefault="009944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2">
    <w:nsid w:val="03F92581"/>
    <w:multiLevelType w:val="multilevel"/>
    <w:tmpl w:val="AD5ABFF2"/>
    <w:numStyleLink w:val="AASBSubNumbers"/>
  </w:abstractNum>
  <w:abstractNum w:abstractNumId="3">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4">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5">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7">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354AA1"/>
    <w:multiLevelType w:val="hybridMultilevel"/>
    <w:tmpl w:val="872C3DF6"/>
    <w:lvl w:ilvl="0" w:tplc="0C09000F">
      <w:start w:val="1"/>
      <w:numFmt w:val="decimal"/>
      <w:lvlText w:val="%1."/>
      <w:lvlJc w:val="lef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9">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1">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4"/>
  </w:num>
  <w:num w:numId="6">
    <w:abstractNumId w:val="10"/>
  </w:num>
  <w:num w:numId="7">
    <w:abstractNumId w:val="5"/>
  </w:num>
  <w:num w:numId="8">
    <w:abstractNumId w:val="6"/>
  </w:num>
  <w:num w:numId="9">
    <w:abstractNumId w:val="2"/>
  </w:num>
  <w:num w:numId="10">
    <w:abstractNumId w:val="1"/>
  </w:num>
  <w:num w:numId="11">
    <w:abstractNumId w:val="7"/>
  </w:num>
  <w:num w:numId="12">
    <w:abstractNumId w:val="8"/>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30721">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18"/>
    <w:rsid w:val="00000A30"/>
    <w:rsid w:val="0000292B"/>
    <w:rsid w:val="000276B4"/>
    <w:rsid w:val="00027E8B"/>
    <w:rsid w:val="000435EF"/>
    <w:rsid w:val="00043DEC"/>
    <w:rsid w:val="0004455B"/>
    <w:rsid w:val="00052E7A"/>
    <w:rsid w:val="000566ED"/>
    <w:rsid w:val="00074133"/>
    <w:rsid w:val="00074496"/>
    <w:rsid w:val="00090A6F"/>
    <w:rsid w:val="00096027"/>
    <w:rsid w:val="000A62C9"/>
    <w:rsid w:val="000A7E14"/>
    <w:rsid w:val="000B733C"/>
    <w:rsid w:val="000C3EB0"/>
    <w:rsid w:val="000D6835"/>
    <w:rsid w:val="000D7B40"/>
    <w:rsid w:val="000E2D57"/>
    <w:rsid w:val="000F64CC"/>
    <w:rsid w:val="00110B96"/>
    <w:rsid w:val="001162C5"/>
    <w:rsid w:val="001206CF"/>
    <w:rsid w:val="00124AB5"/>
    <w:rsid w:val="0012721B"/>
    <w:rsid w:val="0015166F"/>
    <w:rsid w:val="00153852"/>
    <w:rsid w:val="001618F7"/>
    <w:rsid w:val="001662B8"/>
    <w:rsid w:val="00171F51"/>
    <w:rsid w:val="00172B62"/>
    <w:rsid w:val="001761C6"/>
    <w:rsid w:val="001864D4"/>
    <w:rsid w:val="00191E14"/>
    <w:rsid w:val="0019286F"/>
    <w:rsid w:val="00193519"/>
    <w:rsid w:val="001942B5"/>
    <w:rsid w:val="00194DB4"/>
    <w:rsid w:val="001B33A5"/>
    <w:rsid w:val="001C225F"/>
    <w:rsid w:val="001D399F"/>
    <w:rsid w:val="001F78DF"/>
    <w:rsid w:val="002047BB"/>
    <w:rsid w:val="00211115"/>
    <w:rsid w:val="0022022E"/>
    <w:rsid w:val="00236214"/>
    <w:rsid w:val="00241C2B"/>
    <w:rsid w:val="002630DD"/>
    <w:rsid w:val="0028086D"/>
    <w:rsid w:val="00283482"/>
    <w:rsid w:val="00294058"/>
    <w:rsid w:val="0029647E"/>
    <w:rsid w:val="002A201D"/>
    <w:rsid w:val="002B2B43"/>
    <w:rsid w:val="002B7803"/>
    <w:rsid w:val="002D3537"/>
    <w:rsid w:val="002F1CD0"/>
    <w:rsid w:val="00306F99"/>
    <w:rsid w:val="00307F26"/>
    <w:rsid w:val="00313D64"/>
    <w:rsid w:val="003251D8"/>
    <w:rsid w:val="00333676"/>
    <w:rsid w:val="0033581C"/>
    <w:rsid w:val="00354850"/>
    <w:rsid w:val="00364B30"/>
    <w:rsid w:val="00367DC9"/>
    <w:rsid w:val="00377B8D"/>
    <w:rsid w:val="00382796"/>
    <w:rsid w:val="00384434"/>
    <w:rsid w:val="0039009E"/>
    <w:rsid w:val="003A421B"/>
    <w:rsid w:val="003A488F"/>
    <w:rsid w:val="003A6521"/>
    <w:rsid w:val="003A7835"/>
    <w:rsid w:val="003B0CAA"/>
    <w:rsid w:val="003B0E71"/>
    <w:rsid w:val="003C4856"/>
    <w:rsid w:val="003C4EE5"/>
    <w:rsid w:val="003D1DD4"/>
    <w:rsid w:val="003E0A68"/>
    <w:rsid w:val="00401ECA"/>
    <w:rsid w:val="0040332C"/>
    <w:rsid w:val="004150BD"/>
    <w:rsid w:val="00422E4D"/>
    <w:rsid w:val="00423B05"/>
    <w:rsid w:val="00423FB5"/>
    <w:rsid w:val="00426876"/>
    <w:rsid w:val="00432C8C"/>
    <w:rsid w:val="00434D86"/>
    <w:rsid w:val="00436A2D"/>
    <w:rsid w:val="0044702C"/>
    <w:rsid w:val="00460FBB"/>
    <w:rsid w:val="00466161"/>
    <w:rsid w:val="00470CE9"/>
    <w:rsid w:val="0047476B"/>
    <w:rsid w:val="0047683E"/>
    <w:rsid w:val="0048155F"/>
    <w:rsid w:val="00482030"/>
    <w:rsid w:val="00487CF6"/>
    <w:rsid w:val="004961F8"/>
    <w:rsid w:val="004A417F"/>
    <w:rsid w:val="004B038C"/>
    <w:rsid w:val="004B6BC7"/>
    <w:rsid w:val="004B736C"/>
    <w:rsid w:val="004C5BDE"/>
    <w:rsid w:val="004D3809"/>
    <w:rsid w:val="004D4D1C"/>
    <w:rsid w:val="004F52E2"/>
    <w:rsid w:val="004F55FE"/>
    <w:rsid w:val="00500E80"/>
    <w:rsid w:val="0050475E"/>
    <w:rsid w:val="00510932"/>
    <w:rsid w:val="00511C34"/>
    <w:rsid w:val="005166B2"/>
    <w:rsid w:val="0053452C"/>
    <w:rsid w:val="00535EC5"/>
    <w:rsid w:val="005531AE"/>
    <w:rsid w:val="0056274D"/>
    <w:rsid w:val="005738F3"/>
    <w:rsid w:val="00577065"/>
    <w:rsid w:val="0058004D"/>
    <w:rsid w:val="00590051"/>
    <w:rsid w:val="005912A8"/>
    <w:rsid w:val="0059380D"/>
    <w:rsid w:val="005A2514"/>
    <w:rsid w:val="005A722E"/>
    <w:rsid w:val="005B146F"/>
    <w:rsid w:val="005B646D"/>
    <w:rsid w:val="005C1ECE"/>
    <w:rsid w:val="005D5D30"/>
    <w:rsid w:val="005E03E5"/>
    <w:rsid w:val="005E3FA5"/>
    <w:rsid w:val="005E6BE4"/>
    <w:rsid w:val="00602261"/>
    <w:rsid w:val="00603B95"/>
    <w:rsid w:val="00610611"/>
    <w:rsid w:val="006319FE"/>
    <w:rsid w:val="00641282"/>
    <w:rsid w:val="00652DF8"/>
    <w:rsid w:val="006A3AE9"/>
    <w:rsid w:val="006A40E5"/>
    <w:rsid w:val="006B0CD6"/>
    <w:rsid w:val="006C2E37"/>
    <w:rsid w:val="006D055E"/>
    <w:rsid w:val="006D134A"/>
    <w:rsid w:val="006D4700"/>
    <w:rsid w:val="006D7679"/>
    <w:rsid w:val="006E2C39"/>
    <w:rsid w:val="006F18BA"/>
    <w:rsid w:val="006F455E"/>
    <w:rsid w:val="00714340"/>
    <w:rsid w:val="00721602"/>
    <w:rsid w:val="007231A1"/>
    <w:rsid w:val="007333C2"/>
    <w:rsid w:val="00737714"/>
    <w:rsid w:val="00742E4B"/>
    <w:rsid w:val="007455F0"/>
    <w:rsid w:val="00751F6A"/>
    <w:rsid w:val="007554ED"/>
    <w:rsid w:val="00755E40"/>
    <w:rsid w:val="00756FF6"/>
    <w:rsid w:val="00757E5E"/>
    <w:rsid w:val="0076127E"/>
    <w:rsid w:val="0078116B"/>
    <w:rsid w:val="0078157D"/>
    <w:rsid w:val="007A6BC3"/>
    <w:rsid w:val="007B3EE2"/>
    <w:rsid w:val="007C1A11"/>
    <w:rsid w:val="007C2F5E"/>
    <w:rsid w:val="007C4E46"/>
    <w:rsid w:val="007F1D3D"/>
    <w:rsid w:val="00801B4A"/>
    <w:rsid w:val="00812637"/>
    <w:rsid w:val="00813227"/>
    <w:rsid w:val="00820794"/>
    <w:rsid w:val="00831497"/>
    <w:rsid w:val="008459E8"/>
    <w:rsid w:val="00864ADE"/>
    <w:rsid w:val="00871A12"/>
    <w:rsid w:val="00881BBE"/>
    <w:rsid w:val="0089130A"/>
    <w:rsid w:val="008976D1"/>
    <w:rsid w:val="008A6182"/>
    <w:rsid w:val="008A75FA"/>
    <w:rsid w:val="008B1D94"/>
    <w:rsid w:val="008B643A"/>
    <w:rsid w:val="008B6C46"/>
    <w:rsid w:val="008C60B1"/>
    <w:rsid w:val="008C6BD0"/>
    <w:rsid w:val="008D2EBD"/>
    <w:rsid w:val="008F0A81"/>
    <w:rsid w:val="008F5963"/>
    <w:rsid w:val="009111CA"/>
    <w:rsid w:val="00923261"/>
    <w:rsid w:val="009256B7"/>
    <w:rsid w:val="00954E04"/>
    <w:rsid w:val="00970C7A"/>
    <w:rsid w:val="009721DB"/>
    <w:rsid w:val="009944C0"/>
    <w:rsid w:val="009B6535"/>
    <w:rsid w:val="009C2479"/>
    <w:rsid w:val="009C2940"/>
    <w:rsid w:val="009C2D9E"/>
    <w:rsid w:val="009C4796"/>
    <w:rsid w:val="009C551C"/>
    <w:rsid w:val="009D06F8"/>
    <w:rsid w:val="009D73F1"/>
    <w:rsid w:val="009F013A"/>
    <w:rsid w:val="009F3901"/>
    <w:rsid w:val="009F7854"/>
    <w:rsid w:val="009F7881"/>
    <w:rsid w:val="009F7E11"/>
    <w:rsid w:val="00A05041"/>
    <w:rsid w:val="00A13F82"/>
    <w:rsid w:val="00A16664"/>
    <w:rsid w:val="00A41ED3"/>
    <w:rsid w:val="00A47FA2"/>
    <w:rsid w:val="00A522BE"/>
    <w:rsid w:val="00A54617"/>
    <w:rsid w:val="00A55F4F"/>
    <w:rsid w:val="00A748BA"/>
    <w:rsid w:val="00A83862"/>
    <w:rsid w:val="00A8486C"/>
    <w:rsid w:val="00A928B4"/>
    <w:rsid w:val="00A95ED1"/>
    <w:rsid w:val="00A96702"/>
    <w:rsid w:val="00A97EB2"/>
    <w:rsid w:val="00AA14A9"/>
    <w:rsid w:val="00AA6D88"/>
    <w:rsid w:val="00AB10BD"/>
    <w:rsid w:val="00AB780A"/>
    <w:rsid w:val="00AC4315"/>
    <w:rsid w:val="00AD42DA"/>
    <w:rsid w:val="00AF61B8"/>
    <w:rsid w:val="00B110AD"/>
    <w:rsid w:val="00B271BA"/>
    <w:rsid w:val="00B3429E"/>
    <w:rsid w:val="00B34E18"/>
    <w:rsid w:val="00B36BE7"/>
    <w:rsid w:val="00B4512B"/>
    <w:rsid w:val="00B46040"/>
    <w:rsid w:val="00B74237"/>
    <w:rsid w:val="00B90582"/>
    <w:rsid w:val="00BA3AB4"/>
    <w:rsid w:val="00BA4622"/>
    <w:rsid w:val="00BB4C9F"/>
    <w:rsid w:val="00BB5EC3"/>
    <w:rsid w:val="00BC0794"/>
    <w:rsid w:val="00BC0D5D"/>
    <w:rsid w:val="00BD6A95"/>
    <w:rsid w:val="00BE2F68"/>
    <w:rsid w:val="00BE38FC"/>
    <w:rsid w:val="00C03C7B"/>
    <w:rsid w:val="00C1245C"/>
    <w:rsid w:val="00C3493B"/>
    <w:rsid w:val="00C36D63"/>
    <w:rsid w:val="00C37458"/>
    <w:rsid w:val="00C41462"/>
    <w:rsid w:val="00C438DD"/>
    <w:rsid w:val="00C43CD1"/>
    <w:rsid w:val="00C45020"/>
    <w:rsid w:val="00C45D30"/>
    <w:rsid w:val="00C46B1A"/>
    <w:rsid w:val="00C5022C"/>
    <w:rsid w:val="00C552FD"/>
    <w:rsid w:val="00C63573"/>
    <w:rsid w:val="00C64C73"/>
    <w:rsid w:val="00C95D8A"/>
    <w:rsid w:val="00CB719A"/>
    <w:rsid w:val="00CC6FCD"/>
    <w:rsid w:val="00CD5D1C"/>
    <w:rsid w:val="00CE2F8C"/>
    <w:rsid w:val="00CF4B89"/>
    <w:rsid w:val="00CF75CA"/>
    <w:rsid w:val="00CF7B67"/>
    <w:rsid w:val="00D00FD5"/>
    <w:rsid w:val="00D30860"/>
    <w:rsid w:val="00D31E2E"/>
    <w:rsid w:val="00D52086"/>
    <w:rsid w:val="00D54F5C"/>
    <w:rsid w:val="00D67336"/>
    <w:rsid w:val="00D74038"/>
    <w:rsid w:val="00D942EB"/>
    <w:rsid w:val="00D96A64"/>
    <w:rsid w:val="00DA2A7B"/>
    <w:rsid w:val="00DC7E1B"/>
    <w:rsid w:val="00DD1DDC"/>
    <w:rsid w:val="00DD7E7A"/>
    <w:rsid w:val="00DE74EF"/>
    <w:rsid w:val="00DF39E3"/>
    <w:rsid w:val="00DF5A23"/>
    <w:rsid w:val="00E004FF"/>
    <w:rsid w:val="00E06C2F"/>
    <w:rsid w:val="00E07B6B"/>
    <w:rsid w:val="00E15D8F"/>
    <w:rsid w:val="00E24399"/>
    <w:rsid w:val="00E274C6"/>
    <w:rsid w:val="00E41399"/>
    <w:rsid w:val="00E5468C"/>
    <w:rsid w:val="00E63279"/>
    <w:rsid w:val="00E665BE"/>
    <w:rsid w:val="00E66766"/>
    <w:rsid w:val="00E74BD5"/>
    <w:rsid w:val="00E75702"/>
    <w:rsid w:val="00E7592A"/>
    <w:rsid w:val="00E839DA"/>
    <w:rsid w:val="00E8642D"/>
    <w:rsid w:val="00E90B4F"/>
    <w:rsid w:val="00E915E3"/>
    <w:rsid w:val="00E9241C"/>
    <w:rsid w:val="00E94DA2"/>
    <w:rsid w:val="00E97B4B"/>
    <w:rsid w:val="00EB4197"/>
    <w:rsid w:val="00EB4756"/>
    <w:rsid w:val="00EC4AFD"/>
    <w:rsid w:val="00ED06E4"/>
    <w:rsid w:val="00ED2DBF"/>
    <w:rsid w:val="00ED7746"/>
    <w:rsid w:val="00EE2509"/>
    <w:rsid w:val="00EE3D03"/>
    <w:rsid w:val="00EE740D"/>
    <w:rsid w:val="00F14BDB"/>
    <w:rsid w:val="00F23C33"/>
    <w:rsid w:val="00F2677A"/>
    <w:rsid w:val="00F27D29"/>
    <w:rsid w:val="00F371E7"/>
    <w:rsid w:val="00F424C9"/>
    <w:rsid w:val="00F623C3"/>
    <w:rsid w:val="00F66B41"/>
    <w:rsid w:val="00F7048D"/>
    <w:rsid w:val="00F84FF5"/>
    <w:rsid w:val="00F970FB"/>
    <w:rsid w:val="00FB39CB"/>
    <w:rsid w:val="00FC2254"/>
    <w:rsid w:val="00FC64EE"/>
    <w:rsid w:val="00FE2EB9"/>
    <w:rsid w:val="00FF5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B34E18"/>
    <w:rPr>
      <w:lang w:eastAsia="en-US"/>
    </w:rPr>
  </w:style>
  <w:style w:type="paragraph" w:customStyle="1" w:styleId="IASBNormalnpara">
    <w:name w:val="IASB Normal npara"/>
    <w:basedOn w:val="Normal"/>
    <w:rsid w:val="00191E14"/>
    <w:pPr>
      <w:spacing w:before="100" w:line="240" w:lineRule="auto"/>
      <w:ind w:left="782" w:hanging="782"/>
      <w:jc w:val="both"/>
    </w:pPr>
    <w:rPr>
      <w:sz w:val="19"/>
      <w:lang w:val="en-US"/>
    </w:rPr>
  </w:style>
  <w:style w:type="paragraph" w:customStyle="1" w:styleId="IASBSectionTitle1NonInd">
    <w:name w:val="IASB Section Title 1 NonInd"/>
    <w:basedOn w:val="Normal"/>
    <w:rsid w:val="00191E14"/>
    <w:pPr>
      <w:keepNext/>
      <w:keepLines/>
      <w:pBdr>
        <w:bottom w:val="single" w:sz="4" w:space="0" w:color="auto"/>
      </w:pBdr>
      <w:spacing w:before="400" w:after="200" w:line="240" w:lineRule="auto"/>
    </w:pPr>
    <w:rPr>
      <w:rFonts w:ascii="Arial" w:hAnsi="Arial" w:cs="Arial"/>
      <w:b/>
      <w:sz w:val="26"/>
      <w:lang w:val="en-US"/>
    </w:rPr>
  </w:style>
  <w:style w:type="paragraph" w:customStyle="1" w:styleId="IASBNormalnparaL1">
    <w:name w:val="IASB Normal nparaL1"/>
    <w:basedOn w:val="IASBNormalnpara"/>
    <w:rsid w:val="00191E14"/>
    <w:pPr>
      <w:ind w:left="1564"/>
    </w:pPr>
  </w:style>
  <w:style w:type="paragraph" w:styleId="BalloonText">
    <w:name w:val="Balloon Text"/>
    <w:basedOn w:val="Normal"/>
    <w:link w:val="BalloonTextChar"/>
    <w:rsid w:val="00172B6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72B62"/>
    <w:rPr>
      <w:rFonts w:ascii="Tahoma" w:hAnsi="Tahoma" w:cs="Tahoma"/>
      <w:sz w:val="16"/>
      <w:szCs w:val="16"/>
      <w:lang w:eastAsia="en-US"/>
    </w:rPr>
  </w:style>
  <w:style w:type="character" w:customStyle="1" w:styleId="Heading2Char">
    <w:name w:val="Heading 2 Char"/>
    <w:basedOn w:val="DefaultParagraphFont"/>
    <w:link w:val="Heading2"/>
    <w:rsid w:val="00E8642D"/>
    <w:rPr>
      <w:rFonts w:cs="Arial"/>
      <w:b/>
      <w:iCs/>
      <w:sz w:val="28"/>
      <w:szCs w:val="28"/>
      <w:lang w:eastAsia="en-US"/>
    </w:rPr>
  </w:style>
  <w:style w:type="character" w:styleId="CommentReference">
    <w:name w:val="annotation reference"/>
    <w:basedOn w:val="DefaultParagraphFont"/>
    <w:rsid w:val="00E8642D"/>
    <w:rPr>
      <w:sz w:val="16"/>
      <w:szCs w:val="16"/>
    </w:rPr>
  </w:style>
  <w:style w:type="paragraph" w:styleId="CommentText">
    <w:name w:val="annotation text"/>
    <w:basedOn w:val="Normal"/>
    <w:link w:val="CommentTextChar"/>
    <w:rsid w:val="00E8642D"/>
    <w:pPr>
      <w:spacing w:line="240" w:lineRule="auto"/>
    </w:pPr>
  </w:style>
  <w:style w:type="character" w:customStyle="1" w:styleId="CommentTextChar">
    <w:name w:val="Comment Text Char"/>
    <w:basedOn w:val="DefaultParagraphFont"/>
    <w:link w:val="CommentText"/>
    <w:rsid w:val="00E8642D"/>
    <w:rPr>
      <w:lang w:eastAsia="en-US"/>
    </w:rPr>
  </w:style>
  <w:style w:type="paragraph" w:styleId="CommentSubject">
    <w:name w:val="annotation subject"/>
    <w:basedOn w:val="CommentText"/>
    <w:next w:val="CommentText"/>
    <w:link w:val="CommentSubjectChar"/>
    <w:rsid w:val="00E8642D"/>
    <w:rPr>
      <w:b/>
      <w:bCs/>
    </w:rPr>
  </w:style>
  <w:style w:type="character" w:customStyle="1" w:styleId="CommentSubjectChar">
    <w:name w:val="Comment Subject Char"/>
    <w:basedOn w:val="CommentTextChar"/>
    <w:link w:val="CommentSubject"/>
    <w:rsid w:val="00E8642D"/>
    <w:rPr>
      <w:b/>
      <w:bCs/>
      <w:lang w:eastAsia="en-US"/>
    </w:rPr>
  </w:style>
  <w:style w:type="paragraph" w:styleId="Revision">
    <w:name w:val="Revision"/>
    <w:hidden/>
    <w:uiPriority w:val="99"/>
    <w:semiHidden/>
    <w:rsid w:val="00E8642D"/>
    <w:rPr>
      <w:lang w:eastAsia="en-US"/>
    </w:rPr>
  </w:style>
  <w:style w:type="paragraph" w:customStyle="1" w:styleId="AusPlain1">
    <w:name w:val="Aus Plain1"/>
    <w:basedOn w:val="Normal"/>
    <w:link w:val="AusPlain1Char"/>
    <w:rsid w:val="000566ED"/>
    <w:pPr>
      <w:spacing w:after="200"/>
      <w:ind w:left="1021" w:hanging="1021"/>
    </w:pPr>
  </w:style>
  <w:style w:type="paragraph" w:customStyle="1" w:styleId="AusBold1">
    <w:name w:val="Aus Bold1"/>
    <w:basedOn w:val="Normal"/>
    <w:rsid w:val="000566ED"/>
    <w:pPr>
      <w:spacing w:after="200"/>
      <w:ind w:left="1021" w:hanging="1021"/>
    </w:pPr>
    <w:rPr>
      <w:b/>
    </w:rPr>
  </w:style>
  <w:style w:type="character" w:customStyle="1" w:styleId="AusPlain1Char">
    <w:name w:val="Aus Plain1 Char"/>
    <w:basedOn w:val="DefaultParagraphFont"/>
    <w:link w:val="AusPlain1"/>
    <w:rsid w:val="000566ED"/>
    <w:rPr>
      <w:lang w:eastAsia="en-US"/>
    </w:rPr>
  </w:style>
  <w:style w:type="paragraph" w:customStyle="1" w:styleId="Default">
    <w:name w:val="Default"/>
    <w:rsid w:val="00333676"/>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043DE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B34E18"/>
    <w:rPr>
      <w:lang w:eastAsia="en-US"/>
    </w:rPr>
  </w:style>
  <w:style w:type="paragraph" w:customStyle="1" w:styleId="IASBNormalnpara">
    <w:name w:val="IASB Normal npara"/>
    <w:basedOn w:val="Normal"/>
    <w:rsid w:val="00191E14"/>
    <w:pPr>
      <w:spacing w:before="100" w:line="240" w:lineRule="auto"/>
      <w:ind w:left="782" w:hanging="782"/>
      <w:jc w:val="both"/>
    </w:pPr>
    <w:rPr>
      <w:sz w:val="19"/>
      <w:lang w:val="en-US"/>
    </w:rPr>
  </w:style>
  <w:style w:type="paragraph" w:customStyle="1" w:styleId="IASBSectionTitle1NonInd">
    <w:name w:val="IASB Section Title 1 NonInd"/>
    <w:basedOn w:val="Normal"/>
    <w:rsid w:val="00191E14"/>
    <w:pPr>
      <w:keepNext/>
      <w:keepLines/>
      <w:pBdr>
        <w:bottom w:val="single" w:sz="4" w:space="0" w:color="auto"/>
      </w:pBdr>
      <w:spacing w:before="400" w:after="200" w:line="240" w:lineRule="auto"/>
    </w:pPr>
    <w:rPr>
      <w:rFonts w:ascii="Arial" w:hAnsi="Arial" w:cs="Arial"/>
      <w:b/>
      <w:sz w:val="26"/>
      <w:lang w:val="en-US"/>
    </w:rPr>
  </w:style>
  <w:style w:type="paragraph" w:customStyle="1" w:styleId="IASBNormalnparaL1">
    <w:name w:val="IASB Normal nparaL1"/>
    <w:basedOn w:val="IASBNormalnpara"/>
    <w:rsid w:val="00191E14"/>
    <w:pPr>
      <w:ind w:left="1564"/>
    </w:pPr>
  </w:style>
  <w:style w:type="paragraph" w:styleId="BalloonText">
    <w:name w:val="Balloon Text"/>
    <w:basedOn w:val="Normal"/>
    <w:link w:val="BalloonTextChar"/>
    <w:rsid w:val="00172B6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72B62"/>
    <w:rPr>
      <w:rFonts w:ascii="Tahoma" w:hAnsi="Tahoma" w:cs="Tahoma"/>
      <w:sz w:val="16"/>
      <w:szCs w:val="16"/>
      <w:lang w:eastAsia="en-US"/>
    </w:rPr>
  </w:style>
  <w:style w:type="character" w:customStyle="1" w:styleId="Heading2Char">
    <w:name w:val="Heading 2 Char"/>
    <w:basedOn w:val="DefaultParagraphFont"/>
    <w:link w:val="Heading2"/>
    <w:rsid w:val="00E8642D"/>
    <w:rPr>
      <w:rFonts w:cs="Arial"/>
      <w:b/>
      <w:iCs/>
      <w:sz w:val="28"/>
      <w:szCs w:val="28"/>
      <w:lang w:eastAsia="en-US"/>
    </w:rPr>
  </w:style>
  <w:style w:type="character" w:styleId="CommentReference">
    <w:name w:val="annotation reference"/>
    <w:basedOn w:val="DefaultParagraphFont"/>
    <w:rsid w:val="00E8642D"/>
    <w:rPr>
      <w:sz w:val="16"/>
      <w:szCs w:val="16"/>
    </w:rPr>
  </w:style>
  <w:style w:type="paragraph" w:styleId="CommentText">
    <w:name w:val="annotation text"/>
    <w:basedOn w:val="Normal"/>
    <w:link w:val="CommentTextChar"/>
    <w:rsid w:val="00E8642D"/>
    <w:pPr>
      <w:spacing w:line="240" w:lineRule="auto"/>
    </w:pPr>
  </w:style>
  <w:style w:type="character" w:customStyle="1" w:styleId="CommentTextChar">
    <w:name w:val="Comment Text Char"/>
    <w:basedOn w:val="DefaultParagraphFont"/>
    <w:link w:val="CommentText"/>
    <w:rsid w:val="00E8642D"/>
    <w:rPr>
      <w:lang w:eastAsia="en-US"/>
    </w:rPr>
  </w:style>
  <w:style w:type="paragraph" w:styleId="CommentSubject">
    <w:name w:val="annotation subject"/>
    <w:basedOn w:val="CommentText"/>
    <w:next w:val="CommentText"/>
    <w:link w:val="CommentSubjectChar"/>
    <w:rsid w:val="00E8642D"/>
    <w:rPr>
      <w:b/>
      <w:bCs/>
    </w:rPr>
  </w:style>
  <w:style w:type="character" w:customStyle="1" w:styleId="CommentSubjectChar">
    <w:name w:val="Comment Subject Char"/>
    <w:basedOn w:val="CommentTextChar"/>
    <w:link w:val="CommentSubject"/>
    <w:rsid w:val="00E8642D"/>
    <w:rPr>
      <w:b/>
      <w:bCs/>
      <w:lang w:eastAsia="en-US"/>
    </w:rPr>
  </w:style>
  <w:style w:type="paragraph" w:styleId="Revision">
    <w:name w:val="Revision"/>
    <w:hidden/>
    <w:uiPriority w:val="99"/>
    <w:semiHidden/>
    <w:rsid w:val="00E8642D"/>
    <w:rPr>
      <w:lang w:eastAsia="en-US"/>
    </w:rPr>
  </w:style>
  <w:style w:type="paragraph" w:customStyle="1" w:styleId="AusPlain1">
    <w:name w:val="Aus Plain1"/>
    <w:basedOn w:val="Normal"/>
    <w:link w:val="AusPlain1Char"/>
    <w:rsid w:val="000566ED"/>
    <w:pPr>
      <w:spacing w:after="200"/>
      <w:ind w:left="1021" w:hanging="1021"/>
    </w:pPr>
  </w:style>
  <w:style w:type="paragraph" w:customStyle="1" w:styleId="AusBold1">
    <w:name w:val="Aus Bold1"/>
    <w:basedOn w:val="Normal"/>
    <w:rsid w:val="000566ED"/>
    <w:pPr>
      <w:spacing w:after="200"/>
      <w:ind w:left="1021" w:hanging="1021"/>
    </w:pPr>
    <w:rPr>
      <w:b/>
    </w:rPr>
  </w:style>
  <w:style w:type="character" w:customStyle="1" w:styleId="AusPlain1Char">
    <w:name w:val="Aus Plain1 Char"/>
    <w:basedOn w:val="DefaultParagraphFont"/>
    <w:link w:val="AusPlain1"/>
    <w:rsid w:val="000566ED"/>
    <w:rPr>
      <w:lang w:eastAsia="en-US"/>
    </w:rPr>
  </w:style>
  <w:style w:type="paragraph" w:customStyle="1" w:styleId="Default">
    <w:name w:val="Default"/>
    <w:rsid w:val="00333676"/>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043DE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007454">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Amending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B55D8-30B7-4C3B-8A0E-3D63880F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AmendingStandard</Template>
  <TotalTime>6</TotalTime>
  <Pages>5</Pages>
  <Words>1542</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Evelyn Ling</dc:creator>
  <cp:lastModifiedBy>Mitchell Bryce</cp:lastModifiedBy>
  <cp:revision>12</cp:revision>
  <cp:lastPrinted>2014-12-12T05:36:00Z</cp:lastPrinted>
  <dcterms:created xsi:type="dcterms:W3CDTF">2015-01-12T23:09:00Z</dcterms:created>
  <dcterms:modified xsi:type="dcterms:W3CDTF">2015-01-29T22:15:00Z</dcterms:modified>
</cp:coreProperties>
</file>