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082"/>
        <w:gridCol w:w="5670"/>
      </w:tblGrid>
      <w:tr w:rsidR="00090A6F" w:rsidRPr="0000292B" w:rsidTr="00E364A9">
        <w:tc>
          <w:tcPr>
            <w:tcW w:w="4082" w:type="dxa"/>
          </w:tcPr>
          <w:p w:rsidR="00090A6F" w:rsidRPr="0000292B" w:rsidRDefault="00364B30">
            <w:pPr>
              <w:pStyle w:val="CoverStandard"/>
            </w:pPr>
            <w:r>
              <w:t>AASB</w:t>
            </w:r>
            <w:r w:rsidR="00831497">
              <w:t xml:space="preserve"> Standard</w:t>
            </w:r>
          </w:p>
        </w:tc>
        <w:tc>
          <w:tcPr>
            <w:tcW w:w="5670" w:type="dxa"/>
          </w:tcPr>
          <w:p w:rsidR="00090A6F" w:rsidRPr="0000292B" w:rsidRDefault="00314182">
            <w:pPr>
              <w:pStyle w:val="CoverNumber"/>
            </w:pPr>
            <w:r>
              <w:t>AASB 2014-9</w:t>
            </w:r>
          </w:p>
          <w:p w:rsidR="00090A6F" w:rsidRPr="0000292B" w:rsidRDefault="00CF09C2" w:rsidP="00CF09C2">
            <w:pPr>
              <w:pStyle w:val="CoverDate"/>
            </w:pPr>
            <w:bookmarkStart w:id="0" w:name="DocDate"/>
            <w:r>
              <w:t>December</w:t>
            </w:r>
            <w:r w:rsidR="00B04DF5">
              <w:t xml:space="preserve"> 201</w:t>
            </w:r>
            <w:bookmarkEnd w:id="0"/>
            <w:r>
              <w:t>4</w:t>
            </w:r>
          </w:p>
        </w:tc>
      </w:tr>
    </w:tbl>
    <w:p w:rsidR="00090A6F" w:rsidRPr="0000292B" w:rsidRDefault="00831497" w:rsidP="00B77169">
      <w:pPr>
        <w:pStyle w:val="CoverTitle"/>
      </w:pPr>
      <w:r>
        <w:t>Amendments to Australian A</w:t>
      </w:r>
      <w:r w:rsidR="00B77169">
        <w:t>ccounting Standards</w:t>
      </w:r>
      <w:r>
        <w:t xml:space="preserve"> </w:t>
      </w:r>
      <w:bookmarkStart w:id="1" w:name="ArisingNo"/>
      <w:bookmarkEnd w:id="1"/>
      <w:r w:rsidR="00E742A3">
        <w:t>–</w:t>
      </w:r>
      <w:r w:rsidR="00B77169">
        <w:t xml:space="preserve"> Equity Method in Separate Financial Statements</w:t>
      </w:r>
    </w:p>
    <w:p w:rsidR="00C5022C" w:rsidRPr="00C5022C" w:rsidRDefault="002B7803" w:rsidP="00C5022C">
      <w:pPr>
        <w:pStyle w:val="CoverSubtitle"/>
      </w:pPr>
      <w:r>
        <w:t>[</w:t>
      </w:r>
      <w:bookmarkStart w:id="2" w:name="AmendingNos"/>
      <w:r w:rsidR="00B04DF5">
        <w:t>AASB 1, AASB 127 &amp; AASB 128</w:t>
      </w:r>
      <w:bookmarkEnd w:id="2"/>
      <w:r>
        <w:t>]</w:t>
      </w:r>
    </w:p>
    <w:p w:rsidR="00737714" w:rsidRPr="0000292B" w:rsidRDefault="00737714" w:rsidP="00737714"/>
    <w:p w:rsidR="00090A6F" w:rsidRPr="0000292B" w:rsidRDefault="008B643A">
      <w:pPr>
        <w:sectPr w:rsidR="00090A6F" w:rsidRPr="0000292B" w:rsidSect="00E364A9">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cols w:space="720"/>
        </w:sectPr>
      </w:pPr>
      <w:r>
        <w:rPr>
          <w:noProof/>
          <w:lang w:eastAsia="en-AU"/>
        </w:rPr>
        <w:drawing>
          <wp:anchor distT="0" distB="0" distL="114300" distR="114300" simplePos="0" relativeHeight="251657728" behindDoc="0" locked="1" layoutInCell="1" allowOverlap="1" wp14:anchorId="335A4167" wp14:editId="288BDC85">
            <wp:simplePos x="0" y="0"/>
            <wp:positionH relativeFrom="margin">
              <wp:align>left</wp:align>
            </wp:positionH>
            <wp:positionV relativeFrom="margin">
              <wp:align>bottom</wp:align>
            </wp:positionV>
            <wp:extent cx="1676400" cy="1333500"/>
            <wp:effectExtent l="0" t="0" r="0" b="0"/>
            <wp:wrapNone/>
            <wp:docPr id="5" name="Picture 5"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764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7714" w:rsidRPr="0000292B" w:rsidRDefault="00737714" w:rsidP="00737714">
      <w:pPr>
        <w:pStyle w:val="Heading2"/>
      </w:pPr>
      <w:r w:rsidRPr="0000292B">
        <w:lastRenderedPageBreak/>
        <w:t xml:space="preserve">Obtaining a Copy of this </w:t>
      </w:r>
      <w:r w:rsidR="00C5022C">
        <w:t>Accounting Standard</w:t>
      </w:r>
    </w:p>
    <w:p w:rsidR="00737714" w:rsidRPr="0000292B" w:rsidRDefault="00737714" w:rsidP="00737714">
      <w:pPr>
        <w:pStyle w:val="CommentsPage"/>
      </w:pPr>
      <w:r w:rsidRPr="0000292B">
        <w:t xml:space="preserve">This </w:t>
      </w:r>
      <w:r w:rsidR="00C5022C">
        <w:t>Standard</w:t>
      </w:r>
      <w:r w:rsidRPr="0000292B">
        <w:t xml:space="preserve"> is available o</w:t>
      </w:r>
      <w:r w:rsidR="00923261">
        <w:t>n the AASB website: www.aasb.gov</w:t>
      </w:r>
      <w:r w:rsidRPr="0000292B">
        <w:t>.au.</w:t>
      </w:r>
    </w:p>
    <w:p w:rsidR="00737714" w:rsidRPr="0000292B" w:rsidRDefault="00737714" w:rsidP="003E0A68">
      <w:pPr>
        <w:pStyle w:val="CommentsPage"/>
        <w:ind w:right="-146"/>
      </w:pPr>
      <w:r w:rsidRPr="0000292B">
        <w:t xml:space="preserve">Alternatively, printed copies of this </w:t>
      </w:r>
      <w:r w:rsidR="00C5022C">
        <w:t>Standard</w:t>
      </w:r>
      <w:r w:rsidR="003E0A68" w:rsidRPr="0000292B">
        <w:t xml:space="preserve"> are available </w:t>
      </w:r>
      <w:r w:rsidR="00C5022C">
        <w:t xml:space="preserve">for purchase </w:t>
      </w:r>
      <w:r w:rsidR="003E0A68" w:rsidRPr="0000292B">
        <w:t>by contacting:</w:t>
      </w:r>
    </w:p>
    <w:p w:rsidR="00737714" w:rsidRPr="0000292B" w:rsidRDefault="00737714" w:rsidP="00737714"/>
    <w:tbl>
      <w:tblPr>
        <w:tblW w:w="0" w:type="auto"/>
        <w:tblLook w:val="0000" w:firstRow="0" w:lastRow="0" w:firstColumn="0" w:lastColumn="0" w:noHBand="0" w:noVBand="0"/>
        <w:tblCaption w:val="AASB contact details"/>
        <w:tblDescription w:val="Street address, postal address and other contact details for the AASB"/>
      </w:tblPr>
      <w:tblGrid>
        <w:gridCol w:w="3856"/>
        <w:gridCol w:w="1928"/>
      </w:tblGrid>
      <w:tr w:rsidR="00737714" w:rsidRPr="0000292B" w:rsidTr="001C225F">
        <w:trPr>
          <w:cantSplit/>
        </w:trPr>
        <w:tc>
          <w:tcPr>
            <w:tcW w:w="3856" w:type="dxa"/>
          </w:tcPr>
          <w:p w:rsidR="00737714" w:rsidRPr="0000292B" w:rsidRDefault="00737714" w:rsidP="00E24399">
            <w:r w:rsidRPr="0000292B">
              <w:t xml:space="preserve">The </w:t>
            </w:r>
            <w:r w:rsidR="003E0A68" w:rsidRPr="0000292B">
              <w:t>Customer Service Officer</w:t>
            </w:r>
          </w:p>
          <w:p w:rsidR="00737714" w:rsidRPr="0000292B" w:rsidRDefault="00737714" w:rsidP="00E24399">
            <w:r w:rsidRPr="0000292B">
              <w:t>Australian Accounting Standards Board</w:t>
            </w:r>
          </w:p>
          <w:p w:rsidR="00737714" w:rsidRPr="0000292B" w:rsidRDefault="003E0A68" w:rsidP="00E24399">
            <w:r w:rsidRPr="0000292B">
              <w:t>Level 7</w:t>
            </w:r>
          </w:p>
          <w:p w:rsidR="00737714" w:rsidRPr="0000292B" w:rsidRDefault="003E0A68" w:rsidP="00E24399">
            <w:r w:rsidRPr="0000292B">
              <w:t>600 Bourke Street</w:t>
            </w:r>
          </w:p>
          <w:p w:rsidR="003E0A68" w:rsidRPr="0000292B" w:rsidRDefault="007455F0" w:rsidP="00E24399">
            <w:r>
              <w:t>Melbourne   Victoria</w:t>
            </w:r>
          </w:p>
          <w:p w:rsidR="00737714" w:rsidRDefault="00737714" w:rsidP="00E24399">
            <w:r w:rsidRPr="0000292B">
              <w:t>AUSTRALIA</w:t>
            </w:r>
          </w:p>
          <w:p w:rsidR="00C5022C" w:rsidRPr="0000292B" w:rsidRDefault="00C5022C" w:rsidP="00E24399"/>
        </w:tc>
        <w:tc>
          <w:tcPr>
            <w:tcW w:w="1928" w:type="dxa"/>
            <w:tcMar>
              <w:left w:w="108" w:type="dxa"/>
              <w:right w:w="108" w:type="dxa"/>
            </w:tcMar>
          </w:tcPr>
          <w:p w:rsidR="00C5022C" w:rsidRDefault="00C5022C" w:rsidP="00C5022C"/>
          <w:p w:rsidR="00C5022C" w:rsidRPr="00C5022C" w:rsidRDefault="00C5022C" w:rsidP="00C5022C">
            <w:pPr>
              <w:rPr>
                <w:b/>
              </w:rPr>
            </w:pPr>
            <w:r w:rsidRPr="00C5022C">
              <w:rPr>
                <w:b/>
              </w:rPr>
              <w:t>Postal address:</w:t>
            </w:r>
          </w:p>
          <w:p w:rsidR="00E06C2F" w:rsidRDefault="00C5022C" w:rsidP="00C5022C">
            <w:r w:rsidRPr="00C5022C">
              <w:t>PO Box 204</w:t>
            </w:r>
          </w:p>
          <w:p w:rsidR="00B271BA" w:rsidRDefault="00C5022C" w:rsidP="00C5022C">
            <w:r w:rsidRPr="00C5022C">
              <w:t>Collins St</w:t>
            </w:r>
            <w:r w:rsidR="00AD42DA">
              <w:t>reet</w:t>
            </w:r>
            <w:r w:rsidRPr="00C5022C">
              <w:t xml:space="preserve"> West</w:t>
            </w:r>
          </w:p>
          <w:p w:rsidR="003E0A68" w:rsidRDefault="00C5022C" w:rsidP="00C5022C">
            <w:r w:rsidRPr="00C5022C">
              <w:t>Vic</w:t>
            </w:r>
            <w:r>
              <w:t>toria</w:t>
            </w:r>
            <w:r w:rsidRPr="00C5022C">
              <w:t xml:space="preserve">   8007</w:t>
            </w:r>
          </w:p>
          <w:p w:rsidR="00C5022C" w:rsidRPr="0000292B" w:rsidRDefault="00C5022C" w:rsidP="00C5022C">
            <w:r>
              <w:t>AUSTRALIA</w:t>
            </w:r>
          </w:p>
        </w:tc>
      </w:tr>
      <w:tr w:rsidR="00C5022C" w:rsidRPr="0000292B" w:rsidTr="001C225F">
        <w:trPr>
          <w:cantSplit/>
        </w:trPr>
        <w:tc>
          <w:tcPr>
            <w:tcW w:w="3856" w:type="dxa"/>
          </w:tcPr>
          <w:p w:rsidR="00C5022C" w:rsidRPr="00C5022C" w:rsidRDefault="00C5022C" w:rsidP="00C5022C">
            <w:pPr>
              <w:tabs>
                <w:tab w:val="left" w:pos="907"/>
              </w:tabs>
            </w:pPr>
            <w:r w:rsidRPr="00C5022C">
              <w:t>Phone:</w:t>
            </w:r>
            <w:r w:rsidRPr="00C5022C">
              <w:tab/>
              <w:t>(03) 9617 7637</w:t>
            </w:r>
          </w:p>
          <w:p w:rsidR="00C5022C" w:rsidRPr="00C5022C" w:rsidRDefault="00C5022C" w:rsidP="00C5022C">
            <w:pPr>
              <w:tabs>
                <w:tab w:val="left" w:pos="907"/>
              </w:tabs>
            </w:pPr>
            <w:r w:rsidRPr="00C5022C">
              <w:t>Fax:</w:t>
            </w:r>
            <w:r w:rsidRPr="00C5022C">
              <w:tab/>
              <w:t>(03) 9617 7608</w:t>
            </w:r>
          </w:p>
          <w:p w:rsidR="00C5022C" w:rsidRDefault="00923261" w:rsidP="00C5022C">
            <w:pPr>
              <w:tabs>
                <w:tab w:val="left" w:pos="907"/>
              </w:tabs>
            </w:pPr>
            <w:r>
              <w:t>E-mail:</w:t>
            </w:r>
            <w:r>
              <w:tab/>
              <w:t>publications@aasb.gov</w:t>
            </w:r>
            <w:r w:rsidR="00C5022C" w:rsidRPr="00C5022C">
              <w:t>.au</w:t>
            </w:r>
          </w:p>
          <w:p w:rsidR="00C5022C" w:rsidRPr="00C5022C" w:rsidRDefault="00923261" w:rsidP="00C5022C">
            <w:pPr>
              <w:tabs>
                <w:tab w:val="left" w:pos="907"/>
              </w:tabs>
            </w:pPr>
            <w:r>
              <w:t>Website:</w:t>
            </w:r>
            <w:r>
              <w:tab/>
              <w:t>www.aasb.gov</w:t>
            </w:r>
            <w:r w:rsidR="00C5022C">
              <w:t>.au</w:t>
            </w:r>
          </w:p>
          <w:p w:rsidR="00C5022C" w:rsidRPr="00C5022C" w:rsidRDefault="00C5022C" w:rsidP="00C5022C"/>
        </w:tc>
        <w:tc>
          <w:tcPr>
            <w:tcW w:w="1928" w:type="dxa"/>
            <w:tcMar>
              <w:left w:w="0" w:type="dxa"/>
              <w:right w:w="0" w:type="dxa"/>
            </w:tcMar>
          </w:tcPr>
          <w:p w:rsidR="00C5022C" w:rsidRPr="007455F0" w:rsidRDefault="00C5022C" w:rsidP="007455F0">
            <w:pPr>
              <w:tabs>
                <w:tab w:val="left" w:pos="802"/>
              </w:tabs>
              <w:ind w:left="77"/>
              <w:rPr>
                <w:b/>
              </w:rPr>
            </w:pPr>
          </w:p>
        </w:tc>
      </w:tr>
    </w:tbl>
    <w:p w:rsidR="00737714" w:rsidRPr="0000292B" w:rsidRDefault="00737714" w:rsidP="00737714"/>
    <w:p w:rsidR="00090A6F" w:rsidRPr="0000292B" w:rsidRDefault="00090A6F">
      <w:pPr>
        <w:pStyle w:val="Heading2"/>
      </w:pPr>
      <w:r w:rsidRPr="0000292B">
        <w:t xml:space="preserve">Other </w:t>
      </w:r>
      <w:r w:rsidR="003E0A68" w:rsidRPr="0000292B">
        <w:t>Enquiries</w:t>
      </w:r>
    </w:p>
    <w:p w:rsidR="00090A6F" w:rsidRPr="0000292B" w:rsidRDefault="00090A6F">
      <w:pPr>
        <w:pStyle w:val="CoverContact"/>
      </w:pPr>
      <w:r w:rsidRPr="0000292B">
        <w:t>Phone:</w:t>
      </w:r>
      <w:r w:rsidRPr="0000292B">
        <w:tab/>
        <w:t>(03) 9617 7600</w:t>
      </w:r>
    </w:p>
    <w:p w:rsidR="00090A6F" w:rsidRPr="0000292B" w:rsidRDefault="00090A6F">
      <w:pPr>
        <w:pStyle w:val="CoverContact"/>
      </w:pPr>
      <w:r w:rsidRPr="0000292B">
        <w:t>Fax:</w:t>
      </w:r>
      <w:r w:rsidRPr="0000292B">
        <w:tab/>
        <w:t>(03) 9617 7608</w:t>
      </w:r>
    </w:p>
    <w:p w:rsidR="00F55B8E" w:rsidRDefault="00923261" w:rsidP="00F55B8E">
      <w:pPr>
        <w:pStyle w:val="CoverContact"/>
      </w:pPr>
      <w:r>
        <w:t>E-mail:</w:t>
      </w:r>
      <w:r>
        <w:tab/>
      </w:r>
      <w:r w:rsidR="00F55B8E">
        <w:t>standard@aasb.gov.au</w:t>
      </w:r>
      <w:bookmarkStart w:id="3" w:name="CopyrightText"/>
    </w:p>
    <w:p w:rsidR="006D4700" w:rsidRDefault="006D4700" w:rsidP="003336E3">
      <w:pPr>
        <w:pStyle w:val="CoverContact"/>
        <w:spacing w:before="600"/>
      </w:pPr>
      <w:r>
        <w:t>COPYRIGHT</w:t>
      </w:r>
    </w:p>
    <w:p w:rsidR="006D4700" w:rsidRDefault="006D4700" w:rsidP="006D4700"/>
    <w:p w:rsidR="006D4700" w:rsidRDefault="006D4700" w:rsidP="006D4700">
      <w:r>
        <w:t xml:space="preserve">© Commonwealth of Australia </w:t>
      </w:r>
      <w:bookmarkStart w:id="4" w:name="Year"/>
      <w:r w:rsidR="00B04DF5">
        <w:t>201</w:t>
      </w:r>
      <w:bookmarkEnd w:id="4"/>
      <w:r w:rsidR="000015A3">
        <w:t>4</w:t>
      </w:r>
    </w:p>
    <w:p w:rsidR="006D4700" w:rsidRDefault="006D4700" w:rsidP="006D4700"/>
    <w:bookmarkEnd w:id="3"/>
    <w:p w:rsidR="00F55B8E" w:rsidRPr="00DE4E67" w:rsidRDefault="00F55B8E" w:rsidP="00F55B8E">
      <w:pPr>
        <w:pStyle w:val="CoverLeadPara"/>
      </w:pPr>
      <w:r w:rsidRPr="00DE4E67">
        <w:t xml:space="preserve">This AASB </w:t>
      </w:r>
      <w:bookmarkStart w:id="5" w:name="IASBCopyright"/>
      <w:bookmarkEnd w:id="5"/>
      <w:r w:rsidRPr="00DE4E67">
        <w:t xml:space="preserve">Standard contains </w:t>
      </w:r>
      <w:r>
        <w:t>IFRS</w:t>
      </w:r>
      <w:r w:rsidRPr="00DE4E67">
        <w:t xml:space="preserve"> Foundation copyright material.  Reproduction within Australia in unaltered form (retaining this notice) is permitted for personal and non-commercial use subject to the inclusion of an acknowledgment of the source.  Requests and enquiries concerning reproduction and rights for commercial purposes within Australia should be addressed to The Director</w:t>
      </w:r>
      <w:r>
        <w:t xml:space="preserve"> of Finance and Administration</w:t>
      </w:r>
      <w:r w:rsidRPr="00DE4E67">
        <w:t>, Australian Accounting Standards Board, PO Box 204, Collins Street West, Victoria 8007.</w:t>
      </w:r>
    </w:p>
    <w:p w:rsidR="00F55B8E" w:rsidRPr="00DE4E67" w:rsidRDefault="00F55B8E" w:rsidP="00F55B8E">
      <w:r w:rsidRPr="00DE4E67">
        <w:t>All existing rights in this material are reserved outside Australia.</w:t>
      </w:r>
    </w:p>
    <w:p w:rsidR="00F55B8E" w:rsidRPr="00DE4E67" w:rsidRDefault="00F55B8E" w:rsidP="00F55B8E">
      <w:r w:rsidRPr="00DE4E67">
        <w:t xml:space="preserve">Reproduction outside Australia in unaltered form (retaining this notice) is permitted for personal and non-commercial use only.  Further information and requests for authorisation to reproduce for commercial purposes outside Australia should be addressed to the </w:t>
      </w:r>
      <w:r>
        <w:t>IFRS</w:t>
      </w:r>
      <w:r w:rsidRPr="00DE4E67">
        <w:t xml:space="preserve"> Foundation at www.</w:t>
      </w:r>
      <w:r>
        <w:t>ifrs</w:t>
      </w:r>
      <w:r w:rsidRPr="00DE4E67">
        <w:t>.org.</w:t>
      </w:r>
    </w:p>
    <w:p w:rsidR="006D4700" w:rsidRDefault="006D4700" w:rsidP="006D4700"/>
    <w:p w:rsidR="007455F0" w:rsidRPr="0000292B" w:rsidRDefault="006D4700" w:rsidP="006D4700">
      <w:r>
        <w:t xml:space="preserve">ISSN </w:t>
      </w:r>
      <w:bookmarkStart w:id="6" w:name="ISSN"/>
      <w:r w:rsidR="00B04DF5">
        <w:t>1036-4803</w:t>
      </w:r>
      <w:bookmarkEnd w:id="6"/>
    </w:p>
    <w:p w:rsidR="00090A6F" w:rsidRPr="0000292B" w:rsidRDefault="00090A6F">
      <w:pPr>
        <w:sectPr w:rsidR="00090A6F" w:rsidRPr="0000292B" w:rsidSect="00E364A9">
          <w:footerReference w:type="default" r:id="rId16"/>
          <w:pgSz w:w="11907" w:h="16840" w:code="9"/>
          <w:pgMar w:top="1134" w:right="1134" w:bottom="1134" w:left="1134" w:header="720" w:footer="720" w:gutter="0"/>
          <w:cols w:space="720"/>
        </w:sectPr>
      </w:pPr>
    </w:p>
    <w:p w:rsidR="00090A6F" w:rsidRPr="0000292B" w:rsidRDefault="00090A6F">
      <w:pPr>
        <w:pStyle w:val="Heading1"/>
      </w:pPr>
      <w:r w:rsidRPr="0000292B">
        <w:lastRenderedPageBreak/>
        <w:t>CONTENTS</w:t>
      </w:r>
    </w:p>
    <w:p w:rsidR="00090A6F" w:rsidRPr="0000292B" w:rsidRDefault="00090A6F">
      <w:pPr>
        <w:pStyle w:val="ContentsCapsPlain"/>
      </w:pPr>
      <w:r w:rsidRPr="0000292B">
        <w:t>Preface</w:t>
      </w:r>
    </w:p>
    <w:p w:rsidR="00090A6F" w:rsidRPr="0000292B" w:rsidRDefault="00090A6F">
      <w:pPr>
        <w:pStyle w:val="ContentsCapsBold"/>
      </w:pPr>
      <w:r w:rsidRPr="0000292B">
        <w:t>Accounting Standard</w:t>
      </w:r>
    </w:p>
    <w:p w:rsidR="00090A6F" w:rsidRDefault="00090A6F">
      <w:pPr>
        <w:pStyle w:val="ContentsCapsBold"/>
        <w:rPr>
          <w:i/>
          <w:iCs/>
        </w:rPr>
      </w:pPr>
      <w:r w:rsidRPr="0000292B">
        <w:t xml:space="preserve">AASB </w:t>
      </w:r>
      <w:r w:rsidR="00314182" w:rsidRPr="00BC0D5D">
        <w:rPr>
          <w:iCs/>
        </w:rPr>
        <w:fldChar w:fldCharType="begin" w:fldLock="1"/>
      </w:r>
      <w:r w:rsidR="00314182" w:rsidRPr="00BC0D5D">
        <w:rPr>
          <w:iCs/>
        </w:rPr>
        <w:instrText xml:space="preserve"> REF </w:instrText>
      </w:r>
      <w:r w:rsidR="00314182">
        <w:rPr>
          <w:iCs/>
        </w:rPr>
        <w:instrText>Doc</w:instrText>
      </w:r>
      <w:r w:rsidR="00314182" w:rsidRPr="00BC0D5D">
        <w:rPr>
          <w:iCs/>
        </w:rPr>
        <w:instrText xml:space="preserve">No \* charformat </w:instrText>
      </w:r>
      <w:r w:rsidR="00314182" w:rsidRPr="00BC0D5D">
        <w:rPr>
          <w:iCs/>
        </w:rPr>
        <w:fldChar w:fldCharType="separate"/>
      </w:r>
      <w:r w:rsidR="00314182" w:rsidRPr="00456690">
        <w:rPr>
          <w:iCs/>
        </w:rPr>
        <w:t>201</w:t>
      </w:r>
      <w:r w:rsidR="00314182">
        <w:rPr>
          <w:iCs/>
        </w:rPr>
        <w:t>4</w:t>
      </w:r>
      <w:r w:rsidR="00314182" w:rsidRPr="00456690">
        <w:rPr>
          <w:iCs/>
        </w:rPr>
        <w:t>-</w:t>
      </w:r>
      <w:r w:rsidR="00314182">
        <w:rPr>
          <w:iCs/>
        </w:rPr>
        <w:t>9</w:t>
      </w:r>
      <w:r w:rsidR="00314182" w:rsidRPr="00BC0D5D">
        <w:rPr>
          <w:iCs/>
        </w:rPr>
        <w:fldChar w:fldCharType="end"/>
      </w:r>
      <w:r w:rsidR="00314182" w:rsidRPr="0000292B">
        <w:t xml:space="preserve"> </w:t>
      </w:r>
      <w:r w:rsidR="009C2479" w:rsidRPr="009C2479">
        <w:rPr>
          <w:i/>
        </w:rPr>
        <w:t xml:space="preserve">AmenDMENTS TO aUSTRALIAN aCCOUNTING sTANDARDS </w:t>
      </w:r>
      <w:r w:rsidR="00906444">
        <w:rPr>
          <w:i/>
        </w:rPr>
        <w:t>– equity method in separate financial statements</w:t>
      </w:r>
      <w:r w:rsidR="009C2479" w:rsidRPr="009C2479">
        <w:rPr>
          <w:i/>
          <w:iCs/>
        </w:rPr>
        <w:fldChar w:fldCharType="begin" w:fldLock="1"/>
      </w:r>
      <w:r w:rsidR="009C2479" w:rsidRPr="009C2479">
        <w:rPr>
          <w:i/>
          <w:iCs/>
        </w:rPr>
        <w:instrText xml:space="preserve"> REF aRISINGNo \* charformat</w:instrText>
      </w:r>
      <w:r w:rsidR="009C2479">
        <w:rPr>
          <w:i/>
          <w:iCs/>
        </w:rPr>
        <w:instrText xml:space="preserve"> </w:instrText>
      </w:r>
      <w:r w:rsidR="009C2479" w:rsidRPr="009C2479">
        <w:rPr>
          <w:i/>
          <w:iCs/>
        </w:rPr>
        <w:fldChar w:fldCharType="end"/>
      </w:r>
    </w:p>
    <w:p w:rsidR="002B7803" w:rsidRPr="002B7803" w:rsidRDefault="002B7803" w:rsidP="002B7803"/>
    <w:p w:rsidR="00090A6F" w:rsidRPr="0000292B" w:rsidRDefault="00090A6F" w:rsidP="00E364A9">
      <w:pPr>
        <w:pStyle w:val="ContentsParaHead"/>
        <w:ind w:right="1701"/>
      </w:pPr>
      <w:r w:rsidRPr="0000292B">
        <w:t>Paragraphs</w:t>
      </w:r>
    </w:p>
    <w:p w:rsidR="00090A6F" w:rsidRPr="0000292B" w:rsidRDefault="00090A6F" w:rsidP="00E364A9">
      <w:pPr>
        <w:pStyle w:val="ContentsLevel1"/>
        <w:tabs>
          <w:tab w:val="clear" w:pos="6237"/>
          <w:tab w:val="right" w:pos="7938"/>
        </w:tabs>
      </w:pPr>
      <w:bookmarkStart w:id="7" w:name="TOCRange"/>
      <w:r w:rsidRPr="0000292B">
        <w:t>Objective</w:t>
      </w:r>
      <w:r w:rsidRPr="0000292B">
        <w:tab/>
      </w:r>
      <w:r w:rsidR="00B12FF9">
        <w:t>1</w:t>
      </w:r>
    </w:p>
    <w:p w:rsidR="00090A6F" w:rsidRDefault="00090A6F" w:rsidP="00E364A9">
      <w:pPr>
        <w:pStyle w:val="ContentsLevel1"/>
        <w:tabs>
          <w:tab w:val="clear" w:pos="6237"/>
          <w:tab w:val="right" w:pos="7938"/>
        </w:tabs>
      </w:pPr>
      <w:r w:rsidRPr="0000292B">
        <w:t>Application</w:t>
      </w:r>
      <w:r w:rsidRPr="0000292B">
        <w:tab/>
      </w:r>
      <w:r w:rsidR="00B12FF9">
        <w:t>2 – 5</w:t>
      </w:r>
    </w:p>
    <w:p w:rsidR="00B12FF9" w:rsidRDefault="00B12FF9" w:rsidP="00E364A9">
      <w:pPr>
        <w:pStyle w:val="ContentsLevel1"/>
        <w:tabs>
          <w:tab w:val="clear" w:pos="6237"/>
          <w:tab w:val="right" w:pos="7938"/>
        </w:tabs>
      </w:pPr>
      <w:r>
        <w:t>Commencement</w:t>
      </w:r>
      <w:r>
        <w:tab/>
        <w:t>6</w:t>
      </w:r>
    </w:p>
    <w:p w:rsidR="00B04DF5" w:rsidRDefault="00B04DF5" w:rsidP="00E364A9">
      <w:pPr>
        <w:pStyle w:val="ContentsLevel1"/>
        <w:tabs>
          <w:tab w:val="clear" w:pos="6237"/>
          <w:tab w:val="right" w:pos="7938"/>
        </w:tabs>
      </w:pPr>
      <w:r>
        <w:t>Amendments to AASB 1</w:t>
      </w:r>
      <w:r>
        <w:tab/>
      </w:r>
      <w:r w:rsidR="00B12FF9">
        <w:t>7 – 8</w:t>
      </w:r>
    </w:p>
    <w:p w:rsidR="00B04DF5" w:rsidRDefault="00B04DF5" w:rsidP="00E364A9">
      <w:pPr>
        <w:pStyle w:val="ContentsLevel1"/>
        <w:tabs>
          <w:tab w:val="clear" w:pos="6237"/>
          <w:tab w:val="right" w:pos="7938"/>
        </w:tabs>
      </w:pPr>
      <w:r>
        <w:t>Amendments to AASB 127</w:t>
      </w:r>
      <w:r>
        <w:tab/>
      </w:r>
      <w:r w:rsidR="00B12FF9">
        <w:t>9</w:t>
      </w:r>
      <w:r w:rsidR="0004089D">
        <w:t xml:space="preserve"> – 10</w:t>
      </w:r>
    </w:p>
    <w:p w:rsidR="00B04DF5" w:rsidRDefault="00B04DF5" w:rsidP="00E364A9">
      <w:pPr>
        <w:pStyle w:val="ContentsLevel1"/>
        <w:tabs>
          <w:tab w:val="clear" w:pos="6237"/>
          <w:tab w:val="right" w:pos="7938"/>
        </w:tabs>
      </w:pPr>
      <w:r>
        <w:t>Amendments to AASB 128</w:t>
      </w:r>
      <w:r>
        <w:tab/>
      </w:r>
      <w:r w:rsidR="00B12FF9">
        <w:t>1</w:t>
      </w:r>
      <w:r w:rsidR="0004089D">
        <w:t>1</w:t>
      </w:r>
    </w:p>
    <w:p w:rsidR="00B12FF9" w:rsidRDefault="00B12FF9" w:rsidP="00B04DF5">
      <w:pPr>
        <w:pStyle w:val="ContentsLevel1"/>
      </w:pPr>
    </w:p>
    <w:p w:rsidR="00090A6F" w:rsidRDefault="00B12FF9" w:rsidP="00B20861">
      <w:pPr>
        <w:pStyle w:val="ContentsLevel1"/>
      </w:pPr>
      <w:bookmarkStart w:id="8" w:name="ContentsMarker"/>
      <w:bookmarkEnd w:id="8"/>
      <w:r>
        <w:t xml:space="preserve">BASIS FOR CONCLUSIONS ON IAS 27 – </w:t>
      </w:r>
      <w:r w:rsidR="00C17E6B">
        <w:t xml:space="preserve">AMENDMENTS </w:t>
      </w:r>
      <w:r w:rsidR="00B20861">
        <w:br/>
      </w:r>
      <w:r>
        <w:t>(available on the AASB website)</w:t>
      </w:r>
    </w:p>
    <w:p w:rsidR="00B12FF9" w:rsidRPr="0000292B" w:rsidRDefault="00B12FF9" w:rsidP="00B12FF9"/>
    <w:bookmarkEnd w:id="7"/>
    <w:p w:rsidR="00090A6F" w:rsidRPr="0000292B" w:rsidRDefault="00090A6F">
      <w:pPr>
        <w:pStyle w:val="ContentsBox"/>
      </w:pPr>
      <w:r w:rsidRPr="0000292B">
        <w:t xml:space="preserve">Australian Accounting Standard AASB </w:t>
      </w:r>
      <w:r w:rsidR="00314182" w:rsidRPr="00BC0D5D">
        <w:rPr>
          <w:iCs/>
        </w:rPr>
        <w:fldChar w:fldCharType="begin" w:fldLock="1"/>
      </w:r>
      <w:r w:rsidR="00314182" w:rsidRPr="00BC0D5D">
        <w:rPr>
          <w:iCs/>
        </w:rPr>
        <w:instrText xml:space="preserve"> REF </w:instrText>
      </w:r>
      <w:r w:rsidR="00314182">
        <w:rPr>
          <w:iCs/>
        </w:rPr>
        <w:instrText>Doc</w:instrText>
      </w:r>
      <w:r w:rsidR="00314182" w:rsidRPr="00BC0D5D">
        <w:rPr>
          <w:iCs/>
        </w:rPr>
        <w:instrText xml:space="preserve">No \* charformat </w:instrText>
      </w:r>
      <w:r w:rsidR="00314182" w:rsidRPr="00BC0D5D">
        <w:rPr>
          <w:iCs/>
        </w:rPr>
        <w:fldChar w:fldCharType="separate"/>
      </w:r>
      <w:r w:rsidR="00314182" w:rsidRPr="00456690">
        <w:rPr>
          <w:iCs/>
        </w:rPr>
        <w:t>201</w:t>
      </w:r>
      <w:r w:rsidR="00314182">
        <w:rPr>
          <w:iCs/>
        </w:rPr>
        <w:t>4</w:t>
      </w:r>
      <w:r w:rsidR="00314182" w:rsidRPr="00456690">
        <w:rPr>
          <w:iCs/>
        </w:rPr>
        <w:t>-</w:t>
      </w:r>
      <w:r w:rsidR="00314182">
        <w:rPr>
          <w:iCs/>
        </w:rPr>
        <w:t>9</w:t>
      </w:r>
      <w:r w:rsidR="00314182" w:rsidRPr="00BC0D5D">
        <w:rPr>
          <w:iCs/>
        </w:rPr>
        <w:fldChar w:fldCharType="end"/>
      </w:r>
      <w:r w:rsidR="00314182" w:rsidRPr="0000292B">
        <w:t xml:space="preserve"> </w:t>
      </w:r>
      <w:r w:rsidR="009C2479" w:rsidRPr="009C2479">
        <w:rPr>
          <w:i/>
        </w:rPr>
        <w:t xml:space="preserve">Amendments to </w:t>
      </w:r>
      <w:r w:rsidR="00B12FF9">
        <w:rPr>
          <w:i/>
        </w:rPr>
        <w:t>Australian Accounting Standards –</w:t>
      </w:r>
      <w:r w:rsidR="00B12FF9" w:rsidRPr="00B12FF9">
        <w:rPr>
          <w:i/>
        </w:rPr>
        <w:t xml:space="preserve"> </w:t>
      </w:r>
      <w:r w:rsidR="00B12FF9">
        <w:rPr>
          <w:i/>
        </w:rPr>
        <w:t>Equity Method in Separate Financial Statements</w:t>
      </w:r>
      <w:r w:rsidRPr="0000292B">
        <w:rPr>
          <w:i/>
          <w:iCs/>
        </w:rPr>
        <w:fldChar w:fldCharType="begin" w:fldLock="1"/>
      </w:r>
      <w:r w:rsidRPr="0000292B">
        <w:rPr>
          <w:i/>
          <w:iCs/>
        </w:rPr>
        <w:instrText xml:space="preserve"> REF </w:instrText>
      </w:r>
      <w:r w:rsidR="009C2479">
        <w:rPr>
          <w:i/>
          <w:iCs/>
        </w:rPr>
        <w:instrText>ArisingNo</w:instrText>
      </w:r>
      <w:r w:rsidRPr="0000292B">
        <w:rPr>
          <w:i/>
          <w:iCs/>
        </w:rPr>
        <w:instrText xml:space="preserve"> \* charformat </w:instrText>
      </w:r>
      <w:r w:rsidRPr="0000292B">
        <w:rPr>
          <w:i/>
          <w:iCs/>
        </w:rPr>
        <w:fldChar w:fldCharType="end"/>
      </w:r>
      <w:r w:rsidRPr="0000292B">
        <w:rPr>
          <w:i/>
          <w:iCs/>
        </w:rPr>
        <w:t xml:space="preserve"> </w:t>
      </w:r>
      <w:r w:rsidRPr="0000292B">
        <w:t>is set out in paragraphs</w:t>
      </w:r>
      <w:r w:rsidR="00B12FF9">
        <w:t xml:space="preserve"> 1 – 1</w:t>
      </w:r>
      <w:r w:rsidR="0004089D">
        <w:t>1</w:t>
      </w:r>
      <w:proofErr w:type="gramStart"/>
      <w:r w:rsidRPr="0000292B">
        <w:t xml:space="preserve">. </w:t>
      </w:r>
      <w:r w:rsidR="00CE6FE2">
        <w:t xml:space="preserve"> </w:t>
      </w:r>
      <w:proofErr w:type="gramEnd"/>
      <w:r w:rsidRPr="0000292B">
        <w:t>All the pa</w:t>
      </w:r>
      <w:r w:rsidR="009C2479">
        <w:t>ragraphs have equal authority.</w:t>
      </w:r>
    </w:p>
    <w:p w:rsidR="00090A6F" w:rsidRPr="0000292B" w:rsidRDefault="00090A6F">
      <w:pPr>
        <w:pStyle w:val="ContentsBox"/>
        <w:pBdr>
          <w:top w:val="none" w:sz="0" w:space="0" w:color="auto"/>
          <w:left w:val="none" w:sz="0" w:space="0" w:color="auto"/>
          <w:bottom w:val="none" w:sz="0" w:space="0" w:color="auto"/>
          <w:right w:val="none" w:sz="0" w:space="0" w:color="auto"/>
        </w:pBdr>
      </w:pPr>
    </w:p>
    <w:p w:rsidR="00090A6F" w:rsidRPr="0000292B" w:rsidRDefault="00090A6F">
      <w:pPr>
        <w:pStyle w:val="Heading1"/>
      </w:pPr>
      <w:r w:rsidRPr="0000292B">
        <w:t>Preface</w:t>
      </w:r>
    </w:p>
    <w:p w:rsidR="000F64CC" w:rsidRPr="0000292B" w:rsidRDefault="005A2514">
      <w:pPr>
        <w:pStyle w:val="Heading2"/>
      </w:pPr>
      <w:r>
        <w:t>Introduction</w:t>
      </w:r>
    </w:p>
    <w:p w:rsidR="00C60715" w:rsidRDefault="00C60715" w:rsidP="00AF124D">
      <w:pPr>
        <w:pStyle w:val="NoNumPlain1"/>
      </w:pPr>
      <w:r>
        <w:t>This Standard makes amendments to Austr</w:t>
      </w:r>
      <w:r w:rsidR="00261D88">
        <w:t>alian Accounting Standards AASB </w:t>
      </w:r>
      <w:r>
        <w:t xml:space="preserve">1 </w:t>
      </w:r>
      <w:r w:rsidRPr="00C17E6B">
        <w:rPr>
          <w:i/>
        </w:rPr>
        <w:t>First-time Adoption of Australian Accounting Standards</w:t>
      </w:r>
      <w:r>
        <w:t>, AASB 127</w:t>
      </w:r>
      <w:r w:rsidRPr="00C60715">
        <w:t xml:space="preserve"> </w:t>
      </w:r>
      <w:r w:rsidRPr="00C17E6B">
        <w:rPr>
          <w:i/>
        </w:rPr>
        <w:t>Separate Financial Statements</w:t>
      </w:r>
      <w:r>
        <w:t xml:space="preserve"> and AASB 128 </w:t>
      </w:r>
      <w:r w:rsidRPr="00C17E6B">
        <w:rPr>
          <w:i/>
        </w:rPr>
        <w:t>Investments in Associates and Joint Ventures</w:t>
      </w:r>
      <w:r>
        <w:t>.</w:t>
      </w:r>
    </w:p>
    <w:p w:rsidR="00090A6F" w:rsidRPr="0000292B" w:rsidRDefault="00C60715" w:rsidP="00535589">
      <w:pPr>
        <w:pStyle w:val="NoNumPlain1"/>
      </w:pPr>
      <w:r>
        <w:t xml:space="preserve">These amendments arise from the issuance of International Financial Reporting Standard </w:t>
      </w:r>
      <w:r w:rsidR="00261D88" w:rsidRPr="00261D88">
        <w:rPr>
          <w:i/>
        </w:rPr>
        <w:t>Equity Method in Separate Financial Statements</w:t>
      </w:r>
      <w:r w:rsidR="00261D88">
        <w:t xml:space="preserve"> (Amendments to IAS 27) </w:t>
      </w:r>
      <w:r>
        <w:t>by the International Accounti</w:t>
      </w:r>
      <w:r w:rsidR="00591FC2">
        <w:t xml:space="preserve">ng Standards Board </w:t>
      </w:r>
      <w:r w:rsidR="00261D88">
        <w:t>(IASB) in August</w:t>
      </w:r>
      <w:r>
        <w:t xml:space="preserve"> 2014.</w:t>
      </w:r>
    </w:p>
    <w:p w:rsidR="00431B40" w:rsidRDefault="00431B40" w:rsidP="00431B40">
      <w:pPr>
        <w:pStyle w:val="Heading2"/>
      </w:pPr>
      <w:r>
        <w:t>Main Features of this Standard</w:t>
      </w:r>
    </w:p>
    <w:p w:rsidR="00431B40" w:rsidRDefault="00431B40" w:rsidP="00431B40">
      <w:pPr>
        <w:pStyle w:val="Heading3"/>
      </w:pPr>
      <w:r>
        <w:t>Main Requirements</w:t>
      </w:r>
    </w:p>
    <w:p w:rsidR="00431B40" w:rsidRDefault="00431B40" w:rsidP="00431B40">
      <w:pPr>
        <w:pStyle w:val="NoNumPlain1"/>
      </w:pPr>
      <w:r w:rsidRPr="0022290F">
        <w:t>This Standard amends AASB 127</w:t>
      </w:r>
      <w:r w:rsidR="00F45EF4">
        <w:t>,</w:t>
      </w:r>
      <w:r w:rsidRPr="0022290F">
        <w:t xml:space="preserve"> </w:t>
      </w:r>
      <w:r w:rsidR="000960C4">
        <w:t>and consequentially amends AASB 1 and AASB 128</w:t>
      </w:r>
      <w:r w:rsidR="00155BC3">
        <w:t>,</w:t>
      </w:r>
      <w:r w:rsidR="000960C4">
        <w:t xml:space="preserve"> </w:t>
      </w:r>
      <w:r w:rsidRPr="0022290F">
        <w:t xml:space="preserve">to </w:t>
      </w:r>
      <w:r w:rsidR="00705DB1" w:rsidRPr="0022290F">
        <w:t>allow entities to use the equity method of accounting for investments in subsidiaries, joint ventures and associates in their separate financial statements</w:t>
      </w:r>
      <w:r w:rsidRPr="0022290F">
        <w:t>.</w:t>
      </w:r>
      <w:r>
        <w:t xml:space="preserve"> </w:t>
      </w:r>
    </w:p>
    <w:p w:rsidR="00677487" w:rsidRDefault="000C1CAB" w:rsidP="00666902">
      <w:pPr>
        <w:pStyle w:val="NumPlain2"/>
        <w:numPr>
          <w:ilvl w:val="0"/>
          <w:numId w:val="0"/>
        </w:numPr>
        <w:ind w:left="7"/>
      </w:pPr>
      <w:r>
        <w:t>This Standard also makes</w:t>
      </w:r>
      <w:r w:rsidR="00FD14B3">
        <w:t xml:space="preserve"> editorial correction</w:t>
      </w:r>
      <w:r>
        <w:t>s</w:t>
      </w:r>
      <w:r w:rsidR="00FD14B3">
        <w:t xml:space="preserve"> to AASB 127</w:t>
      </w:r>
      <w:r w:rsidR="00431B40">
        <w:t>.</w:t>
      </w:r>
    </w:p>
    <w:p w:rsidR="00431B40" w:rsidRDefault="00431B40" w:rsidP="00431B40">
      <w:pPr>
        <w:pStyle w:val="Heading3"/>
      </w:pPr>
      <w:r>
        <w:t>Application Date</w:t>
      </w:r>
    </w:p>
    <w:p w:rsidR="009252C5" w:rsidRDefault="00431B40" w:rsidP="006333A0">
      <w:pPr>
        <w:pStyle w:val="NoNumPlain1"/>
      </w:pPr>
      <w:r w:rsidRPr="00F54C51">
        <w:t>This Standard applies to annual reporting periods beginning on or after 1</w:t>
      </w:r>
      <w:r>
        <w:t xml:space="preserve"> January 2016. </w:t>
      </w:r>
    </w:p>
    <w:p w:rsidR="003E42EA" w:rsidRDefault="003E42EA" w:rsidP="006333A0">
      <w:pPr>
        <w:pStyle w:val="NoNumPlain1"/>
      </w:pPr>
      <w:r>
        <w:t>This Standard may be applied by:</w:t>
      </w:r>
    </w:p>
    <w:p w:rsidR="003E42EA" w:rsidRDefault="003E42EA" w:rsidP="006333A0">
      <w:pPr>
        <w:pStyle w:val="PlainHanging0"/>
      </w:pPr>
      <w:r>
        <w:t>(a)</w:t>
      </w:r>
      <w:r>
        <w:tab/>
        <w:t xml:space="preserve">for-profit entities to annual reporting </w:t>
      </w:r>
      <w:r w:rsidR="006333A0">
        <w:t>periods beginning on or after 1 </w:t>
      </w:r>
      <w:r>
        <w:t>January 2005 but before 1</w:t>
      </w:r>
      <w:r w:rsidR="006333A0">
        <w:t> </w:t>
      </w:r>
      <w:r>
        <w:t>Jan</w:t>
      </w:r>
      <w:r w:rsidR="006333A0">
        <w:t>ua</w:t>
      </w:r>
      <w:r>
        <w:t>ry 2016</w:t>
      </w:r>
      <w:r w:rsidR="00314182">
        <w:t>;</w:t>
      </w:r>
      <w:r>
        <w:t xml:space="preserve"> and</w:t>
      </w:r>
    </w:p>
    <w:p w:rsidR="003E42EA" w:rsidRDefault="003E42EA" w:rsidP="006333A0">
      <w:pPr>
        <w:pStyle w:val="PlainHanging0"/>
      </w:pPr>
      <w:r>
        <w:t>(b)</w:t>
      </w:r>
      <w:r>
        <w:tab/>
        <w:t xml:space="preserve">not-for-profit entities to annual reporting </w:t>
      </w:r>
      <w:r w:rsidR="006333A0">
        <w:t>periods beginning on or after 1 </w:t>
      </w:r>
      <w:r>
        <w:t>January 2013 but before 1 January 2016.</w:t>
      </w:r>
    </w:p>
    <w:p w:rsidR="001F1115" w:rsidRPr="0000292B" w:rsidRDefault="003E42EA" w:rsidP="003E42EA">
      <w:pPr>
        <w:pStyle w:val="NoNumPlain1"/>
        <w:sectPr w:rsidR="001F1115" w:rsidRPr="0000292B" w:rsidSect="00E364A9">
          <w:footerReference w:type="default" r:id="rId17"/>
          <w:pgSz w:w="11907" w:h="16840" w:code="9"/>
          <w:pgMar w:top="1134" w:right="1134" w:bottom="1134" w:left="1134" w:header="720" w:footer="720" w:gutter="0"/>
          <w:cols w:space="720"/>
        </w:sectPr>
      </w:pPr>
      <w:r>
        <w:t>If an entity applies this Standard to such an annual reporting period in accordance with paragraph (a) or (b), it shall disclose that fact</w:t>
      </w:r>
      <w:r w:rsidR="006333A0">
        <w:t>.</w:t>
      </w:r>
      <w:r>
        <w:t xml:space="preserve"> </w:t>
      </w:r>
    </w:p>
    <w:p w:rsidR="001662B8" w:rsidRPr="0000292B" w:rsidRDefault="001662B8" w:rsidP="001662B8">
      <w:pPr>
        <w:pStyle w:val="Heading1"/>
      </w:pPr>
      <w:r w:rsidRPr="0000292B">
        <w:t xml:space="preserve">aCCOUNTING STANDARD AASB </w:t>
      </w:r>
      <w:r w:rsidR="00314182" w:rsidRPr="00BC0D5D">
        <w:rPr>
          <w:iCs/>
        </w:rPr>
        <w:fldChar w:fldCharType="begin" w:fldLock="1"/>
      </w:r>
      <w:r w:rsidR="00314182" w:rsidRPr="00BC0D5D">
        <w:rPr>
          <w:iCs/>
        </w:rPr>
        <w:instrText xml:space="preserve"> REF </w:instrText>
      </w:r>
      <w:r w:rsidR="00314182">
        <w:rPr>
          <w:iCs/>
        </w:rPr>
        <w:instrText>Doc</w:instrText>
      </w:r>
      <w:r w:rsidR="00314182" w:rsidRPr="00BC0D5D">
        <w:rPr>
          <w:iCs/>
        </w:rPr>
        <w:instrText xml:space="preserve">No \* charformat </w:instrText>
      </w:r>
      <w:r w:rsidR="00314182" w:rsidRPr="00BC0D5D">
        <w:rPr>
          <w:iCs/>
        </w:rPr>
        <w:fldChar w:fldCharType="separate"/>
      </w:r>
      <w:r w:rsidR="00314182" w:rsidRPr="00456690">
        <w:rPr>
          <w:iCs/>
        </w:rPr>
        <w:t>201</w:t>
      </w:r>
      <w:r w:rsidR="00314182">
        <w:rPr>
          <w:iCs/>
        </w:rPr>
        <w:t>4</w:t>
      </w:r>
      <w:r w:rsidR="00314182" w:rsidRPr="00456690">
        <w:rPr>
          <w:iCs/>
        </w:rPr>
        <w:t>-</w:t>
      </w:r>
      <w:r w:rsidR="00314182">
        <w:rPr>
          <w:iCs/>
        </w:rPr>
        <w:t>9</w:t>
      </w:r>
      <w:r w:rsidR="00314182" w:rsidRPr="00BC0D5D">
        <w:rPr>
          <w:iCs/>
        </w:rPr>
        <w:fldChar w:fldCharType="end"/>
      </w:r>
    </w:p>
    <w:p w:rsidR="001662B8" w:rsidRDefault="001662B8" w:rsidP="001662B8">
      <w:r>
        <w:t>The Australian Accounting Standards Board makes Accounting Standard AASB </w:t>
      </w:r>
      <w:r w:rsidR="002F7376">
        <w:fldChar w:fldCharType="begin" w:fldLock="1"/>
      </w:r>
      <w:r w:rsidR="002F7376">
        <w:instrText xml:space="preserve"> REF DocNo  \* charformat </w:instrText>
      </w:r>
      <w:r w:rsidR="002F7376">
        <w:fldChar w:fldCharType="separate"/>
      </w:r>
      <w:r w:rsidR="00314182">
        <w:t>2014-9</w:t>
      </w:r>
      <w:r w:rsidR="002F7376">
        <w:fldChar w:fldCharType="end"/>
      </w:r>
      <w:r w:rsidR="00314182">
        <w:t xml:space="preserve"> </w:t>
      </w:r>
      <w:r w:rsidRPr="001662B8">
        <w:rPr>
          <w:i/>
        </w:rPr>
        <w:t>Amendments to Australian A</w:t>
      </w:r>
      <w:r w:rsidR="003C75F1">
        <w:rPr>
          <w:i/>
        </w:rPr>
        <w:t>ccounting Standards – Equity Method in Separate Financial Statements</w:t>
      </w:r>
      <w:r w:rsidRPr="001662B8">
        <w:rPr>
          <w:i/>
          <w:iCs/>
        </w:rPr>
        <w:fldChar w:fldCharType="begin" w:fldLock="1"/>
      </w:r>
      <w:r w:rsidRPr="001662B8">
        <w:rPr>
          <w:i/>
          <w:iCs/>
        </w:rPr>
        <w:instrText xml:space="preserve"> REF ArisingNo  \* charformat </w:instrText>
      </w:r>
      <w:r w:rsidRPr="001662B8">
        <w:rPr>
          <w:i/>
          <w:iCs/>
        </w:rPr>
        <w:fldChar w:fldCharType="end"/>
      </w:r>
      <w:r w:rsidR="002B7803">
        <w:rPr>
          <w:i/>
          <w:iCs/>
        </w:rPr>
        <w:t xml:space="preserve"> </w:t>
      </w:r>
      <w:r>
        <w:t xml:space="preserve">under section 334 of the </w:t>
      </w:r>
      <w:r>
        <w:rPr>
          <w:i/>
          <w:iCs/>
        </w:rPr>
        <w:t>Corporations Act 2001</w:t>
      </w:r>
      <w:r>
        <w:t>.</w:t>
      </w:r>
    </w:p>
    <w:p w:rsidR="00C03C7B" w:rsidRDefault="00C03C7B" w:rsidP="00C03C7B"/>
    <w:tbl>
      <w:tblPr>
        <w:tblW w:w="0" w:type="auto"/>
        <w:tblLook w:val="0000" w:firstRow="0" w:lastRow="0" w:firstColumn="0" w:lastColumn="0" w:noHBand="0" w:noVBand="0"/>
        <w:tblCaption w:val="Authorisation of the statement that the AASB has made the Standard"/>
        <w:tblDescription w:val="Date when the Standard was made by the AASB, the name of the AASB Chair, and the statement of that position"/>
      </w:tblPr>
      <w:tblGrid>
        <w:gridCol w:w="6237"/>
        <w:gridCol w:w="3402"/>
      </w:tblGrid>
      <w:tr w:rsidR="00C03C7B" w:rsidTr="00E364A9">
        <w:tc>
          <w:tcPr>
            <w:tcW w:w="6237" w:type="dxa"/>
          </w:tcPr>
          <w:p w:rsidR="00C03C7B" w:rsidRDefault="00C03C7B" w:rsidP="0048155F"/>
        </w:tc>
        <w:tc>
          <w:tcPr>
            <w:tcW w:w="3402" w:type="dxa"/>
          </w:tcPr>
          <w:p w:rsidR="00C03C7B" w:rsidRDefault="003C75F1" w:rsidP="0048155F">
            <w:pPr>
              <w:jc w:val="right"/>
            </w:pPr>
            <w:r>
              <w:t>Kris Peach</w:t>
            </w:r>
          </w:p>
        </w:tc>
      </w:tr>
      <w:tr w:rsidR="00C03C7B" w:rsidTr="00E364A9">
        <w:tc>
          <w:tcPr>
            <w:tcW w:w="6237" w:type="dxa"/>
          </w:tcPr>
          <w:p w:rsidR="00C03C7B" w:rsidRDefault="00C03C7B" w:rsidP="0048155F">
            <w:r>
              <w:t xml:space="preserve">Dated </w:t>
            </w:r>
            <w:bookmarkStart w:id="10" w:name="DateSigned"/>
            <w:bookmarkEnd w:id="10"/>
            <w:r w:rsidR="00BC1058">
              <w:t>23 December 2014</w:t>
            </w:r>
          </w:p>
        </w:tc>
        <w:tc>
          <w:tcPr>
            <w:tcW w:w="3402" w:type="dxa"/>
          </w:tcPr>
          <w:p w:rsidR="00C03C7B" w:rsidRDefault="00C03C7B" w:rsidP="0048155F">
            <w:pPr>
              <w:jc w:val="right"/>
            </w:pPr>
            <w:r>
              <w:t>Chair – AASB</w:t>
            </w:r>
          </w:p>
        </w:tc>
      </w:tr>
    </w:tbl>
    <w:p w:rsidR="00C03C7B" w:rsidRDefault="00C03C7B" w:rsidP="00C03C7B"/>
    <w:p w:rsidR="00C03C7B" w:rsidRDefault="00C03C7B" w:rsidP="00C03C7B"/>
    <w:p w:rsidR="00090A6F" w:rsidRPr="0000292B" w:rsidRDefault="00090A6F">
      <w:pPr>
        <w:pStyle w:val="Heading1"/>
      </w:pPr>
      <w:r w:rsidRPr="0000292B">
        <w:t xml:space="preserve">aCCOUNTING STANDARD AASB </w:t>
      </w:r>
      <w:r w:rsidR="00314182" w:rsidRPr="00BC0D5D">
        <w:rPr>
          <w:iCs/>
        </w:rPr>
        <w:fldChar w:fldCharType="begin" w:fldLock="1"/>
      </w:r>
      <w:r w:rsidR="00314182" w:rsidRPr="00BC0D5D">
        <w:rPr>
          <w:iCs/>
        </w:rPr>
        <w:instrText xml:space="preserve"> REF </w:instrText>
      </w:r>
      <w:r w:rsidR="00314182">
        <w:rPr>
          <w:iCs/>
        </w:rPr>
        <w:instrText>Doc</w:instrText>
      </w:r>
      <w:r w:rsidR="00314182" w:rsidRPr="00BC0D5D">
        <w:rPr>
          <w:iCs/>
        </w:rPr>
        <w:instrText xml:space="preserve">No \* charformat </w:instrText>
      </w:r>
      <w:r w:rsidR="00314182" w:rsidRPr="00BC0D5D">
        <w:rPr>
          <w:iCs/>
        </w:rPr>
        <w:fldChar w:fldCharType="separate"/>
      </w:r>
      <w:r w:rsidR="00314182" w:rsidRPr="00456690">
        <w:rPr>
          <w:iCs/>
        </w:rPr>
        <w:t>201</w:t>
      </w:r>
      <w:r w:rsidR="00314182">
        <w:rPr>
          <w:iCs/>
        </w:rPr>
        <w:t>4</w:t>
      </w:r>
      <w:r w:rsidR="00314182" w:rsidRPr="00456690">
        <w:rPr>
          <w:iCs/>
        </w:rPr>
        <w:t>-</w:t>
      </w:r>
      <w:r w:rsidR="00314182">
        <w:rPr>
          <w:iCs/>
        </w:rPr>
        <w:t>9</w:t>
      </w:r>
      <w:r w:rsidR="00314182" w:rsidRPr="00BC0D5D">
        <w:rPr>
          <w:iCs/>
        </w:rPr>
        <w:fldChar w:fldCharType="end"/>
      </w:r>
    </w:p>
    <w:p w:rsidR="00090A6F" w:rsidRDefault="001662B8" w:rsidP="00F24F2E">
      <w:pPr>
        <w:pStyle w:val="Heading1Italic"/>
      </w:pPr>
      <w:r>
        <w:t>AMENDMENTS TO AUSTRALIAN AC</w:t>
      </w:r>
      <w:r w:rsidR="00F24F2E">
        <w:t xml:space="preserve">COUNTING STANDARDS </w:t>
      </w:r>
      <w:r w:rsidR="003B5FED">
        <w:t>–</w:t>
      </w:r>
      <w:r w:rsidR="00F24F2E">
        <w:t xml:space="preserve"> Equity Method in Separate Financial Statements</w:t>
      </w:r>
      <w:r w:rsidR="00F24F2E" w:rsidRPr="0000292B">
        <w:t xml:space="preserve"> </w:t>
      </w:r>
      <w:r w:rsidR="00090A6F" w:rsidRPr="0000292B">
        <w:fldChar w:fldCharType="begin" w:fldLock="1"/>
      </w:r>
      <w:r w:rsidR="00090A6F" w:rsidRPr="0000292B">
        <w:instrText xml:space="preserve"> REF </w:instrText>
      </w:r>
      <w:r>
        <w:instrText>ArisingNo</w:instrText>
      </w:r>
      <w:r w:rsidR="00090A6F" w:rsidRPr="0000292B">
        <w:instrText xml:space="preserve">  \* charformat </w:instrText>
      </w:r>
      <w:r w:rsidR="00090A6F" w:rsidRPr="0000292B">
        <w:fldChar w:fldCharType="end"/>
      </w:r>
    </w:p>
    <w:p w:rsidR="00090A6F" w:rsidRPr="0000292B" w:rsidRDefault="00090A6F">
      <w:pPr>
        <w:pStyle w:val="Heading2"/>
      </w:pPr>
      <w:bookmarkStart w:id="11" w:name="TOCStart"/>
      <w:bookmarkEnd w:id="11"/>
      <w:r w:rsidRPr="0000292B">
        <w:t>Objective</w:t>
      </w:r>
    </w:p>
    <w:p w:rsidR="00090A6F" w:rsidRDefault="001662B8" w:rsidP="00422E4D">
      <w:pPr>
        <w:pStyle w:val="NumPlain1"/>
        <w:numPr>
          <w:ilvl w:val="0"/>
          <w:numId w:val="2"/>
        </w:numPr>
      </w:pPr>
      <w:r>
        <w:t xml:space="preserve">The </w:t>
      </w:r>
      <w:r w:rsidR="00460FBB">
        <w:t>o</w:t>
      </w:r>
      <w:r>
        <w:t>bjective of this Standard is to make amendments to:</w:t>
      </w:r>
    </w:p>
    <w:p w:rsidR="00B04DF5" w:rsidRDefault="00B04DF5" w:rsidP="00771E88">
      <w:pPr>
        <w:pStyle w:val="NumPlain2"/>
      </w:pPr>
      <w:r>
        <w:t xml:space="preserve">AASB 1 </w:t>
      </w:r>
      <w:r w:rsidR="00771E88" w:rsidRPr="00771E88">
        <w:rPr>
          <w:i/>
        </w:rPr>
        <w:t>First-time Adoption of Australian Accounting Standards</w:t>
      </w:r>
      <w:r>
        <w:t>;</w:t>
      </w:r>
    </w:p>
    <w:p w:rsidR="00B04DF5" w:rsidRDefault="00B04DF5" w:rsidP="00771E88">
      <w:pPr>
        <w:pStyle w:val="NumPlain2"/>
      </w:pPr>
      <w:r>
        <w:t xml:space="preserve">AASB 127 </w:t>
      </w:r>
      <w:r w:rsidR="00771E88" w:rsidRPr="00771E88">
        <w:rPr>
          <w:i/>
        </w:rPr>
        <w:t>Separate Financial Statements</w:t>
      </w:r>
      <w:r>
        <w:t>; and</w:t>
      </w:r>
    </w:p>
    <w:p w:rsidR="00B04DF5" w:rsidRDefault="00B04DF5" w:rsidP="00771E88">
      <w:pPr>
        <w:pStyle w:val="NumPlain2"/>
      </w:pPr>
      <w:r>
        <w:t xml:space="preserve">AASB 128 </w:t>
      </w:r>
      <w:r w:rsidR="00771E88" w:rsidRPr="00771E88">
        <w:rPr>
          <w:i/>
        </w:rPr>
        <w:t>Investments in Associates and Joint Ventures</w:t>
      </w:r>
      <w:r w:rsidR="00F40B83">
        <w:t>;</w:t>
      </w:r>
    </w:p>
    <w:p w:rsidR="00771E88" w:rsidRPr="0000292B" w:rsidRDefault="00771E88" w:rsidP="00E23290">
      <w:pPr>
        <w:pStyle w:val="NoNumPlain2"/>
      </w:pPr>
      <w:r>
        <w:t>a</w:t>
      </w:r>
      <w:bookmarkStart w:id="12" w:name="StndObj"/>
      <w:bookmarkEnd w:id="12"/>
      <w:r>
        <w:t xml:space="preserve">s a consequence of the issuance of International Financial Reporting Standard </w:t>
      </w:r>
      <w:r w:rsidRPr="00771E88">
        <w:rPr>
          <w:i/>
        </w:rPr>
        <w:t>Equity Method in Separate Financial Statements</w:t>
      </w:r>
      <w:r w:rsidRPr="0000292B">
        <w:t xml:space="preserve"> </w:t>
      </w:r>
      <w:r>
        <w:t>(Amendments to IAS 27</w:t>
      </w:r>
      <w:r w:rsidRPr="000931CB">
        <w:t xml:space="preserve">) by the International Accounting Standards Board in </w:t>
      </w:r>
      <w:bookmarkStart w:id="13" w:name="ArisingDate"/>
      <w:r>
        <w:t>August</w:t>
      </w:r>
      <w:r w:rsidRPr="000931CB">
        <w:t xml:space="preserve"> 2014</w:t>
      </w:r>
      <w:bookmarkEnd w:id="13"/>
      <w:r w:rsidRPr="000931CB">
        <w:t>, and editorial correction</w:t>
      </w:r>
      <w:r w:rsidR="00F40B83">
        <w:t>s</w:t>
      </w:r>
      <w:r>
        <w:t>.</w:t>
      </w:r>
    </w:p>
    <w:p w:rsidR="00090A6F" w:rsidRPr="0000292B" w:rsidRDefault="00090A6F">
      <w:pPr>
        <w:pStyle w:val="Heading2"/>
      </w:pPr>
      <w:r w:rsidRPr="0000292B">
        <w:t>Application</w:t>
      </w:r>
    </w:p>
    <w:p w:rsidR="00511C34" w:rsidRDefault="006F7626" w:rsidP="00027E8B">
      <w:pPr>
        <w:pStyle w:val="NumBold1"/>
      </w:pPr>
      <w:r>
        <w:t>T</w:t>
      </w:r>
      <w:r w:rsidR="00511C34">
        <w:t>his Standard applies to:</w:t>
      </w:r>
    </w:p>
    <w:p w:rsidR="00511C34" w:rsidRDefault="00511C34" w:rsidP="00511C34">
      <w:pPr>
        <w:pStyle w:val="NumBold2"/>
      </w:pPr>
      <w:r>
        <w:t xml:space="preserve">each entity that is required to prepare financial reports in accordance with Part 2M.3 of the </w:t>
      </w:r>
      <w:r w:rsidRPr="00D74038">
        <w:t>Corporations Act</w:t>
      </w:r>
      <w:r>
        <w:t xml:space="preserve"> and that is a reporting entity;</w:t>
      </w:r>
    </w:p>
    <w:p w:rsidR="00511C34" w:rsidRDefault="00511C34" w:rsidP="00511C34">
      <w:pPr>
        <w:pStyle w:val="NumBold2"/>
      </w:pPr>
      <w:r>
        <w:t>general purpose financial statements of each other reporting entity; and</w:t>
      </w:r>
    </w:p>
    <w:p w:rsidR="00511C34" w:rsidRDefault="00511C34" w:rsidP="00511C34">
      <w:pPr>
        <w:pStyle w:val="NumBold2"/>
      </w:pPr>
      <w:r>
        <w:t>financial statements that are, or are held out to be, general purpose financial statements.</w:t>
      </w:r>
    </w:p>
    <w:p w:rsidR="00090A6F" w:rsidRPr="00027E8B" w:rsidRDefault="00090A6F" w:rsidP="00027E8B">
      <w:pPr>
        <w:pStyle w:val="NumBold1"/>
      </w:pPr>
      <w:r w:rsidRPr="00027E8B">
        <w:t xml:space="preserve">This Standard applies to annual reporting periods </w:t>
      </w:r>
      <w:bookmarkStart w:id="14" w:name="ApplyText"/>
      <w:r w:rsidRPr="00027E8B">
        <w:t>beginning</w:t>
      </w:r>
      <w:bookmarkEnd w:id="14"/>
      <w:r w:rsidRPr="00027E8B">
        <w:t xml:space="preserve"> on or after </w:t>
      </w:r>
      <w:bookmarkStart w:id="15" w:name="ApplyDate"/>
      <w:r w:rsidR="00B04DF5">
        <w:t>1 January 2016</w:t>
      </w:r>
      <w:bookmarkEnd w:id="15"/>
      <w:r w:rsidRPr="00027E8B">
        <w:t>.</w:t>
      </w:r>
    </w:p>
    <w:p w:rsidR="003E42EA" w:rsidRPr="007075CA" w:rsidRDefault="003E42EA" w:rsidP="003E42EA">
      <w:pPr>
        <w:pStyle w:val="NumBold1"/>
      </w:pPr>
      <w:bookmarkStart w:id="16" w:name="EarlyYesPara"/>
      <w:r w:rsidRPr="007075CA">
        <w:t>This Standard may be applied by:</w:t>
      </w:r>
    </w:p>
    <w:p w:rsidR="003E42EA" w:rsidRPr="007075CA" w:rsidRDefault="003E42EA" w:rsidP="003E42EA">
      <w:pPr>
        <w:pStyle w:val="NumBold2"/>
      </w:pPr>
      <w:r w:rsidRPr="007075CA">
        <w:t xml:space="preserve">for-profit entities to annual reporting periods beginning on or after 1 January 2005 but before </w:t>
      </w:r>
      <w:r>
        <w:t>1</w:t>
      </w:r>
      <w:r w:rsidR="009E7AD0">
        <w:t xml:space="preserve"> January </w:t>
      </w:r>
      <w:r>
        <w:t>2016</w:t>
      </w:r>
      <w:r w:rsidR="009E7AD0">
        <w:t>;</w:t>
      </w:r>
      <w:r w:rsidRPr="007075CA">
        <w:t xml:space="preserve"> and</w:t>
      </w:r>
    </w:p>
    <w:p w:rsidR="003E42EA" w:rsidRDefault="003E42EA" w:rsidP="003E42EA">
      <w:pPr>
        <w:pStyle w:val="NumBold2"/>
      </w:pPr>
      <w:r w:rsidRPr="007075CA">
        <w:t>not-for-profit entities to annual reporting periods beginning on or after 1 January 2013 but before 1 January 201</w:t>
      </w:r>
      <w:r>
        <w:t>6</w:t>
      </w:r>
      <w:r w:rsidRPr="007075CA">
        <w:t>.</w:t>
      </w:r>
    </w:p>
    <w:p w:rsidR="003E42EA" w:rsidRPr="007075CA" w:rsidRDefault="003E42EA" w:rsidP="006333A0">
      <w:pPr>
        <w:pStyle w:val="NoNumBold2"/>
      </w:pPr>
      <w:r w:rsidRPr="007075CA">
        <w:t>If</w:t>
      </w:r>
      <w:r>
        <w:t xml:space="preserve"> </w:t>
      </w:r>
      <w:r w:rsidRPr="007075CA">
        <w:t>an entity applies this Standard to such an annual reporting period in accordance with paragraph (a) or (b), it shall disclose that fact</w:t>
      </w:r>
      <w:r w:rsidR="009E7AD0">
        <w:t>.</w:t>
      </w:r>
    </w:p>
    <w:bookmarkEnd w:id="16"/>
    <w:p w:rsidR="00BB71E0" w:rsidRDefault="00BB71E0" w:rsidP="00BB71E0">
      <w:pPr>
        <w:pStyle w:val="NumBold1"/>
      </w:pPr>
      <w:r>
        <w:t>This Standard uses underlining, striking out and other typographical material to identify some of the amendments to a Standard, in order to make the amendments more understandable. However, the amendments made by this Standard do not include that underlining, striking out or other typographical material.</w:t>
      </w:r>
      <w:r w:rsidR="006F228C">
        <w:t xml:space="preserve"> </w:t>
      </w:r>
      <w:r w:rsidR="006F228C" w:rsidRPr="006F228C">
        <w:rPr>
          <w:bCs/>
        </w:rPr>
        <w:t>Ellipses (…) are used to help provide the context within which amendments are made and also to indicate text that is not amended</w:t>
      </w:r>
      <w:r w:rsidR="006F228C">
        <w:rPr>
          <w:bCs/>
        </w:rPr>
        <w:t>.</w:t>
      </w:r>
      <w:r>
        <w:t xml:space="preserve"> </w:t>
      </w:r>
    </w:p>
    <w:p w:rsidR="00BB71E0" w:rsidRDefault="00BB71E0" w:rsidP="00BB71E0">
      <w:pPr>
        <w:pStyle w:val="Heading2"/>
      </w:pPr>
      <w:r>
        <w:t>Commencement</w:t>
      </w:r>
    </w:p>
    <w:p w:rsidR="00BB71E0" w:rsidRDefault="00BB71E0" w:rsidP="00BB71E0">
      <w:pPr>
        <w:pStyle w:val="NumBold1"/>
        <w:numPr>
          <w:ilvl w:val="0"/>
          <w:numId w:val="2"/>
        </w:numPr>
      </w:pPr>
      <w:r>
        <w:t>This Standard commences on the day this Standard is made by the Australian Accounting Standards Board.</w:t>
      </w:r>
    </w:p>
    <w:p w:rsidR="00535176" w:rsidRDefault="00535176" w:rsidP="00535176">
      <w:pPr>
        <w:pStyle w:val="Heading2"/>
      </w:pPr>
      <w:r>
        <w:t>Amendments to AASB 1</w:t>
      </w:r>
    </w:p>
    <w:p w:rsidR="00535176" w:rsidRDefault="00BF1DEE" w:rsidP="00E364A9">
      <w:pPr>
        <w:pStyle w:val="NumPlain1"/>
        <w:keepNext/>
      </w:pPr>
      <w:r>
        <w:t>Paragraph 39Z is added</w:t>
      </w:r>
      <w:r w:rsidR="0092762E">
        <w:t xml:space="preserve"> as follows:</w:t>
      </w:r>
    </w:p>
    <w:p w:rsidR="00BF1DEE" w:rsidRPr="00A108EB" w:rsidRDefault="00BF1DEE" w:rsidP="00BF1DEE">
      <w:pPr>
        <w:pStyle w:val="PlainHanging1"/>
      </w:pPr>
      <w:r w:rsidRPr="00A108EB">
        <w:t>39Z</w:t>
      </w:r>
      <w:r w:rsidRPr="00A108EB">
        <w:tab/>
      </w:r>
      <w:bookmarkStart w:id="17" w:name="F33431358"/>
      <w:r w:rsidR="00314182">
        <w:t>AASB 2014-9</w:t>
      </w:r>
      <w:r w:rsidR="00383DC6" w:rsidRPr="00A108EB">
        <w:t xml:space="preserve"> </w:t>
      </w:r>
      <w:r w:rsidR="00383DC6" w:rsidRPr="00A108EB">
        <w:rPr>
          <w:i/>
        </w:rPr>
        <w:t>Amendments to</w:t>
      </w:r>
      <w:r w:rsidR="00383DC6" w:rsidRPr="00A108EB">
        <w:t xml:space="preserve"> </w:t>
      </w:r>
      <w:r w:rsidR="00383DC6" w:rsidRPr="00A108EB">
        <w:rPr>
          <w:i/>
          <w:lang w:val="en-US"/>
        </w:rPr>
        <w:t xml:space="preserve">Australian Accounting Standards – </w:t>
      </w:r>
      <w:r w:rsidRPr="00A108EB">
        <w:rPr>
          <w:i/>
        </w:rPr>
        <w:t>Equity Method in Separate Financial Statements</w:t>
      </w:r>
      <w:r w:rsidR="00383DC6" w:rsidRPr="00A108EB">
        <w:t xml:space="preserve">, issued in </w:t>
      </w:r>
      <w:r w:rsidR="00CF09C2">
        <w:t>December</w:t>
      </w:r>
      <w:r w:rsidR="00383DC6" w:rsidRPr="00A108EB">
        <w:t xml:space="preserve"> 201</w:t>
      </w:r>
      <w:r w:rsidR="00CF09C2">
        <w:t>4</w:t>
      </w:r>
      <w:r w:rsidRPr="00A108EB">
        <w:t>, amended paragraph D14 and added paragraph</w:t>
      </w:r>
      <w:r w:rsidR="00314182">
        <w:t> </w:t>
      </w:r>
      <w:r w:rsidRPr="00A108EB">
        <w:t xml:space="preserve">D15A. An entity shall apply those amendments for annual </w:t>
      </w:r>
      <w:r w:rsidR="00383DC6" w:rsidRPr="00A108EB">
        <w:t xml:space="preserve">reporting </w:t>
      </w:r>
      <w:r w:rsidRPr="00A108EB">
        <w:t>periods beginning on or after 1 January 2016. Earlier application is permitted. If an entity applies those amendments for an earlier period, it shall disclose that fact.</w:t>
      </w:r>
      <w:bookmarkEnd w:id="17"/>
    </w:p>
    <w:p w:rsidR="00BF1DEE" w:rsidRDefault="00BF1DEE" w:rsidP="00BF1DEE">
      <w:pPr>
        <w:pStyle w:val="NumPlain1"/>
      </w:pPr>
      <w:r>
        <w:t>In Appendix D, paragraph D14 is amended (new text is underlined and deleted text is struck throu</w:t>
      </w:r>
      <w:r w:rsidR="001152D6">
        <w:t xml:space="preserve">gh) and </w:t>
      </w:r>
      <w:r w:rsidR="00C62380">
        <w:t xml:space="preserve">paragraph </w:t>
      </w:r>
      <w:r w:rsidR="001152D6">
        <w:t>D15A is added</w:t>
      </w:r>
      <w:r w:rsidR="00C62380">
        <w:t xml:space="preserve"> as follows</w:t>
      </w:r>
      <w:r>
        <w:t>:</w:t>
      </w:r>
    </w:p>
    <w:p w:rsidR="00DF176C" w:rsidRDefault="00DF176C" w:rsidP="00DF176C">
      <w:pPr>
        <w:pStyle w:val="PlainHanging1"/>
      </w:pPr>
      <w:r>
        <w:t>D14</w:t>
      </w:r>
      <w:r>
        <w:tab/>
      </w:r>
      <w:bookmarkStart w:id="18" w:name="F33431364"/>
      <w:r>
        <w:t>When an entity prepares se</w:t>
      </w:r>
      <w:r w:rsidR="00531511">
        <w:t>parate financial statements, AASB 1</w:t>
      </w:r>
      <w:r>
        <w:t>27 requires it to account for its investments in subsidiaries, joint ventures and associates either:</w:t>
      </w:r>
      <w:bookmarkEnd w:id="18"/>
    </w:p>
    <w:p w:rsidR="00DF176C" w:rsidRDefault="00DF176C" w:rsidP="00DF176C">
      <w:pPr>
        <w:pStyle w:val="PlainHanging2"/>
        <w:rPr>
          <w:strike/>
        </w:rPr>
      </w:pPr>
      <w:r>
        <w:t>(a)</w:t>
      </w:r>
      <w:r>
        <w:tab/>
      </w:r>
      <w:bookmarkStart w:id="19" w:name="F33431383"/>
      <w:r>
        <w:t xml:space="preserve">at cost; </w:t>
      </w:r>
      <w:r>
        <w:rPr>
          <w:strike/>
        </w:rPr>
        <w:t>or</w:t>
      </w:r>
      <w:bookmarkEnd w:id="19"/>
    </w:p>
    <w:p w:rsidR="00DF176C" w:rsidRDefault="00DF176C" w:rsidP="00DF176C">
      <w:pPr>
        <w:pStyle w:val="PlainHanging2"/>
        <w:rPr>
          <w:u w:val="single"/>
        </w:rPr>
      </w:pPr>
      <w:r>
        <w:t>(b)</w:t>
      </w:r>
      <w:r>
        <w:tab/>
      </w:r>
      <w:bookmarkStart w:id="20" w:name="F33431385"/>
      <w:r w:rsidR="00E40A0C" w:rsidRPr="00E40A0C">
        <w:t xml:space="preserve">in accordance with AASB </w:t>
      </w:r>
      <w:r w:rsidR="00820B66">
        <w:t>9</w:t>
      </w:r>
      <w:r>
        <w:rPr>
          <w:strike/>
        </w:rPr>
        <w:t>.</w:t>
      </w:r>
      <w:r>
        <w:rPr>
          <w:u w:val="single"/>
        </w:rPr>
        <w:t>; or</w:t>
      </w:r>
      <w:bookmarkEnd w:id="20"/>
    </w:p>
    <w:p w:rsidR="00DF176C" w:rsidRDefault="00DF176C" w:rsidP="00DF176C">
      <w:pPr>
        <w:pStyle w:val="PlainHanging2"/>
        <w:rPr>
          <w:u w:val="single"/>
        </w:rPr>
      </w:pPr>
      <w:r w:rsidRPr="00666902">
        <w:rPr>
          <w:u w:val="single"/>
        </w:rPr>
        <w:t>(c)</w:t>
      </w:r>
      <w:r>
        <w:tab/>
      </w:r>
      <w:bookmarkStart w:id="21" w:name="F33431387"/>
      <w:r>
        <w:rPr>
          <w:u w:val="single"/>
        </w:rPr>
        <w:t>using the e</w:t>
      </w:r>
      <w:r w:rsidR="00D90390">
        <w:rPr>
          <w:u w:val="single"/>
        </w:rPr>
        <w:t>quity method as described in AASB</w:t>
      </w:r>
      <w:r>
        <w:rPr>
          <w:u w:val="single"/>
        </w:rPr>
        <w:t xml:space="preserve"> </w:t>
      </w:r>
      <w:r w:rsidR="000F3B33">
        <w:rPr>
          <w:u w:val="single"/>
        </w:rPr>
        <w:t>1</w:t>
      </w:r>
      <w:r>
        <w:rPr>
          <w:u w:val="single"/>
        </w:rPr>
        <w:t>28.</w:t>
      </w:r>
      <w:bookmarkEnd w:id="21"/>
    </w:p>
    <w:p w:rsidR="00DF176C" w:rsidRPr="00F550B8" w:rsidRDefault="00DF176C" w:rsidP="00DF176C">
      <w:pPr>
        <w:pStyle w:val="PlainHanging1"/>
      </w:pPr>
      <w:r w:rsidRPr="00F550B8">
        <w:t>D15A</w:t>
      </w:r>
      <w:bookmarkStart w:id="22" w:name="F33431388"/>
      <w:r w:rsidR="00911EBF" w:rsidRPr="00F550B8">
        <w:tab/>
      </w:r>
      <w:r w:rsidRPr="00F550B8">
        <w:t>If a first-time adopter accounts for such an investment using the equity metho</w:t>
      </w:r>
      <w:r w:rsidR="000F3B33" w:rsidRPr="00F550B8">
        <w:t>d procedures as described in AASB</w:t>
      </w:r>
      <w:r w:rsidRPr="00F550B8">
        <w:t xml:space="preserve"> </w:t>
      </w:r>
      <w:r w:rsidR="000F3B33" w:rsidRPr="00F550B8">
        <w:t>1</w:t>
      </w:r>
      <w:r w:rsidRPr="00F550B8">
        <w:t>28:</w:t>
      </w:r>
      <w:bookmarkEnd w:id="22"/>
    </w:p>
    <w:p w:rsidR="00DF176C" w:rsidRPr="00F550B8" w:rsidRDefault="00DF176C" w:rsidP="00DF176C">
      <w:pPr>
        <w:pStyle w:val="PlainHanging2"/>
      </w:pPr>
      <w:r w:rsidRPr="00F550B8">
        <w:t>(a)</w:t>
      </w:r>
      <w:r w:rsidRPr="00F550B8">
        <w:tab/>
      </w:r>
      <w:bookmarkStart w:id="23" w:name="F33431408"/>
      <w:r w:rsidRPr="00F550B8">
        <w:t>the first-time adopter applies the exemption for past business combinations (Appendix C) to the acquisition of the investment.</w:t>
      </w:r>
      <w:bookmarkEnd w:id="23"/>
    </w:p>
    <w:p w:rsidR="00DF176C" w:rsidRPr="00F550B8" w:rsidRDefault="00DF176C" w:rsidP="00DF176C">
      <w:pPr>
        <w:pStyle w:val="PlainHanging2"/>
      </w:pPr>
      <w:r w:rsidRPr="00F550B8">
        <w:t>(b)</w:t>
      </w:r>
      <w:r w:rsidRPr="00F550B8">
        <w:tab/>
      </w:r>
      <w:bookmarkStart w:id="24" w:name="F33431410"/>
      <w:r w:rsidRPr="00F550B8">
        <w:t>if the entity becomes a first-time adopter for its separate financial statements earlier than for its consolidated financial statements, and</w:t>
      </w:r>
      <w:bookmarkEnd w:id="24"/>
    </w:p>
    <w:p w:rsidR="00DF176C" w:rsidRPr="00F550B8" w:rsidRDefault="00DF176C" w:rsidP="00DF176C">
      <w:pPr>
        <w:pStyle w:val="PlainHanging3"/>
      </w:pPr>
      <w:r w:rsidRPr="00F550B8">
        <w:t>(</w:t>
      </w:r>
      <w:proofErr w:type="spellStart"/>
      <w:r w:rsidRPr="00F550B8">
        <w:t>i</w:t>
      </w:r>
      <w:proofErr w:type="spellEnd"/>
      <w:r w:rsidRPr="00F550B8">
        <w:t>)</w:t>
      </w:r>
      <w:r w:rsidRPr="00F550B8">
        <w:tab/>
      </w:r>
      <w:bookmarkStart w:id="25" w:name="F33431423"/>
      <w:r w:rsidRPr="00F550B8">
        <w:t>later than its parent, t</w:t>
      </w:r>
      <w:r w:rsidR="00C62E88" w:rsidRPr="00F550B8">
        <w:t>he entity shall apply paragraph </w:t>
      </w:r>
      <w:r w:rsidRPr="00F550B8">
        <w:t>D16 in its separate financial statements.</w:t>
      </w:r>
      <w:bookmarkEnd w:id="25"/>
    </w:p>
    <w:p w:rsidR="00DF176C" w:rsidRPr="00F550B8" w:rsidRDefault="00DF176C" w:rsidP="00DF176C">
      <w:pPr>
        <w:pStyle w:val="PlainHanging3"/>
      </w:pPr>
      <w:bookmarkStart w:id="26" w:name="F33431425"/>
      <w:r w:rsidRPr="00F550B8">
        <w:t>(ii)</w:t>
      </w:r>
      <w:r w:rsidRPr="00F550B8">
        <w:tab/>
        <w:t>later than its subsidiary, the entity shall apply paragraph D17 in its separate financial statements.</w:t>
      </w:r>
      <w:bookmarkEnd w:id="26"/>
    </w:p>
    <w:p w:rsidR="00B04DF5" w:rsidRDefault="00B04DF5">
      <w:pPr>
        <w:pStyle w:val="Heading2"/>
      </w:pPr>
      <w:r>
        <w:t>Amendments to AASB 1</w:t>
      </w:r>
      <w:r w:rsidR="00535176">
        <w:t>27</w:t>
      </w:r>
    </w:p>
    <w:p w:rsidR="008734F1" w:rsidRDefault="008734F1" w:rsidP="00EE7E4A">
      <w:pPr>
        <w:pStyle w:val="NumPlain1"/>
      </w:pPr>
      <w:r>
        <w:t>Paragraph</w:t>
      </w:r>
      <w:r w:rsidR="008445C5">
        <w:t>s</w:t>
      </w:r>
      <w:r>
        <w:t xml:space="preserve"> Aus1.6</w:t>
      </w:r>
      <w:r w:rsidR="0014172A">
        <w:t xml:space="preserve"> and 17</w:t>
      </w:r>
      <w:r>
        <w:t xml:space="preserve"> </w:t>
      </w:r>
      <w:r w:rsidR="0014172A">
        <w:t>are</w:t>
      </w:r>
      <w:r>
        <w:t xml:space="preserve"> amended to read as follows (new text is underlined and deleted text is struck through): </w:t>
      </w:r>
    </w:p>
    <w:p w:rsidR="008734F1" w:rsidRDefault="008734F1" w:rsidP="008734F1">
      <w:pPr>
        <w:pStyle w:val="BoldHanging1"/>
      </w:pPr>
      <w:r>
        <w:t>Aus1.6</w:t>
      </w:r>
      <w:r>
        <w:tab/>
        <w:t xml:space="preserve">The following do not apply to entities preparing general purpose financial statements under Australian Accounting Standards – Reduced Disclosure Requirements: </w:t>
      </w:r>
    </w:p>
    <w:p w:rsidR="008734F1" w:rsidRDefault="008734F1" w:rsidP="008734F1">
      <w:pPr>
        <w:pStyle w:val="BoldHanging2"/>
      </w:pPr>
      <w:r>
        <w:t>(a)</w:t>
      </w:r>
      <w:r>
        <w:tab/>
        <w:t>…</w:t>
      </w:r>
    </w:p>
    <w:p w:rsidR="008734F1" w:rsidRDefault="008734F1" w:rsidP="008734F1">
      <w:pPr>
        <w:pStyle w:val="BoldHanging2"/>
      </w:pPr>
      <w:r>
        <w:t>(b)</w:t>
      </w:r>
      <w:r>
        <w:tab/>
        <w:t>in paragraph 17, the text “</w:t>
      </w:r>
      <w:r w:rsidR="00EB5164" w:rsidRPr="00820B66">
        <w:rPr>
          <w:strike/>
        </w:rPr>
        <w:t>(</w:t>
      </w:r>
      <w:r w:rsidRPr="00820B66">
        <w:rPr>
          <w:strike/>
        </w:rPr>
        <w:t>other than a parent covered by</w:t>
      </w:r>
      <w:r>
        <w:t xml:space="preserve"> paragraph</w:t>
      </w:r>
      <w:r w:rsidR="00801E54">
        <w:rPr>
          <w:u w:val="single"/>
        </w:rPr>
        <w:t>s</w:t>
      </w:r>
      <w:r>
        <w:t xml:space="preserve"> 16 </w:t>
      </w:r>
      <w:r w:rsidRPr="00820B66">
        <w:rPr>
          <w:strike/>
        </w:rPr>
        <w:t>or</w:t>
      </w:r>
      <w:r w:rsidR="00801E54" w:rsidRPr="00820B66">
        <w:rPr>
          <w:u w:val="single"/>
          <w:shd w:val="clear" w:color="auto" w:fill="FFFFFF" w:themeFill="background1"/>
        </w:rPr>
        <w:t>–</w:t>
      </w:r>
      <w:r>
        <w:t xml:space="preserve"> Aus16.1</w:t>
      </w:r>
      <w:r w:rsidR="00801E54">
        <w:rPr>
          <w:u w:val="single"/>
        </w:rPr>
        <w:t>, or</w:t>
      </w:r>
      <w:r w:rsidRPr="00820B66">
        <w:rPr>
          <w:strike/>
        </w:rPr>
        <w:t>)</w:t>
      </w:r>
      <w:r>
        <w:t xml:space="preserve">”; and </w:t>
      </w:r>
    </w:p>
    <w:p w:rsidR="008734F1" w:rsidRDefault="008734F1" w:rsidP="008734F1">
      <w:pPr>
        <w:pStyle w:val="BoldHanging2"/>
      </w:pPr>
      <w:r>
        <w:t>(c)</w:t>
      </w:r>
      <w:r>
        <w:tab/>
        <w:t>…</w:t>
      </w:r>
    </w:p>
    <w:p w:rsidR="0014172A" w:rsidRPr="003967A8" w:rsidRDefault="0014172A" w:rsidP="00820B66">
      <w:pPr>
        <w:pStyle w:val="BoldHanging1"/>
      </w:pPr>
      <w:r>
        <w:t>17</w:t>
      </w:r>
      <w:r>
        <w:tab/>
      </w:r>
      <w:r w:rsidRPr="000339D3">
        <w:rPr>
          <w:shd w:val="clear" w:color="auto" w:fill="FFFFFF" w:themeFill="background1"/>
        </w:rPr>
        <w:t xml:space="preserve">When a parent (other than a parent covered by </w:t>
      </w:r>
      <w:r w:rsidRPr="008445C5">
        <w:rPr>
          <w:highlight w:val="lightGray"/>
          <w:shd w:val="clear" w:color="auto" w:fill="FFFFFF" w:themeFill="background1"/>
        </w:rPr>
        <w:t>paragraphs</w:t>
      </w:r>
      <w:r w:rsidR="00801E54" w:rsidRPr="008445C5">
        <w:rPr>
          <w:highlight w:val="lightGray"/>
          <w:shd w:val="clear" w:color="auto" w:fill="FFFFFF" w:themeFill="background1"/>
        </w:rPr>
        <w:t> </w:t>
      </w:r>
      <w:r w:rsidRPr="008445C5">
        <w:rPr>
          <w:highlight w:val="lightGray"/>
          <w:shd w:val="clear" w:color="auto" w:fill="FFFFFF" w:themeFill="background1"/>
        </w:rPr>
        <w:t>16–</w:t>
      </w:r>
      <w:r w:rsidR="00801E54" w:rsidRPr="008445C5">
        <w:rPr>
          <w:highlight w:val="lightGray"/>
          <w:u w:val="single"/>
          <w:shd w:val="clear" w:color="auto" w:fill="FFFFFF" w:themeFill="background1"/>
        </w:rPr>
        <w:t>Aus16.1, or</w:t>
      </w:r>
      <w:r w:rsidR="00801E54">
        <w:rPr>
          <w:u w:val="single"/>
          <w:shd w:val="clear" w:color="auto" w:fill="FFFFFF" w:themeFill="background1"/>
        </w:rPr>
        <w:t xml:space="preserve"> paragraph </w:t>
      </w:r>
      <w:r w:rsidRPr="000339D3">
        <w:rPr>
          <w:shd w:val="clear" w:color="auto" w:fill="FFFFFF" w:themeFill="background1"/>
        </w:rPr>
        <w:t>16A) or</w:t>
      </w:r>
      <w:r w:rsidRPr="003967A8">
        <w:t xml:space="preserve"> an investor with joint control of, or significant influence over, an investee prepares separate financial statements, the parent or investor shall identify the financial statements prepared in accordance with AASB 10, AASB 11 or AASB 128 (August 2011) to which they relate.  The parent or investor shall also disclose in its separate financial statements:</w:t>
      </w:r>
    </w:p>
    <w:p w:rsidR="0014172A" w:rsidRDefault="0014172A" w:rsidP="00820B66">
      <w:pPr>
        <w:pStyle w:val="BoldHanging2"/>
      </w:pPr>
      <w:r>
        <w:t>(a)</w:t>
      </w:r>
      <w:r>
        <w:tab/>
        <w:t>..</w:t>
      </w:r>
      <w:r w:rsidRPr="003967A8">
        <w:t>.</w:t>
      </w:r>
    </w:p>
    <w:p w:rsidR="00B04DF5" w:rsidRDefault="009D2DA6" w:rsidP="00EE7E4A">
      <w:pPr>
        <w:pStyle w:val="NumPlain1"/>
      </w:pPr>
      <w:r>
        <w:t>Para</w:t>
      </w:r>
      <w:r w:rsidR="00EE7E4A">
        <w:t>graphs 4</w:t>
      </w:r>
      <w:r w:rsidR="00DB0A18">
        <w:t>–</w:t>
      </w:r>
      <w:r w:rsidR="00EE7E4A">
        <w:t>7</w:t>
      </w:r>
      <w:r w:rsidR="00F40CE5">
        <w:t>, 10, 11B and 12</w:t>
      </w:r>
      <w:r w:rsidR="00BF1DEE">
        <w:t xml:space="preserve"> are amended</w:t>
      </w:r>
      <w:r w:rsidR="00EE7E4A">
        <w:t xml:space="preserve"> (new text is underlined and deleted text is struck through)</w:t>
      </w:r>
      <w:r w:rsidR="005C58BC">
        <w:t xml:space="preserve"> and paragraph 18J is added</w:t>
      </w:r>
      <w:r w:rsidR="00CB0D47">
        <w:t xml:space="preserve"> as follows</w:t>
      </w:r>
      <w:r w:rsidR="00EE7E4A">
        <w:t>:</w:t>
      </w:r>
    </w:p>
    <w:p w:rsidR="00EE7E4A" w:rsidRDefault="00773F86" w:rsidP="00B55826">
      <w:pPr>
        <w:pStyle w:val="BoldHanging1"/>
      </w:pPr>
      <w:r w:rsidRPr="00906136">
        <w:t>4</w:t>
      </w:r>
      <w:r>
        <w:tab/>
      </w:r>
      <w:r w:rsidRPr="00773F86">
        <w:t>The following terms are used in this Standard with the meanings specified:</w:t>
      </w:r>
    </w:p>
    <w:p w:rsidR="00773F86" w:rsidRDefault="00773F86" w:rsidP="00DE0398">
      <w:pPr>
        <w:pStyle w:val="PlainHanging1"/>
      </w:pPr>
      <w:r>
        <w:tab/>
        <w:t>…</w:t>
      </w:r>
    </w:p>
    <w:p w:rsidR="00773F86" w:rsidRDefault="00773F86" w:rsidP="00DE0398">
      <w:pPr>
        <w:pStyle w:val="BoldHanging1"/>
      </w:pPr>
      <w:r>
        <w:tab/>
      </w:r>
      <w:bookmarkStart w:id="27" w:name="F33430072"/>
      <w:r w:rsidRPr="00DE0398">
        <w:rPr>
          <w:i/>
        </w:rPr>
        <w:t>Separate</w:t>
      </w:r>
      <w:r>
        <w:rPr>
          <w:i/>
        </w:rPr>
        <w:t xml:space="preserve"> financial statements</w:t>
      </w:r>
      <w:r>
        <w:t xml:space="preserve"> are those presented by </w:t>
      </w:r>
      <w:r w:rsidRPr="00DB0A18">
        <w:rPr>
          <w:strike/>
        </w:rPr>
        <w:t>a parent (</w:t>
      </w:r>
      <w:proofErr w:type="spellStart"/>
      <w:r w:rsidRPr="00DB0A18">
        <w:rPr>
          <w:strike/>
        </w:rPr>
        <w:t>ie</w:t>
      </w:r>
      <w:proofErr w:type="spellEnd"/>
      <w:r w:rsidRPr="00DB0A18">
        <w:rPr>
          <w:strike/>
        </w:rPr>
        <w:t xml:space="preserve"> an investor with control of a subsidiary) or an investor with joint control of, or significant influence over, an investee,</w:t>
      </w:r>
      <w:r>
        <w:t xml:space="preserve"> </w:t>
      </w:r>
      <w:r>
        <w:rPr>
          <w:u w:val="single"/>
        </w:rPr>
        <w:t>an entity</w:t>
      </w:r>
      <w:r>
        <w:t xml:space="preserve"> in which the </w:t>
      </w:r>
      <w:r>
        <w:rPr>
          <w:u w:val="single"/>
        </w:rPr>
        <w:t>entity could elect, subject to the requirements in this Standard, to account for its</w:t>
      </w:r>
      <w:r>
        <w:t xml:space="preserve"> investments </w:t>
      </w:r>
      <w:r w:rsidRPr="00DB0A18">
        <w:rPr>
          <w:strike/>
        </w:rPr>
        <w:t>are accounted for</w:t>
      </w:r>
      <w:r>
        <w:t xml:space="preserve"> </w:t>
      </w:r>
      <w:r>
        <w:rPr>
          <w:u w:val="single"/>
        </w:rPr>
        <w:t>in subsidiaries, joint ventures and associates either</w:t>
      </w:r>
      <w:r>
        <w:t xml:space="preserve"> at cost</w:t>
      </w:r>
      <w:r>
        <w:rPr>
          <w:u w:val="single"/>
        </w:rPr>
        <w:t>,</w:t>
      </w:r>
      <w:r>
        <w:t xml:space="preserve"> </w:t>
      </w:r>
      <w:r w:rsidRPr="00321244">
        <w:rPr>
          <w:strike/>
        </w:rPr>
        <w:t>or</w:t>
      </w:r>
      <w:r>
        <w:t xml:space="preserve"> in accordance with </w:t>
      </w:r>
      <w:r w:rsidR="00270F09">
        <w:t>AASB</w:t>
      </w:r>
      <w:r>
        <w:t xml:space="preserve"> 9 </w:t>
      </w:r>
      <w:r>
        <w:rPr>
          <w:i/>
        </w:rPr>
        <w:t>Financial Instruments</w:t>
      </w:r>
      <w:r>
        <w:rPr>
          <w:u w:val="single"/>
        </w:rPr>
        <w:t xml:space="preserve">, or using the equity method as described in </w:t>
      </w:r>
      <w:r w:rsidR="00270F09">
        <w:rPr>
          <w:u w:val="single"/>
        </w:rPr>
        <w:t>AASB</w:t>
      </w:r>
      <w:r w:rsidR="00393699">
        <w:rPr>
          <w:u w:val="single"/>
        </w:rPr>
        <w:t> </w:t>
      </w:r>
      <w:r w:rsidR="00270F09">
        <w:rPr>
          <w:u w:val="single"/>
        </w:rPr>
        <w:t>1</w:t>
      </w:r>
      <w:r>
        <w:rPr>
          <w:u w:val="single"/>
        </w:rPr>
        <w:t xml:space="preserve">28 </w:t>
      </w:r>
      <w:r>
        <w:rPr>
          <w:i/>
          <w:u w:val="single"/>
        </w:rPr>
        <w:t>Investments in Associates and Joint Ventures</w:t>
      </w:r>
      <w:r>
        <w:t>.</w:t>
      </w:r>
      <w:bookmarkEnd w:id="27"/>
    </w:p>
    <w:p w:rsidR="00AC58C4" w:rsidRDefault="00AC58C4" w:rsidP="00DE0398">
      <w:pPr>
        <w:pStyle w:val="PlainHanging1"/>
      </w:pPr>
      <w:r>
        <w:t>5</w:t>
      </w:r>
      <w:r>
        <w:tab/>
      </w:r>
      <w:bookmarkStart w:id="28" w:name="F33430076"/>
      <w:r>
        <w:t>The following terms a</w:t>
      </w:r>
      <w:r w:rsidR="00384B4A">
        <w:t xml:space="preserve">re defined in Appendix </w:t>
      </w:r>
      <w:proofErr w:type="gramStart"/>
      <w:r w:rsidR="00384B4A">
        <w:t>A</w:t>
      </w:r>
      <w:proofErr w:type="gramEnd"/>
      <w:r w:rsidR="00384B4A">
        <w:t xml:space="preserve"> of AASB</w:t>
      </w:r>
      <w:r w:rsidR="00CA7FE8">
        <w:t> </w:t>
      </w:r>
      <w:r>
        <w:t xml:space="preserve">10 </w:t>
      </w:r>
      <w:r>
        <w:rPr>
          <w:i/>
        </w:rPr>
        <w:t>Consolidated Financial Statements</w:t>
      </w:r>
      <w:r w:rsidR="00393699">
        <w:t>, Appendix </w:t>
      </w:r>
      <w:r w:rsidR="00384B4A">
        <w:t>A of AASB</w:t>
      </w:r>
      <w:r w:rsidR="00CA7FE8">
        <w:t> </w:t>
      </w:r>
      <w:r>
        <w:t xml:space="preserve">11 </w:t>
      </w:r>
      <w:r>
        <w:rPr>
          <w:i/>
        </w:rPr>
        <w:t>Joint Arrangements</w:t>
      </w:r>
      <w:r w:rsidR="00384B4A">
        <w:t xml:space="preserve"> and paragraph 3 of AASB</w:t>
      </w:r>
      <w:r>
        <w:t xml:space="preserve"> </w:t>
      </w:r>
      <w:r w:rsidR="00384B4A">
        <w:t>1</w:t>
      </w:r>
      <w:r>
        <w:t xml:space="preserve">28 </w:t>
      </w:r>
      <w:r>
        <w:rPr>
          <w:i/>
          <w:strike/>
        </w:rPr>
        <w:t>Investments in Associates and Joint Ventures</w:t>
      </w:r>
      <w:r>
        <w:t>:</w:t>
      </w:r>
      <w:bookmarkEnd w:id="28"/>
    </w:p>
    <w:p w:rsidR="005A6932" w:rsidRDefault="005A6932" w:rsidP="00DE0398">
      <w:pPr>
        <w:pStyle w:val="PlainHanging2"/>
      </w:pPr>
      <w:r>
        <w:t>•</w:t>
      </w:r>
      <w:r>
        <w:tab/>
      </w:r>
      <w:bookmarkStart w:id="29" w:name="F33431247"/>
      <w:r>
        <w:t>associate</w:t>
      </w:r>
      <w:bookmarkEnd w:id="29"/>
    </w:p>
    <w:p w:rsidR="005A6932" w:rsidRDefault="005A6932" w:rsidP="00DE0398">
      <w:pPr>
        <w:pStyle w:val="PlainHanging2"/>
      </w:pPr>
      <w:r w:rsidRPr="00E91F43">
        <w:rPr>
          <w:u w:val="single"/>
        </w:rPr>
        <w:t>•</w:t>
      </w:r>
      <w:r>
        <w:tab/>
      </w:r>
      <w:bookmarkStart w:id="30" w:name="F33431249"/>
      <w:r w:rsidRPr="00E91F43">
        <w:rPr>
          <w:u w:val="single"/>
        </w:rPr>
        <w:t>equity method</w:t>
      </w:r>
      <w:bookmarkEnd w:id="30"/>
    </w:p>
    <w:p w:rsidR="005A6932" w:rsidRDefault="005A6932" w:rsidP="00DE0398">
      <w:pPr>
        <w:pStyle w:val="PlainHanging2"/>
      </w:pPr>
      <w:r>
        <w:t>•</w:t>
      </w:r>
      <w:r>
        <w:tab/>
      </w:r>
      <w:bookmarkStart w:id="31" w:name="F33431251"/>
      <w:r>
        <w:t>…</w:t>
      </w:r>
      <w:bookmarkEnd w:id="31"/>
    </w:p>
    <w:p w:rsidR="00B55826" w:rsidRPr="005A6932" w:rsidRDefault="005A6932" w:rsidP="00DE0398">
      <w:pPr>
        <w:pStyle w:val="PlainHanging1"/>
        <w:rPr>
          <w:strike/>
        </w:rPr>
      </w:pPr>
      <w:r>
        <w:t>6</w:t>
      </w:r>
      <w:r>
        <w:tab/>
      </w:r>
      <w:bookmarkStart w:id="32" w:name="F33431252"/>
      <w:r>
        <w:t xml:space="preserve">Separate financial statements are those presented in addition to consolidated financial statements or in addition to </w:t>
      </w:r>
      <w:r>
        <w:rPr>
          <w:u w:val="single"/>
        </w:rPr>
        <w:t>the</w:t>
      </w:r>
      <w:r>
        <w:t xml:space="preserve"> financial statements </w:t>
      </w:r>
      <w:r>
        <w:rPr>
          <w:u w:val="single"/>
        </w:rPr>
        <w:t>of an investor that does not have investments in subsidiaries but has investments in associates or joint ventures</w:t>
      </w:r>
      <w:r>
        <w:t xml:space="preserve"> in which </w:t>
      </w:r>
      <w:r>
        <w:rPr>
          <w:u w:val="single"/>
        </w:rPr>
        <w:t>the</w:t>
      </w:r>
      <w:r>
        <w:t xml:space="preserve"> investments in associates or joint ventures are </w:t>
      </w:r>
      <w:r w:rsidR="00384B4A">
        <w:rPr>
          <w:u w:val="single"/>
        </w:rPr>
        <w:t>required by AASB</w:t>
      </w:r>
      <w:r>
        <w:rPr>
          <w:u w:val="single"/>
        </w:rPr>
        <w:t xml:space="preserve"> </w:t>
      </w:r>
      <w:r w:rsidR="00384B4A">
        <w:rPr>
          <w:u w:val="single"/>
        </w:rPr>
        <w:t>1</w:t>
      </w:r>
      <w:r>
        <w:rPr>
          <w:u w:val="single"/>
        </w:rPr>
        <w:t>28 to be</w:t>
      </w:r>
      <w:r>
        <w:t xml:space="preserve"> accounted for using the equity method, other than in the circumstances set out in paragraphs 8–8A. </w:t>
      </w:r>
      <w:r>
        <w:rPr>
          <w:strike/>
        </w:rPr>
        <w:t>Separate financial statements need not be appended to, or accompany, those statements.</w:t>
      </w:r>
      <w:bookmarkEnd w:id="32"/>
    </w:p>
    <w:p w:rsidR="00AC58C4" w:rsidRDefault="005A6932" w:rsidP="00DE0398">
      <w:pPr>
        <w:pStyle w:val="PlainHanging1"/>
      </w:pPr>
      <w:r>
        <w:t>7</w:t>
      </w:r>
      <w:r>
        <w:tab/>
      </w:r>
      <w:bookmarkStart w:id="33" w:name="F33431267"/>
      <w:r>
        <w:rPr>
          <w:strike/>
        </w:rPr>
        <w:t>Financial statements in which the equity method is applied are not separate financial statements. Similarly, the</w:t>
      </w:r>
      <w:r>
        <w:t xml:space="preserve"> </w:t>
      </w:r>
      <w:proofErr w:type="spellStart"/>
      <w:r>
        <w:rPr>
          <w:u w:val="single"/>
        </w:rPr>
        <w:t>The</w:t>
      </w:r>
      <w:proofErr w:type="spellEnd"/>
      <w:r>
        <w:t xml:space="preserve"> financial statements of an entity that does not have a subsidiary, associate or joint venturer’s interest in a joint venture are not separate financial statements.</w:t>
      </w:r>
      <w:bookmarkEnd w:id="33"/>
    </w:p>
    <w:p w:rsidR="00572D72" w:rsidRDefault="00572D72" w:rsidP="00DE0398">
      <w:pPr>
        <w:pStyle w:val="BoldHanging1"/>
      </w:pPr>
      <w:r w:rsidRPr="00572D72">
        <w:t>10</w:t>
      </w:r>
      <w:r>
        <w:tab/>
      </w:r>
      <w:bookmarkStart w:id="34" w:name="F33431271"/>
      <w:r w:rsidRPr="00DE0398">
        <w:t>When an entity prepares separate financial statements, it shall account for investments in subsidiaries, joint ventures and associates either:</w:t>
      </w:r>
      <w:bookmarkEnd w:id="34"/>
    </w:p>
    <w:p w:rsidR="00572D72" w:rsidRDefault="00572D72" w:rsidP="00DE0398">
      <w:pPr>
        <w:pStyle w:val="BoldHanging2"/>
      </w:pPr>
      <w:r>
        <w:t>(a)</w:t>
      </w:r>
      <w:r>
        <w:tab/>
      </w:r>
      <w:bookmarkStart w:id="35" w:name="F33431274"/>
      <w:r>
        <w:t>at cost</w:t>
      </w:r>
      <w:r>
        <w:rPr>
          <w:strike/>
        </w:rPr>
        <w:t>, or</w:t>
      </w:r>
      <w:r>
        <w:rPr>
          <w:u w:val="single"/>
        </w:rPr>
        <w:t>;</w:t>
      </w:r>
      <w:bookmarkEnd w:id="35"/>
    </w:p>
    <w:p w:rsidR="00572D72" w:rsidRDefault="00572D72" w:rsidP="00DE0398">
      <w:pPr>
        <w:pStyle w:val="BoldHanging2"/>
      </w:pPr>
      <w:r>
        <w:t>(b)</w:t>
      </w:r>
      <w:r>
        <w:tab/>
      </w:r>
      <w:bookmarkStart w:id="36" w:name="F33431276"/>
      <w:r>
        <w:t>in accordan</w:t>
      </w:r>
      <w:r w:rsidR="001F53AF">
        <w:t>ce with AASB</w:t>
      </w:r>
      <w:r>
        <w:t xml:space="preserve"> 9</w:t>
      </w:r>
      <w:r>
        <w:rPr>
          <w:strike/>
        </w:rPr>
        <w:t>.</w:t>
      </w:r>
      <w:r>
        <w:rPr>
          <w:u w:val="single"/>
        </w:rPr>
        <w:t>; or</w:t>
      </w:r>
      <w:bookmarkEnd w:id="36"/>
    </w:p>
    <w:p w:rsidR="00572D72" w:rsidRPr="00DE0398" w:rsidRDefault="00572D72" w:rsidP="00DE0398">
      <w:pPr>
        <w:pStyle w:val="BoldHanging2"/>
        <w:rPr>
          <w:u w:val="single"/>
        </w:rPr>
      </w:pPr>
      <w:r>
        <w:t>(</w:t>
      </w:r>
      <w:r>
        <w:rPr>
          <w:u w:val="single"/>
        </w:rPr>
        <w:t>c</w:t>
      </w:r>
      <w:r>
        <w:t>)</w:t>
      </w:r>
      <w:r>
        <w:tab/>
      </w:r>
      <w:bookmarkStart w:id="37" w:name="F33431281"/>
      <w:r>
        <w:rPr>
          <w:u w:val="single"/>
        </w:rPr>
        <w:t>using the e</w:t>
      </w:r>
      <w:r w:rsidR="001F53AF">
        <w:rPr>
          <w:u w:val="single"/>
        </w:rPr>
        <w:t>quity method as described in AASB</w:t>
      </w:r>
      <w:r>
        <w:rPr>
          <w:u w:val="single"/>
        </w:rPr>
        <w:t xml:space="preserve"> </w:t>
      </w:r>
      <w:r w:rsidR="001F53AF">
        <w:rPr>
          <w:u w:val="single"/>
        </w:rPr>
        <w:t>1</w:t>
      </w:r>
      <w:r>
        <w:rPr>
          <w:u w:val="single"/>
        </w:rPr>
        <w:t>28.</w:t>
      </w:r>
      <w:bookmarkStart w:id="38" w:name="F33431282"/>
      <w:bookmarkEnd w:id="37"/>
    </w:p>
    <w:p w:rsidR="00572D72" w:rsidRDefault="00DE0398" w:rsidP="00DE0398">
      <w:pPr>
        <w:pStyle w:val="BoldHanging1"/>
      </w:pPr>
      <w:r>
        <w:tab/>
      </w:r>
      <w:r w:rsidR="00572D72">
        <w:t xml:space="preserve">The entity shall apply the same accounting for each category of investments. Investments accounted for at cost </w:t>
      </w:r>
      <w:r w:rsidR="00572D72">
        <w:rPr>
          <w:u w:val="single"/>
        </w:rPr>
        <w:t>or using the equity method</w:t>
      </w:r>
      <w:r w:rsidR="00572D72">
        <w:t xml:space="preserve"> shall be accou</w:t>
      </w:r>
      <w:r w:rsidR="001F53AF">
        <w:t>nted for in accordance with AASB</w:t>
      </w:r>
      <w:r w:rsidR="00572D72">
        <w:t xml:space="preserve"> 5 </w:t>
      </w:r>
      <w:r w:rsidR="00572D72">
        <w:rPr>
          <w:i/>
        </w:rPr>
        <w:t>Non-current Assets Held for Sale and Discontinued Operations</w:t>
      </w:r>
      <w:r w:rsidR="00572D72">
        <w:t xml:space="preserve"> when they are classified as held for sale </w:t>
      </w:r>
      <w:r w:rsidR="00572D72">
        <w:rPr>
          <w:u w:val="single"/>
        </w:rPr>
        <w:t>or for distribution</w:t>
      </w:r>
      <w:r w:rsidR="00572D72">
        <w:t xml:space="preserve"> (or included in a disposal group that is classified as held for sale </w:t>
      </w:r>
      <w:r w:rsidR="00572D72">
        <w:rPr>
          <w:u w:val="single"/>
        </w:rPr>
        <w:t>or for distribution</w:t>
      </w:r>
      <w:r w:rsidR="00572D72">
        <w:t>). The measurement of investments accounte</w:t>
      </w:r>
      <w:r w:rsidR="001F53AF">
        <w:t>d for in accordance with AASB</w:t>
      </w:r>
      <w:r w:rsidR="00572D72">
        <w:t xml:space="preserve"> 9 is not changed in such circumstances.</w:t>
      </w:r>
      <w:bookmarkEnd w:id="38"/>
    </w:p>
    <w:p w:rsidR="00DE0398" w:rsidRDefault="00DE0398" w:rsidP="00B55826">
      <w:pPr>
        <w:pStyle w:val="PlainHanging1"/>
      </w:pPr>
      <w:r>
        <w:t>11B</w:t>
      </w:r>
      <w:r>
        <w:tab/>
      </w:r>
      <w:bookmarkStart w:id="39" w:name="F33431285"/>
      <w:r>
        <w:t>When a parent ceases to be an investment entity, or becomes an investment entity, it shall account for the change from the date when the change in status occurred, as follows:</w:t>
      </w:r>
      <w:bookmarkEnd w:id="39"/>
    </w:p>
    <w:p w:rsidR="00B55826" w:rsidRDefault="00DE0398" w:rsidP="00B55826">
      <w:pPr>
        <w:pStyle w:val="PlainHanging2"/>
      </w:pPr>
      <w:r>
        <w:t>(a)</w:t>
      </w:r>
      <w:r>
        <w:tab/>
      </w:r>
      <w:bookmarkStart w:id="40" w:name="F33431288"/>
      <w:r w:rsidR="00B55826">
        <w:t xml:space="preserve">when an entity ceases to be an investment entity, the entity shall </w:t>
      </w:r>
      <w:r w:rsidR="00B55826">
        <w:rPr>
          <w:u w:val="single"/>
        </w:rPr>
        <w:t>account for an investment in a subsidiary</w:t>
      </w:r>
      <w:r w:rsidR="00B55826">
        <w:rPr>
          <w:strike/>
        </w:rPr>
        <w:t>,</w:t>
      </w:r>
      <w:r w:rsidR="00B55826">
        <w:t xml:space="preserve"> in accordance with paragraph 10</w:t>
      </w:r>
      <w:r w:rsidR="00B55826">
        <w:rPr>
          <w:strike/>
        </w:rPr>
        <w:t>, either:</w:t>
      </w:r>
      <w:r w:rsidR="00B55826">
        <w:rPr>
          <w:u w:val="single"/>
        </w:rPr>
        <w:t>. The date of the change of status shall be the deemed acquisition date. The fair value of the subsidiary at the deemed acquisition date shall represent the transferred deemed consideration when accounting for the investment in accordance with paragraph 10.</w:t>
      </w:r>
      <w:bookmarkEnd w:id="40"/>
      <w:r w:rsidR="00B55826">
        <w:t xml:space="preserve"> </w:t>
      </w:r>
    </w:p>
    <w:p w:rsidR="00B55826" w:rsidRDefault="00B55826" w:rsidP="00B55826">
      <w:pPr>
        <w:pStyle w:val="PlainHanging3"/>
        <w:rPr>
          <w:u w:val="single"/>
        </w:rPr>
      </w:pPr>
      <w:r>
        <w:t>(</w:t>
      </w:r>
      <w:proofErr w:type="spellStart"/>
      <w:r>
        <w:t>i</w:t>
      </w:r>
      <w:proofErr w:type="spellEnd"/>
      <w:r>
        <w:t>)</w:t>
      </w:r>
      <w:r>
        <w:tab/>
      </w:r>
      <w:bookmarkStart w:id="41" w:name="F33431295"/>
      <w:r w:rsidR="00AE4D31" w:rsidRPr="00AC41E5">
        <w:rPr>
          <w:strike/>
        </w:rPr>
        <w:t>account for an investment in a subsidiary at cost. The fair value of the subsidiary at the date of the change of status shall be used as the deemed cost at that date</w:t>
      </w:r>
      <w:r>
        <w:rPr>
          <w:strike/>
        </w:rPr>
        <w:t>; or</w:t>
      </w:r>
      <w:r>
        <w:t xml:space="preserve"> </w:t>
      </w:r>
      <w:r>
        <w:rPr>
          <w:u w:val="single"/>
        </w:rPr>
        <w:t>[deleted</w:t>
      </w:r>
      <w:r w:rsidR="00B168B0">
        <w:rPr>
          <w:u w:val="single"/>
        </w:rPr>
        <w:t xml:space="preserve"> by the IASB</w:t>
      </w:r>
      <w:r>
        <w:rPr>
          <w:u w:val="single"/>
        </w:rPr>
        <w:t>]</w:t>
      </w:r>
      <w:bookmarkEnd w:id="41"/>
    </w:p>
    <w:p w:rsidR="00B55826" w:rsidRDefault="00B55826" w:rsidP="00B55826">
      <w:pPr>
        <w:pStyle w:val="PlainHanging3"/>
        <w:rPr>
          <w:u w:val="single"/>
        </w:rPr>
      </w:pPr>
      <w:r w:rsidRPr="00B55826">
        <w:t>(ii)</w:t>
      </w:r>
      <w:r>
        <w:tab/>
      </w:r>
      <w:bookmarkStart w:id="42" w:name="F33431297"/>
      <w:r>
        <w:rPr>
          <w:strike/>
        </w:rPr>
        <w:t>continue to account for an investment in a su</w:t>
      </w:r>
      <w:r w:rsidR="003B5BBA">
        <w:rPr>
          <w:strike/>
        </w:rPr>
        <w:t>bsidiary in accordance with AASB</w:t>
      </w:r>
      <w:r>
        <w:rPr>
          <w:strike/>
        </w:rPr>
        <w:t xml:space="preserve"> 9.</w:t>
      </w:r>
      <w:r>
        <w:t xml:space="preserve"> </w:t>
      </w:r>
      <w:r>
        <w:rPr>
          <w:u w:val="single"/>
        </w:rPr>
        <w:t>[deleted</w:t>
      </w:r>
      <w:r w:rsidR="00B168B0">
        <w:rPr>
          <w:u w:val="single"/>
        </w:rPr>
        <w:t xml:space="preserve"> by the IASB</w:t>
      </w:r>
      <w:r>
        <w:rPr>
          <w:u w:val="single"/>
        </w:rPr>
        <w:t>]</w:t>
      </w:r>
      <w:bookmarkEnd w:id="42"/>
    </w:p>
    <w:p w:rsidR="00B55826" w:rsidRDefault="00B55826" w:rsidP="00B55826">
      <w:pPr>
        <w:pStyle w:val="PlainHanging2"/>
      </w:pPr>
      <w:r>
        <w:t>(b)</w:t>
      </w:r>
      <w:r>
        <w:tab/>
      </w:r>
      <w:bookmarkStart w:id="43" w:name="F33431299"/>
      <w:r>
        <w:t>when an entity becomes an investment entity, it shall account for an investment in a subsidiary at fair value through profit</w:t>
      </w:r>
      <w:r w:rsidR="003B5BBA">
        <w:t xml:space="preserve"> or loss in accordance with AASB</w:t>
      </w:r>
      <w:r>
        <w:t xml:space="preserve"> 9. The difference between the previous carrying amount of the subsidiary and its fair value at the date of the change of status of the investor shall be recognised as a gain or loss in profit or loss. The cumulative amount of any </w:t>
      </w:r>
      <w:r>
        <w:rPr>
          <w:strike/>
        </w:rPr>
        <w:t>fair value adjustment</w:t>
      </w:r>
      <w:r>
        <w:t xml:space="preserve"> </w:t>
      </w:r>
      <w:r>
        <w:rPr>
          <w:u w:val="single"/>
        </w:rPr>
        <w:t>gain or loss</w:t>
      </w:r>
      <w:r>
        <w:t xml:space="preserve"> previously recognised in other comprehensive income in respect of those subsidiaries shall be treated as if the investment entity had disposed of those subsidiaries at the date of change in status.</w:t>
      </w:r>
      <w:bookmarkEnd w:id="43"/>
    </w:p>
    <w:p w:rsidR="00B55826" w:rsidRPr="00B55826" w:rsidRDefault="00B55826" w:rsidP="00B55826">
      <w:pPr>
        <w:pStyle w:val="BoldHanging1"/>
      </w:pPr>
      <w:r>
        <w:t>12</w:t>
      </w:r>
      <w:r>
        <w:tab/>
      </w:r>
      <w:bookmarkStart w:id="44" w:name="F33431300"/>
      <w:r>
        <w:rPr>
          <w:strike/>
        </w:rPr>
        <w:t>An entity shall recognise a dividend</w:t>
      </w:r>
      <w:r>
        <w:t xml:space="preserve"> </w:t>
      </w:r>
      <w:r>
        <w:rPr>
          <w:u w:val="single"/>
        </w:rPr>
        <w:t>Dividends</w:t>
      </w:r>
      <w:r>
        <w:t xml:space="preserve"> from a subsidiary, a joint venture or an associate </w:t>
      </w:r>
      <w:r w:rsidRPr="00AC41E5">
        <w:rPr>
          <w:u w:val="single"/>
        </w:rPr>
        <w:t xml:space="preserve">are recognised </w:t>
      </w:r>
      <w:r>
        <w:rPr>
          <w:strike/>
        </w:rPr>
        <w:t>in profit or loss</w:t>
      </w:r>
      <w:r>
        <w:t xml:space="preserve"> in </w:t>
      </w:r>
      <w:r>
        <w:rPr>
          <w:strike/>
        </w:rPr>
        <w:t>its</w:t>
      </w:r>
      <w:r>
        <w:t xml:space="preserve"> </w:t>
      </w:r>
      <w:r>
        <w:rPr>
          <w:u w:val="single"/>
        </w:rPr>
        <w:t>the</w:t>
      </w:r>
      <w:r>
        <w:t xml:space="preserve"> separate financial statements </w:t>
      </w:r>
      <w:r w:rsidRPr="00AE4D31">
        <w:rPr>
          <w:u w:val="single"/>
        </w:rPr>
        <w:t xml:space="preserve">of an </w:t>
      </w:r>
      <w:r w:rsidRPr="00AC41E5">
        <w:rPr>
          <w:u w:val="single"/>
        </w:rPr>
        <w:t>entity</w:t>
      </w:r>
      <w:r>
        <w:t xml:space="preserve"> when </w:t>
      </w:r>
      <w:proofErr w:type="spellStart"/>
      <w:r>
        <w:rPr>
          <w:strike/>
        </w:rPr>
        <w:t>its</w:t>
      </w:r>
      <w:proofErr w:type="spellEnd"/>
      <w:r>
        <w:t xml:space="preserve"> </w:t>
      </w:r>
      <w:r>
        <w:rPr>
          <w:u w:val="single"/>
        </w:rPr>
        <w:t>the entity’s</w:t>
      </w:r>
      <w:r>
        <w:t xml:space="preserve"> right to receive the dividend is established. </w:t>
      </w:r>
      <w:r>
        <w:rPr>
          <w:u w:val="single"/>
        </w:rPr>
        <w:t>The dividend is recognised in profit or loss unless the entity elects to use the equity method, in which case the dividend is recognised as a reduction from the carrying amount of the investment.</w:t>
      </w:r>
      <w:bookmarkEnd w:id="44"/>
    </w:p>
    <w:p w:rsidR="00DE0398" w:rsidRPr="00572D72" w:rsidRDefault="00773B27" w:rsidP="00773B27">
      <w:pPr>
        <w:pStyle w:val="PlainHanging1"/>
      </w:pPr>
      <w:r w:rsidRPr="00110AF7">
        <w:t>18J</w:t>
      </w:r>
      <w:r w:rsidRPr="00110AF7">
        <w:tab/>
      </w:r>
      <w:bookmarkStart w:id="45" w:name="F33431340"/>
      <w:r w:rsidR="00314182">
        <w:t>AASB 2014-9</w:t>
      </w:r>
      <w:r w:rsidR="00136E09" w:rsidRPr="00110AF7">
        <w:t xml:space="preserve"> </w:t>
      </w:r>
      <w:r w:rsidR="00136E09" w:rsidRPr="00110AF7">
        <w:rPr>
          <w:i/>
        </w:rPr>
        <w:t>Amendments to</w:t>
      </w:r>
      <w:r w:rsidR="00136E09" w:rsidRPr="00110AF7">
        <w:t xml:space="preserve"> </w:t>
      </w:r>
      <w:r w:rsidR="00136E09" w:rsidRPr="00110AF7">
        <w:rPr>
          <w:i/>
          <w:lang w:val="en-US"/>
        </w:rPr>
        <w:t xml:space="preserve">Australian Accounting Standards – </w:t>
      </w:r>
      <w:r w:rsidR="00136E09" w:rsidRPr="00110AF7">
        <w:rPr>
          <w:i/>
        </w:rPr>
        <w:t>Equity Method in Separate Financial Statements</w:t>
      </w:r>
      <w:r w:rsidR="00136E09" w:rsidRPr="00110AF7">
        <w:t xml:space="preserve">, issued in </w:t>
      </w:r>
      <w:r w:rsidR="00CF09C2">
        <w:t>December</w:t>
      </w:r>
      <w:r w:rsidR="00136E09" w:rsidRPr="00110AF7">
        <w:t xml:space="preserve"> 201</w:t>
      </w:r>
      <w:r w:rsidR="00CF09C2">
        <w:t>4</w:t>
      </w:r>
      <w:r w:rsidRPr="00110AF7">
        <w:t>, amended paragraphs 4–7, 10, 11B and 12. An entity shall apply those</w:t>
      </w:r>
      <w:r>
        <w:rPr>
          <w:u w:val="single"/>
        </w:rPr>
        <w:t xml:space="preserve"> </w:t>
      </w:r>
      <w:r w:rsidRPr="00110AF7">
        <w:t xml:space="preserve">amendments for annual </w:t>
      </w:r>
      <w:r w:rsidR="00E748EA" w:rsidRPr="00110AF7">
        <w:t xml:space="preserve">reporting </w:t>
      </w:r>
      <w:r w:rsidRPr="00110AF7">
        <w:t>perio</w:t>
      </w:r>
      <w:r w:rsidR="003F4E0B" w:rsidRPr="00110AF7">
        <w:t>ds beginning on or after 1 </w:t>
      </w:r>
      <w:r w:rsidRPr="00110AF7">
        <w:t>January 2016 retros</w:t>
      </w:r>
      <w:r w:rsidR="00136E09" w:rsidRPr="00110AF7">
        <w:t>pectively in accordance with AASB</w:t>
      </w:r>
      <w:r w:rsidRPr="00110AF7">
        <w:t xml:space="preserve"> </w:t>
      </w:r>
      <w:r w:rsidR="00136E09" w:rsidRPr="00110AF7">
        <w:t>10</w:t>
      </w:r>
      <w:r w:rsidRPr="00110AF7">
        <w:t>8</w:t>
      </w:r>
      <w:r w:rsidR="00AC41E5">
        <w:t xml:space="preserve"> </w:t>
      </w:r>
      <w:r w:rsidR="00AC41E5" w:rsidRPr="00FB34CF">
        <w:rPr>
          <w:i/>
        </w:rPr>
        <w:t>Accounting Policies, Changes in Accounting Estimates and Errors</w:t>
      </w:r>
      <w:r w:rsidRPr="00110AF7">
        <w:t>. Earlier application is permitted. If an entity applies those amendments for an earlier period, it shall disclose that fact.</w:t>
      </w:r>
      <w:bookmarkEnd w:id="45"/>
    </w:p>
    <w:p w:rsidR="00B04DF5" w:rsidRDefault="00B04DF5">
      <w:pPr>
        <w:pStyle w:val="Heading2"/>
      </w:pPr>
      <w:r>
        <w:t xml:space="preserve">Amendments to </w:t>
      </w:r>
      <w:bookmarkStart w:id="46" w:name="StndNo2"/>
      <w:r>
        <w:t>AASB 128</w:t>
      </w:r>
      <w:bookmarkEnd w:id="46"/>
    </w:p>
    <w:p w:rsidR="00B04DF5" w:rsidRDefault="00C411BE">
      <w:pPr>
        <w:pStyle w:val="NumPlain1"/>
      </w:pPr>
      <w:r>
        <w:t>Paragraph 25 is amended (new text is underlined and deleted text is struck through) and paragraph 45B is added</w:t>
      </w:r>
      <w:r w:rsidR="00FB34CF">
        <w:t xml:space="preserve"> as follows</w:t>
      </w:r>
      <w:r w:rsidR="003C04ED">
        <w:t>:</w:t>
      </w:r>
    </w:p>
    <w:p w:rsidR="003C04ED" w:rsidRPr="0000292B" w:rsidRDefault="003C04ED" w:rsidP="003C04ED">
      <w:pPr>
        <w:pStyle w:val="PlainHanging1"/>
      </w:pPr>
      <w:r>
        <w:t>25</w:t>
      </w:r>
      <w:r>
        <w:tab/>
      </w:r>
      <w:bookmarkStart w:id="47" w:name="F33431453"/>
      <w:r>
        <w:t xml:space="preserve">If an entity's ownership interest in an associate or a joint venture is reduced, but the </w:t>
      </w:r>
      <w:r>
        <w:rPr>
          <w:strike/>
        </w:rPr>
        <w:t>entity continues to apply the equity method</w:t>
      </w:r>
      <w:r>
        <w:t xml:space="preserve"> </w:t>
      </w:r>
      <w:r>
        <w:rPr>
          <w:u w:val="single"/>
        </w:rPr>
        <w:t>investment continues to be classified either as an associate or a joint venture respectively</w:t>
      </w:r>
      <w:r>
        <w:t>, the entity shall reclassify to profit or loss the proportion of the gain or loss that had previously been recognised in other comprehensive income relating to that reduction in ownership interest if that gain or loss would be required to be reclassified to profit or loss on the disposal of the related assets or liabilities.</w:t>
      </w:r>
      <w:bookmarkEnd w:id="47"/>
    </w:p>
    <w:p w:rsidR="00B04DF5" w:rsidRPr="00B168B0" w:rsidRDefault="00A216A5" w:rsidP="00A216A5">
      <w:pPr>
        <w:pStyle w:val="PlainHanging1"/>
      </w:pPr>
      <w:r w:rsidRPr="00B168B0">
        <w:t>45B</w:t>
      </w:r>
      <w:r w:rsidRPr="00B168B0">
        <w:tab/>
      </w:r>
      <w:bookmarkStart w:id="48" w:name="F33525073"/>
      <w:r w:rsidR="00314182">
        <w:t>AASB 2014-9</w:t>
      </w:r>
      <w:r w:rsidR="00137EAE" w:rsidRPr="00B168B0">
        <w:t xml:space="preserve"> </w:t>
      </w:r>
      <w:r w:rsidR="00137EAE" w:rsidRPr="00B168B0">
        <w:rPr>
          <w:i/>
        </w:rPr>
        <w:t>Amendments to</w:t>
      </w:r>
      <w:r w:rsidR="00137EAE" w:rsidRPr="00B168B0">
        <w:t xml:space="preserve"> </w:t>
      </w:r>
      <w:r w:rsidR="00137EAE" w:rsidRPr="00B168B0">
        <w:rPr>
          <w:i/>
          <w:lang w:val="en-US"/>
        </w:rPr>
        <w:t xml:space="preserve">Australian Accounting Standards – </w:t>
      </w:r>
      <w:r w:rsidR="00137EAE" w:rsidRPr="00B168B0">
        <w:rPr>
          <w:i/>
        </w:rPr>
        <w:t>Equity Method in Separate Financial Statements</w:t>
      </w:r>
      <w:r w:rsidR="00137EAE" w:rsidRPr="00B168B0">
        <w:t xml:space="preserve">, issued in </w:t>
      </w:r>
      <w:r w:rsidR="00CF09C2">
        <w:t xml:space="preserve">December </w:t>
      </w:r>
      <w:r w:rsidR="00137EAE" w:rsidRPr="00B168B0">
        <w:t>201</w:t>
      </w:r>
      <w:r w:rsidR="00CF09C2">
        <w:t>4</w:t>
      </w:r>
      <w:r w:rsidRPr="00B168B0">
        <w:t xml:space="preserve">, amended paragraph 25. An entity shall apply that amendment for annual </w:t>
      </w:r>
      <w:r w:rsidR="00E748EA" w:rsidRPr="00B168B0">
        <w:t xml:space="preserve">reporting </w:t>
      </w:r>
      <w:r w:rsidRPr="00B168B0">
        <w:t>periods beginning on or after 1 January 2016 retros</w:t>
      </w:r>
      <w:r w:rsidR="00137EAE" w:rsidRPr="00B168B0">
        <w:t>pectively in accordance with AASB</w:t>
      </w:r>
      <w:r w:rsidR="00314182">
        <w:t> </w:t>
      </w:r>
      <w:r w:rsidR="00137EAE" w:rsidRPr="00B168B0">
        <w:t>10</w:t>
      </w:r>
      <w:r w:rsidRPr="00B168B0">
        <w:t xml:space="preserve">8 </w:t>
      </w:r>
      <w:r w:rsidRPr="00B168B0">
        <w:rPr>
          <w:i/>
        </w:rPr>
        <w:t>Accounting Policies, Changes in Accounting Estimates and Errors</w:t>
      </w:r>
      <w:r w:rsidRPr="00B168B0">
        <w:t>. Earlier application is permitted. If an entity applies that amendment for an earlier period, it shall disclose that fact.</w:t>
      </w:r>
      <w:bookmarkEnd w:id="48"/>
    </w:p>
    <w:sectPr w:rsidR="00B04DF5" w:rsidRPr="00B168B0" w:rsidSect="00E364A9">
      <w:headerReference w:type="default" r:id="rId18"/>
      <w:footerReference w:type="default" r:id="rId19"/>
      <w:headerReference w:type="first" r:id="rId20"/>
      <w:footerReference w:type="first" r:id="rId21"/>
      <w:pgSz w:w="11907" w:h="16840" w:code="9"/>
      <w:pgMar w:top="1134" w:right="1134" w:bottom="1134" w:left="1134" w:header="720" w:footer="72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14B" w:rsidRDefault="0004114B">
      <w:r>
        <w:separator/>
      </w:r>
    </w:p>
  </w:endnote>
  <w:endnote w:type="continuationSeparator" w:id="0">
    <w:p w:rsidR="0004114B" w:rsidRDefault="0004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76" w:rsidRDefault="002F7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76" w:rsidRDefault="002F73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76" w:rsidRDefault="002F737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E364A9">
    <w:pPr>
      <w:pStyle w:val="Footer"/>
      <w:tabs>
        <w:tab w:val="clear" w:pos="3119"/>
        <w:tab w:val="clear" w:pos="6237"/>
        <w:tab w:val="center" w:pos="4820"/>
        <w:tab w:val="right" w:pos="9639"/>
      </w:tabs>
      <w:rPr>
        <w:b/>
      </w:rPr>
    </w:pPr>
    <w:r>
      <w:rPr>
        <w:b/>
      </w:rPr>
      <w:t xml:space="preserve">AASB </w:t>
    </w:r>
    <w:r w:rsidR="00314182">
      <w:rPr>
        <w:b/>
      </w:rPr>
      <w:fldChar w:fldCharType="begin" w:fldLock="1"/>
    </w:r>
    <w:r w:rsidR="00314182">
      <w:rPr>
        <w:b/>
      </w:rPr>
      <w:instrText xml:space="preserve"> REF DocNo  \* charformat </w:instrText>
    </w:r>
    <w:r w:rsidR="00314182">
      <w:rPr>
        <w:b/>
      </w:rPr>
      <w:fldChar w:fldCharType="separate"/>
    </w:r>
    <w:r w:rsidR="00314182" w:rsidRPr="00456690">
      <w:rPr>
        <w:b/>
      </w:rPr>
      <w:t>201</w:t>
    </w:r>
    <w:r w:rsidR="00314182">
      <w:rPr>
        <w:b/>
      </w:rPr>
      <w:t>4</w:t>
    </w:r>
    <w:r w:rsidR="00314182" w:rsidRPr="00456690">
      <w:rPr>
        <w:b/>
      </w:rPr>
      <w:t>-</w:t>
    </w:r>
    <w:r w:rsidR="00314182">
      <w:rPr>
        <w:b/>
      </w:rPr>
      <w:t>9</w:t>
    </w:r>
    <w:r w:rsidR="00314182">
      <w:rPr>
        <w:b/>
      </w:rPr>
      <w:fldChar w:fldCharType="end"/>
    </w:r>
    <w:r>
      <w:rPr>
        <w:b/>
      </w:rPr>
      <w:tab/>
    </w:r>
    <w:r>
      <w:fldChar w:fldCharType="begin"/>
    </w:r>
    <w:r>
      <w:instrText>PAGE</w:instrText>
    </w:r>
    <w:r>
      <w:fldChar w:fldCharType="separate"/>
    </w:r>
    <w:r w:rsidR="002F7376">
      <w:rPr>
        <w:noProof/>
      </w:rPr>
      <w:t>2</w:t>
    </w:r>
    <w:r>
      <w:fldChar w:fldCharType="end"/>
    </w:r>
    <w:r>
      <w:tab/>
    </w:r>
    <w:r>
      <w:rPr>
        <w:b/>
        <w:bCs/>
      </w:rPr>
      <w:t>COPYRIGHT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E364A9">
    <w:pPr>
      <w:pStyle w:val="Footer"/>
      <w:tabs>
        <w:tab w:val="clear" w:pos="3119"/>
        <w:tab w:val="clear" w:pos="6237"/>
        <w:tab w:val="center" w:pos="4820"/>
        <w:tab w:val="right" w:pos="9639"/>
      </w:tabs>
      <w:rPr>
        <w:b/>
      </w:rPr>
    </w:pPr>
    <w:r>
      <w:rPr>
        <w:b/>
      </w:rPr>
      <w:t xml:space="preserve">AASB </w:t>
    </w:r>
    <w:r w:rsidR="00314182">
      <w:rPr>
        <w:b/>
      </w:rPr>
      <w:fldChar w:fldCharType="begin" w:fldLock="1"/>
    </w:r>
    <w:r w:rsidR="00314182">
      <w:rPr>
        <w:b/>
      </w:rPr>
      <w:instrText xml:space="preserve"> REF DocNo  \* charformat </w:instrText>
    </w:r>
    <w:r w:rsidR="00314182">
      <w:rPr>
        <w:b/>
      </w:rPr>
      <w:fldChar w:fldCharType="separate"/>
    </w:r>
    <w:r w:rsidR="00314182" w:rsidRPr="00456690">
      <w:rPr>
        <w:b/>
      </w:rPr>
      <w:t>201</w:t>
    </w:r>
    <w:r w:rsidR="00314182">
      <w:rPr>
        <w:b/>
      </w:rPr>
      <w:t>4</w:t>
    </w:r>
    <w:r w:rsidR="00314182" w:rsidRPr="00456690">
      <w:rPr>
        <w:b/>
      </w:rPr>
      <w:t>-</w:t>
    </w:r>
    <w:r w:rsidR="00314182">
      <w:rPr>
        <w:b/>
      </w:rPr>
      <w:t>9</w:t>
    </w:r>
    <w:r w:rsidR="00314182">
      <w:rPr>
        <w:b/>
      </w:rPr>
      <w:fldChar w:fldCharType="end"/>
    </w:r>
    <w:r>
      <w:rPr>
        <w:b/>
      </w:rPr>
      <w:tab/>
    </w:r>
    <w:r>
      <w:fldChar w:fldCharType="begin"/>
    </w:r>
    <w:r>
      <w:instrText>PAGE</w:instrText>
    </w:r>
    <w:r>
      <w:fldChar w:fldCharType="separate"/>
    </w:r>
    <w:r w:rsidR="002F7376">
      <w:rPr>
        <w:noProof/>
      </w:rPr>
      <w:t>3</w:t>
    </w:r>
    <w:r>
      <w:fldChar w:fldCharType="end"/>
    </w:r>
    <w:r>
      <w:tab/>
    </w:r>
    <w:r w:rsidR="002F7376">
      <w:rPr>
        <w:b/>
      </w:rPr>
      <w:t xml:space="preserve">CONTENTS and </w:t>
    </w:r>
    <w:bookmarkStart w:id="9" w:name="_GoBack"/>
    <w:bookmarkEnd w:id="9"/>
    <w:r>
      <w:rPr>
        <w:b/>
        <w:bCs/>
      </w:rPr>
      <w:t>PREFACE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rsidP="00E364A9">
    <w:pPr>
      <w:pStyle w:val="Footer"/>
      <w:tabs>
        <w:tab w:val="clear" w:pos="3119"/>
        <w:tab w:val="clear" w:pos="6237"/>
        <w:tab w:val="center" w:pos="4820"/>
        <w:tab w:val="right" w:pos="9639"/>
      </w:tabs>
      <w:rPr>
        <w:b/>
      </w:rPr>
    </w:pPr>
    <w:r>
      <w:rPr>
        <w:b/>
      </w:rPr>
      <w:t xml:space="preserve">AASB </w:t>
    </w:r>
    <w:r w:rsidR="00314182">
      <w:rPr>
        <w:b/>
      </w:rPr>
      <w:fldChar w:fldCharType="begin" w:fldLock="1"/>
    </w:r>
    <w:r w:rsidR="00314182">
      <w:rPr>
        <w:b/>
      </w:rPr>
      <w:instrText xml:space="preserve"> REF DocNo  \* charformat </w:instrText>
    </w:r>
    <w:r w:rsidR="00314182">
      <w:rPr>
        <w:b/>
      </w:rPr>
      <w:fldChar w:fldCharType="separate"/>
    </w:r>
    <w:r w:rsidR="00314182" w:rsidRPr="00456690">
      <w:rPr>
        <w:b/>
      </w:rPr>
      <w:t>201</w:t>
    </w:r>
    <w:r w:rsidR="00314182">
      <w:rPr>
        <w:b/>
      </w:rPr>
      <w:t>4</w:t>
    </w:r>
    <w:r w:rsidR="00314182" w:rsidRPr="00456690">
      <w:rPr>
        <w:b/>
      </w:rPr>
      <w:t>-</w:t>
    </w:r>
    <w:r w:rsidR="00314182">
      <w:rPr>
        <w:b/>
      </w:rPr>
      <w:t>9</w:t>
    </w:r>
    <w:r w:rsidR="00314182">
      <w:rPr>
        <w:b/>
      </w:rPr>
      <w:fldChar w:fldCharType="end"/>
    </w:r>
    <w:r>
      <w:rPr>
        <w:b/>
      </w:rPr>
      <w:tab/>
    </w:r>
    <w:r>
      <w:fldChar w:fldCharType="begin"/>
    </w:r>
    <w:r>
      <w:instrText>PAGE</w:instrText>
    </w:r>
    <w:r>
      <w:fldChar w:fldCharType="separate"/>
    </w:r>
    <w:r w:rsidR="002F7376">
      <w:rPr>
        <w:noProof/>
      </w:rPr>
      <w:t>4</w:t>
    </w:r>
    <w:r>
      <w:fldChar w:fldCharType="end"/>
    </w:r>
    <w:r>
      <w:tab/>
    </w:r>
    <w:r>
      <w:rPr>
        <w:b/>
        <w:bCs/>
      </w:rPr>
      <w:t>STANDARD</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14B" w:rsidRDefault="0004114B">
      <w:r>
        <w:separator/>
      </w:r>
    </w:p>
  </w:footnote>
  <w:footnote w:type="continuationSeparator" w:id="0">
    <w:p w:rsidR="0004114B" w:rsidRDefault="00041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76" w:rsidRDefault="002F7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76" w:rsidRDefault="002F73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376" w:rsidRDefault="002F737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702" w:rsidRDefault="00A967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nsid w:val="03F92581"/>
    <w:multiLevelType w:val="multilevel"/>
    <w:tmpl w:val="AD5ABFF2"/>
    <w:numStyleLink w:val="AASBSubNumbers"/>
  </w:abstractNum>
  <w:abstractNum w:abstractNumId="2">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937"/>
        </w:tabs>
        <w:ind w:left="937"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7">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8">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
  </w:num>
  <w:num w:numId="6">
    <w:abstractNumId w:val="7"/>
  </w:num>
  <w:num w:numId="7">
    <w:abstractNumId w:val="4"/>
  </w:num>
  <w:num w:numId="8">
    <w:abstractNumId w:val="5"/>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n-AU"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30721">
      <o:colormru v:ext="edit" colors="#ddd,silver,#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F5"/>
    <w:rsid w:val="000015A3"/>
    <w:rsid w:val="0000292B"/>
    <w:rsid w:val="00026E13"/>
    <w:rsid w:val="00027E8B"/>
    <w:rsid w:val="0004089D"/>
    <w:rsid w:val="0004114B"/>
    <w:rsid w:val="0004455B"/>
    <w:rsid w:val="00074133"/>
    <w:rsid w:val="00080CD4"/>
    <w:rsid w:val="00090A6F"/>
    <w:rsid w:val="00096027"/>
    <w:rsid w:val="000960C4"/>
    <w:rsid w:val="000B733C"/>
    <w:rsid w:val="000C084F"/>
    <w:rsid w:val="000C1CAB"/>
    <w:rsid w:val="000C3EB0"/>
    <w:rsid w:val="000D7B40"/>
    <w:rsid w:val="000F3B33"/>
    <w:rsid w:val="000F64CC"/>
    <w:rsid w:val="001000D9"/>
    <w:rsid w:val="001007CF"/>
    <w:rsid w:val="00110AF7"/>
    <w:rsid w:val="00110B96"/>
    <w:rsid w:val="00111ABC"/>
    <w:rsid w:val="001152D6"/>
    <w:rsid w:val="001162C5"/>
    <w:rsid w:val="001206CF"/>
    <w:rsid w:val="00136E09"/>
    <w:rsid w:val="00137EAE"/>
    <w:rsid w:val="0014172A"/>
    <w:rsid w:val="00155BC3"/>
    <w:rsid w:val="00163626"/>
    <w:rsid w:val="001662B8"/>
    <w:rsid w:val="00171F51"/>
    <w:rsid w:val="001761C6"/>
    <w:rsid w:val="001864D4"/>
    <w:rsid w:val="0019286F"/>
    <w:rsid w:val="001B33A5"/>
    <w:rsid w:val="001B6EB1"/>
    <w:rsid w:val="001C225F"/>
    <w:rsid w:val="001D4886"/>
    <w:rsid w:val="001F0B81"/>
    <w:rsid w:val="001F1115"/>
    <w:rsid w:val="001F53AF"/>
    <w:rsid w:val="001F78DF"/>
    <w:rsid w:val="002001FB"/>
    <w:rsid w:val="002027AB"/>
    <w:rsid w:val="0022022E"/>
    <w:rsid w:val="0022290F"/>
    <w:rsid w:val="00252E9D"/>
    <w:rsid w:val="00261D88"/>
    <w:rsid w:val="00270F09"/>
    <w:rsid w:val="0028086D"/>
    <w:rsid w:val="00283482"/>
    <w:rsid w:val="0029647E"/>
    <w:rsid w:val="002A201D"/>
    <w:rsid w:val="002B7803"/>
    <w:rsid w:val="002C2B5F"/>
    <w:rsid w:val="002D641A"/>
    <w:rsid w:val="002F1CD0"/>
    <w:rsid w:val="002F7376"/>
    <w:rsid w:val="00307F26"/>
    <w:rsid w:val="00314182"/>
    <w:rsid w:val="00321244"/>
    <w:rsid w:val="003251D8"/>
    <w:rsid w:val="003336E3"/>
    <w:rsid w:val="0033581C"/>
    <w:rsid w:val="00364B30"/>
    <w:rsid w:val="00367DC9"/>
    <w:rsid w:val="00372344"/>
    <w:rsid w:val="00377B8D"/>
    <w:rsid w:val="00382796"/>
    <w:rsid w:val="003828D8"/>
    <w:rsid w:val="00383DC6"/>
    <w:rsid w:val="00384B4A"/>
    <w:rsid w:val="0039009E"/>
    <w:rsid w:val="003929A8"/>
    <w:rsid w:val="00393699"/>
    <w:rsid w:val="003A488F"/>
    <w:rsid w:val="003B0CAA"/>
    <w:rsid w:val="003B0E71"/>
    <w:rsid w:val="003B5BBA"/>
    <w:rsid w:val="003B5FED"/>
    <w:rsid w:val="003C04ED"/>
    <w:rsid w:val="003C75F1"/>
    <w:rsid w:val="003D1DD4"/>
    <w:rsid w:val="003D22C5"/>
    <w:rsid w:val="003E0A68"/>
    <w:rsid w:val="003E42EA"/>
    <w:rsid w:val="003F4E0B"/>
    <w:rsid w:val="00401ECA"/>
    <w:rsid w:val="004150BD"/>
    <w:rsid w:val="00422E4D"/>
    <w:rsid w:val="00426876"/>
    <w:rsid w:val="00431B40"/>
    <w:rsid w:val="00434D86"/>
    <w:rsid w:val="00436A2D"/>
    <w:rsid w:val="0044702C"/>
    <w:rsid w:val="00456690"/>
    <w:rsid w:val="004579E3"/>
    <w:rsid w:val="00460FBB"/>
    <w:rsid w:val="00470CE9"/>
    <w:rsid w:val="0047683E"/>
    <w:rsid w:val="0048155F"/>
    <w:rsid w:val="004841A7"/>
    <w:rsid w:val="00487CF6"/>
    <w:rsid w:val="004961F8"/>
    <w:rsid w:val="004A0F3E"/>
    <w:rsid w:val="004A417F"/>
    <w:rsid w:val="004B038C"/>
    <w:rsid w:val="004B736C"/>
    <w:rsid w:val="004C5BDE"/>
    <w:rsid w:val="004D3809"/>
    <w:rsid w:val="004D4D1C"/>
    <w:rsid w:val="004E4762"/>
    <w:rsid w:val="004E7514"/>
    <w:rsid w:val="004F55FE"/>
    <w:rsid w:val="00500E80"/>
    <w:rsid w:val="0050252B"/>
    <w:rsid w:val="00504CB2"/>
    <w:rsid w:val="00511C34"/>
    <w:rsid w:val="00515DA9"/>
    <w:rsid w:val="00516335"/>
    <w:rsid w:val="005166B2"/>
    <w:rsid w:val="00531511"/>
    <w:rsid w:val="0053452C"/>
    <w:rsid w:val="00535176"/>
    <w:rsid w:val="00535589"/>
    <w:rsid w:val="00535EC5"/>
    <w:rsid w:val="0056274D"/>
    <w:rsid w:val="00572D72"/>
    <w:rsid w:val="00577065"/>
    <w:rsid w:val="0058004D"/>
    <w:rsid w:val="00590051"/>
    <w:rsid w:val="00591FC2"/>
    <w:rsid w:val="005A2514"/>
    <w:rsid w:val="005A6932"/>
    <w:rsid w:val="005B146F"/>
    <w:rsid w:val="005B4246"/>
    <w:rsid w:val="005C0C7E"/>
    <w:rsid w:val="005C58BC"/>
    <w:rsid w:val="005E6BE4"/>
    <w:rsid w:val="00602261"/>
    <w:rsid w:val="00621F4B"/>
    <w:rsid w:val="006333A0"/>
    <w:rsid w:val="00641282"/>
    <w:rsid w:val="006511A6"/>
    <w:rsid w:val="00652DF8"/>
    <w:rsid w:val="00666902"/>
    <w:rsid w:val="00677487"/>
    <w:rsid w:val="006A3AE9"/>
    <w:rsid w:val="006A40E5"/>
    <w:rsid w:val="006A66E2"/>
    <w:rsid w:val="006B0CD6"/>
    <w:rsid w:val="006C2E37"/>
    <w:rsid w:val="006D055E"/>
    <w:rsid w:val="006D134A"/>
    <w:rsid w:val="006D4700"/>
    <w:rsid w:val="006D7679"/>
    <w:rsid w:val="006E2C39"/>
    <w:rsid w:val="006F228C"/>
    <w:rsid w:val="006F7626"/>
    <w:rsid w:val="007010C1"/>
    <w:rsid w:val="00705DB1"/>
    <w:rsid w:val="00714340"/>
    <w:rsid w:val="007333C2"/>
    <w:rsid w:val="00737714"/>
    <w:rsid w:val="00742E4B"/>
    <w:rsid w:val="007455F0"/>
    <w:rsid w:val="00751F6A"/>
    <w:rsid w:val="007554ED"/>
    <w:rsid w:val="00755E40"/>
    <w:rsid w:val="00756FF6"/>
    <w:rsid w:val="0076127E"/>
    <w:rsid w:val="00771E88"/>
    <w:rsid w:val="00773B27"/>
    <w:rsid w:val="00773F86"/>
    <w:rsid w:val="007770CB"/>
    <w:rsid w:val="0078116B"/>
    <w:rsid w:val="00783256"/>
    <w:rsid w:val="007835A4"/>
    <w:rsid w:val="007A64E8"/>
    <w:rsid w:val="007A6BC3"/>
    <w:rsid w:val="007D4894"/>
    <w:rsid w:val="007F1D3D"/>
    <w:rsid w:val="007F3DA7"/>
    <w:rsid w:val="00801E54"/>
    <w:rsid w:val="00812637"/>
    <w:rsid w:val="00813227"/>
    <w:rsid w:val="00820794"/>
    <w:rsid w:val="00820B66"/>
    <w:rsid w:val="00831497"/>
    <w:rsid w:val="00832D23"/>
    <w:rsid w:val="008445C5"/>
    <w:rsid w:val="008459E8"/>
    <w:rsid w:val="00864ADE"/>
    <w:rsid w:val="00871A12"/>
    <w:rsid w:val="008734F1"/>
    <w:rsid w:val="00881BBE"/>
    <w:rsid w:val="00896DC1"/>
    <w:rsid w:val="008A3EBB"/>
    <w:rsid w:val="008A6182"/>
    <w:rsid w:val="008B1D94"/>
    <w:rsid w:val="008B34C4"/>
    <w:rsid w:val="008B643A"/>
    <w:rsid w:val="008C60B1"/>
    <w:rsid w:val="008C6BD0"/>
    <w:rsid w:val="008D2EBD"/>
    <w:rsid w:val="008E38D2"/>
    <w:rsid w:val="008F0A81"/>
    <w:rsid w:val="008F5963"/>
    <w:rsid w:val="00902BCB"/>
    <w:rsid w:val="00906136"/>
    <w:rsid w:val="00906444"/>
    <w:rsid w:val="00911EBF"/>
    <w:rsid w:val="00923261"/>
    <w:rsid w:val="009252C5"/>
    <w:rsid w:val="009256B7"/>
    <w:rsid w:val="0092762E"/>
    <w:rsid w:val="00970C7A"/>
    <w:rsid w:val="009721DB"/>
    <w:rsid w:val="00997789"/>
    <w:rsid w:val="009B6535"/>
    <w:rsid w:val="009C0BAB"/>
    <w:rsid w:val="009C2479"/>
    <w:rsid w:val="009D06F8"/>
    <w:rsid w:val="009D2DA6"/>
    <w:rsid w:val="009D73F1"/>
    <w:rsid w:val="009E5A50"/>
    <w:rsid w:val="009E7AD0"/>
    <w:rsid w:val="00A01BC0"/>
    <w:rsid w:val="00A05041"/>
    <w:rsid w:val="00A108EB"/>
    <w:rsid w:val="00A13F82"/>
    <w:rsid w:val="00A16664"/>
    <w:rsid w:val="00A216A5"/>
    <w:rsid w:val="00A41ED3"/>
    <w:rsid w:val="00A47FA2"/>
    <w:rsid w:val="00A55F4F"/>
    <w:rsid w:val="00A748BA"/>
    <w:rsid w:val="00A74C64"/>
    <w:rsid w:val="00A83862"/>
    <w:rsid w:val="00A8486C"/>
    <w:rsid w:val="00A96702"/>
    <w:rsid w:val="00A97EB2"/>
    <w:rsid w:val="00AA14A9"/>
    <w:rsid w:val="00AA699A"/>
    <w:rsid w:val="00AB52FF"/>
    <w:rsid w:val="00AB780A"/>
    <w:rsid w:val="00AC41E5"/>
    <w:rsid w:val="00AC4315"/>
    <w:rsid w:val="00AC58C4"/>
    <w:rsid w:val="00AD42DA"/>
    <w:rsid w:val="00AE4D31"/>
    <w:rsid w:val="00AF124D"/>
    <w:rsid w:val="00AF61B8"/>
    <w:rsid w:val="00B04DF5"/>
    <w:rsid w:val="00B06BFC"/>
    <w:rsid w:val="00B110AD"/>
    <w:rsid w:val="00B12FF9"/>
    <w:rsid w:val="00B168B0"/>
    <w:rsid w:val="00B20861"/>
    <w:rsid w:val="00B271BA"/>
    <w:rsid w:val="00B3429E"/>
    <w:rsid w:val="00B47EFF"/>
    <w:rsid w:val="00B55826"/>
    <w:rsid w:val="00B74237"/>
    <w:rsid w:val="00B77169"/>
    <w:rsid w:val="00B95D73"/>
    <w:rsid w:val="00BA3AB4"/>
    <w:rsid w:val="00BA4622"/>
    <w:rsid w:val="00BA6871"/>
    <w:rsid w:val="00BB4C9F"/>
    <w:rsid w:val="00BB71E0"/>
    <w:rsid w:val="00BC0794"/>
    <w:rsid w:val="00BC0D5D"/>
    <w:rsid w:val="00BC1058"/>
    <w:rsid w:val="00BE13BB"/>
    <w:rsid w:val="00BE2F68"/>
    <w:rsid w:val="00BE38FC"/>
    <w:rsid w:val="00BE4B92"/>
    <w:rsid w:val="00BF1DEE"/>
    <w:rsid w:val="00C03C7B"/>
    <w:rsid w:val="00C17E6B"/>
    <w:rsid w:val="00C3493B"/>
    <w:rsid w:val="00C37458"/>
    <w:rsid w:val="00C411BE"/>
    <w:rsid w:val="00C438DD"/>
    <w:rsid w:val="00C43CD1"/>
    <w:rsid w:val="00C45020"/>
    <w:rsid w:val="00C5022C"/>
    <w:rsid w:val="00C552FD"/>
    <w:rsid w:val="00C60715"/>
    <w:rsid w:val="00C62380"/>
    <w:rsid w:val="00C62E88"/>
    <w:rsid w:val="00C63573"/>
    <w:rsid w:val="00C94C46"/>
    <w:rsid w:val="00C95D8A"/>
    <w:rsid w:val="00CA7FE8"/>
    <w:rsid w:val="00CB0D47"/>
    <w:rsid w:val="00CB1D82"/>
    <w:rsid w:val="00CB719A"/>
    <w:rsid w:val="00CC6FCD"/>
    <w:rsid w:val="00CD17B1"/>
    <w:rsid w:val="00CD5D1C"/>
    <w:rsid w:val="00CE2F8C"/>
    <w:rsid w:val="00CE6FE2"/>
    <w:rsid w:val="00CF09C2"/>
    <w:rsid w:val="00CF75CA"/>
    <w:rsid w:val="00CF7B67"/>
    <w:rsid w:val="00D00FD5"/>
    <w:rsid w:val="00D34424"/>
    <w:rsid w:val="00D52086"/>
    <w:rsid w:val="00D54F5C"/>
    <w:rsid w:val="00D568D2"/>
    <w:rsid w:val="00D67336"/>
    <w:rsid w:val="00D74038"/>
    <w:rsid w:val="00D90390"/>
    <w:rsid w:val="00D93200"/>
    <w:rsid w:val="00D942EB"/>
    <w:rsid w:val="00D96A64"/>
    <w:rsid w:val="00DA2A7B"/>
    <w:rsid w:val="00DB010B"/>
    <w:rsid w:val="00DB0A18"/>
    <w:rsid w:val="00DC19F2"/>
    <w:rsid w:val="00DC67B5"/>
    <w:rsid w:val="00DC7E1B"/>
    <w:rsid w:val="00DD1DDC"/>
    <w:rsid w:val="00DD2398"/>
    <w:rsid w:val="00DD7E7A"/>
    <w:rsid w:val="00DE0398"/>
    <w:rsid w:val="00DE0E81"/>
    <w:rsid w:val="00DE7C65"/>
    <w:rsid w:val="00DF176C"/>
    <w:rsid w:val="00DF39E3"/>
    <w:rsid w:val="00E06C2F"/>
    <w:rsid w:val="00E23290"/>
    <w:rsid w:val="00E24399"/>
    <w:rsid w:val="00E274C6"/>
    <w:rsid w:val="00E364A9"/>
    <w:rsid w:val="00E40A0C"/>
    <w:rsid w:val="00E41399"/>
    <w:rsid w:val="00E56003"/>
    <w:rsid w:val="00E63279"/>
    <w:rsid w:val="00E742A3"/>
    <w:rsid w:val="00E748EA"/>
    <w:rsid w:val="00E74BD5"/>
    <w:rsid w:val="00E7592A"/>
    <w:rsid w:val="00E827A2"/>
    <w:rsid w:val="00E839DA"/>
    <w:rsid w:val="00E90B4F"/>
    <w:rsid w:val="00E915E3"/>
    <w:rsid w:val="00E91F43"/>
    <w:rsid w:val="00E94DA2"/>
    <w:rsid w:val="00E97B4B"/>
    <w:rsid w:val="00EA1FAE"/>
    <w:rsid w:val="00EB4197"/>
    <w:rsid w:val="00EB449C"/>
    <w:rsid w:val="00EB4756"/>
    <w:rsid w:val="00EB5164"/>
    <w:rsid w:val="00EC4AFD"/>
    <w:rsid w:val="00ED06E4"/>
    <w:rsid w:val="00ED0B52"/>
    <w:rsid w:val="00EE2509"/>
    <w:rsid w:val="00EE3D03"/>
    <w:rsid w:val="00EE740D"/>
    <w:rsid w:val="00EE7E4A"/>
    <w:rsid w:val="00EF19AA"/>
    <w:rsid w:val="00F02722"/>
    <w:rsid w:val="00F14BDB"/>
    <w:rsid w:val="00F16BEB"/>
    <w:rsid w:val="00F24F2E"/>
    <w:rsid w:val="00F2677A"/>
    <w:rsid w:val="00F27D29"/>
    <w:rsid w:val="00F40B83"/>
    <w:rsid w:val="00F40CE5"/>
    <w:rsid w:val="00F424C9"/>
    <w:rsid w:val="00F45EF4"/>
    <w:rsid w:val="00F47DCD"/>
    <w:rsid w:val="00F550B8"/>
    <w:rsid w:val="00F55B8E"/>
    <w:rsid w:val="00F66B41"/>
    <w:rsid w:val="00F872FC"/>
    <w:rsid w:val="00F970FB"/>
    <w:rsid w:val="00FA752E"/>
    <w:rsid w:val="00FB34CF"/>
    <w:rsid w:val="00FB39CB"/>
    <w:rsid w:val="00FC2254"/>
    <w:rsid w:val="00FC64EE"/>
    <w:rsid w:val="00FD14B3"/>
    <w:rsid w:val="00FF2E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colormru v:ext="edit" colors="#ddd,silver,#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tabs>
        <w:tab w:val="clear" w:pos="937"/>
        <w:tab w:val="num" w:pos="1021"/>
      </w:tabs>
      <w:ind w:left="1021"/>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B04DF5"/>
    <w:rPr>
      <w:lang w:eastAsia="en-US"/>
    </w:rPr>
  </w:style>
  <w:style w:type="character" w:customStyle="1" w:styleId="Heading2Char">
    <w:name w:val="Heading 2 Char"/>
    <w:basedOn w:val="DefaultParagraphFont"/>
    <w:link w:val="Heading2"/>
    <w:rsid w:val="00BB71E0"/>
    <w:rPr>
      <w:rFonts w:cs="Arial"/>
      <w:b/>
      <w:iCs/>
      <w:sz w:val="28"/>
      <w:szCs w:val="28"/>
      <w:lang w:eastAsia="en-US"/>
    </w:rPr>
  </w:style>
  <w:style w:type="paragraph" w:customStyle="1" w:styleId="IASBNormalnparaL1">
    <w:name w:val="IASB Normal nparaL1"/>
    <w:basedOn w:val="Normal"/>
    <w:rsid w:val="00AC58C4"/>
    <w:pPr>
      <w:spacing w:before="100" w:line="240" w:lineRule="auto"/>
      <w:ind w:left="1564" w:hanging="782"/>
      <w:jc w:val="both"/>
    </w:pPr>
    <w:rPr>
      <w:sz w:val="19"/>
      <w:lang w:val="en-US"/>
    </w:rPr>
  </w:style>
  <w:style w:type="paragraph" w:customStyle="1" w:styleId="IASBNormalnpara">
    <w:name w:val="IASB Normal npara"/>
    <w:basedOn w:val="Normal"/>
    <w:rsid w:val="005A6932"/>
    <w:pPr>
      <w:spacing w:before="100" w:line="240" w:lineRule="auto"/>
      <w:ind w:left="782" w:hanging="782"/>
      <w:jc w:val="both"/>
    </w:pPr>
    <w:rPr>
      <w:sz w:val="19"/>
      <w:lang w:val="en-US"/>
    </w:rPr>
  </w:style>
  <w:style w:type="paragraph" w:customStyle="1" w:styleId="IASBNormalnparaP">
    <w:name w:val="IASB Normal nparaP"/>
    <w:basedOn w:val="Normal"/>
    <w:rsid w:val="00572D72"/>
    <w:pPr>
      <w:tabs>
        <w:tab w:val="left" w:pos="4253"/>
      </w:tabs>
      <w:spacing w:before="100" w:after="100" w:line="240" w:lineRule="auto"/>
      <w:ind w:left="782"/>
      <w:jc w:val="both"/>
    </w:pPr>
    <w:rPr>
      <w:sz w:val="19"/>
      <w:lang w:val="en-US"/>
    </w:rPr>
  </w:style>
  <w:style w:type="paragraph" w:customStyle="1" w:styleId="IASBNormalnparaL2">
    <w:name w:val="IASB Normal nparaL2"/>
    <w:basedOn w:val="IASBNormalnparaL1"/>
    <w:rsid w:val="00DF176C"/>
    <w:pPr>
      <w:ind w:left="2347"/>
    </w:pPr>
  </w:style>
  <w:style w:type="character" w:styleId="CommentReference">
    <w:name w:val="annotation reference"/>
    <w:basedOn w:val="DefaultParagraphFont"/>
    <w:rsid w:val="00C62E88"/>
    <w:rPr>
      <w:sz w:val="16"/>
      <w:szCs w:val="16"/>
    </w:rPr>
  </w:style>
  <w:style w:type="paragraph" w:styleId="CommentText">
    <w:name w:val="annotation text"/>
    <w:basedOn w:val="Normal"/>
    <w:link w:val="CommentTextChar"/>
    <w:rsid w:val="00C62E88"/>
    <w:pPr>
      <w:spacing w:line="240" w:lineRule="auto"/>
    </w:pPr>
  </w:style>
  <w:style w:type="character" w:customStyle="1" w:styleId="CommentTextChar">
    <w:name w:val="Comment Text Char"/>
    <w:basedOn w:val="DefaultParagraphFont"/>
    <w:link w:val="CommentText"/>
    <w:rsid w:val="00C62E88"/>
    <w:rPr>
      <w:lang w:eastAsia="en-US"/>
    </w:rPr>
  </w:style>
  <w:style w:type="paragraph" w:styleId="CommentSubject">
    <w:name w:val="annotation subject"/>
    <w:basedOn w:val="CommentText"/>
    <w:next w:val="CommentText"/>
    <w:link w:val="CommentSubjectChar"/>
    <w:rsid w:val="00C62E88"/>
    <w:rPr>
      <w:b/>
      <w:bCs/>
    </w:rPr>
  </w:style>
  <w:style w:type="character" w:customStyle="1" w:styleId="CommentSubjectChar">
    <w:name w:val="Comment Subject Char"/>
    <w:basedOn w:val="CommentTextChar"/>
    <w:link w:val="CommentSubject"/>
    <w:rsid w:val="00C62E88"/>
    <w:rPr>
      <w:b/>
      <w:bCs/>
      <w:lang w:eastAsia="en-US"/>
    </w:rPr>
  </w:style>
  <w:style w:type="paragraph" w:styleId="BalloonText">
    <w:name w:val="Balloon Text"/>
    <w:basedOn w:val="Normal"/>
    <w:link w:val="BalloonTextChar"/>
    <w:rsid w:val="00C62E8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62E88"/>
    <w:rPr>
      <w:rFonts w:ascii="Tahoma" w:hAnsi="Tahoma" w:cs="Tahoma"/>
      <w:sz w:val="16"/>
      <w:szCs w:val="16"/>
      <w:lang w:eastAsia="en-US"/>
    </w:rPr>
  </w:style>
  <w:style w:type="paragraph" w:styleId="Revision">
    <w:name w:val="Revision"/>
    <w:hidden/>
    <w:uiPriority w:val="99"/>
    <w:semiHidden/>
    <w:rsid w:val="008E38D2"/>
    <w:rPr>
      <w:lang w:eastAsia="en-US"/>
    </w:rPr>
  </w:style>
  <w:style w:type="paragraph" w:customStyle="1" w:styleId="NumBold3RDR">
    <w:name w:val="Num Bold3 RDR"/>
    <w:basedOn w:val="Normal"/>
    <w:rsid w:val="0014172A"/>
    <w:pPr>
      <w:shd w:val="clear" w:color="auto" w:fill="D9D9D9"/>
      <w:tabs>
        <w:tab w:val="left" w:pos="1021"/>
      </w:tabs>
      <w:spacing w:after="200"/>
      <w:ind w:left="1531" w:hanging="1021"/>
    </w:pPr>
    <w:rPr>
      <w:b/>
    </w:rPr>
  </w:style>
  <w:style w:type="character" w:customStyle="1" w:styleId="HeaderChar">
    <w:name w:val="Header Char"/>
    <w:link w:val="Header"/>
    <w:uiPriority w:val="99"/>
    <w:rsid w:val="006511A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3429E"/>
    <w:pPr>
      <w:spacing w:line="200" w:lineRule="exact"/>
    </w:pPr>
    <w:rPr>
      <w:lang w:eastAsia="en-US"/>
    </w:rPr>
  </w:style>
  <w:style w:type="paragraph" w:styleId="Heading1">
    <w:name w:val="heading 1"/>
    <w:basedOn w:val="Normal"/>
    <w:next w:val="Normal"/>
    <w:qFormat/>
    <w:pPr>
      <w:keepNext/>
      <w:spacing w:after="200" w:line="280" w:lineRule="exact"/>
      <w:jc w:val="center"/>
      <w:outlineLvl w:val="0"/>
    </w:pPr>
    <w:rPr>
      <w:rFonts w:cs="Arial"/>
      <w:b/>
      <w:bCs/>
      <w:caps/>
      <w:sz w:val="28"/>
      <w:szCs w:val="32"/>
    </w:rPr>
  </w:style>
  <w:style w:type="paragraph" w:styleId="Heading2">
    <w:name w:val="heading 2"/>
    <w:basedOn w:val="Heading1"/>
    <w:next w:val="Normal"/>
    <w:link w:val="Heading2Char"/>
    <w:qFormat/>
    <w:pPr>
      <w:jc w:val="left"/>
      <w:outlineLvl w:val="1"/>
    </w:pPr>
    <w:rPr>
      <w:bCs w:val="0"/>
      <w:iCs/>
      <w:caps w:val="0"/>
      <w:szCs w:val="28"/>
    </w:rPr>
  </w:style>
  <w:style w:type="paragraph" w:styleId="Heading3">
    <w:name w:val="heading 3"/>
    <w:basedOn w:val="Heading2"/>
    <w:next w:val="Normal"/>
    <w:qFormat/>
    <w:pPr>
      <w:spacing w:line="240" w:lineRule="exact"/>
      <w:outlineLvl w:val="2"/>
    </w:pPr>
    <w:rPr>
      <w:bCs/>
      <w:sz w:val="24"/>
      <w:szCs w:val="26"/>
    </w:rPr>
  </w:style>
  <w:style w:type="paragraph" w:styleId="Heading4">
    <w:name w:val="heading 4"/>
    <w:basedOn w:val="Heading3"/>
    <w:next w:val="Normal"/>
    <w:qFormat/>
    <w:pPr>
      <w:spacing w:line="200" w:lineRule="exact"/>
      <w:outlineLvl w:val="3"/>
    </w:pPr>
    <w:rPr>
      <w:bCs w:val="0"/>
      <w:sz w:val="20"/>
      <w:szCs w:val="28"/>
    </w:rPr>
  </w:style>
  <w:style w:type="paragraph" w:styleId="Heading5">
    <w:name w:val="heading 5"/>
    <w:basedOn w:val="Heading4"/>
    <w:next w:val="Normal"/>
    <w:qFormat/>
    <w:pPr>
      <w:outlineLvl w:val="4"/>
    </w:pPr>
    <w:rPr>
      <w:bCs/>
      <w:i/>
      <w:iCs w:val="0"/>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Pr>
      <w:i/>
    </w:rPr>
  </w:style>
  <w:style w:type="paragraph" w:customStyle="1" w:styleId="Heading2Indent1">
    <w:name w:val="Heading 2 Indent1"/>
    <w:basedOn w:val="Heading2"/>
    <w:next w:val="Normal"/>
    <w:pPr>
      <w:ind w:left="510"/>
    </w:pPr>
  </w:style>
  <w:style w:type="paragraph" w:customStyle="1" w:styleId="Heading3Indent1">
    <w:name w:val="Heading 3 Indent1"/>
    <w:basedOn w:val="Heading3"/>
    <w:next w:val="Normal"/>
    <w:pPr>
      <w:ind w:left="510"/>
    </w:pPr>
  </w:style>
  <w:style w:type="paragraph" w:customStyle="1" w:styleId="Heading4Indent1">
    <w:name w:val="Heading 4 Indent1"/>
    <w:basedOn w:val="Heading4"/>
    <w:next w:val="Normal"/>
    <w:pPr>
      <w:ind w:left="510"/>
    </w:pPr>
  </w:style>
  <w:style w:type="paragraph" w:customStyle="1" w:styleId="Heading5Indent1">
    <w:name w:val="Heading 5 Indent1"/>
    <w:basedOn w:val="Heading5"/>
    <w:next w:val="Normal"/>
    <w:pPr>
      <w:ind w:left="510"/>
    </w:pPr>
  </w:style>
  <w:style w:type="paragraph" w:customStyle="1" w:styleId="Heading6Indent1">
    <w:name w:val="Heading 6 Indent1"/>
    <w:basedOn w:val="Heading6"/>
    <w:next w:val="Normal"/>
    <w:pPr>
      <w:ind w:left="510"/>
    </w:pPr>
  </w:style>
  <w:style w:type="paragraph" w:styleId="Header">
    <w:name w:val="header"/>
    <w:basedOn w:val="Normal"/>
    <w:link w:val="HeaderChar"/>
    <w:uiPriority w:val="99"/>
    <w:pPr>
      <w:tabs>
        <w:tab w:val="center" w:pos="3119"/>
        <w:tab w:val="right" w:pos="6237"/>
      </w:tabs>
    </w:pPr>
  </w:style>
  <w:style w:type="paragraph" w:styleId="Footer">
    <w:name w:val="footer"/>
    <w:basedOn w:val="Normal"/>
    <w:pPr>
      <w:tabs>
        <w:tab w:val="center" w:pos="3119"/>
        <w:tab w:val="right" w:pos="6237"/>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pPr>
      <w:tabs>
        <w:tab w:val="left" w:pos="907"/>
      </w:tabs>
    </w:pPr>
  </w:style>
  <w:style w:type="paragraph" w:customStyle="1" w:styleId="CoverLeadPara">
    <w:name w:val="Cover LeadPara"/>
    <w:basedOn w:val="Normal"/>
    <w:next w:val="Normal"/>
    <w:pPr>
      <w:spacing w:after="100"/>
    </w:pPr>
  </w:style>
  <w:style w:type="paragraph" w:customStyle="1" w:styleId="ContentsCapsPlainPg">
    <w:name w:val="Contents CapsPlainPg"/>
    <w:basedOn w:val="Normal"/>
    <w:next w:val="ContentsLevel1"/>
    <w:pPr>
      <w:tabs>
        <w:tab w:val="right" w:pos="6237"/>
      </w:tabs>
      <w:spacing w:after="200"/>
      <w:ind w:left="170" w:right="1134" w:hanging="170"/>
    </w:pPr>
    <w:rPr>
      <w:caps/>
    </w:rPr>
  </w:style>
  <w:style w:type="paragraph" w:customStyle="1" w:styleId="ContentsLevel1">
    <w:name w:val="Contents Level1"/>
    <w:basedOn w:val="Normal"/>
    <w:pPr>
      <w:tabs>
        <w:tab w:val="right" w:pos="6237"/>
      </w:tabs>
      <w:spacing w:after="60"/>
      <w:ind w:left="170" w:right="1134" w:hanging="170"/>
    </w:pPr>
  </w:style>
  <w:style w:type="paragraph" w:customStyle="1" w:styleId="ContentsCapsBoldPg">
    <w:name w:val="Contents CapsBoldPg"/>
    <w:basedOn w:val="ContentsCapsPlainPg"/>
    <w:next w:val="ContentsLevel1"/>
    <w:rPr>
      <w:b/>
    </w:rPr>
  </w:style>
  <w:style w:type="paragraph" w:customStyle="1" w:styleId="ContentsLevel2">
    <w:name w:val="Contents Level2"/>
    <w:basedOn w:val="ContentsLevel1"/>
    <w:pPr>
      <w:ind w:left="510"/>
    </w:p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3B0CAA"/>
    <w:pPr>
      <w:numPr>
        <w:numId w:val="7"/>
      </w:numPr>
      <w:spacing w:after="200"/>
    </w:pPr>
  </w:style>
  <w:style w:type="paragraph" w:customStyle="1" w:styleId="NoNumPlain1">
    <w:name w:val="NoNum Plain1"/>
    <w:basedOn w:val="Normal"/>
    <w:qFormat/>
    <w:pPr>
      <w:spacing w:after="2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pPr>
      <w:spacing w:after="2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426876"/>
    <w:pPr>
      <w:numPr>
        <w:numId w:val="1"/>
      </w:numPr>
      <w:spacing w:after="200"/>
    </w:pPr>
  </w:style>
  <w:style w:type="paragraph" w:customStyle="1" w:styleId="NumPlain2">
    <w:name w:val="Num Plain2"/>
    <w:basedOn w:val="NumPlain1"/>
    <w:rsid w:val="00426876"/>
    <w:pPr>
      <w:numPr>
        <w:ilvl w:val="1"/>
      </w:numPr>
      <w:tabs>
        <w:tab w:val="clear" w:pos="937"/>
        <w:tab w:val="num" w:pos="1021"/>
      </w:tabs>
      <w:ind w:left="1021"/>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F27D29"/>
    <w:pPr>
      <w:numPr>
        <w:numId w:val="6"/>
      </w:numPr>
      <w:spacing w:after="200"/>
    </w:pPr>
  </w:style>
  <w:style w:type="paragraph" w:customStyle="1" w:styleId="Bullet2">
    <w:name w:val="Bullet2"/>
    <w:basedOn w:val="Normal"/>
    <w:rsid w:val="00F27D29"/>
    <w:pPr>
      <w:numPr>
        <w:ilvl w:val="1"/>
        <w:numId w:val="6"/>
      </w:numPr>
      <w:spacing w:after="200"/>
    </w:pPr>
  </w:style>
  <w:style w:type="paragraph" w:customStyle="1" w:styleId="Bullet3">
    <w:name w:val="Bullet3"/>
    <w:basedOn w:val="Normal"/>
    <w:rsid w:val="00F27D29"/>
    <w:pPr>
      <w:numPr>
        <w:ilvl w:val="2"/>
        <w:numId w:val="6"/>
      </w:numPr>
      <w:spacing w:after="200"/>
    </w:pPr>
  </w:style>
  <w:style w:type="paragraph" w:customStyle="1" w:styleId="CommentsPage">
    <w:name w:val="CommentsPage"/>
    <w:basedOn w:val="Normal"/>
    <w:next w:val="Normal"/>
  </w:style>
  <w:style w:type="paragraph" w:customStyle="1" w:styleId="Bullet4">
    <w:name w:val="Bullet4"/>
    <w:basedOn w:val="Normal"/>
    <w:rsid w:val="00F27D29"/>
    <w:pPr>
      <w:numPr>
        <w:ilvl w:val="3"/>
        <w:numId w:val="6"/>
      </w:numPr>
      <w:spacing w:after="200"/>
    </w:pPr>
  </w:style>
  <w:style w:type="paragraph" w:customStyle="1" w:styleId="ContentsCapsPlain">
    <w:name w:val="Contents CapsPlain"/>
    <w:basedOn w:val="Normal"/>
    <w:next w:val="ContentsLevel1"/>
    <w:pPr>
      <w:spacing w:after="200"/>
    </w:pPr>
    <w:rPr>
      <w:caps/>
    </w:rPr>
  </w:style>
  <w:style w:type="paragraph" w:customStyle="1" w:styleId="ContentsCapsBold">
    <w:name w:val="Contents CapsBold"/>
    <w:basedOn w:val="ContentsCapsPlain"/>
    <w:next w:val="ContentsLevel1"/>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58004D"/>
    <w:pPr>
      <w:keepNext/>
      <w:spacing w:after="200" w:line="280" w:lineRule="exact"/>
      <w:jc w:val="center"/>
      <w:outlineLvl w:val="0"/>
    </w:pPr>
    <w:rPr>
      <w:b/>
      <w:caps/>
      <w:sz w:val="28"/>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2A201D"/>
    <w:pPr>
      <w:spacing w:after="200"/>
    </w:pPr>
    <w:rPr>
      <w:i/>
      <w:iCs/>
    </w:rPr>
  </w:style>
  <w:style w:type="paragraph" w:customStyle="1" w:styleId="AppendixText">
    <w:name w:val="AppendixText"/>
    <w:basedOn w:val="Normal"/>
    <w:rsid w:val="002A201D"/>
    <w:pPr>
      <w:spacing w:after="200"/>
    </w:pPr>
  </w:style>
  <w:style w:type="paragraph" w:customStyle="1" w:styleId="AppendixTitle">
    <w:name w:val="AppendixTitle"/>
    <w:basedOn w:val="Normal"/>
    <w:next w:val="AppendixNote"/>
    <w:rsid w:val="002A201D"/>
    <w:pPr>
      <w:keepNext/>
      <w:spacing w:after="200" w:line="280" w:lineRule="exact"/>
      <w:jc w:val="center"/>
      <w:outlineLvl w:val="0"/>
    </w:pPr>
    <w:rPr>
      <w:b/>
      <w:caps/>
      <w:sz w:val="28"/>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401ECA"/>
    <w:pPr>
      <w:numPr>
        <w:numId w:val="3"/>
      </w:numPr>
      <w:spacing w:after="2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426876"/>
    <w:pPr>
      <w:numPr>
        <w:numId w:val="4"/>
      </w:numPr>
      <w:spacing w:after="2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B04DF5"/>
    <w:rPr>
      <w:lang w:eastAsia="en-US"/>
    </w:rPr>
  </w:style>
  <w:style w:type="character" w:customStyle="1" w:styleId="Heading2Char">
    <w:name w:val="Heading 2 Char"/>
    <w:basedOn w:val="DefaultParagraphFont"/>
    <w:link w:val="Heading2"/>
    <w:rsid w:val="00BB71E0"/>
    <w:rPr>
      <w:rFonts w:cs="Arial"/>
      <w:b/>
      <w:iCs/>
      <w:sz w:val="28"/>
      <w:szCs w:val="28"/>
      <w:lang w:eastAsia="en-US"/>
    </w:rPr>
  </w:style>
  <w:style w:type="paragraph" w:customStyle="1" w:styleId="IASBNormalnparaL1">
    <w:name w:val="IASB Normal nparaL1"/>
    <w:basedOn w:val="Normal"/>
    <w:rsid w:val="00AC58C4"/>
    <w:pPr>
      <w:spacing w:before="100" w:line="240" w:lineRule="auto"/>
      <w:ind w:left="1564" w:hanging="782"/>
      <w:jc w:val="both"/>
    </w:pPr>
    <w:rPr>
      <w:sz w:val="19"/>
      <w:lang w:val="en-US"/>
    </w:rPr>
  </w:style>
  <w:style w:type="paragraph" w:customStyle="1" w:styleId="IASBNormalnpara">
    <w:name w:val="IASB Normal npara"/>
    <w:basedOn w:val="Normal"/>
    <w:rsid w:val="005A6932"/>
    <w:pPr>
      <w:spacing w:before="100" w:line="240" w:lineRule="auto"/>
      <w:ind w:left="782" w:hanging="782"/>
      <w:jc w:val="both"/>
    </w:pPr>
    <w:rPr>
      <w:sz w:val="19"/>
      <w:lang w:val="en-US"/>
    </w:rPr>
  </w:style>
  <w:style w:type="paragraph" w:customStyle="1" w:styleId="IASBNormalnparaP">
    <w:name w:val="IASB Normal nparaP"/>
    <w:basedOn w:val="Normal"/>
    <w:rsid w:val="00572D72"/>
    <w:pPr>
      <w:tabs>
        <w:tab w:val="left" w:pos="4253"/>
      </w:tabs>
      <w:spacing w:before="100" w:after="100" w:line="240" w:lineRule="auto"/>
      <w:ind w:left="782"/>
      <w:jc w:val="both"/>
    </w:pPr>
    <w:rPr>
      <w:sz w:val="19"/>
      <w:lang w:val="en-US"/>
    </w:rPr>
  </w:style>
  <w:style w:type="paragraph" w:customStyle="1" w:styleId="IASBNormalnparaL2">
    <w:name w:val="IASB Normal nparaL2"/>
    <w:basedOn w:val="IASBNormalnparaL1"/>
    <w:rsid w:val="00DF176C"/>
    <w:pPr>
      <w:ind w:left="2347"/>
    </w:pPr>
  </w:style>
  <w:style w:type="character" w:styleId="CommentReference">
    <w:name w:val="annotation reference"/>
    <w:basedOn w:val="DefaultParagraphFont"/>
    <w:rsid w:val="00C62E88"/>
    <w:rPr>
      <w:sz w:val="16"/>
      <w:szCs w:val="16"/>
    </w:rPr>
  </w:style>
  <w:style w:type="paragraph" w:styleId="CommentText">
    <w:name w:val="annotation text"/>
    <w:basedOn w:val="Normal"/>
    <w:link w:val="CommentTextChar"/>
    <w:rsid w:val="00C62E88"/>
    <w:pPr>
      <w:spacing w:line="240" w:lineRule="auto"/>
    </w:pPr>
  </w:style>
  <w:style w:type="character" w:customStyle="1" w:styleId="CommentTextChar">
    <w:name w:val="Comment Text Char"/>
    <w:basedOn w:val="DefaultParagraphFont"/>
    <w:link w:val="CommentText"/>
    <w:rsid w:val="00C62E88"/>
    <w:rPr>
      <w:lang w:eastAsia="en-US"/>
    </w:rPr>
  </w:style>
  <w:style w:type="paragraph" w:styleId="CommentSubject">
    <w:name w:val="annotation subject"/>
    <w:basedOn w:val="CommentText"/>
    <w:next w:val="CommentText"/>
    <w:link w:val="CommentSubjectChar"/>
    <w:rsid w:val="00C62E88"/>
    <w:rPr>
      <w:b/>
      <w:bCs/>
    </w:rPr>
  </w:style>
  <w:style w:type="character" w:customStyle="1" w:styleId="CommentSubjectChar">
    <w:name w:val="Comment Subject Char"/>
    <w:basedOn w:val="CommentTextChar"/>
    <w:link w:val="CommentSubject"/>
    <w:rsid w:val="00C62E88"/>
    <w:rPr>
      <w:b/>
      <w:bCs/>
      <w:lang w:eastAsia="en-US"/>
    </w:rPr>
  </w:style>
  <w:style w:type="paragraph" w:styleId="BalloonText">
    <w:name w:val="Balloon Text"/>
    <w:basedOn w:val="Normal"/>
    <w:link w:val="BalloonTextChar"/>
    <w:rsid w:val="00C62E88"/>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62E88"/>
    <w:rPr>
      <w:rFonts w:ascii="Tahoma" w:hAnsi="Tahoma" w:cs="Tahoma"/>
      <w:sz w:val="16"/>
      <w:szCs w:val="16"/>
      <w:lang w:eastAsia="en-US"/>
    </w:rPr>
  </w:style>
  <w:style w:type="paragraph" w:styleId="Revision">
    <w:name w:val="Revision"/>
    <w:hidden/>
    <w:uiPriority w:val="99"/>
    <w:semiHidden/>
    <w:rsid w:val="008E38D2"/>
    <w:rPr>
      <w:lang w:eastAsia="en-US"/>
    </w:rPr>
  </w:style>
  <w:style w:type="paragraph" w:customStyle="1" w:styleId="NumBold3RDR">
    <w:name w:val="Num Bold3 RDR"/>
    <w:basedOn w:val="Normal"/>
    <w:rsid w:val="0014172A"/>
    <w:pPr>
      <w:shd w:val="clear" w:color="auto" w:fill="D9D9D9"/>
      <w:tabs>
        <w:tab w:val="left" w:pos="1021"/>
      </w:tabs>
      <w:spacing w:after="200"/>
      <w:ind w:left="1531" w:hanging="1021"/>
    </w:pPr>
    <w:rPr>
      <w:b/>
    </w:rPr>
  </w:style>
  <w:style w:type="character" w:customStyle="1" w:styleId="HeaderChar">
    <w:name w:val="Header Char"/>
    <w:link w:val="Header"/>
    <w:uiPriority w:val="99"/>
    <w:rsid w:val="006511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871251">
      <w:bodyDiv w:val="1"/>
      <w:marLeft w:val="0"/>
      <w:marRight w:val="0"/>
      <w:marTop w:val="0"/>
      <w:marBottom w:val="0"/>
      <w:divBdr>
        <w:top w:val="none" w:sz="0" w:space="0" w:color="auto"/>
        <w:left w:val="none" w:sz="0" w:space="0" w:color="auto"/>
        <w:bottom w:val="none" w:sz="0" w:space="0" w:color="auto"/>
        <w:right w:val="none" w:sz="0" w:space="0" w:color="auto"/>
      </w:divBdr>
      <w:divsChild>
        <w:div w:id="644971022">
          <w:marLeft w:val="0"/>
          <w:marRight w:val="0"/>
          <w:marTop w:val="0"/>
          <w:marBottom w:val="0"/>
          <w:divBdr>
            <w:top w:val="none" w:sz="0" w:space="0" w:color="auto"/>
            <w:left w:val="none" w:sz="0" w:space="0" w:color="auto"/>
            <w:bottom w:val="none" w:sz="0" w:space="0" w:color="auto"/>
            <w:right w:val="none" w:sz="0" w:space="0" w:color="auto"/>
          </w:divBdr>
          <w:divsChild>
            <w:div w:id="789013292">
              <w:marLeft w:val="0"/>
              <w:marRight w:val="0"/>
              <w:marTop w:val="0"/>
              <w:marBottom w:val="0"/>
              <w:divBdr>
                <w:top w:val="none" w:sz="0" w:space="0" w:color="auto"/>
                <w:left w:val="none" w:sz="0" w:space="0" w:color="auto"/>
                <w:bottom w:val="none" w:sz="0" w:space="0" w:color="auto"/>
                <w:right w:val="none" w:sz="0" w:space="0" w:color="auto"/>
              </w:divBdr>
              <w:divsChild>
                <w:div w:id="1620724943">
                  <w:marLeft w:val="0"/>
                  <w:marRight w:val="0"/>
                  <w:marTop w:val="0"/>
                  <w:marBottom w:val="0"/>
                  <w:divBdr>
                    <w:top w:val="none" w:sz="0" w:space="0" w:color="auto"/>
                    <w:left w:val="none" w:sz="0" w:space="0" w:color="auto"/>
                    <w:bottom w:val="none" w:sz="0" w:space="0" w:color="auto"/>
                    <w:right w:val="none" w:sz="0" w:space="0" w:color="auto"/>
                  </w:divBdr>
                  <w:divsChild>
                    <w:div w:id="16656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aasb.com.au\shareddata\General\AASB\Templates\2010\WordGlobal\Amending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03A4-EF05-42BC-98AA-F075E8D03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AmendingStandard</Template>
  <TotalTime>4</TotalTime>
  <Pages>7</Pages>
  <Words>2262</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Amending Standard</vt:lpstr>
    </vt:vector>
  </TitlesOfParts>
  <Company>Australian Accounting Standards Board</Company>
  <LinksUpToDate>false</LinksUpToDate>
  <CharactersWithSpaces>14778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Amending Standard 2014-9</dc:title>
  <dc:creator>David Ji</dc:creator>
  <cp:lastModifiedBy>Mitchell Bryce</cp:lastModifiedBy>
  <cp:revision>6</cp:revision>
  <cp:lastPrinted>2015-01-07T04:48:00Z</cp:lastPrinted>
  <dcterms:created xsi:type="dcterms:W3CDTF">2015-01-07T04:36:00Z</dcterms:created>
  <dcterms:modified xsi:type="dcterms:W3CDTF">2015-01-29T05:36:00Z</dcterms:modified>
</cp:coreProperties>
</file>