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rsidP="00406B00">
      <w:pPr>
        <w:pStyle w:val="CoverTitle"/>
        <w:spacing w:after="600"/>
        <w:jc w:val="center"/>
      </w:pPr>
      <w:r>
        <w:t>Explanatory Statement</w:t>
      </w:r>
    </w:p>
    <w:p w:rsidR="00414BC3" w:rsidRDefault="000C2542" w:rsidP="00DE49EB">
      <w:pPr>
        <w:pStyle w:val="CoverTitle"/>
        <w:spacing w:after="3000"/>
        <w:jc w:val="center"/>
      </w:pPr>
      <w:r w:rsidRPr="00347521">
        <w:rPr>
          <w:sz w:val="36"/>
          <w:szCs w:val="36"/>
        </w:rPr>
        <w:t xml:space="preserve">Accounting Standard AASB </w:t>
      </w:r>
      <w:r w:rsidR="00F90091">
        <w:rPr>
          <w:sz w:val="36"/>
          <w:szCs w:val="36"/>
        </w:rPr>
        <w:t>201</w:t>
      </w:r>
      <w:r w:rsidR="008D2DEC">
        <w:rPr>
          <w:sz w:val="36"/>
          <w:szCs w:val="36"/>
        </w:rPr>
        <w:t>5</w:t>
      </w:r>
      <w:r w:rsidR="00F90091">
        <w:rPr>
          <w:sz w:val="36"/>
          <w:szCs w:val="36"/>
        </w:rPr>
        <w:t>-</w:t>
      </w:r>
      <w:r w:rsidR="00A277C5">
        <w:rPr>
          <w:sz w:val="36"/>
          <w:szCs w:val="36"/>
        </w:rPr>
        <w:t>1</w:t>
      </w:r>
      <w:r>
        <w:rPr>
          <w:sz w:val="36"/>
          <w:szCs w:val="36"/>
        </w:rPr>
        <w:br/>
      </w:r>
      <w:r w:rsidRPr="009A7973">
        <w:rPr>
          <w:i/>
          <w:sz w:val="36"/>
          <w:szCs w:val="36"/>
        </w:rPr>
        <w:t xml:space="preserve">Amendments to </w:t>
      </w:r>
      <w:r w:rsidR="003D0C08">
        <w:rPr>
          <w:i/>
          <w:sz w:val="36"/>
          <w:szCs w:val="36"/>
        </w:rPr>
        <w:t>Australian Accounting Standards</w:t>
      </w:r>
      <w:r w:rsidRPr="009A7973">
        <w:rPr>
          <w:i/>
          <w:sz w:val="36"/>
          <w:szCs w:val="36"/>
        </w:rPr>
        <w:t xml:space="preserve"> – </w:t>
      </w:r>
      <w:r w:rsidR="008D2DEC">
        <w:rPr>
          <w:i/>
          <w:sz w:val="36"/>
          <w:szCs w:val="36"/>
        </w:rPr>
        <w:t xml:space="preserve">Annual Improvements to Australian Accounting Standards </w:t>
      </w:r>
      <w:r w:rsidR="00DE49EB">
        <w:rPr>
          <w:i/>
          <w:sz w:val="36"/>
          <w:szCs w:val="36"/>
        </w:rPr>
        <w:br/>
      </w:r>
      <w:r w:rsidR="008D2DEC">
        <w:rPr>
          <w:i/>
          <w:sz w:val="36"/>
          <w:szCs w:val="36"/>
        </w:rPr>
        <w:t>2012</w:t>
      </w:r>
      <w:r w:rsidR="00DE49EB">
        <w:rPr>
          <w:i/>
          <w:sz w:val="36"/>
          <w:szCs w:val="36"/>
        </w:rPr>
        <w:t>–</w:t>
      </w:r>
      <w:r w:rsidR="008D2DEC">
        <w:rPr>
          <w:i/>
          <w:sz w:val="36"/>
          <w:szCs w:val="36"/>
        </w:rPr>
        <w:t>2014 Cycle</w:t>
      </w:r>
    </w:p>
    <w:p w:rsidR="00414BC3" w:rsidRPr="00396BCD" w:rsidRDefault="008D2DEC" w:rsidP="000D428B">
      <w:pPr>
        <w:pStyle w:val="CoverDate"/>
        <w:tabs>
          <w:tab w:val="left" w:pos="3794"/>
          <w:tab w:val="left" w:pos="6232"/>
        </w:tabs>
        <w:spacing w:before="840"/>
        <w:rPr>
          <w:b/>
          <w:sz w:val="28"/>
          <w:szCs w:val="28"/>
        </w:rPr>
      </w:pPr>
      <w:r>
        <w:rPr>
          <w:b/>
          <w:sz w:val="28"/>
          <w:szCs w:val="28"/>
        </w:rPr>
        <w:t>January</w:t>
      </w:r>
      <w:r w:rsidR="0065637A">
        <w:rPr>
          <w:b/>
          <w:sz w:val="28"/>
          <w:szCs w:val="28"/>
        </w:rPr>
        <w:t xml:space="preserve"> </w:t>
      </w:r>
      <w:r w:rsidR="00225101">
        <w:rPr>
          <w:b/>
          <w:sz w:val="28"/>
          <w:szCs w:val="28"/>
        </w:rPr>
        <w:t>20</w:t>
      </w:r>
      <w:r w:rsidR="00391DC5">
        <w:rPr>
          <w:b/>
          <w:sz w:val="28"/>
          <w:szCs w:val="28"/>
        </w:rPr>
        <w:t>1</w:t>
      </w:r>
      <w:r>
        <w:rPr>
          <w:b/>
          <w:sz w:val="28"/>
          <w:szCs w:val="28"/>
        </w:rPr>
        <w:t>5</w:t>
      </w:r>
    </w:p>
    <w:p w:rsidR="00414BC3" w:rsidRDefault="00414BC3"/>
    <w:p w:rsidR="00414BC3" w:rsidRDefault="00414BC3"/>
    <w:p w:rsidR="00414BC3" w:rsidRDefault="004B42C5">
      <w:pPr>
        <w:sectPr w:rsidR="00414BC3" w:rsidSect="008921A1">
          <w:pgSz w:w="11907" w:h="16840" w:code="9"/>
          <w:pgMar w:top="1134" w:right="1134" w:bottom="1134" w:left="1134" w:header="720" w:footer="720" w:gutter="0"/>
          <w:paperSrc w:first="1025" w:other="1025"/>
          <w:cols w:space="720"/>
        </w:sect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9" o:title=""/>
            <w10:wrap anchorx="margin" anchory="margin"/>
            <w10:anchorlock/>
          </v:shape>
          <o:OLEObject Type="Embed" ProgID="Word.Picture.8" ShapeID="_x0000_s1026" DrawAspect="Content" ObjectID="_1483940433" r:id="rId10"/>
        </w:pict>
      </w:r>
    </w:p>
    <w:p w:rsidR="00414BC3" w:rsidRDefault="00414BC3">
      <w:pPr>
        <w:pStyle w:val="Heading1"/>
      </w:pPr>
      <w:r>
        <w:lastRenderedPageBreak/>
        <w:t>EXPLANATORY STATEMENT</w:t>
      </w:r>
    </w:p>
    <w:p w:rsidR="000C2542" w:rsidRDefault="000C2542" w:rsidP="000C2542">
      <w:pPr>
        <w:pStyle w:val="Heading2"/>
      </w:pPr>
      <w:r>
        <w:t xml:space="preserve">Reasons for Issuing AASB </w:t>
      </w:r>
      <w:r w:rsidR="00A277C5">
        <w:t>2015-1</w:t>
      </w:r>
    </w:p>
    <w:p w:rsidR="000C2542" w:rsidRDefault="008D2DEC" w:rsidP="008D2DEC">
      <w:pPr>
        <w:pStyle w:val="NoNumPlain1"/>
      </w:pPr>
      <w:r>
        <w:t xml:space="preserve">AASB </w:t>
      </w:r>
      <w:r w:rsidR="00A277C5">
        <w:t>2015-1</w:t>
      </w:r>
      <w:r w:rsidR="0065637A">
        <w:t xml:space="preserve"> </w:t>
      </w:r>
      <w:r w:rsidR="000C2542" w:rsidRPr="009A7973">
        <w:rPr>
          <w:i/>
        </w:rPr>
        <w:t xml:space="preserve">Amendments to </w:t>
      </w:r>
      <w:r w:rsidR="003D0C08">
        <w:rPr>
          <w:i/>
        </w:rPr>
        <w:t>Australian Accounting Standards</w:t>
      </w:r>
      <w:r w:rsidR="000C2542" w:rsidRPr="009A7973">
        <w:rPr>
          <w:i/>
        </w:rPr>
        <w:t xml:space="preserve"> – </w:t>
      </w:r>
      <w:r>
        <w:rPr>
          <w:i/>
        </w:rPr>
        <w:t>Annual Improvements to Australian Accounting Standards 2012</w:t>
      </w:r>
      <w:r w:rsidR="00DE49EB">
        <w:rPr>
          <w:i/>
        </w:rPr>
        <w:t>–</w:t>
      </w:r>
      <w:r>
        <w:rPr>
          <w:i/>
        </w:rPr>
        <w:t>2014 Cycle</w:t>
      </w:r>
      <w:r w:rsidR="000C2542">
        <w:t xml:space="preserve"> makes amendments to</w:t>
      </w:r>
      <w:r w:rsidR="00167F34">
        <w:t xml:space="preserve"> </w:t>
      </w:r>
      <w:r>
        <w:t xml:space="preserve">various Australian Accounting Standards arising from the issuance of International Financial Reporting Standard </w:t>
      </w:r>
      <w:r>
        <w:rPr>
          <w:i/>
        </w:rPr>
        <w:t>Annual Improvements to IFRSs 2012</w:t>
      </w:r>
      <w:r w:rsidR="00DE49EB">
        <w:rPr>
          <w:i/>
        </w:rPr>
        <w:t>–</w:t>
      </w:r>
      <w:r>
        <w:rPr>
          <w:i/>
        </w:rPr>
        <w:t>2014 Cycle</w:t>
      </w:r>
      <w:r w:rsidRPr="0000292B">
        <w:fldChar w:fldCharType="begin" w:fldLock="1"/>
      </w:r>
      <w:r w:rsidRPr="0000292B">
        <w:instrText xml:space="preserve"> REF </w:instrText>
      </w:r>
      <w:r>
        <w:instrText>ArisingNo</w:instrText>
      </w:r>
      <w:r w:rsidRPr="0000292B">
        <w:instrText xml:space="preserve">  \* charformat </w:instrText>
      </w:r>
      <w:r>
        <w:instrText xml:space="preserve"> \* MERGEFORMAT </w:instrText>
      </w:r>
      <w:r w:rsidRPr="0000292B">
        <w:fldChar w:fldCharType="end"/>
      </w:r>
      <w:r>
        <w:t xml:space="preserve"> in September 201</w:t>
      </w:r>
      <w:r w:rsidR="00A277C5">
        <w:t>4</w:t>
      </w:r>
      <w:r>
        <w:t xml:space="preserve"> by the IASB, and editorial corrections.  The </w:t>
      </w:r>
      <w:r w:rsidR="00DE49EB">
        <w:t xml:space="preserve">IASB’s </w:t>
      </w:r>
      <w:r w:rsidR="00B33234">
        <w:t>A</w:t>
      </w:r>
      <w:r>
        <w:t xml:space="preserve">nnual </w:t>
      </w:r>
      <w:r w:rsidR="00B33234">
        <w:t>I</w:t>
      </w:r>
      <w:r>
        <w:t xml:space="preserve">mprovements </w:t>
      </w:r>
      <w:r w:rsidR="00B33234">
        <w:t>process</w:t>
      </w:r>
      <w:r>
        <w:t xml:space="preserve"> provides a vehicle for making non-urgent but necessary amendments to Standards</w:t>
      </w:r>
      <w:r w:rsidR="000C2542">
        <w:t>.</w:t>
      </w:r>
    </w:p>
    <w:p w:rsidR="000C2542" w:rsidRDefault="000C2542" w:rsidP="000C2542">
      <w:pPr>
        <w:pStyle w:val="Heading2"/>
      </w:pPr>
      <w:r>
        <w:t xml:space="preserve">Main Features of AASB </w:t>
      </w:r>
      <w:r w:rsidR="00A277C5">
        <w:t>2015-1</w:t>
      </w:r>
    </w:p>
    <w:p w:rsidR="00386EC6" w:rsidRDefault="00386EC6" w:rsidP="00386EC6">
      <w:pPr>
        <w:pStyle w:val="Heading3"/>
      </w:pPr>
      <w:r>
        <w:t>Main Requirements</w:t>
      </w:r>
    </w:p>
    <w:p w:rsidR="008D2DEC" w:rsidRPr="0000292B" w:rsidRDefault="008D2DEC" w:rsidP="008D2DEC">
      <w:pPr>
        <w:pStyle w:val="NoNumPlain1"/>
      </w:pPr>
      <w:r>
        <w:t xml:space="preserve">The subjects of the principal amendments to the Standards are set out below: </w:t>
      </w:r>
    </w:p>
    <w:tbl>
      <w:tblPr>
        <w:tblW w:w="5000" w:type="pct"/>
        <w:tblLook w:val="0000" w:firstRow="0" w:lastRow="0" w:firstColumn="0" w:lastColumn="0" w:noHBand="0" w:noVBand="0"/>
        <w:tblCaption w:val="Standards and subjects amended "/>
        <w:tblDescription w:val="Describes the Stds amended and the subject of the amendment."/>
      </w:tblPr>
      <w:tblGrid>
        <w:gridCol w:w="4715"/>
        <w:gridCol w:w="5140"/>
      </w:tblGrid>
      <w:tr w:rsidR="008D2DEC" w:rsidTr="00FF1EB4">
        <w:trPr>
          <w:cantSplit/>
          <w:tblHeader/>
        </w:trPr>
        <w:tc>
          <w:tcPr>
            <w:tcW w:w="2392" w:type="pct"/>
            <w:tcBorders>
              <w:top w:val="single" w:sz="4" w:space="0" w:color="auto"/>
              <w:left w:val="single" w:sz="4" w:space="0" w:color="auto"/>
              <w:bottom w:val="single" w:sz="4" w:space="0" w:color="auto"/>
              <w:right w:val="single" w:sz="4" w:space="0" w:color="auto"/>
            </w:tcBorders>
            <w:vAlign w:val="bottom"/>
          </w:tcPr>
          <w:p w:rsidR="008D2DEC" w:rsidRDefault="008D2DEC" w:rsidP="00FF1EB4">
            <w:pPr>
              <w:pStyle w:val="NoNumBold1"/>
            </w:pPr>
            <w:r>
              <w:t>Standard</w:t>
            </w:r>
          </w:p>
        </w:tc>
        <w:tc>
          <w:tcPr>
            <w:tcW w:w="2608" w:type="pct"/>
            <w:tcBorders>
              <w:top w:val="single" w:sz="4" w:space="0" w:color="auto"/>
              <w:left w:val="nil"/>
              <w:bottom w:val="single" w:sz="4" w:space="0" w:color="auto"/>
              <w:right w:val="single" w:sz="4" w:space="0" w:color="auto"/>
            </w:tcBorders>
            <w:vAlign w:val="bottom"/>
          </w:tcPr>
          <w:p w:rsidR="008D2DEC" w:rsidRDefault="008D2DEC" w:rsidP="00FF1EB4">
            <w:pPr>
              <w:pStyle w:val="NoNumBold1"/>
            </w:pPr>
            <w:r>
              <w:t>Subject of amendment</w:t>
            </w:r>
          </w:p>
        </w:tc>
      </w:tr>
      <w:tr w:rsidR="008D2DEC" w:rsidTr="00FF1EB4">
        <w:trPr>
          <w:cantSplit/>
        </w:trPr>
        <w:tc>
          <w:tcPr>
            <w:tcW w:w="2392" w:type="pct"/>
            <w:tcBorders>
              <w:top w:val="single" w:sz="4" w:space="0" w:color="auto"/>
              <w:left w:val="single" w:sz="4" w:space="0" w:color="auto"/>
              <w:bottom w:val="single" w:sz="4" w:space="0" w:color="auto"/>
              <w:right w:val="single" w:sz="4" w:space="0" w:color="auto"/>
            </w:tcBorders>
          </w:tcPr>
          <w:p w:rsidR="008D2DEC" w:rsidRDefault="008D2DEC" w:rsidP="00FF1EB4">
            <w:pPr>
              <w:pStyle w:val="NoNumPlain1"/>
              <w:spacing w:after="120"/>
            </w:pPr>
            <w:r>
              <w:t xml:space="preserve">AASB 5 </w:t>
            </w:r>
            <w:r w:rsidRPr="007C0C0E">
              <w:rPr>
                <w:i/>
              </w:rPr>
              <w:t>Non-current Assets Held for Sale and Discontinued Operations</w:t>
            </w:r>
          </w:p>
        </w:tc>
        <w:tc>
          <w:tcPr>
            <w:tcW w:w="2608" w:type="pct"/>
            <w:tcBorders>
              <w:top w:val="nil"/>
              <w:left w:val="nil"/>
              <w:bottom w:val="single" w:sz="4" w:space="0" w:color="auto"/>
              <w:right w:val="single" w:sz="4" w:space="0" w:color="auto"/>
            </w:tcBorders>
          </w:tcPr>
          <w:p w:rsidR="008D2DEC" w:rsidRDefault="008D2DEC" w:rsidP="00FF1EB4">
            <w:pPr>
              <w:pStyle w:val="NoNumPlain1"/>
              <w:spacing w:after="120"/>
            </w:pPr>
            <w:r>
              <w:t>Changes in methods of disposal.</w:t>
            </w:r>
          </w:p>
        </w:tc>
      </w:tr>
      <w:tr w:rsidR="008D2DEC" w:rsidTr="00FF1EB4">
        <w:trPr>
          <w:cantSplit/>
        </w:trPr>
        <w:tc>
          <w:tcPr>
            <w:tcW w:w="2392" w:type="pct"/>
            <w:vMerge w:val="restart"/>
            <w:tcBorders>
              <w:top w:val="single" w:sz="4" w:space="0" w:color="auto"/>
              <w:left w:val="single" w:sz="4" w:space="0" w:color="auto"/>
              <w:right w:val="single" w:sz="4" w:space="0" w:color="auto"/>
            </w:tcBorders>
          </w:tcPr>
          <w:p w:rsidR="008D2DEC" w:rsidRDefault="008D2DEC" w:rsidP="00FF1EB4">
            <w:pPr>
              <w:pStyle w:val="NoNumPlain1"/>
              <w:spacing w:after="120"/>
            </w:pPr>
            <w:r>
              <w:t xml:space="preserve">AASB 7 </w:t>
            </w:r>
            <w:r w:rsidRPr="007C0C0E">
              <w:rPr>
                <w:i/>
              </w:rPr>
              <w:t>Financial Instruments: Disclosures</w:t>
            </w:r>
          </w:p>
        </w:tc>
        <w:tc>
          <w:tcPr>
            <w:tcW w:w="2608" w:type="pct"/>
            <w:tcBorders>
              <w:top w:val="nil"/>
              <w:left w:val="nil"/>
              <w:bottom w:val="single" w:sz="4" w:space="0" w:color="auto"/>
              <w:right w:val="single" w:sz="4" w:space="0" w:color="auto"/>
            </w:tcBorders>
          </w:tcPr>
          <w:p w:rsidR="008D2DEC" w:rsidRDefault="008D2DEC" w:rsidP="00FF1EB4">
            <w:pPr>
              <w:pStyle w:val="NoNumPlain1"/>
              <w:spacing w:after="120"/>
            </w:pPr>
            <w:r>
              <w:t>Servicing contracts.</w:t>
            </w:r>
          </w:p>
        </w:tc>
      </w:tr>
      <w:tr w:rsidR="008D2DEC" w:rsidTr="00FF1EB4">
        <w:trPr>
          <w:cantSplit/>
          <w:trHeight w:val="501"/>
        </w:trPr>
        <w:tc>
          <w:tcPr>
            <w:tcW w:w="2392" w:type="pct"/>
            <w:vMerge/>
            <w:tcBorders>
              <w:left w:val="single" w:sz="4" w:space="0" w:color="auto"/>
              <w:bottom w:val="single" w:sz="4" w:space="0" w:color="auto"/>
              <w:right w:val="single" w:sz="4" w:space="0" w:color="auto"/>
            </w:tcBorders>
          </w:tcPr>
          <w:p w:rsidR="008D2DEC" w:rsidRDefault="008D2DEC" w:rsidP="00FF1EB4">
            <w:pPr>
              <w:pStyle w:val="NoNumPlain1"/>
              <w:spacing w:after="120"/>
            </w:pPr>
          </w:p>
        </w:tc>
        <w:tc>
          <w:tcPr>
            <w:tcW w:w="2608" w:type="pct"/>
            <w:tcBorders>
              <w:top w:val="nil"/>
              <w:left w:val="nil"/>
              <w:bottom w:val="single" w:sz="4" w:space="0" w:color="auto"/>
              <w:right w:val="single" w:sz="4" w:space="0" w:color="auto"/>
            </w:tcBorders>
          </w:tcPr>
          <w:p w:rsidR="008D2DEC" w:rsidRDefault="008D2DEC" w:rsidP="00FF1EB4">
            <w:pPr>
              <w:pStyle w:val="NoNumPlain1"/>
              <w:spacing w:after="120"/>
            </w:pPr>
            <w:r>
              <w:t>Applicability of the amendments to AASB 7 to condensed interim financial statements.</w:t>
            </w:r>
          </w:p>
        </w:tc>
      </w:tr>
      <w:tr w:rsidR="008D2DEC" w:rsidTr="00FF1EB4">
        <w:trPr>
          <w:cantSplit/>
        </w:trPr>
        <w:tc>
          <w:tcPr>
            <w:tcW w:w="2392" w:type="pct"/>
            <w:tcBorders>
              <w:top w:val="nil"/>
              <w:left w:val="single" w:sz="4" w:space="0" w:color="auto"/>
              <w:bottom w:val="single" w:sz="4" w:space="0" w:color="auto"/>
              <w:right w:val="single" w:sz="4" w:space="0" w:color="auto"/>
            </w:tcBorders>
          </w:tcPr>
          <w:p w:rsidR="008D2DEC" w:rsidRDefault="008D2DEC" w:rsidP="00FF1EB4">
            <w:pPr>
              <w:pStyle w:val="NoNumPlain1"/>
              <w:spacing w:after="120"/>
            </w:pPr>
            <w:r>
              <w:t xml:space="preserve">AASB 119 </w:t>
            </w:r>
            <w:r w:rsidRPr="007C0C0E">
              <w:rPr>
                <w:i/>
              </w:rPr>
              <w:t>Employee Benefits</w:t>
            </w:r>
          </w:p>
        </w:tc>
        <w:tc>
          <w:tcPr>
            <w:tcW w:w="2608" w:type="pct"/>
            <w:tcBorders>
              <w:top w:val="nil"/>
              <w:left w:val="nil"/>
              <w:bottom w:val="single" w:sz="4" w:space="0" w:color="auto"/>
              <w:right w:val="single" w:sz="4" w:space="0" w:color="auto"/>
            </w:tcBorders>
          </w:tcPr>
          <w:p w:rsidR="008D2DEC" w:rsidRDefault="008D2DEC" w:rsidP="00FF1EB4">
            <w:pPr>
              <w:pStyle w:val="NoNumPlain1"/>
              <w:spacing w:after="120"/>
            </w:pPr>
            <w:r>
              <w:t>Discount rate: regional market issue.</w:t>
            </w:r>
          </w:p>
        </w:tc>
      </w:tr>
      <w:tr w:rsidR="008D2DEC" w:rsidTr="00FF1EB4">
        <w:trPr>
          <w:cantSplit/>
        </w:trPr>
        <w:tc>
          <w:tcPr>
            <w:tcW w:w="2392" w:type="pct"/>
            <w:tcBorders>
              <w:top w:val="nil"/>
              <w:left w:val="single" w:sz="4" w:space="0" w:color="auto"/>
              <w:bottom w:val="single" w:sz="4" w:space="0" w:color="auto"/>
              <w:right w:val="single" w:sz="4" w:space="0" w:color="auto"/>
            </w:tcBorders>
          </w:tcPr>
          <w:p w:rsidR="008D2DEC" w:rsidRDefault="008D2DEC" w:rsidP="00FF1EB4">
            <w:pPr>
              <w:pStyle w:val="NoNumPlain1"/>
              <w:spacing w:after="120"/>
            </w:pPr>
            <w:r>
              <w:t xml:space="preserve">AASB 134 </w:t>
            </w:r>
            <w:r w:rsidRPr="007C0C0E">
              <w:rPr>
                <w:i/>
              </w:rPr>
              <w:t>Interim Financial Reporting</w:t>
            </w:r>
          </w:p>
        </w:tc>
        <w:tc>
          <w:tcPr>
            <w:tcW w:w="2608" w:type="pct"/>
            <w:tcBorders>
              <w:top w:val="nil"/>
              <w:left w:val="nil"/>
              <w:bottom w:val="single" w:sz="4" w:space="0" w:color="auto"/>
              <w:right w:val="single" w:sz="4" w:space="0" w:color="auto"/>
            </w:tcBorders>
          </w:tcPr>
          <w:p w:rsidR="008D2DEC" w:rsidRDefault="008D2DEC" w:rsidP="00FF1EB4">
            <w:pPr>
              <w:pStyle w:val="NoNumPlain1"/>
              <w:spacing w:after="120"/>
            </w:pPr>
            <w:r>
              <w:t>Disclosure of information ‘elsewhere in the interim financial report’.</w:t>
            </w:r>
          </w:p>
        </w:tc>
      </w:tr>
    </w:tbl>
    <w:p w:rsidR="008D2DEC" w:rsidRDefault="008D2DEC" w:rsidP="008D2DEC">
      <w:pPr>
        <w:pStyle w:val="NoNumPlain1"/>
        <w:spacing w:before="200"/>
      </w:pPr>
      <w:r>
        <w:t>This Standard also makes various editorial corrections to Australian Accounting Standards.</w:t>
      </w:r>
    </w:p>
    <w:p w:rsidR="00A56FBB" w:rsidRPr="008D2DEC" w:rsidRDefault="00A56FBB" w:rsidP="008D2DEC">
      <w:pPr>
        <w:pStyle w:val="Heading3"/>
      </w:pPr>
      <w:r w:rsidRPr="00A56FBB">
        <w:t>Application Date</w:t>
      </w:r>
    </w:p>
    <w:p w:rsidR="00A56FBB" w:rsidRPr="00A56FBB" w:rsidRDefault="00A56FBB" w:rsidP="00A56FBB">
      <w:pPr>
        <w:spacing w:after="200"/>
      </w:pPr>
      <w:r>
        <w:t xml:space="preserve">AASB </w:t>
      </w:r>
      <w:r w:rsidR="00A277C5">
        <w:t>2015-1</w:t>
      </w:r>
      <w:r w:rsidR="0065637A" w:rsidRPr="00027E8B">
        <w:t xml:space="preserve"> </w:t>
      </w:r>
      <w:r w:rsidRPr="00027E8B">
        <w:t xml:space="preserve">applies to annual reporting periods beginning on or after </w:t>
      </w:r>
      <w:r>
        <w:t>1 January 2016</w:t>
      </w:r>
      <w:r w:rsidRPr="00027E8B">
        <w:t>.</w:t>
      </w:r>
      <w:r>
        <w:t xml:space="preserve"> </w:t>
      </w:r>
      <w:r w:rsidR="008D2DEC">
        <w:t xml:space="preserve"> </w:t>
      </w:r>
      <w:r>
        <w:t xml:space="preserve">Earlier application </w:t>
      </w:r>
      <w:r w:rsidR="00C16E86">
        <w:t>i</w:t>
      </w:r>
      <w:r>
        <w:t>s permitted for annual reporting periods beginning on or after</w:t>
      </w:r>
      <w:r w:rsidRPr="00D924F4">
        <w:t xml:space="preserve"> 1 January 2005 but before 1 January 2016</w:t>
      </w:r>
      <w:r w:rsidRPr="00A56FBB">
        <w:t>.</w:t>
      </w:r>
    </w:p>
    <w:p w:rsidR="000C2542" w:rsidRPr="001D1FFA" w:rsidRDefault="000C2542" w:rsidP="000C2542">
      <w:pPr>
        <w:pStyle w:val="Heading2"/>
      </w:pPr>
      <w:r w:rsidRPr="001D1FFA">
        <w:t>Consultation Prior to Issuing this Standard</w:t>
      </w:r>
    </w:p>
    <w:p w:rsidR="00DE49EB" w:rsidRDefault="000C2542" w:rsidP="00DE49EB">
      <w:pPr>
        <w:pStyle w:val="NoNumPlain1"/>
      </w:pPr>
      <w:r>
        <w:t>The AASB issued Exposure Draft ED 2</w:t>
      </w:r>
      <w:r w:rsidR="00180ED2">
        <w:t>47</w:t>
      </w:r>
      <w:r>
        <w:t xml:space="preserve"> </w:t>
      </w:r>
      <w:r w:rsidR="00180ED2">
        <w:rPr>
          <w:i/>
        </w:rPr>
        <w:t>Annual Improvements to IFRSs 2012</w:t>
      </w:r>
      <w:r w:rsidR="00DE49EB">
        <w:rPr>
          <w:i/>
        </w:rPr>
        <w:t>–</w:t>
      </w:r>
      <w:r w:rsidR="00180ED2">
        <w:rPr>
          <w:i/>
        </w:rPr>
        <w:t>2014 Cycle</w:t>
      </w:r>
      <w:r w:rsidR="00386EC6">
        <w:t xml:space="preserve"> in </w:t>
      </w:r>
      <w:r w:rsidR="00180ED2">
        <w:t>December 2013</w:t>
      </w:r>
      <w:r w:rsidR="004B4C0E">
        <w:t xml:space="preserve"> for comment by </w:t>
      </w:r>
      <w:r w:rsidR="00180ED2">
        <w:t>27 February 2014</w:t>
      </w:r>
      <w:r w:rsidR="004B4C0E">
        <w:t>.</w:t>
      </w:r>
      <w:r w:rsidR="00180ED2">
        <w:t xml:space="preserve">  Three</w:t>
      </w:r>
      <w:r>
        <w:t xml:space="preserve"> submissions </w:t>
      </w:r>
      <w:r w:rsidR="00657986">
        <w:t>were received by the AASB in respect of the proposals in ED 2</w:t>
      </w:r>
      <w:r w:rsidR="00180ED2">
        <w:t>47 and there was general support for adopting the proposals in Australian Accounting Standards</w:t>
      </w:r>
      <w:r w:rsidR="00657986">
        <w:t>.</w:t>
      </w:r>
      <w:r>
        <w:t xml:space="preserve">  The AASB considered the comments it received </w:t>
      </w:r>
      <w:r w:rsidR="00654CD0">
        <w:t xml:space="preserve">on ED 247 </w:t>
      </w:r>
      <w:r>
        <w:t>in makin</w:t>
      </w:r>
      <w:r w:rsidR="002346F6">
        <w:t>g its submission to the IASB and in finalising AASB </w:t>
      </w:r>
      <w:r w:rsidR="00A277C5">
        <w:t>2015-1</w:t>
      </w:r>
      <w:r>
        <w:t>.</w:t>
      </w:r>
      <w:r w:rsidR="00180ED2">
        <w:t xml:space="preserve">  </w:t>
      </w:r>
    </w:p>
    <w:p w:rsidR="000C2542" w:rsidRDefault="00180ED2" w:rsidP="00DE49EB">
      <w:pPr>
        <w:pStyle w:val="NoNumPlain1"/>
      </w:pPr>
      <w:r>
        <w:t xml:space="preserve">The AASB </w:t>
      </w:r>
      <w:r w:rsidR="00DE49EB">
        <w:t xml:space="preserve">also considered comments received by the AASB in respect of proposals exposed for comment in Exposure Draft ED 256 </w:t>
      </w:r>
      <w:r w:rsidR="00DE49EB">
        <w:rPr>
          <w:i/>
        </w:rPr>
        <w:t xml:space="preserve">Removal of Cross-References from Financial Statements to Other Documents </w:t>
      </w:r>
      <w:r w:rsidR="00DE49EB">
        <w:t>in finalising AASB </w:t>
      </w:r>
      <w:r w:rsidR="00A277C5">
        <w:t>2015-1</w:t>
      </w:r>
      <w:r w:rsidR="00DE49EB">
        <w:t>.</w:t>
      </w:r>
    </w:p>
    <w:p w:rsidR="009A1518" w:rsidRDefault="000C2542" w:rsidP="000C2542">
      <w:pPr>
        <w:pStyle w:val="NoNumPlain1"/>
      </w:pPr>
      <w:r w:rsidRPr="007228FA">
        <w:t xml:space="preserve">A Regulation Impact Statement (RIS) </w:t>
      </w:r>
      <w:r w:rsidR="007228FA">
        <w:t>has</w:t>
      </w:r>
      <w:r w:rsidR="00BF0BD5">
        <w:t xml:space="preserve"> not</w:t>
      </w:r>
      <w:r w:rsidR="007228FA">
        <w:t xml:space="preserve"> been prepared in connection</w:t>
      </w:r>
      <w:r w:rsidR="00613965">
        <w:t xml:space="preserve"> with the issue of AASB </w:t>
      </w:r>
      <w:r w:rsidR="00A277C5">
        <w:t>2015-1</w:t>
      </w:r>
      <w:r w:rsidR="0065637A">
        <w:t xml:space="preserve"> </w:t>
      </w:r>
      <w:r w:rsidR="00613965">
        <w:t xml:space="preserve">as the amendments made </w:t>
      </w:r>
      <w:r w:rsidR="00180ED2">
        <w:t>do not have a substantial direct or indirect impact on business or competition, are of a minor or machinery nature or clarify existing requirements.</w:t>
      </w:r>
    </w:p>
    <w:p w:rsidR="000C2542" w:rsidRDefault="000C2542" w:rsidP="00180ED2">
      <w:pPr>
        <w:pStyle w:val="NoNumPlain1"/>
      </w:pPr>
      <w:bookmarkStart w:id="0" w:name="_GoBack"/>
      <w:bookmarkEnd w:id="0"/>
    </w:p>
    <w:p w:rsidR="000C2542" w:rsidRPr="00B32492" w:rsidRDefault="000C2542" w:rsidP="00E72594">
      <w:pPr>
        <w:keepNext/>
        <w:pageBreakBefore/>
        <w:spacing w:after="200" w:line="280" w:lineRule="exact"/>
        <w:jc w:val="center"/>
        <w:outlineLvl w:val="1"/>
        <w:rPr>
          <w:rFonts w:cs="Arial"/>
          <w:b/>
          <w:iCs/>
          <w:sz w:val="28"/>
          <w:szCs w:val="28"/>
        </w:rPr>
      </w:pPr>
      <w:r w:rsidRPr="00B32492">
        <w:rPr>
          <w:rFonts w:cs="Arial"/>
          <w:b/>
          <w:iCs/>
          <w:sz w:val="28"/>
          <w:szCs w:val="28"/>
        </w:rPr>
        <w:lastRenderedPageBreak/>
        <w:t>Statement of Compatibility with Human Rights</w:t>
      </w:r>
    </w:p>
    <w:p w:rsidR="000C2542" w:rsidRPr="00B32492" w:rsidRDefault="000C2542" w:rsidP="000C2542">
      <w:pPr>
        <w:spacing w:after="200"/>
        <w:jc w:val="center"/>
      </w:pPr>
      <w:r w:rsidRPr="00B32492">
        <w:t xml:space="preserve">Prepared in accordance with Part 3 of the </w:t>
      </w:r>
      <w:r w:rsidRPr="00B32492">
        <w:br/>
      </w:r>
      <w:r w:rsidRPr="00B32492">
        <w:rPr>
          <w:i/>
        </w:rPr>
        <w:t>Human Rights (Parliamentary Scrutiny) Act 2011</w:t>
      </w:r>
    </w:p>
    <w:p w:rsidR="000C2542" w:rsidRPr="00B32492" w:rsidRDefault="000C2542" w:rsidP="000C2542">
      <w:pPr>
        <w:keepNext/>
        <w:spacing w:after="360" w:line="240" w:lineRule="exact"/>
        <w:jc w:val="center"/>
        <w:outlineLvl w:val="2"/>
        <w:rPr>
          <w:rFonts w:cs="Arial"/>
          <w:b/>
          <w:bCs/>
          <w:iCs/>
          <w:sz w:val="24"/>
          <w:szCs w:val="26"/>
        </w:rPr>
      </w:pPr>
      <w:r w:rsidRPr="00B32492">
        <w:rPr>
          <w:rFonts w:cs="Arial"/>
          <w:b/>
          <w:bCs/>
          <w:iCs/>
          <w:sz w:val="24"/>
          <w:szCs w:val="26"/>
        </w:rPr>
        <w:t xml:space="preserve">Accounting Standard AASB </w:t>
      </w:r>
      <w:r w:rsidR="00A277C5">
        <w:rPr>
          <w:rFonts w:cs="Arial"/>
          <w:b/>
          <w:bCs/>
          <w:iCs/>
          <w:sz w:val="24"/>
          <w:szCs w:val="26"/>
        </w:rPr>
        <w:t>2015-1</w:t>
      </w:r>
      <w:r w:rsidRPr="00B32492">
        <w:rPr>
          <w:rFonts w:cs="Arial"/>
          <w:b/>
          <w:bCs/>
          <w:iCs/>
          <w:sz w:val="24"/>
          <w:szCs w:val="26"/>
        </w:rPr>
        <w:br/>
      </w:r>
      <w:r w:rsidRPr="00255AF3">
        <w:rPr>
          <w:rFonts w:cs="Arial"/>
          <w:b/>
          <w:bCs/>
          <w:i/>
          <w:iCs/>
          <w:sz w:val="24"/>
          <w:szCs w:val="26"/>
        </w:rPr>
        <w:t xml:space="preserve">Amendments to </w:t>
      </w:r>
      <w:r w:rsidR="00CB2093">
        <w:rPr>
          <w:rFonts w:cs="Arial"/>
          <w:b/>
          <w:bCs/>
          <w:i/>
          <w:iCs/>
          <w:sz w:val="24"/>
          <w:szCs w:val="26"/>
        </w:rPr>
        <w:t>Australian Accounting Standards</w:t>
      </w:r>
      <w:r w:rsidRPr="00255AF3">
        <w:rPr>
          <w:rFonts w:cs="Arial"/>
          <w:b/>
          <w:bCs/>
          <w:i/>
          <w:iCs/>
          <w:sz w:val="24"/>
          <w:szCs w:val="26"/>
        </w:rPr>
        <w:t xml:space="preserve"> –</w:t>
      </w:r>
      <w:r w:rsidR="00DE49EB" w:rsidRPr="00DE49EB">
        <w:rPr>
          <w:rFonts w:cs="Arial"/>
          <w:b/>
          <w:bCs/>
          <w:i/>
          <w:iCs/>
          <w:sz w:val="24"/>
          <w:szCs w:val="26"/>
        </w:rPr>
        <w:t xml:space="preserve"> Annual Improvements to Australian Accounting Standards 2012–2014 Cycle </w:t>
      </w:r>
    </w:p>
    <w:p w:rsidR="000C2542" w:rsidRDefault="000C2542" w:rsidP="000C2542">
      <w:pPr>
        <w:keepNext/>
        <w:spacing w:after="200" w:line="240" w:lineRule="exact"/>
        <w:outlineLvl w:val="2"/>
        <w:rPr>
          <w:rFonts w:cs="Arial"/>
          <w:b/>
          <w:bCs/>
          <w:iCs/>
          <w:sz w:val="24"/>
          <w:szCs w:val="26"/>
        </w:rPr>
      </w:pPr>
      <w:r w:rsidRPr="00B32492">
        <w:rPr>
          <w:rFonts w:cs="Arial"/>
          <w:b/>
          <w:bCs/>
          <w:iCs/>
          <w:sz w:val="24"/>
          <w:szCs w:val="26"/>
        </w:rPr>
        <w:t>Overview of the Accounting Standard</w:t>
      </w:r>
    </w:p>
    <w:p w:rsidR="00DE49EB" w:rsidRDefault="00012CF4" w:rsidP="00DE49EB">
      <w:pPr>
        <w:spacing w:after="200"/>
      </w:pPr>
      <w:r>
        <w:t>The amendments</w:t>
      </w:r>
      <w:r w:rsidR="00044F48">
        <w:t xml:space="preserve"> in AASB </w:t>
      </w:r>
      <w:r w:rsidR="00A277C5">
        <w:t>2015-1</w:t>
      </w:r>
      <w:r w:rsidR="0065637A">
        <w:t xml:space="preserve"> </w:t>
      </w:r>
      <w:r w:rsidR="00DE49EB" w:rsidRPr="00DE49EB">
        <w:rPr>
          <w:i/>
        </w:rPr>
        <w:t>Amendments to Australian Accounting Standards – Annual Improvements to Australian Accounting Standards 2012–2014 Cycle</w:t>
      </w:r>
      <w:r w:rsidR="00DE49EB" w:rsidRPr="00DE49EB">
        <w:t xml:space="preserve"> </w:t>
      </w:r>
      <w:r w:rsidR="00DE49EB">
        <w:t>makes amendments to various Australian Accounting Standards arising from the International Accou</w:t>
      </w:r>
      <w:r w:rsidR="00B33234">
        <w:t>nting Standards Board’s (IASB) A</w:t>
      </w:r>
      <w:r w:rsidR="00DE49EB">
        <w:t xml:space="preserve">nnual </w:t>
      </w:r>
      <w:r w:rsidR="00B33234">
        <w:t>I</w:t>
      </w:r>
      <w:r w:rsidR="00DE49EB">
        <w:t xml:space="preserve">mprovements </w:t>
      </w:r>
      <w:r w:rsidR="00B33234">
        <w:t>process</w:t>
      </w:r>
      <w:r w:rsidR="00DE49EB">
        <w:t xml:space="preserve">, and for editorial corrections.  </w:t>
      </w:r>
    </w:p>
    <w:p w:rsidR="000C2542" w:rsidRPr="00B32492" w:rsidRDefault="000C2542" w:rsidP="00E72594">
      <w:pPr>
        <w:keepNext/>
        <w:spacing w:before="240" w:after="200" w:line="240" w:lineRule="exact"/>
        <w:outlineLvl w:val="2"/>
        <w:rPr>
          <w:rFonts w:cs="Arial"/>
          <w:b/>
          <w:bCs/>
          <w:iCs/>
          <w:sz w:val="24"/>
          <w:szCs w:val="26"/>
        </w:rPr>
      </w:pPr>
      <w:r w:rsidRPr="00B32492">
        <w:rPr>
          <w:rFonts w:cs="Arial"/>
          <w:b/>
          <w:bCs/>
          <w:iCs/>
          <w:sz w:val="24"/>
          <w:szCs w:val="26"/>
        </w:rPr>
        <w:t>Human Rights Implications</w:t>
      </w:r>
    </w:p>
    <w:p w:rsidR="000C2542" w:rsidRPr="00B32492" w:rsidRDefault="000C2542" w:rsidP="000C2542">
      <w:pPr>
        <w:spacing w:after="200"/>
      </w:pPr>
      <w:r w:rsidRPr="00B32492">
        <w:t>This Standard is issued by the AASB in furtherance of the objective of facilitating the Australian economy.  It does not diminish or limit any of the applicable human rights or freedoms, and thus does not raise any human rights issues.</w:t>
      </w:r>
    </w:p>
    <w:p w:rsidR="000C2542" w:rsidRPr="00B32492" w:rsidRDefault="000C2542" w:rsidP="000C2542">
      <w:pPr>
        <w:keepNext/>
        <w:spacing w:after="200" w:line="240" w:lineRule="exact"/>
        <w:outlineLvl w:val="2"/>
        <w:rPr>
          <w:rFonts w:cs="Arial"/>
          <w:b/>
          <w:bCs/>
          <w:iCs/>
          <w:sz w:val="24"/>
          <w:szCs w:val="26"/>
        </w:rPr>
      </w:pPr>
      <w:r w:rsidRPr="00B32492">
        <w:rPr>
          <w:rFonts w:cs="Arial"/>
          <w:b/>
          <w:bCs/>
          <w:iCs/>
          <w:sz w:val="24"/>
          <w:szCs w:val="26"/>
        </w:rPr>
        <w:t>Conclusion</w:t>
      </w:r>
    </w:p>
    <w:p w:rsidR="000C34F1" w:rsidRDefault="000C2542" w:rsidP="00D62FDB">
      <w:pPr>
        <w:spacing w:after="200"/>
      </w:pPr>
      <w:r w:rsidRPr="00B32492">
        <w:t>This Standard is compatible with the human rights and freedoms recognised or declared in the international instruments listed in section</w:t>
      </w:r>
      <w:r w:rsidR="006D04AE">
        <w:t> </w:t>
      </w:r>
      <w:r w:rsidRPr="00B32492">
        <w:t xml:space="preserve">3 of the </w:t>
      </w:r>
      <w:r w:rsidRPr="00B32492">
        <w:rPr>
          <w:i/>
        </w:rPr>
        <w:t>Human Rights (Parliamentary Scrutiny) Act 2011</w:t>
      </w:r>
      <w:r w:rsidRPr="00B32492">
        <w:t>.</w:t>
      </w:r>
    </w:p>
    <w:sectPr w:rsidR="000C34F1" w:rsidSect="008921A1">
      <w:headerReference w:type="even" r:id="rId11"/>
      <w:footerReference w:type="default" r:id="rId12"/>
      <w:pgSz w:w="11907" w:h="16840" w:code="9"/>
      <w:pgMar w:top="1134" w:right="1134" w:bottom="1134" w:left="1134" w:header="720" w:footer="720" w:gutter="0"/>
      <w:paperSrc w:first="1025" w:other="10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F3" w:rsidRDefault="00B82DF3">
      <w:r>
        <w:separator/>
      </w:r>
    </w:p>
  </w:endnote>
  <w:endnote w:type="continuationSeparator" w:id="0">
    <w:p w:rsidR="00B82DF3" w:rsidRDefault="00B8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Default="00FD6CED" w:rsidP="007E499F">
    <w:pPr>
      <w:pStyle w:val="Footer"/>
      <w:tabs>
        <w:tab w:val="clear" w:pos="3119"/>
        <w:tab w:val="clear" w:pos="6237"/>
        <w:tab w:val="center" w:pos="4820"/>
        <w:tab w:val="right" w:pos="9639"/>
      </w:tabs>
      <w:rPr>
        <w:b/>
      </w:rPr>
    </w:pPr>
    <w:r>
      <w:rPr>
        <w:b/>
      </w:rPr>
      <w:t xml:space="preserve">AASB </w:t>
    </w:r>
    <w:r w:rsidR="00A277C5">
      <w:rPr>
        <w:b/>
      </w:rPr>
      <w:t>2015-1</w:t>
    </w:r>
    <w:r>
      <w:rPr>
        <w:b/>
      </w:rPr>
      <w:tab/>
    </w:r>
    <w:r>
      <w:fldChar w:fldCharType="begin"/>
    </w:r>
    <w:r>
      <w:instrText>PAGE</w:instrText>
    </w:r>
    <w:r>
      <w:fldChar w:fldCharType="separate"/>
    </w:r>
    <w:r w:rsidR="004B42C5">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F3" w:rsidRDefault="00B82DF3">
      <w:r>
        <w:separator/>
      </w:r>
    </w:p>
  </w:footnote>
  <w:footnote w:type="continuationSeparator" w:id="0">
    <w:p w:rsidR="00B82DF3" w:rsidRDefault="00B82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CED" w:rsidRDefault="00FD6C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645920"/>
    <w:multiLevelType w:val="hybridMultilevel"/>
    <w:tmpl w:val="C74C3FFA"/>
    <w:lvl w:ilvl="0" w:tplc="71624B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CE36F9"/>
    <w:multiLevelType w:val="hybridMultilevel"/>
    <w:tmpl w:val="277E4FC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8"/>
  </w:num>
  <w:num w:numId="4">
    <w:abstractNumId w:val="0"/>
  </w:num>
  <w:num w:numId="5">
    <w:abstractNumId w:val="4"/>
  </w:num>
  <w:num w:numId="6">
    <w:abstractNumId w:val="3"/>
  </w:num>
  <w:num w:numId="7">
    <w:abstractNumId w:val="7"/>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12CF4"/>
    <w:rsid w:val="00027999"/>
    <w:rsid w:val="0004439B"/>
    <w:rsid w:val="00044F48"/>
    <w:rsid w:val="00055755"/>
    <w:rsid w:val="000623C8"/>
    <w:rsid w:val="0007329C"/>
    <w:rsid w:val="00075626"/>
    <w:rsid w:val="00080331"/>
    <w:rsid w:val="0008234F"/>
    <w:rsid w:val="0008242C"/>
    <w:rsid w:val="00085B62"/>
    <w:rsid w:val="00085EB8"/>
    <w:rsid w:val="00090D77"/>
    <w:rsid w:val="000936C7"/>
    <w:rsid w:val="0009545C"/>
    <w:rsid w:val="000A15BB"/>
    <w:rsid w:val="000A2A30"/>
    <w:rsid w:val="000C2542"/>
    <w:rsid w:val="000C34F1"/>
    <w:rsid w:val="000C5DA6"/>
    <w:rsid w:val="000D41A4"/>
    <w:rsid w:val="000D428B"/>
    <w:rsid w:val="000E6E09"/>
    <w:rsid w:val="000E7F81"/>
    <w:rsid w:val="000F2911"/>
    <w:rsid w:val="000F4C2A"/>
    <w:rsid w:val="00103C3D"/>
    <w:rsid w:val="00111680"/>
    <w:rsid w:val="001218DE"/>
    <w:rsid w:val="00121C54"/>
    <w:rsid w:val="0012730F"/>
    <w:rsid w:val="00131465"/>
    <w:rsid w:val="00134AB2"/>
    <w:rsid w:val="00144CC0"/>
    <w:rsid w:val="0015670A"/>
    <w:rsid w:val="001639EB"/>
    <w:rsid w:val="00167F34"/>
    <w:rsid w:val="00180ED2"/>
    <w:rsid w:val="001A3A3D"/>
    <w:rsid w:val="001B4BFA"/>
    <w:rsid w:val="001D1FFA"/>
    <w:rsid w:val="001D7DA0"/>
    <w:rsid w:val="001E0872"/>
    <w:rsid w:val="001E0EA2"/>
    <w:rsid w:val="001E4107"/>
    <w:rsid w:val="001F3ED4"/>
    <w:rsid w:val="00200047"/>
    <w:rsid w:val="0020218F"/>
    <w:rsid w:val="0020261B"/>
    <w:rsid w:val="00206A47"/>
    <w:rsid w:val="00225101"/>
    <w:rsid w:val="00230E6D"/>
    <w:rsid w:val="0023104C"/>
    <w:rsid w:val="002346F6"/>
    <w:rsid w:val="00243728"/>
    <w:rsid w:val="00267D86"/>
    <w:rsid w:val="00270E02"/>
    <w:rsid w:val="0027306D"/>
    <w:rsid w:val="00284D8D"/>
    <w:rsid w:val="0029669F"/>
    <w:rsid w:val="002D6D7A"/>
    <w:rsid w:val="002F724F"/>
    <w:rsid w:val="0032467B"/>
    <w:rsid w:val="003329B8"/>
    <w:rsid w:val="003404D5"/>
    <w:rsid w:val="00347521"/>
    <w:rsid w:val="00350DE3"/>
    <w:rsid w:val="0037593B"/>
    <w:rsid w:val="0038343F"/>
    <w:rsid w:val="00384832"/>
    <w:rsid w:val="00385E62"/>
    <w:rsid w:val="00386EC6"/>
    <w:rsid w:val="0039164A"/>
    <w:rsid w:val="00391DC5"/>
    <w:rsid w:val="00392285"/>
    <w:rsid w:val="00396BCD"/>
    <w:rsid w:val="003A2519"/>
    <w:rsid w:val="003A5EC1"/>
    <w:rsid w:val="003B5B3D"/>
    <w:rsid w:val="003D0C08"/>
    <w:rsid w:val="00406B00"/>
    <w:rsid w:val="004113DB"/>
    <w:rsid w:val="00414BC3"/>
    <w:rsid w:val="00416FE6"/>
    <w:rsid w:val="004179BF"/>
    <w:rsid w:val="004209B2"/>
    <w:rsid w:val="00442527"/>
    <w:rsid w:val="00447E4D"/>
    <w:rsid w:val="00457DCC"/>
    <w:rsid w:val="0049252E"/>
    <w:rsid w:val="00493DD4"/>
    <w:rsid w:val="004B0CF3"/>
    <w:rsid w:val="004B42C5"/>
    <w:rsid w:val="004B4C0E"/>
    <w:rsid w:val="004C1746"/>
    <w:rsid w:val="004C62D2"/>
    <w:rsid w:val="004D2B9B"/>
    <w:rsid w:val="004D2BDB"/>
    <w:rsid w:val="004D41A7"/>
    <w:rsid w:val="00512F90"/>
    <w:rsid w:val="00521942"/>
    <w:rsid w:val="00526DA0"/>
    <w:rsid w:val="00540E70"/>
    <w:rsid w:val="00565477"/>
    <w:rsid w:val="005B238F"/>
    <w:rsid w:val="005B7BB7"/>
    <w:rsid w:val="005E2BBE"/>
    <w:rsid w:val="005F0581"/>
    <w:rsid w:val="005F1173"/>
    <w:rsid w:val="005F3AA4"/>
    <w:rsid w:val="005F4451"/>
    <w:rsid w:val="006104FA"/>
    <w:rsid w:val="00613965"/>
    <w:rsid w:val="00616B47"/>
    <w:rsid w:val="00626AC2"/>
    <w:rsid w:val="00635FA2"/>
    <w:rsid w:val="00637A12"/>
    <w:rsid w:val="00640EB0"/>
    <w:rsid w:val="006450CF"/>
    <w:rsid w:val="0065278C"/>
    <w:rsid w:val="00654CD0"/>
    <w:rsid w:val="0065637A"/>
    <w:rsid w:val="00657986"/>
    <w:rsid w:val="00666164"/>
    <w:rsid w:val="0067195B"/>
    <w:rsid w:val="00672100"/>
    <w:rsid w:val="00674EC4"/>
    <w:rsid w:val="00683D1C"/>
    <w:rsid w:val="00684668"/>
    <w:rsid w:val="006A01D2"/>
    <w:rsid w:val="006A0C7C"/>
    <w:rsid w:val="006A2A04"/>
    <w:rsid w:val="006A56D8"/>
    <w:rsid w:val="006C34F1"/>
    <w:rsid w:val="006C39D1"/>
    <w:rsid w:val="006C5EB8"/>
    <w:rsid w:val="006D04AE"/>
    <w:rsid w:val="006D5858"/>
    <w:rsid w:val="006D6B35"/>
    <w:rsid w:val="006E110D"/>
    <w:rsid w:val="006F217C"/>
    <w:rsid w:val="006F46DE"/>
    <w:rsid w:val="00711664"/>
    <w:rsid w:val="00715A98"/>
    <w:rsid w:val="00717627"/>
    <w:rsid w:val="007228FA"/>
    <w:rsid w:val="007231BD"/>
    <w:rsid w:val="007261ED"/>
    <w:rsid w:val="007322D6"/>
    <w:rsid w:val="007328C0"/>
    <w:rsid w:val="00741AD2"/>
    <w:rsid w:val="00750349"/>
    <w:rsid w:val="00755B4C"/>
    <w:rsid w:val="00755D8C"/>
    <w:rsid w:val="00781C08"/>
    <w:rsid w:val="00783BEC"/>
    <w:rsid w:val="00787825"/>
    <w:rsid w:val="00791279"/>
    <w:rsid w:val="007B3132"/>
    <w:rsid w:val="007B323F"/>
    <w:rsid w:val="007B539D"/>
    <w:rsid w:val="007C13D0"/>
    <w:rsid w:val="007C1E39"/>
    <w:rsid w:val="007C2A76"/>
    <w:rsid w:val="007C2B04"/>
    <w:rsid w:val="007E499F"/>
    <w:rsid w:val="007E548A"/>
    <w:rsid w:val="007F4E20"/>
    <w:rsid w:val="00802C2B"/>
    <w:rsid w:val="00810B63"/>
    <w:rsid w:val="008160FE"/>
    <w:rsid w:val="00822659"/>
    <w:rsid w:val="0082668C"/>
    <w:rsid w:val="00826FE1"/>
    <w:rsid w:val="008377FF"/>
    <w:rsid w:val="00843BF6"/>
    <w:rsid w:val="00854BCD"/>
    <w:rsid w:val="00861618"/>
    <w:rsid w:val="008921A1"/>
    <w:rsid w:val="00896AE0"/>
    <w:rsid w:val="008B63BA"/>
    <w:rsid w:val="008B66C2"/>
    <w:rsid w:val="008C5B82"/>
    <w:rsid w:val="008C7A84"/>
    <w:rsid w:val="008D2DEC"/>
    <w:rsid w:val="008D3E1A"/>
    <w:rsid w:val="008E2E7F"/>
    <w:rsid w:val="008E4294"/>
    <w:rsid w:val="008F344A"/>
    <w:rsid w:val="009048FE"/>
    <w:rsid w:val="00916B64"/>
    <w:rsid w:val="00930915"/>
    <w:rsid w:val="00936AD7"/>
    <w:rsid w:val="00953C0C"/>
    <w:rsid w:val="009839D3"/>
    <w:rsid w:val="009A1518"/>
    <w:rsid w:val="009B4171"/>
    <w:rsid w:val="009C5C89"/>
    <w:rsid w:val="009D6119"/>
    <w:rsid w:val="00A07B58"/>
    <w:rsid w:val="00A14C37"/>
    <w:rsid w:val="00A277C5"/>
    <w:rsid w:val="00A33757"/>
    <w:rsid w:val="00A41EF3"/>
    <w:rsid w:val="00A46379"/>
    <w:rsid w:val="00A5272A"/>
    <w:rsid w:val="00A56FBB"/>
    <w:rsid w:val="00A61CB2"/>
    <w:rsid w:val="00A7494C"/>
    <w:rsid w:val="00A8344C"/>
    <w:rsid w:val="00A86C2A"/>
    <w:rsid w:val="00A90590"/>
    <w:rsid w:val="00A92FFA"/>
    <w:rsid w:val="00A9484D"/>
    <w:rsid w:val="00A97B77"/>
    <w:rsid w:val="00AB61AB"/>
    <w:rsid w:val="00AB6329"/>
    <w:rsid w:val="00AC0D77"/>
    <w:rsid w:val="00AC2063"/>
    <w:rsid w:val="00AC2CA9"/>
    <w:rsid w:val="00AD44F9"/>
    <w:rsid w:val="00AD7971"/>
    <w:rsid w:val="00AE1F8A"/>
    <w:rsid w:val="00B00C1B"/>
    <w:rsid w:val="00B05EA7"/>
    <w:rsid w:val="00B0780B"/>
    <w:rsid w:val="00B10AB1"/>
    <w:rsid w:val="00B127B5"/>
    <w:rsid w:val="00B259A2"/>
    <w:rsid w:val="00B33234"/>
    <w:rsid w:val="00B44EFA"/>
    <w:rsid w:val="00B50A3C"/>
    <w:rsid w:val="00B5196B"/>
    <w:rsid w:val="00B67434"/>
    <w:rsid w:val="00B67733"/>
    <w:rsid w:val="00B75932"/>
    <w:rsid w:val="00B81972"/>
    <w:rsid w:val="00B82DF3"/>
    <w:rsid w:val="00B85DBC"/>
    <w:rsid w:val="00BB2459"/>
    <w:rsid w:val="00BD0B5B"/>
    <w:rsid w:val="00BE435F"/>
    <w:rsid w:val="00BE66D4"/>
    <w:rsid w:val="00BF0BD5"/>
    <w:rsid w:val="00C119CC"/>
    <w:rsid w:val="00C14CCB"/>
    <w:rsid w:val="00C16E86"/>
    <w:rsid w:val="00C21F45"/>
    <w:rsid w:val="00C35A20"/>
    <w:rsid w:val="00C470A1"/>
    <w:rsid w:val="00C546C0"/>
    <w:rsid w:val="00C61FC9"/>
    <w:rsid w:val="00C634BB"/>
    <w:rsid w:val="00C661A8"/>
    <w:rsid w:val="00C768D3"/>
    <w:rsid w:val="00C80CE0"/>
    <w:rsid w:val="00C82A8C"/>
    <w:rsid w:val="00CA10C9"/>
    <w:rsid w:val="00CA20FA"/>
    <w:rsid w:val="00CA518E"/>
    <w:rsid w:val="00CB2093"/>
    <w:rsid w:val="00CB74B0"/>
    <w:rsid w:val="00CC546B"/>
    <w:rsid w:val="00CD50A4"/>
    <w:rsid w:val="00CF4D2F"/>
    <w:rsid w:val="00CF72F6"/>
    <w:rsid w:val="00D03547"/>
    <w:rsid w:val="00D06136"/>
    <w:rsid w:val="00D13F80"/>
    <w:rsid w:val="00D17C25"/>
    <w:rsid w:val="00D24634"/>
    <w:rsid w:val="00D27E14"/>
    <w:rsid w:val="00D40502"/>
    <w:rsid w:val="00D429C8"/>
    <w:rsid w:val="00D5323B"/>
    <w:rsid w:val="00D561D4"/>
    <w:rsid w:val="00D62FDB"/>
    <w:rsid w:val="00D67C43"/>
    <w:rsid w:val="00D71916"/>
    <w:rsid w:val="00D71B35"/>
    <w:rsid w:val="00D746B5"/>
    <w:rsid w:val="00D850DE"/>
    <w:rsid w:val="00D856F3"/>
    <w:rsid w:val="00DA2E07"/>
    <w:rsid w:val="00DB5798"/>
    <w:rsid w:val="00DD1167"/>
    <w:rsid w:val="00DE2BF2"/>
    <w:rsid w:val="00DE49EB"/>
    <w:rsid w:val="00DF07A6"/>
    <w:rsid w:val="00E00D64"/>
    <w:rsid w:val="00E079C1"/>
    <w:rsid w:val="00E11F07"/>
    <w:rsid w:val="00E1658F"/>
    <w:rsid w:val="00E34411"/>
    <w:rsid w:val="00E37A5F"/>
    <w:rsid w:val="00E41E4F"/>
    <w:rsid w:val="00E4487C"/>
    <w:rsid w:val="00E72594"/>
    <w:rsid w:val="00E7777B"/>
    <w:rsid w:val="00EA0A87"/>
    <w:rsid w:val="00EA56FD"/>
    <w:rsid w:val="00EC4D78"/>
    <w:rsid w:val="00ED38CE"/>
    <w:rsid w:val="00EE7E7F"/>
    <w:rsid w:val="00F041AA"/>
    <w:rsid w:val="00F04EBC"/>
    <w:rsid w:val="00F12DF8"/>
    <w:rsid w:val="00F23FEF"/>
    <w:rsid w:val="00F32757"/>
    <w:rsid w:val="00F576EB"/>
    <w:rsid w:val="00F63F3B"/>
    <w:rsid w:val="00F71510"/>
    <w:rsid w:val="00F72905"/>
    <w:rsid w:val="00F81F26"/>
    <w:rsid w:val="00F90091"/>
    <w:rsid w:val="00FA24EA"/>
    <w:rsid w:val="00FA30CB"/>
    <w:rsid w:val="00FA7C5C"/>
    <w:rsid w:val="00FB0CFC"/>
    <w:rsid w:val="00FC6232"/>
    <w:rsid w:val="00FD4C0C"/>
    <w:rsid w:val="00FD6CED"/>
    <w:rsid w:val="00FF354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caption" w:qFormat="1"/>
    <w:lsdException w:name="footnote reference" w:uiPriority="5"/>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CF4"/>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5"/>
    <w:lsdException w:name="caption" w:qFormat="1"/>
    <w:lsdException w:name="footnote reference" w:uiPriority="5"/>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CF4"/>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AppendixNote">
    <w:name w:val="AppendixNote"/>
    <w:basedOn w:val="Normal"/>
    <w:next w:val="Normal"/>
    <w:rsid w:val="00270E02"/>
    <w:pPr>
      <w:spacing w:after="200"/>
    </w:pPr>
    <w:rPr>
      <w:i/>
      <w:iCs/>
    </w:rPr>
  </w:style>
  <w:style w:type="paragraph" w:customStyle="1" w:styleId="Default">
    <w:name w:val="Default"/>
    <w:rsid w:val="00270E02"/>
    <w:pPr>
      <w:autoSpaceDE w:val="0"/>
      <w:autoSpaceDN w:val="0"/>
      <w:adjustRightInd w:val="0"/>
    </w:pPr>
    <w:rPr>
      <w:color w:val="000000"/>
      <w:sz w:val="24"/>
      <w:szCs w:val="24"/>
    </w:rPr>
  </w:style>
  <w:style w:type="character" w:customStyle="1" w:styleId="Heading2Char">
    <w:name w:val="Heading 2 Char"/>
    <w:basedOn w:val="DefaultParagraphFont"/>
    <w:link w:val="Heading2"/>
    <w:rsid w:val="00750349"/>
    <w:rPr>
      <w:rFonts w:cs="Arial"/>
      <w:b/>
      <w:iCs/>
      <w:sz w:val="28"/>
      <w:szCs w:val="28"/>
      <w:lang w:eastAsia="en-US"/>
    </w:rPr>
  </w:style>
  <w:style w:type="character" w:customStyle="1" w:styleId="Heading3Char">
    <w:name w:val="Heading 3 Char"/>
    <w:basedOn w:val="DefaultParagraphFont"/>
    <w:link w:val="Heading3"/>
    <w:rsid w:val="00750349"/>
    <w:rPr>
      <w:rFonts w:cs="Arial"/>
      <w:b/>
      <w:bCs/>
      <w:iCs/>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4506">
      <w:bodyDiv w:val="1"/>
      <w:marLeft w:val="0"/>
      <w:marRight w:val="0"/>
      <w:marTop w:val="0"/>
      <w:marBottom w:val="0"/>
      <w:divBdr>
        <w:top w:val="none" w:sz="0" w:space="0" w:color="auto"/>
        <w:left w:val="none" w:sz="0" w:space="0" w:color="auto"/>
        <w:bottom w:val="none" w:sz="0" w:space="0" w:color="auto"/>
        <w:right w:val="none" w:sz="0" w:space="0" w:color="auto"/>
      </w:divBdr>
    </w:div>
    <w:div w:id="802500542">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BEDFF-0D52-478B-8B76-DD42DF2E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536</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Explanatory Statement AASB 2015-1</vt:lpstr>
    </vt:vector>
  </TitlesOfParts>
  <Company>AASB</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AASB 2015-1</dc:title>
  <dc:creator>.</dc:creator>
  <cp:lastModifiedBy>Evelyn Ling </cp:lastModifiedBy>
  <cp:revision>4</cp:revision>
  <cp:lastPrinted>2015-01-27T21:54:00Z</cp:lastPrinted>
  <dcterms:created xsi:type="dcterms:W3CDTF">2015-01-27T21:31:00Z</dcterms:created>
  <dcterms:modified xsi:type="dcterms:W3CDTF">2015-01-27T21:54:00Z</dcterms:modified>
</cp:coreProperties>
</file>