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5670"/>
        <w:gridCol w:w="4082"/>
      </w:tblGrid>
      <w:tr w:rsidR="00090A6F" w:rsidRPr="0000292B" w:rsidTr="00196B13">
        <w:tc>
          <w:tcPr>
            <w:tcW w:w="5670" w:type="dxa"/>
          </w:tcPr>
          <w:p w:rsidR="00090A6F" w:rsidRPr="0000292B" w:rsidRDefault="00364B30">
            <w:pPr>
              <w:pStyle w:val="CoverStandard"/>
            </w:pPr>
            <w:r>
              <w:t>AASB</w:t>
            </w:r>
            <w:r w:rsidR="00831497">
              <w:t xml:space="preserve"> Standard</w:t>
            </w:r>
          </w:p>
        </w:tc>
        <w:tc>
          <w:tcPr>
            <w:tcW w:w="4082" w:type="dxa"/>
          </w:tcPr>
          <w:p w:rsidR="00090A6F" w:rsidRPr="0000292B" w:rsidRDefault="00831497">
            <w:pPr>
              <w:pStyle w:val="CoverNumber"/>
            </w:pPr>
            <w:r>
              <w:t>AASB</w:t>
            </w:r>
            <w:r w:rsidR="00DB7C42">
              <w:t xml:space="preserve"> </w:t>
            </w:r>
            <w:r w:rsidR="009349EE">
              <w:t>2015-</w:t>
            </w:r>
            <w:r w:rsidR="002F1B70">
              <w:t>4</w:t>
            </w:r>
            <w:r w:rsidR="00090A6F" w:rsidRPr="0000292B">
              <w:t xml:space="preserve"> </w:t>
            </w:r>
            <w:bookmarkStart w:id="0" w:name="DocNo"/>
            <w:bookmarkEnd w:id="0"/>
          </w:p>
          <w:p w:rsidR="00090A6F" w:rsidRPr="0000292B" w:rsidRDefault="00DB0251">
            <w:pPr>
              <w:pStyle w:val="CoverDate"/>
            </w:pPr>
            <w:bookmarkStart w:id="1" w:name="DocDate"/>
            <w:bookmarkEnd w:id="1"/>
            <w:r>
              <w:t>January</w:t>
            </w:r>
            <w:r w:rsidR="0026540D">
              <w:t xml:space="preserve"> 2015</w:t>
            </w:r>
          </w:p>
        </w:tc>
      </w:tr>
    </w:tbl>
    <w:p w:rsidR="00DB7C42" w:rsidRPr="00CF3E04" w:rsidRDefault="00831497" w:rsidP="00DB7C42">
      <w:pPr>
        <w:pStyle w:val="CoverTitle"/>
      </w:pPr>
      <w:r>
        <w:t>Amendments to Australian Accounting Standards</w:t>
      </w:r>
      <w:r w:rsidR="00DB7C42">
        <w:t xml:space="preserve"> –</w:t>
      </w:r>
      <w:r>
        <w:t xml:space="preserve"> </w:t>
      </w:r>
      <w:bookmarkStart w:id="2" w:name="EDTitle"/>
      <w:r w:rsidR="00DB7C42">
        <w:t>Financial Reporting Requirements for Australian Groups with a Foreign Parent</w:t>
      </w:r>
      <w:bookmarkEnd w:id="2"/>
    </w:p>
    <w:p w:rsidR="00090A6F" w:rsidRPr="003B2E78" w:rsidRDefault="003B2E78">
      <w:pPr>
        <w:pStyle w:val="CoverTitle"/>
        <w:rPr>
          <w:sz w:val="44"/>
          <w:szCs w:val="44"/>
        </w:rPr>
      </w:pPr>
      <w:r w:rsidRPr="003B2E78">
        <w:rPr>
          <w:sz w:val="44"/>
          <w:szCs w:val="44"/>
        </w:rPr>
        <w:t>[AASB 127 &amp; AASB 128]</w:t>
      </w:r>
      <w:r w:rsidR="00831497" w:rsidRPr="003B2E78">
        <w:rPr>
          <w:sz w:val="44"/>
          <w:szCs w:val="44"/>
        </w:rPr>
        <w:t xml:space="preserve"> </w:t>
      </w:r>
      <w:bookmarkStart w:id="3" w:name="ArisingNo"/>
      <w:bookmarkEnd w:id="3"/>
    </w:p>
    <w:p w:rsidR="00737714" w:rsidRPr="0000292B" w:rsidRDefault="00737714" w:rsidP="00737714">
      <w:bookmarkStart w:id="4" w:name="AmendingNos"/>
      <w:bookmarkEnd w:id="4"/>
    </w:p>
    <w:p w:rsidR="00090A6F" w:rsidRPr="0000292B" w:rsidRDefault="008B643A">
      <w:pPr>
        <w:sectPr w:rsidR="00090A6F" w:rsidRPr="0000292B" w:rsidSect="00196B13">
          <w:pgSz w:w="11907" w:h="16840" w:code="9"/>
          <w:pgMar w:top="1134" w:right="1134" w:bottom="1134" w:left="1134" w:header="720" w:footer="3255" w:gutter="0"/>
          <w:cols w:space="720"/>
        </w:sectPr>
      </w:pPr>
      <w:r>
        <w:rPr>
          <w:noProof/>
          <w:lang w:eastAsia="en-AU"/>
        </w:rPr>
        <w:drawing>
          <wp:anchor distT="0" distB="0" distL="114300" distR="114300" simplePos="0" relativeHeight="251657728" behindDoc="0" locked="1" layoutInCell="1" allowOverlap="1" wp14:anchorId="2F18285D" wp14:editId="4CD135D3">
            <wp:simplePos x="0" y="0"/>
            <wp:positionH relativeFrom="margin">
              <wp:posOffset>0</wp:posOffset>
            </wp:positionH>
            <wp:positionV relativeFrom="page">
              <wp:posOffset>8893175</wp:posOffset>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737714">
      <w:pPr>
        <w:pStyle w:val="Heading2"/>
      </w:pPr>
      <w:r w:rsidRPr="0000292B">
        <w:lastRenderedPageBreak/>
        <w:t xml:space="preserve">Obtaining a Copy of this </w:t>
      </w:r>
      <w:r w:rsidR="00C5022C">
        <w:t>Accounting Standard</w:t>
      </w:r>
    </w:p>
    <w:p w:rsidR="00737714" w:rsidRPr="0000292B" w:rsidRDefault="00737714" w:rsidP="00737714">
      <w:pPr>
        <w:pStyle w:val="CommentsPage"/>
      </w:pPr>
      <w:r w:rsidRPr="0000292B">
        <w:t xml:space="preserve">This </w:t>
      </w:r>
      <w:r w:rsidR="00C5022C">
        <w:t>Standard</w:t>
      </w:r>
      <w:r w:rsidRPr="0000292B">
        <w:t xml:space="preserve"> is available o</w:t>
      </w:r>
      <w:r w:rsidR="00923261">
        <w:t>n the AASB website: www.aasb.gov</w:t>
      </w:r>
      <w:r w:rsidRPr="0000292B">
        <w:t>.au.</w:t>
      </w:r>
    </w:p>
    <w:p w:rsidR="00737714" w:rsidRPr="0000292B" w:rsidRDefault="00737714" w:rsidP="003E0A68">
      <w:pPr>
        <w:pStyle w:val="CommentsPage"/>
        <w:ind w:right="-146"/>
      </w:pPr>
      <w:r w:rsidRPr="0000292B">
        <w:t xml:space="preserve">Alternatively, printed copies of this </w:t>
      </w:r>
      <w:r w:rsidR="00C5022C">
        <w:t>Standard</w:t>
      </w:r>
      <w:r w:rsidR="003E0A68" w:rsidRPr="0000292B">
        <w:t xml:space="preserve"> are available </w:t>
      </w:r>
      <w:r w:rsidR="00C5022C">
        <w:t xml:space="preserve">for purchase </w:t>
      </w:r>
      <w:r w:rsidR="003E0A68" w:rsidRPr="0000292B">
        <w:t>by contacting:</w:t>
      </w:r>
    </w:p>
    <w:p w:rsidR="00737714" w:rsidRPr="0000292B"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00292B" w:rsidTr="001C225F">
        <w:trPr>
          <w:cantSplit/>
        </w:trPr>
        <w:tc>
          <w:tcPr>
            <w:tcW w:w="3856" w:type="dxa"/>
          </w:tcPr>
          <w:p w:rsidR="00737714" w:rsidRPr="0000292B" w:rsidRDefault="00737714" w:rsidP="00E24399">
            <w:r w:rsidRPr="0000292B">
              <w:t xml:space="preserve">The </w:t>
            </w:r>
            <w:r w:rsidR="003E0A68" w:rsidRPr="0000292B">
              <w:t>Customer Service Officer</w:t>
            </w:r>
          </w:p>
          <w:p w:rsidR="00737714" w:rsidRPr="0000292B" w:rsidRDefault="00737714" w:rsidP="00E24399">
            <w:r w:rsidRPr="0000292B">
              <w:t>Australian Accounting Standards Board</w:t>
            </w:r>
          </w:p>
          <w:p w:rsidR="00737714" w:rsidRPr="0000292B" w:rsidRDefault="003E0A68" w:rsidP="00E24399">
            <w:r w:rsidRPr="0000292B">
              <w:t>Level 7</w:t>
            </w:r>
          </w:p>
          <w:p w:rsidR="00737714" w:rsidRPr="0000292B" w:rsidRDefault="003E0A68" w:rsidP="00E24399">
            <w:r w:rsidRPr="0000292B">
              <w:t>600 Bourke Street</w:t>
            </w:r>
          </w:p>
          <w:p w:rsidR="003E0A68" w:rsidRPr="0000292B" w:rsidRDefault="007455F0" w:rsidP="00E24399">
            <w:r>
              <w:t>Melbourne   Victoria</w:t>
            </w:r>
          </w:p>
          <w:p w:rsidR="00737714" w:rsidRDefault="00737714" w:rsidP="00E24399">
            <w:r w:rsidRPr="0000292B">
              <w:t>AUSTRALIA</w:t>
            </w:r>
          </w:p>
          <w:p w:rsidR="00C5022C" w:rsidRPr="0000292B" w:rsidRDefault="00C5022C" w:rsidP="00E24399"/>
        </w:tc>
        <w:tc>
          <w:tcPr>
            <w:tcW w:w="1928" w:type="dxa"/>
            <w:tcMar>
              <w:left w:w="108" w:type="dxa"/>
              <w:right w:w="108" w:type="dxa"/>
            </w:tcMar>
          </w:tcPr>
          <w:p w:rsidR="00C5022C" w:rsidRDefault="00C5022C" w:rsidP="00C5022C"/>
          <w:p w:rsidR="00C5022C" w:rsidRPr="00C5022C" w:rsidRDefault="00C5022C" w:rsidP="00C5022C">
            <w:pPr>
              <w:rPr>
                <w:b/>
              </w:rPr>
            </w:pPr>
            <w:r w:rsidRPr="00C5022C">
              <w:rPr>
                <w:b/>
              </w:rPr>
              <w:t>Postal address:</w:t>
            </w:r>
          </w:p>
          <w:p w:rsidR="00E06C2F" w:rsidRDefault="00C5022C" w:rsidP="00C5022C">
            <w:r w:rsidRPr="00C5022C">
              <w:t>PO Box 204</w:t>
            </w:r>
          </w:p>
          <w:p w:rsidR="00B271BA" w:rsidRDefault="00C5022C" w:rsidP="00C5022C">
            <w:r w:rsidRPr="00C5022C">
              <w:t>Collins St</w:t>
            </w:r>
            <w:r w:rsidR="00AD42DA">
              <w:t>reet</w:t>
            </w:r>
            <w:r w:rsidRPr="00C5022C">
              <w:t xml:space="preserve"> West</w:t>
            </w:r>
          </w:p>
          <w:p w:rsidR="003E0A68" w:rsidRDefault="00C5022C" w:rsidP="00C5022C">
            <w:r w:rsidRPr="00C5022C">
              <w:t>Vic</w:t>
            </w:r>
            <w:r>
              <w:t>toria</w:t>
            </w:r>
            <w:r w:rsidRPr="00C5022C">
              <w:t xml:space="preserve">   8007</w:t>
            </w:r>
          </w:p>
          <w:p w:rsidR="00C5022C" w:rsidRPr="0000292B" w:rsidRDefault="00C5022C" w:rsidP="00C5022C">
            <w:r>
              <w:t>AUSTRALIA</w:t>
            </w:r>
          </w:p>
        </w:tc>
      </w:tr>
      <w:tr w:rsidR="00C5022C" w:rsidRPr="0000292B" w:rsidTr="001C225F">
        <w:trPr>
          <w:cantSplit/>
        </w:trPr>
        <w:tc>
          <w:tcPr>
            <w:tcW w:w="3856" w:type="dxa"/>
          </w:tcPr>
          <w:p w:rsidR="00C5022C" w:rsidRPr="00C5022C" w:rsidRDefault="00C5022C" w:rsidP="00C5022C">
            <w:pPr>
              <w:tabs>
                <w:tab w:val="left" w:pos="907"/>
              </w:tabs>
            </w:pPr>
            <w:r w:rsidRPr="00C5022C">
              <w:t>Phone:</w:t>
            </w:r>
            <w:r w:rsidRPr="00C5022C">
              <w:tab/>
              <w:t>(03) 9617 7637</w:t>
            </w:r>
          </w:p>
          <w:p w:rsidR="00C5022C" w:rsidRPr="00C5022C" w:rsidRDefault="00C5022C" w:rsidP="00C5022C">
            <w:pPr>
              <w:tabs>
                <w:tab w:val="left" w:pos="907"/>
              </w:tabs>
            </w:pPr>
            <w:r w:rsidRPr="00C5022C">
              <w:t>Fax:</w:t>
            </w:r>
            <w:r w:rsidRPr="00C5022C">
              <w:tab/>
              <w:t>(03) 9617 7608</w:t>
            </w:r>
          </w:p>
          <w:p w:rsidR="00C5022C" w:rsidRDefault="00923261" w:rsidP="00C5022C">
            <w:pPr>
              <w:tabs>
                <w:tab w:val="left" w:pos="907"/>
              </w:tabs>
            </w:pPr>
            <w:r>
              <w:t>E-mail:</w:t>
            </w:r>
            <w:r>
              <w:tab/>
              <w:t>publications@aasb.gov</w:t>
            </w:r>
            <w:r w:rsidR="00C5022C" w:rsidRPr="00C5022C">
              <w:t>.au</w:t>
            </w:r>
          </w:p>
          <w:p w:rsidR="00C5022C" w:rsidRPr="00C5022C" w:rsidRDefault="00923261" w:rsidP="00C5022C">
            <w:pPr>
              <w:tabs>
                <w:tab w:val="left" w:pos="907"/>
              </w:tabs>
            </w:pPr>
            <w:r>
              <w:t>Website:</w:t>
            </w:r>
            <w:r>
              <w:tab/>
              <w:t>www.aasb.gov</w:t>
            </w:r>
            <w:r w:rsidR="00C5022C">
              <w:t>.au</w:t>
            </w:r>
          </w:p>
          <w:p w:rsidR="00C5022C" w:rsidRPr="00C5022C" w:rsidRDefault="00C5022C" w:rsidP="00C5022C"/>
        </w:tc>
        <w:tc>
          <w:tcPr>
            <w:tcW w:w="1928" w:type="dxa"/>
            <w:tcMar>
              <w:left w:w="0" w:type="dxa"/>
              <w:right w:w="0" w:type="dxa"/>
            </w:tcMar>
          </w:tcPr>
          <w:p w:rsidR="00C5022C" w:rsidRPr="007455F0" w:rsidRDefault="00C5022C" w:rsidP="007455F0">
            <w:pPr>
              <w:tabs>
                <w:tab w:val="left" w:pos="802"/>
              </w:tabs>
              <w:ind w:left="77"/>
              <w:rPr>
                <w:b/>
              </w:rPr>
            </w:pPr>
          </w:p>
        </w:tc>
      </w:tr>
    </w:tbl>
    <w:p w:rsidR="00737714" w:rsidRPr="0000292B" w:rsidRDefault="00737714" w:rsidP="00737714"/>
    <w:p w:rsidR="00090A6F" w:rsidRPr="0000292B" w:rsidRDefault="00090A6F">
      <w:pPr>
        <w:pStyle w:val="Heading2"/>
      </w:pPr>
      <w:r w:rsidRPr="0000292B">
        <w:t xml:space="preserve">Other </w:t>
      </w:r>
      <w:r w:rsidR="003E0A68" w:rsidRPr="0000292B">
        <w:t>Enquiries</w:t>
      </w:r>
    </w:p>
    <w:p w:rsidR="00090A6F" w:rsidRPr="0000292B" w:rsidRDefault="00090A6F">
      <w:pPr>
        <w:pStyle w:val="CoverContact"/>
      </w:pPr>
      <w:r w:rsidRPr="0000292B">
        <w:t>Phone:</w:t>
      </w:r>
      <w:r w:rsidRPr="0000292B">
        <w:tab/>
        <w:t>(03) 9617 7600</w:t>
      </w:r>
    </w:p>
    <w:p w:rsidR="00090A6F" w:rsidRPr="0000292B" w:rsidRDefault="00090A6F">
      <w:pPr>
        <w:pStyle w:val="CoverContact"/>
      </w:pPr>
      <w:r w:rsidRPr="0000292B">
        <w:t>Fax:</w:t>
      </w:r>
      <w:r w:rsidRPr="0000292B">
        <w:tab/>
        <w:t>(03) 9617 7608</w:t>
      </w:r>
    </w:p>
    <w:p w:rsidR="00090A6F" w:rsidRPr="0000292B" w:rsidRDefault="00923261">
      <w:pPr>
        <w:pStyle w:val="CoverContact"/>
      </w:pPr>
      <w:r>
        <w:t>E-mail:</w:t>
      </w:r>
      <w:r>
        <w:tab/>
        <w:t>standard@aasb.gov</w:t>
      </w:r>
      <w:r w:rsidR="00090A6F" w:rsidRPr="0000292B">
        <w:t>.au</w:t>
      </w:r>
    </w:p>
    <w:p w:rsidR="006D4700" w:rsidRDefault="006D4700" w:rsidP="006D4700">
      <w:pPr>
        <w:spacing w:before="2000"/>
      </w:pPr>
      <w:bookmarkStart w:id="5" w:name="CopyrightText"/>
      <w:r>
        <w:t>COPYRIGHT</w:t>
      </w:r>
    </w:p>
    <w:p w:rsidR="006D4700" w:rsidRDefault="006D4700" w:rsidP="006D4700"/>
    <w:p w:rsidR="006D4700" w:rsidRDefault="006D4700" w:rsidP="006D4700">
      <w:r>
        <w:t>© Commonwealth of Australia</w:t>
      </w:r>
      <w:r w:rsidR="00DB7C42">
        <w:t xml:space="preserve"> 2015</w:t>
      </w:r>
      <w:r>
        <w:t xml:space="preserve"> </w:t>
      </w:r>
      <w:bookmarkStart w:id="6" w:name="Year"/>
      <w:bookmarkEnd w:id="6"/>
    </w:p>
    <w:p w:rsidR="006D4700" w:rsidRDefault="006D4700" w:rsidP="006D4700"/>
    <w:p w:rsidR="006D4700" w:rsidRDefault="006D4700" w:rsidP="006D4700">
      <w:r>
        <w:t>This work is copyright.  Apart from any use as permitted under the Copyright Act 1968, no part may be reproduced by any process without prior written permission.  Requests and enquiries concerning reproduction and rights should be addressed to The Director of Finance and Administration, Australian Accounting Standards Board, PO Box 204, Collins Street West, Victoria 8007.</w:t>
      </w:r>
    </w:p>
    <w:bookmarkEnd w:id="5"/>
    <w:p w:rsidR="006D4700" w:rsidRDefault="006D4700" w:rsidP="006D4700"/>
    <w:p w:rsidR="007455F0" w:rsidRPr="0000292B" w:rsidRDefault="006D4700" w:rsidP="006D4700">
      <w:r>
        <w:t xml:space="preserve">ISSN </w:t>
      </w:r>
      <w:bookmarkStart w:id="7" w:name="ISSN"/>
      <w:r>
        <w:t>1036-4803</w:t>
      </w:r>
      <w:bookmarkEnd w:id="7"/>
    </w:p>
    <w:p w:rsidR="00090A6F" w:rsidRPr="0000292B" w:rsidRDefault="00090A6F">
      <w:pPr>
        <w:sectPr w:rsidR="00090A6F" w:rsidRPr="0000292B" w:rsidSect="00196B13">
          <w:footerReference w:type="default" r:id="rId10"/>
          <w:pgSz w:w="11907" w:h="16840" w:code="9"/>
          <w:pgMar w:top="1134" w:right="1134" w:bottom="1134" w:left="1134" w:header="709" w:footer="709" w:gutter="0"/>
          <w:cols w:space="720"/>
        </w:sectPr>
      </w:pPr>
    </w:p>
    <w:p w:rsidR="00090A6F" w:rsidRPr="0000292B" w:rsidRDefault="00090A6F">
      <w:pPr>
        <w:pStyle w:val="Heading1"/>
      </w:pPr>
      <w:r w:rsidRPr="0000292B">
        <w:lastRenderedPageBreak/>
        <w:t>CONTENTS</w:t>
      </w:r>
    </w:p>
    <w:p w:rsidR="00090A6F" w:rsidRPr="0000292B" w:rsidRDefault="00090A6F">
      <w:pPr>
        <w:pStyle w:val="ContentsCapsPlain"/>
      </w:pPr>
      <w:r w:rsidRPr="0000292B">
        <w:t>Preface</w:t>
      </w:r>
    </w:p>
    <w:p w:rsidR="00090A6F" w:rsidRPr="0000292B" w:rsidRDefault="00090A6F">
      <w:pPr>
        <w:pStyle w:val="ContentsCapsBold"/>
      </w:pPr>
      <w:r w:rsidRPr="0000292B">
        <w:t>Accounting Standard</w:t>
      </w:r>
    </w:p>
    <w:p w:rsidR="00090A6F" w:rsidRDefault="00090A6F">
      <w:pPr>
        <w:pStyle w:val="ContentsCapsBold"/>
        <w:rPr>
          <w:i/>
          <w:iCs/>
        </w:rPr>
      </w:pPr>
      <w:r w:rsidRPr="0000292B">
        <w:t>AASB</w:t>
      </w:r>
      <w:r w:rsidR="00DB7C42">
        <w:t xml:space="preserve"> </w:t>
      </w:r>
      <w:r w:rsidR="009349EE">
        <w:t>2015-</w:t>
      </w:r>
      <w:r w:rsidR="002F1B70">
        <w:t>4</w:t>
      </w:r>
      <w:r w:rsidRPr="0000292B">
        <w:t xml:space="preserve"> </w:t>
      </w:r>
      <w:r w:rsidR="009C2479" w:rsidRPr="00BC0D5D">
        <w:rPr>
          <w:iCs/>
        </w:rPr>
        <w:fldChar w:fldCharType="begin"/>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end"/>
      </w:r>
      <w:r w:rsidR="009C2479" w:rsidRPr="009C2479">
        <w:rPr>
          <w:i/>
        </w:rPr>
        <w:t xml:space="preserve">AmenDMENTS TO aUSTRALIAN aCCOUNTING sTANDARDS </w:t>
      </w:r>
      <w:r w:rsidR="00DB7C42">
        <w:rPr>
          <w:i/>
        </w:rPr>
        <w:t xml:space="preserve">– FINANCIAL REPORTING REQUIREMENTS FOR </w:t>
      </w:r>
      <w:r w:rsidR="00746F62">
        <w:rPr>
          <w:i/>
        </w:rPr>
        <w:t xml:space="preserve">AUSTRALIAN </w:t>
      </w:r>
      <w:r w:rsidR="00DB7C42">
        <w:rPr>
          <w:i/>
        </w:rPr>
        <w:t>GROUPS</w:t>
      </w:r>
      <w:r w:rsidR="00746F62">
        <w:rPr>
          <w:i/>
        </w:rPr>
        <w:t xml:space="preserve"> WITH A FOREIGN PARENT</w:t>
      </w:r>
    </w:p>
    <w:p w:rsidR="002B7803" w:rsidRPr="002B7803" w:rsidRDefault="002B7803" w:rsidP="002B7803"/>
    <w:p w:rsidR="00090A6F" w:rsidRPr="0000292B" w:rsidRDefault="00090A6F">
      <w:pPr>
        <w:pStyle w:val="ContentsParaHead"/>
      </w:pPr>
      <w:r w:rsidRPr="0000292B">
        <w:t>Paragraphs</w:t>
      </w:r>
    </w:p>
    <w:p w:rsidR="00746F62" w:rsidRPr="0000292B" w:rsidRDefault="00746F62" w:rsidP="00196B13">
      <w:pPr>
        <w:pStyle w:val="ContentsLevel1"/>
        <w:tabs>
          <w:tab w:val="clear" w:pos="6237"/>
          <w:tab w:val="right" w:pos="9639"/>
        </w:tabs>
      </w:pPr>
      <w:bookmarkStart w:id="8" w:name="TOCRange"/>
      <w:r w:rsidRPr="0000292B">
        <w:t>Objective</w:t>
      </w:r>
      <w:r w:rsidRPr="0000292B">
        <w:tab/>
      </w:r>
      <w:r>
        <w:t>1</w:t>
      </w:r>
    </w:p>
    <w:p w:rsidR="00746F62" w:rsidRPr="0000292B" w:rsidRDefault="00746F62" w:rsidP="00196B13">
      <w:pPr>
        <w:pStyle w:val="ContentsLevel1"/>
        <w:tabs>
          <w:tab w:val="clear" w:pos="6237"/>
          <w:tab w:val="right" w:pos="9639"/>
        </w:tabs>
      </w:pPr>
      <w:r w:rsidRPr="0000292B">
        <w:t>Application</w:t>
      </w:r>
      <w:r w:rsidRPr="0000292B">
        <w:tab/>
      </w:r>
      <w:r>
        <w:t xml:space="preserve">2 – </w:t>
      </w:r>
      <w:r w:rsidR="002104FB">
        <w:t>5</w:t>
      </w:r>
    </w:p>
    <w:p w:rsidR="00746F62" w:rsidRDefault="00746F62" w:rsidP="00196B13">
      <w:pPr>
        <w:pStyle w:val="ContentsLevel1"/>
        <w:tabs>
          <w:tab w:val="clear" w:pos="6237"/>
          <w:tab w:val="right" w:pos="9639"/>
        </w:tabs>
      </w:pPr>
      <w:r>
        <w:t>Commencement</w:t>
      </w:r>
      <w:r>
        <w:tab/>
      </w:r>
      <w:r w:rsidR="002104FB">
        <w:t>6</w:t>
      </w:r>
    </w:p>
    <w:p w:rsidR="00D547A1" w:rsidRDefault="00D547A1" w:rsidP="00196B13">
      <w:pPr>
        <w:pStyle w:val="ContentsLevel1"/>
        <w:tabs>
          <w:tab w:val="clear" w:pos="6237"/>
          <w:tab w:val="right" w:pos="9639"/>
        </w:tabs>
      </w:pPr>
      <w:r>
        <w:t>Amendment</w:t>
      </w:r>
      <w:r w:rsidR="00FA21EA">
        <w:t>s</w:t>
      </w:r>
      <w:r>
        <w:t xml:space="preserve"> to AASB 127</w:t>
      </w:r>
      <w:r>
        <w:tab/>
      </w:r>
      <w:r w:rsidR="002104FB">
        <w:t>7</w:t>
      </w:r>
    </w:p>
    <w:p w:rsidR="00746F62" w:rsidRPr="0000292B" w:rsidRDefault="00746F62" w:rsidP="00196B13">
      <w:pPr>
        <w:pStyle w:val="ContentsLevel1"/>
        <w:tabs>
          <w:tab w:val="clear" w:pos="6237"/>
          <w:tab w:val="right" w:pos="9639"/>
        </w:tabs>
      </w:pPr>
      <w:r>
        <w:t>Amendment to AASB 128</w:t>
      </w:r>
      <w:r>
        <w:tab/>
      </w:r>
      <w:r w:rsidR="002104FB">
        <w:t>8</w:t>
      </w:r>
    </w:p>
    <w:p w:rsidR="00746F62" w:rsidRPr="0000292B" w:rsidRDefault="00746F62" w:rsidP="00746F62">
      <w:pPr>
        <w:pStyle w:val="ContentsLevel1"/>
      </w:pPr>
    </w:p>
    <w:p w:rsidR="00746F62" w:rsidRPr="0000292B" w:rsidRDefault="00746F62" w:rsidP="00746F62">
      <w:pPr>
        <w:pStyle w:val="ContentsLevel1"/>
      </w:pPr>
    </w:p>
    <w:p w:rsidR="00746F62" w:rsidRPr="00410F00" w:rsidRDefault="00746F62" w:rsidP="00196B13">
      <w:pPr>
        <w:pStyle w:val="ContentsLevel1NoIndent"/>
        <w:tabs>
          <w:tab w:val="clear" w:pos="6237"/>
          <w:tab w:val="right" w:pos="9639"/>
        </w:tabs>
        <w:rPr>
          <w:i/>
        </w:rPr>
      </w:pPr>
      <w:r w:rsidRPr="0000292B">
        <w:t>BASIS FOR CONCLUSIONS ON AASB</w:t>
      </w:r>
      <w:r>
        <w:t xml:space="preserve"> </w:t>
      </w:r>
      <w:r w:rsidR="009349EE">
        <w:t>2015-</w:t>
      </w:r>
      <w:r w:rsidR="002F1B70">
        <w:t>4</w:t>
      </w:r>
      <w:r w:rsidRPr="0000292B">
        <w:tab/>
      </w:r>
      <w:r>
        <w:rPr>
          <w:i/>
        </w:rPr>
        <w:t xml:space="preserve">Page </w:t>
      </w:r>
      <w:r w:rsidR="00196B13">
        <w:rPr>
          <w:i/>
        </w:rPr>
        <w:t>7</w:t>
      </w:r>
    </w:p>
    <w:p w:rsidR="00746F62" w:rsidRPr="0000292B" w:rsidRDefault="00746F62" w:rsidP="00746F62"/>
    <w:p w:rsidR="00746F62" w:rsidRPr="0000292B" w:rsidRDefault="00746F62" w:rsidP="00746F62">
      <w:pPr>
        <w:pStyle w:val="ContentsBox"/>
      </w:pPr>
      <w:r w:rsidRPr="0000292B">
        <w:t xml:space="preserve">Australian Accounting Standard AASB </w:t>
      </w:r>
      <w:r w:rsidR="009349EE">
        <w:t>2015-</w:t>
      </w:r>
      <w:r w:rsidR="002F1B70">
        <w:t>4</w:t>
      </w:r>
      <w:r>
        <w:t xml:space="preserve"> </w:t>
      </w:r>
      <w:r>
        <w:rPr>
          <w:i/>
        </w:rPr>
        <w:t xml:space="preserve">Amendments to Australian Accounting Standards – Financial Reporting Requirements for Australian Groups with a Foreign Parent </w:t>
      </w:r>
      <w:r w:rsidRPr="0000292B">
        <w:t xml:space="preserve">is set out in paragraphs </w:t>
      </w:r>
      <w:r>
        <w:t xml:space="preserve">1 – </w:t>
      </w:r>
      <w:r w:rsidR="00FA21EA">
        <w:t>8</w:t>
      </w:r>
      <w:r w:rsidRPr="0000292B">
        <w:t xml:space="preserve">. </w:t>
      </w:r>
      <w:r>
        <w:t xml:space="preserve"> </w:t>
      </w:r>
      <w:r w:rsidRPr="0000292B">
        <w:t xml:space="preserve">All the paragraphs have equal authority. </w:t>
      </w:r>
    </w:p>
    <w:p w:rsidR="00090A6F" w:rsidRPr="0000292B" w:rsidRDefault="00090A6F">
      <w:pPr>
        <w:pStyle w:val="ContentsBox"/>
        <w:pBdr>
          <w:top w:val="none" w:sz="0" w:space="0" w:color="auto"/>
          <w:left w:val="none" w:sz="0" w:space="0" w:color="auto"/>
          <w:bottom w:val="none" w:sz="0" w:space="0" w:color="auto"/>
          <w:right w:val="none" w:sz="0" w:space="0" w:color="auto"/>
        </w:pBdr>
      </w:pPr>
      <w:bookmarkStart w:id="9" w:name="ContentsMarker"/>
      <w:bookmarkEnd w:id="8"/>
      <w:bookmarkEnd w:id="9"/>
    </w:p>
    <w:p w:rsidR="00090A6F" w:rsidRPr="0000292B" w:rsidRDefault="00090A6F">
      <w:pPr>
        <w:sectPr w:rsidR="00090A6F" w:rsidRPr="0000292B" w:rsidSect="00196B13">
          <w:footerReference w:type="default" r:id="rId11"/>
          <w:pgSz w:w="11907" w:h="16840" w:code="9"/>
          <w:pgMar w:top="1134" w:right="1134" w:bottom="1134" w:left="1134" w:header="709" w:footer="709" w:gutter="0"/>
          <w:cols w:space="720"/>
        </w:sectPr>
      </w:pPr>
    </w:p>
    <w:p w:rsidR="00090A6F" w:rsidRPr="0000292B" w:rsidRDefault="00090A6F">
      <w:pPr>
        <w:pStyle w:val="Heading1"/>
      </w:pPr>
      <w:r w:rsidRPr="0000292B">
        <w:lastRenderedPageBreak/>
        <w:t>Preface</w:t>
      </w:r>
    </w:p>
    <w:p w:rsidR="000F64CC" w:rsidRPr="0000292B" w:rsidRDefault="005A2514">
      <w:pPr>
        <w:pStyle w:val="Heading2"/>
      </w:pPr>
      <w:r>
        <w:t>Introduction</w:t>
      </w:r>
    </w:p>
    <w:p w:rsidR="00DB7C42" w:rsidRDefault="009C2479" w:rsidP="00DB7C42">
      <w:pPr>
        <w:pStyle w:val="NoNumPlain1"/>
      </w:pPr>
      <w:r>
        <w:t>This Standard makes amendments to</w:t>
      </w:r>
      <w:r w:rsidR="00DB7C42">
        <w:t xml:space="preserve"> AASB 128 </w:t>
      </w:r>
      <w:r w:rsidR="00DB7C42">
        <w:rPr>
          <w:i/>
        </w:rPr>
        <w:t xml:space="preserve">Investments in Associates and Joint Ventures </w:t>
      </w:r>
      <w:r w:rsidR="00DB7C42">
        <w:t xml:space="preserve">to align the relief available </w:t>
      </w:r>
      <w:r w:rsidR="00FA21EA">
        <w:t xml:space="preserve">in </w:t>
      </w:r>
      <w:r w:rsidR="00DB7C42">
        <w:t xml:space="preserve">AASB 10 </w:t>
      </w:r>
      <w:r w:rsidR="00DB7C42" w:rsidRPr="00252CDE">
        <w:rPr>
          <w:i/>
        </w:rPr>
        <w:t>Consolidated Financial Statements</w:t>
      </w:r>
      <w:r w:rsidR="00DB7C42">
        <w:t xml:space="preserve"> and AASB 128 in respect of </w:t>
      </w:r>
      <w:r w:rsidR="0026540D">
        <w:t xml:space="preserve">the </w:t>
      </w:r>
      <w:r w:rsidR="00746F62">
        <w:t>financial reporting requirements for Australian groups with a foreign parent</w:t>
      </w:r>
      <w:r w:rsidR="00DB7C42">
        <w:t>.</w:t>
      </w:r>
    </w:p>
    <w:p w:rsidR="000E5E38" w:rsidRPr="00925FCE" w:rsidRDefault="000E5E38" w:rsidP="00DB7C42">
      <w:pPr>
        <w:pStyle w:val="NoNumPlain1"/>
        <w:rPr>
          <w:i/>
        </w:rPr>
      </w:pPr>
      <w:r>
        <w:t xml:space="preserve">This Standard makes a consequential amendment to AASB 127 </w:t>
      </w:r>
      <w:r>
        <w:rPr>
          <w:i/>
        </w:rPr>
        <w:t xml:space="preserve">Separate Financial Statements. </w:t>
      </w:r>
    </w:p>
    <w:p w:rsidR="00FA21EA" w:rsidRDefault="00FA21EA" w:rsidP="00DB7C42">
      <w:pPr>
        <w:pStyle w:val="Heading2"/>
      </w:pPr>
      <w:r>
        <w:t>Main Features of this Standard</w:t>
      </w:r>
    </w:p>
    <w:p w:rsidR="00DB7C42" w:rsidRPr="0006142F" w:rsidRDefault="00DB7C42" w:rsidP="00DB7C42">
      <w:pPr>
        <w:pStyle w:val="Heading2"/>
        <w:rPr>
          <w:sz w:val="24"/>
          <w:szCs w:val="24"/>
        </w:rPr>
      </w:pPr>
      <w:r w:rsidRPr="0006142F">
        <w:rPr>
          <w:sz w:val="24"/>
          <w:szCs w:val="24"/>
        </w:rPr>
        <w:t>Main Requirements</w:t>
      </w:r>
    </w:p>
    <w:p w:rsidR="00DB7C42" w:rsidRDefault="00DB7C42" w:rsidP="00DB7C42">
      <w:pPr>
        <w:pStyle w:val="NoNumPlain1"/>
      </w:pPr>
      <w:r>
        <w:t>This Standard amends AASB 128 to require that, notwithstanding paragraphs 17 and Aus17.1 of AASB 128, the ultimate Australian entity shall apply the equity method in accounting for interests in associates and joint ventures if either the entity or the group is a reporting entity</w:t>
      </w:r>
      <w:r w:rsidR="00FA21EA">
        <w:t>,</w:t>
      </w:r>
      <w:r>
        <w:t xml:space="preserve"> or both the entity and group are reporting entities.</w:t>
      </w:r>
    </w:p>
    <w:p w:rsidR="00DB7C42" w:rsidRPr="0006142F" w:rsidRDefault="00DB7C42" w:rsidP="00DB7C42">
      <w:pPr>
        <w:pStyle w:val="Heading2"/>
        <w:rPr>
          <w:sz w:val="24"/>
          <w:szCs w:val="24"/>
        </w:rPr>
      </w:pPr>
      <w:r w:rsidRPr="0006142F">
        <w:rPr>
          <w:sz w:val="24"/>
          <w:szCs w:val="24"/>
        </w:rPr>
        <w:t>Application Date</w:t>
      </w:r>
    </w:p>
    <w:p w:rsidR="00DB7C42" w:rsidRDefault="00DB7C42" w:rsidP="00DB7C42">
      <w:pPr>
        <w:pStyle w:val="NumPlain2"/>
        <w:numPr>
          <w:ilvl w:val="0"/>
          <w:numId w:val="0"/>
        </w:numPr>
      </w:pPr>
      <w:r>
        <w:t xml:space="preserve">This Standard is applicable to annual reporting periods beginning on or after 1 July 2015. This Standard may be </w:t>
      </w:r>
      <w:r w:rsidR="003B2E78">
        <w:t>applied</w:t>
      </w:r>
      <w:r>
        <w:t xml:space="preserve"> by:</w:t>
      </w:r>
    </w:p>
    <w:p w:rsidR="00DB7C42" w:rsidRDefault="00DB7C42" w:rsidP="00DB7C42">
      <w:pPr>
        <w:pStyle w:val="NumPlain2"/>
        <w:tabs>
          <w:tab w:val="clear" w:pos="1021"/>
        </w:tabs>
        <w:ind w:left="567" w:hanging="567"/>
      </w:pPr>
      <w:r>
        <w:t>for-profit entities for annual reporting periods beginning on or after 1 January 2005 but before 1 July 2015; and</w:t>
      </w:r>
    </w:p>
    <w:p w:rsidR="00DB7C42" w:rsidRDefault="00DB7C42" w:rsidP="00DB7C42">
      <w:pPr>
        <w:pStyle w:val="NumPlain2"/>
        <w:keepLines/>
        <w:tabs>
          <w:tab w:val="clear" w:pos="1021"/>
        </w:tabs>
        <w:ind w:left="567" w:hanging="567"/>
      </w:pPr>
      <w:proofErr w:type="gramStart"/>
      <w:r w:rsidRPr="002D4D64">
        <w:t>not-for-profit</w:t>
      </w:r>
      <w:proofErr w:type="gramEnd"/>
      <w:r w:rsidRPr="002D4D64">
        <w:t xml:space="preserve"> entities for annual reporting periods beginning on or after 1 January 201</w:t>
      </w:r>
      <w:r>
        <w:t>3</w:t>
      </w:r>
      <w:r w:rsidRPr="002D4D64">
        <w:t xml:space="preserve"> but before 1 </w:t>
      </w:r>
      <w:r>
        <w:t>July</w:t>
      </w:r>
      <w:r w:rsidRPr="002D4D64">
        <w:t xml:space="preserve"> 2015</w:t>
      </w:r>
      <w:r>
        <w:t>.</w:t>
      </w:r>
    </w:p>
    <w:p w:rsidR="003B2E78" w:rsidRPr="0000292B" w:rsidRDefault="003B2E78" w:rsidP="003B2E78">
      <w:pPr>
        <w:pStyle w:val="NumPlain1"/>
        <w:numPr>
          <w:ilvl w:val="0"/>
          <w:numId w:val="0"/>
        </w:numPr>
      </w:pPr>
      <w:r w:rsidRPr="0000292B">
        <w:t xml:space="preserve">When an entity applies this Standard to </w:t>
      </w:r>
      <w:r>
        <w:t xml:space="preserve">such </w:t>
      </w:r>
      <w:r w:rsidRPr="0000292B">
        <w:t>an annual reporting period</w:t>
      </w:r>
      <w:r>
        <w:t>,</w:t>
      </w:r>
      <w:r w:rsidRPr="0000292B">
        <w:t xml:space="preserve"> it shall disclose that fact.</w:t>
      </w:r>
    </w:p>
    <w:p w:rsidR="00090A6F" w:rsidRPr="0000292B" w:rsidRDefault="00090A6F"/>
    <w:p w:rsidR="00090A6F" w:rsidRPr="0000292B" w:rsidRDefault="00090A6F">
      <w:pPr>
        <w:sectPr w:rsidR="00090A6F" w:rsidRPr="0000292B" w:rsidSect="00196B13">
          <w:footerReference w:type="default" r:id="rId12"/>
          <w:pgSz w:w="11907" w:h="16840" w:code="9"/>
          <w:pgMar w:top="1134" w:right="1134" w:bottom="1134" w:left="1134" w:header="709" w:footer="709" w:gutter="0"/>
          <w:cols w:space="720"/>
        </w:sectPr>
      </w:pPr>
    </w:p>
    <w:p w:rsidR="001662B8" w:rsidRPr="0000292B" w:rsidRDefault="001662B8" w:rsidP="001662B8">
      <w:pPr>
        <w:pStyle w:val="Heading1"/>
      </w:pPr>
      <w:r w:rsidRPr="0000292B">
        <w:lastRenderedPageBreak/>
        <w:t xml:space="preserve">aCCOUNTING STANDARD AASB </w:t>
      </w:r>
      <w:r w:rsidR="009349EE">
        <w:t>2015-</w:t>
      </w:r>
      <w:r w:rsidR="002F1B70">
        <w:t>4</w:t>
      </w:r>
      <w:r w:rsidRPr="00BC0D5D">
        <w:rPr>
          <w:iCs/>
        </w:rPr>
        <w:fldChar w:fldCharType="begin"/>
      </w:r>
      <w:r w:rsidRPr="00BC0D5D">
        <w:rPr>
          <w:iCs/>
        </w:rPr>
        <w:instrText xml:space="preserve"> REF </w:instrText>
      </w:r>
      <w:r>
        <w:rPr>
          <w:iCs/>
        </w:rPr>
        <w:instrText>Doc</w:instrText>
      </w:r>
      <w:r w:rsidRPr="00BC0D5D">
        <w:rPr>
          <w:iCs/>
        </w:rPr>
        <w:instrText xml:space="preserve">No \* charformat </w:instrText>
      </w:r>
      <w:r w:rsidRPr="00BC0D5D">
        <w:rPr>
          <w:iCs/>
        </w:rPr>
        <w:fldChar w:fldCharType="end"/>
      </w:r>
    </w:p>
    <w:p w:rsidR="001662B8" w:rsidRDefault="001662B8" w:rsidP="001662B8">
      <w:r>
        <w:t>The Australian Accounting Standards Board makes Accounting Standard AASB </w:t>
      </w:r>
      <w:r w:rsidR="009349EE">
        <w:t>2015-</w:t>
      </w:r>
      <w:r w:rsidR="002F1B70">
        <w:t>4</w:t>
      </w:r>
      <w:r>
        <w:fldChar w:fldCharType="begin"/>
      </w:r>
      <w:r>
        <w:instrText xml:space="preserve"> REF DocNo  \* charformat </w:instrText>
      </w:r>
      <w:r>
        <w:fldChar w:fldCharType="end"/>
      </w:r>
      <w:r>
        <w:t xml:space="preserve"> </w:t>
      </w:r>
      <w:r w:rsidRPr="001662B8">
        <w:rPr>
          <w:i/>
        </w:rPr>
        <w:t>Amendments to Australian Accountin</w:t>
      </w:r>
      <w:r w:rsidRPr="00FA21EA">
        <w:rPr>
          <w:i/>
        </w:rPr>
        <w:t xml:space="preserve">g </w:t>
      </w:r>
      <w:r w:rsidRPr="0006142F">
        <w:rPr>
          <w:i/>
        </w:rPr>
        <w:t>Standards</w:t>
      </w:r>
      <w:r w:rsidRPr="001662B8">
        <w:rPr>
          <w:i/>
        </w:rPr>
        <w:t xml:space="preserve"> </w:t>
      </w:r>
      <w:r w:rsidR="002E5CA7">
        <w:t xml:space="preserve">– </w:t>
      </w:r>
      <w:r w:rsidR="002E5CA7">
        <w:rPr>
          <w:i/>
        </w:rPr>
        <w:t xml:space="preserve">Financial Reporting Requirements for Australian Groups with a Foreign Parent </w:t>
      </w:r>
      <w:r w:rsidRPr="001662B8">
        <w:rPr>
          <w:i/>
          <w:iCs/>
        </w:rPr>
        <w:fldChar w:fldCharType="begin"/>
      </w:r>
      <w:r w:rsidRPr="001662B8">
        <w:rPr>
          <w:i/>
          <w:iCs/>
        </w:rPr>
        <w:instrText xml:space="preserve"> REF ArisingNo  \* charformat </w:instrText>
      </w:r>
      <w:r w:rsidRPr="001662B8">
        <w:rPr>
          <w:i/>
          <w:iCs/>
        </w:rPr>
        <w:fldChar w:fldCharType="end"/>
      </w:r>
      <w:r>
        <w:t xml:space="preserve">under section 334 of the </w:t>
      </w:r>
      <w:r>
        <w:rPr>
          <w:i/>
          <w:iCs/>
        </w:rPr>
        <w:t>Corporations Act 2001</w:t>
      </w:r>
      <w:r>
        <w:t>.</w:t>
      </w:r>
    </w:p>
    <w:p w:rsidR="00C03C7B"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3402"/>
        <w:gridCol w:w="6237"/>
      </w:tblGrid>
      <w:tr w:rsidR="00C03C7B" w:rsidTr="00196B13">
        <w:tc>
          <w:tcPr>
            <w:tcW w:w="3402" w:type="dxa"/>
          </w:tcPr>
          <w:p w:rsidR="00C03C7B" w:rsidRDefault="00C03C7B" w:rsidP="0048155F"/>
        </w:tc>
        <w:tc>
          <w:tcPr>
            <w:tcW w:w="6237" w:type="dxa"/>
          </w:tcPr>
          <w:p w:rsidR="00C03C7B" w:rsidRDefault="00DB7C42" w:rsidP="0048155F">
            <w:pPr>
              <w:jc w:val="right"/>
            </w:pPr>
            <w:r>
              <w:t>Kris Peach</w:t>
            </w:r>
          </w:p>
        </w:tc>
      </w:tr>
      <w:tr w:rsidR="00C03C7B" w:rsidTr="00196B13">
        <w:tc>
          <w:tcPr>
            <w:tcW w:w="3402" w:type="dxa"/>
          </w:tcPr>
          <w:p w:rsidR="00C03C7B" w:rsidRDefault="00C03C7B" w:rsidP="00DB0251">
            <w:r>
              <w:t>Dated</w:t>
            </w:r>
            <w:r w:rsidR="0026540D">
              <w:t xml:space="preserve"> </w:t>
            </w:r>
            <w:r w:rsidR="005E7AB1">
              <w:t xml:space="preserve">Date </w:t>
            </w:r>
            <w:r w:rsidR="00DB0251">
              <w:t>30 January</w:t>
            </w:r>
            <w:r w:rsidR="0026540D">
              <w:t xml:space="preserve"> 2015</w:t>
            </w:r>
            <w:r>
              <w:t xml:space="preserve"> </w:t>
            </w:r>
            <w:bookmarkStart w:id="10" w:name="DateSigned"/>
            <w:bookmarkEnd w:id="10"/>
          </w:p>
        </w:tc>
        <w:tc>
          <w:tcPr>
            <w:tcW w:w="6237" w:type="dxa"/>
          </w:tcPr>
          <w:p w:rsidR="00C03C7B" w:rsidRDefault="00C03C7B" w:rsidP="0048155F">
            <w:pPr>
              <w:jc w:val="right"/>
            </w:pPr>
            <w:r>
              <w:t>Chair – AASB</w:t>
            </w:r>
          </w:p>
        </w:tc>
      </w:tr>
    </w:tbl>
    <w:p w:rsidR="00C03C7B" w:rsidRDefault="00C03C7B" w:rsidP="00C03C7B"/>
    <w:p w:rsidR="00C03C7B" w:rsidRDefault="00C03C7B" w:rsidP="00C03C7B"/>
    <w:p w:rsidR="00090A6F" w:rsidRPr="0000292B" w:rsidRDefault="00090A6F">
      <w:pPr>
        <w:pStyle w:val="Heading1"/>
      </w:pPr>
      <w:r w:rsidRPr="0000292B">
        <w:t>aCCOUNTING STANDARD AASB</w:t>
      </w:r>
      <w:r w:rsidR="000E5E38">
        <w:t xml:space="preserve"> </w:t>
      </w:r>
      <w:r w:rsidR="009349EE">
        <w:t>2015-</w:t>
      </w:r>
      <w:r w:rsidR="002F1B70">
        <w:t>4</w:t>
      </w:r>
      <w:r w:rsidRPr="0000292B">
        <w:t xml:space="preserve"> </w:t>
      </w:r>
      <w:r w:rsidR="00BC0D5D" w:rsidRPr="00BC0D5D">
        <w:rPr>
          <w:iCs/>
        </w:rPr>
        <w:fldChar w:fldCharType="begin"/>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end"/>
      </w:r>
    </w:p>
    <w:p w:rsidR="00090A6F" w:rsidRDefault="001662B8">
      <w:pPr>
        <w:pStyle w:val="Heading1Italic"/>
      </w:pPr>
      <w:r>
        <w:t xml:space="preserve">AMENDMENTS TO AUSTRALIAN ACCOUNTING STANDARDS </w:t>
      </w:r>
      <w:r w:rsidR="00707ED3">
        <w:t xml:space="preserve">– </w:t>
      </w:r>
      <w:r w:rsidR="00707ED3" w:rsidRPr="00707ED3">
        <w:t xml:space="preserve">Financial Reporting Requirements for Australian Groups with a Foreign Parent </w:t>
      </w:r>
      <w:r w:rsidR="00090A6F" w:rsidRPr="0000292B">
        <w:fldChar w:fldCharType="begin"/>
      </w:r>
      <w:r w:rsidR="00090A6F" w:rsidRPr="0000292B">
        <w:instrText xml:space="preserve"> REF </w:instrText>
      </w:r>
      <w:r>
        <w:instrText>ArisingNo</w:instrText>
      </w:r>
      <w:r w:rsidR="00090A6F" w:rsidRPr="0000292B">
        <w:instrText xml:space="preserve">  \* charformat </w:instrText>
      </w:r>
      <w:r w:rsidR="00090A6F" w:rsidRPr="0000292B">
        <w:fldChar w:fldCharType="end"/>
      </w:r>
    </w:p>
    <w:p w:rsidR="00090A6F" w:rsidRPr="0000292B" w:rsidRDefault="00090A6F">
      <w:pPr>
        <w:pStyle w:val="Heading2"/>
      </w:pPr>
      <w:bookmarkStart w:id="11" w:name="TOCStart"/>
      <w:bookmarkEnd w:id="11"/>
      <w:r w:rsidRPr="0000292B">
        <w:t>Objective</w:t>
      </w:r>
    </w:p>
    <w:p w:rsidR="00F6044E" w:rsidRDefault="001662B8">
      <w:pPr>
        <w:pStyle w:val="NumPlain1"/>
        <w:numPr>
          <w:ilvl w:val="0"/>
          <w:numId w:val="12"/>
        </w:numPr>
      </w:pPr>
      <w:r>
        <w:t xml:space="preserve">The </w:t>
      </w:r>
      <w:r w:rsidR="00460FBB">
        <w:t>o</w:t>
      </w:r>
      <w:r>
        <w:t>bjective of this Standard is to</w:t>
      </w:r>
      <w:r w:rsidR="00F6044E">
        <w:t xml:space="preserve"> make amendments to:</w:t>
      </w:r>
    </w:p>
    <w:p w:rsidR="00F6044E" w:rsidRDefault="00F6044E" w:rsidP="003B2E78">
      <w:pPr>
        <w:pStyle w:val="NumPlain2"/>
      </w:pPr>
      <w:r>
        <w:t xml:space="preserve">AASB 127 </w:t>
      </w:r>
      <w:r>
        <w:rPr>
          <w:i/>
        </w:rPr>
        <w:t>Separate Financial Statements</w:t>
      </w:r>
      <w:r>
        <w:t>; and</w:t>
      </w:r>
    </w:p>
    <w:p w:rsidR="00F6044E" w:rsidRDefault="00F6044E" w:rsidP="003B2E78">
      <w:pPr>
        <w:pStyle w:val="NumPlain2"/>
      </w:pPr>
      <w:r>
        <w:t xml:space="preserve">AASB 128 </w:t>
      </w:r>
      <w:r>
        <w:rPr>
          <w:i/>
        </w:rPr>
        <w:t>Investments in Associates and Joint Ventures</w:t>
      </w:r>
      <w:r>
        <w:t>;</w:t>
      </w:r>
    </w:p>
    <w:p w:rsidR="001662B8" w:rsidRPr="0000292B" w:rsidRDefault="00F6044E" w:rsidP="003B2E78">
      <w:pPr>
        <w:pStyle w:val="NoNumPlain2"/>
      </w:pPr>
      <w:r>
        <w:t>to</w:t>
      </w:r>
      <w:r w:rsidR="001662B8">
        <w:t xml:space="preserve"> </w:t>
      </w:r>
      <w:r w:rsidR="00DB7C42">
        <w:t xml:space="preserve">align the relief available </w:t>
      </w:r>
      <w:r w:rsidR="002104FB">
        <w:t xml:space="preserve">in </w:t>
      </w:r>
      <w:r w:rsidR="00DB7C42">
        <w:t xml:space="preserve">AASB 10 </w:t>
      </w:r>
      <w:r w:rsidR="00DB7C42" w:rsidRPr="000E5E38">
        <w:rPr>
          <w:i/>
        </w:rPr>
        <w:t>Consolidated Financial Statements</w:t>
      </w:r>
      <w:r w:rsidR="00DB7C42">
        <w:t xml:space="preserve"> and AASB 128</w:t>
      </w:r>
      <w:r w:rsidR="000E5E38">
        <w:t xml:space="preserve"> </w:t>
      </w:r>
      <w:r w:rsidR="000E5E38">
        <w:rPr>
          <w:i/>
        </w:rPr>
        <w:t>Investments in Associates and Joint Ventures</w:t>
      </w:r>
      <w:r w:rsidR="00DB7C42">
        <w:t xml:space="preserve"> in respect of </w:t>
      </w:r>
      <w:r w:rsidR="000E5E38">
        <w:t>the financial reporting requirements for Australian groups with a foreign parent.</w:t>
      </w:r>
    </w:p>
    <w:p w:rsidR="00090A6F" w:rsidRPr="0000292B" w:rsidRDefault="00090A6F">
      <w:pPr>
        <w:pStyle w:val="Heading2"/>
      </w:pPr>
      <w:r w:rsidRPr="0000292B">
        <w:t>Application</w:t>
      </w:r>
    </w:p>
    <w:p w:rsidR="00511C34" w:rsidRDefault="00DB7C42" w:rsidP="00027E8B">
      <w:pPr>
        <w:pStyle w:val="NumBold1"/>
      </w:pPr>
      <w:r>
        <w:t>T</w:t>
      </w:r>
      <w:r w:rsidR="00511C34">
        <w:t>his Standard applies to:</w:t>
      </w:r>
    </w:p>
    <w:p w:rsidR="00511C34" w:rsidRDefault="00511C34" w:rsidP="00511C34">
      <w:pPr>
        <w:pStyle w:val="NumBold2"/>
      </w:pPr>
      <w:r>
        <w:t xml:space="preserve">each entity that is required to prepare financial reports in accordance with Part 2M.3 of the </w:t>
      </w:r>
      <w:r w:rsidRPr="00D74038">
        <w:t>Corporations Act</w:t>
      </w:r>
      <w:r>
        <w:t xml:space="preserve"> and that is a reporting entity;</w:t>
      </w:r>
    </w:p>
    <w:p w:rsidR="00511C34" w:rsidRDefault="00511C34" w:rsidP="00511C34">
      <w:pPr>
        <w:pStyle w:val="NumBold2"/>
      </w:pPr>
      <w:r>
        <w:t>general purpose financial statements of each other reporting entity; and</w:t>
      </w:r>
    </w:p>
    <w:p w:rsidR="00511C34" w:rsidRDefault="00511C34" w:rsidP="00511C34">
      <w:pPr>
        <w:pStyle w:val="NumBold2"/>
      </w:pPr>
      <w:proofErr w:type="gramStart"/>
      <w:r>
        <w:t>financial</w:t>
      </w:r>
      <w:proofErr w:type="gramEnd"/>
      <w:r>
        <w:t xml:space="preserve"> statements that are, or are held out to be, general purpose financial statements.</w:t>
      </w:r>
    </w:p>
    <w:p w:rsidR="00090A6F" w:rsidRPr="00027E8B" w:rsidRDefault="00090A6F" w:rsidP="00027E8B">
      <w:pPr>
        <w:pStyle w:val="NumBold1"/>
      </w:pPr>
      <w:r w:rsidRPr="00027E8B">
        <w:t xml:space="preserve">This Standard applies to annual reporting periods </w:t>
      </w:r>
      <w:bookmarkStart w:id="12" w:name="ApplyText"/>
      <w:r w:rsidRPr="00027E8B">
        <w:t>beginning</w:t>
      </w:r>
      <w:bookmarkEnd w:id="12"/>
      <w:r w:rsidRPr="00027E8B">
        <w:t xml:space="preserve"> on or after </w:t>
      </w:r>
      <w:bookmarkStart w:id="13" w:name="ApplyDate"/>
      <w:r w:rsidR="00DB7C42">
        <w:t>1 July</w:t>
      </w:r>
      <w:r w:rsidRPr="00027E8B">
        <w:t xml:space="preserve"> 20</w:t>
      </w:r>
      <w:bookmarkEnd w:id="13"/>
      <w:r w:rsidR="00DB7C42">
        <w:t>15</w:t>
      </w:r>
      <w:bookmarkStart w:id="14" w:name="EarlyNoText"/>
      <w:r w:rsidR="0078116B" w:rsidRPr="00027E8B">
        <w:t>.</w:t>
      </w:r>
      <w:bookmarkEnd w:id="14"/>
    </w:p>
    <w:p w:rsidR="00DB7C42" w:rsidRDefault="00746F62" w:rsidP="003B2E78">
      <w:pPr>
        <w:pStyle w:val="NumBold1"/>
        <w:keepNext/>
      </w:pPr>
      <w:bookmarkStart w:id="15" w:name="EarlyYesPara"/>
      <w:r>
        <w:t>This Standard may be applied by:</w:t>
      </w:r>
    </w:p>
    <w:p w:rsidR="00DB7C42" w:rsidRPr="00746F62" w:rsidRDefault="00DB7C42" w:rsidP="00746F62">
      <w:pPr>
        <w:pStyle w:val="NumPlain2"/>
        <w:rPr>
          <w:b/>
        </w:rPr>
      </w:pPr>
      <w:r w:rsidRPr="00746F62">
        <w:rPr>
          <w:b/>
        </w:rPr>
        <w:t>for-profit entities for annual reporting periods beginning on or after 1 January 2005 but before 1</w:t>
      </w:r>
      <w:r w:rsidR="00DE0EC9">
        <w:rPr>
          <w:b/>
        </w:rPr>
        <w:t> </w:t>
      </w:r>
      <w:r w:rsidRPr="00746F62">
        <w:rPr>
          <w:b/>
        </w:rPr>
        <w:t>July 2015; and</w:t>
      </w:r>
    </w:p>
    <w:p w:rsidR="00DB7C42" w:rsidRPr="00746F62" w:rsidRDefault="00DB7C42" w:rsidP="00746F62">
      <w:pPr>
        <w:pStyle w:val="NumPlain2"/>
        <w:rPr>
          <w:b/>
        </w:rPr>
      </w:pPr>
      <w:r w:rsidRPr="00746F62">
        <w:rPr>
          <w:b/>
        </w:rPr>
        <w:t>not-for-profit entities for annual reporting periods beginning on or after 1 January 2013 but before 1</w:t>
      </w:r>
      <w:r w:rsidR="00DE0EC9">
        <w:rPr>
          <w:b/>
        </w:rPr>
        <w:t> </w:t>
      </w:r>
      <w:r w:rsidRPr="00746F62">
        <w:rPr>
          <w:b/>
        </w:rPr>
        <w:t>July 2015.</w:t>
      </w:r>
      <w:bookmarkStart w:id="16" w:name="_GoBack"/>
      <w:bookmarkEnd w:id="16"/>
    </w:p>
    <w:p w:rsidR="00090A6F" w:rsidRDefault="00090A6F" w:rsidP="00746F62">
      <w:pPr>
        <w:pStyle w:val="NumBold1"/>
        <w:numPr>
          <w:ilvl w:val="0"/>
          <w:numId w:val="0"/>
        </w:numPr>
        <w:ind w:left="510"/>
      </w:pPr>
      <w:r w:rsidRPr="0000292B">
        <w:t xml:space="preserve">When an entity applies this Standard to </w:t>
      </w:r>
      <w:r w:rsidR="00590051">
        <w:t xml:space="preserve">such </w:t>
      </w:r>
      <w:r w:rsidRPr="0000292B">
        <w:t>an annual reporting period</w:t>
      </w:r>
      <w:r w:rsidR="00590051">
        <w:t>,</w:t>
      </w:r>
      <w:r w:rsidRPr="0000292B">
        <w:t xml:space="preserve"> it shall disclose that fact.</w:t>
      </w:r>
    </w:p>
    <w:p w:rsidR="002104FB" w:rsidRPr="002104FB" w:rsidRDefault="002104FB" w:rsidP="0006142F">
      <w:pPr>
        <w:pStyle w:val="NumPlain1"/>
      </w:pPr>
      <w:r w:rsidRPr="0006142F">
        <w:rPr>
          <w:b/>
        </w:rPr>
        <w:t>This Standard uses underlining, striking out and other</w:t>
      </w:r>
      <w:r w:rsidRPr="002104FB">
        <w:rPr>
          <w:b/>
        </w:rPr>
        <w:t xml:space="preserve"> typographical material to identify some of the amendments to a Standard, in order to make the amendments more understandable. However, the amendments made by this Standard do not include that underlining, striking out or other typographical material.</w:t>
      </w:r>
    </w:p>
    <w:bookmarkEnd w:id="15"/>
    <w:p w:rsidR="00746F62" w:rsidRDefault="00746F62" w:rsidP="00746F62">
      <w:pPr>
        <w:pStyle w:val="Heading2"/>
      </w:pPr>
      <w:r>
        <w:t>Commencement</w:t>
      </w:r>
    </w:p>
    <w:p w:rsidR="00746F62" w:rsidRDefault="00746F62" w:rsidP="00746F62">
      <w:pPr>
        <w:pStyle w:val="NumBold1"/>
      </w:pPr>
      <w:r w:rsidRPr="007E7893">
        <w:t>This Standard commences on the day this Standard is made by the Australian Accounting Standards Board.</w:t>
      </w:r>
    </w:p>
    <w:p w:rsidR="0026540D" w:rsidRDefault="0026540D" w:rsidP="00746F62">
      <w:pPr>
        <w:pStyle w:val="Heading2"/>
      </w:pPr>
      <w:r>
        <w:t>Amendment</w:t>
      </w:r>
      <w:r w:rsidR="00CA3F3A">
        <w:t>s</w:t>
      </w:r>
      <w:r>
        <w:t xml:space="preserve"> to AASB 127</w:t>
      </w:r>
    </w:p>
    <w:p w:rsidR="0026540D" w:rsidRDefault="0026540D" w:rsidP="0026540D">
      <w:pPr>
        <w:pStyle w:val="NumPlain1"/>
      </w:pPr>
      <w:r>
        <w:t>Paragraph 8 is amended as follows</w:t>
      </w:r>
      <w:r w:rsidR="006B7A01">
        <w:t xml:space="preserve"> (new text is underlined and deleted text is struck through)</w:t>
      </w:r>
      <w:r>
        <w:t>:</w:t>
      </w:r>
    </w:p>
    <w:p w:rsidR="0026540D" w:rsidRPr="0000292B" w:rsidRDefault="0026540D" w:rsidP="0026540D">
      <w:pPr>
        <w:pStyle w:val="NoNumPlain1"/>
        <w:ind w:left="1276" w:hanging="766"/>
      </w:pPr>
      <w:r>
        <w:t>8</w:t>
      </w:r>
      <w:r>
        <w:tab/>
        <w:t>An entity that is exempted in accordance with paragraphs</w:t>
      </w:r>
      <w:r w:rsidR="006B7A01">
        <w:t> </w:t>
      </w:r>
      <w:r>
        <w:t>4(a), Aus4.1 and Aus4.2 of AASB 10 from consolidat</w:t>
      </w:r>
      <w:r w:rsidR="002104FB">
        <w:t>ion</w:t>
      </w:r>
      <w:r>
        <w:t xml:space="preserve"> or paragraphs 17</w:t>
      </w:r>
      <w:r>
        <w:rPr>
          <w:u w:val="single"/>
        </w:rPr>
        <w:t>,</w:t>
      </w:r>
      <w:r w:rsidRPr="003B2E78">
        <w:t xml:space="preserve"> </w:t>
      </w:r>
      <w:r w:rsidRPr="00925FCE">
        <w:rPr>
          <w:strike/>
        </w:rPr>
        <w:t>and</w:t>
      </w:r>
      <w:r w:rsidRPr="003B2E78">
        <w:t xml:space="preserve"> </w:t>
      </w:r>
      <w:r>
        <w:t>Aus17.1</w:t>
      </w:r>
      <w:r w:rsidRPr="003B2E78">
        <w:t xml:space="preserve"> </w:t>
      </w:r>
      <w:r>
        <w:rPr>
          <w:u w:val="single"/>
        </w:rPr>
        <w:t>and Aus17.2</w:t>
      </w:r>
      <w:r>
        <w:t xml:space="preserve"> of AASB 128 (August 2011) from applying the equity method may present separate financial statements as its only financial statements.</w:t>
      </w:r>
    </w:p>
    <w:p w:rsidR="00746F62" w:rsidRDefault="00746F62" w:rsidP="00746F62">
      <w:pPr>
        <w:pStyle w:val="Heading2"/>
      </w:pPr>
      <w:r>
        <w:lastRenderedPageBreak/>
        <w:t>Amendment to AASB 128</w:t>
      </w:r>
    </w:p>
    <w:p w:rsidR="00746F62" w:rsidRDefault="00746F62" w:rsidP="00746F62">
      <w:pPr>
        <w:pStyle w:val="NumPlain1"/>
      </w:pPr>
      <w:r>
        <w:t>Paragraph Aus17.2 is added as follows:</w:t>
      </w:r>
    </w:p>
    <w:p w:rsidR="00746F62" w:rsidRPr="0000292B" w:rsidRDefault="00746F62" w:rsidP="00746F62">
      <w:pPr>
        <w:pStyle w:val="NoNumPlain1"/>
        <w:ind w:left="1276" w:hanging="766"/>
      </w:pPr>
      <w:r>
        <w:t xml:space="preserve">Aus17.2 </w:t>
      </w:r>
      <w:r>
        <w:tab/>
        <w:t xml:space="preserve">Notwithstanding paragraphs 17 and Aus17.1, the ultimate Australian entity shall apply the equity method </w:t>
      </w:r>
      <w:r w:rsidR="00F35694">
        <w:t>in</w:t>
      </w:r>
      <w:r>
        <w:t xml:space="preserve"> accounting for interests in associates and joint ventures in accordance with this Standard when either the entity or the group is a reporting entity</w:t>
      </w:r>
      <w:r w:rsidR="002104FB">
        <w:t>,</w:t>
      </w:r>
      <w:r>
        <w:t xml:space="preserve"> or both the entity and the group are reporting entities.</w:t>
      </w:r>
    </w:p>
    <w:p w:rsidR="00746F62" w:rsidRDefault="00746F62" w:rsidP="00746F62">
      <w:pPr>
        <w:sectPr w:rsidR="00746F62" w:rsidSect="00196B13">
          <w:headerReference w:type="default" r:id="rId13"/>
          <w:footerReference w:type="default" r:id="rId14"/>
          <w:headerReference w:type="first" r:id="rId15"/>
          <w:footerReference w:type="first" r:id="rId16"/>
          <w:pgSz w:w="11907" w:h="16840" w:code="9"/>
          <w:pgMar w:top="1134" w:right="1134" w:bottom="1134" w:left="1134" w:header="709" w:footer="709" w:gutter="0"/>
          <w:cols w:space="720"/>
          <w:docGrid w:linePitch="65"/>
        </w:sectPr>
      </w:pPr>
    </w:p>
    <w:p w:rsidR="00746F62" w:rsidRPr="0000292B" w:rsidRDefault="00746F62" w:rsidP="00746F62">
      <w:pPr>
        <w:pStyle w:val="AppendixTitle"/>
      </w:pPr>
      <w:r w:rsidRPr="0000292B">
        <w:lastRenderedPageBreak/>
        <w:t>BASIS FOR CONCLUSIONS</w:t>
      </w:r>
    </w:p>
    <w:p w:rsidR="00746F62" w:rsidRPr="0000292B" w:rsidRDefault="00746F62" w:rsidP="00746F62">
      <w:pPr>
        <w:pStyle w:val="AppendixNote"/>
      </w:pPr>
      <w:r w:rsidRPr="0000292B">
        <w:t>Th</w:t>
      </w:r>
      <w:r>
        <w:t>is</w:t>
      </w:r>
      <w:r w:rsidRPr="0000292B">
        <w:t xml:space="preserve"> Basis for Conclusions accompanies, but is not part of, AASB</w:t>
      </w:r>
      <w:r>
        <w:rPr>
          <w:iCs w:val="0"/>
        </w:rPr>
        <w:t xml:space="preserve"> </w:t>
      </w:r>
      <w:r w:rsidR="009349EE">
        <w:rPr>
          <w:iCs w:val="0"/>
        </w:rPr>
        <w:t>2015-</w:t>
      </w:r>
      <w:r w:rsidR="002F1B70">
        <w:rPr>
          <w:iCs w:val="0"/>
        </w:rPr>
        <w:t>4</w:t>
      </w:r>
      <w:r w:rsidRPr="0000292B">
        <w:t>.</w:t>
      </w:r>
    </w:p>
    <w:p w:rsidR="00746F62" w:rsidRPr="0000292B" w:rsidRDefault="00746F62" w:rsidP="00746F62">
      <w:pPr>
        <w:pStyle w:val="Heading2"/>
      </w:pPr>
      <w:r>
        <w:t>Background</w:t>
      </w:r>
    </w:p>
    <w:p w:rsidR="00746F62" w:rsidRDefault="00746F62" w:rsidP="00746F62">
      <w:pPr>
        <w:pStyle w:val="NumBC1"/>
        <w:numPr>
          <w:ilvl w:val="0"/>
          <w:numId w:val="13"/>
        </w:numPr>
      </w:pPr>
      <w:r>
        <w:t>This Basis for Conclusions summarises the Australian Accounting Standards Board’s considerations in reaching the conclusions in</w:t>
      </w:r>
      <w:r w:rsidR="003B2E78">
        <w:t xml:space="preserve"> AASB </w:t>
      </w:r>
      <w:r w:rsidR="009349EE">
        <w:t>2015-</w:t>
      </w:r>
      <w:r w:rsidR="002F1B70">
        <w:t>4</w:t>
      </w:r>
      <w:r w:rsidR="003B2E78">
        <w:t xml:space="preserve"> </w:t>
      </w:r>
      <w:r w:rsidR="003B2E78" w:rsidRPr="001662B8">
        <w:rPr>
          <w:i/>
        </w:rPr>
        <w:t>Amendments to Australian Accounting</w:t>
      </w:r>
      <w:r w:rsidR="003B2E78" w:rsidRPr="002104FB">
        <w:rPr>
          <w:i/>
        </w:rPr>
        <w:t xml:space="preserve"> </w:t>
      </w:r>
      <w:r w:rsidR="003B2E78" w:rsidRPr="0006142F">
        <w:rPr>
          <w:i/>
        </w:rPr>
        <w:t>Standards</w:t>
      </w:r>
      <w:r w:rsidR="003B2E78" w:rsidRPr="001662B8">
        <w:rPr>
          <w:i/>
        </w:rPr>
        <w:t xml:space="preserve"> </w:t>
      </w:r>
      <w:r w:rsidR="003B2E78">
        <w:t xml:space="preserve">– </w:t>
      </w:r>
      <w:r w:rsidR="003B2E78">
        <w:rPr>
          <w:i/>
        </w:rPr>
        <w:t>Financial Reporting Requirements for Australian Groups with a Foreign Parent</w:t>
      </w:r>
      <w:r>
        <w:t>.  Individual Board members gave greater weight to some factors than to others.</w:t>
      </w:r>
    </w:p>
    <w:p w:rsidR="00746F62" w:rsidRDefault="00746F62" w:rsidP="00746F62">
      <w:pPr>
        <w:pStyle w:val="NumBC1"/>
        <w:numPr>
          <w:ilvl w:val="0"/>
          <w:numId w:val="13"/>
        </w:numPr>
      </w:pPr>
      <w:r>
        <w:t xml:space="preserve">In September 2014, the Board identified that the requirements of AASB 10 </w:t>
      </w:r>
      <w:r w:rsidRPr="00252CDE">
        <w:rPr>
          <w:i/>
        </w:rPr>
        <w:t>Consolidated Financial Statements</w:t>
      </w:r>
      <w:r>
        <w:t xml:space="preserve"> and AASB 128 </w:t>
      </w:r>
      <w:r w:rsidRPr="00252CDE">
        <w:rPr>
          <w:i/>
        </w:rPr>
        <w:t xml:space="preserve">Investments in Associates and Joint </w:t>
      </w:r>
      <w:r>
        <w:rPr>
          <w:i/>
        </w:rPr>
        <w:t>V</w:t>
      </w:r>
      <w:r w:rsidRPr="00252CDE">
        <w:rPr>
          <w:i/>
        </w:rPr>
        <w:t>entures</w:t>
      </w:r>
      <w:r>
        <w:t xml:space="preserve"> in relation to the requirement for an Australian parent entity to apply the requirements of AASB 10 and/or AASB 128 when either the parent or the group is a reporting entity, or both the parent and the group are reporting entities, were not aligned.  Specifically, AASB</w:t>
      </w:r>
      <w:r w:rsidR="00196B13">
        <w:t> </w:t>
      </w:r>
      <w:r>
        <w:t>10 requires the ultimate Australian parent to prepare consolidated financial statements, even where the entity has a foreign parent that prepares consolidated financial statements that comply with IFRSs,</w:t>
      </w:r>
      <w:r w:rsidRPr="000A6AF3">
        <w:t xml:space="preserve"> </w:t>
      </w:r>
      <w:r>
        <w:t>when either the parent or the group is a reporting entity or both the parent and the group are reporting entities.  AASB 128 d</w:t>
      </w:r>
      <w:r w:rsidR="002104FB">
        <w:t>id</w:t>
      </w:r>
      <w:r>
        <w:t xml:space="preserve"> not include a similar requirement in relation to the application of the equity method </w:t>
      </w:r>
      <w:r w:rsidR="002104FB">
        <w:t>by</w:t>
      </w:r>
      <w:r>
        <w:t xml:space="preserve"> the ultimate Australian parent.</w:t>
      </w:r>
    </w:p>
    <w:p w:rsidR="00746F62" w:rsidRDefault="00746F62" w:rsidP="00746F62">
      <w:pPr>
        <w:pStyle w:val="NumBC1"/>
        <w:numPr>
          <w:ilvl w:val="0"/>
          <w:numId w:val="13"/>
        </w:numPr>
      </w:pPr>
      <w:r>
        <w:t xml:space="preserve">The Board noted that this difference arose </w:t>
      </w:r>
      <w:r w:rsidR="002104FB">
        <w:t>when</w:t>
      </w:r>
      <w:r>
        <w:t xml:space="preserve"> issuing AASB 128 in 2011 in which the Board adopted the IFRS wording in IAS 28 paragraph 17(d) without amendment.  The superseded AASB 128 </w:t>
      </w:r>
      <w:r w:rsidRPr="009D5A7A">
        <w:rPr>
          <w:i/>
        </w:rPr>
        <w:t>Investments in Associates</w:t>
      </w:r>
      <w:r>
        <w:t xml:space="preserve"> (July 2004) included similar relief for parent entities from applying the equity method </w:t>
      </w:r>
      <w:r w:rsidR="00F35694">
        <w:t>in</w:t>
      </w:r>
      <w:r>
        <w:t xml:space="preserve"> accounting for an interest in an associate or joint venture, but limited that relief to parent entities other than the ultimate Australian parent.  </w:t>
      </w:r>
    </w:p>
    <w:p w:rsidR="008B67AF" w:rsidRDefault="008B67AF" w:rsidP="008B67AF">
      <w:pPr>
        <w:pStyle w:val="NumBC1"/>
        <w:numPr>
          <w:ilvl w:val="0"/>
          <w:numId w:val="13"/>
        </w:numPr>
      </w:pPr>
      <w:r>
        <w:t xml:space="preserve">In December 2014 the Board </w:t>
      </w:r>
      <w:r w:rsidR="009C4CA1">
        <w:t>decided that the relief in AASB 128 should apply to the ultimate Australian entity, rather than the ultimate Australian parent, to better align the requirements in AASB 128 with the relief available in AASB 10.</w:t>
      </w:r>
    </w:p>
    <w:p w:rsidR="00746F62" w:rsidRPr="00BC0794" w:rsidRDefault="008B67AF" w:rsidP="00746F62">
      <w:pPr>
        <w:pStyle w:val="NumBC1"/>
        <w:numPr>
          <w:ilvl w:val="0"/>
          <w:numId w:val="13"/>
        </w:numPr>
      </w:pPr>
      <w:r>
        <w:t>T</w:t>
      </w:r>
      <w:r w:rsidR="00746F62">
        <w:t xml:space="preserve">he Board decided to conduct further research before deciding whether to undertake a project to reconsider whether to limit the exceptions in AASB 10 and AASB 128 from presenting consolidated financial statements or applying the equity method </w:t>
      </w:r>
      <w:r w:rsidR="00F35694">
        <w:t xml:space="preserve">to </w:t>
      </w:r>
      <w:r w:rsidR="00746F62">
        <w:t xml:space="preserve">entities other than the ultimate Australian </w:t>
      </w:r>
      <w:r w:rsidR="002104FB">
        <w:t>entity</w:t>
      </w:r>
      <w:r w:rsidR="00746F62">
        <w:t xml:space="preserve">.  In the interim, the Board decided to amend AASB 128 to require that the ultimate Australian entity apply the equity method </w:t>
      </w:r>
      <w:r w:rsidR="00F35694">
        <w:t xml:space="preserve">in </w:t>
      </w:r>
      <w:r w:rsidR="00746F62">
        <w:t>accounting for an interest in an associate or joint venture, to be consistent with the requirement in AASB 10 for the</w:t>
      </w:r>
      <w:r w:rsidR="00746F62" w:rsidRPr="00746709">
        <w:t xml:space="preserve"> </w:t>
      </w:r>
      <w:r w:rsidR="00746F62">
        <w:t>ultimate Australian parent to present consolidated financial statements when either the parent or the group is a reporting entity or both the parent and the group are reporting entities.  The amendment align</w:t>
      </w:r>
      <w:r w:rsidR="00CA3F3A">
        <w:t>s</w:t>
      </w:r>
      <w:r w:rsidR="00746F62">
        <w:t xml:space="preserve"> the requirements of AASB 10 and AASB 128 in this regard and is substantively consistent with the limitation on the relief previously available to entities under the superseded AASB 128.</w:t>
      </w:r>
      <w:r w:rsidR="0058707F">
        <w:t xml:space="preserve"> </w:t>
      </w:r>
    </w:p>
    <w:sectPr w:rsidR="00746F62" w:rsidRPr="00BC0794" w:rsidSect="00196B13">
      <w:headerReference w:type="default" r:id="rId17"/>
      <w:footerReference w:type="default" r:id="rId18"/>
      <w:pgSz w:w="11907" w:h="16840" w:code="9"/>
      <w:pgMar w:top="1134" w:right="1134" w:bottom="1134" w:left="1134" w:header="709" w:footer="709"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09" w:rsidRDefault="00215F09">
      <w:r>
        <w:separator/>
      </w:r>
    </w:p>
  </w:endnote>
  <w:endnote w:type="continuationSeparator" w:id="0">
    <w:p w:rsidR="00215F09" w:rsidRDefault="0021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196B13">
    <w:pPr>
      <w:pStyle w:val="Footer"/>
      <w:tabs>
        <w:tab w:val="clear" w:pos="3119"/>
        <w:tab w:val="clear" w:pos="6237"/>
        <w:tab w:val="center" w:pos="4820"/>
        <w:tab w:val="right" w:pos="9639"/>
      </w:tabs>
      <w:rPr>
        <w:b/>
      </w:rPr>
    </w:pPr>
    <w:r>
      <w:rPr>
        <w:b/>
      </w:rPr>
      <w:t xml:space="preserve">AASB </w:t>
    </w:r>
    <w:r w:rsidR="009349EE">
      <w:rPr>
        <w:b/>
      </w:rPr>
      <w:t>2015-</w:t>
    </w:r>
    <w:r w:rsidR="002F1B70">
      <w:rPr>
        <w:b/>
      </w:rPr>
      <w:t>4</w:t>
    </w:r>
    <w:r>
      <w:rPr>
        <w:b/>
      </w:rPr>
      <w:fldChar w:fldCharType="begin"/>
    </w:r>
    <w:r>
      <w:rPr>
        <w:b/>
      </w:rPr>
      <w:instrText xml:space="preserve"> REF DocNo  \* charformat </w:instrText>
    </w:r>
    <w:r>
      <w:rPr>
        <w:b/>
      </w:rPr>
      <w:fldChar w:fldCharType="end"/>
    </w:r>
    <w:r>
      <w:rPr>
        <w:b/>
      </w:rPr>
      <w:tab/>
    </w:r>
    <w:r>
      <w:fldChar w:fldCharType="begin"/>
    </w:r>
    <w:r>
      <w:instrText>PAGE</w:instrText>
    </w:r>
    <w:r>
      <w:fldChar w:fldCharType="separate"/>
    </w:r>
    <w:r w:rsidR="00DE0EC9">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196B13">
    <w:pPr>
      <w:pStyle w:val="Footer"/>
      <w:tabs>
        <w:tab w:val="clear" w:pos="3119"/>
        <w:tab w:val="clear" w:pos="6237"/>
        <w:tab w:val="center" w:pos="4820"/>
        <w:tab w:val="right" w:pos="9639"/>
      </w:tabs>
      <w:rPr>
        <w:b/>
      </w:rPr>
    </w:pPr>
    <w:r>
      <w:rPr>
        <w:b/>
      </w:rPr>
      <w:t xml:space="preserve">AASB </w:t>
    </w:r>
    <w:r w:rsidR="009349EE">
      <w:rPr>
        <w:b/>
      </w:rPr>
      <w:t>2015-</w:t>
    </w:r>
    <w:r w:rsidR="002F1B70">
      <w:rPr>
        <w:b/>
      </w:rPr>
      <w:t>4</w:t>
    </w:r>
    <w:r>
      <w:rPr>
        <w:b/>
      </w:rPr>
      <w:fldChar w:fldCharType="begin"/>
    </w:r>
    <w:r>
      <w:rPr>
        <w:b/>
      </w:rPr>
      <w:instrText xml:space="preserve"> REF DocNo  \* charformat </w:instrText>
    </w:r>
    <w:r>
      <w:rPr>
        <w:b/>
      </w:rPr>
      <w:fldChar w:fldCharType="end"/>
    </w:r>
    <w:r>
      <w:rPr>
        <w:b/>
      </w:rPr>
      <w:tab/>
    </w:r>
    <w:r>
      <w:fldChar w:fldCharType="begin"/>
    </w:r>
    <w:r>
      <w:instrText>PAGE</w:instrText>
    </w:r>
    <w:r>
      <w:fldChar w:fldCharType="separate"/>
    </w:r>
    <w:r w:rsidR="00196B13">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196B13">
    <w:pPr>
      <w:pStyle w:val="Footer"/>
      <w:tabs>
        <w:tab w:val="clear" w:pos="3119"/>
        <w:tab w:val="clear" w:pos="6237"/>
        <w:tab w:val="center" w:pos="4820"/>
        <w:tab w:val="right" w:pos="9639"/>
      </w:tabs>
      <w:rPr>
        <w:b/>
      </w:rPr>
    </w:pPr>
    <w:r>
      <w:rPr>
        <w:b/>
      </w:rPr>
      <w:t xml:space="preserve">AASB </w:t>
    </w:r>
    <w:r w:rsidR="009349EE">
      <w:rPr>
        <w:b/>
      </w:rPr>
      <w:t>2015-</w:t>
    </w:r>
    <w:r w:rsidR="002F1B70">
      <w:rPr>
        <w:b/>
      </w:rPr>
      <w:t>4</w:t>
    </w:r>
    <w:r>
      <w:rPr>
        <w:b/>
      </w:rPr>
      <w:fldChar w:fldCharType="begin"/>
    </w:r>
    <w:r>
      <w:rPr>
        <w:b/>
      </w:rPr>
      <w:instrText xml:space="preserve"> REF DocNo  \* charformat </w:instrText>
    </w:r>
    <w:r>
      <w:rPr>
        <w:b/>
      </w:rPr>
      <w:fldChar w:fldCharType="end"/>
    </w:r>
    <w:r>
      <w:rPr>
        <w:b/>
      </w:rPr>
      <w:tab/>
    </w:r>
    <w:r>
      <w:fldChar w:fldCharType="begin"/>
    </w:r>
    <w:r>
      <w:instrText>PAGE</w:instrText>
    </w:r>
    <w:r>
      <w:fldChar w:fldCharType="separate"/>
    </w:r>
    <w:r w:rsidR="00DE0EC9">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196B13">
    <w:pPr>
      <w:pStyle w:val="Footer"/>
      <w:tabs>
        <w:tab w:val="clear" w:pos="3119"/>
        <w:tab w:val="clear" w:pos="6237"/>
        <w:tab w:val="center" w:pos="4820"/>
        <w:tab w:val="right" w:pos="9639"/>
      </w:tabs>
      <w:rPr>
        <w:b/>
      </w:rPr>
    </w:pPr>
    <w:r>
      <w:rPr>
        <w:b/>
      </w:rPr>
      <w:t xml:space="preserve">AASB </w:t>
    </w:r>
    <w:r w:rsidR="009349EE">
      <w:rPr>
        <w:b/>
      </w:rPr>
      <w:t>2015-</w:t>
    </w:r>
    <w:r w:rsidR="002F1B70">
      <w:rPr>
        <w:b/>
      </w:rPr>
      <w:t>4</w:t>
    </w:r>
    <w:r>
      <w:rPr>
        <w:b/>
      </w:rPr>
      <w:fldChar w:fldCharType="begin"/>
    </w:r>
    <w:r>
      <w:rPr>
        <w:b/>
      </w:rPr>
      <w:instrText xml:space="preserve"> REF DocNo  \* charformat </w:instrText>
    </w:r>
    <w:r>
      <w:rPr>
        <w:b/>
      </w:rPr>
      <w:fldChar w:fldCharType="end"/>
    </w:r>
    <w:r>
      <w:rPr>
        <w:b/>
      </w:rPr>
      <w:tab/>
    </w:r>
    <w:r>
      <w:fldChar w:fldCharType="begin"/>
    </w:r>
    <w:r>
      <w:instrText>PAGE</w:instrText>
    </w:r>
    <w:r>
      <w:fldChar w:fldCharType="separate"/>
    </w:r>
    <w:r w:rsidR="00DE0EC9">
      <w:rPr>
        <w:noProof/>
      </w:rPr>
      <w:t>6</w:t>
    </w:r>
    <w:r>
      <w:fldChar w:fldCharType="end"/>
    </w:r>
    <w:r>
      <w:tab/>
    </w:r>
    <w:r w:rsidR="00746F62">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F62" w:rsidRDefault="00746F62" w:rsidP="00196B13">
    <w:pPr>
      <w:pStyle w:val="Footer"/>
      <w:tabs>
        <w:tab w:val="clear" w:pos="3119"/>
        <w:tab w:val="clear" w:pos="6237"/>
        <w:tab w:val="center" w:pos="4820"/>
        <w:tab w:val="right" w:pos="9639"/>
      </w:tabs>
      <w:rPr>
        <w:b/>
      </w:rPr>
    </w:pPr>
    <w:r>
      <w:rPr>
        <w:b/>
      </w:rPr>
      <w:t xml:space="preserve">AASB </w:t>
    </w:r>
    <w:r w:rsidR="009349EE">
      <w:rPr>
        <w:b/>
      </w:rPr>
      <w:t>2015-</w:t>
    </w:r>
    <w:r w:rsidR="002F1B70">
      <w:rPr>
        <w:b/>
      </w:rPr>
      <w:t>4</w:t>
    </w:r>
    <w:r>
      <w:rPr>
        <w:b/>
      </w:rPr>
      <w:fldChar w:fldCharType="begin"/>
    </w:r>
    <w:r>
      <w:rPr>
        <w:b/>
      </w:rPr>
      <w:instrText xml:space="preserve"> REF DocNo  \* charformat </w:instrText>
    </w:r>
    <w:r>
      <w:rPr>
        <w:b/>
      </w:rPr>
      <w:fldChar w:fldCharType="end"/>
    </w:r>
    <w:r>
      <w:rPr>
        <w:b/>
      </w:rPr>
      <w:tab/>
    </w:r>
    <w:r>
      <w:fldChar w:fldCharType="begin"/>
    </w:r>
    <w:r>
      <w:instrText>PAGE</w:instrText>
    </w:r>
    <w:r>
      <w:fldChar w:fldCharType="separate"/>
    </w:r>
    <w:r w:rsidR="00DE0EC9">
      <w:rPr>
        <w:noProof/>
      </w:rPr>
      <w:t>7</w:t>
    </w:r>
    <w:r>
      <w:fldChar w:fldCharType="end"/>
    </w:r>
    <w:r>
      <w:tab/>
    </w:r>
    <w:r>
      <w:rPr>
        <w:b/>
        <w:bCs/>
      </w:rPr>
      <w:t>BASIS FOR CONCLUSIONS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09" w:rsidRDefault="00215F09">
      <w:r>
        <w:separator/>
      </w:r>
    </w:p>
  </w:footnote>
  <w:footnote w:type="continuationSeparator" w:id="0">
    <w:p w:rsidR="00215F09" w:rsidRDefault="00215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F62" w:rsidRDefault="00746F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3F92581"/>
    <w:multiLevelType w:val="multilevel"/>
    <w:tmpl w:val="AD5ABFF2"/>
    <w:numStyleLink w:val="AASBSubNumbers"/>
  </w:abstractNum>
  <w:abstractNum w:abstractNumId="2">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nsid w:val="24E64954"/>
    <w:multiLevelType w:val="multilevel"/>
    <w:tmpl w:val="AC6E7A16"/>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5">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7">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9">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9"/>
  </w:num>
  <w:num w:numId="7">
    <w:abstractNumId w:val="5"/>
  </w:num>
  <w:num w:numId="8">
    <w:abstractNumId w:val="6"/>
  </w:num>
  <w:num w:numId="9">
    <w:abstractNumId w:val="1"/>
  </w:num>
  <w:num w:numId="10">
    <w:abstractNumId w:val="0"/>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49">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42"/>
    <w:rsid w:val="0000292B"/>
    <w:rsid w:val="00003B26"/>
    <w:rsid w:val="00007570"/>
    <w:rsid w:val="00027E8B"/>
    <w:rsid w:val="0004455B"/>
    <w:rsid w:val="0005177B"/>
    <w:rsid w:val="0006142F"/>
    <w:rsid w:val="00074133"/>
    <w:rsid w:val="000869D6"/>
    <w:rsid w:val="00090A6F"/>
    <w:rsid w:val="00096027"/>
    <w:rsid w:val="000B733C"/>
    <w:rsid w:val="000C3EB0"/>
    <w:rsid w:val="000D7B40"/>
    <w:rsid w:val="000E5E38"/>
    <w:rsid w:val="000F64CC"/>
    <w:rsid w:val="00110B96"/>
    <w:rsid w:val="001162C5"/>
    <w:rsid w:val="001206CF"/>
    <w:rsid w:val="001662B8"/>
    <w:rsid w:val="00171F51"/>
    <w:rsid w:val="001761C6"/>
    <w:rsid w:val="001864D4"/>
    <w:rsid w:val="0019286F"/>
    <w:rsid w:val="00196B13"/>
    <w:rsid w:val="001A0205"/>
    <w:rsid w:val="001B33A5"/>
    <w:rsid w:val="001C225F"/>
    <w:rsid w:val="001F78DF"/>
    <w:rsid w:val="002104FB"/>
    <w:rsid w:val="00215F09"/>
    <w:rsid w:val="0022022E"/>
    <w:rsid w:val="0026540D"/>
    <w:rsid w:val="0028086D"/>
    <w:rsid w:val="00283482"/>
    <w:rsid w:val="0029647E"/>
    <w:rsid w:val="002A201D"/>
    <w:rsid w:val="002B7803"/>
    <w:rsid w:val="002E5CA7"/>
    <w:rsid w:val="002F1B70"/>
    <w:rsid w:val="002F1CD0"/>
    <w:rsid w:val="00307F26"/>
    <w:rsid w:val="003251D8"/>
    <w:rsid w:val="0033581C"/>
    <w:rsid w:val="0035665C"/>
    <w:rsid w:val="00364B30"/>
    <w:rsid w:val="00367DC9"/>
    <w:rsid w:val="00377B8D"/>
    <w:rsid w:val="00382796"/>
    <w:rsid w:val="0039009E"/>
    <w:rsid w:val="003A0975"/>
    <w:rsid w:val="003A488F"/>
    <w:rsid w:val="003B0CAA"/>
    <w:rsid w:val="003B0E71"/>
    <w:rsid w:val="003B2E78"/>
    <w:rsid w:val="003D1DD4"/>
    <w:rsid w:val="003E0A68"/>
    <w:rsid w:val="003E5C37"/>
    <w:rsid w:val="00401ECA"/>
    <w:rsid w:val="004150BD"/>
    <w:rsid w:val="00422E4D"/>
    <w:rsid w:val="00426876"/>
    <w:rsid w:val="00434D86"/>
    <w:rsid w:val="00436A2D"/>
    <w:rsid w:val="0044702C"/>
    <w:rsid w:val="00460FBB"/>
    <w:rsid w:val="00470CE9"/>
    <w:rsid w:val="0047683E"/>
    <w:rsid w:val="0048155F"/>
    <w:rsid w:val="00487CF6"/>
    <w:rsid w:val="004961F8"/>
    <w:rsid w:val="004A417F"/>
    <w:rsid w:val="004B038C"/>
    <w:rsid w:val="004B736C"/>
    <w:rsid w:val="004C5B15"/>
    <w:rsid w:val="004C5BDE"/>
    <w:rsid w:val="004D3809"/>
    <w:rsid w:val="004D4D1C"/>
    <w:rsid w:val="004F55FE"/>
    <w:rsid w:val="00500E80"/>
    <w:rsid w:val="00511C34"/>
    <w:rsid w:val="005166B2"/>
    <w:rsid w:val="0053452C"/>
    <w:rsid w:val="00535EC5"/>
    <w:rsid w:val="0056274D"/>
    <w:rsid w:val="0056397F"/>
    <w:rsid w:val="00577065"/>
    <w:rsid w:val="0058004D"/>
    <w:rsid w:val="0058707F"/>
    <w:rsid w:val="00590051"/>
    <w:rsid w:val="005A2514"/>
    <w:rsid w:val="005B146F"/>
    <w:rsid w:val="005E6BE4"/>
    <w:rsid w:val="005E7AB1"/>
    <w:rsid w:val="00602261"/>
    <w:rsid w:val="0062750E"/>
    <w:rsid w:val="00641282"/>
    <w:rsid w:val="00652DF8"/>
    <w:rsid w:val="006A3AE9"/>
    <w:rsid w:val="006A40E5"/>
    <w:rsid w:val="006B0CD6"/>
    <w:rsid w:val="006B7A01"/>
    <w:rsid w:val="006C2E37"/>
    <w:rsid w:val="006D055E"/>
    <w:rsid w:val="006D134A"/>
    <w:rsid w:val="006D4700"/>
    <w:rsid w:val="006D7679"/>
    <w:rsid w:val="006E2C39"/>
    <w:rsid w:val="006E7948"/>
    <w:rsid w:val="00707ED3"/>
    <w:rsid w:val="00714340"/>
    <w:rsid w:val="007333C2"/>
    <w:rsid w:val="00737714"/>
    <w:rsid w:val="00742E4B"/>
    <w:rsid w:val="007455F0"/>
    <w:rsid w:val="00746F62"/>
    <w:rsid w:val="00751F6A"/>
    <w:rsid w:val="007554ED"/>
    <w:rsid w:val="00755E40"/>
    <w:rsid w:val="00756FF6"/>
    <w:rsid w:val="0076127E"/>
    <w:rsid w:val="0078116B"/>
    <w:rsid w:val="007A6BC3"/>
    <w:rsid w:val="007F1D3D"/>
    <w:rsid w:val="00812637"/>
    <w:rsid w:val="00813227"/>
    <w:rsid w:val="00820794"/>
    <w:rsid w:val="00831497"/>
    <w:rsid w:val="008459E8"/>
    <w:rsid w:val="00864ADE"/>
    <w:rsid w:val="00871A12"/>
    <w:rsid w:val="00881BBE"/>
    <w:rsid w:val="008A6182"/>
    <w:rsid w:val="008B1D94"/>
    <w:rsid w:val="008B643A"/>
    <w:rsid w:val="008B67AF"/>
    <w:rsid w:val="008C60B1"/>
    <w:rsid w:val="008C6BD0"/>
    <w:rsid w:val="008D2EBD"/>
    <w:rsid w:val="008D6855"/>
    <w:rsid w:val="008F0A81"/>
    <w:rsid w:val="008F5963"/>
    <w:rsid w:val="00923261"/>
    <w:rsid w:val="009256B7"/>
    <w:rsid w:val="00925FCE"/>
    <w:rsid w:val="009349EE"/>
    <w:rsid w:val="00970C7A"/>
    <w:rsid w:val="009721DB"/>
    <w:rsid w:val="009B6535"/>
    <w:rsid w:val="009C2479"/>
    <w:rsid w:val="009C4CA1"/>
    <w:rsid w:val="009D06F8"/>
    <w:rsid w:val="009D73F1"/>
    <w:rsid w:val="00A05041"/>
    <w:rsid w:val="00A13F82"/>
    <w:rsid w:val="00A16664"/>
    <w:rsid w:val="00A41ED3"/>
    <w:rsid w:val="00A47FA2"/>
    <w:rsid w:val="00A55F4F"/>
    <w:rsid w:val="00A65145"/>
    <w:rsid w:val="00A73AEF"/>
    <w:rsid w:val="00A748BA"/>
    <w:rsid w:val="00A83862"/>
    <w:rsid w:val="00A8486C"/>
    <w:rsid w:val="00A96702"/>
    <w:rsid w:val="00A97EB2"/>
    <w:rsid w:val="00AA14A9"/>
    <w:rsid w:val="00AB780A"/>
    <w:rsid w:val="00AC4315"/>
    <w:rsid w:val="00AD42DA"/>
    <w:rsid w:val="00AF61B8"/>
    <w:rsid w:val="00B110AD"/>
    <w:rsid w:val="00B271BA"/>
    <w:rsid w:val="00B3429E"/>
    <w:rsid w:val="00B70CF7"/>
    <w:rsid w:val="00B74237"/>
    <w:rsid w:val="00BA3AB4"/>
    <w:rsid w:val="00BA4622"/>
    <w:rsid w:val="00BA72E3"/>
    <w:rsid w:val="00BB4C9F"/>
    <w:rsid w:val="00BC0794"/>
    <w:rsid w:val="00BC0D5D"/>
    <w:rsid w:val="00BE2F68"/>
    <w:rsid w:val="00BE38FC"/>
    <w:rsid w:val="00C03C7B"/>
    <w:rsid w:val="00C05A8B"/>
    <w:rsid w:val="00C3493B"/>
    <w:rsid w:val="00C37458"/>
    <w:rsid w:val="00C438DD"/>
    <w:rsid w:val="00C43CD1"/>
    <w:rsid w:val="00C45020"/>
    <w:rsid w:val="00C5022C"/>
    <w:rsid w:val="00C552FD"/>
    <w:rsid w:val="00C63573"/>
    <w:rsid w:val="00C95D8A"/>
    <w:rsid w:val="00CA3F3A"/>
    <w:rsid w:val="00CB719A"/>
    <w:rsid w:val="00CC6FCD"/>
    <w:rsid w:val="00CD5D1C"/>
    <w:rsid w:val="00CE2F8C"/>
    <w:rsid w:val="00CF75CA"/>
    <w:rsid w:val="00CF7B67"/>
    <w:rsid w:val="00D00FD5"/>
    <w:rsid w:val="00D52086"/>
    <w:rsid w:val="00D547A1"/>
    <w:rsid w:val="00D54F5C"/>
    <w:rsid w:val="00D66945"/>
    <w:rsid w:val="00D67336"/>
    <w:rsid w:val="00D74038"/>
    <w:rsid w:val="00D82200"/>
    <w:rsid w:val="00D8682B"/>
    <w:rsid w:val="00D942EB"/>
    <w:rsid w:val="00D96A64"/>
    <w:rsid w:val="00DA2A7B"/>
    <w:rsid w:val="00DB0251"/>
    <w:rsid w:val="00DB7C42"/>
    <w:rsid w:val="00DC7E1B"/>
    <w:rsid w:val="00DD1DDC"/>
    <w:rsid w:val="00DD7E7A"/>
    <w:rsid w:val="00DE0EC9"/>
    <w:rsid w:val="00DF39E3"/>
    <w:rsid w:val="00E06C2F"/>
    <w:rsid w:val="00E23BE6"/>
    <w:rsid w:val="00E24399"/>
    <w:rsid w:val="00E274C6"/>
    <w:rsid w:val="00E41399"/>
    <w:rsid w:val="00E63279"/>
    <w:rsid w:val="00E74BD5"/>
    <w:rsid w:val="00E7592A"/>
    <w:rsid w:val="00E839DA"/>
    <w:rsid w:val="00E90B4F"/>
    <w:rsid w:val="00E915E3"/>
    <w:rsid w:val="00E94DA2"/>
    <w:rsid w:val="00E97B4B"/>
    <w:rsid w:val="00EB4197"/>
    <w:rsid w:val="00EB4756"/>
    <w:rsid w:val="00EC4AFD"/>
    <w:rsid w:val="00ED06E4"/>
    <w:rsid w:val="00EE2509"/>
    <w:rsid w:val="00EE3D03"/>
    <w:rsid w:val="00EE4609"/>
    <w:rsid w:val="00EE740D"/>
    <w:rsid w:val="00F14BDB"/>
    <w:rsid w:val="00F2677A"/>
    <w:rsid w:val="00F27009"/>
    <w:rsid w:val="00F27D29"/>
    <w:rsid w:val="00F35694"/>
    <w:rsid w:val="00F424C9"/>
    <w:rsid w:val="00F6044E"/>
    <w:rsid w:val="00F65CFC"/>
    <w:rsid w:val="00F66B41"/>
    <w:rsid w:val="00F75FD5"/>
    <w:rsid w:val="00F970FB"/>
    <w:rsid w:val="00FA21EA"/>
    <w:rsid w:val="00FA2B09"/>
    <w:rsid w:val="00FB39CB"/>
    <w:rsid w:val="00FC2254"/>
    <w:rsid w:val="00FC6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Heading2Char">
    <w:name w:val="Heading 2 Char"/>
    <w:basedOn w:val="DefaultParagraphFont"/>
    <w:link w:val="Heading2"/>
    <w:rsid w:val="00DB7C42"/>
    <w:rPr>
      <w:rFonts w:cs="Arial"/>
      <w:b/>
      <w:iCs/>
      <w:sz w:val="28"/>
      <w:szCs w:val="28"/>
      <w:lang w:eastAsia="en-US"/>
    </w:rPr>
  </w:style>
  <w:style w:type="character" w:customStyle="1" w:styleId="NumPlain1Char">
    <w:name w:val="Num Plain1 Char"/>
    <w:basedOn w:val="DefaultParagraphFont"/>
    <w:link w:val="NumPlain1"/>
    <w:rsid w:val="00746F62"/>
    <w:rPr>
      <w:lang w:eastAsia="en-US"/>
    </w:rPr>
  </w:style>
  <w:style w:type="paragraph" w:styleId="BalloonText">
    <w:name w:val="Balloon Text"/>
    <w:basedOn w:val="Normal"/>
    <w:link w:val="BalloonTextChar"/>
    <w:rsid w:val="00925FC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25FCE"/>
    <w:rPr>
      <w:rFonts w:ascii="Tahoma" w:hAnsi="Tahoma" w:cs="Tahoma"/>
      <w:sz w:val="16"/>
      <w:szCs w:val="16"/>
      <w:lang w:eastAsia="en-US"/>
    </w:rPr>
  </w:style>
  <w:style w:type="character" w:styleId="CommentReference">
    <w:name w:val="annotation reference"/>
    <w:basedOn w:val="DefaultParagraphFont"/>
    <w:rsid w:val="0062750E"/>
    <w:rPr>
      <w:sz w:val="16"/>
      <w:szCs w:val="16"/>
    </w:rPr>
  </w:style>
  <w:style w:type="paragraph" w:styleId="CommentText">
    <w:name w:val="annotation text"/>
    <w:basedOn w:val="Normal"/>
    <w:link w:val="CommentTextChar"/>
    <w:rsid w:val="0062750E"/>
    <w:pPr>
      <w:spacing w:line="240" w:lineRule="auto"/>
    </w:pPr>
  </w:style>
  <w:style w:type="character" w:customStyle="1" w:styleId="CommentTextChar">
    <w:name w:val="Comment Text Char"/>
    <w:basedOn w:val="DefaultParagraphFont"/>
    <w:link w:val="CommentText"/>
    <w:rsid w:val="0062750E"/>
    <w:rPr>
      <w:lang w:eastAsia="en-US"/>
    </w:rPr>
  </w:style>
  <w:style w:type="paragraph" w:styleId="CommentSubject">
    <w:name w:val="annotation subject"/>
    <w:basedOn w:val="CommentText"/>
    <w:next w:val="CommentText"/>
    <w:link w:val="CommentSubjectChar"/>
    <w:rsid w:val="0062750E"/>
    <w:rPr>
      <w:b/>
      <w:bCs/>
    </w:rPr>
  </w:style>
  <w:style w:type="character" w:customStyle="1" w:styleId="CommentSubjectChar">
    <w:name w:val="Comment Subject Char"/>
    <w:basedOn w:val="CommentTextChar"/>
    <w:link w:val="CommentSubject"/>
    <w:rsid w:val="0062750E"/>
    <w:rPr>
      <w:b/>
      <w:bCs/>
      <w:lang w:eastAsia="en-US"/>
    </w:rPr>
  </w:style>
  <w:style w:type="character" w:customStyle="1" w:styleId="HeaderChar">
    <w:name w:val="Header Char"/>
    <w:basedOn w:val="DefaultParagraphFont"/>
    <w:link w:val="Header"/>
    <w:uiPriority w:val="99"/>
    <w:rsid w:val="003E5C3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Heading2Char">
    <w:name w:val="Heading 2 Char"/>
    <w:basedOn w:val="DefaultParagraphFont"/>
    <w:link w:val="Heading2"/>
    <w:rsid w:val="00DB7C42"/>
    <w:rPr>
      <w:rFonts w:cs="Arial"/>
      <w:b/>
      <w:iCs/>
      <w:sz w:val="28"/>
      <w:szCs w:val="28"/>
      <w:lang w:eastAsia="en-US"/>
    </w:rPr>
  </w:style>
  <w:style w:type="character" w:customStyle="1" w:styleId="NumPlain1Char">
    <w:name w:val="Num Plain1 Char"/>
    <w:basedOn w:val="DefaultParagraphFont"/>
    <w:link w:val="NumPlain1"/>
    <w:rsid w:val="00746F62"/>
    <w:rPr>
      <w:lang w:eastAsia="en-US"/>
    </w:rPr>
  </w:style>
  <w:style w:type="paragraph" w:styleId="BalloonText">
    <w:name w:val="Balloon Text"/>
    <w:basedOn w:val="Normal"/>
    <w:link w:val="BalloonTextChar"/>
    <w:rsid w:val="00925FC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25FCE"/>
    <w:rPr>
      <w:rFonts w:ascii="Tahoma" w:hAnsi="Tahoma" w:cs="Tahoma"/>
      <w:sz w:val="16"/>
      <w:szCs w:val="16"/>
      <w:lang w:eastAsia="en-US"/>
    </w:rPr>
  </w:style>
  <w:style w:type="character" w:styleId="CommentReference">
    <w:name w:val="annotation reference"/>
    <w:basedOn w:val="DefaultParagraphFont"/>
    <w:rsid w:val="0062750E"/>
    <w:rPr>
      <w:sz w:val="16"/>
      <w:szCs w:val="16"/>
    </w:rPr>
  </w:style>
  <w:style w:type="paragraph" w:styleId="CommentText">
    <w:name w:val="annotation text"/>
    <w:basedOn w:val="Normal"/>
    <w:link w:val="CommentTextChar"/>
    <w:rsid w:val="0062750E"/>
    <w:pPr>
      <w:spacing w:line="240" w:lineRule="auto"/>
    </w:pPr>
  </w:style>
  <w:style w:type="character" w:customStyle="1" w:styleId="CommentTextChar">
    <w:name w:val="Comment Text Char"/>
    <w:basedOn w:val="DefaultParagraphFont"/>
    <w:link w:val="CommentText"/>
    <w:rsid w:val="0062750E"/>
    <w:rPr>
      <w:lang w:eastAsia="en-US"/>
    </w:rPr>
  </w:style>
  <w:style w:type="paragraph" w:styleId="CommentSubject">
    <w:name w:val="annotation subject"/>
    <w:basedOn w:val="CommentText"/>
    <w:next w:val="CommentText"/>
    <w:link w:val="CommentSubjectChar"/>
    <w:rsid w:val="0062750E"/>
    <w:rPr>
      <w:b/>
      <w:bCs/>
    </w:rPr>
  </w:style>
  <w:style w:type="character" w:customStyle="1" w:styleId="CommentSubjectChar">
    <w:name w:val="Comment Subject Char"/>
    <w:basedOn w:val="CommentTextChar"/>
    <w:link w:val="CommentSubject"/>
    <w:rsid w:val="0062750E"/>
    <w:rPr>
      <w:b/>
      <w:bCs/>
      <w:lang w:eastAsia="en-US"/>
    </w:rPr>
  </w:style>
  <w:style w:type="character" w:customStyle="1" w:styleId="HeaderChar">
    <w:name w:val="Header Char"/>
    <w:basedOn w:val="DefaultParagraphFont"/>
    <w:link w:val="Header"/>
    <w:uiPriority w:val="99"/>
    <w:rsid w:val="003E5C3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D8DB2-79BC-4EB1-B8B0-E815CF04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Nikole Gyles</dc:creator>
  <cp:lastModifiedBy>John Hamilton</cp:lastModifiedBy>
  <cp:revision>6</cp:revision>
  <cp:lastPrinted>2015-02-05T04:28:00Z</cp:lastPrinted>
  <dcterms:created xsi:type="dcterms:W3CDTF">2015-02-04T01:36:00Z</dcterms:created>
  <dcterms:modified xsi:type="dcterms:W3CDTF">2015-02-06T03:43:00Z</dcterms:modified>
</cp:coreProperties>
</file>