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68C86" w14:textId="77777777" w:rsidR="00381336" w:rsidRDefault="00381336" w:rsidP="00C460FC">
      <w:pPr>
        <w:spacing w:after="200" w:line="276" w:lineRule="auto"/>
        <w:jc w:val="center"/>
        <w:rPr>
          <w:rFonts w:ascii="Arial" w:hAnsi="Arial" w:cs="Arial"/>
          <w:b/>
          <w:sz w:val="20"/>
          <w:szCs w:val="20"/>
          <w:u w:val="single"/>
        </w:rPr>
      </w:pPr>
      <w:bookmarkStart w:id="0" w:name="_GoBack"/>
      <w:bookmarkEnd w:id="0"/>
    </w:p>
    <w:p w14:paraId="7A2A49BA" w14:textId="77777777" w:rsidR="00A33AF3" w:rsidRPr="007A2EA8" w:rsidRDefault="00A33AF3" w:rsidP="00C460FC">
      <w:pPr>
        <w:spacing w:after="200" w:line="276" w:lineRule="auto"/>
        <w:jc w:val="center"/>
        <w:rPr>
          <w:rFonts w:ascii="Arial" w:hAnsi="Arial" w:cs="Arial"/>
          <w:b/>
          <w:sz w:val="20"/>
          <w:szCs w:val="20"/>
          <w:u w:val="single"/>
        </w:rPr>
      </w:pPr>
      <w:r w:rsidRPr="007A2EA8">
        <w:rPr>
          <w:rFonts w:ascii="Arial" w:hAnsi="Arial" w:cs="Arial"/>
          <w:b/>
          <w:sz w:val="20"/>
          <w:szCs w:val="20"/>
          <w:u w:val="single"/>
        </w:rPr>
        <w:t>EXPLANATORY STATEMENT</w:t>
      </w:r>
    </w:p>
    <w:p w14:paraId="7A2A49BB" w14:textId="3C5F5516" w:rsidR="00A33AF3" w:rsidRPr="004866A4" w:rsidRDefault="00FB0CDB" w:rsidP="00C460FC">
      <w:pPr>
        <w:spacing w:after="200" w:line="276" w:lineRule="auto"/>
        <w:jc w:val="center"/>
        <w:rPr>
          <w:rFonts w:ascii="Arial" w:hAnsi="Arial" w:cs="Arial"/>
          <w:b/>
          <w:sz w:val="20"/>
          <w:szCs w:val="20"/>
        </w:rPr>
      </w:pPr>
      <w:r>
        <w:rPr>
          <w:rFonts w:ascii="Arial" w:hAnsi="Arial" w:cs="Arial"/>
          <w:b/>
          <w:sz w:val="20"/>
          <w:szCs w:val="20"/>
        </w:rPr>
        <w:t>Prepared</w:t>
      </w:r>
      <w:r w:rsidRPr="004866A4">
        <w:rPr>
          <w:rFonts w:ascii="Arial" w:hAnsi="Arial" w:cs="Arial"/>
          <w:b/>
          <w:sz w:val="20"/>
          <w:szCs w:val="20"/>
        </w:rPr>
        <w:t xml:space="preserve"> </w:t>
      </w:r>
      <w:r w:rsidR="00A33AF3" w:rsidRPr="004866A4">
        <w:rPr>
          <w:rFonts w:ascii="Arial" w:hAnsi="Arial" w:cs="Arial"/>
          <w:b/>
          <w:sz w:val="20"/>
          <w:szCs w:val="20"/>
        </w:rPr>
        <w:t xml:space="preserve">by </w:t>
      </w:r>
      <w:r w:rsidR="00C460FC" w:rsidRPr="004866A4">
        <w:rPr>
          <w:rFonts w:ascii="Arial" w:hAnsi="Arial" w:cs="Arial"/>
          <w:b/>
          <w:sz w:val="20"/>
          <w:szCs w:val="20"/>
        </w:rPr>
        <w:t xml:space="preserve">the </w:t>
      </w:r>
      <w:r w:rsidR="00A33AF3" w:rsidRPr="004866A4">
        <w:rPr>
          <w:rFonts w:ascii="Arial" w:hAnsi="Arial" w:cs="Arial"/>
          <w:b/>
          <w:sz w:val="20"/>
          <w:szCs w:val="20"/>
        </w:rPr>
        <w:t>Australian Communications and Media Authority</w:t>
      </w:r>
    </w:p>
    <w:p w14:paraId="7A2A49BC" w14:textId="07D1B304" w:rsidR="00C52899" w:rsidRPr="007A2EA8" w:rsidRDefault="00E215C8" w:rsidP="00C52899">
      <w:pPr>
        <w:spacing w:after="200" w:line="276" w:lineRule="auto"/>
        <w:jc w:val="center"/>
        <w:rPr>
          <w:rFonts w:ascii="Arial" w:hAnsi="Arial" w:cs="Arial"/>
          <w:b/>
          <w:i/>
          <w:sz w:val="20"/>
          <w:szCs w:val="20"/>
        </w:rPr>
      </w:pPr>
      <w:r w:rsidRPr="007A2EA8">
        <w:rPr>
          <w:rFonts w:ascii="Arial" w:hAnsi="Arial" w:cs="Arial"/>
          <w:b/>
          <w:i/>
          <w:sz w:val="20"/>
          <w:szCs w:val="20"/>
        </w:rPr>
        <w:t xml:space="preserve">Telecommunications </w:t>
      </w:r>
      <w:r w:rsidR="00F53BEB" w:rsidRPr="007A2EA8">
        <w:rPr>
          <w:rFonts w:ascii="Arial" w:hAnsi="Arial" w:cs="Arial"/>
          <w:b/>
          <w:i/>
          <w:sz w:val="20"/>
          <w:szCs w:val="20"/>
        </w:rPr>
        <w:t>(</w:t>
      </w:r>
      <w:r w:rsidRPr="007A2EA8">
        <w:rPr>
          <w:rFonts w:ascii="Arial" w:hAnsi="Arial" w:cs="Arial"/>
          <w:b/>
          <w:i/>
          <w:sz w:val="20"/>
          <w:szCs w:val="20"/>
        </w:rPr>
        <w:t xml:space="preserve">Labelling </w:t>
      </w:r>
      <w:r w:rsidR="00F53BEB" w:rsidRPr="007A2EA8">
        <w:rPr>
          <w:rFonts w:ascii="Arial" w:hAnsi="Arial" w:cs="Arial"/>
          <w:b/>
          <w:i/>
          <w:sz w:val="20"/>
          <w:szCs w:val="20"/>
        </w:rPr>
        <w:t xml:space="preserve">Notice for </w:t>
      </w:r>
      <w:r w:rsidRPr="007A2EA8">
        <w:rPr>
          <w:rFonts w:ascii="Arial" w:hAnsi="Arial" w:cs="Arial"/>
          <w:b/>
          <w:i/>
          <w:sz w:val="20"/>
          <w:szCs w:val="20"/>
        </w:rPr>
        <w:t xml:space="preserve">Customer Equipment and Customer Cabling) </w:t>
      </w:r>
      <w:r w:rsidR="00F53BEB" w:rsidRPr="007A2EA8">
        <w:rPr>
          <w:rFonts w:ascii="Arial" w:hAnsi="Arial" w:cs="Arial"/>
          <w:b/>
          <w:i/>
          <w:sz w:val="20"/>
          <w:szCs w:val="20"/>
        </w:rPr>
        <w:t xml:space="preserve">Instrument </w:t>
      </w:r>
      <w:r w:rsidRPr="007A2EA8">
        <w:rPr>
          <w:rFonts w:ascii="Arial" w:hAnsi="Arial" w:cs="Arial"/>
          <w:b/>
          <w:i/>
          <w:sz w:val="20"/>
          <w:szCs w:val="20"/>
        </w:rPr>
        <w:t>201</w:t>
      </w:r>
      <w:r w:rsidR="00527DCD">
        <w:rPr>
          <w:rFonts w:ascii="Arial" w:hAnsi="Arial" w:cs="Arial"/>
          <w:b/>
          <w:i/>
          <w:sz w:val="20"/>
          <w:szCs w:val="20"/>
        </w:rPr>
        <w:t>5</w:t>
      </w:r>
    </w:p>
    <w:p w14:paraId="7A2A49BE" w14:textId="77777777" w:rsidR="00A33AF3" w:rsidRPr="007A2EA8" w:rsidRDefault="00A33AF3" w:rsidP="00C460FC">
      <w:pPr>
        <w:spacing w:before="240" w:after="120" w:line="240" w:lineRule="atLeast"/>
        <w:jc w:val="both"/>
        <w:rPr>
          <w:rFonts w:ascii="Arial" w:hAnsi="Arial" w:cs="Arial"/>
          <w:b/>
          <w:sz w:val="20"/>
          <w:szCs w:val="20"/>
        </w:rPr>
      </w:pPr>
      <w:r w:rsidRPr="007A2EA8">
        <w:rPr>
          <w:rFonts w:ascii="Arial" w:hAnsi="Arial" w:cs="Arial"/>
          <w:b/>
          <w:sz w:val="20"/>
          <w:szCs w:val="20"/>
        </w:rPr>
        <w:t>Purpose</w:t>
      </w:r>
    </w:p>
    <w:p w14:paraId="3D08AA34" w14:textId="5B4792FF" w:rsidR="0070118D" w:rsidRDefault="00A33AF3" w:rsidP="00C460FC">
      <w:pPr>
        <w:spacing w:after="200" w:line="240" w:lineRule="atLeast"/>
        <w:jc w:val="both"/>
        <w:rPr>
          <w:rFonts w:ascii="Arial" w:hAnsi="Arial" w:cs="Arial"/>
          <w:sz w:val="20"/>
          <w:szCs w:val="20"/>
        </w:rPr>
      </w:pPr>
      <w:r w:rsidRPr="007A2EA8">
        <w:rPr>
          <w:rFonts w:ascii="Arial" w:hAnsi="Arial" w:cs="Arial"/>
          <w:sz w:val="20"/>
          <w:szCs w:val="20"/>
        </w:rPr>
        <w:t xml:space="preserve">The </w:t>
      </w:r>
      <w:r w:rsidR="00E215C8" w:rsidRPr="007A2EA8">
        <w:rPr>
          <w:rFonts w:ascii="Arial" w:hAnsi="Arial" w:cs="Arial"/>
          <w:i/>
          <w:sz w:val="20"/>
          <w:szCs w:val="20"/>
        </w:rPr>
        <w:t xml:space="preserve">Telecommunications </w:t>
      </w:r>
      <w:r w:rsidR="00E67B8E" w:rsidRPr="007A2EA8">
        <w:rPr>
          <w:rFonts w:ascii="Arial" w:hAnsi="Arial" w:cs="Arial"/>
          <w:i/>
          <w:sz w:val="20"/>
          <w:szCs w:val="20"/>
        </w:rPr>
        <w:t>(</w:t>
      </w:r>
      <w:r w:rsidR="00E215C8" w:rsidRPr="007A2EA8">
        <w:rPr>
          <w:rFonts w:ascii="Arial" w:hAnsi="Arial" w:cs="Arial"/>
          <w:i/>
          <w:sz w:val="20"/>
          <w:szCs w:val="20"/>
        </w:rPr>
        <w:t xml:space="preserve">Labelling </w:t>
      </w:r>
      <w:r w:rsidR="00E67B8E" w:rsidRPr="007A2EA8">
        <w:rPr>
          <w:rFonts w:ascii="Arial" w:hAnsi="Arial" w:cs="Arial"/>
          <w:i/>
          <w:sz w:val="20"/>
          <w:szCs w:val="20"/>
        </w:rPr>
        <w:t xml:space="preserve">Notice for </w:t>
      </w:r>
      <w:r w:rsidR="00E215C8" w:rsidRPr="007A2EA8">
        <w:rPr>
          <w:rFonts w:ascii="Arial" w:hAnsi="Arial" w:cs="Arial"/>
          <w:i/>
          <w:sz w:val="20"/>
          <w:szCs w:val="20"/>
        </w:rPr>
        <w:t xml:space="preserve">Customer Equipment and Customer Cabling) </w:t>
      </w:r>
      <w:r w:rsidR="00D12E69" w:rsidRPr="007A2EA8">
        <w:rPr>
          <w:rFonts w:ascii="Arial" w:hAnsi="Arial" w:cs="Arial"/>
          <w:i/>
          <w:sz w:val="20"/>
          <w:szCs w:val="20"/>
        </w:rPr>
        <w:t>Instrument</w:t>
      </w:r>
      <w:r w:rsidR="00E215C8" w:rsidRPr="007A2EA8">
        <w:rPr>
          <w:rFonts w:ascii="Arial" w:hAnsi="Arial" w:cs="Arial"/>
          <w:i/>
          <w:sz w:val="20"/>
          <w:szCs w:val="20"/>
        </w:rPr>
        <w:t xml:space="preserve"> 201</w:t>
      </w:r>
      <w:r w:rsidR="00527DCD">
        <w:rPr>
          <w:rFonts w:ascii="Arial" w:hAnsi="Arial" w:cs="Arial"/>
          <w:i/>
          <w:sz w:val="20"/>
          <w:szCs w:val="20"/>
        </w:rPr>
        <w:t>5</w:t>
      </w:r>
      <w:r w:rsidR="00E215C8" w:rsidRPr="007A2EA8">
        <w:rPr>
          <w:rFonts w:ascii="Arial" w:hAnsi="Arial" w:cs="Arial"/>
          <w:i/>
          <w:sz w:val="20"/>
          <w:szCs w:val="20"/>
        </w:rPr>
        <w:t xml:space="preserve"> </w:t>
      </w:r>
      <w:r w:rsidRPr="007A2EA8">
        <w:rPr>
          <w:rFonts w:ascii="Arial" w:hAnsi="Arial" w:cs="Arial"/>
          <w:sz w:val="20"/>
          <w:szCs w:val="20"/>
        </w:rPr>
        <w:t>(the</w:t>
      </w:r>
      <w:r w:rsidR="001D435D" w:rsidRPr="007A2EA8">
        <w:rPr>
          <w:rFonts w:ascii="Arial" w:hAnsi="Arial" w:cs="Arial"/>
          <w:sz w:val="20"/>
          <w:szCs w:val="20"/>
        </w:rPr>
        <w:t xml:space="preserve"> </w:t>
      </w:r>
      <w:r w:rsidR="00527DCD">
        <w:rPr>
          <w:rFonts w:ascii="Arial" w:hAnsi="Arial" w:cs="Arial"/>
          <w:sz w:val="20"/>
          <w:szCs w:val="20"/>
        </w:rPr>
        <w:t>2015</w:t>
      </w:r>
      <w:r w:rsidR="00E80AEF">
        <w:rPr>
          <w:rFonts w:ascii="Arial" w:hAnsi="Arial" w:cs="Arial"/>
          <w:sz w:val="20"/>
          <w:szCs w:val="20"/>
        </w:rPr>
        <w:t xml:space="preserve"> </w:t>
      </w:r>
      <w:r w:rsidRPr="007A2EA8">
        <w:rPr>
          <w:rFonts w:ascii="Arial" w:hAnsi="Arial" w:cs="Arial"/>
          <w:sz w:val="20"/>
          <w:szCs w:val="20"/>
        </w:rPr>
        <w:t>Notice)</w:t>
      </w:r>
      <w:r w:rsidR="0070118D">
        <w:rPr>
          <w:rFonts w:ascii="Arial" w:hAnsi="Arial" w:cs="Arial"/>
          <w:sz w:val="20"/>
          <w:szCs w:val="20"/>
        </w:rPr>
        <w:t xml:space="preserve"> </w:t>
      </w:r>
      <w:r w:rsidR="0070118D" w:rsidRPr="007A2EA8">
        <w:rPr>
          <w:rFonts w:ascii="Arial" w:hAnsi="Arial" w:cs="Arial"/>
          <w:sz w:val="20"/>
          <w:szCs w:val="20"/>
        </w:rPr>
        <w:t>set</w:t>
      </w:r>
      <w:r w:rsidR="0070118D">
        <w:rPr>
          <w:rFonts w:ascii="Arial" w:hAnsi="Arial" w:cs="Arial"/>
          <w:sz w:val="20"/>
          <w:szCs w:val="20"/>
        </w:rPr>
        <w:t>s</w:t>
      </w:r>
      <w:r w:rsidR="0070118D" w:rsidRPr="007A2EA8">
        <w:rPr>
          <w:rFonts w:ascii="Arial" w:hAnsi="Arial" w:cs="Arial"/>
          <w:sz w:val="20"/>
          <w:szCs w:val="20"/>
        </w:rPr>
        <w:t xml:space="preserve"> out the regulatory arrangements </w:t>
      </w:r>
      <w:r w:rsidR="00FB0CDB">
        <w:rPr>
          <w:rFonts w:ascii="Arial" w:hAnsi="Arial" w:cs="Arial"/>
          <w:sz w:val="20"/>
          <w:szCs w:val="20"/>
        </w:rPr>
        <w:t xml:space="preserve">in relation to labelling </w:t>
      </w:r>
      <w:r w:rsidR="0070118D" w:rsidRPr="007A2EA8">
        <w:rPr>
          <w:rFonts w:ascii="Arial" w:hAnsi="Arial" w:cs="Arial"/>
          <w:sz w:val="20"/>
          <w:szCs w:val="20"/>
        </w:rPr>
        <w:t xml:space="preserve">of </w:t>
      </w:r>
      <w:r w:rsidR="00FB0CDB">
        <w:rPr>
          <w:rFonts w:ascii="Arial" w:hAnsi="Arial" w:cs="Arial"/>
          <w:sz w:val="20"/>
          <w:szCs w:val="20"/>
        </w:rPr>
        <w:t xml:space="preserve">specified </w:t>
      </w:r>
      <w:r w:rsidR="0070118D" w:rsidRPr="007A2EA8">
        <w:rPr>
          <w:rFonts w:ascii="Arial" w:hAnsi="Arial" w:cs="Arial"/>
          <w:sz w:val="20"/>
          <w:szCs w:val="20"/>
        </w:rPr>
        <w:t xml:space="preserve">customer equipment (CE) and customer cabling (CC) </w:t>
      </w:r>
      <w:r w:rsidR="00416F69">
        <w:rPr>
          <w:rFonts w:ascii="Arial" w:hAnsi="Arial" w:cs="Arial"/>
          <w:sz w:val="20"/>
          <w:szCs w:val="20"/>
        </w:rPr>
        <w:t xml:space="preserve">which </w:t>
      </w:r>
      <w:r w:rsidR="00FB0CDB">
        <w:rPr>
          <w:rFonts w:ascii="Arial" w:hAnsi="Arial" w:cs="Arial"/>
          <w:sz w:val="20"/>
          <w:szCs w:val="20"/>
        </w:rPr>
        <w:t xml:space="preserve">has been manufactured in Australia or imported and which </w:t>
      </w:r>
      <w:r w:rsidR="00746A50">
        <w:rPr>
          <w:rFonts w:ascii="Arial" w:hAnsi="Arial" w:cs="Arial"/>
          <w:sz w:val="20"/>
          <w:szCs w:val="20"/>
        </w:rPr>
        <w:t xml:space="preserve">may </w:t>
      </w:r>
      <w:r w:rsidR="00FB0CDB">
        <w:rPr>
          <w:rFonts w:ascii="Arial" w:hAnsi="Arial" w:cs="Arial"/>
          <w:sz w:val="20"/>
          <w:szCs w:val="20"/>
        </w:rPr>
        <w:t xml:space="preserve">be supplied and </w:t>
      </w:r>
      <w:r w:rsidR="0070118D" w:rsidRPr="007A2EA8">
        <w:rPr>
          <w:rFonts w:ascii="Arial" w:hAnsi="Arial" w:cs="Arial"/>
          <w:sz w:val="20"/>
          <w:szCs w:val="20"/>
        </w:rPr>
        <w:t>connected to a telecommunications network.</w:t>
      </w:r>
    </w:p>
    <w:p w14:paraId="7A2A49C0" w14:textId="74FD69EF" w:rsidR="00AF29D7" w:rsidRPr="007C008D" w:rsidRDefault="00390BAC" w:rsidP="0070118D">
      <w:pPr>
        <w:spacing w:after="200" w:line="240" w:lineRule="atLeast"/>
        <w:jc w:val="both"/>
        <w:rPr>
          <w:rFonts w:ascii="Arial" w:hAnsi="Arial" w:cs="Arial"/>
          <w:sz w:val="20"/>
          <w:szCs w:val="20"/>
        </w:rPr>
      </w:pPr>
      <w:r w:rsidRPr="007A2EA8">
        <w:rPr>
          <w:rFonts w:ascii="Arial" w:hAnsi="Arial" w:cs="Arial"/>
          <w:sz w:val="20"/>
          <w:szCs w:val="20"/>
        </w:rPr>
        <w:t xml:space="preserve">The </w:t>
      </w:r>
      <w:r w:rsidR="00527DCD">
        <w:rPr>
          <w:rFonts w:ascii="Arial" w:hAnsi="Arial" w:cs="Arial"/>
          <w:sz w:val="20"/>
          <w:szCs w:val="20"/>
        </w:rPr>
        <w:t>2015</w:t>
      </w:r>
      <w:r w:rsidRPr="007A2EA8">
        <w:rPr>
          <w:rFonts w:ascii="Arial" w:hAnsi="Arial" w:cs="Arial"/>
          <w:sz w:val="20"/>
          <w:szCs w:val="20"/>
        </w:rPr>
        <w:t xml:space="preserve"> Notice </w:t>
      </w:r>
      <w:r w:rsidR="00350F0E">
        <w:rPr>
          <w:rFonts w:ascii="Arial" w:hAnsi="Arial" w:cs="Arial"/>
          <w:sz w:val="20"/>
          <w:szCs w:val="20"/>
        </w:rPr>
        <w:t xml:space="preserve">revokes and </w:t>
      </w:r>
      <w:r w:rsidRPr="007A2EA8">
        <w:rPr>
          <w:rFonts w:ascii="Arial" w:hAnsi="Arial" w:cs="Arial"/>
          <w:sz w:val="20"/>
          <w:szCs w:val="20"/>
        </w:rPr>
        <w:t xml:space="preserve">replaces the </w:t>
      </w:r>
      <w:r w:rsidRPr="007A2EA8">
        <w:rPr>
          <w:rFonts w:ascii="Arial" w:hAnsi="Arial" w:cs="Arial"/>
          <w:i/>
          <w:sz w:val="20"/>
          <w:szCs w:val="20"/>
        </w:rPr>
        <w:t>Telecommunications Labelling (Customer Equipment and Cabling) Notice 2001</w:t>
      </w:r>
      <w:r w:rsidRPr="007A2EA8">
        <w:rPr>
          <w:rFonts w:ascii="Arial" w:hAnsi="Arial" w:cs="Arial"/>
          <w:sz w:val="20"/>
          <w:szCs w:val="20"/>
        </w:rPr>
        <w:t xml:space="preserve"> (the 2001 Labelling Notice) with</w:t>
      </w:r>
      <w:r w:rsidR="00A338F3">
        <w:rPr>
          <w:rFonts w:ascii="Arial" w:hAnsi="Arial" w:cs="Arial"/>
          <w:sz w:val="20"/>
          <w:szCs w:val="20"/>
        </w:rPr>
        <w:t xml:space="preserve"> </w:t>
      </w:r>
      <w:r w:rsidR="00A338F3" w:rsidRPr="00A338F3">
        <w:rPr>
          <w:rFonts w:ascii="Arial" w:hAnsi="Arial" w:cs="Arial"/>
          <w:sz w:val="20"/>
          <w:szCs w:val="20"/>
        </w:rPr>
        <w:t xml:space="preserve">some modifications to make the new arrangements simpler and clearer, to ensure that requirements are proportional to the risks associated with the supply of CE and CC, to reduce the administrative burden for industry and to facilitate the implementation of new technology in Australia. </w:t>
      </w:r>
      <w:r w:rsidR="00A338F3">
        <w:rPr>
          <w:rFonts w:ascii="Arial" w:hAnsi="Arial" w:cs="Arial"/>
          <w:sz w:val="20"/>
          <w:szCs w:val="20"/>
        </w:rPr>
        <w:t xml:space="preserve"> </w:t>
      </w:r>
    </w:p>
    <w:p w14:paraId="7A2A49C2" w14:textId="77777777" w:rsidR="005D705C" w:rsidRPr="007A2EA8" w:rsidRDefault="005D705C" w:rsidP="00C460FC">
      <w:pPr>
        <w:spacing w:before="240" w:after="120" w:line="240" w:lineRule="atLeast"/>
        <w:jc w:val="both"/>
        <w:rPr>
          <w:rFonts w:ascii="Arial" w:hAnsi="Arial" w:cs="Arial"/>
          <w:b/>
          <w:sz w:val="20"/>
          <w:szCs w:val="20"/>
        </w:rPr>
      </w:pPr>
      <w:r w:rsidRPr="007A2EA8">
        <w:rPr>
          <w:rFonts w:ascii="Arial" w:hAnsi="Arial" w:cs="Arial"/>
          <w:b/>
          <w:sz w:val="20"/>
          <w:szCs w:val="20"/>
        </w:rPr>
        <w:t>Legislative provisions</w:t>
      </w:r>
    </w:p>
    <w:p w14:paraId="7A2A49C3" w14:textId="2EB3C35B" w:rsidR="005D705C" w:rsidRPr="007A2EA8" w:rsidRDefault="005D705C" w:rsidP="00C460FC">
      <w:pPr>
        <w:spacing w:after="200" w:line="240" w:lineRule="atLeast"/>
        <w:jc w:val="both"/>
        <w:rPr>
          <w:rFonts w:ascii="Arial" w:hAnsi="Arial" w:cs="Arial"/>
          <w:sz w:val="20"/>
          <w:szCs w:val="20"/>
        </w:rPr>
      </w:pPr>
      <w:r w:rsidRPr="007A2EA8">
        <w:rPr>
          <w:rFonts w:ascii="Arial" w:hAnsi="Arial" w:cs="Arial"/>
          <w:sz w:val="20"/>
          <w:szCs w:val="20"/>
        </w:rPr>
        <w:t>Subsection 407(1) of the</w:t>
      </w:r>
      <w:r w:rsidR="00A56136">
        <w:rPr>
          <w:rFonts w:ascii="Arial" w:hAnsi="Arial" w:cs="Arial"/>
          <w:sz w:val="20"/>
          <w:szCs w:val="20"/>
        </w:rPr>
        <w:t xml:space="preserve"> </w:t>
      </w:r>
      <w:r w:rsidR="00A56136" w:rsidRPr="00A56136">
        <w:rPr>
          <w:rFonts w:ascii="Arial" w:hAnsi="Arial" w:cs="Arial"/>
          <w:i/>
          <w:sz w:val="20"/>
          <w:szCs w:val="20"/>
        </w:rPr>
        <w:t>Telecommunications</w:t>
      </w:r>
      <w:r w:rsidRPr="00A56136">
        <w:rPr>
          <w:rFonts w:ascii="Arial" w:hAnsi="Arial" w:cs="Arial"/>
          <w:i/>
          <w:sz w:val="20"/>
          <w:szCs w:val="20"/>
        </w:rPr>
        <w:t xml:space="preserve"> </w:t>
      </w:r>
      <w:r w:rsidR="00B734DC" w:rsidRPr="00A56136">
        <w:rPr>
          <w:rFonts w:ascii="Arial" w:hAnsi="Arial" w:cs="Arial"/>
          <w:i/>
          <w:sz w:val="20"/>
          <w:szCs w:val="20"/>
        </w:rPr>
        <w:t>Act</w:t>
      </w:r>
      <w:r w:rsidRPr="00A56136">
        <w:rPr>
          <w:rFonts w:ascii="Arial" w:hAnsi="Arial" w:cs="Arial"/>
          <w:i/>
          <w:sz w:val="20"/>
          <w:szCs w:val="20"/>
        </w:rPr>
        <w:t xml:space="preserve"> </w:t>
      </w:r>
      <w:r w:rsidR="00A56136" w:rsidRPr="00A56136">
        <w:rPr>
          <w:rFonts w:ascii="Arial" w:hAnsi="Arial" w:cs="Arial"/>
          <w:i/>
          <w:sz w:val="20"/>
          <w:szCs w:val="20"/>
        </w:rPr>
        <w:t>1997</w:t>
      </w:r>
      <w:r w:rsidR="00A56136">
        <w:rPr>
          <w:rFonts w:ascii="Arial" w:hAnsi="Arial" w:cs="Arial"/>
          <w:sz w:val="20"/>
          <w:szCs w:val="20"/>
        </w:rPr>
        <w:t xml:space="preserve"> (the Act) </w:t>
      </w:r>
      <w:r w:rsidRPr="007A2EA8">
        <w:rPr>
          <w:rFonts w:ascii="Arial" w:hAnsi="Arial" w:cs="Arial"/>
          <w:sz w:val="20"/>
          <w:szCs w:val="20"/>
        </w:rPr>
        <w:t xml:space="preserve">provides that the </w:t>
      </w:r>
      <w:r w:rsidR="00A338F3">
        <w:rPr>
          <w:rFonts w:ascii="Arial" w:hAnsi="Arial" w:cs="Arial"/>
          <w:sz w:val="20"/>
          <w:szCs w:val="20"/>
        </w:rPr>
        <w:t xml:space="preserve">Australian Communications and Media Authority (the </w:t>
      </w:r>
      <w:r w:rsidR="00AF29D7">
        <w:rPr>
          <w:rFonts w:ascii="Arial" w:hAnsi="Arial" w:cs="Arial"/>
          <w:sz w:val="20"/>
          <w:szCs w:val="20"/>
        </w:rPr>
        <w:t>ACMA</w:t>
      </w:r>
      <w:r w:rsidR="00A338F3">
        <w:rPr>
          <w:rFonts w:ascii="Arial" w:hAnsi="Arial" w:cs="Arial"/>
          <w:sz w:val="20"/>
          <w:szCs w:val="20"/>
        </w:rPr>
        <w:t>)</w:t>
      </w:r>
      <w:r w:rsidRPr="007A2EA8">
        <w:rPr>
          <w:rFonts w:ascii="Arial" w:hAnsi="Arial" w:cs="Arial"/>
          <w:sz w:val="20"/>
          <w:szCs w:val="20"/>
        </w:rPr>
        <w:t xml:space="preserve"> may</w:t>
      </w:r>
      <w:r w:rsidR="00350F0E">
        <w:rPr>
          <w:rFonts w:ascii="Arial" w:hAnsi="Arial" w:cs="Arial"/>
          <w:sz w:val="20"/>
          <w:szCs w:val="20"/>
        </w:rPr>
        <w:t>,</w:t>
      </w:r>
      <w:r w:rsidRPr="007A2EA8">
        <w:rPr>
          <w:rFonts w:ascii="Arial" w:hAnsi="Arial" w:cs="Arial"/>
          <w:sz w:val="20"/>
          <w:szCs w:val="20"/>
        </w:rPr>
        <w:t xml:space="preserve"> by </w:t>
      </w:r>
      <w:r w:rsidR="00C55CAE" w:rsidRPr="007A2EA8">
        <w:rPr>
          <w:rFonts w:ascii="Arial" w:hAnsi="Arial" w:cs="Arial"/>
          <w:sz w:val="20"/>
          <w:szCs w:val="20"/>
        </w:rPr>
        <w:t>written instrument</w:t>
      </w:r>
      <w:r w:rsidR="00350F0E">
        <w:rPr>
          <w:rFonts w:ascii="Arial" w:hAnsi="Arial" w:cs="Arial"/>
          <w:sz w:val="20"/>
          <w:szCs w:val="20"/>
        </w:rPr>
        <w:t>,</w:t>
      </w:r>
      <w:r w:rsidR="00C55CAE" w:rsidRPr="007A2EA8">
        <w:rPr>
          <w:rFonts w:ascii="Arial" w:hAnsi="Arial" w:cs="Arial"/>
          <w:sz w:val="20"/>
          <w:szCs w:val="20"/>
        </w:rPr>
        <w:t xml:space="preserve"> </w:t>
      </w:r>
      <w:r w:rsidRPr="007A2EA8">
        <w:rPr>
          <w:rFonts w:ascii="Arial" w:hAnsi="Arial" w:cs="Arial"/>
          <w:sz w:val="20"/>
          <w:szCs w:val="20"/>
        </w:rPr>
        <w:t>require any person who is a manufacturer or importer</w:t>
      </w:r>
      <w:r w:rsidR="002A082C">
        <w:rPr>
          <w:rFonts w:ascii="Arial" w:hAnsi="Arial" w:cs="Arial"/>
          <w:sz w:val="20"/>
          <w:szCs w:val="20"/>
        </w:rPr>
        <w:t xml:space="preserve"> (supplier)</w:t>
      </w:r>
      <w:r w:rsidRPr="007A2EA8">
        <w:rPr>
          <w:rFonts w:ascii="Arial" w:hAnsi="Arial" w:cs="Arial"/>
          <w:sz w:val="20"/>
          <w:szCs w:val="20"/>
        </w:rPr>
        <w:t xml:space="preserve"> of specified </w:t>
      </w:r>
      <w:r w:rsidR="00A1136B" w:rsidRPr="00AF29D7">
        <w:rPr>
          <w:rFonts w:ascii="Arial" w:hAnsi="Arial" w:cs="Arial"/>
          <w:sz w:val="20"/>
          <w:szCs w:val="20"/>
        </w:rPr>
        <w:t>CE</w:t>
      </w:r>
      <w:r w:rsidR="00833145" w:rsidRPr="00AF29D7">
        <w:rPr>
          <w:rFonts w:ascii="Arial" w:hAnsi="Arial" w:cs="Arial"/>
          <w:sz w:val="20"/>
          <w:szCs w:val="20"/>
        </w:rPr>
        <w:t xml:space="preserve"> </w:t>
      </w:r>
      <w:r w:rsidRPr="00AF29D7">
        <w:rPr>
          <w:rFonts w:ascii="Arial" w:hAnsi="Arial" w:cs="Arial"/>
          <w:sz w:val="20"/>
          <w:szCs w:val="20"/>
        </w:rPr>
        <w:t xml:space="preserve">or </w:t>
      </w:r>
      <w:r w:rsidR="00A1136B" w:rsidRPr="00AF29D7">
        <w:rPr>
          <w:rFonts w:ascii="Arial" w:hAnsi="Arial" w:cs="Arial"/>
          <w:sz w:val="20"/>
          <w:szCs w:val="20"/>
        </w:rPr>
        <w:t>CC</w:t>
      </w:r>
      <w:r w:rsidR="00833145" w:rsidRPr="007A2EA8">
        <w:rPr>
          <w:rFonts w:ascii="Arial" w:hAnsi="Arial" w:cs="Arial"/>
          <w:sz w:val="20"/>
          <w:szCs w:val="20"/>
        </w:rPr>
        <w:t xml:space="preserve"> </w:t>
      </w:r>
      <w:r w:rsidR="0016509C">
        <w:rPr>
          <w:rFonts w:ascii="Arial" w:hAnsi="Arial" w:cs="Arial"/>
          <w:sz w:val="20"/>
          <w:szCs w:val="20"/>
        </w:rPr>
        <w:t>to apply a</w:t>
      </w:r>
      <w:r w:rsidRPr="007A2EA8">
        <w:rPr>
          <w:rFonts w:ascii="Arial" w:hAnsi="Arial" w:cs="Arial"/>
          <w:sz w:val="20"/>
          <w:szCs w:val="20"/>
        </w:rPr>
        <w:t xml:space="preserve"> label </w:t>
      </w:r>
      <w:r w:rsidR="0016509C">
        <w:rPr>
          <w:rFonts w:ascii="Arial" w:hAnsi="Arial" w:cs="Arial"/>
          <w:sz w:val="20"/>
          <w:szCs w:val="20"/>
        </w:rPr>
        <w:t>to the item to</w:t>
      </w:r>
      <w:r w:rsidRPr="007A2EA8">
        <w:rPr>
          <w:rFonts w:ascii="Arial" w:hAnsi="Arial" w:cs="Arial"/>
          <w:sz w:val="20"/>
          <w:szCs w:val="20"/>
        </w:rPr>
        <w:t xml:space="preserve"> indicate whether the </w:t>
      </w:r>
      <w:r w:rsidR="007400C6" w:rsidRPr="007A2EA8">
        <w:rPr>
          <w:rFonts w:ascii="Arial" w:hAnsi="Arial" w:cs="Arial"/>
          <w:sz w:val="20"/>
          <w:szCs w:val="20"/>
        </w:rPr>
        <w:t>item</w:t>
      </w:r>
      <w:r w:rsidRPr="007A2EA8">
        <w:rPr>
          <w:rFonts w:ascii="Arial" w:hAnsi="Arial" w:cs="Arial"/>
          <w:sz w:val="20"/>
          <w:szCs w:val="20"/>
        </w:rPr>
        <w:t xml:space="preserve"> complies with the</w:t>
      </w:r>
      <w:r w:rsidR="00E909D2" w:rsidRPr="007A2EA8">
        <w:rPr>
          <w:rFonts w:ascii="Arial" w:hAnsi="Arial" w:cs="Arial"/>
          <w:sz w:val="20"/>
          <w:szCs w:val="20"/>
        </w:rPr>
        <w:t xml:space="preserve"> technical</w:t>
      </w:r>
      <w:r w:rsidRPr="007A2EA8">
        <w:rPr>
          <w:rFonts w:ascii="Arial" w:hAnsi="Arial" w:cs="Arial"/>
          <w:sz w:val="20"/>
          <w:szCs w:val="20"/>
        </w:rPr>
        <w:t xml:space="preserve"> standards </w:t>
      </w:r>
      <w:r w:rsidR="00E909D2" w:rsidRPr="007A2EA8">
        <w:rPr>
          <w:rFonts w:ascii="Arial" w:hAnsi="Arial" w:cs="Arial"/>
          <w:sz w:val="20"/>
          <w:szCs w:val="20"/>
        </w:rPr>
        <w:t xml:space="preserve">made </w:t>
      </w:r>
      <w:r w:rsidRPr="007A2EA8">
        <w:rPr>
          <w:rFonts w:ascii="Arial" w:hAnsi="Arial" w:cs="Arial"/>
          <w:sz w:val="20"/>
          <w:szCs w:val="20"/>
        </w:rPr>
        <w:t>by the ACMA under section 376 of the Act</w:t>
      </w:r>
      <w:r w:rsidR="00833145" w:rsidRPr="007A2EA8">
        <w:rPr>
          <w:rFonts w:ascii="Arial" w:hAnsi="Arial" w:cs="Arial"/>
          <w:sz w:val="20"/>
          <w:szCs w:val="20"/>
        </w:rPr>
        <w:t xml:space="preserve"> and specified in the instrument</w:t>
      </w:r>
      <w:r w:rsidRPr="007A2EA8">
        <w:rPr>
          <w:rFonts w:ascii="Arial" w:hAnsi="Arial" w:cs="Arial"/>
          <w:sz w:val="20"/>
          <w:szCs w:val="20"/>
        </w:rPr>
        <w:t>.</w:t>
      </w:r>
      <w:r w:rsidR="002A082C">
        <w:rPr>
          <w:rFonts w:ascii="Arial" w:hAnsi="Arial" w:cs="Arial"/>
          <w:sz w:val="20"/>
          <w:szCs w:val="20"/>
        </w:rPr>
        <w:t xml:space="preserve">  Section 408 allows such an instrument to </w:t>
      </w:r>
      <w:r w:rsidR="00A338F3">
        <w:rPr>
          <w:rFonts w:ascii="Arial" w:hAnsi="Arial" w:cs="Arial"/>
          <w:sz w:val="20"/>
          <w:szCs w:val="20"/>
        </w:rPr>
        <w:t>specify</w:t>
      </w:r>
      <w:r w:rsidR="002A082C">
        <w:rPr>
          <w:rFonts w:ascii="Arial" w:hAnsi="Arial" w:cs="Arial"/>
          <w:sz w:val="20"/>
          <w:szCs w:val="20"/>
        </w:rPr>
        <w:t xml:space="preserve">, among other things, that a supplier </w:t>
      </w:r>
      <w:r w:rsidR="00A338F3">
        <w:rPr>
          <w:rFonts w:ascii="Arial" w:hAnsi="Arial" w:cs="Arial"/>
          <w:sz w:val="20"/>
          <w:szCs w:val="20"/>
        </w:rPr>
        <w:t xml:space="preserve">must meet certain requirements </w:t>
      </w:r>
      <w:r w:rsidR="002A082C">
        <w:rPr>
          <w:rFonts w:ascii="Arial" w:hAnsi="Arial" w:cs="Arial"/>
          <w:sz w:val="20"/>
          <w:szCs w:val="20"/>
        </w:rPr>
        <w:t>before and after applying such a label to an item.</w:t>
      </w:r>
    </w:p>
    <w:p w14:paraId="7A2A49C4" w14:textId="3CADB9BC" w:rsidR="005D705C" w:rsidRDefault="005D705C" w:rsidP="00C460FC">
      <w:pPr>
        <w:spacing w:after="200" w:line="240" w:lineRule="atLeast"/>
        <w:jc w:val="both"/>
        <w:rPr>
          <w:rFonts w:ascii="Arial" w:hAnsi="Arial" w:cs="Arial"/>
          <w:sz w:val="20"/>
          <w:szCs w:val="20"/>
        </w:rPr>
      </w:pPr>
      <w:r w:rsidRPr="007A2EA8">
        <w:rPr>
          <w:rFonts w:ascii="Arial" w:hAnsi="Arial" w:cs="Arial"/>
          <w:sz w:val="20"/>
          <w:szCs w:val="20"/>
        </w:rPr>
        <w:t>A</w:t>
      </w:r>
      <w:r w:rsidR="00833145" w:rsidRPr="007A2EA8">
        <w:rPr>
          <w:rFonts w:ascii="Arial" w:hAnsi="Arial" w:cs="Arial"/>
          <w:sz w:val="20"/>
          <w:szCs w:val="20"/>
        </w:rPr>
        <w:t xml:space="preserve">n instrument </w:t>
      </w:r>
      <w:r w:rsidRPr="007A2EA8">
        <w:rPr>
          <w:rFonts w:ascii="Arial" w:hAnsi="Arial" w:cs="Arial"/>
          <w:sz w:val="20"/>
          <w:szCs w:val="20"/>
        </w:rPr>
        <w:t xml:space="preserve">made under section 407 of the Act is a legislative instrument for the purposes of the </w:t>
      </w:r>
      <w:r w:rsidR="00A338F3" w:rsidRPr="00A338F3">
        <w:rPr>
          <w:rFonts w:ascii="Arial" w:hAnsi="Arial" w:cs="Arial"/>
          <w:i/>
          <w:sz w:val="20"/>
          <w:szCs w:val="20"/>
        </w:rPr>
        <w:t>Legislative Instruments Act 2003</w:t>
      </w:r>
      <w:r w:rsidR="00A338F3">
        <w:rPr>
          <w:rFonts w:ascii="Arial" w:hAnsi="Arial" w:cs="Arial"/>
          <w:sz w:val="20"/>
          <w:szCs w:val="20"/>
        </w:rPr>
        <w:t xml:space="preserve"> (the </w:t>
      </w:r>
      <w:r w:rsidR="0070118D">
        <w:rPr>
          <w:rFonts w:ascii="Arial" w:hAnsi="Arial" w:cs="Arial"/>
          <w:sz w:val="20"/>
          <w:szCs w:val="20"/>
        </w:rPr>
        <w:t>LIA</w:t>
      </w:r>
      <w:r w:rsidR="00A338F3">
        <w:rPr>
          <w:rFonts w:ascii="Arial" w:hAnsi="Arial" w:cs="Arial"/>
          <w:sz w:val="20"/>
          <w:szCs w:val="20"/>
        </w:rPr>
        <w:t>)</w:t>
      </w:r>
      <w:r w:rsidRPr="007A2EA8">
        <w:rPr>
          <w:rFonts w:ascii="Arial" w:hAnsi="Arial" w:cs="Arial"/>
          <w:sz w:val="20"/>
          <w:szCs w:val="20"/>
        </w:rPr>
        <w:t>.</w:t>
      </w:r>
    </w:p>
    <w:p w14:paraId="44A73F27" w14:textId="3CF48A2D" w:rsidR="009C797F" w:rsidRPr="009C797F" w:rsidRDefault="009C797F" w:rsidP="009C797F">
      <w:pPr>
        <w:rPr>
          <w:sz w:val="22"/>
          <w:szCs w:val="22"/>
        </w:rPr>
      </w:pPr>
      <w:r w:rsidRPr="009C797F">
        <w:rPr>
          <w:rFonts w:ascii="Arial" w:hAnsi="Arial" w:cs="Arial"/>
          <w:sz w:val="20"/>
          <w:szCs w:val="20"/>
        </w:rPr>
        <w:t xml:space="preserve">Subsection 33(3) of the </w:t>
      </w:r>
      <w:r w:rsidRPr="009C797F">
        <w:rPr>
          <w:rFonts w:ascii="Arial" w:hAnsi="Arial" w:cs="Arial"/>
          <w:i/>
          <w:sz w:val="20"/>
          <w:szCs w:val="20"/>
        </w:rPr>
        <w:t>Acts Interpretation Act 1901</w:t>
      </w:r>
      <w:r>
        <w:t xml:space="preserve"> (</w:t>
      </w:r>
      <w:r w:rsidRPr="009C797F">
        <w:rPr>
          <w:rFonts w:ascii="Arial" w:hAnsi="Arial" w:cs="Arial"/>
          <w:sz w:val="20"/>
          <w:szCs w:val="20"/>
        </w:rPr>
        <w:t>the AIA</w:t>
      </w:r>
      <w:r>
        <w:rPr>
          <w:rFonts w:ascii="Arial" w:hAnsi="Arial" w:cs="Arial"/>
          <w:sz w:val="20"/>
          <w:szCs w:val="20"/>
        </w:rPr>
        <w:t>)</w:t>
      </w:r>
      <w:r w:rsidRPr="009C797F">
        <w:rPr>
          <w:rFonts w:ascii="Arial" w:hAnsi="Arial" w:cs="Arial"/>
          <w:sz w:val="20"/>
          <w:szCs w:val="20"/>
        </w:rPr>
        <w:t xml:space="preserve"> relevantly provides that where an Act confers a power to make a legislative instrument, the power shall be construed as including a power exercisable in the like manner and subject to the like conditions (if any) to repeal, rescind, revoke, amend, or vary any such instrument</w:t>
      </w:r>
      <w:r>
        <w:t>.</w:t>
      </w:r>
    </w:p>
    <w:p w14:paraId="7A2A49C5" w14:textId="77777777" w:rsidR="005D705C" w:rsidRPr="007A2EA8" w:rsidRDefault="005D705C" w:rsidP="00C460FC">
      <w:pPr>
        <w:spacing w:before="240" w:after="120" w:line="240" w:lineRule="atLeast"/>
        <w:jc w:val="both"/>
        <w:rPr>
          <w:rFonts w:ascii="Arial" w:hAnsi="Arial" w:cs="Arial"/>
          <w:b/>
          <w:sz w:val="20"/>
          <w:szCs w:val="20"/>
        </w:rPr>
      </w:pPr>
      <w:r w:rsidRPr="007A2EA8">
        <w:rPr>
          <w:rFonts w:ascii="Arial" w:hAnsi="Arial" w:cs="Arial"/>
          <w:b/>
          <w:sz w:val="20"/>
          <w:szCs w:val="20"/>
        </w:rPr>
        <w:t>Background</w:t>
      </w:r>
    </w:p>
    <w:p w14:paraId="7A2A49C7" w14:textId="55189592" w:rsidR="002E6803" w:rsidRDefault="00CE33E5" w:rsidP="00CE33E5">
      <w:pPr>
        <w:spacing w:after="200" w:line="240" w:lineRule="atLeast"/>
        <w:jc w:val="both"/>
        <w:rPr>
          <w:rFonts w:ascii="Arial" w:hAnsi="Arial" w:cs="Arial"/>
          <w:sz w:val="20"/>
          <w:szCs w:val="20"/>
        </w:rPr>
      </w:pPr>
      <w:r>
        <w:rPr>
          <w:rFonts w:ascii="Arial" w:hAnsi="Arial" w:cs="Arial"/>
          <w:sz w:val="20"/>
          <w:szCs w:val="20"/>
        </w:rPr>
        <w:t>The 2001 Labelling Notice</w:t>
      </w:r>
      <w:r w:rsidR="00636555">
        <w:rPr>
          <w:rFonts w:ascii="Arial" w:hAnsi="Arial" w:cs="Arial"/>
          <w:sz w:val="20"/>
          <w:szCs w:val="20"/>
        </w:rPr>
        <w:t xml:space="preserve"> was due to be automatically repealed</w:t>
      </w:r>
      <w:r w:rsidR="0070118D">
        <w:rPr>
          <w:rFonts w:ascii="Arial" w:hAnsi="Arial" w:cs="Arial"/>
          <w:sz w:val="20"/>
          <w:szCs w:val="20"/>
        </w:rPr>
        <w:t xml:space="preserve"> (</w:t>
      </w:r>
      <w:r w:rsidR="00F44EB2">
        <w:rPr>
          <w:rFonts w:ascii="Arial" w:hAnsi="Arial" w:cs="Arial"/>
          <w:sz w:val="20"/>
          <w:szCs w:val="20"/>
        </w:rPr>
        <w:t xml:space="preserve">i.e., to </w:t>
      </w:r>
      <w:r w:rsidR="0070118D">
        <w:rPr>
          <w:rFonts w:ascii="Arial" w:hAnsi="Arial" w:cs="Arial"/>
          <w:sz w:val="20"/>
          <w:szCs w:val="20"/>
        </w:rPr>
        <w:t xml:space="preserve">sunset) </w:t>
      </w:r>
      <w:r w:rsidR="00636555">
        <w:rPr>
          <w:rFonts w:ascii="Arial" w:hAnsi="Arial" w:cs="Arial"/>
          <w:sz w:val="20"/>
          <w:szCs w:val="20"/>
        </w:rPr>
        <w:t>under section 50 of the LIA on 1 April 2015.</w:t>
      </w:r>
      <w:r w:rsidR="0070118D">
        <w:rPr>
          <w:rFonts w:ascii="Arial" w:hAnsi="Arial" w:cs="Arial"/>
          <w:sz w:val="20"/>
          <w:szCs w:val="20"/>
        </w:rPr>
        <w:t xml:space="preserve"> </w:t>
      </w:r>
      <w:r w:rsidR="002A082C">
        <w:rPr>
          <w:rFonts w:ascii="Arial" w:hAnsi="Arial" w:cs="Arial"/>
          <w:sz w:val="20"/>
          <w:szCs w:val="20"/>
        </w:rPr>
        <w:t>The approaching s</w:t>
      </w:r>
      <w:r w:rsidR="004B57E8">
        <w:rPr>
          <w:rFonts w:ascii="Arial" w:hAnsi="Arial" w:cs="Arial"/>
          <w:sz w:val="20"/>
          <w:szCs w:val="20"/>
        </w:rPr>
        <w:t>unset</w:t>
      </w:r>
      <w:r w:rsidR="00350F0E">
        <w:rPr>
          <w:rFonts w:ascii="Arial" w:hAnsi="Arial" w:cs="Arial"/>
          <w:sz w:val="20"/>
          <w:szCs w:val="20"/>
        </w:rPr>
        <w:t>ting</w:t>
      </w:r>
      <w:r w:rsidR="004B57E8">
        <w:rPr>
          <w:rFonts w:ascii="Arial" w:hAnsi="Arial" w:cs="Arial"/>
          <w:sz w:val="20"/>
          <w:szCs w:val="20"/>
        </w:rPr>
        <w:t xml:space="preserve"> </w:t>
      </w:r>
      <w:r w:rsidR="00A338F3">
        <w:rPr>
          <w:rFonts w:ascii="Arial" w:hAnsi="Arial" w:cs="Arial"/>
          <w:sz w:val="20"/>
          <w:szCs w:val="20"/>
        </w:rPr>
        <w:t xml:space="preserve">day </w:t>
      </w:r>
      <w:r w:rsidR="004B57E8">
        <w:rPr>
          <w:rFonts w:ascii="Arial" w:hAnsi="Arial" w:cs="Arial"/>
          <w:sz w:val="20"/>
          <w:szCs w:val="20"/>
        </w:rPr>
        <w:t xml:space="preserve">of the 2001 Labelling Notice </w:t>
      </w:r>
      <w:r w:rsidR="002E6803" w:rsidRPr="002E6803">
        <w:rPr>
          <w:rFonts w:ascii="Arial" w:hAnsi="Arial" w:cs="Arial"/>
          <w:sz w:val="20"/>
          <w:szCs w:val="20"/>
        </w:rPr>
        <w:t xml:space="preserve">triggered a review </w:t>
      </w:r>
      <w:r w:rsidR="00F44EB2">
        <w:rPr>
          <w:rFonts w:ascii="Arial" w:hAnsi="Arial" w:cs="Arial"/>
          <w:sz w:val="20"/>
          <w:szCs w:val="20"/>
        </w:rPr>
        <w:t xml:space="preserve">by the ACMA </w:t>
      </w:r>
      <w:r w:rsidR="002E6803" w:rsidRPr="002E6803">
        <w:rPr>
          <w:rFonts w:ascii="Arial" w:hAnsi="Arial" w:cs="Arial"/>
          <w:sz w:val="20"/>
          <w:szCs w:val="20"/>
        </w:rPr>
        <w:t xml:space="preserve">of the </w:t>
      </w:r>
      <w:r w:rsidR="004B57E8">
        <w:rPr>
          <w:rFonts w:ascii="Arial" w:hAnsi="Arial" w:cs="Arial"/>
          <w:sz w:val="20"/>
          <w:szCs w:val="20"/>
        </w:rPr>
        <w:t>arrangements</w:t>
      </w:r>
      <w:r w:rsidR="00F44EB2">
        <w:rPr>
          <w:rFonts w:ascii="Arial" w:hAnsi="Arial" w:cs="Arial"/>
          <w:sz w:val="20"/>
          <w:szCs w:val="20"/>
        </w:rPr>
        <w:t xml:space="preserve"> established by the 2001 Labelling Notice, </w:t>
      </w:r>
      <w:r w:rsidR="004E730A">
        <w:rPr>
          <w:rFonts w:ascii="Arial" w:hAnsi="Arial" w:cs="Arial"/>
          <w:sz w:val="20"/>
          <w:szCs w:val="20"/>
        </w:rPr>
        <w:t>and</w:t>
      </w:r>
      <w:r w:rsidR="004B57E8">
        <w:rPr>
          <w:rFonts w:ascii="Arial" w:hAnsi="Arial" w:cs="Arial"/>
          <w:sz w:val="20"/>
          <w:szCs w:val="20"/>
        </w:rPr>
        <w:t xml:space="preserve"> </w:t>
      </w:r>
      <w:r w:rsidR="002E6803" w:rsidRPr="002E6803">
        <w:rPr>
          <w:rFonts w:ascii="Arial" w:hAnsi="Arial" w:cs="Arial"/>
          <w:sz w:val="20"/>
          <w:szCs w:val="20"/>
        </w:rPr>
        <w:t>provide</w:t>
      </w:r>
      <w:r w:rsidR="002E6803">
        <w:rPr>
          <w:rFonts w:ascii="Arial" w:hAnsi="Arial" w:cs="Arial"/>
          <w:sz w:val="20"/>
          <w:szCs w:val="20"/>
        </w:rPr>
        <w:t>d</w:t>
      </w:r>
      <w:r w:rsidR="002E6803" w:rsidRPr="002E6803">
        <w:rPr>
          <w:rFonts w:ascii="Arial" w:hAnsi="Arial" w:cs="Arial"/>
          <w:sz w:val="20"/>
          <w:szCs w:val="20"/>
        </w:rPr>
        <w:t xml:space="preserve"> the ACMA with an opportunity to revisit the structure and</w:t>
      </w:r>
      <w:r w:rsidR="0070118D">
        <w:rPr>
          <w:rFonts w:ascii="Arial" w:hAnsi="Arial" w:cs="Arial"/>
          <w:sz w:val="20"/>
          <w:szCs w:val="20"/>
        </w:rPr>
        <w:t xml:space="preserve"> </w:t>
      </w:r>
      <w:r w:rsidR="002E6803" w:rsidRPr="002E6803">
        <w:rPr>
          <w:rFonts w:ascii="Arial" w:hAnsi="Arial" w:cs="Arial"/>
          <w:sz w:val="20"/>
          <w:szCs w:val="20"/>
        </w:rPr>
        <w:t>address a number of operational and application issues that ha</w:t>
      </w:r>
      <w:r w:rsidR="003552F2">
        <w:rPr>
          <w:rFonts w:ascii="Arial" w:hAnsi="Arial" w:cs="Arial"/>
          <w:sz w:val="20"/>
          <w:szCs w:val="20"/>
        </w:rPr>
        <w:t>d</w:t>
      </w:r>
      <w:r w:rsidR="002E6803" w:rsidRPr="002E6803">
        <w:rPr>
          <w:rFonts w:ascii="Arial" w:hAnsi="Arial" w:cs="Arial"/>
          <w:sz w:val="20"/>
          <w:szCs w:val="20"/>
        </w:rPr>
        <w:t xml:space="preserve"> developed over time</w:t>
      </w:r>
      <w:r w:rsidR="002E6803">
        <w:rPr>
          <w:rFonts w:ascii="Arial" w:hAnsi="Arial" w:cs="Arial"/>
          <w:sz w:val="20"/>
          <w:szCs w:val="20"/>
        </w:rPr>
        <w:t>.</w:t>
      </w:r>
    </w:p>
    <w:p w14:paraId="7A2A49C8" w14:textId="1680D19F" w:rsidR="00636555" w:rsidRDefault="00EA2389" w:rsidP="00CE33E5">
      <w:pPr>
        <w:spacing w:after="200" w:line="240" w:lineRule="atLeast"/>
        <w:jc w:val="both"/>
        <w:rPr>
          <w:rFonts w:ascii="Arial" w:hAnsi="Arial" w:cs="Arial"/>
          <w:sz w:val="20"/>
          <w:szCs w:val="20"/>
        </w:rPr>
      </w:pPr>
      <w:r>
        <w:rPr>
          <w:rFonts w:ascii="Arial" w:hAnsi="Arial" w:cs="Arial"/>
          <w:sz w:val="20"/>
          <w:szCs w:val="20"/>
        </w:rPr>
        <w:t>Following</w:t>
      </w:r>
      <w:r w:rsidR="00A338F3">
        <w:rPr>
          <w:rFonts w:ascii="Arial" w:hAnsi="Arial" w:cs="Arial"/>
          <w:sz w:val="20"/>
          <w:szCs w:val="20"/>
        </w:rPr>
        <w:t xml:space="preserve"> the</w:t>
      </w:r>
      <w:r>
        <w:rPr>
          <w:rFonts w:ascii="Arial" w:hAnsi="Arial" w:cs="Arial"/>
          <w:sz w:val="20"/>
          <w:szCs w:val="20"/>
        </w:rPr>
        <w:t xml:space="preserve"> review, </w:t>
      </w:r>
      <w:r w:rsidR="00A338F3">
        <w:rPr>
          <w:rFonts w:ascii="Arial" w:hAnsi="Arial" w:cs="Arial"/>
          <w:sz w:val="20"/>
          <w:szCs w:val="20"/>
        </w:rPr>
        <w:t xml:space="preserve">which included the </w:t>
      </w:r>
      <w:r>
        <w:rPr>
          <w:rFonts w:ascii="Arial" w:hAnsi="Arial" w:cs="Arial"/>
          <w:sz w:val="20"/>
          <w:szCs w:val="20"/>
        </w:rPr>
        <w:t xml:space="preserve">consultation outlined below, the ACMA formed the view that the 2001 Labelling Notice </w:t>
      </w:r>
      <w:r w:rsidR="00A338F3">
        <w:rPr>
          <w:rFonts w:ascii="Arial" w:hAnsi="Arial" w:cs="Arial"/>
          <w:sz w:val="20"/>
          <w:szCs w:val="20"/>
        </w:rPr>
        <w:t xml:space="preserve">continued </w:t>
      </w:r>
      <w:r w:rsidR="00B37C92">
        <w:rPr>
          <w:rFonts w:ascii="Arial" w:hAnsi="Arial" w:cs="Arial"/>
          <w:sz w:val="20"/>
          <w:szCs w:val="20"/>
        </w:rPr>
        <w:t>to be</w:t>
      </w:r>
      <w:r>
        <w:rPr>
          <w:rFonts w:ascii="Arial" w:hAnsi="Arial" w:cs="Arial"/>
          <w:sz w:val="20"/>
          <w:szCs w:val="20"/>
        </w:rPr>
        <w:t xml:space="preserve"> </w:t>
      </w:r>
      <w:r w:rsidR="002264D9">
        <w:rPr>
          <w:rFonts w:ascii="Arial" w:hAnsi="Arial" w:cs="Arial"/>
          <w:sz w:val="20"/>
          <w:szCs w:val="20"/>
        </w:rPr>
        <w:t>an</w:t>
      </w:r>
      <w:r>
        <w:rPr>
          <w:rFonts w:ascii="Arial" w:hAnsi="Arial" w:cs="Arial"/>
          <w:sz w:val="20"/>
          <w:szCs w:val="20"/>
        </w:rPr>
        <w:t xml:space="preserve"> effective and efficient</w:t>
      </w:r>
      <w:r w:rsidR="002264D9">
        <w:rPr>
          <w:rFonts w:ascii="Arial" w:hAnsi="Arial" w:cs="Arial"/>
          <w:sz w:val="20"/>
          <w:szCs w:val="20"/>
        </w:rPr>
        <w:t xml:space="preserve"> means of managing </w:t>
      </w:r>
      <w:r w:rsidR="00A338F3">
        <w:rPr>
          <w:rFonts w:ascii="Arial" w:hAnsi="Arial" w:cs="Arial"/>
          <w:sz w:val="20"/>
          <w:szCs w:val="20"/>
        </w:rPr>
        <w:t xml:space="preserve">the </w:t>
      </w:r>
      <w:r w:rsidR="002264D9">
        <w:rPr>
          <w:rFonts w:ascii="Arial" w:hAnsi="Arial" w:cs="Arial"/>
          <w:sz w:val="20"/>
          <w:szCs w:val="20"/>
        </w:rPr>
        <w:t>risks associated with the supply and connection of CE and CC</w:t>
      </w:r>
      <w:r w:rsidR="00CA003B">
        <w:rPr>
          <w:rFonts w:ascii="Arial" w:hAnsi="Arial" w:cs="Arial"/>
          <w:sz w:val="20"/>
          <w:szCs w:val="20"/>
        </w:rPr>
        <w:t>.</w:t>
      </w:r>
      <w:r>
        <w:rPr>
          <w:rFonts w:ascii="Arial" w:hAnsi="Arial" w:cs="Arial"/>
          <w:sz w:val="20"/>
          <w:szCs w:val="20"/>
        </w:rPr>
        <w:t xml:space="preserve"> </w:t>
      </w:r>
      <w:r w:rsidR="002264D9">
        <w:rPr>
          <w:rFonts w:ascii="Arial" w:hAnsi="Arial" w:cs="Arial"/>
          <w:sz w:val="20"/>
          <w:szCs w:val="20"/>
        </w:rPr>
        <w:t xml:space="preserve">Accordingly, the ACMA has made the </w:t>
      </w:r>
      <w:r w:rsidR="00527DCD">
        <w:rPr>
          <w:rFonts w:ascii="Arial" w:hAnsi="Arial" w:cs="Arial"/>
          <w:sz w:val="20"/>
          <w:szCs w:val="20"/>
        </w:rPr>
        <w:t>2015</w:t>
      </w:r>
      <w:r w:rsidR="002264D9">
        <w:rPr>
          <w:rFonts w:ascii="Arial" w:hAnsi="Arial" w:cs="Arial"/>
          <w:sz w:val="20"/>
          <w:szCs w:val="20"/>
        </w:rPr>
        <w:t xml:space="preserve"> Notice to replace the 2001 Labelling Notice</w:t>
      </w:r>
      <w:r w:rsidR="00B10009">
        <w:rPr>
          <w:rFonts w:ascii="Arial" w:hAnsi="Arial" w:cs="Arial"/>
          <w:sz w:val="20"/>
          <w:szCs w:val="20"/>
        </w:rPr>
        <w:t>,</w:t>
      </w:r>
      <w:r w:rsidR="00CA003B">
        <w:rPr>
          <w:rFonts w:ascii="Arial" w:hAnsi="Arial" w:cs="Arial"/>
          <w:sz w:val="20"/>
          <w:szCs w:val="20"/>
        </w:rPr>
        <w:t xml:space="preserve"> </w:t>
      </w:r>
      <w:r w:rsidR="00A338F3">
        <w:rPr>
          <w:rFonts w:ascii="Arial" w:hAnsi="Arial" w:cs="Arial"/>
          <w:sz w:val="20"/>
          <w:szCs w:val="20"/>
        </w:rPr>
        <w:t xml:space="preserve">in terms which ensure </w:t>
      </w:r>
      <w:r w:rsidR="00F44EB2">
        <w:rPr>
          <w:rFonts w:ascii="Arial" w:hAnsi="Arial" w:cs="Arial"/>
          <w:sz w:val="20"/>
          <w:szCs w:val="20"/>
        </w:rPr>
        <w:t xml:space="preserve">that </w:t>
      </w:r>
      <w:r w:rsidR="00CA003B">
        <w:rPr>
          <w:rFonts w:ascii="Arial" w:hAnsi="Arial" w:cs="Arial"/>
          <w:sz w:val="20"/>
          <w:szCs w:val="20"/>
        </w:rPr>
        <w:t>the effect of the regulatory arrangement</w:t>
      </w:r>
      <w:r w:rsidR="00350F0E">
        <w:rPr>
          <w:rFonts w:ascii="Arial" w:hAnsi="Arial" w:cs="Arial"/>
          <w:sz w:val="20"/>
          <w:szCs w:val="20"/>
        </w:rPr>
        <w:t>s</w:t>
      </w:r>
      <w:r w:rsidR="00CA003B">
        <w:rPr>
          <w:rFonts w:ascii="Arial" w:hAnsi="Arial" w:cs="Arial"/>
          <w:sz w:val="20"/>
          <w:szCs w:val="20"/>
        </w:rPr>
        <w:t xml:space="preserve"> for specified CE and CC is </w:t>
      </w:r>
      <w:r w:rsidR="000F58CE">
        <w:rPr>
          <w:rFonts w:ascii="Arial" w:hAnsi="Arial" w:cs="Arial"/>
          <w:sz w:val="20"/>
          <w:szCs w:val="20"/>
        </w:rPr>
        <w:t xml:space="preserve">largely </w:t>
      </w:r>
      <w:r w:rsidR="00CA003B">
        <w:rPr>
          <w:rFonts w:ascii="Arial" w:hAnsi="Arial" w:cs="Arial"/>
          <w:sz w:val="20"/>
          <w:szCs w:val="20"/>
        </w:rPr>
        <w:t xml:space="preserve">preserved. </w:t>
      </w:r>
    </w:p>
    <w:p w14:paraId="7A2A49C9" w14:textId="77777777" w:rsidR="00E849FB" w:rsidRPr="007A2EA8" w:rsidRDefault="00E849FB" w:rsidP="00A56136">
      <w:pPr>
        <w:spacing w:before="240" w:after="120" w:line="240" w:lineRule="atLeast"/>
        <w:jc w:val="both"/>
        <w:rPr>
          <w:rFonts w:ascii="Arial" w:hAnsi="Arial" w:cs="Arial"/>
          <w:b/>
          <w:sz w:val="20"/>
          <w:szCs w:val="20"/>
        </w:rPr>
      </w:pPr>
      <w:r w:rsidRPr="007A2EA8">
        <w:rPr>
          <w:rFonts w:ascii="Arial" w:hAnsi="Arial" w:cs="Arial"/>
          <w:b/>
          <w:sz w:val="20"/>
          <w:szCs w:val="20"/>
        </w:rPr>
        <w:t>Operation</w:t>
      </w:r>
    </w:p>
    <w:p w14:paraId="7A2A49CA" w14:textId="1ABF93C7" w:rsidR="00D63E8F" w:rsidRDefault="00D63E8F" w:rsidP="00D63E8F">
      <w:pPr>
        <w:spacing w:after="200" w:line="240" w:lineRule="atLeast"/>
        <w:jc w:val="both"/>
        <w:rPr>
          <w:rFonts w:ascii="Arial" w:hAnsi="Arial" w:cs="Arial"/>
          <w:sz w:val="20"/>
          <w:szCs w:val="20"/>
        </w:rPr>
      </w:pPr>
      <w:r w:rsidRPr="00993194">
        <w:rPr>
          <w:rFonts w:ascii="Arial" w:hAnsi="Arial" w:cs="Arial"/>
          <w:sz w:val="20"/>
          <w:szCs w:val="20"/>
        </w:rPr>
        <w:t xml:space="preserve">The ACMA has responsibility for the </w:t>
      </w:r>
      <w:r w:rsidR="0080185B">
        <w:rPr>
          <w:rFonts w:ascii="Arial" w:hAnsi="Arial" w:cs="Arial"/>
          <w:sz w:val="20"/>
          <w:szCs w:val="20"/>
        </w:rPr>
        <w:t xml:space="preserve">technical </w:t>
      </w:r>
      <w:r w:rsidRPr="00993194">
        <w:rPr>
          <w:rFonts w:ascii="Arial" w:hAnsi="Arial" w:cs="Arial"/>
          <w:sz w:val="20"/>
          <w:szCs w:val="20"/>
        </w:rPr>
        <w:t xml:space="preserve">regulation of </w:t>
      </w:r>
      <w:r w:rsidR="0016509C">
        <w:rPr>
          <w:rFonts w:ascii="Arial" w:hAnsi="Arial" w:cs="Arial"/>
          <w:sz w:val="20"/>
          <w:szCs w:val="20"/>
        </w:rPr>
        <w:t>CE</w:t>
      </w:r>
      <w:r w:rsidRPr="00993194">
        <w:rPr>
          <w:rFonts w:ascii="Arial" w:hAnsi="Arial" w:cs="Arial"/>
          <w:sz w:val="20"/>
          <w:szCs w:val="20"/>
        </w:rPr>
        <w:t xml:space="preserve">, </w:t>
      </w:r>
      <w:r w:rsidR="0016509C">
        <w:rPr>
          <w:rFonts w:ascii="Arial" w:hAnsi="Arial" w:cs="Arial"/>
          <w:sz w:val="20"/>
          <w:szCs w:val="20"/>
        </w:rPr>
        <w:t>CC</w:t>
      </w:r>
      <w:r w:rsidRPr="00993194">
        <w:rPr>
          <w:rFonts w:ascii="Arial" w:hAnsi="Arial" w:cs="Arial"/>
          <w:sz w:val="20"/>
          <w:szCs w:val="20"/>
        </w:rPr>
        <w:t xml:space="preserve"> and specified</w:t>
      </w:r>
      <w:r w:rsidR="0016509C">
        <w:rPr>
          <w:rFonts w:ascii="Arial" w:hAnsi="Arial" w:cs="Arial"/>
          <w:sz w:val="20"/>
          <w:szCs w:val="20"/>
        </w:rPr>
        <w:t xml:space="preserve"> radiocommunications</w:t>
      </w:r>
      <w:r w:rsidRPr="00993194">
        <w:rPr>
          <w:rFonts w:ascii="Arial" w:hAnsi="Arial" w:cs="Arial"/>
          <w:sz w:val="20"/>
          <w:szCs w:val="20"/>
        </w:rPr>
        <w:t xml:space="preserve"> devices in Australia under the </w:t>
      </w:r>
      <w:r>
        <w:rPr>
          <w:rFonts w:ascii="Arial" w:hAnsi="Arial" w:cs="Arial"/>
          <w:sz w:val="20"/>
          <w:szCs w:val="20"/>
        </w:rPr>
        <w:t xml:space="preserve">Act and the </w:t>
      </w:r>
      <w:r w:rsidRPr="00D63E8F">
        <w:rPr>
          <w:rFonts w:ascii="Arial" w:hAnsi="Arial" w:cs="Arial"/>
          <w:i/>
          <w:sz w:val="20"/>
          <w:szCs w:val="20"/>
        </w:rPr>
        <w:t>Radiocommunications Act 1992</w:t>
      </w:r>
      <w:r w:rsidRPr="00993194">
        <w:rPr>
          <w:rFonts w:ascii="Arial" w:hAnsi="Arial" w:cs="Arial"/>
          <w:sz w:val="20"/>
          <w:szCs w:val="20"/>
        </w:rPr>
        <w:t xml:space="preserve">. These regimes cover aspects of </w:t>
      </w:r>
      <w:r w:rsidR="0080185B">
        <w:rPr>
          <w:rFonts w:ascii="Arial" w:hAnsi="Arial" w:cs="Arial"/>
          <w:sz w:val="20"/>
          <w:szCs w:val="20"/>
        </w:rPr>
        <w:t xml:space="preserve">CE, CC and radiocommunications </w:t>
      </w:r>
      <w:r w:rsidRPr="00993194">
        <w:rPr>
          <w:rFonts w:ascii="Arial" w:hAnsi="Arial" w:cs="Arial"/>
          <w:sz w:val="20"/>
          <w:szCs w:val="20"/>
        </w:rPr>
        <w:t>devices related to the</w:t>
      </w:r>
      <w:r w:rsidR="0080185B">
        <w:rPr>
          <w:rFonts w:ascii="Arial" w:hAnsi="Arial" w:cs="Arial"/>
          <w:sz w:val="20"/>
          <w:szCs w:val="20"/>
        </w:rPr>
        <w:t>ir</w:t>
      </w:r>
      <w:r w:rsidRPr="00993194">
        <w:rPr>
          <w:rFonts w:ascii="Arial" w:hAnsi="Arial" w:cs="Arial"/>
          <w:sz w:val="20"/>
          <w:szCs w:val="20"/>
        </w:rPr>
        <w:t xml:space="preserve"> </w:t>
      </w:r>
      <w:r w:rsidRPr="00993194">
        <w:rPr>
          <w:rFonts w:ascii="Arial" w:hAnsi="Arial" w:cs="Arial"/>
          <w:sz w:val="20"/>
          <w:szCs w:val="20"/>
        </w:rPr>
        <w:lastRenderedPageBreak/>
        <w:t>radiocommuni</w:t>
      </w:r>
      <w:r>
        <w:rPr>
          <w:rFonts w:ascii="Arial" w:hAnsi="Arial" w:cs="Arial"/>
          <w:sz w:val="20"/>
          <w:szCs w:val="20"/>
        </w:rPr>
        <w:t xml:space="preserve">cations, electromagnetic energy, </w:t>
      </w:r>
      <w:r w:rsidRPr="00993194">
        <w:rPr>
          <w:rFonts w:ascii="Arial" w:hAnsi="Arial" w:cs="Arial"/>
          <w:sz w:val="20"/>
          <w:szCs w:val="20"/>
        </w:rPr>
        <w:t>electromagnetic compatibility</w:t>
      </w:r>
      <w:r>
        <w:rPr>
          <w:rFonts w:ascii="Arial" w:hAnsi="Arial" w:cs="Arial"/>
          <w:sz w:val="20"/>
          <w:szCs w:val="20"/>
        </w:rPr>
        <w:t xml:space="preserve"> and telecommunications </w:t>
      </w:r>
      <w:r w:rsidRPr="00993194">
        <w:rPr>
          <w:rFonts w:ascii="Arial" w:hAnsi="Arial" w:cs="Arial"/>
          <w:sz w:val="20"/>
          <w:szCs w:val="20"/>
        </w:rPr>
        <w:t>functions.</w:t>
      </w:r>
    </w:p>
    <w:p w14:paraId="7A2A49CC" w14:textId="621E5761" w:rsidR="00BD55E9" w:rsidRPr="00BD55E9" w:rsidRDefault="00BD55E9" w:rsidP="00BD55E9">
      <w:pPr>
        <w:spacing w:after="200"/>
        <w:rPr>
          <w:rFonts w:ascii="Arial" w:hAnsi="Arial" w:cs="Arial"/>
          <w:snapToGrid w:val="0"/>
          <w:sz w:val="20"/>
          <w:szCs w:val="20"/>
        </w:rPr>
      </w:pPr>
      <w:r w:rsidRPr="00BD55E9">
        <w:rPr>
          <w:rFonts w:ascii="Arial" w:hAnsi="Arial" w:cs="Arial"/>
          <w:snapToGrid w:val="0"/>
          <w:sz w:val="20"/>
          <w:szCs w:val="20"/>
        </w:rPr>
        <w:t xml:space="preserve">The principal elements of the </w:t>
      </w:r>
      <w:r w:rsidR="00D63E8F">
        <w:rPr>
          <w:rFonts w:ascii="Arial" w:hAnsi="Arial" w:cs="Arial"/>
          <w:snapToGrid w:val="0"/>
          <w:sz w:val="20"/>
          <w:szCs w:val="20"/>
        </w:rPr>
        <w:t xml:space="preserve">telecommunications </w:t>
      </w:r>
      <w:r w:rsidRPr="00BD55E9">
        <w:rPr>
          <w:rFonts w:ascii="Arial" w:hAnsi="Arial" w:cs="Arial"/>
          <w:snapToGrid w:val="0"/>
          <w:sz w:val="20"/>
          <w:szCs w:val="20"/>
        </w:rPr>
        <w:t xml:space="preserve">CE and CC regulatory arrangements </w:t>
      </w:r>
      <w:r w:rsidR="00F11F32">
        <w:rPr>
          <w:rFonts w:ascii="Arial" w:hAnsi="Arial" w:cs="Arial"/>
          <w:snapToGrid w:val="0"/>
          <w:sz w:val="20"/>
          <w:szCs w:val="20"/>
        </w:rPr>
        <w:t xml:space="preserve">in relation </w:t>
      </w:r>
      <w:r w:rsidR="009F5D74">
        <w:rPr>
          <w:rFonts w:ascii="Arial" w:hAnsi="Arial" w:cs="Arial"/>
          <w:snapToGrid w:val="0"/>
          <w:sz w:val="20"/>
          <w:szCs w:val="20"/>
        </w:rPr>
        <w:t xml:space="preserve">to labelling </w:t>
      </w:r>
      <w:r w:rsidRPr="00BD55E9">
        <w:rPr>
          <w:rFonts w:ascii="Arial" w:hAnsi="Arial" w:cs="Arial"/>
          <w:snapToGrid w:val="0"/>
          <w:sz w:val="20"/>
          <w:szCs w:val="20"/>
        </w:rPr>
        <w:t>are:</w:t>
      </w:r>
    </w:p>
    <w:p w14:paraId="7A2A49CD" w14:textId="237A5DBE" w:rsidR="00BD55E9" w:rsidRPr="00BD55E9" w:rsidRDefault="00BD55E9" w:rsidP="00BD55E9">
      <w:pPr>
        <w:pStyle w:val="ListParagraph"/>
        <w:numPr>
          <w:ilvl w:val="0"/>
          <w:numId w:val="11"/>
        </w:numPr>
        <w:spacing w:after="200"/>
        <w:rPr>
          <w:rFonts w:ascii="Arial" w:hAnsi="Arial" w:cs="Arial"/>
          <w:snapToGrid w:val="0"/>
          <w:sz w:val="20"/>
          <w:szCs w:val="20"/>
        </w:rPr>
      </w:pPr>
      <w:r w:rsidRPr="00BD55E9">
        <w:rPr>
          <w:rFonts w:ascii="Arial" w:hAnsi="Arial" w:cs="Arial"/>
          <w:snapToGrid w:val="0"/>
          <w:sz w:val="20"/>
          <w:szCs w:val="20"/>
        </w:rPr>
        <w:t>an instrument made by the ACMA under section 407 of the Act (</w:t>
      </w:r>
      <w:r w:rsidR="009F5D74">
        <w:rPr>
          <w:rFonts w:ascii="Arial" w:hAnsi="Arial" w:cs="Arial"/>
          <w:snapToGrid w:val="0"/>
          <w:sz w:val="20"/>
          <w:szCs w:val="20"/>
        </w:rPr>
        <w:t xml:space="preserve">namely, </w:t>
      </w:r>
      <w:r w:rsidRPr="00BD55E9">
        <w:rPr>
          <w:rFonts w:ascii="Arial" w:hAnsi="Arial" w:cs="Arial"/>
          <w:snapToGrid w:val="0"/>
          <w:sz w:val="20"/>
          <w:szCs w:val="20"/>
        </w:rPr>
        <w:t xml:space="preserve">the </w:t>
      </w:r>
      <w:r w:rsidR="009F5D74">
        <w:rPr>
          <w:rFonts w:ascii="Arial" w:hAnsi="Arial" w:cs="Arial"/>
          <w:snapToGrid w:val="0"/>
          <w:sz w:val="20"/>
          <w:szCs w:val="20"/>
        </w:rPr>
        <w:t>2015 Notice</w:t>
      </w:r>
      <w:r w:rsidR="003059FF">
        <w:rPr>
          <w:rFonts w:ascii="Arial" w:hAnsi="Arial" w:cs="Arial"/>
          <w:snapToGrid w:val="0"/>
          <w:sz w:val="20"/>
          <w:szCs w:val="20"/>
        </w:rPr>
        <w:t xml:space="preserve"> which has replaced the 2001 Labelling Notice</w:t>
      </w:r>
      <w:r w:rsidRPr="00BD55E9">
        <w:rPr>
          <w:rFonts w:ascii="Arial" w:hAnsi="Arial" w:cs="Arial"/>
          <w:snapToGrid w:val="0"/>
          <w:sz w:val="20"/>
          <w:szCs w:val="20"/>
        </w:rPr>
        <w:t>)</w:t>
      </w:r>
      <w:r w:rsidR="003059FF">
        <w:rPr>
          <w:rFonts w:ascii="Arial" w:hAnsi="Arial" w:cs="Arial"/>
          <w:snapToGrid w:val="0"/>
          <w:sz w:val="20"/>
          <w:szCs w:val="20"/>
        </w:rPr>
        <w:t>;</w:t>
      </w:r>
    </w:p>
    <w:p w14:paraId="7A2A49CE" w14:textId="338F3BEE" w:rsidR="00BD55E9" w:rsidRPr="00BD55E9" w:rsidRDefault="003059FF" w:rsidP="00BD55E9">
      <w:pPr>
        <w:pStyle w:val="ListParagraph"/>
        <w:numPr>
          <w:ilvl w:val="0"/>
          <w:numId w:val="11"/>
        </w:numPr>
        <w:spacing w:after="200"/>
        <w:rPr>
          <w:rFonts w:ascii="Arial" w:hAnsi="Arial" w:cs="Arial"/>
          <w:snapToGrid w:val="0"/>
          <w:sz w:val="20"/>
          <w:szCs w:val="20"/>
        </w:rPr>
      </w:pPr>
      <w:r>
        <w:rPr>
          <w:rFonts w:ascii="Arial" w:hAnsi="Arial" w:cs="Arial"/>
          <w:snapToGrid w:val="0"/>
          <w:sz w:val="20"/>
          <w:szCs w:val="20"/>
        </w:rPr>
        <w:t xml:space="preserve">the </w:t>
      </w:r>
      <w:r w:rsidR="00BD55E9" w:rsidRPr="00BD55E9">
        <w:rPr>
          <w:rFonts w:ascii="Arial" w:hAnsi="Arial" w:cs="Arial"/>
          <w:snapToGrid w:val="0"/>
          <w:sz w:val="20"/>
          <w:szCs w:val="20"/>
        </w:rPr>
        <w:t>technical standards made under section 376 of the Act (ACMA standards)</w:t>
      </w:r>
      <w:r>
        <w:rPr>
          <w:rFonts w:ascii="Arial" w:hAnsi="Arial" w:cs="Arial"/>
          <w:snapToGrid w:val="0"/>
          <w:sz w:val="20"/>
          <w:szCs w:val="20"/>
        </w:rPr>
        <w:t>; and</w:t>
      </w:r>
    </w:p>
    <w:p w14:paraId="7A2A49CF" w14:textId="406D75B5" w:rsidR="00BD55E9" w:rsidRDefault="003059FF" w:rsidP="00BD55E9">
      <w:pPr>
        <w:pStyle w:val="ListParagraph"/>
        <w:numPr>
          <w:ilvl w:val="0"/>
          <w:numId w:val="11"/>
        </w:numPr>
        <w:spacing w:after="200"/>
        <w:rPr>
          <w:rFonts w:ascii="Arial" w:hAnsi="Arial" w:cs="Arial"/>
          <w:snapToGrid w:val="0"/>
          <w:sz w:val="20"/>
          <w:szCs w:val="20"/>
        </w:rPr>
      </w:pPr>
      <w:r>
        <w:rPr>
          <w:rFonts w:ascii="Arial" w:hAnsi="Arial" w:cs="Arial"/>
          <w:snapToGrid w:val="0"/>
          <w:sz w:val="20"/>
          <w:szCs w:val="20"/>
        </w:rPr>
        <w:t xml:space="preserve">the </w:t>
      </w:r>
      <w:r w:rsidR="00BD55E9" w:rsidRPr="00BD55E9">
        <w:rPr>
          <w:rFonts w:ascii="Arial" w:hAnsi="Arial" w:cs="Arial"/>
          <w:snapToGrid w:val="0"/>
          <w:sz w:val="20"/>
          <w:szCs w:val="20"/>
        </w:rPr>
        <w:t xml:space="preserve">provisions in the Act (including offence provisions) that apply to the supply and connection of </w:t>
      </w:r>
      <w:r w:rsidR="009F5D74">
        <w:rPr>
          <w:rFonts w:ascii="Arial" w:hAnsi="Arial" w:cs="Arial"/>
          <w:snapToGrid w:val="0"/>
          <w:sz w:val="20"/>
          <w:szCs w:val="20"/>
        </w:rPr>
        <w:t>CE</w:t>
      </w:r>
      <w:r w:rsidR="00BD55E9" w:rsidRPr="00BD55E9">
        <w:rPr>
          <w:rFonts w:ascii="Arial" w:hAnsi="Arial" w:cs="Arial"/>
          <w:snapToGrid w:val="0"/>
          <w:sz w:val="20"/>
          <w:szCs w:val="20"/>
        </w:rPr>
        <w:t xml:space="preserve"> or </w:t>
      </w:r>
      <w:r w:rsidR="009F5D74">
        <w:rPr>
          <w:rFonts w:ascii="Arial" w:hAnsi="Arial" w:cs="Arial"/>
          <w:snapToGrid w:val="0"/>
          <w:sz w:val="20"/>
          <w:szCs w:val="20"/>
        </w:rPr>
        <w:t>CC</w:t>
      </w:r>
      <w:r w:rsidR="00BD55E9" w:rsidRPr="00BD55E9">
        <w:rPr>
          <w:rFonts w:ascii="Arial" w:hAnsi="Arial" w:cs="Arial"/>
          <w:snapToGrid w:val="0"/>
          <w:sz w:val="20"/>
          <w:szCs w:val="20"/>
        </w:rPr>
        <w:t xml:space="preserve"> subject to a</w:t>
      </w:r>
      <w:r w:rsidR="009F5D74">
        <w:rPr>
          <w:rFonts w:ascii="Arial" w:hAnsi="Arial" w:cs="Arial"/>
          <w:snapToGrid w:val="0"/>
          <w:sz w:val="20"/>
          <w:szCs w:val="20"/>
        </w:rPr>
        <w:t>n instrument made under</w:t>
      </w:r>
      <w:r w:rsidR="00BD55E9" w:rsidRPr="00BD55E9">
        <w:rPr>
          <w:rFonts w:ascii="Arial" w:hAnsi="Arial" w:cs="Arial"/>
          <w:snapToGrid w:val="0"/>
          <w:sz w:val="20"/>
          <w:szCs w:val="20"/>
        </w:rPr>
        <w:t xml:space="preserve"> section 407.</w:t>
      </w:r>
    </w:p>
    <w:p w14:paraId="7A2A49D0" w14:textId="77E21470" w:rsidR="00BD55E9" w:rsidRDefault="00BD55E9" w:rsidP="00BD55E9">
      <w:pPr>
        <w:spacing w:after="200" w:line="240" w:lineRule="atLeast"/>
        <w:jc w:val="both"/>
        <w:rPr>
          <w:rFonts w:ascii="Arial" w:hAnsi="Arial" w:cs="Arial"/>
          <w:sz w:val="20"/>
          <w:szCs w:val="20"/>
        </w:rPr>
      </w:pPr>
      <w:r w:rsidRPr="00AF29D7">
        <w:rPr>
          <w:rFonts w:ascii="Arial" w:hAnsi="Arial" w:cs="Arial"/>
          <w:sz w:val="20"/>
          <w:szCs w:val="20"/>
        </w:rPr>
        <w:t>The Act, the</w:t>
      </w:r>
      <w:r w:rsidRPr="00AF29D7" w:rsidDel="009F5D74">
        <w:rPr>
          <w:rFonts w:ascii="Arial" w:hAnsi="Arial" w:cs="Arial"/>
          <w:sz w:val="20"/>
          <w:szCs w:val="20"/>
        </w:rPr>
        <w:t xml:space="preserve"> </w:t>
      </w:r>
      <w:r w:rsidR="009F5D74">
        <w:rPr>
          <w:rFonts w:ascii="Arial" w:hAnsi="Arial" w:cs="Arial"/>
          <w:sz w:val="20"/>
          <w:szCs w:val="20"/>
        </w:rPr>
        <w:t>2015 Notice</w:t>
      </w:r>
      <w:r w:rsidR="009F5D74" w:rsidRPr="00AF29D7">
        <w:rPr>
          <w:rFonts w:ascii="Arial" w:hAnsi="Arial" w:cs="Arial"/>
          <w:sz w:val="20"/>
          <w:szCs w:val="20"/>
        </w:rPr>
        <w:t xml:space="preserve"> </w:t>
      </w:r>
      <w:r w:rsidRPr="00AF29D7">
        <w:rPr>
          <w:rFonts w:ascii="Arial" w:hAnsi="Arial" w:cs="Arial"/>
          <w:sz w:val="20"/>
          <w:szCs w:val="20"/>
        </w:rPr>
        <w:t xml:space="preserve">and </w:t>
      </w:r>
      <w:r w:rsidR="009F5D74">
        <w:rPr>
          <w:rFonts w:ascii="Arial" w:hAnsi="Arial" w:cs="Arial"/>
          <w:sz w:val="20"/>
          <w:szCs w:val="20"/>
        </w:rPr>
        <w:t xml:space="preserve">the </w:t>
      </w:r>
      <w:r w:rsidRPr="00AF29D7">
        <w:rPr>
          <w:rFonts w:ascii="Arial" w:hAnsi="Arial" w:cs="Arial"/>
          <w:sz w:val="20"/>
          <w:szCs w:val="20"/>
        </w:rPr>
        <w:t>ACMA standards</w:t>
      </w:r>
      <w:r>
        <w:rPr>
          <w:rFonts w:ascii="Arial" w:hAnsi="Arial" w:cs="Arial"/>
          <w:sz w:val="20"/>
          <w:szCs w:val="20"/>
        </w:rPr>
        <w:t xml:space="preserve"> </w:t>
      </w:r>
      <w:r w:rsidRPr="00AF29D7">
        <w:rPr>
          <w:rFonts w:ascii="Arial" w:hAnsi="Arial" w:cs="Arial"/>
          <w:sz w:val="20"/>
          <w:szCs w:val="20"/>
        </w:rPr>
        <w:t xml:space="preserve">operate together to create the regulatory arrangements for the supply and connection of CE and CC. The objective of the arrangements is to manage both consumer </w:t>
      </w:r>
      <w:r w:rsidR="007C04B2">
        <w:rPr>
          <w:rFonts w:ascii="Arial" w:hAnsi="Arial" w:cs="Arial"/>
          <w:sz w:val="20"/>
          <w:szCs w:val="20"/>
        </w:rPr>
        <w:t xml:space="preserve">risks </w:t>
      </w:r>
      <w:r w:rsidRPr="00AF29D7">
        <w:rPr>
          <w:rFonts w:ascii="Arial" w:hAnsi="Arial" w:cs="Arial"/>
          <w:sz w:val="20"/>
          <w:szCs w:val="20"/>
        </w:rPr>
        <w:t>(</w:t>
      </w:r>
      <w:r w:rsidR="007C04B2">
        <w:rPr>
          <w:rFonts w:ascii="Arial" w:hAnsi="Arial" w:cs="Arial"/>
          <w:sz w:val="20"/>
          <w:szCs w:val="20"/>
        </w:rPr>
        <w:t xml:space="preserve">related to </w:t>
      </w:r>
      <w:r w:rsidRPr="00AF29D7">
        <w:rPr>
          <w:rFonts w:ascii="Arial" w:hAnsi="Arial" w:cs="Arial"/>
          <w:sz w:val="20"/>
          <w:szCs w:val="20"/>
        </w:rPr>
        <w:t xml:space="preserve">health and safety, </w:t>
      </w:r>
      <w:r w:rsidR="003059FF">
        <w:rPr>
          <w:rFonts w:ascii="Arial" w:hAnsi="Arial" w:cs="Arial"/>
          <w:sz w:val="20"/>
          <w:szCs w:val="20"/>
        </w:rPr>
        <w:t xml:space="preserve">and </w:t>
      </w:r>
      <w:r w:rsidRPr="00AF29D7">
        <w:rPr>
          <w:rFonts w:ascii="Arial" w:hAnsi="Arial" w:cs="Arial"/>
          <w:sz w:val="20"/>
          <w:szCs w:val="20"/>
        </w:rPr>
        <w:t xml:space="preserve">access to the emergency call service) and industry </w:t>
      </w:r>
      <w:r w:rsidR="007C04B2">
        <w:rPr>
          <w:rFonts w:ascii="Arial" w:hAnsi="Arial" w:cs="Arial"/>
          <w:sz w:val="20"/>
          <w:szCs w:val="20"/>
        </w:rPr>
        <w:t xml:space="preserve">risks </w:t>
      </w:r>
      <w:r w:rsidRPr="00AF29D7">
        <w:rPr>
          <w:rFonts w:ascii="Arial" w:hAnsi="Arial" w:cs="Arial"/>
          <w:sz w:val="20"/>
          <w:szCs w:val="20"/>
        </w:rPr>
        <w:t>(</w:t>
      </w:r>
      <w:r w:rsidR="007C04B2">
        <w:rPr>
          <w:rFonts w:ascii="Arial" w:hAnsi="Arial" w:cs="Arial"/>
          <w:sz w:val="20"/>
          <w:szCs w:val="20"/>
        </w:rPr>
        <w:t xml:space="preserve">related to </w:t>
      </w:r>
      <w:r w:rsidRPr="00AF29D7">
        <w:rPr>
          <w:rFonts w:ascii="Arial" w:hAnsi="Arial" w:cs="Arial"/>
          <w:sz w:val="20"/>
          <w:szCs w:val="20"/>
        </w:rPr>
        <w:t>network integrity</w:t>
      </w:r>
      <w:r w:rsidR="004D0762">
        <w:rPr>
          <w:rFonts w:ascii="Arial" w:hAnsi="Arial" w:cs="Arial"/>
          <w:sz w:val="20"/>
          <w:szCs w:val="20"/>
        </w:rPr>
        <w:t xml:space="preserve"> and interoperability</w:t>
      </w:r>
      <w:r w:rsidRPr="00AF29D7">
        <w:rPr>
          <w:rFonts w:ascii="Arial" w:hAnsi="Arial" w:cs="Arial"/>
          <w:sz w:val="20"/>
          <w:szCs w:val="20"/>
        </w:rPr>
        <w:t>)</w:t>
      </w:r>
      <w:r>
        <w:rPr>
          <w:rFonts w:ascii="Arial" w:hAnsi="Arial" w:cs="Arial"/>
          <w:sz w:val="20"/>
          <w:szCs w:val="20"/>
        </w:rPr>
        <w:t>.</w:t>
      </w:r>
    </w:p>
    <w:p w14:paraId="7A2A49D1" w14:textId="0D0C2E28" w:rsidR="007A2EA8" w:rsidRDefault="00B84904" w:rsidP="00B84904">
      <w:pPr>
        <w:spacing w:after="200" w:line="240" w:lineRule="atLeast"/>
        <w:jc w:val="both"/>
        <w:rPr>
          <w:rFonts w:ascii="Arial" w:hAnsi="Arial" w:cs="Arial"/>
          <w:sz w:val="20"/>
          <w:szCs w:val="20"/>
        </w:rPr>
      </w:pPr>
      <w:r w:rsidRPr="00B84904">
        <w:rPr>
          <w:rFonts w:ascii="Arial" w:hAnsi="Arial" w:cs="Arial"/>
          <w:sz w:val="20"/>
          <w:szCs w:val="20"/>
        </w:rPr>
        <w:t>The</w:t>
      </w:r>
      <w:r w:rsidRPr="00B84904" w:rsidDel="009F5D74">
        <w:rPr>
          <w:rFonts w:ascii="Arial" w:hAnsi="Arial" w:cs="Arial"/>
          <w:sz w:val="20"/>
          <w:szCs w:val="20"/>
        </w:rPr>
        <w:t xml:space="preserve"> </w:t>
      </w:r>
      <w:r w:rsidR="009F5D74">
        <w:rPr>
          <w:rFonts w:ascii="Arial" w:hAnsi="Arial" w:cs="Arial"/>
          <w:sz w:val="20"/>
          <w:szCs w:val="20"/>
        </w:rPr>
        <w:t xml:space="preserve">2015 Notice </w:t>
      </w:r>
      <w:r w:rsidRPr="00B84904">
        <w:rPr>
          <w:rFonts w:ascii="Arial" w:hAnsi="Arial" w:cs="Arial"/>
          <w:sz w:val="20"/>
          <w:szCs w:val="20"/>
        </w:rPr>
        <w:t>addresses the</w:t>
      </w:r>
      <w:r>
        <w:rPr>
          <w:rFonts w:ascii="Arial" w:hAnsi="Arial" w:cs="Arial"/>
          <w:sz w:val="20"/>
          <w:szCs w:val="20"/>
        </w:rPr>
        <w:t>se</w:t>
      </w:r>
      <w:r w:rsidRPr="00B84904">
        <w:rPr>
          <w:rFonts w:ascii="Arial" w:hAnsi="Arial" w:cs="Arial"/>
          <w:sz w:val="20"/>
          <w:szCs w:val="20"/>
        </w:rPr>
        <w:t xml:space="preserve"> risks by imposing obligations on suppliers of </w:t>
      </w:r>
      <w:r w:rsidR="0066083B">
        <w:rPr>
          <w:rFonts w:ascii="Arial" w:hAnsi="Arial" w:cs="Arial"/>
          <w:sz w:val="20"/>
          <w:szCs w:val="20"/>
        </w:rPr>
        <w:t xml:space="preserve">specified </w:t>
      </w:r>
      <w:r w:rsidRPr="00B84904">
        <w:rPr>
          <w:rFonts w:ascii="Arial" w:hAnsi="Arial" w:cs="Arial"/>
          <w:sz w:val="20"/>
          <w:szCs w:val="20"/>
        </w:rPr>
        <w:t xml:space="preserve">CE and CC </w:t>
      </w:r>
      <w:r w:rsidR="009F5D74">
        <w:rPr>
          <w:rFonts w:ascii="Arial" w:hAnsi="Arial" w:cs="Arial"/>
          <w:sz w:val="20"/>
          <w:szCs w:val="20"/>
        </w:rPr>
        <w:t>both before and after the CE and CC is</w:t>
      </w:r>
      <w:r w:rsidRPr="00B84904">
        <w:rPr>
          <w:rFonts w:ascii="Arial" w:hAnsi="Arial" w:cs="Arial"/>
          <w:sz w:val="20"/>
          <w:szCs w:val="20"/>
        </w:rPr>
        <w:t xml:space="preserve"> suppl</w:t>
      </w:r>
      <w:r w:rsidR="009F5D74">
        <w:rPr>
          <w:rFonts w:ascii="Arial" w:hAnsi="Arial" w:cs="Arial"/>
          <w:sz w:val="20"/>
          <w:szCs w:val="20"/>
        </w:rPr>
        <w:t>ied</w:t>
      </w:r>
      <w:r w:rsidR="0066083B">
        <w:rPr>
          <w:rFonts w:ascii="Arial" w:hAnsi="Arial" w:cs="Arial"/>
          <w:sz w:val="20"/>
          <w:szCs w:val="20"/>
        </w:rPr>
        <w:t xml:space="preserve">, including </w:t>
      </w:r>
      <w:r w:rsidR="00EB355B">
        <w:rPr>
          <w:rFonts w:ascii="Arial" w:hAnsi="Arial" w:cs="Arial"/>
          <w:sz w:val="20"/>
          <w:szCs w:val="20"/>
        </w:rPr>
        <w:t>requirements</w:t>
      </w:r>
      <w:r w:rsidR="0066083B">
        <w:rPr>
          <w:rFonts w:ascii="Arial" w:hAnsi="Arial" w:cs="Arial"/>
          <w:sz w:val="20"/>
          <w:szCs w:val="20"/>
        </w:rPr>
        <w:t xml:space="preserve"> in relation to labelling and record-keeping</w:t>
      </w:r>
      <w:r w:rsidRPr="00B84904">
        <w:rPr>
          <w:rFonts w:ascii="Arial" w:hAnsi="Arial" w:cs="Arial"/>
          <w:sz w:val="20"/>
          <w:szCs w:val="20"/>
        </w:rPr>
        <w:t>.  The</w:t>
      </w:r>
      <w:r w:rsidR="0066083B">
        <w:rPr>
          <w:rFonts w:ascii="Arial" w:hAnsi="Arial" w:cs="Arial"/>
          <w:sz w:val="20"/>
          <w:szCs w:val="20"/>
        </w:rPr>
        <w:t>se</w:t>
      </w:r>
      <w:r w:rsidRPr="00B84904">
        <w:rPr>
          <w:rFonts w:ascii="Arial" w:hAnsi="Arial" w:cs="Arial"/>
          <w:sz w:val="20"/>
          <w:szCs w:val="20"/>
        </w:rPr>
        <w:t xml:space="preserve"> requirement</w:t>
      </w:r>
      <w:r w:rsidR="0066083B">
        <w:rPr>
          <w:rFonts w:ascii="Arial" w:hAnsi="Arial" w:cs="Arial"/>
          <w:sz w:val="20"/>
          <w:szCs w:val="20"/>
        </w:rPr>
        <w:t>s</w:t>
      </w:r>
      <w:r w:rsidRPr="00B84904">
        <w:rPr>
          <w:rFonts w:ascii="Arial" w:hAnsi="Arial" w:cs="Arial"/>
          <w:sz w:val="20"/>
          <w:szCs w:val="20"/>
        </w:rPr>
        <w:t xml:space="preserve"> for a supplier to </w:t>
      </w:r>
      <w:r w:rsidR="0066083B">
        <w:rPr>
          <w:rFonts w:ascii="Arial" w:hAnsi="Arial" w:cs="Arial"/>
          <w:sz w:val="20"/>
          <w:szCs w:val="20"/>
        </w:rPr>
        <w:t>label and to make and</w:t>
      </w:r>
      <w:r w:rsidRPr="00B84904">
        <w:rPr>
          <w:rFonts w:ascii="Arial" w:hAnsi="Arial" w:cs="Arial"/>
          <w:sz w:val="20"/>
          <w:szCs w:val="20"/>
        </w:rPr>
        <w:t xml:space="preserve"> hold records </w:t>
      </w:r>
      <w:r>
        <w:rPr>
          <w:rFonts w:ascii="Arial" w:hAnsi="Arial" w:cs="Arial"/>
          <w:sz w:val="20"/>
          <w:szCs w:val="20"/>
        </w:rPr>
        <w:t>i</w:t>
      </w:r>
      <w:r w:rsidRPr="00B84904">
        <w:rPr>
          <w:rFonts w:ascii="Arial" w:hAnsi="Arial" w:cs="Arial"/>
          <w:sz w:val="20"/>
          <w:szCs w:val="20"/>
        </w:rPr>
        <w:t xml:space="preserve">s intended to provide confidence (to the </w:t>
      </w:r>
      <w:r w:rsidR="004C2DDD">
        <w:rPr>
          <w:rFonts w:ascii="Arial" w:hAnsi="Arial" w:cs="Arial"/>
          <w:sz w:val="20"/>
          <w:szCs w:val="20"/>
        </w:rPr>
        <w:t>ACMA</w:t>
      </w:r>
      <w:r w:rsidRPr="00B84904">
        <w:rPr>
          <w:rFonts w:ascii="Arial" w:hAnsi="Arial" w:cs="Arial"/>
          <w:sz w:val="20"/>
          <w:szCs w:val="20"/>
        </w:rPr>
        <w:t>, network operators</w:t>
      </w:r>
      <w:r w:rsidR="009F5D74">
        <w:rPr>
          <w:rFonts w:ascii="Arial" w:hAnsi="Arial" w:cs="Arial"/>
          <w:sz w:val="20"/>
          <w:szCs w:val="20"/>
        </w:rPr>
        <w:t xml:space="preserve"> and the public</w:t>
      </w:r>
      <w:r w:rsidRPr="00B84904">
        <w:rPr>
          <w:rFonts w:ascii="Arial" w:hAnsi="Arial" w:cs="Arial"/>
          <w:sz w:val="20"/>
          <w:szCs w:val="20"/>
        </w:rPr>
        <w:t>) that suppliers ha</w:t>
      </w:r>
      <w:r w:rsidR="001E7D10">
        <w:rPr>
          <w:rFonts w:ascii="Arial" w:hAnsi="Arial" w:cs="Arial"/>
          <w:sz w:val="20"/>
          <w:szCs w:val="20"/>
        </w:rPr>
        <w:t>ve</w:t>
      </w:r>
      <w:r w:rsidRPr="00B84904">
        <w:rPr>
          <w:rFonts w:ascii="Arial" w:hAnsi="Arial" w:cs="Arial"/>
          <w:sz w:val="20"/>
          <w:szCs w:val="20"/>
        </w:rPr>
        <w:t xml:space="preserve"> taken appropriate steps to ensure </w:t>
      </w:r>
      <w:r w:rsidR="00403ED2">
        <w:rPr>
          <w:rFonts w:ascii="Arial" w:hAnsi="Arial" w:cs="Arial"/>
          <w:sz w:val="20"/>
          <w:szCs w:val="20"/>
        </w:rPr>
        <w:t xml:space="preserve">that </w:t>
      </w:r>
      <w:r w:rsidR="009F5D74">
        <w:rPr>
          <w:rFonts w:ascii="Arial" w:hAnsi="Arial" w:cs="Arial"/>
          <w:sz w:val="20"/>
          <w:szCs w:val="20"/>
        </w:rPr>
        <w:t>CE and CC</w:t>
      </w:r>
      <w:r w:rsidR="009F5D74" w:rsidRPr="00B84904">
        <w:rPr>
          <w:rFonts w:ascii="Arial" w:hAnsi="Arial" w:cs="Arial"/>
          <w:sz w:val="20"/>
          <w:szCs w:val="20"/>
        </w:rPr>
        <w:t xml:space="preserve"> </w:t>
      </w:r>
      <w:r w:rsidRPr="00B84904">
        <w:rPr>
          <w:rFonts w:ascii="Arial" w:hAnsi="Arial" w:cs="Arial"/>
          <w:sz w:val="20"/>
          <w:szCs w:val="20"/>
        </w:rPr>
        <w:t>complie</w:t>
      </w:r>
      <w:r w:rsidR="009F5D74">
        <w:rPr>
          <w:rFonts w:ascii="Arial" w:hAnsi="Arial" w:cs="Arial"/>
          <w:sz w:val="20"/>
          <w:szCs w:val="20"/>
        </w:rPr>
        <w:t>s</w:t>
      </w:r>
      <w:r w:rsidRPr="00B84904">
        <w:rPr>
          <w:rFonts w:ascii="Arial" w:hAnsi="Arial" w:cs="Arial"/>
          <w:sz w:val="20"/>
          <w:szCs w:val="20"/>
        </w:rPr>
        <w:t xml:space="preserve"> with applicable technical requirements</w:t>
      </w:r>
      <w:r w:rsidR="007A2EA8" w:rsidRPr="007A2EA8">
        <w:rPr>
          <w:rFonts w:ascii="Arial" w:hAnsi="Arial" w:cs="Arial"/>
          <w:sz w:val="20"/>
          <w:szCs w:val="20"/>
        </w:rPr>
        <w:t>.</w:t>
      </w:r>
    </w:p>
    <w:p w14:paraId="7A2A49D2" w14:textId="600DF6E4" w:rsidR="00BD55E9" w:rsidRDefault="00BD55E9" w:rsidP="00BD55E9">
      <w:pPr>
        <w:spacing w:after="200" w:line="240" w:lineRule="atLeast"/>
        <w:jc w:val="both"/>
        <w:rPr>
          <w:rFonts w:ascii="Arial" w:hAnsi="Arial" w:cs="Arial"/>
          <w:sz w:val="20"/>
          <w:szCs w:val="20"/>
        </w:rPr>
      </w:pPr>
      <w:r>
        <w:rPr>
          <w:rFonts w:ascii="Arial" w:hAnsi="Arial" w:cs="Arial"/>
          <w:sz w:val="20"/>
          <w:szCs w:val="20"/>
        </w:rPr>
        <w:t xml:space="preserve">The </w:t>
      </w:r>
      <w:r w:rsidR="00527DCD">
        <w:rPr>
          <w:rFonts w:ascii="Arial" w:hAnsi="Arial" w:cs="Arial"/>
          <w:sz w:val="20"/>
          <w:szCs w:val="20"/>
        </w:rPr>
        <w:t>2015</w:t>
      </w:r>
      <w:r>
        <w:rPr>
          <w:rFonts w:ascii="Arial" w:hAnsi="Arial" w:cs="Arial"/>
          <w:sz w:val="20"/>
          <w:szCs w:val="20"/>
        </w:rPr>
        <w:t xml:space="preserve"> Notice was made:</w:t>
      </w:r>
    </w:p>
    <w:p w14:paraId="7A2A49D3" w14:textId="5A988294" w:rsidR="00D63E8F" w:rsidRPr="00D63E8F" w:rsidRDefault="0066083B" w:rsidP="00D63E8F">
      <w:pPr>
        <w:pStyle w:val="ListParagraph"/>
        <w:numPr>
          <w:ilvl w:val="0"/>
          <w:numId w:val="11"/>
        </w:numPr>
        <w:spacing w:after="200"/>
        <w:rPr>
          <w:rFonts w:ascii="Arial" w:hAnsi="Arial" w:cs="Arial"/>
          <w:snapToGrid w:val="0"/>
          <w:sz w:val="20"/>
          <w:szCs w:val="20"/>
        </w:rPr>
      </w:pPr>
      <w:r>
        <w:rPr>
          <w:rFonts w:ascii="Arial" w:hAnsi="Arial" w:cs="Arial"/>
          <w:snapToGrid w:val="0"/>
          <w:sz w:val="20"/>
          <w:szCs w:val="20"/>
        </w:rPr>
        <w:t xml:space="preserve">to </w:t>
      </w:r>
      <w:r w:rsidR="00D63E8F" w:rsidRPr="00D63E8F">
        <w:rPr>
          <w:rFonts w:ascii="Arial" w:hAnsi="Arial" w:cs="Arial"/>
          <w:snapToGrid w:val="0"/>
          <w:sz w:val="20"/>
          <w:szCs w:val="20"/>
        </w:rPr>
        <w:t>create a simpler and more easily understood instrument (thereby minimising the risk of non-compliance</w:t>
      </w:r>
      <w:r w:rsidR="009F5D74">
        <w:rPr>
          <w:rFonts w:ascii="Arial" w:hAnsi="Arial" w:cs="Arial"/>
          <w:snapToGrid w:val="0"/>
          <w:sz w:val="20"/>
          <w:szCs w:val="20"/>
        </w:rPr>
        <w:t xml:space="preserve"> with, and improving the enforceability of, the 2015 Notice</w:t>
      </w:r>
      <w:r w:rsidR="00D63E8F" w:rsidRPr="00D63E8F">
        <w:rPr>
          <w:rFonts w:ascii="Arial" w:hAnsi="Arial" w:cs="Arial"/>
          <w:snapToGrid w:val="0"/>
          <w:sz w:val="20"/>
          <w:szCs w:val="20"/>
        </w:rPr>
        <w:t>)</w:t>
      </w:r>
      <w:r w:rsidR="00863537">
        <w:rPr>
          <w:rFonts w:ascii="Arial" w:hAnsi="Arial" w:cs="Arial"/>
          <w:snapToGrid w:val="0"/>
          <w:sz w:val="20"/>
          <w:szCs w:val="20"/>
        </w:rPr>
        <w:t>;</w:t>
      </w:r>
    </w:p>
    <w:p w14:paraId="7A2A49D4" w14:textId="06140A70" w:rsidR="00D63E8F" w:rsidRPr="00D63E8F" w:rsidRDefault="0066083B" w:rsidP="00D63E8F">
      <w:pPr>
        <w:pStyle w:val="ListParagraph"/>
        <w:numPr>
          <w:ilvl w:val="0"/>
          <w:numId w:val="11"/>
        </w:numPr>
        <w:spacing w:after="200"/>
        <w:rPr>
          <w:rFonts w:ascii="Arial" w:hAnsi="Arial" w:cs="Arial"/>
          <w:snapToGrid w:val="0"/>
          <w:sz w:val="20"/>
          <w:szCs w:val="20"/>
        </w:rPr>
      </w:pPr>
      <w:r>
        <w:rPr>
          <w:rFonts w:ascii="Arial" w:hAnsi="Arial" w:cs="Arial"/>
          <w:snapToGrid w:val="0"/>
          <w:sz w:val="20"/>
          <w:szCs w:val="20"/>
        </w:rPr>
        <w:t xml:space="preserve">to </w:t>
      </w:r>
      <w:r w:rsidR="004030E3">
        <w:rPr>
          <w:rFonts w:ascii="Arial" w:hAnsi="Arial" w:cs="Arial"/>
          <w:snapToGrid w:val="0"/>
          <w:sz w:val="20"/>
          <w:szCs w:val="20"/>
        </w:rPr>
        <w:t xml:space="preserve">ensure </w:t>
      </w:r>
      <w:r>
        <w:rPr>
          <w:rFonts w:ascii="Arial" w:hAnsi="Arial" w:cs="Arial"/>
          <w:snapToGrid w:val="0"/>
          <w:sz w:val="20"/>
          <w:szCs w:val="20"/>
        </w:rPr>
        <w:t xml:space="preserve">that </w:t>
      </w:r>
      <w:r w:rsidR="004030E3">
        <w:rPr>
          <w:rFonts w:ascii="Arial" w:hAnsi="Arial" w:cs="Arial"/>
          <w:snapToGrid w:val="0"/>
          <w:sz w:val="20"/>
          <w:szCs w:val="20"/>
        </w:rPr>
        <w:t>the</w:t>
      </w:r>
      <w:r w:rsidR="004030E3" w:rsidRPr="00D63E8F">
        <w:rPr>
          <w:rFonts w:ascii="Arial" w:hAnsi="Arial" w:cs="Arial"/>
          <w:snapToGrid w:val="0"/>
          <w:sz w:val="20"/>
          <w:szCs w:val="20"/>
        </w:rPr>
        <w:t xml:space="preserve"> </w:t>
      </w:r>
      <w:r w:rsidR="00D63E8F" w:rsidRPr="00D63E8F">
        <w:rPr>
          <w:rFonts w:ascii="Arial" w:hAnsi="Arial" w:cs="Arial"/>
          <w:snapToGrid w:val="0"/>
          <w:sz w:val="20"/>
          <w:szCs w:val="20"/>
        </w:rPr>
        <w:t xml:space="preserve">requirements </w:t>
      </w:r>
      <w:r w:rsidR="004030E3">
        <w:rPr>
          <w:rFonts w:ascii="Arial" w:hAnsi="Arial" w:cs="Arial"/>
          <w:snapToGrid w:val="0"/>
          <w:sz w:val="20"/>
          <w:szCs w:val="20"/>
        </w:rPr>
        <w:t xml:space="preserve">imposed </w:t>
      </w:r>
      <w:r w:rsidR="00D63E8F" w:rsidRPr="00D63E8F">
        <w:rPr>
          <w:rFonts w:ascii="Arial" w:hAnsi="Arial" w:cs="Arial"/>
          <w:snapToGrid w:val="0"/>
          <w:sz w:val="20"/>
          <w:szCs w:val="20"/>
        </w:rPr>
        <w:t xml:space="preserve">on suppliers are </w:t>
      </w:r>
      <w:r w:rsidRPr="00D63E8F">
        <w:rPr>
          <w:rFonts w:ascii="Arial" w:hAnsi="Arial" w:cs="Arial"/>
          <w:snapToGrid w:val="0"/>
          <w:sz w:val="20"/>
          <w:szCs w:val="20"/>
        </w:rPr>
        <w:t>proportiona</w:t>
      </w:r>
      <w:r>
        <w:rPr>
          <w:rFonts w:ascii="Arial" w:hAnsi="Arial" w:cs="Arial"/>
          <w:snapToGrid w:val="0"/>
          <w:sz w:val="20"/>
          <w:szCs w:val="20"/>
        </w:rPr>
        <w:t>l</w:t>
      </w:r>
      <w:r w:rsidRPr="00D63E8F">
        <w:rPr>
          <w:rFonts w:ascii="Arial" w:hAnsi="Arial" w:cs="Arial"/>
          <w:snapToGrid w:val="0"/>
          <w:sz w:val="20"/>
          <w:szCs w:val="20"/>
        </w:rPr>
        <w:t xml:space="preserve"> </w:t>
      </w:r>
      <w:r>
        <w:rPr>
          <w:rFonts w:ascii="Arial" w:hAnsi="Arial" w:cs="Arial"/>
          <w:snapToGrid w:val="0"/>
          <w:sz w:val="20"/>
          <w:szCs w:val="20"/>
        </w:rPr>
        <w:t>to</w:t>
      </w:r>
      <w:r w:rsidR="00D63E8F" w:rsidRPr="00D63E8F">
        <w:rPr>
          <w:rFonts w:ascii="Arial" w:hAnsi="Arial" w:cs="Arial"/>
          <w:snapToGrid w:val="0"/>
          <w:sz w:val="20"/>
          <w:szCs w:val="20"/>
        </w:rPr>
        <w:t xml:space="preserve"> the risks associated with the supply and connection of </w:t>
      </w:r>
      <w:r w:rsidR="004030E3">
        <w:rPr>
          <w:rFonts w:ascii="Arial" w:hAnsi="Arial" w:cs="Arial"/>
          <w:snapToGrid w:val="0"/>
          <w:sz w:val="20"/>
          <w:szCs w:val="20"/>
        </w:rPr>
        <w:t>non-compliant</w:t>
      </w:r>
      <w:r w:rsidR="004030E3" w:rsidRPr="00D63E8F">
        <w:rPr>
          <w:rFonts w:ascii="Arial" w:hAnsi="Arial" w:cs="Arial"/>
          <w:snapToGrid w:val="0"/>
          <w:sz w:val="20"/>
          <w:szCs w:val="20"/>
        </w:rPr>
        <w:t xml:space="preserve"> </w:t>
      </w:r>
      <w:r w:rsidR="00D63E8F" w:rsidRPr="00D63E8F">
        <w:rPr>
          <w:rFonts w:ascii="Arial" w:hAnsi="Arial" w:cs="Arial"/>
          <w:snapToGrid w:val="0"/>
          <w:sz w:val="20"/>
          <w:szCs w:val="20"/>
        </w:rPr>
        <w:t>CE and CC</w:t>
      </w:r>
      <w:r w:rsidR="00863537">
        <w:rPr>
          <w:rFonts w:ascii="Arial" w:hAnsi="Arial" w:cs="Arial"/>
          <w:snapToGrid w:val="0"/>
          <w:sz w:val="20"/>
          <w:szCs w:val="20"/>
        </w:rPr>
        <w:t>;</w:t>
      </w:r>
    </w:p>
    <w:p w14:paraId="7A2A49D5" w14:textId="3269833A" w:rsidR="00D63E8F" w:rsidRPr="00D63E8F" w:rsidRDefault="0066083B" w:rsidP="00D63E8F">
      <w:pPr>
        <w:pStyle w:val="ListParagraph"/>
        <w:numPr>
          <w:ilvl w:val="0"/>
          <w:numId w:val="11"/>
        </w:numPr>
        <w:spacing w:after="200"/>
        <w:rPr>
          <w:rFonts w:ascii="Arial" w:hAnsi="Arial" w:cs="Arial"/>
          <w:snapToGrid w:val="0"/>
          <w:sz w:val="20"/>
          <w:szCs w:val="20"/>
        </w:rPr>
      </w:pPr>
      <w:r>
        <w:rPr>
          <w:rFonts w:ascii="Arial" w:hAnsi="Arial" w:cs="Arial"/>
          <w:snapToGrid w:val="0"/>
          <w:sz w:val="20"/>
          <w:szCs w:val="20"/>
        </w:rPr>
        <w:t xml:space="preserve">to </w:t>
      </w:r>
      <w:r w:rsidR="00D63E8F" w:rsidRPr="00D63E8F">
        <w:rPr>
          <w:rFonts w:ascii="Arial" w:hAnsi="Arial" w:cs="Arial"/>
          <w:snapToGrid w:val="0"/>
          <w:sz w:val="20"/>
          <w:szCs w:val="20"/>
        </w:rPr>
        <w:t xml:space="preserve">reduce </w:t>
      </w:r>
      <w:r>
        <w:rPr>
          <w:rFonts w:ascii="Arial" w:hAnsi="Arial" w:cs="Arial"/>
          <w:snapToGrid w:val="0"/>
          <w:sz w:val="20"/>
          <w:szCs w:val="20"/>
        </w:rPr>
        <w:t xml:space="preserve">the administrative burden for industry by streamlining </w:t>
      </w:r>
      <w:r w:rsidR="00D63E8F" w:rsidRPr="00D63E8F">
        <w:rPr>
          <w:rFonts w:ascii="Arial" w:hAnsi="Arial" w:cs="Arial"/>
          <w:snapToGrid w:val="0"/>
          <w:sz w:val="20"/>
          <w:szCs w:val="20"/>
        </w:rPr>
        <w:t>record keeping obligations on suppliers</w:t>
      </w:r>
      <w:r>
        <w:rPr>
          <w:rFonts w:ascii="Arial" w:hAnsi="Arial" w:cs="Arial"/>
          <w:snapToGrid w:val="0"/>
          <w:sz w:val="20"/>
          <w:szCs w:val="20"/>
        </w:rPr>
        <w:t xml:space="preserve"> and enabling them to rely on overseas compliance documentation to meet local compliance </w:t>
      </w:r>
      <w:r w:rsidR="00EB355B">
        <w:rPr>
          <w:rFonts w:ascii="Arial" w:hAnsi="Arial" w:cs="Arial"/>
          <w:snapToGrid w:val="0"/>
          <w:sz w:val="20"/>
          <w:szCs w:val="20"/>
        </w:rPr>
        <w:t>requirements</w:t>
      </w:r>
      <w:r w:rsidR="00863537">
        <w:rPr>
          <w:rFonts w:ascii="Arial" w:hAnsi="Arial" w:cs="Arial"/>
          <w:snapToGrid w:val="0"/>
          <w:sz w:val="20"/>
          <w:szCs w:val="20"/>
        </w:rPr>
        <w:t>;</w:t>
      </w:r>
      <w:r>
        <w:rPr>
          <w:rFonts w:ascii="Arial" w:hAnsi="Arial" w:cs="Arial"/>
          <w:snapToGrid w:val="0"/>
          <w:sz w:val="20"/>
          <w:szCs w:val="20"/>
        </w:rPr>
        <w:t xml:space="preserve"> and</w:t>
      </w:r>
    </w:p>
    <w:p w14:paraId="7A2A49D7" w14:textId="5E3C383A" w:rsidR="00D63E8F" w:rsidRPr="00D63E8F" w:rsidRDefault="0066083B" w:rsidP="00D63E8F">
      <w:pPr>
        <w:pStyle w:val="ListParagraph"/>
        <w:numPr>
          <w:ilvl w:val="0"/>
          <w:numId w:val="11"/>
        </w:numPr>
        <w:spacing w:after="200"/>
        <w:rPr>
          <w:rFonts w:ascii="Arial" w:hAnsi="Arial" w:cs="Arial"/>
          <w:snapToGrid w:val="0"/>
          <w:sz w:val="20"/>
          <w:szCs w:val="20"/>
        </w:rPr>
      </w:pPr>
      <w:r>
        <w:rPr>
          <w:rFonts w:ascii="Arial" w:hAnsi="Arial" w:cs="Arial"/>
          <w:snapToGrid w:val="0"/>
          <w:sz w:val="20"/>
          <w:szCs w:val="20"/>
        </w:rPr>
        <w:t xml:space="preserve">to </w:t>
      </w:r>
      <w:r w:rsidR="00D63E8F" w:rsidRPr="00D63E8F">
        <w:rPr>
          <w:rFonts w:ascii="Arial" w:hAnsi="Arial" w:cs="Arial"/>
          <w:snapToGrid w:val="0"/>
          <w:sz w:val="20"/>
          <w:szCs w:val="20"/>
        </w:rPr>
        <w:t>facilitate the implementation of new technology in Australia</w:t>
      </w:r>
      <w:r w:rsidR="00E03BBF">
        <w:rPr>
          <w:rFonts w:ascii="Arial" w:hAnsi="Arial" w:cs="Arial"/>
          <w:snapToGrid w:val="0"/>
          <w:sz w:val="20"/>
          <w:szCs w:val="20"/>
        </w:rPr>
        <w:t>.</w:t>
      </w:r>
      <w:r w:rsidR="00D63E8F" w:rsidRPr="00D63E8F">
        <w:rPr>
          <w:rFonts w:ascii="Arial" w:hAnsi="Arial" w:cs="Arial"/>
          <w:snapToGrid w:val="0"/>
          <w:sz w:val="20"/>
          <w:szCs w:val="20"/>
        </w:rPr>
        <w:t xml:space="preserve"> </w:t>
      </w:r>
    </w:p>
    <w:p w14:paraId="7A2A49D8" w14:textId="4822AB5E" w:rsidR="00D63E8F" w:rsidRDefault="00A56136" w:rsidP="00BD55E9">
      <w:pPr>
        <w:spacing w:after="200" w:line="240" w:lineRule="atLeast"/>
        <w:jc w:val="both"/>
        <w:rPr>
          <w:rFonts w:ascii="Arial" w:hAnsi="Arial" w:cs="Arial"/>
          <w:sz w:val="20"/>
          <w:szCs w:val="20"/>
        </w:rPr>
      </w:pPr>
      <w:r>
        <w:rPr>
          <w:rFonts w:ascii="Arial" w:hAnsi="Arial" w:cs="Arial"/>
          <w:sz w:val="20"/>
          <w:szCs w:val="20"/>
        </w:rPr>
        <w:t xml:space="preserve">Though </w:t>
      </w:r>
      <w:r w:rsidR="009F5D74">
        <w:rPr>
          <w:rFonts w:ascii="Arial" w:hAnsi="Arial" w:cs="Arial"/>
          <w:sz w:val="20"/>
          <w:szCs w:val="20"/>
        </w:rPr>
        <w:t xml:space="preserve">there are </w:t>
      </w:r>
      <w:r w:rsidR="00403ED2">
        <w:rPr>
          <w:rFonts w:ascii="Arial" w:hAnsi="Arial" w:cs="Arial"/>
          <w:sz w:val="20"/>
          <w:szCs w:val="20"/>
        </w:rPr>
        <w:t xml:space="preserve">some </w:t>
      </w:r>
      <w:r>
        <w:rPr>
          <w:rFonts w:ascii="Arial" w:hAnsi="Arial" w:cs="Arial"/>
          <w:sz w:val="20"/>
          <w:szCs w:val="20"/>
        </w:rPr>
        <w:t xml:space="preserve">structural </w:t>
      </w:r>
      <w:r w:rsidR="009F5D74">
        <w:rPr>
          <w:rFonts w:ascii="Arial" w:hAnsi="Arial" w:cs="Arial"/>
          <w:sz w:val="20"/>
          <w:szCs w:val="20"/>
        </w:rPr>
        <w:t>differences between</w:t>
      </w:r>
      <w:r>
        <w:rPr>
          <w:rFonts w:ascii="Arial" w:hAnsi="Arial" w:cs="Arial"/>
          <w:sz w:val="20"/>
          <w:szCs w:val="20"/>
        </w:rPr>
        <w:t xml:space="preserve"> the </w:t>
      </w:r>
      <w:r w:rsidR="00527DCD">
        <w:rPr>
          <w:rFonts w:ascii="Arial" w:hAnsi="Arial" w:cs="Arial"/>
          <w:sz w:val="20"/>
          <w:szCs w:val="20"/>
        </w:rPr>
        <w:t>2015</w:t>
      </w:r>
      <w:r>
        <w:rPr>
          <w:rFonts w:ascii="Arial" w:hAnsi="Arial" w:cs="Arial"/>
          <w:sz w:val="20"/>
          <w:szCs w:val="20"/>
        </w:rPr>
        <w:t xml:space="preserve"> </w:t>
      </w:r>
      <w:r w:rsidR="00BF7014">
        <w:rPr>
          <w:rFonts w:ascii="Arial" w:hAnsi="Arial" w:cs="Arial"/>
          <w:sz w:val="20"/>
          <w:szCs w:val="20"/>
        </w:rPr>
        <w:t>N</w:t>
      </w:r>
      <w:r>
        <w:rPr>
          <w:rFonts w:ascii="Arial" w:hAnsi="Arial" w:cs="Arial"/>
          <w:sz w:val="20"/>
          <w:szCs w:val="20"/>
        </w:rPr>
        <w:t>otice</w:t>
      </w:r>
      <w:r w:rsidR="009F5D74">
        <w:rPr>
          <w:rFonts w:ascii="Arial" w:hAnsi="Arial" w:cs="Arial"/>
          <w:sz w:val="20"/>
          <w:szCs w:val="20"/>
        </w:rPr>
        <w:t xml:space="preserve"> and the 2001 Labelling Notice</w:t>
      </w:r>
      <w:r>
        <w:rPr>
          <w:rFonts w:ascii="Arial" w:hAnsi="Arial" w:cs="Arial"/>
          <w:sz w:val="20"/>
          <w:szCs w:val="20"/>
        </w:rPr>
        <w:t xml:space="preserve">, the overall regulatory obligations in relation to testing for compliance with </w:t>
      </w:r>
      <w:r w:rsidR="0065656D">
        <w:rPr>
          <w:rFonts w:ascii="Arial" w:hAnsi="Arial" w:cs="Arial"/>
          <w:sz w:val="20"/>
          <w:szCs w:val="20"/>
        </w:rPr>
        <w:t xml:space="preserve">technical </w:t>
      </w:r>
      <w:r>
        <w:rPr>
          <w:rFonts w:ascii="Arial" w:hAnsi="Arial" w:cs="Arial"/>
          <w:sz w:val="20"/>
          <w:szCs w:val="20"/>
        </w:rPr>
        <w:t>standards, labelling and record keeping have been</w:t>
      </w:r>
      <w:r w:rsidR="009F5D74">
        <w:rPr>
          <w:rFonts w:ascii="Arial" w:hAnsi="Arial" w:cs="Arial"/>
          <w:sz w:val="20"/>
          <w:szCs w:val="20"/>
        </w:rPr>
        <w:t xml:space="preserve"> largely</w:t>
      </w:r>
      <w:r>
        <w:rPr>
          <w:rFonts w:ascii="Arial" w:hAnsi="Arial" w:cs="Arial"/>
          <w:sz w:val="20"/>
          <w:szCs w:val="20"/>
        </w:rPr>
        <w:t xml:space="preserve"> maintained.</w:t>
      </w:r>
    </w:p>
    <w:p w14:paraId="2E85666A" w14:textId="6D186F28" w:rsidR="004C2DDD" w:rsidRDefault="00E67648">
      <w:pPr>
        <w:spacing w:after="200" w:line="240" w:lineRule="atLeast"/>
        <w:jc w:val="both"/>
        <w:rPr>
          <w:rFonts w:ascii="Arial" w:hAnsi="Arial" w:cs="Arial"/>
          <w:sz w:val="20"/>
          <w:szCs w:val="20"/>
        </w:rPr>
      </w:pPr>
      <w:r>
        <w:rPr>
          <w:rFonts w:ascii="Arial" w:hAnsi="Arial" w:cs="Arial"/>
          <w:sz w:val="20"/>
          <w:szCs w:val="20"/>
        </w:rPr>
        <w:t xml:space="preserve">The </w:t>
      </w:r>
      <w:r w:rsidR="00527DCD">
        <w:rPr>
          <w:rFonts w:ascii="Arial" w:hAnsi="Arial" w:cs="Arial"/>
          <w:sz w:val="20"/>
          <w:szCs w:val="20"/>
        </w:rPr>
        <w:t>2015</w:t>
      </w:r>
      <w:r>
        <w:rPr>
          <w:rFonts w:ascii="Arial" w:hAnsi="Arial" w:cs="Arial"/>
          <w:sz w:val="20"/>
          <w:szCs w:val="20"/>
        </w:rPr>
        <w:t xml:space="preserve"> Notice</w:t>
      </w:r>
      <w:r w:rsidDel="009F5D74">
        <w:rPr>
          <w:rFonts w:ascii="Arial" w:hAnsi="Arial" w:cs="Arial"/>
          <w:sz w:val="20"/>
          <w:szCs w:val="20"/>
        </w:rPr>
        <w:t xml:space="preserve"> </w:t>
      </w:r>
      <w:r w:rsidR="0065656D">
        <w:rPr>
          <w:rFonts w:ascii="Arial" w:hAnsi="Arial" w:cs="Arial"/>
          <w:sz w:val="20"/>
          <w:szCs w:val="20"/>
        </w:rPr>
        <w:t xml:space="preserve">contains </w:t>
      </w:r>
      <w:r>
        <w:rPr>
          <w:rFonts w:ascii="Arial" w:hAnsi="Arial" w:cs="Arial"/>
          <w:sz w:val="20"/>
          <w:szCs w:val="20"/>
        </w:rPr>
        <w:t>transitional arrangements in relation to</w:t>
      </w:r>
      <w:r w:rsidR="004C2DDD">
        <w:rPr>
          <w:rFonts w:ascii="Arial" w:hAnsi="Arial" w:cs="Arial"/>
          <w:sz w:val="20"/>
          <w:szCs w:val="20"/>
        </w:rPr>
        <w:t xml:space="preserve"> </w:t>
      </w:r>
      <w:r w:rsidR="004C2DDD" w:rsidRPr="00E67648">
        <w:rPr>
          <w:rFonts w:ascii="Arial" w:hAnsi="Arial" w:cs="Arial"/>
          <w:sz w:val="20"/>
          <w:szCs w:val="20"/>
        </w:rPr>
        <w:t xml:space="preserve">CE and CC that </w:t>
      </w:r>
      <w:r w:rsidR="0065656D">
        <w:rPr>
          <w:rFonts w:ascii="Arial" w:hAnsi="Arial" w:cs="Arial"/>
          <w:sz w:val="20"/>
          <w:szCs w:val="20"/>
        </w:rPr>
        <w:t xml:space="preserve">has been </w:t>
      </w:r>
      <w:r w:rsidR="004C2DDD" w:rsidRPr="00E67648">
        <w:rPr>
          <w:rFonts w:ascii="Arial" w:hAnsi="Arial" w:cs="Arial"/>
          <w:sz w:val="20"/>
          <w:szCs w:val="20"/>
        </w:rPr>
        <w:t>labelled in accordance with the 2001 Labelling Notice</w:t>
      </w:r>
      <w:r w:rsidR="0065656D">
        <w:rPr>
          <w:rFonts w:ascii="Arial" w:hAnsi="Arial" w:cs="Arial"/>
          <w:sz w:val="20"/>
          <w:szCs w:val="20"/>
        </w:rPr>
        <w:t xml:space="preserve"> </w:t>
      </w:r>
      <w:r w:rsidR="0065656D" w:rsidRPr="0065656D">
        <w:rPr>
          <w:rFonts w:ascii="Arial" w:hAnsi="Arial" w:cs="Arial"/>
          <w:sz w:val="20"/>
          <w:szCs w:val="20"/>
        </w:rPr>
        <w:t>not later than two years after the commencement of the 2015 Notice.</w:t>
      </w:r>
      <w:r w:rsidR="004C2DDD">
        <w:rPr>
          <w:rFonts w:ascii="Arial" w:hAnsi="Arial" w:cs="Arial"/>
          <w:sz w:val="20"/>
          <w:szCs w:val="20"/>
        </w:rPr>
        <w:t xml:space="preserve"> </w:t>
      </w:r>
    </w:p>
    <w:p w14:paraId="7A2A49DB" w14:textId="4089F7C1" w:rsidR="00E67648" w:rsidRPr="004C2DDD" w:rsidRDefault="004C2DDD">
      <w:pPr>
        <w:spacing w:after="200" w:line="240" w:lineRule="atLeast"/>
        <w:jc w:val="both"/>
        <w:rPr>
          <w:rFonts w:ascii="Arial" w:hAnsi="Arial" w:cs="Arial"/>
          <w:sz w:val="20"/>
          <w:szCs w:val="20"/>
        </w:rPr>
      </w:pPr>
      <w:r>
        <w:rPr>
          <w:rFonts w:ascii="Arial" w:hAnsi="Arial" w:cs="Arial"/>
          <w:sz w:val="20"/>
          <w:szCs w:val="20"/>
        </w:rPr>
        <w:t xml:space="preserve">If there are </w:t>
      </w:r>
      <w:r w:rsidR="0065656D">
        <w:rPr>
          <w:rFonts w:ascii="Arial" w:hAnsi="Arial" w:cs="Arial"/>
          <w:sz w:val="20"/>
          <w:szCs w:val="20"/>
        </w:rPr>
        <w:t xml:space="preserve">any </w:t>
      </w:r>
      <w:r w:rsidR="00FC094C" w:rsidRPr="004C2DDD">
        <w:rPr>
          <w:rFonts w:ascii="Arial" w:hAnsi="Arial" w:cs="Arial"/>
          <w:sz w:val="20"/>
          <w:szCs w:val="20"/>
        </w:rPr>
        <w:t>c</w:t>
      </w:r>
      <w:r w:rsidR="00E67648" w:rsidRPr="004C2DDD">
        <w:rPr>
          <w:rFonts w:ascii="Arial" w:hAnsi="Arial" w:cs="Arial"/>
          <w:sz w:val="20"/>
          <w:szCs w:val="20"/>
        </w:rPr>
        <w:t xml:space="preserve">hanges to an industry standard that </w:t>
      </w:r>
      <w:r w:rsidR="0065656D">
        <w:rPr>
          <w:rFonts w:ascii="Arial" w:hAnsi="Arial" w:cs="Arial"/>
          <w:sz w:val="20"/>
          <w:szCs w:val="20"/>
        </w:rPr>
        <w:t>has been incorporated into</w:t>
      </w:r>
      <w:r w:rsidR="00E67648" w:rsidRPr="004C2DDD">
        <w:rPr>
          <w:rFonts w:ascii="Arial" w:hAnsi="Arial" w:cs="Arial"/>
          <w:sz w:val="20"/>
          <w:szCs w:val="20"/>
        </w:rPr>
        <w:t xml:space="preserve"> an ACMA standard</w:t>
      </w:r>
      <w:r>
        <w:rPr>
          <w:rFonts w:ascii="Arial" w:hAnsi="Arial" w:cs="Arial"/>
          <w:sz w:val="20"/>
          <w:szCs w:val="20"/>
        </w:rPr>
        <w:t xml:space="preserve">, the ACMA standard </w:t>
      </w:r>
      <w:r w:rsidR="0065656D">
        <w:rPr>
          <w:rFonts w:ascii="Arial" w:hAnsi="Arial" w:cs="Arial"/>
          <w:sz w:val="20"/>
          <w:szCs w:val="20"/>
        </w:rPr>
        <w:t>contains</w:t>
      </w:r>
      <w:r>
        <w:rPr>
          <w:rFonts w:ascii="Arial" w:hAnsi="Arial" w:cs="Arial"/>
          <w:sz w:val="20"/>
          <w:szCs w:val="20"/>
        </w:rPr>
        <w:t xml:space="preserve"> </w:t>
      </w:r>
      <w:r w:rsidR="00A93D15">
        <w:rPr>
          <w:rFonts w:ascii="Arial" w:hAnsi="Arial" w:cs="Arial"/>
          <w:sz w:val="20"/>
          <w:szCs w:val="20"/>
        </w:rPr>
        <w:t xml:space="preserve">transitional provisions </w:t>
      </w:r>
      <w:r w:rsidR="0065656D">
        <w:rPr>
          <w:rFonts w:ascii="Arial" w:hAnsi="Arial" w:cs="Arial"/>
          <w:sz w:val="20"/>
          <w:szCs w:val="20"/>
        </w:rPr>
        <w:t>in relation to CE and CC that may be affected</w:t>
      </w:r>
      <w:r w:rsidR="00E67648" w:rsidRPr="004C2DDD">
        <w:rPr>
          <w:rFonts w:ascii="Arial" w:hAnsi="Arial" w:cs="Arial"/>
          <w:sz w:val="20"/>
          <w:szCs w:val="20"/>
        </w:rPr>
        <w:t>.</w:t>
      </w:r>
      <w:r w:rsidR="0065656D">
        <w:rPr>
          <w:rFonts w:ascii="Arial" w:hAnsi="Arial" w:cs="Arial"/>
          <w:sz w:val="20"/>
          <w:szCs w:val="20"/>
        </w:rPr>
        <w:t xml:space="preserve"> </w:t>
      </w:r>
      <w:r w:rsidR="0065656D" w:rsidRPr="0065656D">
        <w:rPr>
          <w:rFonts w:ascii="Arial" w:hAnsi="Arial" w:cs="Arial"/>
          <w:sz w:val="20"/>
          <w:szCs w:val="20"/>
        </w:rPr>
        <w:t xml:space="preserve">Those </w:t>
      </w:r>
      <w:r w:rsidR="00A93D15">
        <w:rPr>
          <w:rFonts w:ascii="Arial" w:hAnsi="Arial" w:cs="Arial"/>
          <w:sz w:val="20"/>
          <w:szCs w:val="20"/>
        </w:rPr>
        <w:t xml:space="preserve">transitional provisions will </w:t>
      </w:r>
      <w:r w:rsidR="0065656D" w:rsidRPr="0065656D">
        <w:rPr>
          <w:rFonts w:ascii="Arial" w:hAnsi="Arial" w:cs="Arial"/>
          <w:sz w:val="20"/>
          <w:szCs w:val="20"/>
        </w:rPr>
        <w:t>determine whether an item complies with the ACMA standard for the purposes of the 2015 Notice.</w:t>
      </w:r>
    </w:p>
    <w:p w14:paraId="7A2A49DC" w14:textId="77777777" w:rsidR="00165062" w:rsidRPr="007A2EA8" w:rsidRDefault="00165062" w:rsidP="003253ED">
      <w:pPr>
        <w:spacing w:after="200" w:line="240" w:lineRule="atLeast"/>
        <w:jc w:val="both"/>
        <w:rPr>
          <w:rFonts w:ascii="Arial" w:hAnsi="Arial" w:cs="Arial"/>
          <w:sz w:val="20"/>
          <w:szCs w:val="20"/>
        </w:rPr>
      </w:pPr>
      <w:r w:rsidRPr="007A2EA8">
        <w:rPr>
          <w:rFonts w:ascii="Arial" w:hAnsi="Arial" w:cs="Arial"/>
          <w:b/>
          <w:sz w:val="20"/>
          <w:szCs w:val="20"/>
        </w:rPr>
        <w:t>Consultation</w:t>
      </w:r>
    </w:p>
    <w:p w14:paraId="7A2A49DD" w14:textId="77777777" w:rsidR="00E67648" w:rsidRPr="007C008D" w:rsidRDefault="00E67648" w:rsidP="00E67648">
      <w:pPr>
        <w:spacing w:after="200" w:line="240" w:lineRule="atLeast"/>
        <w:jc w:val="both"/>
        <w:rPr>
          <w:rFonts w:ascii="Arial" w:hAnsi="Arial" w:cs="Arial"/>
          <w:sz w:val="20"/>
          <w:szCs w:val="20"/>
        </w:rPr>
      </w:pPr>
      <w:r w:rsidRPr="007C008D">
        <w:rPr>
          <w:rFonts w:ascii="Arial" w:hAnsi="Arial" w:cs="Arial"/>
          <w:sz w:val="20"/>
          <w:szCs w:val="20"/>
        </w:rPr>
        <w:t xml:space="preserve">Subsection 17(1) of the LIA requires that, before the ACMA makes a legislative instrument, it must be satisfied that any consultation that the ACMA considers is appropriate and reasonably practicable to undertake, has been undertaken. </w:t>
      </w:r>
    </w:p>
    <w:p w14:paraId="7A2A49DE" w14:textId="0D1FB7D9" w:rsidR="00E67648" w:rsidRPr="007C008D" w:rsidRDefault="00E67648" w:rsidP="00E67648">
      <w:pPr>
        <w:spacing w:after="200" w:line="240" w:lineRule="atLeast"/>
        <w:jc w:val="both"/>
        <w:rPr>
          <w:rFonts w:ascii="Arial" w:hAnsi="Arial" w:cs="Arial"/>
          <w:sz w:val="20"/>
          <w:szCs w:val="20"/>
        </w:rPr>
      </w:pPr>
      <w:r>
        <w:rPr>
          <w:rFonts w:ascii="Arial" w:hAnsi="Arial" w:cs="Arial"/>
          <w:sz w:val="20"/>
          <w:szCs w:val="20"/>
        </w:rPr>
        <w:t>T</w:t>
      </w:r>
      <w:r w:rsidRPr="007C008D">
        <w:rPr>
          <w:rFonts w:ascii="Arial" w:hAnsi="Arial" w:cs="Arial"/>
          <w:sz w:val="20"/>
          <w:szCs w:val="20"/>
        </w:rPr>
        <w:t xml:space="preserve">he ACMA conducted a public consultation process </w:t>
      </w:r>
      <w:r w:rsidR="0004432C">
        <w:rPr>
          <w:rFonts w:ascii="Arial" w:hAnsi="Arial" w:cs="Arial"/>
          <w:sz w:val="20"/>
          <w:szCs w:val="20"/>
        </w:rPr>
        <w:t xml:space="preserve">in relation to the review of arrangements established by the 2001 Labelling Notice </w:t>
      </w:r>
      <w:r>
        <w:rPr>
          <w:rFonts w:ascii="Arial" w:hAnsi="Arial" w:cs="Arial"/>
          <w:sz w:val="20"/>
          <w:szCs w:val="20"/>
        </w:rPr>
        <w:t>during</w:t>
      </w:r>
      <w:r w:rsidR="00B34FF7">
        <w:rPr>
          <w:rFonts w:ascii="Arial" w:hAnsi="Arial" w:cs="Arial"/>
          <w:sz w:val="20"/>
          <w:szCs w:val="20"/>
        </w:rPr>
        <w:t xml:space="preserve"> the period</w:t>
      </w:r>
      <w:r>
        <w:rPr>
          <w:rFonts w:ascii="Arial" w:hAnsi="Arial" w:cs="Arial"/>
          <w:sz w:val="20"/>
          <w:szCs w:val="20"/>
        </w:rPr>
        <w:t xml:space="preserve"> </w:t>
      </w:r>
      <w:r w:rsidR="004030E3" w:rsidRPr="005D302C">
        <w:rPr>
          <w:rFonts w:ascii="Arial" w:hAnsi="Arial" w:cs="Arial"/>
          <w:sz w:val="20"/>
          <w:szCs w:val="20"/>
        </w:rPr>
        <w:t xml:space="preserve">16 </w:t>
      </w:r>
      <w:r w:rsidRPr="005D302C">
        <w:rPr>
          <w:rFonts w:ascii="Arial" w:hAnsi="Arial" w:cs="Arial"/>
          <w:sz w:val="20"/>
          <w:szCs w:val="20"/>
        </w:rPr>
        <w:t xml:space="preserve">July </w:t>
      </w:r>
      <w:r w:rsidR="0004432C">
        <w:rPr>
          <w:rFonts w:ascii="Arial" w:hAnsi="Arial" w:cs="Arial"/>
          <w:sz w:val="20"/>
          <w:szCs w:val="20"/>
        </w:rPr>
        <w:t xml:space="preserve">2014 </w:t>
      </w:r>
      <w:r w:rsidR="00FC094C">
        <w:rPr>
          <w:rFonts w:ascii="Arial" w:hAnsi="Arial" w:cs="Arial"/>
          <w:sz w:val="20"/>
          <w:szCs w:val="20"/>
        </w:rPr>
        <w:t>to</w:t>
      </w:r>
      <w:r w:rsidRPr="005D302C">
        <w:rPr>
          <w:rFonts w:ascii="Arial" w:hAnsi="Arial" w:cs="Arial"/>
          <w:sz w:val="20"/>
          <w:szCs w:val="20"/>
        </w:rPr>
        <w:t xml:space="preserve"> </w:t>
      </w:r>
      <w:r w:rsidR="004030E3" w:rsidRPr="005D302C">
        <w:rPr>
          <w:rFonts w:ascii="Arial" w:hAnsi="Arial" w:cs="Arial"/>
          <w:sz w:val="20"/>
          <w:szCs w:val="20"/>
        </w:rPr>
        <w:t xml:space="preserve">19 </w:t>
      </w:r>
      <w:r w:rsidRPr="005D302C">
        <w:rPr>
          <w:rFonts w:ascii="Arial" w:hAnsi="Arial" w:cs="Arial"/>
          <w:sz w:val="20"/>
          <w:szCs w:val="20"/>
        </w:rPr>
        <w:t>September 2014</w:t>
      </w:r>
      <w:r w:rsidRPr="007C008D">
        <w:rPr>
          <w:rFonts w:ascii="Arial" w:hAnsi="Arial" w:cs="Arial"/>
          <w:sz w:val="20"/>
          <w:szCs w:val="20"/>
        </w:rPr>
        <w:t>. A consultation paper was published on the ACMA</w:t>
      </w:r>
      <w:r w:rsidR="00B34FF7">
        <w:rPr>
          <w:rFonts w:ascii="Arial" w:hAnsi="Arial" w:cs="Arial"/>
          <w:sz w:val="20"/>
          <w:szCs w:val="20"/>
        </w:rPr>
        <w:t>’s</w:t>
      </w:r>
      <w:r w:rsidRPr="007C008D">
        <w:rPr>
          <w:rFonts w:ascii="Arial" w:hAnsi="Arial" w:cs="Arial"/>
          <w:sz w:val="20"/>
          <w:szCs w:val="20"/>
        </w:rPr>
        <w:t xml:space="preserve"> website </w:t>
      </w:r>
      <w:r w:rsidR="0004432C">
        <w:rPr>
          <w:rFonts w:ascii="Arial" w:hAnsi="Arial" w:cs="Arial"/>
          <w:sz w:val="20"/>
          <w:szCs w:val="20"/>
        </w:rPr>
        <w:t>which described</w:t>
      </w:r>
      <w:r w:rsidR="00E71C79">
        <w:rPr>
          <w:rFonts w:ascii="Arial" w:hAnsi="Arial" w:cs="Arial"/>
          <w:sz w:val="20"/>
          <w:szCs w:val="20"/>
        </w:rPr>
        <w:t xml:space="preserve"> the </w:t>
      </w:r>
      <w:r w:rsidRPr="007C008D">
        <w:rPr>
          <w:rFonts w:ascii="Arial" w:hAnsi="Arial" w:cs="Arial"/>
          <w:sz w:val="20"/>
          <w:szCs w:val="20"/>
        </w:rPr>
        <w:t xml:space="preserve">sunsetting process </w:t>
      </w:r>
      <w:r w:rsidR="00982D58">
        <w:rPr>
          <w:rFonts w:ascii="Arial" w:hAnsi="Arial" w:cs="Arial"/>
          <w:sz w:val="20"/>
          <w:szCs w:val="20"/>
        </w:rPr>
        <w:t xml:space="preserve">in respect of the 2001 Labelling Notice </w:t>
      </w:r>
      <w:r w:rsidRPr="007C008D">
        <w:rPr>
          <w:rFonts w:ascii="Arial" w:hAnsi="Arial" w:cs="Arial"/>
          <w:sz w:val="20"/>
          <w:szCs w:val="20"/>
        </w:rPr>
        <w:t xml:space="preserve">and the ACMA’s view that the existing arrangements should be </w:t>
      </w:r>
      <w:r>
        <w:rPr>
          <w:rFonts w:ascii="Arial" w:hAnsi="Arial" w:cs="Arial"/>
          <w:sz w:val="20"/>
          <w:szCs w:val="20"/>
        </w:rPr>
        <w:t>continued</w:t>
      </w:r>
      <w:r w:rsidR="00982D58">
        <w:rPr>
          <w:rFonts w:ascii="Arial" w:hAnsi="Arial" w:cs="Arial"/>
          <w:sz w:val="20"/>
          <w:szCs w:val="20"/>
        </w:rPr>
        <w:t xml:space="preserve"> in </w:t>
      </w:r>
      <w:r w:rsidR="00EB355B">
        <w:rPr>
          <w:rFonts w:ascii="Arial" w:hAnsi="Arial" w:cs="Arial"/>
          <w:sz w:val="20"/>
          <w:szCs w:val="20"/>
        </w:rPr>
        <w:t>terms</w:t>
      </w:r>
      <w:r w:rsidR="00982D58">
        <w:rPr>
          <w:rFonts w:ascii="Arial" w:hAnsi="Arial" w:cs="Arial"/>
          <w:sz w:val="20"/>
          <w:szCs w:val="20"/>
        </w:rPr>
        <w:t xml:space="preserve"> of the draft version of the 2015 Notice (which was attached to that paper)</w:t>
      </w:r>
      <w:r w:rsidRPr="007C008D">
        <w:rPr>
          <w:rFonts w:ascii="Arial" w:hAnsi="Arial" w:cs="Arial"/>
          <w:sz w:val="20"/>
          <w:szCs w:val="20"/>
        </w:rPr>
        <w:t>. Interested parties were notified of the release of the consultation paper and invited to comment.</w:t>
      </w:r>
    </w:p>
    <w:p w14:paraId="0E0BF621" w14:textId="4233B2D1" w:rsidR="000E2628" w:rsidRDefault="00E67648" w:rsidP="00C911FE">
      <w:pPr>
        <w:spacing w:after="200" w:line="240" w:lineRule="atLeast"/>
        <w:jc w:val="both"/>
        <w:rPr>
          <w:rFonts w:ascii="Arial" w:hAnsi="Arial" w:cs="Arial"/>
          <w:b/>
          <w:sz w:val="20"/>
          <w:szCs w:val="20"/>
        </w:rPr>
      </w:pPr>
      <w:r w:rsidRPr="002955D2">
        <w:rPr>
          <w:rFonts w:ascii="Arial" w:hAnsi="Arial" w:cs="Arial"/>
          <w:sz w:val="20"/>
          <w:szCs w:val="20"/>
        </w:rPr>
        <w:lastRenderedPageBreak/>
        <w:t xml:space="preserve">The ACMA received </w:t>
      </w:r>
      <w:r w:rsidR="00B37C92">
        <w:rPr>
          <w:rFonts w:ascii="Arial" w:hAnsi="Arial" w:cs="Arial"/>
          <w:sz w:val="20"/>
          <w:szCs w:val="20"/>
        </w:rPr>
        <w:t>eight</w:t>
      </w:r>
      <w:r w:rsidRPr="002955D2">
        <w:rPr>
          <w:rFonts w:ascii="Arial" w:hAnsi="Arial" w:cs="Arial"/>
          <w:sz w:val="20"/>
          <w:szCs w:val="20"/>
        </w:rPr>
        <w:t xml:space="preserve"> submissions in response to the consultation paper and the</w:t>
      </w:r>
      <w:r>
        <w:rPr>
          <w:rFonts w:ascii="Arial" w:hAnsi="Arial" w:cs="Arial"/>
          <w:sz w:val="20"/>
          <w:szCs w:val="20"/>
        </w:rPr>
        <w:t xml:space="preserve"> issues raised in the submissions were </w:t>
      </w:r>
      <w:r w:rsidRPr="002955D2">
        <w:rPr>
          <w:rFonts w:ascii="Arial" w:hAnsi="Arial" w:cs="Arial"/>
          <w:sz w:val="20"/>
          <w:szCs w:val="20"/>
        </w:rPr>
        <w:t xml:space="preserve">considered </w:t>
      </w:r>
      <w:r w:rsidR="00982D58">
        <w:rPr>
          <w:rFonts w:ascii="Arial" w:hAnsi="Arial" w:cs="Arial"/>
          <w:sz w:val="20"/>
          <w:szCs w:val="20"/>
        </w:rPr>
        <w:t>by the ACMA and subsequently informed the content of</w:t>
      </w:r>
      <w:r w:rsidRPr="002955D2">
        <w:rPr>
          <w:rFonts w:ascii="Arial" w:hAnsi="Arial" w:cs="Arial"/>
          <w:sz w:val="20"/>
          <w:szCs w:val="20"/>
        </w:rPr>
        <w:t xml:space="preserve"> the </w:t>
      </w:r>
      <w:r w:rsidR="00527DCD">
        <w:rPr>
          <w:rFonts w:ascii="Arial" w:hAnsi="Arial" w:cs="Arial"/>
          <w:sz w:val="20"/>
          <w:szCs w:val="20"/>
        </w:rPr>
        <w:t>2015</w:t>
      </w:r>
      <w:r w:rsidR="00BF7014">
        <w:rPr>
          <w:rFonts w:ascii="Arial" w:hAnsi="Arial" w:cs="Arial"/>
          <w:sz w:val="20"/>
          <w:szCs w:val="20"/>
        </w:rPr>
        <w:t xml:space="preserve"> </w:t>
      </w:r>
      <w:r>
        <w:rPr>
          <w:rFonts w:ascii="Arial" w:hAnsi="Arial" w:cs="Arial"/>
          <w:sz w:val="20"/>
          <w:szCs w:val="20"/>
        </w:rPr>
        <w:t>Notice</w:t>
      </w:r>
      <w:r w:rsidRPr="002955D2">
        <w:rPr>
          <w:rFonts w:ascii="Arial" w:hAnsi="Arial" w:cs="Arial"/>
          <w:sz w:val="20"/>
          <w:szCs w:val="20"/>
        </w:rPr>
        <w:t>.</w:t>
      </w:r>
      <w:r>
        <w:rPr>
          <w:rFonts w:ascii="Arial" w:hAnsi="Arial" w:cs="Arial"/>
          <w:sz w:val="20"/>
          <w:szCs w:val="20"/>
        </w:rPr>
        <w:t xml:space="preserve"> </w:t>
      </w:r>
      <w:r w:rsidR="000E2628">
        <w:rPr>
          <w:rFonts w:ascii="Arial" w:hAnsi="Arial" w:cs="Arial"/>
          <w:b/>
          <w:sz w:val="20"/>
          <w:szCs w:val="20"/>
        </w:rPr>
        <w:br w:type="page"/>
      </w:r>
    </w:p>
    <w:p w14:paraId="7A2A49E0" w14:textId="01B8150B" w:rsidR="00252722" w:rsidRPr="00E71C79" w:rsidRDefault="001F1CA9" w:rsidP="003253ED">
      <w:pPr>
        <w:spacing w:after="200" w:line="240" w:lineRule="atLeast"/>
        <w:jc w:val="both"/>
        <w:rPr>
          <w:rFonts w:ascii="Arial" w:hAnsi="Arial" w:cs="Arial"/>
          <w:b/>
          <w:sz w:val="20"/>
          <w:szCs w:val="20"/>
        </w:rPr>
      </w:pPr>
      <w:r w:rsidRPr="00E71C79">
        <w:rPr>
          <w:rFonts w:ascii="Arial" w:hAnsi="Arial" w:cs="Arial"/>
          <w:b/>
          <w:sz w:val="20"/>
          <w:szCs w:val="20"/>
        </w:rPr>
        <w:lastRenderedPageBreak/>
        <w:t>Regulation impact</w:t>
      </w:r>
    </w:p>
    <w:p w14:paraId="7A2A49E1" w14:textId="21001079" w:rsidR="001A6FD9" w:rsidRPr="00E71C79" w:rsidRDefault="001F1CA9" w:rsidP="00E71C79">
      <w:pPr>
        <w:spacing w:after="200" w:line="240" w:lineRule="atLeast"/>
        <w:jc w:val="both"/>
        <w:rPr>
          <w:rFonts w:ascii="Arial" w:hAnsi="Arial" w:cs="Arial"/>
          <w:sz w:val="20"/>
          <w:szCs w:val="20"/>
        </w:rPr>
      </w:pPr>
      <w:r w:rsidRPr="00E71C79">
        <w:rPr>
          <w:rFonts w:ascii="Arial" w:hAnsi="Arial" w:cs="Arial"/>
          <w:sz w:val="20"/>
          <w:szCs w:val="20"/>
        </w:rPr>
        <w:t>The Office of Best Practice Regulation (OBPR) considered the matter and formed the opinion</w:t>
      </w:r>
      <w:r w:rsidR="00611AF4" w:rsidRPr="00E71C79">
        <w:rPr>
          <w:rFonts w:ascii="Arial" w:hAnsi="Arial" w:cs="Arial"/>
          <w:sz w:val="20"/>
          <w:szCs w:val="20"/>
        </w:rPr>
        <w:t xml:space="preserve"> that </w:t>
      </w:r>
      <w:r w:rsidR="00477CE5" w:rsidRPr="00E71C79">
        <w:rPr>
          <w:rFonts w:ascii="Arial" w:hAnsi="Arial" w:cs="Arial"/>
          <w:sz w:val="20"/>
          <w:szCs w:val="20"/>
        </w:rPr>
        <w:t>t</w:t>
      </w:r>
      <w:r w:rsidR="00611AF4" w:rsidRPr="00E71C79">
        <w:rPr>
          <w:rFonts w:ascii="Arial" w:hAnsi="Arial" w:cs="Arial"/>
          <w:sz w:val="20"/>
          <w:szCs w:val="20"/>
        </w:rPr>
        <w:t xml:space="preserve">he </w:t>
      </w:r>
      <w:r w:rsidR="00754EB3">
        <w:rPr>
          <w:rFonts w:ascii="Arial" w:hAnsi="Arial" w:cs="Arial"/>
          <w:sz w:val="20"/>
          <w:szCs w:val="20"/>
        </w:rPr>
        <w:t xml:space="preserve">making of </w:t>
      </w:r>
      <w:r w:rsidR="00477CE5" w:rsidRPr="00E71C79">
        <w:rPr>
          <w:rFonts w:ascii="Arial" w:hAnsi="Arial" w:cs="Arial"/>
          <w:sz w:val="20"/>
          <w:szCs w:val="20"/>
        </w:rPr>
        <w:t>t</w:t>
      </w:r>
      <w:r w:rsidR="00611AF4" w:rsidRPr="00E71C79">
        <w:rPr>
          <w:rFonts w:ascii="Arial" w:hAnsi="Arial" w:cs="Arial"/>
          <w:sz w:val="20"/>
          <w:szCs w:val="20"/>
        </w:rPr>
        <w:t xml:space="preserve">he </w:t>
      </w:r>
      <w:r w:rsidR="00527DCD">
        <w:rPr>
          <w:rFonts w:ascii="Arial" w:hAnsi="Arial" w:cs="Arial"/>
          <w:sz w:val="20"/>
          <w:szCs w:val="20"/>
        </w:rPr>
        <w:t>2015</w:t>
      </w:r>
      <w:r w:rsidR="00477CE5" w:rsidRPr="00E71C79">
        <w:rPr>
          <w:rFonts w:ascii="Arial" w:hAnsi="Arial" w:cs="Arial"/>
          <w:sz w:val="20"/>
          <w:szCs w:val="20"/>
        </w:rPr>
        <w:t xml:space="preserve"> </w:t>
      </w:r>
      <w:r w:rsidR="00611AF4" w:rsidRPr="00E71C79">
        <w:rPr>
          <w:rFonts w:ascii="Arial" w:hAnsi="Arial" w:cs="Arial"/>
          <w:sz w:val="20"/>
          <w:szCs w:val="20"/>
        </w:rPr>
        <w:t>Notice</w:t>
      </w:r>
      <w:r w:rsidR="00477CE5" w:rsidRPr="00E71C79">
        <w:rPr>
          <w:rFonts w:ascii="Arial" w:hAnsi="Arial" w:cs="Arial"/>
          <w:sz w:val="20"/>
          <w:szCs w:val="20"/>
        </w:rPr>
        <w:t xml:space="preserve"> </w:t>
      </w:r>
      <w:r w:rsidR="00754EB3">
        <w:rPr>
          <w:rFonts w:ascii="Arial" w:hAnsi="Arial" w:cs="Arial"/>
          <w:sz w:val="20"/>
          <w:szCs w:val="20"/>
        </w:rPr>
        <w:t>would not</w:t>
      </w:r>
      <w:r w:rsidR="00477CE5" w:rsidRPr="00E71C79">
        <w:rPr>
          <w:rFonts w:ascii="Arial" w:hAnsi="Arial" w:cs="Arial"/>
          <w:sz w:val="20"/>
          <w:szCs w:val="20"/>
        </w:rPr>
        <w:t xml:space="preserve"> substantially </w:t>
      </w:r>
      <w:r w:rsidR="00754EB3">
        <w:rPr>
          <w:rFonts w:ascii="Arial" w:hAnsi="Arial" w:cs="Arial"/>
          <w:sz w:val="20"/>
          <w:szCs w:val="20"/>
        </w:rPr>
        <w:t>change</w:t>
      </w:r>
      <w:r w:rsidR="00754EB3" w:rsidRPr="00E71C79">
        <w:rPr>
          <w:rFonts w:ascii="Arial" w:hAnsi="Arial" w:cs="Arial"/>
          <w:sz w:val="20"/>
          <w:szCs w:val="20"/>
        </w:rPr>
        <w:t xml:space="preserve"> </w:t>
      </w:r>
      <w:r w:rsidR="00477CE5" w:rsidRPr="00E71C79">
        <w:rPr>
          <w:rFonts w:ascii="Arial" w:hAnsi="Arial" w:cs="Arial"/>
          <w:sz w:val="20"/>
          <w:szCs w:val="20"/>
        </w:rPr>
        <w:t>the existing arrangements</w:t>
      </w:r>
      <w:r w:rsidRPr="00E71C79">
        <w:rPr>
          <w:rFonts w:ascii="Arial" w:hAnsi="Arial" w:cs="Arial"/>
          <w:sz w:val="20"/>
          <w:szCs w:val="20"/>
        </w:rPr>
        <w:t xml:space="preserve"> and </w:t>
      </w:r>
      <w:r w:rsidR="00754EB3">
        <w:rPr>
          <w:rFonts w:ascii="Arial" w:hAnsi="Arial" w:cs="Arial"/>
          <w:sz w:val="20"/>
          <w:szCs w:val="20"/>
        </w:rPr>
        <w:t xml:space="preserve">would </w:t>
      </w:r>
      <w:r w:rsidRPr="00E71C79">
        <w:rPr>
          <w:rFonts w:ascii="Arial" w:hAnsi="Arial" w:cs="Arial"/>
          <w:sz w:val="20"/>
          <w:szCs w:val="20"/>
        </w:rPr>
        <w:t xml:space="preserve">not impose any substantial additional regulatory burden on </w:t>
      </w:r>
      <w:r w:rsidR="005A665A" w:rsidRPr="00E71C79">
        <w:rPr>
          <w:rFonts w:ascii="Arial" w:hAnsi="Arial" w:cs="Arial"/>
          <w:sz w:val="20"/>
          <w:szCs w:val="20"/>
        </w:rPr>
        <w:t>businesses or the not-for-profit sector.</w:t>
      </w:r>
      <w:r w:rsidRPr="00E71C79">
        <w:rPr>
          <w:rFonts w:ascii="Arial" w:hAnsi="Arial" w:cs="Arial"/>
          <w:sz w:val="20"/>
          <w:szCs w:val="20"/>
        </w:rPr>
        <w:t xml:space="preserve"> Accordingly, OBPR advised that a </w:t>
      </w:r>
      <w:r w:rsidR="00A47598">
        <w:rPr>
          <w:rFonts w:ascii="Arial" w:hAnsi="Arial" w:cs="Arial"/>
          <w:sz w:val="20"/>
          <w:szCs w:val="20"/>
        </w:rPr>
        <w:t>R</w:t>
      </w:r>
      <w:r w:rsidR="00754EB3" w:rsidRPr="00E71C79">
        <w:rPr>
          <w:rFonts w:ascii="Arial" w:hAnsi="Arial" w:cs="Arial"/>
          <w:sz w:val="20"/>
          <w:szCs w:val="20"/>
        </w:rPr>
        <w:t>egulat</w:t>
      </w:r>
      <w:r w:rsidR="00754EB3">
        <w:rPr>
          <w:rFonts w:ascii="Arial" w:hAnsi="Arial" w:cs="Arial"/>
          <w:sz w:val="20"/>
          <w:szCs w:val="20"/>
        </w:rPr>
        <w:t>ion</w:t>
      </w:r>
      <w:r w:rsidR="00754EB3" w:rsidRPr="00E71C79">
        <w:rPr>
          <w:rFonts w:ascii="Arial" w:hAnsi="Arial" w:cs="Arial"/>
          <w:sz w:val="20"/>
          <w:szCs w:val="20"/>
        </w:rPr>
        <w:t xml:space="preserve"> </w:t>
      </w:r>
      <w:r w:rsidR="00A47598">
        <w:rPr>
          <w:rFonts w:ascii="Arial" w:hAnsi="Arial" w:cs="Arial"/>
          <w:sz w:val="20"/>
          <w:szCs w:val="20"/>
        </w:rPr>
        <w:t>I</w:t>
      </w:r>
      <w:r w:rsidRPr="00E71C79">
        <w:rPr>
          <w:rFonts w:ascii="Arial" w:hAnsi="Arial" w:cs="Arial"/>
          <w:sz w:val="20"/>
          <w:szCs w:val="20"/>
        </w:rPr>
        <w:t xml:space="preserve">mpact </w:t>
      </w:r>
      <w:r w:rsidR="00A47598">
        <w:rPr>
          <w:rFonts w:ascii="Arial" w:hAnsi="Arial" w:cs="Arial"/>
          <w:sz w:val="20"/>
          <w:szCs w:val="20"/>
        </w:rPr>
        <w:t>S</w:t>
      </w:r>
      <w:r w:rsidRPr="00E71C79">
        <w:rPr>
          <w:rFonts w:ascii="Arial" w:hAnsi="Arial" w:cs="Arial"/>
          <w:sz w:val="20"/>
          <w:szCs w:val="20"/>
        </w:rPr>
        <w:t>tatement was not required</w:t>
      </w:r>
      <w:r w:rsidR="00754EB3">
        <w:rPr>
          <w:rFonts w:ascii="Arial" w:hAnsi="Arial" w:cs="Arial"/>
          <w:sz w:val="20"/>
          <w:szCs w:val="20"/>
        </w:rPr>
        <w:t xml:space="preserve"> for the 2015 Notice</w:t>
      </w:r>
      <w:r w:rsidRPr="00E71C79">
        <w:rPr>
          <w:rFonts w:ascii="Arial" w:hAnsi="Arial" w:cs="Arial"/>
          <w:sz w:val="20"/>
          <w:szCs w:val="20"/>
        </w:rPr>
        <w:t>.  Th</w:t>
      </w:r>
      <w:r w:rsidR="005A665A" w:rsidRPr="00E71C79">
        <w:rPr>
          <w:rFonts w:ascii="Arial" w:hAnsi="Arial" w:cs="Arial"/>
          <w:sz w:val="20"/>
          <w:szCs w:val="20"/>
        </w:rPr>
        <w:t>e OBPR exemption number is 16677</w:t>
      </w:r>
      <w:r w:rsidRPr="00E71C79">
        <w:rPr>
          <w:rFonts w:ascii="Arial" w:hAnsi="Arial" w:cs="Arial"/>
          <w:sz w:val="20"/>
          <w:szCs w:val="20"/>
        </w:rPr>
        <w:t>.</w:t>
      </w:r>
    </w:p>
    <w:p w14:paraId="7A2A49E2" w14:textId="040D0CD1" w:rsidR="005A665A" w:rsidRPr="00E71C79" w:rsidRDefault="005A665A" w:rsidP="00E71C79">
      <w:pPr>
        <w:spacing w:after="200" w:line="240" w:lineRule="atLeast"/>
        <w:jc w:val="both"/>
        <w:rPr>
          <w:rFonts w:ascii="Arial" w:hAnsi="Arial" w:cs="Arial"/>
          <w:b/>
          <w:sz w:val="20"/>
          <w:szCs w:val="20"/>
        </w:rPr>
      </w:pPr>
      <w:r w:rsidRPr="00E71C79">
        <w:rPr>
          <w:rFonts w:ascii="Arial" w:hAnsi="Arial" w:cs="Arial"/>
          <w:b/>
          <w:sz w:val="20"/>
          <w:szCs w:val="20"/>
        </w:rPr>
        <w:t xml:space="preserve">Detailed description of the </w:t>
      </w:r>
      <w:r w:rsidR="00527DCD">
        <w:rPr>
          <w:rFonts w:ascii="Arial" w:hAnsi="Arial" w:cs="Arial"/>
          <w:b/>
          <w:sz w:val="20"/>
          <w:szCs w:val="20"/>
        </w:rPr>
        <w:t>2015</w:t>
      </w:r>
      <w:r w:rsidRPr="00E71C79">
        <w:rPr>
          <w:rFonts w:ascii="Arial" w:hAnsi="Arial" w:cs="Arial"/>
          <w:b/>
          <w:sz w:val="20"/>
          <w:szCs w:val="20"/>
        </w:rPr>
        <w:t xml:space="preserve"> Notice</w:t>
      </w:r>
      <w:r w:rsidRPr="00E71C79" w:rsidDel="004F629E">
        <w:rPr>
          <w:rFonts w:ascii="Arial" w:hAnsi="Arial" w:cs="Arial"/>
          <w:b/>
          <w:sz w:val="20"/>
          <w:szCs w:val="20"/>
        </w:rPr>
        <w:t xml:space="preserve"> </w:t>
      </w:r>
    </w:p>
    <w:p w14:paraId="7A2A49E3" w14:textId="493CE3B5" w:rsidR="005A665A" w:rsidRPr="007C008D" w:rsidRDefault="005A665A" w:rsidP="00E71C79">
      <w:pPr>
        <w:spacing w:after="200" w:line="240" w:lineRule="atLeast"/>
        <w:jc w:val="both"/>
        <w:rPr>
          <w:rFonts w:ascii="Arial" w:hAnsi="Arial" w:cs="Arial"/>
          <w:sz w:val="20"/>
          <w:szCs w:val="20"/>
        </w:rPr>
      </w:pPr>
      <w:r w:rsidRPr="007C008D">
        <w:rPr>
          <w:rFonts w:ascii="Arial" w:hAnsi="Arial" w:cs="Arial"/>
          <w:sz w:val="20"/>
          <w:szCs w:val="20"/>
        </w:rPr>
        <w:t xml:space="preserve">Details of the </w:t>
      </w:r>
      <w:r w:rsidR="00527DCD">
        <w:rPr>
          <w:rFonts w:ascii="Arial" w:hAnsi="Arial" w:cs="Arial"/>
          <w:sz w:val="20"/>
          <w:szCs w:val="20"/>
        </w:rPr>
        <w:t>2015</w:t>
      </w:r>
      <w:r>
        <w:rPr>
          <w:rFonts w:ascii="Arial" w:hAnsi="Arial" w:cs="Arial"/>
          <w:sz w:val="20"/>
          <w:szCs w:val="20"/>
        </w:rPr>
        <w:t xml:space="preserve"> Notice</w:t>
      </w:r>
      <w:r w:rsidRPr="007C008D" w:rsidDel="004F629E">
        <w:rPr>
          <w:rFonts w:ascii="Arial" w:hAnsi="Arial" w:cs="Arial"/>
          <w:sz w:val="20"/>
          <w:szCs w:val="20"/>
        </w:rPr>
        <w:t xml:space="preserve"> </w:t>
      </w:r>
      <w:r w:rsidRPr="007C008D">
        <w:rPr>
          <w:rFonts w:ascii="Arial" w:hAnsi="Arial" w:cs="Arial"/>
          <w:sz w:val="20"/>
          <w:szCs w:val="20"/>
        </w:rPr>
        <w:t>are in Attachment A.</w:t>
      </w:r>
    </w:p>
    <w:p w14:paraId="7A2A49E4" w14:textId="7956CBDE" w:rsidR="005A665A" w:rsidRPr="00E71C79" w:rsidRDefault="005A665A">
      <w:pPr>
        <w:keepNext/>
        <w:keepLines/>
        <w:spacing w:after="200" w:line="240" w:lineRule="atLeast"/>
        <w:jc w:val="both"/>
        <w:rPr>
          <w:rFonts w:ascii="Arial" w:hAnsi="Arial" w:cs="Arial"/>
          <w:b/>
          <w:sz w:val="20"/>
          <w:szCs w:val="20"/>
        </w:rPr>
      </w:pPr>
      <w:r w:rsidRPr="00E71C79">
        <w:rPr>
          <w:rFonts w:ascii="Arial" w:hAnsi="Arial" w:cs="Arial"/>
          <w:b/>
          <w:sz w:val="20"/>
          <w:szCs w:val="20"/>
        </w:rPr>
        <w:t xml:space="preserve">Documents </w:t>
      </w:r>
      <w:r w:rsidR="000E2628">
        <w:rPr>
          <w:rFonts w:ascii="Arial" w:hAnsi="Arial" w:cs="Arial"/>
          <w:b/>
          <w:sz w:val="20"/>
          <w:szCs w:val="20"/>
        </w:rPr>
        <w:t>i</w:t>
      </w:r>
      <w:r w:rsidRPr="00E71C79">
        <w:rPr>
          <w:rFonts w:ascii="Arial" w:hAnsi="Arial" w:cs="Arial"/>
          <w:b/>
          <w:sz w:val="20"/>
          <w:szCs w:val="20"/>
        </w:rPr>
        <w:t>ncorporated in th</w:t>
      </w:r>
      <w:r w:rsidR="00B34FF7">
        <w:rPr>
          <w:rFonts w:ascii="Arial" w:hAnsi="Arial" w:cs="Arial"/>
          <w:b/>
          <w:sz w:val="20"/>
          <w:szCs w:val="20"/>
        </w:rPr>
        <w:t>e 2015 Notice</w:t>
      </w:r>
      <w:r w:rsidRPr="00E71C79">
        <w:rPr>
          <w:rFonts w:ascii="Arial" w:hAnsi="Arial" w:cs="Arial"/>
          <w:b/>
          <w:sz w:val="20"/>
          <w:szCs w:val="20"/>
        </w:rPr>
        <w:t xml:space="preserve"> by </w:t>
      </w:r>
      <w:r w:rsidR="000E2628">
        <w:rPr>
          <w:rFonts w:ascii="Arial" w:hAnsi="Arial" w:cs="Arial"/>
          <w:b/>
          <w:sz w:val="20"/>
          <w:szCs w:val="20"/>
        </w:rPr>
        <w:t>r</w:t>
      </w:r>
      <w:r w:rsidRPr="00E71C79">
        <w:rPr>
          <w:rFonts w:ascii="Arial" w:hAnsi="Arial" w:cs="Arial"/>
          <w:b/>
          <w:sz w:val="20"/>
          <w:szCs w:val="20"/>
        </w:rPr>
        <w:t xml:space="preserve">eference </w:t>
      </w:r>
    </w:p>
    <w:p w14:paraId="7A2A49E5" w14:textId="6C64BB17" w:rsidR="005A665A" w:rsidRPr="00E71C79" w:rsidRDefault="005A665A">
      <w:pPr>
        <w:keepNext/>
        <w:keepLines/>
        <w:spacing w:after="200" w:line="240" w:lineRule="atLeast"/>
        <w:jc w:val="both"/>
        <w:rPr>
          <w:rFonts w:ascii="Arial" w:hAnsi="Arial" w:cs="Arial"/>
          <w:sz w:val="20"/>
          <w:szCs w:val="20"/>
        </w:rPr>
      </w:pPr>
      <w:r w:rsidRPr="00E71C79">
        <w:rPr>
          <w:rFonts w:ascii="Arial" w:hAnsi="Arial" w:cs="Arial"/>
          <w:sz w:val="20"/>
          <w:szCs w:val="20"/>
        </w:rPr>
        <w:t>The</w:t>
      </w:r>
      <w:r w:rsidRPr="00E71C79" w:rsidDel="00843F79">
        <w:rPr>
          <w:rFonts w:ascii="Arial" w:hAnsi="Arial" w:cs="Arial"/>
          <w:sz w:val="20"/>
          <w:szCs w:val="20"/>
        </w:rPr>
        <w:t xml:space="preserve"> </w:t>
      </w:r>
      <w:r w:rsidR="00843F79">
        <w:rPr>
          <w:rFonts w:ascii="Arial" w:hAnsi="Arial" w:cs="Arial"/>
          <w:sz w:val="20"/>
          <w:szCs w:val="20"/>
        </w:rPr>
        <w:t>2015 Notice</w:t>
      </w:r>
      <w:r w:rsidR="00843F79" w:rsidRPr="00E71C79">
        <w:rPr>
          <w:rFonts w:ascii="Arial" w:hAnsi="Arial" w:cs="Arial"/>
          <w:sz w:val="20"/>
          <w:szCs w:val="20"/>
        </w:rPr>
        <w:t xml:space="preserve"> </w:t>
      </w:r>
      <w:r w:rsidRPr="00E71C79">
        <w:rPr>
          <w:rFonts w:ascii="Arial" w:hAnsi="Arial" w:cs="Arial"/>
          <w:sz w:val="20"/>
          <w:szCs w:val="20"/>
        </w:rPr>
        <w:t>incorporates the following documents by reference:</w:t>
      </w:r>
    </w:p>
    <w:p w14:paraId="7A2A49E6" w14:textId="5F4EC588" w:rsidR="005A665A" w:rsidRDefault="005A665A" w:rsidP="00E71C79">
      <w:pPr>
        <w:pStyle w:val="ListParagraph"/>
        <w:numPr>
          <w:ilvl w:val="0"/>
          <w:numId w:val="15"/>
        </w:numPr>
        <w:spacing w:after="200" w:line="240" w:lineRule="atLeast"/>
        <w:jc w:val="both"/>
        <w:rPr>
          <w:rFonts w:ascii="Arial" w:hAnsi="Arial" w:cs="Arial"/>
          <w:i/>
          <w:sz w:val="20"/>
          <w:szCs w:val="20"/>
        </w:rPr>
      </w:pPr>
      <w:r w:rsidRPr="00790216">
        <w:rPr>
          <w:rFonts w:ascii="Arial" w:hAnsi="Arial" w:cs="Arial"/>
          <w:i/>
          <w:sz w:val="20"/>
          <w:szCs w:val="20"/>
        </w:rPr>
        <w:t>Telecommunications Act 1997</w:t>
      </w:r>
    </w:p>
    <w:p w14:paraId="21AC0529" w14:textId="3C06C50D" w:rsidR="00754EB3" w:rsidRDefault="00754EB3" w:rsidP="00E71C79">
      <w:pPr>
        <w:pStyle w:val="ListParagraph"/>
        <w:numPr>
          <w:ilvl w:val="0"/>
          <w:numId w:val="15"/>
        </w:numPr>
        <w:spacing w:after="200" w:line="240" w:lineRule="atLeast"/>
        <w:jc w:val="both"/>
        <w:rPr>
          <w:rFonts w:ascii="Arial" w:hAnsi="Arial" w:cs="Arial"/>
          <w:i/>
          <w:sz w:val="20"/>
          <w:szCs w:val="20"/>
        </w:rPr>
      </w:pPr>
      <w:r>
        <w:rPr>
          <w:rFonts w:ascii="Arial" w:hAnsi="Arial" w:cs="Arial"/>
          <w:i/>
          <w:sz w:val="20"/>
          <w:szCs w:val="20"/>
        </w:rPr>
        <w:t>A New Tax System (Australian Business Number) Act 1999</w:t>
      </w:r>
    </w:p>
    <w:p w14:paraId="5A7735B5" w14:textId="75152397" w:rsidR="00EE04B2" w:rsidRDefault="00EE04B2" w:rsidP="00E71C79">
      <w:pPr>
        <w:pStyle w:val="ListParagraph"/>
        <w:numPr>
          <w:ilvl w:val="0"/>
          <w:numId w:val="15"/>
        </w:numPr>
        <w:spacing w:after="200" w:line="240" w:lineRule="atLeast"/>
        <w:jc w:val="both"/>
        <w:rPr>
          <w:rFonts w:ascii="Arial" w:hAnsi="Arial" w:cs="Arial"/>
          <w:i/>
          <w:sz w:val="20"/>
          <w:szCs w:val="20"/>
        </w:rPr>
      </w:pPr>
      <w:r>
        <w:rPr>
          <w:rFonts w:ascii="Arial" w:hAnsi="Arial" w:cs="Arial"/>
          <w:i/>
          <w:sz w:val="20"/>
          <w:szCs w:val="20"/>
        </w:rPr>
        <w:t xml:space="preserve">Telecommunications Technical Standard </w:t>
      </w:r>
      <w:r w:rsidR="00A0040C">
        <w:rPr>
          <w:rFonts w:ascii="Arial" w:hAnsi="Arial" w:cs="Arial"/>
          <w:i/>
          <w:sz w:val="20"/>
          <w:szCs w:val="20"/>
        </w:rPr>
        <w:t>(Analogue Interworking and Non-interference Requirements for Customer Equipment for Connection to the Public Switched Telephone Network – AS/CA S002)</w:t>
      </w:r>
      <w:r w:rsidR="00E22C86">
        <w:rPr>
          <w:rFonts w:ascii="Arial" w:hAnsi="Arial" w:cs="Arial"/>
          <w:i/>
          <w:sz w:val="20"/>
          <w:szCs w:val="20"/>
        </w:rPr>
        <w:t xml:space="preserve"> </w:t>
      </w:r>
      <w:r w:rsidR="00527DCD">
        <w:rPr>
          <w:rFonts w:ascii="Arial" w:hAnsi="Arial" w:cs="Arial"/>
          <w:i/>
          <w:sz w:val="20"/>
          <w:szCs w:val="20"/>
        </w:rPr>
        <w:t>2015</w:t>
      </w:r>
    </w:p>
    <w:p w14:paraId="5C999522" w14:textId="29780AEE" w:rsidR="00A0040C" w:rsidRPr="00C8707B" w:rsidRDefault="00A0040C" w:rsidP="00E71C79">
      <w:pPr>
        <w:pStyle w:val="ListParagraph"/>
        <w:numPr>
          <w:ilvl w:val="0"/>
          <w:numId w:val="15"/>
        </w:numPr>
        <w:spacing w:after="200" w:line="240" w:lineRule="atLeast"/>
        <w:jc w:val="both"/>
        <w:rPr>
          <w:rFonts w:ascii="Arial" w:hAnsi="Arial" w:cs="Arial"/>
          <w:i/>
          <w:sz w:val="20"/>
          <w:szCs w:val="20"/>
        </w:rPr>
      </w:pPr>
      <w:r w:rsidRPr="00C8707B">
        <w:rPr>
          <w:rFonts w:ascii="Arial" w:hAnsi="Arial" w:cs="Arial"/>
          <w:i/>
          <w:sz w:val="20"/>
          <w:szCs w:val="20"/>
        </w:rPr>
        <w:t xml:space="preserve">Telecommunications Technical Standard (Requirements for Customer Access Equipment for connection to </w:t>
      </w:r>
      <w:r w:rsidR="00045013">
        <w:rPr>
          <w:rFonts w:ascii="Arial" w:hAnsi="Arial" w:cs="Arial"/>
          <w:i/>
          <w:sz w:val="20"/>
          <w:szCs w:val="20"/>
        </w:rPr>
        <w:t xml:space="preserve">a </w:t>
      </w:r>
      <w:r w:rsidRPr="00C8707B">
        <w:rPr>
          <w:rFonts w:ascii="Arial" w:hAnsi="Arial" w:cs="Arial"/>
          <w:i/>
          <w:sz w:val="20"/>
          <w:szCs w:val="20"/>
        </w:rPr>
        <w:t xml:space="preserve">Telecommunications Network – AS/CA S003) </w:t>
      </w:r>
      <w:r w:rsidR="00527DCD" w:rsidRPr="00C8707B">
        <w:rPr>
          <w:rFonts w:ascii="Arial" w:hAnsi="Arial" w:cs="Arial"/>
          <w:i/>
          <w:sz w:val="20"/>
          <w:szCs w:val="20"/>
        </w:rPr>
        <w:t>2015</w:t>
      </w:r>
    </w:p>
    <w:p w14:paraId="02573E5F" w14:textId="77508A1C" w:rsidR="005F34CD" w:rsidRDefault="00CE0BBA" w:rsidP="00E71C79">
      <w:pPr>
        <w:pStyle w:val="ListParagraph"/>
        <w:numPr>
          <w:ilvl w:val="0"/>
          <w:numId w:val="15"/>
        </w:numPr>
        <w:spacing w:after="200" w:line="240" w:lineRule="atLeast"/>
        <w:jc w:val="both"/>
        <w:rPr>
          <w:rFonts w:ascii="Arial" w:hAnsi="Arial" w:cs="Arial"/>
          <w:i/>
          <w:sz w:val="20"/>
          <w:szCs w:val="20"/>
        </w:rPr>
      </w:pPr>
      <w:r>
        <w:rPr>
          <w:rFonts w:ascii="Arial" w:hAnsi="Arial" w:cs="Arial"/>
          <w:i/>
          <w:sz w:val="20"/>
          <w:szCs w:val="20"/>
        </w:rPr>
        <w:t>Telecommunications Technical Standard (Voice performance requirements for Customer</w:t>
      </w:r>
      <w:r w:rsidR="005F34CD">
        <w:rPr>
          <w:rFonts w:ascii="Arial" w:hAnsi="Arial" w:cs="Arial"/>
          <w:i/>
          <w:sz w:val="20"/>
          <w:szCs w:val="20"/>
        </w:rPr>
        <w:t xml:space="preserve"> Equipment – AS/CA S004) </w:t>
      </w:r>
      <w:r w:rsidR="00527DCD">
        <w:rPr>
          <w:rFonts w:ascii="Arial" w:hAnsi="Arial" w:cs="Arial"/>
          <w:i/>
          <w:sz w:val="20"/>
          <w:szCs w:val="20"/>
        </w:rPr>
        <w:t>2015</w:t>
      </w:r>
    </w:p>
    <w:p w14:paraId="1609E977" w14:textId="4EF6EBD3" w:rsidR="00CE0BBA" w:rsidRPr="005F34CD" w:rsidRDefault="005F34CD" w:rsidP="00E71C79">
      <w:pPr>
        <w:pStyle w:val="ListParagraph"/>
        <w:numPr>
          <w:ilvl w:val="0"/>
          <w:numId w:val="15"/>
        </w:numPr>
        <w:spacing w:after="200" w:line="240" w:lineRule="atLeast"/>
        <w:jc w:val="both"/>
        <w:rPr>
          <w:rFonts w:ascii="Arial" w:hAnsi="Arial" w:cs="Arial"/>
          <w:i/>
          <w:sz w:val="20"/>
          <w:szCs w:val="20"/>
        </w:rPr>
      </w:pPr>
      <w:r w:rsidRPr="005F34CD">
        <w:rPr>
          <w:rFonts w:ascii="Arial" w:hAnsi="Arial" w:cs="Arial"/>
          <w:i/>
          <w:sz w:val="20"/>
          <w:szCs w:val="20"/>
        </w:rPr>
        <w:t xml:space="preserve">Telecommunications Technical Standard (Requirements for customer cabling products – AS/CA S008) </w:t>
      </w:r>
      <w:r w:rsidR="00527DCD">
        <w:rPr>
          <w:rFonts w:ascii="Arial" w:hAnsi="Arial" w:cs="Arial"/>
          <w:i/>
          <w:sz w:val="20"/>
          <w:szCs w:val="20"/>
        </w:rPr>
        <w:t>2015</w:t>
      </w:r>
    </w:p>
    <w:p w14:paraId="66FF9C05" w14:textId="165D7625" w:rsidR="005F34CD" w:rsidRPr="005F34CD" w:rsidRDefault="005F34CD" w:rsidP="00E71C79">
      <w:pPr>
        <w:pStyle w:val="ListParagraph"/>
        <w:numPr>
          <w:ilvl w:val="0"/>
          <w:numId w:val="15"/>
        </w:numPr>
        <w:spacing w:after="200" w:line="240" w:lineRule="atLeast"/>
        <w:jc w:val="both"/>
        <w:rPr>
          <w:rFonts w:ascii="Arial" w:hAnsi="Arial" w:cs="Arial"/>
          <w:i/>
          <w:sz w:val="20"/>
          <w:szCs w:val="20"/>
        </w:rPr>
      </w:pPr>
      <w:r w:rsidRPr="005F34CD">
        <w:rPr>
          <w:rFonts w:ascii="Arial" w:hAnsi="Arial" w:cs="Arial"/>
          <w:i/>
          <w:sz w:val="20"/>
          <w:szCs w:val="20"/>
        </w:rPr>
        <w:t xml:space="preserve">Telecommunications Technical Standard (Requirements for Customer Equipment with hierarchical digital interfaces – AS/ACIF S016) </w:t>
      </w:r>
      <w:r w:rsidR="00527DCD">
        <w:rPr>
          <w:rFonts w:ascii="Arial" w:hAnsi="Arial" w:cs="Arial"/>
          <w:i/>
          <w:sz w:val="20"/>
          <w:szCs w:val="20"/>
        </w:rPr>
        <w:t>2015</w:t>
      </w:r>
    </w:p>
    <w:p w14:paraId="6098E40D" w14:textId="4A642BC3" w:rsidR="005F34CD" w:rsidRPr="005F34CD" w:rsidRDefault="005F34CD" w:rsidP="00E71C79">
      <w:pPr>
        <w:pStyle w:val="ListParagraph"/>
        <w:numPr>
          <w:ilvl w:val="0"/>
          <w:numId w:val="15"/>
        </w:numPr>
        <w:spacing w:after="200" w:line="240" w:lineRule="atLeast"/>
        <w:jc w:val="both"/>
        <w:rPr>
          <w:rFonts w:ascii="Arial" w:hAnsi="Arial" w:cs="Arial"/>
          <w:i/>
          <w:sz w:val="20"/>
          <w:szCs w:val="20"/>
        </w:rPr>
      </w:pPr>
      <w:r w:rsidRPr="005F34CD">
        <w:rPr>
          <w:rFonts w:ascii="Arial" w:hAnsi="Arial" w:cs="Arial"/>
          <w:i/>
          <w:sz w:val="20"/>
          <w:szCs w:val="20"/>
        </w:rPr>
        <w:t xml:space="preserve">Telecommunications Technical Standard (Requirements for ISDN Basic Access Interface – AS/ACIF S031) </w:t>
      </w:r>
      <w:r w:rsidR="00527DCD">
        <w:rPr>
          <w:rFonts w:ascii="Arial" w:hAnsi="Arial" w:cs="Arial"/>
          <w:i/>
          <w:sz w:val="20"/>
          <w:szCs w:val="20"/>
        </w:rPr>
        <w:t>2015</w:t>
      </w:r>
    </w:p>
    <w:p w14:paraId="6A3188C8" w14:textId="2BE96147" w:rsidR="005F34CD" w:rsidRPr="005F34CD" w:rsidRDefault="005F34CD" w:rsidP="00E71C79">
      <w:pPr>
        <w:pStyle w:val="ListParagraph"/>
        <w:numPr>
          <w:ilvl w:val="0"/>
          <w:numId w:val="15"/>
        </w:numPr>
        <w:spacing w:after="200" w:line="240" w:lineRule="atLeast"/>
        <w:jc w:val="both"/>
        <w:rPr>
          <w:rFonts w:ascii="Arial" w:hAnsi="Arial" w:cs="Arial"/>
          <w:i/>
          <w:sz w:val="20"/>
          <w:szCs w:val="20"/>
        </w:rPr>
      </w:pPr>
      <w:r w:rsidRPr="005F34CD">
        <w:rPr>
          <w:rFonts w:ascii="Arial" w:hAnsi="Arial" w:cs="Arial"/>
          <w:i/>
          <w:sz w:val="20"/>
          <w:szCs w:val="20"/>
        </w:rPr>
        <w:t xml:space="preserve">Telecommunications Technical Standard (Requirements for ISDN Primary Rate Access Interface – AS/ACIF S038) </w:t>
      </w:r>
      <w:r w:rsidR="00527DCD">
        <w:rPr>
          <w:rFonts w:ascii="Arial" w:hAnsi="Arial" w:cs="Arial"/>
          <w:i/>
          <w:sz w:val="20"/>
          <w:szCs w:val="20"/>
        </w:rPr>
        <w:t>2015</w:t>
      </w:r>
    </w:p>
    <w:p w14:paraId="35E5FB04" w14:textId="0CA5416D" w:rsidR="005F34CD" w:rsidRPr="005F34CD" w:rsidRDefault="005F34CD" w:rsidP="00E71C79">
      <w:pPr>
        <w:pStyle w:val="ListParagraph"/>
        <w:numPr>
          <w:ilvl w:val="0"/>
          <w:numId w:val="15"/>
        </w:numPr>
        <w:spacing w:after="200" w:line="240" w:lineRule="atLeast"/>
        <w:jc w:val="both"/>
        <w:rPr>
          <w:rFonts w:ascii="Arial" w:hAnsi="Arial" w:cs="Arial"/>
          <w:i/>
          <w:sz w:val="20"/>
          <w:szCs w:val="20"/>
        </w:rPr>
      </w:pPr>
      <w:r w:rsidRPr="005F34CD">
        <w:rPr>
          <w:rFonts w:ascii="Arial" w:hAnsi="Arial" w:cs="Arial"/>
          <w:i/>
          <w:sz w:val="20"/>
          <w:szCs w:val="20"/>
        </w:rPr>
        <w:t xml:space="preserve">Telecommunications Technical Standard (Requirements for DSL Customer Equipment for connection to the Public Switched Telephone Network – AS/ACIF S041) </w:t>
      </w:r>
      <w:r w:rsidR="00527DCD">
        <w:rPr>
          <w:rFonts w:ascii="Arial" w:hAnsi="Arial" w:cs="Arial"/>
          <w:i/>
          <w:sz w:val="20"/>
          <w:szCs w:val="20"/>
        </w:rPr>
        <w:t>2015</w:t>
      </w:r>
    </w:p>
    <w:p w14:paraId="3D5E14E1" w14:textId="47034E04" w:rsidR="005F34CD" w:rsidRPr="005F34CD" w:rsidRDefault="005F34CD" w:rsidP="00E71C79">
      <w:pPr>
        <w:pStyle w:val="ListParagraph"/>
        <w:numPr>
          <w:ilvl w:val="0"/>
          <w:numId w:val="15"/>
        </w:numPr>
        <w:spacing w:after="200" w:line="240" w:lineRule="atLeast"/>
        <w:jc w:val="both"/>
        <w:rPr>
          <w:rFonts w:ascii="Arial" w:hAnsi="Arial" w:cs="Arial"/>
          <w:i/>
          <w:sz w:val="20"/>
          <w:szCs w:val="20"/>
        </w:rPr>
      </w:pPr>
      <w:r w:rsidRPr="005F34CD">
        <w:rPr>
          <w:rFonts w:ascii="Arial" w:hAnsi="Arial" w:cs="Arial"/>
          <w:i/>
          <w:sz w:val="20"/>
          <w:szCs w:val="20"/>
        </w:rPr>
        <w:t xml:space="preserve">Telecommunications Technical Standard (Requirements for </w:t>
      </w:r>
      <w:r w:rsidR="00403ED2">
        <w:rPr>
          <w:rFonts w:ascii="Arial" w:hAnsi="Arial" w:cs="Arial"/>
          <w:i/>
          <w:sz w:val="20"/>
          <w:szCs w:val="20"/>
        </w:rPr>
        <w:t>C</w:t>
      </w:r>
      <w:r w:rsidRPr="005F34CD">
        <w:rPr>
          <w:rFonts w:ascii="Arial" w:hAnsi="Arial" w:cs="Arial"/>
          <w:i/>
          <w:sz w:val="20"/>
          <w:szCs w:val="20"/>
        </w:rPr>
        <w:t xml:space="preserve">onnection to an </w:t>
      </w:r>
      <w:r w:rsidR="00754EB3">
        <w:rPr>
          <w:rFonts w:ascii="Arial" w:hAnsi="Arial" w:cs="Arial"/>
          <w:i/>
          <w:sz w:val="20"/>
          <w:szCs w:val="20"/>
        </w:rPr>
        <w:t>A</w:t>
      </w:r>
      <w:r w:rsidR="00754EB3" w:rsidRPr="005F34CD">
        <w:rPr>
          <w:rFonts w:ascii="Arial" w:hAnsi="Arial" w:cs="Arial"/>
          <w:i/>
          <w:sz w:val="20"/>
          <w:szCs w:val="20"/>
        </w:rPr>
        <w:t>ir</w:t>
      </w:r>
      <w:r w:rsidRPr="005F34CD">
        <w:rPr>
          <w:rFonts w:ascii="Arial" w:hAnsi="Arial" w:cs="Arial"/>
          <w:i/>
          <w:sz w:val="20"/>
          <w:szCs w:val="20"/>
        </w:rPr>
        <w:t xml:space="preserve"> </w:t>
      </w:r>
      <w:r w:rsidR="00754EB3">
        <w:rPr>
          <w:rFonts w:ascii="Arial" w:hAnsi="Arial" w:cs="Arial"/>
          <w:i/>
          <w:sz w:val="20"/>
          <w:szCs w:val="20"/>
        </w:rPr>
        <w:t>I</w:t>
      </w:r>
      <w:r w:rsidR="00754EB3" w:rsidRPr="005F34CD">
        <w:rPr>
          <w:rFonts w:ascii="Arial" w:hAnsi="Arial" w:cs="Arial"/>
          <w:i/>
          <w:sz w:val="20"/>
          <w:szCs w:val="20"/>
        </w:rPr>
        <w:t xml:space="preserve">nterface </w:t>
      </w:r>
      <w:r w:rsidRPr="005F34CD">
        <w:rPr>
          <w:rFonts w:ascii="Arial" w:hAnsi="Arial" w:cs="Arial"/>
          <w:i/>
          <w:sz w:val="20"/>
          <w:szCs w:val="20"/>
        </w:rPr>
        <w:t xml:space="preserve">of a Telecommunications Network – AS/CA S042) </w:t>
      </w:r>
      <w:r w:rsidR="00527DCD">
        <w:rPr>
          <w:rFonts w:ascii="Arial" w:hAnsi="Arial" w:cs="Arial"/>
          <w:i/>
          <w:sz w:val="20"/>
          <w:szCs w:val="20"/>
        </w:rPr>
        <w:t>2015</w:t>
      </w:r>
    </w:p>
    <w:p w14:paraId="6E72C7C5" w14:textId="0732ECC2" w:rsidR="005F34CD" w:rsidRDefault="005F34CD" w:rsidP="00E71C79">
      <w:pPr>
        <w:pStyle w:val="ListParagraph"/>
        <w:numPr>
          <w:ilvl w:val="0"/>
          <w:numId w:val="15"/>
        </w:numPr>
        <w:spacing w:after="200" w:line="240" w:lineRule="atLeast"/>
        <w:jc w:val="both"/>
        <w:rPr>
          <w:rFonts w:ascii="Arial" w:hAnsi="Arial" w:cs="Arial"/>
          <w:i/>
          <w:sz w:val="20"/>
          <w:szCs w:val="20"/>
        </w:rPr>
      </w:pPr>
      <w:r w:rsidRPr="005F34CD">
        <w:rPr>
          <w:rFonts w:ascii="Arial" w:hAnsi="Arial" w:cs="Arial"/>
          <w:i/>
          <w:sz w:val="20"/>
          <w:szCs w:val="20"/>
        </w:rPr>
        <w:t>Telecommunications Technical Standard (Requirements for Customer Equipment for connection to a metallic local loop interface of a Telecommunications Network – AS/</w:t>
      </w:r>
      <w:r w:rsidR="00045013">
        <w:rPr>
          <w:rFonts w:ascii="Arial" w:hAnsi="Arial" w:cs="Arial"/>
          <w:i/>
          <w:sz w:val="20"/>
          <w:szCs w:val="20"/>
        </w:rPr>
        <w:t>CA</w:t>
      </w:r>
      <w:r w:rsidRPr="005F34CD">
        <w:rPr>
          <w:rFonts w:ascii="Arial" w:hAnsi="Arial" w:cs="Arial"/>
          <w:i/>
          <w:sz w:val="20"/>
          <w:szCs w:val="20"/>
        </w:rPr>
        <w:t xml:space="preserve"> S043)</w:t>
      </w:r>
      <w:r w:rsidRPr="005F34CD" w:rsidDel="00F72668">
        <w:rPr>
          <w:rFonts w:ascii="Arial" w:hAnsi="Arial" w:cs="Arial"/>
          <w:i/>
          <w:sz w:val="20"/>
          <w:szCs w:val="20"/>
        </w:rPr>
        <w:t xml:space="preserve"> </w:t>
      </w:r>
      <w:r w:rsidR="00527DCD">
        <w:rPr>
          <w:rFonts w:ascii="Arial" w:hAnsi="Arial" w:cs="Arial"/>
          <w:i/>
          <w:sz w:val="20"/>
          <w:szCs w:val="20"/>
        </w:rPr>
        <w:t>2015</w:t>
      </w:r>
    </w:p>
    <w:p w14:paraId="5DD1ED69" w14:textId="202067B5" w:rsidR="00C8707B" w:rsidRPr="005F34CD" w:rsidRDefault="00C8707B" w:rsidP="00E71C79">
      <w:pPr>
        <w:pStyle w:val="ListParagraph"/>
        <w:numPr>
          <w:ilvl w:val="0"/>
          <w:numId w:val="15"/>
        </w:numPr>
        <w:spacing w:after="200" w:line="240" w:lineRule="atLeast"/>
        <w:jc w:val="both"/>
        <w:rPr>
          <w:rFonts w:ascii="Arial" w:hAnsi="Arial" w:cs="Arial"/>
          <w:i/>
          <w:sz w:val="20"/>
          <w:szCs w:val="20"/>
        </w:rPr>
      </w:pPr>
      <w:r>
        <w:rPr>
          <w:rFonts w:ascii="Arial" w:hAnsi="Arial" w:cs="Arial"/>
          <w:i/>
          <w:sz w:val="20"/>
          <w:szCs w:val="20"/>
        </w:rPr>
        <w:t>Telecommunications Technical Standard (Information Technology Equipment – Safety, Part 1: General Requirements – AS/NZS 60950.1:2011) 2011</w:t>
      </w:r>
    </w:p>
    <w:p w14:paraId="7B617DB8" w14:textId="051300AE" w:rsidR="005F34CD" w:rsidRPr="00790216" w:rsidRDefault="005F34CD" w:rsidP="00E71C79">
      <w:pPr>
        <w:pStyle w:val="ListParagraph"/>
        <w:numPr>
          <w:ilvl w:val="0"/>
          <w:numId w:val="15"/>
        </w:numPr>
        <w:spacing w:after="200" w:line="240" w:lineRule="atLeast"/>
        <w:jc w:val="both"/>
        <w:rPr>
          <w:rFonts w:ascii="Arial" w:hAnsi="Arial" w:cs="Arial"/>
          <w:i/>
          <w:sz w:val="20"/>
          <w:szCs w:val="20"/>
        </w:rPr>
      </w:pPr>
      <w:r w:rsidRPr="005F34CD">
        <w:rPr>
          <w:rFonts w:ascii="Arial" w:hAnsi="Arial" w:cs="Arial"/>
          <w:i/>
          <w:sz w:val="20"/>
          <w:szCs w:val="20"/>
        </w:rPr>
        <w:t xml:space="preserve">Telecommunications Technical Standard (Surge Protective Devices for Telecommunication Applications – AS/NZS 4117) </w:t>
      </w:r>
      <w:r w:rsidR="00527DCD">
        <w:rPr>
          <w:rFonts w:ascii="Arial" w:hAnsi="Arial" w:cs="Arial"/>
          <w:i/>
          <w:sz w:val="20"/>
          <w:szCs w:val="20"/>
        </w:rPr>
        <w:t>2015</w:t>
      </w:r>
    </w:p>
    <w:p w14:paraId="7A2A49E8" w14:textId="24AE8FAD" w:rsidR="005A665A" w:rsidRPr="00790216" w:rsidRDefault="005A665A" w:rsidP="00E71C79">
      <w:pPr>
        <w:spacing w:after="200" w:line="240" w:lineRule="atLeast"/>
        <w:jc w:val="both"/>
        <w:rPr>
          <w:rFonts w:ascii="Arial" w:hAnsi="Arial" w:cs="Arial"/>
          <w:sz w:val="20"/>
          <w:szCs w:val="20"/>
        </w:rPr>
      </w:pPr>
      <w:r w:rsidRPr="00E71C79">
        <w:rPr>
          <w:rFonts w:ascii="Arial" w:hAnsi="Arial" w:cs="Arial"/>
          <w:sz w:val="20"/>
          <w:szCs w:val="20"/>
        </w:rPr>
        <w:t xml:space="preserve">The Acts </w:t>
      </w:r>
      <w:r w:rsidR="00BF7014">
        <w:rPr>
          <w:rFonts w:ascii="Arial" w:hAnsi="Arial" w:cs="Arial"/>
          <w:sz w:val="20"/>
          <w:szCs w:val="20"/>
        </w:rPr>
        <w:t xml:space="preserve">and legislative instruments </w:t>
      </w:r>
      <w:r w:rsidRPr="00E71C79">
        <w:rPr>
          <w:rFonts w:ascii="Arial" w:hAnsi="Arial" w:cs="Arial"/>
          <w:sz w:val="20"/>
          <w:szCs w:val="20"/>
        </w:rPr>
        <w:t xml:space="preserve">mentioned above </w:t>
      </w:r>
      <w:r w:rsidR="00BB27E0" w:rsidRPr="00BB27E0">
        <w:rPr>
          <w:rFonts w:ascii="Arial" w:hAnsi="Arial" w:cs="Arial"/>
          <w:sz w:val="20"/>
          <w:szCs w:val="20"/>
        </w:rPr>
        <w:t>are incorporated as in force from time to time (in accordance with section 1</w:t>
      </w:r>
      <w:r w:rsidR="005E37F1">
        <w:rPr>
          <w:rFonts w:ascii="Arial" w:hAnsi="Arial" w:cs="Arial"/>
          <w:sz w:val="20"/>
          <w:szCs w:val="20"/>
        </w:rPr>
        <w:t>4</w:t>
      </w:r>
      <w:r w:rsidR="00BB27E0" w:rsidRPr="00BB27E0">
        <w:rPr>
          <w:rFonts w:ascii="Arial" w:hAnsi="Arial" w:cs="Arial"/>
          <w:sz w:val="20"/>
          <w:szCs w:val="20"/>
        </w:rPr>
        <w:t xml:space="preserve"> of the LIA and section 10 of the </w:t>
      </w:r>
      <w:r w:rsidR="009C797F">
        <w:rPr>
          <w:rFonts w:ascii="Arial" w:hAnsi="Arial" w:cs="Arial"/>
          <w:sz w:val="20"/>
          <w:szCs w:val="20"/>
        </w:rPr>
        <w:t>AIA</w:t>
      </w:r>
      <w:r w:rsidR="00BB27E0" w:rsidRPr="00BB27E0">
        <w:rPr>
          <w:rFonts w:ascii="Arial" w:hAnsi="Arial" w:cs="Arial"/>
          <w:sz w:val="20"/>
          <w:szCs w:val="20"/>
        </w:rPr>
        <w:t>) and can be found on the Federal Register of Legislative instruments at http://www.comlaw.gov.au.</w:t>
      </w:r>
    </w:p>
    <w:p w14:paraId="4A9A9771" w14:textId="4818A507" w:rsidR="00BB27E0" w:rsidRPr="00790216" w:rsidRDefault="00BB27E0" w:rsidP="00E71C79">
      <w:pPr>
        <w:spacing w:after="200" w:line="240" w:lineRule="atLeast"/>
        <w:jc w:val="both"/>
        <w:rPr>
          <w:rFonts w:ascii="Arial" w:hAnsi="Arial" w:cs="Arial"/>
          <w:sz w:val="20"/>
          <w:szCs w:val="20"/>
        </w:rPr>
      </w:pPr>
      <w:r w:rsidRPr="00BB27E0">
        <w:rPr>
          <w:rFonts w:ascii="Arial" w:hAnsi="Arial" w:cs="Arial"/>
          <w:sz w:val="20"/>
          <w:szCs w:val="20"/>
        </w:rPr>
        <w:t xml:space="preserve">The </w:t>
      </w:r>
      <w:r w:rsidR="00740FD0">
        <w:rPr>
          <w:rFonts w:ascii="Arial" w:hAnsi="Arial" w:cs="Arial"/>
          <w:sz w:val="20"/>
          <w:szCs w:val="20"/>
        </w:rPr>
        <w:t xml:space="preserve">2015 Notice also incorporates the Rules of Procedures of the IECEEC Certification Body (CB) Scheme, which are contained in the publication </w:t>
      </w:r>
      <w:r w:rsidR="00740FD0">
        <w:rPr>
          <w:rFonts w:ascii="Arial" w:hAnsi="Arial" w:cs="Arial"/>
          <w:i/>
          <w:sz w:val="20"/>
          <w:szCs w:val="20"/>
        </w:rPr>
        <w:t xml:space="preserve">IECEE 02 – Scheme of the IECEE for Mutual Recognition of Test Certificates for Electrotechnical Equipment and Components (CB Scheme) – Rules of </w:t>
      </w:r>
      <w:r w:rsidR="00740FD0" w:rsidRPr="00D73F22">
        <w:rPr>
          <w:rFonts w:ascii="Arial" w:hAnsi="Arial" w:cs="Arial"/>
          <w:sz w:val="20"/>
          <w:szCs w:val="20"/>
        </w:rPr>
        <w:t>Procedure</w:t>
      </w:r>
      <w:r w:rsidR="00740FD0">
        <w:rPr>
          <w:rFonts w:ascii="Arial" w:hAnsi="Arial" w:cs="Arial"/>
          <w:sz w:val="20"/>
          <w:szCs w:val="20"/>
        </w:rPr>
        <w:t xml:space="preserve">, published by the </w:t>
      </w:r>
      <w:r w:rsidR="00403ED2" w:rsidRPr="00740FD0">
        <w:rPr>
          <w:rFonts w:ascii="Arial" w:hAnsi="Arial" w:cs="Arial"/>
          <w:sz w:val="20"/>
          <w:szCs w:val="20"/>
        </w:rPr>
        <w:t>International</w:t>
      </w:r>
      <w:r w:rsidR="00403ED2">
        <w:rPr>
          <w:rFonts w:ascii="Arial" w:hAnsi="Arial" w:cs="Arial"/>
          <w:sz w:val="20"/>
          <w:szCs w:val="20"/>
        </w:rPr>
        <w:t xml:space="preserve"> Electrotechnical Commission (</w:t>
      </w:r>
      <w:r w:rsidR="00740FD0">
        <w:rPr>
          <w:rFonts w:ascii="Arial" w:hAnsi="Arial" w:cs="Arial"/>
          <w:sz w:val="20"/>
          <w:szCs w:val="20"/>
        </w:rPr>
        <w:t xml:space="preserve">the </w:t>
      </w:r>
      <w:r w:rsidRPr="00BB27E0">
        <w:rPr>
          <w:rFonts w:ascii="Arial" w:hAnsi="Arial" w:cs="Arial"/>
          <w:sz w:val="20"/>
          <w:szCs w:val="20"/>
        </w:rPr>
        <w:t>IECEE CB Rules of Procedure</w:t>
      </w:r>
      <w:r w:rsidR="00740FD0">
        <w:rPr>
          <w:rFonts w:ascii="Arial" w:hAnsi="Arial" w:cs="Arial"/>
          <w:sz w:val="20"/>
          <w:szCs w:val="20"/>
        </w:rPr>
        <w:t>).  The IECEE CB Rules of Procedure</w:t>
      </w:r>
      <w:r w:rsidRPr="00BB27E0">
        <w:rPr>
          <w:rFonts w:ascii="Arial" w:hAnsi="Arial" w:cs="Arial"/>
          <w:sz w:val="20"/>
          <w:szCs w:val="20"/>
        </w:rPr>
        <w:t xml:space="preserve"> are incorporated as in force from time to time (as </w:t>
      </w:r>
      <w:r w:rsidRPr="00BB27E0">
        <w:rPr>
          <w:rFonts w:ascii="Arial" w:hAnsi="Arial" w:cs="Arial"/>
          <w:sz w:val="20"/>
          <w:szCs w:val="20"/>
        </w:rPr>
        <w:lastRenderedPageBreak/>
        <w:t xml:space="preserve">permitted by section 589 of the Act) and can be found on the IECEE CB Scheme’s website at http://www.iecee.org/cbscheme/default.htm.  </w:t>
      </w:r>
    </w:p>
    <w:p w14:paraId="7A2A49E9" w14:textId="77777777" w:rsidR="005A665A" w:rsidRPr="00790216" w:rsidRDefault="005A665A" w:rsidP="00E71C79">
      <w:pPr>
        <w:spacing w:after="200" w:line="240" w:lineRule="atLeast"/>
        <w:jc w:val="both"/>
        <w:rPr>
          <w:rFonts w:ascii="Arial" w:hAnsi="Arial" w:cs="Arial"/>
          <w:b/>
          <w:sz w:val="20"/>
          <w:szCs w:val="20"/>
        </w:rPr>
      </w:pPr>
      <w:r w:rsidRPr="00790216">
        <w:rPr>
          <w:rFonts w:ascii="Arial" w:hAnsi="Arial" w:cs="Arial"/>
          <w:b/>
          <w:sz w:val="20"/>
          <w:szCs w:val="20"/>
        </w:rPr>
        <w:t>Statement of compatibility with human rights</w:t>
      </w:r>
    </w:p>
    <w:p w14:paraId="5826DEA0" w14:textId="03C8EBE5" w:rsidR="005D302C" w:rsidRPr="00D14EDB" w:rsidRDefault="005D302C" w:rsidP="00C911FE">
      <w:pPr>
        <w:pStyle w:val="ACMABodyText"/>
        <w:spacing w:before="0" w:after="200" w:line="240" w:lineRule="atLeast"/>
        <w:rPr>
          <w:rFonts w:ascii="Arial" w:hAnsi="Arial" w:cs="Arial"/>
          <w:sz w:val="20"/>
        </w:rPr>
      </w:pPr>
      <w:r w:rsidRPr="00D14EDB">
        <w:rPr>
          <w:rFonts w:ascii="Arial" w:hAnsi="Arial" w:cs="Arial"/>
          <w:sz w:val="20"/>
        </w:rPr>
        <w:t xml:space="preserve">Subsection 9(1) of the </w:t>
      </w:r>
      <w:r w:rsidRPr="00D14EDB">
        <w:rPr>
          <w:rFonts w:ascii="Arial" w:hAnsi="Arial" w:cs="Arial"/>
          <w:i/>
          <w:sz w:val="20"/>
        </w:rPr>
        <w:t>Human Rights (Parliamentary Scrutiny) Act 2011</w:t>
      </w:r>
      <w:r w:rsidRPr="00D14EDB">
        <w:rPr>
          <w:rFonts w:ascii="Arial" w:hAnsi="Arial" w:cs="Arial"/>
          <w:sz w:val="20"/>
        </w:rPr>
        <w:t xml:space="preserve"> requires the rule maker in relation to a legislative instrument to which section 42 (disallowance) of the</w:t>
      </w:r>
      <w:r w:rsidR="00B735AB">
        <w:rPr>
          <w:rFonts w:ascii="Arial" w:hAnsi="Arial" w:cs="Arial"/>
          <w:sz w:val="20"/>
        </w:rPr>
        <w:t xml:space="preserve"> LIA</w:t>
      </w:r>
      <w:r w:rsidRPr="00D14EDB" w:rsidDel="00B735AB">
        <w:rPr>
          <w:rFonts w:ascii="Arial" w:hAnsi="Arial" w:cs="Arial"/>
          <w:i/>
          <w:sz w:val="20"/>
        </w:rPr>
        <w:t xml:space="preserve"> </w:t>
      </w:r>
      <w:r w:rsidRPr="00D14EDB">
        <w:rPr>
          <w:rFonts w:ascii="Arial" w:hAnsi="Arial" w:cs="Arial"/>
          <w:sz w:val="20"/>
        </w:rPr>
        <w:t xml:space="preserve">applies to cause a statement of compatibility to be prepared in respect of that legislative instrument. </w:t>
      </w:r>
    </w:p>
    <w:p w14:paraId="66378CC5" w14:textId="6D7263F5" w:rsidR="005D302C" w:rsidRPr="00D14EDB" w:rsidRDefault="005D302C" w:rsidP="00C911FE">
      <w:pPr>
        <w:pStyle w:val="ACMABodyText"/>
        <w:spacing w:before="0" w:after="200" w:line="240" w:lineRule="atLeast"/>
        <w:rPr>
          <w:rFonts w:ascii="Arial" w:hAnsi="Arial" w:cs="Arial"/>
          <w:sz w:val="20"/>
        </w:rPr>
      </w:pPr>
      <w:r w:rsidRPr="00D14EDB">
        <w:rPr>
          <w:rFonts w:ascii="Arial" w:hAnsi="Arial" w:cs="Arial"/>
          <w:sz w:val="20"/>
        </w:rPr>
        <w:t>This statement has been</w:t>
      </w:r>
      <w:r w:rsidR="00D860C7">
        <w:rPr>
          <w:rFonts w:ascii="Arial" w:hAnsi="Arial" w:cs="Arial"/>
          <w:sz w:val="20"/>
        </w:rPr>
        <w:t xml:space="preserve"> prepared</w:t>
      </w:r>
      <w:r w:rsidRPr="00D14EDB">
        <w:rPr>
          <w:rFonts w:ascii="Arial" w:hAnsi="Arial" w:cs="Arial"/>
          <w:sz w:val="20"/>
        </w:rPr>
        <w:t xml:space="preserve"> </w:t>
      </w:r>
      <w:r w:rsidR="00CC6FEE">
        <w:rPr>
          <w:rFonts w:ascii="Arial" w:hAnsi="Arial" w:cs="Arial"/>
          <w:sz w:val="20"/>
        </w:rPr>
        <w:t>for that purpose</w:t>
      </w:r>
      <w:r w:rsidRPr="00D14EDB">
        <w:rPr>
          <w:rFonts w:ascii="Arial" w:hAnsi="Arial" w:cs="Arial"/>
          <w:sz w:val="20"/>
        </w:rPr>
        <w:t>.</w:t>
      </w:r>
    </w:p>
    <w:p w14:paraId="7C2049F0" w14:textId="137EF901" w:rsidR="005D302C" w:rsidRPr="00D14EDB" w:rsidRDefault="005D302C" w:rsidP="00C911FE">
      <w:pPr>
        <w:pStyle w:val="ACMABodyText"/>
        <w:spacing w:before="0" w:after="200" w:line="240" w:lineRule="atLeast"/>
        <w:rPr>
          <w:rFonts w:ascii="Arial" w:hAnsi="Arial" w:cs="Arial"/>
          <w:sz w:val="20"/>
        </w:rPr>
      </w:pPr>
      <w:r w:rsidRPr="00D14EDB">
        <w:rPr>
          <w:rFonts w:ascii="Arial" w:hAnsi="Arial" w:cs="Arial"/>
          <w:sz w:val="20"/>
        </w:rPr>
        <w:t xml:space="preserve">The </w:t>
      </w:r>
      <w:r w:rsidR="00527DCD">
        <w:rPr>
          <w:rFonts w:ascii="Arial" w:hAnsi="Arial" w:cs="Arial"/>
          <w:sz w:val="20"/>
        </w:rPr>
        <w:t>2015</w:t>
      </w:r>
      <w:r w:rsidRPr="00D14EDB">
        <w:rPr>
          <w:rFonts w:ascii="Arial" w:hAnsi="Arial" w:cs="Arial"/>
          <w:sz w:val="20"/>
        </w:rPr>
        <w:t xml:space="preserve"> Notice</w:t>
      </w:r>
      <w:r>
        <w:rPr>
          <w:rFonts w:ascii="Arial" w:hAnsi="Arial" w:cs="Arial"/>
          <w:sz w:val="20"/>
        </w:rPr>
        <w:t>,</w:t>
      </w:r>
      <w:r w:rsidRPr="00D14EDB">
        <w:rPr>
          <w:rFonts w:ascii="Arial" w:hAnsi="Arial" w:cs="Arial"/>
          <w:sz w:val="20"/>
        </w:rPr>
        <w:t xml:space="preserve"> which requires suppliers of particular </w:t>
      </w:r>
      <w:r>
        <w:rPr>
          <w:rFonts w:ascii="Arial" w:hAnsi="Arial" w:cs="Arial"/>
          <w:sz w:val="20"/>
        </w:rPr>
        <w:t>CE and CC</w:t>
      </w:r>
      <w:r w:rsidRPr="00D14EDB">
        <w:rPr>
          <w:rFonts w:ascii="Arial" w:hAnsi="Arial" w:cs="Arial"/>
          <w:sz w:val="20"/>
        </w:rPr>
        <w:t xml:space="preserve"> to comply with particular requirements before, and after</w:t>
      </w:r>
      <w:r w:rsidR="00B34FF7">
        <w:rPr>
          <w:rFonts w:ascii="Arial" w:hAnsi="Arial" w:cs="Arial"/>
          <w:sz w:val="20"/>
        </w:rPr>
        <w:t>,</w:t>
      </w:r>
      <w:r w:rsidRPr="00D14EDB">
        <w:rPr>
          <w:rFonts w:ascii="Arial" w:hAnsi="Arial" w:cs="Arial"/>
          <w:sz w:val="20"/>
        </w:rPr>
        <w:t xml:space="preserve"> supplying those </w:t>
      </w:r>
      <w:r w:rsidR="00E80AEF">
        <w:rPr>
          <w:rFonts w:ascii="Arial" w:hAnsi="Arial" w:cs="Arial"/>
          <w:sz w:val="20"/>
        </w:rPr>
        <w:t>item</w:t>
      </w:r>
      <w:r w:rsidR="00E80AEF" w:rsidRPr="00D14EDB">
        <w:rPr>
          <w:rFonts w:ascii="Arial" w:hAnsi="Arial" w:cs="Arial"/>
          <w:sz w:val="20"/>
        </w:rPr>
        <w:t>s</w:t>
      </w:r>
      <w:r w:rsidRPr="00D14EDB">
        <w:rPr>
          <w:rFonts w:ascii="Arial" w:hAnsi="Arial" w:cs="Arial"/>
          <w:sz w:val="20"/>
        </w:rPr>
        <w:t xml:space="preserve">, is compatible with the human rights and freedoms recognised or declared in the international instruments listed in section 3 of the </w:t>
      </w:r>
      <w:r w:rsidRPr="00D14EDB">
        <w:rPr>
          <w:rFonts w:ascii="Arial" w:hAnsi="Arial" w:cs="Arial"/>
          <w:i/>
          <w:sz w:val="20"/>
        </w:rPr>
        <w:t>Human Rights (Parliamentary Scrutiny) Act 2011</w:t>
      </w:r>
      <w:r w:rsidRPr="00D14EDB">
        <w:rPr>
          <w:rFonts w:ascii="Arial" w:hAnsi="Arial" w:cs="Arial"/>
          <w:sz w:val="20"/>
        </w:rPr>
        <w:t>.</w:t>
      </w:r>
    </w:p>
    <w:p w14:paraId="7A2A49EB" w14:textId="2104C631" w:rsidR="005A665A" w:rsidRPr="00E71C79" w:rsidRDefault="005D302C" w:rsidP="00E71C79">
      <w:pPr>
        <w:spacing w:after="200" w:line="240" w:lineRule="atLeast"/>
        <w:jc w:val="both"/>
        <w:rPr>
          <w:rFonts w:ascii="Arial" w:hAnsi="Arial" w:cs="Arial"/>
          <w:sz w:val="20"/>
          <w:szCs w:val="20"/>
        </w:rPr>
      </w:pPr>
      <w:r w:rsidRPr="00D14EDB">
        <w:rPr>
          <w:rFonts w:ascii="Arial" w:hAnsi="Arial" w:cs="Arial"/>
          <w:sz w:val="20"/>
        </w:rPr>
        <w:t xml:space="preserve">The ACMA has considered whether the </w:t>
      </w:r>
      <w:r w:rsidR="00527DCD">
        <w:rPr>
          <w:rFonts w:ascii="Arial" w:hAnsi="Arial" w:cs="Arial"/>
          <w:sz w:val="20"/>
        </w:rPr>
        <w:t>2015</w:t>
      </w:r>
      <w:r w:rsidRPr="00D14EDB">
        <w:rPr>
          <w:rFonts w:ascii="Arial" w:hAnsi="Arial" w:cs="Arial"/>
          <w:sz w:val="20"/>
        </w:rPr>
        <w:t xml:space="preserve"> Notice engages any applicable human rights or freedoms and has formed the view that it does not. The </w:t>
      </w:r>
      <w:r w:rsidR="00527DCD">
        <w:rPr>
          <w:rFonts w:ascii="Arial" w:hAnsi="Arial" w:cs="Arial"/>
          <w:sz w:val="20"/>
        </w:rPr>
        <w:t>2015</w:t>
      </w:r>
      <w:r w:rsidRPr="00D14EDB">
        <w:rPr>
          <w:rFonts w:ascii="Arial" w:hAnsi="Arial" w:cs="Arial"/>
          <w:sz w:val="20"/>
        </w:rPr>
        <w:t xml:space="preserve"> Notice is compatible with human rights as it does not raise any human rights issues.</w:t>
      </w:r>
      <w:r w:rsidR="005A665A" w:rsidRPr="00E71C79">
        <w:rPr>
          <w:rFonts w:ascii="Arial" w:hAnsi="Arial" w:cs="Arial"/>
          <w:sz w:val="20"/>
          <w:szCs w:val="20"/>
        </w:rPr>
        <w:br w:type="page"/>
      </w:r>
    </w:p>
    <w:p w14:paraId="7A2A49EC" w14:textId="77777777" w:rsidR="00A2703B" w:rsidRDefault="00E01C3C" w:rsidP="005C3D44">
      <w:pPr>
        <w:spacing w:before="80" w:after="120" w:line="240" w:lineRule="atLeast"/>
        <w:jc w:val="both"/>
        <w:rPr>
          <w:rFonts w:ascii="Arial" w:hAnsi="Arial" w:cs="Arial"/>
          <w:b/>
        </w:rPr>
      </w:pPr>
      <w:r w:rsidRPr="00E01C3C">
        <w:rPr>
          <w:rFonts w:ascii="Arial" w:hAnsi="Arial" w:cs="Arial"/>
          <w:b/>
        </w:rPr>
        <w:lastRenderedPageBreak/>
        <w:t>Attachment A</w:t>
      </w:r>
    </w:p>
    <w:p w14:paraId="7A2A49ED" w14:textId="77777777" w:rsidR="00E01C3C" w:rsidRPr="00E01C3C" w:rsidRDefault="00E01C3C" w:rsidP="005C3D44">
      <w:pPr>
        <w:spacing w:before="80" w:after="120" w:line="240" w:lineRule="atLeast"/>
        <w:jc w:val="both"/>
        <w:rPr>
          <w:rFonts w:ascii="Arial" w:hAnsi="Arial" w:cs="Arial"/>
          <w:b/>
        </w:rPr>
      </w:pPr>
    </w:p>
    <w:p w14:paraId="7A2A49EE" w14:textId="64D4DA86" w:rsidR="00446B6D" w:rsidRPr="007A2EA8" w:rsidRDefault="003E606C" w:rsidP="0075342B">
      <w:pPr>
        <w:spacing w:after="200" w:line="240" w:lineRule="atLeast"/>
        <w:jc w:val="center"/>
        <w:rPr>
          <w:rFonts w:ascii="Arial" w:hAnsi="Arial" w:cs="Arial"/>
          <w:b/>
          <w:sz w:val="20"/>
          <w:szCs w:val="20"/>
        </w:rPr>
      </w:pPr>
      <w:r>
        <w:rPr>
          <w:rFonts w:ascii="Arial" w:hAnsi="Arial" w:cs="Arial"/>
          <w:b/>
          <w:sz w:val="20"/>
          <w:szCs w:val="20"/>
        </w:rPr>
        <w:t xml:space="preserve">Notes on </w:t>
      </w:r>
      <w:r w:rsidR="00D860C7">
        <w:rPr>
          <w:rFonts w:ascii="Arial" w:hAnsi="Arial" w:cs="Arial"/>
          <w:b/>
          <w:sz w:val="20"/>
          <w:szCs w:val="20"/>
        </w:rPr>
        <w:t xml:space="preserve">provisions </w:t>
      </w:r>
      <w:r>
        <w:rPr>
          <w:rFonts w:ascii="Arial" w:hAnsi="Arial" w:cs="Arial"/>
          <w:b/>
          <w:sz w:val="20"/>
          <w:szCs w:val="20"/>
        </w:rPr>
        <w:t>of the 2015 Notice</w:t>
      </w:r>
    </w:p>
    <w:p w14:paraId="13C54FA7" w14:textId="62674957" w:rsidR="00C0603B" w:rsidRPr="00CB1A92" w:rsidRDefault="00C0603B" w:rsidP="00727B02">
      <w:pPr>
        <w:spacing w:before="80" w:after="120" w:line="280" w:lineRule="atLeast"/>
        <w:ind w:right="237"/>
        <w:jc w:val="center"/>
        <w:rPr>
          <w:rFonts w:ascii="Arial" w:hAnsi="Arial" w:cs="Arial"/>
          <w:b/>
        </w:rPr>
      </w:pPr>
      <w:r w:rsidRPr="00CB1A92">
        <w:rPr>
          <w:rFonts w:ascii="Arial" w:hAnsi="Arial" w:cs="Arial"/>
          <w:b/>
        </w:rPr>
        <w:t xml:space="preserve">Part 1 </w:t>
      </w:r>
      <w:r w:rsidR="000E2628">
        <w:rPr>
          <w:rFonts w:ascii="Arial" w:hAnsi="Arial" w:cs="Arial"/>
          <w:b/>
        </w:rPr>
        <w:t>–</w:t>
      </w:r>
      <w:r w:rsidRPr="00CB1A92">
        <w:rPr>
          <w:rFonts w:ascii="Arial" w:hAnsi="Arial" w:cs="Arial"/>
          <w:b/>
        </w:rPr>
        <w:t xml:space="preserve"> Preliminary</w:t>
      </w:r>
    </w:p>
    <w:p w14:paraId="7A2A49EF" w14:textId="0110A328" w:rsidR="007A15F7" w:rsidRPr="007A2EA8" w:rsidRDefault="007A15F7" w:rsidP="00C0603B">
      <w:pPr>
        <w:spacing w:before="240" w:after="80" w:line="240" w:lineRule="atLeast"/>
        <w:jc w:val="both"/>
        <w:rPr>
          <w:rFonts w:ascii="Arial" w:hAnsi="Arial" w:cs="Arial"/>
          <w:b/>
          <w:sz w:val="20"/>
          <w:szCs w:val="20"/>
        </w:rPr>
      </w:pPr>
      <w:r w:rsidRPr="007A2EA8">
        <w:rPr>
          <w:rFonts w:ascii="Arial" w:hAnsi="Arial" w:cs="Arial"/>
          <w:b/>
          <w:sz w:val="20"/>
          <w:szCs w:val="20"/>
        </w:rPr>
        <w:t>Section 1</w:t>
      </w:r>
      <w:r w:rsidRPr="007A2EA8">
        <w:rPr>
          <w:rFonts w:ascii="Arial" w:hAnsi="Arial" w:cs="Arial"/>
          <w:b/>
          <w:sz w:val="20"/>
          <w:szCs w:val="20"/>
        </w:rPr>
        <w:tab/>
        <w:t xml:space="preserve">Name of </w:t>
      </w:r>
      <w:r w:rsidR="00C0603B">
        <w:rPr>
          <w:rFonts w:ascii="Arial" w:hAnsi="Arial" w:cs="Arial"/>
          <w:b/>
          <w:sz w:val="20"/>
          <w:szCs w:val="20"/>
        </w:rPr>
        <w:t>Instrument</w:t>
      </w:r>
    </w:p>
    <w:p w14:paraId="7A2A49F0" w14:textId="736167E9" w:rsidR="007A15F7" w:rsidRPr="00E80AEF" w:rsidRDefault="007A15F7" w:rsidP="0075342B">
      <w:pPr>
        <w:spacing w:after="200" w:line="240" w:lineRule="atLeast"/>
        <w:jc w:val="both"/>
        <w:rPr>
          <w:rFonts w:ascii="Arial" w:hAnsi="Arial" w:cs="Arial"/>
          <w:sz w:val="20"/>
          <w:szCs w:val="20"/>
        </w:rPr>
      </w:pPr>
      <w:r w:rsidRPr="00E80AEF">
        <w:rPr>
          <w:rFonts w:ascii="Arial" w:hAnsi="Arial" w:cs="Arial"/>
          <w:sz w:val="20"/>
          <w:szCs w:val="20"/>
        </w:rPr>
        <w:t>Section 1 provides that the name of the</w:t>
      </w:r>
      <w:r w:rsidR="008213EA">
        <w:rPr>
          <w:rFonts w:ascii="Arial" w:hAnsi="Arial" w:cs="Arial"/>
          <w:sz w:val="20"/>
          <w:szCs w:val="20"/>
        </w:rPr>
        <w:t xml:space="preserve"> 2015</w:t>
      </w:r>
      <w:r w:rsidRPr="00E80AEF">
        <w:rPr>
          <w:rFonts w:ascii="Arial" w:hAnsi="Arial" w:cs="Arial"/>
          <w:sz w:val="20"/>
          <w:szCs w:val="20"/>
        </w:rPr>
        <w:t xml:space="preserve"> Notice is the </w:t>
      </w:r>
      <w:r w:rsidR="004030E3" w:rsidRPr="00E80AEF">
        <w:rPr>
          <w:rFonts w:ascii="Arial" w:hAnsi="Arial" w:cs="Arial"/>
          <w:i/>
          <w:sz w:val="20"/>
          <w:szCs w:val="20"/>
        </w:rPr>
        <w:t xml:space="preserve">Telecommunications (Labelling Notice for Customer Equipment and Customer Cabling) Instrument </w:t>
      </w:r>
      <w:r w:rsidR="00527DCD">
        <w:rPr>
          <w:rFonts w:ascii="Arial" w:hAnsi="Arial" w:cs="Arial"/>
          <w:i/>
          <w:sz w:val="20"/>
          <w:szCs w:val="20"/>
        </w:rPr>
        <w:t>2015</w:t>
      </w:r>
      <w:r w:rsidR="00BC0E23" w:rsidRPr="00E80AEF">
        <w:rPr>
          <w:rFonts w:ascii="Arial" w:hAnsi="Arial" w:cs="Arial"/>
          <w:sz w:val="20"/>
          <w:szCs w:val="20"/>
        </w:rPr>
        <w:t>.</w:t>
      </w:r>
    </w:p>
    <w:p w14:paraId="7A2A49F1" w14:textId="77777777" w:rsidR="00F41577" w:rsidRPr="007A2EA8" w:rsidRDefault="00F41577" w:rsidP="00C0603B">
      <w:pPr>
        <w:spacing w:before="240" w:after="80" w:line="240" w:lineRule="atLeast"/>
        <w:jc w:val="both"/>
        <w:rPr>
          <w:rFonts w:ascii="Arial" w:hAnsi="Arial" w:cs="Arial"/>
          <w:b/>
          <w:sz w:val="20"/>
          <w:szCs w:val="20"/>
        </w:rPr>
      </w:pPr>
      <w:r w:rsidRPr="007A2EA8">
        <w:rPr>
          <w:rFonts w:ascii="Arial" w:hAnsi="Arial" w:cs="Arial"/>
          <w:b/>
          <w:sz w:val="20"/>
          <w:szCs w:val="20"/>
        </w:rPr>
        <w:t>Section 2</w:t>
      </w:r>
      <w:r w:rsidRPr="007A2EA8">
        <w:rPr>
          <w:rFonts w:ascii="Arial" w:hAnsi="Arial" w:cs="Arial"/>
          <w:b/>
          <w:sz w:val="20"/>
          <w:szCs w:val="20"/>
        </w:rPr>
        <w:tab/>
        <w:t xml:space="preserve">Commencement </w:t>
      </w:r>
    </w:p>
    <w:p w14:paraId="7A2A49F2" w14:textId="5AE26FE5" w:rsidR="00F41577" w:rsidRPr="007A2EA8" w:rsidRDefault="00F41577" w:rsidP="0075342B">
      <w:pPr>
        <w:spacing w:after="200" w:line="240" w:lineRule="atLeast"/>
        <w:jc w:val="both"/>
        <w:rPr>
          <w:rFonts w:ascii="Arial" w:hAnsi="Arial" w:cs="Arial"/>
          <w:sz w:val="20"/>
          <w:szCs w:val="20"/>
        </w:rPr>
      </w:pPr>
      <w:r w:rsidRPr="007A2EA8">
        <w:rPr>
          <w:rFonts w:ascii="Arial" w:hAnsi="Arial" w:cs="Arial"/>
          <w:sz w:val="20"/>
          <w:szCs w:val="20"/>
        </w:rPr>
        <w:t xml:space="preserve">Section 2 provides that the </w:t>
      </w:r>
      <w:r w:rsidR="00527DCD">
        <w:rPr>
          <w:rFonts w:ascii="Arial" w:hAnsi="Arial" w:cs="Arial"/>
          <w:sz w:val="20"/>
          <w:szCs w:val="20"/>
        </w:rPr>
        <w:t>2015</w:t>
      </w:r>
      <w:r w:rsidRPr="007A2EA8">
        <w:rPr>
          <w:rFonts w:ascii="Arial" w:hAnsi="Arial" w:cs="Arial"/>
          <w:sz w:val="20"/>
          <w:szCs w:val="20"/>
        </w:rPr>
        <w:t xml:space="preserve"> Notice commences on the </w:t>
      </w:r>
      <w:r w:rsidR="00BC0E23" w:rsidRPr="007A2EA8">
        <w:rPr>
          <w:rFonts w:ascii="Arial" w:hAnsi="Arial" w:cs="Arial"/>
          <w:sz w:val="20"/>
          <w:szCs w:val="20"/>
        </w:rPr>
        <w:t>day after it is registered</w:t>
      </w:r>
      <w:r w:rsidR="00E12230" w:rsidRPr="007A2EA8">
        <w:rPr>
          <w:rFonts w:ascii="Arial" w:hAnsi="Arial" w:cs="Arial"/>
          <w:sz w:val="20"/>
          <w:szCs w:val="20"/>
        </w:rPr>
        <w:t xml:space="preserve"> on the Federal Register of Legislative Instruments</w:t>
      </w:r>
      <w:r w:rsidR="00BC0E23" w:rsidRPr="007A2EA8">
        <w:rPr>
          <w:rFonts w:ascii="Arial" w:hAnsi="Arial" w:cs="Arial"/>
          <w:sz w:val="20"/>
          <w:szCs w:val="20"/>
        </w:rPr>
        <w:t>.</w:t>
      </w:r>
    </w:p>
    <w:p w14:paraId="7A2A49F3" w14:textId="778D83E2" w:rsidR="00CC3F26" w:rsidRPr="007A2EA8" w:rsidRDefault="00CC3F26" w:rsidP="00C0603B">
      <w:pPr>
        <w:spacing w:before="240" w:after="80" w:line="240" w:lineRule="atLeast"/>
        <w:ind w:left="1440" w:hanging="1440"/>
        <w:jc w:val="both"/>
        <w:rPr>
          <w:rFonts w:ascii="Arial" w:hAnsi="Arial" w:cs="Arial"/>
          <w:b/>
          <w:sz w:val="20"/>
          <w:szCs w:val="20"/>
        </w:rPr>
      </w:pPr>
      <w:r w:rsidRPr="007A2EA8">
        <w:rPr>
          <w:rFonts w:ascii="Arial" w:hAnsi="Arial" w:cs="Arial"/>
          <w:b/>
          <w:sz w:val="20"/>
          <w:szCs w:val="20"/>
        </w:rPr>
        <w:t>Section 3</w:t>
      </w:r>
      <w:r w:rsidRPr="007A2EA8">
        <w:rPr>
          <w:rFonts w:ascii="Arial" w:hAnsi="Arial" w:cs="Arial"/>
          <w:b/>
          <w:sz w:val="20"/>
          <w:szCs w:val="20"/>
        </w:rPr>
        <w:tab/>
      </w:r>
      <w:r w:rsidR="004030E3">
        <w:rPr>
          <w:rFonts w:ascii="Arial" w:hAnsi="Arial" w:cs="Arial"/>
          <w:b/>
          <w:sz w:val="20"/>
          <w:szCs w:val="20"/>
        </w:rPr>
        <w:t>Revocation</w:t>
      </w:r>
    </w:p>
    <w:p w14:paraId="7A2A49F4" w14:textId="69769137" w:rsidR="00CC3F26" w:rsidRPr="007A2EA8" w:rsidRDefault="00CC3F26" w:rsidP="0075342B">
      <w:pPr>
        <w:spacing w:after="200" w:line="240" w:lineRule="atLeast"/>
        <w:jc w:val="both"/>
        <w:rPr>
          <w:rFonts w:ascii="Arial" w:hAnsi="Arial" w:cs="Arial"/>
          <w:i/>
          <w:sz w:val="20"/>
          <w:szCs w:val="20"/>
        </w:rPr>
      </w:pPr>
      <w:r w:rsidRPr="007A2EA8">
        <w:rPr>
          <w:rFonts w:ascii="Arial" w:hAnsi="Arial" w:cs="Arial"/>
          <w:sz w:val="20"/>
          <w:szCs w:val="20"/>
        </w:rPr>
        <w:t xml:space="preserve">Section 3 </w:t>
      </w:r>
      <w:r w:rsidR="004030E3">
        <w:rPr>
          <w:rFonts w:ascii="Arial" w:hAnsi="Arial" w:cs="Arial"/>
          <w:sz w:val="20"/>
          <w:szCs w:val="20"/>
        </w:rPr>
        <w:t xml:space="preserve">revokes the </w:t>
      </w:r>
      <w:r w:rsidR="00C0603B" w:rsidRPr="00C0603B">
        <w:rPr>
          <w:rFonts w:ascii="Arial" w:hAnsi="Arial" w:cs="Arial"/>
          <w:i/>
          <w:sz w:val="20"/>
          <w:szCs w:val="20"/>
        </w:rPr>
        <w:t>T</w:t>
      </w:r>
      <w:r w:rsidRPr="007A2EA8">
        <w:rPr>
          <w:rFonts w:ascii="Arial" w:hAnsi="Arial" w:cs="Arial"/>
          <w:i/>
          <w:sz w:val="20"/>
          <w:szCs w:val="20"/>
        </w:rPr>
        <w:t>elecommunications Labelling (Customer Equipment and Customer Cabling) Notice 2001</w:t>
      </w:r>
      <w:r w:rsidR="009444A4" w:rsidRPr="007A2EA8">
        <w:rPr>
          <w:rFonts w:ascii="Arial" w:hAnsi="Arial" w:cs="Arial"/>
          <w:i/>
          <w:sz w:val="20"/>
          <w:szCs w:val="20"/>
        </w:rPr>
        <w:t>.</w:t>
      </w:r>
    </w:p>
    <w:p w14:paraId="764FF584" w14:textId="58C75F8D" w:rsidR="00C0603B" w:rsidRDefault="00C0603B" w:rsidP="00727B02">
      <w:pPr>
        <w:spacing w:before="240" w:after="120" w:line="240" w:lineRule="atLeast"/>
        <w:jc w:val="center"/>
        <w:rPr>
          <w:rFonts w:ascii="Arial" w:hAnsi="Arial" w:cs="Arial"/>
          <w:b/>
          <w:sz w:val="20"/>
          <w:szCs w:val="20"/>
        </w:rPr>
      </w:pPr>
      <w:r>
        <w:rPr>
          <w:rFonts w:ascii="Arial" w:hAnsi="Arial" w:cs="Arial"/>
          <w:b/>
        </w:rPr>
        <w:t>Part 2 – Interpretation</w:t>
      </w:r>
    </w:p>
    <w:p w14:paraId="7A2A49F5" w14:textId="625AD341" w:rsidR="00715A1B" w:rsidRDefault="008318FB" w:rsidP="00C0603B">
      <w:pPr>
        <w:spacing w:before="240" w:after="80" w:line="240" w:lineRule="atLeast"/>
        <w:jc w:val="both"/>
        <w:rPr>
          <w:rFonts w:ascii="Arial" w:hAnsi="Arial" w:cs="Arial"/>
          <w:b/>
          <w:sz w:val="20"/>
          <w:szCs w:val="20"/>
        </w:rPr>
      </w:pPr>
      <w:r w:rsidRPr="007A2EA8">
        <w:rPr>
          <w:rFonts w:ascii="Arial" w:hAnsi="Arial" w:cs="Arial"/>
          <w:b/>
          <w:sz w:val="20"/>
          <w:szCs w:val="20"/>
        </w:rPr>
        <w:t>S</w:t>
      </w:r>
      <w:r w:rsidR="00C0603B">
        <w:rPr>
          <w:rFonts w:ascii="Arial" w:hAnsi="Arial" w:cs="Arial"/>
          <w:b/>
          <w:sz w:val="20"/>
          <w:szCs w:val="20"/>
        </w:rPr>
        <w:t>ection 4</w:t>
      </w:r>
      <w:r w:rsidR="00C0603B">
        <w:rPr>
          <w:rFonts w:ascii="Arial" w:hAnsi="Arial" w:cs="Arial"/>
          <w:b/>
          <w:sz w:val="20"/>
          <w:szCs w:val="20"/>
        </w:rPr>
        <w:tab/>
        <w:t xml:space="preserve">Definitions and </w:t>
      </w:r>
      <w:r w:rsidR="003E606C">
        <w:rPr>
          <w:rFonts w:ascii="Arial" w:hAnsi="Arial" w:cs="Arial"/>
          <w:b/>
          <w:sz w:val="20"/>
          <w:szCs w:val="20"/>
        </w:rPr>
        <w:t>o</w:t>
      </w:r>
      <w:r w:rsidR="00C0603B">
        <w:rPr>
          <w:rFonts w:ascii="Arial" w:hAnsi="Arial" w:cs="Arial"/>
          <w:b/>
          <w:sz w:val="20"/>
          <w:szCs w:val="20"/>
        </w:rPr>
        <w:t xml:space="preserve">ther </w:t>
      </w:r>
      <w:r w:rsidR="003E606C">
        <w:rPr>
          <w:rFonts w:ascii="Arial" w:hAnsi="Arial" w:cs="Arial"/>
          <w:b/>
          <w:sz w:val="20"/>
          <w:szCs w:val="20"/>
        </w:rPr>
        <w:t>i</w:t>
      </w:r>
      <w:r w:rsidR="00C0603B">
        <w:rPr>
          <w:rFonts w:ascii="Arial" w:hAnsi="Arial" w:cs="Arial"/>
          <w:b/>
          <w:sz w:val="20"/>
          <w:szCs w:val="20"/>
        </w:rPr>
        <w:t xml:space="preserve">nterpretative </w:t>
      </w:r>
      <w:r w:rsidR="003E606C">
        <w:rPr>
          <w:rFonts w:ascii="Arial" w:hAnsi="Arial" w:cs="Arial"/>
          <w:b/>
          <w:sz w:val="20"/>
          <w:szCs w:val="20"/>
        </w:rPr>
        <w:t>p</w:t>
      </w:r>
      <w:r w:rsidR="00C0603B">
        <w:rPr>
          <w:rFonts w:ascii="Arial" w:hAnsi="Arial" w:cs="Arial"/>
          <w:b/>
          <w:sz w:val="20"/>
          <w:szCs w:val="20"/>
        </w:rPr>
        <w:t>rovisions</w:t>
      </w:r>
    </w:p>
    <w:p w14:paraId="1A7F857C" w14:textId="016439F1" w:rsidR="00C0603B" w:rsidRDefault="000F3BDD" w:rsidP="000F3BDD">
      <w:pPr>
        <w:spacing w:after="200" w:line="240" w:lineRule="atLeast"/>
        <w:jc w:val="both"/>
        <w:rPr>
          <w:rFonts w:ascii="Arial" w:hAnsi="Arial" w:cs="Arial"/>
          <w:sz w:val="20"/>
          <w:szCs w:val="20"/>
        </w:rPr>
      </w:pPr>
      <w:r>
        <w:rPr>
          <w:rFonts w:ascii="Arial" w:hAnsi="Arial" w:cs="Arial"/>
          <w:sz w:val="20"/>
          <w:szCs w:val="20"/>
        </w:rPr>
        <w:t>S</w:t>
      </w:r>
      <w:r w:rsidR="00346E77">
        <w:rPr>
          <w:rFonts w:ascii="Arial" w:hAnsi="Arial" w:cs="Arial"/>
          <w:sz w:val="20"/>
          <w:szCs w:val="20"/>
        </w:rPr>
        <w:t>ubsection (1</w:t>
      </w:r>
      <w:r w:rsidR="00653399">
        <w:rPr>
          <w:rFonts w:ascii="Arial" w:hAnsi="Arial" w:cs="Arial"/>
          <w:sz w:val="20"/>
          <w:szCs w:val="20"/>
        </w:rPr>
        <w:t>) defines</w:t>
      </w:r>
      <w:r w:rsidR="003E606C">
        <w:rPr>
          <w:rFonts w:ascii="Arial" w:hAnsi="Arial" w:cs="Arial"/>
          <w:sz w:val="20"/>
          <w:szCs w:val="20"/>
        </w:rPr>
        <w:t xml:space="preserve"> the</w:t>
      </w:r>
      <w:r>
        <w:rPr>
          <w:rFonts w:ascii="Arial" w:hAnsi="Arial" w:cs="Arial"/>
          <w:sz w:val="20"/>
          <w:szCs w:val="20"/>
        </w:rPr>
        <w:t xml:space="preserve"> terms used </w:t>
      </w:r>
      <w:r w:rsidR="003E606C">
        <w:rPr>
          <w:rFonts w:ascii="Arial" w:hAnsi="Arial" w:cs="Arial"/>
          <w:sz w:val="20"/>
          <w:szCs w:val="20"/>
        </w:rPr>
        <w:t xml:space="preserve">in </w:t>
      </w:r>
      <w:r>
        <w:rPr>
          <w:rFonts w:ascii="Arial" w:hAnsi="Arial" w:cs="Arial"/>
          <w:sz w:val="20"/>
          <w:szCs w:val="20"/>
        </w:rPr>
        <w:t xml:space="preserve">the </w:t>
      </w:r>
      <w:r w:rsidR="00527DCD">
        <w:rPr>
          <w:rFonts w:ascii="Arial" w:hAnsi="Arial" w:cs="Arial"/>
          <w:sz w:val="20"/>
          <w:szCs w:val="20"/>
        </w:rPr>
        <w:t>2015</w:t>
      </w:r>
      <w:r>
        <w:rPr>
          <w:rFonts w:ascii="Arial" w:hAnsi="Arial" w:cs="Arial"/>
          <w:sz w:val="20"/>
          <w:szCs w:val="20"/>
        </w:rPr>
        <w:t xml:space="preserve"> Notice. Most of the terms defined in this section are the same as those set out in the 2001 Labelling Notice.</w:t>
      </w:r>
      <w:r w:rsidR="00493932">
        <w:rPr>
          <w:rFonts w:ascii="Arial" w:hAnsi="Arial" w:cs="Arial"/>
          <w:sz w:val="20"/>
          <w:szCs w:val="20"/>
        </w:rPr>
        <w:t xml:space="preserve">  </w:t>
      </w:r>
      <w:r w:rsidR="003E606C">
        <w:rPr>
          <w:rFonts w:ascii="Arial" w:hAnsi="Arial" w:cs="Arial"/>
          <w:sz w:val="20"/>
          <w:szCs w:val="20"/>
        </w:rPr>
        <w:t>The definitions of s</w:t>
      </w:r>
      <w:r w:rsidR="00493932">
        <w:rPr>
          <w:rFonts w:ascii="Arial" w:hAnsi="Arial" w:cs="Arial"/>
          <w:sz w:val="20"/>
          <w:szCs w:val="20"/>
        </w:rPr>
        <w:t xml:space="preserve">ome important </w:t>
      </w:r>
      <w:r w:rsidR="003E606C">
        <w:rPr>
          <w:rFonts w:ascii="Arial" w:hAnsi="Arial" w:cs="Arial"/>
          <w:sz w:val="20"/>
          <w:szCs w:val="20"/>
        </w:rPr>
        <w:t xml:space="preserve">terms </w:t>
      </w:r>
      <w:r w:rsidR="00493932">
        <w:rPr>
          <w:rFonts w:ascii="Arial" w:hAnsi="Arial" w:cs="Arial"/>
          <w:sz w:val="20"/>
          <w:szCs w:val="20"/>
        </w:rPr>
        <w:t>are described elsewhere in this explanatory statement.</w:t>
      </w:r>
    </w:p>
    <w:p w14:paraId="141D5841" w14:textId="4745EE60" w:rsidR="00627606" w:rsidRDefault="00346E77" w:rsidP="000F3BDD">
      <w:pPr>
        <w:spacing w:after="200" w:line="240" w:lineRule="atLeast"/>
        <w:jc w:val="both"/>
        <w:rPr>
          <w:rFonts w:ascii="Arial" w:hAnsi="Arial" w:cs="Arial"/>
          <w:sz w:val="20"/>
          <w:szCs w:val="20"/>
        </w:rPr>
      </w:pPr>
      <w:r>
        <w:rPr>
          <w:rFonts w:ascii="Arial" w:hAnsi="Arial" w:cs="Arial"/>
          <w:sz w:val="20"/>
          <w:szCs w:val="20"/>
        </w:rPr>
        <w:t>Subsection (2)</w:t>
      </w:r>
      <w:r w:rsidR="008407A7">
        <w:rPr>
          <w:rFonts w:ascii="Arial" w:hAnsi="Arial" w:cs="Arial"/>
          <w:sz w:val="20"/>
          <w:szCs w:val="20"/>
        </w:rPr>
        <w:t xml:space="preserve"> </w:t>
      </w:r>
      <w:r w:rsidR="00E96821">
        <w:rPr>
          <w:rFonts w:ascii="Arial" w:hAnsi="Arial" w:cs="Arial"/>
          <w:sz w:val="20"/>
          <w:szCs w:val="20"/>
        </w:rPr>
        <w:t xml:space="preserve">specifies </w:t>
      </w:r>
      <w:r w:rsidR="00FB3682">
        <w:rPr>
          <w:rFonts w:ascii="Arial" w:hAnsi="Arial" w:cs="Arial"/>
          <w:sz w:val="20"/>
          <w:szCs w:val="20"/>
        </w:rPr>
        <w:t xml:space="preserve">the entity that </w:t>
      </w:r>
      <w:r w:rsidR="008407A7">
        <w:rPr>
          <w:rFonts w:ascii="Arial" w:hAnsi="Arial" w:cs="Arial"/>
          <w:sz w:val="20"/>
          <w:szCs w:val="20"/>
        </w:rPr>
        <w:t xml:space="preserve">is responsible </w:t>
      </w:r>
      <w:r w:rsidR="00E96821">
        <w:rPr>
          <w:rFonts w:ascii="Arial" w:hAnsi="Arial" w:cs="Arial"/>
          <w:sz w:val="20"/>
          <w:szCs w:val="20"/>
        </w:rPr>
        <w:t xml:space="preserve">for </w:t>
      </w:r>
      <w:r w:rsidR="003E606C">
        <w:rPr>
          <w:rFonts w:ascii="Arial" w:hAnsi="Arial" w:cs="Arial"/>
          <w:sz w:val="20"/>
          <w:szCs w:val="20"/>
        </w:rPr>
        <w:t xml:space="preserve">meeting the obligations imposed by the 2015 Notice in relation to </w:t>
      </w:r>
      <w:r w:rsidR="00E96821">
        <w:rPr>
          <w:rFonts w:ascii="Arial" w:hAnsi="Arial" w:cs="Arial"/>
          <w:sz w:val="20"/>
          <w:szCs w:val="20"/>
        </w:rPr>
        <w:t xml:space="preserve">an </w:t>
      </w:r>
      <w:r w:rsidR="00627606">
        <w:rPr>
          <w:rFonts w:ascii="Arial" w:hAnsi="Arial" w:cs="Arial"/>
          <w:sz w:val="20"/>
          <w:szCs w:val="20"/>
        </w:rPr>
        <w:t>item</w:t>
      </w:r>
      <w:r w:rsidR="00493932">
        <w:rPr>
          <w:rFonts w:ascii="Arial" w:hAnsi="Arial" w:cs="Arial"/>
          <w:sz w:val="20"/>
          <w:szCs w:val="20"/>
        </w:rPr>
        <w:t xml:space="preserve"> that has been imported</w:t>
      </w:r>
      <w:r w:rsidR="00F76825">
        <w:rPr>
          <w:rFonts w:ascii="Arial" w:hAnsi="Arial" w:cs="Arial"/>
          <w:sz w:val="20"/>
          <w:szCs w:val="20"/>
        </w:rPr>
        <w:t>.</w:t>
      </w:r>
      <w:r w:rsidR="00627606">
        <w:rPr>
          <w:rFonts w:ascii="Arial" w:hAnsi="Arial" w:cs="Arial"/>
          <w:sz w:val="20"/>
          <w:szCs w:val="20"/>
        </w:rPr>
        <w:t xml:space="preserve"> </w:t>
      </w:r>
      <w:r w:rsidR="00493932">
        <w:rPr>
          <w:rFonts w:ascii="Arial" w:hAnsi="Arial" w:cs="Arial"/>
          <w:sz w:val="20"/>
          <w:szCs w:val="20"/>
        </w:rPr>
        <w:t xml:space="preserve"> </w:t>
      </w:r>
      <w:r w:rsidR="00627606">
        <w:rPr>
          <w:rFonts w:ascii="Arial" w:hAnsi="Arial" w:cs="Arial"/>
          <w:sz w:val="20"/>
          <w:szCs w:val="20"/>
        </w:rPr>
        <w:t xml:space="preserve">For an item that has been imported and subsequently been modified, the obligation is imposed on the manufacturer </w:t>
      </w:r>
      <w:r w:rsidR="00E03BBF">
        <w:rPr>
          <w:rFonts w:ascii="Arial" w:hAnsi="Arial" w:cs="Arial"/>
          <w:sz w:val="20"/>
          <w:szCs w:val="20"/>
        </w:rPr>
        <w:t xml:space="preserve">of </w:t>
      </w:r>
      <w:r w:rsidR="00FB3682">
        <w:rPr>
          <w:rFonts w:ascii="Arial" w:hAnsi="Arial" w:cs="Arial"/>
          <w:sz w:val="20"/>
          <w:szCs w:val="20"/>
        </w:rPr>
        <w:t xml:space="preserve">that </w:t>
      </w:r>
      <w:r w:rsidR="00627606">
        <w:rPr>
          <w:rFonts w:ascii="Arial" w:hAnsi="Arial" w:cs="Arial"/>
          <w:sz w:val="20"/>
          <w:szCs w:val="20"/>
        </w:rPr>
        <w:t>modified the item. Otherwise the obligation is imposed on the importer of the item.</w:t>
      </w:r>
    </w:p>
    <w:p w14:paraId="7897A223" w14:textId="41CC4CB2" w:rsidR="00B15814" w:rsidRDefault="00F23FB5" w:rsidP="000F3BDD">
      <w:pPr>
        <w:spacing w:after="200" w:line="240" w:lineRule="atLeast"/>
        <w:jc w:val="both"/>
        <w:rPr>
          <w:rFonts w:ascii="Arial" w:hAnsi="Arial" w:cs="Arial"/>
          <w:sz w:val="20"/>
          <w:szCs w:val="20"/>
        </w:rPr>
      </w:pPr>
      <w:r>
        <w:rPr>
          <w:rFonts w:ascii="Arial" w:hAnsi="Arial" w:cs="Arial"/>
          <w:sz w:val="20"/>
          <w:szCs w:val="20"/>
        </w:rPr>
        <w:t xml:space="preserve">Subsection (3) </w:t>
      </w:r>
      <w:r w:rsidR="003E606C">
        <w:rPr>
          <w:rFonts w:ascii="Arial" w:hAnsi="Arial" w:cs="Arial"/>
          <w:sz w:val="20"/>
          <w:szCs w:val="20"/>
        </w:rPr>
        <w:t xml:space="preserve">confirms </w:t>
      </w:r>
      <w:r w:rsidR="00493932">
        <w:rPr>
          <w:rFonts w:ascii="Arial" w:hAnsi="Arial" w:cs="Arial"/>
          <w:sz w:val="20"/>
          <w:szCs w:val="20"/>
        </w:rPr>
        <w:t>that the 2015 Notice does not apply to a</w:t>
      </w:r>
      <w:r w:rsidR="003E606C">
        <w:rPr>
          <w:rFonts w:ascii="Arial" w:hAnsi="Arial" w:cs="Arial"/>
          <w:sz w:val="20"/>
          <w:szCs w:val="20"/>
        </w:rPr>
        <w:t>n entity</w:t>
      </w:r>
      <w:r w:rsidR="00493932">
        <w:rPr>
          <w:rFonts w:ascii="Arial" w:hAnsi="Arial" w:cs="Arial"/>
          <w:sz w:val="20"/>
          <w:szCs w:val="20"/>
        </w:rPr>
        <w:t xml:space="preserve"> who manufactures an item overseas.  If an item is manufactured overseas, the </w:t>
      </w:r>
      <w:r w:rsidR="003E606C">
        <w:rPr>
          <w:rFonts w:ascii="Arial" w:hAnsi="Arial" w:cs="Arial"/>
          <w:sz w:val="20"/>
          <w:szCs w:val="20"/>
        </w:rPr>
        <w:t xml:space="preserve">entity </w:t>
      </w:r>
      <w:r w:rsidR="00493932">
        <w:rPr>
          <w:rFonts w:ascii="Arial" w:hAnsi="Arial" w:cs="Arial"/>
          <w:sz w:val="20"/>
          <w:szCs w:val="20"/>
        </w:rPr>
        <w:t>who imports the item into Australia must comply with the 2015 Notice (subject to subsection (2))</w:t>
      </w:r>
      <w:r w:rsidR="00B15814">
        <w:rPr>
          <w:rFonts w:ascii="Arial" w:hAnsi="Arial" w:cs="Arial"/>
          <w:sz w:val="20"/>
          <w:szCs w:val="20"/>
        </w:rPr>
        <w:t>.</w:t>
      </w:r>
    </w:p>
    <w:p w14:paraId="45B72550" w14:textId="01C924BB" w:rsidR="00F23FB5" w:rsidRDefault="00B15814" w:rsidP="000F3BDD">
      <w:pPr>
        <w:spacing w:after="200" w:line="240" w:lineRule="atLeast"/>
        <w:jc w:val="both"/>
        <w:rPr>
          <w:rFonts w:ascii="Arial" w:hAnsi="Arial" w:cs="Arial"/>
          <w:sz w:val="20"/>
          <w:szCs w:val="20"/>
        </w:rPr>
      </w:pPr>
      <w:r w:rsidRPr="00F76825">
        <w:rPr>
          <w:rFonts w:ascii="Arial" w:hAnsi="Arial" w:cs="Arial"/>
          <w:sz w:val="20"/>
          <w:szCs w:val="20"/>
        </w:rPr>
        <w:t xml:space="preserve">Subsection (4) </w:t>
      </w:r>
      <w:r w:rsidR="003E606C">
        <w:rPr>
          <w:rFonts w:ascii="Arial" w:hAnsi="Arial" w:cs="Arial"/>
          <w:sz w:val="20"/>
          <w:szCs w:val="20"/>
        </w:rPr>
        <w:t>defines a reference to</w:t>
      </w:r>
      <w:r w:rsidR="00F76825">
        <w:rPr>
          <w:rFonts w:ascii="Arial" w:hAnsi="Arial" w:cs="Arial"/>
          <w:sz w:val="20"/>
          <w:szCs w:val="20"/>
        </w:rPr>
        <w:t xml:space="preserve"> </w:t>
      </w:r>
      <w:r w:rsidR="003E606C">
        <w:rPr>
          <w:rFonts w:ascii="Arial" w:hAnsi="Arial" w:cs="Arial"/>
          <w:sz w:val="20"/>
          <w:szCs w:val="20"/>
        </w:rPr>
        <w:t>“</w:t>
      </w:r>
      <w:r w:rsidR="00F76825">
        <w:rPr>
          <w:rFonts w:ascii="Arial" w:hAnsi="Arial" w:cs="Arial"/>
          <w:sz w:val="20"/>
          <w:szCs w:val="20"/>
        </w:rPr>
        <w:t>the date a modified item was made</w:t>
      </w:r>
      <w:r w:rsidR="003E606C">
        <w:rPr>
          <w:rFonts w:ascii="Arial" w:hAnsi="Arial" w:cs="Arial"/>
          <w:sz w:val="20"/>
          <w:szCs w:val="20"/>
        </w:rPr>
        <w:t>”</w:t>
      </w:r>
      <w:r w:rsidR="00F76825">
        <w:rPr>
          <w:rFonts w:ascii="Arial" w:hAnsi="Arial" w:cs="Arial"/>
          <w:sz w:val="20"/>
          <w:szCs w:val="20"/>
        </w:rPr>
        <w:t xml:space="preserve"> </w:t>
      </w:r>
      <w:r w:rsidR="003E606C">
        <w:rPr>
          <w:rFonts w:ascii="Arial" w:hAnsi="Arial" w:cs="Arial"/>
          <w:sz w:val="20"/>
          <w:szCs w:val="20"/>
        </w:rPr>
        <w:t>a</w:t>
      </w:r>
      <w:r w:rsidR="00F76825">
        <w:rPr>
          <w:rFonts w:ascii="Arial" w:hAnsi="Arial" w:cs="Arial"/>
          <w:sz w:val="20"/>
          <w:szCs w:val="20"/>
        </w:rPr>
        <w:t>s the date of making the modification</w:t>
      </w:r>
      <w:r w:rsidR="003E606C">
        <w:rPr>
          <w:rFonts w:ascii="Arial" w:hAnsi="Arial" w:cs="Arial"/>
          <w:sz w:val="20"/>
          <w:szCs w:val="20"/>
        </w:rPr>
        <w:t xml:space="preserve"> which resulted in that item</w:t>
      </w:r>
      <w:r w:rsidR="00F76825">
        <w:rPr>
          <w:rFonts w:ascii="Arial" w:hAnsi="Arial" w:cs="Arial"/>
          <w:sz w:val="20"/>
          <w:szCs w:val="20"/>
        </w:rPr>
        <w:t xml:space="preserve">. </w:t>
      </w:r>
    </w:p>
    <w:p w14:paraId="3C6B65E7" w14:textId="08FCD183" w:rsidR="000F3BDD" w:rsidRDefault="000F3BDD" w:rsidP="000F3BDD">
      <w:pPr>
        <w:spacing w:before="240" w:after="80" w:line="240" w:lineRule="atLeast"/>
        <w:ind w:left="1440" w:hanging="1440"/>
        <w:jc w:val="both"/>
        <w:rPr>
          <w:rFonts w:ascii="Arial" w:hAnsi="Arial" w:cs="Arial"/>
          <w:b/>
          <w:sz w:val="20"/>
          <w:szCs w:val="20"/>
        </w:rPr>
      </w:pPr>
      <w:r w:rsidRPr="000F3BDD">
        <w:rPr>
          <w:rFonts w:ascii="Arial" w:hAnsi="Arial" w:cs="Arial"/>
          <w:b/>
          <w:sz w:val="20"/>
          <w:szCs w:val="20"/>
        </w:rPr>
        <w:t>Section 5</w:t>
      </w:r>
      <w:r w:rsidRPr="000F3BDD">
        <w:rPr>
          <w:rFonts w:ascii="Arial" w:hAnsi="Arial" w:cs="Arial"/>
          <w:b/>
          <w:sz w:val="20"/>
          <w:szCs w:val="20"/>
        </w:rPr>
        <w:tab/>
      </w:r>
      <w:r w:rsidRPr="00346E77">
        <w:rPr>
          <w:rFonts w:ascii="Arial" w:hAnsi="Arial" w:cs="Arial"/>
          <w:b/>
          <w:sz w:val="20"/>
          <w:szCs w:val="20"/>
        </w:rPr>
        <w:t xml:space="preserve">Class of items and </w:t>
      </w:r>
      <w:r w:rsidR="00346E77">
        <w:rPr>
          <w:rFonts w:ascii="Arial" w:hAnsi="Arial" w:cs="Arial"/>
          <w:b/>
          <w:sz w:val="20"/>
          <w:szCs w:val="20"/>
        </w:rPr>
        <w:t>obligations relating to certain compliance records</w:t>
      </w:r>
    </w:p>
    <w:p w14:paraId="2372C802" w14:textId="54D0362C" w:rsidR="00493932" w:rsidRDefault="00493932" w:rsidP="007003A4">
      <w:pPr>
        <w:spacing w:after="200" w:line="240" w:lineRule="atLeast"/>
        <w:jc w:val="both"/>
        <w:rPr>
          <w:rFonts w:ascii="Arial" w:hAnsi="Arial" w:cs="Arial"/>
          <w:sz w:val="20"/>
          <w:szCs w:val="20"/>
        </w:rPr>
      </w:pPr>
      <w:r>
        <w:rPr>
          <w:rFonts w:ascii="Arial" w:hAnsi="Arial" w:cs="Arial"/>
          <w:sz w:val="20"/>
          <w:szCs w:val="20"/>
        </w:rPr>
        <w:t xml:space="preserve">Broadly speaking, the 2015 Notice requires all items of CE and CC to be labelled if there is an ACMA standard that applies to the item.  Suppliers must meet particular obligations before and after applying a label to an item.  However, it </w:t>
      </w:r>
      <w:r w:rsidR="00D860C7">
        <w:rPr>
          <w:rFonts w:ascii="Arial" w:hAnsi="Arial" w:cs="Arial"/>
          <w:sz w:val="20"/>
          <w:szCs w:val="20"/>
        </w:rPr>
        <w:t>may be</w:t>
      </w:r>
      <w:r>
        <w:rPr>
          <w:rFonts w:ascii="Arial" w:hAnsi="Arial" w:cs="Arial"/>
          <w:sz w:val="20"/>
          <w:szCs w:val="20"/>
        </w:rPr>
        <w:t xml:space="preserve"> impractical for </w:t>
      </w:r>
      <w:r w:rsidR="00F23011">
        <w:rPr>
          <w:rFonts w:ascii="Arial" w:hAnsi="Arial" w:cs="Arial"/>
          <w:sz w:val="20"/>
          <w:szCs w:val="20"/>
        </w:rPr>
        <w:t xml:space="preserve">a </w:t>
      </w:r>
      <w:r>
        <w:rPr>
          <w:rFonts w:ascii="Arial" w:hAnsi="Arial" w:cs="Arial"/>
          <w:sz w:val="20"/>
          <w:szCs w:val="20"/>
        </w:rPr>
        <w:t xml:space="preserve">supplier to be required to meet many of these obligations in relation to all items </w:t>
      </w:r>
      <w:r w:rsidR="003E606C">
        <w:rPr>
          <w:rFonts w:ascii="Arial" w:hAnsi="Arial" w:cs="Arial"/>
          <w:sz w:val="20"/>
          <w:szCs w:val="20"/>
        </w:rPr>
        <w:t>it manufactures or imports, particularly in</w:t>
      </w:r>
      <w:r w:rsidR="00817AB4">
        <w:rPr>
          <w:rFonts w:ascii="Arial" w:hAnsi="Arial" w:cs="Arial"/>
          <w:sz w:val="20"/>
          <w:szCs w:val="20"/>
        </w:rPr>
        <w:t xml:space="preserve"> </w:t>
      </w:r>
      <w:r w:rsidR="003E606C">
        <w:rPr>
          <w:rFonts w:ascii="Arial" w:hAnsi="Arial" w:cs="Arial"/>
          <w:sz w:val="20"/>
          <w:szCs w:val="20"/>
        </w:rPr>
        <w:t>cases where the items are identical (</w:t>
      </w:r>
      <w:r>
        <w:rPr>
          <w:rFonts w:ascii="Arial" w:hAnsi="Arial" w:cs="Arial"/>
          <w:sz w:val="20"/>
          <w:szCs w:val="20"/>
        </w:rPr>
        <w:t xml:space="preserve">for example, </w:t>
      </w:r>
      <w:r w:rsidR="003E606C">
        <w:rPr>
          <w:rFonts w:ascii="Arial" w:hAnsi="Arial" w:cs="Arial"/>
          <w:sz w:val="20"/>
          <w:szCs w:val="20"/>
        </w:rPr>
        <w:t xml:space="preserve">items of </w:t>
      </w:r>
      <w:r>
        <w:rPr>
          <w:rFonts w:ascii="Arial" w:hAnsi="Arial" w:cs="Arial"/>
          <w:sz w:val="20"/>
          <w:szCs w:val="20"/>
        </w:rPr>
        <w:t>a particular model</w:t>
      </w:r>
      <w:r w:rsidR="003E606C">
        <w:rPr>
          <w:rFonts w:ascii="Arial" w:hAnsi="Arial" w:cs="Arial"/>
          <w:sz w:val="20"/>
          <w:szCs w:val="20"/>
        </w:rPr>
        <w:t>)</w:t>
      </w:r>
      <w:r>
        <w:rPr>
          <w:rFonts w:ascii="Arial" w:hAnsi="Arial" w:cs="Arial"/>
          <w:sz w:val="20"/>
          <w:szCs w:val="20"/>
        </w:rPr>
        <w:t>.  Section 5 contains a mechanism for allowing a supplier</w:t>
      </w:r>
      <w:r w:rsidR="003E606C">
        <w:rPr>
          <w:rFonts w:ascii="Arial" w:hAnsi="Arial" w:cs="Arial"/>
          <w:sz w:val="20"/>
          <w:szCs w:val="20"/>
        </w:rPr>
        <w:t>, in such cases,</w:t>
      </w:r>
      <w:r>
        <w:rPr>
          <w:rFonts w:ascii="Arial" w:hAnsi="Arial" w:cs="Arial"/>
          <w:sz w:val="20"/>
          <w:szCs w:val="20"/>
        </w:rPr>
        <w:t xml:space="preserve"> to comply with </w:t>
      </w:r>
      <w:r w:rsidR="003E606C">
        <w:rPr>
          <w:rFonts w:ascii="Arial" w:hAnsi="Arial" w:cs="Arial"/>
          <w:sz w:val="20"/>
          <w:szCs w:val="20"/>
        </w:rPr>
        <w:t>particular obligations only</w:t>
      </w:r>
      <w:r>
        <w:rPr>
          <w:rFonts w:ascii="Arial" w:hAnsi="Arial" w:cs="Arial"/>
          <w:sz w:val="20"/>
          <w:szCs w:val="20"/>
        </w:rPr>
        <w:t xml:space="preserve"> once.  </w:t>
      </w:r>
      <w:r w:rsidR="00661315">
        <w:rPr>
          <w:rFonts w:ascii="Arial" w:hAnsi="Arial" w:cs="Arial"/>
          <w:sz w:val="20"/>
          <w:szCs w:val="20"/>
        </w:rPr>
        <w:t>This mechanism will apply, in relation to a particular obligation, when an item is “included in a class of items” and the supplier has complied with that obligation in relation to another item of the class</w:t>
      </w:r>
      <w:r>
        <w:rPr>
          <w:rFonts w:ascii="Arial" w:hAnsi="Arial" w:cs="Arial"/>
          <w:sz w:val="20"/>
          <w:szCs w:val="20"/>
        </w:rPr>
        <w:t>.</w:t>
      </w:r>
    </w:p>
    <w:p w14:paraId="44D8636F" w14:textId="797B5327" w:rsidR="000F3BDD" w:rsidRDefault="00B06AC7" w:rsidP="0055122C">
      <w:pPr>
        <w:spacing w:after="200" w:line="240" w:lineRule="atLeast"/>
        <w:jc w:val="both"/>
        <w:rPr>
          <w:rFonts w:ascii="Arial" w:hAnsi="Arial" w:cs="Arial"/>
          <w:sz w:val="20"/>
          <w:szCs w:val="20"/>
        </w:rPr>
      </w:pPr>
      <w:r>
        <w:rPr>
          <w:rFonts w:ascii="Arial" w:hAnsi="Arial" w:cs="Arial"/>
          <w:sz w:val="20"/>
          <w:szCs w:val="20"/>
        </w:rPr>
        <w:t xml:space="preserve">Subsection (1) </w:t>
      </w:r>
      <w:r w:rsidR="007003A4">
        <w:rPr>
          <w:rFonts w:ascii="Arial" w:hAnsi="Arial" w:cs="Arial"/>
          <w:sz w:val="20"/>
          <w:szCs w:val="20"/>
        </w:rPr>
        <w:t>sets out when an item</w:t>
      </w:r>
      <w:r w:rsidR="00B15814">
        <w:rPr>
          <w:rFonts w:ascii="Arial" w:hAnsi="Arial" w:cs="Arial"/>
          <w:sz w:val="20"/>
          <w:szCs w:val="20"/>
        </w:rPr>
        <w:t xml:space="preserve"> (other than a modified item)</w:t>
      </w:r>
      <w:r w:rsidR="007003A4">
        <w:rPr>
          <w:rFonts w:ascii="Arial" w:hAnsi="Arial" w:cs="Arial"/>
          <w:sz w:val="20"/>
          <w:szCs w:val="20"/>
        </w:rPr>
        <w:t xml:space="preserve"> is included in a class of items</w:t>
      </w:r>
      <w:r w:rsidR="00904103">
        <w:rPr>
          <w:rFonts w:ascii="Arial" w:hAnsi="Arial" w:cs="Arial"/>
          <w:sz w:val="20"/>
          <w:szCs w:val="20"/>
        </w:rPr>
        <w:t>.</w:t>
      </w:r>
      <w:r w:rsidR="00493932">
        <w:rPr>
          <w:rFonts w:ascii="Arial" w:hAnsi="Arial" w:cs="Arial"/>
          <w:sz w:val="20"/>
          <w:szCs w:val="20"/>
        </w:rPr>
        <w:t xml:space="preserve">  </w:t>
      </w:r>
      <w:r w:rsidR="00CD2EEF">
        <w:rPr>
          <w:rFonts w:ascii="Arial" w:hAnsi="Arial" w:cs="Arial"/>
          <w:sz w:val="20"/>
          <w:szCs w:val="20"/>
        </w:rPr>
        <w:t>An item is included in a class of items if the item is identical to each</w:t>
      </w:r>
      <w:r w:rsidR="00493932">
        <w:rPr>
          <w:rFonts w:ascii="Arial" w:hAnsi="Arial" w:cs="Arial"/>
          <w:sz w:val="20"/>
          <w:szCs w:val="20"/>
        </w:rPr>
        <w:t xml:space="preserve"> other</w:t>
      </w:r>
      <w:r w:rsidR="00CD2EEF">
        <w:rPr>
          <w:rFonts w:ascii="Arial" w:hAnsi="Arial" w:cs="Arial"/>
          <w:sz w:val="20"/>
          <w:szCs w:val="20"/>
        </w:rPr>
        <w:t xml:space="preserve"> item of </w:t>
      </w:r>
      <w:r w:rsidR="00493932">
        <w:rPr>
          <w:rFonts w:ascii="Arial" w:hAnsi="Arial" w:cs="Arial"/>
          <w:sz w:val="20"/>
          <w:szCs w:val="20"/>
        </w:rPr>
        <w:t>the</w:t>
      </w:r>
      <w:r w:rsidR="00CD2EEF">
        <w:rPr>
          <w:rFonts w:ascii="Arial" w:hAnsi="Arial" w:cs="Arial"/>
          <w:sz w:val="20"/>
          <w:szCs w:val="20"/>
        </w:rPr>
        <w:t xml:space="preserve"> class and has the same </w:t>
      </w:r>
      <w:r w:rsidR="00661315">
        <w:rPr>
          <w:rFonts w:ascii="Arial" w:hAnsi="Arial" w:cs="Arial"/>
          <w:sz w:val="20"/>
          <w:szCs w:val="20"/>
        </w:rPr>
        <w:t>supplier</w:t>
      </w:r>
      <w:r w:rsidR="00CD2EEF">
        <w:rPr>
          <w:rFonts w:ascii="Arial" w:hAnsi="Arial" w:cs="Arial"/>
          <w:sz w:val="20"/>
          <w:szCs w:val="20"/>
        </w:rPr>
        <w:t xml:space="preserve"> as each other item.</w:t>
      </w:r>
      <w:r w:rsidR="00493932">
        <w:rPr>
          <w:rFonts w:ascii="Arial" w:hAnsi="Arial" w:cs="Arial"/>
          <w:sz w:val="20"/>
          <w:szCs w:val="20"/>
        </w:rPr>
        <w:t xml:space="preserve">  So, for example, if a person imports 20,000 identical mobile telephones, those 20,000 mobile telephones form the one class of items, even if they were imported at different times.</w:t>
      </w:r>
    </w:p>
    <w:p w14:paraId="36A7D75B" w14:textId="200AF158" w:rsidR="00CD2EEF" w:rsidRDefault="00661315" w:rsidP="0055122C">
      <w:pPr>
        <w:spacing w:after="200" w:line="240" w:lineRule="atLeast"/>
        <w:jc w:val="both"/>
        <w:rPr>
          <w:rFonts w:ascii="Arial" w:hAnsi="Arial" w:cs="Arial"/>
          <w:sz w:val="20"/>
          <w:szCs w:val="20"/>
        </w:rPr>
      </w:pPr>
      <w:r>
        <w:rPr>
          <w:rFonts w:ascii="Arial" w:hAnsi="Arial" w:cs="Arial"/>
          <w:sz w:val="20"/>
          <w:szCs w:val="20"/>
        </w:rPr>
        <w:lastRenderedPageBreak/>
        <w:t xml:space="preserve">In relation to </w:t>
      </w:r>
      <w:r w:rsidR="00493932">
        <w:rPr>
          <w:rFonts w:ascii="Arial" w:hAnsi="Arial" w:cs="Arial"/>
          <w:sz w:val="20"/>
          <w:szCs w:val="20"/>
        </w:rPr>
        <w:t>a class of items, the first item to be manufactured</w:t>
      </w:r>
      <w:r>
        <w:rPr>
          <w:rFonts w:ascii="Arial" w:hAnsi="Arial" w:cs="Arial"/>
          <w:sz w:val="20"/>
          <w:szCs w:val="20"/>
        </w:rPr>
        <w:t xml:space="preserve"> in Australia</w:t>
      </w:r>
      <w:r w:rsidR="00493932">
        <w:rPr>
          <w:rFonts w:ascii="Arial" w:hAnsi="Arial" w:cs="Arial"/>
          <w:sz w:val="20"/>
          <w:szCs w:val="20"/>
        </w:rPr>
        <w:t xml:space="preserve"> or imported, as the case may be, is the “original item” of the class.  </w:t>
      </w:r>
      <w:r>
        <w:rPr>
          <w:rFonts w:ascii="Arial" w:hAnsi="Arial" w:cs="Arial"/>
          <w:sz w:val="20"/>
          <w:szCs w:val="20"/>
        </w:rPr>
        <w:t>In practice</w:t>
      </w:r>
      <w:r w:rsidR="00CD2EEF">
        <w:rPr>
          <w:rFonts w:ascii="Arial" w:hAnsi="Arial" w:cs="Arial"/>
          <w:sz w:val="20"/>
          <w:szCs w:val="20"/>
        </w:rPr>
        <w:t xml:space="preserve">, the original item </w:t>
      </w:r>
      <w:r w:rsidR="0055122C">
        <w:rPr>
          <w:rFonts w:ascii="Arial" w:hAnsi="Arial" w:cs="Arial"/>
          <w:sz w:val="20"/>
          <w:szCs w:val="20"/>
        </w:rPr>
        <w:t xml:space="preserve">is the item </w:t>
      </w:r>
      <w:r w:rsidR="00F76825">
        <w:rPr>
          <w:rFonts w:ascii="Arial" w:hAnsi="Arial" w:cs="Arial"/>
          <w:sz w:val="20"/>
          <w:szCs w:val="20"/>
        </w:rPr>
        <w:t xml:space="preserve">on which </w:t>
      </w:r>
      <w:r>
        <w:rPr>
          <w:rFonts w:ascii="Arial" w:hAnsi="Arial" w:cs="Arial"/>
          <w:sz w:val="20"/>
          <w:szCs w:val="20"/>
        </w:rPr>
        <w:t xml:space="preserve">a supplier will </w:t>
      </w:r>
      <w:r w:rsidR="0055122C">
        <w:rPr>
          <w:rFonts w:ascii="Arial" w:hAnsi="Arial" w:cs="Arial"/>
          <w:sz w:val="20"/>
          <w:szCs w:val="20"/>
        </w:rPr>
        <w:t xml:space="preserve">base </w:t>
      </w:r>
      <w:r>
        <w:rPr>
          <w:rFonts w:ascii="Arial" w:hAnsi="Arial" w:cs="Arial"/>
          <w:sz w:val="20"/>
          <w:szCs w:val="20"/>
        </w:rPr>
        <w:t xml:space="preserve">its performance of </w:t>
      </w:r>
      <w:r w:rsidR="0055122C">
        <w:rPr>
          <w:rFonts w:ascii="Arial" w:hAnsi="Arial" w:cs="Arial"/>
          <w:sz w:val="20"/>
          <w:szCs w:val="20"/>
        </w:rPr>
        <w:t>compliance and record</w:t>
      </w:r>
      <w:r>
        <w:rPr>
          <w:rFonts w:ascii="Arial" w:hAnsi="Arial" w:cs="Arial"/>
          <w:sz w:val="20"/>
          <w:szCs w:val="20"/>
        </w:rPr>
        <w:t>-</w:t>
      </w:r>
      <w:r w:rsidR="0055122C">
        <w:rPr>
          <w:rFonts w:ascii="Arial" w:hAnsi="Arial" w:cs="Arial"/>
          <w:sz w:val="20"/>
          <w:szCs w:val="20"/>
        </w:rPr>
        <w:t>keeping requirements.</w:t>
      </w:r>
    </w:p>
    <w:p w14:paraId="5800C79C" w14:textId="2B5B8C84" w:rsidR="0055122C" w:rsidRDefault="0055122C" w:rsidP="0055122C">
      <w:pPr>
        <w:spacing w:after="200" w:line="240" w:lineRule="atLeast"/>
        <w:jc w:val="both"/>
        <w:rPr>
          <w:rFonts w:ascii="Arial" w:hAnsi="Arial" w:cs="Arial"/>
          <w:sz w:val="20"/>
          <w:szCs w:val="20"/>
        </w:rPr>
      </w:pPr>
      <w:r>
        <w:rPr>
          <w:rFonts w:ascii="Arial" w:hAnsi="Arial" w:cs="Arial"/>
          <w:sz w:val="20"/>
          <w:szCs w:val="20"/>
        </w:rPr>
        <w:t>Subsection (2) sets out when a modified item is included in a class</w:t>
      </w:r>
      <w:r w:rsidR="00661315">
        <w:rPr>
          <w:rFonts w:ascii="Arial" w:hAnsi="Arial" w:cs="Arial"/>
          <w:sz w:val="20"/>
          <w:szCs w:val="20"/>
        </w:rPr>
        <w:t xml:space="preserve"> of items</w:t>
      </w:r>
      <w:r w:rsidR="00653399">
        <w:rPr>
          <w:rFonts w:ascii="Arial" w:hAnsi="Arial" w:cs="Arial"/>
          <w:sz w:val="20"/>
          <w:szCs w:val="20"/>
        </w:rPr>
        <w:t>.</w:t>
      </w:r>
      <w:r w:rsidR="00493932">
        <w:rPr>
          <w:rFonts w:ascii="Arial" w:hAnsi="Arial" w:cs="Arial"/>
          <w:sz w:val="20"/>
          <w:szCs w:val="20"/>
        </w:rPr>
        <w:t xml:space="preserve"> </w:t>
      </w:r>
      <w:r w:rsidR="008E7434">
        <w:rPr>
          <w:rFonts w:ascii="Arial" w:hAnsi="Arial" w:cs="Arial"/>
          <w:sz w:val="20"/>
          <w:szCs w:val="20"/>
        </w:rPr>
        <w:t xml:space="preserve">A modified item is included in a class of items if the modification is identical to </w:t>
      </w:r>
      <w:r w:rsidR="00661315">
        <w:rPr>
          <w:rFonts w:ascii="Arial" w:hAnsi="Arial" w:cs="Arial"/>
          <w:sz w:val="20"/>
          <w:szCs w:val="20"/>
        </w:rPr>
        <w:t>the</w:t>
      </w:r>
      <w:r w:rsidR="008E7434">
        <w:rPr>
          <w:rFonts w:ascii="Arial" w:hAnsi="Arial" w:cs="Arial"/>
          <w:sz w:val="20"/>
          <w:szCs w:val="20"/>
        </w:rPr>
        <w:t xml:space="preserve"> modification</w:t>
      </w:r>
      <w:r w:rsidR="00661315">
        <w:rPr>
          <w:rFonts w:ascii="Arial" w:hAnsi="Arial" w:cs="Arial"/>
          <w:sz w:val="20"/>
          <w:szCs w:val="20"/>
        </w:rPr>
        <w:t xml:space="preserve"> made</w:t>
      </w:r>
      <w:r w:rsidR="008E7434">
        <w:rPr>
          <w:rFonts w:ascii="Arial" w:hAnsi="Arial" w:cs="Arial"/>
          <w:sz w:val="20"/>
          <w:szCs w:val="20"/>
        </w:rPr>
        <w:t xml:space="preserve"> to</w:t>
      </w:r>
      <w:r w:rsidR="00661315">
        <w:rPr>
          <w:rFonts w:ascii="Arial" w:hAnsi="Arial" w:cs="Arial"/>
          <w:sz w:val="20"/>
          <w:szCs w:val="20"/>
        </w:rPr>
        <w:t xml:space="preserve"> each other</w:t>
      </w:r>
      <w:r w:rsidR="008E7434">
        <w:rPr>
          <w:rFonts w:ascii="Arial" w:hAnsi="Arial" w:cs="Arial"/>
          <w:sz w:val="20"/>
          <w:szCs w:val="20"/>
        </w:rPr>
        <w:t xml:space="preserve"> </w:t>
      </w:r>
      <w:r w:rsidR="00EB355B">
        <w:rPr>
          <w:rFonts w:ascii="Arial" w:hAnsi="Arial" w:cs="Arial"/>
          <w:sz w:val="20"/>
          <w:szCs w:val="20"/>
        </w:rPr>
        <w:t>item of</w:t>
      </w:r>
      <w:r w:rsidR="008E7434">
        <w:rPr>
          <w:rFonts w:ascii="Arial" w:hAnsi="Arial" w:cs="Arial"/>
          <w:sz w:val="20"/>
          <w:szCs w:val="20"/>
        </w:rPr>
        <w:t xml:space="preserve"> the class, the modified item is otherwise identical to </w:t>
      </w:r>
      <w:r w:rsidR="00661315">
        <w:rPr>
          <w:rFonts w:ascii="Arial" w:hAnsi="Arial" w:cs="Arial"/>
          <w:sz w:val="20"/>
          <w:szCs w:val="20"/>
        </w:rPr>
        <w:t xml:space="preserve">each </w:t>
      </w:r>
      <w:r w:rsidR="008E7434">
        <w:rPr>
          <w:rFonts w:ascii="Arial" w:hAnsi="Arial" w:cs="Arial"/>
          <w:sz w:val="20"/>
          <w:szCs w:val="20"/>
        </w:rPr>
        <w:t xml:space="preserve">other item, and the modified item has the same </w:t>
      </w:r>
      <w:r w:rsidR="00661315">
        <w:rPr>
          <w:rFonts w:ascii="Arial" w:hAnsi="Arial" w:cs="Arial"/>
          <w:sz w:val="20"/>
          <w:szCs w:val="20"/>
        </w:rPr>
        <w:t>supplier</w:t>
      </w:r>
      <w:r w:rsidR="008E7434">
        <w:rPr>
          <w:rFonts w:ascii="Arial" w:hAnsi="Arial" w:cs="Arial"/>
          <w:sz w:val="20"/>
          <w:szCs w:val="20"/>
        </w:rPr>
        <w:t xml:space="preserve"> as </w:t>
      </w:r>
      <w:r w:rsidR="00661315">
        <w:rPr>
          <w:rFonts w:ascii="Arial" w:hAnsi="Arial" w:cs="Arial"/>
          <w:sz w:val="20"/>
          <w:szCs w:val="20"/>
        </w:rPr>
        <w:t xml:space="preserve">each </w:t>
      </w:r>
      <w:r w:rsidR="008E7434">
        <w:rPr>
          <w:rFonts w:ascii="Arial" w:hAnsi="Arial" w:cs="Arial"/>
          <w:sz w:val="20"/>
          <w:szCs w:val="20"/>
        </w:rPr>
        <w:t xml:space="preserve">other item.  Again, the first item to be modified is the “original modified item” of the class.  </w:t>
      </w:r>
      <w:r w:rsidR="00661315">
        <w:rPr>
          <w:rFonts w:ascii="Arial" w:hAnsi="Arial" w:cs="Arial"/>
          <w:sz w:val="20"/>
          <w:szCs w:val="20"/>
        </w:rPr>
        <w:t>In practice</w:t>
      </w:r>
      <w:r w:rsidR="008E7434">
        <w:rPr>
          <w:rFonts w:ascii="Arial" w:hAnsi="Arial" w:cs="Arial"/>
          <w:sz w:val="20"/>
          <w:szCs w:val="20"/>
        </w:rPr>
        <w:t>, the original modified item is the item on which</w:t>
      </w:r>
      <w:r w:rsidR="00661315">
        <w:rPr>
          <w:rFonts w:ascii="Arial" w:hAnsi="Arial" w:cs="Arial"/>
          <w:sz w:val="20"/>
          <w:szCs w:val="20"/>
        </w:rPr>
        <w:t xml:space="preserve"> a supplier will </w:t>
      </w:r>
      <w:r w:rsidR="008E7434">
        <w:rPr>
          <w:rFonts w:ascii="Arial" w:hAnsi="Arial" w:cs="Arial"/>
          <w:sz w:val="20"/>
          <w:szCs w:val="20"/>
        </w:rPr>
        <w:t>base</w:t>
      </w:r>
      <w:r w:rsidR="00661315">
        <w:rPr>
          <w:rFonts w:ascii="Arial" w:hAnsi="Arial" w:cs="Arial"/>
          <w:sz w:val="20"/>
          <w:szCs w:val="20"/>
        </w:rPr>
        <w:t xml:space="preserve"> its performance of</w:t>
      </w:r>
      <w:r w:rsidR="008E7434">
        <w:rPr>
          <w:rFonts w:ascii="Arial" w:hAnsi="Arial" w:cs="Arial"/>
          <w:sz w:val="20"/>
          <w:szCs w:val="20"/>
        </w:rPr>
        <w:t xml:space="preserve"> compliance and record</w:t>
      </w:r>
      <w:r w:rsidR="00661315">
        <w:rPr>
          <w:rFonts w:ascii="Arial" w:hAnsi="Arial" w:cs="Arial"/>
          <w:sz w:val="20"/>
          <w:szCs w:val="20"/>
        </w:rPr>
        <w:t>-</w:t>
      </w:r>
      <w:r w:rsidR="008E7434">
        <w:rPr>
          <w:rFonts w:ascii="Arial" w:hAnsi="Arial" w:cs="Arial"/>
          <w:sz w:val="20"/>
          <w:szCs w:val="20"/>
        </w:rPr>
        <w:t xml:space="preserve">keeping </w:t>
      </w:r>
      <w:r w:rsidR="00661315">
        <w:rPr>
          <w:rFonts w:ascii="Arial" w:hAnsi="Arial" w:cs="Arial"/>
          <w:sz w:val="20"/>
          <w:szCs w:val="20"/>
        </w:rPr>
        <w:t>obligations</w:t>
      </w:r>
      <w:r w:rsidR="008E7434">
        <w:rPr>
          <w:rFonts w:ascii="Arial" w:hAnsi="Arial" w:cs="Arial"/>
          <w:sz w:val="20"/>
          <w:szCs w:val="20"/>
        </w:rPr>
        <w:t>.</w:t>
      </w:r>
    </w:p>
    <w:p w14:paraId="5A49ABAE" w14:textId="7D2C3B2D" w:rsidR="0055122C" w:rsidRDefault="006E216F" w:rsidP="0055122C">
      <w:pPr>
        <w:spacing w:after="200" w:line="240" w:lineRule="atLeast"/>
        <w:jc w:val="both"/>
        <w:rPr>
          <w:rFonts w:ascii="Arial" w:hAnsi="Arial" w:cs="Arial"/>
          <w:sz w:val="20"/>
          <w:szCs w:val="20"/>
        </w:rPr>
      </w:pPr>
      <w:r>
        <w:rPr>
          <w:rFonts w:ascii="Arial" w:hAnsi="Arial" w:cs="Arial"/>
          <w:sz w:val="20"/>
          <w:szCs w:val="20"/>
        </w:rPr>
        <w:t xml:space="preserve">Subsection (3) </w:t>
      </w:r>
      <w:r w:rsidR="008E7434">
        <w:rPr>
          <w:rFonts w:ascii="Arial" w:hAnsi="Arial" w:cs="Arial"/>
          <w:sz w:val="20"/>
          <w:szCs w:val="20"/>
        </w:rPr>
        <w:t>deems</w:t>
      </w:r>
      <w:r w:rsidR="000834A9">
        <w:rPr>
          <w:rFonts w:ascii="Arial" w:hAnsi="Arial" w:cs="Arial"/>
          <w:sz w:val="20"/>
          <w:szCs w:val="20"/>
        </w:rPr>
        <w:t xml:space="preserve"> a </w:t>
      </w:r>
      <w:r w:rsidR="008E7434">
        <w:rPr>
          <w:rFonts w:ascii="Arial" w:hAnsi="Arial" w:cs="Arial"/>
          <w:sz w:val="20"/>
          <w:szCs w:val="20"/>
        </w:rPr>
        <w:t>supplier</w:t>
      </w:r>
      <w:r w:rsidR="000834A9">
        <w:rPr>
          <w:rFonts w:ascii="Arial" w:hAnsi="Arial" w:cs="Arial"/>
          <w:sz w:val="20"/>
          <w:szCs w:val="20"/>
        </w:rPr>
        <w:t xml:space="preserve"> </w:t>
      </w:r>
      <w:r w:rsidR="008E7434">
        <w:rPr>
          <w:rFonts w:ascii="Arial" w:hAnsi="Arial" w:cs="Arial"/>
          <w:sz w:val="20"/>
          <w:szCs w:val="20"/>
        </w:rPr>
        <w:t xml:space="preserve">to </w:t>
      </w:r>
      <w:r w:rsidR="000834A9">
        <w:rPr>
          <w:rFonts w:ascii="Arial" w:hAnsi="Arial" w:cs="Arial"/>
          <w:sz w:val="20"/>
          <w:szCs w:val="20"/>
        </w:rPr>
        <w:t>ha</w:t>
      </w:r>
      <w:r w:rsidR="008E7434">
        <w:rPr>
          <w:rFonts w:ascii="Arial" w:hAnsi="Arial" w:cs="Arial"/>
          <w:sz w:val="20"/>
          <w:szCs w:val="20"/>
        </w:rPr>
        <w:t>ve</w:t>
      </w:r>
      <w:r w:rsidR="000834A9">
        <w:rPr>
          <w:rFonts w:ascii="Arial" w:hAnsi="Arial" w:cs="Arial"/>
          <w:sz w:val="20"/>
          <w:szCs w:val="20"/>
        </w:rPr>
        <w:t xml:space="preserve"> complied </w:t>
      </w:r>
      <w:r w:rsidR="00661315">
        <w:rPr>
          <w:rFonts w:ascii="Arial" w:hAnsi="Arial" w:cs="Arial"/>
          <w:sz w:val="20"/>
          <w:szCs w:val="20"/>
        </w:rPr>
        <w:t>with a requirement mentioned in that subsection (including the requirement to complete a declaration of conformity (DoC)) for every item included in a class of items, if the supplier has complied with the requirement for another item of that class</w:t>
      </w:r>
      <w:r w:rsidR="000834A9">
        <w:rPr>
          <w:rFonts w:ascii="Arial" w:hAnsi="Arial" w:cs="Arial"/>
          <w:sz w:val="20"/>
          <w:szCs w:val="20"/>
        </w:rPr>
        <w:t>.</w:t>
      </w:r>
      <w:r w:rsidR="008E7434">
        <w:rPr>
          <w:rFonts w:ascii="Arial" w:hAnsi="Arial" w:cs="Arial"/>
          <w:sz w:val="20"/>
          <w:szCs w:val="20"/>
        </w:rPr>
        <w:t xml:space="preserve">  So, for example, a </w:t>
      </w:r>
      <w:r w:rsidR="00944838">
        <w:rPr>
          <w:rFonts w:ascii="Arial" w:hAnsi="Arial" w:cs="Arial"/>
          <w:sz w:val="20"/>
          <w:szCs w:val="20"/>
        </w:rPr>
        <w:t xml:space="preserve">person </w:t>
      </w:r>
      <w:r w:rsidR="008E7434">
        <w:rPr>
          <w:rFonts w:ascii="Arial" w:hAnsi="Arial" w:cs="Arial"/>
          <w:sz w:val="20"/>
          <w:szCs w:val="20"/>
        </w:rPr>
        <w:t xml:space="preserve">who imports 20,000 </w:t>
      </w:r>
      <w:r w:rsidR="00944838">
        <w:rPr>
          <w:rFonts w:ascii="Arial" w:hAnsi="Arial" w:cs="Arial"/>
          <w:sz w:val="20"/>
          <w:szCs w:val="20"/>
        </w:rPr>
        <w:t xml:space="preserve">identical </w:t>
      </w:r>
      <w:r w:rsidR="008E7434">
        <w:rPr>
          <w:rFonts w:ascii="Arial" w:hAnsi="Arial" w:cs="Arial"/>
          <w:sz w:val="20"/>
          <w:szCs w:val="20"/>
        </w:rPr>
        <w:t>mobile telephones only needs to complete one DoC</w:t>
      </w:r>
      <w:r w:rsidR="00944838">
        <w:rPr>
          <w:rFonts w:ascii="Arial" w:hAnsi="Arial" w:cs="Arial"/>
          <w:sz w:val="20"/>
          <w:szCs w:val="20"/>
        </w:rPr>
        <w:t xml:space="preserve"> for one of</w:t>
      </w:r>
      <w:r w:rsidR="008E7434">
        <w:rPr>
          <w:rFonts w:ascii="Arial" w:hAnsi="Arial" w:cs="Arial"/>
          <w:sz w:val="20"/>
          <w:szCs w:val="20"/>
        </w:rPr>
        <w:t xml:space="preserve"> </w:t>
      </w:r>
      <w:r w:rsidR="00944838">
        <w:rPr>
          <w:rFonts w:ascii="Arial" w:hAnsi="Arial" w:cs="Arial"/>
          <w:sz w:val="20"/>
          <w:szCs w:val="20"/>
        </w:rPr>
        <w:t>those</w:t>
      </w:r>
      <w:r w:rsidR="008E7434">
        <w:rPr>
          <w:rFonts w:ascii="Arial" w:hAnsi="Arial" w:cs="Arial"/>
          <w:sz w:val="20"/>
          <w:szCs w:val="20"/>
        </w:rPr>
        <w:t xml:space="preserve"> telephone</w:t>
      </w:r>
      <w:r w:rsidR="00944838">
        <w:rPr>
          <w:rFonts w:ascii="Arial" w:hAnsi="Arial" w:cs="Arial"/>
          <w:sz w:val="20"/>
          <w:szCs w:val="20"/>
        </w:rPr>
        <w:t>s</w:t>
      </w:r>
      <w:r w:rsidR="008E7434">
        <w:rPr>
          <w:rFonts w:ascii="Arial" w:hAnsi="Arial" w:cs="Arial"/>
          <w:sz w:val="20"/>
          <w:szCs w:val="20"/>
        </w:rPr>
        <w:t>.</w:t>
      </w:r>
      <w:r w:rsidR="00F23011">
        <w:rPr>
          <w:rFonts w:ascii="Arial" w:hAnsi="Arial" w:cs="Arial"/>
          <w:sz w:val="20"/>
          <w:szCs w:val="20"/>
        </w:rPr>
        <w:t xml:space="preserve"> </w:t>
      </w:r>
      <w:r w:rsidR="00944838">
        <w:rPr>
          <w:rFonts w:ascii="Arial" w:hAnsi="Arial" w:cs="Arial"/>
          <w:sz w:val="20"/>
          <w:szCs w:val="20"/>
        </w:rPr>
        <w:t xml:space="preserve">That DoC is taken to be the DoC for each item of that class. </w:t>
      </w:r>
      <w:r w:rsidR="00F23011">
        <w:rPr>
          <w:rFonts w:ascii="Arial" w:hAnsi="Arial" w:cs="Arial"/>
          <w:sz w:val="20"/>
          <w:szCs w:val="20"/>
        </w:rPr>
        <w:t>If a requirement is not mentioned in subsection</w:t>
      </w:r>
      <w:r w:rsidR="00944838">
        <w:rPr>
          <w:rFonts w:ascii="Arial" w:hAnsi="Arial" w:cs="Arial"/>
          <w:sz w:val="20"/>
          <w:szCs w:val="20"/>
        </w:rPr>
        <w:t xml:space="preserve"> (3)</w:t>
      </w:r>
      <w:r w:rsidR="00F23011">
        <w:rPr>
          <w:rFonts w:ascii="Arial" w:hAnsi="Arial" w:cs="Arial"/>
          <w:sz w:val="20"/>
          <w:szCs w:val="20"/>
        </w:rPr>
        <w:t xml:space="preserve">, </w:t>
      </w:r>
      <w:r w:rsidR="00944838">
        <w:rPr>
          <w:rFonts w:ascii="Arial" w:hAnsi="Arial" w:cs="Arial"/>
          <w:sz w:val="20"/>
          <w:szCs w:val="20"/>
        </w:rPr>
        <w:t>the supplier</w:t>
      </w:r>
      <w:r w:rsidR="00F23011">
        <w:rPr>
          <w:rFonts w:ascii="Arial" w:hAnsi="Arial" w:cs="Arial"/>
          <w:sz w:val="20"/>
          <w:szCs w:val="20"/>
        </w:rPr>
        <w:t xml:space="preserve"> must</w:t>
      </w:r>
      <w:r w:rsidR="00944838">
        <w:rPr>
          <w:rFonts w:ascii="Arial" w:hAnsi="Arial" w:cs="Arial"/>
          <w:sz w:val="20"/>
          <w:szCs w:val="20"/>
        </w:rPr>
        <w:t xml:space="preserve"> comply with that requirement where applicable</w:t>
      </w:r>
      <w:r w:rsidR="00F23011">
        <w:rPr>
          <w:rFonts w:ascii="Arial" w:hAnsi="Arial" w:cs="Arial"/>
          <w:sz w:val="20"/>
          <w:szCs w:val="20"/>
        </w:rPr>
        <w:t xml:space="preserve"> in relation to every item </w:t>
      </w:r>
      <w:r w:rsidR="00944838">
        <w:rPr>
          <w:rFonts w:ascii="Arial" w:hAnsi="Arial" w:cs="Arial"/>
          <w:sz w:val="20"/>
          <w:szCs w:val="20"/>
        </w:rPr>
        <w:t xml:space="preserve">of </w:t>
      </w:r>
      <w:r w:rsidR="00F23011">
        <w:rPr>
          <w:rFonts w:ascii="Arial" w:hAnsi="Arial" w:cs="Arial"/>
          <w:sz w:val="20"/>
          <w:szCs w:val="20"/>
        </w:rPr>
        <w:t>the class.  For example, the requirement to apply a label under section 9 of the 2015 Notice is not mentioned in the subsection and so</w:t>
      </w:r>
      <w:r w:rsidR="00944838">
        <w:rPr>
          <w:rFonts w:ascii="Arial" w:hAnsi="Arial" w:cs="Arial"/>
          <w:sz w:val="20"/>
          <w:szCs w:val="20"/>
        </w:rPr>
        <w:t>, if that requirement applies,</w:t>
      </w:r>
      <w:r w:rsidR="00F23011">
        <w:rPr>
          <w:rFonts w:ascii="Arial" w:hAnsi="Arial" w:cs="Arial"/>
          <w:sz w:val="20"/>
          <w:szCs w:val="20"/>
        </w:rPr>
        <w:t xml:space="preserve"> every item </w:t>
      </w:r>
      <w:r w:rsidR="00944838">
        <w:rPr>
          <w:rFonts w:ascii="Arial" w:hAnsi="Arial" w:cs="Arial"/>
          <w:sz w:val="20"/>
          <w:szCs w:val="20"/>
        </w:rPr>
        <w:t>of</w:t>
      </w:r>
      <w:r w:rsidR="00F23011">
        <w:rPr>
          <w:rFonts w:ascii="Arial" w:hAnsi="Arial" w:cs="Arial"/>
          <w:sz w:val="20"/>
          <w:szCs w:val="20"/>
        </w:rPr>
        <w:t xml:space="preserve"> the class must have a label applied to it.</w:t>
      </w:r>
    </w:p>
    <w:p w14:paraId="148CFE20" w14:textId="7526FA23" w:rsidR="0055122C" w:rsidRDefault="000F5729" w:rsidP="00C0603B">
      <w:pPr>
        <w:spacing w:after="80" w:line="240" w:lineRule="atLeast"/>
        <w:jc w:val="both"/>
        <w:rPr>
          <w:rFonts w:ascii="Arial" w:hAnsi="Arial" w:cs="Arial"/>
          <w:b/>
          <w:sz w:val="20"/>
          <w:szCs w:val="20"/>
        </w:rPr>
      </w:pPr>
      <w:r>
        <w:rPr>
          <w:rFonts w:ascii="Arial" w:hAnsi="Arial" w:cs="Arial"/>
          <w:b/>
          <w:sz w:val="20"/>
          <w:szCs w:val="20"/>
        </w:rPr>
        <w:t>Section 6</w:t>
      </w:r>
      <w:r>
        <w:rPr>
          <w:rFonts w:ascii="Arial" w:hAnsi="Arial" w:cs="Arial"/>
          <w:b/>
          <w:sz w:val="20"/>
          <w:szCs w:val="20"/>
        </w:rPr>
        <w:tab/>
        <w:t>Declaration of conformity</w:t>
      </w:r>
    </w:p>
    <w:p w14:paraId="239062B2" w14:textId="6E24AAD8" w:rsidR="000F5729" w:rsidRDefault="000F5729" w:rsidP="00866418">
      <w:pPr>
        <w:spacing w:after="200" w:line="240" w:lineRule="atLeast"/>
        <w:jc w:val="both"/>
        <w:rPr>
          <w:rFonts w:ascii="Arial" w:hAnsi="Arial" w:cs="Arial"/>
          <w:sz w:val="20"/>
          <w:szCs w:val="20"/>
        </w:rPr>
      </w:pPr>
      <w:r>
        <w:rPr>
          <w:rFonts w:ascii="Arial" w:hAnsi="Arial" w:cs="Arial"/>
          <w:sz w:val="20"/>
          <w:szCs w:val="20"/>
        </w:rPr>
        <w:t xml:space="preserve">Section 6 </w:t>
      </w:r>
      <w:r w:rsidR="00EB0377">
        <w:rPr>
          <w:rFonts w:ascii="Arial" w:hAnsi="Arial" w:cs="Arial"/>
          <w:sz w:val="20"/>
          <w:szCs w:val="20"/>
        </w:rPr>
        <w:t xml:space="preserve">specifies the </w:t>
      </w:r>
      <w:r w:rsidR="006116C8">
        <w:rPr>
          <w:rFonts w:ascii="Arial" w:hAnsi="Arial" w:cs="Arial"/>
          <w:sz w:val="20"/>
          <w:szCs w:val="20"/>
        </w:rPr>
        <w:t xml:space="preserve">components </w:t>
      </w:r>
      <w:r w:rsidR="003A5F3A">
        <w:rPr>
          <w:rFonts w:ascii="Arial" w:hAnsi="Arial" w:cs="Arial"/>
          <w:sz w:val="20"/>
          <w:szCs w:val="20"/>
        </w:rPr>
        <w:t xml:space="preserve">that </w:t>
      </w:r>
      <w:r w:rsidR="00EB0377">
        <w:rPr>
          <w:rFonts w:ascii="Arial" w:hAnsi="Arial" w:cs="Arial"/>
          <w:sz w:val="20"/>
          <w:szCs w:val="20"/>
        </w:rPr>
        <w:t>a declaration</w:t>
      </w:r>
      <w:r w:rsidR="003A5F3A">
        <w:rPr>
          <w:rFonts w:ascii="Arial" w:hAnsi="Arial" w:cs="Arial"/>
          <w:sz w:val="20"/>
          <w:szCs w:val="20"/>
        </w:rPr>
        <w:t xml:space="preserve"> must </w:t>
      </w:r>
      <w:r w:rsidR="006116C8">
        <w:rPr>
          <w:rFonts w:ascii="Arial" w:hAnsi="Arial" w:cs="Arial"/>
          <w:sz w:val="20"/>
          <w:szCs w:val="20"/>
        </w:rPr>
        <w:t>contain</w:t>
      </w:r>
      <w:r w:rsidR="003A5F3A">
        <w:rPr>
          <w:rFonts w:ascii="Arial" w:hAnsi="Arial" w:cs="Arial"/>
          <w:sz w:val="20"/>
          <w:szCs w:val="20"/>
        </w:rPr>
        <w:t xml:space="preserve"> to be a DoC</w:t>
      </w:r>
      <w:r w:rsidR="008C5DE0">
        <w:rPr>
          <w:rFonts w:ascii="Arial" w:hAnsi="Arial" w:cs="Arial"/>
          <w:sz w:val="20"/>
          <w:szCs w:val="20"/>
        </w:rPr>
        <w:t xml:space="preserve"> for the purposes of the 2015 Notice</w:t>
      </w:r>
      <w:r w:rsidR="00585FE0">
        <w:rPr>
          <w:rFonts w:ascii="Arial" w:hAnsi="Arial" w:cs="Arial"/>
          <w:sz w:val="20"/>
          <w:szCs w:val="20"/>
        </w:rPr>
        <w:t>.</w:t>
      </w:r>
    </w:p>
    <w:p w14:paraId="5C263740" w14:textId="05EA2A26" w:rsidR="00944838" w:rsidRDefault="00944838" w:rsidP="00866418">
      <w:pPr>
        <w:spacing w:after="200" w:line="240" w:lineRule="atLeast"/>
        <w:jc w:val="both"/>
        <w:rPr>
          <w:rFonts w:ascii="Arial" w:hAnsi="Arial" w:cs="Arial"/>
          <w:sz w:val="20"/>
          <w:szCs w:val="20"/>
        </w:rPr>
      </w:pPr>
      <w:r>
        <w:rPr>
          <w:rFonts w:ascii="Arial" w:hAnsi="Arial" w:cs="Arial"/>
          <w:sz w:val="20"/>
          <w:szCs w:val="20"/>
        </w:rPr>
        <w:t>Paragraph 6(a) lists the persons who may make a DoC on behalf of a supplier.</w:t>
      </w:r>
    </w:p>
    <w:p w14:paraId="5052C0E0" w14:textId="43302471" w:rsidR="00EB0377" w:rsidRDefault="000773D4" w:rsidP="00866418">
      <w:pPr>
        <w:spacing w:after="200" w:line="240" w:lineRule="atLeast"/>
        <w:jc w:val="both"/>
        <w:rPr>
          <w:rFonts w:ascii="Arial" w:hAnsi="Arial" w:cs="Arial"/>
          <w:sz w:val="20"/>
          <w:szCs w:val="20"/>
        </w:rPr>
      </w:pPr>
      <w:r>
        <w:rPr>
          <w:rFonts w:ascii="Arial" w:hAnsi="Arial" w:cs="Arial"/>
          <w:sz w:val="20"/>
          <w:szCs w:val="20"/>
        </w:rPr>
        <w:t>Paragraph 6</w:t>
      </w:r>
      <w:r w:rsidR="00EB0377">
        <w:rPr>
          <w:rFonts w:ascii="Arial" w:hAnsi="Arial" w:cs="Arial"/>
          <w:sz w:val="20"/>
          <w:szCs w:val="20"/>
        </w:rPr>
        <w:t xml:space="preserve">(b) lists the </w:t>
      </w:r>
      <w:r>
        <w:rPr>
          <w:rFonts w:ascii="Arial" w:hAnsi="Arial" w:cs="Arial"/>
          <w:sz w:val="20"/>
          <w:szCs w:val="20"/>
        </w:rPr>
        <w:t>information and statements that must be included in</w:t>
      </w:r>
      <w:r w:rsidR="00EB0377">
        <w:rPr>
          <w:rFonts w:ascii="Arial" w:hAnsi="Arial" w:cs="Arial"/>
          <w:sz w:val="20"/>
          <w:szCs w:val="20"/>
        </w:rPr>
        <w:t xml:space="preserve"> a </w:t>
      </w:r>
      <w:r>
        <w:rPr>
          <w:rFonts w:ascii="Arial" w:hAnsi="Arial" w:cs="Arial"/>
          <w:sz w:val="20"/>
          <w:szCs w:val="20"/>
        </w:rPr>
        <w:t>DoC</w:t>
      </w:r>
      <w:r w:rsidR="00944838">
        <w:rPr>
          <w:rFonts w:ascii="Arial" w:hAnsi="Arial" w:cs="Arial"/>
          <w:sz w:val="20"/>
          <w:szCs w:val="20"/>
        </w:rPr>
        <w:t xml:space="preserve"> for an item</w:t>
      </w:r>
      <w:r>
        <w:rPr>
          <w:rFonts w:ascii="Arial" w:hAnsi="Arial" w:cs="Arial"/>
          <w:sz w:val="20"/>
          <w:szCs w:val="20"/>
        </w:rPr>
        <w:t>.  This includes information necessary to identify the item, the ACMA standards that apply to the item, and the date the item (or original item, or original modified item, of the class) was manufactured or imported</w:t>
      </w:r>
      <w:r w:rsidR="00831F03">
        <w:rPr>
          <w:rFonts w:ascii="Arial" w:hAnsi="Arial" w:cs="Arial"/>
          <w:sz w:val="20"/>
          <w:szCs w:val="20"/>
        </w:rPr>
        <w:t xml:space="preserve"> (or modified)</w:t>
      </w:r>
      <w:r w:rsidR="00EB0377">
        <w:rPr>
          <w:rFonts w:ascii="Arial" w:hAnsi="Arial" w:cs="Arial"/>
          <w:sz w:val="20"/>
          <w:szCs w:val="20"/>
        </w:rPr>
        <w:t>.</w:t>
      </w:r>
      <w:r>
        <w:rPr>
          <w:rFonts w:ascii="Arial" w:hAnsi="Arial" w:cs="Arial"/>
          <w:sz w:val="20"/>
          <w:szCs w:val="20"/>
        </w:rPr>
        <w:t xml:space="preserve">  The DoC also needs to include</w:t>
      </w:r>
      <w:r w:rsidR="00944838">
        <w:rPr>
          <w:rFonts w:ascii="Arial" w:hAnsi="Arial" w:cs="Arial"/>
          <w:sz w:val="20"/>
          <w:szCs w:val="20"/>
        </w:rPr>
        <w:t xml:space="preserve"> a</w:t>
      </w:r>
      <w:r>
        <w:rPr>
          <w:rFonts w:ascii="Arial" w:hAnsi="Arial" w:cs="Arial"/>
          <w:sz w:val="20"/>
          <w:szCs w:val="20"/>
        </w:rPr>
        <w:t xml:space="preserve"> statement to the effect that the declarant is reasonably satisfied that the item complies with </w:t>
      </w:r>
      <w:r w:rsidR="00944838">
        <w:rPr>
          <w:rFonts w:ascii="Arial" w:hAnsi="Arial" w:cs="Arial"/>
          <w:sz w:val="20"/>
          <w:szCs w:val="20"/>
        </w:rPr>
        <w:t xml:space="preserve">each </w:t>
      </w:r>
      <w:r>
        <w:rPr>
          <w:rFonts w:ascii="Arial" w:hAnsi="Arial" w:cs="Arial"/>
          <w:sz w:val="20"/>
          <w:szCs w:val="20"/>
        </w:rPr>
        <w:t xml:space="preserve">applicable ACMA standard and to </w:t>
      </w:r>
      <w:r w:rsidR="00944838">
        <w:rPr>
          <w:rFonts w:ascii="Arial" w:hAnsi="Arial" w:cs="Arial"/>
          <w:sz w:val="20"/>
          <w:szCs w:val="20"/>
        </w:rPr>
        <w:t xml:space="preserve">contain details of </w:t>
      </w:r>
      <w:r>
        <w:rPr>
          <w:rFonts w:ascii="Arial" w:hAnsi="Arial" w:cs="Arial"/>
          <w:sz w:val="20"/>
          <w:szCs w:val="20"/>
        </w:rPr>
        <w:t xml:space="preserve">the documents the declarant has had regard to in order to be so satisfied.  </w:t>
      </w:r>
    </w:p>
    <w:p w14:paraId="54154EC2" w14:textId="07087467" w:rsidR="00866418" w:rsidRDefault="000773D4" w:rsidP="00E90AC3">
      <w:pPr>
        <w:spacing w:after="200" w:line="240" w:lineRule="atLeast"/>
        <w:jc w:val="both"/>
        <w:rPr>
          <w:rFonts w:ascii="Arial" w:hAnsi="Arial" w:cs="Arial"/>
          <w:sz w:val="20"/>
          <w:szCs w:val="20"/>
        </w:rPr>
      </w:pPr>
      <w:r>
        <w:rPr>
          <w:rFonts w:ascii="Arial" w:hAnsi="Arial" w:cs="Arial"/>
          <w:sz w:val="20"/>
          <w:szCs w:val="20"/>
        </w:rPr>
        <w:t>Paragraph 6</w:t>
      </w:r>
      <w:r w:rsidR="00EB0377">
        <w:rPr>
          <w:rFonts w:ascii="Arial" w:hAnsi="Arial" w:cs="Arial"/>
          <w:sz w:val="20"/>
          <w:szCs w:val="20"/>
        </w:rPr>
        <w:t xml:space="preserve">(c) </w:t>
      </w:r>
      <w:r w:rsidR="00944838">
        <w:rPr>
          <w:rFonts w:ascii="Arial" w:hAnsi="Arial" w:cs="Arial"/>
          <w:sz w:val="20"/>
          <w:szCs w:val="20"/>
        </w:rPr>
        <w:t xml:space="preserve">provides </w:t>
      </w:r>
      <w:r w:rsidR="00EB0377">
        <w:rPr>
          <w:rFonts w:ascii="Arial" w:hAnsi="Arial" w:cs="Arial"/>
          <w:sz w:val="20"/>
          <w:szCs w:val="20"/>
        </w:rPr>
        <w:t xml:space="preserve">that the </w:t>
      </w:r>
      <w:r w:rsidR="00944838">
        <w:rPr>
          <w:rFonts w:ascii="Arial" w:hAnsi="Arial" w:cs="Arial"/>
          <w:sz w:val="20"/>
          <w:szCs w:val="20"/>
        </w:rPr>
        <w:t xml:space="preserve">DoC </w:t>
      </w:r>
      <w:r w:rsidR="00EB0377">
        <w:rPr>
          <w:rFonts w:ascii="Arial" w:hAnsi="Arial" w:cs="Arial"/>
          <w:sz w:val="20"/>
          <w:szCs w:val="20"/>
        </w:rPr>
        <w:t xml:space="preserve">must </w:t>
      </w:r>
      <w:r w:rsidR="00757774">
        <w:rPr>
          <w:rFonts w:ascii="Arial" w:hAnsi="Arial" w:cs="Arial"/>
          <w:sz w:val="20"/>
          <w:szCs w:val="20"/>
        </w:rPr>
        <w:t xml:space="preserve">be </w:t>
      </w:r>
      <w:r w:rsidR="00EB0377">
        <w:rPr>
          <w:rFonts w:ascii="Arial" w:hAnsi="Arial" w:cs="Arial"/>
          <w:sz w:val="20"/>
          <w:szCs w:val="20"/>
        </w:rPr>
        <w:t>signed and dated.</w:t>
      </w:r>
    </w:p>
    <w:p w14:paraId="4408C864" w14:textId="77777777" w:rsidR="00944838" w:rsidRDefault="00944838" w:rsidP="00944838">
      <w:pPr>
        <w:spacing w:after="200" w:line="240" w:lineRule="atLeast"/>
        <w:rPr>
          <w:rFonts w:ascii="Arial" w:hAnsi="Arial" w:cs="Arial"/>
          <w:sz w:val="20"/>
          <w:szCs w:val="20"/>
        </w:rPr>
      </w:pPr>
      <w:r>
        <w:rPr>
          <w:rFonts w:ascii="Arial" w:hAnsi="Arial" w:cs="Arial"/>
          <w:sz w:val="20"/>
          <w:szCs w:val="20"/>
        </w:rPr>
        <w:t xml:space="preserve">A note at the end of section 6 indicates that the </w:t>
      </w:r>
      <w:r w:rsidRPr="00655B7A">
        <w:rPr>
          <w:rFonts w:ascii="Arial" w:hAnsi="Arial" w:cs="Arial"/>
          <w:i/>
          <w:sz w:val="20"/>
          <w:szCs w:val="20"/>
        </w:rPr>
        <w:t>Criminal Code</w:t>
      </w:r>
      <w:r>
        <w:rPr>
          <w:rFonts w:ascii="Arial" w:hAnsi="Arial" w:cs="Arial"/>
          <w:sz w:val="20"/>
          <w:szCs w:val="20"/>
        </w:rPr>
        <w:t xml:space="preserve"> imposes penalties for giving false or misleading information to the ACMA or producing false or misleading documents to the ACMA.</w:t>
      </w:r>
    </w:p>
    <w:p w14:paraId="4227546F" w14:textId="77777777" w:rsidR="00944838" w:rsidRDefault="00944838" w:rsidP="00E90AC3">
      <w:pPr>
        <w:spacing w:after="200" w:line="240" w:lineRule="atLeast"/>
        <w:jc w:val="both"/>
        <w:rPr>
          <w:rFonts w:ascii="Arial" w:hAnsi="Arial" w:cs="Arial"/>
          <w:sz w:val="20"/>
          <w:szCs w:val="20"/>
        </w:rPr>
      </w:pPr>
    </w:p>
    <w:p w14:paraId="03840CB5" w14:textId="0606B949" w:rsidR="00866418" w:rsidRDefault="00866418" w:rsidP="00727B02">
      <w:pPr>
        <w:spacing w:before="240" w:after="120" w:line="240" w:lineRule="atLeast"/>
        <w:jc w:val="center"/>
        <w:rPr>
          <w:rFonts w:ascii="Arial" w:hAnsi="Arial" w:cs="Arial"/>
          <w:b/>
        </w:rPr>
      </w:pPr>
      <w:r>
        <w:rPr>
          <w:rFonts w:ascii="Arial" w:hAnsi="Arial" w:cs="Arial"/>
          <w:b/>
        </w:rPr>
        <w:t>Part 3 – Application</w:t>
      </w:r>
    </w:p>
    <w:p w14:paraId="5F459691" w14:textId="0BAE216E" w:rsidR="00866418" w:rsidRDefault="00866418" w:rsidP="00866418">
      <w:pPr>
        <w:spacing w:before="240" w:after="80" w:line="240" w:lineRule="atLeast"/>
        <w:jc w:val="both"/>
        <w:rPr>
          <w:rFonts w:ascii="Arial" w:hAnsi="Arial" w:cs="Arial"/>
          <w:b/>
          <w:sz w:val="20"/>
          <w:szCs w:val="20"/>
        </w:rPr>
      </w:pPr>
      <w:r w:rsidRPr="007A2EA8">
        <w:rPr>
          <w:rFonts w:ascii="Arial" w:hAnsi="Arial" w:cs="Arial"/>
          <w:b/>
          <w:sz w:val="20"/>
          <w:szCs w:val="20"/>
        </w:rPr>
        <w:t>S</w:t>
      </w:r>
      <w:r>
        <w:rPr>
          <w:rFonts w:ascii="Arial" w:hAnsi="Arial" w:cs="Arial"/>
          <w:b/>
          <w:sz w:val="20"/>
          <w:szCs w:val="20"/>
        </w:rPr>
        <w:t>ection 7</w:t>
      </w:r>
      <w:r>
        <w:rPr>
          <w:rFonts w:ascii="Arial" w:hAnsi="Arial" w:cs="Arial"/>
          <w:b/>
          <w:sz w:val="20"/>
          <w:szCs w:val="20"/>
        </w:rPr>
        <w:tab/>
        <w:t>Application of this Instrument</w:t>
      </w:r>
    </w:p>
    <w:p w14:paraId="52F1E7F3" w14:textId="6549C3FF" w:rsidR="00421AF8" w:rsidRDefault="00421AF8" w:rsidP="00866418">
      <w:pPr>
        <w:spacing w:after="200" w:line="240" w:lineRule="atLeast"/>
        <w:jc w:val="both"/>
        <w:rPr>
          <w:rFonts w:ascii="Arial" w:hAnsi="Arial" w:cs="Arial"/>
          <w:sz w:val="20"/>
          <w:szCs w:val="20"/>
        </w:rPr>
      </w:pPr>
      <w:r>
        <w:rPr>
          <w:rFonts w:ascii="Arial" w:hAnsi="Arial" w:cs="Arial"/>
          <w:sz w:val="20"/>
          <w:szCs w:val="20"/>
        </w:rPr>
        <w:t>Section 7 specifies the scope of the 2015 Notice.</w:t>
      </w:r>
    </w:p>
    <w:p w14:paraId="324529E4" w14:textId="40969441" w:rsidR="00866418" w:rsidRDefault="00866418" w:rsidP="00866418">
      <w:pPr>
        <w:spacing w:after="200" w:line="240" w:lineRule="atLeast"/>
        <w:jc w:val="both"/>
        <w:rPr>
          <w:rFonts w:ascii="Arial" w:hAnsi="Arial" w:cs="Arial"/>
          <w:sz w:val="20"/>
          <w:szCs w:val="20"/>
        </w:rPr>
      </w:pPr>
      <w:r>
        <w:rPr>
          <w:rFonts w:ascii="Arial" w:hAnsi="Arial" w:cs="Arial"/>
          <w:sz w:val="20"/>
          <w:szCs w:val="20"/>
        </w:rPr>
        <w:t>S</w:t>
      </w:r>
      <w:r w:rsidR="001D0770">
        <w:rPr>
          <w:rFonts w:ascii="Arial" w:hAnsi="Arial" w:cs="Arial"/>
          <w:sz w:val="20"/>
          <w:szCs w:val="20"/>
        </w:rPr>
        <w:t>ubs</w:t>
      </w:r>
      <w:r>
        <w:rPr>
          <w:rFonts w:ascii="Arial" w:hAnsi="Arial" w:cs="Arial"/>
          <w:sz w:val="20"/>
          <w:szCs w:val="20"/>
        </w:rPr>
        <w:t xml:space="preserve">ection </w:t>
      </w:r>
      <w:r w:rsidR="001D0770">
        <w:rPr>
          <w:rFonts w:ascii="Arial" w:hAnsi="Arial" w:cs="Arial"/>
          <w:sz w:val="20"/>
          <w:szCs w:val="20"/>
        </w:rPr>
        <w:t>(1)</w:t>
      </w:r>
      <w:r>
        <w:rPr>
          <w:rFonts w:ascii="Arial" w:hAnsi="Arial" w:cs="Arial"/>
          <w:sz w:val="20"/>
          <w:szCs w:val="20"/>
        </w:rPr>
        <w:t xml:space="preserve"> </w:t>
      </w:r>
      <w:r w:rsidR="00944838">
        <w:rPr>
          <w:rFonts w:ascii="Arial" w:hAnsi="Arial" w:cs="Arial"/>
          <w:sz w:val="20"/>
          <w:szCs w:val="20"/>
        </w:rPr>
        <w:t xml:space="preserve">provides </w:t>
      </w:r>
      <w:r>
        <w:rPr>
          <w:rFonts w:ascii="Arial" w:hAnsi="Arial" w:cs="Arial"/>
          <w:sz w:val="20"/>
          <w:szCs w:val="20"/>
        </w:rPr>
        <w:t xml:space="preserve">that the 2015 </w:t>
      </w:r>
      <w:r w:rsidR="001D0770">
        <w:rPr>
          <w:rFonts w:ascii="Arial" w:hAnsi="Arial" w:cs="Arial"/>
          <w:sz w:val="20"/>
          <w:szCs w:val="20"/>
        </w:rPr>
        <w:t>Notice applies to an item</w:t>
      </w:r>
      <w:r w:rsidR="002C1815">
        <w:rPr>
          <w:rFonts w:ascii="Arial" w:hAnsi="Arial" w:cs="Arial"/>
          <w:sz w:val="20"/>
          <w:szCs w:val="20"/>
        </w:rPr>
        <w:t xml:space="preserve"> of CE or CC,</w:t>
      </w:r>
      <w:r w:rsidR="001D0770">
        <w:rPr>
          <w:rFonts w:ascii="Arial" w:hAnsi="Arial" w:cs="Arial"/>
          <w:sz w:val="20"/>
          <w:szCs w:val="20"/>
        </w:rPr>
        <w:t xml:space="preserve"> other than </w:t>
      </w:r>
      <w:r w:rsidR="00031168">
        <w:rPr>
          <w:rFonts w:ascii="Arial" w:hAnsi="Arial" w:cs="Arial"/>
          <w:sz w:val="20"/>
          <w:szCs w:val="20"/>
        </w:rPr>
        <w:t>an item mentioned in Schedule 2. (The 2015 Notice does not apply to any item mentioned in Schedule 2.)</w:t>
      </w:r>
    </w:p>
    <w:p w14:paraId="27710673" w14:textId="053963AF" w:rsidR="001D0770" w:rsidRDefault="001D0770" w:rsidP="00177A83">
      <w:pPr>
        <w:spacing w:after="200" w:line="240" w:lineRule="atLeast"/>
        <w:jc w:val="both"/>
        <w:rPr>
          <w:rFonts w:ascii="Arial" w:hAnsi="Arial" w:cs="Arial"/>
          <w:sz w:val="20"/>
          <w:szCs w:val="20"/>
        </w:rPr>
      </w:pPr>
      <w:r>
        <w:rPr>
          <w:rFonts w:ascii="Arial" w:hAnsi="Arial" w:cs="Arial"/>
          <w:sz w:val="20"/>
          <w:szCs w:val="20"/>
        </w:rPr>
        <w:t xml:space="preserve">Subsection (2) provides that Schedule 4 has effect </w:t>
      </w:r>
      <w:r w:rsidR="00031168">
        <w:rPr>
          <w:rFonts w:ascii="Arial" w:hAnsi="Arial" w:cs="Arial"/>
          <w:sz w:val="20"/>
          <w:szCs w:val="20"/>
        </w:rPr>
        <w:t>which</w:t>
      </w:r>
      <w:r>
        <w:rPr>
          <w:rFonts w:ascii="Arial" w:hAnsi="Arial" w:cs="Arial"/>
          <w:sz w:val="20"/>
          <w:szCs w:val="20"/>
        </w:rPr>
        <w:t xml:space="preserve"> only applies to customer cabling and surge protectors.</w:t>
      </w:r>
    </w:p>
    <w:p w14:paraId="44424318" w14:textId="6117AF9D" w:rsidR="000C6FE1" w:rsidRPr="00BA4364" w:rsidRDefault="00321053" w:rsidP="00866418">
      <w:pPr>
        <w:spacing w:after="200" w:line="240" w:lineRule="atLeast"/>
        <w:jc w:val="both"/>
        <w:rPr>
          <w:rFonts w:ascii="Arial" w:hAnsi="Arial" w:cs="Arial"/>
          <w:sz w:val="20"/>
          <w:szCs w:val="20"/>
        </w:rPr>
      </w:pPr>
      <w:r>
        <w:rPr>
          <w:rFonts w:ascii="Arial" w:hAnsi="Arial" w:cs="Arial"/>
          <w:sz w:val="20"/>
          <w:szCs w:val="20"/>
        </w:rPr>
        <w:t>In addition to the requirements of th</w:t>
      </w:r>
      <w:r w:rsidR="00843F79">
        <w:rPr>
          <w:rFonts w:ascii="Arial" w:hAnsi="Arial" w:cs="Arial"/>
          <w:sz w:val="20"/>
          <w:szCs w:val="20"/>
        </w:rPr>
        <w:t>e</w:t>
      </w:r>
      <w:r>
        <w:rPr>
          <w:rFonts w:ascii="Arial" w:hAnsi="Arial" w:cs="Arial"/>
          <w:sz w:val="20"/>
          <w:szCs w:val="20"/>
        </w:rPr>
        <w:t xml:space="preserve"> </w:t>
      </w:r>
      <w:r w:rsidR="00843F79">
        <w:rPr>
          <w:rFonts w:ascii="Arial" w:hAnsi="Arial" w:cs="Arial"/>
          <w:sz w:val="20"/>
          <w:szCs w:val="20"/>
        </w:rPr>
        <w:t>2015 Notice</w:t>
      </w:r>
      <w:r>
        <w:rPr>
          <w:rFonts w:ascii="Arial" w:hAnsi="Arial" w:cs="Arial"/>
          <w:sz w:val="20"/>
          <w:szCs w:val="20"/>
        </w:rPr>
        <w:t xml:space="preserve">, an item may also be subject to the requirements of notices made under section 182 of the </w:t>
      </w:r>
      <w:r w:rsidRPr="00790216">
        <w:rPr>
          <w:rFonts w:ascii="Arial" w:hAnsi="Arial" w:cs="Arial"/>
          <w:i/>
          <w:sz w:val="20"/>
          <w:szCs w:val="20"/>
        </w:rPr>
        <w:t>Radiocommunications Act 199</w:t>
      </w:r>
      <w:r>
        <w:rPr>
          <w:rFonts w:ascii="Arial" w:hAnsi="Arial" w:cs="Arial"/>
          <w:i/>
          <w:sz w:val="20"/>
          <w:szCs w:val="20"/>
        </w:rPr>
        <w:t xml:space="preserve">2 </w:t>
      </w:r>
      <w:r w:rsidRPr="00CB1A92">
        <w:rPr>
          <w:rFonts w:ascii="Arial" w:hAnsi="Arial" w:cs="Arial"/>
          <w:sz w:val="20"/>
          <w:szCs w:val="20"/>
        </w:rPr>
        <w:t>(</w:t>
      </w:r>
      <w:r w:rsidR="00031168">
        <w:rPr>
          <w:rFonts w:ascii="Arial" w:hAnsi="Arial" w:cs="Arial"/>
          <w:sz w:val="20"/>
          <w:szCs w:val="20"/>
        </w:rPr>
        <w:t>such as</w:t>
      </w:r>
      <w:r w:rsidRPr="00CB1A92">
        <w:rPr>
          <w:rFonts w:ascii="Arial" w:hAnsi="Arial" w:cs="Arial"/>
          <w:sz w:val="20"/>
          <w:szCs w:val="20"/>
        </w:rPr>
        <w:t xml:space="preserve"> the</w:t>
      </w:r>
      <w:r>
        <w:rPr>
          <w:rFonts w:ascii="Arial" w:hAnsi="Arial" w:cs="Arial"/>
          <w:sz w:val="20"/>
          <w:szCs w:val="20"/>
        </w:rPr>
        <w:t xml:space="preserve"> </w:t>
      </w:r>
      <w:r>
        <w:rPr>
          <w:rFonts w:ascii="Arial" w:hAnsi="Arial" w:cs="Arial"/>
          <w:i/>
          <w:sz w:val="20"/>
          <w:szCs w:val="20"/>
        </w:rPr>
        <w:t>Radiocom</w:t>
      </w:r>
      <w:r w:rsidR="00653399">
        <w:rPr>
          <w:rFonts w:ascii="Arial" w:hAnsi="Arial" w:cs="Arial"/>
          <w:i/>
          <w:sz w:val="20"/>
          <w:szCs w:val="20"/>
        </w:rPr>
        <w:t>m</w:t>
      </w:r>
      <w:r>
        <w:rPr>
          <w:rFonts w:ascii="Arial" w:hAnsi="Arial" w:cs="Arial"/>
          <w:i/>
          <w:sz w:val="20"/>
          <w:szCs w:val="20"/>
        </w:rPr>
        <w:t xml:space="preserve">unications </w:t>
      </w:r>
      <w:r w:rsidRPr="00CB1A92">
        <w:rPr>
          <w:rFonts w:ascii="Arial" w:hAnsi="Arial" w:cs="Arial"/>
          <w:i/>
          <w:sz w:val="20"/>
          <w:szCs w:val="20"/>
        </w:rPr>
        <w:t>(Compliance Labelling – Devices) Notice 2014</w:t>
      </w:r>
      <w:r>
        <w:rPr>
          <w:rFonts w:ascii="Arial" w:hAnsi="Arial" w:cs="Arial"/>
          <w:i/>
          <w:sz w:val="20"/>
          <w:szCs w:val="20"/>
        </w:rPr>
        <w:t xml:space="preserve">, </w:t>
      </w:r>
      <w:r>
        <w:rPr>
          <w:rFonts w:ascii="Arial" w:hAnsi="Arial" w:cs="Arial"/>
          <w:sz w:val="20"/>
          <w:szCs w:val="20"/>
        </w:rPr>
        <w:t xml:space="preserve">the </w:t>
      </w:r>
      <w:r w:rsidRPr="00BA4364">
        <w:rPr>
          <w:rFonts w:ascii="Arial" w:hAnsi="Arial" w:cs="Arial"/>
          <w:i/>
          <w:sz w:val="20"/>
          <w:szCs w:val="20"/>
        </w:rPr>
        <w:t>Radiocommunications</w:t>
      </w:r>
      <w:r w:rsidRPr="00D14EDB">
        <w:rPr>
          <w:rFonts w:ascii="Arial" w:hAnsi="Arial" w:cs="Arial"/>
          <w:i/>
          <w:sz w:val="20"/>
          <w:szCs w:val="20"/>
        </w:rPr>
        <w:t xml:space="preserve"> (Compliance Labelling – Electr</w:t>
      </w:r>
      <w:r>
        <w:rPr>
          <w:rFonts w:ascii="Arial" w:hAnsi="Arial" w:cs="Arial"/>
          <w:i/>
          <w:sz w:val="20"/>
          <w:szCs w:val="20"/>
        </w:rPr>
        <w:t>omagnetic Radiation) Notice 2014</w:t>
      </w:r>
      <w:r>
        <w:rPr>
          <w:rFonts w:ascii="Arial" w:hAnsi="Arial" w:cs="Arial"/>
          <w:sz w:val="20"/>
          <w:szCs w:val="20"/>
        </w:rPr>
        <w:t xml:space="preserve"> or the </w:t>
      </w:r>
      <w:r w:rsidRPr="00D14EDB">
        <w:rPr>
          <w:rFonts w:ascii="Arial" w:hAnsi="Arial" w:cs="Arial"/>
          <w:i/>
          <w:sz w:val="20"/>
          <w:szCs w:val="20"/>
        </w:rPr>
        <w:t>Radiocommunications Labelling (Electromagnetic Compatibility) Notice 2008</w:t>
      </w:r>
      <w:r w:rsidRPr="00CB1A92">
        <w:rPr>
          <w:rFonts w:ascii="Arial" w:hAnsi="Arial" w:cs="Arial"/>
          <w:sz w:val="20"/>
          <w:szCs w:val="20"/>
        </w:rPr>
        <w:t>).</w:t>
      </w:r>
      <w:r w:rsidR="00843F79">
        <w:rPr>
          <w:rFonts w:ascii="Arial" w:hAnsi="Arial" w:cs="Arial"/>
          <w:sz w:val="20"/>
          <w:szCs w:val="20"/>
        </w:rPr>
        <w:t xml:space="preserve"> </w:t>
      </w:r>
    </w:p>
    <w:p w14:paraId="4EB2C806" w14:textId="60CF5B23" w:rsidR="00585B11" w:rsidRPr="00D73F22" w:rsidRDefault="00585B11" w:rsidP="00D860C7">
      <w:pPr>
        <w:keepNext/>
        <w:spacing w:before="240" w:after="120" w:line="240" w:lineRule="atLeast"/>
        <w:jc w:val="center"/>
        <w:rPr>
          <w:rFonts w:ascii="Arial" w:hAnsi="Arial" w:cs="Arial"/>
          <w:b/>
        </w:rPr>
      </w:pPr>
      <w:r w:rsidRPr="00D73F22">
        <w:rPr>
          <w:rFonts w:ascii="Arial" w:hAnsi="Arial" w:cs="Arial"/>
          <w:b/>
        </w:rPr>
        <w:lastRenderedPageBreak/>
        <w:t>Part 4 – Labelling requirements</w:t>
      </w:r>
    </w:p>
    <w:p w14:paraId="52449E94" w14:textId="77777777" w:rsidR="00031168" w:rsidRPr="001F3D64" w:rsidRDefault="00031168" w:rsidP="00031168">
      <w:pPr>
        <w:keepNext/>
        <w:spacing w:before="240" w:after="120" w:line="240" w:lineRule="atLeast"/>
        <w:rPr>
          <w:rFonts w:ascii="Arial" w:hAnsi="Arial" w:cs="Arial"/>
          <w:sz w:val="20"/>
          <w:szCs w:val="20"/>
        </w:rPr>
      </w:pPr>
      <w:r w:rsidRPr="001F3D64">
        <w:rPr>
          <w:rFonts w:ascii="Arial" w:hAnsi="Arial" w:cs="Arial"/>
          <w:sz w:val="20"/>
          <w:szCs w:val="20"/>
        </w:rPr>
        <w:t xml:space="preserve">Part 4 </w:t>
      </w:r>
      <w:r>
        <w:rPr>
          <w:rFonts w:ascii="Arial" w:hAnsi="Arial" w:cs="Arial"/>
          <w:sz w:val="20"/>
          <w:szCs w:val="20"/>
        </w:rPr>
        <w:t>sets out the labelling requirements for CE (other than surge protectors).  Schedule 4 sets out the labelling requirements for CC and surge protectors.</w:t>
      </w:r>
    </w:p>
    <w:p w14:paraId="2D84637E" w14:textId="77777777" w:rsidR="00031168" w:rsidRPr="00F17739" w:rsidRDefault="00031168" w:rsidP="00031168">
      <w:pPr>
        <w:spacing w:before="240" w:after="80" w:line="240" w:lineRule="atLeast"/>
        <w:rPr>
          <w:rFonts w:ascii="Arial" w:hAnsi="Arial" w:cs="Arial"/>
          <w:sz w:val="20"/>
          <w:szCs w:val="20"/>
        </w:rPr>
      </w:pPr>
      <w:r>
        <w:rPr>
          <w:rFonts w:ascii="Arial" w:hAnsi="Arial" w:cs="Arial"/>
          <w:sz w:val="20"/>
          <w:szCs w:val="20"/>
        </w:rPr>
        <w:t>Divisions 2 and 3 of Part 4 only apply where an item complies with each applicable technical standard in relation to the item.  Divisions 4 and 5 only apply where an item does</w:t>
      </w:r>
      <w:r w:rsidRPr="00F17739">
        <w:rPr>
          <w:rFonts w:ascii="Arial" w:hAnsi="Arial" w:cs="Arial"/>
          <w:sz w:val="20"/>
          <w:szCs w:val="20"/>
        </w:rPr>
        <w:t xml:space="preserve"> not</w:t>
      </w:r>
      <w:r w:rsidRPr="001F3D64">
        <w:rPr>
          <w:rFonts w:ascii="Arial" w:hAnsi="Arial" w:cs="Arial"/>
          <w:i/>
          <w:sz w:val="20"/>
          <w:szCs w:val="20"/>
        </w:rPr>
        <w:t xml:space="preserve"> </w:t>
      </w:r>
      <w:r>
        <w:rPr>
          <w:rFonts w:ascii="Arial" w:hAnsi="Arial" w:cs="Arial"/>
          <w:sz w:val="20"/>
          <w:szCs w:val="20"/>
        </w:rPr>
        <w:t>comply with each applicable technical standard in relation to the item.  Under the Act, such an item may still be supplied if it is labelled in accordance with the 2015 Notice, but there may be prohibitions on connecting the item to a telecommunications network or to a facility (see Division 7 of Part 21 of the Act, and in particular section 411).</w:t>
      </w:r>
    </w:p>
    <w:p w14:paraId="5342BCB9" w14:textId="77A0F9B5" w:rsidR="00585B11" w:rsidRPr="00585B11" w:rsidRDefault="00585B11" w:rsidP="00FD68DC">
      <w:pPr>
        <w:keepNext/>
        <w:spacing w:before="240" w:after="120" w:line="240" w:lineRule="atLeast"/>
        <w:jc w:val="both"/>
        <w:rPr>
          <w:rFonts w:ascii="Arial" w:hAnsi="Arial" w:cs="Arial"/>
          <w:b/>
          <w:sz w:val="22"/>
          <w:szCs w:val="22"/>
        </w:rPr>
      </w:pPr>
      <w:r>
        <w:rPr>
          <w:rFonts w:ascii="Arial" w:hAnsi="Arial" w:cs="Arial"/>
          <w:b/>
          <w:sz w:val="22"/>
          <w:szCs w:val="22"/>
        </w:rPr>
        <w:t xml:space="preserve">Division 1 – Interpretation </w:t>
      </w:r>
    </w:p>
    <w:p w14:paraId="3BB07090" w14:textId="34B435BF" w:rsidR="00585B11" w:rsidRDefault="00585B11" w:rsidP="00585B11">
      <w:pPr>
        <w:spacing w:before="240" w:after="80" w:line="240" w:lineRule="atLeast"/>
        <w:jc w:val="both"/>
        <w:rPr>
          <w:rFonts w:ascii="Arial" w:hAnsi="Arial" w:cs="Arial"/>
          <w:b/>
          <w:sz w:val="20"/>
          <w:szCs w:val="20"/>
        </w:rPr>
      </w:pPr>
      <w:r w:rsidRPr="007A2EA8">
        <w:rPr>
          <w:rFonts w:ascii="Arial" w:hAnsi="Arial" w:cs="Arial"/>
          <w:b/>
          <w:sz w:val="20"/>
          <w:szCs w:val="20"/>
        </w:rPr>
        <w:t>S</w:t>
      </w:r>
      <w:r>
        <w:rPr>
          <w:rFonts w:ascii="Arial" w:hAnsi="Arial" w:cs="Arial"/>
          <w:b/>
          <w:sz w:val="20"/>
          <w:szCs w:val="20"/>
        </w:rPr>
        <w:t xml:space="preserve">ection </w:t>
      </w:r>
      <w:r w:rsidR="00843F79">
        <w:rPr>
          <w:rFonts w:ascii="Arial" w:hAnsi="Arial" w:cs="Arial"/>
          <w:b/>
          <w:sz w:val="20"/>
          <w:szCs w:val="20"/>
        </w:rPr>
        <w:t>8</w:t>
      </w:r>
      <w:r>
        <w:rPr>
          <w:rFonts w:ascii="Arial" w:hAnsi="Arial" w:cs="Arial"/>
          <w:b/>
          <w:sz w:val="20"/>
          <w:szCs w:val="20"/>
        </w:rPr>
        <w:tab/>
        <w:t>Applicable technical standards</w:t>
      </w:r>
    </w:p>
    <w:p w14:paraId="0986C529" w14:textId="5965E879" w:rsidR="00585B11" w:rsidRDefault="00585B11" w:rsidP="00585B11">
      <w:pPr>
        <w:spacing w:after="200" w:line="240" w:lineRule="atLeast"/>
        <w:jc w:val="both"/>
        <w:rPr>
          <w:rFonts w:ascii="Arial" w:hAnsi="Arial" w:cs="Arial"/>
          <w:sz w:val="20"/>
          <w:szCs w:val="20"/>
        </w:rPr>
      </w:pPr>
      <w:r>
        <w:rPr>
          <w:rFonts w:ascii="Arial" w:hAnsi="Arial" w:cs="Arial"/>
          <w:sz w:val="20"/>
          <w:szCs w:val="20"/>
        </w:rPr>
        <w:t xml:space="preserve">Subsection (1) </w:t>
      </w:r>
      <w:r w:rsidR="00D80948">
        <w:rPr>
          <w:rFonts w:ascii="Arial" w:hAnsi="Arial" w:cs="Arial"/>
          <w:sz w:val="20"/>
          <w:szCs w:val="20"/>
        </w:rPr>
        <w:t>sets out when a</w:t>
      </w:r>
      <w:r w:rsidR="002C0C3C">
        <w:rPr>
          <w:rFonts w:ascii="Arial" w:hAnsi="Arial" w:cs="Arial"/>
          <w:sz w:val="20"/>
          <w:szCs w:val="20"/>
        </w:rPr>
        <w:t>n ACMA</w:t>
      </w:r>
      <w:r w:rsidR="00D80948">
        <w:rPr>
          <w:rFonts w:ascii="Arial" w:hAnsi="Arial" w:cs="Arial"/>
          <w:sz w:val="20"/>
          <w:szCs w:val="20"/>
        </w:rPr>
        <w:t xml:space="preserve"> standard is an </w:t>
      </w:r>
      <w:r w:rsidR="002C0C3C">
        <w:rPr>
          <w:rFonts w:ascii="Arial" w:hAnsi="Arial" w:cs="Arial"/>
          <w:sz w:val="20"/>
          <w:szCs w:val="20"/>
        </w:rPr>
        <w:t>“</w:t>
      </w:r>
      <w:r w:rsidR="00D80948">
        <w:rPr>
          <w:rFonts w:ascii="Arial" w:hAnsi="Arial" w:cs="Arial"/>
          <w:sz w:val="20"/>
          <w:szCs w:val="20"/>
        </w:rPr>
        <w:t>applicable technical standard</w:t>
      </w:r>
      <w:r w:rsidR="002C0C3C">
        <w:rPr>
          <w:rFonts w:ascii="Arial" w:hAnsi="Arial" w:cs="Arial"/>
          <w:sz w:val="20"/>
          <w:szCs w:val="20"/>
        </w:rPr>
        <w:t>”</w:t>
      </w:r>
      <w:r w:rsidR="00D80948">
        <w:rPr>
          <w:rFonts w:ascii="Arial" w:hAnsi="Arial" w:cs="Arial"/>
          <w:sz w:val="20"/>
          <w:szCs w:val="20"/>
        </w:rPr>
        <w:t xml:space="preserve"> for </w:t>
      </w:r>
      <w:r w:rsidR="002C0C3C">
        <w:rPr>
          <w:rFonts w:ascii="Arial" w:hAnsi="Arial" w:cs="Arial"/>
          <w:sz w:val="20"/>
          <w:szCs w:val="20"/>
        </w:rPr>
        <w:t>CE</w:t>
      </w:r>
      <w:r w:rsidR="00031168">
        <w:rPr>
          <w:rFonts w:ascii="Arial" w:hAnsi="Arial" w:cs="Arial"/>
          <w:sz w:val="20"/>
          <w:szCs w:val="20"/>
        </w:rPr>
        <w:t xml:space="preserve"> (other than surge protectors)</w:t>
      </w:r>
      <w:r w:rsidR="00D80948">
        <w:rPr>
          <w:rFonts w:ascii="Arial" w:hAnsi="Arial" w:cs="Arial"/>
          <w:sz w:val="20"/>
          <w:szCs w:val="20"/>
        </w:rPr>
        <w:t>.</w:t>
      </w:r>
    </w:p>
    <w:p w14:paraId="3D4E4EFC" w14:textId="35943D5A" w:rsidR="00031168" w:rsidRDefault="00585B11" w:rsidP="00585B11">
      <w:pPr>
        <w:spacing w:after="200" w:line="240" w:lineRule="atLeast"/>
        <w:jc w:val="both"/>
        <w:rPr>
          <w:rFonts w:ascii="Arial" w:hAnsi="Arial" w:cs="Arial"/>
          <w:sz w:val="20"/>
          <w:szCs w:val="20"/>
        </w:rPr>
      </w:pPr>
      <w:r>
        <w:rPr>
          <w:rFonts w:ascii="Arial" w:hAnsi="Arial" w:cs="Arial"/>
          <w:sz w:val="20"/>
          <w:szCs w:val="20"/>
        </w:rPr>
        <w:t>Subsection (2)</w:t>
      </w:r>
      <w:r w:rsidR="00D80948">
        <w:rPr>
          <w:rFonts w:ascii="Arial" w:hAnsi="Arial" w:cs="Arial"/>
          <w:sz w:val="20"/>
          <w:szCs w:val="20"/>
        </w:rPr>
        <w:t xml:space="preserve"> </w:t>
      </w:r>
      <w:r w:rsidR="00031168">
        <w:rPr>
          <w:rFonts w:ascii="Arial" w:hAnsi="Arial" w:cs="Arial"/>
          <w:sz w:val="20"/>
          <w:szCs w:val="20"/>
        </w:rPr>
        <w:t xml:space="preserve">provides </w:t>
      </w:r>
      <w:r w:rsidR="00CC3E8F">
        <w:rPr>
          <w:rFonts w:ascii="Arial" w:hAnsi="Arial" w:cs="Arial"/>
          <w:sz w:val="20"/>
          <w:szCs w:val="20"/>
        </w:rPr>
        <w:t>that a</w:t>
      </w:r>
      <w:r w:rsidR="002C0C3C">
        <w:rPr>
          <w:rFonts w:ascii="Arial" w:hAnsi="Arial" w:cs="Arial"/>
          <w:sz w:val="20"/>
          <w:szCs w:val="20"/>
        </w:rPr>
        <w:t>n ACMA</w:t>
      </w:r>
      <w:r w:rsidR="00E90AC3">
        <w:rPr>
          <w:rFonts w:ascii="Arial" w:hAnsi="Arial" w:cs="Arial"/>
          <w:sz w:val="20"/>
          <w:szCs w:val="20"/>
        </w:rPr>
        <w:t xml:space="preserve"> </w:t>
      </w:r>
      <w:r w:rsidR="00CC3E8F">
        <w:rPr>
          <w:rFonts w:ascii="Arial" w:hAnsi="Arial" w:cs="Arial"/>
          <w:sz w:val="20"/>
          <w:szCs w:val="20"/>
        </w:rPr>
        <w:t>standard is an applicable technical standard for an item if</w:t>
      </w:r>
      <w:r w:rsidR="00031168">
        <w:rPr>
          <w:rFonts w:ascii="Arial" w:hAnsi="Arial" w:cs="Arial"/>
          <w:sz w:val="20"/>
          <w:szCs w:val="20"/>
        </w:rPr>
        <w:t>:</w:t>
      </w:r>
    </w:p>
    <w:p w14:paraId="63C964AD" w14:textId="43BEF14C" w:rsidR="00031168" w:rsidRDefault="00CC3E8F" w:rsidP="004E6720">
      <w:pPr>
        <w:pStyle w:val="ListParagraph"/>
        <w:numPr>
          <w:ilvl w:val="0"/>
          <w:numId w:val="20"/>
        </w:numPr>
        <w:spacing w:after="200" w:line="240" w:lineRule="atLeast"/>
        <w:jc w:val="both"/>
        <w:rPr>
          <w:rFonts w:ascii="Arial" w:hAnsi="Arial" w:cs="Arial"/>
          <w:sz w:val="20"/>
          <w:szCs w:val="20"/>
        </w:rPr>
      </w:pPr>
      <w:r>
        <w:rPr>
          <w:rFonts w:ascii="Arial" w:hAnsi="Arial" w:cs="Arial"/>
          <w:sz w:val="20"/>
          <w:szCs w:val="20"/>
        </w:rPr>
        <w:t xml:space="preserve">the item is </w:t>
      </w:r>
      <w:r w:rsidR="00031168">
        <w:rPr>
          <w:rFonts w:ascii="Arial" w:hAnsi="Arial" w:cs="Arial"/>
          <w:sz w:val="20"/>
          <w:szCs w:val="20"/>
        </w:rPr>
        <w:t xml:space="preserve">of a kind mentioned </w:t>
      </w:r>
      <w:r>
        <w:rPr>
          <w:rFonts w:ascii="Arial" w:hAnsi="Arial" w:cs="Arial"/>
          <w:sz w:val="20"/>
          <w:szCs w:val="20"/>
        </w:rPr>
        <w:t>in column 1 of the table in Schedule 1</w:t>
      </w:r>
      <w:r w:rsidR="00031168">
        <w:rPr>
          <w:rFonts w:ascii="Arial" w:hAnsi="Arial" w:cs="Arial"/>
          <w:sz w:val="20"/>
          <w:szCs w:val="20"/>
        </w:rPr>
        <w:t>;</w:t>
      </w:r>
    </w:p>
    <w:p w14:paraId="49FF5AED" w14:textId="2D1E9A30" w:rsidR="00031168" w:rsidRDefault="00CC3E8F" w:rsidP="004E6720">
      <w:pPr>
        <w:pStyle w:val="ListParagraph"/>
        <w:numPr>
          <w:ilvl w:val="0"/>
          <w:numId w:val="20"/>
        </w:numPr>
        <w:spacing w:after="200" w:line="240" w:lineRule="atLeast"/>
        <w:jc w:val="both"/>
        <w:rPr>
          <w:rFonts w:ascii="Arial" w:hAnsi="Arial" w:cs="Arial"/>
          <w:sz w:val="20"/>
          <w:szCs w:val="20"/>
        </w:rPr>
      </w:pPr>
      <w:r>
        <w:rPr>
          <w:rFonts w:ascii="Arial" w:hAnsi="Arial" w:cs="Arial"/>
          <w:sz w:val="20"/>
          <w:szCs w:val="20"/>
        </w:rPr>
        <w:t xml:space="preserve">there is a corresponding </w:t>
      </w:r>
      <w:r w:rsidR="002C0C3C">
        <w:rPr>
          <w:rFonts w:ascii="Arial" w:hAnsi="Arial" w:cs="Arial"/>
          <w:sz w:val="20"/>
          <w:szCs w:val="20"/>
        </w:rPr>
        <w:t xml:space="preserve">ACMA </w:t>
      </w:r>
      <w:r>
        <w:rPr>
          <w:rFonts w:ascii="Arial" w:hAnsi="Arial" w:cs="Arial"/>
          <w:sz w:val="20"/>
          <w:szCs w:val="20"/>
        </w:rPr>
        <w:t xml:space="preserve">standard </w:t>
      </w:r>
      <w:r w:rsidR="00031168">
        <w:rPr>
          <w:rFonts w:ascii="Arial" w:hAnsi="Arial" w:cs="Arial"/>
          <w:sz w:val="20"/>
          <w:szCs w:val="20"/>
        </w:rPr>
        <w:t xml:space="preserve">mentioned </w:t>
      </w:r>
      <w:r>
        <w:rPr>
          <w:rFonts w:ascii="Arial" w:hAnsi="Arial" w:cs="Arial"/>
          <w:sz w:val="20"/>
          <w:szCs w:val="20"/>
        </w:rPr>
        <w:t>in column 2</w:t>
      </w:r>
      <w:r w:rsidR="00670C73">
        <w:rPr>
          <w:rFonts w:ascii="Arial" w:hAnsi="Arial" w:cs="Arial"/>
          <w:sz w:val="20"/>
          <w:szCs w:val="20"/>
        </w:rPr>
        <w:t xml:space="preserve"> </w:t>
      </w:r>
      <w:r w:rsidR="00031168">
        <w:rPr>
          <w:rFonts w:ascii="Arial" w:hAnsi="Arial" w:cs="Arial"/>
          <w:sz w:val="20"/>
          <w:szCs w:val="20"/>
        </w:rPr>
        <w:t>of the table;</w:t>
      </w:r>
    </w:p>
    <w:p w14:paraId="3E2222D4" w14:textId="4D15F4CD" w:rsidR="00031168" w:rsidRDefault="00031168" w:rsidP="004E6720">
      <w:pPr>
        <w:pStyle w:val="ListParagraph"/>
        <w:numPr>
          <w:ilvl w:val="0"/>
          <w:numId w:val="20"/>
        </w:numPr>
        <w:spacing w:after="200" w:line="240" w:lineRule="atLeast"/>
        <w:jc w:val="both"/>
        <w:rPr>
          <w:rFonts w:ascii="Arial" w:hAnsi="Arial" w:cs="Arial"/>
          <w:sz w:val="20"/>
          <w:szCs w:val="20"/>
        </w:rPr>
      </w:pPr>
      <w:r w:rsidRPr="0052454C">
        <w:rPr>
          <w:rFonts w:ascii="Arial" w:hAnsi="Arial" w:cs="Arial"/>
          <w:sz w:val="20"/>
          <w:szCs w:val="20"/>
        </w:rPr>
        <w:t>the ACMA standard was in force at the time the item was manufactured in Australia or imported</w:t>
      </w:r>
      <w:r>
        <w:rPr>
          <w:rFonts w:ascii="Arial" w:hAnsi="Arial" w:cs="Arial"/>
          <w:sz w:val="20"/>
          <w:szCs w:val="20"/>
        </w:rPr>
        <w:t>;</w:t>
      </w:r>
      <w:r w:rsidRPr="0052454C">
        <w:rPr>
          <w:rFonts w:ascii="Arial" w:hAnsi="Arial" w:cs="Arial"/>
          <w:sz w:val="20"/>
          <w:szCs w:val="20"/>
        </w:rPr>
        <w:t xml:space="preserve"> and</w:t>
      </w:r>
    </w:p>
    <w:p w14:paraId="3225949B" w14:textId="2B9C02F9" w:rsidR="00585B11" w:rsidRDefault="00CC3E8F" w:rsidP="004E6720">
      <w:pPr>
        <w:pStyle w:val="ListParagraph"/>
        <w:numPr>
          <w:ilvl w:val="0"/>
          <w:numId w:val="20"/>
        </w:numPr>
        <w:spacing w:after="200" w:line="240" w:lineRule="atLeast"/>
        <w:jc w:val="both"/>
        <w:rPr>
          <w:rFonts w:ascii="Arial" w:hAnsi="Arial" w:cs="Arial"/>
          <w:sz w:val="20"/>
          <w:szCs w:val="20"/>
        </w:rPr>
      </w:pPr>
      <w:r>
        <w:rPr>
          <w:rFonts w:ascii="Arial" w:hAnsi="Arial" w:cs="Arial"/>
          <w:sz w:val="20"/>
          <w:szCs w:val="20"/>
        </w:rPr>
        <w:t xml:space="preserve">the </w:t>
      </w:r>
      <w:r w:rsidR="002C0C3C">
        <w:rPr>
          <w:rFonts w:ascii="Arial" w:hAnsi="Arial" w:cs="Arial"/>
          <w:sz w:val="20"/>
          <w:szCs w:val="20"/>
        </w:rPr>
        <w:t xml:space="preserve">ACMA </w:t>
      </w:r>
      <w:r>
        <w:rPr>
          <w:rFonts w:ascii="Arial" w:hAnsi="Arial" w:cs="Arial"/>
          <w:sz w:val="20"/>
          <w:szCs w:val="20"/>
        </w:rPr>
        <w:t xml:space="preserve">standard contains requirements that apply to the </w:t>
      </w:r>
      <w:r w:rsidR="00670C73">
        <w:rPr>
          <w:rFonts w:ascii="Arial" w:hAnsi="Arial" w:cs="Arial"/>
          <w:sz w:val="20"/>
          <w:szCs w:val="20"/>
        </w:rPr>
        <w:t xml:space="preserve">particular </w:t>
      </w:r>
      <w:r>
        <w:rPr>
          <w:rFonts w:ascii="Arial" w:hAnsi="Arial" w:cs="Arial"/>
          <w:sz w:val="20"/>
          <w:szCs w:val="20"/>
        </w:rPr>
        <w:t>item.</w:t>
      </w:r>
    </w:p>
    <w:p w14:paraId="5D97BBE4" w14:textId="77777777" w:rsidR="00E34DF3" w:rsidRDefault="00585B11" w:rsidP="00585B11">
      <w:pPr>
        <w:spacing w:before="240" w:after="120" w:line="240" w:lineRule="atLeast"/>
        <w:jc w:val="both"/>
        <w:rPr>
          <w:rFonts w:ascii="Arial" w:hAnsi="Arial" w:cs="Arial"/>
          <w:b/>
          <w:sz w:val="22"/>
          <w:szCs w:val="22"/>
        </w:rPr>
      </w:pPr>
      <w:r>
        <w:rPr>
          <w:rFonts w:ascii="Arial" w:hAnsi="Arial" w:cs="Arial"/>
          <w:b/>
          <w:sz w:val="22"/>
          <w:szCs w:val="22"/>
        </w:rPr>
        <w:t xml:space="preserve">Division </w:t>
      </w:r>
      <w:r w:rsidR="00E34DF3">
        <w:rPr>
          <w:rFonts w:ascii="Arial" w:hAnsi="Arial" w:cs="Arial"/>
          <w:b/>
          <w:sz w:val="22"/>
          <w:szCs w:val="22"/>
        </w:rPr>
        <w:t>2</w:t>
      </w:r>
      <w:r>
        <w:rPr>
          <w:rFonts w:ascii="Arial" w:hAnsi="Arial" w:cs="Arial"/>
          <w:b/>
          <w:sz w:val="22"/>
          <w:szCs w:val="22"/>
        </w:rPr>
        <w:t xml:space="preserve"> – </w:t>
      </w:r>
      <w:r w:rsidR="00E34DF3">
        <w:rPr>
          <w:rFonts w:ascii="Arial" w:hAnsi="Arial" w:cs="Arial"/>
          <w:b/>
          <w:sz w:val="22"/>
          <w:szCs w:val="22"/>
        </w:rPr>
        <w:t>Applying a compliance label</w:t>
      </w:r>
    </w:p>
    <w:p w14:paraId="274DBD9F" w14:textId="7F9D0388" w:rsidR="00E34DF3" w:rsidRDefault="00E34DF3" w:rsidP="00E34DF3">
      <w:pPr>
        <w:spacing w:before="240" w:after="80" w:line="240" w:lineRule="atLeast"/>
        <w:jc w:val="both"/>
        <w:rPr>
          <w:rFonts w:ascii="Arial" w:hAnsi="Arial" w:cs="Arial"/>
          <w:b/>
          <w:sz w:val="20"/>
          <w:szCs w:val="20"/>
        </w:rPr>
      </w:pPr>
      <w:r w:rsidRPr="007A2EA8">
        <w:rPr>
          <w:rFonts w:ascii="Arial" w:hAnsi="Arial" w:cs="Arial"/>
          <w:b/>
          <w:sz w:val="20"/>
          <w:szCs w:val="20"/>
        </w:rPr>
        <w:t>S</w:t>
      </w:r>
      <w:r>
        <w:rPr>
          <w:rFonts w:ascii="Arial" w:hAnsi="Arial" w:cs="Arial"/>
          <w:b/>
          <w:sz w:val="20"/>
          <w:szCs w:val="20"/>
        </w:rPr>
        <w:t xml:space="preserve">ection </w:t>
      </w:r>
      <w:r w:rsidR="00BA4010">
        <w:rPr>
          <w:rFonts w:ascii="Arial" w:hAnsi="Arial" w:cs="Arial"/>
          <w:b/>
          <w:sz w:val="20"/>
          <w:szCs w:val="20"/>
        </w:rPr>
        <w:t>9</w:t>
      </w:r>
      <w:r>
        <w:rPr>
          <w:rFonts w:ascii="Arial" w:hAnsi="Arial" w:cs="Arial"/>
          <w:b/>
          <w:sz w:val="20"/>
          <w:szCs w:val="20"/>
        </w:rPr>
        <w:tab/>
        <w:t>Requirement to apply a compliance label</w:t>
      </w:r>
    </w:p>
    <w:p w14:paraId="28309BD5" w14:textId="1949953B" w:rsidR="00C23516" w:rsidRDefault="00C23516" w:rsidP="00C23516">
      <w:pPr>
        <w:spacing w:after="200" w:line="240" w:lineRule="atLeast"/>
        <w:rPr>
          <w:rFonts w:ascii="Arial" w:hAnsi="Arial" w:cs="Arial"/>
          <w:sz w:val="20"/>
          <w:szCs w:val="20"/>
        </w:rPr>
      </w:pPr>
      <w:r>
        <w:rPr>
          <w:rFonts w:ascii="Arial" w:hAnsi="Arial" w:cs="Arial"/>
          <w:sz w:val="20"/>
          <w:szCs w:val="20"/>
        </w:rPr>
        <w:t>Subsection (1) provides that section 9 applies to an item if there is one or more applicable technical standard</w:t>
      </w:r>
      <w:r w:rsidR="004E6720">
        <w:rPr>
          <w:rFonts w:ascii="Arial" w:hAnsi="Arial" w:cs="Arial"/>
          <w:sz w:val="20"/>
          <w:szCs w:val="20"/>
        </w:rPr>
        <w:t>s</w:t>
      </w:r>
      <w:r>
        <w:rPr>
          <w:rFonts w:ascii="Arial" w:hAnsi="Arial" w:cs="Arial"/>
          <w:sz w:val="20"/>
          <w:szCs w:val="20"/>
        </w:rPr>
        <w:t xml:space="preserve"> in relation to an item </w:t>
      </w:r>
      <w:r w:rsidRPr="00427A04">
        <w:rPr>
          <w:rFonts w:ascii="Arial" w:hAnsi="Arial" w:cs="Arial"/>
          <w:sz w:val="20"/>
          <w:szCs w:val="20"/>
        </w:rPr>
        <w:t>and</w:t>
      </w:r>
      <w:r>
        <w:rPr>
          <w:rFonts w:ascii="Arial" w:hAnsi="Arial" w:cs="Arial"/>
          <w:sz w:val="20"/>
          <w:szCs w:val="20"/>
        </w:rPr>
        <w:t xml:space="preserve"> the item complies with each standard.</w:t>
      </w:r>
    </w:p>
    <w:p w14:paraId="05F3A664" w14:textId="7422B3D0" w:rsidR="00E34DF3" w:rsidRDefault="00C23516" w:rsidP="00E34DF3">
      <w:pPr>
        <w:spacing w:after="200" w:line="240" w:lineRule="atLeast"/>
        <w:jc w:val="both"/>
        <w:rPr>
          <w:rFonts w:ascii="Arial" w:hAnsi="Arial" w:cs="Arial"/>
          <w:sz w:val="20"/>
          <w:szCs w:val="20"/>
        </w:rPr>
      </w:pPr>
      <w:r>
        <w:rPr>
          <w:rFonts w:ascii="Arial" w:hAnsi="Arial" w:cs="Arial"/>
          <w:sz w:val="20"/>
          <w:szCs w:val="20"/>
        </w:rPr>
        <w:t>Subsection (2) requires the supplier to apply a compliance label to the item in accordance with Division 3 before supplying the item.</w:t>
      </w:r>
    </w:p>
    <w:p w14:paraId="7A45E007" w14:textId="061D5003" w:rsidR="00E34DF3" w:rsidRDefault="00E34DF3" w:rsidP="00E34DF3">
      <w:pPr>
        <w:spacing w:after="200" w:line="240" w:lineRule="atLeast"/>
        <w:jc w:val="both"/>
        <w:rPr>
          <w:rFonts w:ascii="Arial" w:hAnsi="Arial" w:cs="Arial"/>
          <w:sz w:val="20"/>
          <w:szCs w:val="20"/>
        </w:rPr>
      </w:pPr>
      <w:r>
        <w:rPr>
          <w:rFonts w:ascii="Arial" w:hAnsi="Arial" w:cs="Arial"/>
          <w:sz w:val="20"/>
          <w:szCs w:val="20"/>
        </w:rPr>
        <w:t>Subsection (3)</w:t>
      </w:r>
      <w:r w:rsidR="00CC3E8F">
        <w:rPr>
          <w:rFonts w:ascii="Arial" w:hAnsi="Arial" w:cs="Arial"/>
          <w:sz w:val="20"/>
          <w:szCs w:val="20"/>
        </w:rPr>
        <w:t xml:space="preserve"> specifies that if there is a </w:t>
      </w:r>
      <w:r w:rsidR="00967CEB">
        <w:rPr>
          <w:rFonts w:ascii="Arial" w:hAnsi="Arial" w:cs="Arial"/>
          <w:sz w:val="20"/>
          <w:szCs w:val="20"/>
        </w:rPr>
        <w:t xml:space="preserve">reasonable likelihood </w:t>
      </w:r>
      <w:r w:rsidR="00CC3E8F">
        <w:rPr>
          <w:rFonts w:ascii="Arial" w:hAnsi="Arial" w:cs="Arial"/>
          <w:sz w:val="20"/>
          <w:szCs w:val="20"/>
        </w:rPr>
        <w:t xml:space="preserve">that the item could be installed or operated in a manner </w:t>
      </w:r>
      <w:r w:rsidR="00C23516">
        <w:rPr>
          <w:rFonts w:ascii="Arial" w:hAnsi="Arial" w:cs="Arial"/>
          <w:sz w:val="20"/>
          <w:szCs w:val="20"/>
        </w:rPr>
        <w:t xml:space="preserve">which is </w:t>
      </w:r>
      <w:r w:rsidR="00CC3E8F">
        <w:rPr>
          <w:rFonts w:ascii="Arial" w:hAnsi="Arial" w:cs="Arial"/>
          <w:sz w:val="20"/>
          <w:szCs w:val="20"/>
        </w:rPr>
        <w:t xml:space="preserve">inconsistent with </w:t>
      </w:r>
      <w:r w:rsidR="00BA4010">
        <w:rPr>
          <w:rFonts w:ascii="Arial" w:hAnsi="Arial" w:cs="Arial"/>
          <w:sz w:val="20"/>
          <w:szCs w:val="20"/>
        </w:rPr>
        <w:t>an applicable technical</w:t>
      </w:r>
      <w:r w:rsidR="00CC3E8F">
        <w:rPr>
          <w:rFonts w:ascii="Arial" w:hAnsi="Arial" w:cs="Arial"/>
          <w:sz w:val="20"/>
          <w:szCs w:val="20"/>
        </w:rPr>
        <w:t xml:space="preserve"> standard</w:t>
      </w:r>
      <w:r w:rsidR="001E0C37">
        <w:rPr>
          <w:rFonts w:ascii="Arial" w:hAnsi="Arial" w:cs="Arial"/>
          <w:sz w:val="20"/>
          <w:szCs w:val="20"/>
        </w:rPr>
        <w:t xml:space="preserve"> </w:t>
      </w:r>
      <w:r w:rsidR="00C23516">
        <w:rPr>
          <w:rFonts w:ascii="Arial" w:hAnsi="Arial" w:cs="Arial"/>
          <w:sz w:val="20"/>
          <w:szCs w:val="20"/>
        </w:rPr>
        <w:t xml:space="preserve">and </w:t>
      </w:r>
      <w:r w:rsidR="001E0C37">
        <w:rPr>
          <w:rFonts w:ascii="Arial" w:hAnsi="Arial" w:cs="Arial"/>
          <w:sz w:val="20"/>
          <w:szCs w:val="20"/>
        </w:rPr>
        <w:t xml:space="preserve">which would pose a public safety risk, the item must be supplied with documentation specifying </w:t>
      </w:r>
      <w:r w:rsidR="000478A7">
        <w:rPr>
          <w:rFonts w:ascii="Arial" w:hAnsi="Arial" w:cs="Arial"/>
          <w:sz w:val="20"/>
          <w:szCs w:val="20"/>
        </w:rPr>
        <w:t xml:space="preserve">how the item should be </w:t>
      </w:r>
      <w:r w:rsidR="001E0C37">
        <w:rPr>
          <w:rFonts w:ascii="Arial" w:hAnsi="Arial" w:cs="Arial"/>
          <w:sz w:val="20"/>
          <w:szCs w:val="20"/>
        </w:rPr>
        <w:t>install</w:t>
      </w:r>
      <w:r w:rsidR="000478A7">
        <w:rPr>
          <w:rFonts w:ascii="Arial" w:hAnsi="Arial" w:cs="Arial"/>
          <w:sz w:val="20"/>
          <w:szCs w:val="20"/>
        </w:rPr>
        <w:t>ed</w:t>
      </w:r>
      <w:r w:rsidR="001E0C37">
        <w:rPr>
          <w:rFonts w:ascii="Arial" w:hAnsi="Arial" w:cs="Arial"/>
          <w:sz w:val="20"/>
          <w:szCs w:val="20"/>
        </w:rPr>
        <w:t xml:space="preserve"> and operat</w:t>
      </w:r>
      <w:r w:rsidR="000478A7">
        <w:rPr>
          <w:rFonts w:ascii="Arial" w:hAnsi="Arial" w:cs="Arial"/>
          <w:sz w:val="20"/>
          <w:szCs w:val="20"/>
        </w:rPr>
        <w:t>ed</w:t>
      </w:r>
      <w:r w:rsidR="001E0C37" w:rsidDel="000478A7">
        <w:rPr>
          <w:rFonts w:ascii="Arial" w:hAnsi="Arial" w:cs="Arial"/>
          <w:sz w:val="20"/>
          <w:szCs w:val="20"/>
        </w:rPr>
        <w:t xml:space="preserve"> </w:t>
      </w:r>
      <w:r w:rsidR="00C23516">
        <w:rPr>
          <w:rFonts w:ascii="Arial" w:hAnsi="Arial" w:cs="Arial"/>
          <w:sz w:val="20"/>
          <w:szCs w:val="20"/>
        </w:rPr>
        <w:t xml:space="preserve">in a manner which is </w:t>
      </w:r>
      <w:r w:rsidR="001E0C37">
        <w:rPr>
          <w:rFonts w:ascii="Arial" w:hAnsi="Arial" w:cs="Arial"/>
          <w:sz w:val="20"/>
          <w:szCs w:val="20"/>
        </w:rPr>
        <w:t>consistent with the standard.</w:t>
      </w:r>
    </w:p>
    <w:p w14:paraId="1DD8BD6F" w14:textId="7B14826D" w:rsidR="00E34DF3" w:rsidRDefault="00E34DF3" w:rsidP="00E34DF3">
      <w:pPr>
        <w:spacing w:before="240" w:after="120" w:line="240" w:lineRule="atLeast"/>
        <w:jc w:val="both"/>
        <w:rPr>
          <w:rFonts w:ascii="Arial" w:hAnsi="Arial" w:cs="Arial"/>
          <w:b/>
          <w:sz w:val="22"/>
          <w:szCs w:val="22"/>
        </w:rPr>
      </w:pPr>
      <w:r>
        <w:rPr>
          <w:rFonts w:ascii="Arial" w:hAnsi="Arial" w:cs="Arial"/>
          <w:b/>
          <w:sz w:val="22"/>
          <w:szCs w:val="22"/>
        </w:rPr>
        <w:t>Division 3 – Form and application of a compliance label</w:t>
      </w:r>
    </w:p>
    <w:p w14:paraId="1EE80C37" w14:textId="3E839A52" w:rsidR="00E34DF3" w:rsidRDefault="00E34DF3" w:rsidP="00E34DF3">
      <w:pPr>
        <w:spacing w:before="240" w:after="80" w:line="240" w:lineRule="atLeast"/>
        <w:jc w:val="both"/>
        <w:rPr>
          <w:rFonts w:ascii="Arial" w:hAnsi="Arial" w:cs="Arial"/>
          <w:b/>
          <w:sz w:val="20"/>
          <w:szCs w:val="20"/>
        </w:rPr>
      </w:pPr>
      <w:r w:rsidRPr="007A2EA8">
        <w:rPr>
          <w:rFonts w:ascii="Arial" w:hAnsi="Arial" w:cs="Arial"/>
          <w:b/>
          <w:sz w:val="20"/>
          <w:szCs w:val="20"/>
        </w:rPr>
        <w:t>S</w:t>
      </w:r>
      <w:r>
        <w:rPr>
          <w:rFonts w:ascii="Arial" w:hAnsi="Arial" w:cs="Arial"/>
          <w:b/>
          <w:sz w:val="20"/>
          <w:szCs w:val="20"/>
        </w:rPr>
        <w:t xml:space="preserve">ection </w:t>
      </w:r>
      <w:r w:rsidR="00BA4010">
        <w:rPr>
          <w:rFonts w:ascii="Arial" w:hAnsi="Arial" w:cs="Arial"/>
          <w:b/>
          <w:sz w:val="20"/>
          <w:szCs w:val="20"/>
        </w:rPr>
        <w:t>10</w:t>
      </w:r>
      <w:r>
        <w:rPr>
          <w:rFonts w:ascii="Arial" w:hAnsi="Arial" w:cs="Arial"/>
          <w:b/>
          <w:sz w:val="20"/>
          <w:szCs w:val="20"/>
        </w:rPr>
        <w:tab/>
      </w:r>
      <w:r w:rsidR="003346DB">
        <w:rPr>
          <w:rFonts w:ascii="Arial" w:hAnsi="Arial" w:cs="Arial"/>
          <w:b/>
          <w:sz w:val="20"/>
          <w:szCs w:val="20"/>
        </w:rPr>
        <w:t>Form of a compliance label</w:t>
      </w:r>
    </w:p>
    <w:p w14:paraId="5CD8EDEE" w14:textId="29F571E9" w:rsidR="003346DB" w:rsidRPr="00D438F7" w:rsidRDefault="003346DB" w:rsidP="003346DB">
      <w:pPr>
        <w:spacing w:after="200" w:line="240" w:lineRule="atLeast"/>
        <w:jc w:val="both"/>
        <w:rPr>
          <w:rFonts w:ascii="Arial" w:hAnsi="Arial" w:cs="Arial"/>
          <w:sz w:val="20"/>
          <w:szCs w:val="20"/>
        </w:rPr>
      </w:pPr>
      <w:r>
        <w:rPr>
          <w:rFonts w:ascii="Arial" w:hAnsi="Arial" w:cs="Arial"/>
          <w:sz w:val="20"/>
          <w:szCs w:val="20"/>
        </w:rPr>
        <w:t>Subsection (1)</w:t>
      </w:r>
      <w:r w:rsidR="00E60CFE">
        <w:rPr>
          <w:rFonts w:ascii="Arial" w:hAnsi="Arial" w:cs="Arial"/>
          <w:sz w:val="20"/>
          <w:szCs w:val="20"/>
        </w:rPr>
        <w:t xml:space="preserve"> provides </w:t>
      </w:r>
      <w:r w:rsidR="00C23516">
        <w:rPr>
          <w:rFonts w:ascii="Arial" w:hAnsi="Arial" w:cs="Arial"/>
          <w:sz w:val="20"/>
          <w:szCs w:val="20"/>
        </w:rPr>
        <w:t>that a</w:t>
      </w:r>
      <w:r w:rsidR="00C23516" w:rsidRPr="00CB1A92">
        <w:rPr>
          <w:rFonts w:ascii="Arial" w:hAnsi="Arial" w:cs="Arial"/>
          <w:sz w:val="20"/>
          <w:szCs w:val="20"/>
        </w:rPr>
        <w:t xml:space="preserve"> compliance label must </w:t>
      </w:r>
      <w:r w:rsidR="00C23516">
        <w:rPr>
          <w:rFonts w:ascii="Arial" w:hAnsi="Arial" w:cs="Arial"/>
          <w:sz w:val="20"/>
          <w:szCs w:val="20"/>
        </w:rPr>
        <w:t xml:space="preserve">be in the form </w:t>
      </w:r>
      <w:r w:rsidR="00C23516" w:rsidRPr="00CB1A92">
        <w:rPr>
          <w:rFonts w:ascii="Arial" w:hAnsi="Arial" w:cs="Arial"/>
          <w:sz w:val="20"/>
          <w:szCs w:val="20"/>
        </w:rPr>
        <w:t>of the Regulatory Compliance Mark (RCM)</w:t>
      </w:r>
      <w:r w:rsidR="00C23516">
        <w:rPr>
          <w:rFonts w:ascii="Arial" w:hAnsi="Arial" w:cs="Arial"/>
          <w:sz w:val="20"/>
          <w:szCs w:val="20"/>
        </w:rPr>
        <w:t xml:space="preserve"> no smaller than 3 mm in height.  The RCM is a protected symbol for the purposes of section 417 of the Act.</w:t>
      </w:r>
    </w:p>
    <w:p w14:paraId="1F1A65FC" w14:textId="7BAA0276" w:rsidR="00585B11" w:rsidRPr="00585B11" w:rsidRDefault="00E60CFE" w:rsidP="00585B11">
      <w:pPr>
        <w:spacing w:after="200" w:line="240" w:lineRule="atLeast"/>
        <w:jc w:val="both"/>
        <w:rPr>
          <w:rFonts w:ascii="Arial" w:hAnsi="Arial" w:cs="Arial"/>
          <w:sz w:val="20"/>
          <w:szCs w:val="20"/>
        </w:rPr>
      </w:pPr>
      <w:r>
        <w:rPr>
          <w:rFonts w:ascii="Arial" w:hAnsi="Arial" w:cs="Arial"/>
          <w:sz w:val="20"/>
          <w:szCs w:val="20"/>
        </w:rPr>
        <w:t xml:space="preserve">Subsection (2) </w:t>
      </w:r>
      <w:r w:rsidR="00C23516">
        <w:rPr>
          <w:rFonts w:ascii="Arial" w:hAnsi="Arial" w:cs="Arial"/>
          <w:sz w:val="20"/>
          <w:szCs w:val="20"/>
        </w:rPr>
        <w:t xml:space="preserve">provides </w:t>
      </w:r>
      <w:r w:rsidR="00C23516" w:rsidRPr="00CB1A92">
        <w:rPr>
          <w:rFonts w:ascii="Arial" w:hAnsi="Arial" w:cs="Arial"/>
          <w:sz w:val="20"/>
          <w:szCs w:val="20"/>
        </w:rPr>
        <w:t>that</w:t>
      </w:r>
      <w:r w:rsidR="00C23516">
        <w:rPr>
          <w:rFonts w:ascii="Arial" w:hAnsi="Arial" w:cs="Arial"/>
          <w:sz w:val="20"/>
          <w:szCs w:val="20"/>
        </w:rPr>
        <w:t>, except as otherwise provided by the 2015 Notice,</w:t>
      </w:r>
      <w:r w:rsidR="00C23516" w:rsidRPr="00CB1A92">
        <w:rPr>
          <w:rFonts w:ascii="Arial" w:hAnsi="Arial" w:cs="Arial"/>
          <w:sz w:val="20"/>
          <w:szCs w:val="20"/>
        </w:rPr>
        <w:t xml:space="preserve"> </w:t>
      </w:r>
      <w:r w:rsidR="00C23516">
        <w:rPr>
          <w:rFonts w:ascii="Arial" w:hAnsi="Arial" w:cs="Arial"/>
          <w:sz w:val="20"/>
          <w:szCs w:val="20"/>
        </w:rPr>
        <w:t>a</w:t>
      </w:r>
      <w:r w:rsidR="00C23516" w:rsidRPr="00CB1A92">
        <w:rPr>
          <w:rFonts w:ascii="Arial" w:hAnsi="Arial" w:cs="Arial"/>
          <w:sz w:val="20"/>
          <w:szCs w:val="20"/>
        </w:rPr>
        <w:t xml:space="preserve"> </w:t>
      </w:r>
      <w:r w:rsidRPr="00CB1A92">
        <w:rPr>
          <w:rFonts w:ascii="Arial" w:hAnsi="Arial" w:cs="Arial"/>
          <w:sz w:val="20"/>
          <w:szCs w:val="20"/>
        </w:rPr>
        <w:t xml:space="preserve">compliance label must be durable and applied to </w:t>
      </w:r>
      <w:r w:rsidR="007176CA">
        <w:rPr>
          <w:rFonts w:ascii="Arial" w:hAnsi="Arial" w:cs="Arial"/>
          <w:sz w:val="20"/>
          <w:szCs w:val="20"/>
        </w:rPr>
        <w:t>an item</w:t>
      </w:r>
      <w:r w:rsidRPr="00CB1A92">
        <w:rPr>
          <w:rFonts w:ascii="Arial" w:hAnsi="Arial" w:cs="Arial"/>
          <w:sz w:val="20"/>
          <w:szCs w:val="20"/>
        </w:rPr>
        <w:t xml:space="preserve"> permanently or in a way that</w:t>
      </w:r>
      <w:r w:rsidR="00C23516">
        <w:rPr>
          <w:rFonts w:ascii="Arial" w:hAnsi="Arial" w:cs="Arial"/>
          <w:sz w:val="20"/>
          <w:szCs w:val="20"/>
        </w:rPr>
        <w:t xml:space="preserve"> makes</w:t>
      </w:r>
      <w:r w:rsidRPr="00CB1A92">
        <w:rPr>
          <w:rFonts w:ascii="Arial" w:hAnsi="Arial" w:cs="Arial"/>
          <w:sz w:val="20"/>
          <w:szCs w:val="20"/>
        </w:rPr>
        <w:t xml:space="preserve"> it difficult to remove or obliterate</w:t>
      </w:r>
      <w:r>
        <w:rPr>
          <w:rFonts w:ascii="Arial" w:hAnsi="Arial" w:cs="Arial"/>
          <w:sz w:val="20"/>
          <w:szCs w:val="20"/>
        </w:rPr>
        <w:t>.</w:t>
      </w:r>
    </w:p>
    <w:p w14:paraId="56B638B0" w14:textId="739BA22E" w:rsidR="003346DB" w:rsidRDefault="003346DB" w:rsidP="003346DB">
      <w:pPr>
        <w:spacing w:before="240" w:after="80" w:line="240" w:lineRule="atLeast"/>
        <w:jc w:val="both"/>
        <w:rPr>
          <w:rFonts w:ascii="Arial" w:hAnsi="Arial" w:cs="Arial"/>
          <w:b/>
          <w:sz w:val="20"/>
          <w:szCs w:val="20"/>
        </w:rPr>
      </w:pPr>
      <w:r w:rsidRPr="007A2EA8">
        <w:rPr>
          <w:rFonts w:ascii="Arial" w:hAnsi="Arial" w:cs="Arial"/>
          <w:b/>
          <w:sz w:val="20"/>
          <w:szCs w:val="20"/>
        </w:rPr>
        <w:t>S</w:t>
      </w:r>
      <w:r>
        <w:rPr>
          <w:rFonts w:ascii="Arial" w:hAnsi="Arial" w:cs="Arial"/>
          <w:b/>
          <w:sz w:val="20"/>
          <w:szCs w:val="20"/>
        </w:rPr>
        <w:t xml:space="preserve">ection </w:t>
      </w:r>
      <w:r w:rsidR="00D438F7">
        <w:rPr>
          <w:rFonts w:ascii="Arial" w:hAnsi="Arial" w:cs="Arial"/>
          <w:b/>
          <w:sz w:val="20"/>
          <w:szCs w:val="20"/>
        </w:rPr>
        <w:t>11</w:t>
      </w:r>
      <w:r>
        <w:rPr>
          <w:rFonts w:ascii="Arial" w:hAnsi="Arial" w:cs="Arial"/>
          <w:b/>
          <w:sz w:val="20"/>
          <w:szCs w:val="20"/>
        </w:rPr>
        <w:tab/>
        <w:t>Application of a compliance label</w:t>
      </w:r>
    </w:p>
    <w:p w14:paraId="5399FB2A" w14:textId="77777777" w:rsidR="00C23516" w:rsidRDefault="00C23516" w:rsidP="00C23516">
      <w:pPr>
        <w:rPr>
          <w:rFonts w:ascii="Arial" w:hAnsi="Arial" w:cs="Arial"/>
          <w:sz w:val="20"/>
          <w:szCs w:val="20"/>
        </w:rPr>
      </w:pPr>
      <w:r>
        <w:rPr>
          <w:rFonts w:ascii="Arial" w:hAnsi="Arial" w:cs="Arial"/>
          <w:sz w:val="20"/>
          <w:szCs w:val="20"/>
        </w:rPr>
        <w:t xml:space="preserve">Subsection (1) provides that a compliance label must be applied to an item by affixing the label to the surface of the item where the label is readily accessible to a person unless other requirements are met in circumstances where: </w:t>
      </w:r>
    </w:p>
    <w:p w14:paraId="55454FAD" w14:textId="77777777" w:rsidR="00C23516" w:rsidRPr="0052454C" w:rsidRDefault="00C23516" w:rsidP="00C23516">
      <w:pPr>
        <w:pStyle w:val="ListParagraph"/>
        <w:numPr>
          <w:ilvl w:val="0"/>
          <w:numId w:val="22"/>
        </w:numPr>
        <w:rPr>
          <w:rFonts w:ascii="Arial" w:hAnsi="Arial" w:cs="Arial"/>
          <w:sz w:val="20"/>
          <w:szCs w:val="20"/>
        </w:rPr>
      </w:pPr>
      <w:r w:rsidRPr="0052454C">
        <w:rPr>
          <w:rFonts w:ascii="Arial" w:hAnsi="Arial" w:cs="Arial"/>
          <w:sz w:val="20"/>
          <w:szCs w:val="20"/>
        </w:rPr>
        <w:t xml:space="preserve">it is impossible or impractical to affix the label to the surface of the item because of its size or physical nature; or </w:t>
      </w:r>
    </w:p>
    <w:p w14:paraId="5F0E7C62" w14:textId="77777777" w:rsidR="00C23516" w:rsidRPr="0052454C" w:rsidRDefault="00C23516" w:rsidP="00C23516">
      <w:pPr>
        <w:pStyle w:val="ListParagraph"/>
        <w:numPr>
          <w:ilvl w:val="0"/>
          <w:numId w:val="21"/>
        </w:numPr>
        <w:rPr>
          <w:rFonts w:ascii="Arial" w:hAnsi="Arial" w:cs="Arial"/>
          <w:sz w:val="20"/>
          <w:szCs w:val="20"/>
        </w:rPr>
      </w:pPr>
      <w:r w:rsidRPr="0052454C">
        <w:rPr>
          <w:rFonts w:ascii="Arial" w:hAnsi="Arial" w:cs="Arial"/>
          <w:sz w:val="20"/>
          <w:szCs w:val="20"/>
        </w:rPr>
        <w:lastRenderedPageBreak/>
        <w:t xml:space="preserve">the item has a built-in display that may be used to apply the label. </w:t>
      </w:r>
    </w:p>
    <w:p w14:paraId="49C6A1F4" w14:textId="77777777" w:rsidR="00C23516" w:rsidRPr="00CB1A92" w:rsidRDefault="00C23516" w:rsidP="00C23516">
      <w:pPr>
        <w:rPr>
          <w:rFonts w:ascii="Arial" w:hAnsi="Arial" w:cs="Arial"/>
          <w:sz w:val="20"/>
          <w:szCs w:val="20"/>
        </w:rPr>
      </w:pPr>
    </w:p>
    <w:p w14:paraId="643FEC20" w14:textId="77777777" w:rsidR="00C23516" w:rsidRPr="00B833E3" w:rsidRDefault="00C23516" w:rsidP="00C23516">
      <w:pPr>
        <w:rPr>
          <w:rFonts w:ascii="Arial" w:hAnsi="Arial" w:cs="Arial"/>
          <w:sz w:val="20"/>
          <w:szCs w:val="20"/>
        </w:rPr>
      </w:pPr>
      <w:r w:rsidRPr="00B833E3">
        <w:rPr>
          <w:rFonts w:ascii="Arial" w:hAnsi="Arial" w:cs="Arial"/>
          <w:sz w:val="20"/>
          <w:szCs w:val="20"/>
        </w:rPr>
        <w:t>Subsection (2) provides that</w:t>
      </w:r>
      <w:r>
        <w:rPr>
          <w:rFonts w:ascii="Arial" w:hAnsi="Arial" w:cs="Arial"/>
          <w:sz w:val="20"/>
          <w:szCs w:val="20"/>
        </w:rPr>
        <w:t xml:space="preserve"> a compliance label is not readily accessible to a person</w:t>
      </w:r>
      <w:r w:rsidRPr="00B833E3">
        <w:rPr>
          <w:rFonts w:ascii="Arial" w:hAnsi="Arial" w:cs="Arial"/>
          <w:sz w:val="20"/>
          <w:szCs w:val="20"/>
        </w:rPr>
        <w:t xml:space="preserve"> if </w:t>
      </w:r>
      <w:r>
        <w:rPr>
          <w:rFonts w:ascii="Arial" w:hAnsi="Arial" w:cs="Arial"/>
          <w:sz w:val="20"/>
          <w:szCs w:val="20"/>
        </w:rPr>
        <w:t>the</w:t>
      </w:r>
      <w:r w:rsidRPr="00B833E3">
        <w:rPr>
          <w:rFonts w:ascii="Arial" w:hAnsi="Arial" w:cs="Arial"/>
          <w:sz w:val="20"/>
          <w:szCs w:val="20"/>
        </w:rPr>
        <w:t xml:space="preserve"> person has to use a specialised tool to </w:t>
      </w:r>
      <w:r>
        <w:rPr>
          <w:rFonts w:ascii="Arial" w:hAnsi="Arial" w:cs="Arial"/>
          <w:sz w:val="20"/>
          <w:szCs w:val="20"/>
        </w:rPr>
        <w:t xml:space="preserve">gain </w:t>
      </w:r>
      <w:r w:rsidRPr="00B833E3">
        <w:rPr>
          <w:rFonts w:ascii="Arial" w:hAnsi="Arial" w:cs="Arial"/>
          <w:sz w:val="20"/>
          <w:szCs w:val="20"/>
        </w:rPr>
        <w:t xml:space="preserve">access </w:t>
      </w:r>
      <w:r>
        <w:rPr>
          <w:rFonts w:ascii="Arial" w:hAnsi="Arial" w:cs="Arial"/>
          <w:sz w:val="20"/>
          <w:szCs w:val="20"/>
        </w:rPr>
        <w:t>to the</w:t>
      </w:r>
      <w:r w:rsidRPr="00B833E3">
        <w:rPr>
          <w:rFonts w:ascii="Arial" w:hAnsi="Arial" w:cs="Arial"/>
          <w:sz w:val="20"/>
          <w:szCs w:val="20"/>
        </w:rPr>
        <w:t xml:space="preserve"> label.</w:t>
      </w:r>
    </w:p>
    <w:p w14:paraId="03526357" w14:textId="77777777" w:rsidR="00C23516" w:rsidRDefault="00C23516" w:rsidP="00C23516">
      <w:pPr>
        <w:rPr>
          <w:rFonts w:ascii="Arial" w:hAnsi="Arial" w:cs="Arial"/>
          <w:sz w:val="20"/>
          <w:szCs w:val="20"/>
        </w:rPr>
      </w:pPr>
    </w:p>
    <w:p w14:paraId="0AB9C0AC" w14:textId="4E989BB7" w:rsidR="00C23516" w:rsidRDefault="00C23516" w:rsidP="00C23516">
      <w:pPr>
        <w:rPr>
          <w:rFonts w:ascii="Arial" w:hAnsi="Arial" w:cs="Arial"/>
          <w:sz w:val="20"/>
          <w:szCs w:val="20"/>
        </w:rPr>
      </w:pPr>
      <w:r>
        <w:rPr>
          <w:rFonts w:ascii="Arial" w:hAnsi="Arial" w:cs="Arial"/>
          <w:sz w:val="20"/>
          <w:szCs w:val="20"/>
        </w:rPr>
        <w:t xml:space="preserve">Subsection (3) provides that where </w:t>
      </w:r>
      <w:r w:rsidR="006F6CA4">
        <w:rPr>
          <w:rFonts w:ascii="Arial" w:hAnsi="Arial" w:cs="Arial"/>
          <w:sz w:val="20"/>
          <w:szCs w:val="20"/>
        </w:rPr>
        <w:t xml:space="preserve">it </w:t>
      </w:r>
      <w:r>
        <w:rPr>
          <w:rFonts w:ascii="Arial" w:hAnsi="Arial" w:cs="Arial"/>
          <w:sz w:val="20"/>
          <w:szCs w:val="20"/>
        </w:rPr>
        <w:t xml:space="preserve">is impossible or impractical to affix </w:t>
      </w:r>
      <w:r w:rsidRPr="00CB1B48">
        <w:rPr>
          <w:rFonts w:ascii="Arial" w:hAnsi="Arial" w:cs="Arial"/>
          <w:sz w:val="20"/>
          <w:szCs w:val="20"/>
        </w:rPr>
        <w:t>a compliance label</w:t>
      </w:r>
      <w:r>
        <w:rPr>
          <w:rFonts w:ascii="Arial" w:hAnsi="Arial" w:cs="Arial"/>
          <w:sz w:val="20"/>
          <w:szCs w:val="20"/>
        </w:rPr>
        <w:t xml:space="preserve"> to the surface of an item because of its size or physical nature, it must be applied by affixing it</w:t>
      </w:r>
      <w:r w:rsidRPr="00CB1B48">
        <w:rPr>
          <w:rFonts w:ascii="Arial" w:hAnsi="Arial" w:cs="Arial"/>
          <w:sz w:val="20"/>
          <w:szCs w:val="20"/>
        </w:rPr>
        <w:t xml:space="preserve"> </w:t>
      </w:r>
      <w:r>
        <w:rPr>
          <w:rFonts w:ascii="Arial" w:hAnsi="Arial" w:cs="Arial"/>
          <w:sz w:val="20"/>
          <w:szCs w:val="20"/>
        </w:rPr>
        <w:t>to</w:t>
      </w:r>
      <w:r w:rsidRPr="00CB1B48">
        <w:rPr>
          <w:rFonts w:ascii="Arial" w:hAnsi="Arial" w:cs="Arial"/>
          <w:sz w:val="20"/>
          <w:szCs w:val="20"/>
        </w:rPr>
        <w:t xml:space="preserve"> </w:t>
      </w:r>
      <w:r>
        <w:rPr>
          <w:rFonts w:ascii="Arial" w:hAnsi="Arial" w:cs="Arial"/>
          <w:sz w:val="20"/>
          <w:szCs w:val="20"/>
        </w:rPr>
        <w:t xml:space="preserve">the external surface of the </w:t>
      </w:r>
      <w:r w:rsidRPr="00CB1B48">
        <w:rPr>
          <w:rFonts w:ascii="Arial" w:hAnsi="Arial" w:cs="Arial"/>
          <w:sz w:val="20"/>
          <w:szCs w:val="20"/>
        </w:rPr>
        <w:t>packaging</w:t>
      </w:r>
      <w:r>
        <w:rPr>
          <w:rFonts w:ascii="Arial" w:hAnsi="Arial" w:cs="Arial"/>
          <w:sz w:val="20"/>
          <w:szCs w:val="20"/>
        </w:rPr>
        <w:t xml:space="preserve"> used for an item in a way that is clearly visible</w:t>
      </w:r>
      <w:r w:rsidRPr="00CB1B48">
        <w:rPr>
          <w:rFonts w:ascii="Arial" w:hAnsi="Arial" w:cs="Arial"/>
          <w:sz w:val="20"/>
          <w:szCs w:val="20"/>
        </w:rPr>
        <w:t xml:space="preserve"> and</w:t>
      </w:r>
      <w:r>
        <w:rPr>
          <w:rFonts w:ascii="Arial" w:hAnsi="Arial" w:cs="Arial"/>
          <w:sz w:val="20"/>
          <w:szCs w:val="20"/>
        </w:rPr>
        <w:t xml:space="preserve"> by incorporating it in</w:t>
      </w:r>
      <w:r w:rsidRPr="00CB1B48">
        <w:rPr>
          <w:rFonts w:ascii="Arial" w:hAnsi="Arial" w:cs="Arial"/>
          <w:sz w:val="20"/>
          <w:szCs w:val="20"/>
        </w:rPr>
        <w:t xml:space="preserve"> </w:t>
      </w:r>
      <w:r>
        <w:rPr>
          <w:rFonts w:ascii="Arial" w:hAnsi="Arial" w:cs="Arial"/>
          <w:sz w:val="20"/>
          <w:szCs w:val="20"/>
        </w:rPr>
        <w:t xml:space="preserve">the </w:t>
      </w:r>
      <w:r w:rsidRPr="00CB1B48">
        <w:rPr>
          <w:rFonts w:ascii="Arial" w:hAnsi="Arial" w:cs="Arial"/>
          <w:sz w:val="20"/>
          <w:szCs w:val="20"/>
        </w:rPr>
        <w:t xml:space="preserve">documentation accompanying the </w:t>
      </w:r>
      <w:r>
        <w:rPr>
          <w:rFonts w:ascii="Arial" w:hAnsi="Arial" w:cs="Arial"/>
          <w:sz w:val="20"/>
          <w:szCs w:val="20"/>
        </w:rPr>
        <w:t xml:space="preserve">item when supplied. </w:t>
      </w:r>
    </w:p>
    <w:p w14:paraId="6DA8430A" w14:textId="77777777" w:rsidR="00B833E3" w:rsidRPr="00CB1B48" w:rsidRDefault="00B833E3" w:rsidP="007A3E19">
      <w:pPr>
        <w:rPr>
          <w:rFonts w:ascii="Arial" w:hAnsi="Arial" w:cs="Arial"/>
          <w:sz w:val="20"/>
          <w:szCs w:val="20"/>
        </w:rPr>
      </w:pPr>
    </w:p>
    <w:p w14:paraId="7B1AC63D" w14:textId="2478E221" w:rsidR="00C22356" w:rsidRPr="00CB1B48" w:rsidRDefault="009676E6" w:rsidP="00C22356">
      <w:pPr>
        <w:keepNext/>
        <w:rPr>
          <w:rFonts w:ascii="Arial" w:hAnsi="Arial" w:cs="Arial"/>
          <w:sz w:val="20"/>
          <w:szCs w:val="20"/>
        </w:rPr>
      </w:pPr>
      <w:r>
        <w:rPr>
          <w:rFonts w:ascii="Arial" w:hAnsi="Arial" w:cs="Arial"/>
          <w:sz w:val="20"/>
          <w:szCs w:val="20"/>
        </w:rPr>
        <w:t>It may not be possible</w:t>
      </w:r>
      <w:r w:rsidR="00C22356" w:rsidRPr="00CB1B48">
        <w:rPr>
          <w:rFonts w:ascii="Arial" w:hAnsi="Arial" w:cs="Arial"/>
          <w:sz w:val="20"/>
          <w:szCs w:val="20"/>
        </w:rPr>
        <w:t xml:space="preserve"> to apply a</w:t>
      </w:r>
      <w:r>
        <w:rPr>
          <w:rFonts w:ascii="Arial" w:hAnsi="Arial" w:cs="Arial"/>
          <w:sz w:val="20"/>
          <w:szCs w:val="20"/>
        </w:rPr>
        <w:t xml:space="preserve"> compliance</w:t>
      </w:r>
      <w:r w:rsidR="00C22356" w:rsidRPr="00CB1B48">
        <w:rPr>
          <w:rFonts w:ascii="Arial" w:hAnsi="Arial" w:cs="Arial"/>
          <w:sz w:val="20"/>
          <w:szCs w:val="20"/>
        </w:rPr>
        <w:t xml:space="preserve"> label </w:t>
      </w:r>
      <w:r w:rsidR="00B833E3">
        <w:rPr>
          <w:rFonts w:ascii="Arial" w:hAnsi="Arial" w:cs="Arial"/>
          <w:sz w:val="20"/>
          <w:szCs w:val="20"/>
        </w:rPr>
        <w:t xml:space="preserve">directly to an item </w:t>
      </w:r>
      <w:r>
        <w:rPr>
          <w:rFonts w:ascii="Arial" w:hAnsi="Arial" w:cs="Arial"/>
          <w:sz w:val="20"/>
          <w:szCs w:val="20"/>
        </w:rPr>
        <w:t>if, for example</w:t>
      </w:r>
      <w:r w:rsidR="00C22356" w:rsidRPr="00CB1B48">
        <w:rPr>
          <w:rFonts w:ascii="Arial" w:hAnsi="Arial" w:cs="Arial"/>
          <w:sz w:val="20"/>
          <w:szCs w:val="20"/>
        </w:rPr>
        <w:t>:</w:t>
      </w:r>
    </w:p>
    <w:p w14:paraId="4D33FA16" w14:textId="4C87DDBC" w:rsidR="00C22356" w:rsidRPr="00CB1B48" w:rsidRDefault="00C22356" w:rsidP="00C22356">
      <w:pPr>
        <w:pStyle w:val="ListParagraph"/>
        <w:numPr>
          <w:ilvl w:val="0"/>
          <w:numId w:val="14"/>
        </w:numPr>
        <w:rPr>
          <w:rFonts w:ascii="Arial" w:hAnsi="Arial" w:cs="Arial"/>
          <w:sz w:val="20"/>
          <w:szCs w:val="20"/>
        </w:rPr>
      </w:pPr>
      <w:r w:rsidRPr="00CB1B48">
        <w:rPr>
          <w:rFonts w:ascii="Arial" w:hAnsi="Arial" w:cs="Arial"/>
          <w:sz w:val="20"/>
          <w:szCs w:val="20"/>
        </w:rPr>
        <w:t>the</w:t>
      </w:r>
      <w:r w:rsidRPr="00CB1B48" w:rsidDel="00B833E3">
        <w:rPr>
          <w:rFonts w:ascii="Arial" w:hAnsi="Arial" w:cs="Arial"/>
          <w:sz w:val="20"/>
          <w:szCs w:val="20"/>
        </w:rPr>
        <w:t xml:space="preserve"> </w:t>
      </w:r>
      <w:r w:rsidR="00B833E3">
        <w:rPr>
          <w:rFonts w:ascii="Arial" w:hAnsi="Arial" w:cs="Arial"/>
          <w:sz w:val="20"/>
          <w:szCs w:val="20"/>
        </w:rPr>
        <w:t>item</w:t>
      </w:r>
      <w:r w:rsidR="00B833E3" w:rsidRPr="00CB1B48">
        <w:rPr>
          <w:rFonts w:ascii="Arial" w:hAnsi="Arial" w:cs="Arial"/>
          <w:sz w:val="20"/>
          <w:szCs w:val="20"/>
        </w:rPr>
        <w:t xml:space="preserve"> </w:t>
      </w:r>
      <w:r w:rsidRPr="00CB1B48">
        <w:rPr>
          <w:rFonts w:ascii="Arial" w:hAnsi="Arial" w:cs="Arial"/>
          <w:sz w:val="20"/>
          <w:szCs w:val="20"/>
        </w:rPr>
        <w:t xml:space="preserve">is too small to have a label affixed to it; </w:t>
      </w:r>
    </w:p>
    <w:p w14:paraId="5E0DF56F" w14:textId="135255A8" w:rsidR="00C22356" w:rsidRPr="00CB1B48" w:rsidRDefault="00C22356" w:rsidP="00C22356">
      <w:pPr>
        <w:pStyle w:val="ListParagraph"/>
        <w:numPr>
          <w:ilvl w:val="0"/>
          <w:numId w:val="14"/>
        </w:numPr>
        <w:rPr>
          <w:rFonts w:ascii="Arial" w:hAnsi="Arial" w:cs="Arial"/>
          <w:sz w:val="20"/>
          <w:szCs w:val="20"/>
        </w:rPr>
      </w:pPr>
      <w:r w:rsidRPr="00CB1B48">
        <w:rPr>
          <w:rFonts w:ascii="Arial" w:hAnsi="Arial" w:cs="Arial"/>
          <w:sz w:val="20"/>
          <w:szCs w:val="20"/>
        </w:rPr>
        <w:t xml:space="preserve">the external surface of the </w:t>
      </w:r>
      <w:r w:rsidR="00B833E3">
        <w:rPr>
          <w:rFonts w:ascii="Arial" w:hAnsi="Arial" w:cs="Arial"/>
          <w:sz w:val="20"/>
          <w:szCs w:val="20"/>
        </w:rPr>
        <w:t>item</w:t>
      </w:r>
      <w:r w:rsidR="00B833E3" w:rsidRPr="00CB1B48">
        <w:rPr>
          <w:rFonts w:ascii="Arial" w:hAnsi="Arial" w:cs="Arial"/>
          <w:sz w:val="20"/>
          <w:szCs w:val="20"/>
        </w:rPr>
        <w:t xml:space="preserve"> </w:t>
      </w:r>
      <w:r w:rsidRPr="00CB1B48">
        <w:rPr>
          <w:rFonts w:ascii="Arial" w:hAnsi="Arial" w:cs="Arial"/>
          <w:sz w:val="20"/>
          <w:szCs w:val="20"/>
        </w:rPr>
        <w:t xml:space="preserve">resists any adhesion or imprinting of the label; </w:t>
      </w:r>
    </w:p>
    <w:p w14:paraId="588D7C30" w14:textId="719B3F52" w:rsidR="00C22356" w:rsidRPr="00CB1B48" w:rsidRDefault="00C22356" w:rsidP="00C22356">
      <w:pPr>
        <w:pStyle w:val="ListParagraph"/>
        <w:numPr>
          <w:ilvl w:val="0"/>
          <w:numId w:val="14"/>
        </w:numPr>
        <w:rPr>
          <w:rFonts w:ascii="Arial" w:hAnsi="Arial" w:cs="Arial"/>
          <w:sz w:val="20"/>
          <w:szCs w:val="20"/>
        </w:rPr>
      </w:pPr>
      <w:r w:rsidRPr="00CB1B48">
        <w:rPr>
          <w:rFonts w:ascii="Arial" w:hAnsi="Arial" w:cs="Arial"/>
          <w:sz w:val="20"/>
          <w:szCs w:val="20"/>
        </w:rPr>
        <w:t xml:space="preserve">the surface of the </w:t>
      </w:r>
      <w:r w:rsidR="00B833E3">
        <w:rPr>
          <w:rFonts w:ascii="Arial" w:hAnsi="Arial" w:cs="Arial"/>
          <w:sz w:val="20"/>
          <w:szCs w:val="20"/>
        </w:rPr>
        <w:t>item</w:t>
      </w:r>
      <w:r w:rsidR="00B833E3" w:rsidRPr="00CB1B48">
        <w:rPr>
          <w:rFonts w:ascii="Arial" w:hAnsi="Arial" w:cs="Arial"/>
          <w:sz w:val="20"/>
          <w:szCs w:val="20"/>
        </w:rPr>
        <w:t xml:space="preserve"> </w:t>
      </w:r>
      <w:r w:rsidRPr="00CB1B48">
        <w:rPr>
          <w:rFonts w:ascii="Arial" w:hAnsi="Arial" w:cs="Arial"/>
          <w:sz w:val="20"/>
          <w:szCs w:val="20"/>
        </w:rPr>
        <w:t>is corrugated; or</w:t>
      </w:r>
    </w:p>
    <w:p w14:paraId="46E2279C" w14:textId="17E652F1" w:rsidR="00C22356" w:rsidRPr="00CB1B48" w:rsidRDefault="00C22356" w:rsidP="00C22356">
      <w:pPr>
        <w:pStyle w:val="ListParagraph"/>
        <w:numPr>
          <w:ilvl w:val="0"/>
          <w:numId w:val="14"/>
        </w:numPr>
        <w:rPr>
          <w:rFonts w:ascii="Arial" w:eastAsiaTheme="minorHAnsi" w:hAnsi="Arial" w:cs="Arial"/>
          <w:sz w:val="20"/>
          <w:szCs w:val="20"/>
        </w:rPr>
      </w:pPr>
      <w:r w:rsidRPr="00CB1B48">
        <w:rPr>
          <w:rFonts w:ascii="Arial" w:hAnsi="Arial" w:cs="Arial"/>
          <w:sz w:val="20"/>
          <w:szCs w:val="20"/>
        </w:rPr>
        <w:t xml:space="preserve">the surface </w:t>
      </w:r>
      <w:r w:rsidR="009B4253">
        <w:rPr>
          <w:rFonts w:ascii="Arial" w:hAnsi="Arial" w:cs="Arial"/>
          <w:sz w:val="20"/>
          <w:szCs w:val="20"/>
        </w:rPr>
        <w:t xml:space="preserve">of the item </w:t>
      </w:r>
      <w:r w:rsidRPr="00CB1B48">
        <w:rPr>
          <w:rFonts w:ascii="Arial" w:hAnsi="Arial" w:cs="Arial"/>
          <w:sz w:val="20"/>
          <w:szCs w:val="20"/>
        </w:rPr>
        <w:t xml:space="preserve">is exposed to the elements that </w:t>
      </w:r>
      <w:r w:rsidR="009B4253">
        <w:rPr>
          <w:rFonts w:ascii="Arial" w:hAnsi="Arial" w:cs="Arial"/>
          <w:sz w:val="20"/>
          <w:szCs w:val="20"/>
        </w:rPr>
        <w:t xml:space="preserve">would </w:t>
      </w:r>
      <w:r w:rsidRPr="00CB1B48">
        <w:rPr>
          <w:rFonts w:ascii="Arial" w:hAnsi="Arial" w:cs="Arial"/>
          <w:sz w:val="20"/>
          <w:szCs w:val="20"/>
        </w:rPr>
        <w:t xml:space="preserve">defeat the adhesion or durable properties of the </w:t>
      </w:r>
      <w:r w:rsidRPr="00CB1B48">
        <w:rPr>
          <w:rFonts w:ascii="Arial" w:eastAsiaTheme="minorHAnsi" w:hAnsi="Arial" w:cs="Arial"/>
          <w:sz w:val="20"/>
          <w:szCs w:val="20"/>
        </w:rPr>
        <w:t>label.</w:t>
      </w:r>
    </w:p>
    <w:p w14:paraId="57F18410" w14:textId="77777777" w:rsidR="00C22356" w:rsidRPr="00CB1B48" w:rsidRDefault="00C22356" w:rsidP="00C22356">
      <w:pPr>
        <w:ind w:right="237"/>
        <w:rPr>
          <w:rFonts w:ascii="Arial" w:hAnsi="Arial" w:cs="Arial"/>
          <w:sz w:val="20"/>
          <w:szCs w:val="20"/>
        </w:rPr>
      </w:pPr>
    </w:p>
    <w:p w14:paraId="676436F2" w14:textId="618EFB1B" w:rsidR="00C22356" w:rsidRPr="00CB1B48" w:rsidRDefault="009B4253" w:rsidP="00C22356">
      <w:pPr>
        <w:rPr>
          <w:rFonts w:ascii="Arial" w:hAnsi="Arial" w:cs="Arial"/>
          <w:sz w:val="20"/>
          <w:szCs w:val="20"/>
        </w:rPr>
      </w:pPr>
      <w:r>
        <w:rPr>
          <w:rFonts w:ascii="Arial" w:hAnsi="Arial" w:cs="Arial"/>
          <w:sz w:val="20"/>
          <w:szCs w:val="20"/>
        </w:rPr>
        <w:t>I</w:t>
      </w:r>
      <w:r w:rsidR="00C22356" w:rsidRPr="00CB1B48">
        <w:rPr>
          <w:rFonts w:ascii="Arial" w:hAnsi="Arial" w:cs="Arial"/>
          <w:sz w:val="20"/>
          <w:szCs w:val="20"/>
        </w:rPr>
        <w:t xml:space="preserve">t </w:t>
      </w:r>
      <w:r w:rsidR="00D860C7">
        <w:rPr>
          <w:rFonts w:ascii="Arial" w:hAnsi="Arial" w:cs="Arial"/>
          <w:sz w:val="20"/>
          <w:szCs w:val="20"/>
        </w:rPr>
        <w:t xml:space="preserve">also </w:t>
      </w:r>
      <w:r w:rsidR="00C22356" w:rsidRPr="00CB1B48">
        <w:rPr>
          <w:rFonts w:ascii="Arial" w:hAnsi="Arial" w:cs="Arial"/>
          <w:sz w:val="20"/>
          <w:szCs w:val="20"/>
        </w:rPr>
        <w:t xml:space="preserve">may not be practical to </w:t>
      </w:r>
      <w:r>
        <w:rPr>
          <w:rFonts w:ascii="Arial" w:hAnsi="Arial" w:cs="Arial"/>
          <w:sz w:val="20"/>
          <w:szCs w:val="20"/>
        </w:rPr>
        <w:t xml:space="preserve">apply a compliance </w:t>
      </w:r>
      <w:r w:rsidR="00C22356" w:rsidRPr="00CB1B48">
        <w:rPr>
          <w:rFonts w:ascii="Arial" w:hAnsi="Arial" w:cs="Arial"/>
          <w:sz w:val="20"/>
          <w:szCs w:val="20"/>
        </w:rPr>
        <w:t>label</w:t>
      </w:r>
      <w:r>
        <w:rPr>
          <w:rFonts w:ascii="Arial" w:hAnsi="Arial" w:cs="Arial"/>
          <w:sz w:val="20"/>
          <w:szCs w:val="20"/>
        </w:rPr>
        <w:t xml:space="preserve"> directly to an</w:t>
      </w:r>
      <w:r w:rsidR="00C22356" w:rsidRPr="00CB1B48">
        <w:rPr>
          <w:rFonts w:ascii="Arial" w:hAnsi="Arial" w:cs="Arial"/>
          <w:sz w:val="20"/>
          <w:szCs w:val="20"/>
        </w:rPr>
        <w:t xml:space="preserve"> </w:t>
      </w:r>
      <w:r w:rsidR="00B833E3">
        <w:rPr>
          <w:rFonts w:ascii="Arial" w:hAnsi="Arial" w:cs="Arial"/>
          <w:sz w:val="20"/>
          <w:szCs w:val="20"/>
        </w:rPr>
        <w:t>item</w:t>
      </w:r>
      <w:r w:rsidR="00B833E3" w:rsidRPr="00CB1B48">
        <w:rPr>
          <w:rFonts w:ascii="Arial" w:hAnsi="Arial" w:cs="Arial"/>
          <w:sz w:val="20"/>
          <w:szCs w:val="20"/>
        </w:rPr>
        <w:t xml:space="preserve"> </w:t>
      </w:r>
      <w:r>
        <w:rPr>
          <w:rFonts w:ascii="Arial" w:hAnsi="Arial" w:cs="Arial"/>
          <w:sz w:val="20"/>
          <w:szCs w:val="20"/>
        </w:rPr>
        <w:t>if, for example</w:t>
      </w:r>
      <w:r w:rsidR="00C22356" w:rsidRPr="00CB1B48">
        <w:rPr>
          <w:rFonts w:ascii="Arial" w:hAnsi="Arial" w:cs="Arial"/>
          <w:sz w:val="20"/>
          <w:szCs w:val="20"/>
        </w:rPr>
        <w:t>:</w:t>
      </w:r>
    </w:p>
    <w:p w14:paraId="0A9CD9A7" w14:textId="0BB3C2B8" w:rsidR="00C22356" w:rsidRPr="00CB1B48" w:rsidRDefault="009B4253" w:rsidP="00C22356">
      <w:pPr>
        <w:pStyle w:val="ListParagraph"/>
        <w:numPr>
          <w:ilvl w:val="0"/>
          <w:numId w:val="14"/>
        </w:numPr>
        <w:rPr>
          <w:rFonts w:ascii="Arial" w:hAnsi="Arial" w:cs="Arial"/>
          <w:sz w:val="20"/>
          <w:szCs w:val="20"/>
        </w:rPr>
      </w:pPr>
      <w:r>
        <w:rPr>
          <w:rFonts w:ascii="Arial" w:hAnsi="Arial" w:cs="Arial"/>
          <w:sz w:val="20"/>
          <w:szCs w:val="20"/>
        </w:rPr>
        <w:t xml:space="preserve">it is not possible for </w:t>
      </w:r>
      <w:r w:rsidR="00C22356" w:rsidRPr="00CB1B48">
        <w:rPr>
          <w:rFonts w:ascii="Arial" w:hAnsi="Arial" w:cs="Arial"/>
          <w:sz w:val="20"/>
          <w:szCs w:val="20"/>
        </w:rPr>
        <w:t xml:space="preserve">the supplier </w:t>
      </w:r>
      <w:r>
        <w:rPr>
          <w:rFonts w:ascii="Arial" w:hAnsi="Arial" w:cs="Arial"/>
          <w:sz w:val="20"/>
          <w:szCs w:val="20"/>
        </w:rPr>
        <w:t>to</w:t>
      </w:r>
      <w:r w:rsidR="00C22356" w:rsidRPr="00CB1B48">
        <w:rPr>
          <w:rFonts w:ascii="Arial" w:hAnsi="Arial" w:cs="Arial"/>
          <w:sz w:val="20"/>
          <w:szCs w:val="20"/>
        </w:rPr>
        <w:t xml:space="preserve"> arrange for the </w:t>
      </w:r>
      <w:r w:rsidR="00B833E3">
        <w:rPr>
          <w:rFonts w:ascii="Arial" w:hAnsi="Arial" w:cs="Arial"/>
          <w:sz w:val="20"/>
          <w:szCs w:val="20"/>
        </w:rPr>
        <w:t>item</w:t>
      </w:r>
      <w:r w:rsidR="00B833E3" w:rsidRPr="00CB1B48">
        <w:rPr>
          <w:rFonts w:ascii="Arial" w:hAnsi="Arial" w:cs="Arial"/>
          <w:sz w:val="20"/>
          <w:szCs w:val="20"/>
        </w:rPr>
        <w:t xml:space="preserve"> </w:t>
      </w:r>
      <w:r w:rsidR="00C22356" w:rsidRPr="00CB1B48">
        <w:rPr>
          <w:rFonts w:ascii="Arial" w:hAnsi="Arial" w:cs="Arial"/>
          <w:sz w:val="20"/>
          <w:szCs w:val="20"/>
        </w:rPr>
        <w:t xml:space="preserve">to be labelled </w:t>
      </w:r>
      <w:r>
        <w:rPr>
          <w:rFonts w:ascii="Arial" w:hAnsi="Arial" w:cs="Arial"/>
          <w:sz w:val="20"/>
          <w:szCs w:val="20"/>
        </w:rPr>
        <w:t xml:space="preserve">in that way </w:t>
      </w:r>
      <w:r w:rsidR="005D6491">
        <w:rPr>
          <w:rFonts w:ascii="Arial" w:hAnsi="Arial" w:cs="Arial"/>
          <w:sz w:val="20"/>
          <w:szCs w:val="20"/>
        </w:rPr>
        <w:t>before it is packaged</w:t>
      </w:r>
      <w:r w:rsidR="00C22356" w:rsidRPr="00CB1B48">
        <w:rPr>
          <w:rFonts w:ascii="Arial" w:hAnsi="Arial" w:cs="Arial"/>
          <w:sz w:val="20"/>
          <w:szCs w:val="20"/>
        </w:rPr>
        <w:t xml:space="preserve"> and </w:t>
      </w:r>
      <w:r w:rsidR="00EB355B">
        <w:rPr>
          <w:rFonts w:ascii="Arial" w:hAnsi="Arial" w:cs="Arial"/>
          <w:sz w:val="20"/>
          <w:szCs w:val="20"/>
        </w:rPr>
        <w:t>removal</w:t>
      </w:r>
      <w:r>
        <w:rPr>
          <w:rFonts w:ascii="Arial" w:hAnsi="Arial" w:cs="Arial"/>
          <w:sz w:val="20"/>
          <w:szCs w:val="20"/>
        </w:rPr>
        <w:t xml:space="preserve"> of</w:t>
      </w:r>
      <w:r w:rsidRPr="00CB1B48">
        <w:rPr>
          <w:rFonts w:ascii="Arial" w:hAnsi="Arial" w:cs="Arial"/>
          <w:sz w:val="20"/>
          <w:szCs w:val="20"/>
        </w:rPr>
        <w:t xml:space="preserve"> </w:t>
      </w:r>
      <w:r w:rsidR="00C22356" w:rsidRPr="00CB1B48">
        <w:rPr>
          <w:rFonts w:ascii="Arial" w:hAnsi="Arial" w:cs="Arial"/>
          <w:sz w:val="20"/>
          <w:szCs w:val="20"/>
        </w:rPr>
        <w:t xml:space="preserve">the packaging to label </w:t>
      </w:r>
      <w:r>
        <w:rPr>
          <w:rFonts w:ascii="Arial" w:hAnsi="Arial" w:cs="Arial"/>
          <w:sz w:val="20"/>
          <w:szCs w:val="20"/>
        </w:rPr>
        <w:t>the item</w:t>
      </w:r>
      <w:r w:rsidR="004B642E">
        <w:rPr>
          <w:rFonts w:ascii="Arial" w:hAnsi="Arial" w:cs="Arial"/>
          <w:sz w:val="20"/>
          <w:szCs w:val="20"/>
        </w:rPr>
        <w:t xml:space="preserve"> in that way would </w:t>
      </w:r>
      <w:r w:rsidR="00C22356" w:rsidRPr="00CB1B48">
        <w:rPr>
          <w:rFonts w:ascii="Arial" w:hAnsi="Arial" w:cs="Arial"/>
          <w:sz w:val="20"/>
          <w:szCs w:val="20"/>
        </w:rPr>
        <w:t xml:space="preserve">affect the supply of the </w:t>
      </w:r>
      <w:r w:rsidR="00B833E3">
        <w:rPr>
          <w:rFonts w:ascii="Arial" w:hAnsi="Arial" w:cs="Arial"/>
          <w:sz w:val="20"/>
          <w:szCs w:val="20"/>
        </w:rPr>
        <w:t>item</w:t>
      </w:r>
      <w:r w:rsidR="005D6491">
        <w:rPr>
          <w:rFonts w:ascii="Arial" w:hAnsi="Arial" w:cs="Arial"/>
          <w:sz w:val="20"/>
          <w:szCs w:val="20"/>
        </w:rPr>
        <w:t xml:space="preserve"> or the supplier’s ability to supply the item</w:t>
      </w:r>
      <w:r w:rsidR="004B642E" w:rsidRPr="00AB3051">
        <w:rPr>
          <w:rStyle w:val="FootnoteReference"/>
          <w:rFonts w:ascii="Arial" w:hAnsi="Arial" w:cs="Arial"/>
          <w:sz w:val="20"/>
          <w:szCs w:val="20"/>
        </w:rPr>
        <w:t xml:space="preserve"> </w:t>
      </w:r>
      <w:r w:rsidR="004B642E">
        <w:rPr>
          <w:rStyle w:val="FootnoteReference"/>
          <w:rFonts w:ascii="Arial" w:hAnsi="Arial" w:cs="Arial"/>
          <w:sz w:val="20"/>
          <w:szCs w:val="20"/>
        </w:rPr>
        <w:footnoteReference w:id="2"/>
      </w:r>
      <w:r w:rsidR="00C22356" w:rsidRPr="00CB1B48">
        <w:rPr>
          <w:rFonts w:ascii="Arial" w:hAnsi="Arial" w:cs="Arial"/>
          <w:sz w:val="20"/>
          <w:szCs w:val="20"/>
        </w:rPr>
        <w:t>; or</w:t>
      </w:r>
    </w:p>
    <w:p w14:paraId="407D1174" w14:textId="497CECA5" w:rsidR="00B833E3" w:rsidRDefault="00C22356" w:rsidP="006E0A9B">
      <w:pPr>
        <w:pStyle w:val="ListParagraph"/>
        <w:numPr>
          <w:ilvl w:val="0"/>
          <w:numId w:val="14"/>
        </w:numPr>
        <w:rPr>
          <w:rFonts w:ascii="Arial" w:hAnsi="Arial" w:cs="Arial"/>
          <w:sz w:val="20"/>
          <w:szCs w:val="20"/>
        </w:rPr>
      </w:pPr>
      <w:r w:rsidRPr="00CB1B48">
        <w:rPr>
          <w:rFonts w:ascii="Arial" w:hAnsi="Arial" w:cs="Arial"/>
          <w:sz w:val="20"/>
          <w:szCs w:val="20"/>
        </w:rPr>
        <w:t>there is a technical or engineering difficulty that impedes</w:t>
      </w:r>
      <w:r w:rsidR="004B642E">
        <w:rPr>
          <w:rFonts w:ascii="Arial" w:hAnsi="Arial" w:cs="Arial"/>
          <w:sz w:val="20"/>
          <w:szCs w:val="20"/>
        </w:rPr>
        <w:t xml:space="preserve"> having</w:t>
      </w:r>
      <w:r w:rsidRPr="00CB1B48">
        <w:rPr>
          <w:rFonts w:ascii="Arial" w:hAnsi="Arial" w:cs="Arial"/>
          <w:sz w:val="20"/>
          <w:szCs w:val="20"/>
        </w:rPr>
        <w:t xml:space="preserve"> the label</w:t>
      </w:r>
      <w:r w:rsidR="004B642E">
        <w:rPr>
          <w:rFonts w:ascii="Arial" w:hAnsi="Arial" w:cs="Arial"/>
          <w:sz w:val="20"/>
          <w:szCs w:val="20"/>
        </w:rPr>
        <w:t xml:space="preserve"> applied to</w:t>
      </w:r>
      <w:r w:rsidRPr="00CB1B48">
        <w:rPr>
          <w:rFonts w:ascii="Arial" w:hAnsi="Arial" w:cs="Arial"/>
          <w:sz w:val="20"/>
          <w:szCs w:val="20"/>
        </w:rPr>
        <w:t xml:space="preserve"> the </w:t>
      </w:r>
      <w:r w:rsidR="00B833E3">
        <w:rPr>
          <w:rFonts w:ascii="Arial" w:hAnsi="Arial" w:cs="Arial"/>
          <w:sz w:val="20"/>
          <w:szCs w:val="20"/>
        </w:rPr>
        <w:t>item</w:t>
      </w:r>
      <w:r w:rsidR="004B642E">
        <w:rPr>
          <w:rFonts w:ascii="Arial" w:hAnsi="Arial" w:cs="Arial"/>
          <w:sz w:val="20"/>
          <w:szCs w:val="20"/>
        </w:rPr>
        <w:t xml:space="preserve"> directly</w:t>
      </w:r>
      <w:r w:rsidRPr="00CB1B48">
        <w:rPr>
          <w:rFonts w:ascii="Arial" w:hAnsi="Arial" w:cs="Arial"/>
          <w:sz w:val="20"/>
          <w:szCs w:val="20"/>
        </w:rPr>
        <w:t>.</w:t>
      </w:r>
      <w:r w:rsidR="006E0A9B">
        <w:rPr>
          <w:rFonts w:ascii="Arial" w:hAnsi="Arial" w:cs="Arial"/>
          <w:sz w:val="20"/>
          <w:szCs w:val="20"/>
        </w:rPr>
        <w:t xml:space="preserve"> </w:t>
      </w:r>
    </w:p>
    <w:p w14:paraId="19FEA152" w14:textId="044A1AD2" w:rsidR="007A3E19" w:rsidRDefault="007A3E19" w:rsidP="007A3E19">
      <w:pPr>
        <w:spacing w:before="240" w:after="200" w:line="240" w:lineRule="atLeast"/>
        <w:jc w:val="both"/>
        <w:rPr>
          <w:rFonts w:ascii="Arial" w:hAnsi="Arial" w:cs="Arial"/>
          <w:sz w:val="20"/>
          <w:szCs w:val="20"/>
        </w:rPr>
      </w:pPr>
      <w:r>
        <w:rPr>
          <w:rFonts w:ascii="Arial" w:hAnsi="Arial" w:cs="Arial"/>
          <w:sz w:val="20"/>
          <w:szCs w:val="20"/>
        </w:rPr>
        <w:t>Subsection (</w:t>
      </w:r>
      <w:r w:rsidR="005D6491" w:rsidRPr="00122DD5">
        <w:rPr>
          <w:rFonts w:ascii="Arial" w:hAnsi="Arial" w:cs="Arial"/>
          <w:sz w:val="20"/>
          <w:szCs w:val="20"/>
        </w:rPr>
        <w:t>4</w:t>
      </w:r>
      <w:r w:rsidRPr="00122DD5">
        <w:rPr>
          <w:rFonts w:ascii="Arial" w:hAnsi="Arial" w:cs="Arial"/>
          <w:sz w:val="20"/>
          <w:szCs w:val="20"/>
        </w:rPr>
        <w:t xml:space="preserve">) </w:t>
      </w:r>
      <w:r w:rsidR="004B642E">
        <w:rPr>
          <w:rFonts w:ascii="Arial" w:hAnsi="Arial" w:cs="Arial"/>
          <w:sz w:val="20"/>
          <w:szCs w:val="20"/>
        </w:rPr>
        <w:t>provides</w:t>
      </w:r>
      <w:r>
        <w:rPr>
          <w:rFonts w:ascii="Arial" w:hAnsi="Arial" w:cs="Arial"/>
          <w:sz w:val="20"/>
          <w:szCs w:val="20"/>
        </w:rPr>
        <w:t xml:space="preserve"> that, i</w:t>
      </w:r>
      <w:r w:rsidRPr="00CB1B48">
        <w:rPr>
          <w:rFonts w:ascii="Arial" w:hAnsi="Arial" w:cs="Arial"/>
          <w:sz w:val="20"/>
          <w:szCs w:val="20"/>
        </w:rPr>
        <w:t xml:space="preserve">f a supplier applies a </w:t>
      </w:r>
      <w:r w:rsidR="004B642E">
        <w:rPr>
          <w:rFonts w:ascii="Arial" w:hAnsi="Arial" w:cs="Arial"/>
          <w:sz w:val="20"/>
          <w:szCs w:val="20"/>
        </w:rPr>
        <w:t xml:space="preserve">compliance </w:t>
      </w:r>
      <w:r w:rsidRPr="00CB1B48">
        <w:rPr>
          <w:rFonts w:ascii="Arial" w:hAnsi="Arial" w:cs="Arial"/>
          <w:sz w:val="20"/>
          <w:szCs w:val="20"/>
        </w:rPr>
        <w:t>label</w:t>
      </w:r>
      <w:r w:rsidR="004B642E">
        <w:rPr>
          <w:rFonts w:ascii="Arial" w:hAnsi="Arial" w:cs="Arial"/>
          <w:sz w:val="20"/>
          <w:szCs w:val="20"/>
        </w:rPr>
        <w:t xml:space="preserve"> to an item</w:t>
      </w:r>
      <w:r w:rsidRPr="00CB1B48">
        <w:rPr>
          <w:rFonts w:ascii="Arial" w:hAnsi="Arial" w:cs="Arial"/>
          <w:sz w:val="20"/>
          <w:szCs w:val="20"/>
        </w:rPr>
        <w:t xml:space="preserve"> in </w:t>
      </w:r>
      <w:r w:rsidR="004B642E">
        <w:rPr>
          <w:rFonts w:ascii="Arial" w:hAnsi="Arial" w:cs="Arial"/>
          <w:sz w:val="20"/>
          <w:szCs w:val="20"/>
        </w:rPr>
        <w:t>accordance with subsection (3)</w:t>
      </w:r>
      <w:r>
        <w:rPr>
          <w:rFonts w:ascii="Arial" w:hAnsi="Arial" w:cs="Arial"/>
          <w:sz w:val="20"/>
          <w:szCs w:val="20"/>
        </w:rPr>
        <w:t xml:space="preserve">, </w:t>
      </w:r>
      <w:r w:rsidR="00C22356">
        <w:rPr>
          <w:rFonts w:ascii="Arial" w:hAnsi="Arial" w:cs="Arial"/>
          <w:sz w:val="20"/>
          <w:szCs w:val="20"/>
        </w:rPr>
        <w:t>the</w:t>
      </w:r>
      <w:r w:rsidR="00E66EDC">
        <w:rPr>
          <w:rFonts w:ascii="Arial" w:hAnsi="Arial" w:cs="Arial"/>
          <w:sz w:val="20"/>
          <w:szCs w:val="20"/>
        </w:rPr>
        <w:t xml:space="preserve"> supplier must</w:t>
      </w:r>
      <w:r w:rsidR="00C22356">
        <w:rPr>
          <w:rFonts w:ascii="Arial" w:hAnsi="Arial" w:cs="Arial"/>
          <w:sz w:val="20"/>
          <w:szCs w:val="20"/>
        </w:rPr>
        <w:t xml:space="preserve"> </w:t>
      </w:r>
      <w:r w:rsidR="004B642E">
        <w:rPr>
          <w:rFonts w:ascii="Arial" w:hAnsi="Arial" w:cs="Arial"/>
          <w:sz w:val="20"/>
          <w:szCs w:val="20"/>
        </w:rPr>
        <w:t>prepare a written statement</w:t>
      </w:r>
      <w:r w:rsidR="00C22356" w:rsidRPr="00CB1B48">
        <w:rPr>
          <w:rFonts w:ascii="Arial" w:hAnsi="Arial" w:cs="Arial"/>
          <w:sz w:val="20"/>
          <w:szCs w:val="20"/>
        </w:rPr>
        <w:t xml:space="preserve"> detailing why it is not possible or practical to </w:t>
      </w:r>
      <w:r w:rsidR="004B642E">
        <w:rPr>
          <w:rFonts w:ascii="Arial" w:hAnsi="Arial" w:cs="Arial"/>
          <w:sz w:val="20"/>
          <w:szCs w:val="20"/>
        </w:rPr>
        <w:t xml:space="preserve">apply the </w:t>
      </w:r>
      <w:r w:rsidR="00C22356" w:rsidRPr="00CB1B48">
        <w:rPr>
          <w:rFonts w:ascii="Arial" w:hAnsi="Arial" w:cs="Arial"/>
          <w:sz w:val="20"/>
          <w:szCs w:val="20"/>
        </w:rPr>
        <w:t>label</w:t>
      </w:r>
      <w:r w:rsidR="004B642E">
        <w:rPr>
          <w:rFonts w:ascii="Arial" w:hAnsi="Arial" w:cs="Arial"/>
          <w:sz w:val="20"/>
          <w:szCs w:val="20"/>
        </w:rPr>
        <w:t xml:space="preserve"> directly to</w:t>
      </w:r>
      <w:r w:rsidR="00C22356" w:rsidRPr="00CB1B48">
        <w:rPr>
          <w:rFonts w:ascii="Arial" w:hAnsi="Arial" w:cs="Arial"/>
          <w:sz w:val="20"/>
          <w:szCs w:val="20"/>
        </w:rPr>
        <w:t xml:space="preserve"> the surface of the </w:t>
      </w:r>
      <w:r w:rsidR="00B833E3">
        <w:rPr>
          <w:rFonts w:ascii="Arial" w:hAnsi="Arial" w:cs="Arial"/>
          <w:sz w:val="20"/>
          <w:szCs w:val="20"/>
        </w:rPr>
        <w:t>item</w:t>
      </w:r>
      <w:r w:rsidR="00B833E3" w:rsidRPr="00CB1B48">
        <w:rPr>
          <w:rFonts w:ascii="Arial" w:hAnsi="Arial" w:cs="Arial"/>
          <w:sz w:val="20"/>
          <w:szCs w:val="20"/>
        </w:rPr>
        <w:t xml:space="preserve"> </w:t>
      </w:r>
      <w:r w:rsidR="00C22356" w:rsidRPr="00CB1B48">
        <w:rPr>
          <w:rFonts w:ascii="Arial" w:hAnsi="Arial" w:cs="Arial"/>
          <w:sz w:val="20"/>
          <w:szCs w:val="20"/>
        </w:rPr>
        <w:t>and set</w:t>
      </w:r>
      <w:r w:rsidR="004B642E">
        <w:rPr>
          <w:rFonts w:ascii="Arial" w:hAnsi="Arial" w:cs="Arial"/>
          <w:sz w:val="20"/>
          <w:szCs w:val="20"/>
        </w:rPr>
        <w:t>ting</w:t>
      </w:r>
      <w:r w:rsidR="00C22356" w:rsidRPr="00CB1B48">
        <w:rPr>
          <w:rFonts w:ascii="Arial" w:hAnsi="Arial" w:cs="Arial"/>
          <w:sz w:val="20"/>
          <w:szCs w:val="20"/>
        </w:rPr>
        <w:t xml:space="preserve"> out where </w:t>
      </w:r>
      <w:r w:rsidR="00286159">
        <w:rPr>
          <w:rFonts w:ascii="Arial" w:hAnsi="Arial" w:cs="Arial"/>
          <w:sz w:val="20"/>
          <w:szCs w:val="20"/>
        </w:rPr>
        <w:t xml:space="preserve">each label has been applied </w:t>
      </w:r>
      <w:r w:rsidR="00B03320">
        <w:rPr>
          <w:rFonts w:ascii="Arial" w:hAnsi="Arial" w:cs="Arial"/>
          <w:sz w:val="20"/>
          <w:szCs w:val="20"/>
        </w:rPr>
        <w:t xml:space="preserve">on the </w:t>
      </w:r>
      <w:r w:rsidR="00286159">
        <w:rPr>
          <w:rFonts w:ascii="Arial" w:hAnsi="Arial" w:cs="Arial"/>
          <w:sz w:val="20"/>
          <w:szCs w:val="20"/>
        </w:rPr>
        <w:t xml:space="preserve">external surface of the </w:t>
      </w:r>
      <w:r w:rsidR="00B03320">
        <w:rPr>
          <w:rFonts w:ascii="Arial" w:hAnsi="Arial" w:cs="Arial"/>
          <w:sz w:val="20"/>
          <w:szCs w:val="20"/>
        </w:rPr>
        <w:t>packaging</w:t>
      </w:r>
      <w:r w:rsidR="00286159">
        <w:rPr>
          <w:rFonts w:ascii="Arial" w:hAnsi="Arial" w:cs="Arial"/>
          <w:sz w:val="20"/>
          <w:szCs w:val="20"/>
        </w:rPr>
        <w:t xml:space="preserve"> used for the item and in the documentation that accompanies the item when supplied.</w:t>
      </w:r>
      <w:r w:rsidR="00B03320">
        <w:rPr>
          <w:rFonts w:ascii="Arial" w:hAnsi="Arial" w:cs="Arial"/>
          <w:sz w:val="20"/>
          <w:szCs w:val="20"/>
        </w:rPr>
        <w:t xml:space="preserve"> </w:t>
      </w:r>
    </w:p>
    <w:p w14:paraId="134C3CFF" w14:textId="77777777" w:rsidR="00286159" w:rsidRDefault="00286159" w:rsidP="00286159">
      <w:pPr>
        <w:spacing w:after="200" w:line="240" w:lineRule="atLeast"/>
        <w:rPr>
          <w:rFonts w:ascii="Arial" w:hAnsi="Arial" w:cs="Arial"/>
          <w:sz w:val="20"/>
          <w:szCs w:val="20"/>
        </w:rPr>
      </w:pPr>
      <w:r>
        <w:rPr>
          <w:rFonts w:ascii="Arial" w:hAnsi="Arial" w:cs="Arial"/>
          <w:sz w:val="20"/>
          <w:szCs w:val="20"/>
        </w:rPr>
        <w:t>There is a note at the end of subsection (4) that refers to Note 2 to section 6 (see above).</w:t>
      </w:r>
    </w:p>
    <w:p w14:paraId="6ECCBF67" w14:textId="77777777" w:rsidR="00286159" w:rsidRDefault="00286159" w:rsidP="00286159">
      <w:pPr>
        <w:spacing w:before="240" w:after="200" w:line="240" w:lineRule="atLeast"/>
        <w:rPr>
          <w:rFonts w:ascii="Arial" w:hAnsi="Arial" w:cs="Arial"/>
          <w:sz w:val="20"/>
          <w:szCs w:val="20"/>
        </w:rPr>
      </w:pPr>
      <w:r w:rsidRPr="00CB1B48">
        <w:rPr>
          <w:rFonts w:ascii="Arial" w:hAnsi="Arial" w:cs="Arial"/>
          <w:sz w:val="20"/>
          <w:szCs w:val="20"/>
        </w:rPr>
        <w:t xml:space="preserve">There is no ability for suppliers to apply to the ACMA for approval to label </w:t>
      </w:r>
      <w:r>
        <w:rPr>
          <w:rFonts w:ascii="Arial" w:hAnsi="Arial" w:cs="Arial"/>
          <w:sz w:val="20"/>
          <w:szCs w:val="20"/>
        </w:rPr>
        <w:t>an item in an alternative way</w:t>
      </w:r>
      <w:r w:rsidRPr="00CB1B48">
        <w:rPr>
          <w:rFonts w:ascii="Arial" w:hAnsi="Arial" w:cs="Arial"/>
          <w:sz w:val="20"/>
          <w:szCs w:val="20"/>
        </w:rPr>
        <w:t>.</w:t>
      </w:r>
    </w:p>
    <w:p w14:paraId="5FDAD836" w14:textId="5881BE44" w:rsidR="003346DB" w:rsidRDefault="003346DB" w:rsidP="003346DB">
      <w:pPr>
        <w:spacing w:before="240" w:after="80" w:line="240" w:lineRule="atLeast"/>
        <w:jc w:val="both"/>
        <w:rPr>
          <w:rFonts w:ascii="Arial" w:hAnsi="Arial" w:cs="Arial"/>
          <w:b/>
          <w:sz w:val="20"/>
          <w:szCs w:val="20"/>
        </w:rPr>
      </w:pPr>
      <w:r w:rsidRPr="007A2EA8">
        <w:rPr>
          <w:rFonts w:ascii="Arial" w:hAnsi="Arial" w:cs="Arial"/>
          <w:b/>
          <w:sz w:val="20"/>
          <w:szCs w:val="20"/>
        </w:rPr>
        <w:t>S</w:t>
      </w:r>
      <w:r>
        <w:rPr>
          <w:rFonts w:ascii="Arial" w:hAnsi="Arial" w:cs="Arial"/>
          <w:b/>
          <w:sz w:val="20"/>
          <w:szCs w:val="20"/>
        </w:rPr>
        <w:t>ection 1</w:t>
      </w:r>
      <w:r w:rsidR="00763122">
        <w:rPr>
          <w:rFonts w:ascii="Arial" w:hAnsi="Arial" w:cs="Arial"/>
          <w:b/>
          <w:sz w:val="20"/>
          <w:szCs w:val="20"/>
        </w:rPr>
        <w:t>2</w:t>
      </w:r>
      <w:r>
        <w:rPr>
          <w:rFonts w:ascii="Arial" w:hAnsi="Arial" w:cs="Arial"/>
          <w:b/>
          <w:sz w:val="20"/>
          <w:szCs w:val="20"/>
        </w:rPr>
        <w:tab/>
        <w:t>Electronic labelling of customer equipment</w:t>
      </w:r>
    </w:p>
    <w:p w14:paraId="4701B29E" w14:textId="5EDC6282" w:rsidR="00A93AD0" w:rsidRPr="00CB1A92" w:rsidRDefault="00A93AD0" w:rsidP="00A93AD0">
      <w:pPr>
        <w:spacing w:after="200" w:line="240" w:lineRule="atLeast"/>
        <w:jc w:val="both"/>
        <w:rPr>
          <w:rFonts w:ascii="Arial" w:hAnsi="Arial" w:cs="Arial"/>
          <w:sz w:val="20"/>
          <w:szCs w:val="20"/>
        </w:rPr>
      </w:pPr>
      <w:r w:rsidRPr="00A93AD0">
        <w:rPr>
          <w:rFonts w:ascii="Arial" w:hAnsi="Arial" w:cs="Arial"/>
          <w:sz w:val="20"/>
          <w:szCs w:val="20"/>
        </w:rPr>
        <w:t xml:space="preserve">Subsection </w:t>
      </w:r>
      <w:r>
        <w:rPr>
          <w:rFonts w:ascii="Arial" w:hAnsi="Arial" w:cs="Arial"/>
          <w:sz w:val="20"/>
          <w:szCs w:val="20"/>
        </w:rPr>
        <w:t xml:space="preserve">(1) </w:t>
      </w:r>
      <w:r w:rsidRPr="00CB1A92">
        <w:rPr>
          <w:rFonts w:ascii="Arial" w:hAnsi="Arial" w:cs="Arial"/>
          <w:sz w:val="20"/>
          <w:szCs w:val="20"/>
        </w:rPr>
        <w:t>allows for the use of electronic labelling</w:t>
      </w:r>
      <w:r w:rsidR="00966A97">
        <w:rPr>
          <w:rFonts w:ascii="Arial" w:hAnsi="Arial" w:cs="Arial"/>
          <w:sz w:val="20"/>
          <w:szCs w:val="20"/>
        </w:rPr>
        <w:t xml:space="preserve"> if</w:t>
      </w:r>
      <w:r w:rsidRPr="00CB1A92">
        <w:rPr>
          <w:rFonts w:ascii="Arial" w:hAnsi="Arial" w:cs="Arial"/>
          <w:sz w:val="20"/>
          <w:szCs w:val="20"/>
        </w:rPr>
        <w:t xml:space="preserve"> </w:t>
      </w:r>
      <w:r>
        <w:rPr>
          <w:rFonts w:ascii="Arial" w:hAnsi="Arial" w:cs="Arial"/>
          <w:sz w:val="20"/>
          <w:szCs w:val="20"/>
        </w:rPr>
        <w:t>an item</w:t>
      </w:r>
      <w:r w:rsidRPr="00CB1A92">
        <w:rPr>
          <w:rFonts w:ascii="Arial" w:hAnsi="Arial" w:cs="Arial"/>
          <w:sz w:val="20"/>
          <w:szCs w:val="20"/>
        </w:rPr>
        <w:t xml:space="preserve"> has a built</w:t>
      </w:r>
      <w:r w:rsidR="00763122">
        <w:rPr>
          <w:rFonts w:ascii="Arial" w:hAnsi="Arial" w:cs="Arial"/>
          <w:sz w:val="20"/>
          <w:szCs w:val="20"/>
        </w:rPr>
        <w:t>-</w:t>
      </w:r>
      <w:r w:rsidRPr="00CB1A92">
        <w:rPr>
          <w:rFonts w:ascii="Arial" w:hAnsi="Arial" w:cs="Arial"/>
          <w:sz w:val="20"/>
          <w:szCs w:val="20"/>
        </w:rPr>
        <w:t xml:space="preserve">in display </w:t>
      </w:r>
      <w:r w:rsidR="00ED4FDB">
        <w:rPr>
          <w:rFonts w:ascii="Arial" w:hAnsi="Arial" w:cs="Arial"/>
          <w:sz w:val="20"/>
          <w:szCs w:val="20"/>
        </w:rPr>
        <w:t xml:space="preserve">which may be used to apply </w:t>
      </w:r>
      <w:r>
        <w:rPr>
          <w:rFonts w:ascii="Arial" w:hAnsi="Arial" w:cs="Arial"/>
          <w:sz w:val="20"/>
          <w:szCs w:val="20"/>
        </w:rPr>
        <w:t xml:space="preserve">a </w:t>
      </w:r>
      <w:r w:rsidR="000C6B39">
        <w:rPr>
          <w:rFonts w:ascii="Arial" w:hAnsi="Arial" w:cs="Arial"/>
          <w:sz w:val="20"/>
          <w:szCs w:val="20"/>
        </w:rPr>
        <w:t xml:space="preserve">compliance </w:t>
      </w:r>
      <w:r w:rsidRPr="00CB1A92">
        <w:rPr>
          <w:rFonts w:ascii="Arial" w:hAnsi="Arial" w:cs="Arial"/>
          <w:sz w:val="20"/>
          <w:szCs w:val="20"/>
        </w:rPr>
        <w:t>label</w:t>
      </w:r>
      <w:r w:rsidR="00966A97">
        <w:rPr>
          <w:rFonts w:ascii="Arial" w:hAnsi="Arial" w:cs="Arial"/>
          <w:sz w:val="20"/>
          <w:szCs w:val="20"/>
        </w:rPr>
        <w:t>. The compliance label</w:t>
      </w:r>
      <w:r w:rsidRPr="00CB1A92">
        <w:rPr>
          <w:rFonts w:ascii="Arial" w:hAnsi="Arial" w:cs="Arial"/>
          <w:sz w:val="20"/>
          <w:szCs w:val="20"/>
        </w:rPr>
        <w:t xml:space="preserve"> may be electronically stored on the </w:t>
      </w:r>
      <w:r w:rsidR="000C6B39">
        <w:rPr>
          <w:rFonts w:ascii="Arial" w:hAnsi="Arial" w:cs="Arial"/>
          <w:sz w:val="20"/>
          <w:szCs w:val="20"/>
        </w:rPr>
        <w:t>item</w:t>
      </w:r>
      <w:r w:rsidRPr="00CB1A92">
        <w:rPr>
          <w:rFonts w:ascii="Arial" w:hAnsi="Arial" w:cs="Arial"/>
          <w:sz w:val="20"/>
          <w:szCs w:val="20"/>
        </w:rPr>
        <w:t xml:space="preserve"> and </w:t>
      </w:r>
      <w:r w:rsidR="00763122">
        <w:rPr>
          <w:rFonts w:ascii="Arial" w:hAnsi="Arial" w:cs="Arial"/>
          <w:sz w:val="20"/>
          <w:szCs w:val="20"/>
        </w:rPr>
        <w:t>shown on the display</w:t>
      </w:r>
      <w:r w:rsidRPr="00CB1A92">
        <w:rPr>
          <w:rFonts w:ascii="Arial" w:hAnsi="Arial" w:cs="Arial"/>
          <w:sz w:val="20"/>
          <w:szCs w:val="20"/>
        </w:rPr>
        <w:t xml:space="preserve"> when the </w:t>
      </w:r>
      <w:r w:rsidR="000C6B39">
        <w:rPr>
          <w:rFonts w:ascii="Arial" w:hAnsi="Arial" w:cs="Arial"/>
          <w:sz w:val="20"/>
          <w:szCs w:val="20"/>
        </w:rPr>
        <w:t>item</w:t>
      </w:r>
      <w:r w:rsidRPr="00CB1A92">
        <w:rPr>
          <w:rFonts w:ascii="Arial" w:hAnsi="Arial" w:cs="Arial"/>
          <w:sz w:val="20"/>
          <w:szCs w:val="20"/>
        </w:rPr>
        <w:t xml:space="preserve"> is activated. </w:t>
      </w:r>
      <w:r w:rsidR="00ED4FDB">
        <w:rPr>
          <w:rFonts w:ascii="Arial" w:hAnsi="Arial" w:cs="Arial"/>
          <w:sz w:val="20"/>
          <w:szCs w:val="20"/>
        </w:rPr>
        <w:t>A supplier of such an item may use electronic labelling if it meets the requirements of section 12.</w:t>
      </w:r>
    </w:p>
    <w:p w14:paraId="52AFD61A" w14:textId="5383ED5E" w:rsidR="00A93AD0" w:rsidRDefault="00A93AD0" w:rsidP="00A93AD0">
      <w:pPr>
        <w:spacing w:after="200" w:line="240" w:lineRule="atLeast"/>
        <w:jc w:val="both"/>
        <w:rPr>
          <w:rFonts w:ascii="Arial" w:hAnsi="Arial" w:cs="Arial"/>
          <w:sz w:val="20"/>
          <w:szCs w:val="20"/>
        </w:rPr>
      </w:pPr>
      <w:r w:rsidRPr="00CB1A92">
        <w:rPr>
          <w:rFonts w:ascii="Arial" w:hAnsi="Arial" w:cs="Arial"/>
          <w:sz w:val="20"/>
          <w:szCs w:val="20"/>
        </w:rPr>
        <w:t xml:space="preserve">Subsection (2) specifies that the </w:t>
      </w:r>
      <w:r w:rsidR="00ED4FDB">
        <w:rPr>
          <w:rFonts w:ascii="Arial" w:hAnsi="Arial" w:cs="Arial"/>
          <w:sz w:val="20"/>
          <w:szCs w:val="20"/>
        </w:rPr>
        <w:t>supplier</w:t>
      </w:r>
      <w:r w:rsidRPr="00CB1A92">
        <w:rPr>
          <w:rFonts w:ascii="Arial" w:hAnsi="Arial" w:cs="Arial"/>
          <w:sz w:val="20"/>
          <w:szCs w:val="20"/>
        </w:rPr>
        <w:t xml:space="preserve"> must, when using electronic labelling, ensure that documentation accompanying the </w:t>
      </w:r>
      <w:r w:rsidR="000C6B39">
        <w:rPr>
          <w:rFonts w:ascii="Arial" w:hAnsi="Arial" w:cs="Arial"/>
          <w:sz w:val="20"/>
          <w:szCs w:val="20"/>
        </w:rPr>
        <w:t>item</w:t>
      </w:r>
      <w:r w:rsidR="00ED4FDB">
        <w:rPr>
          <w:rFonts w:ascii="Arial" w:hAnsi="Arial" w:cs="Arial"/>
          <w:sz w:val="20"/>
          <w:szCs w:val="20"/>
        </w:rPr>
        <w:t xml:space="preserve"> when supplied</w:t>
      </w:r>
      <w:r w:rsidRPr="00CB1A92">
        <w:rPr>
          <w:rFonts w:ascii="Arial" w:hAnsi="Arial" w:cs="Arial"/>
          <w:sz w:val="20"/>
          <w:szCs w:val="20"/>
        </w:rPr>
        <w:t xml:space="preserve"> sets out the method for displaying the compliance label. </w:t>
      </w:r>
    </w:p>
    <w:p w14:paraId="272E2CAB" w14:textId="73056A1F" w:rsidR="00A93AD0" w:rsidRDefault="00A93AD0" w:rsidP="00A93AD0">
      <w:pPr>
        <w:spacing w:after="200" w:line="240" w:lineRule="atLeast"/>
        <w:jc w:val="both"/>
        <w:rPr>
          <w:rFonts w:ascii="Arial" w:hAnsi="Arial" w:cs="Arial"/>
          <w:sz w:val="20"/>
          <w:szCs w:val="20"/>
        </w:rPr>
      </w:pPr>
      <w:r w:rsidRPr="00CB1A92">
        <w:rPr>
          <w:rFonts w:ascii="Arial" w:hAnsi="Arial" w:cs="Arial"/>
          <w:sz w:val="20"/>
          <w:szCs w:val="20"/>
        </w:rPr>
        <w:t xml:space="preserve">Subsection (3) provides that the compliance label must be applied to the </w:t>
      </w:r>
      <w:r w:rsidR="00B833E3">
        <w:rPr>
          <w:rFonts w:ascii="Arial" w:hAnsi="Arial" w:cs="Arial"/>
          <w:sz w:val="20"/>
          <w:szCs w:val="20"/>
        </w:rPr>
        <w:t>item</w:t>
      </w:r>
      <w:r w:rsidR="00B833E3" w:rsidRPr="00CB1A92">
        <w:rPr>
          <w:rFonts w:ascii="Arial" w:hAnsi="Arial" w:cs="Arial"/>
          <w:sz w:val="20"/>
          <w:szCs w:val="20"/>
        </w:rPr>
        <w:t xml:space="preserve"> </w:t>
      </w:r>
      <w:r w:rsidRPr="00CB1A92">
        <w:rPr>
          <w:rFonts w:ascii="Arial" w:hAnsi="Arial" w:cs="Arial"/>
          <w:sz w:val="20"/>
          <w:szCs w:val="20"/>
        </w:rPr>
        <w:t>in a way that would make it difficult to prevent the display of the label when</w:t>
      </w:r>
      <w:r w:rsidR="00C76239">
        <w:rPr>
          <w:rFonts w:ascii="Arial" w:hAnsi="Arial" w:cs="Arial"/>
          <w:sz w:val="20"/>
          <w:szCs w:val="20"/>
        </w:rPr>
        <w:t xml:space="preserve"> the item is</w:t>
      </w:r>
      <w:r w:rsidRPr="00CB1A92">
        <w:rPr>
          <w:rFonts w:ascii="Arial" w:hAnsi="Arial" w:cs="Arial"/>
          <w:sz w:val="20"/>
          <w:szCs w:val="20"/>
        </w:rPr>
        <w:t xml:space="preserve"> </w:t>
      </w:r>
      <w:r w:rsidR="000C6B39">
        <w:rPr>
          <w:rFonts w:ascii="Arial" w:hAnsi="Arial" w:cs="Arial"/>
          <w:sz w:val="20"/>
          <w:szCs w:val="20"/>
        </w:rPr>
        <w:t>being used by a person.</w:t>
      </w:r>
    </w:p>
    <w:p w14:paraId="00E7430E" w14:textId="7E294154" w:rsidR="000C6B39" w:rsidRPr="00CB1A92" w:rsidRDefault="000C6B39" w:rsidP="00A93AD0">
      <w:pPr>
        <w:spacing w:after="200" w:line="240" w:lineRule="atLeast"/>
        <w:jc w:val="both"/>
        <w:rPr>
          <w:rFonts w:ascii="Arial" w:hAnsi="Arial" w:cs="Arial"/>
          <w:sz w:val="20"/>
          <w:szCs w:val="20"/>
        </w:rPr>
      </w:pPr>
      <w:r>
        <w:rPr>
          <w:rFonts w:ascii="Arial" w:hAnsi="Arial" w:cs="Arial"/>
          <w:sz w:val="20"/>
          <w:szCs w:val="20"/>
        </w:rPr>
        <w:t xml:space="preserve">Subsection (4) </w:t>
      </w:r>
      <w:r w:rsidR="009E2EF6">
        <w:rPr>
          <w:rFonts w:ascii="Arial" w:hAnsi="Arial" w:cs="Arial"/>
          <w:sz w:val="20"/>
          <w:szCs w:val="20"/>
        </w:rPr>
        <w:t xml:space="preserve">puts it beyond doubt </w:t>
      </w:r>
      <w:r>
        <w:rPr>
          <w:rFonts w:ascii="Arial" w:hAnsi="Arial" w:cs="Arial"/>
          <w:sz w:val="20"/>
          <w:szCs w:val="20"/>
        </w:rPr>
        <w:t xml:space="preserve">that the durability </w:t>
      </w:r>
      <w:r w:rsidR="00ED4FDB">
        <w:rPr>
          <w:rFonts w:ascii="Arial" w:hAnsi="Arial" w:cs="Arial"/>
          <w:sz w:val="20"/>
          <w:szCs w:val="20"/>
        </w:rPr>
        <w:t xml:space="preserve">and permanency </w:t>
      </w:r>
      <w:r>
        <w:rPr>
          <w:rFonts w:ascii="Arial" w:hAnsi="Arial" w:cs="Arial"/>
          <w:sz w:val="20"/>
          <w:szCs w:val="20"/>
        </w:rPr>
        <w:t xml:space="preserve">requirements </w:t>
      </w:r>
      <w:r w:rsidR="00916850">
        <w:rPr>
          <w:rFonts w:ascii="Arial" w:hAnsi="Arial" w:cs="Arial"/>
          <w:sz w:val="20"/>
          <w:szCs w:val="20"/>
        </w:rPr>
        <w:t xml:space="preserve">in subsection </w:t>
      </w:r>
      <w:r w:rsidR="00916850" w:rsidRPr="0044481E">
        <w:rPr>
          <w:rFonts w:ascii="Arial" w:hAnsi="Arial" w:cs="Arial"/>
          <w:sz w:val="20"/>
          <w:szCs w:val="20"/>
        </w:rPr>
        <w:t>1</w:t>
      </w:r>
      <w:r w:rsidR="009E2EF6" w:rsidRPr="0044481E">
        <w:rPr>
          <w:rFonts w:ascii="Arial" w:hAnsi="Arial" w:cs="Arial"/>
          <w:sz w:val="20"/>
          <w:szCs w:val="20"/>
        </w:rPr>
        <w:t>0</w:t>
      </w:r>
      <w:r w:rsidR="00916850" w:rsidRPr="0044481E">
        <w:rPr>
          <w:rFonts w:ascii="Arial" w:hAnsi="Arial" w:cs="Arial"/>
          <w:sz w:val="20"/>
          <w:szCs w:val="20"/>
        </w:rPr>
        <w:t>(2)</w:t>
      </w:r>
      <w:r w:rsidR="00916850">
        <w:rPr>
          <w:rFonts w:ascii="Arial" w:hAnsi="Arial" w:cs="Arial"/>
          <w:sz w:val="20"/>
          <w:szCs w:val="20"/>
        </w:rPr>
        <w:t xml:space="preserve"> </w:t>
      </w:r>
      <w:r w:rsidR="00916850" w:rsidRPr="00CB1A92">
        <w:rPr>
          <w:rFonts w:ascii="Arial" w:hAnsi="Arial" w:cs="Arial"/>
          <w:sz w:val="20"/>
          <w:szCs w:val="20"/>
        </w:rPr>
        <w:t xml:space="preserve">do not apply to </w:t>
      </w:r>
      <w:r w:rsidR="00ED4FDB">
        <w:rPr>
          <w:rFonts w:ascii="Arial" w:hAnsi="Arial" w:cs="Arial"/>
          <w:sz w:val="20"/>
          <w:szCs w:val="20"/>
        </w:rPr>
        <w:t>a compliance label</w:t>
      </w:r>
      <w:r w:rsidR="00916850" w:rsidRPr="00CB1A92">
        <w:rPr>
          <w:rFonts w:ascii="Arial" w:hAnsi="Arial" w:cs="Arial"/>
          <w:sz w:val="20"/>
          <w:szCs w:val="20"/>
        </w:rPr>
        <w:t xml:space="preserve"> where electronic label</w:t>
      </w:r>
      <w:r w:rsidR="00ED4FDB">
        <w:rPr>
          <w:rFonts w:ascii="Arial" w:hAnsi="Arial" w:cs="Arial"/>
          <w:sz w:val="20"/>
          <w:szCs w:val="20"/>
        </w:rPr>
        <w:t>ling</w:t>
      </w:r>
      <w:r w:rsidR="00916850" w:rsidRPr="00CB1A92">
        <w:rPr>
          <w:rFonts w:ascii="Arial" w:hAnsi="Arial" w:cs="Arial"/>
          <w:sz w:val="20"/>
          <w:szCs w:val="20"/>
        </w:rPr>
        <w:t xml:space="preserve"> has been used</w:t>
      </w:r>
      <w:r w:rsidR="00916850">
        <w:rPr>
          <w:rFonts w:ascii="Arial" w:hAnsi="Arial" w:cs="Arial"/>
          <w:sz w:val="20"/>
          <w:szCs w:val="20"/>
        </w:rPr>
        <w:t>.</w:t>
      </w:r>
    </w:p>
    <w:p w14:paraId="40A309EA" w14:textId="5DF5E828" w:rsidR="003346DB" w:rsidRDefault="003346DB" w:rsidP="003346DB">
      <w:pPr>
        <w:spacing w:before="240" w:after="120" w:line="240" w:lineRule="atLeast"/>
        <w:jc w:val="both"/>
        <w:rPr>
          <w:rFonts w:ascii="Arial" w:hAnsi="Arial" w:cs="Arial"/>
          <w:b/>
          <w:sz w:val="22"/>
          <w:szCs w:val="22"/>
        </w:rPr>
      </w:pPr>
      <w:r>
        <w:rPr>
          <w:rFonts w:ascii="Arial" w:hAnsi="Arial" w:cs="Arial"/>
          <w:b/>
          <w:sz w:val="22"/>
          <w:szCs w:val="22"/>
        </w:rPr>
        <w:t>Division 4 – Applying a non-compliance label and preparing a written statement</w:t>
      </w:r>
    </w:p>
    <w:p w14:paraId="4E9DA4E0" w14:textId="4ACBEE85" w:rsidR="009E2EF6" w:rsidRPr="00467321" w:rsidRDefault="009E2EF6" w:rsidP="008E67E5">
      <w:pPr>
        <w:spacing w:before="240" w:after="80" w:line="240" w:lineRule="atLeast"/>
        <w:jc w:val="both"/>
        <w:rPr>
          <w:rFonts w:ascii="Arial" w:hAnsi="Arial" w:cs="Arial"/>
          <w:sz w:val="20"/>
          <w:szCs w:val="20"/>
        </w:rPr>
      </w:pPr>
      <w:r>
        <w:rPr>
          <w:rFonts w:ascii="Arial" w:hAnsi="Arial" w:cs="Arial"/>
          <w:sz w:val="20"/>
          <w:szCs w:val="20"/>
        </w:rPr>
        <w:t xml:space="preserve">Divisions 2 and 3 of Part 4 only apply where an item complies with each applicable technical standard.  Divisions 4 and </w:t>
      </w:r>
      <w:r w:rsidR="00E93F0B">
        <w:rPr>
          <w:rFonts w:ascii="Arial" w:hAnsi="Arial" w:cs="Arial"/>
          <w:sz w:val="20"/>
          <w:szCs w:val="20"/>
        </w:rPr>
        <w:t>5</w:t>
      </w:r>
      <w:r>
        <w:rPr>
          <w:rFonts w:ascii="Arial" w:hAnsi="Arial" w:cs="Arial"/>
          <w:sz w:val="20"/>
          <w:szCs w:val="20"/>
        </w:rPr>
        <w:t xml:space="preserve"> apply where an item does </w:t>
      </w:r>
      <w:r w:rsidRPr="00467321">
        <w:rPr>
          <w:rFonts w:ascii="Arial" w:hAnsi="Arial" w:cs="Arial"/>
          <w:i/>
          <w:sz w:val="20"/>
          <w:szCs w:val="20"/>
        </w:rPr>
        <w:t xml:space="preserve">not </w:t>
      </w:r>
      <w:r>
        <w:rPr>
          <w:rFonts w:ascii="Arial" w:hAnsi="Arial" w:cs="Arial"/>
          <w:sz w:val="20"/>
          <w:szCs w:val="20"/>
        </w:rPr>
        <w:t xml:space="preserve">comply with one or more applicable </w:t>
      </w:r>
      <w:r>
        <w:rPr>
          <w:rFonts w:ascii="Arial" w:hAnsi="Arial" w:cs="Arial"/>
          <w:sz w:val="20"/>
          <w:szCs w:val="20"/>
        </w:rPr>
        <w:lastRenderedPageBreak/>
        <w:t>technical standards.  Under the Act, such an item may still be supplied if it is labelled in accordance with the 2015 Notice, but there may be prohibitions on connecting the item to a telecommunications network (see Division 7 of Part 21 of the Act, and in particular section 411)</w:t>
      </w:r>
      <w:r w:rsidR="00322896">
        <w:rPr>
          <w:rFonts w:ascii="Arial" w:hAnsi="Arial" w:cs="Arial"/>
          <w:sz w:val="20"/>
          <w:szCs w:val="20"/>
        </w:rPr>
        <w:t>.</w:t>
      </w:r>
    </w:p>
    <w:p w14:paraId="11EDF641" w14:textId="26B0717B" w:rsidR="003346DB" w:rsidRDefault="008E67E5" w:rsidP="008E67E5">
      <w:pPr>
        <w:spacing w:before="240" w:after="80" w:line="240" w:lineRule="atLeast"/>
        <w:jc w:val="both"/>
        <w:rPr>
          <w:rFonts w:ascii="Arial" w:hAnsi="Arial" w:cs="Arial"/>
          <w:b/>
          <w:sz w:val="20"/>
          <w:szCs w:val="20"/>
        </w:rPr>
      </w:pPr>
      <w:r w:rsidRPr="008E67E5">
        <w:rPr>
          <w:rFonts w:ascii="Arial" w:hAnsi="Arial" w:cs="Arial"/>
          <w:b/>
          <w:sz w:val="20"/>
          <w:szCs w:val="20"/>
        </w:rPr>
        <w:t xml:space="preserve">Section </w:t>
      </w:r>
      <w:r>
        <w:rPr>
          <w:rFonts w:ascii="Arial" w:hAnsi="Arial" w:cs="Arial"/>
          <w:b/>
          <w:sz w:val="20"/>
          <w:szCs w:val="20"/>
        </w:rPr>
        <w:t>13</w:t>
      </w:r>
      <w:r>
        <w:rPr>
          <w:rFonts w:ascii="Arial" w:hAnsi="Arial" w:cs="Arial"/>
          <w:b/>
          <w:sz w:val="20"/>
          <w:szCs w:val="20"/>
        </w:rPr>
        <w:tab/>
        <w:t>Requirements to apply a non-compliance label and prepare a written statement</w:t>
      </w:r>
    </w:p>
    <w:p w14:paraId="041DD11D" w14:textId="7175D39C" w:rsidR="008E67E5" w:rsidRDefault="008E67E5" w:rsidP="008E67E5">
      <w:pPr>
        <w:spacing w:after="200" w:line="240" w:lineRule="atLeast"/>
        <w:jc w:val="both"/>
        <w:rPr>
          <w:rFonts w:ascii="Arial" w:hAnsi="Arial" w:cs="Arial"/>
          <w:sz w:val="20"/>
          <w:szCs w:val="20"/>
        </w:rPr>
      </w:pPr>
      <w:r>
        <w:rPr>
          <w:rFonts w:ascii="Arial" w:hAnsi="Arial" w:cs="Arial"/>
          <w:sz w:val="20"/>
          <w:szCs w:val="20"/>
        </w:rPr>
        <w:t xml:space="preserve">Subsection (1) </w:t>
      </w:r>
      <w:r w:rsidR="009E2EF6">
        <w:rPr>
          <w:rFonts w:ascii="Arial" w:hAnsi="Arial" w:cs="Arial"/>
          <w:sz w:val="20"/>
          <w:szCs w:val="20"/>
        </w:rPr>
        <w:t xml:space="preserve">provides </w:t>
      </w:r>
      <w:r w:rsidR="00301583">
        <w:rPr>
          <w:rFonts w:ascii="Arial" w:hAnsi="Arial" w:cs="Arial"/>
          <w:sz w:val="20"/>
          <w:szCs w:val="20"/>
        </w:rPr>
        <w:t>that section</w:t>
      </w:r>
      <w:r w:rsidR="00ED4FDB">
        <w:rPr>
          <w:rFonts w:ascii="Arial" w:hAnsi="Arial" w:cs="Arial"/>
          <w:sz w:val="20"/>
          <w:szCs w:val="20"/>
        </w:rPr>
        <w:t xml:space="preserve"> 13</w:t>
      </w:r>
      <w:r w:rsidR="00301583">
        <w:rPr>
          <w:rFonts w:ascii="Arial" w:hAnsi="Arial" w:cs="Arial"/>
          <w:sz w:val="20"/>
          <w:szCs w:val="20"/>
        </w:rPr>
        <w:t xml:space="preserve"> applies</w:t>
      </w:r>
      <w:r w:rsidR="00ED4FDB">
        <w:rPr>
          <w:rFonts w:ascii="Arial" w:hAnsi="Arial" w:cs="Arial"/>
          <w:sz w:val="20"/>
          <w:szCs w:val="20"/>
        </w:rPr>
        <w:t xml:space="preserve"> to an item if</w:t>
      </w:r>
      <w:r w:rsidR="00301583">
        <w:rPr>
          <w:rFonts w:ascii="Arial" w:hAnsi="Arial" w:cs="Arial"/>
          <w:sz w:val="20"/>
          <w:szCs w:val="20"/>
        </w:rPr>
        <w:t xml:space="preserve"> there are one or more applicable technical standards </w:t>
      </w:r>
      <w:r w:rsidR="00ED4FDB">
        <w:rPr>
          <w:rFonts w:ascii="Arial" w:hAnsi="Arial" w:cs="Arial"/>
          <w:sz w:val="20"/>
          <w:szCs w:val="20"/>
        </w:rPr>
        <w:t xml:space="preserve">in relation to </w:t>
      </w:r>
      <w:r w:rsidR="009E2EF6">
        <w:rPr>
          <w:rFonts w:ascii="Arial" w:hAnsi="Arial" w:cs="Arial"/>
          <w:sz w:val="20"/>
          <w:szCs w:val="20"/>
        </w:rPr>
        <w:t xml:space="preserve">an item </w:t>
      </w:r>
      <w:r w:rsidR="00301583">
        <w:rPr>
          <w:rFonts w:ascii="Arial" w:hAnsi="Arial" w:cs="Arial"/>
          <w:sz w:val="20"/>
          <w:szCs w:val="20"/>
        </w:rPr>
        <w:t>and the item does not comply with each standard.</w:t>
      </w:r>
    </w:p>
    <w:p w14:paraId="268030F8" w14:textId="6EF8D0B3" w:rsidR="008E67E5" w:rsidRPr="008E67E5" w:rsidRDefault="008E67E5" w:rsidP="008E67E5">
      <w:pPr>
        <w:spacing w:after="200" w:line="240" w:lineRule="atLeast"/>
        <w:jc w:val="both"/>
        <w:rPr>
          <w:rFonts w:ascii="Arial" w:hAnsi="Arial" w:cs="Arial"/>
          <w:sz w:val="20"/>
          <w:szCs w:val="20"/>
        </w:rPr>
      </w:pPr>
      <w:r>
        <w:rPr>
          <w:rFonts w:ascii="Arial" w:hAnsi="Arial" w:cs="Arial"/>
          <w:sz w:val="20"/>
          <w:szCs w:val="20"/>
        </w:rPr>
        <w:t>Subsection (2)</w:t>
      </w:r>
      <w:r w:rsidR="00301583">
        <w:rPr>
          <w:rFonts w:ascii="Arial" w:hAnsi="Arial" w:cs="Arial"/>
          <w:sz w:val="20"/>
          <w:szCs w:val="20"/>
        </w:rPr>
        <w:t xml:space="preserve"> provides that</w:t>
      </w:r>
      <w:r w:rsidR="00F24EE1">
        <w:rPr>
          <w:rFonts w:ascii="Arial" w:hAnsi="Arial" w:cs="Arial"/>
          <w:sz w:val="20"/>
          <w:szCs w:val="20"/>
        </w:rPr>
        <w:t>,</w:t>
      </w:r>
      <w:r w:rsidR="00301583">
        <w:rPr>
          <w:rFonts w:ascii="Arial" w:hAnsi="Arial" w:cs="Arial"/>
          <w:sz w:val="20"/>
          <w:szCs w:val="20"/>
        </w:rPr>
        <w:t xml:space="preserve"> if section </w:t>
      </w:r>
      <w:r w:rsidR="00C76239">
        <w:rPr>
          <w:rFonts w:ascii="Arial" w:hAnsi="Arial" w:cs="Arial"/>
          <w:sz w:val="20"/>
          <w:szCs w:val="20"/>
        </w:rPr>
        <w:t xml:space="preserve">13 </w:t>
      </w:r>
      <w:r w:rsidR="00301583">
        <w:rPr>
          <w:rFonts w:ascii="Arial" w:hAnsi="Arial" w:cs="Arial"/>
          <w:sz w:val="20"/>
          <w:szCs w:val="20"/>
        </w:rPr>
        <w:t>applies, the manufacturer or importe</w:t>
      </w:r>
      <w:r w:rsidR="00C76239">
        <w:rPr>
          <w:rFonts w:ascii="Arial" w:hAnsi="Arial" w:cs="Arial"/>
          <w:sz w:val="20"/>
          <w:szCs w:val="20"/>
        </w:rPr>
        <w:t>r</w:t>
      </w:r>
      <w:r w:rsidR="00301583">
        <w:rPr>
          <w:rFonts w:ascii="Arial" w:hAnsi="Arial" w:cs="Arial"/>
          <w:sz w:val="20"/>
          <w:szCs w:val="20"/>
        </w:rPr>
        <w:t xml:space="preserve"> must</w:t>
      </w:r>
      <w:r w:rsidR="009E2EF6">
        <w:rPr>
          <w:rFonts w:ascii="Arial" w:hAnsi="Arial" w:cs="Arial"/>
          <w:sz w:val="20"/>
          <w:szCs w:val="20"/>
        </w:rPr>
        <w:t>,</w:t>
      </w:r>
      <w:r w:rsidR="00301583">
        <w:rPr>
          <w:rFonts w:ascii="Arial" w:hAnsi="Arial" w:cs="Arial"/>
          <w:sz w:val="20"/>
          <w:szCs w:val="20"/>
        </w:rPr>
        <w:t xml:space="preserve"> before supplying the item</w:t>
      </w:r>
      <w:r w:rsidR="009E2EF6">
        <w:rPr>
          <w:rFonts w:ascii="Arial" w:hAnsi="Arial" w:cs="Arial"/>
          <w:sz w:val="20"/>
          <w:szCs w:val="20"/>
        </w:rPr>
        <w:t>,</w:t>
      </w:r>
      <w:r w:rsidR="00301583">
        <w:rPr>
          <w:rFonts w:ascii="Arial" w:hAnsi="Arial" w:cs="Arial"/>
          <w:sz w:val="20"/>
          <w:szCs w:val="20"/>
        </w:rPr>
        <w:t xml:space="preserve"> apply a non-compliance label</w:t>
      </w:r>
      <w:r w:rsidR="00ED4FDB">
        <w:rPr>
          <w:rFonts w:ascii="Arial" w:hAnsi="Arial" w:cs="Arial"/>
          <w:sz w:val="20"/>
          <w:szCs w:val="20"/>
        </w:rPr>
        <w:t xml:space="preserve"> to the item</w:t>
      </w:r>
      <w:r w:rsidR="00301583">
        <w:rPr>
          <w:rFonts w:ascii="Arial" w:hAnsi="Arial" w:cs="Arial"/>
          <w:sz w:val="20"/>
          <w:szCs w:val="20"/>
        </w:rPr>
        <w:t xml:space="preserve"> and prepare a written statement</w:t>
      </w:r>
      <w:r w:rsidR="00ED4FDB">
        <w:rPr>
          <w:rFonts w:ascii="Arial" w:hAnsi="Arial" w:cs="Arial"/>
          <w:sz w:val="20"/>
          <w:szCs w:val="20"/>
        </w:rPr>
        <w:t xml:space="preserve"> in relation to the item, in accordance with Division 5</w:t>
      </w:r>
      <w:r w:rsidR="00301583">
        <w:rPr>
          <w:rFonts w:ascii="Arial" w:hAnsi="Arial" w:cs="Arial"/>
          <w:sz w:val="20"/>
          <w:szCs w:val="20"/>
        </w:rPr>
        <w:t>.</w:t>
      </w:r>
    </w:p>
    <w:p w14:paraId="54B90A55" w14:textId="2850D8DC" w:rsidR="00280208" w:rsidRDefault="00280208" w:rsidP="002358DD">
      <w:pPr>
        <w:keepNext/>
        <w:spacing w:before="240" w:after="120" w:line="240" w:lineRule="atLeast"/>
        <w:jc w:val="both"/>
        <w:rPr>
          <w:rFonts w:ascii="Arial" w:hAnsi="Arial" w:cs="Arial"/>
          <w:b/>
          <w:sz w:val="22"/>
          <w:szCs w:val="22"/>
        </w:rPr>
      </w:pPr>
      <w:r>
        <w:rPr>
          <w:rFonts w:ascii="Arial" w:hAnsi="Arial" w:cs="Arial"/>
          <w:b/>
          <w:sz w:val="22"/>
          <w:szCs w:val="22"/>
        </w:rPr>
        <w:t>Division 5 – Form and application of a non-compliance label and preparation of a written statement</w:t>
      </w:r>
    </w:p>
    <w:p w14:paraId="59CE44B5" w14:textId="26C1FC05" w:rsidR="00280208" w:rsidRDefault="00280208" w:rsidP="0003573C">
      <w:pPr>
        <w:keepNext/>
        <w:spacing w:before="240" w:after="80" w:line="240" w:lineRule="atLeast"/>
        <w:jc w:val="both"/>
        <w:rPr>
          <w:rFonts w:ascii="Arial" w:hAnsi="Arial" w:cs="Arial"/>
          <w:b/>
          <w:sz w:val="20"/>
          <w:szCs w:val="20"/>
        </w:rPr>
      </w:pPr>
      <w:r w:rsidRPr="008E67E5">
        <w:rPr>
          <w:rFonts w:ascii="Arial" w:hAnsi="Arial" w:cs="Arial"/>
          <w:b/>
          <w:sz w:val="20"/>
          <w:szCs w:val="20"/>
        </w:rPr>
        <w:t xml:space="preserve">Section </w:t>
      </w:r>
      <w:r w:rsidR="009E2EF6">
        <w:rPr>
          <w:rFonts w:ascii="Arial" w:hAnsi="Arial" w:cs="Arial"/>
          <w:b/>
          <w:sz w:val="20"/>
          <w:szCs w:val="20"/>
        </w:rPr>
        <w:t>14</w:t>
      </w:r>
      <w:r>
        <w:rPr>
          <w:rFonts w:ascii="Arial" w:hAnsi="Arial" w:cs="Arial"/>
          <w:b/>
          <w:sz w:val="20"/>
          <w:szCs w:val="20"/>
        </w:rPr>
        <w:tab/>
        <w:t>Form of a non-compliance label</w:t>
      </w:r>
    </w:p>
    <w:p w14:paraId="4FA8FCF4" w14:textId="77777777" w:rsidR="006317A2" w:rsidRDefault="006317A2" w:rsidP="006317A2">
      <w:pPr>
        <w:spacing w:after="200" w:line="240" w:lineRule="atLeast"/>
        <w:rPr>
          <w:rFonts w:ascii="Arial" w:hAnsi="Arial" w:cs="Arial"/>
          <w:sz w:val="20"/>
          <w:szCs w:val="20"/>
        </w:rPr>
      </w:pPr>
      <w:r>
        <w:rPr>
          <w:rFonts w:ascii="Arial" w:hAnsi="Arial" w:cs="Arial"/>
          <w:sz w:val="20"/>
          <w:szCs w:val="20"/>
        </w:rPr>
        <w:t xml:space="preserve">Subsection (1) provides that a non-compliance label applied to an item must contain a statement to the effect that the item does not comply with each applicable technical standard in relation to the item. </w:t>
      </w:r>
    </w:p>
    <w:p w14:paraId="20FD0DC9" w14:textId="77777777" w:rsidR="006317A2" w:rsidRDefault="006317A2" w:rsidP="006317A2">
      <w:pPr>
        <w:spacing w:after="200" w:line="240" w:lineRule="atLeast"/>
        <w:rPr>
          <w:rFonts w:ascii="Arial" w:hAnsi="Arial" w:cs="Arial"/>
          <w:sz w:val="20"/>
          <w:szCs w:val="20"/>
        </w:rPr>
      </w:pPr>
      <w:r>
        <w:rPr>
          <w:rFonts w:ascii="Arial" w:hAnsi="Arial" w:cs="Arial"/>
          <w:sz w:val="20"/>
          <w:szCs w:val="20"/>
        </w:rPr>
        <w:t xml:space="preserve">Subsection (2) provides that such a statement must be in English and printed in a font size of at least 12 points. </w:t>
      </w:r>
    </w:p>
    <w:p w14:paraId="5D76D3C4" w14:textId="77777777" w:rsidR="00EB355B" w:rsidRDefault="006317A2" w:rsidP="00280208">
      <w:pPr>
        <w:spacing w:before="240" w:after="80" w:line="240" w:lineRule="atLeast"/>
        <w:jc w:val="both"/>
        <w:rPr>
          <w:rFonts w:ascii="Arial" w:hAnsi="Arial" w:cs="Arial"/>
          <w:b/>
          <w:sz w:val="20"/>
          <w:szCs w:val="20"/>
        </w:rPr>
      </w:pPr>
      <w:r>
        <w:rPr>
          <w:rFonts w:ascii="Arial" w:hAnsi="Arial" w:cs="Arial"/>
          <w:sz w:val="20"/>
          <w:szCs w:val="20"/>
        </w:rPr>
        <w:t xml:space="preserve">Subsection (3) provides that a non-compliance label must be durable and applied to an item permanently or in a way that makes it difficult to remove or </w:t>
      </w:r>
      <w:r w:rsidR="00EB355B">
        <w:rPr>
          <w:rFonts w:ascii="Arial" w:hAnsi="Arial" w:cs="Arial"/>
          <w:sz w:val="20"/>
          <w:szCs w:val="20"/>
        </w:rPr>
        <w:t>obliterate.</w:t>
      </w:r>
      <w:r w:rsidR="00EB355B" w:rsidRPr="008E67E5">
        <w:rPr>
          <w:rFonts w:ascii="Arial" w:hAnsi="Arial" w:cs="Arial"/>
          <w:b/>
          <w:sz w:val="20"/>
          <w:szCs w:val="20"/>
        </w:rPr>
        <w:t xml:space="preserve"> </w:t>
      </w:r>
    </w:p>
    <w:p w14:paraId="63EDF029" w14:textId="32A6FBEB" w:rsidR="00280208" w:rsidRDefault="00EB355B" w:rsidP="00280208">
      <w:pPr>
        <w:spacing w:before="240" w:after="80" w:line="240" w:lineRule="atLeast"/>
        <w:jc w:val="both"/>
        <w:rPr>
          <w:rFonts w:ascii="Arial" w:hAnsi="Arial" w:cs="Arial"/>
          <w:b/>
          <w:sz w:val="20"/>
          <w:szCs w:val="20"/>
        </w:rPr>
      </w:pPr>
      <w:r w:rsidRPr="008E67E5">
        <w:rPr>
          <w:rFonts w:ascii="Arial" w:hAnsi="Arial" w:cs="Arial"/>
          <w:b/>
          <w:sz w:val="20"/>
          <w:szCs w:val="20"/>
        </w:rPr>
        <w:t>Section</w:t>
      </w:r>
      <w:r w:rsidR="00280208" w:rsidRPr="008E67E5">
        <w:rPr>
          <w:rFonts w:ascii="Arial" w:hAnsi="Arial" w:cs="Arial"/>
          <w:b/>
          <w:sz w:val="20"/>
          <w:szCs w:val="20"/>
        </w:rPr>
        <w:t xml:space="preserve"> </w:t>
      </w:r>
      <w:r w:rsidR="009E2EF6">
        <w:rPr>
          <w:rFonts w:ascii="Arial" w:hAnsi="Arial" w:cs="Arial"/>
          <w:b/>
          <w:sz w:val="20"/>
          <w:szCs w:val="20"/>
        </w:rPr>
        <w:t>15</w:t>
      </w:r>
      <w:r w:rsidR="00280208">
        <w:rPr>
          <w:rFonts w:ascii="Arial" w:hAnsi="Arial" w:cs="Arial"/>
          <w:b/>
          <w:sz w:val="20"/>
          <w:szCs w:val="20"/>
        </w:rPr>
        <w:tab/>
        <w:t>Application of a non-compliance label</w:t>
      </w:r>
    </w:p>
    <w:p w14:paraId="32EEC70E" w14:textId="26D2F964" w:rsidR="00C25712" w:rsidRPr="008E67E5" w:rsidRDefault="00C25712" w:rsidP="00C25712">
      <w:pPr>
        <w:spacing w:after="200" w:line="240" w:lineRule="atLeast"/>
        <w:jc w:val="both"/>
        <w:rPr>
          <w:rFonts w:ascii="Arial" w:hAnsi="Arial" w:cs="Arial"/>
          <w:sz w:val="20"/>
          <w:szCs w:val="20"/>
        </w:rPr>
      </w:pPr>
      <w:r>
        <w:rPr>
          <w:rFonts w:ascii="Arial" w:hAnsi="Arial" w:cs="Arial"/>
          <w:sz w:val="20"/>
          <w:szCs w:val="20"/>
        </w:rPr>
        <w:t xml:space="preserve">Section </w:t>
      </w:r>
      <w:r w:rsidR="0060597B">
        <w:rPr>
          <w:rFonts w:ascii="Arial" w:hAnsi="Arial" w:cs="Arial"/>
          <w:sz w:val="20"/>
          <w:szCs w:val="20"/>
        </w:rPr>
        <w:t>15</w:t>
      </w:r>
      <w:r>
        <w:rPr>
          <w:rFonts w:ascii="Arial" w:hAnsi="Arial" w:cs="Arial"/>
          <w:sz w:val="20"/>
          <w:szCs w:val="20"/>
        </w:rPr>
        <w:t xml:space="preserve"> specifies that </w:t>
      </w:r>
      <w:r w:rsidR="004132DA">
        <w:rPr>
          <w:rFonts w:ascii="Arial" w:hAnsi="Arial" w:cs="Arial"/>
          <w:sz w:val="20"/>
          <w:szCs w:val="20"/>
        </w:rPr>
        <w:t xml:space="preserve">a </w:t>
      </w:r>
      <w:r>
        <w:rPr>
          <w:rFonts w:ascii="Arial" w:hAnsi="Arial" w:cs="Arial"/>
          <w:sz w:val="20"/>
          <w:szCs w:val="20"/>
        </w:rPr>
        <w:t>non-compliance label must be affixed to</w:t>
      </w:r>
      <w:r w:rsidR="00165BFD">
        <w:rPr>
          <w:rFonts w:ascii="Arial" w:hAnsi="Arial" w:cs="Arial"/>
          <w:sz w:val="20"/>
          <w:szCs w:val="20"/>
        </w:rPr>
        <w:t>,</w:t>
      </w:r>
      <w:r>
        <w:rPr>
          <w:rFonts w:ascii="Arial" w:hAnsi="Arial" w:cs="Arial"/>
          <w:sz w:val="20"/>
          <w:szCs w:val="20"/>
        </w:rPr>
        <w:t xml:space="preserve"> and clearly visible on</w:t>
      </w:r>
      <w:r w:rsidR="00165BFD">
        <w:rPr>
          <w:rFonts w:ascii="Arial" w:hAnsi="Arial" w:cs="Arial"/>
          <w:sz w:val="20"/>
          <w:szCs w:val="20"/>
        </w:rPr>
        <w:t>,</w:t>
      </w:r>
      <w:r>
        <w:rPr>
          <w:rFonts w:ascii="Arial" w:hAnsi="Arial" w:cs="Arial"/>
          <w:sz w:val="20"/>
          <w:szCs w:val="20"/>
        </w:rPr>
        <w:t xml:space="preserve"> the external packaging and be incorporated in accompanying documentation </w:t>
      </w:r>
      <w:r w:rsidR="004132DA">
        <w:rPr>
          <w:rFonts w:ascii="Arial" w:hAnsi="Arial" w:cs="Arial"/>
          <w:sz w:val="20"/>
          <w:szCs w:val="20"/>
        </w:rPr>
        <w:t xml:space="preserve">that accompanies the item </w:t>
      </w:r>
      <w:r>
        <w:rPr>
          <w:rFonts w:ascii="Arial" w:hAnsi="Arial" w:cs="Arial"/>
          <w:sz w:val="20"/>
          <w:szCs w:val="20"/>
        </w:rPr>
        <w:t>when supplied</w:t>
      </w:r>
      <w:r w:rsidR="004132DA">
        <w:rPr>
          <w:rFonts w:ascii="Arial" w:hAnsi="Arial" w:cs="Arial"/>
          <w:sz w:val="20"/>
          <w:szCs w:val="20"/>
        </w:rPr>
        <w:t>.</w:t>
      </w:r>
    </w:p>
    <w:p w14:paraId="12EDC4FE" w14:textId="6F54BBE9" w:rsidR="00280208" w:rsidRDefault="00280208" w:rsidP="00280208">
      <w:pPr>
        <w:spacing w:before="240" w:after="80" w:line="240" w:lineRule="atLeast"/>
        <w:jc w:val="both"/>
        <w:rPr>
          <w:rFonts w:ascii="Arial" w:hAnsi="Arial" w:cs="Arial"/>
          <w:b/>
          <w:sz w:val="20"/>
          <w:szCs w:val="20"/>
        </w:rPr>
      </w:pPr>
      <w:r w:rsidRPr="008E67E5">
        <w:rPr>
          <w:rFonts w:ascii="Arial" w:hAnsi="Arial" w:cs="Arial"/>
          <w:b/>
          <w:sz w:val="20"/>
          <w:szCs w:val="20"/>
        </w:rPr>
        <w:t xml:space="preserve">Section </w:t>
      </w:r>
      <w:r w:rsidR="0060597B">
        <w:rPr>
          <w:rFonts w:ascii="Arial" w:hAnsi="Arial" w:cs="Arial"/>
          <w:b/>
          <w:sz w:val="20"/>
          <w:szCs w:val="20"/>
        </w:rPr>
        <w:t>16</w:t>
      </w:r>
      <w:r>
        <w:rPr>
          <w:rFonts w:ascii="Arial" w:hAnsi="Arial" w:cs="Arial"/>
          <w:b/>
          <w:sz w:val="20"/>
          <w:szCs w:val="20"/>
        </w:rPr>
        <w:tab/>
        <w:t>Preparation of a written statement and obligation to keep the statement</w:t>
      </w:r>
    </w:p>
    <w:p w14:paraId="0371022D" w14:textId="522F3DD4" w:rsidR="006317A2" w:rsidRDefault="00CE2C77" w:rsidP="00280208">
      <w:pPr>
        <w:spacing w:after="200" w:line="240" w:lineRule="atLeast"/>
        <w:jc w:val="both"/>
        <w:rPr>
          <w:rFonts w:ascii="Arial" w:hAnsi="Arial" w:cs="Arial"/>
          <w:sz w:val="20"/>
          <w:szCs w:val="20"/>
        </w:rPr>
      </w:pPr>
      <w:r>
        <w:rPr>
          <w:rFonts w:ascii="Arial" w:hAnsi="Arial" w:cs="Arial"/>
          <w:sz w:val="20"/>
          <w:szCs w:val="20"/>
        </w:rPr>
        <w:t xml:space="preserve">Subsection (1) </w:t>
      </w:r>
      <w:r w:rsidR="006317A2">
        <w:rPr>
          <w:rFonts w:ascii="Arial" w:hAnsi="Arial" w:cs="Arial"/>
          <w:sz w:val="20"/>
          <w:szCs w:val="20"/>
        </w:rPr>
        <w:t xml:space="preserve">provides </w:t>
      </w:r>
      <w:r w:rsidR="00C25712">
        <w:rPr>
          <w:rFonts w:ascii="Arial" w:hAnsi="Arial" w:cs="Arial"/>
          <w:sz w:val="20"/>
          <w:szCs w:val="20"/>
        </w:rPr>
        <w:t xml:space="preserve">that </w:t>
      </w:r>
      <w:r w:rsidR="006317A2">
        <w:rPr>
          <w:rFonts w:ascii="Arial" w:hAnsi="Arial" w:cs="Arial"/>
          <w:sz w:val="20"/>
          <w:szCs w:val="20"/>
        </w:rPr>
        <w:t xml:space="preserve">a </w:t>
      </w:r>
      <w:r w:rsidR="00C25712">
        <w:rPr>
          <w:rFonts w:ascii="Arial" w:hAnsi="Arial" w:cs="Arial"/>
          <w:sz w:val="20"/>
          <w:szCs w:val="20"/>
        </w:rPr>
        <w:t xml:space="preserve">written statement prepared under </w:t>
      </w:r>
      <w:r w:rsidR="0060597B">
        <w:rPr>
          <w:rFonts w:ascii="Arial" w:hAnsi="Arial" w:cs="Arial"/>
          <w:sz w:val="20"/>
          <w:szCs w:val="20"/>
        </w:rPr>
        <w:t>subsection 13(2)</w:t>
      </w:r>
      <w:r w:rsidR="006317A2">
        <w:rPr>
          <w:rFonts w:ascii="Arial" w:hAnsi="Arial" w:cs="Arial"/>
          <w:sz w:val="20"/>
          <w:szCs w:val="20"/>
        </w:rPr>
        <w:t xml:space="preserve"> in relation to an item</w:t>
      </w:r>
      <w:r w:rsidR="00C25712">
        <w:rPr>
          <w:rFonts w:ascii="Arial" w:hAnsi="Arial" w:cs="Arial"/>
          <w:sz w:val="20"/>
          <w:szCs w:val="20"/>
        </w:rPr>
        <w:t xml:space="preserve"> must identify the item, specify where </w:t>
      </w:r>
      <w:r w:rsidR="006317A2">
        <w:rPr>
          <w:rFonts w:ascii="Arial" w:hAnsi="Arial" w:cs="Arial"/>
          <w:sz w:val="20"/>
          <w:szCs w:val="20"/>
        </w:rPr>
        <w:t>each non-compliance</w:t>
      </w:r>
      <w:r w:rsidR="00C25712">
        <w:rPr>
          <w:rFonts w:ascii="Arial" w:hAnsi="Arial" w:cs="Arial"/>
          <w:sz w:val="20"/>
          <w:szCs w:val="20"/>
        </w:rPr>
        <w:t xml:space="preserve"> label </w:t>
      </w:r>
      <w:r w:rsidR="006317A2">
        <w:rPr>
          <w:rFonts w:ascii="Arial" w:hAnsi="Arial" w:cs="Arial"/>
          <w:sz w:val="20"/>
          <w:szCs w:val="20"/>
        </w:rPr>
        <w:t>has been</w:t>
      </w:r>
      <w:r w:rsidR="00C25712">
        <w:rPr>
          <w:rFonts w:ascii="Arial" w:hAnsi="Arial" w:cs="Arial"/>
          <w:sz w:val="20"/>
          <w:szCs w:val="20"/>
        </w:rPr>
        <w:t xml:space="preserve"> applied</w:t>
      </w:r>
      <w:r w:rsidR="006317A2">
        <w:rPr>
          <w:rFonts w:ascii="Arial" w:hAnsi="Arial" w:cs="Arial"/>
          <w:sz w:val="20"/>
          <w:szCs w:val="20"/>
        </w:rPr>
        <w:t xml:space="preserve"> on the external surface of the packaging used for the item and in the documentation that accompanies the item when supplied</w:t>
      </w:r>
      <w:r w:rsidR="00C25712">
        <w:rPr>
          <w:rFonts w:ascii="Arial" w:hAnsi="Arial" w:cs="Arial"/>
          <w:sz w:val="20"/>
          <w:szCs w:val="20"/>
        </w:rPr>
        <w:t>, and include the wording of the statement of non-compliance on the label.</w:t>
      </w:r>
    </w:p>
    <w:p w14:paraId="757900D6" w14:textId="5A6B50CC" w:rsidR="006317A2" w:rsidRDefault="006317A2" w:rsidP="006317A2">
      <w:pPr>
        <w:spacing w:after="200" w:line="240" w:lineRule="atLeast"/>
        <w:rPr>
          <w:rFonts w:ascii="Arial" w:hAnsi="Arial" w:cs="Arial"/>
          <w:sz w:val="20"/>
          <w:szCs w:val="20"/>
        </w:rPr>
      </w:pPr>
      <w:r>
        <w:rPr>
          <w:rFonts w:ascii="Arial" w:hAnsi="Arial" w:cs="Arial"/>
          <w:sz w:val="20"/>
          <w:szCs w:val="20"/>
        </w:rPr>
        <w:t>There is a note at the end of sub</w:t>
      </w:r>
      <w:r w:rsidR="00C76239">
        <w:rPr>
          <w:rFonts w:ascii="Arial" w:hAnsi="Arial" w:cs="Arial"/>
          <w:sz w:val="20"/>
          <w:szCs w:val="20"/>
        </w:rPr>
        <w:t>section</w:t>
      </w:r>
      <w:r>
        <w:rPr>
          <w:rFonts w:ascii="Arial" w:hAnsi="Arial" w:cs="Arial"/>
          <w:sz w:val="20"/>
          <w:szCs w:val="20"/>
        </w:rPr>
        <w:t xml:space="preserve"> (1) that refers to Note 2 to section 6 (see above).</w:t>
      </w:r>
    </w:p>
    <w:p w14:paraId="1A7B2DFE" w14:textId="01DC11D1" w:rsidR="000C133F" w:rsidRDefault="00C25712" w:rsidP="00280208">
      <w:pPr>
        <w:spacing w:after="200" w:line="240" w:lineRule="atLeast"/>
        <w:jc w:val="both"/>
        <w:rPr>
          <w:rFonts w:ascii="Arial" w:hAnsi="Arial" w:cs="Arial"/>
          <w:sz w:val="20"/>
          <w:szCs w:val="20"/>
        </w:rPr>
      </w:pPr>
      <w:r>
        <w:rPr>
          <w:rFonts w:ascii="Arial" w:hAnsi="Arial" w:cs="Arial"/>
          <w:sz w:val="20"/>
          <w:szCs w:val="20"/>
        </w:rPr>
        <w:t xml:space="preserve">Subsection </w:t>
      </w:r>
      <w:r w:rsidR="0060597B">
        <w:rPr>
          <w:rFonts w:ascii="Arial" w:hAnsi="Arial" w:cs="Arial"/>
          <w:sz w:val="20"/>
          <w:szCs w:val="20"/>
        </w:rPr>
        <w:t>(</w:t>
      </w:r>
      <w:r>
        <w:rPr>
          <w:rFonts w:ascii="Arial" w:hAnsi="Arial" w:cs="Arial"/>
          <w:sz w:val="20"/>
          <w:szCs w:val="20"/>
        </w:rPr>
        <w:t>2</w:t>
      </w:r>
      <w:r w:rsidR="0060597B">
        <w:rPr>
          <w:rFonts w:ascii="Arial" w:hAnsi="Arial" w:cs="Arial"/>
          <w:sz w:val="20"/>
          <w:szCs w:val="20"/>
        </w:rPr>
        <w:t>)</w:t>
      </w:r>
      <w:r>
        <w:rPr>
          <w:rFonts w:ascii="Arial" w:hAnsi="Arial" w:cs="Arial"/>
          <w:sz w:val="20"/>
          <w:szCs w:val="20"/>
        </w:rPr>
        <w:t xml:space="preserve"> </w:t>
      </w:r>
      <w:r w:rsidR="000C133F">
        <w:rPr>
          <w:rFonts w:ascii="Arial" w:hAnsi="Arial" w:cs="Arial"/>
          <w:sz w:val="20"/>
          <w:szCs w:val="20"/>
        </w:rPr>
        <w:t>requires such a statement to be kept by the supplier:</w:t>
      </w:r>
    </w:p>
    <w:p w14:paraId="6ED48F6C" w14:textId="341A8375" w:rsidR="000C133F" w:rsidRDefault="006317A2" w:rsidP="00554B18">
      <w:pPr>
        <w:pStyle w:val="ListParagraph"/>
        <w:numPr>
          <w:ilvl w:val="0"/>
          <w:numId w:val="17"/>
        </w:numPr>
        <w:spacing w:after="200" w:line="240" w:lineRule="atLeast"/>
        <w:jc w:val="both"/>
        <w:rPr>
          <w:rFonts w:ascii="Arial" w:hAnsi="Arial" w:cs="Arial"/>
          <w:sz w:val="20"/>
          <w:szCs w:val="20"/>
        </w:rPr>
      </w:pPr>
      <w:r>
        <w:rPr>
          <w:rFonts w:ascii="Arial" w:hAnsi="Arial" w:cs="Arial"/>
          <w:sz w:val="20"/>
          <w:szCs w:val="20"/>
        </w:rPr>
        <w:t xml:space="preserve">if the item is not included in a class of items – for </w:t>
      </w:r>
      <w:r w:rsidR="000C133F">
        <w:rPr>
          <w:rFonts w:ascii="Arial" w:hAnsi="Arial" w:cs="Arial"/>
          <w:sz w:val="20"/>
          <w:szCs w:val="20"/>
        </w:rPr>
        <w:t>two years</w:t>
      </w:r>
      <w:r>
        <w:rPr>
          <w:rFonts w:ascii="Arial" w:hAnsi="Arial" w:cs="Arial"/>
          <w:sz w:val="20"/>
          <w:szCs w:val="20"/>
        </w:rPr>
        <w:t xml:space="preserve"> commencing</w:t>
      </w:r>
      <w:r w:rsidR="000C133F">
        <w:rPr>
          <w:rFonts w:ascii="Arial" w:hAnsi="Arial" w:cs="Arial"/>
          <w:sz w:val="20"/>
          <w:szCs w:val="20"/>
        </w:rPr>
        <w:t xml:space="preserve"> from the time the item is supplied</w:t>
      </w:r>
      <w:r>
        <w:rPr>
          <w:rFonts w:ascii="Arial" w:hAnsi="Arial" w:cs="Arial"/>
          <w:sz w:val="20"/>
          <w:szCs w:val="20"/>
        </w:rPr>
        <w:t xml:space="preserve"> in Australia</w:t>
      </w:r>
      <w:r w:rsidR="000C133F">
        <w:rPr>
          <w:rFonts w:ascii="Arial" w:hAnsi="Arial" w:cs="Arial"/>
          <w:sz w:val="20"/>
          <w:szCs w:val="20"/>
        </w:rPr>
        <w:t>; or</w:t>
      </w:r>
    </w:p>
    <w:p w14:paraId="778B5D24" w14:textId="3087F305" w:rsidR="00C25712" w:rsidRPr="00554B18" w:rsidRDefault="000C133F" w:rsidP="00554B18">
      <w:pPr>
        <w:pStyle w:val="ListParagraph"/>
        <w:numPr>
          <w:ilvl w:val="0"/>
          <w:numId w:val="17"/>
        </w:numPr>
        <w:spacing w:after="200" w:line="240" w:lineRule="atLeast"/>
        <w:jc w:val="both"/>
        <w:rPr>
          <w:rFonts w:ascii="Arial" w:hAnsi="Arial" w:cs="Arial"/>
          <w:sz w:val="20"/>
          <w:szCs w:val="20"/>
        </w:rPr>
      </w:pPr>
      <w:r>
        <w:rPr>
          <w:rFonts w:ascii="Arial" w:hAnsi="Arial" w:cs="Arial"/>
          <w:sz w:val="20"/>
          <w:szCs w:val="20"/>
        </w:rPr>
        <w:t xml:space="preserve">if the item is included in a class of items – </w:t>
      </w:r>
      <w:r w:rsidR="006317A2">
        <w:rPr>
          <w:rFonts w:ascii="Arial" w:hAnsi="Arial" w:cs="Arial"/>
          <w:sz w:val="20"/>
          <w:szCs w:val="20"/>
        </w:rPr>
        <w:t xml:space="preserve">for the period commencing </w:t>
      </w:r>
      <w:r>
        <w:rPr>
          <w:rFonts w:ascii="Arial" w:hAnsi="Arial" w:cs="Arial"/>
          <w:sz w:val="20"/>
          <w:szCs w:val="20"/>
        </w:rPr>
        <w:t xml:space="preserve">from the time the original item, or original modified item, </w:t>
      </w:r>
      <w:r w:rsidR="006317A2">
        <w:rPr>
          <w:rFonts w:ascii="Arial" w:hAnsi="Arial" w:cs="Arial"/>
          <w:sz w:val="20"/>
          <w:szCs w:val="20"/>
        </w:rPr>
        <w:t xml:space="preserve">of </w:t>
      </w:r>
      <w:r>
        <w:rPr>
          <w:rFonts w:ascii="Arial" w:hAnsi="Arial" w:cs="Arial"/>
          <w:sz w:val="20"/>
          <w:szCs w:val="20"/>
        </w:rPr>
        <w:t xml:space="preserve">the class is supplied </w:t>
      </w:r>
      <w:r w:rsidR="006317A2">
        <w:rPr>
          <w:rFonts w:ascii="Arial" w:hAnsi="Arial" w:cs="Arial"/>
          <w:sz w:val="20"/>
          <w:szCs w:val="20"/>
        </w:rPr>
        <w:t>in Australia and ending</w:t>
      </w:r>
      <w:r>
        <w:rPr>
          <w:rFonts w:ascii="Arial" w:hAnsi="Arial" w:cs="Arial"/>
          <w:sz w:val="20"/>
          <w:szCs w:val="20"/>
        </w:rPr>
        <w:t xml:space="preserve"> two years after all items of the class cease to be supplied in Australia.</w:t>
      </w:r>
    </w:p>
    <w:p w14:paraId="3CE7E2F2" w14:textId="03E21732" w:rsidR="00916850" w:rsidRDefault="00916850" w:rsidP="00916850">
      <w:pPr>
        <w:spacing w:before="240" w:after="120" w:line="240" w:lineRule="atLeast"/>
        <w:jc w:val="center"/>
        <w:rPr>
          <w:rFonts w:ascii="Arial" w:hAnsi="Arial" w:cs="Arial"/>
          <w:b/>
        </w:rPr>
      </w:pPr>
      <w:r>
        <w:rPr>
          <w:rFonts w:ascii="Arial" w:hAnsi="Arial" w:cs="Arial"/>
          <w:b/>
        </w:rPr>
        <w:t>Part 5 – Declaration of conformity and record keeping requirements</w:t>
      </w:r>
    </w:p>
    <w:p w14:paraId="52E26512" w14:textId="5BB9470B" w:rsidR="00916850" w:rsidRPr="00585B11" w:rsidRDefault="00916850" w:rsidP="00916850">
      <w:pPr>
        <w:spacing w:before="240" w:after="120" w:line="240" w:lineRule="atLeast"/>
        <w:jc w:val="both"/>
        <w:rPr>
          <w:rFonts w:ascii="Arial" w:hAnsi="Arial" w:cs="Arial"/>
          <w:b/>
          <w:sz w:val="22"/>
          <w:szCs w:val="22"/>
        </w:rPr>
      </w:pPr>
      <w:r>
        <w:rPr>
          <w:rFonts w:ascii="Arial" w:hAnsi="Arial" w:cs="Arial"/>
          <w:b/>
          <w:sz w:val="22"/>
          <w:szCs w:val="22"/>
        </w:rPr>
        <w:t xml:space="preserve">Division 1 – Application of this Part </w:t>
      </w:r>
    </w:p>
    <w:p w14:paraId="524C4F6B" w14:textId="387554C9" w:rsidR="00916850" w:rsidRDefault="00916850" w:rsidP="00916850">
      <w:pPr>
        <w:spacing w:before="240" w:after="80" w:line="240" w:lineRule="atLeast"/>
        <w:jc w:val="both"/>
        <w:rPr>
          <w:rFonts w:ascii="Arial" w:hAnsi="Arial" w:cs="Arial"/>
          <w:b/>
          <w:sz w:val="20"/>
          <w:szCs w:val="20"/>
        </w:rPr>
      </w:pPr>
      <w:r w:rsidRPr="007A2EA8">
        <w:rPr>
          <w:rFonts w:ascii="Arial" w:hAnsi="Arial" w:cs="Arial"/>
          <w:b/>
          <w:sz w:val="20"/>
          <w:szCs w:val="20"/>
        </w:rPr>
        <w:t>S</w:t>
      </w:r>
      <w:r>
        <w:rPr>
          <w:rFonts w:ascii="Arial" w:hAnsi="Arial" w:cs="Arial"/>
          <w:b/>
          <w:sz w:val="20"/>
          <w:szCs w:val="20"/>
        </w:rPr>
        <w:t xml:space="preserve">ection </w:t>
      </w:r>
      <w:r w:rsidR="000C133F">
        <w:rPr>
          <w:rFonts w:ascii="Arial" w:hAnsi="Arial" w:cs="Arial"/>
          <w:b/>
          <w:sz w:val="20"/>
          <w:szCs w:val="20"/>
        </w:rPr>
        <w:t>17</w:t>
      </w:r>
      <w:r>
        <w:rPr>
          <w:rFonts w:ascii="Arial" w:hAnsi="Arial" w:cs="Arial"/>
          <w:b/>
          <w:sz w:val="20"/>
          <w:szCs w:val="20"/>
        </w:rPr>
        <w:tab/>
      </w:r>
      <w:r w:rsidR="00855DC7">
        <w:rPr>
          <w:rFonts w:ascii="Arial" w:hAnsi="Arial" w:cs="Arial"/>
          <w:b/>
          <w:sz w:val="20"/>
          <w:szCs w:val="20"/>
        </w:rPr>
        <w:t xml:space="preserve">Application </w:t>
      </w:r>
      <w:r>
        <w:rPr>
          <w:rFonts w:ascii="Arial" w:hAnsi="Arial" w:cs="Arial"/>
          <w:b/>
          <w:sz w:val="20"/>
          <w:szCs w:val="20"/>
        </w:rPr>
        <w:t>of Part 5</w:t>
      </w:r>
    </w:p>
    <w:p w14:paraId="245A7ADE" w14:textId="54C623F7" w:rsidR="00916850" w:rsidRPr="00916850" w:rsidRDefault="0023009C" w:rsidP="00916850">
      <w:pPr>
        <w:spacing w:after="200" w:line="240" w:lineRule="atLeast"/>
        <w:jc w:val="both"/>
        <w:rPr>
          <w:rFonts w:ascii="Arial" w:hAnsi="Arial" w:cs="Arial"/>
          <w:sz w:val="20"/>
          <w:szCs w:val="20"/>
        </w:rPr>
      </w:pPr>
      <w:r>
        <w:rPr>
          <w:rFonts w:ascii="Arial" w:hAnsi="Arial" w:cs="Arial"/>
          <w:sz w:val="20"/>
          <w:szCs w:val="20"/>
        </w:rPr>
        <w:t xml:space="preserve">Section </w:t>
      </w:r>
      <w:r w:rsidR="000C133F">
        <w:rPr>
          <w:rFonts w:ascii="Arial" w:hAnsi="Arial" w:cs="Arial"/>
          <w:sz w:val="20"/>
          <w:szCs w:val="20"/>
        </w:rPr>
        <w:t>17</w:t>
      </w:r>
      <w:r>
        <w:rPr>
          <w:rFonts w:ascii="Arial" w:hAnsi="Arial" w:cs="Arial"/>
          <w:sz w:val="20"/>
          <w:szCs w:val="20"/>
        </w:rPr>
        <w:t xml:space="preserve"> </w:t>
      </w:r>
      <w:r w:rsidR="00F23772">
        <w:rPr>
          <w:rFonts w:ascii="Arial" w:hAnsi="Arial" w:cs="Arial"/>
          <w:sz w:val="20"/>
          <w:szCs w:val="20"/>
        </w:rPr>
        <w:t xml:space="preserve">provides </w:t>
      </w:r>
      <w:r w:rsidR="0035377B">
        <w:rPr>
          <w:rFonts w:ascii="Arial" w:hAnsi="Arial" w:cs="Arial"/>
          <w:sz w:val="20"/>
          <w:szCs w:val="20"/>
        </w:rPr>
        <w:t xml:space="preserve">that </w:t>
      </w:r>
      <w:r>
        <w:rPr>
          <w:rFonts w:ascii="Arial" w:hAnsi="Arial" w:cs="Arial"/>
          <w:sz w:val="20"/>
          <w:szCs w:val="20"/>
        </w:rPr>
        <w:t>Part 5</w:t>
      </w:r>
      <w:r w:rsidR="00916850">
        <w:rPr>
          <w:rFonts w:ascii="Arial" w:hAnsi="Arial" w:cs="Arial"/>
          <w:sz w:val="20"/>
          <w:szCs w:val="20"/>
        </w:rPr>
        <w:t xml:space="preserve"> </w:t>
      </w:r>
      <w:r w:rsidR="0035377B">
        <w:rPr>
          <w:rFonts w:ascii="Arial" w:hAnsi="Arial" w:cs="Arial"/>
          <w:sz w:val="20"/>
          <w:szCs w:val="20"/>
        </w:rPr>
        <w:t>applies</w:t>
      </w:r>
      <w:r>
        <w:rPr>
          <w:rFonts w:ascii="Arial" w:hAnsi="Arial" w:cs="Arial"/>
          <w:sz w:val="20"/>
          <w:szCs w:val="20"/>
        </w:rPr>
        <w:t xml:space="preserve"> </w:t>
      </w:r>
      <w:r w:rsidR="00916850">
        <w:rPr>
          <w:rFonts w:ascii="Arial" w:hAnsi="Arial" w:cs="Arial"/>
          <w:sz w:val="20"/>
          <w:szCs w:val="20"/>
        </w:rPr>
        <w:t xml:space="preserve">to an item to which section </w:t>
      </w:r>
      <w:r w:rsidR="000C133F">
        <w:rPr>
          <w:rFonts w:ascii="Arial" w:hAnsi="Arial" w:cs="Arial"/>
          <w:sz w:val="20"/>
          <w:szCs w:val="20"/>
        </w:rPr>
        <w:t xml:space="preserve">9 </w:t>
      </w:r>
      <w:r>
        <w:rPr>
          <w:rFonts w:ascii="Arial" w:hAnsi="Arial" w:cs="Arial"/>
          <w:sz w:val="20"/>
          <w:szCs w:val="20"/>
        </w:rPr>
        <w:t>applies</w:t>
      </w:r>
      <w:r w:rsidR="00916850">
        <w:rPr>
          <w:rFonts w:ascii="Arial" w:hAnsi="Arial" w:cs="Arial"/>
          <w:sz w:val="20"/>
          <w:szCs w:val="20"/>
        </w:rPr>
        <w:t xml:space="preserve"> (</w:t>
      </w:r>
      <w:r w:rsidR="000C133F">
        <w:rPr>
          <w:rFonts w:ascii="Arial" w:hAnsi="Arial" w:cs="Arial"/>
          <w:sz w:val="20"/>
          <w:szCs w:val="20"/>
        </w:rPr>
        <w:t>which is an item of CE</w:t>
      </w:r>
      <w:r w:rsidR="00FD058E">
        <w:rPr>
          <w:rFonts w:ascii="Arial" w:hAnsi="Arial" w:cs="Arial"/>
          <w:sz w:val="20"/>
          <w:szCs w:val="20"/>
        </w:rPr>
        <w:t xml:space="preserve"> other than a surge protector</w:t>
      </w:r>
      <w:r>
        <w:rPr>
          <w:rFonts w:ascii="Arial" w:hAnsi="Arial" w:cs="Arial"/>
          <w:sz w:val="20"/>
          <w:szCs w:val="20"/>
        </w:rPr>
        <w:t xml:space="preserve">), and an item to which </w:t>
      </w:r>
      <w:r w:rsidR="0035377B">
        <w:rPr>
          <w:rFonts w:ascii="Arial" w:hAnsi="Arial" w:cs="Arial"/>
          <w:sz w:val="20"/>
          <w:szCs w:val="20"/>
        </w:rPr>
        <w:t xml:space="preserve">clause </w:t>
      </w:r>
      <w:r w:rsidR="000C133F">
        <w:rPr>
          <w:rFonts w:ascii="Arial" w:hAnsi="Arial" w:cs="Arial"/>
          <w:sz w:val="20"/>
          <w:szCs w:val="20"/>
        </w:rPr>
        <w:t>4</w:t>
      </w:r>
      <w:r w:rsidR="0035377B">
        <w:rPr>
          <w:rFonts w:ascii="Arial" w:hAnsi="Arial" w:cs="Arial"/>
          <w:sz w:val="20"/>
          <w:szCs w:val="20"/>
        </w:rPr>
        <w:t xml:space="preserve"> of Schedule 4 </w:t>
      </w:r>
      <w:r w:rsidR="00FD058E">
        <w:rPr>
          <w:rFonts w:ascii="Arial" w:hAnsi="Arial" w:cs="Arial"/>
          <w:sz w:val="20"/>
          <w:szCs w:val="20"/>
        </w:rPr>
        <w:t xml:space="preserve">applies </w:t>
      </w:r>
      <w:r w:rsidR="0035377B">
        <w:rPr>
          <w:rFonts w:ascii="Arial" w:hAnsi="Arial" w:cs="Arial"/>
          <w:sz w:val="20"/>
          <w:szCs w:val="20"/>
        </w:rPr>
        <w:t>(</w:t>
      </w:r>
      <w:r w:rsidR="000C133F">
        <w:rPr>
          <w:rFonts w:ascii="Arial" w:hAnsi="Arial" w:cs="Arial"/>
          <w:sz w:val="20"/>
          <w:szCs w:val="20"/>
        </w:rPr>
        <w:t>which is an item of CC</w:t>
      </w:r>
      <w:r w:rsidR="00FD058E">
        <w:rPr>
          <w:rFonts w:ascii="Arial" w:hAnsi="Arial" w:cs="Arial"/>
          <w:sz w:val="20"/>
          <w:szCs w:val="20"/>
        </w:rPr>
        <w:t xml:space="preserve"> or a surge protector</w:t>
      </w:r>
      <w:r w:rsidR="0035377B">
        <w:rPr>
          <w:rFonts w:ascii="Arial" w:hAnsi="Arial" w:cs="Arial"/>
          <w:sz w:val="20"/>
          <w:szCs w:val="20"/>
        </w:rPr>
        <w:t>).</w:t>
      </w:r>
      <w:r w:rsidR="000C133F">
        <w:rPr>
          <w:rFonts w:ascii="Arial" w:hAnsi="Arial" w:cs="Arial"/>
          <w:sz w:val="20"/>
          <w:szCs w:val="20"/>
        </w:rPr>
        <w:t xml:space="preserve">  These are items to which compliance labels must be applied.</w:t>
      </w:r>
    </w:p>
    <w:p w14:paraId="479597BE" w14:textId="77777777" w:rsidR="00153E3F" w:rsidRDefault="00153E3F" w:rsidP="00394BEF">
      <w:pPr>
        <w:spacing w:before="240" w:after="120"/>
        <w:rPr>
          <w:rFonts w:ascii="Arial" w:hAnsi="Arial" w:cs="Arial"/>
          <w:b/>
          <w:sz w:val="22"/>
          <w:szCs w:val="22"/>
        </w:rPr>
      </w:pPr>
    </w:p>
    <w:p w14:paraId="7C873C92" w14:textId="77777777" w:rsidR="000432A3" w:rsidRPr="000A0A76" w:rsidRDefault="000432A3" w:rsidP="00394BEF">
      <w:pPr>
        <w:spacing w:before="240" w:after="120"/>
        <w:rPr>
          <w:rFonts w:cs="Arial"/>
          <w:sz w:val="22"/>
          <w:szCs w:val="22"/>
        </w:rPr>
      </w:pPr>
      <w:r w:rsidRPr="000A0A76">
        <w:rPr>
          <w:rFonts w:ascii="Arial" w:hAnsi="Arial" w:cs="Arial"/>
          <w:b/>
          <w:sz w:val="22"/>
          <w:szCs w:val="22"/>
        </w:rPr>
        <w:lastRenderedPageBreak/>
        <w:t>Division 2 – Registration on national database and issue of supplier code numbers</w:t>
      </w:r>
    </w:p>
    <w:p w14:paraId="742C25DA" w14:textId="208C0876" w:rsidR="0035377B" w:rsidRPr="0035377B" w:rsidRDefault="000432A3" w:rsidP="00394BEF">
      <w:pPr>
        <w:pStyle w:val="HR"/>
        <w:spacing w:before="240" w:after="120"/>
        <w:ind w:left="1440" w:hanging="1440"/>
        <w:rPr>
          <w:rFonts w:cs="Arial"/>
          <w:sz w:val="20"/>
          <w:szCs w:val="20"/>
        </w:rPr>
      </w:pPr>
      <w:r>
        <w:rPr>
          <w:sz w:val="20"/>
          <w:szCs w:val="20"/>
        </w:rPr>
        <w:t xml:space="preserve">Section </w:t>
      </w:r>
      <w:r w:rsidR="000C133F">
        <w:rPr>
          <w:sz w:val="20"/>
          <w:szCs w:val="20"/>
        </w:rPr>
        <w:t>18</w:t>
      </w:r>
      <w:r w:rsidRPr="000A0A76">
        <w:rPr>
          <w:sz w:val="20"/>
          <w:szCs w:val="20"/>
        </w:rPr>
        <w:tab/>
        <w:t>Registration on national database or issue of supplier code number before compliance label is applied</w:t>
      </w:r>
    </w:p>
    <w:p w14:paraId="5134E52F" w14:textId="77777777" w:rsidR="00435289" w:rsidRDefault="00435289" w:rsidP="00435289">
      <w:pPr>
        <w:spacing w:after="200"/>
        <w:rPr>
          <w:rFonts w:ascii="Arial" w:hAnsi="Arial" w:cs="Arial"/>
          <w:sz w:val="20"/>
          <w:szCs w:val="20"/>
        </w:rPr>
      </w:pPr>
      <w:r>
        <w:rPr>
          <w:rFonts w:ascii="Arial" w:hAnsi="Arial" w:cs="Arial"/>
          <w:sz w:val="20"/>
          <w:szCs w:val="20"/>
        </w:rPr>
        <w:t xml:space="preserve">Subsection (1) requires a supplier of an item to be registered within the meaning of subsection (2).  In the case of an item to which section 9 applies, the supplier must be registered prior to applying a compliance label to the item.  In the case of an item to which clause 4 of Schedule 4 applies, the supplier must be registered prior to supplying the item.  </w:t>
      </w:r>
    </w:p>
    <w:p w14:paraId="3C086489" w14:textId="3A764D39" w:rsidR="00435289" w:rsidRDefault="00435289" w:rsidP="00435289">
      <w:pPr>
        <w:spacing w:after="200" w:line="240" w:lineRule="atLeast"/>
        <w:rPr>
          <w:rFonts w:ascii="Arial" w:hAnsi="Arial" w:cs="Arial"/>
          <w:sz w:val="20"/>
          <w:szCs w:val="20"/>
        </w:rPr>
      </w:pPr>
      <w:r>
        <w:rPr>
          <w:rFonts w:ascii="Arial" w:hAnsi="Arial" w:cs="Arial"/>
          <w:sz w:val="20"/>
          <w:szCs w:val="20"/>
        </w:rPr>
        <w:t>Subsection (2) defines “</w:t>
      </w:r>
      <w:r w:rsidRPr="003E6DF5">
        <w:rPr>
          <w:rFonts w:ascii="Arial" w:hAnsi="Arial" w:cs="Arial"/>
          <w:sz w:val="20"/>
          <w:szCs w:val="20"/>
        </w:rPr>
        <w:t>registered”</w:t>
      </w:r>
      <w:r>
        <w:rPr>
          <w:rFonts w:ascii="Arial" w:hAnsi="Arial" w:cs="Arial"/>
          <w:sz w:val="20"/>
          <w:szCs w:val="20"/>
        </w:rPr>
        <w:t xml:space="preserve"> for the purposes of subsection (1).  B</w:t>
      </w:r>
      <w:r w:rsidRPr="003D006B">
        <w:rPr>
          <w:rFonts w:ascii="Arial" w:hAnsi="Arial" w:cs="Arial"/>
          <w:sz w:val="20"/>
          <w:szCs w:val="20"/>
        </w:rPr>
        <w:t xml:space="preserve">efore 1 March 2016, </w:t>
      </w:r>
      <w:r>
        <w:rPr>
          <w:rFonts w:ascii="Arial" w:hAnsi="Arial" w:cs="Arial"/>
          <w:sz w:val="20"/>
          <w:szCs w:val="20"/>
        </w:rPr>
        <w:t>a</w:t>
      </w:r>
      <w:r w:rsidRPr="003D006B">
        <w:rPr>
          <w:rFonts w:ascii="Arial" w:hAnsi="Arial" w:cs="Arial"/>
          <w:sz w:val="20"/>
          <w:szCs w:val="20"/>
        </w:rPr>
        <w:t xml:space="preserve"> supplier</w:t>
      </w:r>
      <w:r>
        <w:rPr>
          <w:rFonts w:ascii="Arial" w:hAnsi="Arial" w:cs="Arial"/>
          <w:sz w:val="20"/>
          <w:szCs w:val="20"/>
        </w:rPr>
        <w:t xml:space="preserve"> is so registered if it is registered on the national database or has been issued with </w:t>
      </w:r>
      <w:r w:rsidRPr="003D006B">
        <w:rPr>
          <w:rFonts w:ascii="Arial" w:hAnsi="Arial" w:cs="Arial"/>
          <w:sz w:val="20"/>
          <w:szCs w:val="20"/>
        </w:rPr>
        <w:t xml:space="preserve">a supplier code number, but </w:t>
      </w:r>
      <w:r>
        <w:rPr>
          <w:rFonts w:ascii="Arial" w:hAnsi="Arial" w:cs="Arial"/>
          <w:sz w:val="20"/>
          <w:szCs w:val="20"/>
        </w:rPr>
        <w:t xml:space="preserve">on or </w:t>
      </w:r>
      <w:r w:rsidRPr="003D006B">
        <w:rPr>
          <w:rFonts w:ascii="Arial" w:hAnsi="Arial" w:cs="Arial"/>
          <w:sz w:val="20"/>
          <w:szCs w:val="20"/>
        </w:rPr>
        <w:t>after 1 March 2016 the supplier must be registered on the national database</w:t>
      </w:r>
      <w:r>
        <w:rPr>
          <w:rFonts w:ascii="Arial" w:hAnsi="Arial" w:cs="Arial"/>
          <w:sz w:val="20"/>
          <w:szCs w:val="20"/>
        </w:rPr>
        <w:t xml:space="preserve"> (even if it has been issued with a supplier code number)</w:t>
      </w:r>
      <w:r w:rsidRPr="003D006B">
        <w:rPr>
          <w:rFonts w:ascii="Arial" w:hAnsi="Arial" w:cs="Arial"/>
          <w:sz w:val="20"/>
          <w:szCs w:val="20"/>
        </w:rPr>
        <w:t>.</w:t>
      </w:r>
      <w:r>
        <w:rPr>
          <w:rStyle w:val="FootnoteReference"/>
          <w:rFonts w:ascii="Arial" w:hAnsi="Arial" w:cs="Arial"/>
          <w:sz w:val="20"/>
          <w:szCs w:val="20"/>
        </w:rPr>
        <w:footnoteReference w:id="3"/>
      </w:r>
    </w:p>
    <w:p w14:paraId="50AE005C" w14:textId="0AC86679" w:rsidR="0035377B" w:rsidRDefault="000C133F" w:rsidP="00394BEF">
      <w:pPr>
        <w:spacing w:after="200"/>
        <w:rPr>
          <w:rFonts w:ascii="Arial" w:hAnsi="Arial" w:cs="Arial"/>
          <w:sz w:val="20"/>
          <w:szCs w:val="20"/>
        </w:rPr>
      </w:pPr>
      <w:r>
        <w:rPr>
          <w:rFonts w:ascii="Arial" w:hAnsi="Arial" w:cs="Arial"/>
          <w:sz w:val="20"/>
          <w:szCs w:val="20"/>
        </w:rPr>
        <w:t xml:space="preserve">Section 4 defines the </w:t>
      </w:r>
      <w:r w:rsidR="00435289">
        <w:rPr>
          <w:rFonts w:ascii="Arial" w:hAnsi="Arial" w:cs="Arial"/>
          <w:sz w:val="20"/>
          <w:szCs w:val="20"/>
        </w:rPr>
        <w:t>“</w:t>
      </w:r>
      <w:r>
        <w:rPr>
          <w:rFonts w:ascii="Arial" w:hAnsi="Arial" w:cs="Arial"/>
          <w:sz w:val="20"/>
          <w:szCs w:val="20"/>
        </w:rPr>
        <w:t>national database</w:t>
      </w:r>
      <w:r w:rsidR="00435289">
        <w:rPr>
          <w:rFonts w:ascii="Arial" w:hAnsi="Arial" w:cs="Arial"/>
          <w:sz w:val="20"/>
          <w:szCs w:val="20"/>
        </w:rPr>
        <w:t>”</w:t>
      </w:r>
      <w:r>
        <w:rPr>
          <w:rFonts w:ascii="Arial" w:hAnsi="Arial" w:cs="Arial"/>
          <w:sz w:val="20"/>
          <w:szCs w:val="20"/>
        </w:rPr>
        <w:t xml:space="preserve"> </w:t>
      </w:r>
      <w:r w:rsidR="00435289">
        <w:rPr>
          <w:rFonts w:ascii="Arial" w:hAnsi="Arial" w:cs="Arial"/>
          <w:sz w:val="20"/>
          <w:szCs w:val="20"/>
        </w:rPr>
        <w:t>as</w:t>
      </w:r>
      <w:r>
        <w:rPr>
          <w:rFonts w:ascii="Arial" w:hAnsi="Arial" w:cs="Arial"/>
          <w:sz w:val="20"/>
          <w:szCs w:val="20"/>
        </w:rPr>
        <w:t xml:space="preserve"> the Supplier and Equipment Registration Database maintained by the Electrical Regulatory Authorities Council, </w:t>
      </w:r>
      <w:r w:rsidR="00435289">
        <w:rPr>
          <w:rFonts w:ascii="Arial" w:hAnsi="Arial" w:cs="Arial"/>
          <w:sz w:val="20"/>
          <w:szCs w:val="20"/>
        </w:rPr>
        <w:t xml:space="preserve">(which is </w:t>
      </w:r>
      <w:r>
        <w:rPr>
          <w:rFonts w:ascii="Arial" w:hAnsi="Arial" w:cs="Arial"/>
          <w:sz w:val="20"/>
          <w:szCs w:val="20"/>
        </w:rPr>
        <w:t xml:space="preserve">available from </w:t>
      </w:r>
      <w:hyperlink r:id="rId14" w:history="1">
        <w:r w:rsidRPr="00861548">
          <w:rPr>
            <w:rStyle w:val="Hyperlink"/>
            <w:rFonts w:ascii="Arial" w:hAnsi="Arial" w:cs="Arial"/>
            <w:sz w:val="20"/>
            <w:szCs w:val="20"/>
          </w:rPr>
          <w:t>http://www.erac.gov.au</w:t>
        </w:r>
      </w:hyperlink>
      <w:r w:rsidR="00435289">
        <w:rPr>
          <w:rStyle w:val="Hyperlink"/>
          <w:rFonts w:ascii="Arial" w:hAnsi="Arial" w:cs="Arial"/>
          <w:sz w:val="20"/>
          <w:szCs w:val="20"/>
        </w:rPr>
        <w:t>)</w:t>
      </w:r>
      <w:r>
        <w:rPr>
          <w:rFonts w:ascii="Arial" w:hAnsi="Arial" w:cs="Arial"/>
          <w:sz w:val="20"/>
          <w:szCs w:val="20"/>
        </w:rPr>
        <w:t>,</w:t>
      </w:r>
      <w:r w:rsidR="00435289">
        <w:rPr>
          <w:rFonts w:ascii="Arial" w:hAnsi="Arial" w:cs="Arial"/>
          <w:sz w:val="20"/>
          <w:szCs w:val="20"/>
        </w:rPr>
        <w:t xml:space="preserve"> or </w:t>
      </w:r>
      <w:r w:rsidR="00EB355B">
        <w:rPr>
          <w:rFonts w:ascii="Arial" w:hAnsi="Arial" w:cs="Arial"/>
          <w:sz w:val="20"/>
          <w:szCs w:val="20"/>
        </w:rPr>
        <w:t>if the</w:t>
      </w:r>
      <w:r>
        <w:rPr>
          <w:rFonts w:ascii="Arial" w:hAnsi="Arial" w:cs="Arial"/>
          <w:sz w:val="20"/>
          <w:szCs w:val="20"/>
        </w:rPr>
        <w:t xml:space="preserve"> ACMA designates</w:t>
      </w:r>
      <w:r w:rsidR="00435289">
        <w:rPr>
          <w:rFonts w:ascii="Arial" w:hAnsi="Arial" w:cs="Arial"/>
          <w:sz w:val="20"/>
          <w:szCs w:val="20"/>
        </w:rPr>
        <w:t>, in writing,</w:t>
      </w:r>
      <w:r>
        <w:rPr>
          <w:rFonts w:ascii="Arial" w:hAnsi="Arial" w:cs="Arial"/>
          <w:sz w:val="20"/>
          <w:szCs w:val="20"/>
        </w:rPr>
        <w:t xml:space="preserve"> another database</w:t>
      </w:r>
      <w:r w:rsidR="00435289">
        <w:rPr>
          <w:rFonts w:ascii="Arial" w:hAnsi="Arial" w:cs="Arial"/>
          <w:sz w:val="20"/>
          <w:szCs w:val="20"/>
        </w:rPr>
        <w:t xml:space="preserve"> for the purpose of the 2015 TLN – that </w:t>
      </w:r>
      <w:r w:rsidR="00C76239">
        <w:rPr>
          <w:rFonts w:ascii="Arial" w:hAnsi="Arial" w:cs="Arial"/>
          <w:sz w:val="20"/>
          <w:szCs w:val="20"/>
        </w:rPr>
        <w:t xml:space="preserve">other </w:t>
      </w:r>
      <w:r w:rsidR="00435289">
        <w:rPr>
          <w:rFonts w:ascii="Arial" w:hAnsi="Arial" w:cs="Arial"/>
          <w:sz w:val="20"/>
          <w:szCs w:val="20"/>
        </w:rPr>
        <w:t>database</w:t>
      </w:r>
      <w:r>
        <w:rPr>
          <w:rFonts w:ascii="Arial" w:hAnsi="Arial" w:cs="Arial"/>
          <w:sz w:val="20"/>
          <w:szCs w:val="20"/>
        </w:rPr>
        <w:t>.</w:t>
      </w:r>
    </w:p>
    <w:p w14:paraId="2CB28B24" w14:textId="6885C534" w:rsidR="000432A3" w:rsidRDefault="000432A3" w:rsidP="00EF05F8">
      <w:pPr>
        <w:keepNext/>
        <w:spacing w:before="240" w:after="80" w:line="240" w:lineRule="atLeast"/>
        <w:jc w:val="both"/>
        <w:rPr>
          <w:rFonts w:ascii="Arial" w:hAnsi="Arial" w:cs="Arial"/>
          <w:b/>
          <w:sz w:val="20"/>
          <w:szCs w:val="20"/>
        </w:rPr>
      </w:pPr>
      <w:r w:rsidRPr="000A0A76">
        <w:rPr>
          <w:rFonts w:ascii="Arial" w:hAnsi="Arial" w:cs="Arial"/>
          <w:b/>
          <w:sz w:val="20"/>
          <w:szCs w:val="20"/>
        </w:rPr>
        <w:t xml:space="preserve">Section </w:t>
      </w:r>
      <w:r w:rsidR="000C133F">
        <w:rPr>
          <w:rFonts w:ascii="Arial" w:hAnsi="Arial" w:cs="Arial"/>
          <w:b/>
          <w:sz w:val="20"/>
          <w:szCs w:val="20"/>
        </w:rPr>
        <w:t>19</w:t>
      </w:r>
      <w:r w:rsidRPr="000A0A76">
        <w:rPr>
          <w:rFonts w:ascii="Arial" w:hAnsi="Arial" w:cs="Arial"/>
          <w:b/>
          <w:sz w:val="20"/>
          <w:szCs w:val="20"/>
        </w:rPr>
        <w:t xml:space="preserve"> </w:t>
      </w:r>
      <w:r>
        <w:rPr>
          <w:rFonts w:ascii="Arial" w:hAnsi="Arial" w:cs="Arial"/>
          <w:b/>
          <w:sz w:val="20"/>
          <w:szCs w:val="20"/>
        </w:rPr>
        <w:tab/>
      </w:r>
      <w:r w:rsidRPr="000A0A76">
        <w:rPr>
          <w:rFonts w:ascii="Arial" w:hAnsi="Arial" w:cs="Arial"/>
          <w:b/>
          <w:sz w:val="20"/>
          <w:szCs w:val="20"/>
        </w:rPr>
        <w:t xml:space="preserve">Registration on national database </w:t>
      </w:r>
    </w:p>
    <w:p w14:paraId="7344DA60" w14:textId="77777777" w:rsidR="00435289" w:rsidRDefault="0002065F" w:rsidP="00394BEF">
      <w:pPr>
        <w:spacing w:after="200"/>
        <w:rPr>
          <w:rFonts w:ascii="Arial" w:hAnsi="Arial" w:cs="Arial"/>
          <w:sz w:val="20"/>
          <w:szCs w:val="20"/>
        </w:rPr>
      </w:pPr>
      <w:r w:rsidRPr="00CB1A92">
        <w:rPr>
          <w:rFonts w:ascii="Arial" w:hAnsi="Arial" w:cs="Arial"/>
          <w:sz w:val="20"/>
          <w:szCs w:val="20"/>
        </w:rPr>
        <w:t xml:space="preserve">Section </w:t>
      </w:r>
      <w:r w:rsidR="000C133F">
        <w:rPr>
          <w:rFonts w:ascii="Arial" w:hAnsi="Arial" w:cs="Arial"/>
          <w:sz w:val="20"/>
          <w:szCs w:val="20"/>
        </w:rPr>
        <w:t xml:space="preserve">19 </w:t>
      </w:r>
      <w:r w:rsidRPr="00CB1A92">
        <w:rPr>
          <w:rFonts w:ascii="Arial" w:hAnsi="Arial" w:cs="Arial"/>
          <w:sz w:val="20"/>
          <w:szCs w:val="20"/>
        </w:rPr>
        <w:t xml:space="preserve">sets out </w:t>
      </w:r>
      <w:r w:rsidR="0035377B">
        <w:rPr>
          <w:rFonts w:ascii="Arial" w:hAnsi="Arial" w:cs="Arial"/>
          <w:sz w:val="20"/>
          <w:szCs w:val="20"/>
        </w:rPr>
        <w:t>the requirements for</w:t>
      </w:r>
      <w:r w:rsidRPr="00CB1A92">
        <w:rPr>
          <w:rFonts w:ascii="Arial" w:hAnsi="Arial" w:cs="Arial"/>
          <w:sz w:val="20"/>
          <w:szCs w:val="20"/>
        </w:rPr>
        <w:t xml:space="preserve"> </w:t>
      </w:r>
      <w:r w:rsidR="0035377B">
        <w:rPr>
          <w:rFonts w:ascii="Arial" w:hAnsi="Arial" w:cs="Arial"/>
          <w:sz w:val="20"/>
          <w:szCs w:val="20"/>
        </w:rPr>
        <w:t>registration</w:t>
      </w:r>
      <w:r w:rsidRPr="00CB1A92">
        <w:rPr>
          <w:rFonts w:ascii="Arial" w:hAnsi="Arial" w:cs="Arial"/>
          <w:sz w:val="20"/>
          <w:szCs w:val="20"/>
        </w:rPr>
        <w:t xml:space="preserve"> on the national database</w:t>
      </w:r>
      <w:r w:rsidR="0035377B">
        <w:rPr>
          <w:rFonts w:ascii="Arial" w:hAnsi="Arial" w:cs="Arial"/>
          <w:sz w:val="20"/>
          <w:szCs w:val="20"/>
        </w:rPr>
        <w:t>.</w:t>
      </w:r>
      <w:r w:rsidRPr="00CB1A92">
        <w:rPr>
          <w:rFonts w:ascii="Arial" w:hAnsi="Arial" w:cs="Arial"/>
          <w:sz w:val="20"/>
          <w:szCs w:val="20"/>
        </w:rPr>
        <w:t xml:space="preserve"> </w:t>
      </w:r>
    </w:p>
    <w:p w14:paraId="6AF6CD7D" w14:textId="77777777" w:rsidR="00435289" w:rsidRDefault="00435289" w:rsidP="00435289">
      <w:pPr>
        <w:spacing w:after="200"/>
        <w:rPr>
          <w:rFonts w:ascii="Arial" w:hAnsi="Arial" w:cs="Arial"/>
          <w:sz w:val="20"/>
          <w:szCs w:val="20"/>
        </w:rPr>
      </w:pPr>
      <w:r>
        <w:rPr>
          <w:rFonts w:ascii="Arial" w:hAnsi="Arial" w:cs="Arial"/>
          <w:sz w:val="20"/>
          <w:szCs w:val="20"/>
        </w:rPr>
        <w:t xml:space="preserve">Subsection (1) provides that, to be so registered, a supplier of an item must, using a method required by the national database manager, provide information that sets out the identity of the supplier, the address in Australia of the supplier and the name and contact details of a representative of the supplier.  The ACMA requires such information to enable it to identify and contact suppliers where necessary.  </w:t>
      </w:r>
    </w:p>
    <w:p w14:paraId="193613E9" w14:textId="511CB302" w:rsidR="00435289" w:rsidRDefault="00435289" w:rsidP="00435289">
      <w:pPr>
        <w:spacing w:after="200"/>
        <w:rPr>
          <w:rFonts w:ascii="Arial" w:hAnsi="Arial" w:cs="Arial"/>
          <w:sz w:val="20"/>
          <w:szCs w:val="20"/>
        </w:rPr>
      </w:pPr>
      <w:r>
        <w:rPr>
          <w:rFonts w:ascii="Arial" w:hAnsi="Arial" w:cs="Arial"/>
          <w:sz w:val="20"/>
          <w:szCs w:val="20"/>
        </w:rPr>
        <w:t>Subsection (2) provides that information that sets out the identity of the supplier must consist of its ABN, (if it is a body corporate or individual) the name of the body corporate or individual and</w:t>
      </w:r>
      <w:r w:rsidR="00C76239">
        <w:rPr>
          <w:rFonts w:ascii="Arial" w:hAnsi="Arial" w:cs="Arial"/>
          <w:sz w:val="20"/>
          <w:szCs w:val="20"/>
        </w:rPr>
        <w:t>,</w:t>
      </w:r>
      <w:r>
        <w:rPr>
          <w:rFonts w:ascii="Arial" w:hAnsi="Arial" w:cs="Arial"/>
          <w:sz w:val="20"/>
          <w:szCs w:val="20"/>
        </w:rPr>
        <w:t xml:space="preserve"> if it uses a business name in connection with its business as a supplier and the business name is registered under the </w:t>
      </w:r>
      <w:r w:rsidRPr="00B407E6">
        <w:rPr>
          <w:rFonts w:ascii="Arial" w:hAnsi="Arial" w:cs="Arial"/>
          <w:i/>
          <w:sz w:val="20"/>
          <w:szCs w:val="20"/>
        </w:rPr>
        <w:t>Business Names Registration Act 2011</w:t>
      </w:r>
      <w:r w:rsidR="00C76239">
        <w:rPr>
          <w:rFonts w:ascii="Arial" w:hAnsi="Arial" w:cs="Arial"/>
          <w:sz w:val="20"/>
          <w:szCs w:val="20"/>
        </w:rPr>
        <w:t>, that</w:t>
      </w:r>
      <w:r>
        <w:rPr>
          <w:rFonts w:ascii="Arial" w:hAnsi="Arial" w:cs="Arial"/>
          <w:sz w:val="20"/>
          <w:szCs w:val="20"/>
        </w:rPr>
        <w:t xml:space="preserve"> business name. </w:t>
      </w:r>
    </w:p>
    <w:p w14:paraId="7FEDDB29" w14:textId="28D23E77" w:rsidR="00435289" w:rsidRDefault="00855DC7" w:rsidP="00394BEF">
      <w:pPr>
        <w:spacing w:after="200"/>
        <w:rPr>
          <w:rFonts w:ascii="Arial" w:hAnsi="Arial" w:cs="Arial"/>
          <w:sz w:val="20"/>
          <w:szCs w:val="20"/>
        </w:rPr>
      </w:pPr>
      <w:r w:rsidRPr="00855DC7">
        <w:rPr>
          <w:rFonts w:ascii="Arial" w:hAnsi="Arial" w:cs="Arial"/>
          <w:sz w:val="20"/>
          <w:szCs w:val="20"/>
        </w:rPr>
        <w:t>The</w:t>
      </w:r>
      <w:r>
        <w:rPr>
          <w:rFonts w:ascii="Arial" w:hAnsi="Arial" w:cs="Arial"/>
          <w:sz w:val="20"/>
          <w:szCs w:val="20"/>
        </w:rPr>
        <w:t xml:space="preserve"> </w:t>
      </w:r>
      <w:r w:rsidRPr="00855DC7">
        <w:rPr>
          <w:rFonts w:ascii="Arial" w:hAnsi="Arial" w:cs="Arial"/>
          <w:sz w:val="20"/>
          <w:szCs w:val="20"/>
        </w:rPr>
        <w:t>national database is an online database</w:t>
      </w:r>
      <w:r w:rsidR="00435289">
        <w:rPr>
          <w:rFonts w:ascii="Arial" w:hAnsi="Arial" w:cs="Arial"/>
          <w:sz w:val="20"/>
          <w:szCs w:val="20"/>
        </w:rPr>
        <w:t xml:space="preserve">. The national database manager </w:t>
      </w:r>
      <w:r w:rsidRPr="00855DC7">
        <w:rPr>
          <w:rFonts w:ascii="Arial" w:hAnsi="Arial" w:cs="Arial"/>
          <w:sz w:val="20"/>
          <w:szCs w:val="20"/>
        </w:rPr>
        <w:t>requires suppliers to register certain details onto</w:t>
      </w:r>
      <w:r>
        <w:rPr>
          <w:rFonts w:ascii="Arial" w:hAnsi="Arial" w:cs="Arial"/>
          <w:sz w:val="20"/>
          <w:szCs w:val="20"/>
        </w:rPr>
        <w:t xml:space="preserve"> </w:t>
      </w:r>
      <w:r w:rsidRPr="00855DC7">
        <w:rPr>
          <w:rFonts w:ascii="Arial" w:hAnsi="Arial" w:cs="Arial"/>
          <w:sz w:val="20"/>
          <w:szCs w:val="20"/>
        </w:rPr>
        <w:t>the database via the internet.</w:t>
      </w:r>
      <w:r>
        <w:rPr>
          <w:rFonts w:ascii="Arial" w:hAnsi="Arial" w:cs="Arial"/>
          <w:sz w:val="20"/>
          <w:szCs w:val="20"/>
        </w:rPr>
        <w:t xml:space="preserve"> </w:t>
      </w:r>
      <w:r w:rsidR="00435289">
        <w:rPr>
          <w:rFonts w:ascii="Arial" w:hAnsi="Arial" w:cs="Arial"/>
          <w:sz w:val="20"/>
          <w:szCs w:val="20"/>
        </w:rPr>
        <w:t>The database contains prompts and fields to insert the required information.</w:t>
      </w:r>
    </w:p>
    <w:p w14:paraId="4696DF83" w14:textId="1662C109" w:rsidR="00E8040A" w:rsidRDefault="00435289" w:rsidP="00E8040A">
      <w:pPr>
        <w:spacing w:after="200"/>
        <w:rPr>
          <w:rFonts w:ascii="Arial" w:hAnsi="Arial" w:cs="Arial"/>
          <w:sz w:val="20"/>
          <w:szCs w:val="20"/>
        </w:rPr>
      </w:pPr>
      <w:r>
        <w:rPr>
          <w:rFonts w:ascii="Arial" w:hAnsi="Arial" w:cs="Arial"/>
          <w:sz w:val="20"/>
          <w:szCs w:val="20"/>
        </w:rPr>
        <w:t>Subsection (3) provides that, i</w:t>
      </w:r>
      <w:r w:rsidR="0002065F" w:rsidRPr="00CB1A92">
        <w:rPr>
          <w:rFonts w:ascii="Arial" w:hAnsi="Arial" w:cs="Arial"/>
          <w:sz w:val="20"/>
          <w:szCs w:val="20"/>
        </w:rPr>
        <w:t xml:space="preserve">f any </w:t>
      </w:r>
      <w:r>
        <w:rPr>
          <w:rFonts w:ascii="Arial" w:hAnsi="Arial" w:cs="Arial"/>
          <w:sz w:val="20"/>
          <w:szCs w:val="20"/>
        </w:rPr>
        <w:t xml:space="preserve">of the </w:t>
      </w:r>
      <w:r w:rsidR="0002065F" w:rsidRPr="00CB1A92">
        <w:rPr>
          <w:rFonts w:ascii="Arial" w:hAnsi="Arial" w:cs="Arial"/>
          <w:sz w:val="20"/>
          <w:szCs w:val="20"/>
        </w:rPr>
        <w:t xml:space="preserve">information that has been provided by a </w:t>
      </w:r>
      <w:r w:rsidR="00216582">
        <w:rPr>
          <w:rFonts w:ascii="Arial" w:hAnsi="Arial" w:cs="Arial"/>
          <w:sz w:val="20"/>
          <w:szCs w:val="20"/>
        </w:rPr>
        <w:t>supplier</w:t>
      </w:r>
      <w:r w:rsidR="0002065F" w:rsidRPr="00CB1A92">
        <w:rPr>
          <w:rFonts w:ascii="Arial" w:hAnsi="Arial" w:cs="Arial"/>
          <w:sz w:val="20"/>
          <w:szCs w:val="20"/>
        </w:rPr>
        <w:t xml:space="preserve"> on the national database</w:t>
      </w:r>
      <w:r>
        <w:rPr>
          <w:rFonts w:ascii="Arial" w:hAnsi="Arial" w:cs="Arial"/>
          <w:sz w:val="20"/>
          <w:szCs w:val="20"/>
        </w:rPr>
        <w:t xml:space="preserve"> subsequently</w:t>
      </w:r>
      <w:r w:rsidR="0002065F" w:rsidRPr="00CB1A92">
        <w:rPr>
          <w:rFonts w:ascii="Arial" w:hAnsi="Arial" w:cs="Arial"/>
          <w:sz w:val="20"/>
          <w:szCs w:val="20"/>
        </w:rPr>
        <w:t xml:space="preserve"> changes, </w:t>
      </w:r>
      <w:r w:rsidR="00E8040A">
        <w:rPr>
          <w:rFonts w:ascii="Arial" w:hAnsi="Arial" w:cs="Arial"/>
          <w:sz w:val="20"/>
          <w:szCs w:val="20"/>
        </w:rPr>
        <w:t xml:space="preserve">the supplier must </w:t>
      </w:r>
      <w:r w:rsidR="0035377B">
        <w:rPr>
          <w:rFonts w:ascii="Arial" w:hAnsi="Arial" w:cs="Arial"/>
          <w:sz w:val="20"/>
          <w:szCs w:val="20"/>
        </w:rPr>
        <w:t>update</w:t>
      </w:r>
      <w:r w:rsidR="0002065F" w:rsidRPr="00CB1A92">
        <w:rPr>
          <w:rFonts w:ascii="Arial" w:hAnsi="Arial" w:cs="Arial"/>
          <w:sz w:val="20"/>
          <w:szCs w:val="20"/>
        </w:rPr>
        <w:t xml:space="preserve"> the database within 30 days </w:t>
      </w:r>
      <w:r w:rsidR="00E8040A">
        <w:rPr>
          <w:rFonts w:ascii="Arial" w:hAnsi="Arial" w:cs="Arial"/>
          <w:sz w:val="20"/>
          <w:szCs w:val="20"/>
        </w:rPr>
        <w:t>after</w:t>
      </w:r>
      <w:r w:rsidR="0002065F" w:rsidRPr="00CB1A92">
        <w:rPr>
          <w:rFonts w:ascii="Arial" w:hAnsi="Arial" w:cs="Arial"/>
          <w:sz w:val="20"/>
          <w:szCs w:val="20"/>
        </w:rPr>
        <w:t xml:space="preserve"> the change</w:t>
      </w:r>
      <w:r w:rsidR="00E8040A">
        <w:rPr>
          <w:rFonts w:ascii="Arial" w:hAnsi="Arial" w:cs="Arial"/>
          <w:sz w:val="20"/>
          <w:szCs w:val="20"/>
        </w:rPr>
        <w:t xml:space="preserve"> has</w:t>
      </w:r>
      <w:r w:rsidR="0002065F" w:rsidRPr="00CB1A92">
        <w:rPr>
          <w:rFonts w:ascii="Arial" w:hAnsi="Arial" w:cs="Arial"/>
          <w:sz w:val="20"/>
          <w:szCs w:val="20"/>
        </w:rPr>
        <w:t xml:space="preserve"> occurr</w:t>
      </w:r>
      <w:r w:rsidR="00E8040A">
        <w:rPr>
          <w:rFonts w:ascii="Arial" w:hAnsi="Arial" w:cs="Arial"/>
          <w:sz w:val="20"/>
          <w:szCs w:val="20"/>
        </w:rPr>
        <w:t>ed</w:t>
      </w:r>
      <w:r w:rsidR="0002065F" w:rsidRPr="00CB1A92">
        <w:rPr>
          <w:rFonts w:ascii="Arial" w:hAnsi="Arial" w:cs="Arial"/>
          <w:sz w:val="20"/>
          <w:szCs w:val="20"/>
        </w:rPr>
        <w:t xml:space="preserve">. </w:t>
      </w:r>
    </w:p>
    <w:p w14:paraId="071809AF" w14:textId="306D6B0B" w:rsidR="0002065F" w:rsidRPr="00CB1A92" w:rsidRDefault="00E8040A" w:rsidP="0002065F">
      <w:pPr>
        <w:rPr>
          <w:rFonts w:ascii="Arial" w:hAnsi="Arial" w:cs="Arial"/>
          <w:sz w:val="20"/>
          <w:szCs w:val="20"/>
        </w:rPr>
      </w:pPr>
      <w:r>
        <w:rPr>
          <w:rFonts w:ascii="Arial" w:hAnsi="Arial" w:cs="Arial"/>
          <w:sz w:val="20"/>
          <w:szCs w:val="20"/>
        </w:rPr>
        <w:t>A note at the end of section 19 indicates that a s</w:t>
      </w:r>
      <w:r w:rsidR="00216582">
        <w:rPr>
          <w:rFonts w:ascii="Arial" w:hAnsi="Arial" w:cs="Arial"/>
          <w:sz w:val="20"/>
          <w:szCs w:val="20"/>
        </w:rPr>
        <w:t>upplier</w:t>
      </w:r>
      <w:r>
        <w:rPr>
          <w:rFonts w:ascii="Arial" w:hAnsi="Arial" w:cs="Arial"/>
          <w:sz w:val="20"/>
          <w:szCs w:val="20"/>
        </w:rPr>
        <w:t xml:space="preserve"> who</w:t>
      </w:r>
      <w:r w:rsidR="00E87454" w:rsidRPr="00CB1A92">
        <w:rPr>
          <w:rFonts w:ascii="Arial" w:hAnsi="Arial" w:cs="Arial"/>
          <w:sz w:val="20"/>
          <w:szCs w:val="20"/>
        </w:rPr>
        <w:t xml:space="preserve"> </w:t>
      </w:r>
      <w:r w:rsidR="0002065F" w:rsidRPr="00CB1A92">
        <w:rPr>
          <w:rFonts w:ascii="Arial" w:hAnsi="Arial" w:cs="Arial"/>
          <w:sz w:val="20"/>
          <w:szCs w:val="20"/>
        </w:rPr>
        <w:t>do</w:t>
      </w:r>
      <w:r>
        <w:rPr>
          <w:rFonts w:ascii="Arial" w:hAnsi="Arial" w:cs="Arial"/>
          <w:sz w:val="20"/>
          <w:szCs w:val="20"/>
        </w:rPr>
        <w:t>es</w:t>
      </w:r>
      <w:r w:rsidR="0002065F" w:rsidRPr="00CB1A92">
        <w:rPr>
          <w:rFonts w:ascii="Arial" w:hAnsi="Arial" w:cs="Arial"/>
          <w:sz w:val="20"/>
          <w:szCs w:val="20"/>
        </w:rPr>
        <w:t xml:space="preserve"> not </w:t>
      </w:r>
      <w:r>
        <w:rPr>
          <w:rFonts w:ascii="Arial" w:hAnsi="Arial" w:cs="Arial"/>
          <w:sz w:val="20"/>
          <w:szCs w:val="20"/>
        </w:rPr>
        <w:t xml:space="preserve">meet the requirements to </w:t>
      </w:r>
      <w:r w:rsidR="0002065F" w:rsidRPr="00CB1A92">
        <w:rPr>
          <w:rFonts w:ascii="Arial" w:hAnsi="Arial" w:cs="Arial"/>
          <w:sz w:val="20"/>
          <w:szCs w:val="20"/>
        </w:rPr>
        <w:t>update information</w:t>
      </w:r>
      <w:r>
        <w:rPr>
          <w:rFonts w:ascii="Arial" w:hAnsi="Arial" w:cs="Arial"/>
          <w:sz w:val="20"/>
          <w:szCs w:val="20"/>
        </w:rPr>
        <w:t xml:space="preserve"> in accordance with that section</w:t>
      </w:r>
      <w:r w:rsidR="0002065F" w:rsidRPr="00CB1A92">
        <w:rPr>
          <w:rFonts w:ascii="Arial" w:hAnsi="Arial" w:cs="Arial"/>
          <w:sz w:val="20"/>
          <w:szCs w:val="20"/>
        </w:rPr>
        <w:t xml:space="preserve"> may be </w:t>
      </w:r>
      <w:r>
        <w:rPr>
          <w:rFonts w:ascii="Arial" w:hAnsi="Arial" w:cs="Arial"/>
          <w:sz w:val="20"/>
          <w:szCs w:val="20"/>
        </w:rPr>
        <w:t>guilty of an offence under</w:t>
      </w:r>
      <w:r w:rsidR="0002065F">
        <w:rPr>
          <w:rFonts w:ascii="Arial" w:hAnsi="Arial" w:cs="Arial"/>
          <w:sz w:val="20"/>
          <w:szCs w:val="20"/>
        </w:rPr>
        <w:t xml:space="preserve"> section </w:t>
      </w:r>
      <w:r w:rsidR="0067435D" w:rsidRPr="00EF05F8">
        <w:rPr>
          <w:rFonts w:ascii="Arial" w:hAnsi="Arial" w:cs="Arial"/>
          <w:sz w:val="20"/>
          <w:szCs w:val="20"/>
        </w:rPr>
        <w:t>415</w:t>
      </w:r>
      <w:r w:rsidR="0002065F">
        <w:rPr>
          <w:rFonts w:ascii="Arial" w:hAnsi="Arial" w:cs="Arial"/>
          <w:sz w:val="20"/>
          <w:szCs w:val="20"/>
        </w:rPr>
        <w:t xml:space="preserve"> of the Act</w:t>
      </w:r>
      <w:r w:rsidR="0002065F" w:rsidRPr="00CB1A92">
        <w:rPr>
          <w:rFonts w:ascii="Arial" w:hAnsi="Arial" w:cs="Arial"/>
          <w:sz w:val="20"/>
          <w:szCs w:val="20"/>
        </w:rPr>
        <w:t>.</w:t>
      </w:r>
    </w:p>
    <w:p w14:paraId="5890B9DF" w14:textId="77777777" w:rsidR="000432A3" w:rsidRDefault="000432A3" w:rsidP="000432A3">
      <w:pPr>
        <w:spacing w:after="200" w:line="240" w:lineRule="atLeast"/>
        <w:jc w:val="both"/>
        <w:rPr>
          <w:rFonts w:ascii="Arial" w:hAnsi="Arial" w:cs="Arial"/>
          <w:b/>
          <w:sz w:val="20"/>
          <w:szCs w:val="20"/>
        </w:rPr>
      </w:pPr>
    </w:p>
    <w:p w14:paraId="43377907" w14:textId="77777777" w:rsidR="000432A3" w:rsidRDefault="000432A3" w:rsidP="00394BEF">
      <w:pPr>
        <w:spacing w:before="240" w:after="120" w:line="240" w:lineRule="atLeast"/>
        <w:jc w:val="both"/>
        <w:rPr>
          <w:rFonts w:ascii="Arial" w:hAnsi="Arial" w:cs="Arial"/>
          <w:b/>
          <w:sz w:val="22"/>
          <w:szCs w:val="22"/>
        </w:rPr>
      </w:pPr>
      <w:r w:rsidRPr="000A0A76">
        <w:rPr>
          <w:rFonts w:ascii="Arial" w:hAnsi="Arial" w:cs="Arial"/>
          <w:b/>
          <w:sz w:val="22"/>
          <w:szCs w:val="22"/>
        </w:rPr>
        <w:t xml:space="preserve">Division 3 – Declaration of conformity </w:t>
      </w:r>
    </w:p>
    <w:p w14:paraId="422AD34A" w14:textId="0A466DCC" w:rsidR="000432A3" w:rsidRDefault="000432A3" w:rsidP="00394BEF">
      <w:pPr>
        <w:spacing w:before="240" w:after="80" w:line="240" w:lineRule="atLeast"/>
        <w:jc w:val="both"/>
        <w:rPr>
          <w:rFonts w:ascii="Arial" w:hAnsi="Arial" w:cs="Arial"/>
          <w:b/>
          <w:sz w:val="20"/>
          <w:szCs w:val="20"/>
        </w:rPr>
      </w:pPr>
      <w:r w:rsidRPr="000A0A76">
        <w:rPr>
          <w:rFonts w:ascii="Arial" w:hAnsi="Arial" w:cs="Arial"/>
          <w:b/>
          <w:sz w:val="20"/>
          <w:szCs w:val="20"/>
        </w:rPr>
        <w:t xml:space="preserve">Section </w:t>
      </w:r>
      <w:r w:rsidR="00216582">
        <w:rPr>
          <w:rFonts w:ascii="Arial" w:hAnsi="Arial" w:cs="Arial"/>
          <w:b/>
          <w:sz w:val="20"/>
          <w:szCs w:val="20"/>
        </w:rPr>
        <w:t xml:space="preserve">20 </w:t>
      </w:r>
      <w:r w:rsidRPr="000A0A76">
        <w:rPr>
          <w:rFonts w:ascii="Arial" w:hAnsi="Arial" w:cs="Arial"/>
          <w:b/>
          <w:sz w:val="20"/>
          <w:szCs w:val="20"/>
        </w:rPr>
        <w:tab/>
        <w:t xml:space="preserve">Declaration of conformity </w:t>
      </w:r>
    </w:p>
    <w:p w14:paraId="7BDCBA84" w14:textId="6B8EC199" w:rsidR="006A414F" w:rsidRDefault="00ED7CDE" w:rsidP="006A414F">
      <w:pPr>
        <w:spacing w:after="200" w:line="240" w:lineRule="atLeast"/>
        <w:rPr>
          <w:rFonts w:ascii="Arial" w:hAnsi="Arial" w:cs="Arial"/>
          <w:sz w:val="20"/>
          <w:szCs w:val="20"/>
        </w:rPr>
      </w:pPr>
      <w:r w:rsidRPr="00ED7CDE">
        <w:rPr>
          <w:rFonts w:ascii="Arial" w:hAnsi="Arial" w:cs="Arial"/>
          <w:sz w:val="20"/>
          <w:szCs w:val="20"/>
        </w:rPr>
        <w:t xml:space="preserve">Subsection (1) </w:t>
      </w:r>
      <w:r w:rsidR="006A414F">
        <w:rPr>
          <w:rFonts w:ascii="Arial" w:hAnsi="Arial" w:cs="Arial"/>
          <w:sz w:val="20"/>
          <w:szCs w:val="20"/>
        </w:rPr>
        <w:t xml:space="preserve">provides </w:t>
      </w:r>
      <w:r>
        <w:rPr>
          <w:rFonts w:ascii="Arial" w:hAnsi="Arial" w:cs="Arial"/>
          <w:sz w:val="20"/>
          <w:szCs w:val="20"/>
        </w:rPr>
        <w:t xml:space="preserve">that </w:t>
      </w:r>
      <w:r w:rsidR="001D14EF">
        <w:rPr>
          <w:rFonts w:ascii="Arial" w:hAnsi="Arial" w:cs="Arial"/>
          <w:sz w:val="20"/>
          <w:szCs w:val="20"/>
        </w:rPr>
        <w:t>a s</w:t>
      </w:r>
      <w:r w:rsidR="006A414F">
        <w:rPr>
          <w:rFonts w:ascii="Arial" w:hAnsi="Arial" w:cs="Arial"/>
          <w:sz w:val="20"/>
          <w:szCs w:val="20"/>
        </w:rPr>
        <w:t>upplier of an item must, before supplying the item, complete a DoC for the item in accordance with section 6.</w:t>
      </w:r>
    </w:p>
    <w:p w14:paraId="5DEC58E1" w14:textId="77777777" w:rsidR="006A414F" w:rsidRDefault="006A414F" w:rsidP="006A414F">
      <w:pPr>
        <w:spacing w:after="200" w:line="240" w:lineRule="atLeast"/>
        <w:rPr>
          <w:rFonts w:ascii="Arial" w:hAnsi="Arial" w:cs="Arial"/>
          <w:sz w:val="20"/>
          <w:szCs w:val="20"/>
        </w:rPr>
      </w:pPr>
      <w:r>
        <w:rPr>
          <w:rFonts w:ascii="Arial" w:hAnsi="Arial" w:cs="Arial"/>
          <w:sz w:val="20"/>
          <w:szCs w:val="20"/>
        </w:rPr>
        <w:lastRenderedPageBreak/>
        <w:t>As mentioned above, section 6 requires the DoC to include, among other things, a statement that the declarant is reasonably satisfied that, having regard to particular documents, the item complies with each applicable technical standard in relation to the item.</w:t>
      </w:r>
    </w:p>
    <w:p w14:paraId="7A72AA6F" w14:textId="5BA0B49B" w:rsidR="006A414F" w:rsidRDefault="00ED7CDE" w:rsidP="000432A3">
      <w:pPr>
        <w:spacing w:after="200" w:line="240" w:lineRule="atLeast"/>
        <w:jc w:val="both"/>
        <w:rPr>
          <w:rFonts w:ascii="Arial" w:hAnsi="Arial" w:cs="Arial"/>
          <w:sz w:val="20"/>
          <w:szCs w:val="20"/>
        </w:rPr>
      </w:pPr>
      <w:r>
        <w:rPr>
          <w:rFonts w:ascii="Arial" w:hAnsi="Arial" w:cs="Arial"/>
          <w:sz w:val="20"/>
          <w:szCs w:val="20"/>
        </w:rPr>
        <w:t>Subsection (2) specifies the circumstances in which a person can be</w:t>
      </w:r>
      <w:r w:rsidR="006A414F">
        <w:rPr>
          <w:rFonts w:ascii="Arial" w:hAnsi="Arial" w:cs="Arial"/>
          <w:sz w:val="20"/>
          <w:szCs w:val="20"/>
        </w:rPr>
        <w:t xml:space="preserve"> reasonably</w:t>
      </w:r>
      <w:r>
        <w:rPr>
          <w:rFonts w:ascii="Arial" w:hAnsi="Arial" w:cs="Arial"/>
          <w:sz w:val="20"/>
          <w:szCs w:val="20"/>
        </w:rPr>
        <w:t xml:space="preserve"> satisfied that an item complies with a high risk applicable </w:t>
      </w:r>
      <w:r w:rsidR="00C34E77">
        <w:rPr>
          <w:rFonts w:ascii="Arial" w:hAnsi="Arial" w:cs="Arial"/>
          <w:sz w:val="20"/>
          <w:szCs w:val="20"/>
        </w:rPr>
        <w:t xml:space="preserve">technical </w:t>
      </w:r>
      <w:r>
        <w:rPr>
          <w:rFonts w:ascii="Arial" w:hAnsi="Arial" w:cs="Arial"/>
          <w:sz w:val="20"/>
          <w:szCs w:val="20"/>
        </w:rPr>
        <w:t>standard or with an applicable technical standard</w:t>
      </w:r>
      <w:r w:rsidR="006A414F">
        <w:rPr>
          <w:rFonts w:ascii="Arial" w:hAnsi="Arial" w:cs="Arial"/>
          <w:sz w:val="20"/>
          <w:szCs w:val="20"/>
        </w:rPr>
        <w:t xml:space="preserve"> (other than a high risk applicable technical standard).</w:t>
      </w:r>
      <w:r w:rsidR="006A414F">
        <w:rPr>
          <w:rStyle w:val="FootnoteReference"/>
          <w:rFonts w:ascii="Arial" w:hAnsi="Arial" w:cs="Arial"/>
          <w:sz w:val="20"/>
          <w:szCs w:val="20"/>
        </w:rPr>
        <w:footnoteReference w:id="4"/>
      </w:r>
      <w:r w:rsidR="003444F8">
        <w:rPr>
          <w:rFonts w:ascii="Arial" w:hAnsi="Arial" w:cs="Arial"/>
          <w:sz w:val="20"/>
          <w:szCs w:val="20"/>
        </w:rPr>
        <w:t xml:space="preserve"> </w:t>
      </w:r>
      <w:r w:rsidR="00C34E77">
        <w:rPr>
          <w:rFonts w:ascii="Arial" w:hAnsi="Arial" w:cs="Arial"/>
          <w:sz w:val="20"/>
          <w:szCs w:val="20"/>
        </w:rPr>
        <w:t xml:space="preserve"> </w:t>
      </w:r>
    </w:p>
    <w:p w14:paraId="0C184B7E" w14:textId="637C78CB" w:rsidR="006A414F" w:rsidRDefault="006A414F" w:rsidP="006A414F">
      <w:pPr>
        <w:spacing w:after="200" w:line="240" w:lineRule="atLeast"/>
        <w:rPr>
          <w:rFonts w:ascii="Arial" w:hAnsi="Arial" w:cs="Arial"/>
          <w:sz w:val="20"/>
          <w:szCs w:val="20"/>
        </w:rPr>
      </w:pPr>
      <w:r>
        <w:rPr>
          <w:rFonts w:ascii="Arial" w:hAnsi="Arial" w:cs="Arial"/>
          <w:sz w:val="20"/>
          <w:szCs w:val="20"/>
        </w:rPr>
        <w:t>Paragraph (2)(a) provides that a person can only be reasonably satisfied that an item complies with a high risk applicable technical standard if the person has had regard to a document or documents of a kind mentioned in subparagraph 20(2)(a)(i) containing information that indicates that the item, or (if the item is included in a class of items) an item of the class, complies with the standard.  The kinds of documents mentioned for this purpose include an endorsed test report, a statement prepared by a certification body, an IECEE CB Test Report that is accompanied by other required documentation, and a certificate issued under a law of a State or Territory that deals the safety of electrical equipment.</w:t>
      </w:r>
    </w:p>
    <w:p w14:paraId="6CF99E76" w14:textId="0A41D11B" w:rsidR="00A8036A" w:rsidRPr="00ED7CDE" w:rsidRDefault="00A8036A" w:rsidP="00A8036A">
      <w:pPr>
        <w:spacing w:after="200" w:line="240" w:lineRule="atLeast"/>
        <w:rPr>
          <w:rFonts w:ascii="Arial" w:hAnsi="Arial" w:cs="Arial"/>
          <w:sz w:val="20"/>
          <w:szCs w:val="20"/>
        </w:rPr>
      </w:pPr>
      <w:r>
        <w:rPr>
          <w:rFonts w:ascii="Arial" w:hAnsi="Arial" w:cs="Arial"/>
          <w:sz w:val="20"/>
          <w:szCs w:val="20"/>
        </w:rPr>
        <w:t xml:space="preserve">Paragraph (2)(b) does not limit the kinds of documents to which a person may have regard in order to be reasonably satisfied that an item complies with an applicable technical standard that is not a high risk applicable technical standard.  However, paragraph (2)(b) makes it clear that a person can be reasonably satisfied of the matter if the person has had regard to a statement prepared by a certification body or a test report containing information that indicates that the item </w:t>
      </w:r>
      <w:r w:rsidR="00C76239">
        <w:rPr>
          <w:rFonts w:ascii="Arial" w:hAnsi="Arial" w:cs="Arial"/>
          <w:sz w:val="20"/>
          <w:szCs w:val="20"/>
        </w:rPr>
        <w:t>(</w:t>
      </w:r>
      <w:r>
        <w:rPr>
          <w:rFonts w:ascii="Arial" w:hAnsi="Arial" w:cs="Arial"/>
          <w:sz w:val="20"/>
          <w:szCs w:val="20"/>
        </w:rPr>
        <w:t>or if the item is included in a class of items</w:t>
      </w:r>
      <w:r w:rsidR="00C76239">
        <w:rPr>
          <w:rFonts w:ascii="Arial" w:hAnsi="Arial" w:cs="Arial"/>
          <w:sz w:val="20"/>
          <w:szCs w:val="20"/>
        </w:rPr>
        <w:t>,</w:t>
      </w:r>
      <w:r>
        <w:rPr>
          <w:rFonts w:ascii="Arial" w:hAnsi="Arial" w:cs="Arial"/>
          <w:sz w:val="20"/>
          <w:szCs w:val="20"/>
        </w:rPr>
        <w:t xml:space="preserve"> an item of the class</w:t>
      </w:r>
      <w:r w:rsidR="00C76239">
        <w:rPr>
          <w:rFonts w:ascii="Arial" w:hAnsi="Arial" w:cs="Arial"/>
          <w:sz w:val="20"/>
          <w:szCs w:val="20"/>
        </w:rPr>
        <w:t>)</w:t>
      </w:r>
      <w:r>
        <w:rPr>
          <w:rFonts w:ascii="Arial" w:hAnsi="Arial" w:cs="Arial"/>
          <w:sz w:val="20"/>
          <w:szCs w:val="20"/>
        </w:rPr>
        <w:t xml:space="preserve"> complies with the standard.  </w:t>
      </w:r>
    </w:p>
    <w:p w14:paraId="7FDB7AA0" w14:textId="77777777" w:rsidR="000432A3" w:rsidRDefault="000432A3" w:rsidP="00394BEF">
      <w:pPr>
        <w:spacing w:before="240" w:after="120" w:line="240" w:lineRule="atLeast"/>
        <w:jc w:val="both"/>
        <w:rPr>
          <w:rFonts w:ascii="Arial" w:hAnsi="Arial" w:cs="Arial"/>
          <w:b/>
          <w:sz w:val="22"/>
          <w:szCs w:val="22"/>
        </w:rPr>
      </w:pPr>
      <w:r w:rsidRPr="000A0A76">
        <w:rPr>
          <w:rFonts w:ascii="Arial" w:hAnsi="Arial" w:cs="Arial"/>
          <w:b/>
          <w:sz w:val="22"/>
          <w:szCs w:val="22"/>
        </w:rPr>
        <w:t xml:space="preserve">Division 4 – Additional requirements for modified items </w:t>
      </w:r>
    </w:p>
    <w:p w14:paraId="21FC3EB1" w14:textId="59D08790" w:rsidR="000432A3" w:rsidRDefault="000432A3" w:rsidP="00394BEF">
      <w:pPr>
        <w:spacing w:before="240" w:after="80" w:line="240" w:lineRule="atLeast"/>
        <w:jc w:val="both"/>
        <w:rPr>
          <w:rFonts w:ascii="Arial" w:hAnsi="Arial" w:cs="Arial"/>
          <w:b/>
          <w:sz w:val="20"/>
          <w:szCs w:val="20"/>
        </w:rPr>
      </w:pPr>
      <w:r>
        <w:rPr>
          <w:rFonts w:ascii="Arial" w:hAnsi="Arial" w:cs="Arial"/>
          <w:b/>
          <w:sz w:val="20"/>
          <w:szCs w:val="20"/>
        </w:rPr>
        <w:t xml:space="preserve">Section </w:t>
      </w:r>
      <w:r w:rsidR="004C4333">
        <w:rPr>
          <w:rFonts w:ascii="Arial" w:hAnsi="Arial" w:cs="Arial"/>
          <w:b/>
          <w:sz w:val="20"/>
          <w:szCs w:val="20"/>
        </w:rPr>
        <w:t>21</w:t>
      </w:r>
      <w:r>
        <w:rPr>
          <w:rFonts w:ascii="Arial" w:hAnsi="Arial" w:cs="Arial"/>
          <w:b/>
          <w:sz w:val="20"/>
          <w:szCs w:val="20"/>
        </w:rPr>
        <w:tab/>
        <w:t xml:space="preserve">Modified items </w:t>
      </w:r>
    </w:p>
    <w:p w14:paraId="1C17B6D6" w14:textId="2D8043E5" w:rsidR="00A8036A" w:rsidRDefault="00FB51AC" w:rsidP="00A8036A">
      <w:pPr>
        <w:spacing w:after="200" w:line="240" w:lineRule="atLeast"/>
        <w:rPr>
          <w:rFonts w:ascii="Arial" w:hAnsi="Arial" w:cs="Arial"/>
          <w:sz w:val="20"/>
          <w:szCs w:val="20"/>
        </w:rPr>
      </w:pPr>
      <w:r>
        <w:rPr>
          <w:rFonts w:ascii="Arial" w:hAnsi="Arial" w:cs="Arial"/>
          <w:sz w:val="20"/>
          <w:szCs w:val="20"/>
        </w:rPr>
        <w:t>Subs</w:t>
      </w:r>
      <w:r w:rsidR="00225B96" w:rsidRPr="00225B96">
        <w:rPr>
          <w:rFonts w:ascii="Arial" w:hAnsi="Arial" w:cs="Arial"/>
          <w:sz w:val="20"/>
          <w:szCs w:val="20"/>
        </w:rPr>
        <w:t xml:space="preserve">ection </w:t>
      </w:r>
      <w:r>
        <w:rPr>
          <w:rFonts w:ascii="Arial" w:hAnsi="Arial" w:cs="Arial"/>
          <w:sz w:val="20"/>
          <w:szCs w:val="20"/>
        </w:rPr>
        <w:t>(1)</w:t>
      </w:r>
      <w:r w:rsidR="00225B96" w:rsidRPr="00225B96">
        <w:rPr>
          <w:rFonts w:ascii="Arial" w:hAnsi="Arial" w:cs="Arial"/>
          <w:sz w:val="20"/>
          <w:szCs w:val="20"/>
        </w:rPr>
        <w:t xml:space="preserve"> </w:t>
      </w:r>
      <w:r w:rsidR="004C4333">
        <w:rPr>
          <w:rFonts w:ascii="Arial" w:hAnsi="Arial" w:cs="Arial"/>
          <w:sz w:val="20"/>
          <w:szCs w:val="20"/>
        </w:rPr>
        <w:t xml:space="preserve">provides </w:t>
      </w:r>
      <w:r>
        <w:rPr>
          <w:rFonts w:ascii="Arial" w:hAnsi="Arial" w:cs="Arial"/>
          <w:sz w:val="20"/>
          <w:szCs w:val="20"/>
        </w:rPr>
        <w:t xml:space="preserve">that the section applies to </w:t>
      </w:r>
      <w:r w:rsidR="00A8036A">
        <w:rPr>
          <w:rFonts w:ascii="Arial" w:hAnsi="Arial" w:cs="Arial"/>
          <w:sz w:val="20"/>
          <w:szCs w:val="20"/>
        </w:rPr>
        <w:t xml:space="preserve">a </w:t>
      </w:r>
      <w:r>
        <w:rPr>
          <w:rFonts w:ascii="Arial" w:hAnsi="Arial" w:cs="Arial"/>
          <w:sz w:val="20"/>
          <w:szCs w:val="20"/>
        </w:rPr>
        <w:t>modified item</w:t>
      </w:r>
      <w:r w:rsidR="00225B96">
        <w:rPr>
          <w:rFonts w:ascii="Arial" w:hAnsi="Arial" w:cs="Arial"/>
          <w:sz w:val="20"/>
          <w:szCs w:val="20"/>
        </w:rPr>
        <w:t>.</w:t>
      </w:r>
      <w:r w:rsidR="00234750">
        <w:rPr>
          <w:rFonts w:ascii="Arial" w:hAnsi="Arial" w:cs="Arial"/>
          <w:sz w:val="20"/>
          <w:szCs w:val="20"/>
        </w:rPr>
        <w:t xml:space="preserve">  </w:t>
      </w:r>
      <w:r w:rsidR="00A8036A">
        <w:rPr>
          <w:rFonts w:ascii="Arial" w:hAnsi="Arial" w:cs="Arial"/>
          <w:sz w:val="20"/>
          <w:szCs w:val="20"/>
        </w:rPr>
        <w:t>A “modified item” is defined in section 4 as an item that has been modified, by or on behalf of the supplier of the item, after the item was manufactured or imported and, for the avoidance of doubt, is the item as modified.</w:t>
      </w:r>
    </w:p>
    <w:p w14:paraId="4B750605" w14:textId="4080FA90" w:rsidR="00A8036A" w:rsidRDefault="00FB51AC" w:rsidP="000432A3">
      <w:pPr>
        <w:spacing w:after="200" w:line="240" w:lineRule="atLeast"/>
        <w:jc w:val="both"/>
        <w:rPr>
          <w:rFonts w:ascii="Arial" w:hAnsi="Arial" w:cs="Arial"/>
          <w:sz w:val="20"/>
          <w:szCs w:val="20"/>
        </w:rPr>
      </w:pPr>
      <w:r w:rsidRPr="00730B09">
        <w:rPr>
          <w:rFonts w:ascii="Arial" w:hAnsi="Arial" w:cs="Arial"/>
          <w:sz w:val="20"/>
          <w:szCs w:val="20"/>
        </w:rPr>
        <w:t>Subsection (2)</w:t>
      </w:r>
      <w:r w:rsidR="002913A7" w:rsidRPr="00730B09">
        <w:rPr>
          <w:rFonts w:ascii="Arial" w:hAnsi="Arial" w:cs="Arial"/>
          <w:sz w:val="20"/>
          <w:szCs w:val="20"/>
        </w:rPr>
        <w:t xml:space="preserve"> </w:t>
      </w:r>
      <w:r w:rsidR="00A8036A">
        <w:rPr>
          <w:rFonts w:ascii="Arial" w:hAnsi="Arial" w:cs="Arial"/>
          <w:sz w:val="20"/>
          <w:szCs w:val="20"/>
        </w:rPr>
        <w:t xml:space="preserve">provides </w:t>
      </w:r>
      <w:r w:rsidR="00730B09">
        <w:rPr>
          <w:rFonts w:ascii="Arial" w:hAnsi="Arial" w:cs="Arial"/>
          <w:sz w:val="20"/>
          <w:szCs w:val="20"/>
        </w:rPr>
        <w:t>that</w:t>
      </w:r>
      <w:r w:rsidR="00A8036A">
        <w:rPr>
          <w:rFonts w:ascii="Arial" w:hAnsi="Arial" w:cs="Arial"/>
          <w:sz w:val="20"/>
          <w:szCs w:val="20"/>
        </w:rPr>
        <w:t xml:space="preserve"> a supplier of a modified item must</w:t>
      </w:r>
      <w:r w:rsidR="00234750">
        <w:rPr>
          <w:rFonts w:ascii="Arial" w:hAnsi="Arial" w:cs="Arial"/>
          <w:sz w:val="20"/>
          <w:szCs w:val="20"/>
        </w:rPr>
        <w:t>,</w:t>
      </w:r>
      <w:r w:rsidR="00730B09">
        <w:rPr>
          <w:rFonts w:ascii="Arial" w:hAnsi="Arial" w:cs="Arial"/>
          <w:sz w:val="20"/>
          <w:szCs w:val="20"/>
        </w:rPr>
        <w:t xml:space="preserve"> before supplying </w:t>
      </w:r>
      <w:r w:rsidR="00A8036A">
        <w:rPr>
          <w:rFonts w:ascii="Arial" w:hAnsi="Arial" w:cs="Arial"/>
          <w:sz w:val="20"/>
          <w:szCs w:val="20"/>
        </w:rPr>
        <w:t>that</w:t>
      </w:r>
      <w:r w:rsidR="00730B09">
        <w:rPr>
          <w:rFonts w:ascii="Arial" w:hAnsi="Arial" w:cs="Arial"/>
          <w:sz w:val="20"/>
          <w:szCs w:val="20"/>
        </w:rPr>
        <w:t xml:space="preserve"> item, prepare a </w:t>
      </w:r>
      <w:r w:rsidR="00A8036A">
        <w:rPr>
          <w:rFonts w:ascii="Arial" w:hAnsi="Arial" w:cs="Arial"/>
          <w:sz w:val="20"/>
          <w:szCs w:val="20"/>
        </w:rPr>
        <w:t xml:space="preserve">written </w:t>
      </w:r>
      <w:r w:rsidR="00730B09">
        <w:rPr>
          <w:rFonts w:ascii="Arial" w:hAnsi="Arial" w:cs="Arial"/>
          <w:sz w:val="20"/>
          <w:szCs w:val="20"/>
        </w:rPr>
        <w:t>statement that</w:t>
      </w:r>
      <w:r w:rsidR="00A8036A">
        <w:rPr>
          <w:rFonts w:ascii="Arial" w:hAnsi="Arial" w:cs="Arial"/>
          <w:sz w:val="20"/>
          <w:szCs w:val="20"/>
        </w:rPr>
        <w:t>:</w:t>
      </w:r>
    </w:p>
    <w:p w14:paraId="4FCE0608" w14:textId="77777777" w:rsidR="00A8036A" w:rsidRDefault="00730B09" w:rsidP="00E30900">
      <w:pPr>
        <w:pStyle w:val="ListParagraph"/>
        <w:numPr>
          <w:ilvl w:val="0"/>
          <w:numId w:val="23"/>
        </w:numPr>
        <w:spacing w:after="200" w:line="240" w:lineRule="atLeast"/>
        <w:jc w:val="both"/>
        <w:rPr>
          <w:rFonts w:ascii="Arial" w:hAnsi="Arial" w:cs="Arial"/>
          <w:sz w:val="20"/>
          <w:szCs w:val="20"/>
        </w:rPr>
      </w:pPr>
      <w:r>
        <w:rPr>
          <w:rFonts w:ascii="Arial" w:hAnsi="Arial" w:cs="Arial"/>
          <w:sz w:val="20"/>
          <w:szCs w:val="20"/>
        </w:rPr>
        <w:t>identifies the modified item and the modification</w:t>
      </w:r>
      <w:r w:rsidR="00A8036A">
        <w:rPr>
          <w:rFonts w:ascii="Arial" w:hAnsi="Arial" w:cs="Arial"/>
          <w:sz w:val="20"/>
          <w:szCs w:val="20"/>
        </w:rPr>
        <w:t xml:space="preserve"> which resulted in that item;</w:t>
      </w:r>
    </w:p>
    <w:p w14:paraId="0164A7E7" w14:textId="48C9D55A" w:rsidR="00A8036A" w:rsidRDefault="00730B09" w:rsidP="00E30900">
      <w:pPr>
        <w:pStyle w:val="ListParagraph"/>
        <w:numPr>
          <w:ilvl w:val="0"/>
          <w:numId w:val="23"/>
        </w:numPr>
        <w:spacing w:after="200" w:line="240" w:lineRule="atLeast"/>
        <w:jc w:val="both"/>
        <w:rPr>
          <w:rFonts w:ascii="Arial" w:hAnsi="Arial" w:cs="Arial"/>
          <w:sz w:val="20"/>
          <w:szCs w:val="20"/>
        </w:rPr>
      </w:pPr>
      <w:r>
        <w:rPr>
          <w:rFonts w:ascii="Arial" w:hAnsi="Arial" w:cs="Arial"/>
          <w:sz w:val="20"/>
          <w:szCs w:val="20"/>
        </w:rPr>
        <w:t>indicate</w:t>
      </w:r>
      <w:r w:rsidR="00C76239">
        <w:rPr>
          <w:rFonts w:ascii="Arial" w:hAnsi="Arial" w:cs="Arial"/>
          <w:sz w:val="20"/>
          <w:szCs w:val="20"/>
        </w:rPr>
        <w:t>s</w:t>
      </w:r>
      <w:r w:rsidR="00A8036A">
        <w:rPr>
          <w:rFonts w:ascii="Arial" w:hAnsi="Arial" w:cs="Arial"/>
          <w:sz w:val="20"/>
          <w:szCs w:val="20"/>
        </w:rPr>
        <w:t xml:space="preserve"> whether</w:t>
      </w:r>
      <w:r w:rsidRPr="00E30900">
        <w:rPr>
          <w:rFonts w:ascii="Arial" w:hAnsi="Arial" w:cs="Arial"/>
          <w:sz w:val="20"/>
          <w:szCs w:val="20"/>
        </w:rPr>
        <w:t xml:space="preserve"> </w:t>
      </w:r>
      <w:r>
        <w:rPr>
          <w:rFonts w:ascii="Arial" w:hAnsi="Arial" w:cs="Arial"/>
          <w:sz w:val="20"/>
          <w:szCs w:val="20"/>
        </w:rPr>
        <w:t xml:space="preserve">(and </w:t>
      </w:r>
      <w:r w:rsidR="00265C91">
        <w:rPr>
          <w:rFonts w:ascii="Arial" w:hAnsi="Arial" w:cs="Arial"/>
          <w:sz w:val="20"/>
          <w:szCs w:val="20"/>
        </w:rPr>
        <w:t xml:space="preserve">the reason </w:t>
      </w:r>
      <w:r>
        <w:rPr>
          <w:rFonts w:ascii="Arial" w:hAnsi="Arial" w:cs="Arial"/>
          <w:sz w:val="20"/>
          <w:szCs w:val="20"/>
        </w:rPr>
        <w:t>why) the modification is</w:t>
      </w:r>
      <w:r w:rsidR="00A8036A">
        <w:rPr>
          <w:rFonts w:ascii="Arial" w:hAnsi="Arial" w:cs="Arial"/>
          <w:sz w:val="20"/>
          <w:szCs w:val="20"/>
        </w:rPr>
        <w:t xml:space="preserve"> or is not</w:t>
      </w:r>
      <w:r w:rsidRPr="00E30900">
        <w:rPr>
          <w:rFonts w:ascii="Arial" w:hAnsi="Arial" w:cs="Arial"/>
          <w:sz w:val="20"/>
          <w:szCs w:val="20"/>
        </w:rPr>
        <w:t xml:space="preserve"> </w:t>
      </w:r>
      <w:r>
        <w:rPr>
          <w:rFonts w:ascii="Arial" w:hAnsi="Arial" w:cs="Arial"/>
          <w:sz w:val="20"/>
          <w:szCs w:val="20"/>
        </w:rPr>
        <w:t>material</w:t>
      </w:r>
      <w:r w:rsidR="00A8036A">
        <w:rPr>
          <w:rFonts w:ascii="Arial" w:hAnsi="Arial" w:cs="Arial"/>
          <w:sz w:val="20"/>
          <w:szCs w:val="20"/>
        </w:rPr>
        <w:t>; and</w:t>
      </w:r>
    </w:p>
    <w:p w14:paraId="167A75DF" w14:textId="77777777" w:rsidR="00A8036A" w:rsidRDefault="00A8036A" w:rsidP="00E30900">
      <w:pPr>
        <w:pStyle w:val="ListParagraph"/>
        <w:numPr>
          <w:ilvl w:val="0"/>
          <w:numId w:val="23"/>
        </w:numPr>
        <w:spacing w:after="200" w:line="240" w:lineRule="atLeast"/>
        <w:jc w:val="both"/>
        <w:rPr>
          <w:rFonts w:ascii="Arial" w:hAnsi="Arial" w:cs="Arial"/>
          <w:sz w:val="20"/>
          <w:szCs w:val="20"/>
        </w:rPr>
      </w:pPr>
      <w:r>
        <w:rPr>
          <w:rFonts w:ascii="Arial" w:hAnsi="Arial" w:cs="Arial"/>
          <w:sz w:val="20"/>
          <w:szCs w:val="20"/>
        </w:rPr>
        <w:t xml:space="preserve">(if the modification is not material) contains </w:t>
      </w:r>
      <w:r w:rsidRPr="00A742F6">
        <w:rPr>
          <w:rFonts w:ascii="Arial" w:hAnsi="Arial" w:cs="Arial"/>
          <w:sz w:val="20"/>
          <w:szCs w:val="20"/>
        </w:rPr>
        <w:t>the current model number of the modified item and the current model number of the item in its unmodified form (the unmodified item).</w:t>
      </w:r>
    </w:p>
    <w:p w14:paraId="53819B25" w14:textId="2510AE8D" w:rsidR="00225B96" w:rsidRDefault="00730B09" w:rsidP="00A8036A">
      <w:pPr>
        <w:spacing w:after="200" w:line="240" w:lineRule="atLeast"/>
        <w:jc w:val="both"/>
        <w:rPr>
          <w:rFonts w:ascii="Arial" w:hAnsi="Arial" w:cs="Arial"/>
          <w:sz w:val="20"/>
          <w:szCs w:val="20"/>
        </w:rPr>
      </w:pPr>
      <w:r>
        <w:rPr>
          <w:rFonts w:ascii="Arial" w:hAnsi="Arial" w:cs="Arial"/>
          <w:sz w:val="20"/>
          <w:szCs w:val="20"/>
        </w:rPr>
        <w:t xml:space="preserve"> The subsection </w:t>
      </w:r>
      <w:r w:rsidR="00A8036A">
        <w:rPr>
          <w:rFonts w:ascii="Arial" w:hAnsi="Arial" w:cs="Arial"/>
          <w:sz w:val="20"/>
          <w:szCs w:val="20"/>
        </w:rPr>
        <w:t xml:space="preserve">also </w:t>
      </w:r>
      <w:r w:rsidR="004C4333">
        <w:rPr>
          <w:rFonts w:ascii="Arial" w:hAnsi="Arial" w:cs="Arial"/>
          <w:sz w:val="20"/>
          <w:szCs w:val="20"/>
        </w:rPr>
        <w:t>sets out</w:t>
      </w:r>
      <w:r>
        <w:rPr>
          <w:rFonts w:ascii="Arial" w:hAnsi="Arial" w:cs="Arial"/>
          <w:sz w:val="20"/>
          <w:szCs w:val="20"/>
        </w:rPr>
        <w:t xml:space="preserve"> who may sign the statement.</w:t>
      </w:r>
    </w:p>
    <w:p w14:paraId="61AC2B94" w14:textId="115DCAA6" w:rsidR="00A8036A" w:rsidRPr="00E30900" w:rsidRDefault="00A8036A" w:rsidP="00A8036A">
      <w:pPr>
        <w:spacing w:after="200" w:line="240" w:lineRule="atLeast"/>
        <w:jc w:val="both"/>
        <w:rPr>
          <w:rFonts w:ascii="Arial" w:hAnsi="Arial" w:cs="Arial"/>
          <w:sz w:val="20"/>
          <w:szCs w:val="20"/>
        </w:rPr>
      </w:pPr>
      <w:r>
        <w:rPr>
          <w:rFonts w:ascii="Arial" w:hAnsi="Arial" w:cs="Arial"/>
          <w:sz w:val="20"/>
          <w:szCs w:val="20"/>
        </w:rPr>
        <w:t>There is a note at the end of subsection (2) that refers to Note 2 to section 6 (see above).</w:t>
      </w:r>
    </w:p>
    <w:p w14:paraId="0679199C" w14:textId="2D6DE32D" w:rsidR="00FB51AC" w:rsidRPr="00730B09" w:rsidRDefault="002913A7" w:rsidP="000432A3">
      <w:pPr>
        <w:spacing w:after="200" w:line="240" w:lineRule="atLeast"/>
        <w:jc w:val="both"/>
        <w:rPr>
          <w:rFonts w:ascii="Arial" w:hAnsi="Arial" w:cs="Arial"/>
          <w:sz w:val="20"/>
          <w:szCs w:val="20"/>
        </w:rPr>
      </w:pPr>
      <w:r w:rsidRPr="00730B09">
        <w:rPr>
          <w:rFonts w:ascii="Arial" w:hAnsi="Arial" w:cs="Arial"/>
          <w:sz w:val="20"/>
          <w:szCs w:val="20"/>
        </w:rPr>
        <w:t>Subsection (3)</w:t>
      </w:r>
      <w:r w:rsidR="00AA7559">
        <w:rPr>
          <w:rFonts w:ascii="Arial" w:hAnsi="Arial" w:cs="Arial"/>
          <w:sz w:val="20"/>
          <w:szCs w:val="20"/>
        </w:rPr>
        <w:t xml:space="preserve"> provides that if the modification is not material, and the </w:t>
      </w:r>
      <w:r w:rsidR="00A8036A">
        <w:rPr>
          <w:rFonts w:ascii="Arial" w:hAnsi="Arial" w:cs="Arial"/>
          <w:sz w:val="20"/>
          <w:szCs w:val="20"/>
        </w:rPr>
        <w:t>supplier</w:t>
      </w:r>
      <w:r w:rsidR="00AA7559">
        <w:rPr>
          <w:rFonts w:ascii="Arial" w:hAnsi="Arial" w:cs="Arial"/>
          <w:sz w:val="20"/>
          <w:szCs w:val="20"/>
        </w:rPr>
        <w:t xml:space="preserve"> has completed a </w:t>
      </w:r>
      <w:r w:rsidR="004C4333">
        <w:rPr>
          <w:rFonts w:ascii="Arial" w:hAnsi="Arial" w:cs="Arial"/>
          <w:sz w:val="20"/>
          <w:szCs w:val="20"/>
        </w:rPr>
        <w:t>DoC</w:t>
      </w:r>
      <w:r w:rsidR="00AA7559">
        <w:rPr>
          <w:rFonts w:ascii="Arial" w:hAnsi="Arial" w:cs="Arial"/>
          <w:sz w:val="20"/>
          <w:szCs w:val="20"/>
        </w:rPr>
        <w:t xml:space="preserve"> for the unmodified item </w:t>
      </w:r>
      <w:r w:rsidR="00A8036A">
        <w:rPr>
          <w:rFonts w:ascii="Arial" w:hAnsi="Arial" w:cs="Arial"/>
          <w:sz w:val="20"/>
          <w:szCs w:val="20"/>
        </w:rPr>
        <w:t xml:space="preserve">in accordance with subsection 20(1) </w:t>
      </w:r>
      <w:r w:rsidR="00AA7559">
        <w:rPr>
          <w:rFonts w:ascii="Arial" w:hAnsi="Arial" w:cs="Arial"/>
          <w:sz w:val="20"/>
          <w:szCs w:val="20"/>
        </w:rPr>
        <w:t xml:space="preserve">and </w:t>
      </w:r>
      <w:r w:rsidR="00A8036A">
        <w:rPr>
          <w:rFonts w:ascii="Arial" w:hAnsi="Arial" w:cs="Arial"/>
          <w:sz w:val="20"/>
          <w:szCs w:val="20"/>
        </w:rPr>
        <w:t>prepared a written</w:t>
      </w:r>
      <w:r w:rsidR="00AA7559">
        <w:rPr>
          <w:rFonts w:ascii="Arial" w:hAnsi="Arial" w:cs="Arial"/>
          <w:sz w:val="20"/>
          <w:szCs w:val="20"/>
        </w:rPr>
        <w:t xml:space="preserve"> statement </w:t>
      </w:r>
      <w:r w:rsidR="0012335A">
        <w:rPr>
          <w:rFonts w:ascii="Arial" w:hAnsi="Arial" w:cs="Arial"/>
          <w:sz w:val="20"/>
          <w:szCs w:val="20"/>
        </w:rPr>
        <w:t xml:space="preserve">for the modified item </w:t>
      </w:r>
      <w:r w:rsidR="00AA7559">
        <w:rPr>
          <w:rFonts w:ascii="Arial" w:hAnsi="Arial" w:cs="Arial"/>
          <w:sz w:val="20"/>
          <w:szCs w:val="20"/>
        </w:rPr>
        <w:t xml:space="preserve">in </w:t>
      </w:r>
      <w:r w:rsidR="0012335A">
        <w:rPr>
          <w:rFonts w:ascii="Arial" w:hAnsi="Arial" w:cs="Arial"/>
          <w:sz w:val="20"/>
          <w:szCs w:val="20"/>
        </w:rPr>
        <w:t>accordance with subs</w:t>
      </w:r>
      <w:r w:rsidR="00AA7559">
        <w:rPr>
          <w:rFonts w:ascii="Arial" w:hAnsi="Arial" w:cs="Arial"/>
          <w:sz w:val="20"/>
          <w:szCs w:val="20"/>
        </w:rPr>
        <w:t xml:space="preserve">ection </w:t>
      </w:r>
      <w:r w:rsidR="0012335A">
        <w:rPr>
          <w:rFonts w:ascii="Arial" w:hAnsi="Arial" w:cs="Arial"/>
          <w:sz w:val="20"/>
          <w:szCs w:val="20"/>
        </w:rPr>
        <w:t>(2)</w:t>
      </w:r>
      <w:r w:rsidR="00AA7559">
        <w:rPr>
          <w:rFonts w:ascii="Arial" w:hAnsi="Arial" w:cs="Arial"/>
          <w:sz w:val="20"/>
          <w:szCs w:val="20"/>
        </w:rPr>
        <w:t xml:space="preserve">, the </w:t>
      </w:r>
      <w:r w:rsidR="0012335A">
        <w:rPr>
          <w:rFonts w:ascii="Arial" w:hAnsi="Arial" w:cs="Arial"/>
          <w:sz w:val="20"/>
          <w:szCs w:val="20"/>
        </w:rPr>
        <w:t>supplier</w:t>
      </w:r>
      <w:r w:rsidR="00AA7559">
        <w:rPr>
          <w:rFonts w:ascii="Arial" w:hAnsi="Arial" w:cs="Arial"/>
          <w:sz w:val="20"/>
          <w:szCs w:val="20"/>
        </w:rPr>
        <w:t xml:space="preserve"> is taken to have completed </w:t>
      </w:r>
      <w:r w:rsidR="0012335A">
        <w:rPr>
          <w:rFonts w:ascii="Arial" w:hAnsi="Arial" w:cs="Arial"/>
          <w:sz w:val="20"/>
          <w:szCs w:val="20"/>
        </w:rPr>
        <w:t xml:space="preserve">a </w:t>
      </w:r>
      <w:r w:rsidR="004C4333">
        <w:rPr>
          <w:rFonts w:ascii="Arial" w:hAnsi="Arial" w:cs="Arial"/>
          <w:sz w:val="20"/>
          <w:szCs w:val="20"/>
        </w:rPr>
        <w:t>DoC</w:t>
      </w:r>
      <w:r w:rsidR="00AA7559">
        <w:rPr>
          <w:rFonts w:ascii="Arial" w:hAnsi="Arial" w:cs="Arial"/>
          <w:sz w:val="20"/>
          <w:szCs w:val="20"/>
        </w:rPr>
        <w:t xml:space="preserve"> for the modified item</w:t>
      </w:r>
      <w:r w:rsidR="0012335A">
        <w:rPr>
          <w:rFonts w:ascii="Arial" w:hAnsi="Arial" w:cs="Arial"/>
          <w:sz w:val="20"/>
          <w:szCs w:val="20"/>
        </w:rPr>
        <w:t xml:space="preserve"> (consisting of the first-mentioned DoC and the written statement)</w:t>
      </w:r>
      <w:r w:rsidR="00AA7559">
        <w:rPr>
          <w:rFonts w:ascii="Arial" w:hAnsi="Arial" w:cs="Arial"/>
          <w:sz w:val="20"/>
          <w:szCs w:val="20"/>
        </w:rPr>
        <w:t>.</w:t>
      </w:r>
      <w:r w:rsidR="005B7271">
        <w:rPr>
          <w:rFonts w:ascii="Arial" w:hAnsi="Arial" w:cs="Arial"/>
          <w:sz w:val="20"/>
          <w:szCs w:val="20"/>
        </w:rPr>
        <w:t xml:space="preserve"> </w:t>
      </w:r>
      <w:r w:rsidR="00265C91">
        <w:rPr>
          <w:rFonts w:ascii="Arial" w:hAnsi="Arial" w:cs="Arial"/>
          <w:sz w:val="20"/>
          <w:szCs w:val="20"/>
        </w:rPr>
        <w:t>In this instance, t</w:t>
      </w:r>
      <w:r w:rsidR="005B7271">
        <w:rPr>
          <w:rFonts w:ascii="Arial" w:hAnsi="Arial" w:cs="Arial"/>
          <w:sz w:val="20"/>
          <w:szCs w:val="20"/>
        </w:rPr>
        <w:t xml:space="preserve">he </w:t>
      </w:r>
      <w:r w:rsidR="0012335A">
        <w:rPr>
          <w:rFonts w:ascii="Arial" w:hAnsi="Arial" w:cs="Arial"/>
          <w:sz w:val="20"/>
          <w:szCs w:val="20"/>
        </w:rPr>
        <w:t>supplier</w:t>
      </w:r>
      <w:r w:rsidR="005B7271">
        <w:rPr>
          <w:rFonts w:ascii="Arial" w:hAnsi="Arial" w:cs="Arial"/>
          <w:sz w:val="20"/>
          <w:szCs w:val="20"/>
        </w:rPr>
        <w:t xml:space="preserve"> does not have to complete another </w:t>
      </w:r>
      <w:r w:rsidR="004C4333">
        <w:rPr>
          <w:rFonts w:ascii="Arial" w:hAnsi="Arial" w:cs="Arial"/>
          <w:sz w:val="20"/>
          <w:szCs w:val="20"/>
        </w:rPr>
        <w:t xml:space="preserve">DoC </w:t>
      </w:r>
      <w:r w:rsidR="0012335A">
        <w:rPr>
          <w:rFonts w:ascii="Arial" w:hAnsi="Arial" w:cs="Arial"/>
          <w:sz w:val="20"/>
          <w:szCs w:val="20"/>
        </w:rPr>
        <w:t>for</w:t>
      </w:r>
      <w:r w:rsidR="005B7271">
        <w:rPr>
          <w:rFonts w:ascii="Arial" w:hAnsi="Arial" w:cs="Arial"/>
          <w:sz w:val="20"/>
          <w:szCs w:val="20"/>
        </w:rPr>
        <w:t xml:space="preserve"> the modified item.</w:t>
      </w:r>
    </w:p>
    <w:p w14:paraId="63815B97" w14:textId="6DAC6552" w:rsidR="002913A7" w:rsidRPr="00225B96" w:rsidRDefault="002913A7" w:rsidP="000432A3">
      <w:pPr>
        <w:spacing w:after="200" w:line="240" w:lineRule="atLeast"/>
        <w:jc w:val="both"/>
        <w:rPr>
          <w:rFonts w:ascii="Arial" w:hAnsi="Arial" w:cs="Arial"/>
          <w:sz w:val="20"/>
          <w:szCs w:val="20"/>
        </w:rPr>
      </w:pPr>
      <w:r w:rsidRPr="00730B09">
        <w:rPr>
          <w:rFonts w:ascii="Arial" w:hAnsi="Arial" w:cs="Arial"/>
          <w:sz w:val="20"/>
          <w:szCs w:val="20"/>
        </w:rPr>
        <w:t>Subsection (4)</w:t>
      </w:r>
      <w:r w:rsidR="00AA7559">
        <w:rPr>
          <w:rFonts w:ascii="Arial" w:hAnsi="Arial" w:cs="Arial"/>
          <w:sz w:val="20"/>
          <w:szCs w:val="20"/>
        </w:rPr>
        <w:t xml:space="preserve"> </w:t>
      </w:r>
      <w:r w:rsidR="00234750">
        <w:rPr>
          <w:rFonts w:ascii="Arial" w:hAnsi="Arial" w:cs="Arial"/>
          <w:sz w:val="20"/>
          <w:szCs w:val="20"/>
        </w:rPr>
        <w:t>defines</w:t>
      </w:r>
      <w:r w:rsidR="00AA7559">
        <w:rPr>
          <w:rFonts w:ascii="Arial" w:hAnsi="Arial" w:cs="Arial"/>
          <w:sz w:val="20"/>
          <w:szCs w:val="20"/>
        </w:rPr>
        <w:t xml:space="preserve"> when a modification is </w:t>
      </w:r>
      <w:r w:rsidR="004C4333">
        <w:rPr>
          <w:rFonts w:ascii="Arial" w:hAnsi="Arial" w:cs="Arial"/>
          <w:sz w:val="20"/>
          <w:szCs w:val="20"/>
        </w:rPr>
        <w:t>“</w:t>
      </w:r>
      <w:r w:rsidR="00AA7559">
        <w:rPr>
          <w:rFonts w:ascii="Arial" w:hAnsi="Arial" w:cs="Arial"/>
          <w:sz w:val="20"/>
          <w:szCs w:val="20"/>
        </w:rPr>
        <w:t>material</w:t>
      </w:r>
      <w:r w:rsidR="004C4333">
        <w:rPr>
          <w:rFonts w:ascii="Arial" w:hAnsi="Arial" w:cs="Arial"/>
          <w:sz w:val="20"/>
          <w:szCs w:val="20"/>
        </w:rPr>
        <w:t>”</w:t>
      </w:r>
      <w:r w:rsidR="00AA7559">
        <w:rPr>
          <w:rFonts w:ascii="Arial" w:hAnsi="Arial" w:cs="Arial"/>
          <w:sz w:val="20"/>
          <w:szCs w:val="20"/>
        </w:rPr>
        <w:t xml:space="preserve">. A modification is material if the modification could </w:t>
      </w:r>
      <w:r w:rsidR="00234750">
        <w:rPr>
          <w:rFonts w:ascii="Arial" w:hAnsi="Arial" w:cs="Arial"/>
          <w:sz w:val="20"/>
          <w:szCs w:val="20"/>
        </w:rPr>
        <w:t xml:space="preserve">reasonably </w:t>
      </w:r>
      <w:r w:rsidR="00AA7559">
        <w:rPr>
          <w:rFonts w:ascii="Arial" w:hAnsi="Arial" w:cs="Arial"/>
          <w:sz w:val="20"/>
          <w:szCs w:val="20"/>
        </w:rPr>
        <w:t>be expected to affect whether the modified item complies with any applicable technical standard</w:t>
      </w:r>
      <w:r w:rsidR="0012335A">
        <w:rPr>
          <w:rFonts w:ascii="Arial" w:hAnsi="Arial" w:cs="Arial"/>
          <w:sz w:val="20"/>
          <w:szCs w:val="20"/>
        </w:rPr>
        <w:t xml:space="preserve"> in relation to the modified item</w:t>
      </w:r>
      <w:r w:rsidR="00AA7559">
        <w:rPr>
          <w:rFonts w:ascii="Arial" w:hAnsi="Arial" w:cs="Arial"/>
          <w:sz w:val="20"/>
          <w:szCs w:val="20"/>
        </w:rPr>
        <w:t>.</w:t>
      </w:r>
    </w:p>
    <w:p w14:paraId="79E61698" w14:textId="77777777" w:rsidR="000432A3" w:rsidRDefault="000432A3" w:rsidP="00394BEF">
      <w:pPr>
        <w:spacing w:before="240" w:after="120" w:line="240" w:lineRule="atLeast"/>
        <w:jc w:val="both"/>
        <w:rPr>
          <w:rFonts w:ascii="Arial" w:hAnsi="Arial" w:cs="Arial"/>
          <w:b/>
          <w:sz w:val="22"/>
          <w:szCs w:val="22"/>
        </w:rPr>
      </w:pPr>
      <w:r w:rsidRPr="000A0A76">
        <w:rPr>
          <w:rFonts w:ascii="Arial" w:hAnsi="Arial" w:cs="Arial"/>
          <w:b/>
          <w:sz w:val="22"/>
          <w:szCs w:val="22"/>
        </w:rPr>
        <w:lastRenderedPageBreak/>
        <w:t xml:space="preserve">Division 5 – Compliance records </w:t>
      </w:r>
    </w:p>
    <w:p w14:paraId="0AFDBE3B" w14:textId="608CD839" w:rsidR="000432A3" w:rsidRDefault="000432A3" w:rsidP="00794E81">
      <w:pPr>
        <w:spacing w:before="240" w:after="80" w:line="240" w:lineRule="atLeast"/>
        <w:jc w:val="both"/>
        <w:rPr>
          <w:rFonts w:ascii="Arial" w:hAnsi="Arial" w:cs="Arial"/>
          <w:b/>
          <w:sz w:val="20"/>
          <w:szCs w:val="20"/>
        </w:rPr>
      </w:pPr>
      <w:r>
        <w:rPr>
          <w:rFonts w:ascii="Arial" w:hAnsi="Arial" w:cs="Arial"/>
          <w:b/>
          <w:sz w:val="20"/>
          <w:szCs w:val="20"/>
        </w:rPr>
        <w:t xml:space="preserve">Section </w:t>
      </w:r>
      <w:r w:rsidR="004C4333">
        <w:rPr>
          <w:rFonts w:ascii="Arial" w:hAnsi="Arial" w:cs="Arial"/>
          <w:b/>
          <w:sz w:val="20"/>
          <w:szCs w:val="20"/>
        </w:rPr>
        <w:t>22</w:t>
      </w:r>
      <w:r>
        <w:rPr>
          <w:rFonts w:ascii="Arial" w:hAnsi="Arial" w:cs="Arial"/>
          <w:b/>
          <w:sz w:val="20"/>
          <w:szCs w:val="20"/>
        </w:rPr>
        <w:t xml:space="preserve"> </w:t>
      </w:r>
      <w:r>
        <w:rPr>
          <w:rFonts w:ascii="Arial" w:hAnsi="Arial" w:cs="Arial"/>
          <w:b/>
          <w:sz w:val="20"/>
          <w:szCs w:val="20"/>
        </w:rPr>
        <w:tab/>
        <w:t>Compliance records – general requirement</w:t>
      </w:r>
    </w:p>
    <w:p w14:paraId="63D6F005" w14:textId="718121F2" w:rsidR="0012335A" w:rsidRDefault="0012335A" w:rsidP="000432A3">
      <w:pPr>
        <w:spacing w:after="200" w:line="240" w:lineRule="atLeast"/>
        <w:jc w:val="both"/>
        <w:rPr>
          <w:rFonts w:ascii="Arial" w:hAnsi="Arial" w:cs="Arial"/>
          <w:sz w:val="20"/>
          <w:szCs w:val="20"/>
        </w:rPr>
      </w:pPr>
      <w:r>
        <w:rPr>
          <w:rFonts w:ascii="Arial" w:hAnsi="Arial" w:cs="Arial"/>
          <w:sz w:val="20"/>
          <w:szCs w:val="20"/>
        </w:rPr>
        <w:t>Subsection (1)</w:t>
      </w:r>
      <w:r w:rsidR="002913A7">
        <w:rPr>
          <w:rFonts w:ascii="Arial" w:hAnsi="Arial" w:cs="Arial"/>
          <w:sz w:val="20"/>
          <w:szCs w:val="20"/>
        </w:rPr>
        <w:t xml:space="preserve"> </w:t>
      </w:r>
      <w:r>
        <w:rPr>
          <w:rFonts w:ascii="Arial" w:hAnsi="Arial" w:cs="Arial"/>
          <w:sz w:val="20"/>
          <w:szCs w:val="20"/>
        </w:rPr>
        <w:t>defines</w:t>
      </w:r>
      <w:r w:rsidR="0016415D">
        <w:rPr>
          <w:rFonts w:ascii="Arial" w:hAnsi="Arial" w:cs="Arial"/>
          <w:sz w:val="20"/>
          <w:szCs w:val="20"/>
        </w:rPr>
        <w:t xml:space="preserve"> </w:t>
      </w:r>
      <w:r w:rsidR="00375ED2">
        <w:rPr>
          <w:rFonts w:ascii="Arial" w:hAnsi="Arial" w:cs="Arial"/>
          <w:sz w:val="20"/>
          <w:szCs w:val="20"/>
        </w:rPr>
        <w:t>what are</w:t>
      </w:r>
      <w:r w:rsidR="0016415D">
        <w:rPr>
          <w:rFonts w:ascii="Arial" w:hAnsi="Arial" w:cs="Arial"/>
          <w:sz w:val="20"/>
          <w:szCs w:val="20"/>
        </w:rPr>
        <w:t xml:space="preserve"> </w:t>
      </w:r>
      <w:r w:rsidR="00375ED2">
        <w:rPr>
          <w:rFonts w:ascii="Arial" w:hAnsi="Arial" w:cs="Arial"/>
          <w:sz w:val="20"/>
          <w:szCs w:val="20"/>
        </w:rPr>
        <w:t>“</w:t>
      </w:r>
      <w:r w:rsidR="002913A7">
        <w:rPr>
          <w:rFonts w:ascii="Arial" w:hAnsi="Arial" w:cs="Arial"/>
          <w:sz w:val="20"/>
          <w:szCs w:val="20"/>
        </w:rPr>
        <w:t>compliance records</w:t>
      </w:r>
      <w:r w:rsidR="00375ED2">
        <w:rPr>
          <w:rFonts w:ascii="Arial" w:hAnsi="Arial" w:cs="Arial"/>
          <w:sz w:val="20"/>
          <w:szCs w:val="20"/>
        </w:rPr>
        <w:t xml:space="preserve">” </w:t>
      </w:r>
      <w:r>
        <w:rPr>
          <w:rFonts w:ascii="Arial" w:hAnsi="Arial" w:cs="Arial"/>
          <w:sz w:val="20"/>
          <w:szCs w:val="20"/>
        </w:rPr>
        <w:t xml:space="preserve">in relation to </w:t>
      </w:r>
      <w:r w:rsidR="00375ED2">
        <w:rPr>
          <w:rFonts w:ascii="Arial" w:hAnsi="Arial" w:cs="Arial"/>
          <w:sz w:val="20"/>
          <w:szCs w:val="20"/>
        </w:rPr>
        <w:t>an item</w:t>
      </w:r>
      <w:r w:rsidR="0016415D">
        <w:rPr>
          <w:rFonts w:ascii="Arial" w:hAnsi="Arial" w:cs="Arial"/>
          <w:sz w:val="20"/>
          <w:szCs w:val="20"/>
        </w:rPr>
        <w:t>.</w:t>
      </w:r>
      <w:r w:rsidR="00375ED2">
        <w:rPr>
          <w:rFonts w:ascii="Arial" w:hAnsi="Arial" w:cs="Arial"/>
          <w:sz w:val="20"/>
          <w:szCs w:val="20"/>
        </w:rPr>
        <w:t xml:space="preserve">  An item’s compliance records include</w:t>
      </w:r>
      <w:r>
        <w:rPr>
          <w:rFonts w:ascii="Arial" w:hAnsi="Arial" w:cs="Arial"/>
          <w:sz w:val="20"/>
          <w:szCs w:val="20"/>
        </w:rPr>
        <w:t>:</w:t>
      </w:r>
    </w:p>
    <w:p w14:paraId="1812AD3C" w14:textId="020AACD3" w:rsidR="0012335A" w:rsidRDefault="0012335A" w:rsidP="00C92CE7">
      <w:pPr>
        <w:pStyle w:val="ListParagraph"/>
        <w:numPr>
          <w:ilvl w:val="0"/>
          <w:numId w:val="24"/>
        </w:numPr>
        <w:spacing w:after="200" w:line="240" w:lineRule="atLeast"/>
        <w:jc w:val="both"/>
        <w:rPr>
          <w:rFonts w:ascii="Arial" w:hAnsi="Arial" w:cs="Arial"/>
          <w:sz w:val="20"/>
          <w:szCs w:val="20"/>
        </w:rPr>
      </w:pPr>
      <w:r>
        <w:rPr>
          <w:rFonts w:ascii="Arial" w:hAnsi="Arial" w:cs="Arial"/>
          <w:sz w:val="20"/>
          <w:szCs w:val="20"/>
        </w:rPr>
        <w:t xml:space="preserve">certain documents required by the 2015 Notice (such as </w:t>
      </w:r>
      <w:r w:rsidR="00375ED2">
        <w:rPr>
          <w:rFonts w:ascii="Arial" w:hAnsi="Arial" w:cs="Arial"/>
          <w:sz w:val="20"/>
          <w:szCs w:val="20"/>
        </w:rPr>
        <w:t>a DoC, particular written statements, a description of the item</w:t>
      </w:r>
      <w:r>
        <w:rPr>
          <w:rFonts w:ascii="Arial" w:hAnsi="Arial" w:cs="Arial"/>
          <w:sz w:val="20"/>
          <w:szCs w:val="20"/>
        </w:rPr>
        <w:t xml:space="preserve"> and a copy of any documentation that must accompany the item when supplied)</w:t>
      </w:r>
      <w:r w:rsidR="00C76239">
        <w:rPr>
          <w:rFonts w:ascii="Arial" w:hAnsi="Arial" w:cs="Arial"/>
          <w:sz w:val="20"/>
          <w:szCs w:val="20"/>
        </w:rPr>
        <w:t>;</w:t>
      </w:r>
      <w:r>
        <w:rPr>
          <w:rFonts w:ascii="Arial" w:hAnsi="Arial" w:cs="Arial"/>
          <w:sz w:val="20"/>
          <w:szCs w:val="20"/>
        </w:rPr>
        <w:t xml:space="preserve"> and</w:t>
      </w:r>
      <w:r w:rsidR="00375ED2" w:rsidRPr="00C92CE7">
        <w:rPr>
          <w:rFonts w:ascii="Arial" w:hAnsi="Arial" w:cs="Arial"/>
          <w:sz w:val="20"/>
          <w:szCs w:val="20"/>
        </w:rPr>
        <w:t xml:space="preserve"> </w:t>
      </w:r>
    </w:p>
    <w:p w14:paraId="6CD21F63" w14:textId="1EA51B87" w:rsidR="002913A7" w:rsidRDefault="00375ED2" w:rsidP="00C92CE7">
      <w:pPr>
        <w:pStyle w:val="ListParagraph"/>
        <w:numPr>
          <w:ilvl w:val="0"/>
          <w:numId w:val="24"/>
        </w:numPr>
        <w:spacing w:after="200" w:line="240" w:lineRule="atLeast"/>
        <w:jc w:val="both"/>
        <w:rPr>
          <w:rFonts w:ascii="Arial" w:hAnsi="Arial" w:cs="Arial"/>
          <w:sz w:val="20"/>
          <w:szCs w:val="20"/>
        </w:rPr>
      </w:pPr>
      <w:r>
        <w:rPr>
          <w:rFonts w:ascii="Arial" w:hAnsi="Arial" w:cs="Arial"/>
          <w:sz w:val="20"/>
          <w:szCs w:val="20"/>
        </w:rPr>
        <w:t xml:space="preserve">any agency agreement that relates to </w:t>
      </w:r>
      <w:r w:rsidR="0012335A">
        <w:rPr>
          <w:rFonts w:ascii="Arial" w:hAnsi="Arial" w:cs="Arial"/>
          <w:sz w:val="20"/>
          <w:szCs w:val="20"/>
        </w:rPr>
        <w:t xml:space="preserve">the keeping of such records in relation to </w:t>
      </w:r>
      <w:r w:rsidRPr="00C92CE7">
        <w:rPr>
          <w:rFonts w:ascii="Arial" w:hAnsi="Arial" w:cs="Arial"/>
          <w:sz w:val="20"/>
          <w:szCs w:val="20"/>
        </w:rPr>
        <w:t xml:space="preserve">the </w:t>
      </w:r>
      <w:r>
        <w:rPr>
          <w:rFonts w:ascii="Arial" w:hAnsi="Arial" w:cs="Arial"/>
          <w:sz w:val="20"/>
          <w:szCs w:val="20"/>
        </w:rPr>
        <w:t xml:space="preserve">item (where </w:t>
      </w:r>
      <w:r w:rsidR="0012335A">
        <w:rPr>
          <w:rFonts w:ascii="Arial" w:hAnsi="Arial" w:cs="Arial"/>
          <w:sz w:val="20"/>
          <w:szCs w:val="20"/>
        </w:rPr>
        <w:t>the</w:t>
      </w:r>
      <w:r w:rsidR="0012335A" w:rsidRPr="00C92CE7">
        <w:rPr>
          <w:rFonts w:ascii="Arial" w:hAnsi="Arial" w:cs="Arial"/>
          <w:sz w:val="20"/>
          <w:szCs w:val="20"/>
        </w:rPr>
        <w:t xml:space="preserve"> </w:t>
      </w:r>
      <w:r>
        <w:rPr>
          <w:rFonts w:ascii="Arial" w:hAnsi="Arial" w:cs="Arial"/>
          <w:sz w:val="20"/>
          <w:szCs w:val="20"/>
        </w:rPr>
        <w:t xml:space="preserve">agent acts on behalf of </w:t>
      </w:r>
      <w:r w:rsidR="0012335A">
        <w:rPr>
          <w:rFonts w:ascii="Arial" w:hAnsi="Arial" w:cs="Arial"/>
          <w:sz w:val="20"/>
          <w:szCs w:val="20"/>
        </w:rPr>
        <w:t>the</w:t>
      </w:r>
      <w:r w:rsidR="0012335A" w:rsidRPr="00C92CE7">
        <w:rPr>
          <w:rFonts w:ascii="Arial" w:hAnsi="Arial" w:cs="Arial"/>
          <w:sz w:val="20"/>
          <w:szCs w:val="20"/>
        </w:rPr>
        <w:t xml:space="preserve"> </w:t>
      </w:r>
      <w:r>
        <w:rPr>
          <w:rFonts w:ascii="Arial" w:hAnsi="Arial" w:cs="Arial"/>
          <w:sz w:val="20"/>
          <w:szCs w:val="20"/>
        </w:rPr>
        <w:t>supplier).</w:t>
      </w:r>
    </w:p>
    <w:p w14:paraId="2CF3C340" w14:textId="760A45CF" w:rsidR="00375ED2" w:rsidRDefault="00375ED2" w:rsidP="000432A3">
      <w:pPr>
        <w:spacing w:after="200" w:line="240" w:lineRule="atLeast"/>
        <w:jc w:val="both"/>
        <w:rPr>
          <w:rFonts w:ascii="Arial" w:hAnsi="Arial" w:cs="Arial"/>
          <w:sz w:val="20"/>
          <w:szCs w:val="20"/>
        </w:rPr>
      </w:pPr>
      <w:r>
        <w:rPr>
          <w:rFonts w:ascii="Arial" w:hAnsi="Arial" w:cs="Arial"/>
          <w:sz w:val="20"/>
          <w:szCs w:val="20"/>
        </w:rPr>
        <w:t>If a</w:t>
      </w:r>
      <w:r w:rsidR="009460E9">
        <w:rPr>
          <w:rFonts w:ascii="Arial" w:hAnsi="Arial" w:cs="Arial"/>
          <w:sz w:val="20"/>
          <w:szCs w:val="20"/>
        </w:rPr>
        <w:t xml:space="preserve">n item is </w:t>
      </w:r>
      <w:r w:rsidR="0012335A">
        <w:rPr>
          <w:rFonts w:ascii="Arial" w:hAnsi="Arial" w:cs="Arial"/>
          <w:sz w:val="20"/>
          <w:szCs w:val="20"/>
        </w:rPr>
        <w:t>a particular cabling item</w:t>
      </w:r>
      <w:r w:rsidR="009460E9">
        <w:rPr>
          <w:rFonts w:ascii="Arial" w:hAnsi="Arial" w:cs="Arial"/>
          <w:sz w:val="20"/>
          <w:szCs w:val="20"/>
        </w:rPr>
        <w:t xml:space="preserve">, and </w:t>
      </w:r>
      <w:r w:rsidR="0012335A">
        <w:rPr>
          <w:rFonts w:ascii="Arial" w:hAnsi="Arial" w:cs="Arial"/>
          <w:sz w:val="20"/>
          <w:szCs w:val="20"/>
        </w:rPr>
        <w:t>an entry for the item is listed</w:t>
      </w:r>
      <w:r w:rsidR="009460E9">
        <w:rPr>
          <w:rFonts w:ascii="Arial" w:hAnsi="Arial" w:cs="Arial"/>
          <w:sz w:val="20"/>
          <w:szCs w:val="20"/>
        </w:rPr>
        <w:t xml:space="preserve"> on a register maintained by the supplier under </w:t>
      </w:r>
      <w:r w:rsidR="0012335A">
        <w:rPr>
          <w:rFonts w:ascii="Arial" w:hAnsi="Arial" w:cs="Arial"/>
          <w:sz w:val="20"/>
          <w:szCs w:val="20"/>
        </w:rPr>
        <w:t xml:space="preserve">subclause 10(1) of </w:t>
      </w:r>
      <w:r w:rsidR="009460E9">
        <w:rPr>
          <w:rFonts w:ascii="Arial" w:hAnsi="Arial" w:cs="Arial"/>
          <w:sz w:val="20"/>
          <w:szCs w:val="20"/>
        </w:rPr>
        <w:t>Schedule 4, the entry on the register is also a compliance record.</w:t>
      </w:r>
    </w:p>
    <w:p w14:paraId="2D5FF629" w14:textId="77777777" w:rsidR="0012335A" w:rsidRPr="002913A7" w:rsidRDefault="0012335A" w:rsidP="0012335A">
      <w:pPr>
        <w:spacing w:after="200" w:line="240" w:lineRule="atLeast"/>
        <w:rPr>
          <w:rFonts w:ascii="Arial" w:hAnsi="Arial" w:cs="Arial"/>
          <w:sz w:val="20"/>
          <w:szCs w:val="20"/>
        </w:rPr>
      </w:pPr>
      <w:r>
        <w:rPr>
          <w:rFonts w:ascii="Arial" w:hAnsi="Arial" w:cs="Arial"/>
          <w:sz w:val="20"/>
          <w:szCs w:val="20"/>
        </w:rPr>
        <w:t>Subsection (2) provides that, for the purposes of the 2015 Notice, a compliance record may form part of another compliance record.  If, for example, a DoC for an item contains a written statement prepared under subsection 11(4), the supplier would only need to keep the DoC to comply with the obligation to keep both of the compliance records.</w:t>
      </w:r>
    </w:p>
    <w:p w14:paraId="7C73DF0F" w14:textId="3846854A" w:rsidR="000432A3" w:rsidRDefault="000432A3" w:rsidP="00794E81">
      <w:pPr>
        <w:spacing w:before="240" w:after="80" w:line="240" w:lineRule="atLeast"/>
        <w:jc w:val="both"/>
        <w:rPr>
          <w:rFonts w:ascii="Arial" w:hAnsi="Arial" w:cs="Arial"/>
          <w:b/>
          <w:sz w:val="20"/>
          <w:szCs w:val="20"/>
        </w:rPr>
      </w:pPr>
      <w:r>
        <w:rPr>
          <w:rFonts w:ascii="Arial" w:hAnsi="Arial" w:cs="Arial"/>
          <w:b/>
          <w:sz w:val="20"/>
          <w:szCs w:val="20"/>
        </w:rPr>
        <w:t>Section 2</w:t>
      </w:r>
      <w:r w:rsidR="000D07EA">
        <w:rPr>
          <w:rFonts w:ascii="Arial" w:hAnsi="Arial" w:cs="Arial"/>
          <w:b/>
          <w:sz w:val="20"/>
          <w:szCs w:val="20"/>
        </w:rPr>
        <w:t>3</w:t>
      </w:r>
      <w:r>
        <w:rPr>
          <w:rFonts w:ascii="Arial" w:hAnsi="Arial" w:cs="Arial"/>
          <w:b/>
          <w:sz w:val="20"/>
          <w:szCs w:val="20"/>
        </w:rPr>
        <w:t xml:space="preserve"> </w:t>
      </w:r>
      <w:r>
        <w:rPr>
          <w:rFonts w:ascii="Arial" w:hAnsi="Arial" w:cs="Arial"/>
          <w:b/>
          <w:sz w:val="20"/>
          <w:szCs w:val="20"/>
        </w:rPr>
        <w:tab/>
        <w:t xml:space="preserve">Compliance records – specific requirements </w:t>
      </w:r>
    </w:p>
    <w:p w14:paraId="66355273" w14:textId="735D115B" w:rsidR="002D508E" w:rsidRDefault="0002065F" w:rsidP="00794E81">
      <w:pPr>
        <w:spacing w:after="200"/>
        <w:ind w:right="237"/>
        <w:rPr>
          <w:rFonts w:ascii="Arial" w:hAnsi="Arial" w:cs="Arial"/>
          <w:sz w:val="20"/>
          <w:szCs w:val="20"/>
        </w:rPr>
      </w:pPr>
      <w:r w:rsidRPr="00CB1A92">
        <w:rPr>
          <w:rFonts w:ascii="Arial" w:hAnsi="Arial" w:cs="Arial"/>
          <w:sz w:val="20"/>
          <w:szCs w:val="20"/>
        </w:rPr>
        <w:t>Subsection (</w:t>
      </w:r>
      <w:r w:rsidR="002D508E">
        <w:rPr>
          <w:rFonts w:ascii="Arial" w:hAnsi="Arial" w:cs="Arial"/>
          <w:sz w:val="20"/>
          <w:szCs w:val="20"/>
        </w:rPr>
        <w:t xml:space="preserve">1) </w:t>
      </w:r>
      <w:r w:rsidR="0012335A">
        <w:rPr>
          <w:rFonts w:ascii="Arial" w:hAnsi="Arial" w:cs="Arial"/>
          <w:sz w:val="20"/>
          <w:szCs w:val="20"/>
        </w:rPr>
        <w:t xml:space="preserve">provides </w:t>
      </w:r>
      <w:r w:rsidR="002D508E">
        <w:rPr>
          <w:rFonts w:ascii="Arial" w:hAnsi="Arial" w:cs="Arial"/>
          <w:sz w:val="20"/>
          <w:szCs w:val="20"/>
        </w:rPr>
        <w:t>that compliance records</w:t>
      </w:r>
      <w:r w:rsidR="0012335A">
        <w:rPr>
          <w:rFonts w:ascii="Arial" w:hAnsi="Arial" w:cs="Arial"/>
          <w:sz w:val="20"/>
          <w:szCs w:val="20"/>
        </w:rPr>
        <w:t xml:space="preserve"> in relation to an item</w:t>
      </w:r>
      <w:r w:rsidR="002D508E">
        <w:rPr>
          <w:rFonts w:ascii="Arial" w:hAnsi="Arial" w:cs="Arial"/>
          <w:sz w:val="20"/>
          <w:szCs w:val="20"/>
        </w:rPr>
        <w:t xml:space="preserve"> must be kept</w:t>
      </w:r>
      <w:r w:rsidR="000D07EA">
        <w:rPr>
          <w:rFonts w:ascii="Arial" w:hAnsi="Arial" w:cs="Arial"/>
          <w:sz w:val="20"/>
          <w:szCs w:val="20"/>
        </w:rPr>
        <w:t xml:space="preserve"> by the supplier of </w:t>
      </w:r>
      <w:r w:rsidR="0012335A">
        <w:rPr>
          <w:rFonts w:ascii="Arial" w:hAnsi="Arial" w:cs="Arial"/>
          <w:sz w:val="20"/>
          <w:szCs w:val="20"/>
        </w:rPr>
        <w:t xml:space="preserve">the </w:t>
      </w:r>
      <w:r w:rsidR="000D07EA">
        <w:rPr>
          <w:rFonts w:ascii="Arial" w:hAnsi="Arial" w:cs="Arial"/>
          <w:sz w:val="20"/>
          <w:szCs w:val="20"/>
        </w:rPr>
        <w:t>item</w:t>
      </w:r>
      <w:r w:rsidR="0012335A">
        <w:rPr>
          <w:rFonts w:ascii="Arial" w:hAnsi="Arial" w:cs="Arial"/>
          <w:sz w:val="20"/>
          <w:szCs w:val="20"/>
        </w:rPr>
        <w:t xml:space="preserve"> in accordance with Division 5</w:t>
      </w:r>
      <w:r w:rsidR="002D508E">
        <w:rPr>
          <w:rFonts w:ascii="Arial" w:hAnsi="Arial" w:cs="Arial"/>
          <w:sz w:val="20"/>
          <w:szCs w:val="20"/>
        </w:rPr>
        <w:t>.</w:t>
      </w:r>
    </w:p>
    <w:p w14:paraId="1AF3A0D6" w14:textId="546FD129" w:rsidR="00A21E1D" w:rsidRDefault="002D508E" w:rsidP="00794E81">
      <w:pPr>
        <w:spacing w:after="200"/>
        <w:ind w:right="237"/>
        <w:rPr>
          <w:rFonts w:ascii="Arial" w:hAnsi="Arial" w:cs="Arial"/>
          <w:sz w:val="20"/>
          <w:szCs w:val="20"/>
        </w:rPr>
      </w:pPr>
      <w:r>
        <w:rPr>
          <w:rFonts w:ascii="Arial" w:hAnsi="Arial" w:cs="Arial"/>
          <w:sz w:val="20"/>
          <w:szCs w:val="20"/>
        </w:rPr>
        <w:t>Subsection (</w:t>
      </w:r>
      <w:r w:rsidR="0002065F" w:rsidRPr="00CB1A92">
        <w:rPr>
          <w:rFonts w:ascii="Arial" w:hAnsi="Arial" w:cs="Arial"/>
          <w:sz w:val="20"/>
          <w:szCs w:val="20"/>
        </w:rPr>
        <w:t xml:space="preserve">2) </w:t>
      </w:r>
      <w:r w:rsidR="0012335A">
        <w:rPr>
          <w:rFonts w:ascii="Arial" w:hAnsi="Arial" w:cs="Arial"/>
          <w:sz w:val="20"/>
          <w:szCs w:val="20"/>
        </w:rPr>
        <w:t xml:space="preserve">provides </w:t>
      </w:r>
      <w:r w:rsidR="0016415D">
        <w:rPr>
          <w:rFonts w:ascii="Arial" w:hAnsi="Arial" w:cs="Arial"/>
          <w:sz w:val="20"/>
          <w:szCs w:val="20"/>
        </w:rPr>
        <w:t>that</w:t>
      </w:r>
      <w:r w:rsidR="0002065F" w:rsidRPr="00CB1A92" w:rsidDel="00A21E1D">
        <w:rPr>
          <w:rFonts w:ascii="Arial" w:hAnsi="Arial" w:cs="Arial"/>
          <w:sz w:val="20"/>
          <w:szCs w:val="20"/>
        </w:rPr>
        <w:t xml:space="preserve"> </w:t>
      </w:r>
      <w:r w:rsidR="00A21E1D">
        <w:rPr>
          <w:rFonts w:ascii="Arial" w:hAnsi="Arial" w:cs="Arial"/>
          <w:sz w:val="20"/>
          <w:szCs w:val="20"/>
        </w:rPr>
        <w:t xml:space="preserve">a </w:t>
      </w:r>
      <w:r w:rsidR="0002065F" w:rsidRPr="00CB1A92">
        <w:rPr>
          <w:rFonts w:ascii="Arial" w:hAnsi="Arial" w:cs="Arial"/>
          <w:sz w:val="20"/>
          <w:szCs w:val="20"/>
        </w:rPr>
        <w:t>compliance record must be in English</w:t>
      </w:r>
      <w:r w:rsidR="0067435D">
        <w:rPr>
          <w:rFonts w:ascii="Arial" w:hAnsi="Arial" w:cs="Arial"/>
          <w:sz w:val="20"/>
          <w:szCs w:val="20"/>
        </w:rPr>
        <w:t xml:space="preserve"> and</w:t>
      </w:r>
      <w:r w:rsidR="0002065F" w:rsidRPr="00CB1A92">
        <w:rPr>
          <w:rFonts w:ascii="Arial" w:hAnsi="Arial" w:cs="Arial"/>
          <w:sz w:val="20"/>
          <w:szCs w:val="20"/>
        </w:rPr>
        <w:t xml:space="preserve"> may be a </w:t>
      </w:r>
      <w:r w:rsidR="0067435D">
        <w:rPr>
          <w:rFonts w:ascii="Arial" w:hAnsi="Arial" w:cs="Arial"/>
          <w:sz w:val="20"/>
          <w:szCs w:val="20"/>
        </w:rPr>
        <w:t xml:space="preserve">certified </w:t>
      </w:r>
      <w:r w:rsidR="0002065F" w:rsidRPr="00CB1A92">
        <w:rPr>
          <w:rFonts w:ascii="Arial" w:hAnsi="Arial" w:cs="Arial"/>
          <w:sz w:val="20"/>
          <w:szCs w:val="20"/>
        </w:rPr>
        <w:t>copy of the original record</w:t>
      </w:r>
      <w:r w:rsidR="0067435D">
        <w:rPr>
          <w:rFonts w:ascii="Arial" w:hAnsi="Arial" w:cs="Arial"/>
          <w:sz w:val="20"/>
          <w:szCs w:val="20"/>
        </w:rPr>
        <w:t>.</w:t>
      </w:r>
    </w:p>
    <w:p w14:paraId="09D9912C" w14:textId="283B47DE" w:rsidR="00FA5652" w:rsidRDefault="00A21E1D" w:rsidP="00794E81">
      <w:pPr>
        <w:spacing w:after="200"/>
        <w:ind w:right="237"/>
        <w:rPr>
          <w:rFonts w:ascii="Arial" w:hAnsi="Arial" w:cs="Arial"/>
          <w:sz w:val="20"/>
          <w:szCs w:val="20"/>
        </w:rPr>
      </w:pPr>
      <w:r>
        <w:rPr>
          <w:rFonts w:ascii="Arial" w:hAnsi="Arial" w:cs="Arial"/>
          <w:sz w:val="20"/>
          <w:szCs w:val="20"/>
        </w:rPr>
        <w:t>Subsection (3) requires</w:t>
      </w:r>
      <w:r w:rsidDel="00EC06C9">
        <w:rPr>
          <w:rFonts w:ascii="Arial" w:hAnsi="Arial" w:cs="Arial"/>
          <w:sz w:val="20"/>
          <w:szCs w:val="20"/>
        </w:rPr>
        <w:t xml:space="preserve"> </w:t>
      </w:r>
      <w:r w:rsidR="00FA5652">
        <w:rPr>
          <w:rFonts w:ascii="Arial" w:hAnsi="Arial" w:cs="Arial"/>
          <w:sz w:val="20"/>
          <w:szCs w:val="20"/>
        </w:rPr>
        <w:t>the</w:t>
      </w:r>
      <w:r w:rsidR="00FA5652" w:rsidDel="00EC06C9">
        <w:rPr>
          <w:rFonts w:ascii="Arial" w:hAnsi="Arial" w:cs="Arial"/>
          <w:sz w:val="20"/>
          <w:szCs w:val="20"/>
        </w:rPr>
        <w:t xml:space="preserve"> </w:t>
      </w:r>
      <w:r w:rsidR="00EC06C9">
        <w:rPr>
          <w:rFonts w:ascii="Arial" w:hAnsi="Arial" w:cs="Arial"/>
          <w:sz w:val="20"/>
          <w:szCs w:val="20"/>
        </w:rPr>
        <w:t xml:space="preserve">supplier to </w:t>
      </w:r>
      <w:r w:rsidR="00FA5652">
        <w:rPr>
          <w:rFonts w:ascii="Arial" w:hAnsi="Arial" w:cs="Arial"/>
          <w:sz w:val="20"/>
          <w:szCs w:val="20"/>
        </w:rPr>
        <w:t xml:space="preserve">ensure that </w:t>
      </w:r>
      <w:r>
        <w:rPr>
          <w:rFonts w:ascii="Arial" w:hAnsi="Arial" w:cs="Arial"/>
          <w:sz w:val="20"/>
          <w:szCs w:val="20"/>
        </w:rPr>
        <w:t>a description of the item</w:t>
      </w:r>
      <w:r w:rsidR="00FA5652">
        <w:rPr>
          <w:rFonts w:ascii="Arial" w:hAnsi="Arial" w:cs="Arial"/>
          <w:sz w:val="20"/>
          <w:szCs w:val="20"/>
        </w:rPr>
        <w:t xml:space="preserve"> is prepared that contains:</w:t>
      </w:r>
    </w:p>
    <w:p w14:paraId="75D3CD1E" w14:textId="0540DEDA" w:rsidR="00FA5652" w:rsidRDefault="002D508E" w:rsidP="00581BB6">
      <w:pPr>
        <w:pStyle w:val="ListParagraph"/>
        <w:numPr>
          <w:ilvl w:val="0"/>
          <w:numId w:val="25"/>
        </w:numPr>
        <w:spacing w:after="200"/>
        <w:ind w:right="237"/>
        <w:rPr>
          <w:rFonts w:ascii="Arial" w:hAnsi="Arial" w:cs="Arial"/>
          <w:sz w:val="20"/>
          <w:szCs w:val="20"/>
        </w:rPr>
      </w:pPr>
      <w:r>
        <w:rPr>
          <w:rFonts w:ascii="Arial" w:hAnsi="Arial" w:cs="Arial"/>
          <w:sz w:val="20"/>
          <w:szCs w:val="20"/>
        </w:rPr>
        <w:t>the current model number</w:t>
      </w:r>
      <w:r w:rsidR="00FA5652">
        <w:rPr>
          <w:rFonts w:ascii="Arial" w:hAnsi="Arial" w:cs="Arial"/>
          <w:sz w:val="20"/>
          <w:szCs w:val="20"/>
        </w:rPr>
        <w:t xml:space="preserve"> of the item and (if relevant) any related model numbers;</w:t>
      </w:r>
    </w:p>
    <w:p w14:paraId="38003DC8" w14:textId="24B20473" w:rsidR="00FA5652" w:rsidRDefault="00FA5652" w:rsidP="00D84512">
      <w:pPr>
        <w:pStyle w:val="ListParagraph"/>
        <w:numPr>
          <w:ilvl w:val="0"/>
          <w:numId w:val="25"/>
        </w:numPr>
        <w:spacing w:after="200"/>
        <w:ind w:right="237"/>
        <w:rPr>
          <w:rFonts w:ascii="Arial" w:hAnsi="Arial" w:cs="Arial"/>
          <w:sz w:val="20"/>
          <w:szCs w:val="20"/>
        </w:rPr>
      </w:pPr>
      <w:r w:rsidRPr="00FA5652">
        <w:rPr>
          <w:rFonts w:ascii="Arial" w:hAnsi="Arial" w:cs="Arial"/>
          <w:sz w:val="20"/>
          <w:szCs w:val="20"/>
        </w:rPr>
        <w:t xml:space="preserve">one or more </w:t>
      </w:r>
      <w:r w:rsidR="002D508E">
        <w:rPr>
          <w:rFonts w:ascii="Arial" w:hAnsi="Arial" w:cs="Arial"/>
          <w:sz w:val="20"/>
          <w:szCs w:val="20"/>
        </w:rPr>
        <w:t>photographs of the internal and external aspects of the item</w:t>
      </w:r>
      <w:r w:rsidRPr="00FA5652">
        <w:rPr>
          <w:rFonts w:ascii="Arial" w:hAnsi="Arial" w:cs="Arial"/>
          <w:sz w:val="20"/>
          <w:szCs w:val="20"/>
        </w:rPr>
        <w:t>;</w:t>
      </w:r>
    </w:p>
    <w:p w14:paraId="4F6AF561" w14:textId="208DF640" w:rsidR="00FA5652" w:rsidRDefault="002D508E" w:rsidP="00477FEE">
      <w:pPr>
        <w:pStyle w:val="ListParagraph"/>
        <w:numPr>
          <w:ilvl w:val="0"/>
          <w:numId w:val="25"/>
        </w:numPr>
        <w:spacing w:after="200"/>
        <w:ind w:right="237"/>
        <w:rPr>
          <w:rFonts w:ascii="Arial" w:hAnsi="Arial" w:cs="Arial"/>
          <w:sz w:val="20"/>
          <w:szCs w:val="20"/>
        </w:rPr>
      </w:pPr>
      <w:r>
        <w:rPr>
          <w:rFonts w:ascii="Arial" w:hAnsi="Arial" w:cs="Arial"/>
          <w:sz w:val="20"/>
          <w:szCs w:val="20"/>
        </w:rPr>
        <w:t xml:space="preserve">details of the version of </w:t>
      </w:r>
      <w:r w:rsidR="00FA5652">
        <w:rPr>
          <w:rFonts w:ascii="Arial" w:hAnsi="Arial" w:cs="Arial"/>
          <w:sz w:val="20"/>
          <w:szCs w:val="20"/>
        </w:rPr>
        <w:t xml:space="preserve">the </w:t>
      </w:r>
      <w:r>
        <w:rPr>
          <w:rFonts w:ascii="Arial" w:hAnsi="Arial" w:cs="Arial"/>
          <w:sz w:val="20"/>
          <w:szCs w:val="20"/>
        </w:rPr>
        <w:t>software installed (if applicable)</w:t>
      </w:r>
      <w:r w:rsidR="00FA5652">
        <w:rPr>
          <w:rFonts w:ascii="Arial" w:hAnsi="Arial" w:cs="Arial"/>
          <w:sz w:val="20"/>
          <w:szCs w:val="20"/>
        </w:rPr>
        <w:t>;</w:t>
      </w:r>
    </w:p>
    <w:p w14:paraId="1C11C91C" w14:textId="77777777" w:rsidR="00FA5652" w:rsidRDefault="002D508E">
      <w:pPr>
        <w:pStyle w:val="ListParagraph"/>
        <w:numPr>
          <w:ilvl w:val="0"/>
          <w:numId w:val="25"/>
        </w:numPr>
        <w:spacing w:after="200"/>
        <w:ind w:right="237"/>
        <w:rPr>
          <w:rFonts w:ascii="Arial" w:hAnsi="Arial" w:cs="Arial"/>
          <w:sz w:val="20"/>
          <w:szCs w:val="20"/>
        </w:rPr>
      </w:pPr>
      <w:r>
        <w:rPr>
          <w:rFonts w:ascii="Arial" w:hAnsi="Arial" w:cs="Arial"/>
          <w:sz w:val="20"/>
          <w:szCs w:val="20"/>
        </w:rPr>
        <w:t>sufficient information</w:t>
      </w:r>
      <w:r w:rsidR="00FA5652">
        <w:rPr>
          <w:rFonts w:ascii="Arial" w:hAnsi="Arial" w:cs="Arial"/>
          <w:sz w:val="20"/>
          <w:szCs w:val="20"/>
        </w:rPr>
        <w:t xml:space="preserve"> for a person</w:t>
      </w:r>
      <w:r w:rsidRPr="00581BB6">
        <w:rPr>
          <w:rFonts w:ascii="Arial" w:hAnsi="Arial" w:cs="Arial"/>
          <w:sz w:val="20"/>
          <w:szCs w:val="20"/>
        </w:rPr>
        <w:t xml:space="preserve"> </w:t>
      </w:r>
      <w:r>
        <w:rPr>
          <w:rFonts w:ascii="Arial" w:hAnsi="Arial" w:cs="Arial"/>
          <w:sz w:val="20"/>
          <w:szCs w:val="20"/>
        </w:rPr>
        <w:t xml:space="preserve">to determine </w:t>
      </w:r>
      <w:r w:rsidR="00FA5652">
        <w:rPr>
          <w:rFonts w:ascii="Arial" w:hAnsi="Arial" w:cs="Arial"/>
          <w:sz w:val="20"/>
          <w:szCs w:val="20"/>
        </w:rPr>
        <w:t xml:space="preserve">whether </w:t>
      </w:r>
      <w:r w:rsidRPr="00581BB6">
        <w:rPr>
          <w:rFonts w:ascii="Arial" w:hAnsi="Arial" w:cs="Arial"/>
          <w:sz w:val="20"/>
          <w:szCs w:val="20"/>
        </w:rPr>
        <w:t xml:space="preserve">the item </w:t>
      </w:r>
      <w:r w:rsidR="00FA5652">
        <w:rPr>
          <w:rFonts w:ascii="Arial" w:hAnsi="Arial" w:cs="Arial"/>
          <w:sz w:val="20"/>
          <w:szCs w:val="20"/>
        </w:rPr>
        <w:t xml:space="preserve">is an item, </w:t>
      </w:r>
      <w:r w:rsidRPr="00581BB6">
        <w:rPr>
          <w:rFonts w:ascii="Arial" w:hAnsi="Arial" w:cs="Arial"/>
          <w:sz w:val="20"/>
          <w:szCs w:val="20"/>
        </w:rPr>
        <w:t xml:space="preserve">or </w:t>
      </w:r>
      <w:r w:rsidR="00FA5652">
        <w:rPr>
          <w:rFonts w:ascii="Arial" w:hAnsi="Arial" w:cs="Arial"/>
          <w:sz w:val="20"/>
          <w:szCs w:val="20"/>
        </w:rPr>
        <w:t xml:space="preserve">(if the item is included in a </w:t>
      </w:r>
      <w:r>
        <w:rPr>
          <w:rFonts w:ascii="Arial" w:hAnsi="Arial" w:cs="Arial"/>
          <w:sz w:val="20"/>
          <w:szCs w:val="20"/>
        </w:rPr>
        <w:t xml:space="preserve">class of </w:t>
      </w:r>
      <w:r w:rsidRPr="00581BB6">
        <w:rPr>
          <w:rFonts w:ascii="Arial" w:hAnsi="Arial" w:cs="Arial"/>
          <w:sz w:val="20"/>
          <w:szCs w:val="20"/>
        </w:rPr>
        <w:t>item</w:t>
      </w:r>
      <w:r w:rsidR="00FA5652">
        <w:rPr>
          <w:rFonts w:ascii="Arial" w:hAnsi="Arial" w:cs="Arial"/>
          <w:sz w:val="20"/>
          <w:szCs w:val="20"/>
        </w:rPr>
        <w:t>s)</w:t>
      </w:r>
      <w:r w:rsidRPr="00581BB6">
        <w:rPr>
          <w:rFonts w:ascii="Arial" w:hAnsi="Arial" w:cs="Arial"/>
          <w:sz w:val="20"/>
          <w:szCs w:val="20"/>
        </w:rPr>
        <w:t xml:space="preserve">, </w:t>
      </w:r>
      <w:r w:rsidR="00FA5652">
        <w:rPr>
          <w:rFonts w:ascii="Arial" w:hAnsi="Arial" w:cs="Arial"/>
          <w:sz w:val="20"/>
          <w:szCs w:val="20"/>
        </w:rPr>
        <w:t xml:space="preserve">whether the item is identical to another item of the class, in relation to which there is a DoC and related documents; </w:t>
      </w:r>
      <w:r w:rsidR="00EC06C9" w:rsidRPr="00581BB6">
        <w:rPr>
          <w:rFonts w:ascii="Arial" w:hAnsi="Arial" w:cs="Arial"/>
          <w:sz w:val="20"/>
          <w:szCs w:val="20"/>
        </w:rPr>
        <w:t xml:space="preserve">and </w:t>
      </w:r>
    </w:p>
    <w:p w14:paraId="6ABEB206" w14:textId="35D7E023" w:rsidR="00FA5652" w:rsidRDefault="002D508E">
      <w:pPr>
        <w:pStyle w:val="ListParagraph"/>
        <w:numPr>
          <w:ilvl w:val="0"/>
          <w:numId w:val="25"/>
        </w:numPr>
        <w:spacing w:after="200"/>
        <w:ind w:right="237"/>
        <w:rPr>
          <w:rFonts w:ascii="Arial" w:hAnsi="Arial" w:cs="Arial"/>
          <w:sz w:val="20"/>
          <w:szCs w:val="20"/>
        </w:rPr>
      </w:pPr>
      <w:r>
        <w:rPr>
          <w:rFonts w:ascii="Arial" w:hAnsi="Arial" w:cs="Arial"/>
          <w:sz w:val="20"/>
          <w:szCs w:val="20"/>
        </w:rPr>
        <w:t>sufficient information to distinguish the item from</w:t>
      </w:r>
      <w:r w:rsidR="00FA5652">
        <w:rPr>
          <w:rFonts w:ascii="Arial" w:hAnsi="Arial" w:cs="Arial"/>
          <w:sz w:val="20"/>
          <w:szCs w:val="20"/>
        </w:rPr>
        <w:t xml:space="preserve"> any</w:t>
      </w:r>
      <w:r w:rsidRPr="00581BB6">
        <w:rPr>
          <w:rFonts w:ascii="Arial" w:hAnsi="Arial" w:cs="Arial"/>
          <w:sz w:val="20"/>
          <w:szCs w:val="20"/>
        </w:rPr>
        <w:t xml:space="preserve"> other item</w:t>
      </w:r>
      <w:r w:rsidRPr="004D6207">
        <w:rPr>
          <w:rFonts w:ascii="Arial" w:hAnsi="Arial" w:cs="Arial"/>
          <w:sz w:val="20"/>
          <w:szCs w:val="20"/>
        </w:rPr>
        <w:t xml:space="preserve"> or </w:t>
      </w:r>
      <w:r w:rsidR="00FA5652">
        <w:rPr>
          <w:rFonts w:ascii="Arial" w:hAnsi="Arial" w:cs="Arial"/>
          <w:sz w:val="20"/>
          <w:szCs w:val="20"/>
        </w:rPr>
        <w:t xml:space="preserve">(if the item is included in a class of </w:t>
      </w:r>
      <w:r w:rsidR="00EB355B">
        <w:rPr>
          <w:rFonts w:ascii="Arial" w:hAnsi="Arial" w:cs="Arial"/>
          <w:sz w:val="20"/>
          <w:szCs w:val="20"/>
        </w:rPr>
        <w:t>items</w:t>
      </w:r>
      <w:r w:rsidR="00FA5652">
        <w:rPr>
          <w:rFonts w:ascii="Arial" w:hAnsi="Arial" w:cs="Arial"/>
          <w:sz w:val="20"/>
          <w:szCs w:val="20"/>
        </w:rPr>
        <w:t xml:space="preserve">) another </w:t>
      </w:r>
      <w:r>
        <w:rPr>
          <w:rFonts w:ascii="Arial" w:hAnsi="Arial" w:cs="Arial"/>
          <w:sz w:val="20"/>
          <w:szCs w:val="20"/>
        </w:rPr>
        <w:t>item not included in the class.</w:t>
      </w:r>
      <w:r w:rsidR="00EC06C9">
        <w:rPr>
          <w:rFonts w:ascii="Arial" w:hAnsi="Arial" w:cs="Arial"/>
          <w:sz w:val="20"/>
          <w:szCs w:val="20"/>
        </w:rPr>
        <w:t xml:space="preserve">  </w:t>
      </w:r>
    </w:p>
    <w:p w14:paraId="1B9D52E4" w14:textId="0FD21FAE" w:rsidR="002D508E" w:rsidRDefault="00FA5652" w:rsidP="00FA5652">
      <w:pPr>
        <w:spacing w:after="200"/>
        <w:ind w:right="237"/>
        <w:rPr>
          <w:rFonts w:ascii="Arial" w:hAnsi="Arial" w:cs="Arial"/>
          <w:sz w:val="20"/>
          <w:szCs w:val="20"/>
        </w:rPr>
      </w:pPr>
      <w:r w:rsidRPr="00A742F6">
        <w:rPr>
          <w:rFonts w:ascii="Arial" w:hAnsi="Arial" w:cs="Arial"/>
          <w:sz w:val="20"/>
          <w:szCs w:val="20"/>
        </w:rPr>
        <w:t>It is possible that a piece of information included in the description to provide sufficient information about one matter may be used to provide sufficient information about another matter.</w:t>
      </w:r>
    </w:p>
    <w:p w14:paraId="113C51C9" w14:textId="789CCFDC" w:rsidR="00FA5652" w:rsidRDefault="002D508E" w:rsidP="00FA5652">
      <w:pPr>
        <w:spacing w:after="200"/>
        <w:ind w:right="237"/>
        <w:rPr>
          <w:rFonts w:ascii="Arial" w:hAnsi="Arial" w:cs="Arial"/>
          <w:sz w:val="20"/>
          <w:szCs w:val="20"/>
        </w:rPr>
      </w:pPr>
      <w:r>
        <w:rPr>
          <w:rFonts w:ascii="Arial" w:hAnsi="Arial" w:cs="Arial"/>
          <w:sz w:val="20"/>
          <w:szCs w:val="20"/>
        </w:rPr>
        <w:t xml:space="preserve">Subsection (4) </w:t>
      </w:r>
      <w:r w:rsidR="000837C4">
        <w:rPr>
          <w:rFonts w:ascii="Arial" w:hAnsi="Arial" w:cs="Arial"/>
          <w:sz w:val="20"/>
          <w:szCs w:val="20"/>
        </w:rPr>
        <w:t>provides that</w:t>
      </w:r>
      <w:r w:rsidR="00FA5652">
        <w:rPr>
          <w:rFonts w:ascii="Arial" w:hAnsi="Arial" w:cs="Arial"/>
          <w:sz w:val="20"/>
          <w:szCs w:val="20"/>
        </w:rPr>
        <w:t>,</w:t>
      </w:r>
      <w:r w:rsidR="000837C4">
        <w:rPr>
          <w:rFonts w:ascii="Arial" w:hAnsi="Arial" w:cs="Arial"/>
          <w:sz w:val="20"/>
          <w:szCs w:val="20"/>
        </w:rPr>
        <w:t xml:space="preserve"> </w:t>
      </w:r>
      <w:r w:rsidR="00FA5652">
        <w:rPr>
          <w:rFonts w:ascii="Arial" w:hAnsi="Arial" w:cs="Arial"/>
          <w:sz w:val="20"/>
          <w:szCs w:val="20"/>
        </w:rPr>
        <w:t>if any of the information included in the description subsequently changes or becomes incorrect, the manufacturer or importer must update or correct the description within 30 days after the information changes or becomes incorrect.</w:t>
      </w:r>
    </w:p>
    <w:p w14:paraId="2DFE1388" w14:textId="7129C3EC" w:rsidR="0067435D" w:rsidRDefault="00FA5652" w:rsidP="00581BB6">
      <w:pPr>
        <w:spacing w:after="200" w:line="240" w:lineRule="atLeast"/>
        <w:jc w:val="both"/>
        <w:rPr>
          <w:rFonts w:ascii="Arial" w:hAnsi="Arial" w:cs="Arial"/>
          <w:b/>
          <w:sz w:val="20"/>
          <w:szCs w:val="20"/>
        </w:rPr>
      </w:pPr>
      <w:r>
        <w:rPr>
          <w:rFonts w:ascii="Arial" w:hAnsi="Arial" w:cs="Arial"/>
          <w:sz w:val="20"/>
          <w:szCs w:val="20"/>
        </w:rPr>
        <w:t>There is a note at the end of section 23 that refers to Note 2 to section 6 (see above).</w:t>
      </w:r>
    </w:p>
    <w:p w14:paraId="5F047509" w14:textId="42587FAE" w:rsidR="000432A3" w:rsidRDefault="000432A3" w:rsidP="00794E81">
      <w:pPr>
        <w:spacing w:before="240" w:after="80" w:line="240" w:lineRule="atLeast"/>
        <w:jc w:val="both"/>
        <w:rPr>
          <w:rFonts w:ascii="Arial" w:hAnsi="Arial" w:cs="Arial"/>
          <w:b/>
          <w:sz w:val="20"/>
          <w:szCs w:val="20"/>
        </w:rPr>
      </w:pPr>
      <w:r>
        <w:rPr>
          <w:rFonts w:ascii="Arial" w:hAnsi="Arial" w:cs="Arial"/>
          <w:b/>
          <w:sz w:val="20"/>
          <w:szCs w:val="20"/>
        </w:rPr>
        <w:t>Section 2</w:t>
      </w:r>
      <w:r w:rsidR="00BA6FD8">
        <w:rPr>
          <w:rFonts w:ascii="Arial" w:hAnsi="Arial" w:cs="Arial"/>
          <w:b/>
          <w:sz w:val="20"/>
          <w:szCs w:val="20"/>
        </w:rPr>
        <w:t>4</w:t>
      </w:r>
      <w:r>
        <w:rPr>
          <w:rFonts w:ascii="Arial" w:hAnsi="Arial" w:cs="Arial"/>
          <w:b/>
          <w:sz w:val="20"/>
          <w:szCs w:val="20"/>
        </w:rPr>
        <w:t xml:space="preserve"> </w:t>
      </w:r>
      <w:r>
        <w:rPr>
          <w:rFonts w:ascii="Arial" w:hAnsi="Arial" w:cs="Arial"/>
          <w:b/>
          <w:sz w:val="20"/>
          <w:szCs w:val="20"/>
        </w:rPr>
        <w:tab/>
        <w:t xml:space="preserve">Compliance records – obligation to keep records </w:t>
      </w:r>
    </w:p>
    <w:p w14:paraId="639D2AFB" w14:textId="6E8E0FA3" w:rsidR="00E757B3" w:rsidRDefault="000837C4" w:rsidP="000432A3">
      <w:pPr>
        <w:spacing w:after="200" w:line="240" w:lineRule="atLeast"/>
        <w:jc w:val="both"/>
        <w:rPr>
          <w:rFonts w:ascii="Arial" w:hAnsi="Arial" w:cs="Arial"/>
          <w:sz w:val="20"/>
          <w:szCs w:val="20"/>
        </w:rPr>
      </w:pPr>
      <w:r w:rsidRPr="000837C4">
        <w:rPr>
          <w:rFonts w:ascii="Arial" w:hAnsi="Arial" w:cs="Arial"/>
          <w:sz w:val="20"/>
          <w:szCs w:val="20"/>
        </w:rPr>
        <w:t>Section 2</w:t>
      </w:r>
      <w:r w:rsidR="00BA6FD8">
        <w:rPr>
          <w:rFonts w:ascii="Arial" w:hAnsi="Arial" w:cs="Arial"/>
          <w:sz w:val="20"/>
          <w:szCs w:val="20"/>
        </w:rPr>
        <w:t>4</w:t>
      </w:r>
      <w:r w:rsidRPr="000837C4">
        <w:rPr>
          <w:rFonts w:ascii="Arial" w:hAnsi="Arial" w:cs="Arial"/>
          <w:sz w:val="20"/>
          <w:szCs w:val="20"/>
        </w:rPr>
        <w:t xml:space="preserve"> provides that </w:t>
      </w:r>
      <w:r w:rsidR="00E757B3">
        <w:rPr>
          <w:rFonts w:ascii="Arial" w:hAnsi="Arial" w:cs="Arial"/>
          <w:sz w:val="20"/>
          <w:szCs w:val="20"/>
        </w:rPr>
        <w:t xml:space="preserve">a </w:t>
      </w:r>
      <w:r>
        <w:rPr>
          <w:rFonts w:ascii="Arial" w:hAnsi="Arial" w:cs="Arial"/>
          <w:sz w:val="20"/>
          <w:szCs w:val="20"/>
        </w:rPr>
        <w:t>compliance record</w:t>
      </w:r>
      <w:r w:rsidR="00E757B3">
        <w:rPr>
          <w:rFonts w:ascii="Arial" w:hAnsi="Arial" w:cs="Arial"/>
          <w:sz w:val="20"/>
          <w:szCs w:val="20"/>
        </w:rPr>
        <w:t xml:space="preserve"> in relation to an item</w:t>
      </w:r>
      <w:r>
        <w:rPr>
          <w:rFonts w:ascii="Arial" w:hAnsi="Arial" w:cs="Arial"/>
          <w:sz w:val="20"/>
          <w:szCs w:val="20"/>
        </w:rPr>
        <w:t xml:space="preserve"> must be kept </w:t>
      </w:r>
      <w:r w:rsidR="00E757B3">
        <w:rPr>
          <w:rFonts w:ascii="Arial" w:hAnsi="Arial" w:cs="Arial"/>
          <w:sz w:val="20"/>
          <w:szCs w:val="20"/>
        </w:rPr>
        <w:t>by the supplier:</w:t>
      </w:r>
    </w:p>
    <w:p w14:paraId="517C94DC" w14:textId="61D67FF6" w:rsidR="00E757B3" w:rsidRDefault="00E757B3" w:rsidP="008B15AB">
      <w:pPr>
        <w:pStyle w:val="ListParagraph"/>
        <w:numPr>
          <w:ilvl w:val="0"/>
          <w:numId w:val="26"/>
        </w:numPr>
        <w:spacing w:after="200" w:line="240" w:lineRule="atLeast"/>
        <w:jc w:val="both"/>
        <w:rPr>
          <w:rFonts w:ascii="Arial" w:hAnsi="Arial" w:cs="Arial"/>
          <w:sz w:val="20"/>
          <w:szCs w:val="20"/>
        </w:rPr>
      </w:pPr>
      <w:r>
        <w:rPr>
          <w:rFonts w:ascii="Arial" w:hAnsi="Arial" w:cs="Arial"/>
          <w:sz w:val="20"/>
          <w:szCs w:val="20"/>
        </w:rPr>
        <w:t xml:space="preserve">if the item is not included in a class of items – for two years commencing </w:t>
      </w:r>
      <w:r w:rsidR="000D07EA">
        <w:rPr>
          <w:rFonts w:ascii="Arial" w:hAnsi="Arial" w:cs="Arial"/>
          <w:sz w:val="20"/>
          <w:szCs w:val="20"/>
        </w:rPr>
        <w:t xml:space="preserve">from the time the </w:t>
      </w:r>
      <w:r w:rsidR="000D07EA" w:rsidRPr="008B15AB">
        <w:rPr>
          <w:rFonts w:ascii="Arial" w:hAnsi="Arial" w:cs="Arial"/>
          <w:sz w:val="20"/>
          <w:szCs w:val="20"/>
        </w:rPr>
        <w:t>item</w:t>
      </w:r>
      <w:r w:rsidR="00EB355B">
        <w:rPr>
          <w:rFonts w:ascii="Arial" w:hAnsi="Arial" w:cs="Arial"/>
          <w:sz w:val="20"/>
          <w:szCs w:val="20"/>
        </w:rPr>
        <w:t xml:space="preserve"> </w:t>
      </w:r>
      <w:r>
        <w:rPr>
          <w:rFonts w:ascii="Arial" w:hAnsi="Arial" w:cs="Arial"/>
          <w:sz w:val="20"/>
          <w:szCs w:val="20"/>
        </w:rPr>
        <w:t>is supplied in Australia;</w:t>
      </w:r>
      <w:r w:rsidR="000D07EA">
        <w:rPr>
          <w:rFonts w:ascii="Arial" w:hAnsi="Arial" w:cs="Arial"/>
          <w:sz w:val="20"/>
          <w:szCs w:val="20"/>
        </w:rPr>
        <w:t xml:space="preserve"> or </w:t>
      </w:r>
    </w:p>
    <w:p w14:paraId="490ACD22" w14:textId="1A56921F" w:rsidR="000432A3" w:rsidRPr="000837C4" w:rsidRDefault="00E757B3" w:rsidP="008B15AB">
      <w:pPr>
        <w:pStyle w:val="ListParagraph"/>
        <w:numPr>
          <w:ilvl w:val="0"/>
          <w:numId w:val="26"/>
        </w:numPr>
        <w:spacing w:after="200" w:line="240" w:lineRule="atLeast"/>
        <w:jc w:val="both"/>
        <w:rPr>
          <w:rFonts w:ascii="Arial" w:hAnsi="Arial" w:cs="Arial"/>
          <w:sz w:val="20"/>
          <w:szCs w:val="20"/>
        </w:rPr>
      </w:pPr>
      <w:r>
        <w:rPr>
          <w:rFonts w:ascii="Arial" w:hAnsi="Arial" w:cs="Arial"/>
          <w:sz w:val="20"/>
          <w:szCs w:val="20"/>
        </w:rPr>
        <w:t xml:space="preserve">if the item is included in a class of items – for the period </w:t>
      </w:r>
      <w:r w:rsidR="00EB355B">
        <w:rPr>
          <w:rFonts w:ascii="Arial" w:hAnsi="Arial" w:cs="Arial"/>
          <w:sz w:val="20"/>
          <w:szCs w:val="20"/>
        </w:rPr>
        <w:t>commencing from</w:t>
      </w:r>
      <w:r>
        <w:rPr>
          <w:rFonts w:ascii="Arial" w:hAnsi="Arial" w:cs="Arial"/>
          <w:sz w:val="20"/>
          <w:szCs w:val="20"/>
        </w:rPr>
        <w:t xml:space="preserve"> the time </w:t>
      </w:r>
      <w:r w:rsidR="000D07EA">
        <w:rPr>
          <w:rFonts w:ascii="Arial" w:hAnsi="Arial" w:cs="Arial"/>
          <w:sz w:val="20"/>
          <w:szCs w:val="20"/>
        </w:rPr>
        <w:t>the original item</w:t>
      </w:r>
      <w:r>
        <w:rPr>
          <w:rFonts w:ascii="Arial" w:hAnsi="Arial" w:cs="Arial"/>
          <w:sz w:val="20"/>
          <w:szCs w:val="20"/>
        </w:rPr>
        <w:t>,</w:t>
      </w:r>
      <w:r w:rsidR="000D07EA">
        <w:rPr>
          <w:rFonts w:ascii="Arial" w:hAnsi="Arial" w:cs="Arial"/>
          <w:sz w:val="20"/>
          <w:szCs w:val="20"/>
        </w:rPr>
        <w:t xml:space="preserve"> or original modified item</w:t>
      </w:r>
      <w:r>
        <w:rPr>
          <w:rFonts w:ascii="Arial" w:hAnsi="Arial" w:cs="Arial"/>
          <w:sz w:val="20"/>
          <w:szCs w:val="20"/>
        </w:rPr>
        <w:t>,</w:t>
      </w:r>
      <w:r w:rsidR="000D07EA">
        <w:rPr>
          <w:rFonts w:ascii="Arial" w:hAnsi="Arial" w:cs="Arial"/>
          <w:sz w:val="20"/>
          <w:szCs w:val="20"/>
        </w:rPr>
        <w:t xml:space="preserve"> of </w:t>
      </w:r>
      <w:r>
        <w:rPr>
          <w:rFonts w:ascii="Arial" w:hAnsi="Arial" w:cs="Arial"/>
          <w:sz w:val="20"/>
          <w:szCs w:val="20"/>
        </w:rPr>
        <w:t>the</w:t>
      </w:r>
      <w:r w:rsidR="000D07EA">
        <w:rPr>
          <w:rFonts w:ascii="Arial" w:hAnsi="Arial" w:cs="Arial"/>
          <w:sz w:val="20"/>
          <w:szCs w:val="20"/>
        </w:rPr>
        <w:t xml:space="preserve"> class</w:t>
      </w:r>
      <w:r>
        <w:rPr>
          <w:rFonts w:ascii="Arial" w:hAnsi="Arial" w:cs="Arial"/>
          <w:sz w:val="20"/>
          <w:szCs w:val="20"/>
        </w:rPr>
        <w:t xml:space="preserve"> is</w:t>
      </w:r>
      <w:r w:rsidR="000D07EA" w:rsidRPr="008B15AB">
        <w:rPr>
          <w:rFonts w:ascii="Arial" w:hAnsi="Arial" w:cs="Arial"/>
          <w:sz w:val="20"/>
          <w:szCs w:val="20"/>
        </w:rPr>
        <w:t xml:space="preserve"> </w:t>
      </w:r>
      <w:r w:rsidR="000D07EA">
        <w:rPr>
          <w:rFonts w:ascii="Arial" w:hAnsi="Arial" w:cs="Arial"/>
          <w:sz w:val="20"/>
          <w:szCs w:val="20"/>
        </w:rPr>
        <w:t xml:space="preserve">supplied in </w:t>
      </w:r>
      <w:r w:rsidR="00EB355B">
        <w:rPr>
          <w:rFonts w:ascii="Arial" w:hAnsi="Arial" w:cs="Arial"/>
          <w:sz w:val="20"/>
          <w:szCs w:val="20"/>
        </w:rPr>
        <w:t>Australia and</w:t>
      </w:r>
      <w:r>
        <w:rPr>
          <w:rFonts w:ascii="Arial" w:hAnsi="Arial" w:cs="Arial"/>
          <w:sz w:val="20"/>
          <w:szCs w:val="20"/>
        </w:rPr>
        <w:t xml:space="preserve"> ending</w:t>
      </w:r>
      <w:r w:rsidR="000D07EA">
        <w:rPr>
          <w:rFonts w:ascii="Arial" w:hAnsi="Arial" w:cs="Arial"/>
          <w:sz w:val="20"/>
          <w:szCs w:val="20"/>
        </w:rPr>
        <w:t xml:space="preserve"> </w:t>
      </w:r>
      <w:r w:rsidR="000837C4">
        <w:rPr>
          <w:rFonts w:ascii="Arial" w:hAnsi="Arial" w:cs="Arial"/>
          <w:sz w:val="20"/>
          <w:szCs w:val="20"/>
        </w:rPr>
        <w:t xml:space="preserve">two years after </w:t>
      </w:r>
      <w:r>
        <w:rPr>
          <w:rFonts w:ascii="Arial" w:hAnsi="Arial" w:cs="Arial"/>
          <w:sz w:val="20"/>
          <w:szCs w:val="20"/>
        </w:rPr>
        <w:t xml:space="preserve">all </w:t>
      </w:r>
      <w:r w:rsidR="000837C4" w:rsidRPr="008B15AB">
        <w:rPr>
          <w:rFonts w:ascii="Arial" w:hAnsi="Arial" w:cs="Arial"/>
          <w:sz w:val="20"/>
          <w:szCs w:val="20"/>
        </w:rPr>
        <w:t>item</w:t>
      </w:r>
      <w:r>
        <w:rPr>
          <w:rFonts w:ascii="Arial" w:hAnsi="Arial" w:cs="Arial"/>
          <w:sz w:val="20"/>
          <w:szCs w:val="20"/>
        </w:rPr>
        <w:t>s</w:t>
      </w:r>
      <w:r w:rsidR="000837C4" w:rsidRPr="008B15AB">
        <w:rPr>
          <w:rFonts w:ascii="Arial" w:hAnsi="Arial" w:cs="Arial"/>
          <w:sz w:val="20"/>
          <w:szCs w:val="20"/>
        </w:rPr>
        <w:t xml:space="preserve"> </w:t>
      </w:r>
      <w:r>
        <w:rPr>
          <w:rFonts w:ascii="Arial" w:hAnsi="Arial" w:cs="Arial"/>
          <w:sz w:val="20"/>
          <w:szCs w:val="20"/>
        </w:rPr>
        <w:t>of the</w:t>
      </w:r>
      <w:r w:rsidR="000837C4">
        <w:rPr>
          <w:rFonts w:ascii="Arial" w:hAnsi="Arial" w:cs="Arial"/>
          <w:sz w:val="20"/>
          <w:szCs w:val="20"/>
        </w:rPr>
        <w:t xml:space="preserve"> class cease to be supplied in Australia.</w:t>
      </w:r>
    </w:p>
    <w:p w14:paraId="3DC4D20B" w14:textId="77777777" w:rsidR="00153E3F" w:rsidRDefault="00153E3F" w:rsidP="00794E81">
      <w:pPr>
        <w:spacing w:before="240" w:after="120" w:line="240" w:lineRule="atLeast"/>
        <w:jc w:val="center"/>
        <w:rPr>
          <w:rFonts w:ascii="Arial" w:hAnsi="Arial" w:cs="Arial"/>
          <w:b/>
        </w:rPr>
      </w:pPr>
    </w:p>
    <w:p w14:paraId="3E6C7CA6" w14:textId="34A2BECB" w:rsidR="000432A3" w:rsidRDefault="000432A3" w:rsidP="00794E81">
      <w:pPr>
        <w:spacing w:before="240" w:after="120" w:line="240" w:lineRule="atLeast"/>
        <w:jc w:val="center"/>
        <w:rPr>
          <w:rFonts w:ascii="Arial" w:hAnsi="Arial" w:cs="Arial"/>
          <w:b/>
        </w:rPr>
      </w:pPr>
      <w:r>
        <w:rPr>
          <w:rFonts w:ascii="Arial" w:hAnsi="Arial" w:cs="Arial"/>
          <w:b/>
        </w:rPr>
        <w:lastRenderedPageBreak/>
        <w:t>Part 6 – Inspection and auditing of compliance records</w:t>
      </w:r>
    </w:p>
    <w:p w14:paraId="62F6CA56" w14:textId="291DC3EB" w:rsidR="000432A3" w:rsidRDefault="000432A3" w:rsidP="00794E81">
      <w:pPr>
        <w:spacing w:before="240" w:after="80" w:line="240" w:lineRule="atLeast"/>
        <w:jc w:val="both"/>
        <w:rPr>
          <w:rFonts w:ascii="Arial" w:hAnsi="Arial" w:cs="Arial"/>
          <w:b/>
          <w:sz w:val="20"/>
          <w:szCs w:val="20"/>
        </w:rPr>
      </w:pPr>
      <w:r w:rsidRPr="00731692">
        <w:rPr>
          <w:rFonts w:ascii="Arial" w:hAnsi="Arial" w:cs="Arial"/>
          <w:b/>
          <w:sz w:val="20"/>
          <w:szCs w:val="20"/>
        </w:rPr>
        <w:t>Section</w:t>
      </w:r>
      <w:r>
        <w:rPr>
          <w:rFonts w:ascii="Arial" w:hAnsi="Arial" w:cs="Arial"/>
          <w:b/>
          <w:sz w:val="20"/>
          <w:szCs w:val="20"/>
        </w:rPr>
        <w:t xml:space="preserve"> 2</w:t>
      </w:r>
      <w:r w:rsidR="00BA6FD8">
        <w:rPr>
          <w:rFonts w:ascii="Arial" w:hAnsi="Arial" w:cs="Arial"/>
          <w:b/>
          <w:sz w:val="20"/>
          <w:szCs w:val="20"/>
        </w:rPr>
        <w:t>5</w:t>
      </w:r>
      <w:r>
        <w:rPr>
          <w:rFonts w:ascii="Arial" w:hAnsi="Arial" w:cs="Arial"/>
          <w:b/>
          <w:sz w:val="20"/>
          <w:szCs w:val="20"/>
        </w:rPr>
        <w:tab/>
        <w:t xml:space="preserve">Availability of compliance records for inspection </w:t>
      </w:r>
    </w:p>
    <w:p w14:paraId="37B99EC0" w14:textId="0D683956" w:rsidR="00C23BD5" w:rsidRDefault="0002065F" w:rsidP="00221C1F">
      <w:pPr>
        <w:spacing w:before="240" w:after="80" w:line="240" w:lineRule="atLeast"/>
        <w:jc w:val="both"/>
        <w:rPr>
          <w:rFonts w:ascii="Arial" w:hAnsi="Arial" w:cs="Arial"/>
          <w:sz w:val="20"/>
          <w:szCs w:val="20"/>
        </w:rPr>
      </w:pPr>
      <w:r w:rsidRPr="00CB1A92">
        <w:rPr>
          <w:rFonts w:ascii="Arial" w:hAnsi="Arial" w:cs="Arial"/>
          <w:sz w:val="20"/>
          <w:szCs w:val="20"/>
        </w:rPr>
        <w:t>Section 2</w:t>
      </w:r>
      <w:r w:rsidR="00BA6FD8">
        <w:rPr>
          <w:rFonts w:ascii="Arial" w:hAnsi="Arial" w:cs="Arial"/>
          <w:sz w:val="20"/>
          <w:szCs w:val="20"/>
        </w:rPr>
        <w:t>5</w:t>
      </w:r>
      <w:r w:rsidRPr="00CB1A92">
        <w:rPr>
          <w:rFonts w:ascii="Arial" w:hAnsi="Arial" w:cs="Arial"/>
          <w:sz w:val="20"/>
          <w:szCs w:val="20"/>
        </w:rPr>
        <w:t xml:space="preserve"> </w:t>
      </w:r>
      <w:r w:rsidR="00346E5C">
        <w:rPr>
          <w:rFonts w:ascii="Arial" w:hAnsi="Arial" w:cs="Arial"/>
          <w:sz w:val="20"/>
          <w:szCs w:val="20"/>
        </w:rPr>
        <w:t>provides</w:t>
      </w:r>
      <w:r w:rsidR="00346E5C" w:rsidRPr="00CB1A92">
        <w:rPr>
          <w:rFonts w:ascii="Arial" w:hAnsi="Arial" w:cs="Arial"/>
          <w:sz w:val="20"/>
          <w:szCs w:val="20"/>
        </w:rPr>
        <w:t xml:space="preserve"> </w:t>
      </w:r>
      <w:r w:rsidRPr="00CB1A92">
        <w:rPr>
          <w:rFonts w:ascii="Arial" w:hAnsi="Arial" w:cs="Arial"/>
          <w:sz w:val="20"/>
          <w:szCs w:val="20"/>
        </w:rPr>
        <w:t xml:space="preserve">that </w:t>
      </w:r>
      <w:r w:rsidR="00B4523B">
        <w:rPr>
          <w:rFonts w:ascii="Arial" w:hAnsi="Arial" w:cs="Arial"/>
          <w:sz w:val="20"/>
          <w:szCs w:val="20"/>
        </w:rPr>
        <w:t>the manufacturer o</w:t>
      </w:r>
      <w:r w:rsidR="00C76239">
        <w:rPr>
          <w:rFonts w:ascii="Arial" w:hAnsi="Arial" w:cs="Arial"/>
          <w:sz w:val="20"/>
          <w:szCs w:val="20"/>
        </w:rPr>
        <w:t>r</w:t>
      </w:r>
      <w:r w:rsidR="00B4523B">
        <w:rPr>
          <w:rFonts w:ascii="Arial" w:hAnsi="Arial" w:cs="Arial"/>
          <w:sz w:val="20"/>
          <w:szCs w:val="20"/>
        </w:rPr>
        <w:t xml:space="preserve"> importer of an item</w:t>
      </w:r>
      <w:r w:rsidRPr="00CB1A92">
        <w:rPr>
          <w:rFonts w:ascii="Arial" w:hAnsi="Arial" w:cs="Arial"/>
          <w:sz w:val="20"/>
          <w:szCs w:val="20"/>
        </w:rPr>
        <w:t xml:space="preserve"> must ensure that the compliance record</w:t>
      </w:r>
      <w:r w:rsidR="00B4523B">
        <w:rPr>
          <w:rFonts w:ascii="Arial" w:hAnsi="Arial" w:cs="Arial"/>
          <w:sz w:val="20"/>
          <w:szCs w:val="20"/>
        </w:rPr>
        <w:t>s</w:t>
      </w:r>
      <w:r w:rsidRPr="00CB1A92">
        <w:rPr>
          <w:rFonts w:ascii="Arial" w:hAnsi="Arial" w:cs="Arial"/>
          <w:sz w:val="20"/>
          <w:szCs w:val="20"/>
        </w:rPr>
        <w:t xml:space="preserve"> </w:t>
      </w:r>
      <w:r w:rsidR="000C14A1">
        <w:rPr>
          <w:rFonts w:ascii="Arial" w:hAnsi="Arial" w:cs="Arial"/>
          <w:sz w:val="20"/>
          <w:szCs w:val="20"/>
        </w:rPr>
        <w:t>in relation to the item</w:t>
      </w:r>
      <w:r w:rsidRPr="00CB1A92">
        <w:rPr>
          <w:rFonts w:ascii="Arial" w:hAnsi="Arial" w:cs="Arial"/>
          <w:sz w:val="20"/>
          <w:szCs w:val="20"/>
        </w:rPr>
        <w:t xml:space="preserve"> are available </w:t>
      </w:r>
      <w:r w:rsidR="005265EA">
        <w:rPr>
          <w:rFonts w:ascii="Arial" w:hAnsi="Arial" w:cs="Arial"/>
          <w:sz w:val="20"/>
          <w:szCs w:val="20"/>
        </w:rPr>
        <w:t xml:space="preserve">for inspection </w:t>
      </w:r>
      <w:r w:rsidR="00346E5C">
        <w:rPr>
          <w:rFonts w:ascii="Arial" w:hAnsi="Arial" w:cs="Arial"/>
          <w:sz w:val="20"/>
          <w:szCs w:val="20"/>
        </w:rPr>
        <w:t>by the ACMA</w:t>
      </w:r>
      <w:r w:rsidR="005265EA">
        <w:rPr>
          <w:rFonts w:ascii="Arial" w:hAnsi="Arial" w:cs="Arial"/>
          <w:sz w:val="20"/>
          <w:szCs w:val="20"/>
        </w:rPr>
        <w:t xml:space="preserve"> </w:t>
      </w:r>
      <w:r w:rsidR="000C14A1">
        <w:rPr>
          <w:rFonts w:ascii="Arial" w:hAnsi="Arial" w:cs="Arial"/>
          <w:sz w:val="20"/>
          <w:szCs w:val="20"/>
        </w:rPr>
        <w:t>upon request.</w:t>
      </w:r>
    </w:p>
    <w:p w14:paraId="30BD43DF" w14:textId="7295B09E" w:rsidR="000432A3" w:rsidRDefault="000432A3" w:rsidP="00221C1F">
      <w:pPr>
        <w:spacing w:before="240" w:after="80" w:line="240" w:lineRule="atLeast"/>
        <w:jc w:val="both"/>
        <w:rPr>
          <w:rFonts w:ascii="Arial" w:hAnsi="Arial" w:cs="Arial"/>
          <w:b/>
          <w:sz w:val="20"/>
          <w:szCs w:val="20"/>
        </w:rPr>
      </w:pPr>
      <w:r>
        <w:rPr>
          <w:rFonts w:ascii="Arial" w:hAnsi="Arial" w:cs="Arial"/>
          <w:b/>
          <w:sz w:val="20"/>
          <w:szCs w:val="20"/>
        </w:rPr>
        <w:t>Section 2</w:t>
      </w:r>
      <w:r w:rsidR="00BA6FD8">
        <w:rPr>
          <w:rFonts w:ascii="Arial" w:hAnsi="Arial" w:cs="Arial"/>
          <w:b/>
          <w:sz w:val="20"/>
          <w:szCs w:val="20"/>
        </w:rPr>
        <w:t>6</w:t>
      </w:r>
      <w:r>
        <w:rPr>
          <w:rFonts w:ascii="Arial" w:hAnsi="Arial" w:cs="Arial"/>
          <w:b/>
          <w:sz w:val="20"/>
          <w:szCs w:val="20"/>
        </w:rPr>
        <w:tab/>
        <w:t xml:space="preserve">Authorised officer may require documents, material or information </w:t>
      </w:r>
    </w:p>
    <w:p w14:paraId="5F8CA170" w14:textId="787A4793" w:rsidR="00346E5C" w:rsidRDefault="00346E5C" w:rsidP="00346E5C">
      <w:pPr>
        <w:ind w:right="237"/>
        <w:rPr>
          <w:rFonts w:ascii="Arial" w:hAnsi="Arial" w:cs="Arial"/>
          <w:sz w:val="20"/>
          <w:szCs w:val="20"/>
        </w:rPr>
      </w:pPr>
      <w:r w:rsidRPr="00CB1A92">
        <w:rPr>
          <w:rFonts w:ascii="Arial" w:hAnsi="Arial" w:cs="Arial"/>
          <w:sz w:val="20"/>
          <w:szCs w:val="20"/>
        </w:rPr>
        <w:t>S</w:t>
      </w:r>
      <w:r>
        <w:rPr>
          <w:rFonts w:ascii="Arial" w:hAnsi="Arial" w:cs="Arial"/>
          <w:sz w:val="20"/>
          <w:szCs w:val="20"/>
        </w:rPr>
        <w:t>ubs</w:t>
      </w:r>
      <w:r w:rsidRPr="00CB1A92">
        <w:rPr>
          <w:rFonts w:ascii="Arial" w:hAnsi="Arial" w:cs="Arial"/>
          <w:sz w:val="20"/>
          <w:szCs w:val="20"/>
        </w:rPr>
        <w:t xml:space="preserve">ection </w:t>
      </w:r>
      <w:r>
        <w:rPr>
          <w:rFonts w:ascii="Arial" w:hAnsi="Arial" w:cs="Arial"/>
          <w:sz w:val="20"/>
          <w:szCs w:val="20"/>
        </w:rPr>
        <w:t>(1)</w:t>
      </w:r>
      <w:r w:rsidRPr="00CB1A92">
        <w:rPr>
          <w:rFonts w:ascii="Arial" w:hAnsi="Arial" w:cs="Arial"/>
          <w:sz w:val="20"/>
          <w:szCs w:val="20"/>
        </w:rPr>
        <w:t xml:space="preserve"> provides that an authorised officer may</w:t>
      </w:r>
      <w:r>
        <w:rPr>
          <w:rFonts w:ascii="Arial" w:hAnsi="Arial" w:cs="Arial"/>
          <w:sz w:val="20"/>
          <w:szCs w:val="20"/>
        </w:rPr>
        <w:t>, by written notice,</w:t>
      </w:r>
      <w:r w:rsidRPr="00CB1A92">
        <w:rPr>
          <w:rFonts w:ascii="Arial" w:hAnsi="Arial" w:cs="Arial"/>
          <w:sz w:val="20"/>
          <w:szCs w:val="20"/>
        </w:rPr>
        <w:t xml:space="preserve"> requ</w:t>
      </w:r>
      <w:r>
        <w:rPr>
          <w:rFonts w:ascii="Arial" w:hAnsi="Arial" w:cs="Arial"/>
          <w:sz w:val="20"/>
          <w:szCs w:val="20"/>
        </w:rPr>
        <w:t>ire</w:t>
      </w:r>
      <w:r w:rsidRPr="00CB1A92">
        <w:rPr>
          <w:rFonts w:ascii="Arial" w:hAnsi="Arial" w:cs="Arial"/>
          <w:sz w:val="20"/>
          <w:szCs w:val="20"/>
        </w:rPr>
        <w:t xml:space="preserve"> </w:t>
      </w:r>
      <w:r>
        <w:rPr>
          <w:rFonts w:ascii="Arial" w:hAnsi="Arial" w:cs="Arial"/>
          <w:sz w:val="20"/>
          <w:szCs w:val="20"/>
        </w:rPr>
        <w:t>the supplier of an item to produce specified documents or material, or to give specified information, in relation to the item to the officer.  An “authorised officer” is defined in section 4 as an inspector (who is appointed under the Act) or a person who is authorised, in writing by the ACMA, to be an authorised officer for the purposes of the 2015 Notice.</w:t>
      </w:r>
    </w:p>
    <w:p w14:paraId="470DD391" w14:textId="77777777" w:rsidR="00346E5C" w:rsidRDefault="00346E5C" w:rsidP="00346E5C">
      <w:pPr>
        <w:ind w:right="237"/>
        <w:rPr>
          <w:rFonts w:ascii="Arial" w:hAnsi="Arial" w:cs="Arial"/>
          <w:sz w:val="20"/>
          <w:szCs w:val="20"/>
        </w:rPr>
      </w:pPr>
    </w:p>
    <w:p w14:paraId="60634631" w14:textId="6E29DE86" w:rsidR="0065732D" w:rsidRDefault="0002065F" w:rsidP="0065732D">
      <w:pPr>
        <w:spacing w:after="200"/>
        <w:ind w:right="237"/>
        <w:rPr>
          <w:rFonts w:ascii="Arial" w:hAnsi="Arial" w:cs="Arial"/>
          <w:sz w:val="20"/>
          <w:szCs w:val="20"/>
        </w:rPr>
      </w:pPr>
      <w:r>
        <w:rPr>
          <w:rFonts w:ascii="Arial" w:hAnsi="Arial" w:cs="Arial"/>
          <w:sz w:val="20"/>
          <w:szCs w:val="20"/>
        </w:rPr>
        <w:t xml:space="preserve">Subsection (2) </w:t>
      </w:r>
      <w:r w:rsidR="00346E5C">
        <w:rPr>
          <w:rFonts w:ascii="Arial" w:hAnsi="Arial" w:cs="Arial"/>
          <w:sz w:val="20"/>
          <w:szCs w:val="20"/>
        </w:rPr>
        <w:t>provides</w:t>
      </w:r>
      <w:r w:rsidR="000C14A1">
        <w:rPr>
          <w:rFonts w:ascii="Arial" w:hAnsi="Arial" w:cs="Arial"/>
          <w:sz w:val="20"/>
          <w:szCs w:val="20"/>
        </w:rPr>
        <w:t xml:space="preserve"> that if </w:t>
      </w:r>
      <w:r w:rsidR="00EB355B">
        <w:rPr>
          <w:rFonts w:ascii="Arial" w:hAnsi="Arial" w:cs="Arial"/>
          <w:sz w:val="20"/>
          <w:szCs w:val="20"/>
        </w:rPr>
        <w:t>a DoC</w:t>
      </w:r>
      <w:r w:rsidR="00346E5C">
        <w:rPr>
          <w:rFonts w:ascii="Arial" w:hAnsi="Arial" w:cs="Arial"/>
          <w:sz w:val="20"/>
          <w:szCs w:val="20"/>
        </w:rPr>
        <w:t xml:space="preserve"> </w:t>
      </w:r>
      <w:r w:rsidR="000C14A1">
        <w:rPr>
          <w:rFonts w:ascii="Arial" w:hAnsi="Arial" w:cs="Arial"/>
          <w:sz w:val="20"/>
          <w:szCs w:val="20"/>
        </w:rPr>
        <w:t>is required</w:t>
      </w:r>
      <w:r w:rsidR="00346E5C">
        <w:rPr>
          <w:rFonts w:ascii="Arial" w:hAnsi="Arial" w:cs="Arial"/>
          <w:sz w:val="20"/>
          <w:szCs w:val="20"/>
        </w:rPr>
        <w:t xml:space="preserve"> by such notice</w:t>
      </w:r>
      <w:r w:rsidR="000C14A1">
        <w:rPr>
          <w:rFonts w:ascii="Arial" w:hAnsi="Arial" w:cs="Arial"/>
          <w:sz w:val="20"/>
          <w:szCs w:val="20"/>
        </w:rPr>
        <w:t xml:space="preserve">, it must be produced within </w:t>
      </w:r>
      <w:r w:rsidR="000D07EA">
        <w:rPr>
          <w:rFonts w:ascii="Arial" w:hAnsi="Arial" w:cs="Arial"/>
          <w:sz w:val="20"/>
          <w:szCs w:val="20"/>
        </w:rPr>
        <w:t xml:space="preserve">five </w:t>
      </w:r>
      <w:r w:rsidR="000C14A1">
        <w:rPr>
          <w:rFonts w:ascii="Arial" w:hAnsi="Arial" w:cs="Arial"/>
          <w:sz w:val="20"/>
          <w:szCs w:val="20"/>
        </w:rPr>
        <w:t xml:space="preserve">working days after the </w:t>
      </w:r>
      <w:r w:rsidR="007D04A1">
        <w:rPr>
          <w:rFonts w:ascii="Arial" w:hAnsi="Arial" w:cs="Arial"/>
          <w:sz w:val="20"/>
          <w:szCs w:val="20"/>
        </w:rPr>
        <w:t xml:space="preserve">day </w:t>
      </w:r>
      <w:r w:rsidR="00EB355B">
        <w:rPr>
          <w:rFonts w:ascii="Arial" w:hAnsi="Arial" w:cs="Arial"/>
          <w:sz w:val="20"/>
          <w:szCs w:val="20"/>
        </w:rPr>
        <w:t>the notice</w:t>
      </w:r>
      <w:r w:rsidR="007D04A1">
        <w:rPr>
          <w:rFonts w:ascii="Arial" w:hAnsi="Arial" w:cs="Arial"/>
          <w:sz w:val="20"/>
          <w:szCs w:val="20"/>
        </w:rPr>
        <w:t xml:space="preserve"> is received</w:t>
      </w:r>
      <w:r w:rsidR="000C14A1">
        <w:rPr>
          <w:rFonts w:ascii="Arial" w:hAnsi="Arial" w:cs="Arial"/>
          <w:sz w:val="20"/>
          <w:szCs w:val="20"/>
        </w:rPr>
        <w:t xml:space="preserve">. </w:t>
      </w:r>
    </w:p>
    <w:p w14:paraId="437EA0FE" w14:textId="45097806" w:rsidR="00930178" w:rsidRDefault="000C14A1" w:rsidP="0065732D">
      <w:pPr>
        <w:spacing w:after="200"/>
        <w:ind w:right="237"/>
        <w:rPr>
          <w:rFonts w:ascii="Arial" w:hAnsi="Arial" w:cs="Arial"/>
          <w:sz w:val="20"/>
          <w:szCs w:val="20"/>
        </w:rPr>
      </w:pPr>
      <w:r>
        <w:rPr>
          <w:rFonts w:ascii="Arial" w:hAnsi="Arial" w:cs="Arial"/>
          <w:sz w:val="20"/>
          <w:szCs w:val="20"/>
        </w:rPr>
        <w:t xml:space="preserve">Subsection (3) </w:t>
      </w:r>
      <w:r w:rsidR="007D04A1">
        <w:rPr>
          <w:rFonts w:ascii="Arial" w:hAnsi="Arial" w:cs="Arial"/>
          <w:sz w:val="20"/>
          <w:szCs w:val="20"/>
        </w:rPr>
        <w:t xml:space="preserve">provides </w:t>
      </w:r>
      <w:r>
        <w:rPr>
          <w:rFonts w:ascii="Arial" w:hAnsi="Arial" w:cs="Arial"/>
          <w:sz w:val="20"/>
          <w:szCs w:val="20"/>
        </w:rPr>
        <w:t xml:space="preserve">that </w:t>
      </w:r>
      <w:r w:rsidR="00930178">
        <w:rPr>
          <w:rFonts w:ascii="Arial" w:hAnsi="Arial" w:cs="Arial"/>
          <w:sz w:val="20"/>
          <w:szCs w:val="20"/>
        </w:rPr>
        <w:t>any</w:t>
      </w:r>
      <w:r>
        <w:rPr>
          <w:rFonts w:ascii="Arial" w:hAnsi="Arial" w:cs="Arial"/>
          <w:sz w:val="20"/>
          <w:szCs w:val="20"/>
        </w:rPr>
        <w:t xml:space="preserve"> other document</w:t>
      </w:r>
      <w:r w:rsidR="00930178">
        <w:rPr>
          <w:rFonts w:ascii="Arial" w:hAnsi="Arial" w:cs="Arial"/>
          <w:sz w:val="20"/>
          <w:szCs w:val="20"/>
        </w:rPr>
        <w:t>, material or information that is required by such a notice</w:t>
      </w:r>
      <w:r>
        <w:rPr>
          <w:rFonts w:ascii="Arial" w:hAnsi="Arial" w:cs="Arial"/>
          <w:sz w:val="20"/>
          <w:szCs w:val="20"/>
        </w:rPr>
        <w:t xml:space="preserve"> must be  </w:t>
      </w:r>
      <w:r w:rsidR="00930178">
        <w:rPr>
          <w:rFonts w:ascii="Arial" w:hAnsi="Arial" w:cs="Arial"/>
          <w:sz w:val="20"/>
          <w:szCs w:val="20"/>
        </w:rPr>
        <w:t>provided</w:t>
      </w:r>
      <w:r>
        <w:rPr>
          <w:rFonts w:ascii="Arial" w:hAnsi="Arial" w:cs="Arial"/>
          <w:sz w:val="20"/>
          <w:szCs w:val="20"/>
        </w:rPr>
        <w:t xml:space="preserve"> within 10 working days </w:t>
      </w:r>
      <w:r w:rsidR="00930178">
        <w:rPr>
          <w:rFonts w:ascii="Arial" w:hAnsi="Arial" w:cs="Arial"/>
          <w:sz w:val="20"/>
          <w:szCs w:val="20"/>
        </w:rPr>
        <w:t>(</w:t>
      </w:r>
      <w:r>
        <w:rPr>
          <w:rFonts w:ascii="Arial" w:hAnsi="Arial" w:cs="Arial"/>
          <w:sz w:val="20"/>
          <w:szCs w:val="20"/>
        </w:rPr>
        <w:t xml:space="preserve">or </w:t>
      </w:r>
      <w:r w:rsidR="00930178">
        <w:rPr>
          <w:rFonts w:ascii="Arial" w:hAnsi="Arial" w:cs="Arial"/>
          <w:sz w:val="20"/>
          <w:szCs w:val="20"/>
        </w:rPr>
        <w:t xml:space="preserve">such longer </w:t>
      </w:r>
      <w:r>
        <w:rPr>
          <w:rFonts w:ascii="Arial" w:hAnsi="Arial" w:cs="Arial"/>
          <w:sz w:val="20"/>
          <w:szCs w:val="20"/>
        </w:rPr>
        <w:t xml:space="preserve">period </w:t>
      </w:r>
      <w:r w:rsidR="00930178">
        <w:rPr>
          <w:rFonts w:ascii="Arial" w:hAnsi="Arial" w:cs="Arial"/>
          <w:sz w:val="20"/>
          <w:szCs w:val="20"/>
        </w:rPr>
        <w:t xml:space="preserve">as is </w:t>
      </w:r>
      <w:r>
        <w:rPr>
          <w:rFonts w:ascii="Arial" w:hAnsi="Arial" w:cs="Arial"/>
          <w:sz w:val="20"/>
          <w:szCs w:val="20"/>
        </w:rPr>
        <w:t>specified in wr</w:t>
      </w:r>
      <w:r w:rsidR="00794E81">
        <w:rPr>
          <w:rFonts w:ascii="Arial" w:hAnsi="Arial" w:cs="Arial"/>
          <w:sz w:val="20"/>
          <w:szCs w:val="20"/>
        </w:rPr>
        <w:t xml:space="preserve">iting by  </w:t>
      </w:r>
      <w:r w:rsidR="00930178">
        <w:rPr>
          <w:rFonts w:ascii="Arial" w:hAnsi="Arial" w:cs="Arial"/>
          <w:sz w:val="20"/>
          <w:szCs w:val="20"/>
        </w:rPr>
        <w:t>the</w:t>
      </w:r>
      <w:r w:rsidR="00794E81">
        <w:rPr>
          <w:rFonts w:ascii="Arial" w:hAnsi="Arial" w:cs="Arial"/>
          <w:sz w:val="20"/>
          <w:szCs w:val="20"/>
        </w:rPr>
        <w:t xml:space="preserve"> authorised officer</w:t>
      </w:r>
      <w:r w:rsidR="00930178">
        <w:rPr>
          <w:rFonts w:ascii="Arial" w:hAnsi="Arial" w:cs="Arial"/>
          <w:sz w:val="20"/>
          <w:szCs w:val="20"/>
        </w:rPr>
        <w:t>) after the day the notice is received</w:t>
      </w:r>
      <w:r w:rsidR="00794E81">
        <w:rPr>
          <w:rFonts w:ascii="Arial" w:hAnsi="Arial" w:cs="Arial"/>
          <w:sz w:val="20"/>
          <w:szCs w:val="20"/>
        </w:rPr>
        <w:t>.</w:t>
      </w:r>
    </w:p>
    <w:p w14:paraId="3FB21414" w14:textId="33195F50" w:rsidR="0002065F" w:rsidRPr="002868A8" w:rsidRDefault="00930178" w:rsidP="0065732D">
      <w:pPr>
        <w:spacing w:after="200"/>
        <w:ind w:right="237"/>
        <w:rPr>
          <w:rFonts w:cs="Arial"/>
        </w:rPr>
      </w:pPr>
      <w:r>
        <w:rPr>
          <w:rFonts w:ascii="Arial" w:hAnsi="Arial" w:cs="Arial"/>
          <w:sz w:val="20"/>
          <w:szCs w:val="20"/>
        </w:rPr>
        <w:t>Subsection (4) provides that an authorised officer may only specify a longer period if the</w:t>
      </w:r>
      <w:r w:rsidR="00B93A7E">
        <w:rPr>
          <w:rFonts w:ascii="Arial" w:hAnsi="Arial" w:cs="Arial"/>
          <w:sz w:val="20"/>
          <w:szCs w:val="20"/>
        </w:rPr>
        <w:t xml:space="preserve"> supplier </w:t>
      </w:r>
      <w:r>
        <w:rPr>
          <w:rFonts w:ascii="Arial" w:hAnsi="Arial" w:cs="Arial"/>
          <w:sz w:val="20"/>
          <w:szCs w:val="20"/>
        </w:rPr>
        <w:t xml:space="preserve">has </w:t>
      </w:r>
      <w:r w:rsidR="00EB355B">
        <w:rPr>
          <w:rFonts w:ascii="Arial" w:hAnsi="Arial" w:cs="Arial"/>
          <w:sz w:val="20"/>
          <w:szCs w:val="20"/>
        </w:rPr>
        <w:t>requested in</w:t>
      </w:r>
      <w:r w:rsidR="00B93A7E">
        <w:rPr>
          <w:rFonts w:ascii="Arial" w:hAnsi="Arial" w:cs="Arial"/>
          <w:sz w:val="20"/>
          <w:szCs w:val="20"/>
        </w:rPr>
        <w:t xml:space="preserve"> writing a longer period for compliance with the </w:t>
      </w:r>
      <w:r>
        <w:rPr>
          <w:rFonts w:ascii="Arial" w:hAnsi="Arial" w:cs="Arial"/>
          <w:sz w:val="20"/>
          <w:szCs w:val="20"/>
        </w:rPr>
        <w:t>notice</w:t>
      </w:r>
      <w:r w:rsidR="00B93A7E">
        <w:rPr>
          <w:rFonts w:ascii="Arial" w:hAnsi="Arial" w:cs="Arial"/>
          <w:sz w:val="20"/>
          <w:szCs w:val="20"/>
        </w:rPr>
        <w:t>.</w:t>
      </w:r>
    </w:p>
    <w:p w14:paraId="2C1F22AA" w14:textId="2B1B6EDA" w:rsidR="000D0886" w:rsidRDefault="0002065F" w:rsidP="0065732D">
      <w:pPr>
        <w:spacing w:after="200"/>
        <w:ind w:right="237"/>
        <w:rPr>
          <w:rFonts w:ascii="Arial" w:hAnsi="Arial" w:cs="Arial"/>
          <w:sz w:val="20"/>
          <w:szCs w:val="20"/>
        </w:rPr>
      </w:pPr>
      <w:r w:rsidRPr="00CB1A92">
        <w:rPr>
          <w:rFonts w:ascii="Arial" w:hAnsi="Arial" w:cs="Arial"/>
          <w:sz w:val="20"/>
          <w:szCs w:val="20"/>
        </w:rPr>
        <w:t>Subsection (</w:t>
      </w:r>
      <w:r w:rsidR="000C14A1">
        <w:rPr>
          <w:rFonts w:ascii="Arial" w:hAnsi="Arial" w:cs="Arial"/>
          <w:sz w:val="20"/>
          <w:szCs w:val="20"/>
        </w:rPr>
        <w:t>5</w:t>
      </w:r>
      <w:r w:rsidRPr="00CB1A92">
        <w:rPr>
          <w:rFonts w:ascii="Arial" w:hAnsi="Arial" w:cs="Arial"/>
          <w:sz w:val="20"/>
          <w:szCs w:val="20"/>
        </w:rPr>
        <w:t xml:space="preserve">) requires an authorised officer to give </w:t>
      </w:r>
      <w:r w:rsidR="000D0886">
        <w:rPr>
          <w:rFonts w:ascii="Arial" w:hAnsi="Arial" w:cs="Arial"/>
          <w:sz w:val="20"/>
          <w:szCs w:val="20"/>
        </w:rPr>
        <w:t>the</w:t>
      </w:r>
      <w:r w:rsidRPr="00CB1A92">
        <w:rPr>
          <w:rFonts w:ascii="Arial" w:hAnsi="Arial" w:cs="Arial"/>
          <w:sz w:val="20"/>
          <w:szCs w:val="20"/>
        </w:rPr>
        <w:t xml:space="preserve"> supplier a receipt for any documents</w:t>
      </w:r>
      <w:r w:rsidR="00B93A7E">
        <w:rPr>
          <w:rFonts w:ascii="Arial" w:hAnsi="Arial" w:cs="Arial"/>
          <w:sz w:val="20"/>
          <w:szCs w:val="20"/>
        </w:rPr>
        <w:t>, material</w:t>
      </w:r>
      <w:r w:rsidRPr="00CB1A92">
        <w:rPr>
          <w:rFonts w:ascii="Arial" w:hAnsi="Arial" w:cs="Arial"/>
          <w:sz w:val="20"/>
          <w:szCs w:val="20"/>
        </w:rPr>
        <w:t xml:space="preserve"> or </w:t>
      </w:r>
      <w:r w:rsidR="00B93A7E">
        <w:rPr>
          <w:rFonts w:ascii="Arial" w:hAnsi="Arial" w:cs="Arial"/>
          <w:sz w:val="20"/>
          <w:szCs w:val="20"/>
        </w:rPr>
        <w:t>information</w:t>
      </w:r>
      <w:r w:rsidR="00B93A7E" w:rsidRPr="00CB1A92">
        <w:rPr>
          <w:rFonts w:ascii="Arial" w:hAnsi="Arial" w:cs="Arial"/>
          <w:sz w:val="20"/>
          <w:szCs w:val="20"/>
        </w:rPr>
        <w:t xml:space="preserve"> </w:t>
      </w:r>
      <w:r w:rsidR="00B93A7E">
        <w:rPr>
          <w:rFonts w:ascii="Arial" w:hAnsi="Arial" w:cs="Arial"/>
          <w:sz w:val="20"/>
          <w:szCs w:val="20"/>
        </w:rPr>
        <w:t xml:space="preserve">provided </w:t>
      </w:r>
      <w:r w:rsidR="000D0886">
        <w:rPr>
          <w:rFonts w:ascii="Arial" w:hAnsi="Arial" w:cs="Arial"/>
          <w:sz w:val="20"/>
          <w:szCs w:val="20"/>
        </w:rPr>
        <w:t xml:space="preserve">in response to such a notice. </w:t>
      </w:r>
    </w:p>
    <w:p w14:paraId="1265D80F" w14:textId="00AA1DC2" w:rsidR="0065732D" w:rsidRDefault="000D0886" w:rsidP="0065732D">
      <w:pPr>
        <w:spacing w:after="200"/>
        <w:ind w:right="237"/>
        <w:rPr>
          <w:rFonts w:ascii="Arial" w:hAnsi="Arial" w:cs="Arial"/>
          <w:sz w:val="20"/>
          <w:szCs w:val="20"/>
        </w:rPr>
      </w:pPr>
      <w:r>
        <w:rPr>
          <w:rFonts w:ascii="Arial" w:hAnsi="Arial" w:cs="Arial"/>
          <w:sz w:val="20"/>
          <w:szCs w:val="20"/>
        </w:rPr>
        <w:t>S</w:t>
      </w:r>
      <w:r w:rsidR="0002065F" w:rsidRPr="00CB1A92">
        <w:rPr>
          <w:rFonts w:ascii="Arial" w:hAnsi="Arial" w:cs="Arial"/>
          <w:sz w:val="20"/>
          <w:szCs w:val="20"/>
        </w:rPr>
        <w:t>ubsection (</w:t>
      </w:r>
      <w:r w:rsidR="00175F59">
        <w:rPr>
          <w:rFonts w:ascii="Arial" w:hAnsi="Arial" w:cs="Arial"/>
          <w:sz w:val="20"/>
          <w:szCs w:val="20"/>
        </w:rPr>
        <w:t>6</w:t>
      </w:r>
      <w:r w:rsidR="0002065F" w:rsidRPr="00CB1A92">
        <w:rPr>
          <w:rFonts w:ascii="Arial" w:hAnsi="Arial" w:cs="Arial"/>
          <w:sz w:val="20"/>
          <w:szCs w:val="20"/>
        </w:rPr>
        <w:t xml:space="preserve">) </w:t>
      </w:r>
      <w:r>
        <w:rPr>
          <w:rFonts w:ascii="Arial" w:hAnsi="Arial" w:cs="Arial"/>
          <w:sz w:val="20"/>
          <w:szCs w:val="20"/>
        </w:rPr>
        <w:t>provides</w:t>
      </w:r>
      <w:r w:rsidR="00175F59">
        <w:rPr>
          <w:rFonts w:ascii="Arial" w:hAnsi="Arial" w:cs="Arial"/>
          <w:sz w:val="20"/>
          <w:szCs w:val="20"/>
        </w:rPr>
        <w:t xml:space="preserve"> that the authorised officer may make </w:t>
      </w:r>
      <w:r w:rsidR="008728B6">
        <w:rPr>
          <w:rFonts w:ascii="Arial" w:hAnsi="Arial" w:cs="Arial"/>
          <w:sz w:val="20"/>
          <w:szCs w:val="20"/>
        </w:rPr>
        <w:t xml:space="preserve">and retain </w:t>
      </w:r>
      <w:r w:rsidR="00175F59">
        <w:rPr>
          <w:rFonts w:ascii="Arial" w:hAnsi="Arial" w:cs="Arial"/>
          <w:sz w:val="20"/>
          <w:szCs w:val="20"/>
        </w:rPr>
        <w:t xml:space="preserve">copies of the </w:t>
      </w:r>
      <w:r w:rsidR="008728B6">
        <w:rPr>
          <w:rFonts w:ascii="Arial" w:hAnsi="Arial" w:cs="Arial"/>
          <w:sz w:val="20"/>
          <w:szCs w:val="20"/>
        </w:rPr>
        <w:t xml:space="preserve">whole or any part of any </w:t>
      </w:r>
      <w:r w:rsidR="00175F59">
        <w:rPr>
          <w:rFonts w:ascii="Arial" w:hAnsi="Arial" w:cs="Arial"/>
          <w:sz w:val="20"/>
          <w:szCs w:val="20"/>
        </w:rPr>
        <w:t>document</w:t>
      </w:r>
      <w:r w:rsidR="00B93A7E">
        <w:rPr>
          <w:rFonts w:ascii="Arial" w:hAnsi="Arial" w:cs="Arial"/>
          <w:sz w:val="20"/>
          <w:szCs w:val="20"/>
        </w:rPr>
        <w:t xml:space="preserve"> or material</w:t>
      </w:r>
      <w:r w:rsidR="008728B6">
        <w:rPr>
          <w:rFonts w:ascii="Arial" w:hAnsi="Arial" w:cs="Arial"/>
          <w:sz w:val="20"/>
          <w:szCs w:val="20"/>
        </w:rPr>
        <w:t xml:space="preserve"> received in response to such a notice</w:t>
      </w:r>
      <w:r w:rsidR="00175F59">
        <w:rPr>
          <w:rFonts w:ascii="Arial" w:hAnsi="Arial" w:cs="Arial"/>
          <w:sz w:val="20"/>
          <w:szCs w:val="20"/>
        </w:rPr>
        <w:t xml:space="preserve">. </w:t>
      </w:r>
    </w:p>
    <w:p w14:paraId="4DBCA114" w14:textId="6633E3D4" w:rsidR="0002065F" w:rsidRDefault="00175F59" w:rsidP="0065732D">
      <w:pPr>
        <w:spacing w:after="200"/>
        <w:ind w:right="237"/>
        <w:rPr>
          <w:rFonts w:ascii="Arial" w:hAnsi="Arial" w:cs="Arial"/>
          <w:sz w:val="20"/>
          <w:szCs w:val="20"/>
        </w:rPr>
      </w:pPr>
      <w:r>
        <w:rPr>
          <w:rFonts w:ascii="Arial" w:hAnsi="Arial" w:cs="Arial"/>
          <w:sz w:val="20"/>
          <w:szCs w:val="20"/>
        </w:rPr>
        <w:t xml:space="preserve">Subsection (7) </w:t>
      </w:r>
      <w:r w:rsidR="0002065F" w:rsidRPr="00CB1A92">
        <w:rPr>
          <w:rFonts w:ascii="Arial" w:hAnsi="Arial" w:cs="Arial"/>
          <w:sz w:val="20"/>
          <w:szCs w:val="20"/>
        </w:rPr>
        <w:t xml:space="preserve">requires the authorised officer to return </w:t>
      </w:r>
      <w:r w:rsidR="00B93A7E">
        <w:rPr>
          <w:rFonts w:ascii="Arial" w:hAnsi="Arial" w:cs="Arial"/>
          <w:sz w:val="20"/>
          <w:szCs w:val="20"/>
        </w:rPr>
        <w:t xml:space="preserve">the </w:t>
      </w:r>
      <w:r w:rsidR="008728B6">
        <w:rPr>
          <w:rFonts w:ascii="Arial" w:hAnsi="Arial" w:cs="Arial"/>
          <w:sz w:val="20"/>
          <w:szCs w:val="20"/>
        </w:rPr>
        <w:t>original of any</w:t>
      </w:r>
      <w:r w:rsidR="00B93A7E">
        <w:rPr>
          <w:rFonts w:ascii="Arial" w:hAnsi="Arial" w:cs="Arial"/>
          <w:sz w:val="20"/>
          <w:szCs w:val="20"/>
        </w:rPr>
        <w:t xml:space="preserve"> document </w:t>
      </w:r>
      <w:r w:rsidR="008728B6">
        <w:rPr>
          <w:rFonts w:ascii="Arial" w:hAnsi="Arial" w:cs="Arial"/>
          <w:sz w:val="20"/>
          <w:szCs w:val="20"/>
        </w:rPr>
        <w:t>or</w:t>
      </w:r>
      <w:r w:rsidR="00B93A7E">
        <w:rPr>
          <w:rFonts w:ascii="Arial" w:hAnsi="Arial" w:cs="Arial"/>
          <w:sz w:val="20"/>
          <w:szCs w:val="20"/>
        </w:rPr>
        <w:t xml:space="preserve"> material</w:t>
      </w:r>
      <w:r w:rsidR="0002065F" w:rsidRPr="00CB1A92">
        <w:rPr>
          <w:rFonts w:ascii="Arial" w:hAnsi="Arial" w:cs="Arial"/>
          <w:sz w:val="20"/>
          <w:szCs w:val="20"/>
        </w:rPr>
        <w:t xml:space="preserve"> </w:t>
      </w:r>
      <w:r w:rsidR="008728B6">
        <w:rPr>
          <w:rFonts w:ascii="Arial" w:hAnsi="Arial" w:cs="Arial"/>
          <w:sz w:val="20"/>
          <w:szCs w:val="20"/>
        </w:rPr>
        <w:t xml:space="preserve">received in response to such a notice </w:t>
      </w:r>
      <w:r w:rsidR="0002065F" w:rsidRPr="00CB1A92">
        <w:rPr>
          <w:rFonts w:ascii="Arial" w:hAnsi="Arial" w:cs="Arial"/>
          <w:sz w:val="20"/>
          <w:szCs w:val="20"/>
        </w:rPr>
        <w:t xml:space="preserve">to the </w:t>
      </w:r>
      <w:r w:rsidRPr="00EB5A59" w:rsidDel="00B93A7E">
        <w:rPr>
          <w:rFonts w:ascii="Arial" w:hAnsi="Arial" w:cs="Arial"/>
          <w:sz w:val="20"/>
          <w:szCs w:val="20"/>
        </w:rPr>
        <w:t>manufacturer or importer</w:t>
      </w:r>
      <w:r>
        <w:rPr>
          <w:rFonts w:ascii="Arial" w:hAnsi="Arial" w:cs="Arial"/>
          <w:sz w:val="20"/>
          <w:szCs w:val="20"/>
        </w:rPr>
        <w:t xml:space="preserve"> </w:t>
      </w:r>
      <w:r w:rsidR="0002065F" w:rsidRPr="00CB1A92">
        <w:rPr>
          <w:rFonts w:ascii="Arial" w:hAnsi="Arial" w:cs="Arial"/>
          <w:sz w:val="20"/>
          <w:szCs w:val="20"/>
        </w:rPr>
        <w:t>as soon as practicable a</w:t>
      </w:r>
      <w:r w:rsidR="00794E81">
        <w:rPr>
          <w:rFonts w:ascii="Arial" w:hAnsi="Arial" w:cs="Arial"/>
          <w:sz w:val="20"/>
          <w:szCs w:val="20"/>
        </w:rPr>
        <w:t>nd in any event within 60 days</w:t>
      </w:r>
      <w:r w:rsidR="008728B6">
        <w:rPr>
          <w:rFonts w:ascii="Arial" w:hAnsi="Arial" w:cs="Arial"/>
          <w:sz w:val="20"/>
          <w:szCs w:val="20"/>
        </w:rPr>
        <w:t xml:space="preserve"> after receiving the document or material</w:t>
      </w:r>
      <w:r w:rsidR="00794E81">
        <w:rPr>
          <w:rFonts w:ascii="Arial" w:hAnsi="Arial" w:cs="Arial"/>
          <w:sz w:val="20"/>
          <w:szCs w:val="20"/>
        </w:rPr>
        <w:t>.</w:t>
      </w:r>
    </w:p>
    <w:p w14:paraId="67E19ACD" w14:textId="610711BC" w:rsidR="000432A3" w:rsidRDefault="000432A3" w:rsidP="00794E81">
      <w:pPr>
        <w:spacing w:before="240" w:after="80" w:line="240" w:lineRule="atLeast"/>
        <w:jc w:val="both"/>
        <w:rPr>
          <w:rFonts w:ascii="Arial" w:hAnsi="Arial" w:cs="Arial"/>
          <w:b/>
          <w:sz w:val="20"/>
          <w:szCs w:val="20"/>
        </w:rPr>
      </w:pPr>
      <w:r>
        <w:rPr>
          <w:rFonts w:ascii="Arial" w:hAnsi="Arial" w:cs="Arial"/>
          <w:b/>
          <w:sz w:val="20"/>
          <w:szCs w:val="20"/>
        </w:rPr>
        <w:t>Section 2</w:t>
      </w:r>
      <w:r w:rsidR="00B93A7E">
        <w:rPr>
          <w:rFonts w:ascii="Arial" w:hAnsi="Arial" w:cs="Arial"/>
          <w:b/>
          <w:sz w:val="20"/>
          <w:szCs w:val="20"/>
        </w:rPr>
        <w:t>7</w:t>
      </w:r>
      <w:r>
        <w:rPr>
          <w:rFonts w:ascii="Arial" w:hAnsi="Arial" w:cs="Arial"/>
          <w:b/>
          <w:sz w:val="20"/>
          <w:szCs w:val="20"/>
        </w:rPr>
        <w:tab/>
        <w:t xml:space="preserve">Authorised officer may require an endorsed test report or statement </w:t>
      </w:r>
    </w:p>
    <w:p w14:paraId="39B597FA" w14:textId="3E7C70B5" w:rsidR="00175F59" w:rsidRDefault="002A7824" w:rsidP="00794E81">
      <w:pPr>
        <w:spacing w:after="200"/>
        <w:ind w:right="237"/>
        <w:rPr>
          <w:rFonts w:ascii="Arial" w:hAnsi="Arial" w:cs="Arial"/>
          <w:sz w:val="20"/>
          <w:szCs w:val="20"/>
        </w:rPr>
      </w:pPr>
      <w:r>
        <w:rPr>
          <w:rFonts w:ascii="Arial" w:hAnsi="Arial" w:cs="Arial"/>
          <w:sz w:val="20"/>
          <w:szCs w:val="20"/>
        </w:rPr>
        <w:t xml:space="preserve">Subsection (1) </w:t>
      </w:r>
      <w:r w:rsidR="00175F59">
        <w:rPr>
          <w:rFonts w:ascii="Arial" w:hAnsi="Arial" w:cs="Arial"/>
          <w:sz w:val="20"/>
          <w:szCs w:val="20"/>
        </w:rPr>
        <w:t>provides that if an authorised officer believes that the items included</w:t>
      </w:r>
      <w:r>
        <w:rPr>
          <w:rFonts w:ascii="Arial" w:hAnsi="Arial" w:cs="Arial"/>
          <w:sz w:val="20"/>
          <w:szCs w:val="20"/>
        </w:rPr>
        <w:t>, or claimed to be included,</w:t>
      </w:r>
      <w:r w:rsidR="00175F59">
        <w:rPr>
          <w:rFonts w:ascii="Arial" w:hAnsi="Arial" w:cs="Arial"/>
          <w:sz w:val="20"/>
          <w:szCs w:val="20"/>
        </w:rPr>
        <w:t xml:space="preserve"> in a class of items do not comply with an applicable technical standard in</w:t>
      </w:r>
      <w:r w:rsidR="00286990">
        <w:rPr>
          <w:rFonts w:ascii="Arial" w:hAnsi="Arial" w:cs="Arial"/>
          <w:sz w:val="20"/>
          <w:szCs w:val="20"/>
        </w:rPr>
        <w:t xml:space="preserve"> relation to the items, then the </w:t>
      </w:r>
      <w:r>
        <w:rPr>
          <w:rFonts w:ascii="Arial" w:hAnsi="Arial" w:cs="Arial"/>
          <w:sz w:val="20"/>
          <w:szCs w:val="20"/>
        </w:rPr>
        <w:t xml:space="preserve">authorised </w:t>
      </w:r>
      <w:r w:rsidR="00286990">
        <w:rPr>
          <w:rFonts w:ascii="Arial" w:hAnsi="Arial" w:cs="Arial"/>
          <w:sz w:val="20"/>
          <w:szCs w:val="20"/>
        </w:rPr>
        <w:t xml:space="preserve">officer can, </w:t>
      </w:r>
      <w:r>
        <w:rPr>
          <w:rFonts w:ascii="Arial" w:hAnsi="Arial" w:cs="Arial"/>
          <w:sz w:val="20"/>
          <w:szCs w:val="20"/>
        </w:rPr>
        <w:t>by</w:t>
      </w:r>
      <w:r w:rsidR="00286990">
        <w:rPr>
          <w:rFonts w:ascii="Arial" w:hAnsi="Arial" w:cs="Arial"/>
          <w:sz w:val="20"/>
          <w:szCs w:val="20"/>
        </w:rPr>
        <w:t xml:space="preserve"> </w:t>
      </w:r>
      <w:r w:rsidR="00EB355B">
        <w:rPr>
          <w:rFonts w:ascii="Arial" w:hAnsi="Arial" w:cs="Arial"/>
          <w:sz w:val="20"/>
          <w:szCs w:val="20"/>
        </w:rPr>
        <w:t>written notice</w:t>
      </w:r>
      <w:r>
        <w:rPr>
          <w:rFonts w:ascii="Arial" w:hAnsi="Arial" w:cs="Arial"/>
          <w:sz w:val="20"/>
          <w:szCs w:val="20"/>
        </w:rPr>
        <w:t xml:space="preserve"> given to the supplier of the items</w:t>
      </w:r>
      <w:r w:rsidR="00286990">
        <w:rPr>
          <w:rFonts w:ascii="Arial" w:hAnsi="Arial" w:cs="Arial"/>
          <w:sz w:val="20"/>
          <w:szCs w:val="20"/>
        </w:rPr>
        <w:t xml:space="preserve">, require </w:t>
      </w:r>
      <w:r w:rsidR="006B0018">
        <w:rPr>
          <w:rFonts w:ascii="Arial" w:hAnsi="Arial" w:cs="Arial"/>
          <w:sz w:val="20"/>
          <w:szCs w:val="20"/>
        </w:rPr>
        <w:t xml:space="preserve">the supplier </w:t>
      </w:r>
      <w:r w:rsidR="00286990">
        <w:rPr>
          <w:rFonts w:ascii="Arial" w:hAnsi="Arial" w:cs="Arial"/>
          <w:sz w:val="20"/>
          <w:szCs w:val="20"/>
        </w:rPr>
        <w:t xml:space="preserve"> to produce </w:t>
      </w:r>
      <w:r>
        <w:rPr>
          <w:rFonts w:ascii="Arial" w:hAnsi="Arial" w:cs="Arial"/>
          <w:sz w:val="20"/>
          <w:szCs w:val="20"/>
        </w:rPr>
        <w:t>to the authorised officer</w:t>
      </w:r>
      <w:r w:rsidR="00286990">
        <w:rPr>
          <w:rFonts w:ascii="Arial" w:hAnsi="Arial" w:cs="Arial"/>
          <w:sz w:val="20"/>
          <w:szCs w:val="20"/>
        </w:rPr>
        <w:t xml:space="preserve"> a</w:t>
      </w:r>
      <w:r>
        <w:rPr>
          <w:rFonts w:ascii="Arial" w:hAnsi="Arial" w:cs="Arial"/>
          <w:sz w:val="20"/>
          <w:szCs w:val="20"/>
        </w:rPr>
        <w:t>n endorsed</w:t>
      </w:r>
      <w:r w:rsidR="00286990">
        <w:rPr>
          <w:rFonts w:ascii="Arial" w:hAnsi="Arial" w:cs="Arial"/>
          <w:sz w:val="20"/>
          <w:szCs w:val="20"/>
        </w:rPr>
        <w:t xml:space="preserve"> test report</w:t>
      </w:r>
      <w:r>
        <w:rPr>
          <w:rFonts w:ascii="Arial" w:hAnsi="Arial" w:cs="Arial"/>
          <w:sz w:val="20"/>
          <w:szCs w:val="20"/>
        </w:rPr>
        <w:t>,</w:t>
      </w:r>
      <w:r w:rsidR="00286990">
        <w:rPr>
          <w:rFonts w:ascii="Arial" w:hAnsi="Arial" w:cs="Arial"/>
          <w:sz w:val="20"/>
          <w:szCs w:val="20"/>
        </w:rPr>
        <w:t xml:space="preserve"> or a written statement prepared by a certification body</w:t>
      </w:r>
      <w:r>
        <w:rPr>
          <w:rFonts w:ascii="Arial" w:hAnsi="Arial" w:cs="Arial"/>
          <w:sz w:val="20"/>
          <w:szCs w:val="20"/>
        </w:rPr>
        <w:t>,</w:t>
      </w:r>
      <w:r w:rsidR="00286990">
        <w:rPr>
          <w:rFonts w:ascii="Arial" w:hAnsi="Arial" w:cs="Arial"/>
          <w:sz w:val="20"/>
          <w:szCs w:val="20"/>
        </w:rPr>
        <w:t xml:space="preserve"> stating whether </w:t>
      </w:r>
      <w:r w:rsidR="00492C86">
        <w:rPr>
          <w:rFonts w:ascii="Arial" w:hAnsi="Arial" w:cs="Arial"/>
          <w:sz w:val="20"/>
          <w:szCs w:val="20"/>
        </w:rPr>
        <w:t>a sample of three</w:t>
      </w:r>
      <w:r>
        <w:rPr>
          <w:rFonts w:ascii="Arial" w:hAnsi="Arial" w:cs="Arial"/>
          <w:sz w:val="20"/>
          <w:szCs w:val="20"/>
        </w:rPr>
        <w:t xml:space="preserve">, or fewer than three, of the </w:t>
      </w:r>
      <w:r w:rsidR="00286990">
        <w:rPr>
          <w:rFonts w:ascii="Arial" w:hAnsi="Arial" w:cs="Arial"/>
          <w:sz w:val="20"/>
          <w:szCs w:val="20"/>
        </w:rPr>
        <w:t>items compl</w:t>
      </w:r>
      <w:r w:rsidR="00794E81">
        <w:rPr>
          <w:rFonts w:ascii="Arial" w:hAnsi="Arial" w:cs="Arial"/>
          <w:sz w:val="20"/>
          <w:szCs w:val="20"/>
        </w:rPr>
        <w:t>y with the applicable</w:t>
      </w:r>
      <w:r w:rsidR="006B0018">
        <w:rPr>
          <w:rFonts w:ascii="Arial" w:hAnsi="Arial" w:cs="Arial"/>
          <w:sz w:val="20"/>
          <w:szCs w:val="20"/>
        </w:rPr>
        <w:t xml:space="preserve"> techn</w:t>
      </w:r>
      <w:r w:rsidR="005265EA">
        <w:rPr>
          <w:rFonts w:ascii="Arial" w:hAnsi="Arial" w:cs="Arial"/>
          <w:sz w:val="20"/>
          <w:szCs w:val="20"/>
        </w:rPr>
        <w:t>i</w:t>
      </w:r>
      <w:r w:rsidR="006B0018">
        <w:rPr>
          <w:rFonts w:ascii="Arial" w:hAnsi="Arial" w:cs="Arial"/>
          <w:sz w:val="20"/>
          <w:szCs w:val="20"/>
        </w:rPr>
        <w:t>cal</w:t>
      </w:r>
      <w:r w:rsidR="00794E81">
        <w:rPr>
          <w:rFonts w:ascii="Arial" w:hAnsi="Arial" w:cs="Arial"/>
          <w:sz w:val="20"/>
          <w:szCs w:val="20"/>
        </w:rPr>
        <w:t xml:space="preserve"> standard.</w:t>
      </w:r>
    </w:p>
    <w:p w14:paraId="05B8F479" w14:textId="2961FAB5" w:rsidR="00180646" w:rsidRDefault="00261635" w:rsidP="00794E81">
      <w:pPr>
        <w:spacing w:after="200"/>
        <w:ind w:right="237"/>
        <w:rPr>
          <w:rFonts w:ascii="Arial" w:hAnsi="Arial" w:cs="Arial"/>
          <w:sz w:val="20"/>
          <w:szCs w:val="20"/>
        </w:rPr>
      </w:pPr>
      <w:r>
        <w:rPr>
          <w:rFonts w:ascii="Arial" w:hAnsi="Arial" w:cs="Arial"/>
          <w:sz w:val="20"/>
          <w:szCs w:val="20"/>
        </w:rPr>
        <w:t xml:space="preserve">Subsection (2) provides that a </w:t>
      </w:r>
      <w:r w:rsidR="004D6207">
        <w:rPr>
          <w:rFonts w:ascii="Arial" w:hAnsi="Arial" w:cs="Arial"/>
          <w:sz w:val="20"/>
          <w:szCs w:val="20"/>
        </w:rPr>
        <w:t>supplier</w:t>
      </w:r>
      <w:r>
        <w:rPr>
          <w:rFonts w:ascii="Arial" w:hAnsi="Arial" w:cs="Arial"/>
          <w:sz w:val="20"/>
          <w:szCs w:val="20"/>
        </w:rPr>
        <w:t xml:space="preserve"> must comply with </w:t>
      </w:r>
      <w:r w:rsidR="005E4531">
        <w:rPr>
          <w:rFonts w:ascii="Arial" w:hAnsi="Arial" w:cs="Arial"/>
          <w:sz w:val="20"/>
          <w:szCs w:val="20"/>
        </w:rPr>
        <w:t xml:space="preserve">such </w:t>
      </w:r>
      <w:r>
        <w:rPr>
          <w:rFonts w:ascii="Arial" w:hAnsi="Arial" w:cs="Arial"/>
          <w:sz w:val="20"/>
          <w:szCs w:val="20"/>
        </w:rPr>
        <w:t xml:space="preserve">a </w:t>
      </w:r>
      <w:r w:rsidR="005E4531">
        <w:rPr>
          <w:rFonts w:ascii="Arial" w:hAnsi="Arial" w:cs="Arial"/>
          <w:sz w:val="20"/>
          <w:szCs w:val="20"/>
        </w:rPr>
        <w:t>notice</w:t>
      </w:r>
      <w:r>
        <w:rPr>
          <w:rFonts w:ascii="Arial" w:hAnsi="Arial" w:cs="Arial"/>
          <w:sz w:val="20"/>
          <w:szCs w:val="20"/>
        </w:rPr>
        <w:t xml:space="preserve"> within 30 working days </w:t>
      </w:r>
      <w:r w:rsidR="005E4531">
        <w:rPr>
          <w:rFonts w:ascii="Arial" w:hAnsi="Arial" w:cs="Arial"/>
          <w:sz w:val="20"/>
          <w:szCs w:val="20"/>
        </w:rPr>
        <w:t xml:space="preserve">(or such longer period as is specified in writing by an authorised officer) </w:t>
      </w:r>
      <w:r>
        <w:rPr>
          <w:rFonts w:ascii="Arial" w:hAnsi="Arial" w:cs="Arial"/>
          <w:sz w:val="20"/>
          <w:szCs w:val="20"/>
        </w:rPr>
        <w:t xml:space="preserve">after the </w:t>
      </w:r>
      <w:r w:rsidR="005E4531">
        <w:rPr>
          <w:rFonts w:ascii="Arial" w:hAnsi="Arial" w:cs="Arial"/>
          <w:sz w:val="20"/>
          <w:szCs w:val="20"/>
        </w:rPr>
        <w:t>day the</w:t>
      </w:r>
      <w:r>
        <w:rPr>
          <w:rFonts w:ascii="Arial" w:hAnsi="Arial" w:cs="Arial"/>
          <w:sz w:val="20"/>
          <w:szCs w:val="20"/>
        </w:rPr>
        <w:t xml:space="preserve"> notice is received. </w:t>
      </w:r>
    </w:p>
    <w:p w14:paraId="1D08B9DF" w14:textId="7E722C66" w:rsidR="00261635" w:rsidRDefault="00261635" w:rsidP="00794E81">
      <w:pPr>
        <w:spacing w:after="200"/>
        <w:ind w:right="237"/>
        <w:rPr>
          <w:rFonts w:ascii="Arial" w:hAnsi="Arial" w:cs="Arial"/>
          <w:sz w:val="20"/>
          <w:szCs w:val="20"/>
        </w:rPr>
      </w:pPr>
      <w:r>
        <w:rPr>
          <w:rFonts w:ascii="Arial" w:hAnsi="Arial" w:cs="Arial"/>
          <w:sz w:val="20"/>
          <w:szCs w:val="20"/>
        </w:rPr>
        <w:t xml:space="preserve">Subsection (3) </w:t>
      </w:r>
      <w:r w:rsidR="005E4531">
        <w:rPr>
          <w:rFonts w:ascii="Arial" w:hAnsi="Arial" w:cs="Arial"/>
          <w:sz w:val="20"/>
          <w:szCs w:val="20"/>
        </w:rPr>
        <w:t xml:space="preserve">provides </w:t>
      </w:r>
      <w:r>
        <w:rPr>
          <w:rFonts w:ascii="Arial" w:hAnsi="Arial" w:cs="Arial"/>
          <w:sz w:val="20"/>
          <w:szCs w:val="20"/>
        </w:rPr>
        <w:t xml:space="preserve">that the ACMA is not liable for any costs incurred by the </w:t>
      </w:r>
      <w:r w:rsidR="004D6207">
        <w:rPr>
          <w:rFonts w:ascii="Arial" w:hAnsi="Arial" w:cs="Arial"/>
          <w:sz w:val="20"/>
          <w:szCs w:val="20"/>
        </w:rPr>
        <w:t>supplier</w:t>
      </w:r>
      <w:r>
        <w:rPr>
          <w:rFonts w:ascii="Arial" w:hAnsi="Arial" w:cs="Arial"/>
          <w:sz w:val="20"/>
          <w:szCs w:val="20"/>
        </w:rPr>
        <w:t xml:space="preserve"> in complying with t</w:t>
      </w:r>
      <w:r w:rsidR="00794E81">
        <w:rPr>
          <w:rFonts w:ascii="Arial" w:hAnsi="Arial" w:cs="Arial"/>
          <w:sz w:val="20"/>
          <w:szCs w:val="20"/>
        </w:rPr>
        <w:t>he notice.</w:t>
      </w:r>
    </w:p>
    <w:p w14:paraId="77D41291" w14:textId="0CD91F0C" w:rsidR="000432A3" w:rsidRDefault="000432A3" w:rsidP="00794E81">
      <w:pPr>
        <w:spacing w:after="200" w:line="240" w:lineRule="atLeast"/>
        <w:jc w:val="center"/>
        <w:rPr>
          <w:rFonts w:ascii="Arial" w:hAnsi="Arial" w:cs="Arial"/>
          <w:b/>
        </w:rPr>
      </w:pPr>
      <w:r>
        <w:rPr>
          <w:rFonts w:ascii="Arial" w:hAnsi="Arial" w:cs="Arial"/>
          <w:b/>
        </w:rPr>
        <w:t>Part 7 – Savings and transitional arrangements</w:t>
      </w:r>
    </w:p>
    <w:p w14:paraId="1DD93406" w14:textId="77777777" w:rsidR="000432A3" w:rsidRDefault="000432A3" w:rsidP="00794E81">
      <w:pPr>
        <w:spacing w:before="240" w:after="120" w:line="240" w:lineRule="atLeast"/>
        <w:jc w:val="both"/>
        <w:rPr>
          <w:rFonts w:ascii="Arial" w:hAnsi="Arial" w:cs="Arial"/>
          <w:b/>
          <w:sz w:val="22"/>
          <w:szCs w:val="22"/>
        </w:rPr>
      </w:pPr>
      <w:r>
        <w:rPr>
          <w:rFonts w:ascii="Arial" w:hAnsi="Arial" w:cs="Arial"/>
          <w:b/>
          <w:sz w:val="22"/>
          <w:szCs w:val="22"/>
        </w:rPr>
        <w:t xml:space="preserve">Division 1 – Transitional arrangements in relation to the previous Notice </w:t>
      </w:r>
    </w:p>
    <w:p w14:paraId="30AD7AA9" w14:textId="5636DEE0" w:rsidR="000432A3" w:rsidRDefault="000432A3" w:rsidP="00794E81">
      <w:pPr>
        <w:spacing w:before="240" w:after="80" w:line="240" w:lineRule="atLeast"/>
        <w:ind w:left="1440" w:hanging="1440"/>
        <w:jc w:val="both"/>
        <w:rPr>
          <w:rFonts w:ascii="Arial" w:hAnsi="Arial" w:cs="Arial"/>
          <w:b/>
          <w:sz w:val="20"/>
          <w:szCs w:val="20"/>
        </w:rPr>
      </w:pPr>
      <w:r>
        <w:rPr>
          <w:rFonts w:ascii="Arial" w:hAnsi="Arial" w:cs="Arial"/>
          <w:b/>
          <w:sz w:val="20"/>
          <w:szCs w:val="20"/>
        </w:rPr>
        <w:t>Section 2</w:t>
      </w:r>
      <w:r w:rsidR="006B0018">
        <w:rPr>
          <w:rFonts w:ascii="Arial" w:hAnsi="Arial" w:cs="Arial"/>
          <w:b/>
          <w:sz w:val="20"/>
          <w:szCs w:val="20"/>
        </w:rPr>
        <w:t>8</w:t>
      </w:r>
      <w:r>
        <w:rPr>
          <w:rFonts w:ascii="Arial" w:hAnsi="Arial" w:cs="Arial"/>
          <w:b/>
          <w:sz w:val="20"/>
          <w:szCs w:val="20"/>
        </w:rPr>
        <w:t xml:space="preserve"> </w:t>
      </w:r>
      <w:r>
        <w:rPr>
          <w:rFonts w:ascii="Arial" w:hAnsi="Arial" w:cs="Arial"/>
          <w:b/>
          <w:sz w:val="20"/>
          <w:szCs w:val="20"/>
        </w:rPr>
        <w:tab/>
        <w:t xml:space="preserve">Item labelled in accordance with previous Notice no later than two years after commencement </w:t>
      </w:r>
    </w:p>
    <w:p w14:paraId="14F09469" w14:textId="56714DD5" w:rsidR="00EA5A1B" w:rsidRDefault="00EA5A1B" w:rsidP="009B3FDC">
      <w:pPr>
        <w:spacing w:after="200" w:line="240" w:lineRule="atLeast"/>
        <w:jc w:val="both"/>
        <w:rPr>
          <w:rFonts w:ascii="Arial" w:hAnsi="Arial" w:cs="Arial"/>
          <w:sz w:val="20"/>
          <w:szCs w:val="20"/>
        </w:rPr>
      </w:pPr>
      <w:r>
        <w:rPr>
          <w:rFonts w:ascii="Arial" w:hAnsi="Arial" w:cs="Arial"/>
          <w:sz w:val="20"/>
          <w:szCs w:val="20"/>
        </w:rPr>
        <w:t>Subsection (1) provides that s</w:t>
      </w:r>
      <w:r w:rsidR="00741DBA" w:rsidRPr="00741DBA">
        <w:rPr>
          <w:rFonts w:ascii="Arial" w:hAnsi="Arial" w:cs="Arial"/>
          <w:sz w:val="20"/>
          <w:szCs w:val="20"/>
        </w:rPr>
        <w:t>ection 2</w:t>
      </w:r>
      <w:r w:rsidR="006B0018">
        <w:rPr>
          <w:rFonts w:ascii="Arial" w:hAnsi="Arial" w:cs="Arial"/>
          <w:sz w:val="20"/>
          <w:szCs w:val="20"/>
        </w:rPr>
        <w:t>8</w:t>
      </w:r>
      <w:r w:rsidR="00741DBA">
        <w:rPr>
          <w:rFonts w:ascii="Arial" w:hAnsi="Arial" w:cs="Arial"/>
          <w:sz w:val="20"/>
          <w:szCs w:val="20"/>
        </w:rPr>
        <w:t xml:space="preserve"> </w:t>
      </w:r>
      <w:r>
        <w:rPr>
          <w:rFonts w:ascii="Arial" w:hAnsi="Arial" w:cs="Arial"/>
          <w:sz w:val="20"/>
          <w:szCs w:val="20"/>
        </w:rPr>
        <w:t xml:space="preserve">applies to </w:t>
      </w:r>
      <w:r w:rsidR="00741DBA">
        <w:rPr>
          <w:rFonts w:ascii="Arial" w:hAnsi="Arial" w:cs="Arial"/>
          <w:sz w:val="20"/>
          <w:szCs w:val="20"/>
        </w:rPr>
        <w:t xml:space="preserve">an item that has been labelled in accordance </w:t>
      </w:r>
      <w:r w:rsidR="009B3FDC">
        <w:rPr>
          <w:rFonts w:ascii="Arial" w:hAnsi="Arial" w:cs="Arial"/>
          <w:sz w:val="20"/>
          <w:szCs w:val="20"/>
        </w:rPr>
        <w:t xml:space="preserve">with the 2001 </w:t>
      </w:r>
      <w:r w:rsidR="005B7271">
        <w:rPr>
          <w:rFonts w:ascii="Arial" w:hAnsi="Arial" w:cs="Arial"/>
          <w:sz w:val="20"/>
          <w:szCs w:val="20"/>
        </w:rPr>
        <w:t xml:space="preserve">Labelling Notice within two years </w:t>
      </w:r>
      <w:r w:rsidR="00BD25FB">
        <w:rPr>
          <w:rFonts w:ascii="Arial" w:hAnsi="Arial" w:cs="Arial"/>
          <w:sz w:val="20"/>
          <w:szCs w:val="20"/>
        </w:rPr>
        <w:t>after</w:t>
      </w:r>
      <w:r w:rsidR="005B7271">
        <w:rPr>
          <w:rFonts w:ascii="Arial" w:hAnsi="Arial" w:cs="Arial"/>
          <w:sz w:val="20"/>
          <w:szCs w:val="20"/>
        </w:rPr>
        <w:t xml:space="preserve"> the commencement of the 2015 Notice</w:t>
      </w:r>
      <w:r>
        <w:rPr>
          <w:rFonts w:ascii="Arial" w:hAnsi="Arial" w:cs="Arial"/>
          <w:sz w:val="20"/>
          <w:szCs w:val="20"/>
        </w:rPr>
        <w:t>.</w:t>
      </w:r>
    </w:p>
    <w:p w14:paraId="1293975F" w14:textId="791CD1C6" w:rsidR="00EA5A1B" w:rsidRDefault="00EA5A1B" w:rsidP="009B3FDC">
      <w:pPr>
        <w:spacing w:after="200" w:line="240" w:lineRule="atLeast"/>
        <w:jc w:val="both"/>
        <w:rPr>
          <w:rFonts w:ascii="Arial" w:hAnsi="Arial" w:cs="Arial"/>
          <w:sz w:val="20"/>
          <w:szCs w:val="20"/>
        </w:rPr>
      </w:pPr>
      <w:r>
        <w:rPr>
          <w:rFonts w:ascii="Arial" w:hAnsi="Arial" w:cs="Arial"/>
          <w:sz w:val="20"/>
          <w:szCs w:val="20"/>
        </w:rPr>
        <w:lastRenderedPageBreak/>
        <w:t>Subsection (2) provides that the supplier of the item is taken to have met all the requirements of the 2015 Notice in relation to the application of the label. The item</w:t>
      </w:r>
      <w:r w:rsidR="009B3FDC">
        <w:rPr>
          <w:rFonts w:ascii="Arial" w:hAnsi="Arial" w:cs="Arial"/>
          <w:sz w:val="20"/>
          <w:szCs w:val="20"/>
        </w:rPr>
        <w:t xml:space="preserve"> </w:t>
      </w:r>
      <w:r w:rsidR="005B7271">
        <w:rPr>
          <w:rFonts w:ascii="Arial" w:hAnsi="Arial" w:cs="Arial"/>
          <w:sz w:val="20"/>
          <w:szCs w:val="20"/>
        </w:rPr>
        <w:t>can be supplied</w:t>
      </w:r>
      <w:r w:rsidR="00BD25FB">
        <w:rPr>
          <w:rFonts w:ascii="Arial" w:hAnsi="Arial" w:cs="Arial"/>
          <w:sz w:val="20"/>
          <w:szCs w:val="20"/>
        </w:rPr>
        <w:t xml:space="preserve"> at any time without </w:t>
      </w:r>
      <w:r w:rsidR="00EB355B">
        <w:rPr>
          <w:rFonts w:ascii="Arial" w:hAnsi="Arial" w:cs="Arial"/>
          <w:sz w:val="20"/>
          <w:szCs w:val="20"/>
        </w:rPr>
        <w:t>being in</w:t>
      </w:r>
      <w:r>
        <w:rPr>
          <w:rFonts w:ascii="Arial" w:hAnsi="Arial" w:cs="Arial"/>
          <w:sz w:val="20"/>
          <w:szCs w:val="20"/>
        </w:rPr>
        <w:t xml:space="preserve"> breach of those requirements</w:t>
      </w:r>
      <w:r w:rsidR="005B7271">
        <w:rPr>
          <w:rFonts w:ascii="Arial" w:hAnsi="Arial" w:cs="Arial"/>
          <w:sz w:val="20"/>
          <w:szCs w:val="20"/>
        </w:rPr>
        <w:t xml:space="preserve">. </w:t>
      </w:r>
    </w:p>
    <w:p w14:paraId="19E6A9F9" w14:textId="46FCA77F" w:rsidR="00741DBA" w:rsidRPr="00741DBA" w:rsidRDefault="00EA5A1B" w:rsidP="009B3FDC">
      <w:pPr>
        <w:spacing w:after="200" w:line="240" w:lineRule="atLeast"/>
        <w:jc w:val="both"/>
        <w:rPr>
          <w:rFonts w:ascii="Arial" w:hAnsi="Arial" w:cs="Arial"/>
          <w:sz w:val="20"/>
          <w:szCs w:val="20"/>
        </w:rPr>
      </w:pPr>
      <w:r>
        <w:rPr>
          <w:rFonts w:ascii="Arial" w:hAnsi="Arial" w:cs="Arial"/>
          <w:sz w:val="20"/>
          <w:szCs w:val="20"/>
        </w:rPr>
        <w:t>Subsection (3) provides that</w:t>
      </w:r>
      <w:r w:rsidR="00BD25FB">
        <w:rPr>
          <w:rFonts w:ascii="Arial" w:hAnsi="Arial" w:cs="Arial"/>
          <w:sz w:val="20"/>
          <w:szCs w:val="20"/>
        </w:rPr>
        <w:t xml:space="preserve"> the supplier</w:t>
      </w:r>
      <w:r w:rsidR="005265EA">
        <w:rPr>
          <w:rFonts w:ascii="Arial" w:hAnsi="Arial" w:cs="Arial"/>
          <w:sz w:val="20"/>
          <w:szCs w:val="20"/>
        </w:rPr>
        <w:t xml:space="preserve"> </w:t>
      </w:r>
      <w:r>
        <w:rPr>
          <w:rFonts w:ascii="Arial" w:hAnsi="Arial" w:cs="Arial"/>
          <w:sz w:val="20"/>
          <w:szCs w:val="20"/>
        </w:rPr>
        <w:t>must</w:t>
      </w:r>
      <w:r w:rsidR="005265EA">
        <w:rPr>
          <w:rFonts w:ascii="Arial" w:hAnsi="Arial" w:cs="Arial"/>
          <w:sz w:val="20"/>
          <w:szCs w:val="20"/>
        </w:rPr>
        <w:t xml:space="preserve"> </w:t>
      </w:r>
      <w:r w:rsidR="00BD25FB">
        <w:rPr>
          <w:rFonts w:ascii="Arial" w:hAnsi="Arial" w:cs="Arial"/>
          <w:sz w:val="20"/>
          <w:szCs w:val="20"/>
        </w:rPr>
        <w:t xml:space="preserve">comply with </w:t>
      </w:r>
      <w:r>
        <w:rPr>
          <w:rFonts w:ascii="Arial" w:hAnsi="Arial" w:cs="Arial"/>
          <w:sz w:val="20"/>
          <w:szCs w:val="20"/>
        </w:rPr>
        <w:t xml:space="preserve">any other </w:t>
      </w:r>
      <w:r w:rsidR="00BD25FB">
        <w:rPr>
          <w:rFonts w:ascii="Arial" w:hAnsi="Arial" w:cs="Arial"/>
          <w:sz w:val="20"/>
          <w:szCs w:val="20"/>
        </w:rPr>
        <w:t xml:space="preserve">requirements contained in the 2015 Notice </w:t>
      </w:r>
      <w:r>
        <w:rPr>
          <w:rFonts w:ascii="Arial" w:hAnsi="Arial" w:cs="Arial"/>
          <w:sz w:val="20"/>
          <w:szCs w:val="20"/>
        </w:rPr>
        <w:t xml:space="preserve">that apply in relation to the item </w:t>
      </w:r>
      <w:r w:rsidR="00BD25FB">
        <w:rPr>
          <w:rFonts w:ascii="Arial" w:hAnsi="Arial" w:cs="Arial"/>
          <w:sz w:val="20"/>
          <w:szCs w:val="20"/>
        </w:rPr>
        <w:t xml:space="preserve">or </w:t>
      </w:r>
      <w:r>
        <w:rPr>
          <w:rFonts w:ascii="Arial" w:hAnsi="Arial" w:cs="Arial"/>
          <w:sz w:val="20"/>
          <w:szCs w:val="20"/>
        </w:rPr>
        <w:t xml:space="preserve">any other </w:t>
      </w:r>
      <w:r w:rsidR="00BD25FB">
        <w:rPr>
          <w:rFonts w:ascii="Arial" w:hAnsi="Arial" w:cs="Arial"/>
          <w:sz w:val="20"/>
          <w:szCs w:val="20"/>
        </w:rPr>
        <w:t>requirements contained in the 2001 Labelling Notice</w:t>
      </w:r>
      <w:r>
        <w:rPr>
          <w:rFonts w:ascii="Arial" w:hAnsi="Arial" w:cs="Arial"/>
          <w:sz w:val="20"/>
          <w:szCs w:val="20"/>
        </w:rPr>
        <w:t xml:space="preserve"> that would have applied in relation to the item had it not been revoked. </w:t>
      </w:r>
    </w:p>
    <w:p w14:paraId="0A476CE1" w14:textId="14D50A01" w:rsidR="000432A3" w:rsidRDefault="000432A3" w:rsidP="00794E81">
      <w:pPr>
        <w:spacing w:before="240" w:after="120" w:line="240" w:lineRule="atLeast"/>
        <w:ind w:left="1440" w:hanging="1440"/>
        <w:jc w:val="both"/>
        <w:rPr>
          <w:rFonts w:ascii="Arial" w:hAnsi="Arial" w:cs="Arial"/>
          <w:b/>
          <w:sz w:val="22"/>
          <w:szCs w:val="22"/>
        </w:rPr>
      </w:pPr>
      <w:r>
        <w:rPr>
          <w:rFonts w:ascii="Arial" w:hAnsi="Arial" w:cs="Arial"/>
          <w:b/>
          <w:sz w:val="22"/>
          <w:szCs w:val="22"/>
        </w:rPr>
        <w:t xml:space="preserve">Division 2 – Transitional arrangements in relation to the use of the A-tick </w:t>
      </w:r>
    </w:p>
    <w:p w14:paraId="7128B227" w14:textId="532BC126" w:rsidR="000432A3" w:rsidRDefault="000432A3" w:rsidP="00794E81">
      <w:pPr>
        <w:spacing w:before="240" w:after="80" w:line="240" w:lineRule="atLeast"/>
        <w:ind w:left="1440" w:hanging="1440"/>
        <w:jc w:val="both"/>
        <w:rPr>
          <w:rFonts w:ascii="Arial" w:hAnsi="Arial" w:cs="Arial"/>
          <w:b/>
          <w:sz w:val="20"/>
          <w:szCs w:val="20"/>
        </w:rPr>
      </w:pPr>
      <w:r>
        <w:rPr>
          <w:rFonts w:ascii="Arial" w:hAnsi="Arial" w:cs="Arial"/>
          <w:b/>
          <w:sz w:val="20"/>
          <w:szCs w:val="20"/>
        </w:rPr>
        <w:t xml:space="preserve">Section </w:t>
      </w:r>
      <w:r w:rsidR="00BD25FB">
        <w:rPr>
          <w:rFonts w:ascii="Arial" w:hAnsi="Arial" w:cs="Arial"/>
          <w:b/>
          <w:sz w:val="20"/>
          <w:szCs w:val="20"/>
        </w:rPr>
        <w:t>29</w:t>
      </w:r>
      <w:r>
        <w:rPr>
          <w:rFonts w:ascii="Arial" w:hAnsi="Arial" w:cs="Arial"/>
          <w:b/>
          <w:sz w:val="20"/>
          <w:szCs w:val="20"/>
        </w:rPr>
        <w:tab/>
        <w:t xml:space="preserve">Manufacturer or importer may use the A-tick instead of the RCM </w:t>
      </w:r>
    </w:p>
    <w:p w14:paraId="414767C5" w14:textId="7170004D" w:rsidR="000432A3" w:rsidRPr="009B3FDC" w:rsidRDefault="009B3FDC" w:rsidP="002C4F1B">
      <w:pPr>
        <w:spacing w:after="200" w:line="240" w:lineRule="atLeast"/>
        <w:jc w:val="both"/>
        <w:rPr>
          <w:rFonts w:ascii="Arial" w:hAnsi="Arial" w:cs="Arial"/>
          <w:sz w:val="20"/>
          <w:szCs w:val="20"/>
        </w:rPr>
      </w:pPr>
      <w:r w:rsidRPr="009B3FDC">
        <w:rPr>
          <w:rFonts w:ascii="Arial" w:hAnsi="Arial" w:cs="Arial"/>
          <w:sz w:val="20"/>
          <w:szCs w:val="20"/>
        </w:rPr>
        <w:t>Section</w:t>
      </w:r>
      <w:r w:rsidRPr="009B3FDC" w:rsidDel="00483A07">
        <w:rPr>
          <w:rFonts w:ascii="Arial" w:hAnsi="Arial" w:cs="Arial"/>
          <w:sz w:val="20"/>
          <w:szCs w:val="20"/>
        </w:rPr>
        <w:t xml:space="preserve"> </w:t>
      </w:r>
      <w:r w:rsidR="00483A07" w:rsidRPr="009B3FDC">
        <w:rPr>
          <w:rFonts w:ascii="Arial" w:hAnsi="Arial" w:cs="Arial"/>
          <w:sz w:val="20"/>
          <w:szCs w:val="20"/>
        </w:rPr>
        <w:t>2</w:t>
      </w:r>
      <w:r w:rsidR="00483A07">
        <w:rPr>
          <w:rFonts w:ascii="Arial" w:hAnsi="Arial" w:cs="Arial"/>
          <w:sz w:val="20"/>
          <w:szCs w:val="20"/>
        </w:rPr>
        <w:t>9</w:t>
      </w:r>
      <w:r w:rsidR="00483A07" w:rsidRPr="009B3FDC">
        <w:rPr>
          <w:rFonts w:ascii="Arial" w:hAnsi="Arial" w:cs="Arial"/>
          <w:sz w:val="20"/>
          <w:szCs w:val="20"/>
        </w:rPr>
        <w:t xml:space="preserve"> </w:t>
      </w:r>
      <w:r w:rsidR="00B92DC3">
        <w:rPr>
          <w:rFonts w:ascii="Arial" w:hAnsi="Arial" w:cs="Arial"/>
          <w:sz w:val="20"/>
          <w:szCs w:val="20"/>
        </w:rPr>
        <w:t>provides that</w:t>
      </w:r>
      <w:r w:rsidR="00BD25FB">
        <w:rPr>
          <w:rFonts w:ascii="Arial" w:hAnsi="Arial" w:cs="Arial"/>
          <w:sz w:val="20"/>
          <w:szCs w:val="20"/>
        </w:rPr>
        <w:t xml:space="preserve"> </w:t>
      </w:r>
      <w:r w:rsidR="00492C86">
        <w:rPr>
          <w:rFonts w:ascii="Arial" w:hAnsi="Arial" w:cs="Arial"/>
          <w:sz w:val="20"/>
          <w:szCs w:val="20"/>
        </w:rPr>
        <w:t xml:space="preserve">a </w:t>
      </w:r>
      <w:r w:rsidR="00BD25FB">
        <w:rPr>
          <w:rFonts w:ascii="Arial" w:hAnsi="Arial" w:cs="Arial"/>
          <w:sz w:val="20"/>
          <w:szCs w:val="20"/>
        </w:rPr>
        <w:t>supplier</w:t>
      </w:r>
      <w:r w:rsidR="00492C86">
        <w:rPr>
          <w:rFonts w:ascii="Arial" w:hAnsi="Arial" w:cs="Arial"/>
          <w:sz w:val="20"/>
          <w:szCs w:val="20"/>
        </w:rPr>
        <w:t xml:space="preserve"> may use </w:t>
      </w:r>
      <w:r w:rsidR="00F77F0D">
        <w:rPr>
          <w:rFonts w:ascii="Arial" w:hAnsi="Arial" w:cs="Arial"/>
          <w:sz w:val="20"/>
          <w:szCs w:val="20"/>
        </w:rPr>
        <w:t xml:space="preserve">a compliance label in </w:t>
      </w:r>
      <w:r w:rsidR="00492C86">
        <w:rPr>
          <w:rFonts w:ascii="Arial" w:hAnsi="Arial" w:cs="Arial"/>
          <w:sz w:val="20"/>
          <w:szCs w:val="20"/>
        </w:rPr>
        <w:t xml:space="preserve">the </w:t>
      </w:r>
      <w:r w:rsidR="00F77F0D">
        <w:rPr>
          <w:rFonts w:ascii="Arial" w:hAnsi="Arial" w:cs="Arial"/>
          <w:sz w:val="20"/>
          <w:szCs w:val="20"/>
        </w:rPr>
        <w:t xml:space="preserve">form of </w:t>
      </w:r>
      <w:r w:rsidR="00492C86">
        <w:rPr>
          <w:rFonts w:ascii="Arial" w:hAnsi="Arial" w:cs="Arial"/>
          <w:sz w:val="20"/>
          <w:szCs w:val="20"/>
        </w:rPr>
        <w:t>the A-tick instead of the RCM</w:t>
      </w:r>
      <w:r w:rsidR="00BD25FB">
        <w:rPr>
          <w:rFonts w:ascii="Arial" w:hAnsi="Arial" w:cs="Arial"/>
          <w:sz w:val="20"/>
          <w:szCs w:val="20"/>
        </w:rPr>
        <w:t xml:space="preserve">, </w:t>
      </w:r>
      <w:r w:rsidR="00F77F0D">
        <w:rPr>
          <w:rFonts w:ascii="Arial" w:hAnsi="Arial" w:cs="Arial"/>
          <w:sz w:val="20"/>
          <w:szCs w:val="20"/>
        </w:rPr>
        <w:t xml:space="preserve">no smaller than 3 mm in height provided that </w:t>
      </w:r>
      <w:r w:rsidR="00492C86">
        <w:rPr>
          <w:rFonts w:ascii="Arial" w:hAnsi="Arial" w:cs="Arial"/>
          <w:sz w:val="20"/>
          <w:szCs w:val="20"/>
        </w:rPr>
        <w:t>the label is applied prior to 1 March 2016.</w:t>
      </w:r>
    </w:p>
    <w:p w14:paraId="6B64D618" w14:textId="412E2D64" w:rsidR="000432A3" w:rsidRDefault="000432A3" w:rsidP="00794E81">
      <w:pPr>
        <w:spacing w:before="240" w:after="120" w:line="240" w:lineRule="atLeast"/>
        <w:ind w:left="1440" w:hanging="1440"/>
        <w:rPr>
          <w:rFonts w:ascii="Arial" w:hAnsi="Arial" w:cs="Arial"/>
          <w:b/>
        </w:rPr>
      </w:pPr>
      <w:r w:rsidRPr="00731692">
        <w:rPr>
          <w:rFonts w:ascii="Arial" w:hAnsi="Arial" w:cs="Arial"/>
          <w:b/>
        </w:rPr>
        <w:t>Schedule 1 – Applicable technical standards for customer equipment (other than surge protectors)</w:t>
      </w:r>
    </w:p>
    <w:p w14:paraId="57A2970A" w14:textId="0C1F5848" w:rsidR="008430F3" w:rsidRDefault="008430F3" w:rsidP="0067735A">
      <w:pPr>
        <w:spacing w:after="200" w:line="240" w:lineRule="atLeast"/>
        <w:jc w:val="both"/>
        <w:rPr>
          <w:rFonts w:ascii="Arial" w:hAnsi="Arial" w:cs="Arial"/>
          <w:sz w:val="20"/>
          <w:szCs w:val="20"/>
        </w:rPr>
      </w:pPr>
      <w:r>
        <w:rPr>
          <w:rFonts w:ascii="Arial" w:hAnsi="Arial" w:cs="Arial"/>
          <w:sz w:val="20"/>
          <w:szCs w:val="20"/>
        </w:rPr>
        <w:t xml:space="preserve">The table in </w:t>
      </w:r>
      <w:r w:rsidR="0067735A">
        <w:rPr>
          <w:rFonts w:ascii="Arial" w:hAnsi="Arial" w:cs="Arial"/>
          <w:sz w:val="20"/>
          <w:szCs w:val="20"/>
        </w:rPr>
        <w:t xml:space="preserve">Schedule 1 specifies which </w:t>
      </w:r>
      <w:r w:rsidR="00BD25FB">
        <w:rPr>
          <w:rFonts w:ascii="Arial" w:hAnsi="Arial" w:cs="Arial"/>
          <w:sz w:val="20"/>
          <w:szCs w:val="20"/>
        </w:rPr>
        <w:t xml:space="preserve">ACMA </w:t>
      </w:r>
      <w:r w:rsidR="0067735A">
        <w:rPr>
          <w:rFonts w:ascii="Arial" w:hAnsi="Arial" w:cs="Arial"/>
          <w:sz w:val="20"/>
          <w:szCs w:val="20"/>
        </w:rPr>
        <w:t xml:space="preserve">standards apply to particular </w:t>
      </w:r>
      <w:r>
        <w:rPr>
          <w:rFonts w:ascii="Arial" w:hAnsi="Arial" w:cs="Arial"/>
          <w:sz w:val="20"/>
          <w:szCs w:val="20"/>
        </w:rPr>
        <w:t>kinds</w:t>
      </w:r>
      <w:r w:rsidR="0067735A">
        <w:rPr>
          <w:rFonts w:ascii="Arial" w:hAnsi="Arial" w:cs="Arial"/>
          <w:sz w:val="20"/>
          <w:szCs w:val="20"/>
        </w:rPr>
        <w:t xml:space="preserve"> of </w:t>
      </w:r>
      <w:r w:rsidR="00BD25FB">
        <w:rPr>
          <w:rFonts w:ascii="Arial" w:hAnsi="Arial" w:cs="Arial"/>
          <w:sz w:val="20"/>
          <w:szCs w:val="20"/>
        </w:rPr>
        <w:t>CE</w:t>
      </w:r>
      <w:r>
        <w:rPr>
          <w:rFonts w:ascii="Arial" w:hAnsi="Arial" w:cs="Arial"/>
          <w:sz w:val="20"/>
          <w:szCs w:val="20"/>
        </w:rPr>
        <w:t xml:space="preserve"> for the purposes of </w:t>
      </w:r>
      <w:r w:rsidR="005058CD">
        <w:rPr>
          <w:rFonts w:ascii="Arial" w:hAnsi="Arial" w:cs="Arial"/>
          <w:sz w:val="20"/>
          <w:szCs w:val="20"/>
        </w:rPr>
        <w:t>the 2015 Notice</w:t>
      </w:r>
      <w:r w:rsidR="0067735A">
        <w:rPr>
          <w:rFonts w:ascii="Arial" w:hAnsi="Arial" w:cs="Arial"/>
          <w:sz w:val="20"/>
          <w:szCs w:val="20"/>
        </w:rPr>
        <w:t>.</w:t>
      </w:r>
    </w:p>
    <w:p w14:paraId="3199DB3C" w14:textId="423F5D76" w:rsidR="0067735A" w:rsidRDefault="0067735A" w:rsidP="0067735A">
      <w:pPr>
        <w:spacing w:after="200" w:line="240" w:lineRule="atLeast"/>
        <w:jc w:val="both"/>
        <w:rPr>
          <w:rFonts w:ascii="Arial" w:hAnsi="Arial" w:cs="Arial"/>
          <w:sz w:val="20"/>
          <w:szCs w:val="20"/>
        </w:rPr>
      </w:pPr>
      <w:r>
        <w:rPr>
          <w:rFonts w:ascii="Arial" w:hAnsi="Arial" w:cs="Arial"/>
          <w:sz w:val="20"/>
          <w:szCs w:val="20"/>
        </w:rPr>
        <w:t xml:space="preserve">The </w:t>
      </w:r>
      <w:r w:rsidR="00EB355B">
        <w:rPr>
          <w:rFonts w:ascii="Arial" w:hAnsi="Arial" w:cs="Arial"/>
          <w:sz w:val="20"/>
          <w:szCs w:val="20"/>
        </w:rPr>
        <w:t>table also</w:t>
      </w:r>
      <w:r>
        <w:rPr>
          <w:rFonts w:ascii="Arial" w:hAnsi="Arial" w:cs="Arial"/>
          <w:sz w:val="20"/>
          <w:szCs w:val="20"/>
        </w:rPr>
        <w:t xml:space="preserve"> specifies which of these standards</w:t>
      </w:r>
      <w:r w:rsidR="005058CD">
        <w:rPr>
          <w:rFonts w:ascii="Arial" w:hAnsi="Arial" w:cs="Arial"/>
          <w:sz w:val="20"/>
          <w:szCs w:val="20"/>
        </w:rPr>
        <w:t xml:space="preserve"> are</w:t>
      </w:r>
      <w:r>
        <w:rPr>
          <w:rFonts w:ascii="Arial" w:hAnsi="Arial" w:cs="Arial"/>
          <w:sz w:val="20"/>
          <w:szCs w:val="20"/>
        </w:rPr>
        <w:t xml:space="preserve"> </w:t>
      </w:r>
      <w:r w:rsidR="00EB355B">
        <w:rPr>
          <w:rFonts w:ascii="Arial" w:hAnsi="Arial" w:cs="Arial"/>
          <w:sz w:val="20"/>
          <w:szCs w:val="20"/>
        </w:rPr>
        <w:t>high risk standards</w:t>
      </w:r>
      <w:r>
        <w:rPr>
          <w:rFonts w:ascii="Arial" w:hAnsi="Arial" w:cs="Arial"/>
          <w:sz w:val="20"/>
          <w:szCs w:val="20"/>
        </w:rPr>
        <w:t>.</w:t>
      </w:r>
    </w:p>
    <w:p w14:paraId="05609CE1" w14:textId="5FE26628" w:rsidR="0067735A" w:rsidRDefault="009B4E43" w:rsidP="0067735A">
      <w:pPr>
        <w:spacing w:after="200" w:line="240" w:lineRule="atLeast"/>
        <w:jc w:val="both"/>
        <w:rPr>
          <w:rFonts w:ascii="Arial" w:hAnsi="Arial" w:cs="Arial"/>
          <w:sz w:val="20"/>
          <w:szCs w:val="20"/>
        </w:rPr>
      </w:pPr>
      <w:r>
        <w:rPr>
          <w:rFonts w:ascii="Arial" w:hAnsi="Arial" w:cs="Arial"/>
          <w:sz w:val="20"/>
          <w:szCs w:val="20"/>
        </w:rPr>
        <w:t>A</w:t>
      </w:r>
      <w:r w:rsidR="0067735A">
        <w:rPr>
          <w:rFonts w:ascii="Arial" w:hAnsi="Arial" w:cs="Arial"/>
          <w:sz w:val="20"/>
          <w:szCs w:val="20"/>
        </w:rPr>
        <w:t>pplicable technical</w:t>
      </w:r>
      <w:r w:rsidR="0067735A" w:rsidRPr="0067735A">
        <w:rPr>
          <w:rFonts w:ascii="Arial" w:hAnsi="Arial" w:cs="Arial"/>
          <w:sz w:val="20"/>
          <w:szCs w:val="20"/>
        </w:rPr>
        <w:t xml:space="preserve"> </w:t>
      </w:r>
      <w:r w:rsidR="0067735A">
        <w:rPr>
          <w:rFonts w:ascii="Arial" w:hAnsi="Arial" w:cs="Arial"/>
          <w:sz w:val="20"/>
          <w:szCs w:val="20"/>
        </w:rPr>
        <w:t xml:space="preserve">standards </w:t>
      </w:r>
      <w:r w:rsidR="0067735A" w:rsidRPr="0067735A">
        <w:rPr>
          <w:rFonts w:ascii="Arial" w:hAnsi="Arial" w:cs="Arial"/>
          <w:sz w:val="20"/>
          <w:szCs w:val="20"/>
        </w:rPr>
        <w:t xml:space="preserve">that deal with </w:t>
      </w:r>
      <w:r w:rsidR="00CD7CF1">
        <w:rPr>
          <w:rFonts w:ascii="Arial" w:hAnsi="Arial" w:cs="Arial"/>
          <w:sz w:val="20"/>
          <w:szCs w:val="20"/>
        </w:rPr>
        <w:t>matters related to health and</w:t>
      </w:r>
      <w:r w:rsidR="0067735A" w:rsidRPr="0067735A">
        <w:rPr>
          <w:rFonts w:ascii="Arial" w:hAnsi="Arial" w:cs="Arial"/>
          <w:sz w:val="20"/>
          <w:szCs w:val="20"/>
        </w:rPr>
        <w:t xml:space="preserve"> safety are classified as high risk </w:t>
      </w:r>
      <w:r w:rsidR="005265EA">
        <w:rPr>
          <w:rFonts w:ascii="Arial" w:hAnsi="Arial" w:cs="Arial"/>
          <w:sz w:val="20"/>
          <w:szCs w:val="20"/>
        </w:rPr>
        <w:t>standard</w:t>
      </w:r>
      <w:r>
        <w:rPr>
          <w:rFonts w:ascii="Arial" w:hAnsi="Arial" w:cs="Arial"/>
          <w:sz w:val="20"/>
          <w:szCs w:val="20"/>
        </w:rPr>
        <w:t>s</w:t>
      </w:r>
      <w:r w:rsidR="0067735A" w:rsidRPr="0067735A">
        <w:rPr>
          <w:rFonts w:ascii="Arial" w:hAnsi="Arial" w:cs="Arial"/>
          <w:sz w:val="20"/>
          <w:szCs w:val="20"/>
        </w:rPr>
        <w:t>.</w:t>
      </w:r>
      <w:r w:rsidR="0067735A">
        <w:rPr>
          <w:rFonts w:ascii="Arial" w:hAnsi="Arial" w:cs="Arial"/>
          <w:sz w:val="20"/>
          <w:szCs w:val="20"/>
        </w:rPr>
        <w:t xml:space="preserve"> </w:t>
      </w:r>
      <w:r w:rsidR="008762EC">
        <w:rPr>
          <w:rFonts w:ascii="Arial" w:hAnsi="Arial" w:cs="Arial"/>
          <w:sz w:val="20"/>
          <w:szCs w:val="20"/>
        </w:rPr>
        <w:t xml:space="preserve">Examples of high risk standards are those that address electrical and acoustic safety. </w:t>
      </w:r>
      <w:r w:rsidR="008430F3">
        <w:rPr>
          <w:rFonts w:ascii="Arial" w:hAnsi="Arial" w:cs="Arial"/>
          <w:sz w:val="20"/>
          <w:szCs w:val="20"/>
        </w:rPr>
        <w:t>Such</w:t>
      </w:r>
      <w:r w:rsidR="0067735A">
        <w:rPr>
          <w:rFonts w:ascii="Arial" w:hAnsi="Arial" w:cs="Arial"/>
          <w:sz w:val="20"/>
          <w:szCs w:val="20"/>
        </w:rPr>
        <w:t xml:space="preserve"> standards have a clear safety remit.</w:t>
      </w:r>
      <w:r w:rsidR="008430F3">
        <w:rPr>
          <w:rStyle w:val="FootnoteReference"/>
          <w:rFonts w:ascii="Arial" w:hAnsi="Arial" w:cs="Arial"/>
          <w:sz w:val="20"/>
          <w:szCs w:val="20"/>
        </w:rPr>
        <w:footnoteReference w:id="5"/>
      </w:r>
      <w:r w:rsidR="008430F3">
        <w:rPr>
          <w:rFonts w:ascii="Arial" w:hAnsi="Arial" w:cs="Arial"/>
          <w:sz w:val="20"/>
          <w:szCs w:val="20"/>
        </w:rPr>
        <w:t xml:space="preserve"> </w:t>
      </w:r>
      <w:r w:rsidR="0067735A">
        <w:rPr>
          <w:rFonts w:ascii="Arial" w:hAnsi="Arial" w:cs="Arial"/>
          <w:sz w:val="20"/>
          <w:szCs w:val="20"/>
        </w:rPr>
        <w:t xml:space="preserve"> </w:t>
      </w:r>
    </w:p>
    <w:p w14:paraId="56BBDA62" w14:textId="19FFBE7F" w:rsidR="008430F3" w:rsidRDefault="0067735A" w:rsidP="0067735A">
      <w:pPr>
        <w:spacing w:after="200" w:line="240" w:lineRule="atLeast"/>
        <w:jc w:val="both"/>
        <w:rPr>
          <w:rFonts w:ascii="Arial" w:hAnsi="Arial" w:cs="Arial"/>
          <w:sz w:val="20"/>
          <w:szCs w:val="20"/>
        </w:rPr>
      </w:pPr>
      <w:r>
        <w:rPr>
          <w:rFonts w:ascii="Arial" w:hAnsi="Arial" w:cs="Arial"/>
          <w:sz w:val="20"/>
          <w:szCs w:val="20"/>
        </w:rPr>
        <w:t xml:space="preserve">In the table, a reference to a part of an applicable technical standard that relates to an industry standard is </w:t>
      </w:r>
      <w:r w:rsidR="008430F3">
        <w:rPr>
          <w:rFonts w:ascii="Arial" w:hAnsi="Arial" w:cs="Arial"/>
          <w:sz w:val="20"/>
          <w:szCs w:val="20"/>
        </w:rPr>
        <w:t xml:space="preserve">taken to be </w:t>
      </w:r>
      <w:r>
        <w:rPr>
          <w:rFonts w:ascii="Arial" w:hAnsi="Arial" w:cs="Arial"/>
          <w:sz w:val="20"/>
          <w:szCs w:val="20"/>
        </w:rPr>
        <w:t>a reference to the provisions of the applicable technical standard that require the item to comply with</w:t>
      </w:r>
      <w:r w:rsidR="00E263D9">
        <w:rPr>
          <w:rFonts w:ascii="Arial" w:hAnsi="Arial" w:cs="Arial"/>
          <w:sz w:val="20"/>
          <w:szCs w:val="20"/>
        </w:rPr>
        <w:t>:</w:t>
      </w:r>
    </w:p>
    <w:p w14:paraId="46F1E6D4" w14:textId="6192AE6E" w:rsidR="000B4522" w:rsidRDefault="008430F3" w:rsidP="004D6207">
      <w:pPr>
        <w:pStyle w:val="ListParagraph"/>
        <w:numPr>
          <w:ilvl w:val="0"/>
          <w:numId w:val="14"/>
        </w:numPr>
        <w:spacing w:after="200" w:line="240" w:lineRule="atLeast"/>
        <w:jc w:val="both"/>
        <w:rPr>
          <w:rFonts w:ascii="Arial" w:hAnsi="Arial" w:cs="Arial"/>
          <w:sz w:val="20"/>
          <w:szCs w:val="20"/>
        </w:rPr>
      </w:pPr>
      <w:r>
        <w:rPr>
          <w:rFonts w:ascii="Arial" w:hAnsi="Arial" w:cs="Arial"/>
          <w:sz w:val="20"/>
          <w:szCs w:val="20"/>
        </w:rPr>
        <w:t>if only part of the standard is mentioned - that</w:t>
      </w:r>
      <w:r w:rsidR="0067735A" w:rsidRPr="006A414F">
        <w:rPr>
          <w:rFonts w:ascii="Arial" w:hAnsi="Arial" w:cs="Arial"/>
          <w:sz w:val="20"/>
          <w:szCs w:val="20"/>
        </w:rPr>
        <w:t xml:space="preserve"> part of the industry standard as in force at any time</w:t>
      </w:r>
      <w:r>
        <w:rPr>
          <w:rFonts w:ascii="Arial" w:hAnsi="Arial" w:cs="Arial"/>
          <w:sz w:val="20"/>
          <w:szCs w:val="20"/>
        </w:rPr>
        <w:t xml:space="preserve"> specified</w:t>
      </w:r>
      <w:r w:rsidR="000B4522">
        <w:rPr>
          <w:rFonts w:ascii="Arial" w:hAnsi="Arial" w:cs="Arial"/>
          <w:sz w:val="20"/>
          <w:szCs w:val="20"/>
        </w:rPr>
        <w:t xml:space="preserve"> for the item, in the applicable technical standard or any corresponding part of a standard that replaces the industry standard</w:t>
      </w:r>
      <w:r w:rsidR="0067735A" w:rsidRPr="004D6207">
        <w:rPr>
          <w:rFonts w:ascii="Arial" w:hAnsi="Arial" w:cs="Arial"/>
          <w:sz w:val="20"/>
          <w:szCs w:val="20"/>
        </w:rPr>
        <w:t>; or</w:t>
      </w:r>
    </w:p>
    <w:p w14:paraId="0B3738AB" w14:textId="0B75F92E" w:rsidR="0067735A" w:rsidRPr="006A414F" w:rsidRDefault="009B4E43" w:rsidP="004D6207">
      <w:pPr>
        <w:pStyle w:val="ListParagraph"/>
        <w:numPr>
          <w:ilvl w:val="0"/>
          <w:numId w:val="14"/>
        </w:numPr>
        <w:spacing w:after="200" w:line="240" w:lineRule="atLeast"/>
        <w:jc w:val="both"/>
        <w:rPr>
          <w:rFonts w:ascii="Arial" w:hAnsi="Arial" w:cs="Arial"/>
          <w:sz w:val="20"/>
          <w:szCs w:val="20"/>
        </w:rPr>
      </w:pPr>
      <w:r>
        <w:rPr>
          <w:rFonts w:ascii="Arial" w:hAnsi="Arial" w:cs="Arial"/>
          <w:sz w:val="20"/>
          <w:szCs w:val="20"/>
        </w:rPr>
        <w:t>o</w:t>
      </w:r>
      <w:r w:rsidR="000B4522">
        <w:rPr>
          <w:rFonts w:ascii="Arial" w:hAnsi="Arial" w:cs="Arial"/>
          <w:sz w:val="20"/>
          <w:szCs w:val="20"/>
        </w:rPr>
        <w:t>therwise -</w:t>
      </w:r>
      <w:r w:rsidR="0067735A" w:rsidRPr="006A414F">
        <w:rPr>
          <w:rFonts w:ascii="Arial" w:hAnsi="Arial" w:cs="Arial"/>
          <w:sz w:val="20"/>
          <w:szCs w:val="20"/>
        </w:rPr>
        <w:t xml:space="preserve"> the industry standard as in force at any time</w:t>
      </w:r>
      <w:r w:rsidR="000B4522">
        <w:rPr>
          <w:rFonts w:ascii="Arial" w:hAnsi="Arial" w:cs="Arial"/>
          <w:sz w:val="20"/>
          <w:szCs w:val="20"/>
        </w:rPr>
        <w:t xml:space="preserve"> specified, for the item, in the applicable technical standard or any standard that replaces the industry standard</w:t>
      </w:r>
      <w:r w:rsidR="00DF73AB" w:rsidRPr="004D6207">
        <w:rPr>
          <w:rFonts w:ascii="Arial" w:hAnsi="Arial" w:cs="Arial"/>
          <w:sz w:val="20"/>
          <w:szCs w:val="20"/>
        </w:rPr>
        <w:t>.</w:t>
      </w:r>
      <w:r w:rsidR="00520698" w:rsidRPr="006A414F">
        <w:rPr>
          <w:rFonts w:ascii="Arial" w:hAnsi="Arial" w:cs="Arial"/>
          <w:sz w:val="20"/>
          <w:szCs w:val="20"/>
        </w:rPr>
        <w:t xml:space="preserve"> </w:t>
      </w:r>
    </w:p>
    <w:p w14:paraId="5F3159AE" w14:textId="3C9494BE" w:rsidR="00CE7403" w:rsidRDefault="00CE7403" w:rsidP="00794E81">
      <w:pPr>
        <w:spacing w:before="240" w:after="120" w:line="240" w:lineRule="atLeast"/>
        <w:ind w:left="1440" w:hanging="1440"/>
        <w:jc w:val="both"/>
        <w:rPr>
          <w:rFonts w:ascii="Arial" w:hAnsi="Arial" w:cs="Arial"/>
          <w:b/>
        </w:rPr>
      </w:pPr>
      <w:r>
        <w:rPr>
          <w:rFonts w:ascii="Arial" w:hAnsi="Arial" w:cs="Arial"/>
          <w:b/>
          <w:sz w:val="22"/>
          <w:szCs w:val="22"/>
        </w:rPr>
        <w:t xml:space="preserve">Table – Applicable technical standards </w:t>
      </w:r>
    </w:p>
    <w:p w14:paraId="6AC1CD47" w14:textId="6CECE3F6" w:rsidR="00520698" w:rsidRDefault="00DF73AB" w:rsidP="00DF73AB">
      <w:pPr>
        <w:spacing w:after="200" w:line="240" w:lineRule="atLeast"/>
        <w:jc w:val="both"/>
        <w:rPr>
          <w:rFonts w:ascii="Arial" w:hAnsi="Arial" w:cs="Arial"/>
          <w:sz w:val="20"/>
          <w:szCs w:val="20"/>
        </w:rPr>
      </w:pPr>
      <w:r w:rsidRPr="00DF73AB">
        <w:rPr>
          <w:rFonts w:ascii="Arial" w:hAnsi="Arial" w:cs="Arial"/>
          <w:sz w:val="20"/>
          <w:szCs w:val="20"/>
        </w:rPr>
        <w:t xml:space="preserve">The table </w:t>
      </w:r>
      <w:r>
        <w:rPr>
          <w:rFonts w:ascii="Arial" w:hAnsi="Arial" w:cs="Arial"/>
          <w:sz w:val="20"/>
          <w:szCs w:val="20"/>
        </w:rPr>
        <w:t xml:space="preserve">is divided into </w:t>
      </w:r>
      <w:r w:rsidR="00972358">
        <w:rPr>
          <w:rFonts w:ascii="Arial" w:hAnsi="Arial" w:cs="Arial"/>
          <w:sz w:val="20"/>
          <w:szCs w:val="20"/>
        </w:rPr>
        <w:t>items</w:t>
      </w:r>
      <w:r>
        <w:rPr>
          <w:rFonts w:ascii="Arial" w:hAnsi="Arial" w:cs="Arial"/>
          <w:sz w:val="20"/>
          <w:szCs w:val="20"/>
        </w:rPr>
        <w:t xml:space="preserve"> that specify the applicable technical standards for</w:t>
      </w:r>
      <w:r w:rsidR="00520698">
        <w:rPr>
          <w:rFonts w:ascii="Arial" w:hAnsi="Arial" w:cs="Arial"/>
          <w:sz w:val="20"/>
          <w:szCs w:val="20"/>
        </w:rPr>
        <w:t xml:space="preserve"> four different kinds of CE</w:t>
      </w:r>
      <w:r w:rsidR="00BB3DE1">
        <w:rPr>
          <w:rFonts w:ascii="Arial" w:hAnsi="Arial" w:cs="Arial"/>
          <w:sz w:val="20"/>
          <w:szCs w:val="20"/>
        </w:rPr>
        <w:t>.</w:t>
      </w:r>
      <w:r>
        <w:rPr>
          <w:rFonts w:ascii="Arial" w:hAnsi="Arial" w:cs="Arial"/>
          <w:sz w:val="20"/>
          <w:szCs w:val="20"/>
        </w:rPr>
        <w:t xml:space="preserve"> </w:t>
      </w:r>
      <w:r w:rsidR="00520698">
        <w:rPr>
          <w:rFonts w:ascii="Arial" w:hAnsi="Arial" w:cs="Arial"/>
          <w:sz w:val="20"/>
          <w:szCs w:val="20"/>
        </w:rPr>
        <w:t xml:space="preserve"> The four different kinds of CE are</w:t>
      </w:r>
      <w:r w:rsidR="00FA62C3">
        <w:rPr>
          <w:rFonts w:ascii="Arial" w:hAnsi="Arial" w:cs="Arial"/>
          <w:sz w:val="20"/>
          <w:szCs w:val="20"/>
        </w:rPr>
        <w:t xml:space="preserve"> as follows</w:t>
      </w:r>
      <w:r w:rsidR="00520698">
        <w:rPr>
          <w:rFonts w:ascii="Arial" w:hAnsi="Arial" w:cs="Arial"/>
          <w:sz w:val="20"/>
          <w:szCs w:val="20"/>
        </w:rPr>
        <w:t>:</w:t>
      </w:r>
    </w:p>
    <w:p w14:paraId="75783118" w14:textId="029EA647" w:rsidR="00520698" w:rsidRDefault="00520698" w:rsidP="00CC6EC9">
      <w:pPr>
        <w:pStyle w:val="ListParagraph"/>
        <w:numPr>
          <w:ilvl w:val="0"/>
          <w:numId w:val="18"/>
        </w:numPr>
        <w:spacing w:after="200" w:line="240" w:lineRule="atLeast"/>
        <w:jc w:val="both"/>
        <w:rPr>
          <w:rFonts w:ascii="Arial" w:hAnsi="Arial" w:cs="Arial"/>
          <w:sz w:val="20"/>
          <w:szCs w:val="20"/>
        </w:rPr>
      </w:pPr>
      <w:r>
        <w:rPr>
          <w:rFonts w:ascii="Arial" w:hAnsi="Arial" w:cs="Arial"/>
          <w:sz w:val="20"/>
          <w:szCs w:val="20"/>
        </w:rPr>
        <w:t xml:space="preserve">CE </w:t>
      </w:r>
      <w:r w:rsidR="00FA62C3">
        <w:rPr>
          <w:rFonts w:ascii="Arial" w:hAnsi="Arial" w:cs="Arial"/>
          <w:sz w:val="20"/>
          <w:szCs w:val="20"/>
        </w:rPr>
        <w:t>that is</w:t>
      </w:r>
      <w:r>
        <w:rPr>
          <w:rFonts w:ascii="Arial" w:hAnsi="Arial" w:cs="Arial"/>
          <w:sz w:val="20"/>
          <w:szCs w:val="20"/>
        </w:rPr>
        <w:t xml:space="preserve"> proposed to be connected to a telecommunications network, </w:t>
      </w:r>
      <w:r w:rsidRPr="00F06E55">
        <w:rPr>
          <w:rFonts w:ascii="Arial" w:hAnsi="Arial" w:cs="Arial"/>
          <w:sz w:val="20"/>
          <w:szCs w:val="20"/>
        </w:rPr>
        <w:t xml:space="preserve">other than </w:t>
      </w:r>
      <w:r w:rsidR="00FA62C3" w:rsidRPr="00F06E55">
        <w:rPr>
          <w:rFonts w:ascii="Arial" w:hAnsi="Arial" w:cs="Arial"/>
          <w:sz w:val="20"/>
          <w:szCs w:val="20"/>
        </w:rPr>
        <w:t>CE</w:t>
      </w:r>
      <w:r w:rsidR="00FA62C3">
        <w:rPr>
          <w:rFonts w:ascii="Arial" w:hAnsi="Arial" w:cs="Arial"/>
          <w:sz w:val="20"/>
          <w:szCs w:val="20"/>
        </w:rPr>
        <w:t xml:space="preserve"> that is proposed to be connected to </w:t>
      </w:r>
      <w:r>
        <w:rPr>
          <w:rFonts w:ascii="Arial" w:hAnsi="Arial" w:cs="Arial"/>
          <w:sz w:val="20"/>
          <w:szCs w:val="20"/>
        </w:rPr>
        <w:t xml:space="preserve">a </w:t>
      </w:r>
      <w:r w:rsidR="00FA62C3">
        <w:rPr>
          <w:rFonts w:ascii="Arial" w:hAnsi="Arial" w:cs="Arial"/>
          <w:sz w:val="20"/>
          <w:szCs w:val="20"/>
        </w:rPr>
        <w:t xml:space="preserve">telecommunications </w:t>
      </w:r>
      <w:r>
        <w:rPr>
          <w:rFonts w:ascii="Arial" w:hAnsi="Arial" w:cs="Arial"/>
          <w:sz w:val="20"/>
          <w:szCs w:val="20"/>
        </w:rPr>
        <w:t xml:space="preserve">network used to supply a public mobile telecommunications service </w:t>
      </w:r>
      <w:r w:rsidR="00EB355B">
        <w:rPr>
          <w:rFonts w:ascii="Arial" w:hAnsi="Arial" w:cs="Arial"/>
          <w:sz w:val="20"/>
          <w:szCs w:val="20"/>
        </w:rPr>
        <w:t>and CE</w:t>
      </w:r>
      <w:r w:rsidR="00FA62C3">
        <w:rPr>
          <w:rFonts w:ascii="Arial" w:hAnsi="Arial" w:cs="Arial"/>
          <w:sz w:val="20"/>
          <w:szCs w:val="20"/>
        </w:rPr>
        <w:t xml:space="preserve"> mentioned in the fourth bullet point below</w:t>
      </w:r>
      <w:r>
        <w:rPr>
          <w:rFonts w:ascii="Arial" w:hAnsi="Arial" w:cs="Arial"/>
          <w:sz w:val="20"/>
          <w:szCs w:val="20"/>
        </w:rPr>
        <w:t>.  This kind of CE includes analogue telephones and cordless telephone handsets</w:t>
      </w:r>
      <w:r w:rsidR="00FA62C3">
        <w:rPr>
          <w:rFonts w:ascii="Arial" w:hAnsi="Arial" w:cs="Arial"/>
          <w:sz w:val="20"/>
          <w:szCs w:val="20"/>
        </w:rPr>
        <w:t xml:space="preserve"> and base units</w:t>
      </w:r>
      <w:r>
        <w:rPr>
          <w:rFonts w:ascii="Arial" w:hAnsi="Arial" w:cs="Arial"/>
          <w:sz w:val="20"/>
          <w:szCs w:val="20"/>
        </w:rPr>
        <w:t>;</w:t>
      </w:r>
    </w:p>
    <w:p w14:paraId="74D35F0E" w14:textId="005D600D" w:rsidR="00520698" w:rsidRDefault="00520698" w:rsidP="00CC6EC9">
      <w:pPr>
        <w:pStyle w:val="ListParagraph"/>
        <w:numPr>
          <w:ilvl w:val="0"/>
          <w:numId w:val="18"/>
        </w:numPr>
        <w:spacing w:after="200" w:line="240" w:lineRule="atLeast"/>
        <w:jc w:val="both"/>
        <w:rPr>
          <w:rFonts w:ascii="Arial" w:hAnsi="Arial" w:cs="Arial"/>
          <w:sz w:val="20"/>
          <w:szCs w:val="20"/>
        </w:rPr>
      </w:pPr>
      <w:r>
        <w:rPr>
          <w:rFonts w:ascii="Arial" w:hAnsi="Arial" w:cs="Arial"/>
          <w:sz w:val="20"/>
          <w:szCs w:val="20"/>
        </w:rPr>
        <w:t xml:space="preserve">CE </w:t>
      </w:r>
      <w:r w:rsidR="00854401">
        <w:rPr>
          <w:rFonts w:ascii="Arial" w:hAnsi="Arial" w:cs="Arial"/>
          <w:sz w:val="20"/>
          <w:szCs w:val="20"/>
        </w:rPr>
        <w:t>that is</w:t>
      </w:r>
      <w:r>
        <w:rPr>
          <w:rFonts w:ascii="Arial" w:hAnsi="Arial" w:cs="Arial"/>
          <w:sz w:val="20"/>
          <w:szCs w:val="20"/>
        </w:rPr>
        <w:t xml:space="preserve"> proposed to be connected to a telecommunications network that is used to supply a public mobile telecommunications service and </w:t>
      </w:r>
      <w:r w:rsidR="00854401">
        <w:rPr>
          <w:rFonts w:ascii="Arial" w:hAnsi="Arial" w:cs="Arial"/>
          <w:sz w:val="20"/>
          <w:szCs w:val="20"/>
        </w:rPr>
        <w:t xml:space="preserve">is </w:t>
      </w:r>
      <w:r>
        <w:rPr>
          <w:rFonts w:ascii="Arial" w:hAnsi="Arial" w:cs="Arial"/>
          <w:sz w:val="20"/>
          <w:szCs w:val="20"/>
        </w:rPr>
        <w:t>proposed to be used to supply a standard telephone service.  This kind of CE includes mobile telephones;</w:t>
      </w:r>
    </w:p>
    <w:p w14:paraId="339D1E28" w14:textId="48F220EE" w:rsidR="00520698" w:rsidRDefault="00520698" w:rsidP="00CC6EC9">
      <w:pPr>
        <w:pStyle w:val="ListParagraph"/>
        <w:numPr>
          <w:ilvl w:val="0"/>
          <w:numId w:val="18"/>
        </w:numPr>
        <w:spacing w:after="200" w:line="240" w:lineRule="atLeast"/>
        <w:jc w:val="both"/>
        <w:rPr>
          <w:rFonts w:ascii="Arial" w:hAnsi="Arial" w:cs="Arial"/>
          <w:sz w:val="20"/>
          <w:szCs w:val="20"/>
        </w:rPr>
      </w:pPr>
      <w:r>
        <w:rPr>
          <w:rFonts w:ascii="Arial" w:hAnsi="Arial" w:cs="Arial"/>
          <w:sz w:val="20"/>
          <w:szCs w:val="20"/>
        </w:rPr>
        <w:t xml:space="preserve">CE </w:t>
      </w:r>
      <w:r w:rsidR="00854401">
        <w:rPr>
          <w:rFonts w:ascii="Arial" w:hAnsi="Arial" w:cs="Arial"/>
          <w:sz w:val="20"/>
          <w:szCs w:val="20"/>
        </w:rPr>
        <w:t>that is</w:t>
      </w:r>
      <w:r>
        <w:rPr>
          <w:rFonts w:ascii="Arial" w:hAnsi="Arial" w:cs="Arial"/>
          <w:sz w:val="20"/>
          <w:szCs w:val="20"/>
        </w:rPr>
        <w:t xml:space="preserve"> proposed to be connected to a telecommunications network that is used to supply a public mobile telecommunications service, but </w:t>
      </w:r>
      <w:r w:rsidR="00854401">
        <w:rPr>
          <w:rFonts w:ascii="Arial" w:hAnsi="Arial" w:cs="Arial"/>
          <w:sz w:val="20"/>
          <w:szCs w:val="20"/>
        </w:rPr>
        <w:t xml:space="preserve">is </w:t>
      </w:r>
      <w:r>
        <w:rPr>
          <w:rFonts w:ascii="Arial" w:hAnsi="Arial" w:cs="Arial"/>
          <w:sz w:val="20"/>
          <w:szCs w:val="20"/>
        </w:rPr>
        <w:t xml:space="preserve">not proposed to be used to supply a </w:t>
      </w:r>
      <w:r>
        <w:rPr>
          <w:rFonts w:ascii="Arial" w:hAnsi="Arial" w:cs="Arial"/>
          <w:sz w:val="20"/>
          <w:szCs w:val="20"/>
        </w:rPr>
        <w:lastRenderedPageBreak/>
        <w:t>standard telephone service.  This kind of CE includes machine-to-machine communication devices;</w:t>
      </w:r>
    </w:p>
    <w:p w14:paraId="080812AC" w14:textId="7D60BB17" w:rsidR="00520698" w:rsidRPr="00CC6EC9" w:rsidRDefault="00520698" w:rsidP="00CC6EC9">
      <w:pPr>
        <w:pStyle w:val="ListParagraph"/>
        <w:numPr>
          <w:ilvl w:val="0"/>
          <w:numId w:val="18"/>
        </w:numPr>
        <w:spacing w:after="200" w:line="240" w:lineRule="atLeast"/>
        <w:jc w:val="both"/>
        <w:rPr>
          <w:rFonts w:ascii="Arial" w:hAnsi="Arial" w:cs="Arial"/>
          <w:sz w:val="20"/>
          <w:szCs w:val="20"/>
        </w:rPr>
      </w:pPr>
      <w:r>
        <w:rPr>
          <w:rFonts w:ascii="Arial" w:hAnsi="Arial" w:cs="Arial"/>
          <w:sz w:val="20"/>
          <w:szCs w:val="20"/>
        </w:rPr>
        <w:t xml:space="preserve">CE </w:t>
      </w:r>
      <w:r w:rsidR="00854401">
        <w:rPr>
          <w:rFonts w:ascii="Arial" w:hAnsi="Arial" w:cs="Arial"/>
          <w:sz w:val="20"/>
          <w:szCs w:val="20"/>
        </w:rPr>
        <w:t>that is</w:t>
      </w:r>
      <w:r>
        <w:rPr>
          <w:rFonts w:ascii="Arial" w:hAnsi="Arial" w:cs="Arial"/>
          <w:sz w:val="20"/>
          <w:szCs w:val="20"/>
        </w:rPr>
        <w:t xml:space="preserve"> proposed to be connected to a telecommunications network that consists solely of satellite based facilities.  This kind of CE includes satellite telephones.</w:t>
      </w:r>
    </w:p>
    <w:p w14:paraId="16763548" w14:textId="77777777" w:rsidR="000432A3" w:rsidRDefault="000432A3" w:rsidP="000432A3">
      <w:pPr>
        <w:spacing w:after="200" w:line="240" w:lineRule="atLeast"/>
        <w:ind w:left="1440" w:hanging="1440"/>
        <w:jc w:val="both"/>
        <w:rPr>
          <w:rFonts w:ascii="Arial" w:hAnsi="Arial" w:cs="Arial"/>
          <w:b/>
        </w:rPr>
      </w:pPr>
      <w:r>
        <w:rPr>
          <w:rFonts w:ascii="Arial" w:hAnsi="Arial" w:cs="Arial"/>
          <w:b/>
        </w:rPr>
        <w:t xml:space="preserve">Schedule 2 – Items to which this Instrument does not apply </w:t>
      </w:r>
    </w:p>
    <w:p w14:paraId="4EE7BAEA" w14:textId="0A8FBDD1" w:rsidR="00945A68" w:rsidRDefault="00625EC3" w:rsidP="007073FB">
      <w:pPr>
        <w:spacing w:after="200" w:line="240" w:lineRule="atLeast"/>
        <w:jc w:val="both"/>
        <w:rPr>
          <w:rFonts w:ascii="Arial" w:hAnsi="Arial" w:cs="Arial"/>
          <w:sz w:val="20"/>
          <w:szCs w:val="20"/>
        </w:rPr>
      </w:pPr>
      <w:r w:rsidRPr="00DE7FEA">
        <w:rPr>
          <w:rFonts w:ascii="Arial" w:hAnsi="Arial" w:cs="Arial"/>
          <w:sz w:val="20"/>
          <w:szCs w:val="20"/>
        </w:rPr>
        <w:t xml:space="preserve">Schedule 2 </w:t>
      </w:r>
      <w:r w:rsidR="00DE7FEA">
        <w:rPr>
          <w:rFonts w:ascii="Arial" w:hAnsi="Arial" w:cs="Arial"/>
          <w:sz w:val="20"/>
          <w:szCs w:val="20"/>
        </w:rPr>
        <w:t xml:space="preserve">provides a list of items to which the </w:t>
      </w:r>
      <w:r w:rsidR="00945A68">
        <w:rPr>
          <w:rFonts w:ascii="Arial" w:hAnsi="Arial" w:cs="Arial"/>
          <w:sz w:val="20"/>
          <w:szCs w:val="20"/>
        </w:rPr>
        <w:t xml:space="preserve">2015 Notice </w:t>
      </w:r>
      <w:r w:rsidR="00DE7FEA">
        <w:rPr>
          <w:rFonts w:ascii="Arial" w:hAnsi="Arial" w:cs="Arial"/>
          <w:sz w:val="20"/>
          <w:szCs w:val="20"/>
        </w:rPr>
        <w:t>does not apply.</w:t>
      </w:r>
      <w:r w:rsidR="007073FB">
        <w:rPr>
          <w:rFonts w:ascii="Arial" w:hAnsi="Arial" w:cs="Arial"/>
          <w:sz w:val="20"/>
          <w:szCs w:val="20"/>
        </w:rPr>
        <w:t xml:space="preserve"> The </w:t>
      </w:r>
      <w:r w:rsidR="00945A68">
        <w:rPr>
          <w:rFonts w:ascii="Arial" w:hAnsi="Arial" w:cs="Arial"/>
          <w:sz w:val="20"/>
          <w:szCs w:val="20"/>
        </w:rPr>
        <w:t>list includes</w:t>
      </w:r>
      <w:r w:rsidR="007073FB">
        <w:rPr>
          <w:rFonts w:ascii="Arial" w:hAnsi="Arial" w:cs="Arial"/>
          <w:sz w:val="20"/>
          <w:szCs w:val="20"/>
        </w:rPr>
        <w:t xml:space="preserve"> </w:t>
      </w:r>
      <w:r w:rsidR="00945A68">
        <w:rPr>
          <w:rFonts w:ascii="Arial" w:hAnsi="Arial" w:cs="Arial"/>
          <w:sz w:val="20"/>
          <w:szCs w:val="20"/>
        </w:rPr>
        <w:t>(among other things):</w:t>
      </w:r>
    </w:p>
    <w:p w14:paraId="1236722D" w14:textId="73F39E7F" w:rsidR="00945A68" w:rsidRDefault="00945A68" w:rsidP="004D6207">
      <w:pPr>
        <w:pStyle w:val="ListParagraph"/>
        <w:numPr>
          <w:ilvl w:val="0"/>
          <w:numId w:val="18"/>
        </w:numPr>
        <w:spacing w:after="200" w:line="240" w:lineRule="atLeast"/>
        <w:jc w:val="both"/>
        <w:rPr>
          <w:rFonts w:ascii="Arial" w:hAnsi="Arial" w:cs="Arial"/>
          <w:sz w:val="20"/>
          <w:szCs w:val="20"/>
        </w:rPr>
      </w:pPr>
      <w:r>
        <w:rPr>
          <w:rFonts w:ascii="Arial" w:hAnsi="Arial" w:cs="Arial"/>
          <w:sz w:val="20"/>
          <w:szCs w:val="20"/>
        </w:rPr>
        <w:t>i</w:t>
      </w:r>
      <w:r w:rsidR="007073FB" w:rsidRPr="004D6207">
        <w:rPr>
          <w:rFonts w:ascii="Arial" w:hAnsi="Arial" w:cs="Arial"/>
          <w:sz w:val="20"/>
          <w:szCs w:val="20"/>
        </w:rPr>
        <w:t>tems</w:t>
      </w:r>
      <w:r>
        <w:rPr>
          <w:rFonts w:ascii="Arial" w:hAnsi="Arial" w:cs="Arial"/>
          <w:sz w:val="20"/>
          <w:szCs w:val="20"/>
        </w:rPr>
        <w:t xml:space="preserve"> that are</w:t>
      </w:r>
      <w:r w:rsidR="007073FB" w:rsidRPr="004D6207">
        <w:rPr>
          <w:rFonts w:ascii="Arial" w:hAnsi="Arial" w:cs="Arial"/>
          <w:sz w:val="20"/>
          <w:szCs w:val="20"/>
        </w:rPr>
        <w:t xml:space="preserve"> </w:t>
      </w:r>
      <w:r w:rsidR="007073FB" w:rsidRPr="00E757B3">
        <w:rPr>
          <w:rFonts w:ascii="Arial" w:hAnsi="Arial" w:cs="Arial"/>
          <w:sz w:val="20"/>
          <w:szCs w:val="20"/>
        </w:rPr>
        <w:t>intended for use by</w:t>
      </w:r>
      <w:r w:rsidR="00A95A22" w:rsidRPr="00E757B3">
        <w:rPr>
          <w:rFonts w:ascii="Arial" w:hAnsi="Arial" w:cs="Arial"/>
          <w:sz w:val="20"/>
          <w:szCs w:val="20"/>
        </w:rPr>
        <w:t xml:space="preserve"> Australian</w:t>
      </w:r>
      <w:r w:rsidR="007073FB" w:rsidRPr="00E757B3">
        <w:rPr>
          <w:rFonts w:ascii="Arial" w:hAnsi="Arial" w:cs="Arial"/>
          <w:sz w:val="20"/>
          <w:szCs w:val="20"/>
        </w:rPr>
        <w:t xml:space="preserve"> </w:t>
      </w:r>
      <w:r>
        <w:rPr>
          <w:rFonts w:ascii="Arial" w:hAnsi="Arial" w:cs="Arial"/>
          <w:sz w:val="20"/>
          <w:szCs w:val="20"/>
        </w:rPr>
        <w:t xml:space="preserve">criminal </w:t>
      </w:r>
      <w:r w:rsidR="007073FB" w:rsidRPr="00E757B3">
        <w:rPr>
          <w:rFonts w:ascii="Arial" w:hAnsi="Arial" w:cs="Arial"/>
          <w:sz w:val="20"/>
          <w:szCs w:val="20"/>
        </w:rPr>
        <w:t>law-enforcement agencies</w:t>
      </w:r>
      <w:r>
        <w:rPr>
          <w:rFonts w:ascii="Arial" w:hAnsi="Arial" w:cs="Arial"/>
          <w:sz w:val="20"/>
          <w:szCs w:val="20"/>
        </w:rPr>
        <w:t>;</w:t>
      </w:r>
    </w:p>
    <w:p w14:paraId="05F6B884" w14:textId="1CBC5B8B" w:rsidR="00945A68" w:rsidRDefault="007073FB" w:rsidP="004D6207">
      <w:pPr>
        <w:pStyle w:val="ListParagraph"/>
        <w:numPr>
          <w:ilvl w:val="0"/>
          <w:numId w:val="18"/>
        </w:numPr>
        <w:spacing w:after="200" w:line="240" w:lineRule="atLeast"/>
        <w:jc w:val="both"/>
        <w:rPr>
          <w:rFonts w:ascii="Arial" w:hAnsi="Arial" w:cs="Arial"/>
          <w:sz w:val="20"/>
          <w:szCs w:val="20"/>
        </w:rPr>
      </w:pPr>
      <w:r w:rsidRPr="00E757B3">
        <w:rPr>
          <w:rFonts w:ascii="Arial" w:hAnsi="Arial" w:cs="Arial"/>
          <w:sz w:val="20"/>
          <w:szCs w:val="20"/>
        </w:rPr>
        <w:t xml:space="preserve">items </w:t>
      </w:r>
      <w:r w:rsidR="00945A68">
        <w:rPr>
          <w:rFonts w:ascii="Arial" w:hAnsi="Arial" w:cs="Arial"/>
          <w:sz w:val="20"/>
          <w:szCs w:val="20"/>
        </w:rPr>
        <w:t xml:space="preserve">that are </w:t>
      </w:r>
      <w:r w:rsidRPr="00E757B3">
        <w:rPr>
          <w:rFonts w:ascii="Arial" w:hAnsi="Arial" w:cs="Arial"/>
          <w:sz w:val="20"/>
          <w:szCs w:val="20"/>
        </w:rPr>
        <w:t>not intended for supply to the Australian market</w:t>
      </w:r>
      <w:r w:rsidR="00945A68">
        <w:rPr>
          <w:rFonts w:ascii="Arial" w:hAnsi="Arial" w:cs="Arial"/>
          <w:sz w:val="20"/>
          <w:szCs w:val="20"/>
        </w:rPr>
        <w:t>; and</w:t>
      </w:r>
    </w:p>
    <w:p w14:paraId="73567291" w14:textId="01A22118" w:rsidR="00625EC3" w:rsidRPr="00E757B3" w:rsidRDefault="007073FB" w:rsidP="004D6207">
      <w:pPr>
        <w:pStyle w:val="ListParagraph"/>
        <w:numPr>
          <w:ilvl w:val="0"/>
          <w:numId w:val="18"/>
        </w:numPr>
        <w:spacing w:after="200" w:line="240" w:lineRule="atLeast"/>
        <w:jc w:val="both"/>
        <w:rPr>
          <w:rFonts w:ascii="Arial" w:hAnsi="Arial" w:cs="Arial"/>
          <w:sz w:val="20"/>
          <w:szCs w:val="20"/>
        </w:rPr>
      </w:pPr>
      <w:r w:rsidRPr="004D6207">
        <w:rPr>
          <w:rFonts w:ascii="Arial" w:hAnsi="Arial" w:cs="Arial"/>
          <w:sz w:val="20"/>
          <w:szCs w:val="20"/>
        </w:rPr>
        <w:t xml:space="preserve">items </w:t>
      </w:r>
      <w:r w:rsidR="00945A68">
        <w:rPr>
          <w:rFonts w:ascii="Arial" w:hAnsi="Arial" w:cs="Arial"/>
          <w:sz w:val="20"/>
          <w:szCs w:val="20"/>
        </w:rPr>
        <w:t>that are manufactured or imported solely</w:t>
      </w:r>
      <w:r>
        <w:rPr>
          <w:rFonts w:ascii="Arial" w:hAnsi="Arial" w:cs="Arial"/>
          <w:sz w:val="20"/>
          <w:szCs w:val="20"/>
        </w:rPr>
        <w:t xml:space="preserve"> </w:t>
      </w:r>
      <w:r w:rsidRPr="00E757B3">
        <w:rPr>
          <w:rFonts w:ascii="Arial" w:hAnsi="Arial" w:cs="Arial"/>
          <w:sz w:val="20"/>
          <w:szCs w:val="20"/>
        </w:rPr>
        <w:t xml:space="preserve">for incorporation into other </w:t>
      </w:r>
      <w:r w:rsidR="00945A68">
        <w:rPr>
          <w:rFonts w:ascii="Arial" w:hAnsi="Arial" w:cs="Arial"/>
          <w:sz w:val="20"/>
          <w:szCs w:val="20"/>
        </w:rPr>
        <w:t>items and that, before such incorporation, cannot be used to connect to a telecommunications network or to</w:t>
      </w:r>
      <w:r w:rsidR="00EB355B">
        <w:rPr>
          <w:rFonts w:ascii="Arial" w:hAnsi="Arial" w:cs="Arial"/>
          <w:sz w:val="20"/>
          <w:szCs w:val="20"/>
        </w:rPr>
        <w:t xml:space="preserve"> </w:t>
      </w:r>
      <w:r w:rsidR="00945A68">
        <w:rPr>
          <w:rFonts w:ascii="Arial" w:hAnsi="Arial" w:cs="Arial"/>
          <w:sz w:val="20"/>
          <w:szCs w:val="20"/>
        </w:rPr>
        <w:t>a facility of such a network</w:t>
      </w:r>
      <w:r w:rsidRPr="00E757B3">
        <w:rPr>
          <w:rFonts w:ascii="Arial" w:hAnsi="Arial" w:cs="Arial"/>
          <w:sz w:val="20"/>
          <w:szCs w:val="20"/>
        </w:rPr>
        <w:t>.</w:t>
      </w:r>
    </w:p>
    <w:p w14:paraId="4FE6C79F" w14:textId="0C59C50C" w:rsidR="000432A3" w:rsidRDefault="000432A3" w:rsidP="000432A3">
      <w:pPr>
        <w:spacing w:after="200" w:line="240" w:lineRule="atLeast"/>
        <w:ind w:left="1440" w:hanging="1440"/>
        <w:jc w:val="both"/>
        <w:rPr>
          <w:rFonts w:ascii="Arial" w:hAnsi="Arial" w:cs="Arial"/>
          <w:b/>
        </w:rPr>
      </w:pPr>
      <w:r>
        <w:rPr>
          <w:rFonts w:ascii="Arial" w:hAnsi="Arial" w:cs="Arial"/>
          <w:b/>
        </w:rPr>
        <w:t xml:space="preserve">Schedule 3 – Compliance </w:t>
      </w:r>
      <w:r w:rsidR="00945A68">
        <w:rPr>
          <w:rFonts w:ascii="Arial" w:hAnsi="Arial" w:cs="Arial"/>
          <w:b/>
        </w:rPr>
        <w:t>m</w:t>
      </w:r>
      <w:r>
        <w:rPr>
          <w:rFonts w:ascii="Arial" w:hAnsi="Arial" w:cs="Arial"/>
          <w:b/>
        </w:rPr>
        <w:t xml:space="preserve">arks </w:t>
      </w:r>
    </w:p>
    <w:p w14:paraId="5BBB71DB" w14:textId="4BAFDBA7" w:rsidR="0002065F" w:rsidRPr="00CB1A92" w:rsidRDefault="0002065F" w:rsidP="0002065F">
      <w:pPr>
        <w:rPr>
          <w:rFonts w:ascii="Arial" w:hAnsi="Arial" w:cs="Arial"/>
          <w:sz w:val="20"/>
          <w:szCs w:val="20"/>
        </w:rPr>
      </w:pPr>
      <w:r>
        <w:rPr>
          <w:rFonts w:ascii="Arial" w:hAnsi="Arial" w:cs="Arial"/>
          <w:sz w:val="20"/>
          <w:szCs w:val="20"/>
        </w:rPr>
        <w:t>Schedule 3</w:t>
      </w:r>
      <w:r w:rsidRPr="00CB1A92">
        <w:rPr>
          <w:rFonts w:ascii="Arial" w:hAnsi="Arial" w:cs="Arial"/>
          <w:sz w:val="20"/>
          <w:szCs w:val="20"/>
        </w:rPr>
        <w:t xml:space="preserve"> sets out the design of the RCM and </w:t>
      </w:r>
      <w:r w:rsidR="001C7D6E">
        <w:rPr>
          <w:rFonts w:ascii="Arial" w:hAnsi="Arial" w:cs="Arial"/>
          <w:sz w:val="20"/>
          <w:szCs w:val="20"/>
        </w:rPr>
        <w:t>A</w:t>
      </w:r>
      <w:r w:rsidRPr="00CB1A92">
        <w:rPr>
          <w:rFonts w:ascii="Arial" w:hAnsi="Arial" w:cs="Arial"/>
          <w:sz w:val="20"/>
          <w:szCs w:val="20"/>
        </w:rPr>
        <w:t xml:space="preserve">-Tick mark. </w:t>
      </w:r>
      <w:r w:rsidR="00E87454">
        <w:rPr>
          <w:rFonts w:ascii="Arial" w:hAnsi="Arial" w:cs="Arial"/>
          <w:sz w:val="20"/>
          <w:szCs w:val="20"/>
        </w:rPr>
        <w:t>The</w:t>
      </w:r>
      <w:r w:rsidRPr="00CB1A92">
        <w:rPr>
          <w:rFonts w:ascii="Arial" w:hAnsi="Arial" w:cs="Arial"/>
          <w:sz w:val="20"/>
          <w:szCs w:val="20"/>
        </w:rPr>
        <w:t xml:space="preserve"> RCM and </w:t>
      </w:r>
      <w:r w:rsidR="00272694">
        <w:rPr>
          <w:rFonts w:ascii="Arial" w:hAnsi="Arial" w:cs="Arial"/>
          <w:sz w:val="20"/>
          <w:szCs w:val="20"/>
        </w:rPr>
        <w:t>A</w:t>
      </w:r>
      <w:r w:rsidRPr="00CB1A92">
        <w:rPr>
          <w:rFonts w:ascii="Arial" w:hAnsi="Arial" w:cs="Arial"/>
          <w:sz w:val="20"/>
          <w:szCs w:val="20"/>
        </w:rPr>
        <w:t xml:space="preserve">-Tick mark are protected symbols for the purposes of section </w:t>
      </w:r>
      <w:r w:rsidR="00471260">
        <w:rPr>
          <w:rFonts w:ascii="Arial" w:hAnsi="Arial" w:cs="Arial"/>
          <w:sz w:val="20"/>
          <w:szCs w:val="20"/>
        </w:rPr>
        <w:t>417</w:t>
      </w:r>
      <w:r w:rsidRPr="00CB1A92">
        <w:rPr>
          <w:rFonts w:ascii="Arial" w:hAnsi="Arial" w:cs="Arial"/>
          <w:sz w:val="20"/>
          <w:szCs w:val="20"/>
        </w:rPr>
        <w:t xml:space="preserve"> of the </w:t>
      </w:r>
      <w:r w:rsidR="00EB355B" w:rsidRPr="00CB1A92">
        <w:rPr>
          <w:rFonts w:ascii="Arial" w:hAnsi="Arial" w:cs="Arial"/>
          <w:sz w:val="20"/>
          <w:szCs w:val="20"/>
        </w:rPr>
        <w:t>Act</w:t>
      </w:r>
      <w:r w:rsidR="00EB355B">
        <w:rPr>
          <w:rFonts w:ascii="Arial" w:hAnsi="Arial" w:cs="Arial"/>
          <w:sz w:val="20"/>
          <w:szCs w:val="20"/>
        </w:rPr>
        <w:t xml:space="preserve">. </w:t>
      </w:r>
    </w:p>
    <w:p w14:paraId="6DE91D18" w14:textId="7B57ABE4" w:rsidR="000432A3" w:rsidRDefault="000432A3" w:rsidP="00A97F21">
      <w:pPr>
        <w:spacing w:after="200" w:line="240" w:lineRule="atLeast"/>
        <w:ind w:left="1440" w:hanging="1440"/>
        <w:jc w:val="both"/>
        <w:rPr>
          <w:rFonts w:ascii="Arial" w:hAnsi="Arial" w:cs="Arial"/>
          <w:b/>
          <w:sz w:val="22"/>
          <w:szCs w:val="22"/>
        </w:rPr>
      </w:pPr>
    </w:p>
    <w:p w14:paraId="3C45B384" w14:textId="51E46ECC" w:rsidR="00CE7403" w:rsidRDefault="00CE7403" w:rsidP="000432A3">
      <w:pPr>
        <w:spacing w:after="200" w:line="240" w:lineRule="atLeast"/>
        <w:jc w:val="both"/>
        <w:rPr>
          <w:rFonts w:ascii="Arial" w:hAnsi="Arial" w:cs="Arial"/>
          <w:b/>
        </w:rPr>
      </w:pPr>
      <w:r>
        <w:rPr>
          <w:rFonts w:ascii="Arial" w:hAnsi="Arial" w:cs="Arial"/>
          <w:b/>
        </w:rPr>
        <w:t xml:space="preserve">Schedule 4 – Customer cabling and surge protectors </w:t>
      </w:r>
    </w:p>
    <w:p w14:paraId="0566E864" w14:textId="26972687" w:rsidR="00520698" w:rsidRPr="007B2773" w:rsidRDefault="00520698" w:rsidP="000432A3">
      <w:pPr>
        <w:spacing w:after="200" w:line="240" w:lineRule="atLeast"/>
        <w:jc w:val="both"/>
        <w:rPr>
          <w:rFonts w:ascii="Arial" w:hAnsi="Arial" w:cs="Arial"/>
          <w:sz w:val="20"/>
          <w:szCs w:val="20"/>
        </w:rPr>
      </w:pPr>
      <w:r w:rsidRPr="007B2773">
        <w:rPr>
          <w:rFonts w:ascii="Arial" w:hAnsi="Arial" w:cs="Arial"/>
          <w:sz w:val="20"/>
          <w:szCs w:val="20"/>
        </w:rPr>
        <w:t>Schedule</w:t>
      </w:r>
      <w:r>
        <w:rPr>
          <w:rFonts w:ascii="Arial" w:hAnsi="Arial" w:cs="Arial"/>
          <w:sz w:val="20"/>
          <w:szCs w:val="20"/>
        </w:rPr>
        <w:t xml:space="preserve"> 4 sets out the labelling requirements for CC and surge protectors (which are a form of CE).</w:t>
      </w:r>
    </w:p>
    <w:p w14:paraId="76F86DA5" w14:textId="77777777" w:rsidR="002A4F04" w:rsidRPr="00F17739" w:rsidRDefault="002A4F04" w:rsidP="002A4F04">
      <w:pPr>
        <w:spacing w:before="240" w:after="80" w:line="240" w:lineRule="atLeast"/>
        <w:rPr>
          <w:rFonts w:ascii="Arial" w:hAnsi="Arial" w:cs="Arial"/>
          <w:sz w:val="20"/>
          <w:szCs w:val="20"/>
        </w:rPr>
      </w:pPr>
      <w:r>
        <w:rPr>
          <w:rFonts w:ascii="Arial" w:hAnsi="Arial" w:cs="Arial"/>
          <w:sz w:val="20"/>
          <w:szCs w:val="20"/>
        </w:rPr>
        <w:t>Parts 2 and 3 of Schedule 4 only apply where an item complies with each applicable technical standard in relation to the item.  Parts 4 and 5 of Schedule 4 only apply where an item does</w:t>
      </w:r>
      <w:r w:rsidRPr="00F17739">
        <w:rPr>
          <w:rFonts w:ascii="Arial" w:hAnsi="Arial" w:cs="Arial"/>
          <w:sz w:val="20"/>
          <w:szCs w:val="20"/>
        </w:rPr>
        <w:t xml:space="preserve"> not</w:t>
      </w:r>
      <w:r w:rsidRPr="001F3D64">
        <w:rPr>
          <w:rFonts w:ascii="Arial" w:hAnsi="Arial" w:cs="Arial"/>
          <w:i/>
          <w:sz w:val="20"/>
          <w:szCs w:val="20"/>
        </w:rPr>
        <w:t xml:space="preserve"> </w:t>
      </w:r>
      <w:r>
        <w:rPr>
          <w:rFonts w:ascii="Arial" w:hAnsi="Arial" w:cs="Arial"/>
          <w:sz w:val="20"/>
          <w:szCs w:val="20"/>
        </w:rPr>
        <w:t>comply with each applicable technical standard in relation to the item.  Under the Act, such an item may still be supplied if it is labelled in accordance with the 2015 Notice, but there may be prohibitions on connecting the item to a telecommunications network or to a facility (see Division 7 of Part 21 of the Act, and in particular section 411).</w:t>
      </w:r>
    </w:p>
    <w:p w14:paraId="575A5228" w14:textId="77777777" w:rsidR="002A4F04" w:rsidRPr="007B2773" w:rsidRDefault="002A4F04" w:rsidP="000432A3">
      <w:pPr>
        <w:spacing w:after="200" w:line="240" w:lineRule="atLeast"/>
        <w:jc w:val="both"/>
        <w:rPr>
          <w:rFonts w:ascii="Arial" w:hAnsi="Arial" w:cs="Arial"/>
          <w:sz w:val="20"/>
          <w:szCs w:val="20"/>
        </w:rPr>
      </w:pPr>
    </w:p>
    <w:p w14:paraId="736A58FA" w14:textId="52B3B1EF" w:rsidR="00CE7403" w:rsidRDefault="00CE7403" w:rsidP="00DA64F9">
      <w:pPr>
        <w:spacing w:after="200" w:line="240" w:lineRule="atLeast"/>
        <w:jc w:val="center"/>
        <w:rPr>
          <w:rFonts w:ascii="Arial" w:hAnsi="Arial" w:cs="Arial"/>
          <w:b/>
          <w:sz w:val="22"/>
          <w:szCs w:val="22"/>
        </w:rPr>
      </w:pPr>
      <w:r>
        <w:rPr>
          <w:rFonts w:ascii="Arial" w:hAnsi="Arial" w:cs="Arial"/>
          <w:b/>
          <w:sz w:val="22"/>
          <w:szCs w:val="22"/>
        </w:rPr>
        <w:t>Part 1 – Interpretation</w:t>
      </w:r>
    </w:p>
    <w:p w14:paraId="55191D1A" w14:textId="6494FBC0" w:rsidR="00CE7403" w:rsidRDefault="00520698" w:rsidP="000432A3">
      <w:pPr>
        <w:spacing w:after="200" w:line="240" w:lineRule="atLeast"/>
        <w:jc w:val="both"/>
        <w:rPr>
          <w:rFonts w:ascii="Arial" w:hAnsi="Arial" w:cs="Arial"/>
          <w:b/>
          <w:sz w:val="20"/>
          <w:szCs w:val="20"/>
        </w:rPr>
      </w:pPr>
      <w:r>
        <w:rPr>
          <w:rFonts w:ascii="Arial" w:hAnsi="Arial" w:cs="Arial"/>
          <w:b/>
          <w:sz w:val="20"/>
          <w:szCs w:val="20"/>
        </w:rPr>
        <w:t>Clause</w:t>
      </w:r>
      <w:r w:rsidR="00CE7403">
        <w:rPr>
          <w:rFonts w:ascii="Arial" w:hAnsi="Arial" w:cs="Arial"/>
          <w:b/>
          <w:sz w:val="20"/>
          <w:szCs w:val="20"/>
        </w:rPr>
        <w:t xml:space="preserve"> </w:t>
      </w:r>
      <w:r>
        <w:rPr>
          <w:rFonts w:ascii="Arial" w:hAnsi="Arial" w:cs="Arial"/>
          <w:b/>
          <w:sz w:val="20"/>
          <w:szCs w:val="20"/>
        </w:rPr>
        <w:t>1</w:t>
      </w:r>
      <w:r w:rsidR="00CE7403">
        <w:rPr>
          <w:rFonts w:ascii="Arial" w:hAnsi="Arial" w:cs="Arial"/>
          <w:b/>
          <w:sz w:val="20"/>
          <w:szCs w:val="20"/>
        </w:rPr>
        <w:t xml:space="preserve"> </w:t>
      </w:r>
      <w:r w:rsidR="00640AEA">
        <w:rPr>
          <w:rFonts w:ascii="Arial" w:hAnsi="Arial" w:cs="Arial"/>
          <w:b/>
          <w:sz w:val="20"/>
          <w:szCs w:val="20"/>
        </w:rPr>
        <w:t xml:space="preserve">– </w:t>
      </w:r>
      <w:r w:rsidR="00CE7403">
        <w:rPr>
          <w:rFonts w:ascii="Arial" w:hAnsi="Arial" w:cs="Arial"/>
          <w:b/>
          <w:sz w:val="20"/>
          <w:szCs w:val="20"/>
        </w:rPr>
        <w:t xml:space="preserve">Applicable technical standards </w:t>
      </w:r>
    </w:p>
    <w:p w14:paraId="45B47C95" w14:textId="3CAB4DFF" w:rsidR="00E80D27" w:rsidRPr="00E80D27" w:rsidRDefault="00C62AC1" w:rsidP="00E80D27">
      <w:pPr>
        <w:spacing w:after="200" w:line="240" w:lineRule="atLeast"/>
        <w:jc w:val="both"/>
        <w:rPr>
          <w:rFonts w:ascii="Arial" w:hAnsi="Arial" w:cs="Arial"/>
          <w:sz w:val="20"/>
          <w:szCs w:val="20"/>
        </w:rPr>
      </w:pPr>
      <w:r w:rsidRPr="00E80D27">
        <w:rPr>
          <w:rFonts w:ascii="Arial" w:hAnsi="Arial" w:cs="Arial"/>
          <w:sz w:val="20"/>
          <w:szCs w:val="20"/>
        </w:rPr>
        <w:t>Sub</w:t>
      </w:r>
      <w:r>
        <w:rPr>
          <w:rFonts w:ascii="Arial" w:hAnsi="Arial" w:cs="Arial"/>
          <w:sz w:val="20"/>
          <w:szCs w:val="20"/>
        </w:rPr>
        <w:t>clause</w:t>
      </w:r>
      <w:r w:rsidRPr="00E80D27">
        <w:rPr>
          <w:rFonts w:ascii="Arial" w:hAnsi="Arial" w:cs="Arial"/>
          <w:sz w:val="20"/>
          <w:szCs w:val="20"/>
        </w:rPr>
        <w:t xml:space="preserve"> </w:t>
      </w:r>
      <w:r w:rsidR="00E80D27" w:rsidRPr="00E80D27">
        <w:rPr>
          <w:rFonts w:ascii="Arial" w:hAnsi="Arial" w:cs="Arial"/>
          <w:sz w:val="20"/>
          <w:szCs w:val="20"/>
        </w:rPr>
        <w:t>(1</w:t>
      </w:r>
      <w:r w:rsidR="00EB355B" w:rsidRPr="00E80D27">
        <w:rPr>
          <w:rFonts w:ascii="Arial" w:hAnsi="Arial" w:cs="Arial"/>
          <w:sz w:val="20"/>
          <w:szCs w:val="20"/>
        </w:rPr>
        <w:t>) sets</w:t>
      </w:r>
      <w:r w:rsidR="00E80D27" w:rsidRPr="00E80D27">
        <w:rPr>
          <w:rFonts w:ascii="Arial" w:hAnsi="Arial" w:cs="Arial"/>
          <w:sz w:val="20"/>
          <w:szCs w:val="20"/>
        </w:rPr>
        <w:t xml:space="preserve"> out when a</w:t>
      </w:r>
      <w:r w:rsidR="00520698">
        <w:rPr>
          <w:rFonts w:ascii="Arial" w:hAnsi="Arial" w:cs="Arial"/>
          <w:sz w:val="20"/>
          <w:szCs w:val="20"/>
        </w:rPr>
        <w:t>n ACMA</w:t>
      </w:r>
      <w:r w:rsidR="00E80D27" w:rsidRPr="00E80D27">
        <w:rPr>
          <w:rFonts w:ascii="Arial" w:hAnsi="Arial" w:cs="Arial"/>
          <w:sz w:val="20"/>
          <w:szCs w:val="20"/>
        </w:rPr>
        <w:t xml:space="preserve"> standard is an </w:t>
      </w:r>
      <w:r>
        <w:rPr>
          <w:rFonts w:ascii="Arial" w:hAnsi="Arial" w:cs="Arial"/>
          <w:sz w:val="20"/>
          <w:szCs w:val="20"/>
        </w:rPr>
        <w:t>“</w:t>
      </w:r>
      <w:r w:rsidR="00E80D27" w:rsidRPr="00E80D27">
        <w:rPr>
          <w:rFonts w:ascii="Arial" w:hAnsi="Arial" w:cs="Arial"/>
          <w:sz w:val="20"/>
          <w:szCs w:val="20"/>
        </w:rPr>
        <w:t>applicable technical standard</w:t>
      </w:r>
      <w:r>
        <w:rPr>
          <w:rFonts w:ascii="Arial" w:hAnsi="Arial" w:cs="Arial"/>
          <w:sz w:val="20"/>
          <w:szCs w:val="20"/>
        </w:rPr>
        <w:t>”</w:t>
      </w:r>
      <w:r w:rsidR="00E80D27" w:rsidRPr="00E80D27">
        <w:rPr>
          <w:rFonts w:ascii="Arial" w:hAnsi="Arial" w:cs="Arial"/>
          <w:sz w:val="20"/>
          <w:szCs w:val="20"/>
        </w:rPr>
        <w:t xml:space="preserve"> for </w:t>
      </w:r>
      <w:r w:rsidR="00520698">
        <w:rPr>
          <w:rFonts w:ascii="Arial" w:hAnsi="Arial" w:cs="Arial"/>
          <w:sz w:val="20"/>
          <w:szCs w:val="20"/>
        </w:rPr>
        <w:t>CC</w:t>
      </w:r>
      <w:r w:rsidR="00E80D27">
        <w:rPr>
          <w:rFonts w:ascii="Arial" w:hAnsi="Arial" w:cs="Arial"/>
          <w:sz w:val="20"/>
          <w:szCs w:val="20"/>
        </w:rPr>
        <w:t xml:space="preserve"> and surge protectors</w:t>
      </w:r>
      <w:r w:rsidR="00E80D27" w:rsidRPr="00E80D27">
        <w:rPr>
          <w:rFonts w:ascii="Arial" w:hAnsi="Arial" w:cs="Arial"/>
          <w:sz w:val="20"/>
          <w:szCs w:val="20"/>
        </w:rPr>
        <w:t>.</w:t>
      </w:r>
    </w:p>
    <w:p w14:paraId="58153000" w14:textId="033BBEC5" w:rsidR="002A4F04" w:rsidRDefault="00C62AC1" w:rsidP="00E80D27">
      <w:pPr>
        <w:spacing w:after="200" w:line="240" w:lineRule="atLeast"/>
        <w:jc w:val="both"/>
        <w:rPr>
          <w:rFonts w:ascii="Arial" w:hAnsi="Arial" w:cs="Arial"/>
          <w:sz w:val="20"/>
          <w:szCs w:val="20"/>
        </w:rPr>
      </w:pPr>
      <w:r w:rsidRPr="00E80D27">
        <w:rPr>
          <w:rFonts w:ascii="Arial" w:hAnsi="Arial" w:cs="Arial"/>
          <w:sz w:val="20"/>
          <w:szCs w:val="20"/>
        </w:rPr>
        <w:t>Sub</w:t>
      </w:r>
      <w:r>
        <w:rPr>
          <w:rFonts w:ascii="Arial" w:hAnsi="Arial" w:cs="Arial"/>
          <w:sz w:val="20"/>
          <w:szCs w:val="20"/>
        </w:rPr>
        <w:t>clause</w:t>
      </w:r>
      <w:r w:rsidRPr="00E80D27">
        <w:rPr>
          <w:rFonts w:ascii="Arial" w:hAnsi="Arial" w:cs="Arial"/>
          <w:sz w:val="20"/>
          <w:szCs w:val="20"/>
        </w:rPr>
        <w:t xml:space="preserve"> </w:t>
      </w:r>
      <w:r w:rsidR="00E80D27" w:rsidRPr="00E80D27">
        <w:rPr>
          <w:rFonts w:ascii="Arial" w:hAnsi="Arial" w:cs="Arial"/>
          <w:sz w:val="20"/>
          <w:szCs w:val="20"/>
        </w:rPr>
        <w:t>(2</w:t>
      </w:r>
      <w:r w:rsidR="00EB355B" w:rsidRPr="00E80D27">
        <w:rPr>
          <w:rFonts w:ascii="Arial" w:hAnsi="Arial" w:cs="Arial"/>
          <w:sz w:val="20"/>
          <w:szCs w:val="20"/>
        </w:rPr>
        <w:t>) provides</w:t>
      </w:r>
      <w:r w:rsidR="002A4F04">
        <w:rPr>
          <w:rFonts w:ascii="Arial" w:hAnsi="Arial" w:cs="Arial"/>
          <w:sz w:val="20"/>
          <w:szCs w:val="20"/>
        </w:rPr>
        <w:t xml:space="preserve"> </w:t>
      </w:r>
      <w:r w:rsidR="00E80D27" w:rsidRPr="00E80D27">
        <w:rPr>
          <w:rFonts w:ascii="Arial" w:hAnsi="Arial" w:cs="Arial"/>
          <w:sz w:val="20"/>
          <w:szCs w:val="20"/>
        </w:rPr>
        <w:t>that a</w:t>
      </w:r>
      <w:r>
        <w:rPr>
          <w:rFonts w:ascii="Arial" w:hAnsi="Arial" w:cs="Arial"/>
          <w:sz w:val="20"/>
          <w:szCs w:val="20"/>
        </w:rPr>
        <w:t>n ACMA</w:t>
      </w:r>
      <w:r w:rsidR="00E80D27" w:rsidRPr="00E80D27">
        <w:rPr>
          <w:rFonts w:ascii="Arial" w:hAnsi="Arial" w:cs="Arial"/>
          <w:sz w:val="20"/>
          <w:szCs w:val="20"/>
        </w:rPr>
        <w:t xml:space="preserve"> standard is an applicable technical standard for an item if</w:t>
      </w:r>
      <w:r w:rsidR="00107B23">
        <w:rPr>
          <w:rFonts w:ascii="Arial" w:hAnsi="Arial" w:cs="Arial"/>
          <w:sz w:val="20"/>
          <w:szCs w:val="20"/>
        </w:rPr>
        <w:t>:</w:t>
      </w:r>
    </w:p>
    <w:p w14:paraId="25EAF63B" w14:textId="47E51BB9" w:rsidR="002A4F04" w:rsidRDefault="00E80D27" w:rsidP="00A15AB1">
      <w:pPr>
        <w:pStyle w:val="ListParagraph"/>
        <w:numPr>
          <w:ilvl w:val="0"/>
          <w:numId w:val="18"/>
        </w:numPr>
        <w:spacing w:after="200" w:line="240" w:lineRule="atLeast"/>
        <w:jc w:val="both"/>
        <w:rPr>
          <w:rFonts w:ascii="Arial" w:hAnsi="Arial" w:cs="Arial"/>
          <w:sz w:val="20"/>
          <w:szCs w:val="20"/>
        </w:rPr>
      </w:pPr>
      <w:r w:rsidRPr="00E757B3">
        <w:rPr>
          <w:rFonts w:ascii="Arial" w:hAnsi="Arial" w:cs="Arial"/>
          <w:sz w:val="20"/>
          <w:szCs w:val="20"/>
        </w:rPr>
        <w:t xml:space="preserve">the item is </w:t>
      </w:r>
      <w:r w:rsidR="002A4F04">
        <w:rPr>
          <w:rFonts w:ascii="Arial" w:hAnsi="Arial" w:cs="Arial"/>
          <w:sz w:val="20"/>
          <w:szCs w:val="20"/>
        </w:rPr>
        <w:t>of a kind mentioned in column 1 of the table in clause 1 (being CC and surge protectors)</w:t>
      </w:r>
      <w:r w:rsidRPr="00A15AB1">
        <w:rPr>
          <w:rFonts w:ascii="Arial" w:hAnsi="Arial" w:cs="Arial"/>
          <w:sz w:val="20"/>
          <w:szCs w:val="20"/>
        </w:rPr>
        <w:t>;</w:t>
      </w:r>
    </w:p>
    <w:p w14:paraId="77E919BA" w14:textId="3B656305" w:rsidR="008C70DC" w:rsidRDefault="00E80D27" w:rsidP="00F36519">
      <w:pPr>
        <w:pStyle w:val="ListParagraph"/>
        <w:numPr>
          <w:ilvl w:val="0"/>
          <w:numId w:val="18"/>
        </w:numPr>
        <w:spacing w:after="200" w:line="240" w:lineRule="atLeast"/>
        <w:jc w:val="both"/>
        <w:rPr>
          <w:rFonts w:ascii="Arial" w:hAnsi="Arial" w:cs="Arial"/>
          <w:sz w:val="20"/>
          <w:szCs w:val="20"/>
        </w:rPr>
      </w:pPr>
      <w:r w:rsidRPr="00E757B3">
        <w:rPr>
          <w:rFonts w:ascii="Arial" w:hAnsi="Arial" w:cs="Arial"/>
          <w:sz w:val="20"/>
          <w:szCs w:val="20"/>
        </w:rPr>
        <w:t xml:space="preserve">there is a corresponding standard </w:t>
      </w:r>
      <w:r w:rsidR="008C70DC">
        <w:rPr>
          <w:rFonts w:ascii="Arial" w:hAnsi="Arial" w:cs="Arial"/>
          <w:sz w:val="20"/>
          <w:szCs w:val="20"/>
        </w:rPr>
        <w:t xml:space="preserve">mentioned </w:t>
      </w:r>
      <w:r w:rsidRPr="00E757B3">
        <w:rPr>
          <w:rFonts w:ascii="Arial" w:hAnsi="Arial" w:cs="Arial"/>
          <w:sz w:val="20"/>
          <w:szCs w:val="20"/>
        </w:rPr>
        <w:t>in column 2 of the table;</w:t>
      </w:r>
    </w:p>
    <w:p w14:paraId="6902EFC9" w14:textId="3E859879" w:rsidR="00E80D27" w:rsidRPr="002A4F04" w:rsidRDefault="00E80D27" w:rsidP="00313BFF">
      <w:pPr>
        <w:pStyle w:val="ListParagraph"/>
        <w:numPr>
          <w:ilvl w:val="0"/>
          <w:numId w:val="18"/>
        </w:numPr>
        <w:spacing w:after="200" w:line="240" w:lineRule="atLeast"/>
        <w:jc w:val="both"/>
        <w:rPr>
          <w:rFonts w:ascii="Arial" w:hAnsi="Arial" w:cs="Arial"/>
          <w:sz w:val="20"/>
          <w:szCs w:val="20"/>
        </w:rPr>
      </w:pPr>
      <w:r w:rsidRPr="00A15AB1">
        <w:rPr>
          <w:rFonts w:ascii="Arial" w:hAnsi="Arial" w:cs="Arial"/>
          <w:sz w:val="20"/>
          <w:szCs w:val="20"/>
        </w:rPr>
        <w:t>the</w:t>
      </w:r>
      <w:r w:rsidRPr="00A15AB1" w:rsidDel="00C62AC1">
        <w:rPr>
          <w:rFonts w:ascii="Arial" w:hAnsi="Arial" w:cs="Arial"/>
          <w:sz w:val="20"/>
          <w:szCs w:val="20"/>
        </w:rPr>
        <w:t xml:space="preserve"> </w:t>
      </w:r>
      <w:r w:rsidRPr="00A15AB1">
        <w:rPr>
          <w:rFonts w:ascii="Arial" w:hAnsi="Arial" w:cs="Arial"/>
          <w:sz w:val="20"/>
          <w:szCs w:val="20"/>
        </w:rPr>
        <w:t>standard</w:t>
      </w:r>
      <w:r w:rsidR="008C70DC">
        <w:rPr>
          <w:rFonts w:ascii="Arial" w:hAnsi="Arial" w:cs="Arial"/>
          <w:sz w:val="20"/>
          <w:szCs w:val="20"/>
        </w:rPr>
        <w:t xml:space="preserve"> was in force at the time the item was manufactured in Australia or imported and</w:t>
      </w:r>
      <w:r w:rsidRPr="00E80D27">
        <w:rPr>
          <w:rFonts w:ascii="Arial" w:hAnsi="Arial" w:cs="Arial"/>
          <w:sz w:val="20"/>
          <w:szCs w:val="20"/>
        </w:rPr>
        <w:t xml:space="preserve"> the</w:t>
      </w:r>
      <w:r w:rsidRPr="00E80D27" w:rsidDel="00C62AC1">
        <w:rPr>
          <w:rFonts w:ascii="Arial" w:hAnsi="Arial" w:cs="Arial"/>
          <w:sz w:val="20"/>
          <w:szCs w:val="20"/>
        </w:rPr>
        <w:t xml:space="preserve"> </w:t>
      </w:r>
      <w:r w:rsidRPr="00E80D27">
        <w:rPr>
          <w:rFonts w:ascii="Arial" w:hAnsi="Arial" w:cs="Arial"/>
          <w:sz w:val="20"/>
          <w:szCs w:val="20"/>
        </w:rPr>
        <w:t>standard</w:t>
      </w:r>
      <w:r w:rsidRPr="00E757B3">
        <w:rPr>
          <w:rFonts w:ascii="Arial" w:hAnsi="Arial" w:cs="Arial"/>
          <w:sz w:val="20"/>
          <w:szCs w:val="20"/>
        </w:rPr>
        <w:t xml:space="preserve"> contains requirements that apply to the item</w:t>
      </w:r>
      <w:r w:rsidRPr="002A4F04">
        <w:rPr>
          <w:rFonts w:ascii="Arial" w:hAnsi="Arial" w:cs="Arial"/>
          <w:sz w:val="20"/>
          <w:szCs w:val="20"/>
        </w:rPr>
        <w:t>.</w:t>
      </w:r>
    </w:p>
    <w:p w14:paraId="20446EA7" w14:textId="20160706" w:rsidR="00CE7403" w:rsidRDefault="00C62AC1" w:rsidP="007B2773">
      <w:pPr>
        <w:keepNext/>
        <w:spacing w:after="200" w:line="240" w:lineRule="atLeast"/>
        <w:jc w:val="both"/>
        <w:rPr>
          <w:rFonts w:ascii="Arial" w:hAnsi="Arial" w:cs="Arial"/>
          <w:b/>
          <w:sz w:val="20"/>
          <w:szCs w:val="20"/>
        </w:rPr>
      </w:pPr>
      <w:r>
        <w:rPr>
          <w:rFonts w:ascii="Arial" w:hAnsi="Arial" w:cs="Arial"/>
          <w:b/>
          <w:sz w:val="20"/>
          <w:szCs w:val="20"/>
        </w:rPr>
        <w:t xml:space="preserve">Clause </w:t>
      </w:r>
      <w:r w:rsidR="00CE7403">
        <w:rPr>
          <w:rFonts w:ascii="Arial" w:hAnsi="Arial" w:cs="Arial"/>
          <w:b/>
          <w:sz w:val="20"/>
          <w:szCs w:val="20"/>
        </w:rPr>
        <w:t xml:space="preserve">2 – Class of items to which a compliance label has, or has not, been applied </w:t>
      </w:r>
    </w:p>
    <w:p w14:paraId="44C1F731" w14:textId="7F07D073" w:rsidR="00E80D27" w:rsidRDefault="00C62AC1" w:rsidP="00E80D27">
      <w:pPr>
        <w:spacing w:after="200" w:line="240" w:lineRule="atLeast"/>
        <w:jc w:val="both"/>
        <w:rPr>
          <w:rFonts w:ascii="Arial" w:hAnsi="Arial" w:cs="Arial"/>
          <w:sz w:val="20"/>
          <w:szCs w:val="20"/>
        </w:rPr>
      </w:pPr>
      <w:r>
        <w:rPr>
          <w:rFonts w:ascii="Arial" w:hAnsi="Arial" w:cs="Arial"/>
          <w:sz w:val="20"/>
          <w:szCs w:val="20"/>
        </w:rPr>
        <w:t xml:space="preserve">Clause </w:t>
      </w:r>
      <w:r w:rsidR="00E80D27">
        <w:rPr>
          <w:rFonts w:ascii="Arial" w:hAnsi="Arial" w:cs="Arial"/>
          <w:sz w:val="20"/>
          <w:szCs w:val="20"/>
        </w:rPr>
        <w:t>2</w:t>
      </w:r>
      <w:r w:rsidR="00E80D27" w:rsidRPr="00E80D27">
        <w:rPr>
          <w:rFonts w:ascii="Arial" w:hAnsi="Arial" w:cs="Arial"/>
          <w:sz w:val="20"/>
          <w:szCs w:val="20"/>
        </w:rPr>
        <w:t xml:space="preserve"> </w:t>
      </w:r>
      <w:r w:rsidR="001C25F5">
        <w:rPr>
          <w:rFonts w:ascii="Arial" w:hAnsi="Arial" w:cs="Arial"/>
          <w:sz w:val="20"/>
          <w:szCs w:val="20"/>
        </w:rPr>
        <w:t xml:space="preserve">defines a reference in Schedule 4 </w:t>
      </w:r>
      <w:r w:rsidR="00EB355B">
        <w:rPr>
          <w:rFonts w:ascii="Arial" w:hAnsi="Arial" w:cs="Arial"/>
          <w:sz w:val="20"/>
          <w:szCs w:val="20"/>
        </w:rPr>
        <w:t xml:space="preserve">to </w:t>
      </w:r>
      <w:r w:rsidR="00EB355B" w:rsidRPr="00E80D27">
        <w:rPr>
          <w:rFonts w:ascii="Arial" w:hAnsi="Arial" w:cs="Arial"/>
          <w:sz w:val="20"/>
          <w:szCs w:val="20"/>
        </w:rPr>
        <w:t>a</w:t>
      </w:r>
      <w:r w:rsidR="00E80D27" w:rsidRPr="00E80D27">
        <w:rPr>
          <w:rFonts w:ascii="Arial" w:hAnsi="Arial" w:cs="Arial"/>
          <w:sz w:val="20"/>
          <w:szCs w:val="20"/>
        </w:rPr>
        <w:t xml:space="preserve"> </w:t>
      </w:r>
      <w:r w:rsidR="001C25F5">
        <w:rPr>
          <w:rFonts w:ascii="Arial" w:hAnsi="Arial" w:cs="Arial"/>
          <w:sz w:val="20"/>
          <w:szCs w:val="20"/>
        </w:rPr>
        <w:t>“</w:t>
      </w:r>
      <w:r w:rsidR="00E80D27" w:rsidRPr="00E80D27">
        <w:rPr>
          <w:rFonts w:ascii="Arial" w:hAnsi="Arial" w:cs="Arial"/>
          <w:sz w:val="20"/>
          <w:szCs w:val="20"/>
        </w:rPr>
        <w:t>class of items</w:t>
      </w:r>
      <w:r w:rsidR="003E7172">
        <w:rPr>
          <w:rFonts w:ascii="Arial" w:hAnsi="Arial" w:cs="Arial"/>
          <w:sz w:val="20"/>
          <w:szCs w:val="20"/>
        </w:rPr>
        <w:t xml:space="preserve"> to which a compliance label has been applied</w:t>
      </w:r>
      <w:r w:rsidR="001C25F5">
        <w:rPr>
          <w:rFonts w:ascii="Arial" w:hAnsi="Arial" w:cs="Arial"/>
          <w:sz w:val="20"/>
          <w:szCs w:val="20"/>
        </w:rPr>
        <w:t>” as a reference to a class of items in which each item that is included has applied to it a compliance label;</w:t>
      </w:r>
      <w:r w:rsidR="003E7172">
        <w:rPr>
          <w:rFonts w:ascii="Arial" w:hAnsi="Arial" w:cs="Arial"/>
          <w:sz w:val="20"/>
          <w:szCs w:val="20"/>
        </w:rPr>
        <w:t xml:space="preserve"> and</w:t>
      </w:r>
      <w:r w:rsidR="001C25F5">
        <w:rPr>
          <w:rFonts w:ascii="Arial" w:hAnsi="Arial" w:cs="Arial"/>
          <w:sz w:val="20"/>
          <w:szCs w:val="20"/>
        </w:rPr>
        <w:t xml:space="preserve"> a reference in that Schedule to</w:t>
      </w:r>
      <w:r w:rsidR="003E7172">
        <w:rPr>
          <w:rFonts w:ascii="Arial" w:hAnsi="Arial" w:cs="Arial"/>
          <w:sz w:val="20"/>
          <w:szCs w:val="20"/>
        </w:rPr>
        <w:t xml:space="preserve"> a </w:t>
      </w:r>
      <w:r w:rsidR="001C25F5">
        <w:rPr>
          <w:rFonts w:ascii="Arial" w:hAnsi="Arial" w:cs="Arial"/>
          <w:sz w:val="20"/>
          <w:szCs w:val="20"/>
        </w:rPr>
        <w:t>“</w:t>
      </w:r>
      <w:r w:rsidR="003E7172">
        <w:rPr>
          <w:rFonts w:ascii="Arial" w:hAnsi="Arial" w:cs="Arial"/>
          <w:sz w:val="20"/>
          <w:szCs w:val="20"/>
        </w:rPr>
        <w:t>class of items to which a compliance label has not been applied</w:t>
      </w:r>
      <w:r w:rsidR="001C25F5">
        <w:rPr>
          <w:rFonts w:ascii="Arial" w:hAnsi="Arial" w:cs="Arial"/>
          <w:sz w:val="20"/>
          <w:szCs w:val="20"/>
        </w:rPr>
        <w:t>” as a reference to a class of items in which each item that is included has not had applied to it a compliance label</w:t>
      </w:r>
      <w:r w:rsidR="003E7172">
        <w:rPr>
          <w:rFonts w:ascii="Arial" w:hAnsi="Arial" w:cs="Arial"/>
          <w:sz w:val="20"/>
          <w:szCs w:val="20"/>
        </w:rPr>
        <w:t xml:space="preserve">. </w:t>
      </w:r>
    </w:p>
    <w:p w14:paraId="50E7D903" w14:textId="79498D17" w:rsidR="00CE7403" w:rsidRDefault="00C62AC1" w:rsidP="00D73F22">
      <w:pPr>
        <w:keepNext/>
        <w:keepLines/>
        <w:spacing w:after="200" w:line="240" w:lineRule="atLeast"/>
        <w:jc w:val="both"/>
        <w:rPr>
          <w:rFonts w:ascii="Arial" w:hAnsi="Arial" w:cs="Arial"/>
          <w:b/>
          <w:sz w:val="20"/>
          <w:szCs w:val="20"/>
        </w:rPr>
      </w:pPr>
      <w:r>
        <w:rPr>
          <w:rFonts w:ascii="Arial" w:hAnsi="Arial" w:cs="Arial"/>
          <w:b/>
          <w:sz w:val="20"/>
          <w:szCs w:val="20"/>
        </w:rPr>
        <w:lastRenderedPageBreak/>
        <w:t>Clause 3</w:t>
      </w:r>
      <w:r w:rsidR="00CE7403">
        <w:rPr>
          <w:rFonts w:ascii="Arial" w:hAnsi="Arial" w:cs="Arial"/>
          <w:b/>
          <w:sz w:val="20"/>
          <w:szCs w:val="20"/>
        </w:rPr>
        <w:t xml:space="preserve"> – Particular cabling item </w:t>
      </w:r>
    </w:p>
    <w:p w14:paraId="36B97ECE" w14:textId="16F0CC75" w:rsidR="00E80D27" w:rsidRPr="003E7172" w:rsidRDefault="00C62AC1" w:rsidP="00D73F22">
      <w:pPr>
        <w:keepNext/>
        <w:keepLines/>
        <w:spacing w:after="200" w:line="240" w:lineRule="atLeast"/>
        <w:jc w:val="both"/>
        <w:rPr>
          <w:rFonts w:ascii="Arial" w:hAnsi="Arial" w:cs="Arial"/>
          <w:sz w:val="20"/>
          <w:szCs w:val="20"/>
        </w:rPr>
      </w:pPr>
      <w:r>
        <w:rPr>
          <w:rFonts w:ascii="Arial" w:hAnsi="Arial" w:cs="Arial"/>
          <w:sz w:val="20"/>
          <w:szCs w:val="20"/>
        </w:rPr>
        <w:t xml:space="preserve">Clause </w:t>
      </w:r>
      <w:r w:rsidR="00EB355B">
        <w:rPr>
          <w:rFonts w:ascii="Arial" w:hAnsi="Arial" w:cs="Arial"/>
          <w:sz w:val="20"/>
          <w:szCs w:val="20"/>
        </w:rPr>
        <w:t>3</w:t>
      </w:r>
      <w:r w:rsidR="00EB355B" w:rsidRPr="003E7172">
        <w:rPr>
          <w:rFonts w:ascii="Arial" w:hAnsi="Arial" w:cs="Arial"/>
          <w:sz w:val="20"/>
          <w:szCs w:val="20"/>
        </w:rPr>
        <w:t xml:space="preserve"> </w:t>
      </w:r>
      <w:r w:rsidR="00EB355B">
        <w:rPr>
          <w:rFonts w:ascii="Arial" w:hAnsi="Arial" w:cs="Arial"/>
          <w:sz w:val="20"/>
          <w:szCs w:val="20"/>
        </w:rPr>
        <w:t>defines</w:t>
      </w:r>
      <w:r w:rsidR="001C25F5">
        <w:rPr>
          <w:rFonts w:ascii="Arial" w:hAnsi="Arial" w:cs="Arial"/>
          <w:sz w:val="20"/>
          <w:szCs w:val="20"/>
        </w:rPr>
        <w:t xml:space="preserve"> “</w:t>
      </w:r>
      <w:r w:rsidR="00323899">
        <w:rPr>
          <w:rFonts w:ascii="Arial" w:hAnsi="Arial" w:cs="Arial"/>
          <w:sz w:val="20"/>
          <w:szCs w:val="20"/>
        </w:rPr>
        <w:t>particular cabling item</w:t>
      </w:r>
      <w:r w:rsidR="001C25F5">
        <w:rPr>
          <w:rFonts w:ascii="Arial" w:hAnsi="Arial" w:cs="Arial"/>
          <w:sz w:val="20"/>
          <w:szCs w:val="20"/>
        </w:rPr>
        <w:t xml:space="preserve">” as an item that is CC or a surge protector </w:t>
      </w:r>
      <w:r w:rsidR="00EB355B">
        <w:rPr>
          <w:rFonts w:ascii="Arial" w:hAnsi="Arial" w:cs="Arial"/>
          <w:sz w:val="20"/>
          <w:szCs w:val="20"/>
        </w:rPr>
        <w:t>where the</w:t>
      </w:r>
      <w:r w:rsidR="00323899">
        <w:rPr>
          <w:rFonts w:ascii="Arial" w:hAnsi="Arial" w:cs="Arial"/>
          <w:sz w:val="20"/>
          <w:szCs w:val="20"/>
        </w:rPr>
        <w:t xml:space="preserve"> item complies with the </w:t>
      </w:r>
      <w:r w:rsidR="001C25F5">
        <w:rPr>
          <w:rFonts w:ascii="Arial" w:hAnsi="Arial" w:cs="Arial"/>
          <w:sz w:val="20"/>
          <w:szCs w:val="20"/>
        </w:rPr>
        <w:t xml:space="preserve">ACMA </w:t>
      </w:r>
      <w:r w:rsidR="00323899">
        <w:rPr>
          <w:rFonts w:ascii="Arial" w:hAnsi="Arial" w:cs="Arial"/>
          <w:sz w:val="20"/>
          <w:szCs w:val="20"/>
        </w:rPr>
        <w:t xml:space="preserve">standard </w:t>
      </w:r>
      <w:r w:rsidR="00323899" w:rsidRPr="00815D82">
        <w:rPr>
          <w:rFonts w:ascii="Arial" w:hAnsi="Arial" w:cs="Arial"/>
          <w:sz w:val="20"/>
          <w:szCs w:val="20"/>
        </w:rPr>
        <w:t>AS/CA S008-</w:t>
      </w:r>
      <w:r w:rsidR="00815D82" w:rsidRPr="00815D82">
        <w:rPr>
          <w:rFonts w:ascii="Arial" w:hAnsi="Arial" w:cs="Arial"/>
          <w:sz w:val="20"/>
          <w:szCs w:val="20"/>
        </w:rPr>
        <w:t>20</w:t>
      </w:r>
      <w:r w:rsidR="00815D82">
        <w:rPr>
          <w:rFonts w:ascii="Arial" w:hAnsi="Arial" w:cs="Arial"/>
          <w:sz w:val="20"/>
          <w:szCs w:val="20"/>
        </w:rPr>
        <w:t>15</w:t>
      </w:r>
      <w:r w:rsidR="00815D82" w:rsidRPr="00815D82">
        <w:rPr>
          <w:rFonts w:ascii="Arial" w:hAnsi="Arial" w:cs="Arial"/>
          <w:sz w:val="20"/>
          <w:szCs w:val="20"/>
        </w:rPr>
        <w:t xml:space="preserve"> </w:t>
      </w:r>
      <w:r w:rsidR="00323899" w:rsidRPr="00815D82">
        <w:rPr>
          <w:rFonts w:ascii="Arial" w:hAnsi="Arial" w:cs="Arial"/>
          <w:sz w:val="20"/>
          <w:szCs w:val="20"/>
        </w:rPr>
        <w:t>and/or AS/NZS 4117-</w:t>
      </w:r>
      <w:r w:rsidR="00815D82">
        <w:rPr>
          <w:rFonts w:ascii="Arial" w:hAnsi="Arial" w:cs="Arial"/>
          <w:sz w:val="20"/>
          <w:szCs w:val="20"/>
        </w:rPr>
        <w:t xml:space="preserve">2015 </w:t>
      </w:r>
      <w:r w:rsidR="00323899">
        <w:rPr>
          <w:rFonts w:ascii="Arial" w:hAnsi="Arial" w:cs="Arial"/>
          <w:sz w:val="20"/>
          <w:szCs w:val="20"/>
        </w:rPr>
        <w:t xml:space="preserve">and the installation of the item </w:t>
      </w:r>
      <w:r w:rsidR="001C25F5">
        <w:rPr>
          <w:rFonts w:ascii="Arial" w:hAnsi="Arial" w:cs="Arial"/>
          <w:sz w:val="20"/>
          <w:szCs w:val="20"/>
        </w:rPr>
        <w:t xml:space="preserve">for connection to, or the connection of the item to, a telecommunications network or to a facility </w:t>
      </w:r>
      <w:r w:rsidR="00323899">
        <w:rPr>
          <w:rFonts w:ascii="Arial" w:hAnsi="Arial" w:cs="Arial"/>
          <w:sz w:val="20"/>
          <w:szCs w:val="20"/>
        </w:rPr>
        <w:t>would be a type of cabling work for the purposes of Division 9 of Part 21 of the Act.</w:t>
      </w:r>
    </w:p>
    <w:p w14:paraId="02A776B0" w14:textId="59FFCCE9" w:rsidR="00CE7403" w:rsidRDefault="00CE7403" w:rsidP="00A15AB1">
      <w:pPr>
        <w:spacing w:after="200" w:line="240" w:lineRule="atLeast"/>
        <w:jc w:val="center"/>
        <w:rPr>
          <w:rFonts w:ascii="Arial" w:hAnsi="Arial" w:cs="Arial"/>
          <w:b/>
          <w:sz w:val="22"/>
          <w:szCs w:val="22"/>
        </w:rPr>
      </w:pPr>
      <w:r w:rsidRPr="00CE7403">
        <w:rPr>
          <w:rFonts w:ascii="Arial" w:hAnsi="Arial" w:cs="Arial"/>
          <w:b/>
          <w:sz w:val="22"/>
          <w:szCs w:val="22"/>
        </w:rPr>
        <w:t>Part 2 – Applying a compliance label and preparing a written statement</w:t>
      </w:r>
    </w:p>
    <w:p w14:paraId="6D8F189F" w14:textId="2FE1AF63" w:rsidR="00CE7403" w:rsidRDefault="00C62AC1" w:rsidP="000432A3">
      <w:pPr>
        <w:spacing w:after="200" w:line="240" w:lineRule="atLeast"/>
        <w:jc w:val="both"/>
        <w:rPr>
          <w:rFonts w:ascii="Arial" w:hAnsi="Arial" w:cs="Arial"/>
          <w:b/>
          <w:sz w:val="20"/>
          <w:szCs w:val="20"/>
        </w:rPr>
      </w:pPr>
      <w:r>
        <w:rPr>
          <w:rFonts w:ascii="Arial" w:hAnsi="Arial" w:cs="Arial"/>
          <w:b/>
          <w:sz w:val="20"/>
          <w:szCs w:val="20"/>
        </w:rPr>
        <w:t>Clause 4</w:t>
      </w:r>
      <w:r w:rsidR="00CE7403" w:rsidRPr="00CE7403">
        <w:rPr>
          <w:rFonts w:ascii="Arial" w:hAnsi="Arial" w:cs="Arial"/>
          <w:b/>
          <w:sz w:val="20"/>
          <w:szCs w:val="20"/>
        </w:rPr>
        <w:t xml:space="preserve"> – Requirement to apply a compliance label and prepare a written statement </w:t>
      </w:r>
    </w:p>
    <w:p w14:paraId="3A41646D" w14:textId="44EF1266" w:rsidR="00F60B36" w:rsidRPr="00F60B36" w:rsidRDefault="00C62AC1" w:rsidP="00F60B36">
      <w:pPr>
        <w:spacing w:after="200" w:line="240" w:lineRule="atLeast"/>
        <w:jc w:val="both"/>
        <w:rPr>
          <w:rFonts w:ascii="Arial" w:hAnsi="Arial" w:cs="Arial"/>
          <w:sz w:val="20"/>
          <w:szCs w:val="20"/>
        </w:rPr>
      </w:pPr>
      <w:r w:rsidRPr="00F60B36">
        <w:rPr>
          <w:rFonts w:ascii="Arial" w:hAnsi="Arial" w:cs="Arial"/>
          <w:sz w:val="20"/>
          <w:szCs w:val="20"/>
        </w:rPr>
        <w:t>Sub</w:t>
      </w:r>
      <w:r>
        <w:rPr>
          <w:rFonts w:ascii="Arial" w:hAnsi="Arial" w:cs="Arial"/>
          <w:sz w:val="20"/>
          <w:szCs w:val="20"/>
        </w:rPr>
        <w:t>clause</w:t>
      </w:r>
      <w:r w:rsidRPr="00F60B36">
        <w:rPr>
          <w:rFonts w:ascii="Arial" w:hAnsi="Arial" w:cs="Arial"/>
          <w:sz w:val="20"/>
          <w:szCs w:val="20"/>
        </w:rPr>
        <w:t xml:space="preserve"> </w:t>
      </w:r>
      <w:r w:rsidR="00F60B36" w:rsidRPr="00F60B36">
        <w:rPr>
          <w:rFonts w:ascii="Arial" w:hAnsi="Arial" w:cs="Arial"/>
          <w:sz w:val="20"/>
          <w:szCs w:val="20"/>
        </w:rPr>
        <w:t xml:space="preserve">(1) provides </w:t>
      </w:r>
      <w:r w:rsidR="001C25F5">
        <w:rPr>
          <w:rFonts w:ascii="Arial" w:hAnsi="Arial" w:cs="Arial"/>
          <w:sz w:val="20"/>
          <w:szCs w:val="20"/>
        </w:rPr>
        <w:t>that clause 4 applies to an item i</w:t>
      </w:r>
      <w:r w:rsidR="00F60B36" w:rsidRPr="00F60B36">
        <w:rPr>
          <w:rFonts w:ascii="Arial" w:hAnsi="Arial" w:cs="Arial"/>
          <w:sz w:val="20"/>
          <w:szCs w:val="20"/>
        </w:rPr>
        <w:t>f</w:t>
      </w:r>
      <w:r>
        <w:rPr>
          <w:rFonts w:ascii="Arial" w:hAnsi="Arial" w:cs="Arial"/>
          <w:sz w:val="20"/>
          <w:szCs w:val="20"/>
        </w:rPr>
        <w:t xml:space="preserve"> there </w:t>
      </w:r>
      <w:r w:rsidR="001C25F5">
        <w:rPr>
          <w:rFonts w:ascii="Arial" w:hAnsi="Arial" w:cs="Arial"/>
          <w:sz w:val="20"/>
          <w:szCs w:val="20"/>
        </w:rPr>
        <w:t>are</w:t>
      </w:r>
      <w:r>
        <w:rPr>
          <w:rFonts w:ascii="Arial" w:hAnsi="Arial" w:cs="Arial"/>
          <w:sz w:val="20"/>
          <w:szCs w:val="20"/>
        </w:rPr>
        <w:t xml:space="preserve"> one or more applicable technical standards </w:t>
      </w:r>
      <w:r w:rsidR="001C25F5">
        <w:rPr>
          <w:rFonts w:ascii="Arial" w:hAnsi="Arial" w:cs="Arial"/>
          <w:sz w:val="20"/>
          <w:szCs w:val="20"/>
        </w:rPr>
        <w:t xml:space="preserve">in relation to </w:t>
      </w:r>
      <w:r w:rsidR="00F60B36" w:rsidRPr="00F60B36">
        <w:rPr>
          <w:rFonts w:ascii="Arial" w:hAnsi="Arial" w:cs="Arial"/>
          <w:sz w:val="20"/>
          <w:szCs w:val="20"/>
        </w:rPr>
        <w:t xml:space="preserve">an item </w:t>
      </w:r>
      <w:r w:rsidR="00F60B36" w:rsidRPr="00A15AB1">
        <w:rPr>
          <w:rFonts w:ascii="Arial" w:hAnsi="Arial" w:cs="Arial"/>
          <w:sz w:val="20"/>
          <w:szCs w:val="20"/>
        </w:rPr>
        <w:t>and</w:t>
      </w:r>
      <w:r w:rsidR="00F60B36" w:rsidRPr="007B2773">
        <w:rPr>
          <w:rFonts w:ascii="Arial" w:hAnsi="Arial" w:cs="Arial"/>
          <w:i/>
          <w:sz w:val="20"/>
          <w:szCs w:val="20"/>
        </w:rPr>
        <w:t xml:space="preserve"> </w:t>
      </w:r>
      <w:r w:rsidR="00F60B36" w:rsidRPr="00F60B36">
        <w:rPr>
          <w:rFonts w:ascii="Arial" w:hAnsi="Arial" w:cs="Arial"/>
          <w:sz w:val="20"/>
          <w:szCs w:val="20"/>
        </w:rPr>
        <w:t xml:space="preserve">the item complies with </w:t>
      </w:r>
      <w:r>
        <w:rPr>
          <w:rFonts w:ascii="Arial" w:hAnsi="Arial" w:cs="Arial"/>
          <w:sz w:val="20"/>
          <w:szCs w:val="20"/>
        </w:rPr>
        <w:t xml:space="preserve">each </w:t>
      </w:r>
      <w:r w:rsidR="00F60B36" w:rsidRPr="00F60B36">
        <w:rPr>
          <w:rFonts w:ascii="Arial" w:hAnsi="Arial" w:cs="Arial"/>
          <w:sz w:val="20"/>
          <w:szCs w:val="20"/>
        </w:rPr>
        <w:t>standard</w:t>
      </w:r>
      <w:r w:rsidR="001C25F5">
        <w:rPr>
          <w:rFonts w:ascii="Arial" w:hAnsi="Arial" w:cs="Arial"/>
          <w:sz w:val="20"/>
          <w:szCs w:val="20"/>
        </w:rPr>
        <w:t>.</w:t>
      </w:r>
    </w:p>
    <w:p w14:paraId="5F9DD311" w14:textId="57982484" w:rsidR="00E80D27" w:rsidRPr="00F60B36" w:rsidRDefault="00F60B36" w:rsidP="00F60B36">
      <w:pPr>
        <w:spacing w:after="200" w:line="240" w:lineRule="atLeast"/>
        <w:jc w:val="both"/>
        <w:rPr>
          <w:rFonts w:ascii="Arial" w:hAnsi="Arial" w:cs="Arial"/>
          <w:sz w:val="20"/>
          <w:szCs w:val="20"/>
        </w:rPr>
      </w:pPr>
      <w:r w:rsidRPr="00F60B36">
        <w:rPr>
          <w:rFonts w:ascii="Arial" w:hAnsi="Arial" w:cs="Arial"/>
          <w:sz w:val="20"/>
          <w:szCs w:val="20"/>
        </w:rPr>
        <w:t>Sub</w:t>
      </w:r>
      <w:r w:rsidR="00C62AC1">
        <w:rPr>
          <w:rFonts w:ascii="Arial" w:hAnsi="Arial" w:cs="Arial"/>
          <w:sz w:val="20"/>
          <w:szCs w:val="20"/>
        </w:rPr>
        <w:t>clause</w:t>
      </w:r>
      <w:r w:rsidRPr="00F60B36">
        <w:rPr>
          <w:rFonts w:ascii="Arial" w:hAnsi="Arial" w:cs="Arial"/>
          <w:sz w:val="20"/>
          <w:szCs w:val="20"/>
        </w:rPr>
        <w:t xml:space="preserve"> (2) </w:t>
      </w:r>
      <w:r w:rsidR="002E6E40">
        <w:rPr>
          <w:rFonts w:ascii="Arial" w:hAnsi="Arial" w:cs="Arial"/>
          <w:sz w:val="20"/>
          <w:szCs w:val="20"/>
        </w:rPr>
        <w:t>requires</w:t>
      </w:r>
      <w:r w:rsidR="002E6E40" w:rsidRPr="00F60B36">
        <w:rPr>
          <w:rFonts w:ascii="Arial" w:hAnsi="Arial" w:cs="Arial"/>
          <w:sz w:val="20"/>
          <w:szCs w:val="20"/>
        </w:rPr>
        <w:t xml:space="preserve"> </w:t>
      </w:r>
      <w:r w:rsidR="002E6E40">
        <w:rPr>
          <w:rFonts w:ascii="Arial" w:hAnsi="Arial" w:cs="Arial"/>
          <w:sz w:val="20"/>
          <w:szCs w:val="20"/>
        </w:rPr>
        <w:t xml:space="preserve">the </w:t>
      </w:r>
      <w:r w:rsidR="00C62AC1">
        <w:rPr>
          <w:rFonts w:ascii="Arial" w:hAnsi="Arial" w:cs="Arial"/>
          <w:sz w:val="20"/>
          <w:szCs w:val="20"/>
        </w:rPr>
        <w:t>supplier</w:t>
      </w:r>
      <w:r w:rsidRPr="00F60B36">
        <w:rPr>
          <w:rFonts w:ascii="Arial" w:hAnsi="Arial" w:cs="Arial"/>
          <w:sz w:val="20"/>
          <w:szCs w:val="20"/>
        </w:rPr>
        <w:t xml:space="preserve"> </w:t>
      </w:r>
      <w:r w:rsidR="002E6E40">
        <w:rPr>
          <w:rFonts w:ascii="Arial" w:hAnsi="Arial" w:cs="Arial"/>
          <w:sz w:val="20"/>
          <w:szCs w:val="20"/>
        </w:rPr>
        <w:t xml:space="preserve">of an item </w:t>
      </w:r>
      <w:r w:rsidR="00EB355B">
        <w:rPr>
          <w:rFonts w:ascii="Arial" w:hAnsi="Arial" w:cs="Arial"/>
          <w:sz w:val="20"/>
          <w:szCs w:val="20"/>
        </w:rPr>
        <w:t xml:space="preserve">to </w:t>
      </w:r>
      <w:r w:rsidR="00EB355B" w:rsidRPr="00F60B36">
        <w:rPr>
          <w:rFonts w:ascii="Arial" w:hAnsi="Arial" w:cs="Arial"/>
          <w:sz w:val="20"/>
          <w:szCs w:val="20"/>
        </w:rPr>
        <w:t>apply</w:t>
      </w:r>
      <w:r w:rsidRPr="00F60B36">
        <w:rPr>
          <w:rFonts w:ascii="Arial" w:hAnsi="Arial" w:cs="Arial"/>
          <w:sz w:val="20"/>
          <w:szCs w:val="20"/>
        </w:rPr>
        <w:t xml:space="preserve"> a compliance label</w:t>
      </w:r>
      <w:r w:rsidR="00C62AC1">
        <w:rPr>
          <w:rFonts w:ascii="Arial" w:hAnsi="Arial" w:cs="Arial"/>
          <w:sz w:val="20"/>
          <w:szCs w:val="20"/>
        </w:rPr>
        <w:t xml:space="preserve"> to</w:t>
      </w:r>
      <w:r w:rsidR="002E6E40">
        <w:rPr>
          <w:rFonts w:ascii="Arial" w:hAnsi="Arial" w:cs="Arial"/>
          <w:sz w:val="20"/>
          <w:szCs w:val="20"/>
        </w:rPr>
        <w:t xml:space="preserve"> the item in accordance with clause 5 and subclause 6(1)</w:t>
      </w:r>
      <w:r w:rsidR="00C62AC1">
        <w:rPr>
          <w:rFonts w:ascii="Arial" w:hAnsi="Arial" w:cs="Arial"/>
          <w:sz w:val="20"/>
          <w:szCs w:val="20"/>
        </w:rPr>
        <w:t>,</w:t>
      </w:r>
      <w:r>
        <w:rPr>
          <w:rFonts w:ascii="Arial" w:hAnsi="Arial" w:cs="Arial"/>
          <w:sz w:val="20"/>
          <w:szCs w:val="20"/>
        </w:rPr>
        <w:t xml:space="preserve"> and </w:t>
      </w:r>
      <w:r w:rsidR="00EB355B">
        <w:rPr>
          <w:rFonts w:ascii="Arial" w:hAnsi="Arial" w:cs="Arial"/>
          <w:sz w:val="20"/>
          <w:szCs w:val="20"/>
        </w:rPr>
        <w:t>to prepare</w:t>
      </w:r>
      <w:r>
        <w:rPr>
          <w:rFonts w:ascii="Arial" w:hAnsi="Arial" w:cs="Arial"/>
          <w:sz w:val="20"/>
          <w:szCs w:val="20"/>
        </w:rPr>
        <w:t xml:space="preserve"> a written statement </w:t>
      </w:r>
      <w:r w:rsidR="00C62AC1">
        <w:rPr>
          <w:rFonts w:ascii="Arial" w:hAnsi="Arial" w:cs="Arial"/>
          <w:sz w:val="20"/>
          <w:szCs w:val="20"/>
        </w:rPr>
        <w:t xml:space="preserve">in accordance with subclause 6(2) </w:t>
      </w:r>
      <w:r w:rsidRPr="00F60B36">
        <w:rPr>
          <w:rFonts w:ascii="Arial" w:hAnsi="Arial" w:cs="Arial"/>
          <w:sz w:val="20"/>
          <w:szCs w:val="20"/>
        </w:rPr>
        <w:t>before supplying the item</w:t>
      </w:r>
      <w:r w:rsidR="002E6E40">
        <w:rPr>
          <w:rFonts w:ascii="Arial" w:hAnsi="Arial" w:cs="Arial"/>
          <w:sz w:val="20"/>
          <w:szCs w:val="20"/>
        </w:rPr>
        <w:t>, unless the supplier is exempt from compliance under clause 7 or 8</w:t>
      </w:r>
      <w:r w:rsidRPr="00F60B36">
        <w:rPr>
          <w:rFonts w:ascii="Arial" w:hAnsi="Arial" w:cs="Arial"/>
          <w:sz w:val="20"/>
          <w:szCs w:val="20"/>
        </w:rPr>
        <w:t>.</w:t>
      </w:r>
    </w:p>
    <w:p w14:paraId="36598F0C" w14:textId="493426F0" w:rsidR="00CE7403" w:rsidRDefault="00CE7403" w:rsidP="00313BFF">
      <w:pPr>
        <w:spacing w:after="200" w:line="240" w:lineRule="atLeast"/>
        <w:jc w:val="center"/>
        <w:rPr>
          <w:rFonts w:ascii="Arial" w:hAnsi="Arial" w:cs="Arial"/>
          <w:b/>
          <w:sz w:val="22"/>
          <w:szCs w:val="22"/>
        </w:rPr>
      </w:pPr>
      <w:r>
        <w:rPr>
          <w:rFonts w:ascii="Arial" w:hAnsi="Arial" w:cs="Arial"/>
          <w:b/>
          <w:sz w:val="22"/>
          <w:szCs w:val="22"/>
        </w:rPr>
        <w:t>Part 3 – Form and application of a compliance label and preparation of a written statement</w:t>
      </w:r>
    </w:p>
    <w:p w14:paraId="474DEC61" w14:textId="16803E5B" w:rsidR="00CE7403" w:rsidRDefault="00C62AC1" w:rsidP="000432A3">
      <w:pPr>
        <w:spacing w:after="200" w:line="240" w:lineRule="atLeast"/>
        <w:jc w:val="both"/>
        <w:rPr>
          <w:rFonts w:ascii="Arial" w:hAnsi="Arial" w:cs="Arial"/>
          <w:b/>
          <w:sz w:val="20"/>
          <w:szCs w:val="20"/>
        </w:rPr>
      </w:pPr>
      <w:r>
        <w:rPr>
          <w:rFonts w:ascii="Arial" w:hAnsi="Arial" w:cs="Arial"/>
          <w:b/>
          <w:sz w:val="20"/>
          <w:szCs w:val="20"/>
        </w:rPr>
        <w:t>Clause 5</w:t>
      </w:r>
      <w:r w:rsidR="00CE7403">
        <w:rPr>
          <w:rFonts w:ascii="Arial" w:hAnsi="Arial" w:cs="Arial"/>
          <w:b/>
          <w:sz w:val="20"/>
          <w:szCs w:val="20"/>
        </w:rPr>
        <w:t xml:space="preserve"> –</w:t>
      </w:r>
      <w:r w:rsidR="002839FB">
        <w:rPr>
          <w:rFonts w:ascii="Arial" w:hAnsi="Arial" w:cs="Arial"/>
          <w:b/>
          <w:sz w:val="20"/>
          <w:szCs w:val="20"/>
        </w:rPr>
        <w:t xml:space="preserve"> Form of a compliance label</w:t>
      </w:r>
    </w:p>
    <w:p w14:paraId="08C48919" w14:textId="4283E376" w:rsidR="007176CA" w:rsidRPr="007176CA" w:rsidRDefault="007176CA" w:rsidP="007176CA">
      <w:pPr>
        <w:spacing w:after="200" w:line="240" w:lineRule="atLeast"/>
        <w:jc w:val="both"/>
        <w:rPr>
          <w:rFonts w:ascii="Arial" w:hAnsi="Arial" w:cs="Arial"/>
          <w:sz w:val="20"/>
          <w:szCs w:val="20"/>
        </w:rPr>
      </w:pPr>
      <w:r w:rsidRPr="007176CA">
        <w:rPr>
          <w:rFonts w:ascii="Arial" w:hAnsi="Arial" w:cs="Arial"/>
          <w:sz w:val="20"/>
          <w:szCs w:val="20"/>
        </w:rPr>
        <w:t>Sub</w:t>
      </w:r>
      <w:r w:rsidR="00C62AC1">
        <w:rPr>
          <w:rFonts w:ascii="Arial" w:hAnsi="Arial" w:cs="Arial"/>
          <w:sz w:val="20"/>
          <w:szCs w:val="20"/>
        </w:rPr>
        <w:t>clause</w:t>
      </w:r>
      <w:r w:rsidRPr="007176CA">
        <w:rPr>
          <w:rFonts w:ascii="Arial" w:hAnsi="Arial" w:cs="Arial"/>
          <w:sz w:val="20"/>
          <w:szCs w:val="20"/>
        </w:rPr>
        <w:t xml:space="preserve"> (1) provides </w:t>
      </w:r>
      <w:r w:rsidR="006E1F19">
        <w:rPr>
          <w:rFonts w:ascii="Arial" w:hAnsi="Arial" w:cs="Arial"/>
          <w:sz w:val="20"/>
          <w:szCs w:val="20"/>
        </w:rPr>
        <w:t xml:space="preserve">that a </w:t>
      </w:r>
      <w:r w:rsidRPr="007176CA">
        <w:rPr>
          <w:rFonts w:ascii="Arial" w:hAnsi="Arial" w:cs="Arial"/>
          <w:sz w:val="20"/>
          <w:szCs w:val="20"/>
        </w:rPr>
        <w:t xml:space="preserve">compliance label must </w:t>
      </w:r>
      <w:r w:rsidR="006E1F19">
        <w:rPr>
          <w:rFonts w:ascii="Arial" w:hAnsi="Arial" w:cs="Arial"/>
          <w:sz w:val="20"/>
          <w:szCs w:val="20"/>
        </w:rPr>
        <w:t>be in th</w:t>
      </w:r>
      <w:r w:rsidR="00F36519">
        <w:rPr>
          <w:rFonts w:ascii="Arial" w:hAnsi="Arial" w:cs="Arial"/>
          <w:sz w:val="20"/>
          <w:szCs w:val="20"/>
        </w:rPr>
        <w:t>e</w:t>
      </w:r>
      <w:r w:rsidR="006E1F19">
        <w:rPr>
          <w:rFonts w:ascii="Arial" w:hAnsi="Arial" w:cs="Arial"/>
          <w:sz w:val="20"/>
          <w:szCs w:val="20"/>
        </w:rPr>
        <w:t xml:space="preserve"> form </w:t>
      </w:r>
      <w:r w:rsidRPr="007176CA">
        <w:rPr>
          <w:rFonts w:ascii="Arial" w:hAnsi="Arial" w:cs="Arial"/>
          <w:sz w:val="20"/>
          <w:szCs w:val="20"/>
        </w:rPr>
        <w:t xml:space="preserve">of the </w:t>
      </w:r>
      <w:r w:rsidR="00EB355B" w:rsidRPr="007176CA">
        <w:rPr>
          <w:rFonts w:ascii="Arial" w:hAnsi="Arial" w:cs="Arial"/>
          <w:sz w:val="20"/>
          <w:szCs w:val="20"/>
        </w:rPr>
        <w:t>RCM no</w:t>
      </w:r>
      <w:r w:rsidRPr="007176CA">
        <w:rPr>
          <w:rFonts w:ascii="Arial" w:hAnsi="Arial" w:cs="Arial"/>
          <w:sz w:val="20"/>
          <w:szCs w:val="20"/>
        </w:rPr>
        <w:t xml:space="preserve"> smaller than 3</w:t>
      </w:r>
      <w:r w:rsidR="00266BFD">
        <w:rPr>
          <w:rFonts w:ascii="Arial" w:hAnsi="Arial" w:cs="Arial"/>
          <w:sz w:val="20"/>
          <w:szCs w:val="20"/>
        </w:rPr>
        <w:t xml:space="preserve"> </w:t>
      </w:r>
      <w:r w:rsidRPr="007176CA">
        <w:rPr>
          <w:rFonts w:ascii="Arial" w:hAnsi="Arial" w:cs="Arial"/>
          <w:sz w:val="20"/>
          <w:szCs w:val="20"/>
        </w:rPr>
        <w:t>mm in height.</w:t>
      </w:r>
    </w:p>
    <w:p w14:paraId="47BA30D9" w14:textId="6B2D284C" w:rsidR="00E80D27" w:rsidRPr="007176CA" w:rsidRDefault="007176CA" w:rsidP="000432A3">
      <w:pPr>
        <w:spacing w:after="200" w:line="240" w:lineRule="atLeast"/>
        <w:jc w:val="both"/>
        <w:rPr>
          <w:rFonts w:ascii="Arial" w:hAnsi="Arial" w:cs="Arial"/>
          <w:sz w:val="20"/>
          <w:szCs w:val="20"/>
        </w:rPr>
      </w:pPr>
      <w:r w:rsidRPr="007176CA">
        <w:rPr>
          <w:rFonts w:ascii="Arial" w:hAnsi="Arial" w:cs="Arial"/>
          <w:sz w:val="20"/>
          <w:szCs w:val="20"/>
        </w:rPr>
        <w:t>Sub</w:t>
      </w:r>
      <w:r w:rsidR="00C62AC1">
        <w:rPr>
          <w:rFonts w:ascii="Arial" w:hAnsi="Arial" w:cs="Arial"/>
          <w:sz w:val="20"/>
          <w:szCs w:val="20"/>
        </w:rPr>
        <w:t>clause</w:t>
      </w:r>
      <w:r w:rsidRPr="007176CA">
        <w:rPr>
          <w:rFonts w:ascii="Arial" w:hAnsi="Arial" w:cs="Arial"/>
          <w:sz w:val="20"/>
          <w:szCs w:val="20"/>
        </w:rPr>
        <w:t xml:space="preserve"> (2) </w:t>
      </w:r>
      <w:r w:rsidR="00266BFD">
        <w:rPr>
          <w:rFonts w:ascii="Arial" w:hAnsi="Arial" w:cs="Arial"/>
          <w:sz w:val="20"/>
          <w:szCs w:val="20"/>
        </w:rPr>
        <w:t xml:space="preserve">provides </w:t>
      </w:r>
      <w:r w:rsidRPr="007176CA">
        <w:rPr>
          <w:rFonts w:ascii="Arial" w:hAnsi="Arial" w:cs="Arial"/>
          <w:sz w:val="20"/>
          <w:szCs w:val="20"/>
        </w:rPr>
        <w:t xml:space="preserve">that </w:t>
      </w:r>
      <w:r w:rsidR="00266BFD">
        <w:rPr>
          <w:rFonts w:ascii="Arial" w:hAnsi="Arial" w:cs="Arial"/>
          <w:sz w:val="20"/>
          <w:szCs w:val="20"/>
        </w:rPr>
        <w:t xml:space="preserve">a </w:t>
      </w:r>
      <w:r w:rsidRPr="007176CA">
        <w:rPr>
          <w:rFonts w:ascii="Arial" w:hAnsi="Arial" w:cs="Arial"/>
          <w:sz w:val="20"/>
          <w:szCs w:val="20"/>
        </w:rPr>
        <w:t xml:space="preserve">compliance label must be durable and applied to </w:t>
      </w:r>
      <w:r>
        <w:rPr>
          <w:rFonts w:ascii="Arial" w:hAnsi="Arial" w:cs="Arial"/>
          <w:sz w:val="20"/>
          <w:szCs w:val="20"/>
        </w:rPr>
        <w:t>an item</w:t>
      </w:r>
      <w:r w:rsidRPr="007176CA">
        <w:rPr>
          <w:rFonts w:ascii="Arial" w:hAnsi="Arial" w:cs="Arial"/>
          <w:sz w:val="20"/>
          <w:szCs w:val="20"/>
        </w:rPr>
        <w:t xml:space="preserve"> permanently or in a way that </w:t>
      </w:r>
      <w:r w:rsidR="00266BFD">
        <w:rPr>
          <w:rFonts w:ascii="Arial" w:hAnsi="Arial" w:cs="Arial"/>
          <w:sz w:val="20"/>
          <w:szCs w:val="20"/>
        </w:rPr>
        <w:t xml:space="preserve">makes </w:t>
      </w:r>
      <w:r w:rsidRPr="007176CA">
        <w:rPr>
          <w:rFonts w:ascii="Arial" w:hAnsi="Arial" w:cs="Arial"/>
          <w:sz w:val="20"/>
          <w:szCs w:val="20"/>
        </w:rPr>
        <w:t>it difficult to remove or obliterate.</w:t>
      </w:r>
    </w:p>
    <w:p w14:paraId="4D52A815" w14:textId="329B8409" w:rsidR="002839FB" w:rsidRDefault="00C62AC1" w:rsidP="000432A3">
      <w:pPr>
        <w:spacing w:after="200" w:line="240" w:lineRule="atLeast"/>
        <w:jc w:val="both"/>
        <w:rPr>
          <w:rFonts w:ascii="Arial" w:hAnsi="Arial" w:cs="Arial"/>
          <w:b/>
          <w:sz w:val="20"/>
          <w:szCs w:val="20"/>
        </w:rPr>
      </w:pPr>
      <w:r>
        <w:rPr>
          <w:rFonts w:ascii="Arial" w:hAnsi="Arial" w:cs="Arial"/>
          <w:b/>
          <w:sz w:val="20"/>
          <w:szCs w:val="20"/>
        </w:rPr>
        <w:t>Clause 6</w:t>
      </w:r>
      <w:r w:rsidR="002839FB">
        <w:rPr>
          <w:rFonts w:ascii="Arial" w:hAnsi="Arial" w:cs="Arial"/>
          <w:b/>
          <w:sz w:val="20"/>
          <w:szCs w:val="20"/>
        </w:rPr>
        <w:t xml:space="preserve"> – Application of a compliance label and preparation of a written statement </w:t>
      </w:r>
    </w:p>
    <w:p w14:paraId="6FA087F3" w14:textId="694829DD" w:rsidR="00A728C7" w:rsidRPr="00A728C7" w:rsidRDefault="00C62AC1" w:rsidP="00A728C7">
      <w:pPr>
        <w:spacing w:after="200" w:line="240" w:lineRule="atLeast"/>
        <w:jc w:val="both"/>
        <w:rPr>
          <w:rFonts w:ascii="Arial" w:hAnsi="Arial" w:cs="Arial"/>
          <w:sz w:val="20"/>
          <w:szCs w:val="20"/>
        </w:rPr>
      </w:pPr>
      <w:r w:rsidRPr="00A728C7">
        <w:rPr>
          <w:rFonts w:ascii="Arial" w:hAnsi="Arial" w:cs="Arial"/>
          <w:sz w:val="20"/>
          <w:szCs w:val="20"/>
        </w:rPr>
        <w:t>Sub</w:t>
      </w:r>
      <w:r>
        <w:rPr>
          <w:rFonts w:ascii="Arial" w:hAnsi="Arial" w:cs="Arial"/>
          <w:sz w:val="20"/>
          <w:szCs w:val="20"/>
        </w:rPr>
        <w:t>clause</w:t>
      </w:r>
      <w:r w:rsidRPr="00A728C7">
        <w:rPr>
          <w:rFonts w:ascii="Arial" w:hAnsi="Arial" w:cs="Arial"/>
          <w:sz w:val="20"/>
          <w:szCs w:val="20"/>
        </w:rPr>
        <w:t xml:space="preserve"> </w:t>
      </w:r>
      <w:r w:rsidR="00A728C7" w:rsidRPr="00A728C7">
        <w:rPr>
          <w:rFonts w:ascii="Arial" w:hAnsi="Arial" w:cs="Arial"/>
          <w:sz w:val="20"/>
          <w:szCs w:val="20"/>
        </w:rPr>
        <w:t xml:space="preserve">(1) provides that a compliance label must be applied to </w:t>
      </w:r>
      <w:r w:rsidR="00266BFD">
        <w:rPr>
          <w:rFonts w:ascii="Arial" w:hAnsi="Arial" w:cs="Arial"/>
          <w:sz w:val="20"/>
          <w:szCs w:val="20"/>
        </w:rPr>
        <w:t xml:space="preserve">an item by affixing it to the external surface of the </w:t>
      </w:r>
      <w:r w:rsidR="00A728C7" w:rsidRPr="00A728C7">
        <w:rPr>
          <w:rFonts w:ascii="Arial" w:hAnsi="Arial" w:cs="Arial"/>
          <w:sz w:val="20"/>
          <w:szCs w:val="20"/>
        </w:rPr>
        <w:t xml:space="preserve">packaging </w:t>
      </w:r>
      <w:r w:rsidR="00266BFD">
        <w:rPr>
          <w:rFonts w:ascii="Arial" w:hAnsi="Arial" w:cs="Arial"/>
          <w:sz w:val="20"/>
          <w:szCs w:val="20"/>
        </w:rPr>
        <w:t xml:space="preserve">used for the item in a way that is clearly visible </w:t>
      </w:r>
      <w:r w:rsidR="00A728C7" w:rsidRPr="00A728C7">
        <w:rPr>
          <w:rFonts w:ascii="Arial" w:hAnsi="Arial" w:cs="Arial"/>
          <w:sz w:val="20"/>
          <w:szCs w:val="20"/>
        </w:rPr>
        <w:t xml:space="preserve">and </w:t>
      </w:r>
      <w:r w:rsidR="00266BFD">
        <w:rPr>
          <w:rFonts w:ascii="Arial" w:hAnsi="Arial" w:cs="Arial"/>
          <w:sz w:val="20"/>
          <w:szCs w:val="20"/>
        </w:rPr>
        <w:t xml:space="preserve">by incorporating it in the </w:t>
      </w:r>
      <w:r w:rsidR="00A728C7" w:rsidRPr="00A728C7">
        <w:rPr>
          <w:rFonts w:ascii="Arial" w:hAnsi="Arial" w:cs="Arial"/>
          <w:sz w:val="20"/>
          <w:szCs w:val="20"/>
        </w:rPr>
        <w:t xml:space="preserve">documentation </w:t>
      </w:r>
      <w:r w:rsidR="00266BFD">
        <w:rPr>
          <w:rFonts w:ascii="Arial" w:hAnsi="Arial" w:cs="Arial"/>
          <w:sz w:val="20"/>
          <w:szCs w:val="20"/>
        </w:rPr>
        <w:t xml:space="preserve">that </w:t>
      </w:r>
      <w:r w:rsidR="00A728C7" w:rsidRPr="00A728C7">
        <w:rPr>
          <w:rFonts w:ascii="Arial" w:hAnsi="Arial" w:cs="Arial"/>
          <w:sz w:val="20"/>
          <w:szCs w:val="20"/>
        </w:rPr>
        <w:t>accompan</w:t>
      </w:r>
      <w:r w:rsidR="00266BFD">
        <w:rPr>
          <w:rFonts w:ascii="Arial" w:hAnsi="Arial" w:cs="Arial"/>
          <w:sz w:val="20"/>
          <w:szCs w:val="20"/>
        </w:rPr>
        <w:t>ies</w:t>
      </w:r>
      <w:r w:rsidR="00A728C7" w:rsidRPr="00A728C7">
        <w:rPr>
          <w:rFonts w:ascii="Arial" w:hAnsi="Arial" w:cs="Arial"/>
          <w:sz w:val="20"/>
          <w:szCs w:val="20"/>
        </w:rPr>
        <w:t xml:space="preserve"> the </w:t>
      </w:r>
      <w:r w:rsidR="00B833E3">
        <w:rPr>
          <w:rFonts w:ascii="Arial" w:hAnsi="Arial" w:cs="Arial"/>
          <w:sz w:val="20"/>
          <w:szCs w:val="20"/>
        </w:rPr>
        <w:t>item</w:t>
      </w:r>
      <w:r w:rsidR="00B833E3" w:rsidRPr="00A728C7">
        <w:rPr>
          <w:rFonts w:ascii="Arial" w:hAnsi="Arial" w:cs="Arial"/>
          <w:sz w:val="20"/>
          <w:szCs w:val="20"/>
        </w:rPr>
        <w:t xml:space="preserve"> </w:t>
      </w:r>
      <w:r w:rsidR="00266BFD">
        <w:rPr>
          <w:rFonts w:ascii="Arial" w:hAnsi="Arial" w:cs="Arial"/>
          <w:sz w:val="20"/>
          <w:szCs w:val="20"/>
        </w:rPr>
        <w:t>when supplied</w:t>
      </w:r>
      <w:r w:rsidR="00A728C7" w:rsidRPr="00A728C7">
        <w:rPr>
          <w:rFonts w:ascii="Arial" w:hAnsi="Arial" w:cs="Arial"/>
          <w:sz w:val="20"/>
          <w:szCs w:val="20"/>
        </w:rPr>
        <w:t>.</w:t>
      </w:r>
    </w:p>
    <w:p w14:paraId="716DE01C" w14:textId="0A552119" w:rsidR="00A728C7" w:rsidRDefault="00C62AC1" w:rsidP="00313BFF">
      <w:pPr>
        <w:spacing w:after="200" w:line="240" w:lineRule="atLeast"/>
        <w:rPr>
          <w:rFonts w:ascii="Arial" w:hAnsi="Arial" w:cs="Arial"/>
          <w:sz w:val="20"/>
          <w:szCs w:val="20"/>
        </w:rPr>
      </w:pPr>
      <w:r w:rsidRPr="00A728C7">
        <w:rPr>
          <w:rFonts w:ascii="Arial" w:hAnsi="Arial" w:cs="Arial"/>
          <w:sz w:val="20"/>
          <w:szCs w:val="20"/>
        </w:rPr>
        <w:t>Sub</w:t>
      </w:r>
      <w:r>
        <w:rPr>
          <w:rFonts w:ascii="Arial" w:hAnsi="Arial" w:cs="Arial"/>
          <w:sz w:val="20"/>
          <w:szCs w:val="20"/>
        </w:rPr>
        <w:t>clause</w:t>
      </w:r>
      <w:r w:rsidRPr="00A728C7">
        <w:rPr>
          <w:rFonts w:ascii="Arial" w:hAnsi="Arial" w:cs="Arial"/>
          <w:sz w:val="20"/>
          <w:szCs w:val="20"/>
        </w:rPr>
        <w:t xml:space="preserve"> </w:t>
      </w:r>
      <w:r w:rsidR="00A728C7" w:rsidRPr="00A728C7">
        <w:rPr>
          <w:rFonts w:ascii="Arial" w:hAnsi="Arial" w:cs="Arial"/>
          <w:sz w:val="20"/>
          <w:szCs w:val="20"/>
        </w:rPr>
        <w:t>(</w:t>
      </w:r>
      <w:r w:rsidR="00A728C7">
        <w:rPr>
          <w:rFonts w:ascii="Arial" w:hAnsi="Arial" w:cs="Arial"/>
          <w:sz w:val="20"/>
          <w:szCs w:val="20"/>
        </w:rPr>
        <w:t xml:space="preserve">2) </w:t>
      </w:r>
      <w:r w:rsidR="00266BFD">
        <w:rPr>
          <w:rFonts w:ascii="Arial" w:hAnsi="Arial" w:cs="Arial"/>
          <w:sz w:val="20"/>
          <w:szCs w:val="20"/>
        </w:rPr>
        <w:t>provides</w:t>
      </w:r>
      <w:r w:rsidR="00A728C7">
        <w:rPr>
          <w:rFonts w:ascii="Arial" w:hAnsi="Arial" w:cs="Arial"/>
          <w:sz w:val="20"/>
          <w:szCs w:val="20"/>
        </w:rPr>
        <w:t xml:space="preserve"> that </w:t>
      </w:r>
      <w:r w:rsidR="00266BFD">
        <w:rPr>
          <w:rFonts w:ascii="Arial" w:hAnsi="Arial" w:cs="Arial"/>
          <w:sz w:val="20"/>
          <w:szCs w:val="20"/>
        </w:rPr>
        <w:t xml:space="preserve">a </w:t>
      </w:r>
      <w:r w:rsidR="00A728C7">
        <w:rPr>
          <w:rFonts w:ascii="Arial" w:hAnsi="Arial" w:cs="Arial"/>
          <w:sz w:val="20"/>
          <w:szCs w:val="20"/>
        </w:rPr>
        <w:t xml:space="preserve">written statement </w:t>
      </w:r>
      <w:r w:rsidR="00EB355B">
        <w:rPr>
          <w:rFonts w:ascii="Arial" w:hAnsi="Arial" w:cs="Arial"/>
          <w:sz w:val="20"/>
          <w:szCs w:val="20"/>
        </w:rPr>
        <w:t>prepared under</w:t>
      </w:r>
      <w:r w:rsidR="00A728C7">
        <w:rPr>
          <w:rFonts w:ascii="Arial" w:hAnsi="Arial" w:cs="Arial"/>
          <w:sz w:val="20"/>
          <w:szCs w:val="20"/>
        </w:rPr>
        <w:t xml:space="preserve"> </w:t>
      </w:r>
      <w:r w:rsidR="00266BFD">
        <w:rPr>
          <w:rFonts w:ascii="Arial" w:hAnsi="Arial" w:cs="Arial"/>
          <w:sz w:val="20"/>
          <w:szCs w:val="20"/>
        </w:rPr>
        <w:t>sub</w:t>
      </w:r>
      <w:r>
        <w:rPr>
          <w:rFonts w:ascii="Arial" w:hAnsi="Arial" w:cs="Arial"/>
          <w:sz w:val="20"/>
          <w:szCs w:val="20"/>
        </w:rPr>
        <w:t>clause 4</w:t>
      </w:r>
      <w:r w:rsidR="00266BFD">
        <w:rPr>
          <w:rFonts w:ascii="Arial" w:hAnsi="Arial" w:cs="Arial"/>
          <w:sz w:val="20"/>
          <w:szCs w:val="20"/>
        </w:rPr>
        <w:t>(2) in relation to an item</w:t>
      </w:r>
      <w:r w:rsidR="00A728C7">
        <w:rPr>
          <w:rFonts w:ascii="Arial" w:hAnsi="Arial" w:cs="Arial"/>
          <w:sz w:val="20"/>
          <w:szCs w:val="20"/>
        </w:rPr>
        <w:t xml:space="preserve"> must specify where </w:t>
      </w:r>
      <w:r w:rsidR="00266BFD">
        <w:rPr>
          <w:rFonts w:ascii="Arial" w:hAnsi="Arial" w:cs="Arial"/>
          <w:sz w:val="20"/>
          <w:szCs w:val="20"/>
        </w:rPr>
        <w:t xml:space="preserve">each </w:t>
      </w:r>
      <w:r w:rsidR="00A728C7">
        <w:rPr>
          <w:rFonts w:ascii="Arial" w:hAnsi="Arial" w:cs="Arial"/>
          <w:sz w:val="20"/>
          <w:szCs w:val="20"/>
        </w:rPr>
        <w:t xml:space="preserve">compliance </w:t>
      </w:r>
      <w:r w:rsidR="00266BFD">
        <w:rPr>
          <w:rFonts w:ascii="Arial" w:hAnsi="Arial" w:cs="Arial"/>
          <w:sz w:val="20"/>
          <w:szCs w:val="20"/>
        </w:rPr>
        <w:t>label has been</w:t>
      </w:r>
      <w:r w:rsidR="00A728C7">
        <w:rPr>
          <w:rFonts w:ascii="Arial" w:hAnsi="Arial" w:cs="Arial"/>
          <w:sz w:val="20"/>
          <w:szCs w:val="20"/>
        </w:rPr>
        <w:t xml:space="preserve"> applied on the external </w:t>
      </w:r>
      <w:r w:rsidR="00266BFD">
        <w:rPr>
          <w:rFonts w:ascii="Arial" w:hAnsi="Arial" w:cs="Arial"/>
          <w:sz w:val="20"/>
          <w:szCs w:val="20"/>
        </w:rPr>
        <w:t xml:space="preserve">surface of the </w:t>
      </w:r>
      <w:r w:rsidR="00A728C7">
        <w:rPr>
          <w:rFonts w:ascii="Arial" w:hAnsi="Arial" w:cs="Arial"/>
          <w:sz w:val="20"/>
          <w:szCs w:val="20"/>
        </w:rPr>
        <w:t>packaging</w:t>
      </w:r>
      <w:r w:rsidR="00266BFD">
        <w:rPr>
          <w:rFonts w:ascii="Arial" w:hAnsi="Arial" w:cs="Arial"/>
          <w:sz w:val="20"/>
          <w:szCs w:val="20"/>
        </w:rPr>
        <w:t xml:space="preserve"> used for the item and in the documentation that accompanies the item when supplied. </w:t>
      </w:r>
    </w:p>
    <w:p w14:paraId="7BFEF6D1" w14:textId="5BA3EEA3" w:rsidR="002839FB" w:rsidRDefault="00C62AC1" w:rsidP="000432A3">
      <w:pPr>
        <w:spacing w:after="200" w:line="240" w:lineRule="atLeast"/>
        <w:jc w:val="both"/>
        <w:rPr>
          <w:rFonts w:ascii="Arial" w:hAnsi="Arial" w:cs="Arial"/>
          <w:b/>
          <w:sz w:val="20"/>
          <w:szCs w:val="20"/>
        </w:rPr>
      </w:pPr>
      <w:r>
        <w:rPr>
          <w:rFonts w:ascii="Arial" w:hAnsi="Arial" w:cs="Arial"/>
          <w:b/>
          <w:sz w:val="20"/>
          <w:szCs w:val="20"/>
        </w:rPr>
        <w:t xml:space="preserve">Clause 7 </w:t>
      </w:r>
      <w:r w:rsidR="002839FB">
        <w:rPr>
          <w:rFonts w:ascii="Arial" w:hAnsi="Arial" w:cs="Arial"/>
          <w:b/>
          <w:sz w:val="20"/>
          <w:szCs w:val="20"/>
        </w:rPr>
        <w:t xml:space="preserve">– Exemption for items that meet other requirements </w:t>
      </w:r>
    </w:p>
    <w:p w14:paraId="655F9881" w14:textId="08981690" w:rsidR="00170FF9" w:rsidRDefault="00C62AC1" w:rsidP="00170FF9">
      <w:pPr>
        <w:spacing w:after="200" w:line="240" w:lineRule="atLeast"/>
        <w:rPr>
          <w:rFonts w:ascii="Arial" w:hAnsi="Arial" w:cs="Arial"/>
          <w:sz w:val="20"/>
          <w:szCs w:val="20"/>
        </w:rPr>
      </w:pPr>
      <w:r>
        <w:rPr>
          <w:rFonts w:ascii="Arial" w:hAnsi="Arial" w:cs="Arial"/>
          <w:sz w:val="20"/>
          <w:szCs w:val="20"/>
        </w:rPr>
        <w:t>Clause</w:t>
      </w:r>
      <w:r w:rsidRPr="00A05008">
        <w:rPr>
          <w:rFonts w:ascii="Arial" w:hAnsi="Arial" w:cs="Arial"/>
          <w:sz w:val="20"/>
          <w:szCs w:val="20"/>
        </w:rPr>
        <w:t xml:space="preserve"> </w:t>
      </w:r>
      <w:r>
        <w:rPr>
          <w:rFonts w:ascii="Arial" w:hAnsi="Arial" w:cs="Arial"/>
          <w:sz w:val="20"/>
          <w:szCs w:val="20"/>
        </w:rPr>
        <w:t>7</w:t>
      </w:r>
      <w:r w:rsidR="00A05008" w:rsidRPr="00A05008">
        <w:rPr>
          <w:rFonts w:ascii="Arial" w:hAnsi="Arial" w:cs="Arial"/>
          <w:sz w:val="20"/>
          <w:szCs w:val="20"/>
        </w:rPr>
        <w:t xml:space="preserve"> </w:t>
      </w:r>
      <w:r w:rsidR="00A05008">
        <w:rPr>
          <w:rFonts w:ascii="Arial" w:hAnsi="Arial" w:cs="Arial"/>
          <w:sz w:val="20"/>
          <w:szCs w:val="20"/>
        </w:rPr>
        <w:t xml:space="preserve">provides that a </w:t>
      </w:r>
      <w:r>
        <w:rPr>
          <w:rFonts w:ascii="Arial" w:hAnsi="Arial" w:cs="Arial"/>
          <w:sz w:val="20"/>
          <w:szCs w:val="20"/>
        </w:rPr>
        <w:t>supplier</w:t>
      </w:r>
      <w:r w:rsidR="00A05008">
        <w:rPr>
          <w:rFonts w:ascii="Arial" w:hAnsi="Arial" w:cs="Arial"/>
          <w:sz w:val="20"/>
          <w:szCs w:val="20"/>
        </w:rPr>
        <w:t xml:space="preserve"> </w:t>
      </w:r>
      <w:r w:rsidR="00170FF9">
        <w:rPr>
          <w:rFonts w:ascii="Arial" w:hAnsi="Arial" w:cs="Arial"/>
          <w:sz w:val="20"/>
          <w:szCs w:val="20"/>
        </w:rPr>
        <w:t xml:space="preserve">of an item </w:t>
      </w:r>
      <w:r w:rsidR="00A05008">
        <w:rPr>
          <w:rFonts w:ascii="Arial" w:hAnsi="Arial" w:cs="Arial"/>
          <w:sz w:val="20"/>
          <w:szCs w:val="20"/>
        </w:rPr>
        <w:t xml:space="preserve">is exempt from </w:t>
      </w:r>
      <w:r w:rsidR="00170FF9">
        <w:rPr>
          <w:rFonts w:ascii="Arial" w:hAnsi="Arial" w:cs="Arial"/>
          <w:sz w:val="20"/>
          <w:szCs w:val="20"/>
        </w:rPr>
        <w:t xml:space="preserve">compliance with subclause 4(2) </w:t>
      </w:r>
      <w:r w:rsidR="00A05008">
        <w:rPr>
          <w:rFonts w:ascii="Arial" w:hAnsi="Arial" w:cs="Arial"/>
          <w:sz w:val="20"/>
          <w:szCs w:val="20"/>
        </w:rPr>
        <w:t xml:space="preserve">if </w:t>
      </w:r>
      <w:r w:rsidR="00170FF9">
        <w:rPr>
          <w:rFonts w:ascii="Arial" w:hAnsi="Arial" w:cs="Arial"/>
          <w:sz w:val="20"/>
          <w:szCs w:val="20"/>
        </w:rPr>
        <w:t xml:space="preserve">certain details identifying </w:t>
      </w:r>
      <w:r w:rsidR="00A05008">
        <w:rPr>
          <w:rFonts w:ascii="Arial" w:hAnsi="Arial" w:cs="Arial"/>
          <w:sz w:val="20"/>
          <w:szCs w:val="20"/>
        </w:rPr>
        <w:t xml:space="preserve">the </w:t>
      </w:r>
      <w:r>
        <w:rPr>
          <w:rFonts w:ascii="Arial" w:hAnsi="Arial" w:cs="Arial"/>
          <w:sz w:val="20"/>
          <w:szCs w:val="20"/>
        </w:rPr>
        <w:t>supplier</w:t>
      </w:r>
      <w:r w:rsidR="002A3B1E">
        <w:rPr>
          <w:rFonts w:ascii="Arial" w:hAnsi="Arial" w:cs="Arial"/>
          <w:sz w:val="20"/>
          <w:szCs w:val="20"/>
        </w:rPr>
        <w:t xml:space="preserve"> </w:t>
      </w:r>
      <w:r w:rsidR="00A05008">
        <w:rPr>
          <w:rFonts w:ascii="Arial" w:hAnsi="Arial" w:cs="Arial"/>
          <w:sz w:val="20"/>
          <w:szCs w:val="20"/>
        </w:rPr>
        <w:t xml:space="preserve">and </w:t>
      </w:r>
      <w:r w:rsidR="00170FF9">
        <w:rPr>
          <w:rFonts w:ascii="Arial" w:hAnsi="Arial" w:cs="Arial"/>
          <w:sz w:val="20"/>
          <w:szCs w:val="20"/>
        </w:rPr>
        <w:t xml:space="preserve">the item </w:t>
      </w:r>
      <w:r w:rsidR="00A05008">
        <w:rPr>
          <w:rFonts w:ascii="Arial" w:hAnsi="Arial" w:cs="Arial"/>
          <w:sz w:val="20"/>
          <w:szCs w:val="20"/>
        </w:rPr>
        <w:t>are displayed on the sheath of the item at regular intervals</w:t>
      </w:r>
      <w:r w:rsidR="00170FF9">
        <w:rPr>
          <w:rFonts w:ascii="Arial" w:hAnsi="Arial" w:cs="Arial"/>
          <w:sz w:val="20"/>
          <w:szCs w:val="20"/>
        </w:rPr>
        <w:t xml:space="preserve"> of not more than 2 metres</w:t>
      </w:r>
      <w:r w:rsidR="00A05008">
        <w:rPr>
          <w:rFonts w:ascii="Arial" w:hAnsi="Arial" w:cs="Arial"/>
          <w:sz w:val="20"/>
          <w:szCs w:val="20"/>
        </w:rPr>
        <w:t>.</w:t>
      </w:r>
      <w:r w:rsidR="00170FF9">
        <w:rPr>
          <w:rFonts w:ascii="Arial" w:hAnsi="Arial" w:cs="Arial"/>
          <w:sz w:val="20"/>
          <w:szCs w:val="20"/>
        </w:rPr>
        <w:t xml:space="preserve"> Such details include the company name, business name or trade mark of the supplier, and a part name or number, identification number or product name of the item.  </w:t>
      </w:r>
    </w:p>
    <w:p w14:paraId="6E718738" w14:textId="45D6803A" w:rsidR="00FA7DB7" w:rsidRPr="00A05008" w:rsidRDefault="00FA7DB7" w:rsidP="00FA7DB7">
      <w:pPr>
        <w:spacing w:after="200" w:line="240" w:lineRule="atLeast"/>
        <w:rPr>
          <w:rFonts w:ascii="Arial" w:hAnsi="Arial" w:cs="Arial"/>
          <w:sz w:val="20"/>
          <w:szCs w:val="20"/>
        </w:rPr>
      </w:pPr>
      <w:r>
        <w:rPr>
          <w:rFonts w:ascii="Arial" w:hAnsi="Arial" w:cs="Arial"/>
          <w:sz w:val="20"/>
          <w:szCs w:val="20"/>
        </w:rPr>
        <w:t xml:space="preserve">In some cases, </w:t>
      </w:r>
      <w:r w:rsidR="00C62AC1">
        <w:rPr>
          <w:rFonts w:ascii="Arial" w:hAnsi="Arial" w:cs="Arial"/>
          <w:sz w:val="20"/>
          <w:szCs w:val="20"/>
        </w:rPr>
        <w:t xml:space="preserve">it may not be possible </w:t>
      </w:r>
      <w:r>
        <w:rPr>
          <w:rFonts w:ascii="Arial" w:hAnsi="Arial" w:cs="Arial"/>
          <w:sz w:val="20"/>
          <w:szCs w:val="20"/>
        </w:rPr>
        <w:t xml:space="preserve">for a supplier of an item </w:t>
      </w:r>
      <w:r w:rsidR="00C62AC1">
        <w:rPr>
          <w:rFonts w:ascii="Arial" w:hAnsi="Arial" w:cs="Arial"/>
          <w:sz w:val="20"/>
          <w:szCs w:val="20"/>
        </w:rPr>
        <w:t xml:space="preserve">to </w:t>
      </w:r>
      <w:r>
        <w:rPr>
          <w:rFonts w:ascii="Arial" w:hAnsi="Arial" w:cs="Arial"/>
          <w:sz w:val="20"/>
          <w:szCs w:val="20"/>
        </w:rPr>
        <w:t>meet those</w:t>
      </w:r>
      <w:r w:rsidR="00C62AC1">
        <w:rPr>
          <w:rFonts w:ascii="Arial" w:hAnsi="Arial" w:cs="Arial"/>
          <w:sz w:val="20"/>
          <w:szCs w:val="20"/>
        </w:rPr>
        <w:t xml:space="preserve"> requirements </w:t>
      </w:r>
      <w:r>
        <w:rPr>
          <w:rFonts w:ascii="Arial" w:hAnsi="Arial" w:cs="Arial"/>
          <w:sz w:val="20"/>
          <w:szCs w:val="20"/>
        </w:rPr>
        <w:t xml:space="preserve">for an exemption because of the physical characteristics of the item (for </w:t>
      </w:r>
      <w:r w:rsidR="00EB355B">
        <w:rPr>
          <w:rFonts w:ascii="Arial" w:hAnsi="Arial" w:cs="Arial"/>
          <w:sz w:val="20"/>
          <w:szCs w:val="20"/>
        </w:rPr>
        <w:t>example</w:t>
      </w:r>
      <w:r w:rsidR="00A873D9">
        <w:rPr>
          <w:rFonts w:ascii="Arial" w:hAnsi="Arial" w:cs="Arial"/>
          <w:sz w:val="20"/>
          <w:szCs w:val="20"/>
        </w:rPr>
        <w:t>,</w:t>
      </w:r>
      <w:r w:rsidR="00EB355B">
        <w:rPr>
          <w:rFonts w:ascii="Arial" w:hAnsi="Arial" w:cs="Arial"/>
          <w:sz w:val="20"/>
          <w:szCs w:val="20"/>
        </w:rPr>
        <w:t xml:space="preserve"> a</w:t>
      </w:r>
      <w:r>
        <w:rPr>
          <w:rFonts w:ascii="Arial" w:hAnsi="Arial" w:cs="Arial"/>
          <w:sz w:val="20"/>
          <w:szCs w:val="20"/>
        </w:rPr>
        <w:t xml:space="preserve"> </w:t>
      </w:r>
      <w:r w:rsidR="00C62AC1">
        <w:rPr>
          <w:rFonts w:ascii="Arial" w:hAnsi="Arial" w:cs="Arial"/>
          <w:sz w:val="20"/>
          <w:szCs w:val="20"/>
        </w:rPr>
        <w:t>surge protector may not have a sheath).</w:t>
      </w:r>
      <w:r>
        <w:rPr>
          <w:rFonts w:ascii="Arial" w:hAnsi="Arial" w:cs="Arial"/>
          <w:sz w:val="20"/>
          <w:szCs w:val="20"/>
        </w:rPr>
        <w:t xml:space="preserve"> If a supplier is unable to meet those requirements or the requirements for an exemption under clause 8, it must comply with subclause 4(2).</w:t>
      </w:r>
    </w:p>
    <w:p w14:paraId="3B25C10C" w14:textId="42997C86" w:rsidR="002839FB" w:rsidRDefault="00C62AC1" w:rsidP="000432A3">
      <w:pPr>
        <w:spacing w:after="200" w:line="240" w:lineRule="atLeast"/>
        <w:jc w:val="both"/>
        <w:rPr>
          <w:rFonts w:ascii="Arial" w:hAnsi="Arial" w:cs="Arial"/>
          <w:b/>
          <w:sz w:val="20"/>
          <w:szCs w:val="20"/>
        </w:rPr>
      </w:pPr>
      <w:r>
        <w:rPr>
          <w:rFonts w:ascii="Arial" w:hAnsi="Arial" w:cs="Arial"/>
          <w:b/>
          <w:sz w:val="20"/>
          <w:szCs w:val="20"/>
        </w:rPr>
        <w:t>Clause 8</w:t>
      </w:r>
      <w:r w:rsidR="002839FB">
        <w:rPr>
          <w:rFonts w:ascii="Arial" w:hAnsi="Arial" w:cs="Arial"/>
          <w:b/>
          <w:sz w:val="20"/>
          <w:szCs w:val="20"/>
        </w:rPr>
        <w:t xml:space="preserve"> – Exemption for particular cabling items that meet other requirements </w:t>
      </w:r>
    </w:p>
    <w:p w14:paraId="2E712B64" w14:textId="4FB84E70" w:rsidR="005C2F51" w:rsidRDefault="00C62AC1" w:rsidP="000432A3">
      <w:pPr>
        <w:spacing w:after="200" w:line="240" w:lineRule="atLeast"/>
        <w:jc w:val="both"/>
        <w:rPr>
          <w:rFonts w:ascii="Arial" w:hAnsi="Arial" w:cs="Arial"/>
          <w:sz w:val="20"/>
          <w:szCs w:val="20"/>
        </w:rPr>
      </w:pPr>
      <w:r>
        <w:rPr>
          <w:rFonts w:ascii="Arial" w:hAnsi="Arial" w:cs="Arial"/>
          <w:sz w:val="20"/>
          <w:szCs w:val="20"/>
        </w:rPr>
        <w:t>Clause 8</w:t>
      </w:r>
      <w:r w:rsidR="005C2F51" w:rsidRPr="005C2F51">
        <w:rPr>
          <w:rFonts w:ascii="Arial" w:hAnsi="Arial" w:cs="Arial"/>
          <w:sz w:val="20"/>
          <w:szCs w:val="20"/>
        </w:rPr>
        <w:t xml:space="preserve"> provides that </w:t>
      </w:r>
      <w:r w:rsidR="005C2F51">
        <w:rPr>
          <w:rFonts w:ascii="Arial" w:hAnsi="Arial" w:cs="Arial"/>
          <w:sz w:val="20"/>
          <w:szCs w:val="20"/>
        </w:rPr>
        <w:t xml:space="preserve">a </w:t>
      </w:r>
      <w:r>
        <w:rPr>
          <w:rFonts w:ascii="Arial" w:hAnsi="Arial" w:cs="Arial"/>
          <w:sz w:val="20"/>
          <w:szCs w:val="20"/>
        </w:rPr>
        <w:t>supplier</w:t>
      </w:r>
      <w:r w:rsidR="005C2F51">
        <w:rPr>
          <w:rFonts w:ascii="Arial" w:hAnsi="Arial" w:cs="Arial"/>
          <w:sz w:val="20"/>
          <w:szCs w:val="20"/>
        </w:rPr>
        <w:t xml:space="preserve"> </w:t>
      </w:r>
      <w:r w:rsidR="00FA7DB7">
        <w:rPr>
          <w:rFonts w:ascii="Arial" w:hAnsi="Arial" w:cs="Arial"/>
          <w:sz w:val="20"/>
          <w:szCs w:val="20"/>
        </w:rPr>
        <w:t xml:space="preserve">of an item </w:t>
      </w:r>
      <w:r w:rsidR="005C2F51">
        <w:rPr>
          <w:rFonts w:ascii="Arial" w:hAnsi="Arial" w:cs="Arial"/>
          <w:sz w:val="20"/>
          <w:szCs w:val="20"/>
        </w:rPr>
        <w:t xml:space="preserve">is exempt from </w:t>
      </w:r>
      <w:r w:rsidR="00FA7DB7">
        <w:rPr>
          <w:rFonts w:ascii="Arial" w:hAnsi="Arial" w:cs="Arial"/>
          <w:sz w:val="20"/>
          <w:szCs w:val="20"/>
        </w:rPr>
        <w:t>compliance with subclause 4(2)</w:t>
      </w:r>
      <w:r w:rsidR="005C2F51">
        <w:rPr>
          <w:rFonts w:ascii="Arial" w:hAnsi="Arial" w:cs="Arial"/>
          <w:sz w:val="20"/>
          <w:szCs w:val="20"/>
        </w:rPr>
        <w:t xml:space="preserve"> if the item is </w:t>
      </w:r>
      <w:r>
        <w:rPr>
          <w:rFonts w:ascii="Arial" w:hAnsi="Arial" w:cs="Arial"/>
          <w:sz w:val="20"/>
          <w:szCs w:val="20"/>
        </w:rPr>
        <w:t>a “</w:t>
      </w:r>
      <w:r w:rsidR="005C2F51">
        <w:rPr>
          <w:rFonts w:ascii="Arial" w:hAnsi="Arial" w:cs="Arial"/>
          <w:sz w:val="20"/>
          <w:szCs w:val="20"/>
        </w:rPr>
        <w:t>particular cabling</w:t>
      </w:r>
      <w:r>
        <w:rPr>
          <w:rFonts w:ascii="Arial" w:hAnsi="Arial" w:cs="Arial"/>
          <w:sz w:val="20"/>
          <w:szCs w:val="20"/>
        </w:rPr>
        <w:t xml:space="preserve"> item”</w:t>
      </w:r>
      <w:r w:rsidR="005C2F51">
        <w:rPr>
          <w:rFonts w:ascii="Arial" w:hAnsi="Arial" w:cs="Arial"/>
          <w:sz w:val="20"/>
          <w:szCs w:val="20"/>
        </w:rPr>
        <w:t xml:space="preserve"> and the </w:t>
      </w:r>
      <w:r>
        <w:rPr>
          <w:rFonts w:ascii="Arial" w:hAnsi="Arial" w:cs="Arial"/>
          <w:sz w:val="20"/>
          <w:szCs w:val="20"/>
        </w:rPr>
        <w:t>supplier</w:t>
      </w:r>
      <w:r w:rsidR="005C2F51">
        <w:rPr>
          <w:rFonts w:ascii="Arial" w:hAnsi="Arial" w:cs="Arial"/>
          <w:sz w:val="20"/>
          <w:szCs w:val="20"/>
        </w:rPr>
        <w:t xml:space="preserve"> has complied with </w:t>
      </w:r>
      <w:r>
        <w:rPr>
          <w:rFonts w:ascii="Arial" w:hAnsi="Arial" w:cs="Arial"/>
          <w:sz w:val="20"/>
          <w:szCs w:val="20"/>
        </w:rPr>
        <w:t>clauses 9</w:t>
      </w:r>
      <w:r w:rsidR="005C2F51">
        <w:rPr>
          <w:rFonts w:ascii="Arial" w:hAnsi="Arial" w:cs="Arial"/>
          <w:sz w:val="20"/>
          <w:szCs w:val="20"/>
        </w:rPr>
        <w:t xml:space="preserve"> and </w:t>
      </w:r>
      <w:r>
        <w:rPr>
          <w:rFonts w:ascii="Arial" w:hAnsi="Arial" w:cs="Arial"/>
          <w:sz w:val="20"/>
          <w:szCs w:val="20"/>
        </w:rPr>
        <w:t>10</w:t>
      </w:r>
      <w:r w:rsidR="005C2F51">
        <w:rPr>
          <w:rFonts w:ascii="Arial" w:hAnsi="Arial" w:cs="Arial"/>
          <w:sz w:val="20"/>
          <w:szCs w:val="20"/>
        </w:rPr>
        <w:t>.</w:t>
      </w:r>
    </w:p>
    <w:p w14:paraId="63B464C5" w14:textId="365393C4" w:rsidR="002839FB" w:rsidRDefault="00C62AC1" w:rsidP="00D73F22">
      <w:pPr>
        <w:keepNext/>
        <w:spacing w:after="200" w:line="240" w:lineRule="atLeast"/>
        <w:jc w:val="both"/>
        <w:rPr>
          <w:rFonts w:ascii="Arial" w:hAnsi="Arial" w:cs="Arial"/>
          <w:b/>
          <w:sz w:val="20"/>
          <w:szCs w:val="20"/>
        </w:rPr>
      </w:pPr>
      <w:r>
        <w:rPr>
          <w:rFonts w:ascii="Arial" w:hAnsi="Arial" w:cs="Arial"/>
          <w:b/>
          <w:sz w:val="20"/>
          <w:szCs w:val="20"/>
        </w:rPr>
        <w:lastRenderedPageBreak/>
        <w:t>Clause</w:t>
      </w:r>
      <w:r w:rsidR="00620ACB">
        <w:rPr>
          <w:rFonts w:ascii="Arial" w:hAnsi="Arial" w:cs="Arial"/>
          <w:b/>
          <w:sz w:val="20"/>
          <w:szCs w:val="20"/>
        </w:rPr>
        <w:t xml:space="preserve"> 9</w:t>
      </w:r>
      <w:r w:rsidR="002839FB">
        <w:rPr>
          <w:rFonts w:ascii="Arial" w:hAnsi="Arial" w:cs="Arial"/>
          <w:b/>
          <w:sz w:val="20"/>
          <w:szCs w:val="20"/>
        </w:rPr>
        <w:t xml:space="preserve"> – Requirements to be met before supplying particular cabling items without a compliance label </w:t>
      </w:r>
    </w:p>
    <w:p w14:paraId="0F4A8715" w14:textId="6F40054E" w:rsidR="00F67DF7" w:rsidRDefault="00F67DF7" w:rsidP="000432A3">
      <w:pPr>
        <w:spacing w:after="200" w:line="240" w:lineRule="atLeast"/>
        <w:jc w:val="both"/>
        <w:rPr>
          <w:rFonts w:ascii="Arial" w:hAnsi="Arial" w:cs="Arial"/>
          <w:sz w:val="20"/>
          <w:szCs w:val="20"/>
        </w:rPr>
      </w:pPr>
      <w:r>
        <w:rPr>
          <w:rFonts w:ascii="Arial" w:hAnsi="Arial" w:cs="Arial"/>
          <w:sz w:val="20"/>
          <w:szCs w:val="20"/>
        </w:rPr>
        <w:t>Subc</w:t>
      </w:r>
      <w:r w:rsidR="00620ACB">
        <w:rPr>
          <w:rFonts w:ascii="Arial" w:hAnsi="Arial" w:cs="Arial"/>
          <w:sz w:val="20"/>
          <w:szCs w:val="20"/>
        </w:rPr>
        <w:t>lause</w:t>
      </w:r>
      <w:r w:rsidR="00153E3F">
        <w:rPr>
          <w:rFonts w:ascii="Arial" w:hAnsi="Arial" w:cs="Arial"/>
          <w:sz w:val="20"/>
          <w:szCs w:val="20"/>
        </w:rPr>
        <w:t xml:space="preserve"> </w:t>
      </w:r>
      <w:r w:rsidR="00620ACB">
        <w:rPr>
          <w:rFonts w:ascii="Arial" w:hAnsi="Arial" w:cs="Arial"/>
          <w:sz w:val="20"/>
          <w:szCs w:val="20"/>
        </w:rPr>
        <w:t>9</w:t>
      </w:r>
      <w:r>
        <w:rPr>
          <w:rFonts w:ascii="Arial" w:hAnsi="Arial" w:cs="Arial"/>
          <w:sz w:val="20"/>
          <w:szCs w:val="20"/>
        </w:rPr>
        <w:t>(1)</w:t>
      </w:r>
      <w:r w:rsidR="00ED040C" w:rsidRPr="00ED040C">
        <w:rPr>
          <w:rFonts w:ascii="Arial" w:hAnsi="Arial" w:cs="Arial"/>
          <w:sz w:val="20"/>
          <w:szCs w:val="20"/>
        </w:rPr>
        <w:t xml:space="preserve"> provides that, for the purposes of </w:t>
      </w:r>
      <w:r w:rsidR="00620ACB">
        <w:rPr>
          <w:rFonts w:ascii="Arial" w:hAnsi="Arial" w:cs="Arial"/>
          <w:sz w:val="20"/>
          <w:szCs w:val="20"/>
        </w:rPr>
        <w:t>clause 8</w:t>
      </w:r>
      <w:r w:rsidR="00ED040C" w:rsidRPr="00ED040C">
        <w:rPr>
          <w:rFonts w:ascii="Arial" w:hAnsi="Arial" w:cs="Arial"/>
          <w:sz w:val="20"/>
          <w:szCs w:val="20"/>
        </w:rPr>
        <w:t xml:space="preserve">, </w:t>
      </w:r>
      <w:r>
        <w:rPr>
          <w:rFonts w:ascii="Arial" w:hAnsi="Arial" w:cs="Arial"/>
          <w:sz w:val="20"/>
          <w:szCs w:val="20"/>
        </w:rPr>
        <w:t>the</w:t>
      </w:r>
      <w:r w:rsidR="00ED040C">
        <w:rPr>
          <w:rFonts w:ascii="Arial" w:hAnsi="Arial" w:cs="Arial"/>
          <w:sz w:val="20"/>
          <w:szCs w:val="20"/>
        </w:rPr>
        <w:t xml:space="preserve"> </w:t>
      </w:r>
      <w:r w:rsidR="00620ACB">
        <w:rPr>
          <w:rFonts w:ascii="Arial" w:hAnsi="Arial" w:cs="Arial"/>
          <w:sz w:val="20"/>
          <w:szCs w:val="20"/>
        </w:rPr>
        <w:t>supplier</w:t>
      </w:r>
      <w:r w:rsidR="00ED040C">
        <w:rPr>
          <w:rFonts w:ascii="Arial" w:hAnsi="Arial" w:cs="Arial"/>
          <w:sz w:val="20"/>
          <w:szCs w:val="20"/>
        </w:rPr>
        <w:t xml:space="preserve"> </w:t>
      </w:r>
      <w:r>
        <w:rPr>
          <w:rFonts w:ascii="Arial" w:hAnsi="Arial" w:cs="Arial"/>
          <w:sz w:val="20"/>
          <w:szCs w:val="20"/>
        </w:rPr>
        <w:t xml:space="preserve">must </w:t>
      </w:r>
      <w:r w:rsidR="00ED040C">
        <w:rPr>
          <w:rFonts w:ascii="Arial" w:hAnsi="Arial" w:cs="Arial"/>
          <w:sz w:val="20"/>
          <w:szCs w:val="20"/>
        </w:rPr>
        <w:t xml:space="preserve">give the ACMA </w:t>
      </w:r>
      <w:r>
        <w:rPr>
          <w:rFonts w:ascii="Arial" w:hAnsi="Arial" w:cs="Arial"/>
          <w:sz w:val="20"/>
          <w:szCs w:val="20"/>
        </w:rPr>
        <w:t xml:space="preserve">a </w:t>
      </w:r>
      <w:r w:rsidR="00ED040C">
        <w:rPr>
          <w:rFonts w:ascii="Arial" w:hAnsi="Arial" w:cs="Arial"/>
          <w:sz w:val="20"/>
          <w:szCs w:val="20"/>
        </w:rPr>
        <w:t xml:space="preserve">written notice that </w:t>
      </w:r>
      <w:r w:rsidR="00CB2003">
        <w:rPr>
          <w:rFonts w:ascii="Arial" w:hAnsi="Arial" w:cs="Arial"/>
          <w:sz w:val="20"/>
          <w:szCs w:val="20"/>
        </w:rPr>
        <w:t>it</w:t>
      </w:r>
      <w:r w:rsidR="00ED040C">
        <w:rPr>
          <w:rFonts w:ascii="Arial" w:hAnsi="Arial" w:cs="Arial"/>
          <w:sz w:val="20"/>
          <w:szCs w:val="20"/>
        </w:rPr>
        <w:t xml:space="preserve"> intend</w:t>
      </w:r>
      <w:r w:rsidR="00CB2003">
        <w:rPr>
          <w:rFonts w:ascii="Arial" w:hAnsi="Arial" w:cs="Arial"/>
          <w:sz w:val="20"/>
          <w:szCs w:val="20"/>
        </w:rPr>
        <w:t>s</w:t>
      </w:r>
      <w:r w:rsidR="00ED040C">
        <w:rPr>
          <w:rFonts w:ascii="Arial" w:hAnsi="Arial" w:cs="Arial"/>
          <w:sz w:val="20"/>
          <w:szCs w:val="20"/>
        </w:rPr>
        <w:t xml:space="preserve"> to supply a </w:t>
      </w:r>
      <w:r>
        <w:rPr>
          <w:rFonts w:ascii="Arial" w:hAnsi="Arial" w:cs="Arial"/>
          <w:sz w:val="20"/>
          <w:szCs w:val="20"/>
        </w:rPr>
        <w:t xml:space="preserve">particular cabling </w:t>
      </w:r>
      <w:r w:rsidR="00ED040C">
        <w:rPr>
          <w:rFonts w:ascii="Arial" w:hAnsi="Arial" w:cs="Arial"/>
          <w:sz w:val="20"/>
          <w:szCs w:val="20"/>
        </w:rPr>
        <w:t xml:space="preserve">item without applying </w:t>
      </w:r>
      <w:r>
        <w:rPr>
          <w:rFonts w:ascii="Arial" w:hAnsi="Arial" w:cs="Arial"/>
          <w:sz w:val="20"/>
          <w:szCs w:val="20"/>
        </w:rPr>
        <w:t xml:space="preserve">to the item </w:t>
      </w:r>
      <w:r w:rsidR="00ED040C">
        <w:rPr>
          <w:rFonts w:ascii="Arial" w:hAnsi="Arial" w:cs="Arial"/>
          <w:sz w:val="20"/>
          <w:szCs w:val="20"/>
        </w:rPr>
        <w:t>a compliance label</w:t>
      </w:r>
      <w:r w:rsidR="00CB2003">
        <w:rPr>
          <w:rFonts w:ascii="Arial" w:hAnsi="Arial" w:cs="Arial"/>
          <w:sz w:val="20"/>
          <w:szCs w:val="20"/>
        </w:rPr>
        <w:t>,</w:t>
      </w:r>
      <w:r w:rsidR="00ED040C">
        <w:rPr>
          <w:rFonts w:ascii="Arial" w:hAnsi="Arial" w:cs="Arial"/>
          <w:sz w:val="20"/>
          <w:szCs w:val="20"/>
        </w:rPr>
        <w:t xml:space="preserve"> </w:t>
      </w:r>
      <w:r w:rsidR="00EB355B">
        <w:rPr>
          <w:rFonts w:ascii="Arial" w:hAnsi="Arial" w:cs="Arial"/>
          <w:sz w:val="20"/>
          <w:szCs w:val="20"/>
        </w:rPr>
        <w:t>and be</w:t>
      </w:r>
      <w:r w:rsidR="00F46291">
        <w:rPr>
          <w:rFonts w:ascii="Arial" w:hAnsi="Arial" w:cs="Arial"/>
          <w:sz w:val="20"/>
          <w:szCs w:val="20"/>
        </w:rPr>
        <w:t xml:space="preserve"> </w:t>
      </w:r>
      <w:r w:rsidR="00ED040C">
        <w:rPr>
          <w:rFonts w:ascii="Arial" w:hAnsi="Arial" w:cs="Arial"/>
          <w:sz w:val="20"/>
          <w:szCs w:val="20"/>
        </w:rPr>
        <w:t xml:space="preserve">registered </w:t>
      </w:r>
      <w:r>
        <w:rPr>
          <w:rFonts w:ascii="Arial" w:hAnsi="Arial" w:cs="Arial"/>
          <w:sz w:val="20"/>
          <w:szCs w:val="20"/>
        </w:rPr>
        <w:t>within the meaning of subclause (2)</w:t>
      </w:r>
      <w:r w:rsidR="00ED040C">
        <w:rPr>
          <w:rFonts w:ascii="Arial" w:hAnsi="Arial" w:cs="Arial"/>
          <w:sz w:val="20"/>
          <w:szCs w:val="20"/>
        </w:rPr>
        <w:t>.</w:t>
      </w:r>
      <w:r w:rsidR="00CB2003">
        <w:rPr>
          <w:rFonts w:ascii="Arial" w:hAnsi="Arial" w:cs="Arial"/>
          <w:sz w:val="20"/>
          <w:szCs w:val="20"/>
        </w:rPr>
        <w:t xml:space="preserve">  </w:t>
      </w:r>
    </w:p>
    <w:p w14:paraId="6C1BC35C" w14:textId="56F04C57" w:rsidR="00E80D27" w:rsidRPr="00ED040C" w:rsidRDefault="00F67DF7" w:rsidP="000432A3">
      <w:pPr>
        <w:spacing w:after="200" w:line="240" w:lineRule="atLeast"/>
        <w:jc w:val="both"/>
        <w:rPr>
          <w:rFonts w:ascii="Arial" w:hAnsi="Arial" w:cs="Arial"/>
          <w:sz w:val="20"/>
          <w:szCs w:val="20"/>
        </w:rPr>
      </w:pPr>
      <w:r>
        <w:rPr>
          <w:rFonts w:ascii="Arial" w:hAnsi="Arial" w:cs="Arial"/>
          <w:sz w:val="20"/>
          <w:szCs w:val="20"/>
        </w:rPr>
        <w:t xml:space="preserve">Subclause (2) defines “registered” for </w:t>
      </w:r>
      <w:r w:rsidR="001B4936">
        <w:rPr>
          <w:rFonts w:ascii="Arial" w:hAnsi="Arial" w:cs="Arial"/>
          <w:sz w:val="20"/>
          <w:szCs w:val="20"/>
        </w:rPr>
        <w:t xml:space="preserve">the purposes of subclause (1). </w:t>
      </w:r>
      <w:r w:rsidR="00CB2003">
        <w:rPr>
          <w:rFonts w:ascii="Arial" w:hAnsi="Arial" w:cs="Arial"/>
          <w:sz w:val="20"/>
          <w:szCs w:val="20"/>
        </w:rPr>
        <w:t xml:space="preserve">As with CE, before 1 March 2016, </w:t>
      </w:r>
      <w:r w:rsidR="001B4936">
        <w:rPr>
          <w:rFonts w:ascii="Arial" w:hAnsi="Arial" w:cs="Arial"/>
          <w:sz w:val="20"/>
          <w:szCs w:val="20"/>
        </w:rPr>
        <w:t xml:space="preserve">a </w:t>
      </w:r>
      <w:r w:rsidR="00CB2003">
        <w:rPr>
          <w:rFonts w:ascii="Arial" w:hAnsi="Arial" w:cs="Arial"/>
          <w:sz w:val="20"/>
          <w:szCs w:val="20"/>
        </w:rPr>
        <w:t>supplier</w:t>
      </w:r>
      <w:r w:rsidR="001B4936">
        <w:rPr>
          <w:rFonts w:ascii="Arial" w:hAnsi="Arial" w:cs="Arial"/>
          <w:sz w:val="20"/>
          <w:szCs w:val="20"/>
        </w:rPr>
        <w:t xml:space="preserve"> is so registered if it is registered on the national database or has been issued with</w:t>
      </w:r>
      <w:r w:rsidR="00CB2003">
        <w:rPr>
          <w:rFonts w:ascii="Arial" w:hAnsi="Arial" w:cs="Arial"/>
          <w:sz w:val="20"/>
          <w:szCs w:val="20"/>
        </w:rPr>
        <w:t xml:space="preserve"> a supplier code </w:t>
      </w:r>
      <w:r w:rsidR="00EB355B">
        <w:rPr>
          <w:rFonts w:ascii="Arial" w:hAnsi="Arial" w:cs="Arial"/>
          <w:sz w:val="20"/>
          <w:szCs w:val="20"/>
        </w:rPr>
        <w:t>number,</w:t>
      </w:r>
      <w:r w:rsidR="00CB2003">
        <w:rPr>
          <w:rFonts w:ascii="Arial" w:hAnsi="Arial" w:cs="Arial"/>
          <w:sz w:val="20"/>
          <w:szCs w:val="20"/>
        </w:rPr>
        <w:t xml:space="preserve"> but </w:t>
      </w:r>
      <w:r w:rsidR="001B4936">
        <w:rPr>
          <w:rFonts w:ascii="Arial" w:hAnsi="Arial" w:cs="Arial"/>
          <w:sz w:val="20"/>
          <w:szCs w:val="20"/>
        </w:rPr>
        <w:t xml:space="preserve">on or </w:t>
      </w:r>
      <w:r w:rsidR="00CB2003">
        <w:rPr>
          <w:rFonts w:ascii="Arial" w:hAnsi="Arial" w:cs="Arial"/>
          <w:sz w:val="20"/>
          <w:szCs w:val="20"/>
        </w:rPr>
        <w:t>after 1 March 2016 the supplier must be registered on the national database.</w:t>
      </w:r>
    </w:p>
    <w:p w14:paraId="3A25F99A" w14:textId="77777777" w:rsidR="001B4936" w:rsidRDefault="001B4936" w:rsidP="001B4936">
      <w:pPr>
        <w:spacing w:after="200" w:line="240" w:lineRule="atLeast"/>
        <w:rPr>
          <w:rFonts w:ascii="Arial" w:hAnsi="Arial" w:cs="Arial"/>
          <w:sz w:val="20"/>
          <w:szCs w:val="20"/>
        </w:rPr>
      </w:pPr>
      <w:r>
        <w:rPr>
          <w:rFonts w:ascii="Arial" w:hAnsi="Arial" w:cs="Arial"/>
          <w:sz w:val="20"/>
          <w:szCs w:val="20"/>
        </w:rPr>
        <w:t xml:space="preserve">Subclause (3) provides that a supplier is only required to give the ACMA one written notice under subclause (1) even if the supplier intends to supply more than one particular cabling item without applying to each a compliance label and irrespective of whether the items are included in a class of items or different classes of items. </w:t>
      </w:r>
    </w:p>
    <w:p w14:paraId="5DE56F12" w14:textId="77777777" w:rsidR="001B4936" w:rsidRDefault="001B4936" w:rsidP="001B4936">
      <w:pPr>
        <w:spacing w:after="200" w:line="240" w:lineRule="atLeast"/>
        <w:rPr>
          <w:rFonts w:ascii="Arial" w:hAnsi="Arial" w:cs="Arial"/>
          <w:sz w:val="20"/>
          <w:szCs w:val="20"/>
        </w:rPr>
      </w:pPr>
      <w:r>
        <w:rPr>
          <w:rFonts w:ascii="Arial" w:hAnsi="Arial" w:cs="Arial"/>
          <w:sz w:val="20"/>
          <w:szCs w:val="20"/>
        </w:rPr>
        <w:t>Subclause (4) provides that such a notice must be in a form approved by the ACMA.</w:t>
      </w:r>
    </w:p>
    <w:p w14:paraId="45E2F57B" w14:textId="77777777" w:rsidR="001B4936" w:rsidRPr="00ED040C" w:rsidRDefault="001B4936" w:rsidP="001B4936">
      <w:pPr>
        <w:spacing w:after="200" w:line="240" w:lineRule="atLeast"/>
        <w:rPr>
          <w:rFonts w:ascii="Arial" w:hAnsi="Arial" w:cs="Arial"/>
          <w:sz w:val="20"/>
          <w:szCs w:val="20"/>
        </w:rPr>
      </w:pPr>
      <w:r>
        <w:rPr>
          <w:rFonts w:ascii="Arial" w:hAnsi="Arial" w:cs="Arial"/>
          <w:sz w:val="20"/>
          <w:szCs w:val="20"/>
        </w:rPr>
        <w:t>The supplier must also meet the requirements under clause 10 for an exemption under clause 8 from compliance with subclause 4(2).</w:t>
      </w:r>
    </w:p>
    <w:p w14:paraId="0D848830" w14:textId="0FC9D005" w:rsidR="002839FB" w:rsidRDefault="00CB2003" w:rsidP="000432A3">
      <w:pPr>
        <w:spacing w:after="200" w:line="240" w:lineRule="atLeast"/>
        <w:jc w:val="both"/>
        <w:rPr>
          <w:rFonts w:ascii="Arial" w:hAnsi="Arial" w:cs="Arial"/>
          <w:b/>
          <w:sz w:val="20"/>
          <w:szCs w:val="20"/>
        </w:rPr>
      </w:pPr>
      <w:r>
        <w:rPr>
          <w:rFonts w:ascii="Arial" w:hAnsi="Arial" w:cs="Arial"/>
          <w:b/>
          <w:sz w:val="20"/>
          <w:szCs w:val="20"/>
        </w:rPr>
        <w:t>Clause 10</w:t>
      </w:r>
      <w:r w:rsidR="002839FB">
        <w:rPr>
          <w:rFonts w:ascii="Arial" w:hAnsi="Arial" w:cs="Arial"/>
          <w:b/>
          <w:sz w:val="20"/>
          <w:szCs w:val="20"/>
        </w:rPr>
        <w:t xml:space="preserve"> – Register of particular cabling items without a compliance label </w:t>
      </w:r>
    </w:p>
    <w:p w14:paraId="092DB3BE" w14:textId="07B3B7DB" w:rsidR="00E80D27" w:rsidRDefault="00CB2003" w:rsidP="000432A3">
      <w:pPr>
        <w:spacing w:after="200" w:line="240" w:lineRule="atLeast"/>
        <w:jc w:val="both"/>
        <w:rPr>
          <w:rFonts w:ascii="Arial" w:hAnsi="Arial" w:cs="Arial"/>
          <w:sz w:val="20"/>
          <w:szCs w:val="20"/>
        </w:rPr>
      </w:pPr>
      <w:r>
        <w:rPr>
          <w:rFonts w:ascii="Arial" w:hAnsi="Arial" w:cs="Arial"/>
          <w:sz w:val="20"/>
          <w:szCs w:val="20"/>
        </w:rPr>
        <w:t xml:space="preserve">Subclause </w:t>
      </w:r>
      <w:r w:rsidR="001E5011">
        <w:rPr>
          <w:rFonts w:ascii="Arial" w:hAnsi="Arial" w:cs="Arial"/>
          <w:sz w:val="20"/>
          <w:szCs w:val="20"/>
        </w:rPr>
        <w:t>(1)</w:t>
      </w:r>
      <w:r w:rsidR="001E5011" w:rsidRPr="001E5011">
        <w:rPr>
          <w:rFonts w:ascii="Arial" w:hAnsi="Arial" w:cs="Arial"/>
          <w:sz w:val="20"/>
          <w:szCs w:val="20"/>
        </w:rPr>
        <w:t xml:space="preserve"> </w:t>
      </w:r>
      <w:r w:rsidR="001E5011" w:rsidRPr="00ED040C">
        <w:rPr>
          <w:rFonts w:ascii="Arial" w:hAnsi="Arial" w:cs="Arial"/>
          <w:sz w:val="20"/>
          <w:szCs w:val="20"/>
        </w:rPr>
        <w:t xml:space="preserve">provides that, for the purposes of </w:t>
      </w:r>
      <w:r>
        <w:rPr>
          <w:rFonts w:ascii="Arial" w:hAnsi="Arial" w:cs="Arial"/>
          <w:sz w:val="20"/>
          <w:szCs w:val="20"/>
        </w:rPr>
        <w:t>clause 8</w:t>
      </w:r>
      <w:r w:rsidR="001E5011" w:rsidRPr="00ED040C">
        <w:rPr>
          <w:rFonts w:ascii="Arial" w:hAnsi="Arial" w:cs="Arial"/>
          <w:sz w:val="20"/>
          <w:szCs w:val="20"/>
        </w:rPr>
        <w:t>,</w:t>
      </w:r>
      <w:r w:rsidR="001E5011">
        <w:rPr>
          <w:rFonts w:ascii="Arial" w:hAnsi="Arial" w:cs="Arial"/>
          <w:sz w:val="20"/>
          <w:szCs w:val="20"/>
        </w:rPr>
        <w:t xml:space="preserve"> </w:t>
      </w:r>
      <w:r w:rsidR="0056654F">
        <w:rPr>
          <w:rFonts w:ascii="Arial" w:hAnsi="Arial" w:cs="Arial"/>
          <w:sz w:val="20"/>
          <w:szCs w:val="20"/>
        </w:rPr>
        <w:t>the</w:t>
      </w:r>
      <w:r w:rsidR="001E5011">
        <w:rPr>
          <w:rFonts w:ascii="Arial" w:hAnsi="Arial" w:cs="Arial"/>
          <w:sz w:val="20"/>
          <w:szCs w:val="20"/>
        </w:rPr>
        <w:t xml:space="preserve"> </w:t>
      </w:r>
      <w:r>
        <w:rPr>
          <w:rFonts w:ascii="Arial" w:hAnsi="Arial" w:cs="Arial"/>
          <w:sz w:val="20"/>
          <w:szCs w:val="20"/>
        </w:rPr>
        <w:t xml:space="preserve">supplier </w:t>
      </w:r>
      <w:r w:rsidR="0056654F">
        <w:rPr>
          <w:rFonts w:ascii="Arial" w:hAnsi="Arial" w:cs="Arial"/>
          <w:sz w:val="20"/>
          <w:szCs w:val="20"/>
        </w:rPr>
        <w:t>must</w:t>
      </w:r>
      <w:r w:rsidR="001E5011">
        <w:rPr>
          <w:rFonts w:ascii="Arial" w:hAnsi="Arial" w:cs="Arial"/>
          <w:sz w:val="20"/>
          <w:szCs w:val="20"/>
        </w:rPr>
        <w:t xml:space="preserve"> </w:t>
      </w:r>
      <w:r w:rsidR="00EB355B">
        <w:rPr>
          <w:rFonts w:ascii="Arial" w:hAnsi="Arial" w:cs="Arial"/>
          <w:sz w:val="20"/>
          <w:szCs w:val="20"/>
        </w:rPr>
        <w:t>establish on</w:t>
      </w:r>
      <w:r w:rsidR="0056654F">
        <w:rPr>
          <w:rFonts w:ascii="Arial" w:hAnsi="Arial" w:cs="Arial"/>
          <w:sz w:val="20"/>
          <w:szCs w:val="20"/>
        </w:rPr>
        <w:t xml:space="preserve"> the</w:t>
      </w:r>
      <w:r w:rsidR="001E5011">
        <w:rPr>
          <w:rFonts w:ascii="Arial" w:hAnsi="Arial" w:cs="Arial"/>
          <w:sz w:val="20"/>
          <w:szCs w:val="20"/>
        </w:rPr>
        <w:t xml:space="preserve"> internet</w:t>
      </w:r>
      <w:r w:rsidR="0056654F">
        <w:rPr>
          <w:rFonts w:ascii="Arial" w:hAnsi="Arial" w:cs="Arial"/>
          <w:sz w:val="20"/>
          <w:szCs w:val="20"/>
        </w:rPr>
        <w:t xml:space="preserve"> a publicly available</w:t>
      </w:r>
      <w:r w:rsidR="001E5011">
        <w:rPr>
          <w:rFonts w:ascii="Arial" w:hAnsi="Arial" w:cs="Arial"/>
          <w:sz w:val="20"/>
          <w:szCs w:val="20"/>
        </w:rPr>
        <w:t xml:space="preserve"> register of the </w:t>
      </w:r>
      <w:r w:rsidR="0056654F">
        <w:rPr>
          <w:rFonts w:ascii="Arial" w:hAnsi="Arial" w:cs="Arial"/>
          <w:sz w:val="20"/>
          <w:szCs w:val="20"/>
        </w:rPr>
        <w:t xml:space="preserve">particular cabling </w:t>
      </w:r>
      <w:r w:rsidR="001E5011">
        <w:rPr>
          <w:rFonts w:ascii="Arial" w:hAnsi="Arial" w:cs="Arial"/>
          <w:sz w:val="20"/>
          <w:szCs w:val="20"/>
        </w:rPr>
        <w:t>items to which a compliance label has not been applied</w:t>
      </w:r>
      <w:r>
        <w:rPr>
          <w:rFonts w:ascii="Arial" w:hAnsi="Arial" w:cs="Arial"/>
          <w:sz w:val="20"/>
          <w:szCs w:val="20"/>
        </w:rPr>
        <w:t xml:space="preserve"> and </w:t>
      </w:r>
      <w:r w:rsidR="0056654F">
        <w:rPr>
          <w:rFonts w:ascii="Arial" w:hAnsi="Arial" w:cs="Arial"/>
          <w:sz w:val="20"/>
          <w:szCs w:val="20"/>
        </w:rPr>
        <w:t>inform the ACMA in writing of the internet address of the register</w:t>
      </w:r>
      <w:r w:rsidR="001E5011">
        <w:rPr>
          <w:rFonts w:ascii="Arial" w:hAnsi="Arial" w:cs="Arial"/>
          <w:sz w:val="20"/>
          <w:szCs w:val="20"/>
        </w:rPr>
        <w:t>.</w:t>
      </w:r>
    </w:p>
    <w:p w14:paraId="65114751" w14:textId="40DE2924" w:rsidR="001E5011" w:rsidRDefault="0056654F" w:rsidP="000432A3">
      <w:pPr>
        <w:spacing w:after="200" w:line="240" w:lineRule="atLeast"/>
        <w:jc w:val="both"/>
        <w:rPr>
          <w:rFonts w:ascii="Arial" w:hAnsi="Arial" w:cs="Arial"/>
          <w:sz w:val="20"/>
          <w:szCs w:val="20"/>
        </w:rPr>
      </w:pPr>
      <w:r>
        <w:rPr>
          <w:rFonts w:ascii="Arial" w:hAnsi="Arial" w:cs="Arial"/>
          <w:sz w:val="20"/>
          <w:szCs w:val="20"/>
        </w:rPr>
        <w:t>The register must state the name of the supplier and list each</w:t>
      </w:r>
      <w:r w:rsidRPr="00C9235D">
        <w:rPr>
          <w:rFonts w:ascii="Arial" w:hAnsi="Arial" w:cs="Arial"/>
          <w:sz w:val="20"/>
          <w:szCs w:val="20"/>
        </w:rPr>
        <w:t xml:space="preserve"> </w:t>
      </w:r>
      <w:r>
        <w:rPr>
          <w:rFonts w:ascii="Arial" w:hAnsi="Arial" w:cs="Arial"/>
          <w:sz w:val="20"/>
          <w:szCs w:val="20"/>
        </w:rPr>
        <w:t xml:space="preserve">particular cabling item of the supplier to which a compliance label has not been applied or (if the item is included in a class of items to which a compliance label has not been applied) the </w:t>
      </w:r>
      <w:r w:rsidR="00EB355B">
        <w:rPr>
          <w:rFonts w:ascii="Arial" w:hAnsi="Arial" w:cs="Arial"/>
          <w:sz w:val="20"/>
          <w:szCs w:val="20"/>
        </w:rPr>
        <w:t>class. Subclause</w:t>
      </w:r>
      <w:r w:rsidR="00CB2003">
        <w:rPr>
          <w:rFonts w:ascii="Arial" w:hAnsi="Arial" w:cs="Arial"/>
          <w:sz w:val="20"/>
          <w:szCs w:val="20"/>
        </w:rPr>
        <w:t xml:space="preserve"> </w:t>
      </w:r>
      <w:r w:rsidR="001E5011">
        <w:rPr>
          <w:rFonts w:ascii="Arial" w:hAnsi="Arial" w:cs="Arial"/>
          <w:sz w:val="20"/>
          <w:szCs w:val="20"/>
        </w:rPr>
        <w:t xml:space="preserve">(2) provides that the register must </w:t>
      </w:r>
      <w:r>
        <w:rPr>
          <w:rFonts w:ascii="Arial" w:hAnsi="Arial" w:cs="Arial"/>
          <w:sz w:val="20"/>
          <w:szCs w:val="20"/>
        </w:rPr>
        <w:t>set out certain information in relation to each item or class of items so listed, including details which identify the supplier and the item or each item of the class. Such details include the company name, business name or trade mark of the supplier, and a part name or number, identification number or product name of the item or each item of the class. If the item or each item of the class has the capacity for multiple pairs of cables, the register must also specify</w:t>
      </w:r>
      <w:r w:rsidR="001E5011">
        <w:rPr>
          <w:rFonts w:ascii="Arial" w:hAnsi="Arial" w:cs="Arial"/>
          <w:sz w:val="20"/>
          <w:szCs w:val="20"/>
        </w:rPr>
        <w:t xml:space="preserve"> the number of pairs.</w:t>
      </w:r>
    </w:p>
    <w:p w14:paraId="0D521716" w14:textId="34CC504C" w:rsidR="001E5011" w:rsidRDefault="00CB2003" w:rsidP="000432A3">
      <w:pPr>
        <w:spacing w:after="200" w:line="240" w:lineRule="atLeast"/>
        <w:jc w:val="both"/>
        <w:rPr>
          <w:rFonts w:ascii="Arial" w:hAnsi="Arial" w:cs="Arial"/>
          <w:sz w:val="20"/>
          <w:szCs w:val="20"/>
        </w:rPr>
      </w:pPr>
      <w:r>
        <w:rPr>
          <w:rFonts w:ascii="Arial" w:hAnsi="Arial" w:cs="Arial"/>
          <w:sz w:val="20"/>
          <w:szCs w:val="20"/>
        </w:rPr>
        <w:t xml:space="preserve">Subclause </w:t>
      </w:r>
      <w:r w:rsidR="001E5011">
        <w:rPr>
          <w:rFonts w:ascii="Arial" w:hAnsi="Arial" w:cs="Arial"/>
          <w:sz w:val="20"/>
          <w:szCs w:val="20"/>
        </w:rPr>
        <w:t xml:space="preserve">(3) provides that </w:t>
      </w:r>
      <w:r>
        <w:rPr>
          <w:rFonts w:ascii="Arial" w:hAnsi="Arial" w:cs="Arial"/>
          <w:sz w:val="20"/>
          <w:szCs w:val="20"/>
        </w:rPr>
        <w:t>the register</w:t>
      </w:r>
      <w:r w:rsidR="001E5011">
        <w:rPr>
          <w:rFonts w:ascii="Arial" w:hAnsi="Arial" w:cs="Arial"/>
          <w:sz w:val="20"/>
          <w:szCs w:val="20"/>
        </w:rPr>
        <w:t xml:space="preserve"> may include additional information to help identify the item or class.</w:t>
      </w:r>
    </w:p>
    <w:p w14:paraId="79B670F4" w14:textId="0707CB5E" w:rsidR="001E5011" w:rsidRDefault="00CB2003" w:rsidP="000432A3">
      <w:pPr>
        <w:spacing w:after="200" w:line="240" w:lineRule="atLeast"/>
        <w:jc w:val="both"/>
        <w:rPr>
          <w:rFonts w:ascii="Arial" w:hAnsi="Arial" w:cs="Arial"/>
          <w:sz w:val="20"/>
          <w:szCs w:val="20"/>
        </w:rPr>
      </w:pPr>
      <w:r>
        <w:rPr>
          <w:rFonts w:ascii="Arial" w:hAnsi="Arial" w:cs="Arial"/>
          <w:sz w:val="20"/>
          <w:szCs w:val="20"/>
        </w:rPr>
        <w:t xml:space="preserve">Subclause </w:t>
      </w:r>
      <w:r w:rsidR="001E5011">
        <w:rPr>
          <w:rFonts w:ascii="Arial" w:hAnsi="Arial" w:cs="Arial"/>
          <w:sz w:val="20"/>
          <w:szCs w:val="20"/>
        </w:rPr>
        <w:t xml:space="preserve">(4) provides that the register may </w:t>
      </w:r>
      <w:r w:rsidR="0056654F">
        <w:rPr>
          <w:rFonts w:ascii="Arial" w:hAnsi="Arial" w:cs="Arial"/>
          <w:sz w:val="20"/>
          <w:szCs w:val="20"/>
        </w:rPr>
        <w:t xml:space="preserve">list </w:t>
      </w:r>
      <w:r w:rsidR="00CA6436">
        <w:rPr>
          <w:rFonts w:ascii="Arial" w:hAnsi="Arial" w:cs="Arial"/>
          <w:sz w:val="20"/>
          <w:szCs w:val="20"/>
        </w:rPr>
        <w:t xml:space="preserve">or </w:t>
      </w:r>
      <w:r w:rsidR="001E5011">
        <w:rPr>
          <w:rFonts w:ascii="Arial" w:hAnsi="Arial" w:cs="Arial"/>
          <w:sz w:val="20"/>
          <w:szCs w:val="20"/>
        </w:rPr>
        <w:t xml:space="preserve">include </w:t>
      </w:r>
      <w:r w:rsidR="0056654F">
        <w:rPr>
          <w:rFonts w:ascii="Arial" w:hAnsi="Arial" w:cs="Arial"/>
          <w:sz w:val="20"/>
          <w:szCs w:val="20"/>
        </w:rPr>
        <w:t xml:space="preserve">information about the item or class of </w:t>
      </w:r>
      <w:r w:rsidR="001E5011">
        <w:rPr>
          <w:rFonts w:ascii="Arial" w:hAnsi="Arial" w:cs="Arial"/>
          <w:sz w:val="20"/>
          <w:szCs w:val="20"/>
        </w:rPr>
        <w:t>items to which a compliance label has been applied</w:t>
      </w:r>
      <w:r w:rsidR="0056654F">
        <w:rPr>
          <w:rFonts w:ascii="Arial" w:hAnsi="Arial" w:cs="Arial"/>
          <w:sz w:val="20"/>
          <w:szCs w:val="20"/>
        </w:rPr>
        <w:t>, but only</w:t>
      </w:r>
      <w:r w:rsidR="001E5011">
        <w:rPr>
          <w:rFonts w:ascii="Arial" w:hAnsi="Arial" w:cs="Arial"/>
          <w:sz w:val="20"/>
          <w:szCs w:val="20"/>
        </w:rPr>
        <w:t xml:space="preserve"> if </w:t>
      </w:r>
      <w:r w:rsidR="0056654F">
        <w:rPr>
          <w:rFonts w:ascii="Arial" w:hAnsi="Arial" w:cs="Arial"/>
          <w:sz w:val="20"/>
          <w:szCs w:val="20"/>
        </w:rPr>
        <w:t>the register</w:t>
      </w:r>
      <w:r w:rsidR="001E5011">
        <w:rPr>
          <w:rFonts w:ascii="Arial" w:hAnsi="Arial" w:cs="Arial"/>
          <w:sz w:val="20"/>
          <w:szCs w:val="20"/>
        </w:rPr>
        <w:t xml:space="preserve"> clearly distinguishe</w:t>
      </w:r>
      <w:r w:rsidR="0056654F">
        <w:rPr>
          <w:rFonts w:ascii="Arial" w:hAnsi="Arial" w:cs="Arial"/>
          <w:sz w:val="20"/>
          <w:szCs w:val="20"/>
        </w:rPr>
        <w:t>s those items</w:t>
      </w:r>
      <w:r>
        <w:rPr>
          <w:rFonts w:ascii="Arial" w:hAnsi="Arial" w:cs="Arial"/>
          <w:sz w:val="20"/>
          <w:szCs w:val="20"/>
        </w:rPr>
        <w:t xml:space="preserve"> from items to which a compliance label has not been applied</w:t>
      </w:r>
      <w:r w:rsidR="001E5011">
        <w:rPr>
          <w:rFonts w:ascii="Arial" w:hAnsi="Arial" w:cs="Arial"/>
          <w:sz w:val="20"/>
          <w:szCs w:val="20"/>
        </w:rPr>
        <w:t>.</w:t>
      </w:r>
    </w:p>
    <w:p w14:paraId="25F1CF68" w14:textId="5EFE1D1B" w:rsidR="001E5011" w:rsidRDefault="00CB2003" w:rsidP="000432A3">
      <w:pPr>
        <w:spacing w:after="200" w:line="240" w:lineRule="atLeast"/>
        <w:jc w:val="both"/>
        <w:rPr>
          <w:rFonts w:ascii="Arial" w:hAnsi="Arial" w:cs="Arial"/>
          <w:sz w:val="20"/>
          <w:szCs w:val="20"/>
        </w:rPr>
      </w:pPr>
      <w:r>
        <w:rPr>
          <w:rFonts w:ascii="Arial" w:hAnsi="Arial" w:cs="Arial"/>
          <w:sz w:val="20"/>
          <w:szCs w:val="20"/>
        </w:rPr>
        <w:t xml:space="preserve">Subclause </w:t>
      </w:r>
      <w:r w:rsidR="001E5011">
        <w:rPr>
          <w:rFonts w:ascii="Arial" w:hAnsi="Arial" w:cs="Arial"/>
          <w:sz w:val="20"/>
          <w:szCs w:val="20"/>
        </w:rPr>
        <w:t xml:space="preserve">(5) specifies that </w:t>
      </w:r>
      <w:r w:rsidR="0056654F">
        <w:rPr>
          <w:rFonts w:ascii="Arial" w:hAnsi="Arial" w:cs="Arial"/>
          <w:sz w:val="20"/>
          <w:szCs w:val="20"/>
        </w:rPr>
        <w:t xml:space="preserve">the register must ensure that </w:t>
      </w:r>
      <w:r w:rsidR="001E5011">
        <w:rPr>
          <w:rFonts w:ascii="Arial" w:hAnsi="Arial" w:cs="Arial"/>
          <w:sz w:val="20"/>
          <w:szCs w:val="20"/>
        </w:rPr>
        <w:t xml:space="preserve">any group of like items or </w:t>
      </w:r>
      <w:r w:rsidR="00EB355B">
        <w:rPr>
          <w:rFonts w:ascii="Arial" w:hAnsi="Arial" w:cs="Arial"/>
          <w:sz w:val="20"/>
          <w:szCs w:val="20"/>
        </w:rPr>
        <w:t>classes is</w:t>
      </w:r>
      <w:r w:rsidR="0056654F">
        <w:rPr>
          <w:rFonts w:ascii="Arial" w:hAnsi="Arial" w:cs="Arial"/>
          <w:sz w:val="20"/>
          <w:szCs w:val="20"/>
        </w:rPr>
        <w:t xml:space="preserve"> kept</w:t>
      </w:r>
      <w:r w:rsidR="001E5011">
        <w:rPr>
          <w:rFonts w:ascii="Arial" w:hAnsi="Arial" w:cs="Arial"/>
          <w:sz w:val="20"/>
          <w:szCs w:val="20"/>
        </w:rPr>
        <w:t xml:space="preserve"> separate from </w:t>
      </w:r>
      <w:r w:rsidR="0056654F">
        <w:rPr>
          <w:rFonts w:ascii="Arial" w:hAnsi="Arial" w:cs="Arial"/>
          <w:sz w:val="20"/>
          <w:szCs w:val="20"/>
        </w:rPr>
        <w:t xml:space="preserve">any </w:t>
      </w:r>
      <w:r w:rsidR="001E5011">
        <w:rPr>
          <w:rFonts w:ascii="Arial" w:hAnsi="Arial" w:cs="Arial"/>
          <w:sz w:val="20"/>
          <w:szCs w:val="20"/>
        </w:rPr>
        <w:t>other group of like items or classes</w:t>
      </w:r>
      <w:r w:rsidR="0056654F">
        <w:rPr>
          <w:rFonts w:ascii="Arial" w:hAnsi="Arial" w:cs="Arial"/>
          <w:sz w:val="20"/>
          <w:szCs w:val="20"/>
        </w:rPr>
        <w:t xml:space="preserve"> so that each group is distinguishable</w:t>
      </w:r>
      <w:r w:rsidR="001E5011">
        <w:rPr>
          <w:rFonts w:ascii="Arial" w:hAnsi="Arial" w:cs="Arial"/>
          <w:sz w:val="20"/>
          <w:szCs w:val="20"/>
        </w:rPr>
        <w:t>.</w:t>
      </w:r>
    </w:p>
    <w:p w14:paraId="21CF6EFE" w14:textId="4E2CD18A" w:rsidR="002839FB" w:rsidRDefault="002839FB" w:rsidP="00E109D1">
      <w:pPr>
        <w:spacing w:after="200" w:line="240" w:lineRule="atLeast"/>
        <w:jc w:val="center"/>
        <w:rPr>
          <w:rFonts w:ascii="Arial" w:hAnsi="Arial" w:cs="Arial"/>
          <w:b/>
          <w:sz w:val="22"/>
          <w:szCs w:val="22"/>
        </w:rPr>
      </w:pPr>
      <w:r>
        <w:rPr>
          <w:rFonts w:ascii="Arial" w:hAnsi="Arial" w:cs="Arial"/>
          <w:b/>
          <w:sz w:val="22"/>
          <w:szCs w:val="22"/>
        </w:rPr>
        <w:t>Part 4 – Applying a non-compliance label and preparing a written statement</w:t>
      </w:r>
    </w:p>
    <w:p w14:paraId="0484933D" w14:textId="7AA8E7EF" w:rsidR="002839FB" w:rsidRDefault="00CB2003" w:rsidP="000432A3">
      <w:pPr>
        <w:spacing w:after="200" w:line="240" w:lineRule="atLeast"/>
        <w:jc w:val="both"/>
        <w:rPr>
          <w:rFonts w:ascii="Arial" w:hAnsi="Arial" w:cs="Arial"/>
          <w:b/>
          <w:sz w:val="20"/>
          <w:szCs w:val="20"/>
        </w:rPr>
      </w:pPr>
      <w:r>
        <w:rPr>
          <w:rFonts w:ascii="Arial" w:hAnsi="Arial" w:cs="Arial"/>
          <w:b/>
          <w:sz w:val="20"/>
          <w:szCs w:val="20"/>
        </w:rPr>
        <w:t>Clause 11</w:t>
      </w:r>
      <w:r w:rsidR="002839FB">
        <w:rPr>
          <w:rFonts w:ascii="Arial" w:hAnsi="Arial" w:cs="Arial"/>
          <w:b/>
          <w:sz w:val="20"/>
          <w:szCs w:val="20"/>
        </w:rPr>
        <w:t xml:space="preserve"> – Requirement to apply a non-compliance label and prepare a written statement </w:t>
      </w:r>
    </w:p>
    <w:p w14:paraId="56E3C936" w14:textId="39F02104" w:rsidR="00E80D27" w:rsidRDefault="00CB2003" w:rsidP="000432A3">
      <w:pPr>
        <w:spacing w:after="200" w:line="240" w:lineRule="atLeast"/>
        <w:jc w:val="both"/>
        <w:rPr>
          <w:rFonts w:ascii="Arial" w:hAnsi="Arial" w:cs="Arial"/>
          <w:sz w:val="20"/>
          <w:szCs w:val="20"/>
        </w:rPr>
      </w:pPr>
      <w:r>
        <w:rPr>
          <w:rFonts w:ascii="Arial" w:hAnsi="Arial" w:cs="Arial"/>
          <w:sz w:val="20"/>
          <w:szCs w:val="20"/>
        </w:rPr>
        <w:t xml:space="preserve">Subclause </w:t>
      </w:r>
      <w:r w:rsidR="001A73F2">
        <w:rPr>
          <w:rFonts w:ascii="Arial" w:hAnsi="Arial" w:cs="Arial"/>
          <w:sz w:val="20"/>
          <w:szCs w:val="20"/>
        </w:rPr>
        <w:t>(1)</w:t>
      </w:r>
      <w:r w:rsidR="001A73F2" w:rsidRPr="001A73F2">
        <w:rPr>
          <w:rFonts w:ascii="Arial" w:hAnsi="Arial" w:cs="Arial"/>
          <w:sz w:val="20"/>
          <w:szCs w:val="20"/>
        </w:rPr>
        <w:t xml:space="preserve"> provides that </w:t>
      </w:r>
      <w:r>
        <w:rPr>
          <w:rFonts w:ascii="Arial" w:hAnsi="Arial" w:cs="Arial"/>
          <w:sz w:val="20"/>
          <w:szCs w:val="20"/>
        </w:rPr>
        <w:t>clause</w:t>
      </w:r>
      <w:r w:rsidR="00D84512">
        <w:rPr>
          <w:rFonts w:ascii="Arial" w:hAnsi="Arial" w:cs="Arial"/>
          <w:sz w:val="20"/>
          <w:szCs w:val="20"/>
        </w:rPr>
        <w:t xml:space="preserve"> 11</w:t>
      </w:r>
      <w:r w:rsidR="001A73F2">
        <w:rPr>
          <w:rFonts w:ascii="Arial" w:hAnsi="Arial" w:cs="Arial"/>
          <w:sz w:val="20"/>
          <w:szCs w:val="20"/>
        </w:rPr>
        <w:t xml:space="preserve"> applies to an item </w:t>
      </w:r>
      <w:r w:rsidR="00D84512">
        <w:rPr>
          <w:rFonts w:ascii="Arial" w:hAnsi="Arial" w:cs="Arial"/>
          <w:sz w:val="20"/>
          <w:szCs w:val="20"/>
        </w:rPr>
        <w:t>if</w:t>
      </w:r>
      <w:r w:rsidR="001A73F2">
        <w:rPr>
          <w:rFonts w:ascii="Arial" w:hAnsi="Arial" w:cs="Arial"/>
          <w:sz w:val="20"/>
          <w:szCs w:val="20"/>
        </w:rPr>
        <w:t xml:space="preserve"> there are one or more applicable technical standards</w:t>
      </w:r>
      <w:r>
        <w:rPr>
          <w:rFonts w:ascii="Arial" w:hAnsi="Arial" w:cs="Arial"/>
          <w:sz w:val="20"/>
          <w:szCs w:val="20"/>
        </w:rPr>
        <w:t>,</w:t>
      </w:r>
      <w:r w:rsidR="001A73F2">
        <w:rPr>
          <w:rFonts w:ascii="Arial" w:hAnsi="Arial" w:cs="Arial"/>
          <w:sz w:val="20"/>
          <w:szCs w:val="20"/>
        </w:rPr>
        <w:t xml:space="preserve"> and the item does not comply with each standard. </w:t>
      </w:r>
    </w:p>
    <w:p w14:paraId="0C6CDA29" w14:textId="5008608B" w:rsidR="001A73F2" w:rsidRDefault="001A73F2" w:rsidP="000432A3">
      <w:pPr>
        <w:spacing w:after="200" w:line="240" w:lineRule="atLeast"/>
        <w:jc w:val="both"/>
        <w:rPr>
          <w:rFonts w:ascii="Arial" w:hAnsi="Arial" w:cs="Arial"/>
          <w:sz w:val="20"/>
          <w:szCs w:val="20"/>
        </w:rPr>
      </w:pPr>
      <w:r>
        <w:rPr>
          <w:rFonts w:ascii="Arial" w:hAnsi="Arial" w:cs="Arial"/>
          <w:sz w:val="20"/>
          <w:szCs w:val="20"/>
        </w:rPr>
        <w:t>Sub</w:t>
      </w:r>
      <w:r w:rsidR="00CB2003">
        <w:rPr>
          <w:rFonts w:ascii="Arial" w:hAnsi="Arial" w:cs="Arial"/>
          <w:sz w:val="20"/>
          <w:szCs w:val="20"/>
        </w:rPr>
        <w:t>clause</w:t>
      </w:r>
      <w:r>
        <w:rPr>
          <w:rFonts w:ascii="Arial" w:hAnsi="Arial" w:cs="Arial"/>
          <w:sz w:val="20"/>
          <w:szCs w:val="20"/>
        </w:rPr>
        <w:t xml:space="preserve"> (2) requires the </w:t>
      </w:r>
      <w:r w:rsidR="00CB2003">
        <w:rPr>
          <w:rFonts w:ascii="Arial" w:hAnsi="Arial" w:cs="Arial"/>
          <w:sz w:val="20"/>
          <w:szCs w:val="20"/>
        </w:rPr>
        <w:t>supplier</w:t>
      </w:r>
      <w:r>
        <w:rPr>
          <w:rFonts w:ascii="Arial" w:hAnsi="Arial" w:cs="Arial"/>
          <w:sz w:val="20"/>
          <w:szCs w:val="20"/>
        </w:rPr>
        <w:t xml:space="preserve"> of the item </w:t>
      </w:r>
      <w:r w:rsidR="00D84512">
        <w:rPr>
          <w:rFonts w:ascii="Arial" w:hAnsi="Arial" w:cs="Arial"/>
          <w:sz w:val="20"/>
          <w:szCs w:val="20"/>
        </w:rPr>
        <w:t xml:space="preserve">to </w:t>
      </w:r>
      <w:r>
        <w:rPr>
          <w:rFonts w:ascii="Arial" w:hAnsi="Arial" w:cs="Arial"/>
          <w:sz w:val="20"/>
          <w:szCs w:val="20"/>
        </w:rPr>
        <w:t xml:space="preserve">apply a non-compliance label to the item </w:t>
      </w:r>
      <w:r w:rsidR="00D84512">
        <w:rPr>
          <w:rFonts w:ascii="Arial" w:hAnsi="Arial" w:cs="Arial"/>
          <w:sz w:val="20"/>
          <w:szCs w:val="20"/>
        </w:rPr>
        <w:t xml:space="preserve">and to </w:t>
      </w:r>
      <w:r>
        <w:rPr>
          <w:rFonts w:ascii="Arial" w:hAnsi="Arial" w:cs="Arial"/>
          <w:sz w:val="20"/>
          <w:szCs w:val="20"/>
        </w:rPr>
        <w:t>prepare a written statement in relation to the item</w:t>
      </w:r>
      <w:r w:rsidR="00D84512">
        <w:rPr>
          <w:rFonts w:ascii="Arial" w:hAnsi="Arial" w:cs="Arial"/>
          <w:sz w:val="20"/>
          <w:szCs w:val="20"/>
        </w:rPr>
        <w:t>, in accordance with Part 5,</w:t>
      </w:r>
      <w:r>
        <w:rPr>
          <w:rFonts w:ascii="Arial" w:hAnsi="Arial" w:cs="Arial"/>
          <w:sz w:val="20"/>
          <w:szCs w:val="20"/>
        </w:rPr>
        <w:t xml:space="preserve"> before supplying the item. </w:t>
      </w:r>
    </w:p>
    <w:p w14:paraId="254B19C9" w14:textId="1E4715B7" w:rsidR="002839FB" w:rsidRDefault="002839FB" w:rsidP="00D73F22">
      <w:pPr>
        <w:keepNext/>
        <w:spacing w:after="200" w:line="240" w:lineRule="atLeast"/>
        <w:jc w:val="center"/>
        <w:rPr>
          <w:rFonts w:ascii="Arial" w:hAnsi="Arial" w:cs="Arial"/>
          <w:b/>
          <w:sz w:val="22"/>
          <w:szCs w:val="22"/>
        </w:rPr>
      </w:pPr>
      <w:r>
        <w:rPr>
          <w:rFonts w:ascii="Arial" w:hAnsi="Arial" w:cs="Arial"/>
          <w:b/>
          <w:sz w:val="22"/>
          <w:szCs w:val="22"/>
        </w:rPr>
        <w:lastRenderedPageBreak/>
        <w:t>Part 5 – Form and application of a non-compliance label and preparation of a written statement</w:t>
      </w:r>
    </w:p>
    <w:p w14:paraId="6B6BCEB3" w14:textId="4655EFC3" w:rsidR="002839FB" w:rsidRDefault="00CB2003" w:rsidP="00D73F22">
      <w:pPr>
        <w:keepNext/>
        <w:spacing w:after="200" w:line="240" w:lineRule="atLeast"/>
        <w:jc w:val="both"/>
        <w:rPr>
          <w:rFonts w:ascii="Arial" w:hAnsi="Arial" w:cs="Arial"/>
          <w:b/>
          <w:sz w:val="20"/>
          <w:szCs w:val="20"/>
        </w:rPr>
      </w:pPr>
      <w:r>
        <w:rPr>
          <w:rFonts w:ascii="Arial" w:hAnsi="Arial" w:cs="Arial"/>
          <w:b/>
          <w:sz w:val="20"/>
          <w:szCs w:val="20"/>
        </w:rPr>
        <w:t>Clause 12</w:t>
      </w:r>
      <w:r w:rsidR="002839FB">
        <w:rPr>
          <w:rFonts w:ascii="Arial" w:hAnsi="Arial" w:cs="Arial"/>
          <w:b/>
          <w:sz w:val="20"/>
          <w:szCs w:val="20"/>
        </w:rPr>
        <w:t xml:space="preserve"> – Form of a non-compliance label </w:t>
      </w:r>
    </w:p>
    <w:p w14:paraId="768A62FC" w14:textId="60D9D714" w:rsidR="00E80D27" w:rsidRDefault="00D84512" w:rsidP="000432A3">
      <w:pPr>
        <w:spacing w:after="200" w:line="240" w:lineRule="atLeast"/>
        <w:jc w:val="both"/>
        <w:rPr>
          <w:rFonts w:ascii="Arial" w:hAnsi="Arial" w:cs="Arial"/>
          <w:sz w:val="20"/>
          <w:szCs w:val="20"/>
        </w:rPr>
      </w:pPr>
      <w:r>
        <w:rPr>
          <w:rFonts w:ascii="Arial" w:hAnsi="Arial" w:cs="Arial"/>
          <w:sz w:val="20"/>
          <w:szCs w:val="20"/>
        </w:rPr>
        <w:t>Subc</w:t>
      </w:r>
      <w:r w:rsidR="002A0B97">
        <w:rPr>
          <w:rFonts w:ascii="Arial" w:hAnsi="Arial" w:cs="Arial"/>
          <w:sz w:val="20"/>
          <w:szCs w:val="20"/>
        </w:rPr>
        <w:t xml:space="preserve">lause </w:t>
      </w:r>
      <w:r>
        <w:rPr>
          <w:rFonts w:ascii="Arial" w:hAnsi="Arial" w:cs="Arial"/>
          <w:sz w:val="20"/>
          <w:szCs w:val="20"/>
        </w:rPr>
        <w:t>(1)</w:t>
      </w:r>
      <w:r w:rsidR="00F62765" w:rsidRPr="00F62765">
        <w:rPr>
          <w:rFonts w:ascii="Arial" w:hAnsi="Arial" w:cs="Arial"/>
          <w:sz w:val="20"/>
          <w:szCs w:val="20"/>
        </w:rPr>
        <w:t xml:space="preserve"> </w:t>
      </w:r>
      <w:r w:rsidR="00F62765">
        <w:rPr>
          <w:rFonts w:ascii="Arial" w:hAnsi="Arial" w:cs="Arial"/>
          <w:sz w:val="20"/>
          <w:szCs w:val="20"/>
        </w:rPr>
        <w:t xml:space="preserve">provides that a non-compliance label applied to an item must contain a statement </w:t>
      </w:r>
      <w:r w:rsidR="0057095A">
        <w:rPr>
          <w:rFonts w:ascii="Arial" w:hAnsi="Arial" w:cs="Arial"/>
          <w:sz w:val="20"/>
          <w:szCs w:val="20"/>
        </w:rPr>
        <w:t xml:space="preserve">to the </w:t>
      </w:r>
      <w:r w:rsidR="00EB355B">
        <w:rPr>
          <w:rFonts w:ascii="Arial" w:hAnsi="Arial" w:cs="Arial"/>
          <w:sz w:val="20"/>
          <w:szCs w:val="20"/>
        </w:rPr>
        <w:t>effect that</w:t>
      </w:r>
      <w:r w:rsidR="00F62765">
        <w:rPr>
          <w:rFonts w:ascii="Arial" w:hAnsi="Arial" w:cs="Arial"/>
          <w:sz w:val="20"/>
          <w:szCs w:val="20"/>
        </w:rPr>
        <w:t xml:space="preserve"> the item does not comply with each applicable technical standard in relation to the item. </w:t>
      </w:r>
    </w:p>
    <w:p w14:paraId="0F080135" w14:textId="5576EE1D" w:rsidR="00B31D61" w:rsidRDefault="002A0B97" w:rsidP="00F62765">
      <w:pPr>
        <w:spacing w:after="200" w:line="240" w:lineRule="atLeast"/>
        <w:jc w:val="both"/>
        <w:rPr>
          <w:rFonts w:ascii="Arial" w:hAnsi="Arial" w:cs="Arial"/>
          <w:sz w:val="20"/>
          <w:szCs w:val="20"/>
        </w:rPr>
      </w:pPr>
      <w:r>
        <w:rPr>
          <w:rFonts w:ascii="Arial" w:hAnsi="Arial" w:cs="Arial"/>
          <w:sz w:val="20"/>
          <w:szCs w:val="20"/>
        </w:rPr>
        <w:t xml:space="preserve">Subclause </w:t>
      </w:r>
      <w:r w:rsidR="00F62765">
        <w:rPr>
          <w:rFonts w:ascii="Arial" w:hAnsi="Arial" w:cs="Arial"/>
          <w:sz w:val="20"/>
          <w:szCs w:val="20"/>
        </w:rPr>
        <w:t xml:space="preserve">(2) </w:t>
      </w:r>
      <w:r w:rsidR="0057095A">
        <w:rPr>
          <w:rFonts w:ascii="Arial" w:hAnsi="Arial" w:cs="Arial"/>
          <w:sz w:val="20"/>
          <w:szCs w:val="20"/>
        </w:rPr>
        <w:t xml:space="preserve">provides </w:t>
      </w:r>
      <w:r w:rsidR="00F62765">
        <w:rPr>
          <w:rFonts w:ascii="Arial" w:hAnsi="Arial" w:cs="Arial"/>
          <w:sz w:val="20"/>
          <w:szCs w:val="20"/>
        </w:rPr>
        <w:t xml:space="preserve">that </w:t>
      </w:r>
      <w:r w:rsidR="0057095A">
        <w:rPr>
          <w:rFonts w:ascii="Arial" w:hAnsi="Arial" w:cs="Arial"/>
          <w:sz w:val="20"/>
          <w:szCs w:val="20"/>
        </w:rPr>
        <w:t>such a</w:t>
      </w:r>
      <w:r w:rsidR="00F62765">
        <w:rPr>
          <w:rFonts w:ascii="Arial" w:hAnsi="Arial" w:cs="Arial"/>
          <w:sz w:val="20"/>
          <w:szCs w:val="20"/>
        </w:rPr>
        <w:t xml:space="preserve"> statement must be in English and printed in</w:t>
      </w:r>
      <w:r w:rsidR="0057095A">
        <w:rPr>
          <w:rFonts w:ascii="Arial" w:hAnsi="Arial" w:cs="Arial"/>
          <w:sz w:val="20"/>
          <w:szCs w:val="20"/>
        </w:rPr>
        <w:t xml:space="preserve"> a font size of</w:t>
      </w:r>
      <w:r w:rsidR="00F62765">
        <w:rPr>
          <w:rFonts w:ascii="Arial" w:hAnsi="Arial" w:cs="Arial"/>
          <w:sz w:val="20"/>
          <w:szCs w:val="20"/>
        </w:rPr>
        <w:t xml:space="preserve"> at least 12 </w:t>
      </w:r>
      <w:r w:rsidR="0057095A">
        <w:rPr>
          <w:rFonts w:ascii="Arial" w:hAnsi="Arial" w:cs="Arial"/>
          <w:sz w:val="20"/>
          <w:szCs w:val="20"/>
        </w:rPr>
        <w:t>points</w:t>
      </w:r>
      <w:r w:rsidR="00F62765">
        <w:rPr>
          <w:rFonts w:ascii="Arial" w:hAnsi="Arial" w:cs="Arial"/>
          <w:sz w:val="20"/>
          <w:szCs w:val="20"/>
        </w:rPr>
        <w:t xml:space="preserve">. </w:t>
      </w:r>
    </w:p>
    <w:p w14:paraId="6313370D" w14:textId="73C70ED2" w:rsidR="00F62765" w:rsidRPr="007176CA" w:rsidRDefault="002A0B97" w:rsidP="00F62765">
      <w:pPr>
        <w:spacing w:after="200" w:line="240" w:lineRule="atLeast"/>
        <w:jc w:val="both"/>
        <w:rPr>
          <w:rFonts w:ascii="Arial" w:hAnsi="Arial" w:cs="Arial"/>
          <w:sz w:val="20"/>
          <w:szCs w:val="20"/>
        </w:rPr>
      </w:pPr>
      <w:r w:rsidRPr="007176CA">
        <w:rPr>
          <w:rFonts w:ascii="Arial" w:hAnsi="Arial" w:cs="Arial"/>
          <w:sz w:val="20"/>
          <w:szCs w:val="20"/>
        </w:rPr>
        <w:t>Sub</w:t>
      </w:r>
      <w:r>
        <w:rPr>
          <w:rFonts w:ascii="Arial" w:hAnsi="Arial" w:cs="Arial"/>
          <w:sz w:val="20"/>
          <w:szCs w:val="20"/>
        </w:rPr>
        <w:t>clause</w:t>
      </w:r>
      <w:r w:rsidRPr="007176CA">
        <w:rPr>
          <w:rFonts w:ascii="Arial" w:hAnsi="Arial" w:cs="Arial"/>
          <w:sz w:val="20"/>
          <w:szCs w:val="20"/>
        </w:rPr>
        <w:t xml:space="preserve"> </w:t>
      </w:r>
      <w:r w:rsidR="00F62765" w:rsidRPr="007176CA">
        <w:rPr>
          <w:rFonts w:ascii="Arial" w:hAnsi="Arial" w:cs="Arial"/>
          <w:sz w:val="20"/>
          <w:szCs w:val="20"/>
        </w:rPr>
        <w:t>(</w:t>
      </w:r>
      <w:r w:rsidR="00F62765">
        <w:rPr>
          <w:rFonts w:ascii="Arial" w:hAnsi="Arial" w:cs="Arial"/>
          <w:sz w:val="20"/>
          <w:szCs w:val="20"/>
        </w:rPr>
        <w:t>3</w:t>
      </w:r>
      <w:r w:rsidR="00F62765" w:rsidRPr="007176CA">
        <w:rPr>
          <w:rFonts w:ascii="Arial" w:hAnsi="Arial" w:cs="Arial"/>
          <w:sz w:val="20"/>
          <w:szCs w:val="20"/>
        </w:rPr>
        <w:t xml:space="preserve">) </w:t>
      </w:r>
      <w:r w:rsidR="0057095A">
        <w:rPr>
          <w:rFonts w:ascii="Arial" w:hAnsi="Arial" w:cs="Arial"/>
          <w:sz w:val="20"/>
          <w:szCs w:val="20"/>
        </w:rPr>
        <w:t>provides</w:t>
      </w:r>
      <w:r w:rsidR="0057095A" w:rsidRPr="007176CA">
        <w:rPr>
          <w:rFonts w:ascii="Arial" w:hAnsi="Arial" w:cs="Arial"/>
          <w:sz w:val="20"/>
          <w:szCs w:val="20"/>
        </w:rPr>
        <w:t xml:space="preserve"> </w:t>
      </w:r>
      <w:r w:rsidR="00F62765" w:rsidRPr="007176CA">
        <w:rPr>
          <w:rFonts w:ascii="Arial" w:hAnsi="Arial" w:cs="Arial"/>
          <w:sz w:val="20"/>
          <w:szCs w:val="20"/>
        </w:rPr>
        <w:t xml:space="preserve">that </w:t>
      </w:r>
      <w:r w:rsidR="0057095A">
        <w:rPr>
          <w:rFonts w:ascii="Arial" w:hAnsi="Arial" w:cs="Arial"/>
          <w:sz w:val="20"/>
          <w:szCs w:val="20"/>
        </w:rPr>
        <w:t>a non-</w:t>
      </w:r>
      <w:r w:rsidR="00F62765" w:rsidRPr="007176CA">
        <w:rPr>
          <w:rFonts w:ascii="Arial" w:hAnsi="Arial" w:cs="Arial"/>
          <w:sz w:val="20"/>
          <w:szCs w:val="20"/>
        </w:rPr>
        <w:t xml:space="preserve">compliance label must be durable and applied to </w:t>
      </w:r>
      <w:r w:rsidR="00F62765">
        <w:rPr>
          <w:rFonts w:ascii="Arial" w:hAnsi="Arial" w:cs="Arial"/>
          <w:sz w:val="20"/>
          <w:szCs w:val="20"/>
        </w:rPr>
        <w:t>an item</w:t>
      </w:r>
      <w:r w:rsidR="00F62765" w:rsidRPr="007176CA">
        <w:rPr>
          <w:rFonts w:ascii="Arial" w:hAnsi="Arial" w:cs="Arial"/>
          <w:sz w:val="20"/>
          <w:szCs w:val="20"/>
        </w:rPr>
        <w:t xml:space="preserve"> permanently or in a way that</w:t>
      </w:r>
      <w:r w:rsidR="0057095A">
        <w:rPr>
          <w:rFonts w:ascii="Arial" w:hAnsi="Arial" w:cs="Arial"/>
          <w:sz w:val="20"/>
          <w:szCs w:val="20"/>
        </w:rPr>
        <w:t xml:space="preserve"> makes</w:t>
      </w:r>
      <w:r w:rsidR="00F62765" w:rsidRPr="007176CA">
        <w:rPr>
          <w:rFonts w:ascii="Arial" w:hAnsi="Arial" w:cs="Arial"/>
          <w:sz w:val="20"/>
          <w:szCs w:val="20"/>
        </w:rPr>
        <w:t xml:space="preserve"> it difficult to remove or obliterate.</w:t>
      </w:r>
    </w:p>
    <w:p w14:paraId="0E1C59ED" w14:textId="280FF061" w:rsidR="002839FB" w:rsidRDefault="002A0B97" w:rsidP="000432A3">
      <w:pPr>
        <w:spacing w:after="200" w:line="240" w:lineRule="atLeast"/>
        <w:jc w:val="both"/>
        <w:rPr>
          <w:rFonts w:ascii="Arial" w:hAnsi="Arial" w:cs="Arial"/>
          <w:b/>
          <w:sz w:val="20"/>
          <w:szCs w:val="20"/>
        </w:rPr>
      </w:pPr>
      <w:r>
        <w:rPr>
          <w:rFonts w:ascii="Arial" w:hAnsi="Arial" w:cs="Arial"/>
          <w:b/>
          <w:sz w:val="20"/>
          <w:szCs w:val="20"/>
        </w:rPr>
        <w:t xml:space="preserve">Clause </w:t>
      </w:r>
      <w:r w:rsidR="002839FB">
        <w:rPr>
          <w:rFonts w:ascii="Arial" w:hAnsi="Arial" w:cs="Arial"/>
          <w:b/>
          <w:sz w:val="20"/>
          <w:szCs w:val="20"/>
        </w:rPr>
        <w:t>1</w:t>
      </w:r>
      <w:r>
        <w:rPr>
          <w:rFonts w:ascii="Arial" w:hAnsi="Arial" w:cs="Arial"/>
          <w:b/>
          <w:sz w:val="20"/>
          <w:szCs w:val="20"/>
        </w:rPr>
        <w:t>3</w:t>
      </w:r>
      <w:r w:rsidR="002839FB">
        <w:rPr>
          <w:rFonts w:ascii="Arial" w:hAnsi="Arial" w:cs="Arial"/>
          <w:b/>
          <w:sz w:val="20"/>
          <w:szCs w:val="20"/>
        </w:rPr>
        <w:t xml:space="preserve"> – Application of a non-compliance label </w:t>
      </w:r>
    </w:p>
    <w:p w14:paraId="5DE5AA8D" w14:textId="4F0679BC" w:rsidR="00BD2283" w:rsidRPr="00A728C7" w:rsidRDefault="002A0B97" w:rsidP="00BD2283">
      <w:pPr>
        <w:spacing w:after="200" w:line="240" w:lineRule="atLeast"/>
        <w:jc w:val="both"/>
        <w:rPr>
          <w:rFonts w:ascii="Arial" w:hAnsi="Arial" w:cs="Arial"/>
          <w:sz w:val="20"/>
          <w:szCs w:val="20"/>
        </w:rPr>
      </w:pPr>
      <w:r>
        <w:rPr>
          <w:rFonts w:ascii="Arial" w:hAnsi="Arial" w:cs="Arial"/>
          <w:sz w:val="20"/>
          <w:szCs w:val="20"/>
        </w:rPr>
        <w:t>Clause 13</w:t>
      </w:r>
      <w:r w:rsidR="00BD2283" w:rsidRPr="00A728C7">
        <w:rPr>
          <w:rFonts w:ascii="Arial" w:hAnsi="Arial" w:cs="Arial"/>
          <w:sz w:val="20"/>
          <w:szCs w:val="20"/>
        </w:rPr>
        <w:t xml:space="preserve"> provides that a </w:t>
      </w:r>
      <w:r>
        <w:rPr>
          <w:rFonts w:ascii="Arial" w:hAnsi="Arial" w:cs="Arial"/>
          <w:sz w:val="20"/>
          <w:szCs w:val="20"/>
        </w:rPr>
        <w:t>non-</w:t>
      </w:r>
      <w:r w:rsidR="00BD2283" w:rsidRPr="00A728C7">
        <w:rPr>
          <w:rFonts w:ascii="Arial" w:hAnsi="Arial" w:cs="Arial"/>
          <w:sz w:val="20"/>
          <w:szCs w:val="20"/>
        </w:rPr>
        <w:t xml:space="preserve">compliance label must be applied </w:t>
      </w:r>
      <w:r w:rsidR="0057095A" w:rsidRPr="00A728C7">
        <w:rPr>
          <w:rFonts w:ascii="Arial" w:hAnsi="Arial" w:cs="Arial"/>
          <w:sz w:val="20"/>
          <w:szCs w:val="20"/>
        </w:rPr>
        <w:t xml:space="preserve">to </w:t>
      </w:r>
      <w:r w:rsidR="0057095A">
        <w:rPr>
          <w:rFonts w:ascii="Arial" w:hAnsi="Arial" w:cs="Arial"/>
          <w:sz w:val="20"/>
          <w:szCs w:val="20"/>
        </w:rPr>
        <w:t xml:space="preserve">an item by affixing it to the external surface of the </w:t>
      </w:r>
      <w:r w:rsidR="0057095A" w:rsidRPr="00A728C7">
        <w:rPr>
          <w:rFonts w:ascii="Arial" w:hAnsi="Arial" w:cs="Arial"/>
          <w:sz w:val="20"/>
          <w:szCs w:val="20"/>
        </w:rPr>
        <w:t>packaging</w:t>
      </w:r>
      <w:r w:rsidR="0057095A">
        <w:rPr>
          <w:rFonts w:ascii="Arial" w:hAnsi="Arial" w:cs="Arial"/>
          <w:sz w:val="20"/>
          <w:szCs w:val="20"/>
        </w:rPr>
        <w:t xml:space="preserve"> used for the item in a way that is clearly visible</w:t>
      </w:r>
      <w:r w:rsidR="0057095A" w:rsidRPr="00A728C7">
        <w:rPr>
          <w:rFonts w:ascii="Arial" w:hAnsi="Arial" w:cs="Arial"/>
          <w:sz w:val="20"/>
          <w:szCs w:val="20"/>
        </w:rPr>
        <w:t xml:space="preserve"> and</w:t>
      </w:r>
      <w:r w:rsidR="0057095A">
        <w:rPr>
          <w:rFonts w:ascii="Arial" w:hAnsi="Arial" w:cs="Arial"/>
          <w:sz w:val="20"/>
          <w:szCs w:val="20"/>
        </w:rPr>
        <w:t xml:space="preserve"> by incorporating it in the</w:t>
      </w:r>
      <w:r w:rsidR="0057095A" w:rsidRPr="00A728C7">
        <w:rPr>
          <w:rFonts w:ascii="Arial" w:hAnsi="Arial" w:cs="Arial"/>
          <w:sz w:val="20"/>
          <w:szCs w:val="20"/>
        </w:rPr>
        <w:t xml:space="preserve"> documentation</w:t>
      </w:r>
      <w:r w:rsidR="0057095A">
        <w:rPr>
          <w:rFonts w:ascii="Arial" w:hAnsi="Arial" w:cs="Arial"/>
          <w:sz w:val="20"/>
          <w:szCs w:val="20"/>
        </w:rPr>
        <w:t xml:space="preserve"> that</w:t>
      </w:r>
      <w:r w:rsidR="0057095A" w:rsidRPr="00A728C7">
        <w:rPr>
          <w:rFonts w:ascii="Arial" w:hAnsi="Arial" w:cs="Arial"/>
          <w:sz w:val="20"/>
          <w:szCs w:val="20"/>
        </w:rPr>
        <w:t xml:space="preserve"> accompan</w:t>
      </w:r>
      <w:r w:rsidR="0057095A">
        <w:rPr>
          <w:rFonts w:ascii="Arial" w:hAnsi="Arial" w:cs="Arial"/>
          <w:sz w:val="20"/>
          <w:szCs w:val="20"/>
        </w:rPr>
        <w:t>ies</w:t>
      </w:r>
      <w:r w:rsidR="0057095A" w:rsidRPr="00A728C7">
        <w:rPr>
          <w:rFonts w:ascii="Arial" w:hAnsi="Arial" w:cs="Arial"/>
          <w:sz w:val="20"/>
          <w:szCs w:val="20"/>
        </w:rPr>
        <w:t xml:space="preserve"> the </w:t>
      </w:r>
      <w:r w:rsidR="0057095A">
        <w:rPr>
          <w:rFonts w:ascii="Arial" w:hAnsi="Arial" w:cs="Arial"/>
          <w:sz w:val="20"/>
          <w:szCs w:val="20"/>
        </w:rPr>
        <w:t>item</w:t>
      </w:r>
      <w:r w:rsidR="0057095A" w:rsidRPr="00A728C7">
        <w:rPr>
          <w:rFonts w:ascii="Arial" w:hAnsi="Arial" w:cs="Arial"/>
          <w:sz w:val="20"/>
          <w:szCs w:val="20"/>
        </w:rPr>
        <w:t xml:space="preserve"> </w:t>
      </w:r>
      <w:r w:rsidR="0057095A">
        <w:rPr>
          <w:rFonts w:ascii="Arial" w:hAnsi="Arial" w:cs="Arial"/>
          <w:sz w:val="20"/>
          <w:szCs w:val="20"/>
        </w:rPr>
        <w:t>when supplied.</w:t>
      </w:r>
    </w:p>
    <w:p w14:paraId="79A09219" w14:textId="484F32A7" w:rsidR="002839FB" w:rsidRPr="00CE7403" w:rsidRDefault="002A0B97" w:rsidP="000432A3">
      <w:pPr>
        <w:spacing w:after="200" w:line="240" w:lineRule="atLeast"/>
        <w:jc w:val="both"/>
        <w:rPr>
          <w:rFonts w:ascii="Arial" w:hAnsi="Arial" w:cs="Arial"/>
          <w:b/>
          <w:sz w:val="20"/>
          <w:szCs w:val="20"/>
        </w:rPr>
      </w:pPr>
      <w:r>
        <w:rPr>
          <w:rFonts w:ascii="Arial" w:hAnsi="Arial" w:cs="Arial"/>
          <w:b/>
          <w:sz w:val="20"/>
          <w:szCs w:val="20"/>
        </w:rPr>
        <w:t>Clause 14</w:t>
      </w:r>
      <w:r w:rsidR="002839FB">
        <w:rPr>
          <w:rFonts w:ascii="Arial" w:hAnsi="Arial" w:cs="Arial"/>
          <w:b/>
          <w:sz w:val="20"/>
          <w:szCs w:val="20"/>
        </w:rPr>
        <w:t xml:space="preserve"> – Preparation of a written statement and obligation to keep the statement </w:t>
      </w:r>
    </w:p>
    <w:p w14:paraId="78542A0E" w14:textId="272BF481" w:rsidR="007C4E81" w:rsidRDefault="007C4E81" w:rsidP="007C4E81">
      <w:pPr>
        <w:spacing w:after="200" w:line="240" w:lineRule="atLeast"/>
        <w:jc w:val="both"/>
        <w:rPr>
          <w:rFonts w:ascii="Arial" w:hAnsi="Arial" w:cs="Arial"/>
          <w:sz w:val="20"/>
          <w:szCs w:val="20"/>
        </w:rPr>
      </w:pPr>
      <w:r>
        <w:rPr>
          <w:rFonts w:ascii="Arial" w:hAnsi="Arial" w:cs="Arial"/>
          <w:sz w:val="20"/>
          <w:szCs w:val="20"/>
        </w:rPr>
        <w:t>Sub</w:t>
      </w:r>
      <w:r w:rsidR="002A0B97">
        <w:rPr>
          <w:rFonts w:ascii="Arial" w:hAnsi="Arial" w:cs="Arial"/>
          <w:sz w:val="20"/>
          <w:szCs w:val="20"/>
        </w:rPr>
        <w:t>clause</w:t>
      </w:r>
      <w:r>
        <w:rPr>
          <w:rFonts w:ascii="Arial" w:hAnsi="Arial" w:cs="Arial"/>
          <w:sz w:val="20"/>
          <w:szCs w:val="20"/>
        </w:rPr>
        <w:t xml:space="preserve"> (1) </w:t>
      </w:r>
      <w:r w:rsidR="00EB355B">
        <w:rPr>
          <w:rFonts w:ascii="Arial" w:hAnsi="Arial" w:cs="Arial"/>
          <w:sz w:val="20"/>
          <w:szCs w:val="20"/>
        </w:rPr>
        <w:t>provides that</w:t>
      </w:r>
      <w:r>
        <w:rPr>
          <w:rFonts w:ascii="Arial" w:hAnsi="Arial" w:cs="Arial"/>
          <w:sz w:val="20"/>
          <w:szCs w:val="20"/>
        </w:rPr>
        <w:t xml:space="preserve"> </w:t>
      </w:r>
      <w:r w:rsidR="0057095A">
        <w:rPr>
          <w:rFonts w:ascii="Arial" w:hAnsi="Arial" w:cs="Arial"/>
          <w:sz w:val="20"/>
          <w:szCs w:val="20"/>
        </w:rPr>
        <w:t>a</w:t>
      </w:r>
      <w:r>
        <w:rPr>
          <w:rFonts w:ascii="Arial" w:hAnsi="Arial" w:cs="Arial"/>
          <w:sz w:val="20"/>
          <w:szCs w:val="20"/>
        </w:rPr>
        <w:t xml:space="preserve"> written statement prepared under </w:t>
      </w:r>
      <w:r w:rsidR="0057095A">
        <w:rPr>
          <w:rFonts w:ascii="Arial" w:hAnsi="Arial" w:cs="Arial"/>
          <w:sz w:val="20"/>
          <w:szCs w:val="20"/>
        </w:rPr>
        <w:t xml:space="preserve">clause </w:t>
      </w:r>
      <w:r w:rsidRPr="007C4E81">
        <w:rPr>
          <w:rFonts w:ascii="Arial" w:hAnsi="Arial" w:cs="Arial"/>
          <w:sz w:val="20"/>
          <w:szCs w:val="20"/>
        </w:rPr>
        <w:t>1</w:t>
      </w:r>
      <w:r w:rsidR="002A0B97">
        <w:rPr>
          <w:rFonts w:ascii="Arial" w:hAnsi="Arial" w:cs="Arial"/>
          <w:sz w:val="20"/>
          <w:szCs w:val="20"/>
        </w:rPr>
        <w:t>1</w:t>
      </w:r>
      <w:r w:rsidR="0057095A">
        <w:rPr>
          <w:rFonts w:ascii="Arial" w:hAnsi="Arial" w:cs="Arial"/>
          <w:sz w:val="20"/>
          <w:szCs w:val="20"/>
        </w:rPr>
        <w:t xml:space="preserve"> in relation to an item</w:t>
      </w:r>
      <w:r>
        <w:rPr>
          <w:rFonts w:ascii="Arial" w:hAnsi="Arial" w:cs="Arial"/>
          <w:sz w:val="20"/>
          <w:szCs w:val="20"/>
        </w:rPr>
        <w:t xml:space="preserve"> must identify the item, specify where </w:t>
      </w:r>
      <w:r w:rsidR="0057095A">
        <w:rPr>
          <w:rFonts w:ascii="Arial" w:hAnsi="Arial" w:cs="Arial"/>
          <w:sz w:val="20"/>
          <w:szCs w:val="20"/>
        </w:rPr>
        <w:t xml:space="preserve">each non-compliance </w:t>
      </w:r>
      <w:r>
        <w:rPr>
          <w:rFonts w:ascii="Arial" w:hAnsi="Arial" w:cs="Arial"/>
          <w:sz w:val="20"/>
          <w:szCs w:val="20"/>
        </w:rPr>
        <w:t xml:space="preserve">label </w:t>
      </w:r>
      <w:r w:rsidR="0057095A">
        <w:rPr>
          <w:rFonts w:ascii="Arial" w:hAnsi="Arial" w:cs="Arial"/>
          <w:sz w:val="20"/>
          <w:szCs w:val="20"/>
        </w:rPr>
        <w:t xml:space="preserve">has </w:t>
      </w:r>
      <w:r w:rsidR="00EB355B">
        <w:rPr>
          <w:rFonts w:ascii="Arial" w:hAnsi="Arial" w:cs="Arial"/>
          <w:sz w:val="20"/>
          <w:szCs w:val="20"/>
        </w:rPr>
        <w:t>been applied</w:t>
      </w:r>
      <w:r>
        <w:rPr>
          <w:rFonts w:ascii="Arial" w:hAnsi="Arial" w:cs="Arial"/>
          <w:sz w:val="20"/>
          <w:szCs w:val="20"/>
        </w:rPr>
        <w:t xml:space="preserve"> on the external surface of the packaging</w:t>
      </w:r>
      <w:r w:rsidR="0057095A">
        <w:rPr>
          <w:rFonts w:ascii="Arial" w:hAnsi="Arial" w:cs="Arial"/>
          <w:sz w:val="20"/>
          <w:szCs w:val="20"/>
        </w:rPr>
        <w:t xml:space="preserve"> used for the item and in the documentation that accompanies the item when supplied</w:t>
      </w:r>
      <w:r>
        <w:rPr>
          <w:rFonts w:ascii="Arial" w:hAnsi="Arial" w:cs="Arial"/>
          <w:sz w:val="20"/>
          <w:szCs w:val="20"/>
        </w:rPr>
        <w:t xml:space="preserve">, and include the wording of the statement of non-compliance on the label. </w:t>
      </w:r>
    </w:p>
    <w:p w14:paraId="32CF2A9D" w14:textId="38618C3C" w:rsidR="0057095A" w:rsidRDefault="0057095A" w:rsidP="007C4E81">
      <w:pPr>
        <w:spacing w:after="200" w:line="240" w:lineRule="atLeast"/>
        <w:jc w:val="both"/>
        <w:rPr>
          <w:rFonts w:ascii="Arial" w:hAnsi="Arial" w:cs="Arial"/>
          <w:sz w:val="20"/>
          <w:szCs w:val="20"/>
        </w:rPr>
      </w:pPr>
      <w:r>
        <w:rPr>
          <w:rFonts w:ascii="Arial" w:hAnsi="Arial" w:cs="Arial"/>
          <w:sz w:val="20"/>
          <w:szCs w:val="20"/>
        </w:rPr>
        <w:t>There is a no</w:t>
      </w:r>
      <w:r w:rsidR="006520B3">
        <w:rPr>
          <w:rFonts w:ascii="Arial" w:hAnsi="Arial" w:cs="Arial"/>
          <w:sz w:val="20"/>
          <w:szCs w:val="20"/>
        </w:rPr>
        <w:t>t</w:t>
      </w:r>
      <w:r>
        <w:rPr>
          <w:rFonts w:ascii="Arial" w:hAnsi="Arial" w:cs="Arial"/>
          <w:sz w:val="20"/>
          <w:szCs w:val="20"/>
        </w:rPr>
        <w:t>e at the end of subclause (1) that refers to Note 2 to section 6 (see above).</w:t>
      </w:r>
    </w:p>
    <w:p w14:paraId="33F1A621" w14:textId="75463A89" w:rsidR="002A0B97" w:rsidRDefault="007C4E81" w:rsidP="002A0B97">
      <w:pPr>
        <w:spacing w:after="200" w:line="240" w:lineRule="atLeast"/>
        <w:jc w:val="both"/>
        <w:rPr>
          <w:rFonts w:ascii="Arial" w:hAnsi="Arial" w:cs="Arial"/>
          <w:sz w:val="20"/>
          <w:szCs w:val="20"/>
        </w:rPr>
      </w:pPr>
      <w:r>
        <w:rPr>
          <w:rFonts w:ascii="Arial" w:hAnsi="Arial" w:cs="Arial"/>
          <w:sz w:val="20"/>
          <w:szCs w:val="20"/>
        </w:rPr>
        <w:t>Sub</w:t>
      </w:r>
      <w:r w:rsidR="002A0B97">
        <w:rPr>
          <w:rFonts w:ascii="Arial" w:hAnsi="Arial" w:cs="Arial"/>
          <w:sz w:val="20"/>
          <w:szCs w:val="20"/>
        </w:rPr>
        <w:t xml:space="preserve">clause </w:t>
      </w:r>
      <w:r>
        <w:rPr>
          <w:rFonts w:ascii="Arial" w:hAnsi="Arial" w:cs="Arial"/>
          <w:sz w:val="20"/>
          <w:szCs w:val="20"/>
        </w:rPr>
        <w:t xml:space="preserve">(2) </w:t>
      </w:r>
      <w:r w:rsidR="002A0B97">
        <w:rPr>
          <w:rFonts w:ascii="Arial" w:hAnsi="Arial" w:cs="Arial"/>
          <w:sz w:val="20"/>
          <w:szCs w:val="20"/>
        </w:rPr>
        <w:t>requires such a statement to be kept by the supplier:</w:t>
      </w:r>
    </w:p>
    <w:p w14:paraId="587F0F30" w14:textId="26123AA0" w:rsidR="002A0B97" w:rsidRDefault="000E2628" w:rsidP="002A0B97">
      <w:pPr>
        <w:pStyle w:val="ListParagraph"/>
        <w:numPr>
          <w:ilvl w:val="0"/>
          <w:numId w:val="19"/>
        </w:numPr>
        <w:spacing w:after="200" w:line="240" w:lineRule="atLeast"/>
        <w:jc w:val="both"/>
        <w:rPr>
          <w:rFonts w:ascii="Arial" w:hAnsi="Arial" w:cs="Arial"/>
          <w:sz w:val="20"/>
          <w:szCs w:val="20"/>
        </w:rPr>
      </w:pPr>
      <w:r>
        <w:rPr>
          <w:rFonts w:ascii="Arial" w:hAnsi="Arial" w:cs="Arial"/>
          <w:sz w:val="20"/>
          <w:szCs w:val="20"/>
        </w:rPr>
        <w:t>i</w:t>
      </w:r>
      <w:r w:rsidR="0057095A">
        <w:rPr>
          <w:rFonts w:ascii="Arial" w:hAnsi="Arial" w:cs="Arial"/>
          <w:sz w:val="20"/>
          <w:szCs w:val="20"/>
        </w:rPr>
        <w:t xml:space="preserve">f the item is not included in a class of items – </w:t>
      </w:r>
      <w:r w:rsidR="002A0B97">
        <w:rPr>
          <w:rFonts w:ascii="Arial" w:hAnsi="Arial" w:cs="Arial"/>
          <w:sz w:val="20"/>
          <w:szCs w:val="20"/>
        </w:rPr>
        <w:t>for two years from the time the item is supplied; or</w:t>
      </w:r>
    </w:p>
    <w:p w14:paraId="1D767E0E" w14:textId="6E9F77CC" w:rsidR="002A0B97" w:rsidRPr="00DC2855" w:rsidRDefault="002A0B97" w:rsidP="002A0B97">
      <w:pPr>
        <w:pStyle w:val="ListParagraph"/>
        <w:numPr>
          <w:ilvl w:val="0"/>
          <w:numId w:val="19"/>
        </w:numPr>
        <w:spacing w:after="200" w:line="240" w:lineRule="atLeast"/>
        <w:jc w:val="both"/>
        <w:rPr>
          <w:rFonts w:ascii="Arial" w:hAnsi="Arial" w:cs="Arial"/>
          <w:sz w:val="20"/>
          <w:szCs w:val="20"/>
        </w:rPr>
      </w:pPr>
      <w:r>
        <w:rPr>
          <w:rFonts w:ascii="Arial" w:hAnsi="Arial" w:cs="Arial"/>
          <w:sz w:val="20"/>
          <w:szCs w:val="20"/>
        </w:rPr>
        <w:t xml:space="preserve">if the item is included in a class of items – </w:t>
      </w:r>
      <w:r w:rsidR="0057095A">
        <w:rPr>
          <w:rFonts w:ascii="Arial" w:hAnsi="Arial" w:cs="Arial"/>
          <w:sz w:val="20"/>
          <w:szCs w:val="20"/>
        </w:rPr>
        <w:t xml:space="preserve">for the period commencing </w:t>
      </w:r>
      <w:r>
        <w:rPr>
          <w:rFonts w:ascii="Arial" w:hAnsi="Arial" w:cs="Arial"/>
          <w:sz w:val="20"/>
          <w:szCs w:val="20"/>
        </w:rPr>
        <w:t xml:space="preserve">from the time the original item, or original modified item, </w:t>
      </w:r>
      <w:r w:rsidR="0057095A">
        <w:rPr>
          <w:rFonts w:ascii="Arial" w:hAnsi="Arial" w:cs="Arial"/>
          <w:sz w:val="20"/>
          <w:szCs w:val="20"/>
        </w:rPr>
        <w:t xml:space="preserve">of </w:t>
      </w:r>
      <w:r>
        <w:rPr>
          <w:rFonts w:ascii="Arial" w:hAnsi="Arial" w:cs="Arial"/>
          <w:sz w:val="20"/>
          <w:szCs w:val="20"/>
        </w:rPr>
        <w:t xml:space="preserve">the class is supplied </w:t>
      </w:r>
      <w:r w:rsidR="0057095A">
        <w:rPr>
          <w:rFonts w:ascii="Arial" w:hAnsi="Arial" w:cs="Arial"/>
          <w:sz w:val="20"/>
          <w:szCs w:val="20"/>
        </w:rPr>
        <w:t>in Australia and ending</w:t>
      </w:r>
      <w:r>
        <w:rPr>
          <w:rFonts w:ascii="Arial" w:hAnsi="Arial" w:cs="Arial"/>
          <w:sz w:val="20"/>
          <w:szCs w:val="20"/>
        </w:rPr>
        <w:t xml:space="preserve"> two years after all items of the class cease to be supplied in Australia.</w:t>
      </w:r>
    </w:p>
    <w:p w14:paraId="4FDE4F86" w14:textId="2240A151" w:rsidR="007C4E81" w:rsidRDefault="007C4E81" w:rsidP="007C4E81">
      <w:pPr>
        <w:spacing w:after="200" w:line="240" w:lineRule="atLeast"/>
        <w:jc w:val="both"/>
        <w:rPr>
          <w:rFonts w:ascii="Arial" w:hAnsi="Arial" w:cs="Arial"/>
          <w:sz w:val="20"/>
          <w:szCs w:val="20"/>
        </w:rPr>
      </w:pPr>
    </w:p>
    <w:p w14:paraId="4F3B96E2" w14:textId="22EA212B" w:rsidR="000432A3" w:rsidRPr="00280208" w:rsidRDefault="000432A3" w:rsidP="00280208">
      <w:pPr>
        <w:spacing w:after="200" w:line="240" w:lineRule="atLeast"/>
        <w:jc w:val="both"/>
        <w:rPr>
          <w:rFonts w:ascii="Arial" w:hAnsi="Arial" w:cs="Arial"/>
          <w:sz w:val="20"/>
          <w:szCs w:val="20"/>
        </w:rPr>
      </w:pPr>
    </w:p>
    <w:sectPr w:rsidR="000432A3" w:rsidRPr="00280208" w:rsidSect="00C460F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2419D" w14:textId="77777777" w:rsidR="00717D74" w:rsidRDefault="00717D74" w:rsidP="0034736E">
      <w:r>
        <w:separator/>
      </w:r>
    </w:p>
  </w:endnote>
  <w:endnote w:type="continuationSeparator" w:id="0">
    <w:p w14:paraId="246D83EB" w14:textId="77777777" w:rsidR="00717D74" w:rsidRDefault="00717D74" w:rsidP="0034736E">
      <w:r>
        <w:continuationSeparator/>
      </w:r>
    </w:p>
  </w:endnote>
  <w:endnote w:type="continuationNotice" w:id="1">
    <w:p w14:paraId="4B48D961" w14:textId="77777777" w:rsidR="00717D74" w:rsidRDefault="00717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A4A11" w14:textId="77777777" w:rsidR="00717D74" w:rsidRDefault="00717D74">
    <w:pPr>
      <w:pStyle w:val="Footer"/>
      <w:jc w:val="right"/>
    </w:pPr>
    <w:r>
      <w:fldChar w:fldCharType="begin"/>
    </w:r>
    <w:r>
      <w:instrText xml:space="preserve"> PAGE   \* MERGEFORMAT </w:instrText>
    </w:r>
    <w:r>
      <w:fldChar w:fldCharType="separate"/>
    </w:r>
    <w:r w:rsidR="00BE3327">
      <w:rPr>
        <w:noProof/>
      </w:rPr>
      <w:t>1</w:t>
    </w:r>
    <w:r>
      <w:rPr>
        <w:noProof/>
      </w:rPr>
      <w:fldChar w:fldCharType="end"/>
    </w:r>
  </w:p>
  <w:p w14:paraId="7A2A4A12" w14:textId="77777777" w:rsidR="00717D74" w:rsidRDefault="00717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4B192" w14:textId="77777777" w:rsidR="00717D74" w:rsidRDefault="00717D74" w:rsidP="0034736E">
      <w:r>
        <w:separator/>
      </w:r>
    </w:p>
  </w:footnote>
  <w:footnote w:type="continuationSeparator" w:id="0">
    <w:p w14:paraId="1864E1A9" w14:textId="77777777" w:rsidR="00717D74" w:rsidRDefault="00717D74" w:rsidP="0034736E">
      <w:r>
        <w:continuationSeparator/>
      </w:r>
    </w:p>
  </w:footnote>
  <w:footnote w:type="continuationNotice" w:id="1">
    <w:p w14:paraId="1F929866" w14:textId="77777777" w:rsidR="00717D74" w:rsidRDefault="00717D74"/>
  </w:footnote>
  <w:footnote w:id="2">
    <w:p w14:paraId="0DA8C269" w14:textId="77777777" w:rsidR="00717D74" w:rsidRDefault="00717D74" w:rsidP="004B642E">
      <w:pPr>
        <w:pStyle w:val="FootnoteText"/>
      </w:pPr>
      <w:r>
        <w:rPr>
          <w:rStyle w:val="FootnoteReference"/>
        </w:rPr>
        <w:footnoteRef/>
      </w:r>
      <w:r>
        <w:t xml:space="preserve"> </w:t>
      </w:r>
      <w:r w:rsidRPr="00226412">
        <w:rPr>
          <w:rFonts w:ascii="Arial" w:hAnsi="Arial" w:cs="Arial"/>
          <w:sz w:val="16"/>
          <w:szCs w:val="16"/>
        </w:rPr>
        <w:t>It is not sufficient that it would merely be more convenient to label the external surface of the packaging used for the item.</w:t>
      </w:r>
    </w:p>
  </w:footnote>
  <w:footnote w:id="3">
    <w:p w14:paraId="2905C293" w14:textId="77777777" w:rsidR="00717D74" w:rsidRDefault="00717D74" w:rsidP="00435289">
      <w:pPr>
        <w:pStyle w:val="FootnoteText"/>
      </w:pPr>
      <w:r>
        <w:rPr>
          <w:rStyle w:val="FootnoteReference"/>
        </w:rPr>
        <w:footnoteRef/>
      </w:r>
      <w:r>
        <w:t xml:space="preserve"> </w:t>
      </w:r>
      <w:r w:rsidRPr="006746E5">
        <w:rPr>
          <w:rFonts w:ascii="Arial" w:hAnsi="Arial" w:cs="Arial"/>
          <w:sz w:val="16"/>
          <w:szCs w:val="16"/>
        </w:rPr>
        <w:t>Since 1 March 2013, supplier code numbers</w:t>
      </w:r>
      <w:r>
        <w:rPr>
          <w:rFonts w:ascii="Arial" w:hAnsi="Arial" w:cs="Arial"/>
          <w:sz w:val="16"/>
          <w:szCs w:val="16"/>
        </w:rPr>
        <w:t xml:space="preserve"> are no longer issued</w:t>
      </w:r>
      <w:r w:rsidRPr="006746E5">
        <w:rPr>
          <w:rFonts w:ascii="Arial" w:hAnsi="Arial" w:cs="Arial"/>
          <w:sz w:val="16"/>
          <w:szCs w:val="16"/>
        </w:rPr>
        <w:t xml:space="preserve">.  Any supplier </w:t>
      </w:r>
      <w:r>
        <w:rPr>
          <w:rFonts w:ascii="Arial" w:hAnsi="Arial" w:cs="Arial"/>
          <w:sz w:val="16"/>
          <w:szCs w:val="16"/>
        </w:rPr>
        <w:t>who has been issued with</w:t>
      </w:r>
      <w:r w:rsidRPr="006746E5">
        <w:rPr>
          <w:rFonts w:ascii="Arial" w:hAnsi="Arial" w:cs="Arial"/>
          <w:sz w:val="16"/>
          <w:szCs w:val="16"/>
        </w:rPr>
        <w:t xml:space="preserve"> a supplier code number before that date </w:t>
      </w:r>
      <w:r>
        <w:rPr>
          <w:rFonts w:ascii="Arial" w:hAnsi="Arial" w:cs="Arial"/>
          <w:sz w:val="16"/>
          <w:szCs w:val="16"/>
        </w:rPr>
        <w:t>is</w:t>
      </w:r>
      <w:r w:rsidRPr="006746E5">
        <w:rPr>
          <w:rFonts w:ascii="Arial" w:hAnsi="Arial" w:cs="Arial"/>
          <w:sz w:val="16"/>
          <w:szCs w:val="16"/>
        </w:rPr>
        <w:t xml:space="preserve"> registered for the purposes of subsection (1) up to 1 March 2016.  On or after </w:t>
      </w:r>
      <w:r>
        <w:rPr>
          <w:rFonts w:ascii="Arial" w:hAnsi="Arial" w:cs="Arial"/>
          <w:sz w:val="16"/>
          <w:szCs w:val="16"/>
        </w:rPr>
        <w:t>that</w:t>
      </w:r>
      <w:r w:rsidRPr="006746E5">
        <w:rPr>
          <w:rFonts w:ascii="Arial" w:hAnsi="Arial" w:cs="Arial"/>
          <w:sz w:val="16"/>
          <w:szCs w:val="16"/>
        </w:rPr>
        <w:t xml:space="preserve"> date, the supplier</w:t>
      </w:r>
      <w:r>
        <w:rPr>
          <w:rFonts w:ascii="Arial" w:hAnsi="Arial" w:cs="Arial"/>
          <w:sz w:val="16"/>
          <w:szCs w:val="16"/>
        </w:rPr>
        <w:t xml:space="preserve"> is not registered for those purposes unless it is</w:t>
      </w:r>
      <w:r w:rsidRPr="006746E5">
        <w:rPr>
          <w:rFonts w:ascii="Arial" w:hAnsi="Arial" w:cs="Arial"/>
          <w:sz w:val="16"/>
          <w:szCs w:val="16"/>
        </w:rPr>
        <w:t xml:space="preserve"> registered on the national database.</w:t>
      </w:r>
    </w:p>
  </w:footnote>
  <w:footnote w:id="4">
    <w:p w14:paraId="674910AF" w14:textId="77777777" w:rsidR="00717D74" w:rsidRDefault="00717D74" w:rsidP="006A414F">
      <w:pPr>
        <w:jc w:val="both"/>
        <w:rPr>
          <w:rFonts w:ascii="Arial" w:hAnsi="Arial" w:cs="Arial"/>
          <w:sz w:val="20"/>
          <w:szCs w:val="20"/>
        </w:rPr>
      </w:pPr>
      <w:r>
        <w:rPr>
          <w:rStyle w:val="FootnoteReference"/>
        </w:rPr>
        <w:footnoteRef/>
      </w:r>
      <w:r>
        <w:t xml:space="preserve"> </w:t>
      </w:r>
      <w:r w:rsidRPr="00A742F6">
        <w:rPr>
          <w:rFonts w:ascii="Arial" w:hAnsi="Arial" w:cs="Arial"/>
          <w:sz w:val="16"/>
          <w:szCs w:val="16"/>
        </w:rPr>
        <w:t>As mentioned above, Schedule 1 and Schedule 4 specify which ACMA standards apply to particular kinds of CE and CC</w:t>
      </w:r>
      <w:r>
        <w:rPr>
          <w:rFonts w:ascii="Arial" w:hAnsi="Arial" w:cs="Arial"/>
          <w:sz w:val="16"/>
          <w:szCs w:val="16"/>
        </w:rPr>
        <w:t xml:space="preserve"> for </w:t>
      </w:r>
      <w:r w:rsidRPr="00A742F6">
        <w:rPr>
          <w:rFonts w:ascii="Arial" w:hAnsi="Arial" w:cs="Arial"/>
          <w:sz w:val="16"/>
          <w:szCs w:val="16"/>
        </w:rPr>
        <w:t>the purposes of determining which of these standards are applicable technical standards.  These Schedules also specify which of these standards are, for those kinds of CE and CC, high risk applicable technical standards.</w:t>
      </w:r>
      <w:r>
        <w:rPr>
          <w:rFonts w:ascii="Arial" w:hAnsi="Arial" w:cs="Arial"/>
          <w:sz w:val="20"/>
          <w:szCs w:val="20"/>
        </w:rPr>
        <w:t xml:space="preserve">  </w:t>
      </w:r>
    </w:p>
    <w:p w14:paraId="7911E655" w14:textId="77777777" w:rsidR="00717D74" w:rsidRDefault="00717D74" w:rsidP="006A414F">
      <w:pPr>
        <w:pStyle w:val="FootnoteText"/>
      </w:pPr>
    </w:p>
  </w:footnote>
  <w:footnote w:id="5">
    <w:p w14:paraId="6F4EC666" w14:textId="26371E4B" w:rsidR="00717D74" w:rsidRDefault="00717D74" w:rsidP="008430F3">
      <w:pPr>
        <w:jc w:val="both"/>
        <w:rPr>
          <w:rFonts w:ascii="Arial" w:hAnsi="Arial" w:cs="Arial"/>
          <w:sz w:val="20"/>
          <w:szCs w:val="20"/>
        </w:rPr>
      </w:pPr>
      <w:r>
        <w:rPr>
          <w:rStyle w:val="FootnoteReference"/>
        </w:rPr>
        <w:footnoteRef/>
      </w:r>
      <w:r>
        <w:t xml:space="preserve"> </w:t>
      </w:r>
      <w:r w:rsidRPr="00920F7C">
        <w:rPr>
          <w:rFonts w:ascii="Arial" w:hAnsi="Arial" w:cs="Arial"/>
          <w:sz w:val="16"/>
          <w:szCs w:val="16"/>
        </w:rPr>
        <w:t>As noted above, the 2015 Notice requires a person completing a DoC for an item which must comply with such a standard to have had regard to the kinds of documents mentioned in paragraph 20(2)(a) in order to be reasonably satisfied that the item complies with the standard.  The 2015 Notice does not limit the kinds of documents to which a person may have regard in completing a DoC for an item which must comply with an applicable technical standard that is not classified as</w:t>
      </w:r>
      <w:r w:rsidR="00740FD0">
        <w:rPr>
          <w:rFonts w:ascii="Arial" w:hAnsi="Arial" w:cs="Arial"/>
          <w:sz w:val="16"/>
          <w:szCs w:val="16"/>
        </w:rPr>
        <w:t xml:space="preserve"> a</w:t>
      </w:r>
      <w:r w:rsidRPr="00920F7C">
        <w:rPr>
          <w:rFonts w:ascii="Arial" w:hAnsi="Arial" w:cs="Arial"/>
          <w:sz w:val="16"/>
          <w:szCs w:val="16"/>
        </w:rPr>
        <w:t xml:space="preserve"> high risk</w:t>
      </w:r>
      <w:r w:rsidR="00740FD0">
        <w:rPr>
          <w:rFonts w:ascii="Arial" w:hAnsi="Arial" w:cs="Arial"/>
          <w:sz w:val="16"/>
          <w:szCs w:val="16"/>
        </w:rPr>
        <w:t xml:space="preserve"> standard</w:t>
      </w:r>
      <w:r w:rsidRPr="00920F7C">
        <w:rPr>
          <w:rFonts w:ascii="Arial" w:hAnsi="Arial" w:cs="Arial"/>
          <w:sz w:val="16"/>
          <w:szCs w:val="16"/>
        </w:rPr>
        <w:t>.</w:t>
      </w:r>
    </w:p>
    <w:p w14:paraId="3C1E2BCB" w14:textId="77777777" w:rsidR="00717D74" w:rsidRDefault="00717D74" w:rsidP="008430F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6191"/>
    <w:multiLevelType w:val="hybridMultilevel"/>
    <w:tmpl w:val="7BCA8BE2"/>
    <w:lvl w:ilvl="0" w:tplc="63EA90A2">
      <w:start w:val="1"/>
      <w:numFmt w:val="decimal"/>
      <w:lvlText w:val="%1."/>
      <w:lvlJc w:val="left"/>
      <w:pPr>
        <w:tabs>
          <w:tab w:val="num" w:pos="644"/>
        </w:tabs>
        <w:ind w:left="644" w:hanging="360"/>
      </w:pPr>
      <w:rPr>
        <w:rFonts w:ascii="Arial" w:hAnsi="Arial" w:cs="Aria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EA648B"/>
    <w:multiLevelType w:val="hybridMultilevel"/>
    <w:tmpl w:val="48380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204723"/>
    <w:multiLevelType w:val="hybridMultilevel"/>
    <w:tmpl w:val="8AD69B74"/>
    <w:lvl w:ilvl="0" w:tplc="D570AF80">
      <w:start w:val="1"/>
      <w:numFmt w:val="bullet"/>
      <w:lvlText w:val="&gt;"/>
      <w:lvlJc w:val="left"/>
      <w:pPr>
        <w:ind w:left="720" w:hanging="360"/>
      </w:pPr>
      <w:rPr>
        <w:rFonts w:ascii="Malgun Gothic" w:eastAsia="Malgun Gothic" w:hAnsi="Malgun Gothic" w:hint="eastAsia"/>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9713A7"/>
    <w:multiLevelType w:val="hybridMultilevel"/>
    <w:tmpl w:val="35C06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09429E"/>
    <w:multiLevelType w:val="hybridMultilevel"/>
    <w:tmpl w:val="F68AB1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20226751"/>
    <w:multiLevelType w:val="hybridMultilevel"/>
    <w:tmpl w:val="91F0361A"/>
    <w:lvl w:ilvl="0" w:tplc="E3B2E8C2">
      <w:start w:val="1"/>
      <w:numFmt w:val="bullet"/>
      <w:lvlText w:val="&gt;"/>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AF5819"/>
    <w:multiLevelType w:val="hybridMultilevel"/>
    <w:tmpl w:val="1B1ED4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3273C2"/>
    <w:multiLevelType w:val="hybridMultilevel"/>
    <w:tmpl w:val="37C27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nsid w:val="37AA3C69"/>
    <w:multiLevelType w:val="hybridMultilevel"/>
    <w:tmpl w:val="ACC23938"/>
    <w:lvl w:ilvl="0" w:tplc="630632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E9D4562"/>
    <w:multiLevelType w:val="hybridMultilevel"/>
    <w:tmpl w:val="05B201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43E38E2"/>
    <w:multiLevelType w:val="hybridMultilevel"/>
    <w:tmpl w:val="F426E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03D7D8B"/>
    <w:multiLevelType w:val="hybridMultilevel"/>
    <w:tmpl w:val="21FAF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E51460"/>
    <w:multiLevelType w:val="hybridMultilevel"/>
    <w:tmpl w:val="A00A10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9B70590"/>
    <w:multiLevelType w:val="hybridMultilevel"/>
    <w:tmpl w:val="1480C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B5C2AD9"/>
    <w:multiLevelType w:val="hybridMultilevel"/>
    <w:tmpl w:val="C2502570"/>
    <w:lvl w:ilvl="0" w:tplc="630632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56056A8"/>
    <w:multiLevelType w:val="hybridMultilevel"/>
    <w:tmpl w:val="8C04F9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7E74489"/>
    <w:multiLevelType w:val="hybridMultilevel"/>
    <w:tmpl w:val="EE4C7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B97491E"/>
    <w:multiLevelType w:val="hybridMultilevel"/>
    <w:tmpl w:val="8962E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5CC74F2"/>
    <w:multiLevelType w:val="hybridMultilevel"/>
    <w:tmpl w:val="743A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8D96F22"/>
    <w:multiLevelType w:val="hybridMultilevel"/>
    <w:tmpl w:val="7946E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B9D7D44"/>
    <w:multiLevelType w:val="hybridMultilevel"/>
    <w:tmpl w:val="09847846"/>
    <w:lvl w:ilvl="0" w:tplc="63EA90A2">
      <w:start w:val="1"/>
      <w:numFmt w:val="decimal"/>
      <w:lvlText w:val="%1."/>
      <w:lvlJc w:val="left"/>
      <w:pPr>
        <w:tabs>
          <w:tab w:val="num" w:pos="-568"/>
        </w:tabs>
        <w:ind w:left="283" w:hanging="283"/>
      </w:pPr>
      <w:rPr>
        <w:rFonts w:ascii="Arial" w:hAnsi="Arial" w:cs="Arial" w:hint="default"/>
      </w:rPr>
    </w:lvl>
    <w:lvl w:ilvl="1" w:tplc="04090003">
      <w:start w:val="1"/>
      <w:numFmt w:val="bullet"/>
      <w:lvlText w:val="o"/>
      <w:lvlJc w:val="left"/>
      <w:pPr>
        <w:tabs>
          <w:tab w:val="num" w:pos="1444"/>
        </w:tabs>
        <w:ind w:left="1444" w:hanging="360"/>
      </w:pPr>
      <w:rPr>
        <w:rFonts w:ascii="Courier New" w:hAnsi="Courier New" w:hint="default"/>
      </w:rPr>
    </w:lvl>
    <w:lvl w:ilvl="2" w:tplc="04090005">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23">
    <w:nsid w:val="7E4B57A7"/>
    <w:multiLevelType w:val="hybridMultilevel"/>
    <w:tmpl w:val="C2502570"/>
    <w:lvl w:ilvl="0" w:tplc="630632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6"/>
  </w:num>
  <w:num w:numId="3">
    <w:abstractNumId w:val="14"/>
  </w:num>
  <w:num w:numId="4">
    <w:abstractNumId w:val="8"/>
  </w:num>
  <w:num w:numId="5">
    <w:abstractNumId w:val="8"/>
  </w:num>
  <w:num w:numId="6">
    <w:abstractNumId w:val="8"/>
  </w:num>
  <w:num w:numId="7">
    <w:abstractNumId w:val="17"/>
  </w:num>
  <w:num w:numId="8">
    <w:abstractNumId w:val="9"/>
  </w:num>
  <w:num w:numId="9">
    <w:abstractNumId w:val="22"/>
  </w:num>
  <w:num w:numId="10">
    <w:abstractNumId w:val="0"/>
  </w:num>
  <w:num w:numId="11">
    <w:abstractNumId w:val="18"/>
  </w:num>
  <w:num w:numId="12">
    <w:abstractNumId w:val="20"/>
  </w:num>
  <w:num w:numId="13">
    <w:abstractNumId w:val="5"/>
  </w:num>
  <w:num w:numId="14">
    <w:abstractNumId w:val="1"/>
  </w:num>
  <w:num w:numId="15">
    <w:abstractNumId w:val="2"/>
  </w:num>
  <w:num w:numId="16">
    <w:abstractNumId w:val="7"/>
  </w:num>
  <w:num w:numId="17">
    <w:abstractNumId w:val="23"/>
  </w:num>
  <w:num w:numId="18">
    <w:abstractNumId w:val="19"/>
  </w:num>
  <w:num w:numId="19">
    <w:abstractNumId w:val="16"/>
  </w:num>
  <w:num w:numId="20">
    <w:abstractNumId w:val="21"/>
  </w:num>
  <w:num w:numId="21">
    <w:abstractNumId w:val="12"/>
  </w:num>
  <w:num w:numId="22">
    <w:abstractNumId w:val="13"/>
  </w:num>
  <w:num w:numId="23">
    <w:abstractNumId w:val="3"/>
  </w:num>
  <w:num w:numId="24">
    <w:abstractNumId w:val="4"/>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defaultTabStop w:val="720"/>
  <w:drawingGridHorizontalSpacing w:val="12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F3"/>
    <w:rsid w:val="00000E55"/>
    <w:rsid w:val="00003272"/>
    <w:rsid w:val="00006043"/>
    <w:rsid w:val="000070D8"/>
    <w:rsid w:val="00012975"/>
    <w:rsid w:val="00016DEE"/>
    <w:rsid w:val="0002065F"/>
    <w:rsid w:val="000217EC"/>
    <w:rsid w:val="00031168"/>
    <w:rsid w:val="0003573C"/>
    <w:rsid w:val="00037BF3"/>
    <w:rsid w:val="000405C4"/>
    <w:rsid w:val="000432A3"/>
    <w:rsid w:val="00043B89"/>
    <w:rsid w:val="0004432C"/>
    <w:rsid w:val="00045013"/>
    <w:rsid w:val="0004608C"/>
    <w:rsid w:val="00046EE5"/>
    <w:rsid w:val="000478A7"/>
    <w:rsid w:val="00053EAD"/>
    <w:rsid w:val="000549C1"/>
    <w:rsid w:val="00054D54"/>
    <w:rsid w:val="0005594D"/>
    <w:rsid w:val="00061FBB"/>
    <w:rsid w:val="00063963"/>
    <w:rsid w:val="00063D73"/>
    <w:rsid w:val="000653E6"/>
    <w:rsid w:val="00066402"/>
    <w:rsid w:val="000672C4"/>
    <w:rsid w:val="000733A1"/>
    <w:rsid w:val="000773D4"/>
    <w:rsid w:val="00081361"/>
    <w:rsid w:val="000834A9"/>
    <w:rsid w:val="000837C4"/>
    <w:rsid w:val="000853DE"/>
    <w:rsid w:val="00087D37"/>
    <w:rsid w:val="0009019B"/>
    <w:rsid w:val="000A368B"/>
    <w:rsid w:val="000A4970"/>
    <w:rsid w:val="000B0D84"/>
    <w:rsid w:val="000B20B0"/>
    <w:rsid w:val="000B4145"/>
    <w:rsid w:val="000B4522"/>
    <w:rsid w:val="000B46D9"/>
    <w:rsid w:val="000B49B7"/>
    <w:rsid w:val="000B5B8D"/>
    <w:rsid w:val="000B6E0C"/>
    <w:rsid w:val="000C133F"/>
    <w:rsid w:val="000C14A1"/>
    <w:rsid w:val="000C28B9"/>
    <w:rsid w:val="000C491C"/>
    <w:rsid w:val="000C5F44"/>
    <w:rsid w:val="000C6B39"/>
    <w:rsid w:val="000C6FE1"/>
    <w:rsid w:val="000D07EA"/>
    <w:rsid w:val="000D0886"/>
    <w:rsid w:val="000D1F70"/>
    <w:rsid w:val="000D3919"/>
    <w:rsid w:val="000D464C"/>
    <w:rsid w:val="000D5003"/>
    <w:rsid w:val="000D6FF2"/>
    <w:rsid w:val="000E2628"/>
    <w:rsid w:val="000E4467"/>
    <w:rsid w:val="000E6133"/>
    <w:rsid w:val="000E7860"/>
    <w:rsid w:val="000F0AB0"/>
    <w:rsid w:val="000F1FA0"/>
    <w:rsid w:val="000F3AA1"/>
    <w:rsid w:val="000F3BDD"/>
    <w:rsid w:val="000F5729"/>
    <w:rsid w:val="000F58CE"/>
    <w:rsid w:val="000F5D04"/>
    <w:rsid w:val="00102C53"/>
    <w:rsid w:val="001051AB"/>
    <w:rsid w:val="00105E41"/>
    <w:rsid w:val="00106131"/>
    <w:rsid w:val="0010620D"/>
    <w:rsid w:val="00107B23"/>
    <w:rsid w:val="00111958"/>
    <w:rsid w:val="0011268F"/>
    <w:rsid w:val="0011473D"/>
    <w:rsid w:val="00114DEB"/>
    <w:rsid w:val="0011537D"/>
    <w:rsid w:val="00116F5A"/>
    <w:rsid w:val="001176A0"/>
    <w:rsid w:val="00122DD5"/>
    <w:rsid w:val="00123325"/>
    <w:rsid w:val="0012335A"/>
    <w:rsid w:val="001233D5"/>
    <w:rsid w:val="001260C5"/>
    <w:rsid w:val="00126502"/>
    <w:rsid w:val="00131FDB"/>
    <w:rsid w:val="00136D00"/>
    <w:rsid w:val="00142E4C"/>
    <w:rsid w:val="0014596B"/>
    <w:rsid w:val="00146932"/>
    <w:rsid w:val="00147058"/>
    <w:rsid w:val="001506AD"/>
    <w:rsid w:val="00150891"/>
    <w:rsid w:val="00153E3F"/>
    <w:rsid w:val="00154445"/>
    <w:rsid w:val="0015542B"/>
    <w:rsid w:val="00156A72"/>
    <w:rsid w:val="00157136"/>
    <w:rsid w:val="00157702"/>
    <w:rsid w:val="0016415D"/>
    <w:rsid w:val="00165062"/>
    <w:rsid w:val="0016509C"/>
    <w:rsid w:val="00165BFD"/>
    <w:rsid w:val="00170FF9"/>
    <w:rsid w:val="00175F59"/>
    <w:rsid w:val="00176022"/>
    <w:rsid w:val="00177A83"/>
    <w:rsid w:val="00180646"/>
    <w:rsid w:val="001815ED"/>
    <w:rsid w:val="00183AD0"/>
    <w:rsid w:val="00184DBA"/>
    <w:rsid w:val="0019011B"/>
    <w:rsid w:val="001909D8"/>
    <w:rsid w:val="00193A7F"/>
    <w:rsid w:val="001A20E5"/>
    <w:rsid w:val="001A6977"/>
    <w:rsid w:val="001A6FD9"/>
    <w:rsid w:val="001A7284"/>
    <w:rsid w:val="001A73F2"/>
    <w:rsid w:val="001A7B6C"/>
    <w:rsid w:val="001B1E5D"/>
    <w:rsid w:val="001B4936"/>
    <w:rsid w:val="001B7797"/>
    <w:rsid w:val="001B7D34"/>
    <w:rsid w:val="001C0E31"/>
    <w:rsid w:val="001C25F5"/>
    <w:rsid w:val="001C3DC9"/>
    <w:rsid w:val="001C4560"/>
    <w:rsid w:val="001C4AB7"/>
    <w:rsid w:val="001C759D"/>
    <w:rsid w:val="001C7D6E"/>
    <w:rsid w:val="001D0770"/>
    <w:rsid w:val="001D14EF"/>
    <w:rsid w:val="001D435D"/>
    <w:rsid w:val="001D6A08"/>
    <w:rsid w:val="001E053C"/>
    <w:rsid w:val="001E0C37"/>
    <w:rsid w:val="001E4B08"/>
    <w:rsid w:val="001E4FBB"/>
    <w:rsid w:val="001E5011"/>
    <w:rsid w:val="001E54CD"/>
    <w:rsid w:val="001E66DC"/>
    <w:rsid w:val="001E7D10"/>
    <w:rsid w:val="001F1CA9"/>
    <w:rsid w:val="001F3100"/>
    <w:rsid w:val="001F38A2"/>
    <w:rsid w:val="001F43C3"/>
    <w:rsid w:val="001F4658"/>
    <w:rsid w:val="001F6212"/>
    <w:rsid w:val="001F6B87"/>
    <w:rsid w:val="001F7C97"/>
    <w:rsid w:val="00201ADB"/>
    <w:rsid w:val="00211383"/>
    <w:rsid w:val="00216582"/>
    <w:rsid w:val="00216A83"/>
    <w:rsid w:val="00220185"/>
    <w:rsid w:val="002201F2"/>
    <w:rsid w:val="00221C1F"/>
    <w:rsid w:val="00222172"/>
    <w:rsid w:val="002228E8"/>
    <w:rsid w:val="0022326D"/>
    <w:rsid w:val="00225B96"/>
    <w:rsid w:val="002264D9"/>
    <w:rsid w:val="0023009C"/>
    <w:rsid w:val="002300BE"/>
    <w:rsid w:val="0023154D"/>
    <w:rsid w:val="00234750"/>
    <w:rsid w:val="002358DD"/>
    <w:rsid w:val="00237686"/>
    <w:rsid w:val="00237B06"/>
    <w:rsid w:val="00245312"/>
    <w:rsid w:val="00247D09"/>
    <w:rsid w:val="00251AB1"/>
    <w:rsid w:val="00252722"/>
    <w:rsid w:val="00254F5D"/>
    <w:rsid w:val="00255B22"/>
    <w:rsid w:val="00261063"/>
    <w:rsid w:val="00261635"/>
    <w:rsid w:val="002632AB"/>
    <w:rsid w:val="00265C91"/>
    <w:rsid w:val="00266BFD"/>
    <w:rsid w:val="002670BF"/>
    <w:rsid w:val="002706FA"/>
    <w:rsid w:val="00272694"/>
    <w:rsid w:val="002726AB"/>
    <w:rsid w:val="00272DC4"/>
    <w:rsid w:val="002746D7"/>
    <w:rsid w:val="00280208"/>
    <w:rsid w:val="00280CB2"/>
    <w:rsid w:val="00281BB7"/>
    <w:rsid w:val="00282668"/>
    <w:rsid w:val="002839FB"/>
    <w:rsid w:val="00286159"/>
    <w:rsid w:val="00286990"/>
    <w:rsid w:val="00286F29"/>
    <w:rsid w:val="00287095"/>
    <w:rsid w:val="0028743B"/>
    <w:rsid w:val="00287507"/>
    <w:rsid w:val="002913A7"/>
    <w:rsid w:val="00292F6B"/>
    <w:rsid w:val="00294EAB"/>
    <w:rsid w:val="0029573C"/>
    <w:rsid w:val="0029589D"/>
    <w:rsid w:val="00296406"/>
    <w:rsid w:val="0029792A"/>
    <w:rsid w:val="002A02C7"/>
    <w:rsid w:val="002A082C"/>
    <w:rsid w:val="002A0B97"/>
    <w:rsid w:val="002A0DFA"/>
    <w:rsid w:val="002A25D3"/>
    <w:rsid w:val="002A3B1E"/>
    <w:rsid w:val="002A4F04"/>
    <w:rsid w:val="002A5764"/>
    <w:rsid w:val="002A72E1"/>
    <w:rsid w:val="002A7824"/>
    <w:rsid w:val="002B3700"/>
    <w:rsid w:val="002B40C5"/>
    <w:rsid w:val="002B5ABF"/>
    <w:rsid w:val="002B6266"/>
    <w:rsid w:val="002C09B9"/>
    <w:rsid w:val="002C0C3C"/>
    <w:rsid w:val="002C15AA"/>
    <w:rsid w:val="002C1815"/>
    <w:rsid w:val="002C2630"/>
    <w:rsid w:val="002C4F1B"/>
    <w:rsid w:val="002C511F"/>
    <w:rsid w:val="002D3C50"/>
    <w:rsid w:val="002D429A"/>
    <w:rsid w:val="002D4AA6"/>
    <w:rsid w:val="002D508E"/>
    <w:rsid w:val="002D58D4"/>
    <w:rsid w:val="002E1799"/>
    <w:rsid w:val="002E2068"/>
    <w:rsid w:val="002E3367"/>
    <w:rsid w:val="002E47A4"/>
    <w:rsid w:val="002E4F79"/>
    <w:rsid w:val="002E6803"/>
    <w:rsid w:val="002E6E40"/>
    <w:rsid w:val="002E792A"/>
    <w:rsid w:val="002F4635"/>
    <w:rsid w:val="00301583"/>
    <w:rsid w:val="00304318"/>
    <w:rsid w:val="003059FF"/>
    <w:rsid w:val="0030742F"/>
    <w:rsid w:val="003107B4"/>
    <w:rsid w:val="003119D8"/>
    <w:rsid w:val="00313BFF"/>
    <w:rsid w:val="00315063"/>
    <w:rsid w:val="00321053"/>
    <w:rsid w:val="00322896"/>
    <w:rsid w:val="00323899"/>
    <w:rsid w:val="0032497B"/>
    <w:rsid w:val="003253ED"/>
    <w:rsid w:val="00327B9E"/>
    <w:rsid w:val="00330207"/>
    <w:rsid w:val="003335F9"/>
    <w:rsid w:val="003346DB"/>
    <w:rsid w:val="00340A6B"/>
    <w:rsid w:val="0034351D"/>
    <w:rsid w:val="00343C5F"/>
    <w:rsid w:val="003444F8"/>
    <w:rsid w:val="00344A30"/>
    <w:rsid w:val="00344BAC"/>
    <w:rsid w:val="00346E5C"/>
    <w:rsid w:val="00346E77"/>
    <w:rsid w:val="0034736E"/>
    <w:rsid w:val="0034759C"/>
    <w:rsid w:val="00347618"/>
    <w:rsid w:val="00350F0E"/>
    <w:rsid w:val="0035377B"/>
    <w:rsid w:val="00355150"/>
    <w:rsid w:val="003552F2"/>
    <w:rsid w:val="00356EAA"/>
    <w:rsid w:val="00363C46"/>
    <w:rsid w:val="00363D34"/>
    <w:rsid w:val="003648D1"/>
    <w:rsid w:val="00366C3C"/>
    <w:rsid w:val="003707AE"/>
    <w:rsid w:val="00372965"/>
    <w:rsid w:val="00373766"/>
    <w:rsid w:val="00375ED2"/>
    <w:rsid w:val="00376AA7"/>
    <w:rsid w:val="003812D0"/>
    <w:rsid w:val="00381336"/>
    <w:rsid w:val="003815D0"/>
    <w:rsid w:val="00381A0B"/>
    <w:rsid w:val="00384CE0"/>
    <w:rsid w:val="00385EFE"/>
    <w:rsid w:val="00387A52"/>
    <w:rsid w:val="00390BAC"/>
    <w:rsid w:val="00391944"/>
    <w:rsid w:val="00391F72"/>
    <w:rsid w:val="00394BEF"/>
    <w:rsid w:val="003959EC"/>
    <w:rsid w:val="00395F4B"/>
    <w:rsid w:val="003960A1"/>
    <w:rsid w:val="003A51F4"/>
    <w:rsid w:val="003A5F3A"/>
    <w:rsid w:val="003B123E"/>
    <w:rsid w:val="003B23A3"/>
    <w:rsid w:val="003B386E"/>
    <w:rsid w:val="003B41CF"/>
    <w:rsid w:val="003B7D25"/>
    <w:rsid w:val="003C0FED"/>
    <w:rsid w:val="003C13C1"/>
    <w:rsid w:val="003C4779"/>
    <w:rsid w:val="003D0181"/>
    <w:rsid w:val="003D0FA2"/>
    <w:rsid w:val="003D22C7"/>
    <w:rsid w:val="003D33BF"/>
    <w:rsid w:val="003D52EF"/>
    <w:rsid w:val="003E0D0D"/>
    <w:rsid w:val="003E11FC"/>
    <w:rsid w:val="003E1C65"/>
    <w:rsid w:val="003E2C54"/>
    <w:rsid w:val="003E2E50"/>
    <w:rsid w:val="003E601C"/>
    <w:rsid w:val="003E606C"/>
    <w:rsid w:val="003E7172"/>
    <w:rsid w:val="003F0241"/>
    <w:rsid w:val="003F7079"/>
    <w:rsid w:val="00401350"/>
    <w:rsid w:val="004013EB"/>
    <w:rsid w:val="004019D7"/>
    <w:rsid w:val="00402D02"/>
    <w:rsid w:val="004030E3"/>
    <w:rsid w:val="004033E1"/>
    <w:rsid w:val="004037C2"/>
    <w:rsid w:val="00403ED2"/>
    <w:rsid w:val="004049EB"/>
    <w:rsid w:val="0040513E"/>
    <w:rsid w:val="00405DE5"/>
    <w:rsid w:val="00410C7F"/>
    <w:rsid w:val="00411290"/>
    <w:rsid w:val="00412E72"/>
    <w:rsid w:val="0041309C"/>
    <w:rsid w:val="004132DA"/>
    <w:rsid w:val="00413AFE"/>
    <w:rsid w:val="0041428E"/>
    <w:rsid w:val="0041453A"/>
    <w:rsid w:val="00416F69"/>
    <w:rsid w:val="00421AF8"/>
    <w:rsid w:val="00421E42"/>
    <w:rsid w:val="00423F3D"/>
    <w:rsid w:val="00424382"/>
    <w:rsid w:val="00424700"/>
    <w:rsid w:val="00425513"/>
    <w:rsid w:val="004351AD"/>
    <w:rsid w:val="00435289"/>
    <w:rsid w:val="00435FF5"/>
    <w:rsid w:val="004371B0"/>
    <w:rsid w:val="00441933"/>
    <w:rsid w:val="004424DA"/>
    <w:rsid w:val="00442B63"/>
    <w:rsid w:val="00443918"/>
    <w:rsid w:val="00444139"/>
    <w:rsid w:val="0044481E"/>
    <w:rsid w:val="00446B6D"/>
    <w:rsid w:val="00447B7D"/>
    <w:rsid w:val="00452A20"/>
    <w:rsid w:val="00460C86"/>
    <w:rsid w:val="00466559"/>
    <w:rsid w:val="00467321"/>
    <w:rsid w:val="00467A90"/>
    <w:rsid w:val="00471260"/>
    <w:rsid w:val="00474CEB"/>
    <w:rsid w:val="00477CE5"/>
    <w:rsid w:val="00477FEE"/>
    <w:rsid w:val="00483A07"/>
    <w:rsid w:val="00483E69"/>
    <w:rsid w:val="00485021"/>
    <w:rsid w:val="00485B19"/>
    <w:rsid w:val="004866A4"/>
    <w:rsid w:val="00491133"/>
    <w:rsid w:val="00491948"/>
    <w:rsid w:val="00492C86"/>
    <w:rsid w:val="00493932"/>
    <w:rsid w:val="00495EA9"/>
    <w:rsid w:val="004A0757"/>
    <w:rsid w:val="004A18E2"/>
    <w:rsid w:val="004A362A"/>
    <w:rsid w:val="004B1A40"/>
    <w:rsid w:val="004B1E07"/>
    <w:rsid w:val="004B4A55"/>
    <w:rsid w:val="004B5090"/>
    <w:rsid w:val="004B57E8"/>
    <w:rsid w:val="004B642E"/>
    <w:rsid w:val="004C1464"/>
    <w:rsid w:val="004C2DDD"/>
    <w:rsid w:val="004C4333"/>
    <w:rsid w:val="004C5F25"/>
    <w:rsid w:val="004D0762"/>
    <w:rsid w:val="004D3D19"/>
    <w:rsid w:val="004D6207"/>
    <w:rsid w:val="004E11B6"/>
    <w:rsid w:val="004E6720"/>
    <w:rsid w:val="004E730A"/>
    <w:rsid w:val="004F09EC"/>
    <w:rsid w:val="004F296A"/>
    <w:rsid w:val="004F3060"/>
    <w:rsid w:val="004F6122"/>
    <w:rsid w:val="005026D5"/>
    <w:rsid w:val="0050306F"/>
    <w:rsid w:val="005058CD"/>
    <w:rsid w:val="00507A0B"/>
    <w:rsid w:val="005105C1"/>
    <w:rsid w:val="00520698"/>
    <w:rsid w:val="00521965"/>
    <w:rsid w:val="00523533"/>
    <w:rsid w:val="005259FB"/>
    <w:rsid w:val="005265EA"/>
    <w:rsid w:val="00527DCD"/>
    <w:rsid w:val="00536BE3"/>
    <w:rsid w:val="00541498"/>
    <w:rsid w:val="00545732"/>
    <w:rsid w:val="0055085D"/>
    <w:rsid w:val="0055122C"/>
    <w:rsid w:val="00551CF3"/>
    <w:rsid w:val="00554B18"/>
    <w:rsid w:val="00555849"/>
    <w:rsid w:val="0055704A"/>
    <w:rsid w:val="00561D00"/>
    <w:rsid w:val="0056224C"/>
    <w:rsid w:val="005654DA"/>
    <w:rsid w:val="0056654F"/>
    <w:rsid w:val="0057095A"/>
    <w:rsid w:val="005737B9"/>
    <w:rsid w:val="00576F4C"/>
    <w:rsid w:val="00581BB6"/>
    <w:rsid w:val="00583B6C"/>
    <w:rsid w:val="005840F7"/>
    <w:rsid w:val="00585B11"/>
    <w:rsid w:val="00585FE0"/>
    <w:rsid w:val="00594C5B"/>
    <w:rsid w:val="005A4807"/>
    <w:rsid w:val="005A665A"/>
    <w:rsid w:val="005B046C"/>
    <w:rsid w:val="005B7271"/>
    <w:rsid w:val="005C2F51"/>
    <w:rsid w:val="005C3D44"/>
    <w:rsid w:val="005C4262"/>
    <w:rsid w:val="005C53AC"/>
    <w:rsid w:val="005C64B9"/>
    <w:rsid w:val="005C71EE"/>
    <w:rsid w:val="005D136D"/>
    <w:rsid w:val="005D1643"/>
    <w:rsid w:val="005D302C"/>
    <w:rsid w:val="005D31BB"/>
    <w:rsid w:val="005D6491"/>
    <w:rsid w:val="005D705C"/>
    <w:rsid w:val="005E235F"/>
    <w:rsid w:val="005E37F1"/>
    <w:rsid w:val="005E4531"/>
    <w:rsid w:val="005E7D79"/>
    <w:rsid w:val="005F1745"/>
    <w:rsid w:val="005F34CD"/>
    <w:rsid w:val="006029FB"/>
    <w:rsid w:val="00605293"/>
    <w:rsid w:val="00605383"/>
    <w:rsid w:val="0060597B"/>
    <w:rsid w:val="00605ADF"/>
    <w:rsid w:val="006116C8"/>
    <w:rsid w:val="00611AF4"/>
    <w:rsid w:val="00613424"/>
    <w:rsid w:val="00615D0E"/>
    <w:rsid w:val="00620ACB"/>
    <w:rsid w:val="00622A27"/>
    <w:rsid w:val="00625EC3"/>
    <w:rsid w:val="00627606"/>
    <w:rsid w:val="006317A2"/>
    <w:rsid w:val="0063495E"/>
    <w:rsid w:val="00635BA4"/>
    <w:rsid w:val="00636555"/>
    <w:rsid w:val="00640482"/>
    <w:rsid w:val="00640AEA"/>
    <w:rsid w:val="00641F6E"/>
    <w:rsid w:val="006520B3"/>
    <w:rsid w:val="00653337"/>
    <w:rsid w:val="00653399"/>
    <w:rsid w:val="00654645"/>
    <w:rsid w:val="0065656D"/>
    <w:rsid w:val="0065732D"/>
    <w:rsid w:val="0066083B"/>
    <w:rsid w:val="00661315"/>
    <w:rsid w:val="006623CB"/>
    <w:rsid w:val="00670C73"/>
    <w:rsid w:val="0067435D"/>
    <w:rsid w:val="00675AC8"/>
    <w:rsid w:val="006763CD"/>
    <w:rsid w:val="0067654B"/>
    <w:rsid w:val="0067735A"/>
    <w:rsid w:val="00680416"/>
    <w:rsid w:val="00684BD7"/>
    <w:rsid w:val="006870AC"/>
    <w:rsid w:val="00687644"/>
    <w:rsid w:val="00695CDB"/>
    <w:rsid w:val="006975FF"/>
    <w:rsid w:val="006A0A2C"/>
    <w:rsid w:val="006A414F"/>
    <w:rsid w:val="006A44FB"/>
    <w:rsid w:val="006A6264"/>
    <w:rsid w:val="006B0018"/>
    <w:rsid w:val="006B0B1D"/>
    <w:rsid w:val="006B1B10"/>
    <w:rsid w:val="006B59BC"/>
    <w:rsid w:val="006C5E95"/>
    <w:rsid w:val="006C5F76"/>
    <w:rsid w:val="006C75A3"/>
    <w:rsid w:val="006D1568"/>
    <w:rsid w:val="006D2FED"/>
    <w:rsid w:val="006E0A9B"/>
    <w:rsid w:val="006E1B8F"/>
    <w:rsid w:val="006E1F19"/>
    <w:rsid w:val="006E216F"/>
    <w:rsid w:val="006E4A90"/>
    <w:rsid w:val="006E6917"/>
    <w:rsid w:val="006F0740"/>
    <w:rsid w:val="006F2712"/>
    <w:rsid w:val="006F6883"/>
    <w:rsid w:val="006F6CA4"/>
    <w:rsid w:val="007003A4"/>
    <w:rsid w:val="0070118D"/>
    <w:rsid w:val="00702198"/>
    <w:rsid w:val="00704209"/>
    <w:rsid w:val="00704DC7"/>
    <w:rsid w:val="007073FB"/>
    <w:rsid w:val="00711E2E"/>
    <w:rsid w:val="00712353"/>
    <w:rsid w:val="00712608"/>
    <w:rsid w:val="00715A1B"/>
    <w:rsid w:val="007176CA"/>
    <w:rsid w:val="00717985"/>
    <w:rsid w:val="00717D74"/>
    <w:rsid w:val="00721808"/>
    <w:rsid w:val="00721C97"/>
    <w:rsid w:val="0072619D"/>
    <w:rsid w:val="00727B02"/>
    <w:rsid w:val="00727E11"/>
    <w:rsid w:val="00730B09"/>
    <w:rsid w:val="0073248B"/>
    <w:rsid w:val="00733DD3"/>
    <w:rsid w:val="007374FC"/>
    <w:rsid w:val="007400C6"/>
    <w:rsid w:val="00740FD0"/>
    <w:rsid w:val="00741915"/>
    <w:rsid w:val="00741DBA"/>
    <w:rsid w:val="0074245E"/>
    <w:rsid w:val="00746A50"/>
    <w:rsid w:val="007501DF"/>
    <w:rsid w:val="0075073F"/>
    <w:rsid w:val="00751A93"/>
    <w:rsid w:val="00752276"/>
    <w:rsid w:val="007528B5"/>
    <w:rsid w:val="0075342B"/>
    <w:rsid w:val="0075499A"/>
    <w:rsid w:val="00754EB3"/>
    <w:rsid w:val="007558C0"/>
    <w:rsid w:val="007561CE"/>
    <w:rsid w:val="00757774"/>
    <w:rsid w:val="007609BF"/>
    <w:rsid w:val="0076132E"/>
    <w:rsid w:val="00763122"/>
    <w:rsid w:val="00763BAA"/>
    <w:rsid w:val="007655AD"/>
    <w:rsid w:val="00766638"/>
    <w:rsid w:val="00767AE2"/>
    <w:rsid w:val="00770CDC"/>
    <w:rsid w:val="00775C97"/>
    <w:rsid w:val="007779F2"/>
    <w:rsid w:val="00790216"/>
    <w:rsid w:val="00793A19"/>
    <w:rsid w:val="00794E81"/>
    <w:rsid w:val="0079612C"/>
    <w:rsid w:val="007A0339"/>
    <w:rsid w:val="007A0E50"/>
    <w:rsid w:val="007A15CE"/>
    <w:rsid w:val="007A15F7"/>
    <w:rsid w:val="007A2EA8"/>
    <w:rsid w:val="007A3319"/>
    <w:rsid w:val="007A3E19"/>
    <w:rsid w:val="007A64EE"/>
    <w:rsid w:val="007A6827"/>
    <w:rsid w:val="007B0C64"/>
    <w:rsid w:val="007B2773"/>
    <w:rsid w:val="007C04B2"/>
    <w:rsid w:val="007C06E5"/>
    <w:rsid w:val="007C4E81"/>
    <w:rsid w:val="007C7304"/>
    <w:rsid w:val="007D04A1"/>
    <w:rsid w:val="007D05D8"/>
    <w:rsid w:val="007D61B4"/>
    <w:rsid w:val="007E0CDA"/>
    <w:rsid w:val="007E14DC"/>
    <w:rsid w:val="007E1DDA"/>
    <w:rsid w:val="007E4563"/>
    <w:rsid w:val="007F2B6B"/>
    <w:rsid w:val="007F3020"/>
    <w:rsid w:val="00800369"/>
    <w:rsid w:val="0080185B"/>
    <w:rsid w:val="00803957"/>
    <w:rsid w:val="0080442B"/>
    <w:rsid w:val="00805665"/>
    <w:rsid w:val="00810348"/>
    <w:rsid w:val="00815D82"/>
    <w:rsid w:val="00817AB4"/>
    <w:rsid w:val="00817B90"/>
    <w:rsid w:val="00820E0C"/>
    <w:rsid w:val="008213EA"/>
    <w:rsid w:val="00821B1C"/>
    <w:rsid w:val="0082212C"/>
    <w:rsid w:val="0082248F"/>
    <w:rsid w:val="00823271"/>
    <w:rsid w:val="008258D1"/>
    <w:rsid w:val="00826C0A"/>
    <w:rsid w:val="0083109B"/>
    <w:rsid w:val="00831870"/>
    <w:rsid w:val="008318FB"/>
    <w:rsid w:val="00831F03"/>
    <w:rsid w:val="00832E43"/>
    <w:rsid w:val="00833145"/>
    <w:rsid w:val="008407A7"/>
    <w:rsid w:val="00840E06"/>
    <w:rsid w:val="008430F3"/>
    <w:rsid w:val="00843F79"/>
    <w:rsid w:val="008444BA"/>
    <w:rsid w:val="008469A0"/>
    <w:rsid w:val="00854401"/>
    <w:rsid w:val="00855682"/>
    <w:rsid w:val="00855DC7"/>
    <w:rsid w:val="0085708D"/>
    <w:rsid w:val="00857B22"/>
    <w:rsid w:val="00857E2E"/>
    <w:rsid w:val="008605F9"/>
    <w:rsid w:val="00863537"/>
    <w:rsid w:val="00866418"/>
    <w:rsid w:val="0086753D"/>
    <w:rsid w:val="0086791A"/>
    <w:rsid w:val="008728B6"/>
    <w:rsid w:val="008762EC"/>
    <w:rsid w:val="00885532"/>
    <w:rsid w:val="008859AA"/>
    <w:rsid w:val="00890453"/>
    <w:rsid w:val="00891077"/>
    <w:rsid w:val="008936F3"/>
    <w:rsid w:val="0089386C"/>
    <w:rsid w:val="008A3894"/>
    <w:rsid w:val="008B15AB"/>
    <w:rsid w:val="008B62FB"/>
    <w:rsid w:val="008C08C7"/>
    <w:rsid w:val="008C34AF"/>
    <w:rsid w:val="008C51ED"/>
    <w:rsid w:val="008C5DE0"/>
    <w:rsid w:val="008C5F9B"/>
    <w:rsid w:val="008C70DC"/>
    <w:rsid w:val="008C7D2A"/>
    <w:rsid w:val="008D2AAE"/>
    <w:rsid w:val="008D78CD"/>
    <w:rsid w:val="008E302A"/>
    <w:rsid w:val="008E37DE"/>
    <w:rsid w:val="008E3983"/>
    <w:rsid w:val="008E4146"/>
    <w:rsid w:val="008E4F71"/>
    <w:rsid w:val="008E55EE"/>
    <w:rsid w:val="008E62AB"/>
    <w:rsid w:val="008E67E5"/>
    <w:rsid w:val="008E6BD7"/>
    <w:rsid w:val="008E7434"/>
    <w:rsid w:val="008F017F"/>
    <w:rsid w:val="008F49FD"/>
    <w:rsid w:val="0090061D"/>
    <w:rsid w:val="0090396D"/>
    <w:rsid w:val="00904103"/>
    <w:rsid w:val="00911BC6"/>
    <w:rsid w:val="00914C32"/>
    <w:rsid w:val="00916850"/>
    <w:rsid w:val="00916F73"/>
    <w:rsid w:val="00920C12"/>
    <w:rsid w:val="009215DC"/>
    <w:rsid w:val="0092503A"/>
    <w:rsid w:val="00930178"/>
    <w:rsid w:val="00930ED1"/>
    <w:rsid w:val="00931AA0"/>
    <w:rsid w:val="0093517B"/>
    <w:rsid w:val="00941606"/>
    <w:rsid w:val="009426DC"/>
    <w:rsid w:val="0094299E"/>
    <w:rsid w:val="0094398A"/>
    <w:rsid w:val="009444A4"/>
    <w:rsid w:val="00944838"/>
    <w:rsid w:val="00945303"/>
    <w:rsid w:val="00945A68"/>
    <w:rsid w:val="009460E9"/>
    <w:rsid w:val="009468C1"/>
    <w:rsid w:val="00952A0F"/>
    <w:rsid w:val="00957C6D"/>
    <w:rsid w:val="009612BF"/>
    <w:rsid w:val="00963C51"/>
    <w:rsid w:val="00965885"/>
    <w:rsid w:val="00966A97"/>
    <w:rsid w:val="009676E6"/>
    <w:rsid w:val="00967CEB"/>
    <w:rsid w:val="009701EC"/>
    <w:rsid w:val="00970B29"/>
    <w:rsid w:val="00972358"/>
    <w:rsid w:val="0097666A"/>
    <w:rsid w:val="00977727"/>
    <w:rsid w:val="00982D58"/>
    <w:rsid w:val="00985192"/>
    <w:rsid w:val="00985F4E"/>
    <w:rsid w:val="00995470"/>
    <w:rsid w:val="00996586"/>
    <w:rsid w:val="00997103"/>
    <w:rsid w:val="009A37B8"/>
    <w:rsid w:val="009A6CDC"/>
    <w:rsid w:val="009B0056"/>
    <w:rsid w:val="009B3FDC"/>
    <w:rsid w:val="009B4253"/>
    <w:rsid w:val="009B4CF7"/>
    <w:rsid w:val="009B4E43"/>
    <w:rsid w:val="009B517E"/>
    <w:rsid w:val="009B5A53"/>
    <w:rsid w:val="009C1E38"/>
    <w:rsid w:val="009C44DD"/>
    <w:rsid w:val="009C4500"/>
    <w:rsid w:val="009C4B53"/>
    <w:rsid w:val="009C57E2"/>
    <w:rsid w:val="009C68F5"/>
    <w:rsid w:val="009C6FEC"/>
    <w:rsid w:val="009C797F"/>
    <w:rsid w:val="009C7C9E"/>
    <w:rsid w:val="009D1707"/>
    <w:rsid w:val="009D286B"/>
    <w:rsid w:val="009D7D36"/>
    <w:rsid w:val="009E2EF6"/>
    <w:rsid w:val="009E338E"/>
    <w:rsid w:val="009E3E85"/>
    <w:rsid w:val="009E6669"/>
    <w:rsid w:val="009F4D83"/>
    <w:rsid w:val="009F5D74"/>
    <w:rsid w:val="00A0040C"/>
    <w:rsid w:val="00A00EC6"/>
    <w:rsid w:val="00A01A61"/>
    <w:rsid w:val="00A05008"/>
    <w:rsid w:val="00A078B4"/>
    <w:rsid w:val="00A1136B"/>
    <w:rsid w:val="00A145DE"/>
    <w:rsid w:val="00A15AB1"/>
    <w:rsid w:val="00A16090"/>
    <w:rsid w:val="00A21E1D"/>
    <w:rsid w:val="00A231E8"/>
    <w:rsid w:val="00A260B4"/>
    <w:rsid w:val="00A2703B"/>
    <w:rsid w:val="00A2741E"/>
    <w:rsid w:val="00A31288"/>
    <w:rsid w:val="00A31993"/>
    <w:rsid w:val="00A31A78"/>
    <w:rsid w:val="00A338F3"/>
    <w:rsid w:val="00A33948"/>
    <w:rsid w:val="00A33AF3"/>
    <w:rsid w:val="00A36D28"/>
    <w:rsid w:val="00A36DD1"/>
    <w:rsid w:val="00A47598"/>
    <w:rsid w:val="00A475ED"/>
    <w:rsid w:val="00A539BE"/>
    <w:rsid w:val="00A55024"/>
    <w:rsid w:val="00A56136"/>
    <w:rsid w:val="00A61030"/>
    <w:rsid w:val="00A616B9"/>
    <w:rsid w:val="00A67020"/>
    <w:rsid w:val="00A67BAC"/>
    <w:rsid w:val="00A67E1E"/>
    <w:rsid w:val="00A70B74"/>
    <w:rsid w:val="00A7160A"/>
    <w:rsid w:val="00A728C7"/>
    <w:rsid w:val="00A74646"/>
    <w:rsid w:val="00A76ED7"/>
    <w:rsid w:val="00A775BB"/>
    <w:rsid w:val="00A8036A"/>
    <w:rsid w:val="00A82BA7"/>
    <w:rsid w:val="00A86D79"/>
    <w:rsid w:val="00A86FD0"/>
    <w:rsid w:val="00A873D9"/>
    <w:rsid w:val="00A87972"/>
    <w:rsid w:val="00A9362C"/>
    <w:rsid w:val="00A93AD0"/>
    <w:rsid w:val="00A93D15"/>
    <w:rsid w:val="00A95A22"/>
    <w:rsid w:val="00A97EDE"/>
    <w:rsid w:val="00A97F21"/>
    <w:rsid w:val="00AA025A"/>
    <w:rsid w:val="00AA6D09"/>
    <w:rsid w:val="00AA7559"/>
    <w:rsid w:val="00AB19C5"/>
    <w:rsid w:val="00AB1E3E"/>
    <w:rsid w:val="00AB28A7"/>
    <w:rsid w:val="00AB41F5"/>
    <w:rsid w:val="00AB46FA"/>
    <w:rsid w:val="00AB6E9D"/>
    <w:rsid w:val="00AC3A23"/>
    <w:rsid w:val="00AC42B8"/>
    <w:rsid w:val="00AC7621"/>
    <w:rsid w:val="00AD1B6F"/>
    <w:rsid w:val="00AD70F6"/>
    <w:rsid w:val="00AD76B4"/>
    <w:rsid w:val="00AE18E1"/>
    <w:rsid w:val="00AE1911"/>
    <w:rsid w:val="00AE5589"/>
    <w:rsid w:val="00AE776E"/>
    <w:rsid w:val="00AF29D7"/>
    <w:rsid w:val="00AF7DC3"/>
    <w:rsid w:val="00B01640"/>
    <w:rsid w:val="00B01789"/>
    <w:rsid w:val="00B025DD"/>
    <w:rsid w:val="00B0273E"/>
    <w:rsid w:val="00B02E1A"/>
    <w:rsid w:val="00B03320"/>
    <w:rsid w:val="00B066E1"/>
    <w:rsid w:val="00B06AC7"/>
    <w:rsid w:val="00B10009"/>
    <w:rsid w:val="00B1113B"/>
    <w:rsid w:val="00B125CF"/>
    <w:rsid w:val="00B12837"/>
    <w:rsid w:val="00B15814"/>
    <w:rsid w:val="00B20BE4"/>
    <w:rsid w:val="00B20C60"/>
    <w:rsid w:val="00B20F29"/>
    <w:rsid w:val="00B27B9C"/>
    <w:rsid w:val="00B308C4"/>
    <w:rsid w:val="00B30DC1"/>
    <w:rsid w:val="00B31D61"/>
    <w:rsid w:val="00B330F3"/>
    <w:rsid w:val="00B34FF7"/>
    <w:rsid w:val="00B35B0C"/>
    <w:rsid w:val="00B37C92"/>
    <w:rsid w:val="00B413A1"/>
    <w:rsid w:val="00B45070"/>
    <w:rsid w:val="00B4523B"/>
    <w:rsid w:val="00B46B63"/>
    <w:rsid w:val="00B51732"/>
    <w:rsid w:val="00B53230"/>
    <w:rsid w:val="00B55B61"/>
    <w:rsid w:val="00B66C38"/>
    <w:rsid w:val="00B703A0"/>
    <w:rsid w:val="00B704F6"/>
    <w:rsid w:val="00B70B04"/>
    <w:rsid w:val="00B7349E"/>
    <w:rsid w:val="00B734DC"/>
    <w:rsid w:val="00B735AB"/>
    <w:rsid w:val="00B7624B"/>
    <w:rsid w:val="00B80573"/>
    <w:rsid w:val="00B81A2D"/>
    <w:rsid w:val="00B833E3"/>
    <w:rsid w:val="00B84904"/>
    <w:rsid w:val="00B86BFC"/>
    <w:rsid w:val="00B90F3D"/>
    <w:rsid w:val="00B91C6A"/>
    <w:rsid w:val="00B92827"/>
    <w:rsid w:val="00B92933"/>
    <w:rsid w:val="00B92DC3"/>
    <w:rsid w:val="00B93A7E"/>
    <w:rsid w:val="00B93B56"/>
    <w:rsid w:val="00B93CAA"/>
    <w:rsid w:val="00B95DB2"/>
    <w:rsid w:val="00B9610F"/>
    <w:rsid w:val="00BA2C8F"/>
    <w:rsid w:val="00BA4010"/>
    <w:rsid w:val="00BA4364"/>
    <w:rsid w:val="00BA6FD8"/>
    <w:rsid w:val="00BA7376"/>
    <w:rsid w:val="00BB27E0"/>
    <w:rsid w:val="00BB2801"/>
    <w:rsid w:val="00BB3DE1"/>
    <w:rsid w:val="00BC03F1"/>
    <w:rsid w:val="00BC0E23"/>
    <w:rsid w:val="00BC6B32"/>
    <w:rsid w:val="00BD10D4"/>
    <w:rsid w:val="00BD2283"/>
    <w:rsid w:val="00BD25FB"/>
    <w:rsid w:val="00BD272A"/>
    <w:rsid w:val="00BD4934"/>
    <w:rsid w:val="00BD4D71"/>
    <w:rsid w:val="00BD55E9"/>
    <w:rsid w:val="00BE331D"/>
    <w:rsid w:val="00BE3327"/>
    <w:rsid w:val="00BE4412"/>
    <w:rsid w:val="00BE495B"/>
    <w:rsid w:val="00BE4AEA"/>
    <w:rsid w:val="00BE516A"/>
    <w:rsid w:val="00BE57FC"/>
    <w:rsid w:val="00BE65F6"/>
    <w:rsid w:val="00BF33BA"/>
    <w:rsid w:val="00BF490D"/>
    <w:rsid w:val="00BF518E"/>
    <w:rsid w:val="00BF6837"/>
    <w:rsid w:val="00BF7014"/>
    <w:rsid w:val="00BF788D"/>
    <w:rsid w:val="00C0033C"/>
    <w:rsid w:val="00C00545"/>
    <w:rsid w:val="00C009A6"/>
    <w:rsid w:val="00C0603B"/>
    <w:rsid w:val="00C06163"/>
    <w:rsid w:val="00C12959"/>
    <w:rsid w:val="00C1634C"/>
    <w:rsid w:val="00C21CF9"/>
    <w:rsid w:val="00C22356"/>
    <w:rsid w:val="00C23061"/>
    <w:rsid w:val="00C23516"/>
    <w:rsid w:val="00C23BD5"/>
    <w:rsid w:val="00C25712"/>
    <w:rsid w:val="00C25EEF"/>
    <w:rsid w:val="00C31192"/>
    <w:rsid w:val="00C34E77"/>
    <w:rsid w:val="00C35E08"/>
    <w:rsid w:val="00C36FEC"/>
    <w:rsid w:val="00C422CC"/>
    <w:rsid w:val="00C44332"/>
    <w:rsid w:val="00C446EA"/>
    <w:rsid w:val="00C460FC"/>
    <w:rsid w:val="00C5200C"/>
    <w:rsid w:val="00C52899"/>
    <w:rsid w:val="00C538E4"/>
    <w:rsid w:val="00C53BD3"/>
    <w:rsid w:val="00C550D8"/>
    <w:rsid w:val="00C55CAE"/>
    <w:rsid w:val="00C55D82"/>
    <w:rsid w:val="00C5676F"/>
    <w:rsid w:val="00C606A9"/>
    <w:rsid w:val="00C62AC1"/>
    <w:rsid w:val="00C72909"/>
    <w:rsid w:val="00C7357D"/>
    <w:rsid w:val="00C74F37"/>
    <w:rsid w:val="00C757E8"/>
    <w:rsid w:val="00C76239"/>
    <w:rsid w:val="00C80307"/>
    <w:rsid w:val="00C8047D"/>
    <w:rsid w:val="00C8327C"/>
    <w:rsid w:val="00C8707B"/>
    <w:rsid w:val="00C90018"/>
    <w:rsid w:val="00C910EB"/>
    <w:rsid w:val="00C911FE"/>
    <w:rsid w:val="00C92CE7"/>
    <w:rsid w:val="00CA003B"/>
    <w:rsid w:val="00CA547D"/>
    <w:rsid w:val="00CA6436"/>
    <w:rsid w:val="00CA6AAE"/>
    <w:rsid w:val="00CB1B48"/>
    <w:rsid w:val="00CB2003"/>
    <w:rsid w:val="00CB58BE"/>
    <w:rsid w:val="00CB58F1"/>
    <w:rsid w:val="00CC3E8F"/>
    <w:rsid w:val="00CC3F26"/>
    <w:rsid w:val="00CC6EC9"/>
    <w:rsid w:val="00CC6FEE"/>
    <w:rsid w:val="00CC78D5"/>
    <w:rsid w:val="00CD071D"/>
    <w:rsid w:val="00CD21B1"/>
    <w:rsid w:val="00CD2EEF"/>
    <w:rsid w:val="00CD4B15"/>
    <w:rsid w:val="00CD4B33"/>
    <w:rsid w:val="00CD6372"/>
    <w:rsid w:val="00CD69CC"/>
    <w:rsid w:val="00CD7CF1"/>
    <w:rsid w:val="00CE05A3"/>
    <w:rsid w:val="00CE0BBA"/>
    <w:rsid w:val="00CE2C77"/>
    <w:rsid w:val="00CE33E5"/>
    <w:rsid w:val="00CE7403"/>
    <w:rsid w:val="00CF00F0"/>
    <w:rsid w:val="00D01C0D"/>
    <w:rsid w:val="00D05BB3"/>
    <w:rsid w:val="00D07DB2"/>
    <w:rsid w:val="00D10877"/>
    <w:rsid w:val="00D10A09"/>
    <w:rsid w:val="00D12E69"/>
    <w:rsid w:val="00D146A2"/>
    <w:rsid w:val="00D16736"/>
    <w:rsid w:val="00D170B5"/>
    <w:rsid w:val="00D17295"/>
    <w:rsid w:val="00D25505"/>
    <w:rsid w:val="00D320F4"/>
    <w:rsid w:val="00D337BC"/>
    <w:rsid w:val="00D33D99"/>
    <w:rsid w:val="00D40810"/>
    <w:rsid w:val="00D438F7"/>
    <w:rsid w:val="00D44F20"/>
    <w:rsid w:val="00D456C2"/>
    <w:rsid w:val="00D46860"/>
    <w:rsid w:val="00D50769"/>
    <w:rsid w:val="00D55F1A"/>
    <w:rsid w:val="00D56AE0"/>
    <w:rsid w:val="00D56DAC"/>
    <w:rsid w:val="00D5748A"/>
    <w:rsid w:val="00D636BC"/>
    <w:rsid w:val="00D63BEB"/>
    <w:rsid w:val="00D63E8F"/>
    <w:rsid w:val="00D640EB"/>
    <w:rsid w:val="00D647CD"/>
    <w:rsid w:val="00D654A8"/>
    <w:rsid w:val="00D67043"/>
    <w:rsid w:val="00D71453"/>
    <w:rsid w:val="00D73F22"/>
    <w:rsid w:val="00D8000E"/>
    <w:rsid w:val="00D807EA"/>
    <w:rsid w:val="00D80948"/>
    <w:rsid w:val="00D814A6"/>
    <w:rsid w:val="00D82B5E"/>
    <w:rsid w:val="00D84512"/>
    <w:rsid w:val="00D860C7"/>
    <w:rsid w:val="00D92DBF"/>
    <w:rsid w:val="00D966FF"/>
    <w:rsid w:val="00DA2CD5"/>
    <w:rsid w:val="00DA359D"/>
    <w:rsid w:val="00DA64F9"/>
    <w:rsid w:val="00DB6407"/>
    <w:rsid w:val="00DB7122"/>
    <w:rsid w:val="00DC5CD0"/>
    <w:rsid w:val="00DC6B41"/>
    <w:rsid w:val="00DD0D35"/>
    <w:rsid w:val="00DD2D6B"/>
    <w:rsid w:val="00DD5121"/>
    <w:rsid w:val="00DE1C51"/>
    <w:rsid w:val="00DE46A2"/>
    <w:rsid w:val="00DE64EB"/>
    <w:rsid w:val="00DE7FEA"/>
    <w:rsid w:val="00DF2E7C"/>
    <w:rsid w:val="00DF6AF1"/>
    <w:rsid w:val="00DF73AB"/>
    <w:rsid w:val="00E00BB1"/>
    <w:rsid w:val="00E0129A"/>
    <w:rsid w:val="00E01C3C"/>
    <w:rsid w:val="00E01F2A"/>
    <w:rsid w:val="00E03BBF"/>
    <w:rsid w:val="00E109D1"/>
    <w:rsid w:val="00E12230"/>
    <w:rsid w:val="00E12D2D"/>
    <w:rsid w:val="00E156C3"/>
    <w:rsid w:val="00E16E7A"/>
    <w:rsid w:val="00E215C8"/>
    <w:rsid w:val="00E22C86"/>
    <w:rsid w:val="00E23125"/>
    <w:rsid w:val="00E232D0"/>
    <w:rsid w:val="00E237D3"/>
    <w:rsid w:val="00E25027"/>
    <w:rsid w:val="00E26002"/>
    <w:rsid w:val="00E263D9"/>
    <w:rsid w:val="00E27236"/>
    <w:rsid w:val="00E30900"/>
    <w:rsid w:val="00E34DF3"/>
    <w:rsid w:val="00E351B1"/>
    <w:rsid w:val="00E366F7"/>
    <w:rsid w:val="00E3671D"/>
    <w:rsid w:val="00E36945"/>
    <w:rsid w:val="00E423AF"/>
    <w:rsid w:val="00E4241A"/>
    <w:rsid w:val="00E472F4"/>
    <w:rsid w:val="00E474CF"/>
    <w:rsid w:val="00E529ED"/>
    <w:rsid w:val="00E54EF9"/>
    <w:rsid w:val="00E55ABE"/>
    <w:rsid w:val="00E55E3D"/>
    <w:rsid w:val="00E56FE8"/>
    <w:rsid w:val="00E57068"/>
    <w:rsid w:val="00E60746"/>
    <w:rsid w:val="00E60CFE"/>
    <w:rsid w:val="00E64505"/>
    <w:rsid w:val="00E65C51"/>
    <w:rsid w:val="00E65DE6"/>
    <w:rsid w:val="00E66EDC"/>
    <w:rsid w:val="00E67648"/>
    <w:rsid w:val="00E67B8E"/>
    <w:rsid w:val="00E71C79"/>
    <w:rsid w:val="00E73E54"/>
    <w:rsid w:val="00E757B3"/>
    <w:rsid w:val="00E8040A"/>
    <w:rsid w:val="00E80AEF"/>
    <w:rsid w:val="00E80D27"/>
    <w:rsid w:val="00E81AFB"/>
    <w:rsid w:val="00E847BC"/>
    <w:rsid w:val="00E849FB"/>
    <w:rsid w:val="00E84B81"/>
    <w:rsid w:val="00E87454"/>
    <w:rsid w:val="00E909D2"/>
    <w:rsid w:val="00E90AC3"/>
    <w:rsid w:val="00E92960"/>
    <w:rsid w:val="00E93F0B"/>
    <w:rsid w:val="00E96132"/>
    <w:rsid w:val="00E96821"/>
    <w:rsid w:val="00E96BD9"/>
    <w:rsid w:val="00EA013D"/>
    <w:rsid w:val="00EA11D8"/>
    <w:rsid w:val="00EA2389"/>
    <w:rsid w:val="00EA30B7"/>
    <w:rsid w:val="00EA41A0"/>
    <w:rsid w:val="00EA4C3C"/>
    <w:rsid w:val="00EA5A1B"/>
    <w:rsid w:val="00EA68D0"/>
    <w:rsid w:val="00EA6969"/>
    <w:rsid w:val="00EB0377"/>
    <w:rsid w:val="00EB342D"/>
    <w:rsid w:val="00EB355B"/>
    <w:rsid w:val="00EB49DB"/>
    <w:rsid w:val="00EB5A59"/>
    <w:rsid w:val="00EC056A"/>
    <w:rsid w:val="00EC06C9"/>
    <w:rsid w:val="00ED040C"/>
    <w:rsid w:val="00ED10D8"/>
    <w:rsid w:val="00ED49CB"/>
    <w:rsid w:val="00ED4FDB"/>
    <w:rsid w:val="00ED64B0"/>
    <w:rsid w:val="00ED7CDE"/>
    <w:rsid w:val="00ED7F1C"/>
    <w:rsid w:val="00EE04B2"/>
    <w:rsid w:val="00EE28CA"/>
    <w:rsid w:val="00EF05F8"/>
    <w:rsid w:val="00EF7A45"/>
    <w:rsid w:val="00F01895"/>
    <w:rsid w:val="00F02A97"/>
    <w:rsid w:val="00F03484"/>
    <w:rsid w:val="00F04C84"/>
    <w:rsid w:val="00F05B9B"/>
    <w:rsid w:val="00F06E55"/>
    <w:rsid w:val="00F070D7"/>
    <w:rsid w:val="00F11F32"/>
    <w:rsid w:val="00F125B7"/>
    <w:rsid w:val="00F127F4"/>
    <w:rsid w:val="00F14D1C"/>
    <w:rsid w:val="00F1596A"/>
    <w:rsid w:val="00F17976"/>
    <w:rsid w:val="00F23011"/>
    <w:rsid w:val="00F23772"/>
    <w:rsid w:val="00F23FB5"/>
    <w:rsid w:val="00F24EE1"/>
    <w:rsid w:val="00F31A23"/>
    <w:rsid w:val="00F33166"/>
    <w:rsid w:val="00F3325D"/>
    <w:rsid w:val="00F36519"/>
    <w:rsid w:val="00F3760E"/>
    <w:rsid w:val="00F41577"/>
    <w:rsid w:val="00F43994"/>
    <w:rsid w:val="00F442EE"/>
    <w:rsid w:val="00F444D2"/>
    <w:rsid w:val="00F44EB2"/>
    <w:rsid w:val="00F4545B"/>
    <w:rsid w:val="00F46291"/>
    <w:rsid w:val="00F50058"/>
    <w:rsid w:val="00F50440"/>
    <w:rsid w:val="00F530D0"/>
    <w:rsid w:val="00F53B7B"/>
    <w:rsid w:val="00F53BEB"/>
    <w:rsid w:val="00F57323"/>
    <w:rsid w:val="00F6013F"/>
    <w:rsid w:val="00F60B36"/>
    <w:rsid w:val="00F62765"/>
    <w:rsid w:val="00F63D18"/>
    <w:rsid w:val="00F65CC0"/>
    <w:rsid w:val="00F66CBB"/>
    <w:rsid w:val="00F67DF7"/>
    <w:rsid w:val="00F70A2B"/>
    <w:rsid w:val="00F716D8"/>
    <w:rsid w:val="00F717FE"/>
    <w:rsid w:val="00F7441C"/>
    <w:rsid w:val="00F7603F"/>
    <w:rsid w:val="00F76825"/>
    <w:rsid w:val="00F77F0D"/>
    <w:rsid w:val="00F81C5A"/>
    <w:rsid w:val="00F83DE6"/>
    <w:rsid w:val="00F87FD5"/>
    <w:rsid w:val="00F91CAD"/>
    <w:rsid w:val="00F92538"/>
    <w:rsid w:val="00F93DB1"/>
    <w:rsid w:val="00F96457"/>
    <w:rsid w:val="00FA159C"/>
    <w:rsid w:val="00FA1C84"/>
    <w:rsid w:val="00FA55B1"/>
    <w:rsid w:val="00FA5652"/>
    <w:rsid w:val="00FA62C3"/>
    <w:rsid w:val="00FA6434"/>
    <w:rsid w:val="00FA7DB7"/>
    <w:rsid w:val="00FB0CDB"/>
    <w:rsid w:val="00FB3682"/>
    <w:rsid w:val="00FB51AC"/>
    <w:rsid w:val="00FB6C7B"/>
    <w:rsid w:val="00FC094C"/>
    <w:rsid w:val="00FC402F"/>
    <w:rsid w:val="00FC7E1C"/>
    <w:rsid w:val="00FD0336"/>
    <w:rsid w:val="00FD04B5"/>
    <w:rsid w:val="00FD058E"/>
    <w:rsid w:val="00FD1D42"/>
    <w:rsid w:val="00FD68B3"/>
    <w:rsid w:val="00FD68DC"/>
    <w:rsid w:val="00FE1030"/>
    <w:rsid w:val="00FE5EDB"/>
    <w:rsid w:val="00FE61B3"/>
    <w:rsid w:val="00FE7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A2A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C6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72C4"/>
    <w:rPr>
      <w:sz w:val="16"/>
      <w:szCs w:val="16"/>
    </w:rPr>
  </w:style>
  <w:style w:type="paragraph" w:styleId="CommentText">
    <w:name w:val="annotation text"/>
    <w:basedOn w:val="Normal"/>
    <w:link w:val="CommentTextChar"/>
    <w:uiPriority w:val="99"/>
    <w:semiHidden/>
    <w:unhideWhenUsed/>
    <w:rsid w:val="000672C4"/>
    <w:rPr>
      <w:sz w:val="20"/>
      <w:szCs w:val="20"/>
    </w:rPr>
  </w:style>
  <w:style w:type="character" w:customStyle="1" w:styleId="CommentTextChar">
    <w:name w:val="Comment Text Char"/>
    <w:basedOn w:val="DefaultParagraphFont"/>
    <w:link w:val="CommentText"/>
    <w:uiPriority w:val="99"/>
    <w:semiHidden/>
    <w:rsid w:val="000672C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672C4"/>
    <w:rPr>
      <w:b/>
      <w:bCs/>
    </w:rPr>
  </w:style>
  <w:style w:type="character" w:customStyle="1" w:styleId="CommentSubjectChar">
    <w:name w:val="Comment Subject Char"/>
    <w:basedOn w:val="CommentTextChar"/>
    <w:link w:val="CommentSubject"/>
    <w:uiPriority w:val="99"/>
    <w:semiHidden/>
    <w:rsid w:val="000672C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672C4"/>
    <w:rPr>
      <w:rFonts w:ascii="Tahoma" w:hAnsi="Tahoma" w:cs="Tahoma"/>
      <w:sz w:val="16"/>
      <w:szCs w:val="16"/>
    </w:rPr>
  </w:style>
  <w:style w:type="character" w:customStyle="1" w:styleId="BalloonTextChar">
    <w:name w:val="Balloon Text Char"/>
    <w:basedOn w:val="DefaultParagraphFont"/>
    <w:link w:val="BalloonText"/>
    <w:uiPriority w:val="99"/>
    <w:semiHidden/>
    <w:rsid w:val="000672C4"/>
    <w:rPr>
      <w:rFonts w:ascii="Tahoma" w:eastAsia="Times New Roman" w:hAnsi="Tahoma" w:cs="Tahoma"/>
      <w:sz w:val="16"/>
      <w:szCs w:val="16"/>
      <w:lang w:eastAsia="en-AU"/>
    </w:rPr>
  </w:style>
  <w:style w:type="paragraph" w:styleId="ListParagraph">
    <w:name w:val="List Paragraph"/>
    <w:basedOn w:val="Normal"/>
    <w:uiPriority w:val="34"/>
    <w:qFormat/>
    <w:rsid w:val="002726AB"/>
    <w:pPr>
      <w:ind w:left="720"/>
      <w:contextualSpacing/>
    </w:pPr>
  </w:style>
  <w:style w:type="paragraph" w:customStyle="1" w:styleId="ACMAHeading3">
    <w:name w:val="ACMA Heading 3"/>
    <w:next w:val="Normal"/>
    <w:rsid w:val="002726AB"/>
    <w:pPr>
      <w:keepNext/>
      <w:suppressAutoHyphens/>
      <w:spacing w:before="240"/>
      <w:outlineLvl w:val="3"/>
    </w:pPr>
    <w:rPr>
      <w:rFonts w:ascii="Arial" w:eastAsia="Times New Roman" w:hAnsi="Arial"/>
      <w:b/>
      <w:sz w:val="24"/>
      <w:lang w:val="en-US" w:eastAsia="en-US"/>
    </w:rPr>
  </w:style>
  <w:style w:type="paragraph" w:styleId="Header">
    <w:name w:val="header"/>
    <w:basedOn w:val="Normal"/>
    <w:link w:val="HeaderChar"/>
    <w:uiPriority w:val="99"/>
    <w:semiHidden/>
    <w:unhideWhenUsed/>
    <w:rsid w:val="0034736E"/>
    <w:pPr>
      <w:tabs>
        <w:tab w:val="center" w:pos="4513"/>
        <w:tab w:val="right" w:pos="9026"/>
      </w:tabs>
    </w:pPr>
  </w:style>
  <w:style w:type="character" w:customStyle="1" w:styleId="HeaderChar">
    <w:name w:val="Header Char"/>
    <w:basedOn w:val="DefaultParagraphFont"/>
    <w:link w:val="Header"/>
    <w:uiPriority w:val="99"/>
    <w:semiHidden/>
    <w:rsid w:val="0034736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4736E"/>
    <w:pPr>
      <w:tabs>
        <w:tab w:val="center" w:pos="4513"/>
        <w:tab w:val="right" w:pos="9026"/>
      </w:tabs>
    </w:pPr>
  </w:style>
  <w:style w:type="character" w:customStyle="1" w:styleId="FooterChar">
    <w:name w:val="Footer Char"/>
    <w:basedOn w:val="DefaultParagraphFont"/>
    <w:link w:val="Footer"/>
    <w:uiPriority w:val="99"/>
    <w:rsid w:val="0034736E"/>
    <w:rPr>
      <w:rFonts w:ascii="Times New Roman" w:eastAsia="Times New Roman" w:hAnsi="Times New Roman" w:cs="Times New Roman"/>
      <w:sz w:val="24"/>
      <w:szCs w:val="24"/>
      <w:lang w:eastAsia="en-AU"/>
    </w:rPr>
  </w:style>
  <w:style w:type="paragraph" w:styleId="BodyText">
    <w:name w:val="Body Text"/>
    <w:basedOn w:val="Normal"/>
    <w:link w:val="BodyTextChar"/>
    <w:rsid w:val="00C7357D"/>
    <w:pPr>
      <w:spacing w:after="120"/>
    </w:pPr>
    <w:rPr>
      <w:szCs w:val="20"/>
    </w:rPr>
  </w:style>
  <w:style w:type="character" w:customStyle="1" w:styleId="BodyTextChar">
    <w:name w:val="Body Text Char"/>
    <w:basedOn w:val="DefaultParagraphFont"/>
    <w:link w:val="BodyText"/>
    <w:rsid w:val="00C7357D"/>
    <w:rPr>
      <w:rFonts w:ascii="Times New Roman" w:eastAsia="Times New Roman" w:hAnsi="Times New Roman"/>
      <w:sz w:val="24"/>
    </w:rPr>
  </w:style>
  <w:style w:type="paragraph" w:styleId="Revision">
    <w:name w:val="Revision"/>
    <w:hidden/>
    <w:uiPriority w:val="99"/>
    <w:semiHidden/>
    <w:rsid w:val="00B12837"/>
    <w:rPr>
      <w:rFonts w:ascii="Times New Roman" w:eastAsia="Times New Roman" w:hAnsi="Times New Roman"/>
      <w:sz w:val="24"/>
      <w:szCs w:val="24"/>
    </w:rPr>
  </w:style>
  <w:style w:type="paragraph" w:customStyle="1" w:styleId="ACMANumberedList">
    <w:name w:val="ACMA Numbered List"/>
    <w:rsid w:val="001A6FD9"/>
    <w:pPr>
      <w:numPr>
        <w:numId w:val="4"/>
      </w:numPr>
      <w:spacing w:before="20" w:after="20"/>
    </w:pPr>
    <w:rPr>
      <w:rFonts w:ascii="Times New Roman" w:eastAsia="Times New Roman" w:hAnsi="Times New Roman"/>
      <w:sz w:val="24"/>
      <w:lang w:eastAsia="en-US"/>
    </w:rPr>
  </w:style>
  <w:style w:type="character" w:styleId="Hyperlink">
    <w:name w:val="Hyperlink"/>
    <w:basedOn w:val="DefaultParagraphFont"/>
    <w:uiPriority w:val="99"/>
    <w:unhideWhenUsed/>
    <w:rsid w:val="001A6FD9"/>
    <w:rPr>
      <w:color w:val="0000FF"/>
      <w:u w:val="single"/>
    </w:rPr>
  </w:style>
  <w:style w:type="character" w:styleId="Emphasis">
    <w:name w:val="Emphasis"/>
    <w:basedOn w:val="DefaultParagraphFont"/>
    <w:uiPriority w:val="20"/>
    <w:qFormat/>
    <w:rsid w:val="000F3AA1"/>
    <w:rPr>
      <w:i/>
      <w:iCs/>
    </w:rPr>
  </w:style>
  <w:style w:type="character" w:customStyle="1" w:styleId="apple-converted-space">
    <w:name w:val="apple-converted-space"/>
    <w:basedOn w:val="DefaultParagraphFont"/>
    <w:rsid w:val="000F3AA1"/>
  </w:style>
  <w:style w:type="paragraph" w:customStyle="1" w:styleId="ACMABulletLevel1">
    <w:name w:val="ACMA Bullet Level 1"/>
    <w:rsid w:val="00BD55E9"/>
    <w:pPr>
      <w:numPr>
        <w:numId w:val="8"/>
      </w:numPr>
      <w:spacing w:after="120"/>
    </w:pPr>
    <w:rPr>
      <w:rFonts w:ascii="Times New Roman" w:eastAsia="Times New Roman" w:hAnsi="Times New Roman"/>
      <w:sz w:val="24"/>
      <w:lang w:eastAsia="en-US"/>
    </w:rPr>
  </w:style>
  <w:style w:type="paragraph" w:customStyle="1" w:styleId="ACMABodyText">
    <w:name w:val="ACMA Body Text"/>
    <w:link w:val="ACMABodyTextChar1"/>
    <w:uiPriority w:val="99"/>
    <w:rsid w:val="005A665A"/>
    <w:pPr>
      <w:suppressAutoHyphens/>
      <w:spacing w:before="80" w:after="120" w:line="280" w:lineRule="atLeast"/>
    </w:pPr>
    <w:rPr>
      <w:rFonts w:ascii="Times New Roman" w:eastAsia="Times New Roman" w:hAnsi="Times New Roman"/>
      <w:snapToGrid w:val="0"/>
      <w:sz w:val="24"/>
      <w:lang w:eastAsia="en-US"/>
    </w:rPr>
  </w:style>
  <w:style w:type="character" w:customStyle="1" w:styleId="ACMABodyTextChar1">
    <w:name w:val="ACMA Body Text Char1"/>
    <w:basedOn w:val="DefaultParagraphFont"/>
    <w:link w:val="ACMABodyText"/>
    <w:uiPriority w:val="99"/>
    <w:rsid w:val="005A665A"/>
    <w:rPr>
      <w:rFonts w:ascii="Times New Roman" w:eastAsia="Times New Roman" w:hAnsi="Times New Roman"/>
      <w:snapToGrid w:val="0"/>
      <w:sz w:val="24"/>
      <w:lang w:eastAsia="en-US"/>
    </w:rPr>
  </w:style>
  <w:style w:type="paragraph" w:customStyle="1" w:styleId="HR">
    <w:name w:val="HR"/>
    <w:aliases w:val="Regulation Heading"/>
    <w:basedOn w:val="Normal"/>
    <w:next w:val="Normal"/>
    <w:rsid w:val="000432A3"/>
    <w:pPr>
      <w:keepNext/>
      <w:keepLines/>
      <w:spacing w:before="360"/>
      <w:ind w:left="964" w:hanging="964"/>
    </w:pPr>
    <w:rPr>
      <w:rFonts w:ascii="Arial" w:hAnsi="Arial"/>
      <w:b/>
    </w:rPr>
  </w:style>
  <w:style w:type="paragraph" w:customStyle="1" w:styleId="subsection">
    <w:name w:val="subsection"/>
    <w:basedOn w:val="Normal"/>
    <w:rsid w:val="00A93D15"/>
    <w:pPr>
      <w:spacing w:before="100" w:beforeAutospacing="1" w:after="100" w:afterAutospacing="1"/>
    </w:pPr>
  </w:style>
  <w:style w:type="paragraph" w:customStyle="1" w:styleId="paragraph">
    <w:name w:val="paragraph"/>
    <w:basedOn w:val="Normal"/>
    <w:rsid w:val="00A93D15"/>
    <w:pPr>
      <w:spacing w:before="100" w:beforeAutospacing="1" w:after="100" w:afterAutospacing="1"/>
    </w:pPr>
  </w:style>
  <w:style w:type="paragraph" w:styleId="NormalWeb">
    <w:name w:val="Normal (Web)"/>
    <w:basedOn w:val="Normal"/>
    <w:uiPriority w:val="99"/>
    <w:semiHidden/>
    <w:unhideWhenUsed/>
    <w:rsid w:val="00443918"/>
    <w:pPr>
      <w:spacing w:before="100" w:beforeAutospacing="1" w:after="100" w:afterAutospacing="1"/>
    </w:pPr>
  </w:style>
  <w:style w:type="paragraph" w:styleId="FootnoteText">
    <w:name w:val="footnote text"/>
    <w:basedOn w:val="Normal"/>
    <w:link w:val="FootnoteTextChar"/>
    <w:uiPriority w:val="99"/>
    <w:semiHidden/>
    <w:unhideWhenUsed/>
    <w:rsid w:val="004B642E"/>
    <w:rPr>
      <w:sz w:val="20"/>
      <w:szCs w:val="20"/>
    </w:rPr>
  </w:style>
  <w:style w:type="character" w:customStyle="1" w:styleId="FootnoteTextChar">
    <w:name w:val="Footnote Text Char"/>
    <w:basedOn w:val="DefaultParagraphFont"/>
    <w:link w:val="FootnoteText"/>
    <w:uiPriority w:val="99"/>
    <w:semiHidden/>
    <w:rsid w:val="004B642E"/>
    <w:rPr>
      <w:rFonts w:ascii="Times New Roman" w:eastAsia="Times New Roman" w:hAnsi="Times New Roman"/>
    </w:rPr>
  </w:style>
  <w:style w:type="character" w:styleId="FootnoteReference">
    <w:name w:val="footnote reference"/>
    <w:basedOn w:val="DefaultParagraphFont"/>
    <w:uiPriority w:val="99"/>
    <w:semiHidden/>
    <w:unhideWhenUsed/>
    <w:rsid w:val="004B64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C6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72C4"/>
    <w:rPr>
      <w:sz w:val="16"/>
      <w:szCs w:val="16"/>
    </w:rPr>
  </w:style>
  <w:style w:type="paragraph" w:styleId="CommentText">
    <w:name w:val="annotation text"/>
    <w:basedOn w:val="Normal"/>
    <w:link w:val="CommentTextChar"/>
    <w:uiPriority w:val="99"/>
    <w:semiHidden/>
    <w:unhideWhenUsed/>
    <w:rsid w:val="000672C4"/>
    <w:rPr>
      <w:sz w:val="20"/>
      <w:szCs w:val="20"/>
    </w:rPr>
  </w:style>
  <w:style w:type="character" w:customStyle="1" w:styleId="CommentTextChar">
    <w:name w:val="Comment Text Char"/>
    <w:basedOn w:val="DefaultParagraphFont"/>
    <w:link w:val="CommentText"/>
    <w:uiPriority w:val="99"/>
    <w:semiHidden/>
    <w:rsid w:val="000672C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672C4"/>
    <w:rPr>
      <w:b/>
      <w:bCs/>
    </w:rPr>
  </w:style>
  <w:style w:type="character" w:customStyle="1" w:styleId="CommentSubjectChar">
    <w:name w:val="Comment Subject Char"/>
    <w:basedOn w:val="CommentTextChar"/>
    <w:link w:val="CommentSubject"/>
    <w:uiPriority w:val="99"/>
    <w:semiHidden/>
    <w:rsid w:val="000672C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672C4"/>
    <w:rPr>
      <w:rFonts w:ascii="Tahoma" w:hAnsi="Tahoma" w:cs="Tahoma"/>
      <w:sz w:val="16"/>
      <w:szCs w:val="16"/>
    </w:rPr>
  </w:style>
  <w:style w:type="character" w:customStyle="1" w:styleId="BalloonTextChar">
    <w:name w:val="Balloon Text Char"/>
    <w:basedOn w:val="DefaultParagraphFont"/>
    <w:link w:val="BalloonText"/>
    <w:uiPriority w:val="99"/>
    <w:semiHidden/>
    <w:rsid w:val="000672C4"/>
    <w:rPr>
      <w:rFonts w:ascii="Tahoma" w:eastAsia="Times New Roman" w:hAnsi="Tahoma" w:cs="Tahoma"/>
      <w:sz w:val="16"/>
      <w:szCs w:val="16"/>
      <w:lang w:eastAsia="en-AU"/>
    </w:rPr>
  </w:style>
  <w:style w:type="paragraph" w:styleId="ListParagraph">
    <w:name w:val="List Paragraph"/>
    <w:basedOn w:val="Normal"/>
    <w:uiPriority w:val="34"/>
    <w:qFormat/>
    <w:rsid w:val="002726AB"/>
    <w:pPr>
      <w:ind w:left="720"/>
      <w:contextualSpacing/>
    </w:pPr>
  </w:style>
  <w:style w:type="paragraph" w:customStyle="1" w:styleId="ACMAHeading3">
    <w:name w:val="ACMA Heading 3"/>
    <w:next w:val="Normal"/>
    <w:rsid w:val="002726AB"/>
    <w:pPr>
      <w:keepNext/>
      <w:suppressAutoHyphens/>
      <w:spacing w:before="240"/>
      <w:outlineLvl w:val="3"/>
    </w:pPr>
    <w:rPr>
      <w:rFonts w:ascii="Arial" w:eastAsia="Times New Roman" w:hAnsi="Arial"/>
      <w:b/>
      <w:sz w:val="24"/>
      <w:lang w:val="en-US" w:eastAsia="en-US"/>
    </w:rPr>
  </w:style>
  <w:style w:type="paragraph" w:styleId="Header">
    <w:name w:val="header"/>
    <w:basedOn w:val="Normal"/>
    <w:link w:val="HeaderChar"/>
    <w:uiPriority w:val="99"/>
    <w:semiHidden/>
    <w:unhideWhenUsed/>
    <w:rsid w:val="0034736E"/>
    <w:pPr>
      <w:tabs>
        <w:tab w:val="center" w:pos="4513"/>
        <w:tab w:val="right" w:pos="9026"/>
      </w:tabs>
    </w:pPr>
  </w:style>
  <w:style w:type="character" w:customStyle="1" w:styleId="HeaderChar">
    <w:name w:val="Header Char"/>
    <w:basedOn w:val="DefaultParagraphFont"/>
    <w:link w:val="Header"/>
    <w:uiPriority w:val="99"/>
    <w:semiHidden/>
    <w:rsid w:val="0034736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4736E"/>
    <w:pPr>
      <w:tabs>
        <w:tab w:val="center" w:pos="4513"/>
        <w:tab w:val="right" w:pos="9026"/>
      </w:tabs>
    </w:pPr>
  </w:style>
  <w:style w:type="character" w:customStyle="1" w:styleId="FooterChar">
    <w:name w:val="Footer Char"/>
    <w:basedOn w:val="DefaultParagraphFont"/>
    <w:link w:val="Footer"/>
    <w:uiPriority w:val="99"/>
    <w:rsid w:val="0034736E"/>
    <w:rPr>
      <w:rFonts w:ascii="Times New Roman" w:eastAsia="Times New Roman" w:hAnsi="Times New Roman" w:cs="Times New Roman"/>
      <w:sz w:val="24"/>
      <w:szCs w:val="24"/>
      <w:lang w:eastAsia="en-AU"/>
    </w:rPr>
  </w:style>
  <w:style w:type="paragraph" w:styleId="BodyText">
    <w:name w:val="Body Text"/>
    <w:basedOn w:val="Normal"/>
    <w:link w:val="BodyTextChar"/>
    <w:rsid w:val="00C7357D"/>
    <w:pPr>
      <w:spacing w:after="120"/>
    </w:pPr>
    <w:rPr>
      <w:szCs w:val="20"/>
    </w:rPr>
  </w:style>
  <w:style w:type="character" w:customStyle="1" w:styleId="BodyTextChar">
    <w:name w:val="Body Text Char"/>
    <w:basedOn w:val="DefaultParagraphFont"/>
    <w:link w:val="BodyText"/>
    <w:rsid w:val="00C7357D"/>
    <w:rPr>
      <w:rFonts w:ascii="Times New Roman" w:eastAsia="Times New Roman" w:hAnsi="Times New Roman"/>
      <w:sz w:val="24"/>
    </w:rPr>
  </w:style>
  <w:style w:type="paragraph" w:styleId="Revision">
    <w:name w:val="Revision"/>
    <w:hidden/>
    <w:uiPriority w:val="99"/>
    <w:semiHidden/>
    <w:rsid w:val="00B12837"/>
    <w:rPr>
      <w:rFonts w:ascii="Times New Roman" w:eastAsia="Times New Roman" w:hAnsi="Times New Roman"/>
      <w:sz w:val="24"/>
      <w:szCs w:val="24"/>
    </w:rPr>
  </w:style>
  <w:style w:type="paragraph" w:customStyle="1" w:styleId="ACMANumberedList">
    <w:name w:val="ACMA Numbered List"/>
    <w:rsid w:val="001A6FD9"/>
    <w:pPr>
      <w:numPr>
        <w:numId w:val="4"/>
      </w:numPr>
      <w:spacing w:before="20" w:after="20"/>
    </w:pPr>
    <w:rPr>
      <w:rFonts w:ascii="Times New Roman" w:eastAsia="Times New Roman" w:hAnsi="Times New Roman"/>
      <w:sz w:val="24"/>
      <w:lang w:eastAsia="en-US"/>
    </w:rPr>
  </w:style>
  <w:style w:type="character" w:styleId="Hyperlink">
    <w:name w:val="Hyperlink"/>
    <w:basedOn w:val="DefaultParagraphFont"/>
    <w:uiPriority w:val="99"/>
    <w:unhideWhenUsed/>
    <w:rsid w:val="001A6FD9"/>
    <w:rPr>
      <w:color w:val="0000FF"/>
      <w:u w:val="single"/>
    </w:rPr>
  </w:style>
  <w:style w:type="character" w:styleId="Emphasis">
    <w:name w:val="Emphasis"/>
    <w:basedOn w:val="DefaultParagraphFont"/>
    <w:uiPriority w:val="20"/>
    <w:qFormat/>
    <w:rsid w:val="000F3AA1"/>
    <w:rPr>
      <w:i/>
      <w:iCs/>
    </w:rPr>
  </w:style>
  <w:style w:type="character" w:customStyle="1" w:styleId="apple-converted-space">
    <w:name w:val="apple-converted-space"/>
    <w:basedOn w:val="DefaultParagraphFont"/>
    <w:rsid w:val="000F3AA1"/>
  </w:style>
  <w:style w:type="paragraph" w:customStyle="1" w:styleId="ACMABulletLevel1">
    <w:name w:val="ACMA Bullet Level 1"/>
    <w:rsid w:val="00BD55E9"/>
    <w:pPr>
      <w:numPr>
        <w:numId w:val="8"/>
      </w:numPr>
      <w:spacing w:after="120"/>
    </w:pPr>
    <w:rPr>
      <w:rFonts w:ascii="Times New Roman" w:eastAsia="Times New Roman" w:hAnsi="Times New Roman"/>
      <w:sz w:val="24"/>
      <w:lang w:eastAsia="en-US"/>
    </w:rPr>
  </w:style>
  <w:style w:type="paragraph" w:customStyle="1" w:styleId="ACMABodyText">
    <w:name w:val="ACMA Body Text"/>
    <w:link w:val="ACMABodyTextChar1"/>
    <w:uiPriority w:val="99"/>
    <w:rsid w:val="005A665A"/>
    <w:pPr>
      <w:suppressAutoHyphens/>
      <w:spacing w:before="80" w:after="120" w:line="280" w:lineRule="atLeast"/>
    </w:pPr>
    <w:rPr>
      <w:rFonts w:ascii="Times New Roman" w:eastAsia="Times New Roman" w:hAnsi="Times New Roman"/>
      <w:snapToGrid w:val="0"/>
      <w:sz w:val="24"/>
      <w:lang w:eastAsia="en-US"/>
    </w:rPr>
  </w:style>
  <w:style w:type="character" w:customStyle="1" w:styleId="ACMABodyTextChar1">
    <w:name w:val="ACMA Body Text Char1"/>
    <w:basedOn w:val="DefaultParagraphFont"/>
    <w:link w:val="ACMABodyText"/>
    <w:uiPriority w:val="99"/>
    <w:rsid w:val="005A665A"/>
    <w:rPr>
      <w:rFonts w:ascii="Times New Roman" w:eastAsia="Times New Roman" w:hAnsi="Times New Roman"/>
      <w:snapToGrid w:val="0"/>
      <w:sz w:val="24"/>
      <w:lang w:eastAsia="en-US"/>
    </w:rPr>
  </w:style>
  <w:style w:type="paragraph" w:customStyle="1" w:styleId="HR">
    <w:name w:val="HR"/>
    <w:aliases w:val="Regulation Heading"/>
    <w:basedOn w:val="Normal"/>
    <w:next w:val="Normal"/>
    <w:rsid w:val="000432A3"/>
    <w:pPr>
      <w:keepNext/>
      <w:keepLines/>
      <w:spacing w:before="360"/>
      <w:ind w:left="964" w:hanging="964"/>
    </w:pPr>
    <w:rPr>
      <w:rFonts w:ascii="Arial" w:hAnsi="Arial"/>
      <w:b/>
    </w:rPr>
  </w:style>
  <w:style w:type="paragraph" w:customStyle="1" w:styleId="subsection">
    <w:name w:val="subsection"/>
    <w:basedOn w:val="Normal"/>
    <w:rsid w:val="00A93D15"/>
    <w:pPr>
      <w:spacing w:before="100" w:beforeAutospacing="1" w:after="100" w:afterAutospacing="1"/>
    </w:pPr>
  </w:style>
  <w:style w:type="paragraph" w:customStyle="1" w:styleId="paragraph">
    <w:name w:val="paragraph"/>
    <w:basedOn w:val="Normal"/>
    <w:rsid w:val="00A93D15"/>
    <w:pPr>
      <w:spacing w:before="100" w:beforeAutospacing="1" w:after="100" w:afterAutospacing="1"/>
    </w:pPr>
  </w:style>
  <w:style w:type="paragraph" w:styleId="NormalWeb">
    <w:name w:val="Normal (Web)"/>
    <w:basedOn w:val="Normal"/>
    <w:uiPriority w:val="99"/>
    <w:semiHidden/>
    <w:unhideWhenUsed/>
    <w:rsid w:val="00443918"/>
    <w:pPr>
      <w:spacing w:before="100" w:beforeAutospacing="1" w:after="100" w:afterAutospacing="1"/>
    </w:pPr>
  </w:style>
  <w:style w:type="paragraph" w:styleId="FootnoteText">
    <w:name w:val="footnote text"/>
    <w:basedOn w:val="Normal"/>
    <w:link w:val="FootnoteTextChar"/>
    <w:uiPriority w:val="99"/>
    <w:semiHidden/>
    <w:unhideWhenUsed/>
    <w:rsid w:val="004B642E"/>
    <w:rPr>
      <w:sz w:val="20"/>
      <w:szCs w:val="20"/>
    </w:rPr>
  </w:style>
  <w:style w:type="character" w:customStyle="1" w:styleId="FootnoteTextChar">
    <w:name w:val="Footnote Text Char"/>
    <w:basedOn w:val="DefaultParagraphFont"/>
    <w:link w:val="FootnoteText"/>
    <w:uiPriority w:val="99"/>
    <w:semiHidden/>
    <w:rsid w:val="004B642E"/>
    <w:rPr>
      <w:rFonts w:ascii="Times New Roman" w:eastAsia="Times New Roman" w:hAnsi="Times New Roman"/>
    </w:rPr>
  </w:style>
  <w:style w:type="character" w:styleId="FootnoteReference">
    <w:name w:val="footnote reference"/>
    <w:basedOn w:val="DefaultParagraphFont"/>
    <w:uiPriority w:val="99"/>
    <w:semiHidden/>
    <w:unhideWhenUsed/>
    <w:rsid w:val="004B64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99145">
      <w:bodyDiv w:val="1"/>
      <w:marLeft w:val="0"/>
      <w:marRight w:val="0"/>
      <w:marTop w:val="0"/>
      <w:marBottom w:val="0"/>
      <w:divBdr>
        <w:top w:val="none" w:sz="0" w:space="0" w:color="auto"/>
        <w:left w:val="none" w:sz="0" w:space="0" w:color="auto"/>
        <w:bottom w:val="none" w:sz="0" w:space="0" w:color="auto"/>
        <w:right w:val="none" w:sz="0" w:space="0" w:color="auto"/>
      </w:divBdr>
    </w:div>
    <w:div w:id="1063140118">
      <w:bodyDiv w:val="1"/>
      <w:marLeft w:val="0"/>
      <w:marRight w:val="0"/>
      <w:marTop w:val="0"/>
      <w:marBottom w:val="0"/>
      <w:divBdr>
        <w:top w:val="none" w:sz="0" w:space="0" w:color="auto"/>
        <w:left w:val="none" w:sz="0" w:space="0" w:color="auto"/>
        <w:bottom w:val="none" w:sz="0" w:space="0" w:color="auto"/>
        <w:right w:val="none" w:sz="0" w:space="0" w:color="auto"/>
      </w:divBdr>
    </w:div>
    <w:div w:id="1943222874">
      <w:bodyDiv w:val="1"/>
      <w:marLeft w:val="0"/>
      <w:marRight w:val="0"/>
      <w:marTop w:val="0"/>
      <w:marBottom w:val="0"/>
      <w:divBdr>
        <w:top w:val="none" w:sz="0" w:space="0" w:color="auto"/>
        <w:left w:val="none" w:sz="0" w:space="0" w:color="auto"/>
        <w:bottom w:val="none" w:sz="0" w:space="0" w:color="auto"/>
        <w:right w:val="none" w:sz="0" w:space="0" w:color="auto"/>
      </w:divBdr>
      <w:divsChild>
        <w:div w:id="675498906">
          <w:marLeft w:val="0"/>
          <w:marRight w:val="0"/>
          <w:marTop w:val="0"/>
          <w:marBottom w:val="0"/>
          <w:divBdr>
            <w:top w:val="none" w:sz="0" w:space="0" w:color="auto"/>
            <w:left w:val="none" w:sz="0" w:space="0" w:color="auto"/>
            <w:bottom w:val="none" w:sz="0" w:space="0" w:color="auto"/>
            <w:right w:val="none" w:sz="0" w:space="0" w:color="auto"/>
          </w:divBdr>
          <w:divsChild>
            <w:div w:id="2007659946">
              <w:marLeft w:val="0"/>
              <w:marRight w:val="0"/>
              <w:marTop w:val="0"/>
              <w:marBottom w:val="0"/>
              <w:divBdr>
                <w:top w:val="none" w:sz="0" w:space="0" w:color="auto"/>
                <w:left w:val="none" w:sz="0" w:space="0" w:color="auto"/>
                <w:bottom w:val="none" w:sz="0" w:space="0" w:color="auto"/>
                <w:right w:val="none" w:sz="0" w:space="0" w:color="auto"/>
              </w:divBdr>
              <w:divsChild>
                <w:div w:id="542063196">
                  <w:marLeft w:val="0"/>
                  <w:marRight w:val="0"/>
                  <w:marTop w:val="0"/>
                  <w:marBottom w:val="0"/>
                  <w:divBdr>
                    <w:top w:val="none" w:sz="0" w:space="0" w:color="auto"/>
                    <w:left w:val="none" w:sz="0" w:space="0" w:color="auto"/>
                    <w:bottom w:val="none" w:sz="0" w:space="0" w:color="auto"/>
                    <w:right w:val="none" w:sz="0" w:space="0" w:color="auto"/>
                  </w:divBdr>
                  <w:divsChild>
                    <w:div w:id="1585139595">
                      <w:marLeft w:val="0"/>
                      <w:marRight w:val="0"/>
                      <w:marTop w:val="0"/>
                      <w:marBottom w:val="0"/>
                      <w:divBdr>
                        <w:top w:val="none" w:sz="0" w:space="0" w:color="auto"/>
                        <w:left w:val="none" w:sz="0" w:space="0" w:color="auto"/>
                        <w:bottom w:val="none" w:sz="0" w:space="0" w:color="auto"/>
                        <w:right w:val="none" w:sz="0" w:space="0" w:color="auto"/>
                      </w:divBdr>
                      <w:divsChild>
                        <w:div w:id="477840811">
                          <w:marLeft w:val="0"/>
                          <w:marRight w:val="0"/>
                          <w:marTop w:val="0"/>
                          <w:marBottom w:val="0"/>
                          <w:divBdr>
                            <w:top w:val="single" w:sz="6" w:space="0" w:color="828282"/>
                            <w:left w:val="single" w:sz="6" w:space="0" w:color="828282"/>
                            <w:bottom w:val="single" w:sz="6" w:space="0" w:color="828282"/>
                            <w:right w:val="single" w:sz="6" w:space="0" w:color="828282"/>
                          </w:divBdr>
                          <w:divsChild>
                            <w:div w:id="743336161">
                              <w:marLeft w:val="0"/>
                              <w:marRight w:val="0"/>
                              <w:marTop w:val="0"/>
                              <w:marBottom w:val="0"/>
                              <w:divBdr>
                                <w:top w:val="none" w:sz="0" w:space="0" w:color="auto"/>
                                <w:left w:val="none" w:sz="0" w:space="0" w:color="auto"/>
                                <w:bottom w:val="none" w:sz="0" w:space="0" w:color="auto"/>
                                <w:right w:val="none" w:sz="0" w:space="0" w:color="auto"/>
                              </w:divBdr>
                              <w:divsChild>
                                <w:div w:id="10492220">
                                  <w:marLeft w:val="0"/>
                                  <w:marRight w:val="0"/>
                                  <w:marTop w:val="0"/>
                                  <w:marBottom w:val="0"/>
                                  <w:divBdr>
                                    <w:top w:val="none" w:sz="0" w:space="0" w:color="auto"/>
                                    <w:left w:val="none" w:sz="0" w:space="0" w:color="auto"/>
                                    <w:bottom w:val="none" w:sz="0" w:space="0" w:color="auto"/>
                                    <w:right w:val="none" w:sz="0" w:space="0" w:color="auto"/>
                                  </w:divBdr>
                                  <w:divsChild>
                                    <w:div w:id="633406711">
                                      <w:marLeft w:val="0"/>
                                      <w:marRight w:val="0"/>
                                      <w:marTop w:val="0"/>
                                      <w:marBottom w:val="0"/>
                                      <w:divBdr>
                                        <w:top w:val="none" w:sz="0" w:space="0" w:color="auto"/>
                                        <w:left w:val="none" w:sz="0" w:space="0" w:color="auto"/>
                                        <w:bottom w:val="none" w:sz="0" w:space="0" w:color="auto"/>
                                        <w:right w:val="none" w:sz="0" w:space="0" w:color="auto"/>
                                      </w:divBdr>
                                      <w:divsChild>
                                        <w:div w:id="1201166393">
                                          <w:marLeft w:val="0"/>
                                          <w:marRight w:val="0"/>
                                          <w:marTop w:val="0"/>
                                          <w:marBottom w:val="0"/>
                                          <w:divBdr>
                                            <w:top w:val="none" w:sz="0" w:space="0" w:color="auto"/>
                                            <w:left w:val="none" w:sz="0" w:space="0" w:color="auto"/>
                                            <w:bottom w:val="none" w:sz="0" w:space="0" w:color="auto"/>
                                            <w:right w:val="none" w:sz="0" w:space="0" w:color="auto"/>
                                          </w:divBdr>
                                          <w:divsChild>
                                            <w:div w:id="1882328313">
                                              <w:marLeft w:val="0"/>
                                              <w:marRight w:val="0"/>
                                              <w:marTop w:val="0"/>
                                              <w:marBottom w:val="0"/>
                                              <w:divBdr>
                                                <w:top w:val="none" w:sz="0" w:space="0" w:color="auto"/>
                                                <w:left w:val="none" w:sz="0" w:space="0" w:color="auto"/>
                                                <w:bottom w:val="none" w:sz="0" w:space="0" w:color="auto"/>
                                                <w:right w:val="none" w:sz="0" w:space="0" w:color="auto"/>
                                              </w:divBdr>
                                              <w:divsChild>
                                                <w:div w:id="5788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r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033047a-93aa-421b-8aef-52cbfb63cf36" ContentTypeId="0x01010070E27D6A746B5B48ADF22C2128054D55"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rd_x0020_Number xmlns="83630db1-6fc2-4dfd-b3fe-d61d34e1440c">ER2015/114446</Record_x0020_Number>
    <Legacy_x0020_Record_x0020_Number xmlns="83630db1-6fc2-4dfd-b3fe-d61d34e1440c" xsi:nil="true"/>
    <IconOverlay xmlns="http://schemas.microsoft.com/sharepoint/v4" xsi:nil="true"/>
    <_dlc_DocId xmlns="6db8f3c6-01a1-4322-b043-a3b2a190f7a8">KNAH4PPFC442-3114-61</_dlc_DocId>
    <_dlc_DocIdUrl xmlns="6db8f3c6-01a1-4322-b043-a3b2a190f7a8">
      <Url>http://collaboration/organisation/Auth/Chair/Auth/_layouts/DocIdRedir.aspx?ID=KNAH4PPFC442-3114-61</Url>
      <Description>KNAH4PPFC442-3114-61</Description>
    </_dlc_DocIdUrl>
    <Category xmlns="5e268b55-9e20-462b-aba6-694451a37717">(none)</Category>
  </documentManagement>
</p:properties>
</file>

<file path=customXml/item5.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FD5E3-9502-4074-B1AE-8F12619C09B5}">
  <ds:schemaRefs>
    <ds:schemaRef ds:uri="Microsoft.SharePoint.Taxonomy.ContentTypeSync"/>
  </ds:schemaRefs>
</ds:datastoreItem>
</file>

<file path=customXml/itemProps2.xml><?xml version="1.0" encoding="utf-8"?>
<ds:datastoreItem xmlns:ds="http://schemas.openxmlformats.org/officeDocument/2006/customXml" ds:itemID="{461F2170-2A24-43D3-89AB-39534D31D0AD}">
  <ds:schemaRefs>
    <ds:schemaRef ds:uri="http://schemas.microsoft.com/sharepoint/events"/>
  </ds:schemaRefs>
</ds:datastoreItem>
</file>

<file path=customXml/itemProps3.xml><?xml version="1.0" encoding="utf-8"?>
<ds:datastoreItem xmlns:ds="http://schemas.openxmlformats.org/officeDocument/2006/customXml" ds:itemID="{0E966307-8AD3-4F0E-9D88-93A38EAB7B8F}">
  <ds:schemaRefs>
    <ds:schemaRef ds:uri="http://schemas.microsoft.com/sharepoint/v3/contenttype/forms"/>
  </ds:schemaRefs>
</ds:datastoreItem>
</file>

<file path=customXml/itemProps4.xml><?xml version="1.0" encoding="utf-8"?>
<ds:datastoreItem xmlns:ds="http://schemas.openxmlformats.org/officeDocument/2006/customXml" ds:itemID="{045495A9-03C1-4B8D-BA68-4E6C94F5D352}">
  <ds:schemaRefs>
    <ds:schemaRef ds:uri="http://purl.org/dc/elements/1.1/"/>
    <ds:schemaRef ds:uri="http://schemas.microsoft.com/office/2006/metadata/properties"/>
    <ds:schemaRef ds:uri="http://purl.org/dc/terms/"/>
    <ds:schemaRef ds:uri="6db8f3c6-01a1-4322-b043-a3b2a190f7a8"/>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sharepoint/v4"/>
    <ds:schemaRef ds:uri="5e268b55-9e20-462b-aba6-694451a37717"/>
    <ds:schemaRef ds:uri="83630db1-6fc2-4dfd-b3fe-d61d34e1440c"/>
    <ds:schemaRef ds:uri="http://www.w3.org/XML/1998/namespace"/>
  </ds:schemaRefs>
</ds:datastoreItem>
</file>

<file path=customXml/itemProps5.xml><?xml version="1.0" encoding="utf-8"?>
<ds:datastoreItem xmlns:ds="http://schemas.openxmlformats.org/officeDocument/2006/customXml" ds:itemID="{3B62F65E-F9CE-4D40-9E6C-2F5E7F28C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85765B-A83E-4070-A6F9-2B4A244C4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8229</Words>
  <Characters>46908</Characters>
  <Application>Microsoft Office Word</Application>
  <DocSecurity>4</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55027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Belton</dc:creator>
  <cp:lastModifiedBy>van Meurs, Tina</cp:lastModifiedBy>
  <cp:revision>2</cp:revision>
  <cp:lastPrinted>2015-05-04T02:02:00Z</cp:lastPrinted>
  <dcterms:created xsi:type="dcterms:W3CDTF">2015-05-08T02:02:00Z</dcterms:created>
  <dcterms:modified xsi:type="dcterms:W3CDTF">2015-05-08T02:02:00Z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0x01010070E27D6A746B5B48ADF22C2128054D5500EE817EA22CCD994CB2E127746CF12863</vt:lpwstr>
  </property>
  <property fmtid="{D5CDD505-2E9C-101B-9397-08002B2CF9AE}" pid="3" name="_dlc_DocIdItemGuid">
    <vt:lpwstr>44c255e5-dc65-442f-82c3-01a2de6d8e28</vt:lpwstr>
  </property>
  <property fmtid="{D5CDD505-2E9C-101B-9397-08002B2CF9AE}" pid="4" name="RecordPoint_SubmissionDate">
    <vt:lpwstr/>
  </property>
  <property fmtid="{D5CDD505-2E9C-101B-9397-08002B2CF9AE}" pid="5" name="RecordPoint_ActiveItemMoved">
    <vt:lpwstr/>
  </property>
  <property fmtid="{D5CDD505-2E9C-101B-9397-08002B2CF9AE}" pid="6" name="RecordPoint_RecordFormat">
    <vt:lpwstr/>
  </property>
  <property fmtid="{D5CDD505-2E9C-101B-9397-08002B2CF9AE}" pid="7" name="RecordPoint_SubmissionCompleted">
    <vt:lpwstr>2015-01-22T13:32:24.0257699+11:00</vt:lpwstr>
  </property>
  <property fmtid="{D5CDD505-2E9C-101B-9397-08002B2CF9AE}" pid="8" name="RecordPoint_ActiveItemSiteId">
    <vt:lpwstr>{7ba5f3c1-1ab9-4cc3-a7c0-334d2b0aec73}</vt:lpwstr>
  </property>
  <property fmtid="{D5CDD505-2E9C-101B-9397-08002B2CF9AE}" pid="9" name="RecordPoint_ActiveItemListId">
    <vt:lpwstr>{f1c3c3d6-c421-46f6-a621-f79f6b29635f}</vt:lpwstr>
  </property>
  <property fmtid="{D5CDD505-2E9C-101B-9397-08002B2CF9AE}" pid="10" name="RecordPoint_ActiveItemUniqueId">
    <vt:lpwstr>{44c255e5-dc65-442f-82c3-01a2de6d8e28}</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