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2EE" w:rsidRPr="000041C9" w:rsidRDefault="005702EE" w:rsidP="005702EE">
      <w:pPr>
        <w:pStyle w:val="LDAmendHeading"/>
      </w:pPr>
      <w:r w:rsidRPr="000041C9">
        <w:t>Explanatory Statement</w:t>
      </w:r>
    </w:p>
    <w:p w:rsidR="005702EE" w:rsidRPr="000041C9" w:rsidRDefault="005702EE" w:rsidP="005702EE">
      <w:pPr>
        <w:pStyle w:val="LDAmendHeading"/>
      </w:pPr>
      <w:r w:rsidRPr="000041C9">
        <w:t>Civil Aviation Safety Regulations 1998</w:t>
      </w:r>
    </w:p>
    <w:p w:rsidR="005702EE" w:rsidRPr="000041C9" w:rsidRDefault="000041C9" w:rsidP="005702EE">
      <w:pPr>
        <w:pStyle w:val="LDAmendHeading"/>
        <w:ind w:left="0" w:firstLine="0"/>
      </w:pPr>
      <w:r w:rsidRPr="000041C9">
        <w:t>Exemption </w:t>
      </w:r>
      <w:r w:rsidR="00DC2474">
        <w:t>—</w:t>
      </w:r>
      <w:r w:rsidR="003D36C6">
        <w:t xml:space="preserve"> </w:t>
      </w:r>
      <w:r w:rsidR="00A60DE3" w:rsidRPr="00A60DE3">
        <w:t>navigation and anti-collision lights (Aerorescue)</w:t>
      </w:r>
    </w:p>
    <w:p w:rsidR="005702EE" w:rsidRDefault="005702EE" w:rsidP="005702EE">
      <w:pPr>
        <w:tabs>
          <w:tab w:val="left" w:pos="1134"/>
          <w:tab w:val="left" w:pos="1701"/>
          <w:tab w:val="left" w:pos="2268"/>
          <w:tab w:val="left" w:pos="2835"/>
          <w:tab w:val="left" w:pos="3402"/>
        </w:tabs>
      </w:pPr>
    </w:p>
    <w:p w:rsidR="00DB198F" w:rsidRPr="00DB198F" w:rsidRDefault="00DB198F" w:rsidP="005702EE">
      <w:pPr>
        <w:tabs>
          <w:tab w:val="left" w:pos="1134"/>
          <w:tab w:val="left" w:pos="1701"/>
          <w:tab w:val="left" w:pos="2268"/>
          <w:tab w:val="left" w:pos="2835"/>
          <w:tab w:val="left" w:pos="3402"/>
        </w:tabs>
        <w:rPr>
          <w:b/>
        </w:rPr>
      </w:pPr>
      <w:r w:rsidRPr="00DB198F">
        <w:rPr>
          <w:b/>
        </w:rPr>
        <w:t>Legislation</w:t>
      </w:r>
    </w:p>
    <w:p w:rsidR="003D36C6" w:rsidRDefault="003D36C6" w:rsidP="003D36C6">
      <w:pPr>
        <w:pStyle w:val="LDBodytext"/>
      </w:pPr>
      <w:r w:rsidRPr="00494741">
        <w:t xml:space="preserve">Subsection 98 (1) of the </w:t>
      </w:r>
      <w:r w:rsidRPr="00494741">
        <w:rPr>
          <w:i/>
        </w:rPr>
        <w:t>Civil Aviation Act 1988</w:t>
      </w:r>
      <w:r w:rsidRPr="00494741">
        <w:t xml:space="preserve"> (the</w:t>
      </w:r>
      <w:r w:rsidRPr="00494741">
        <w:rPr>
          <w:b/>
        </w:rPr>
        <w:t xml:space="preserve"> </w:t>
      </w:r>
      <w:r w:rsidRPr="00494741">
        <w:rPr>
          <w:b/>
          <w:i/>
        </w:rPr>
        <w:t>Act</w:t>
      </w:r>
      <w:r w:rsidRPr="00494741">
        <w:t>) provides that the</w:t>
      </w:r>
      <w:r>
        <w:t xml:space="preserve"> </w:t>
      </w:r>
      <w:r w:rsidRPr="00494741">
        <w:t>Governor</w:t>
      </w:r>
      <w:r>
        <w:noBreakHyphen/>
      </w:r>
      <w:r w:rsidRPr="00494741">
        <w:t>General may make regulations for the Act and the safety of air navigation.</w:t>
      </w:r>
      <w:r>
        <w:t xml:space="preserve"> Subsection </w:t>
      </w:r>
      <w:r w:rsidRPr="00095B49">
        <w:t>98</w:t>
      </w:r>
      <w:r>
        <w:t> </w:t>
      </w:r>
      <w:r w:rsidRPr="00095B49">
        <w:t xml:space="preserve">(5A) of the Act provides that the regulations may empower CASA to issue instruments in relation to </w:t>
      </w:r>
      <w:r>
        <w:t>matters affecting the safe navigation and operation of aircraft.</w:t>
      </w:r>
    </w:p>
    <w:p w:rsidR="00652C5D" w:rsidRDefault="00652C5D" w:rsidP="003D36C6">
      <w:pPr>
        <w:pStyle w:val="LDBodytext"/>
      </w:pPr>
    </w:p>
    <w:p w:rsidR="00652C5D" w:rsidRPr="00EA5D27" w:rsidRDefault="00652C5D" w:rsidP="00652C5D">
      <w:pPr>
        <w:tabs>
          <w:tab w:val="right" w:pos="1134"/>
          <w:tab w:val="left" w:pos="1276"/>
          <w:tab w:val="right" w:pos="1843"/>
          <w:tab w:val="left" w:pos="1985"/>
          <w:tab w:val="right" w:pos="2552"/>
          <w:tab w:val="left" w:pos="2693"/>
        </w:tabs>
        <w:overflowPunct w:val="0"/>
        <w:autoSpaceDE w:val="0"/>
        <w:autoSpaceDN w:val="0"/>
        <w:adjustRightInd w:val="0"/>
        <w:textAlignment w:val="baseline"/>
      </w:pPr>
      <w:r w:rsidRPr="00EA5D27">
        <w:t xml:space="preserve">Subregulation 207 (2) of </w:t>
      </w:r>
      <w:r>
        <w:t xml:space="preserve">the </w:t>
      </w:r>
      <w:r w:rsidRPr="00652C5D">
        <w:rPr>
          <w:i/>
        </w:rPr>
        <w:t>Civil Aviation Regulations 1988</w:t>
      </w:r>
      <w:r>
        <w:t xml:space="preserve"> (</w:t>
      </w:r>
      <w:r w:rsidRPr="00652C5D">
        <w:rPr>
          <w:b/>
          <w:i/>
        </w:rPr>
        <w:t>CAR 1988</w:t>
      </w:r>
      <w:r>
        <w:t>)</w:t>
      </w:r>
      <w:r w:rsidRPr="00EA5D27">
        <w:t xml:space="preserve"> provides that an Australian aircraft shall not be used in any class of operation unless it is fitted with such instruments and is fitted with or carries such equipment, including emergency equipment, as </w:t>
      </w:r>
      <w:r>
        <w:t xml:space="preserve">CASA </w:t>
      </w:r>
      <w:r w:rsidRPr="00EA5D27">
        <w:t>approves or directs.</w:t>
      </w:r>
    </w:p>
    <w:p w:rsidR="00652C5D" w:rsidRPr="00EA5D27" w:rsidRDefault="00652C5D" w:rsidP="00652C5D">
      <w:pPr>
        <w:tabs>
          <w:tab w:val="right" w:pos="1134"/>
          <w:tab w:val="left" w:pos="1276"/>
          <w:tab w:val="right" w:pos="1843"/>
          <w:tab w:val="left" w:pos="1985"/>
          <w:tab w:val="right" w:pos="2552"/>
          <w:tab w:val="left" w:pos="2693"/>
        </w:tabs>
        <w:overflowPunct w:val="0"/>
        <w:autoSpaceDE w:val="0"/>
        <w:autoSpaceDN w:val="0"/>
        <w:adjustRightInd w:val="0"/>
        <w:textAlignment w:val="baseline"/>
      </w:pPr>
    </w:p>
    <w:p w:rsidR="00652C5D" w:rsidRPr="00EA5D27" w:rsidRDefault="00652C5D" w:rsidP="00652C5D">
      <w:pPr>
        <w:tabs>
          <w:tab w:val="right" w:pos="1134"/>
          <w:tab w:val="left" w:pos="1276"/>
          <w:tab w:val="right" w:pos="1843"/>
          <w:tab w:val="left" w:pos="1985"/>
          <w:tab w:val="right" w:pos="2552"/>
          <w:tab w:val="left" w:pos="2693"/>
        </w:tabs>
        <w:overflowPunct w:val="0"/>
        <w:autoSpaceDE w:val="0"/>
        <w:autoSpaceDN w:val="0"/>
        <w:adjustRightInd w:val="0"/>
        <w:textAlignment w:val="baseline"/>
      </w:pPr>
      <w:r w:rsidRPr="00EA5D27">
        <w:t>Subregulation 5 (1) of CAR 1988 provides that wh</w:t>
      </w:r>
      <w:r w:rsidR="00F672DC">
        <w:t>enever CASA is empowered by CAR </w:t>
      </w:r>
      <w:r w:rsidRPr="00EA5D27">
        <w:t xml:space="preserve">1988 to give directions or approvals, it may do so in </w:t>
      </w:r>
      <w:r>
        <w:t xml:space="preserve">the </w:t>
      </w:r>
      <w:r w:rsidR="009C49BB">
        <w:t>Civil Aviation Orders (the </w:t>
      </w:r>
      <w:r w:rsidR="009C49BB" w:rsidRPr="009C49BB">
        <w:rPr>
          <w:b/>
          <w:i/>
        </w:rPr>
        <w:t>CAOs</w:t>
      </w:r>
      <w:r w:rsidR="009C49BB">
        <w:t>)</w:t>
      </w:r>
      <w:r w:rsidRPr="00EA5D27">
        <w:t>.</w:t>
      </w:r>
      <w:r w:rsidR="00F672DC">
        <w:t xml:space="preserve"> </w:t>
      </w:r>
      <w:r w:rsidR="00ED6282">
        <w:t>Clause</w:t>
      </w:r>
      <w:bookmarkStart w:id="0" w:name="_GoBack"/>
      <w:bookmarkEnd w:id="0"/>
      <w:r w:rsidRPr="00EA5D27">
        <w:t xml:space="preserve"> 3 of Appendix V to Civil Aviation Order 20.18 </w:t>
      </w:r>
      <w:r w:rsidR="00F672DC">
        <w:t>(</w:t>
      </w:r>
      <w:r w:rsidR="00F672DC" w:rsidRPr="00F672DC">
        <w:rPr>
          <w:b/>
          <w:i/>
        </w:rPr>
        <w:t>CAO 20.18</w:t>
      </w:r>
      <w:r w:rsidR="00F672DC">
        <w:t xml:space="preserve">) </w:t>
      </w:r>
      <w:r w:rsidRPr="00EA5D27">
        <w:t>requires that aircraft must have 2</w:t>
      </w:r>
      <w:r w:rsidR="004A254A">
        <w:t xml:space="preserve"> </w:t>
      </w:r>
      <w:r w:rsidRPr="00EA5D27">
        <w:t>landing lights except when engaged in private and aerial work operations</w:t>
      </w:r>
      <w:r w:rsidR="004A254A">
        <w:t>,</w:t>
      </w:r>
      <w:r w:rsidRPr="00EA5D27">
        <w:t xml:space="preserve"> and charter operations not carrying passengers for hire and reward</w:t>
      </w:r>
      <w:r w:rsidR="00F672DC">
        <w:t>, whereupon the aircraft must have 1 landing light fitted</w:t>
      </w:r>
      <w:r w:rsidRPr="00EA5D27">
        <w:t>.</w:t>
      </w:r>
    </w:p>
    <w:p w:rsidR="00652C5D" w:rsidRPr="00EA5D27" w:rsidRDefault="00652C5D" w:rsidP="00652C5D">
      <w:pPr>
        <w:tabs>
          <w:tab w:val="right" w:pos="1134"/>
          <w:tab w:val="left" w:pos="1276"/>
          <w:tab w:val="right" w:pos="1843"/>
          <w:tab w:val="left" w:pos="1985"/>
          <w:tab w:val="right" w:pos="2552"/>
          <w:tab w:val="left" w:pos="2693"/>
        </w:tabs>
        <w:overflowPunct w:val="0"/>
        <w:autoSpaceDE w:val="0"/>
        <w:autoSpaceDN w:val="0"/>
        <w:adjustRightInd w:val="0"/>
        <w:textAlignment w:val="baseline"/>
      </w:pPr>
    </w:p>
    <w:p w:rsidR="00652C5D" w:rsidRPr="00EA5D27" w:rsidRDefault="00652C5D" w:rsidP="00652C5D">
      <w:pPr>
        <w:tabs>
          <w:tab w:val="right" w:pos="1134"/>
          <w:tab w:val="left" w:pos="1276"/>
          <w:tab w:val="right" w:pos="1843"/>
          <w:tab w:val="left" w:pos="1985"/>
          <w:tab w:val="right" w:pos="2552"/>
          <w:tab w:val="left" w:pos="2693"/>
        </w:tabs>
        <w:overflowPunct w:val="0"/>
        <w:autoSpaceDE w:val="0"/>
        <w:autoSpaceDN w:val="0"/>
        <w:adjustRightInd w:val="0"/>
        <w:textAlignment w:val="baseline"/>
      </w:pPr>
      <w:r w:rsidRPr="00EA5D27">
        <w:t>Subregulation 195 (1) of CAR 1988 requires that the pilot in command and the operator of an aircraft must comply with the rules requiring lights to be displayed in relation to the aircraft at night and in conditions of poor visibility.</w:t>
      </w:r>
    </w:p>
    <w:p w:rsidR="00652C5D" w:rsidRPr="00EA5D27" w:rsidRDefault="00652C5D" w:rsidP="00652C5D">
      <w:pPr>
        <w:tabs>
          <w:tab w:val="right" w:pos="1134"/>
          <w:tab w:val="left" w:pos="1276"/>
          <w:tab w:val="right" w:pos="1843"/>
          <w:tab w:val="left" w:pos="1985"/>
          <w:tab w:val="right" w:pos="2552"/>
          <w:tab w:val="left" w:pos="2693"/>
        </w:tabs>
        <w:overflowPunct w:val="0"/>
        <w:autoSpaceDE w:val="0"/>
        <w:autoSpaceDN w:val="0"/>
        <w:adjustRightInd w:val="0"/>
        <w:textAlignment w:val="baseline"/>
      </w:pPr>
    </w:p>
    <w:p w:rsidR="00652C5D" w:rsidRPr="00EA5D27" w:rsidRDefault="00652C5D" w:rsidP="00652C5D">
      <w:pPr>
        <w:tabs>
          <w:tab w:val="right" w:pos="1134"/>
          <w:tab w:val="left" w:pos="1276"/>
          <w:tab w:val="right" w:pos="1843"/>
          <w:tab w:val="left" w:pos="1985"/>
          <w:tab w:val="right" w:pos="2552"/>
          <w:tab w:val="left" w:pos="2693"/>
        </w:tabs>
        <w:overflowPunct w:val="0"/>
        <w:autoSpaceDE w:val="0"/>
        <w:autoSpaceDN w:val="0"/>
        <w:adjustRightInd w:val="0"/>
        <w:textAlignment w:val="baseline"/>
      </w:pPr>
      <w:r w:rsidRPr="00EA5D27">
        <w:t xml:space="preserve">Subregulation 196 (1A) </w:t>
      </w:r>
      <w:r w:rsidR="00F672DC">
        <w:t xml:space="preserve">of CAR 1988 </w:t>
      </w:r>
      <w:r w:rsidRPr="00EA5D27">
        <w:t xml:space="preserve">provides that the </w:t>
      </w:r>
      <w:r w:rsidRPr="00F6441A">
        <w:t>operator</w:t>
      </w:r>
      <w:r w:rsidRPr="00EA5D27">
        <w:t xml:space="preserve"> and pilot in command of an aeroplane in flight, or operating on the manoeuvring area of a land aerodrome, must ensure that the lights required by </w:t>
      </w:r>
      <w:r w:rsidR="004A254A">
        <w:t xml:space="preserve">this </w:t>
      </w:r>
      <w:r w:rsidRPr="00EA5D27">
        <w:t xml:space="preserve">regulation </w:t>
      </w:r>
      <w:r>
        <w:t xml:space="preserve">196 </w:t>
      </w:r>
      <w:r w:rsidRPr="00EA5D27">
        <w:t>to be displayed on the aeroplane are displayed. Subregulation</w:t>
      </w:r>
      <w:r>
        <w:t> </w:t>
      </w:r>
      <w:r w:rsidRPr="00EA5D27">
        <w:t>196 (3) provides that unless CASA otherwise directs, an aeroplane in flight</w:t>
      </w:r>
      <w:r>
        <w:t>,</w:t>
      </w:r>
      <w:r w:rsidRPr="00EA5D27">
        <w:t xml:space="preserve"> or operating on the manoeuvring area of a land aerodrome</w:t>
      </w:r>
      <w:r>
        <w:t>,</w:t>
      </w:r>
      <w:r w:rsidRPr="00EA5D27">
        <w:t xml:space="preserve"> shall display, in addition to navigation lights, an anti-collision light consisting of a flashing red light.</w:t>
      </w:r>
    </w:p>
    <w:p w:rsidR="00AB1EB5" w:rsidRDefault="00AB1EB5" w:rsidP="005702EE"/>
    <w:p w:rsidR="00652C5D" w:rsidRPr="00CB41A3" w:rsidRDefault="00652C5D" w:rsidP="00652C5D">
      <w:r w:rsidRPr="00CB41A3">
        <w:t>Subregulation 11.160</w:t>
      </w:r>
      <w:r>
        <w:t> </w:t>
      </w:r>
      <w:r w:rsidRPr="00CB41A3">
        <w:t xml:space="preserve">(1) of the </w:t>
      </w:r>
      <w:r w:rsidRPr="00CB41A3">
        <w:rPr>
          <w:i/>
        </w:rPr>
        <w:t xml:space="preserve">Civil Aviation Safety Regulations 1998 </w:t>
      </w:r>
      <w:r w:rsidRPr="00CB41A3">
        <w:t>(</w:t>
      </w:r>
      <w:r w:rsidRPr="00CB41A3">
        <w:rPr>
          <w:b/>
          <w:i/>
        </w:rPr>
        <w:t>CASR 1998</w:t>
      </w:r>
      <w:r w:rsidRPr="00CB41A3">
        <w:t>) provides that, for subsection 98</w:t>
      </w:r>
      <w:r>
        <w:t> </w:t>
      </w:r>
      <w:r w:rsidRPr="00CB41A3">
        <w:t>(5A) of the Act, CASA may grant an exemption from a provision of the regulations, including CAR 1988, in relation to a matter mentioned in that subsection. Under subregulation 11.160</w:t>
      </w:r>
      <w:r>
        <w:t> </w:t>
      </w:r>
      <w:r w:rsidRPr="00CB41A3">
        <w:t>(2), an exemption may be granted to a person, or to a class of persons, and may specify the class by reference to membership of a specified body or any other characteristic.</w:t>
      </w:r>
      <w:r>
        <w:t xml:space="preserve"> </w:t>
      </w:r>
    </w:p>
    <w:p w:rsidR="00652C5D" w:rsidRDefault="00652C5D" w:rsidP="00652C5D">
      <w:pPr>
        <w:tabs>
          <w:tab w:val="left" w:pos="567"/>
        </w:tabs>
        <w:overflowPunct w:val="0"/>
        <w:autoSpaceDE w:val="0"/>
        <w:autoSpaceDN w:val="0"/>
        <w:adjustRightInd w:val="0"/>
        <w:textAlignment w:val="baseline"/>
      </w:pPr>
    </w:p>
    <w:p w:rsidR="00652C5D" w:rsidRDefault="00652C5D" w:rsidP="00652C5D">
      <w:pPr>
        <w:tabs>
          <w:tab w:val="left" w:pos="567"/>
        </w:tabs>
        <w:overflowPunct w:val="0"/>
        <w:autoSpaceDE w:val="0"/>
        <w:autoSpaceDN w:val="0"/>
        <w:adjustRightInd w:val="0"/>
        <w:textAlignment w:val="baseline"/>
      </w:pPr>
      <w:r w:rsidRPr="009967A6">
        <w:t xml:space="preserve">Under </w:t>
      </w:r>
      <w:proofErr w:type="spellStart"/>
      <w:r w:rsidRPr="009967A6">
        <w:t>subregulation</w:t>
      </w:r>
      <w:proofErr w:type="spellEnd"/>
      <w:r w:rsidRPr="009967A6">
        <w:t xml:space="preserve"> 11.205</w:t>
      </w:r>
      <w:r w:rsidR="009C49BB">
        <w:t> </w:t>
      </w:r>
      <w:r w:rsidRPr="009967A6">
        <w:t>(1) of CASR 1998, CASA may impose conditions on an exemption if this is necessary in the interests of the safety of a</w:t>
      </w:r>
      <w:r>
        <w:t>ir navigation. Under regulation </w:t>
      </w:r>
      <w:r w:rsidRPr="009967A6">
        <w:t xml:space="preserve">11.225 of CASR 1998, an exemption must be published on the Internet. Under </w:t>
      </w:r>
      <w:proofErr w:type="spellStart"/>
      <w:r w:rsidRPr="009967A6">
        <w:t>subre</w:t>
      </w:r>
      <w:r>
        <w:t>gulation</w:t>
      </w:r>
      <w:proofErr w:type="spellEnd"/>
      <w:r>
        <w:t> </w:t>
      </w:r>
      <w:r w:rsidRPr="009967A6">
        <w:t>11.230</w:t>
      </w:r>
      <w:r w:rsidR="009C49BB">
        <w:t> </w:t>
      </w:r>
      <w:r w:rsidRPr="009967A6">
        <w:t>(1), an exemption ceases on the day specified within it (but no longer than 3 years after its commencement) or, if no day is specified, 3 years after commencement.</w:t>
      </w:r>
    </w:p>
    <w:p w:rsidR="00652C5D" w:rsidRDefault="00652C5D" w:rsidP="00652C5D">
      <w:pPr>
        <w:tabs>
          <w:tab w:val="left" w:pos="567"/>
        </w:tabs>
        <w:overflowPunct w:val="0"/>
        <w:autoSpaceDE w:val="0"/>
        <w:autoSpaceDN w:val="0"/>
        <w:adjustRightInd w:val="0"/>
        <w:textAlignment w:val="baseline"/>
      </w:pPr>
    </w:p>
    <w:p w:rsidR="00652C5D" w:rsidRDefault="00652C5D" w:rsidP="00652C5D">
      <w:pPr>
        <w:pStyle w:val="PlainText"/>
        <w:rPr>
          <w:rFonts w:ascii="Times New Roman" w:hAnsi="Times New Roman" w:cs="Times New Roman"/>
          <w:sz w:val="24"/>
          <w:szCs w:val="24"/>
        </w:rPr>
      </w:pPr>
      <w:r>
        <w:rPr>
          <w:rFonts w:ascii="Times New Roman" w:hAnsi="Times New Roman" w:cs="Times New Roman"/>
          <w:sz w:val="24"/>
          <w:szCs w:val="24"/>
        </w:rPr>
        <w:t xml:space="preserve">Under subsection 33 (3) of the </w:t>
      </w:r>
      <w:r>
        <w:rPr>
          <w:rFonts w:ascii="Times New Roman" w:hAnsi="Times New Roman" w:cs="Times New Roman"/>
          <w:i/>
          <w:sz w:val="24"/>
          <w:szCs w:val="24"/>
        </w:rPr>
        <w:t>Acts Interpretation Act 1901</w:t>
      </w:r>
      <w:r>
        <w:rPr>
          <w:rFonts w:ascii="Times New Roman" w:hAnsi="Times New Roman" w:cs="Times New Roman"/>
          <w:sz w:val="24"/>
          <w:szCs w:val="24"/>
        </w:rPr>
        <w:t xml:space="preserve">, where an Act confers a power to make, grant or issue any instrument of a legislative or administrative character </w:t>
      </w:r>
      <w:r>
        <w:rPr>
          <w:rFonts w:ascii="Times New Roman" w:hAnsi="Times New Roman" w:cs="Times New Roman"/>
          <w:sz w:val="24"/>
          <w:szCs w:val="24"/>
        </w:rPr>
        <w:lastRenderedPageBreak/>
        <w:t>(including rules, regulations or by-laws)</w:t>
      </w:r>
      <w:r w:rsidR="004A254A">
        <w:rPr>
          <w:rFonts w:ascii="Times New Roman" w:hAnsi="Times New Roman" w:cs="Times New Roman"/>
          <w:sz w:val="24"/>
          <w:szCs w:val="24"/>
        </w:rPr>
        <w:t>,</w:t>
      </w:r>
      <w:r>
        <w:rPr>
          <w:rFonts w:ascii="Times New Roman" w:hAnsi="Times New Roman" w:cs="Times New Roman"/>
          <w:sz w:val="24"/>
          <w:szCs w:val="24"/>
        </w:rPr>
        <w:t xml:space="preserve"> the power shall be construed as including a power exercisable in the like manner and subject to the like conditions (if any) to repeal, rescind, revoke, amend, or vary any such instrument.</w:t>
      </w:r>
    </w:p>
    <w:p w:rsidR="00652C5D" w:rsidRDefault="00652C5D" w:rsidP="005702EE"/>
    <w:p w:rsidR="00652C5D" w:rsidRPr="00652C5D" w:rsidRDefault="00A908F0" w:rsidP="005702EE">
      <w:pPr>
        <w:rPr>
          <w:b/>
        </w:rPr>
      </w:pPr>
      <w:r>
        <w:rPr>
          <w:b/>
        </w:rPr>
        <w:t>Instrument</w:t>
      </w:r>
    </w:p>
    <w:p w:rsidR="00A908F0" w:rsidRDefault="00A908F0" w:rsidP="00A908F0">
      <w:r>
        <w:t xml:space="preserve">Aerorescue Pty Limited (the </w:t>
      </w:r>
      <w:r w:rsidRPr="00A908F0">
        <w:rPr>
          <w:b/>
          <w:i/>
        </w:rPr>
        <w:t>operator</w:t>
      </w:r>
      <w:r>
        <w:t xml:space="preserve">) operates fast, sophisticated turboprop aircraft at 5 locations around Australia that are equipped with surveillance equipment that can detect personnel, aircraft, and marine craft a long distance from their position. The operator is </w:t>
      </w:r>
      <w:r w:rsidR="004A254A">
        <w:t xml:space="preserve">contracted to </w:t>
      </w:r>
      <w:r>
        <w:t>various government agencies mentioned in Schedule 1 of the instrument to provide search and rescue capability, border protection or covert surveillance nationally. Some of these operations require that external lights on the aircraft not be turned on. The instrument will permit the operator to carry out covert surveillance without displaying some of the required lights.</w:t>
      </w:r>
    </w:p>
    <w:p w:rsidR="00A908F0" w:rsidRDefault="00A908F0" w:rsidP="00A908F0"/>
    <w:p w:rsidR="00652C5D" w:rsidRDefault="00A908F0" w:rsidP="00A908F0">
      <w:r>
        <w:t xml:space="preserve">To mitigate against the risks associated with such operations, conditions have been imposed in Schedule 2 of the instrument. The pilot in command and the operator must ensure that the ELTA Radar System is operative. </w:t>
      </w:r>
      <w:r w:rsidR="00A60DE3">
        <w:t>The operator’s a</w:t>
      </w:r>
      <w:r>
        <w:t>ircraft must not be closer</w:t>
      </w:r>
      <w:r w:rsidR="00A60DE3">
        <w:t xml:space="preserve"> than 10 nautical miles to </w:t>
      </w:r>
      <w:r>
        <w:t>another aircraft</w:t>
      </w:r>
      <w:r w:rsidR="00A60DE3">
        <w:t>, except in the case of a target aircraft where that</w:t>
      </w:r>
      <w:r>
        <w:t xml:space="preserve"> distance may be reduced to 3 nautical miles.</w:t>
      </w:r>
    </w:p>
    <w:p w:rsidR="00824DA5" w:rsidRDefault="00824DA5" w:rsidP="00A908F0"/>
    <w:p w:rsidR="00824DA5" w:rsidRDefault="00824DA5" w:rsidP="00A908F0">
      <w:r>
        <w:t>The instrument also repeals an existing exemption issued to the operator on the same terms (CASA EX14/12), which expires at the end of February 2015.</w:t>
      </w:r>
    </w:p>
    <w:p w:rsidR="00B51EF2" w:rsidRDefault="00B51EF2" w:rsidP="005702EE"/>
    <w:p w:rsidR="000C3636" w:rsidRDefault="000C3636" w:rsidP="000C3636">
      <w:pPr>
        <w:ind w:right="-1"/>
        <w:rPr>
          <w:b/>
        </w:rPr>
      </w:pPr>
      <w:r w:rsidRPr="00A60DE3">
        <w:rPr>
          <w:b/>
          <w:i/>
        </w:rPr>
        <w:t>Legislative Instruments Act</w:t>
      </w:r>
      <w:r w:rsidR="00A60DE3" w:rsidRPr="00A60DE3">
        <w:rPr>
          <w:b/>
          <w:i/>
        </w:rPr>
        <w:t xml:space="preserve"> 2003</w:t>
      </w:r>
      <w:r w:rsidR="00A60DE3">
        <w:rPr>
          <w:b/>
        </w:rPr>
        <w:t xml:space="preserve"> (</w:t>
      </w:r>
      <w:r w:rsidR="004A254A">
        <w:rPr>
          <w:b/>
        </w:rPr>
        <w:t xml:space="preserve">the </w:t>
      </w:r>
      <w:r w:rsidR="00A60DE3" w:rsidRPr="00A60DE3">
        <w:rPr>
          <w:b/>
          <w:i/>
        </w:rPr>
        <w:t>LIA</w:t>
      </w:r>
      <w:r w:rsidR="00A60DE3">
        <w:rPr>
          <w:b/>
        </w:rPr>
        <w:t>)</w:t>
      </w:r>
    </w:p>
    <w:p w:rsidR="000C3636" w:rsidRDefault="007D5D8B" w:rsidP="000C3636">
      <w:pPr>
        <w:rPr>
          <w:iCs/>
        </w:rPr>
      </w:pPr>
      <w:r>
        <w:t>Under subparagraph 6 (d) (</w:t>
      </w:r>
      <w:proofErr w:type="spellStart"/>
      <w:r>
        <w:t>i</w:t>
      </w:r>
      <w:proofErr w:type="spellEnd"/>
      <w:r>
        <w:t xml:space="preserve">) of the LIA, an instrument is a legislative instrument for section 5 of the LIA if it is declared to be a disallowable instrument under legislation in force before the commencement of the LIA. Under regulation 5A of CAR 1988, which was in force before the commencement of the LIA, if CASA has issued a CAO, and CASA later issues an exemption that affects the operation of the CAO, the later document is declared to be a disallowable instrument. This instrument exempts the operator from the requirements of clause 3 of Appendix V of CAO 20.18 and is, therefore, a legislative instrument.  As a legislative instrument, it is subject to tabling and </w:t>
      </w:r>
      <w:proofErr w:type="gramStart"/>
      <w:r>
        <w:t>disallowance</w:t>
      </w:r>
      <w:proofErr w:type="gramEnd"/>
      <w:r>
        <w:t xml:space="preserve"> in the Parliament under sections 38 and 42 of the LIA.</w:t>
      </w:r>
    </w:p>
    <w:p w:rsidR="009C7418" w:rsidRPr="000041C9" w:rsidRDefault="009C7418" w:rsidP="005702EE">
      <w:pPr>
        <w:ind w:right="-1"/>
        <w:rPr>
          <w:iCs/>
        </w:rPr>
      </w:pPr>
    </w:p>
    <w:p w:rsidR="005702EE" w:rsidRPr="000041C9" w:rsidRDefault="005702EE" w:rsidP="005702EE">
      <w:pPr>
        <w:keepNext/>
        <w:keepLines/>
        <w:rPr>
          <w:b/>
          <w:iCs/>
        </w:rPr>
      </w:pPr>
      <w:r w:rsidRPr="000041C9">
        <w:rPr>
          <w:b/>
          <w:iCs/>
        </w:rPr>
        <w:t>Consultation</w:t>
      </w:r>
    </w:p>
    <w:p w:rsidR="004E60C7" w:rsidRDefault="00A60DE3" w:rsidP="004E60C7">
      <w:pPr>
        <w:ind w:right="-1"/>
        <w:rPr>
          <w:iCs/>
          <w:color w:val="000000"/>
        </w:rPr>
      </w:pPr>
      <w:r>
        <w:t xml:space="preserve">The operator has applied for the renewal of the exemption. CASA has conducted an assessment process and is satisfied with the operator’s operational processes. </w:t>
      </w:r>
      <w:r w:rsidR="00DB198F">
        <w:t>I</w:t>
      </w:r>
      <w:r w:rsidR="00DB198F" w:rsidRPr="00DB750C">
        <w:rPr>
          <w:iCs/>
        </w:rPr>
        <w:t>t is CASA’s view that it is not necessary or appropriate to undertake any fur</w:t>
      </w:r>
      <w:r w:rsidR="00DB198F">
        <w:rPr>
          <w:iCs/>
        </w:rPr>
        <w:t>ther consultation under section </w:t>
      </w:r>
      <w:r w:rsidR="00DB198F" w:rsidRPr="00DB750C">
        <w:rPr>
          <w:iCs/>
        </w:rPr>
        <w:t>17 of the LIA.</w:t>
      </w:r>
    </w:p>
    <w:p w:rsidR="004E60C7" w:rsidRDefault="004E60C7" w:rsidP="004E60C7">
      <w:pPr>
        <w:ind w:right="-1"/>
        <w:rPr>
          <w:iCs/>
          <w:color w:val="000000"/>
        </w:rPr>
      </w:pPr>
    </w:p>
    <w:p w:rsidR="00D57A03" w:rsidRPr="00491732" w:rsidRDefault="003B223E" w:rsidP="00D57A03">
      <w:pPr>
        <w:keepNext/>
        <w:rPr>
          <w:b/>
        </w:rPr>
      </w:pPr>
      <w:r>
        <w:rPr>
          <w:b/>
        </w:rPr>
        <w:t>Making and c</w:t>
      </w:r>
      <w:r w:rsidR="00D57A03" w:rsidRPr="00491732">
        <w:rPr>
          <w:b/>
        </w:rPr>
        <w:t>ommencement</w:t>
      </w:r>
    </w:p>
    <w:p w:rsidR="00A60DE3" w:rsidRDefault="00A60DE3" w:rsidP="00A60DE3">
      <w:pPr>
        <w:ind w:right="-1"/>
      </w:pPr>
      <w:r>
        <w:t>The exemption has been made by a delegate of CASA relying on the power of delegation under subregulation 11.260 (1) of CASR 1998.</w:t>
      </w:r>
    </w:p>
    <w:p w:rsidR="003B223E" w:rsidRDefault="003B223E" w:rsidP="005702EE">
      <w:pPr>
        <w:ind w:right="-1"/>
      </w:pPr>
    </w:p>
    <w:p w:rsidR="005702EE" w:rsidRDefault="00DB198F" w:rsidP="005702EE">
      <w:pPr>
        <w:ind w:right="-1"/>
      </w:pPr>
      <w:r>
        <w:t xml:space="preserve">The instrument commences on </w:t>
      </w:r>
      <w:r w:rsidR="00A60DE3">
        <w:t xml:space="preserve">1 March 2015 </w:t>
      </w:r>
      <w:r w:rsidR="005702EE" w:rsidRPr="000041C9">
        <w:t xml:space="preserve">and </w:t>
      </w:r>
      <w:r w:rsidR="00950C30">
        <w:t>expires</w:t>
      </w:r>
      <w:r w:rsidR="005702EE" w:rsidRPr="000041C9">
        <w:t xml:space="preserve"> at the end of</w:t>
      </w:r>
      <w:r w:rsidR="00445435">
        <w:t xml:space="preserve"> </w:t>
      </w:r>
      <w:r w:rsidR="00A60DE3">
        <w:t>February</w:t>
      </w:r>
      <w:r w:rsidR="0070409F">
        <w:t> </w:t>
      </w:r>
      <w:r>
        <w:t>2018</w:t>
      </w:r>
      <w:r w:rsidR="001B1438">
        <w:t>, as if it had been repealed by another instrument</w:t>
      </w:r>
      <w:r w:rsidR="00B62591">
        <w:t>.</w:t>
      </w:r>
    </w:p>
    <w:p w:rsidR="00445435" w:rsidRPr="000041C9" w:rsidRDefault="00445435" w:rsidP="005702EE">
      <w:pPr>
        <w:ind w:right="-1"/>
      </w:pPr>
    </w:p>
    <w:p w:rsidR="00E62E50" w:rsidRDefault="00F925CF" w:rsidP="00445435">
      <w:pPr>
        <w:spacing w:before="120"/>
        <w:rPr>
          <w:sz w:val="20"/>
          <w:szCs w:val="20"/>
        </w:rPr>
      </w:pPr>
      <w:r>
        <w:rPr>
          <w:sz w:val="20"/>
          <w:szCs w:val="20"/>
        </w:rPr>
        <w:t>[Instrument number CASA</w:t>
      </w:r>
      <w:r w:rsidR="009C49BB">
        <w:rPr>
          <w:sz w:val="20"/>
          <w:szCs w:val="20"/>
        </w:rPr>
        <w:t> </w:t>
      </w:r>
      <w:r>
        <w:rPr>
          <w:sz w:val="20"/>
          <w:szCs w:val="20"/>
        </w:rPr>
        <w:t>EX</w:t>
      </w:r>
      <w:r w:rsidR="009C49BB">
        <w:rPr>
          <w:sz w:val="20"/>
          <w:szCs w:val="20"/>
        </w:rPr>
        <w:t>40</w:t>
      </w:r>
      <w:r w:rsidR="006B1974">
        <w:rPr>
          <w:sz w:val="20"/>
          <w:szCs w:val="20"/>
        </w:rPr>
        <w:t>/1</w:t>
      </w:r>
      <w:r w:rsidR="00DB198F">
        <w:rPr>
          <w:sz w:val="20"/>
          <w:szCs w:val="20"/>
        </w:rPr>
        <w:t>5</w:t>
      </w:r>
      <w:r w:rsidR="005702EE" w:rsidRPr="000041C9">
        <w:rPr>
          <w:sz w:val="20"/>
          <w:szCs w:val="20"/>
        </w:rPr>
        <w:t>]</w:t>
      </w:r>
    </w:p>
    <w:p w:rsidR="00044874" w:rsidRPr="00C4048F" w:rsidRDefault="00044874" w:rsidP="00044874">
      <w:pPr>
        <w:pageBreakBefore/>
        <w:jc w:val="right"/>
        <w:rPr>
          <w:b/>
          <w:sz w:val="26"/>
          <w:szCs w:val="26"/>
        </w:rPr>
      </w:pPr>
      <w:r w:rsidRPr="00C4048F">
        <w:rPr>
          <w:b/>
          <w:sz w:val="26"/>
          <w:szCs w:val="26"/>
        </w:rPr>
        <w:lastRenderedPageBreak/>
        <w:t>Attachment 1</w:t>
      </w:r>
    </w:p>
    <w:p w:rsidR="00044874" w:rsidRPr="00C4048F" w:rsidRDefault="00044874" w:rsidP="00044874">
      <w:pPr>
        <w:spacing w:before="480" w:after="120"/>
        <w:jc w:val="center"/>
        <w:rPr>
          <w:b/>
          <w:sz w:val="28"/>
          <w:szCs w:val="28"/>
        </w:rPr>
      </w:pPr>
      <w:r w:rsidRPr="00C4048F">
        <w:rPr>
          <w:b/>
          <w:sz w:val="28"/>
          <w:szCs w:val="28"/>
        </w:rPr>
        <w:t>Statement of Compatibility with Human Rights</w:t>
      </w:r>
    </w:p>
    <w:p w:rsidR="00044874" w:rsidRPr="00C4048F" w:rsidRDefault="00044874" w:rsidP="00044874">
      <w:pPr>
        <w:spacing w:before="360" w:after="480"/>
        <w:jc w:val="center"/>
        <w:rPr>
          <w:i/>
        </w:rPr>
      </w:pPr>
      <w:r w:rsidRPr="00C4048F">
        <w:rPr>
          <w:i/>
        </w:rPr>
        <w:t>Prepared in accordance with Part 3 of the</w:t>
      </w:r>
      <w:r w:rsidRPr="00C4048F">
        <w:rPr>
          <w:i/>
        </w:rPr>
        <w:br/>
        <w:t>Human Rights (Parliamentary Scrutiny) Act 2011</w:t>
      </w:r>
    </w:p>
    <w:p w:rsidR="00044874" w:rsidRPr="00044874" w:rsidRDefault="00044874" w:rsidP="00044874">
      <w:pPr>
        <w:spacing w:before="480" w:after="600"/>
        <w:contextualSpacing/>
        <w:jc w:val="center"/>
        <w:rPr>
          <w:b/>
        </w:rPr>
      </w:pPr>
      <w:r w:rsidRPr="00044874">
        <w:rPr>
          <w:b/>
        </w:rPr>
        <w:t>Exemption </w:t>
      </w:r>
      <w:r w:rsidR="003B64EB">
        <w:rPr>
          <w:b/>
        </w:rPr>
        <w:t>—</w:t>
      </w:r>
      <w:r w:rsidRPr="00044874">
        <w:rPr>
          <w:b/>
        </w:rPr>
        <w:t xml:space="preserve"> </w:t>
      </w:r>
      <w:r w:rsidR="00A60DE3" w:rsidRPr="00A60DE3">
        <w:rPr>
          <w:b/>
        </w:rPr>
        <w:t>navigation and anti-collision lights (Aerorescue)</w:t>
      </w:r>
    </w:p>
    <w:p w:rsidR="00044874" w:rsidRPr="00C4048F" w:rsidRDefault="00044874" w:rsidP="00044874">
      <w:pPr>
        <w:spacing w:before="1080" w:after="360"/>
        <w:jc w:val="center"/>
      </w:pPr>
      <w:r w:rsidRPr="0086388F">
        <w:t>This legislative instrument is compatible with the human rights and freedoms recognised or declared in the international instruments listed in section 3 of the</w:t>
      </w:r>
      <w:r w:rsidRPr="0086388F">
        <w:br/>
      </w:r>
      <w:r w:rsidRPr="0086388F">
        <w:rPr>
          <w:i/>
        </w:rPr>
        <w:t>Human Rights (Parliamentary Scrutiny) Act 2011</w:t>
      </w:r>
      <w:r w:rsidRPr="0086388F">
        <w:t>.</w:t>
      </w:r>
    </w:p>
    <w:p w:rsidR="00044874" w:rsidRPr="0086388F" w:rsidRDefault="00044874" w:rsidP="003B64EB">
      <w:pPr>
        <w:tabs>
          <w:tab w:val="left" w:pos="567"/>
          <w:tab w:val="left" w:pos="1134"/>
          <w:tab w:val="left" w:pos="1701"/>
          <w:tab w:val="left" w:pos="2268"/>
          <w:tab w:val="left" w:pos="2835"/>
          <w:tab w:val="left" w:pos="3402"/>
        </w:tabs>
        <w:rPr>
          <w:b/>
        </w:rPr>
      </w:pPr>
      <w:r w:rsidRPr="0086388F">
        <w:rPr>
          <w:b/>
        </w:rPr>
        <w:t>Overview of the legislative instrument</w:t>
      </w:r>
    </w:p>
    <w:p w:rsidR="00A80779" w:rsidRDefault="00A80779" w:rsidP="003B64EB">
      <w:pPr>
        <w:tabs>
          <w:tab w:val="left" w:pos="567"/>
          <w:tab w:val="left" w:pos="1134"/>
          <w:tab w:val="left" w:pos="1701"/>
          <w:tab w:val="left" w:pos="2268"/>
          <w:tab w:val="left" w:pos="2835"/>
          <w:tab w:val="left" w:pos="3402"/>
        </w:tabs>
      </w:pPr>
      <w:r>
        <w:t xml:space="preserve">The legislative instrument exempts Aerorescue Pty Limited (the </w:t>
      </w:r>
      <w:r w:rsidRPr="00A80779">
        <w:rPr>
          <w:b/>
          <w:i/>
        </w:rPr>
        <w:t>operator</w:t>
      </w:r>
      <w:r>
        <w:t xml:space="preserve">) from requirements </w:t>
      </w:r>
      <w:r w:rsidR="004A254A">
        <w:t>to</w:t>
      </w:r>
      <w:r>
        <w:t xml:space="preserve"> display navigation lights for the purpose of conducting search and rescue, surveillance and border protection operations on behalf of various government agencies. Some covert operations require that the navigation lights be turned off. </w:t>
      </w:r>
    </w:p>
    <w:p w:rsidR="00A80779" w:rsidRDefault="00A80779" w:rsidP="003B64EB">
      <w:pPr>
        <w:tabs>
          <w:tab w:val="left" w:pos="567"/>
          <w:tab w:val="left" w:pos="1134"/>
          <w:tab w:val="left" w:pos="1701"/>
          <w:tab w:val="left" w:pos="2268"/>
          <w:tab w:val="left" w:pos="2835"/>
          <w:tab w:val="left" w:pos="3402"/>
        </w:tabs>
      </w:pPr>
    </w:p>
    <w:p w:rsidR="00A80779" w:rsidRDefault="00A80779" w:rsidP="003B64EB">
      <w:pPr>
        <w:tabs>
          <w:tab w:val="left" w:pos="567"/>
          <w:tab w:val="left" w:pos="1134"/>
          <w:tab w:val="left" w:pos="1701"/>
          <w:tab w:val="left" w:pos="2268"/>
          <w:tab w:val="left" w:pos="2835"/>
          <w:tab w:val="left" w:pos="3402"/>
        </w:tabs>
      </w:pPr>
      <w:r>
        <w:t>The instrument is subject to conditions that CASA has imposed in the interests of aviation safety.</w:t>
      </w:r>
    </w:p>
    <w:p w:rsidR="004C3B35" w:rsidRDefault="004C3B35" w:rsidP="003B64EB">
      <w:pPr>
        <w:tabs>
          <w:tab w:val="left" w:pos="567"/>
          <w:tab w:val="left" w:pos="1134"/>
          <w:tab w:val="left" w:pos="1701"/>
          <w:tab w:val="left" w:pos="2268"/>
          <w:tab w:val="left" w:pos="2835"/>
          <w:tab w:val="left" w:pos="3402"/>
        </w:tabs>
      </w:pPr>
    </w:p>
    <w:p w:rsidR="00044874" w:rsidRPr="0086388F" w:rsidRDefault="00044874" w:rsidP="003B64EB">
      <w:pPr>
        <w:tabs>
          <w:tab w:val="left" w:pos="567"/>
          <w:tab w:val="left" w:pos="1134"/>
          <w:tab w:val="left" w:pos="1701"/>
          <w:tab w:val="left" w:pos="2268"/>
          <w:tab w:val="left" w:pos="2835"/>
          <w:tab w:val="left" w:pos="3402"/>
        </w:tabs>
        <w:rPr>
          <w:b/>
          <w:lang w:val="en-US"/>
        </w:rPr>
      </w:pPr>
      <w:r w:rsidRPr="0086388F">
        <w:rPr>
          <w:b/>
        </w:rPr>
        <w:t>Human rights implications</w:t>
      </w:r>
    </w:p>
    <w:p w:rsidR="00044874" w:rsidRDefault="00044874" w:rsidP="003B64EB">
      <w:pPr>
        <w:tabs>
          <w:tab w:val="left" w:pos="567"/>
          <w:tab w:val="left" w:pos="1134"/>
          <w:tab w:val="left" w:pos="1701"/>
          <w:tab w:val="left" w:pos="2268"/>
          <w:tab w:val="left" w:pos="2835"/>
          <w:tab w:val="left" w:pos="3402"/>
        </w:tabs>
      </w:pPr>
      <w:r w:rsidRPr="0086388F">
        <w:t>This legislative instrument does not engage any of the applicable rights or freedoms.</w:t>
      </w:r>
    </w:p>
    <w:p w:rsidR="003B64EB" w:rsidRPr="0086388F" w:rsidRDefault="003B64EB" w:rsidP="003B64EB">
      <w:pPr>
        <w:tabs>
          <w:tab w:val="left" w:pos="567"/>
          <w:tab w:val="left" w:pos="1134"/>
          <w:tab w:val="left" w:pos="1701"/>
          <w:tab w:val="left" w:pos="2268"/>
          <w:tab w:val="left" w:pos="2835"/>
          <w:tab w:val="left" w:pos="3402"/>
        </w:tabs>
      </w:pPr>
    </w:p>
    <w:p w:rsidR="00044874" w:rsidRPr="0086388F" w:rsidRDefault="00044874" w:rsidP="003B64EB">
      <w:pPr>
        <w:tabs>
          <w:tab w:val="left" w:pos="567"/>
          <w:tab w:val="left" w:pos="1134"/>
          <w:tab w:val="left" w:pos="1701"/>
          <w:tab w:val="left" w:pos="2268"/>
          <w:tab w:val="left" w:pos="2835"/>
          <w:tab w:val="left" w:pos="3402"/>
        </w:tabs>
        <w:rPr>
          <w:b/>
        </w:rPr>
      </w:pPr>
      <w:r w:rsidRPr="0086388F">
        <w:rPr>
          <w:b/>
        </w:rPr>
        <w:t>Conclusion</w:t>
      </w:r>
    </w:p>
    <w:p w:rsidR="00044874" w:rsidRPr="0086388F" w:rsidRDefault="00044874" w:rsidP="003B64EB">
      <w:pPr>
        <w:tabs>
          <w:tab w:val="left" w:pos="567"/>
          <w:tab w:val="left" w:pos="1134"/>
          <w:tab w:val="left" w:pos="1701"/>
          <w:tab w:val="left" w:pos="2268"/>
          <w:tab w:val="left" w:pos="2835"/>
          <w:tab w:val="left" w:pos="3402"/>
        </w:tabs>
      </w:pPr>
      <w:r w:rsidRPr="0086388F">
        <w:t>This legislative instrument is compatible with human rights as it does not raise any human rights issues.</w:t>
      </w:r>
    </w:p>
    <w:p w:rsidR="00044874" w:rsidRPr="0086388F" w:rsidRDefault="00044874" w:rsidP="00044874">
      <w:pPr>
        <w:tabs>
          <w:tab w:val="left" w:pos="567"/>
          <w:tab w:val="left" w:pos="1134"/>
          <w:tab w:val="left" w:pos="1701"/>
          <w:tab w:val="left" w:pos="2268"/>
          <w:tab w:val="left" w:pos="2835"/>
          <w:tab w:val="left" w:pos="3402"/>
        </w:tabs>
        <w:spacing w:before="360"/>
        <w:jc w:val="center"/>
      </w:pPr>
      <w:r w:rsidRPr="0086388F">
        <w:rPr>
          <w:b/>
          <w:bCs/>
        </w:rPr>
        <w:t>Civil Aviation Safety Authority</w:t>
      </w:r>
    </w:p>
    <w:sectPr w:rsidR="00044874" w:rsidRPr="0086388F" w:rsidSect="00B62591">
      <w:headerReference w:type="default" r:id="rId8"/>
      <w:footerReference w:type="even" r:id="rId9"/>
      <w:footerReference w:type="default" r:id="rId10"/>
      <w:pgSz w:w="11907" w:h="16840" w:code="9"/>
      <w:pgMar w:top="1304" w:right="1701" w:bottom="851"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474" w:rsidRDefault="00155474">
      <w:r>
        <w:separator/>
      </w:r>
    </w:p>
  </w:endnote>
  <w:endnote w:type="continuationSeparator" w:id="0">
    <w:p w:rsidR="00155474" w:rsidRDefault="0015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74" w:rsidRDefault="00155474" w:rsidP="005702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7852">
      <w:rPr>
        <w:rStyle w:val="PageNumber"/>
        <w:noProof/>
      </w:rPr>
      <w:t>3</w:t>
    </w:r>
    <w:r>
      <w:rPr>
        <w:rStyle w:val="PageNumber"/>
      </w:rPr>
      <w:fldChar w:fldCharType="end"/>
    </w:r>
  </w:p>
  <w:p w:rsidR="00155474" w:rsidRDefault="00155474" w:rsidP="005702EE">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74" w:rsidRDefault="00155474" w:rsidP="004454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474" w:rsidRDefault="00155474">
      <w:r>
        <w:separator/>
      </w:r>
    </w:p>
  </w:footnote>
  <w:footnote w:type="continuationSeparator" w:id="0">
    <w:p w:rsidR="00155474" w:rsidRDefault="00155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695605312"/>
      <w:docPartObj>
        <w:docPartGallery w:val="Page Numbers (Top of Page)"/>
        <w:docPartUnique/>
      </w:docPartObj>
    </w:sdtPr>
    <w:sdtEndPr>
      <w:rPr>
        <w:noProof/>
      </w:rPr>
    </w:sdtEndPr>
    <w:sdtContent>
      <w:p w:rsidR="00155474" w:rsidRPr="00B62591" w:rsidRDefault="00155474">
        <w:pPr>
          <w:pStyle w:val="Header"/>
          <w:jc w:val="center"/>
          <w:rPr>
            <w:rFonts w:ascii="Times New Roman" w:hAnsi="Times New Roman"/>
          </w:rPr>
        </w:pPr>
        <w:r w:rsidRPr="00B62591">
          <w:rPr>
            <w:rFonts w:ascii="Times New Roman" w:hAnsi="Times New Roman"/>
          </w:rPr>
          <w:fldChar w:fldCharType="begin"/>
        </w:r>
        <w:r w:rsidRPr="00B62591">
          <w:rPr>
            <w:rFonts w:ascii="Times New Roman" w:hAnsi="Times New Roman"/>
          </w:rPr>
          <w:instrText xml:space="preserve"> PAGE   \* MERGEFORMAT </w:instrText>
        </w:r>
        <w:r w:rsidRPr="00B62591">
          <w:rPr>
            <w:rFonts w:ascii="Times New Roman" w:hAnsi="Times New Roman"/>
          </w:rPr>
          <w:fldChar w:fldCharType="separate"/>
        </w:r>
        <w:r w:rsidR="00ED6282">
          <w:rPr>
            <w:rFonts w:ascii="Times New Roman" w:hAnsi="Times New Roman"/>
            <w:noProof/>
          </w:rPr>
          <w:t>3</w:t>
        </w:r>
        <w:r w:rsidRPr="00B62591">
          <w:rPr>
            <w:rFonts w:ascii="Times New Roman" w:hAnsi="Times New Roman"/>
            <w:noProof/>
          </w:rPr>
          <w:fldChar w:fldCharType="end"/>
        </w:r>
      </w:p>
    </w:sdtContent>
  </w:sdt>
  <w:p w:rsidR="00155474" w:rsidRPr="00B62591" w:rsidRDefault="00155474" w:rsidP="006B1974">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2EE"/>
    <w:rsid w:val="00003B14"/>
    <w:rsid w:val="000041C9"/>
    <w:rsid w:val="00012C56"/>
    <w:rsid w:val="00017158"/>
    <w:rsid w:val="00021585"/>
    <w:rsid w:val="00023885"/>
    <w:rsid w:val="00027468"/>
    <w:rsid w:val="0003572D"/>
    <w:rsid w:val="00035CC5"/>
    <w:rsid w:val="00037517"/>
    <w:rsid w:val="00037F3F"/>
    <w:rsid w:val="00041E3B"/>
    <w:rsid w:val="00042FF0"/>
    <w:rsid w:val="00044874"/>
    <w:rsid w:val="00052800"/>
    <w:rsid w:val="00056AD9"/>
    <w:rsid w:val="0006128F"/>
    <w:rsid w:val="00073D09"/>
    <w:rsid w:val="00074F64"/>
    <w:rsid w:val="000754C6"/>
    <w:rsid w:val="00080DA3"/>
    <w:rsid w:val="0008356A"/>
    <w:rsid w:val="00091A41"/>
    <w:rsid w:val="00097604"/>
    <w:rsid w:val="00097F3B"/>
    <w:rsid w:val="000A0A11"/>
    <w:rsid w:val="000A1533"/>
    <w:rsid w:val="000A231B"/>
    <w:rsid w:val="000A508A"/>
    <w:rsid w:val="000B0272"/>
    <w:rsid w:val="000B0B3A"/>
    <w:rsid w:val="000B3A81"/>
    <w:rsid w:val="000B702C"/>
    <w:rsid w:val="000C030B"/>
    <w:rsid w:val="000C3636"/>
    <w:rsid w:val="000C390D"/>
    <w:rsid w:val="000C44A7"/>
    <w:rsid w:val="000D1C61"/>
    <w:rsid w:val="000D34A6"/>
    <w:rsid w:val="000E518C"/>
    <w:rsid w:val="000F0E3E"/>
    <w:rsid w:val="000F36B1"/>
    <w:rsid w:val="000F67FB"/>
    <w:rsid w:val="000F6DB1"/>
    <w:rsid w:val="000F752C"/>
    <w:rsid w:val="001044E5"/>
    <w:rsid w:val="00105D95"/>
    <w:rsid w:val="0010652F"/>
    <w:rsid w:val="00107DEA"/>
    <w:rsid w:val="001129D2"/>
    <w:rsid w:val="00133ED3"/>
    <w:rsid w:val="0013466D"/>
    <w:rsid w:val="001367CF"/>
    <w:rsid w:val="00150E36"/>
    <w:rsid w:val="00152540"/>
    <w:rsid w:val="00155474"/>
    <w:rsid w:val="0016505C"/>
    <w:rsid w:val="00166530"/>
    <w:rsid w:val="001737E8"/>
    <w:rsid w:val="00185893"/>
    <w:rsid w:val="0019198E"/>
    <w:rsid w:val="001A0A47"/>
    <w:rsid w:val="001A15C5"/>
    <w:rsid w:val="001A17CF"/>
    <w:rsid w:val="001A2260"/>
    <w:rsid w:val="001A270A"/>
    <w:rsid w:val="001A391B"/>
    <w:rsid w:val="001A6B05"/>
    <w:rsid w:val="001A7852"/>
    <w:rsid w:val="001A7E93"/>
    <w:rsid w:val="001B1438"/>
    <w:rsid w:val="001B2AF0"/>
    <w:rsid w:val="001B33CD"/>
    <w:rsid w:val="001B648E"/>
    <w:rsid w:val="001C4DA9"/>
    <w:rsid w:val="001C5E94"/>
    <w:rsid w:val="001D01A7"/>
    <w:rsid w:val="001D1878"/>
    <w:rsid w:val="001D3791"/>
    <w:rsid w:val="001D6037"/>
    <w:rsid w:val="001D72D6"/>
    <w:rsid w:val="001E4085"/>
    <w:rsid w:val="001E4666"/>
    <w:rsid w:val="001F084F"/>
    <w:rsid w:val="001F2F15"/>
    <w:rsid w:val="001F52C2"/>
    <w:rsid w:val="002003AD"/>
    <w:rsid w:val="0020102D"/>
    <w:rsid w:val="00202DAB"/>
    <w:rsid w:val="002070D7"/>
    <w:rsid w:val="0021027F"/>
    <w:rsid w:val="00210BA6"/>
    <w:rsid w:val="00212BE7"/>
    <w:rsid w:val="00213451"/>
    <w:rsid w:val="00213652"/>
    <w:rsid w:val="00213686"/>
    <w:rsid w:val="002263DF"/>
    <w:rsid w:val="00226441"/>
    <w:rsid w:val="00227954"/>
    <w:rsid w:val="00227D6B"/>
    <w:rsid w:val="00227DD6"/>
    <w:rsid w:val="002314A8"/>
    <w:rsid w:val="00231EC9"/>
    <w:rsid w:val="00234397"/>
    <w:rsid w:val="00243C93"/>
    <w:rsid w:val="0024528C"/>
    <w:rsid w:val="00245C45"/>
    <w:rsid w:val="002524B4"/>
    <w:rsid w:val="002527A8"/>
    <w:rsid w:val="00253475"/>
    <w:rsid w:val="002555EE"/>
    <w:rsid w:val="00256199"/>
    <w:rsid w:val="00257427"/>
    <w:rsid w:val="00263143"/>
    <w:rsid w:val="00264D4C"/>
    <w:rsid w:val="002663F4"/>
    <w:rsid w:val="00271916"/>
    <w:rsid w:val="00281894"/>
    <w:rsid w:val="002839BD"/>
    <w:rsid w:val="002855AD"/>
    <w:rsid w:val="002857B0"/>
    <w:rsid w:val="00287AC6"/>
    <w:rsid w:val="0029131D"/>
    <w:rsid w:val="002917CD"/>
    <w:rsid w:val="00292C68"/>
    <w:rsid w:val="00295AB8"/>
    <w:rsid w:val="002A3444"/>
    <w:rsid w:val="002A4E5D"/>
    <w:rsid w:val="002A706F"/>
    <w:rsid w:val="002B0B5E"/>
    <w:rsid w:val="002B0E57"/>
    <w:rsid w:val="002B1582"/>
    <w:rsid w:val="002C05D0"/>
    <w:rsid w:val="002C2DBF"/>
    <w:rsid w:val="002C60CB"/>
    <w:rsid w:val="002C6415"/>
    <w:rsid w:val="002C745C"/>
    <w:rsid w:val="002C759E"/>
    <w:rsid w:val="002D63AC"/>
    <w:rsid w:val="002E1A0D"/>
    <w:rsid w:val="002E73B6"/>
    <w:rsid w:val="002E742C"/>
    <w:rsid w:val="002F053F"/>
    <w:rsid w:val="002F10C7"/>
    <w:rsid w:val="002F5102"/>
    <w:rsid w:val="002F6724"/>
    <w:rsid w:val="00306145"/>
    <w:rsid w:val="00307001"/>
    <w:rsid w:val="0031166F"/>
    <w:rsid w:val="0031314F"/>
    <w:rsid w:val="00314661"/>
    <w:rsid w:val="00316D77"/>
    <w:rsid w:val="003212A9"/>
    <w:rsid w:val="0032162F"/>
    <w:rsid w:val="003246BE"/>
    <w:rsid w:val="00335E96"/>
    <w:rsid w:val="00341B39"/>
    <w:rsid w:val="003435C2"/>
    <w:rsid w:val="00344242"/>
    <w:rsid w:val="003457A9"/>
    <w:rsid w:val="00346625"/>
    <w:rsid w:val="00353EEB"/>
    <w:rsid w:val="0035429F"/>
    <w:rsid w:val="00354BFA"/>
    <w:rsid w:val="003631B7"/>
    <w:rsid w:val="00363885"/>
    <w:rsid w:val="00366145"/>
    <w:rsid w:val="0036760C"/>
    <w:rsid w:val="00385B9B"/>
    <w:rsid w:val="00385CBE"/>
    <w:rsid w:val="0039069C"/>
    <w:rsid w:val="003956CA"/>
    <w:rsid w:val="00396FD8"/>
    <w:rsid w:val="003A0B44"/>
    <w:rsid w:val="003A45AB"/>
    <w:rsid w:val="003A4D48"/>
    <w:rsid w:val="003B1561"/>
    <w:rsid w:val="003B223E"/>
    <w:rsid w:val="003B4E08"/>
    <w:rsid w:val="003B64EB"/>
    <w:rsid w:val="003C3758"/>
    <w:rsid w:val="003C5E66"/>
    <w:rsid w:val="003D0DA6"/>
    <w:rsid w:val="003D1AAF"/>
    <w:rsid w:val="003D1ACC"/>
    <w:rsid w:val="003D1C54"/>
    <w:rsid w:val="003D33C2"/>
    <w:rsid w:val="003D36C6"/>
    <w:rsid w:val="003D7B25"/>
    <w:rsid w:val="003E0F19"/>
    <w:rsid w:val="003E1F77"/>
    <w:rsid w:val="003E4556"/>
    <w:rsid w:val="003F3793"/>
    <w:rsid w:val="003F3C95"/>
    <w:rsid w:val="003F56A3"/>
    <w:rsid w:val="0040083A"/>
    <w:rsid w:val="00402863"/>
    <w:rsid w:val="00404BD6"/>
    <w:rsid w:val="00405823"/>
    <w:rsid w:val="0041199B"/>
    <w:rsid w:val="004124B3"/>
    <w:rsid w:val="00413647"/>
    <w:rsid w:val="00413D4A"/>
    <w:rsid w:val="00420CD6"/>
    <w:rsid w:val="0042226D"/>
    <w:rsid w:val="00422BEE"/>
    <w:rsid w:val="00424B94"/>
    <w:rsid w:val="004261D1"/>
    <w:rsid w:val="00427DFD"/>
    <w:rsid w:val="00434478"/>
    <w:rsid w:val="00440BF0"/>
    <w:rsid w:val="00443AB0"/>
    <w:rsid w:val="00445435"/>
    <w:rsid w:val="00447BBE"/>
    <w:rsid w:val="0045043E"/>
    <w:rsid w:val="004529F8"/>
    <w:rsid w:val="00452DBC"/>
    <w:rsid w:val="00456630"/>
    <w:rsid w:val="00460D03"/>
    <w:rsid w:val="00462376"/>
    <w:rsid w:val="00462396"/>
    <w:rsid w:val="004634D0"/>
    <w:rsid w:val="00466B05"/>
    <w:rsid w:val="00467174"/>
    <w:rsid w:val="0048268F"/>
    <w:rsid w:val="00482CD3"/>
    <w:rsid w:val="00483361"/>
    <w:rsid w:val="00486324"/>
    <w:rsid w:val="00491620"/>
    <w:rsid w:val="00491CE3"/>
    <w:rsid w:val="00495E61"/>
    <w:rsid w:val="004A1731"/>
    <w:rsid w:val="004A254A"/>
    <w:rsid w:val="004A3F80"/>
    <w:rsid w:val="004A685E"/>
    <w:rsid w:val="004B431F"/>
    <w:rsid w:val="004C11F6"/>
    <w:rsid w:val="004C35A5"/>
    <w:rsid w:val="004C3B35"/>
    <w:rsid w:val="004C752D"/>
    <w:rsid w:val="004C7D2A"/>
    <w:rsid w:val="004D21B9"/>
    <w:rsid w:val="004E1F8C"/>
    <w:rsid w:val="004E24D2"/>
    <w:rsid w:val="004E3FFA"/>
    <w:rsid w:val="004E60A2"/>
    <w:rsid w:val="004E60C7"/>
    <w:rsid w:val="004F2C27"/>
    <w:rsid w:val="00500B3D"/>
    <w:rsid w:val="00504A70"/>
    <w:rsid w:val="00510D24"/>
    <w:rsid w:val="005154D2"/>
    <w:rsid w:val="0052459C"/>
    <w:rsid w:val="00531A7C"/>
    <w:rsid w:val="00532DFD"/>
    <w:rsid w:val="00533F37"/>
    <w:rsid w:val="00542583"/>
    <w:rsid w:val="005432E6"/>
    <w:rsid w:val="00543ADC"/>
    <w:rsid w:val="00545287"/>
    <w:rsid w:val="0055200B"/>
    <w:rsid w:val="005530A0"/>
    <w:rsid w:val="005627CF"/>
    <w:rsid w:val="00564ADF"/>
    <w:rsid w:val="00564BB6"/>
    <w:rsid w:val="00566335"/>
    <w:rsid w:val="005672E6"/>
    <w:rsid w:val="005702EE"/>
    <w:rsid w:val="00570F89"/>
    <w:rsid w:val="00571DD1"/>
    <w:rsid w:val="005764AC"/>
    <w:rsid w:val="0057698C"/>
    <w:rsid w:val="00577040"/>
    <w:rsid w:val="00581EE8"/>
    <w:rsid w:val="00582290"/>
    <w:rsid w:val="005837E8"/>
    <w:rsid w:val="00584BF8"/>
    <w:rsid w:val="00596FC5"/>
    <w:rsid w:val="005A0E95"/>
    <w:rsid w:val="005A1E97"/>
    <w:rsid w:val="005A2874"/>
    <w:rsid w:val="005A2D37"/>
    <w:rsid w:val="005A5354"/>
    <w:rsid w:val="005A57F1"/>
    <w:rsid w:val="005C152D"/>
    <w:rsid w:val="005D2C83"/>
    <w:rsid w:val="005D78AD"/>
    <w:rsid w:val="005D7F98"/>
    <w:rsid w:val="005E024D"/>
    <w:rsid w:val="005E037A"/>
    <w:rsid w:val="005E0CDA"/>
    <w:rsid w:val="005E4906"/>
    <w:rsid w:val="005E7074"/>
    <w:rsid w:val="005F18D2"/>
    <w:rsid w:val="006011CD"/>
    <w:rsid w:val="00601F83"/>
    <w:rsid w:val="00603B8A"/>
    <w:rsid w:val="00605B6F"/>
    <w:rsid w:val="00614BC1"/>
    <w:rsid w:val="00623CEB"/>
    <w:rsid w:val="00625570"/>
    <w:rsid w:val="006309E6"/>
    <w:rsid w:val="0063597C"/>
    <w:rsid w:val="00642DB5"/>
    <w:rsid w:val="00652C5D"/>
    <w:rsid w:val="0065642E"/>
    <w:rsid w:val="006577D7"/>
    <w:rsid w:val="00661EC2"/>
    <w:rsid w:val="00663202"/>
    <w:rsid w:val="0066628E"/>
    <w:rsid w:val="006710DC"/>
    <w:rsid w:val="006714A3"/>
    <w:rsid w:val="00672696"/>
    <w:rsid w:val="00672A3A"/>
    <w:rsid w:val="006730B5"/>
    <w:rsid w:val="00673C5B"/>
    <w:rsid w:val="00676F77"/>
    <w:rsid w:val="00680AB7"/>
    <w:rsid w:val="00681189"/>
    <w:rsid w:val="00683204"/>
    <w:rsid w:val="00685B10"/>
    <w:rsid w:val="00692177"/>
    <w:rsid w:val="006956E6"/>
    <w:rsid w:val="00696CA9"/>
    <w:rsid w:val="006A17AD"/>
    <w:rsid w:val="006A520A"/>
    <w:rsid w:val="006A5F4A"/>
    <w:rsid w:val="006A74B0"/>
    <w:rsid w:val="006B1974"/>
    <w:rsid w:val="006C019F"/>
    <w:rsid w:val="006C2410"/>
    <w:rsid w:val="006E18AD"/>
    <w:rsid w:val="006E7AF2"/>
    <w:rsid w:val="006F2783"/>
    <w:rsid w:val="0070166A"/>
    <w:rsid w:val="0070409F"/>
    <w:rsid w:val="00704962"/>
    <w:rsid w:val="00705147"/>
    <w:rsid w:val="00707B50"/>
    <w:rsid w:val="00713B98"/>
    <w:rsid w:val="007222AC"/>
    <w:rsid w:val="00722B53"/>
    <w:rsid w:val="0072404B"/>
    <w:rsid w:val="00733C93"/>
    <w:rsid w:val="00735B91"/>
    <w:rsid w:val="007411B2"/>
    <w:rsid w:val="00741983"/>
    <w:rsid w:val="00750BF2"/>
    <w:rsid w:val="00750EA9"/>
    <w:rsid w:val="00751CA4"/>
    <w:rsid w:val="007542E1"/>
    <w:rsid w:val="00755423"/>
    <w:rsid w:val="00755956"/>
    <w:rsid w:val="0075668B"/>
    <w:rsid w:val="0076176D"/>
    <w:rsid w:val="007619EF"/>
    <w:rsid w:val="00765926"/>
    <w:rsid w:val="00766743"/>
    <w:rsid w:val="00766DE7"/>
    <w:rsid w:val="00780994"/>
    <w:rsid w:val="007817D6"/>
    <w:rsid w:val="00782BEA"/>
    <w:rsid w:val="00783860"/>
    <w:rsid w:val="00794127"/>
    <w:rsid w:val="007A397D"/>
    <w:rsid w:val="007A68FD"/>
    <w:rsid w:val="007B17DD"/>
    <w:rsid w:val="007B419C"/>
    <w:rsid w:val="007B54FA"/>
    <w:rsid w:val="007B7CFF"/>
    <w:rsid w:val="007C3A42"/>
    <w:rsid w:val="007D4286"/>
    <w:rsid w:val="007D5D5C"/>
    <w:rsid w:val="007D5D8B"/>
    <w:rsid w:val="007F0969"/>
    <w:rsid w:val="007F12DE"/>
    <w:rsid w:val="007F23D8"/>
    <w:rsid w:val="007F2FE3"/>
    <w:rsid w:val="007F312D"/>
    <w:rsid w:val="007F587A"/>
    <w:rsid w:val="007F68D6"/>
    <w:rsid w:val="00800A0E"/>
    <w:rsid w:val="008024AA"/>
    <w:rsid w:val="008029DF"/>
    <w:rsid w:val="00804F4D"/>
    <w:rsid w:val="008064EF"/>
    <w:rsid w:val="00807B3C"/>
    <w:rsid w:val="008119D3"/>
    <w:rsid w:val="00824AB0"/>
    <w:rsid w:val="00824DA5"/>
    <w:rsid w:val="00824F8E"/>
    <w:rsid w:val="00830A3F"/>
    <w:rsid w:val="00830D7B"/>
    <w:rsid w:val="00831FA0"/>
    <w:rsid w:val="00832347"/>
    <w:rsid w:val="00832361"/>
    <w:rsid w:val="00834F69"/>
    <w:rsid w:val="008358D4"/>
    <w:rsid w:val="00837C6D"/>
    <w:rsid w:val="00847428"/>
    <w:rsid w:val="008517FB"/>
    <w:rsid w:val="00855ED6"/>
    <w:rsid w:val="00856453"/>
    <w:rsid w:val="0086555B"/>
    <w:rsid w:val="0087585F"/>
    <w:rsid w:val="008861D8"/>
    <w:rsid w:val="00887ED6"/>
    <w:rsid w:val="0089026A"/>
    <w:rsid w:val="00891438"/>
    <w:rsid w:val="00892600"/>
    <w:rsid w:val="00895354"/>
    <w:rsid w:val="008A01C0"/>
    <w:rsid w:val="008A4039"/>
    <w:rsid w:val="008B00BC"/>
    <w:rsid w:val="008B48DE"/>
    <w:rsid w:val="008B5E2A"/>
    <w:rsid w:val="008B6D9D"/>
    <w:rsid w:val="008C2ED6"/>
    <w:rsid w:val="008D4EB3"/>
    <w:rsid w:val="008D6A20"/>
    <w:rsid w:val="008D6C84"/>
    <w:rsid w:val="008E474A"/>
    <w:rsid w:val="008E5178"/>
    <w:rsid w:val="008F7193"/>
    <w:rsid w:val="008F7842"/>
    <w:rsid w:val="009076AF"/>
    <w:rsid w:val="00910C8D"/>
    <w:rsid w:val="00911672"/>
    <w:rsid w:val="00912F08"/>
    <w:rsid w:val="00921607"/>
    <w:rsid w:val="00922ECC"/>
    <w:rsid w:val="00923ED0"/>
    <w:rsid w:val="009256CB"/>
    <w:rsid w:val="0093005F"/>
    <w:rsid w:val="00933149"/>
    <w:rsid w:val="00934094"/>
    <w:rsid w:val="00940773"/>
    <w:rsid w:val="00950C30"/>
    <w:rsid w:val="00951D7E"/>
    <w:rsid w:val="0095250E"/>
    <w:rsid w:val="00952A4F"/>
    <w:rsid w:val="009534EE"/>
    <w:rsid w:val="00955877"/>
    <w:rsid w:val="009600F6"/>
    <w:rsid w:val="00960C6A"/>
    <w:rsid w:val="009616E7"/>
    <w:rsid w:val="009636C2"/>
    <w:rsid w:val="00967213"/>
    <w:rsid w:val="0097144B"/>
    <w:rsid w:val="00973BFE"/>
    <w:rsid w:val="00973C92"/>
    <w:rsid w:val="00981D60"/>
    <w:rsid w:val="00982999"/>
    <w:rsid w:val="009833B5"/>
    <w:rsid w:val="00987890"/>
    <w:rsid w:val="0099298E"/>
    <w:rsid w:val="00992AA4"/>
    <w:rsid w:val="00993C7C"/>
    <w:rsid w:val="009959B1"/>
    <w:rsid w:val="009A04A0"/>
    <w:rsid w:val="009A0E1B"/>
    <w:rsid w:val="009A1297"/>
    <w:rsid w:val="009A650A"/>
    <w:rsid w:val="009B084E"/>
    <w:rsid w:val="009B1486"/>
    <w:rsid w:val="009B2D0B"/>
    <w:rsid w:val="009B6FF4"/>
    <w:rsid w:val="009C1585"/>
    <w:rsid w:val="009C2683"/>
    <w:rsid w:val="009C3859"/>
    <w:rsid w:val="009C49BB"/>
    <w:rsid w:val="009C59A0"/>
    <w:rsid w:val="009C6D7B"/>
    <w:rsid w:val="009C7418"/>
    <w:rsid w:val="009D1DBE"/>
    <w:rsid w:val="009D2A13"/>
    <w:rsid w:val="009D43C2"/>
    <w:rsid w:val="009D5408"/>
    <w:rsid w:val="009D55D2"/>
    <w:rsid w:val="009E2C4B"/>
    <w:rsid w:val="009E6FA2"/>
    <w:rsid w:val="009F4CC2"/>
    <w:rsid w:val="009F4DB4"/>
    <w:rsid w:val="009F7EFE"/>
    <w:rsid w:val="00A10187"/>
    <w:rsid w:val="00A11E54"/>
    <w:rsid w:val="00A25C43"/>
    <w:rsid w:val="00A27138"/>
    <w:rsid w:val="00A27622"/>
    <w:rsid w:val="00A27FB1"/>
    <w:rsid w:val="00A3103C"/>
    <w:rsid w:val="00A312D3"/>
    <w:rsid w:val="00A34268"/>
    <w:rsid w:val="00A3461B"/>
    <w:rsid w:val="00A40155"/>
    <w:rsid w:val="00A44DB9"/>
    <w:rsid w:val="00A46B93"/>
    <w:rsid w:val="00A502FB"/>
    <w:rsid w:val="00A5495D"/>
    <w:rsid w:val="00A54D99"/>
    <w:rsid w:val="00A60DE3"/>
    <w:rsid w:val="00A61076"/>
    <w:rsid w:val="00A61546"/>
    <w:rsid w:val="00A71B3F"/>
    <w:rsid w:val="00A7214E"/>
    <w:rsid w:val="00A728DC"/>
    <w:rsid w:val="00A77E2E"/>
    <w:rsid w:val="00A77EE8"/>
    <w:rsid w:val="00A80779"/>
    <w:rsid w:val="00A908F0"/>
    <w:rsid w:val="00A90B7E"/>
    <w:rsid w:val="00A94212"/>
    <w:rsid w:val="00A96646"/>
    <w:rsid w:val="00A974EA"/>
    <w:rsid w:val="00AA2380"/>
    <w:rsid w:val="00AB1EB5"/>
    <w:rsid w:val="00AB5483"/>
    <w:rsid w:val="00AB5CB8"/>
    <w:rsid w:val="00AC2826"/>
    <w:rsid w:val="00AC4285"/>
    <w:rsid w:val="00AC429C"/>
    <w:rsid w:val="00AC475F"/>
    <w:rsid w:val="00AD068B"/>
    <w:rsid w:val="00AD1CEE"/>
    <w:rsid w:val="00AD33A5"/>
    <w:rsid w:val="00AD590F"/>
    <w:rsid w:val="00AD6961"/>
    <w:rsid w:val="00AE314B"/>
    <w:rsid w:val="00AE7590"/>
    <w:rsid w:val="00AF0DCC"/>
    <w:rsid w:val="00AF400F"/>
    <w:rsid w:val="00AF4DC1"/>
    <w:rsid w:val="00AF7719"/>
    <w:rsid w:val="00B057C3"/>
    <w:rsid w:val="00B0624B"/>
    <w:rsid w:val="00B1220E"/>
    <w:rsid w:val="00B16CD0"/>
    <w:rsid w:val="00B21CEC"/>
    <w:rsid w:val="00B304C1"/>
    <w:rsid w:val="00B314F0"/>
    <w:rsid w:val="00B31E75"/>
    <w:rsid w:val="00B3538C"/>
    <w:rsid w:val="00B378BB"/>
    <w:rsid w:val="00B47CAE"/>
    <w:rsid w:val="00B51568"/>
    <w:rsid w:val="00B51EF2"/>
    <w:rsid w:val="00B5215A"/>
    <w:rsid w:val="00B56AAE"/>
    <w:rsid w:val="00B60815"/>
    <w:rsid w:val="00B60BB0"/>
    <w:rsid w:val="00B62591"/>
    <w:rsid w:val="00B668AA"/>
    <w:rsid w:val="00B71452"/>
    <w:rsid w:val="00B728D9"/>
    <w:rsid w:val="00B74C66"/>
    <w:rsid w:val="00B76A84"/>
    <w:rsid w:val="00B80F0E"/>
    <w:rsid w:val="00B87B25"/>
    <w:rsid w:val="00B90D0C"/>
    <w:rsid w:val="00BA2359"/>
    <w:rsid w:val="00BA347C"/>
    <w:rsid w:val="00BA4054"/>
    <w:rsid w:val="00BA5B15"/>
    <w:rsid w:val="00BA63E1"/>
    <w:rsid w:val="00BA695C"/>
    <w:rsid w:val="00BA724F"/>
    <w:rsid w:val="00BB2510"/>
    <w:rsid w:val="00BB3DAF"/>
    <w:rsid w:val="00BB4144"/>
    <w:rsid w:val="00BB6376"/>
    <w:rsid w:val="00BC0B7D"/>
    <w:rsid w:val="00BC4FD5"/>
    <w:rsid w:val="00BD65AA"/>
    <w:rsid w:val="00BE3B4E"/>
    <w:rsid w:val="00BE5138"/>
    <w:rsid w:val="00BE5594"/>
    <w:rsid w:val="00BF1DD6"/>
    <w:rsid w:val="00BF6DD9"/>
    <w:rsid w:val="00BF6FFB"/>
    <w:rsid w:val="00C03F16"/>
    <w:rsid w:val="00C05E7D"/>
    <w:rsid w:val="00C076B2"/>
    <w:rsid w:val="00C10A4A"/>
    <w:rsid w:val="00C147A0"/>
    <w:rsid w:val="00C15661"/>
    <w:rsid w:val="00C20649"/>
    <w:rsid w:val="00C2229F"/>
    <w:rsid w:val="00C22D32"/>
    <w:rsid w:val="00C25C0F"/>
    <w:rsid w:val="00C339EC"/>
    <w:rsid w:val="00C33F6C"/>
    <w:rsid w:val="00C411BB"/>
    <w:rsid w:val="00C41425"/>
    <w:rsid w:val="00C42B96"/>
    <w:rsid w:val="00C462C5"/>
    <w:rsid w:val="00C47295"/>
    <w:rsid w:val="00C6001A"/>
    <w:rsid w:val="00C717CA"/>
    <w:rsid w:val="00C7528D"/>
    <w:rsid w:val="00C77CC9"/>
    <w:rsid w:val="00C77D1D"/>
    <w:rsid w:val="00C81576"/>
    <w:rsid w:val="00C82F71"/>
    <w:rsid w:val="00C836F2"/>
    <w:rsid w:val="00C84FE3"/>
    <w:rsid w:val="00C86CE9"/>
    <w:rsid w:val="00C93D9F"/>
    <w:rsid w:val="00C97781"/>
    <w:rsid w:val="00CA5608"/>
    <w:rsid w:val="00CB08EB"/>
    <w:rsid w:val="00CB11FC"/>
    <w:rsid w:val="00CB26DF"/>
    <w:rsid w:val="00CB5F0B"/>
    <w:rsid w:val="00CB66B6"/>
    <w:rsid w:val="00CC5F9E"/>
    <w:rsid w:val="00CC7277"/>
    <w:rsid w:val="00CD6744"/>
    <w:rsid w:val="00CD7C58"/>
    <w:rsid w:val="00CE10FF"/>
    <w:rsid w:val="00CF251F"/>
    <w:rsid w:val="00D016F3"/>
    <w:rsid w:val="00D025AC"/>
    <w:rsid w:val="00D114D3"/>
    <w:rsid w:val="00D125CE"/>
    <w:rsid w:val="00D14015"/>
    <w:rsid w:val="00D15183"/>
    <w:rsid w:val="00D161B1"/>
    <w:rsid w:val="00D21422"/>
    <w:rsid w:val="00D228FC"/>
    <w:rsid w:val="00D23FE2"/>
    <w:rsid w:val="00D246FC"/>
    <w:rsid w:val="00D262A2"/>
    <w:rsid w:val="00D269B7"/>
    <w:rsid w:val="00D27474"/>
    <w:rsid w:val="00D53B58"/>
    <w:rsid w:val="00D5495E"/>
    <w:rsid w:val="00D57A03"/>
    <w:rsid w:val="00D650AC"/>
    <w:rsid w:val="00D65FCB"/>
    <w:rsid w:val="00D675A9"/>
    <w:rsid w:val="00D7494A"/>
    <w:rsid w:val="00D74DE4"/>
    <w:rsid w:val="00D82DAA"/>
    <w:rsid w:val="00D831F1"/>
    <w:rsid w:val="00D85C21"/>
    <w:rsid w:val="00D87154"/>
    <w:rsid w:val="00D91621"/>
    <w:rsid w:val="00D93654"/>
    <w:rsid w:val="00D94475"/>
    <w:rsid w:val="00D948C2"/>
    <w:rsid w:val="00DA1C10"/>
    <w:rsid w:val="00DA3EBE"/>
    <w:rsid w:val="00DB11E0"/>
    <w:rsid w:val="00DB198F"/>
    <w:rsid w:val="00DB5308"/>
    <w:rsid w:val="00DC2474"/>
    <w:rsid w:val="00DC6704"/>
    <w:rsid w:val="00DD16DA"/>
    <w:rsid w:val="00DD2331"/>
    <w:rsid w:val="00DD6BDD"/>
    <w:rsid w:val="00DD7D62"/>
    <w:rsid w:val="00DE6ADA"/>
    <w:rsid w:val="00DF0285"/>
    <w:rsid w:val="00DF2A12"/>
    <w:rsid w:val="00DF3897"/>
    <w:rsid w:val="00DF69EB"/>
    <w:rsid w:val="00DF6CFC"/>
    <w:rsid w:val="00E05311"/>
    <w:rsid w:val="00E06355"/>
    <w:rsid w:val="00E06C6C"/>
    <w:rsid w:val="00E106ED"/>
    <w:rsid w:val="00E12BCF"/>
    <w:rsid w:val="00E14BF0"/>
    <w:rsid w:val="00E153F0"/>
    <w:rsid w:val="00E236C9"/>
    <w:rsid w:val="00E24352"/>
    <w:rsid w:val="00E25A27"/>
    <w:rsid w:val="00E26CBD"/>
    <w:rsid w:val="00E30091"/>
    <w:rsid w:val="00E337B2"/>
    <w:rsid w:val="00E33808"/>
    <w:rsid w:val="00E3744F"/>
    <w:rsid w:val="00E40017"/>
    <w:rsid w:val="00E40EE6"/>
    <w:rsid w:val="00E46441"/>
    <w:rsid w:val="00E528E6"/>
    <w:rsid w:val="00E54527"/>
    <w:rsid w:val="00E56FEE"/>
    <w:rsid w:val="00E57B2A"/>
    <w:rsid w:val="00E57B94"/>
    <w:rsid w:val="00E62E50"/>
    <w:rsid w:val="00E7034E"/>
    <w:rsid w:val="00E77E6D"/>
    <w:rsid w:val="00E825AE"/>
    <w:rsid w:val="00E82AC3"/>
    <w:rsid w:val="00E83D1F"/>
    <w:rsid w:val="00E842FD"/>
    <w:rsid w:val="00E86CFE"/>
    <w:rsid w:val="00E87D26"/>
    <w:rsid w:val="00E941D0"/>
    <w:rsid w:val="00EA3DFC"/>
    <w:rsid w:val="00EA5ED4"/>
    <w:rsid w:val="00EA63F1"/>
    <w:rsid w:val="00EA7754"/>
    <w:rsid w:val="00EA7FC2"/>
    <w:rsid w:val="00EB1FE1"/>
    <w:rsid w:val="00EB5DDC"/>
    <w:rsid w:val="00ED1FE1"/>
    <w:rsid w:val="00ED3973"/>
    <w:rsid w:val="00ED6282"/>
    <w:rsid w:val="00ED6FC5"/>
    <w:rsid w:val="00EE081F"/>
    <w:rsid w:val="00EE0F50"/>
    <w:rsid w:val="00EE4693"/>
    <w:rsid w:val="00EF0785"/>
    <w:rsid w:val="00EF1D2F"/>
    <w:rsid w:val="00EF69E9"/>
    <w:rsid w:val="00F0016D"/>
    <w:rsid w:val="00F014A1"/>
    <w:rsid w:val="00F03F38"/>
    <w:rsid w:val="00F04310"/>
    <w:rsid w:val="00F053BD"/>
    <w:rsid w:val="00F066C5"/>
    <w:rsid w:val="00F11CEB"/>
    <w:rsid w:val="00F11D75"/>
    <w:rsid w:val="00F16A55"/>
    <w:rsid w:val="00F233A6"/>
    <w:rsid w:val="00F24AA5"/>
    <w:rsid w:val="00F261CB"/>
    <w:rsid w:val="00F2726F"/>
    <w:rsid w:val="00F305E8"/>
    <w:rsid w:val="00F3196C"/>
    <w:rsid w:val="00F330AB"/>
    <w:rsid w:val="00F34058"/>
    <w:rsid w:val="00F34388"/>
    <w:rsid w:val="00F36C28"/>
    <w:rsid w:val="00F43463"/>
    <w:rsid w:val="00F448E4"/>
    <w:rsid w:val="00F4592B"/>
    <w:rsid w:val="00F45DF6"/>
    <w:rsid w:val="00F46E9F"/>
    <w:rsid w:val="00F513B1"/>
    <w:rsid w:val="00F51965"/>
    <w:rsid w:val="00F5396E"/>
    <w:rsid w:val="00F543E6"/>
    <w:rsid w:val="00F62B7F"/>
    <w:rsid w:val="00F672DC"/>
    <w:rsid w:val="00F8252A"/>
    <w:rsid w:val="00F825A1"/>
    <w:rsid w:val="00F85993"/>
    <w:rsid w:val="00F87700"/>
    <w:rsid w:val="00F925CF"/>
    <w:rsid w:val="00F929E6"/>
    <w:rsid w:val="00FA280E"/>
    <w:rsid w:val="00FA467B"/>
    <w:rsid w:val="00FA5DED"/>
    <w:rsid w:val="00FA7193"/>
    <w:rsid w:val="00FA7682"/>
    <w:rsid w:val="00FB03CF"/>
    <w:rsid w:val="00FB1656"/>
    <w:rsid w:val="00FC497F"/>
    <w:rsid w:val="00FD263B"/>
    <w:rsid w:val="00FD44B8"/>
    <w:rsid w:val="00FD5321"/>
    <w:rsid w:val="00FE0965"/>
    <w:rsid w:val="00FE176E"/>
    <w:rsid w:val="00FE55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702EE"/>
    <w:pPr>
      <w:tabs>
        <w:tab w:val="center" w:pos="4153"/>
        <w:tab w:val="right" w:pos="8306"/>
      </w:tabs>
      <w:overflowPunct w:val="0"/>
      <w:autoSpaceDE w:val="0"/>
      <w:autoSpaceDN w:val="0"/>
      <w:adjustRightInd w:val="0"/>
      <w:textAlignment w:val="baseline"/>
    </w:pPr>
    <w:rPr>
      <w:rFonts w:ascii="Times New (W1)" w:hAnsi="Times New (W1)"/>
      <w:lang w:eastAsia="en-US"/>
    </w:rPr>
  </w:style>
  <w:style w:type="character" w:styleId="PageNumber">
    <w:name w:val="page number"/>
    <w:basedOn w:val="DefaultParagraphFont"/>
    <w:rsid w:val="005702EE"/>
  </w:style>
  <w:style w:type="paragraph" w:styleId="Footer">
    <w:name w:val="footer"/>
    <w:basedOn w:val="Normal"/>
    <w:rsid w:val="005702EE"/>
    <w:pPr>
      <w:tabs>
        <w:tab w:val="right" w:pos="8505"/>
      </w:tabs>
      <w:overflowPunct w:val="0"/>
      <w:autoSpaceDE w:val="0"/>
      <w:autoSpaceDN w:val="0"/>
      <w:adjustRightInd w:val="0"/>
      <w:textAlignment w:val="baseline"/>
    </w:pPr>
    <w:rPr>
      <w:rFonts w:ascii="Times New (W1)" w:hAnsi="Times New (W1)"/>
      <w:sz w:val="20"/>
      <w:lang w:eastAsia="en-US"/>
    </w:rPr>
  </w:style>
  <w:style w:type="paragraph" w:customStyle="1" w:styleId="LDAmendHeading">
    <w:name w:val="LDAmendHeading"/>
    <w:basedOn w:val="Normal"/>
    <w:next w:val="Normal"/>
    <w:rsid w:val="005702EE"/>
    <w:pPr>
      <w:keepNext/>
      <w:spacing w:before="180" w:after="60"/>
      <w:ind w:left="720" w:hanging="720"/>
    </w:pPr>
    <w:rPr>
      <w:rFonts w:ascii="Arial" w:hAnsi="Arial"/>
      <w:b/>
      <w:lang w:eastAsia="en-US"/>
    </w:rPr>
  </w:style>
  <w:style w:type="character" w:customStyle="1" w:styleId="HeaderChar">
    <w:name w:val="Header Char"/>
    <w:basedOn w:val="DefaultParagraphFont"/>
    <w:link w:val="Header"/>
    <w:uiPriority w:val="99"/>
    <w:rsid w:val="00B62591"/>
    <w:rPr>
      <w:rFonts w:ascii="Times New (W1)" w:hAnsi="Times New (W1)"/>
      <w:sz w:val="24"/>
      <w:szCs w:val="24"/>
      <w:lang w:eastAsia="en-US"/>
    </w:rPr>
  </w:style>
  <w:style w:type="paragraph" w:styleId="BalloonText">
    <w:name w:val="Balloon Text"/>
    <w:basedOn w:val="Normal"/>
    <w:link w:val="BalloonTextChar"/>
    <w:rsid w:val="00D65FCB"/>
    <w:rPr>
      <w:rFonts w:ascii="Tahoma" w:hAnsi="Tahoma" w:cs="Tahoma"/>
      <w:sz w:val="16"/>
      <w:szCs w:val="16"/>
    </w:rPr>
  </w:style>
  <w:style w:type="character" w:customStyle="1" w:styleId="BalloonTextChar">
    <w:name w:val="Balloon Text Char"/>
    <w:basedOn w:val="DefaultParagraphFont"/>
    <w:link w:val="BalloonText"/>
    <w:rsid w:val="00D65FCB"/>
    <w:rPr>
      <w:rFonts w:ascii="Tahoma" w:hAnsi="Tahoma" w:cs="Tahoma"/>
      <w:sz w:val="16"/>
      <w:szCs w:val="16"/>
    </w:rPr>
  </w:style>
  <w:style w:type="paragraph" w:styleId="PlainText">
    <w:name w:val="Plain Text"/>
    <w:basedOn w:val="Normal"/>
    <w:link w:val="PlainTextChar"/>
    <w:uiPriority w:val="99"/>
    <w:unhideWhenUsed/>
    <w:rsid w:val="008F7193"/>
    <w:rPr>
      <w:rFonts w:ascii="Arial" w:hAnsi="Arial" w:cstheme="minorBidi"/>
      <w:color w:val="000000" w:themeColor="text1"/>
      <w:sz w:val="20"/>
      <w:szCs w:val="21"/>
      <w:lang w:eastAsia="en-US"/>
    </w:rPr>
  </w:style>
  <w:style w:type="character" w:customStyle="1" w:styleId="PlainTextChar">
    <w:name w:val="Plain Text Char"/>
    <w:basedOn w:val="DefaultParagraphFont"/>
    <w:link w:val="PlainText"/>
    <w:uiPriority w:val="99"/>
    <w:rsid w:val="008F7193"/>
    <w:rPr>
      <w:rFonts w:ascii="Arial" w:hAnsi="Arial" w:cstheme="minorBidi"/>
      <w:color w:val="000000" w:themeColor="text1"/>
      <w:szCs w:val="21"/>
      <w:lang w:eastAsia="en-US"/>
    </w:rPr>
  </w:style>
  <w:style w:type="character" w:styleId="CommentReference">
    <w:name w:val="annotation reference"/>
    <w:basedOn w:val="DefaultParagraphFont"/>
    <w:rsid w:val="009959B1"/>
    <w:rPr>
      <w:sz w:val="16"/>
      <w:szCs w:val="16"/>
    </w:rPr>
  </w:style>
  <w:style w:type="paragraph" w:styleId="CommentText">
    <w:name w:val="annotation text"/>
    <w:basedOn w:val="Normal"/>
    <w:link w:val="CommentTextChar"/>
    <w:rsid w:val="009959B1"/>
    <w:rPr>
      <w:sz w:val="20"/>
      <w:szCs w:val="20"/>
    </w:rPr>
  </w:style>
  <w:style w:type="character" w:customStyle="1" w:styleId="CommentTextChar">
    <w:name w:val="Comment Text Char"/>
    <w:basedOn w:val="DefaultParagraphFont"/>
    <w:link w:val="CommentText"/>
    <w:rsid w:val="009959B1"/>
  </w:style>
  <w:style w:type="paragraph" w:styleId="CommentSubject">
    <w:name w:val="annotation subject"/>
    <w:basedOn w:val="CommentText"/>
    <w:next w:val="CommentText"/>
    <w:link w:val="CommentSubjectChar"/>
    <w:rsid w:val="009959B1"/>
    <w:rPr>
      <w:b/>
      <w:bCs/>
    </w:rPr>
  </w:style>
  <w:style w:type="character" w:customStyle="1" w:styleId="CommentSubjectChar">
    <w:name w:val="Comment Subject Char"/>
    <w:basedOn w:val="CommentTextChar"/>
    <w:link w:val="CommentSubject"/>
    <w:rsid w:val="009959B1"/>
    <w:rPr>
      <w:b/>
      <w:bCs/>
    </w:rPr>
  </w:style>
  <w:style w:type="paragraph" w:customStyle="1" w:styleId="LDBodytext">
    <w:name w:val="LDBody text"/>
    <w:rsid w:val="003D36C6"/>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702EE"/>
    <w:pPr>
      <w:tabs>
        <w:tab w:val="center" w:pos="4153"/>
        <w:tab w:val="right" w:pos="8306"/>
      </w:tabs>
      <w:overflowPunct w:val="0"/>
      <w:autoSpaceDE w:val="0"/>
      <w:autoSpaceDN w:val="0"/>
      <w:adjustRightInd w:val="0"/>
      <w:textAlignment w:val="baseline"/>
    </w:pPr>
    <w:rPr>
      <w:rFonts w:ascii="Times New (W1)" w:hAnsi="Times New (W1)"/>
      <w:lang w:eastAsia="en-US"/>
    </w:rPr>
  </w:style>
  <w:style w:type="character" w:styleId="PageNumber">
    <w:name w:val="page number"/>
    <w:basedOn w:val="DefaultParagraphFont"/>
    <w:rsid w:val="005702EE"/>
  </w:style>
  <w:style w:type="paragraph" w:styleId="Footer">
    <w:name w:val="footer"/>
    <w:basedOn w:val="Normal"/>
    <w:rsid w:val="005702EE"/>
    <w:pPr>
      <w:tabs>
        <w:tab w:val="right" w:pos="8505"/>
      </w:tabs>
      <w:overflowPunct w:val="0"/>
      <w:autoSpaceDE w:val="0"/>
      <w:autoSpaceDN w:val="0"/>
      <w:adjustRightInd w:val="0"/>
      <w:textAlignment w:val="baseline"/>
    </w:pPr>
    <w:rPr>
      <w:rFonts w:ascii="Times New (W1)" w:hAnsi="Times New (W1)"/>
      <w:sz w:val="20"/>
      <w:lang w:eastAsia="en-US"/>
    </w:rPr>
  </w:style>
  <w:style w:type="paragraph" w:customStyle="1" w:styleId="LDAmendHeading">
    <w:name w:val="LDAmendHeading"/>
    <w:basedOn w:val="Normal"/>
    <w:next w:val="Normal"/>
    <w:rsid w:val="005702EE"/>
    <w:pPr>
      <w:keepNext/>
      <w:spacing w:before="180" w:after="60"/>
      <w:ind w:left="720" w:hanging="720"/>
    </w:pPr>
    <w:rPr>
      <w:rFonts w:ascii="Arial" w:hAnsi="Arial"/>
      <w:b/>
      <w:lang w:eastAsia="en-US"/>
    </w:rPr>
  </w:style>
  <w:style w:type="character" w:customStyle="1" w:styleId="HeaderChar">
    <w:name w:val="Header Char"/>
    <w:basedOn w:val="DefaultParagraphFont"/>
    <w:link w:val="Header"/>
    <w:uiPriority w:val="99"/>
    <w:rsid w:val="00B62591"/>
    <w:rPr>
      <w:rFonts w:ascii="Times New (W1)" w:hAnsi="Times New (W1)"/>
      <w:sz w:val="24"/>
      <w:szCs w:val="24"/>
      <w:lang w:eastAsia="en-US"/>
    </w:rPr>
  </w:style>
  <w:style w:type="paragraph" w:styleId="BalloonText">
    <w:name w:val="Balloon Text"/>
    <w:basedOn w:val="Normal"/>
    <w:link w:val="BalloonTextChar"/>
    <w:rsid w:val="00D65FCB"/>
    <w:rPr>
      <w:rFonts w:ascii="Tahoma" w:hAnsi="Tahoma" w:cs="Tahoma"/>
      <w:sz w:val="16"/>
      <w:szCs w:val="16"/>
    </w:rPr>
  </w:style>
  <w:style w:type="character" w:customStyle="1" w:styleId="BalloonTextChar">
    <w:name w:val="Balloon Text Char"/>
    <w:basedOn w:val="DefaultParagraphFont"/>
    <w:link w:val="BalloonText"/>
    <w:rsid w:val="00D65FCB"/>
    <w:rPr>
      <w:rFonts w:ascii="Tahoma" w:hAnsi="Tahoma" w:cs="Tahoma"/>
      <w:sz w:val="16"/>
      <w:szCs w:val="16"/>
    </w:rPr>
  </w:style>
  <w:style w:type="paragraph" w:styleId="PlainText">
    <w:name w:val="Plain Text"/>
    <w:basedOn w:val="Normal"/>
    <w:link w:val="PlainTextChar"/>
    <w:uiPriority w:val="99"/>
    <w:unhideWhenUsed/>
    <w:rsid w:val="008F7193"/>
    <w:rPr>
      <w:rFonts w:ascii="Arial" w:hAnsi="Arial" w:cstheme="minorBidi"/>
      <w:color w:val="000000" w:themeColor="text1"/>
      <w:sz w:val="20"/>
      <w:szCs w:val="21"/>
      <w:lang w:eastAsia="en-US"/>
    </w:rPr>
  </w:style>
  <w:style w:type="character" w:customStyle="1" w:styleId="PlainTextChar">
    <w:name w:val="Plain Text Char"/>
    <w:basedOn w:val="DefaultParagraphFont"/>
    <w:link w:val="PlainText"/>
    <w:uiPriority w:val="99"/>
    <w:rsid w:val="008F7193"/>
    <w:rPr>
      <w:rFonts w:ascii="Arial" w:hAnsi="Arial" w:cstheme="minorBidi"/>
      <w:color w:val="000000" w:themeColor="text1"/>
      <w:szCs w:val="21"/>
      <w:lang w:eastAsia="en-US"/>
    </w:rPr>
  </w:style>
  <w:style w:type="character" w:styleId="CommentReference">
    <w:name w:val="annotation reference"/>
    <w:basedOn w:val="DefaultParagraphFont"/>
    <w:rsid w:val="009959B1"/>
    <w:rPr>
      <w:sz w:val="16"/>
      <w:szCs w:val="16"/>
    </w:rPr>
  </w:style>
  <w:style w:type="paragraph" w:styleId="CommentText">
    <w:name w:val="annotation text"/>
    <w:basedOn w:val="Normal"/>
    <w:link w:val="CommentTextChar"/>
    <w:rsid w:val="009959B1"/>
    <w:rPr>
      <w:sz w:val="20"/>
      <w:szCs w:val="20"/>
    </w:rPr>
  </w:style>
  <w:style w:type="character" w:customStyle="1" w:styleId="CommentTextChar">
    <w:name w:val="Comment Text Char"/>
    <w:basedOn w:val="DefaultParagraphFont"/>
    <w:link w:val="CommentText"/>
    <w:rsid w:val="009959B1"/>
  </w:style>
  <w:style w:type="paragraph" w:styleId="CommentSubject">
    <w:name w:val="annotation subject"/>
    <w:basedOn w:val="CommentText"/>
    <w:next w:val="CommentText"/>
    <w:link w:val="CommentSubjectChar"/>
    <w:rsid w:val="009959B1"/>
    <w:rPr>
      <w:b/>
      <w:bCs/>
    </w:rPr>
  </w:style>
  <w:style w:type="character" w:customStyle="1" w:styleId="CommentSubjectChar">
    <w:name w:val="Comment Subject Char"/>
    <w:basedOn w:val="CommentTextChar"/>
    <w:link w:val="CommentSubject"/>
    <w:rsid w:val="009959B1"/>
    <w:rPr>
      <w:b/>
      <w:bCs/>
    </w:rPr>
  </w:style>
  <w:style w:type="paragraph" w:customStyle="1" w:styleId="LDBodytext">
    <w:name w:val="LDBody text"/>
    <w:rsid w:val="003D36C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901FA-CADE-4349-BA80-B1D90239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CASA EX40/15 — Explanatory Statemetn</vt:lpstr>
    </vt:vector>
  </TitlesOfParts>
  <Company>Civil Aviation Safety Authority</Company>
  <LinksUpToDate>false</LinksUpToDate>
  <CharactersWithSpaces>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EX40/15 — Explanatory Statemetn</dc:title>
  <dc:subject>Exemption — navigation and anti-collision lights (Aerorescue)</dc:subject>
  <dc:creator>Civil Aviation Safety Authority</dc:creator>
  <cp:lastModifiedBy>Gobbitt, David</cp:lastModifiedBy>
  <cp:revision>6</cp:revision>
  <cp:lastPrinted>2015-02-18T22:53:00Z</cp:lastPrinted>
  <dcterms:created xsi:type="dcterms:W3CDTF">2015-02-18T21:54:00Z</dcterms:created>
  <dcterms:modified xsi:type="dcterms:W3CDTF">2015-02-19T00:04:00Z</dcterms:modified>
  <cp:category>Exemption</cp:category>
</cp:coreProperties>
</file>