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63C5B" w14:textId="77777777" w:rsidR="00914D5C" w:rsidRPr="005A5476" w:rsidRDefault="00914D5C" w:rsidP="00914D5C">
      <w:pPr>
        <w:spacing w:line="360" w:lineRule="auto"/>
        <w:jc w:val="center"/>
        <w:outlineLvl w:val="0"/>
        <w:rPr>
          <w:rFonts w:ascii="Arial" w:hAnsi="Arial" w:cs="Arial"/>
          <w:b/>
          <w:sz w:val="22"/>
          <w:szCs w:val="22"/>
          <w:lang w:val="en-AU"/>
        </w:rPr>
      </w:pPr>
      <w:bookmarkStart w:id="0" w:name="_GoBack"/>
      <w:bookmarkEnd w:id="0"/>
      <w:r w:rsidRPr="005A5476">
        <w:rPr>
          <w:rFonts w:ascii="Arial" w:hAnsi="Arial" w:cs="Arial"/>
          <w:b/>
          <w:sz w:val="22"/>
          <w:szCs w:val="22"/>
          <w:lang w:val="en-AU"/>
        </w:rPr>
        <w:t>EXPLANATORY STATEMENT</w:t>
      </w:r>
    </w:p>
    <w:p w14:paraId="6668F6EA" w14:textId="77777777" w:rsidR="00914D5C" w:rsidRPr="005A5476" w:rsidRDefault="00914D5C" w:rsidP="00914D5C">
      <w:pPr>
        <w:spacing w:line="360" w:lineRule="auto"/>
        <w:jc w:val="center"/>
        <w:outlineLvl w:val="0"/>
        <w:rPr>
          <w:rFonts w:ascii="Arial" w:hAnsi="Arial" w:cs="Arial"/>
          <w:sz w:val="22"/>
          <w:szCs w:val="22"/>
          <w:lang w:val="en-AU"/>
        </w:rPr>
      </w:pPr>
      <w:r w:rsidRPr="005A5476">
        <w:rPr>
          <w:rFonts w:ascii="Arial" w:hAnsi="Arial" w:cs="Arial"/>
          <w:sz w:val="22"/>
          <w:szCs w:val="22"/>
          <w:lang w:val="en-AU"/>
        </w:rPr>
        <w:t>Issued by the Australian Communications and Media Authority</w:t>
      </w:r>
    </w:p>
    <w:p w14:paraId="0C748F2D" w14:textId="2F5D8564" w:rsidR="00914D5C" w:rsidRDefault="00914D5C" w:rsidP="00914D5C">
      <w:pPr>
        <w:spacing w:line="360" w:lineRule="auto"/>
        <w:jc w:val="center"/>
        <w:outlineLvl w:val="0"/>
        <w:rPr>
          <w:rFonts w:ascii="Arial" w:hAnsi="Arial" w:cs="Arial"/>
          <w:i/>
          <w:sz w:val="22"/>
          <w:szCs w:val="22"/>
          <w:lang w:val="en-AU"/>
        </w:rPr>
      </w:pPr>
      <w:proofErr w:type="spellStart"/>
      <w:r w:rsidRPr="00B658AE">
        <w:rPr>
          <w:rFonts w:ascii="Arial" w:hAnsi="Arial" w:cs="Arial"/>
          <w:i/>
          <w:sz w:val="22"/>
          <w:szCs w:val="22"/>
          <w:lang w:val="en-AU"/>
        </w:rPr>
        <w:t>Radiocommunications</w:t>
      </w:r>
      <w:proofErr w:type="spellEnd"/>
      <w:r w:rsidRPr="00B658AE">
        <w:rPr>
          <w:rFonts w:ascii="Arial" w:hAnsi="Arial" w:cs="Arial"/>
          <w:i/>
          <w:sz w:val="22"/>
          <w:szCs w:val="22"/>
          <w:lang w:val="en-AU"/>
        </w:rPr>
        <w:t xml:space="preserve"> </w:t>
      </w:r>
      <w:r w:rsidR="00AC59E2">
        <w:rPr>
          <w:rFonts w:ascii="Arial" w:hAnsi="Arial" w:cs="Arial"/>
          <w:i/>
          <w:sz w:val="22"/>
          <w:szCs w:val="22"/>
          <w:lang w:val="en-AU"/>
        </w:rPr>
        <w:t>Licence Conditions (Apparatus Licence) Determination 201</w:t>
      </w:r>
      <w:r w:rsidR="002D4667">
        <w:rPr>
          <w:rFonts w:ascii="Arial" w:hAnsi="Arial" w:cs="Arial"/>
          <w:i/>
          <w:sz w:val="22"/>
          <w:szCs w:val="22"/>
          <w:lang w:val="en-AU"/>
        </w:rPr>
        <w:t>5</w:t>
      </w:r>
    </w:p>
    <w:p w14:paraId="376EC9A3" w14:textId="438814AB" w:rsidR="008E2A6E" w:rsidRDefault="008E2A6E" w:rsidP="00914D5C">
      <w:pPr>
        <w:spacing w:line="360" w:lineRule="auto"/>
        <w:jc w:val="center"/>
        <w:outlineLvl w:val="0"/>
        <w:rPr>
          <w:rFonts w:ascii="Arial" w:hAnsi="Arial" w:cs="Arial"/>
          <w:i/>
          <w:sz w:val="22"/>
          <w:szCs w:val="22"/>
          <w:lang w:val="en-AU"/>
        </w:rPr>
      </w:pPr>
      <w:proofErr w:type="spellStart"/>
      <w:r>
        <w:rPr>
          <w:rFonts w:ascii="Arial" w:hAnsi="Arial" w:cs="Arial"/>
          <w:i/>
          <w:sz w:val="22"/>
          <w:szCs w:val="22"/>
          <w:lang w:val="en-AU"/>
        </w:rPr>
        <w:t>Radiocommunications</w:t>
      </w:r>
      <w:proofErr w:type="spellEnd"/>
      <w:r>
        <w:rPr>
          <w:rFonts w:ascii="Arial" w:hAnsi="Arial" w:cs="Arial"/>
          <w:i/>
          <w:sz w:val="22"/>
          <w:szCs w:val="22"/>
          <w:lang w:val="en-AU"/>
        </w:rPr>
        <w:t xml:space="preserve"> Act 1992</w:t>
      </w:r>
    </w:p>
    <w:p w14:paraId="17726FE5" w14:textId="77777777" w:rsidR="008E2A6E" w:rsidRPr="005A5476" w:rsidRDefault="008E2A6E" w:rsidP="00914D5C">
      <w:pPr>
        <w:spacing w:line="360" w:lineRule="auto"/>
        <w:jc w:val="center"/>
        <w:outlineLvl w:val="0"/>
        <w:rPr>
          <w:rFonts w:ascii="Arial" w:hAnsi="Arial" w:cs="Arial"/>
          <w:sz w:val="22"/>
          <w:szCs w:val="22"/>
          <w:lang w:val="en-AU"/>
        </w:rPr>
      </w:pPr>
    </w:p>
    <w:p w14:paraId="6EA5583C" w14:textId="77777777"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Purpose</w:t>
      </w:r>
    </w:p>
    <w:p w14:paraId="5836DA0D" w14:textId="61D58DA2" w:rsidR="00FD4AD4" w:rsidRPr="00AC59E2" w:rsidRDefault="00B32288" w:rsidP="00FD4AD4">
      <w:pPr>
        <w:rPr>
          <w:rFonts w:ascii="Arial" w:hAnsi="Arial" w:cs="Arial"/>
          <w:sz w:val="20"/>
        </w:rPr>
      </w:pPr>
      <w:r>
        <w:rPr>
          <w:rFonts w:ascii="Arial" w:hAnsi="Arial" w:cs="Arial"/>
          <w:sz w:val="20"/>
        </w:rPr>
        <w:t>The</w:t>
      </w:r>
      <w:r w:rsidR="00914D5C">
        <w:rPr>
          <w:rFonts w:ascii="Arial" w:hAnsi="Arial" w:cs="Arial"/>
          <w:sz w:val="20"/>
        </w:rPr>
        <w:t xml:space="preserve"> Australian Communications and Media Authority (the ACMA) </w:t>
      </w:r>
      <w:r>
        <w:rPr>
          <w:rFonts w:ascii="Arial" w:hAnsi="Arial" w:cs="Arial"/>
          <w:sz w:val="20"/>
        </w:rPr>
        <w:t xml:space="preserve">has </w:t>
      </w:r>
      <w:r w:rsidR="00914D5C">
        <w:rPr>
          <w:rFonts w:ascii="Arial" w:hAnsi="Arial" w:cs="Arial"/>
          <w:sz w:val="20"/>
        </w:rPr>
        <w:t xml:space="preserve">made the </w:t>
      </w:r>
      <w:proofErr w:type="spellStart"/>
      <w:r w:rsidR="00AC59E2">
        <w:rPr>
          <w:rFonts w:ascii="Arial" w:hAnsi="Arial" w:cs="Arial"/>
          <w:i/>
          <w:sz w:val="20"/>
        </w:rPr>
        <w:t>Radiocommunications</w:t>
      </w:r>
      <w:proofErr w:type="spellEnd"/>
      <w:r w:rsidR="00AC59E2">
        <w:rPr>
          <w:rFonts w:ascii="Arial" w:hAnsi="Arial" w:cs="Arial"/>
          <w:i/>
          <w:sz w:val="20"/>
        </w:rPr>
        <w:t xml:space="preserve"> Licence Conditions (Apparatus Licence) Determination 201</w:t>
      </w:r>
      <w:r w:rsidR="002D4667">
        <w:rPr>
          <w:rFonts w:ascii="Arial" w:hAnsi="Arial" w:cs="Arial"/>
          <w:i/>
          <w:sz w:val="20"/>
        </w:rPr>
        <w:t>5</w:t>
      </w:r>
      <w:r w:rsidR="00AC59E2">
        <w:rPr>
          <w:rFonts w:ascii="Arial" w:hAnsi="Arial" w:cs="Arial"/>
          <w:i/>
          <w:sz w:val="20"/>
        </w:rPr>
        <w:t xml:space="preserve"> </w:t>
      </w:r>
      <w:r w:rsidR="00AC59E2" w:rsidRPr="00AC59E2">
        <w:rPr>
          <w:rFonts w:ascii="Arial" w:hAnsi="Arial" w:cs="Arial"/>
          <w:sz w:val="20"/>
        </w:rPr>
        <w:t>(the Determination).</w:t>
      </w:r>
    </w:p>
    <w:p w14:paraId="4B58000F" w14:textId="77777777" w:rsidR="00914D5C" w:rsidRPr="00AC59E2" w:rsidRDefault="00914D5C" w:rsidP="00914D5C">
      <w:pPr>
        <w:rPr>
          <w:rFonts w:ascii="Arial" w:hAnsi="Arial" w:cs="Arial"/>
          <w:sz w:val="20"/>
        </w:rPr>
      </w:pPr>
    </w:p>
    <w:p w14:paraId="0A072967" w14:textId="77777777" w:rsidR="00914D5C" w:rsidRDefault="00914D5C" w:rsidP="00914D5C">
      <w:pPr>
        <w:rPr>
          <w:rFonts w:ascii="Arial" w:hAnsi="Arial" w:cs="Arial"/>
          <w:sz w:val="20"/>
        </w:rPr>
      </w:pPr>
      <w:r>
        <w:rPr>
          <w:rFonts w:ascii="Arial" w:hAnsi="Arial" w:cs="Arial"/>
          <w:sz w:val="20"/>
        </w:rPr>
        <w:t xml:space="preserve">The </w:t>
      </w:r>
      <w:r w:rsidR="00AC59E2">
        <w:rPr>
          <w:rFonts w:ascii="Arial" w:hAnsi="Arial" w:cs="Arial"/>
          <w:sz w:val="20"/>
        </w:rPr>
        <w:t>Determination</w:t>
      </w:r>
      <w:r>
        <w:rPr>
          <w:rFonts w:ascii="Arial" w:hAnsi="Arial" w:cs="Arial"/>
          <w:sz w:val="20"/>
        </w:rPr>
        <w:t xml:space="preserve"> revokes and replaces the </w:t>
      </w:r>
      <w:proofErr w:type="spellStart"/>
      <w:r w:rsidR="00AC59E2">
        <w:rPr>
          <w:rFonts w:ascii="Arial" w:hAnsi="Arial" w:cs="Arial"/>
          <w:i/>
          <w:sz w:val="20"/>
        </w:rPr>
        <w:t>Radiocommunications</w:t>
      </w:r>
      <w:proofErr w:type="spellEnd"/>
      <w:r w:rsidR="00AC59E2">
        <w:rPr>
          <w:rFonts w:ascii="Arial" w:hAnsi="Arial" w:cs="Arial"/>
          <w:i/>
          <w:sz w:val="20"/>
        </w:rPr>
        <w:t xml:space="preserve"> Licence Conditions (Apparatus Licence</w:t>
      </w:r>
      <w:r>
        <w:rPr>
          <w:rFonts w:ascii="Arial" w:hAnsi="Arial" w:cs="Arial"/>
          <w:sz w:val="20"/>
        </w:rPr>
        <w:t>)</w:t>
      </w:r>
      <w:r w:rsidR="00E21FB2">
        <w:rPr>
          <w:rFonts w:ascii="Arial" w:hAnsi="Arial" w:cs="Arial"/>
          <w:sz w:val="20"/>
        </w:rPr>
        <w:t xml:space="preserve"> </w:t>
      </w:r>
      <w:r w:rsidR="00AC59E2" w:rsidRPr="00371BFE">
        <w:rPr>
          <w:rFonts w:ascii="Arial" w:hAnsi="Arial" w:cs="Arial"/>
          <w:i/>
          <w:sz w:val="20"/>
        </w:rPr>
        <w:t>Determination 2003</w:t>
      </w:r>
      <w:r w:rsidR="00AC59E2">
        <w:rPr>
          <w:rFonts w:ascii="Arial" w:hAnsi="Arial" w:cs="Arial"/>
          <w:sz w:val="20"/>
        </w:rPr>
        <w:t xml:space="preserve"> (the 2003 Determination)</w:t>
      </w:r>
      <w:r>
        <w:rPr>
          <w:rFonts w:ascii="Arial" w:hAnsi="Arial" w:cs="Arial"/>
          <w:sz w:val="20"/>
        </w:rPr>
        <w:t xml:space="preserve"> without making any significant changes to the regulato</w:t>
      </w:r>
      <w:r w:rsidR="00FD4AD4">
        <w:rPr>
          <w:rFonts w:ascii="Arial" w:hAnsi="Arial" w:cs="Arial"/>
          <w:sz w:val="20"/>
        </w:rPr>
        <w:t>ry arrangements created by the 200</w:t>
      </w:r>
      <w:r w:rsidR="00AC59E2">
        <w:rPr>
          <w:rFonts w:ascii="Arial" w:hAnsi="Arial" w:cs="Arial"/>
          <w:sz w:val="20"/>
        </w:rPr>
        <w:t>3</w:t>
      </w:r>
      <w:r>
        <w:rPr>
          <w:rFonts w:ascii="Arial" w:hAnsi="Arial" w:cs="Arial"/>
          <w:sz w:val="20"/>
        </w:rPr>
        <w:t xml:space="preserve"> </w:t>
      </w:r>
      <w:r w:rsidR="000E405D">
        <w:rPr>
          <w:rFonts w:ascii="Arial" w:hAnsi="Arial" w:cs="Arial"/>
          <w:sz w:val="20"/>
        </w:rPr>
        <w:t>De</w:t>
      </w:r>
      <w:r w:rsidR="00AC59E2">
        <w:rPr>
          <w:rFonts w:ascii="Arial" w:hAnsi="Arial" w:cs="Arial"/>
          <w:sz w:val="20"/>
        </w:rPr>
        <w:t>termination</w:t>
      </w:r>
      <w:r>
        <w:rPr>
          <w:rFonts w:ascii="Arial" w:hAnsi="Arial" w:cs="Arial"/>
          <w:sz w:val="20"/>
        </w:rPr>
        <w:t>.</w:t>
      </w:r>
    </w:p>
    <w:p w14:paraId="4FCC01C0" w14:textId="77777777" w:rsidR="00914D5C" w:rsidRDefault="00914D5C" w:rsidP="00914D5C">
      <w:pPr>
        <w:rPr>
          <w:rFonts w:ascii="Arial" w:hAnsi="Arial" w:cs="Arial"/>
          <w:sz w:val="20"/>
        </w:rPr>
      </w:pPr>
    </w:p>
    <w:p w14:paraId="606BF877" w14:textId="77777777" w:rsidR="00914D5C" w:rsidRDefault="00914D5C" w:rsidP="00914D5C">
      <w:pPr>
        <w:rPr>
          <w:rFonts w:ascii="Arial" w:hAnsi="Arial" w:cs="Arial"/>
          <w:sz w:val="20"/>
        </w:rPr>
      </w:pPr>
      <w:r>
        <w:rPr>
          <w:rFonts w:ascii="Arial" w:hAnsi="Arial" w:cs="Arial"/>
          <w:sz w:val="20"/>
        </w:rPr>
        <w:t xml:space="preserve">The ACMA has made the </w:t>
      </w:r>
      <w:r w:rsidR="00AC59E2">
        <w:rPr>
          <w:rFonts w:ascii="Arial" w:hAnsi="Arial" w:cs="Arial"/>
          <w:sz w:val="20"/>
        </w:rPr>
        <w:t>Determination</w:t>
      </w:r>
      <w:r>
        <w:rPr>
          <w:rFonts w:ascii="Arial" w:hAnsi="Arial" w:cs="Arial"/>
          <w:sz w:val="20"/>
        </w:rPr>
        <w:t xml:space="preserve"> because the </w:t>
      </w:r>
      <w:r w:rsidR="00AC59E2">
        <w:rPr>
          <w:rFonts w:ascii="Arial" w:hAnsi="Arial" w:cs="Arial"/>
          <w:sz w:val="20"/>
        </w:rPr>
        <w:t>2003 Determination</w:t>
      </w:r>
      <w:r w:rsidR="008F227B">
        <w:rPr>
          <w:rFonts w:ascii="Arial" w:hAnsi="Arial" w:cs="Arial"/>
          <w:sz w:val="20"/>
        </w:rPr>
        <w:t xml:space="preserve"> </w:t>
      </w:r>
      <w:r>
        <w:rPr>
          <w:rFonts w:ascii="Arial" w:hAnsi="Arial" w:cs="Arial"/>
          <w:sz w:val="20"/>
        </w:rPr>
        <w:t xml:space="preserve">was due to ‘sunset’ (i.e. be automatically repealed) on 1 </w:t>
      </w:r>
      <w:r w:rsidR="00FD4AD4">
        <w:rPr>
          <w:rFonts w:ascii="Arial" w:hAnsi="Arial" w:cs="Arial"/>
          <w:sz w:val="20"/>
        </w:rPr>
        <w:t>April</w:t>
      </w:r>
      <w:r>
        <w:rPr>
          <w:rFonts w:ascii="Arial" w:hAnsi="Arial" w:cs="Arial"/>
          <w:sz w:val="20"/>
        </w:rPr>
        <w:t xml:space="preserve"> 2015, by operation of Part 6 of the </w:t>
      </w:r>
      <w:r w:rsidRPr="00BD05EE">
        <w:rPr>
          <w:rFonts w:ascii="Arial" w:hAnsi="Arial" w:cs="Arial"/>
          <w:i/>
          <w:sz w:val="20"/>
        </w:rPr>
        <w:t>Legislative Instruments Act 2003</w:t>
      </w:r>
      <w:r>
        <w:rPr>
          <w:rFonts w:ascii="Arial" w:hAnsi="Arial" w:cs="Arial"/>
          <w:i/>
          <w:sz w:val="20"/>
        </w:rPr>
        <w:t xml:space="preserve"> </w:t>
      </w:r>
      <w:r w:rsidRPr="0005604B">
        <w:rPr>
          <w:rFonts w:ascii="Arial" w:hAnsi="Arial" w:cs="Arial"/>
          <w:sz w:val="20"/>
        </w:rPr>
        <w:t>(</w:t>
      </w:r>
      <w:r>
        <w:rPr>
          <w:rFonts w:ascii="Arial" w:hAnsi="Arial" w:cs="Arial"/>
          <w:sz w:val="20"/>
        </w:rPr>
        <w:t xml:space="preserve">the </w:t>
      </w:r>
      <w:r w:rsidRPr="0005604B">
        <w:rPr>
          <w:rFonts w:ascii="Arial" w:hAnsi="Arial" w:cs="Arial"/>
          <w:sz w:val="20"/>
        </w:rPr>
        <w:t>LIA</w:t>
      </w:r>
      <w:r>
        <w:rPr>
          <w:rFonts w:ascii="Arial" w:hAnsi="Arial" w:cs="Arial"/>
          <w:sz w:val="20"/>
        </w:rPr>
        <w:t>).</w:t>
      </w:r>
    </w:p>
    <w:p w14:paraId="2927E5A4" w14:textId="77777777" w:rsidR="00914D5C" w:rsidRDefault="00914D5C" w:rsidP="00914D5C">
      <w:pPr>
        <w:rPr>
          <w:rFonts w:ascii="Arial" w:hAnsi="Arial" w:cs="Arial"/>
          <w:sz w:val="20"/>
        </w:rPr>
      </w:pPr>
    </w:p>
    <w:p w14:paraId="7AA19A71" w14:textId="58A75B7D" w:rsidR="00914D5C" w:rsidRDefault="00914D5C" w:rsidP="00914D5C">
      <w:pPr>
        <w:rPr>
          <w:rFonts w:ascii="Arial" w:hAnsi="Arial" w:cs="Arial"/>
          <w:sz w:val="22"/>
          <w:szCs w:val="22"/>
        </w:rPr>
      </w:pPr>
      <w:r w:rsidRPr="00C117CF">
        <w:rPr>
          <w:rFonts w:ascii="Arial" w:hAnsi="Arial" w:cs="Arial"/>
          <w:sz w:val="20"/>
        </w:rPr>
        <w:t>Following</w:t>
      </w:r>
      <w:r>
        <w:rPr>
          <w:rFonts w:ascii="Arial" w:hAnsi="Arial" w:cs="Arial"/>
          <w:sz w:val="20"/>
        </w:rPr>
        <w:t xml:space="preserve"> </w:t>
      </w:r>
      <w:r w:rsidRPr="00C117CF">
        <w:rPr>
          <w:rFonts w:ascii="Arial" w:hAnsi="Arial" w:cs="Arial"/>
          <w:sz w:val="20"/>
        </w:rPr>
        <w:t xml:space="preserve">review, and consultation as described below, the ACMA formed the view that the </w:t>
      </w:r>
      <w:r w:rsidR="00FD4AD4">
        <w:rPr>
          <w:rFonts w:ascii="Arial" w:hAnsi="Arial" w:cs="Arial"/>
          <w:sz w:val="20"/>
        </w:rPr>
        <w:t>200</w:t>
      </w:r>
      <w:r w:rsidR="00AC59E2">
        <w:rPr>
          <w:rFonts w:ascii="Arial" w:hAnsi="Arial" w:cs="Arial"/>
          <w:sz w:val="20"/>
        </w:rPr>
        <w:t>3</w:t>
      </w:r>
      <w:r>
        <w:rPr>
          <w:rFonts w:ascii="Arial" w:hAnsi="Arial" w:cs="Arial"/>
          <w:sz w:val="20"/>
        </w:rPr>
        <w:t xml:space="preserve"> </w:t>
      </w:r>
      <w:r w:rsidR="00AC59E2">
        <w:rPr>
          <w:rFonts w:ascii="Arial" w:hAnsi="Arial" w:cs="Arial"/>
          <w:sz w:val="20"/>
        </w:rPr>
        <w:t>Determination</w:t>
      </w:r>
      <w:r w:rsidR="008F227B">
        <w:rPr>
          <w:rFonts w:ascii="Arial" w:hAnsi="Arial" w:cs="Arial"/>
          <w:sz w:val="20"/>
        </w:rPr>
        <w:t xml:space="preserve"> </w:t>
      </w:r>
      <w:r w:rsidRPr="00C117CF">
        <w:rPr>
          <w:rFonts w:ascii="Arial" w:hAnsi="Arial" w:cs="Arial"/>
          <w:sz w:val="20"/>
        </w:rPr>
        <w:t>was operating effectively and efficiently</w:t>
      </w:r>
      <w:r>
        <w:rPr>
          <w:rFonts w:ascii="Arial" w:hAnsi="Arial" w:cs="Arial"/>
          <w:sz w:val="20"/>
        </w:rPr>
        <w:t>,</w:t>
      </w:r>
      <w:r w:rsidRPr="00C117CF">
        <w:rPr>
          <w:rFonts w:ascii="Arial" w:hAnsi="Arial" w:cs="Arial"/>
          <w:sz w:val="20"/>
        </w:rPr>
        <w:t xml:space="preserve"> and continued to form a necessary and useful part of the legislative framework</w:t>
      </w:r>
      <w:r>
        <w:rPr>
          <w:rFonts w:ascii="Arial" w:hAnsi="Arial" w:cs="Arial"/>
          <w:sz w:val="20"/>
        </w:rPr>
        <w:t xml:space="preserve">. To preserve the effect of the </w:t>
      </w:r>
      <w:r w:rsidR="00AC59E2">
        <w:rPr>
          <w:rFonts w:ascii="Arial" w:hAnsi="Arial" w:cs="Arial"/>
          <w:sz w:val="20"/>
        </w:rPr>
        <w:t>2003 Determination</w:t>
      </w:r>
      <w:r>
        <w:rPr>
          <w:rFonts w:ascii="Arial" w:hAnsi="Arial" w:cs="Arial"/>
          <w:sz w:val="20"/>
        </w:rPr>
        <w:t xml:space="preserve">, the ACMA has revoked the </w:t>
      </w:r>
      <w:r w:rsidR="00AC59E2">
        <w:rPr>
          <w:rFonts w:ascii="Arial" w:hAnsi="Arial" w:cs="Arial"/>
          <w:sz w:val="20"/>
        </w:rPr>
        <w:t>2003 Determination</w:t>
      </w:r>
      <w:r w:rsidR="008F227B">
        <w:rPr>
          <w:rFonts w:ascii="Arial" w:hAnsi="Arial" w:cs="Arial"/>
          <w:sz w:val="20"/>
        </w:rPr>
        <w:t xml:space="preserve"> </w:t>
      </w:r>
      <w:r>
        <w:rPr>
          <w:rFonts w:ascii="Arial" w:hAnsi="Arial" w:cs="Arial"/>
          <w:sz w:val="20"/>
        </w:rPr>
        <w:t xml:space="preserve">before its sunset date and remade it with minor changes as the </w:t>
      </w:r>
      <w:r w:rsidR="00AC59E2">
        <w:rPr>
          <w:rFonts w:ascii="Arial" w:hAnsi="Arial" w:cs="Arial"/>
          <w:sz w:val="20"/>
        </w:rPr>
        <w:t>Determination.</w:t>
      </w:r>
    </w:p>
    <w:p w14:paraId="24AEE766" w14:textId="77777777" w:rsidR="00914D5C" w:rsidRDefault="00914D5C" w:rsidP="00914D5C">
      <w:pPr>
        <w:rPr>
          <w:rFonts w:ascii="Arial" w:hAnsi="Arial" w:cs="Arial"/>
          <w:sz w:val="20"/>
        </w:rPr>
      </w:pPr>
    </w:p>
    <w:p w14:paraId="64F001C1" w14:textId="77777777" w:rsidR="00914D5C"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Legislative Provisions</w:t>
      </w:r>
    </w:p>
    <w:p w14:paraId="668030D0" w14:textId="578EC8EC" w:rsidR="00AC59E2" w:rsidRPr="00AC59E2" w:rsidRDefault="00AC59E2" w:rsidP="00AC59E2">
      <w:pPr>
        <w:outlineLvl w:val="0"/>
        <w:rPr>
          <w:rFonts w:ascii="Arial" w:hAnsi="Arial" w:cs="Arial"/>
          <w:sz w:val="20"/>
        </w:rPr>
      </w:pPr>
      <w:r w:rsidRPr="00AC59E2">
        <w:rPr>
          <w:rFonts w:ascii="Arial" w:hAnsi="Arial" w:cs="Arial"/>
          <w:sz w:val="20"/>
        </w:rPr>
        <w:t>Paragraph 107(1</w:t>
      </w:r>
      <w:proofErr w:type="gramStart"/>
      <w:r w:rsidRPr="00AC59E2">
        <w:rPr>
          <w:rFonts w:ascii="Arial" w:hAnsi="Arial" w:cs="Arial"/>
          <w:sz w:val="20"/>
        </w:rPr>
        <w:t>)(</w:t>
      </w:r>
      <w:proofErr w:type="gramEnd"/>
      <w:r w:rsidRPr="00AC59E2">
        <w:rPr>
          <w:rFonts w:ascii="Arial" w:hAnsi="Arial" w:cs="Arial"/>
          <w:sz w:val="20"/>
        </w:rPr>
        <w:t xml:space="preserve">f) of the </w:t>
      </w:r>
      <w:proofErr w:type="spellStart"/>
      <w:r w:rsidRPr="00AC59E2">
        <w:rPr>
          <w:rFonts w:ascii="Arial" w:hAnsi="Arial" w:cs="Arial"/>
          <w:i/>
          <w:sz w:val="20"/>
        </w:rPr>
        <w:t>Radiocommunications</w:t>
      </w:r>
      <w:proofErr w:type="spellEnd"/>
      <w:r w:rsidRPr="00AC59E2">
        <w:rPr>
          <w:rFonts w:ascii="Arial" w:hAnsi="Arial" w:cs="Arial"/>
          <w:i/>
          <w:sz w:val="20"/>
        </w:rPr>
        <w:t xml:space="preserve"> Act 1992</w:t>
      </w:r>
      <w:r w:rsidRPr="00AC59E2">
        <w:rPr>
          <w:rFonts w:ascii="Arial" w:hAnsi="Arial" w:cs="Arial"/>
          <w:sz w:val="20"/>
        </w:rPr>
        <w:t xml:space="preserve"> (the Act)</w:t>
      </w:r>
      <w:r>
        <w:rPr>
          <w:rFonts w:ascii="Arial" w:hAnsi="Arial" w:cs="Arial"/>
          <w:sz w:val="20"/>
        </w:rPr>
        <w:t xml:space="preserve"> </w:t>
      </w:r>
      <w:r w:rsidR="00411A59">
        <w:rPr>
          <w:rFonts w:ascii="Arial" w:hAnsi="Arial" w:cs="Arial"/>
          <w:sz w:val="20"/>
        </w:rPr>
        <w:t xml:space="preserve">provides that </w:t>
      </w:r>
      <w:r>
        <w:rPr>
          <w:rFonts w:ascii="Arial" w:hAnsi="Arial" w:cs="Arial"/>
          <w:sz w:val="20"/>
        </w:rPr>
        <w:t>the ACMA</w:t>
      </w:r>
      <w:r w:rsidR="00411A59">
        <w:rPr>
          <w:rFonts w:ascii="Arial" w:hAnsi="Arial" w:cs="Arial"/>
          <w:sz w:val="20"/>
        </w:rPr>
        <w:t xml:space="preserve"> may, by legislative instrument,</w:t>
      </w:r>
      <w:r>
        <w:rPr>
          <w:rFonts w:ascii="Arial" w:hAnsi="Arial" w:cs="Arial"/>
          <w:sz w:val="20"/>
        </w:rPr>
        <w:t xml:space="preserve"> determine conditions applicable to particular types of apparatus licences.</w:t>
      </w:r>
    </w:p>
    <w:p w14:paraId="5EDD8463" w14:textId="77777777" w:rsidR="00AC59E2" w:rsidRDefault="00AC59E2" w:rsidP="00433E6B">
      <w:pPr>
        <w:rPr>
          <w:rFonts w:ascii="Arial" w:hAnsi="Arial" w:cs="Arial"/>
          <w:sz w:val="20"/>
          <w:lang w:val="en-US" w:eastAsia="en-US"/>
        </w:rPr>
      </w:pPr>
    </w:p>
    <w:p w14:paraId="732CA839" w14:textId="77777777" w:rsidR="00433E6B" w:rsidRDefault="00433E6B" w:rsidP="00433E6B">
      <w:pPr>
        <w:rPr>
          <w:rFonts w:ascii="Arial" w:hAnsi="Arial" w:cs="Arial"/>
          <w:sz w:val="20"/>
          <w:lang w:val="en-US" w:eastAsia="en-US"/>
        </w:rPr>
      </w:pPr>
      <w:r w:rsidRPr="00433E6B">
        <w:rPr>
          <w:rFonts w:ascii="Arial" w:hAnsi="Arial" w:cs="Arial"/>
          <w:sz w:val="20"/>
          <w:lang w:val="en-US" w:eastAsia="en-US"/>
        </w:rPr>
        <w:t xml:space="preserve">A </w:t>
      </w:r>
      <w:r w:rsidR="004C7852">
        <w:rPr>
          <w:rFonts w:ascii="Arial" w:hAnsi="Arial" w:cs="Arial"/>
          <w:sz w:val="20"/>
          <w:lang w:val="en-US" w:eastAsia="en-US"/>
        </w:rPr>
        <w:t>determination</w:t>
      </w:r>
      <w:r w:rsidR="004C7852" w:rsidRPr="00433E6B">
        <w:rPr>
          <w:rFonts w:ascii="Arial" w:hAnsi="Arial" w:cs="Arial"/>
          <w:sz w:val="20"/>
          <w:lang w:val="en-US" w:eastAsia="en-US"/>
        </w:rPr>
        <w:t xml:space="preserve"> </w:t>
      </w:r>
      <w:r w:rsidRPr="00433E6B">
        <w:rPr>
          <w:rFonts w:ascii="Arial" w:hAnsi="Arial" w:cs="Arial"/>
          <w:sz w:val="20"/>
          <w:lang w:val="en-US" w:eastAsia="en-US"/>
        </w:rPr>
        <w:t xml:space="preserve">made under </w:t>
      </w:r>
      <w:r w:rsidR="00AC59E2">
        <w:rPr>
          <w:rFonts w:ascii="Arial" w:hAnsi="Arial" w:cs="Arial"/>
          <w:sz w:val="20"/>
          <w:lang w:val="en-US" w:eastAsia="en-US"/>
        </w:rPr>
        <w:t>paragraph 107(1</w:t>
      </w:r>
      <w:proofErr w:type="gramStart"/>
      <w:r w:rsidR="00AC59E2">
        <w:rPr>
          <w:rFonts w:ascii="Arial" w:hAnsi="Arial" w:cs="Arial"/>
          <w:sz w:val="20"/>
          <w:lang w:val="en-US" w:eastAsia="en-US"/>
        </w:rPr>
        <w:t>)(</w:t>
      </w:r>
      <w:proofErr w:type="gramEnd"/>
      <w:r w:rsidR="00AC59E2">
        <w:rPr>
          <w:rFonts w:ascii="Arial" w:hAnsi="Arial" w:cs="Arial"/>
          <w:sz w:val="20"/>
          <w:lang w:val="en-US" w:eastAsia="en-US"/>
        </w:rPr>
        <w:t>f)</w:t>
      </w:r>
      <w:r w:rsidRPr="00433E6B">
        <w:rPr>
          <w:rFonts w:ascii="Arial" w:hAnsi="Arial" w:cs="Arial"/>
          <w:sz w:val="20"/>
          <w:lang w:val="en-US" w:eastAsia="en-US"/>
        </w:rPr>
        <w:t xml:space="preserve"> is a </w:t>
      </w:r>
      <w:r w:rsidR="004C7852">
        <w:rPr>
          <w:rFonts w:ascii="Arial" w:hAnsi="Arial" w:cs="Arial"/>
          <w:sz w:val="20"/>
          <w:lang w:val="en-US" w:eastAsia="en-US"/>
        </w:rPr>
        <w:t>legislative instrument and may be subject to disallowance in accordance with section 42 of the LIA.</w:t>
      </w:r>
    </w:p>
    <w:p w14:paraId="1DDBEE76" w14:textId="77777777" w:rsidR="00E6186D" w:rsidRDefault="00E6186D" w:rsidP="00433E6B">
      <w:pPr>
        <w:rPr>
          <w:rFonts w:ascii="Arial" w:hAnsi="Arial" w:cs="Arial"/>
          <w:sz w:val="20"/>
          <w:lang w:val="en-US" w:eastAsia="en-US"/>
        </w:rPr>
      </w:pPr>
    </w:p>
    <w:p w14:paraId="1957D6C6" w14:textId="2C67B244" w:rsidR="00E6186D" w:rsidRPr="00433E6B" w:rsidRDefault="00E6186D" w:rsidP="00433E6B">
      <w:pPr>
        <w:rPr>
          <w:rFonts w:ascii="Arial" w:hAnsi="Arial" w:cs="Arial"/>
          <w:sz w:val="20"/>
          <w:lang w:val="en-US" w:eastAsia="en-US"/>
        </w:rPr>
      </w:pPr>
      <w:r>
        <w:rPr>
          <w:rFonts w:ascii="Arial" w:hAnsi="Arial" w:cs="Arial"/>
          <w:sz w:val="20"/>
        </w:rPr>
        <w:t xml:space="preserve">Section 33(3) of the </w:t>
      </w:r>
      <w:r>
        <w:rPr>
          <w:rFonts w:ascii="Arial" w:hAnsi="Arial" w:cs="Arial"/>
          <w:i/>
          <w:sz w:val="20"/>
        </w:rPr>
        <w:t xml:space="preserve">Acts Interpretation Act 1901 </w:t>
      </w:r>
      <w:r>
        <w:rPr>
          <w:rFonts w:ascii="Arial" w:hAnsi="Arial" w:cs="Arial"/>
          <w:sz w:val="20"/>
        </w:rPr>
        <w:t>provides that the power to make an instrument includes the power to vary or revoke the instrument.</w:t>
      </w:r>
    </w:p>
    <w:p w14:paraId="133E7FE1" w14:textId="77777777" w:rsidR="00433E6B" w:rsidRPr="00433E6B" w:rsidRDefault="00433E6B" w:rsidP="001418A8">
      <w:pPr>
        <w:rPr>
          <w:rFonts w:ascii="Arial" w:hAnsi="Arial" w:cs="Arial"/>
          <w:sz w:val="20"/>
          <w:lang w:val="en-US" w:eastAsia="en-US"/>
        </w:rPr>
      </w:pPr>
      <w:bookmarkStart w:id="1" w:name="_Toc488571218"/>
    </w:p>
    <w:bookmarkEnd w:id="1"/>
    <w:p w14:paraId="5FBCA73D" w14:textId="77777777" w:rsidR="00914D5C" w:rsidRDefault="00914D5C" w:rsidP="00914D5C">
      <w:pPr>
        <w:keepNext/>
        <w:spacing w:line="360" w:lineRule="auto"/>
        <w:outlineLvl w:val="0"/>
        <w:rPr>
          <w:rFonts w:ascii="Arial" w:hAnsi="Arial" w:cs="Arial"/>
          <w:b/>
          <w:sz w:val="22"/>
          <w:szCs w:val="22"/>
          <w:lang w:val="en-AU"/>
        </w:rPr>
      </w:pPr>
      <w:r w:rsidRPr="00AF179C">
        <w:rPr>
          <w:rFonts w:ascii="Arial" w:hAnsi="Arial" w:cs="Arial"/>
          <w:b/>
          <w:sz w:val="22"/>
          <w:szCs w:val="22"/>
          <w:lang w:val="en-AU"/>
        </w:rPr>
        <w:t>Background</w:t>
      </w:r>
    </w:p>
    <w:p w14:paraId="3D3E6D3C" w14:textId="0E76DADF" w:rsidR="00BC5162" w:rsidRPr="006B69BB" w:rsidRDefault="00F05D89" w:rsidP="006B69BB">
      <w:pPr>
        <w:keepNext/>
        <w:outlineLvl w:val="0"/>
        <w:rPr>
          <w:rFonts w:ascii="Arial" w:hAnsi="Arial" w:cs="Arial"/>
          <w:sz w:val="20"/>
        </w:rPr>
      </w:pPr>
      <w:r>
        <w:rPr>
          <w:rFonts w:ascii="Arial" w:hAnsi="Arial" w:cs="Arial"/>
          <w:sz w:val="20"/>
        </w:rPr>
        <w:t>Under paragraph 107(1</w:t>
      </w:r>
      <w:proofErr w:type="gramStart"/>
      <w:r>
        <w:rPr>
          <w:rFonts w:ascii="Arial" w:hAnsi="Arial" w:cs="Arial"/>
          <w:sz w:val="20"/>
        </w:rPr>
        <w:t>)(</w:t>
      </w:r>
      <w:proofErr w:type="gramEnd"/>
      <w:r>
        <w:rPr>
          <w:rFonts w:ascii="Arial" w:hAnsi="Arial" w:cs="Arial"/>
          <w:sz w:val="20"/>
        </w:rPr>
        <w:t xml:space="preserve">f) of the Act, the ACMA may determine conditions relating to a particular type of apparatus licence. </w:t>
      </w:r>
      <w:r w:rsidR="00BC5162">
        <w:rPr>
          <w:rFonts w:ascii="Arial" w:hAnsi="Arial" w:cs="Arial"/>
          <w:sz w:val="20"/>
        </w:rPr>
        <w:t xml:space="preserve">The Determination </w:t>
      </w:r>
      <w:r>
        <w:rPr>
          <w:rFonts w:ascii="Arial" w:hAnsi="Arial" w:cs="Arial"/>
          <w:sz w:val="20"/>
        </w:rPr>
        <w:t xml:space="preserve">contains conditions that apply to all </w:t>
      </w:r>
      <w:r w:rsidR="00E6186D">
        <w:rPr>
          <w:rFonts w:ascii="Arial" w:hAnsi="Arial" w:cs="Arial"/>
          <w:sz w:val="20"/>
        </w:rPr>
        <w:t xml:space="preserve">transmitter </w:t>
      </w:r>
      <w:r>
        <w:rPr>
          <w:rFonts w:ascii="Arial" w:hAnsi="Arial" w:cs="Arial"/>
          <w:sz w:val="20"/>
        </w:rPr>
        <w:t xml:space="preserve">licences issued under subsection 100(1) or subsection </w:t>
      </w:r>
      <w:proofErr w:type="gramStart"/>
      <w:r>
        <w:rPr>
          <w:rFonts w:ascii="Arial" w:hAnsi="Arial" w:cs="Arial"/>
          <w:sz w:val="20"/>
        </w:rPr>
        <w:t>100B(</w:t>
      </w:r>
      <w:proofErr w:type="gramEnd"/>
      <w:r>
        <w:rPr>
          <w:rFonts w:ascii="Arial" w:hAnsi="Arial" w:cs="Arial"/>
          <w:sz w:val="20"/>
        </w:rPr>
        <w:t>1) of the Act</w:t>
      </w:r>
      <w:r w:rsidR="00B55494">
        <w:rPr>
          <w:rFonts w:ascii="Arial" w:hAnsi="Arial" w:cs="Arial"/>
          <w:sz w:val="20"/>
        </w:rPr>
        <w:t xml:space="preserve">. The conditions in the </w:t>
      </w:r>
      <w:r w:rsidR="00EA6135" w:rsidRPr="00EA6135">
        <w:rPr>
          <w:rFonts w:ascii="Arial" w:hAnsi="Arial" w:cs="Arial"/>
          <w:sz w:val="20"/>
        </w:rPr>
        <w:t>Determination may also</w:t>
      </w:r>
      <w:r w:rsidR="00EA6135">
        <w:rPr>
          <w:rFonts w:ascii="Arial" w:hAnsi="Arial" w:cs="Arial"/>
          <w:sz w:val="20"/>
        </w:rPr>
        <w:t xml:space="preserve"> be</w:t>
      </w:r>
      <w:r w:rsidR="00EA6135" w:rsidRPr="00EA6135">
        <w:rPr>
          <w:rFonts w:ascii="Arial" w:hAnsi="Arial" w:cs="Arial"/>
          <w:sz w:val="20"/>
        </w:rPr>
        <w:t xml:space="preserve"> incorporated by reference through a licence condition imposed </w:t>
      </w:r>
      <w:r w:rsidR="00B55494">
        <w:rPr>
          <w:rFonts w:ascii="Arial" w:hAnsi="Arial" w:cs="Arial"/>
          <w:sz w:val="20"/>
        </w:rPr>
        <w:t>on other types of licences, for instance spectrum licences</w:t>
      </w:r>
      <w:r w:rsidR="00EA6135">
        <w:rPr>
          <w:rFonts w:ascii="Arial" w:hAnsi="Arial" w:cs="Arial"/>
          <w:sz w:val="20"/>
        </w:rPr>
        <w:t>.</w:t>
      </w:r>
    </w:p>
    <w:p w14:paraId="1EF16D7E" w14:textId="77777777" w:rsidR="00914D5C" w:rsidRDefault="00914D5C" w:rsidP="00914D5C">
      <w:pPr>
        <w:rPr>
          <w:rFonts w:ascii="Arial" w:hAnsi="Arial" w:cs="Arial"/>
          <w:sz w:val="20"/>
        </w:rPr>
      </w:pPr>
    </w:p>
    <w:p w14:paraId="2F023452" w14:textId="77777777" w:rsidR="00914D5C" w:rsidRDefault="00914D5C" w:rsidP="00914D5C">
      <w:pPr>
        <w:spacing w:line="360" w:lineRule="auto"/>
        <w:outlineLvl w:val="0"/>
        <w:rPr>
          <w:rFonts w:ascii="Arial" w:hAnsi="Arial" w:cs="Arial"/>
          <w:b/>
          <w:sz w:val="22"/>
          <w:szCs w:val="22"/>
          <w:lang w:val="en-AU"/>
        </w:rPr>
      </w:pPr>
      <w:r w:rsidRPr="00AF179C">
        <w:rPr>
          <w:rFonts w:ascii="Arial" w:hAnsi="Arial" w:cs="Arial"/>
          <w:b/>
          <w:sz w:val="22"/>
          <w:szCs w:val="22"/>
          <w:lang w:val="en-AU"/>
        </w:rPr>
        <w:t>Operation</w:t>
      </w:r>
    </w:p>
    <w:p w14:paraId="029DF473" w14:textId="4CE13F9C" w:rsidR="00026C1A" w:rsidRPr="00026C1A" w:rsidRDefault="00026C1A" w:rsidP="00026C1A">
      <w:pPr>
        <w:outlineLvl w:val="0"/>
        <w:rPr>
          <w:rFonts w:ascii="Arial" w:hAnsi="Arial" w:cs="Arial"/>
          <w:sz w:val="20"/>
        </w:rPr>
      </w:pPr>
      <w:r w:rsidRPr="00026C1A">
        <w:rPr>
          <w:rFonts w:ascii="Arial" w:hAnsi="Arial" w:cs="Arial"/>
          <w:sz w:val="20"/>
        </w:rPr>
        <w:t xml:space="preserve">The conditions imposed by the Determination relate to permitted communications and the exposure of the general public to </w:t>
      </w:r>
      <w:r w:rsidR="00BA2114">
        <w:rPr>
          <w:rFonts w:ascii="Arial" w:hAnsi="Arial" w:cs="Arial"/>
          <w:sz w:val="20"/>
        </w:rPr>
        <w:t>electromagnetic radiation or energy (</w:t>
      </w:r>
      <w:r w:rsidRPr="00026C1A">
        <w:rPr>
          <w:rFonts w:ascii="Arial" w:hAnsi="Arial" w:cs="Arial"/>
          <w:sz w:val="20"/>
        </w:rPr>
        <w:t>EME</w:t>
      </w:r>
      <w:r w:rsidR="00BA2114">
        <w:rPr>
          <w:rFonts w:ascii="Arial" w:hAnsi="Arial" w:cs="Arial"/>
          <w:sz w:val="20"/>
        </w:rPr>
        <w:t>)</w:t>
      </w:r>
      <w:r w:rsidRPr="00026C1A">
        <w:rPr>
          <w:rFonts w:ascii="Arial" w:hAnsi="Arial" w:cs="Arial"/>
          <w:sz w:val="20"/>
        </w:rPr>
        <w:t xml:space="preserve"> from </w:t>
      </w:r>
      <w:proofErr w:type="spellStart"/>
      <w:r w:rsidRPr="00026C1A">
        <w:rPr>
          <w:rFonts w:ascii="Arial" w:hAnsi="Arial" w:cs="Arial"/>
          <w:sz w:val="20"/>
        </w:rPr>
        <w:t>radiocommunications</w:t>
      </w:r>
      <w:proofErr w:type="spellEnd"/>
      <w:r w:rsidRPr="00026C1A">
        <w:rPr>
          <w:rFonts w:ascii="Arial" w:hAnsi="Arial" w:cs="Arial"/>
          <w:sz w:val="20"/>
        </w:rPr>
        <w:t xml:space="preserve"> transmitters.</w:t>
      </w:r>
    </w:p>
    <w:p w14:paraId="00B79E46" w14:textId="77777777" w:rsidR="00026C1A" w:rsidRPr="00026C1A" w:rsidRDefault="00026C1A" w:rsidP="00026C1A">
      <w:pPr>
        <w:outlineLvl w:val="0"/>
        <w:rPr>
          <w:rFonts w:ascii="Arial" w:hAnsi="Arial" w:cs="Arial"/>
          <w:sz w:val="20"/>
        </w:rPr>
      </w:pPr>
    </w:p>
    <w:p w14:paraId="1F3F8347" w14:textId="77777777" w:rsidR="00026C1A" w:rsidRPr="00026C1A" w:rsidRDefault="00026C1A" w:rsidP="00026C1A">
      <w:pPr>
        <w:outlineLvl w:val="0"/>
        <w:rPr>
          <w:rFonts w:ascii="Arial" w:hAnsi="Arial" w:cs="Arial"/>
          <w:i/>
          <w:sz w:val="20"/>
        </w:rPr>
      </w:pPr>
      <w:r w:rsidRPr="00026C1A">
        <w:rPr>
          <w:rFonts w:ascii="Arial" w:hAnsi="Arial" w:cs="Arial"/>
          <w:i/>
          <w:sz w:val="20"/>
        </w:rPr>
        <w:t>Permitted communications</w:t>
      </w:r>
    </w:p>
    <w:p w14:paraId="629C0CD5" w14:textId="785223E1" w:rsidR="00026C1A" w:rsidRPr="00026C1A" w:rsidRDefault="00026C1A" w:rsidP="00026C1A">
      <w:pPr>
        <w:outlineLvl w:val="0"/>
        <w:rPr>
          <w:rFonts w:ascii="Arial" w:hAnsi="Arial" w:cs="Arial"/>
          <w:sz w:val="20"/>
        </w:rPr>
      </w:pPr>
      <w:r w:rsidRPr="00026C1A">
        <w:rPr>
          <w:rFonts w:ascii="Arial" w:hAnsi="Arial" w:cs="Arial"/>
          <w:sz w:val="20"/>
        </w:rPr>
        <w:t>The Determination provides that a licensee may only operate a transmitter to communicate with a station or receiver if that communication is permitted by the licensee’s licence. The only exceptions are if:</w:t>
      </w:r>
    </w:p>
    <w:p w14:paraId="17A53078" w14:textId="77777777" w:rsidR="00026C1A" w:rsidRPr="00026C1A" w:rsidRDefault="00026C1A" w:rsidP="00026C1A">
      <w:pPr>
        <w:pStyle w:val="ListParagraph"/>
        <w:numPr>
          <w:ilvl w:val="0"/>
          <w:numId w:val="19"/>
        </w:numPr>
        <w:outlineLvl w:val="0"/>
        <w:rPr>
          <w:rFonts w:ascii="Arial" w:hAnsi="Arial" w:cs="Arial"/>
          <w:sz w:val="20"/>
          <w:szCs w:val="20"/>
          <w:lang w:val="en-GB" w:eastAsia="en-AU"/>
        </w:rPr>
      </w:pPr>
      <w:r w:rsidRPr="00026C1A">
        <w:rPr>
          <w:rFonts w:ascii="Arial" w:hAnsi="Arial" w:cs="Arial"/>
          <w:sz w:val="20"/>
          <w:szCs w:val="20"/>
          <w:lang w:val="en-GB" w:eastAsia="en-AU"/>
        </w:rPr>
        <w:t>the licensee is transmitting a message relating to an emergency situation; or</w:t>
      </w:r>
    </w:p>
    <w:p w14:paraId="374128BC" w14:textId="77777777" w:rsidR="00026C1A" w:rsidRDefault="00026C1A" w:rsidP="00026C1A">
      <w:pPr>
        <w:pStyle w:val="ListParagraph"/>
        <w:numPr>
          <w:ilvl w:val="0"/>
          <w:numId w:val="19"/>
        </w:numPr>
        <w:outlineLvl w:val="0"/>
        <w:rPr>
          <w:rFonts w:ascii="Arial" w:hAnsi="Arial" w:cs="Arial"/>
          <w:sz w:val="20"/>
          <w:szCs w:val="20"/>
          <w:lang w:val="en-GB" w:eastAsia="en-AU"/>
        </w:rPr>
      </w:pPr>
      <w:proofErr w:type="gramStart"/>
      <w:r w:rsidRPr="00026C1A">
        <w:rPr>
          <w:rFonts w:ascii="Arial" w:hAnsi="Arial" w:cs="Arial"/>
          <w:sz w:val="20"/>
          <w:szCs w:val="20"/>
          <w:lang w:val="en-GB" w:eastAsia="en-AU"/>
        </w:rPr>
        <w:t>the</w:t>
      </w:r>
      <w:proofErr w:type="gramEnd"/>
      <w:r w:rsidRPr="00026C1A">
        <w:rPr>
          <w:rFonts w:ascii="Arial" w:hAnsi="Arial" w:cs="Arial"/>
          <w:sz w:val="20"/>
          <w:szCs w:val="20"/>
          <w:lang w:val="en-GB" w:eastAsia="en-AU"/>
        </w:rPr>
        <w:t xml:space="preserve"> licensee has been authorised by the ACMA or an inspector to operate the transmitter in relation to an interference investigation.</w:t>
      </w:r>
    </w:p>
    <w:p w14:paraId="59C49687" w14:textId="77777777" w:rsidR="00026C1A" w:rsidRDefault="00026C1A" w:rsidP="00026C1A">
      <w:pPr>
        <w:outlineLvl w:val="0"/>
        <w:rPr>
          <w:rFonts w:ascii="Arial" w:hAnsi="Arial" w:cs="Arial"/>
          <w:i/>
          <w:sz w:val="20"/>
        </w:rPr>
      </w:pPr>
    </w:p>
    <w:p w14:paraId="6803511B" w14:textId="087BEA23" w:rsidR="00026C1A" w:rsidRDefault="00026C1A" w:rsidP="00026C1A">
      <w:pPr>
        <w:outlineLvl w:val="0"/>
        <w:rPr>
          <w:rFonts w:ascii="Arial" w:hAnsi="Arial" w:cs="Arial"/>
          <w:i/>
          <w:sz w:val="20"/>
        </w:rPr>
      </w:pPr>
      <w:r w:rsidRPr="00026C1A">
        <w:rPr>
          <w:rFonts w:ascii="Arial" w:hAnsi="Arial" w:cs="Arial"/>
          <w:i/>
          <w:sz w:val="20"/>
        </w:rPr>
        <w:t xml:space="preserve">EME Exposure </w:t>
      </w:r>
    </w:p>
    <w:p w14:paraId="624B70FE" w14:textId="77777777" w:rsidR="00026C1A" w:rsidRDefault="00026C1A" w:rsidP="00026C1A">
      <w:pPr>
        <w:outlineLvl w:val="0"/>
        <w:rPr>
          <w:rFonts w:ascii="Arial" w:hAnsi="Arial" w:cs="Arial"/>
          <w:sz w:val="20"/>
        </w:rPr>
      </w:pPr>
      <w:r>
        <w:rPr>
          <w:rFonts w:ascii="Arial" w:hAnsi="Arial" w:cs="Arial"/>
          <w:sz w:val="20"/>
        </w:rPr>
        <w:t>To address community concerns about possible he</w:t>
      </w:r>
      <w:r w:rsidR="00132826">
        <w:rPr>
          <w:rFonts w:ascii="Arial" w:hAnsi="Arial" w:cs="Arial"/>
          <w:sz w:val="20"/>
        </w:rPr>
        <w:t>al</w:t>
      </w:r>
      <w:r>
        <w:rPr>
          <w:rFonts w:ascii="Arial" w:hAnsi="Arial" w:cs="Arial"/>
          <w:sz w:val="20"/>
        </w:rPr>
        <w:t>th effects resulting from exposure to EME</w:t>
      </w:r>
      <w:r w:rsidR="00110199">
        <w:rPr>
          <w:rFonts w:ascii="Arial" w:hAnsi="Arial" w:cs="Arial"/>
          <w:sz w:val="20"/>
        </w:rPr>
        <w:t>,</w:t>
      </w:r>
      <w:r>
        <w:rPr>
          <w:rFonts w:ascii="Arial" w:hAnsi="Arial" w:cs="Arial"/>
          <w:sz w:val="20"/>
        </w:rPr>
        <w:t xml:space="preserve"> the Determination requires that a licensee:</w:t>
      </w:r>
    </w:p>
    <w:p w14:paraId="033AA79B" w14:textId="77777777" w:rsidR="00026C1A" w:rsidRDefault="00026C1A" w:rsidP="00026C1A">
      <w:pPr>
        <w:pStyle w:val="ListParagraph"/>
        <w:numPr>
          <w:ilvl w:val="0"/>
          <w:numId w:val="20"/>
        </w:numPr>
        <w:outlineLvl w:val="0"/>
        <w:rPr>
          <w:rFonts w:ascii="Arial" w:hAnsi="Arial" w:cs="Arial"/>
          <w:sz w:val="20"/>
        </w:rPr>
      </w:pPr>
      <w:r>
        <w:rPr>
          <w:rFonts w:ascii="Arial" w:hAnsi="Arial" w:cs="Arial"/>
          <w:sz w:val="20"/>
        </w:rPr>
        <w:t xml:space="preserve">ensure that members of the general public are not exposed, in excess of </w:t>
      </w:r>
      <w:proofErr w:type="spellStart"/>
      <w:r>
        <w:rPr>
          <w:rFonts w:ascii="Arial" w:hAnsi="Arial" w:cs="Arial"/>
          <w:sz w:val="20"/>
        </w:rPr>
        <w:t>recogni</w:t>
      </w:r>
      <w:r w:rsidR="00132826">
        <w:rPr>
          <w:rFonts w:ascii="Arial" w:hAnsi="Arial" w:cs="Arial"/>
          <w:sz w:val="20"/>
        </w:rPr>
        <w:t>s</w:t>
      </w:r>
      <w:r>
        <w:rPr>
          <w:rFonts w:ascii="Arial" w:hAnsi="Arial" w:cs="Arial"/>
          <w:sz w:val="20"/>
        </w:rPr>
        <w:t>ed</w:t>
      </w:r>
      <w:proofErr w:type="spellEnd"/>
      <w:r>
        <w:rPr>
          <w:rFonts w:ascii="Arial" w:hAnsi="Arial" w:cs="Arial"/>
          <w:sz w:val="20"/>
        </w:rPr>
        <w:t xml:space="preserve"> exposure limits, to EME produced by a transmitter operated by the licensee</w:t>
      </w:r>
      <w:r w:rsidR="00742D78">
        <w:rPr>
          <w:rFonts w:ascii="Arial" w:hAnsi="Arial" w:cs="Arial"/>
          <w:sz w:val="20"/>
        </w:rPr>
        <w:t>;</w:t>
      </w:r>
    </w:p>
    <w:p w14:paraId="7C3C84ED" w14:textId="77777777" w:rsidR="00742D78" w:rsidRDefault="00742D78" w:rsidP="00026C1A">
      <w:pPr>
        <w:pStyle w:val="ListParagraph"/>
        <w:numPr>
          <w:ilvl w:val="0"/>
          <w:numId w:val="20"/>
        </w:numPr>
        <w:outlineLvl w:val="0"/>
        <w:rPr>
          <w:rFonts w:ascii="Arial" w:hAnsi="Arial" w:cs="Arial"/>
          <w:sz w:val="20"/>
        </w:rPr>
      </w:pPr>
      <w:r>
        <w:rPr>
          <w:rFonts w:ascii="Arial" w:hAnsi="Arial" w:cs="Arial"/>
          <w:sz w:val="20"/>
        </w:rPr>
        <w:t>for a defined set of transmitters (that meet level 2 criteria), assess compliance with the exposure limits, keep certain records relating to the assessment and produce this documentation to the ACMA upon request; and</w:t>
      </w:r>
    </w:p>
    <w:p w14:paraId="38C46AF7" w14:textId="0E5FE1B3" w:rsidR="00742D78" w:rsidRDefault="00742D78" w:rsidP="00026C1A">
      <w:pPr>
        <w:pStyle w:val="ListParagraph"/>
        <w:numPr>
          <w:ilvl w:val="0"/>
          <w:numId w:val="20"/>
        </w:numPr>
        <w:outlineLvl w:val="0"/>
        <w:rPr>
          <w:rFonts w:ascii="Arial" w:hAnsi="Arial" w:cs="Arial"/>
          <w:sz w:val="20"/>
        </w:rPr>
      </w:pPr>
      <w:proofErr w:type="gramStart"/>
      <w:r>
        <w:rPr>
          <w:rFonts w:ascii="Arial" w:hAnsi="Arial" w:cs="Arial"/>
          <w:sz w:val="20"/>
        </w:rPr>
        <w:t>for</w:t>
      </w:r>
      <w:proofErr w:type="gramEnd"/>
      <w:r>
        <w:rPr>
          <w:rFonts w:ascii="Arial" w:hAnsi="Arial" w:cs="Arial"/>
          <w:sz w:val="20"/>
        </w:rPr>
        <w:t xml:space="preserve"> other transmitters (that meet level 1 criteria)</w:t>
      </w:r>
      <w:r w:rsidR="002A2015">
        <w:rPr>
          <w:rFonts w:ascii="Arial" w:hAnsi="Arial" w:cs="Arial"/>
          <w:sz w:val="20"/>
        </w:rPr>
        <w:t>,</w:t>
      </w:r>
      <w:r>
        <w:rPr>
          <w:rFonts w:ascii="Arial" w:hAnsi="Arial" w:cs="Arial"/>
          <w:sz w:val="20"/>
        </w:rPr>
        <w:t xml:space="preserve"> provide evidence of compliance to the ACMA on request.</w:t>
      </w:r>
    </w:p>
    <w:p w14:paraId="624861AA" w14:textId="77777777" w:rsidR="00742D78" w:rsidRDefault="00742D78" w:rsidP="00742D78">
      <w:pPr>
        <w:outlineLvl w:val="0"/>
        <w:rPr>
          <w:rFonts w:ascii="Arial" w:hAnsi="Arial" w:cs="Arial"/>
          <w:sz w:val="20"/>
        </w:rPr>
      </w:pPr>
    </w:p>
    <w:p w14:paraId="0DD7B218" w14:textId="259F79BC" w:rsidR="00742D78" w:rsidRDefault="00742D78" w:rsidP="00742D78">
      <w:pPr>
        <w:outlineLvl w:val="0"/>
        <w:rPr>
          <w:rFonts w:ascii="Arial" w:hAnsi="Arial" w:cs="Arial"/>
          <w:sz w:val="20"/>
        </w:rPr>
      </w:pPr>
      <w:r>
        <w:rPr>
          <w:rFonts w:ascii="Arial" w:hAnsi="Arial" w:cs="Arial"/>
          <w:sz w:val="20"/>
        </w:rPr>
        <w:t xml:space="preserve">Exposure </w:t>
      </w:r>
      <w:r w:rsidR="00E21FB2">
        <w:rPr>
          <w:rFonts w:ascii="Arial" w:hAnsi="Arial" w:cs="Arial"/>
          <w:sz w:val="20"/>
        </w:rPr>
        <w:t xml:space="preserve">limits are drawn from the </w:t>
      </w:r>
      <w:r w:rsidR="00502B75" w:rsidRPr="00502B75">
        <w:rPr>
          <w:rFonts w:ascii="Arial" w:hAnsi="Arial" w:cs="Arial"/>
          <w:i/>
          <w:sz w:val="20"/>
        </w:rPr>
        <w:t xml:space="preserve">Radiation Protection Standard for Maximum Exposure Levels to Radiofrequency Fields—3 kHz to 300 GHz </w:t>
      </w:r>
      <w:r w:rsidR="00502B75" w:rsidRPr="001771D8">
        <w:rPr>
          <w:rFonts w:ascii="Arial" w:hAnsi="Arial" w:cs="Arial"/>
          <w:sz w:val="20"/>
        </w:rPr>
        <w:t>published by the Australian Radiation Protection and Nuclear Safety Agency</w:t>
      </w:r>
      <w:r w:rsidR="00502B75" w:rsidRPr="00502B75">
        <w:rPr>
          <w:rFonts w:ascii="Arial" w:hAnsi="Arial" w:cs="Arial"/>
          <w:i/>
          <w:sz w:val="20"/>
        </w:rPr>
        <w:t xml:space="preserve"> </w:t>
      </w:r>
      <w:r w:rsidR="00657EBB">
        <w:rPr>
          <w:rFonts w:ascii="Arial" w:hAnsi="Arial" w:cs="Arial"/>
          <w:sz w:val="20"/>
        </w:rPr>
        <w:t>(the ARPANSA Standard).</w:t>
      </w:r>
    </w:p>
    <w:p w14:paraId="26D7F572" w14:textId="77777777" w:rsidR="00192D43" w:rsidRDefault="00192D43" w:rsidP="00742D78">
      <w:pPr>
        <w:outlineLvl w:val="0"/>
        <w:rPr>
          <w:rFonts w:ascii="Arial" w:hAnsi="Arial" w:cs="Arial"/>
          <w:sz w:val="20"/>
        </w:rPr>
      </w:pPr>
    </w:p>
    <w:p w14:paraId="45EFEF21" w14:textId="00B754D6" w:rsidR="00192D43" w:rsidRPr="00742D78" w:rsidRDefault="00192D43" w:rsidP="00742D78">
      <w:pPr>
        <w:outlineLvl w:val="0"/>
        <w:rPr>
          <w:rFonts w:ascii="Arial" w:hAnsi="Arial" w:cs="Arial"/>
          <w:sz w:val="20"/>
        </w:rPr>
      </w:pPr>
      <w:r>
        <w:rPr>
          <w:rFonts w:ascii="Arial" w:hAnsi="Arial" w:cs="Arial"/>
          <w:sz w:val="20"/>
        </w:rPr>
        <w:t xml:space="preserve">A member of the general public is anybody who is not a </w:t>
      </w:r>
      <w:r w:rsidR="002662E0">
        <w:rPr>
          <w:rFonts w:ascii="Arial" w:hAnsi="Arial" w:cs="Arial"/>
          <w:sz w:val="20"/>
        </w:rPr>
        <w:t xml:space="preserve">RF </w:t>
      </w:r>
      <w:r>
        <w:rPr>
          <w:rFonts w:ascii="Arial" w:hAnsi="Arial" w:cs="Arial"/>
          <w:sz w:val="20"/>
        </w:rPr>
        <w:t>worker</w:t>
      </w:r>
      <w:r w:rsidR="001771D8">
        <w:rPr>
          <w:rFonts w:ascii="Arial" w:hAnsi="Arial" w:cs="Arial"/>
          <w:sz w:val="20"/>
        </w:rPr>
        <w:t xml:space="preserve">. The term RF worker </w:t>
      </w:r>
      <w:r w:rsidR="00F455CA">
        <w:rPr>
          <w:rFonts w:ascii="Arial" w:hAnsi="Arial" w:cs="Arial"/>
          <w:sz w:val="20"/>
        </w:rPr>
        <w:t xml:space="preserve">is </w:t>
      </w:r>
      <w:r w:rsidR="00132826">
        <w:rPr>
          <w:rFonts w:ascii="Arial" w:hAnsi="Arial" w:cs="Arial"/>
          <w:sz w:val="20"/>
        </w:rPr>
        <w:t xml:space="preserve">defined in the Determination as </w:t>
      </w:r>
      <w:r>
        <w:rPr>
          <w:rFonts w:ascii="Arial" w:hAnsi="Arial" w:cs="Arial"/>
          <w:sz w:val="20"/>
        </w:rPr>
        <w:t xml:space="preserve">a person who may be exposed to </w:t>
      </w:r>
      <w:r w:rsidR="00502B75">
        <w:rPr>
          <w:rFonts w:ascii="Arial" w:hAnsi="Arial" w:cs="Arial"/>
          <w:sz w:val="20"/>
        </w:rPr>
        <w:t xml:space="preserve">RF </w:t>
      </w:r>
      <w:r>
        <w:rPr>
          <w:rFonts w:ascii="Arial" w:hAnsi="Arial" w:cs="Arial"/>
          <w:sz w:val="20"/>
        </w:rPr>
        <w:t>fields under controlled conditions</w:t>
      </w:r>
      <w:r w:rsidR="00502B75">
        <w:rPr>
          <w:rFonts w:ascii="Arial" w:hAnsi="Arial" w:cs="Arial"/>
          <w:sz w:val="20"/>
        </w:rPr>
        <w:t>,</w:t>
      </w:r>
      <w:r>
        <w:rPr>
          <w:rFonts w:ascii="Arial" w:hAnsi="Arial" w:cs="Arial"/>
          <w:sz w:val="20"/>
        </w:rPr>
        <w:t xml:space="preserve"> in the course of </w:t>
      </w:r>
      <w:r w:rsidR="00E6186D">
        <w:rPr>
          <w:rFonts w:ascii="Arial" w:hAnsi="Arial" w:cs="Arial"/>
          <w:sz w:val="20"/>
        </w:rPr>
        <w:t xml:space="preserve">and </w:t>
      </w:r>
      <w:r>
        <w:rPr>
          <w:rFonts w:ascii="Arial" w:hAnsi="Arial" w:cs="Arial"/>
          <w:sz w:val="20"/>
        </w:rPr>
        <w:t>intrinsic to the nature of their work.</w:t>
      </w:r>
    </w:p>
    <w:p w14:paraId="20B5A13A" w14:textId="77777777" w:rsidR="002C6829" w:rsidRDefault="002C6829" w:rsidP="001771D8">
      <w:pPr>
        <w:keepNext/>
        <w:outlineLvl w:val="0"/>
        <w:rPr>
          <w:rFonts w:ascii="Arial" w:hAnsi="Arial" w:cs="Arial"/>
          <w:b/>
          <w:sz w:val="22"/>
          <w:szCs w:val="22"/>
          <w:lang w:val="en-AU"/>
        </w:rPr>
      </w:pPr>
    </w:p>
    <w:p w14:paraId="72F6F88C" w14:textId="77777777" w:rsidR="00914D5C" w:rsidRPr="00C205B9" w:rsidRDefault="00914D5C" w:rsidP="00914D5C">
      <w:pPr>
        <w:keepNext/>
        <w:spacing w:line="360" w:lineRule="auto"/>
        <w:outlineLvl w:val="0"/>
        <w:rPr>
          <w:rFonts w:ascii="Arial" w:hAnsi="Arial" w:cs="Arial"/>
          <w:b/>
          <w:sz w:val="22"/>
          <w:szCs w:val="22"/>
          <w:lang w:val="en-AU"/>
        </w:rPr>
      </w:pPr>
      <w:r w:rsidRPr="00C205B9">
        <w:rPr>
          <w:rFonts w:ascii="Arial" w:hAnsi="Arial" w:cs="Arial"/>
          <w:b/>
          <w:sz w:val="22"/>
          <w:szCs w:val="22"/>
          <w:lang w:val="en-AU"/>
        </w:rPr>
        <w:t>Consultation</w:t>
      </w:r>
    </w:p>
    <w:p w14:paraId="07AA01D5" w14:textId="77777777" w:rsidR="00914D5C" w:rsidRDefault="00914D5C" w:rsidP="00914D5C">
      <w:pPr>
        <w:rPr>
          <w:rFonts w:ascii="Arial" w:hAnsi="Arial" w:cs="Arial"/>
          <w:snapToGrid w:val="0"/>
          <w:sz w:val="20"/>
        </w:rPr>
      </w:pPr>
      <w:r w:rsidRPr="00C117CF">
        <w:rPr>
          <w:rFonts w:ascii="Arial" w:hAnsi="Arial" w:cs="Arial"/>
          <w:snapToGrid w:val="0"/>
          <w:sz w:val="20"/>
        </w:rPr>
        <w:t xml:space="preserve">Subsection 17(1) of the LIA requires that, before the ACMA makes a legislative instrument, it must be satisfied that any consultation that </w:t>
      </w:r>
      <w:r w:rsidR="00132826">
        <w:rPr>
          <w:rFonts w:ascii="Arial" w:hAnsi="Arial" w:cs="Arial"/>
          <w:snapToGrid w:val="0"/>
          <w:sz w:val="20"/>
        </w:rPr>
        <w:t>it</w:t>
      </w:r>
      <w:r w:rsidRPr="00C117CF">
        <w:rPr>
          <w:rFonts w:ascii="Arial" w:hAnsi="Arial" w:cs="Arial"/>
          <w:snapToGrid w:val="0"/>
          <w:sz w:val="20"/>
        </w:rPr>
        <w:t xml:space="preserve"> considers appropriate and reasonably practicable to undertake has been undertaken.</w:t>
      </w:r>
    </w:p>
    <w:p w14:paraId="2014FC4E" w14:textId="77777777" w:rsidR="00914D5C" w:rsidRPr="00C117CF" w:rsidRDefault="00914D5C" w:rsidP="00914D5C">
      <w:pPr>
        <w:rPr>
          <w:rFonts w:ascii="Arial" w:hAnsi="Arial" w:cs="Arial"/>
          <w:snapToGrid w:val="0"/>
          <w:sz w:val="20"/>
        </w:rPr>
      </w:pPr>
    </w:p>
    <w:p w14:paraId="60201174" w14:textId="77777777" w:rsidR="00914D5C" w:rsidRDefault="00914D5C" w:rsidP="00914D5C">
      <w:pPr>
        <w:rPr>
          <w:rFonts w:ascii="Arial" w:hAnsi="Arial" w:cs="Arial"/>
          <w:snapToGrid w:val="0"/>
          <w:sz w:val="20"/>
        </w:rPr>
      </w:pPr>
      <w:r>
        <w:rPr>
          <w:rFonts w:ascii="Arial" w:hAnsi="Arial" w:cs="Arial"/>
          <w:snapToGrid w:val="0"/>
          <w:sz w:val="20"/>
        </w:rPr>
        <w:t>The</w:t>
      </w:r>
      <w:r w:rsidRPr="00C117CF">
        <w:rPr>
          <w:rFonts w:ascii="Arial" w:hAnsi="Arial" w:cs="Arial"/>
          <w:snapToGrid w:val="0"/>
          <w:sz w:val="20"/>
        </w:rPr>
        <w:t xml:space="preserve"> ACMA </w:t>
      </w:r>
      <w:r>
        <w:rPr>
          <w:rFonts w:ascii="Arial" w:hAnsi="Arial" w:cs="Arial"/>
          <w:snapToGrid w:val="0"/>
          <w:sz w:val="20"/>
        </w:rPr>
        <w:t xml:space="preserve">published a consultation paper and draft instrument on its website </w:t>
      </w:r>
      <w:r w:rsidRPr="00251BF2">
        <w:rPr>
          <w:rFonts w:ascii="Arial" w:hAnsi="Arial" w:cs="Arial"/>
          <w:snapToGrid w:val="0"/>
          <w:sz w:val="20"/>
        </w:rPr>
        <w:t xml:space="preserve">between </w:t>
      </w:r>
      <w:r w:rsidR="00405102">
        <w:rPr>
          <w:rFonts w:ascii="Arial" w:hAnsi="Arial" w:cs="Arial"/>
          <w:snapToGrid w:val="0"/>
          <w:sz w:val="20"/>
        </w:rPr>
        <w:t>4 July 2014</w:t>
      </w:r>
      <w:r w:rsidR="001418A8">
        <w:rPr>
          <w:rFonts w:ascii="Arial" w:hAnsi="Arial" w:cs="Arial"/>
          <w:snapToGrid w:val="0"/>
          <w:sz w:val="20"/>
        </w:rPr>
        <w:t xml:space="preserve"> </w:t>
      </w:r>
      <w:r w:rsidRPr="00251BF2">
        <w:rPr>
          <w:rFonts w:ascii="Arial" w:hAnsi="Arial" w:cs="Arial"/>
          <w:snapToGrid w:val="0"/>
          <w:sz w:val="20"/>
        </w:rPr>
        <w:t xml:space="preserve">and </w:t>
      </w:r>
      <w:r w:rsidR="00405102">
        <w:rPr>
          <w:rFonts w:ascii="Arial" w:hAnsi="Arial" w:cs="Arial"/>
          <w:snapToGrid w:val="0"/>
          <w:sz w:val="20"/>
        </w:rPr>
        <w:t>18 August</w:t>
      </w:r>
      <w:r w:rsidR="001418A8">
        <w:rPr>
          <w:rFonts w:ascii="Arial" w:hAnsi="Arial" w:cs="Arial"/>
          <w:snapToGrid w:val="0"/>
          <w:sz w:val="20"/>
        </w:rPr>
        <w:t xml:space="preserve"> 2014</w:t>
      </w:r>
      <w:r w:rsidRPr="00C117CF">
        <w:rPr>
          <w:rFonts w:ascii="Arial" w:hAnsi="Arial" w:cs="Arial"/>
          <w:snapToGrid w:val="0"/>
          <w:sz w:val="20"/>
        </w:rPr>
        <w:t>. Th</w:t>
      </w:r>
      <w:r>
        <w:rPr>
          <w:rFonts w:ascii="Arial" w:hAnsi="Arial" w:cs="Arial"/>
          <w:snapToGrid w:val="0"/>
          <w:sz w:val="20"/>
        </w:rPr>
        <w:t xml:space="preserve">e consultation </w:t>
      </w:r>
      <w:r w:rsidRPr="00C117CF">
        <w:rPr>
          <w:rFonts w:ascii="Arial" w:hAnsi="Arial" w:cs="Arial"/>
          <w:snapToGrid w:val="0"/>
          <w:sz w:val="20"/>
        </w:rPr>
        <w:t xml:space="preserve">paper explained the </w:t>
      </w:r>
      <w:proofErr w:type="spellStart"/>
      <w:r w:rsidRPr="00C117CF">
        <w:rPr>
          <w:rFonts w:ascii="Arial" w:hAnsi="Arial" w:cs="Arial"/>
          <w:snapToGrid w:val="0"/>
          <w:sz w:val="20"/>
        </w:rPr>
        <w:t>sunsetting</w:t>
      </w:r>
      <w:proofErr w:type="spellEnd"/>
      <w:r w:rsidRPr="00C117CF">
        <w:rPr>
          <w:rFonts w:ascii="Arial" w:hAnsi="Arial" w:cs="Arial"/>
          <w:snapToGrid w:val="0"/>
          <w:sz w:val="20"/>
        </w:rPr>
        <w:t xml:space="preserve"> process and the ACMA’s preliminary view that the existing arrangements </w:t>
      </w:r>
      <w:r>
        <w:rPr>
          <w:rFonts w:ascii="Arial" w:hAnsi="Arial" w:cs="Arial"/>
          <w:snapToGrid w:val="0"/>
          <w:sz w:val="20"/>
        </w:rPr>
        <w:t xml:space="preserve">under the </w:t>
      </w:r>
      <w:r w:rsidR="00405102">
        <w:rPr>
          <w:rFonts w:ascii="Arial" w:hAnsi="Arial" w:cs="Arial"/>
          <w:snapToGrid w:val="0"/>
          <w:sz w:val="20"/>
        </w:rPr>
        <w:t>2003 Determination</w:t>
      </w:r>
      <w:r>
        <w:rPr>
          <w:rFonts w:ascii="Arial" w:hAnsi="Arial" w:cs="Arial"/>
          <w:snapToGrid w:val="0"/>
          <w:sz w:val="20"/>
        </w:rPr>
        <w:t xml:space="preserve"> </w:t>
      </w:r>
      <w:r w:rsidRPr="00C117CF">
        <w:rPr>
          <w:rFonts w:ascii="Arial" w:hAnsi="Arial" w:cs="Arial"/>
          <w:snapToGrid w:val="0"/>
          <w:sz w:val="20"/>
        </w:rPr>
        <w:t>should be saved from automatic repeal and remade without any significant changes. Interested parties were invited to comment.</w:t>
      </w:r>
    </w:p>
    <w:p w14:paraId="494A762B" w14:textId="77777777" w:rsidR="00914D5C" w:rsidRDefault="00914D5C" w:rsidP="00914D5C">
      <w:pPr>
        <w:rPr>
          <w:rFonts w:ascii="Arial" w:hAnsi="Arial" w:cs="Arial"/>
          <w:snapToGrid w:val="0"/>
          <w:sz w:val="20"/>
        </w:rPr>
      </w:pPr>
    </w:p>
    <w:p w14:paraId="48A42018" w14:textId="71266EF1" w:rsidR="00914D5C" w:rsidRDefault="00914D5C" w:rsidP="00914D5C">
      <w:pPr>
        <w:rPr>
          <w:rFonts w:ascii="Arial" w:hAnsi="Arial" w:cs="Arial"/>
          <w:snapToGrid w:val="0"/>
          <w:sz w:val="20"/>
        </w:rPr>
      </w:pPr>
      <w:r>
        <w:rPr>
          <w:rFonts w:ascii="Arial" w:hAnsi="Arial" w:cs="Arial"/>
          <w:snapToGrid w:val="0"/>
          <w:sz w:val="20"/>
        </w:rPr>
        <w:t>T</w:t>
      </w:r>
      <w:r w:rsidRPr="00C117CF">
        <w:rPr>
          <w:rFonts w:ascii="Arial" w:hAnsi="Arial" w:cs="Arial"/>
          <w:snapToGrid w:val="0"/>
          <w:sz w:val="20"/>
        </w:rPr>
        <w:t xml:space="preserve">he ACMA received </w:t>
      </w:r>
      <w:r w:rsidR="00405102">
        <w:rPr>
          <w:rFonts w:ascii="Arial" w:hAnsi="Arial" w:cs="Arial"/>
          <w:snapToGrid w:val="0"/>
          <w:sz w:val="20"/>
        </w:rPr>
        <w:t xml:space="preserve">three submissions </w:t>
      </w:r>
      <w:r w:rsidR="00037540">
        <w:rPr>
          <w:rFonts w:ascii="Arial" w:hAnsi="Arial" w:cs="Arial"/>
          <w:snapToGrid w:val="0"/>
          <w:sz w:val="20"/>
        </w:rPr>
        <w:t xml:space="preserve">in response </w:t>
      </w:r>
      <w:r w:rsidR="00405102">
        <w:rPr>
          <w:rFonts w:ascii="Arial" w:hAnsi="Arial" w:cs="Arial"/>
          <w:snapToGrid w:val="0"/>
          <w:sz w:val="20"/>
        </w:rPr>
        <w:t xml:space="preserve">to the consultation </w:t>
      </w:r>
      <w:r w:rsidR="006313EF">
        <w:rPr>
          <w:rFonts w:ascii="Arial" w:hAnsi="Arial" w:cs="Arial"/>
          <w:snapToGrid w:val="0"/>
          <w:sz w:val="20"/>
        </w:rPr>
        <w:t>paper</w:t>
      </w:r>
      <w:r w:rsidR="00037540">
        <w:rPr>
          <w:rFonts w:ascii="Arial" w:hAnsi="Arial" w:cs="Arial"/>
          <w:snapToGrid w:val="0"/>
          <w:sz w:val="20"/>
        </w:rPr>
        <w:t>,</w:t>
      </w:r>
      <w:r w:rsidR="006313EF">
        <w:rPr>
          <w:rFonts w:ascii="Arial" w:hAnsi="Arial" w:cs="Arial"/>
          <w:snapToGrid w:val="0"/>
          <w:sz w:val="20"/>
        </w:rPr>
        <w:t xml:space="preserve"> </w:t>
      </w:r>
      <w:r>
        <w:rPr>
          <w:rFonts w:ascii="Arial" w:hAnsi="Arial" w:cs="Arial"/>
          <w:snapToGrid w:val="0"/>
          <w:sz w:val="20"/>
        </w:rPr>
        <w:t xml:space="preserve">which it took </w:t>
      </w:r>
      <w:r w:rsidRPr="00C117CF">
        <w:rPr>
          <w:rFonts w:ascii="Arial" w:hAnsi="Arial" w:cs="Arial"/>
          <w:snapToGrid w:val="0"/>
          <w:sz w:val="20"/>
        </w:rPr>
        <w:t xml:space="preserve">into account when </w:t>
      </w:r>
      <w:r>
        <w:rPr>
          <w:rFonts w:ascii="Arial" w:hAnsi="Arial" w:cs="Arial"/>
          <w:snapToGrid w:val="0"/>
          <w:sz w:val="20"/>
        </w:rPr>
        <w:t>making</w:t>
      </w:r>
      <w:r w:rsidRPr="00C117CF">
        <w:rPr>
          <w:rFonts w:ascii="Arial" w:hAnsi="Arial" w:cs="Arial"/>
          <w:snapToGrid w:val="0"/>
          <w:sz w:val="20"/>
        </w:rPr>
        <w:t xml:space="preserve"> the </w:t>
      </w:r>
      <w:r w:rsidR="00405102">
        <w:rPr>
          <w:rFonts w:ascii="Arial" w:hAnsi="Arial" w:cs="Arial"/>
          <w:snapToGrid w:val="0"/>
          <w:sz w:val="20"/>
        </w:rPr>
        <w:t>Determination</w:t>
      </w:r>
      <w:r>
        <w:rPr>
          <w:rFonts w:ascii="Arial" w:hAnsi="Arial" w:cs="Arial"/>
          <w:snapToGrid w:val="0"/>
          <w:sz w:val="20"/>
        </w:rPr>
        <w:t>.</w:t>
      </w:r>
    </w:p>
    <w:p w14:paraId="5B7015B4" w14:textId="77777777" w:rsidR="0046418A" w:rsidRPr="00C117CF" w:rsidRDefault="0046418A" w:rsidP="00914D5C">
      <w:pPr>
        <w:rPr>
          <w:rFonts w:ascii="Arial" w:hAnsi="Arial" w:cs="Arial"/>
          <w:snapToGrid w:val="0"/>
          <w:sz w:val="20"/>
        </w:rPr>
      </w:pPr>
    </w:p>
    <w:p w14:paraId="19C51190" w14:textId="77777777" w:rsidR="00914D5C" w:rsidRPr="001211CC" w:rsidRDefault="00914D5C" w:rsidP="00914D5C">
      <w:pPr>
        <w:spacing w:line="360" w:lineRule="auto"/>
        <w:outlineLvl w:val="0"/>
        <w:rPr>
          <w:rFonts w:ascii="Arial" w:hAnsi="Arial" w:cs="Arial"/>
          <w:b/>
          <w:sz w:val="22"/>
          <w:szCs w:val="22"/>
        </w:rPr>
      </w:pPr>
      <w:r w:rsidRPr="006773A9">
        <w:rPr>
          <w:rFonts w:ascii="Arial" w:hAnsi="Arial" w:cs="Arial"/>
          <w:b/>
          <w:sz w:val="22"/>
          <w:szCs w:val="22"/>
          <w:lang w:val="en-AU"/>
        </w:rPr>
        <w:t>R</w:t>
      </w:r>
      <w:proofErr w:type="spellStart"/>
      <w:r w:rsidRPr="001211CC">
        <w:rPr>
          <w:rFonts w:ascii="Arial" w:hAnsi="Arial" w:cs="Arial"/>
          <w:b/>
          <w:sz w:val="22"/>
          <w:szCs w:val="22"/>
        </w:rPr>
        <w:t>egulatory</w:t>
      </w:r>
      <w:proofErr w:type="spellEnd"/>
      <w:r w:rsidRPr="001211CC">
        <w:rPr>
          <w:rFonts w:ascii="Arial" w:hAnsi="Arial" w:cs="Arial"/>
          <w:b/>
          <w:sz w:val="22"/>
          <w:szCs w:val="22"/>
        </w:rPr>
        <w:t xml:space="preserve"> Impact </w:t>
      </w:r>
    </w:p>
    <w:p w14:paraId="383F78FC" w14:textId="11842D23" w:rsidR="00914D5C" w:rsidRPr="006E1DE9" w:rsidRDefault="000E405D" w:rsidP="00914D5C">
      <w:pPr>
        <w:rPr>
          <w:rFonts w:ascii="Arial" w:hAnsi="Arial" w:cs="Arial"/>
          <w:sz w:val="20"/>
        </w:rPr>
      </w:pPr>
      <w:r>
        <w:rPr>
          <w:rFonts w:ascii="Arial" w:hAnsi="Arial" w:cs="Arial"/>
          <w:snapToGrid w:val="0"/>
          <w:sz w:val="20"/>
        </w:rPr>
        <w:t>The</w:t>
      </w:r>
      <w:r w:rsidR="00914D5C" w:rsidRPr="00C117CF">
        <w:rPr>
          <w:rFonts w:ascii="Arial" w:hAnsi="Arial" w:cs="Arial"/>
          <w:snapToGrid w:val="0"/>
          <w:sz w:val="20"/>
        </w:rPr>
        <w:t xml:space="preserve"> Office of Best Practice Regulation (OBPR) </w:t>
      </w:r>
      <w:r>
        <w:rPr>
          <w:rFonts w:ascii="Arial" w:hAnsi="Arial" w:cs="Arial"/>
          <w:snapToGrid w:val="0"/>
          <w:sz w:val="20"/>
        </w:rPr>
        <w:t>applies</w:t>
      </w:r>
      <w:r w:rsidR="00914D5C" w:rsidRPr="00C117CF">
        <w:rPr>
          <w:rFonts w:ascii="Arial" w:hAnsi="Arial" w:cs="Arial"/>
          <w:snapToGrid w:val="0"/>
          <w:sz w:val="20"/>
        </w:rPr>
        <w:t xml:space="preserve"> streamlined administrative processes to </w:t>
      </w:r>
      <w:proofErr w:type="spellStart"/>
      <w:r w:rsidR="00914D5C" w:rsidRPr="00C117CF">
        <w:rPr>
          <w:rFonts w:ascii="Arial" w:hAnsi="Arial" w:cs="Arial"/>
          <w:snapToGrid w:val="0"/>
          <w:sz w:val="20"/>
        </w:rPr>
        <w:t>sunsetting</w:t>
      </w:r>
      <w:proofErr w:type="spellEnd"/>
      <w:r w:rsidR="00914D5C" w:rsidRPr="00C117CF">
        <w:rPr>
          <w:rFonts w:ascii="Arial" w:hAnsi="Arial" w:cs="Arial"/>
          <w:snapToGrid w:val="0"/>
          <w:sz w:val="20"/>
        </w:rPr>
        <w:t xml:space="preserve"> legislative instruments. As the ACMA has determined that the </w:t>
      </w:r>
      <w:r w:rsidR="00405102">
        <w:rPr>
          <w:rFonts w:ascii="Arial" w:hAnsi="Arial" w:cs="Arial"/>
          <w:snapToGrid w:val="0"/>
          <w:sz w:val="20"/>
        </w:rPr>
        <w:t>2003 Determination was</w:t>
      </w:r>
      <w:r w:rsidR="00914D5C" w:rsidRPr="00C117CF">
        <w:rPr>
          <w:rFonts w:ascii="Arial" w:hAnsi="Arial" w:cs="Arial"/>
          <w:snapToGrid w:val="0"/>
          <w:sz w:val="20"/>
        </w:rPr>
        <w:t xml:space="preserve"> fit for purpose and should be remade without any significant changes, and has certified those matters to OBPR, no Regulation Impact Statement</w:t>
      </w:r>
      <w:r w:rsidR="00914D5C">
        <w:rPr>
          <w:rFonts w:ascii="Arial" w:hAnsi="Arial" w:cs="Arial"/>
          <w:snapToGrid w:val="0"/>
          <w:sz w:val="20"/>
        </w:rPr>
        <w:t xml:space="preserve"> (RIS)</w:t>
      </w:r>
      <w:r w:rsidR="00914D5C" w:rsidRPr="00C117CF">
        <w:rPr>
          <w:rFonts w:ascii="Arial" w:hAnsi="Arial" w:cs="Arial"/>
          <w:snapToGrid w:val="0"/>
          <w:sz w:val="20"/>
        </w:rPr>
        <w:t xml:space="preserve"> is required</w:t>
      </w:r>
      <w:r w:rsidR="00914D5C">
        <w:rPr>
          <w:rFonts w:ascii="Arial" w:hAnsi="Arial" w:cs="Arial"/>
          <w:snapToGrid w:val="0"/>
          <w:sz w:val="20"/>
        </w:rPr>
        <w:t xml:space="preserve"> in relation to the making of the </w:t>
      </w:r>
      <w:r w:rsidR="008068A8">
        <w:rPr>
          <w:rFonts w:ascii="Arial" w:hAnsi="Arial" w:cs="Arial"/>
          <w:snapToGrid w:val="0"/>
          <w:sz w:val="20"/>
        </w:rPr>
        <w:t>Determination</w:t>
      </w:r>
      <w:r w:rsidR="00914D5C" w:rsidRPr="006E1DE9">
        <w:rPr>
          <w:rFonts w:ascii="Arial" w:hAnsi="Arial" w:cs="Arial"/>
          <w:sz w:val="20"/>
        </w:rPr>
        <w:t xml:space="preserve"> </w:t>
      </w:r>
      <w:r w:rsidR="00914D5C">
        <w:rPr>
          <w:rFonts w:ascii="Arial" w:hAnsi="Arial" w:cs="Arial"/>
          <w:sz w:val="20"/>
        </w:rPr>
        <w:t>(OBPR reference</w:t>
      </w:r>
      <w:r w:rsidR="00914D5C" w:rsidRPr="006E1DE9">
        <w:rPr>
          <w:rFonts w:ascii="Arial" w:hAnsi="Arial" w:cs="Arial"/>
          <w:sz w:val="20"/>
        </w:rPr>
        <w:t xml:space="preserve"> ID </w:t>
      </w:r>
      <w:r w:rsidR="00405102">
        <w:rPr>
          <w:rFonts w:ascii="Arial" w:hAnsi="Arial" w:cs="Arial"/>
          <w:sz w:val="20"/>
        </w:rPr>
        <w:t>17089</w:t>
      </w:r>
      <w:r w:rsidR="00914D5C">
        <w:rPr>
          <w:rFonts w:ascii="Arial" w:hAnsi="Arial" w:cs="Arial"/>
          <w:sz w:val="20"/>
        </w:rPr>
        <w:t>)</w:t>
      </w:r>
      <w:r w:rsidR="00914D5C" w:rsidRPr="006E1DE9">
        <w:rPr>
          <w:rFonts w:ascii="Arial" w:hAnsi="Arial" w:cs="Arial"/>
          <w:sz w:val="20"/>
        </w:rPr>
        <w:t>.</w:t>
      </w:r>
    </w:p>
    <w:p w14:paraId="761133CF" w14:textId="77777777" w:rsidR="00914D5C" w:rsidRDefault="00914D5C" w:rsidP="00914D5C">
      <w:pPr>
        <w:outlineLvl w:val="0"/>
        <w:rPr>
          <w:rFonts w:ascii="Arial" w:hAnsi="Arial" w:cs="Arial"/>
          <w:b/>
          <w:sz w:val="22"/>
          <w:szCs w:val="22"/>
          <w:lang w:val="en-AU"/>
        </w:rPr>
      </w:pPr>
    </w:p>
    <w:p w14:paraId="0CFD8B5B" w14:textId="77777777"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 xml:space="preserve">Detailed Description of the </w:t>
      </w:r>
      <w:r w:rsidR="00371BFE">
        <w:rPr>
          <w:rFonts w:ascii="Arial" w:hAnsi="Arial" w:cs="Arial"/>
          <w:b/>
          <w:sz w:val="22"/>
          <w:szCs w:val="22"/>
          <w:lang w:val="en-AU"/>
        </w:rPr>
        <w:t>Determination</w:t>
      </w:r>
    </w:p>
    <w:p w14:paraId="75D7DEF9" w14:textId="77777777" w:rsidR="00914D5C" w:rsidRDefault="00914D5C" w:rsidP="00914D5C">
      <w:pPr>
        <w:outlineLvl w:val="0"/>
        <w:rPr>
          <w:rFonts w:ascii="Arial" w:hAnsi="Arial" w:cs="Arial"/>
          <w:sz w:val="20"/>
          <w:lang w:val="en-AU"/>
        </w:rPr>
      </w:pPr>
      <w:r w:rsidRPr="005029D3">
        <w:rPr>
          <w:rFonts w:ascii="Arial" w:hAnsi="Arial" w:cs="Arial"/>
          <w:sz w:val="20"/>
          <w:lang w:val="en-AU"/>
        </w:rPr>
        <w:t xml:space="preserve">Details of the </w:t>
      </w:r>
      <w:r w:rsidR="00371BFE">
        <w:rPr>
          <w:rFonts w:ascii="Arial" w:hAnsi="Arial" w:cs="Arial"/>
          <w:sz w:val="20"/>
          <w:lang w:val="en-AU"/>
        </w:rPr>
        <w:t>Determination</w:t>
      </w:r>
      <w:r w:rsidR="00371BFE" w:rsidRPr="005029D3">
        <w:rPr>
          <w:rFonts w:ascii="Arial" w:hAnsi="Arial" w:cs="Arial"/>
          <w:sz w:val="20"/>
          <w:lang w:val="en-AU"/>
        </w:rPr>
        <w:t xml:space="preserve"> </w:t>
      </w:r>
      <w:r w:rsidRPr="005029D3">
        <w:rPr>
          <w:rFonts w:ascii="Arial" w:hAnsi="Arial" w:cs="Arial"/>
          <w:sz w:val="20"/>
          <w:lang w:val="en-AU"/>
        </w:rPr>
        <w:t xml:space="preserve">are set out in </w:t>
      </w:r>
      <w:r w:rsidRPr="005029D3">
        <w:rPr>
          <w:rFonts w:ascii="Arial" w:hAnsi="Arial" w:cs="Arial"/>
          <w:b/>
          <w:sz w:val="20"/>
          <w:lang w:val="en-AU"/>
        </w:rPr>
        <w:t>Attachment A</w:t>
      </w:r>
      <w:r w:rsidRPr="005029D3">
        <w:rPr>
          <w:rFonts w:ascii="Arial" w:hAnsi="Arial" w:cs="Arial"/>
          <w:sz w:val="20"/>
          <w:lang w:val="en-AU"/>
        </w:rPr>
        <w:t>.</w:t>
      </w:r>
    </w:p>
    <w:p w14:paraId="7591EA25" w14:textId="77777777" w:rsidR="0037044E" w:rsidRDefault="0037044E" w:rsidP="00914D5C">
      <w:pPr>
        <w:outlineLvl w:val="0"/>
        <w:rPr>
          <w:rFonts w:ascii="Arial" w:hAnsi="Arial" w:cs="Arial"/>
          <w:sz w:val="20"/>
          <w:lang w:val="en-AU"/>
        </w:rPr>
      </w:pPr>
    </w:p>
    <w:p w14:paraId="79D078A9" w14:textId="584BA2BC" w:rsidR="0037044E" w:rsidRPr="0037044E" w:rsidRDefault="0037044E" w:rsidP="00914D5C">
      <w:pPr>
        <w:outlineLvl w:val="0"/>
        <w:rPr>
          <w:rFonts w:ascii="Arial" w:hAnsi="Arial" w:cs="Arial"/>
          <w:b/>
          <w:sz w:val="22"/>
          <w:szCs w:val="22"/>
          <w:lang w:val="en-AU"/>
        </w:rPr>
      </w:pPr>
      <w:r w:rsidRPr="0037044E">
        <w:rPr>
          <w:rFonts w:ascii="Arial" w:hAnsi="Arial" w:cs="Arial"/>
          <w:b/>
          <w:sz w:val="22"/>
          <w:szCs w:val="22"/>
          <w:lang w:val="en-AU"/>
        </w:rPr>
        <w:t xml:space="preserve">Documents incorporated in this Determination by </w:t>
      </w:r>
      <w:r w:rsidR="00781B30">
        <w:rPr>
          <w:rFonts w:ascii="Arial" w:hAnsi="Arial" w:cs="Arial"/>
          <w:b/>
          <w:sz w:val="22"/>
          <w:szCs w:val="22"/>
          <w:lang w:val="en-AU"/>
        </w:rPr>
        <w:t>r</w:t>
      </w:r>
      <w:r w:rsidR="00781B30" w:rsidRPr="0037044E">
        <w:rPr>
          <w:rFonts w:ascii="Arial" w:hAnsi="Arial" w:cs="Arial"/>
          <w:b/>
          <w:sz w:val="22"/>
          <w:szCs w:val="22"/>
          <w:lang w:val="en-AU"/>
        </w:rPr>
        <w:t>eference</w:t>
      </w:r>
    </w:p>
    <w:p w14:paraId="3D40A2FC" w14:textId="77777777" w:rsidR="0037044E" w:rsidRPr="0037044E" w:rsidRDefault="0037044E" w:rsidP="0037044E">
      <w:pPr>
        <w:suppressAutoHyphens/>
        <w:spacing w:before="80" w:after="120" w:line="280" w:lineRule="atLeast"/>
        <w:jc w:val="both"/>
        <w:rPr>
          <w:rFonts w:ascii="Arial" w:hAnsi="Arial" w:cs="Arial"/>
          <w:snapToGrid w:val="0"/>
          <w:sz w:val="20"/>
          <w:lang w:val="en-US" w:eastAsia="en-US"/>
        </w:rPr>
      </w:pPr>
      <w:r w:rsidRPr="0037044E">
        <w:rPr>
          <w:rFonts w:ascii="Arial" w:hAnsi="Arial" w:cs="Arial"/>
          <w:snapToGrid w:val="0"/>
          <w:sz w:val="20"/>
        </w:rPr>
        <w:t xml:space="preserve">Acts and legislative instruments </w:t>
      </w:r>
      <w:r w:rsidR="00132826">
        <w:rPr>
          <w:rFonts w:ascii="Arial" w:hAnsi="Arial" w:cs="Arial"/>
          <w:snapToGrid w:val="0"/>
          <w:sz w:val="20"/>
        </w:rPr>
        <w:t>referenced in the Determination</w:t>
      </w:r>
      <w:r w:rsidRPr="0037044E">
        <w:rPr>
          <w:rFonts w:ascii="Arial" w:hAnsi="Arial" w:cs="Arial"/>
          <w:snapToGrid w:val="0"/>
          <w:sz w:val="20"/>
        </w:rPr>
        <w:t xml:space="preserve"> can be found on the Australian Government’s </w:t>
      </w:r>
      <w:proofErr w:type="spellStart"/>
      <w:r w:rsidRPr="0037044E">
        <w:rPr>
          <w:rFonts w:ascii="Arial" w:hAnsi="Arial" w:cs="Arial"/>
          <w:snapToGrid w:val="0"/>
          <w:sz w:val="20"/>
        </w:rPr>
        <w:t>ComLaw</w:t>
      </w:r>
      <w:proofErr w:type="spellEnd"/>
      <w:r w:rsidRPr="0037044E">
        <w:rPr>
          <w:rFonts w:ascii="Arial" w:hAnsi="Arial" w:cs="Arial"/>
          <w:snapToGrid w:val="0"/>
          <w:sz w:val="20"/>
        </w:rPr>
        <w:t xml:space="preserve"> website (</w:t>
      </w:r>
      <w:hyperlink r:id="rId13" w:history="1">
        <w:r w:rsidRPr="0037044E">
          <w:rPr>
            <w:rFonts w:ascii="Arial" w:hAnsi="Arial" w:cs="Arial"/>
            <w:snapToGrid w:val="0"/>
            <w:color w:val="0000FF" w:themeColor="hyperlink"/>
            <w:sz w:val="20"/>
            <w:u w:val="single"/>
            <w:lang w:val="en-US" w:eastAsia="en-US"/>
          </w:rPr>
          <w:t>http://www.comlaw.gov.au/</w:t>
        </w:r>
      </w:hyperlink>
      <w:r w:rsidRPr="0037044E">
        <w:rPr>
          <w:rFonts w:ascii="Arial" w:hAnsi="Arial" w:cs="Arial"/>
          <w:snapToGrid w:val="0"/>
          <w:sz w:val="20"/>
          <w:lang w:val="en-US" w:eastAsia="en-US"/>
        </w:rPr>
        <w:t>).</w:t>
      </w:r>
    </w:p>
    <w:p w14:paraId="73B978CF" w14:textId="77777777" w:rsidR="0037044E" w:rsidRDefault="0037044E" w:rsidP="00371BFE">
      <w:pPr>
        <w:suppressAutoHyphens/>
        <w:jc w:val="both"/>
        <w:rPr>
          <w:rFonts w:ascii="Arial" w:hAnsi="Arial" w:cs="Arial"/>
          <w:snapToGrid w:val="0"/>
          <w:sz w:val="20"/>
          <w:lang w:val="en-US" w:eastAsia="en-US"/>
        </w:rPr>
      </w:pPr>
      <w:r w:rsidRPr="0037044E">
        <w:rPr>
          <w:rFonts w:ascii="Arial" w:hAnsi="Arial" w:cs="Arial"/>
          <w:snapToGrid w:val="0"/>
          <w:sz w:val="20"/>
          <w:lang w:val="en-US" w:eastAsia="en-US"/>
        </w:rPr>
        <w:t xml:space="preserve">Copies of the technical standards </w:t>
      </w:r>
      <w:r w:rsidR="00132826">
        <w:rPr>
          <w:rFonts w:ascii="Arial" w:hAnsi="Arial" w:cs="Arial"/>
          <w:snapToGrid w:val="0"/>
          <w:sz w:val="20"/>
          <w:lang w:val="en-US" w:eastAsia="en-US"/>
        </w:rPr>
        <w:t>referenced in the Determination</w:t>
      </w:r>
      <w:r w:rsidRPr="0037044E">
        <w:rPr>
          <w:rFonts w:ascii="Arial" w:hAnsi="Arial" w:cs="Arial"/>
          <w:snapToGrid w:val="0"/>
          <w:sz w:val="20"/>
          <w:lang w:val="en-US" w:eastAsia="en-US"/>
        </w:rPr>
        <w:t xml:space="preserve"> can be obtained from the SAI Global Limited website (</w:t>
      </w:r>
      <w:hyperlink r:id="rId14" w:history="1">
        <w:r w:rsidRPr="0037044E">
          <w:rPr>
            <w:rFonts w:ascii="Arial" w:hAnsi="Arial" w:cs="Arial"/>
            <w:snapToGrid w:val="0"/>
            <w:color w:val="0000FF" w:themeColor="hyperlink"/>
            <w:sz w:val="20"/>
            <w:u w:val="single"/>
            <w:lang w:val="en-US" w:eastAsia="en-US"/>
          </w:rPr>
          <w:t>http://www.saiglobal.com</w:t>
        </w:r>
      </w:hyperlink>
      <w:r w:rsidRPr="0037044E">
        <w:rPr>
          <w:rFonts w:ascii="Arial" w:hAnsi="Arial" w:cs="Arial"/>
          <w:snapToGrid w:val="0"/>
          <w:sz w:val="20"/>
          <w:lang w:val="en-US" w:eastAsia="en-US"/>
        </w:rPr>
        <w:t>).</w:t>
      </w:r>
    </w:p>
    <w:p w14:paraId="2D5C802E" w14:textId="77777777" w:rsidR="002F1D5B" w:rsidRDefault="002F1D5B" w:rsidP="00371BFE">
      <w:pPr>
        <w:suppressAutoHyphens/>
        <w:jc w:val="both"/>
        <w:rPr>
          <w:rFonts w:ascii="Arial" w:hAnsi="Arial" w:cs="Arial"/>
          <w:snapToGrid w:val="0"/>
          <w:sz w:val="20"/>
          <w:lang w:val="en-US" w:eastAsia="en-US"/>
        </w:rPr>
      </w:pPr>
    </w:p>
    <w:p w14:paraId="50AE3C9A" w14:textId="77777777" w:rsidR="0037044E" w:rsidRDefault="0037044E" w:rsidP="00371BFE">
      <w:pPr>
        <w:suppressAutoHyphens/>
        <w:jc w:val="both"/>
        <w:rPr>
          <w:rFonts w:ascii="Arial" w:hAnsi="Arial" w:cs="Arial"/>
          <w:sz w:val="20"/>
        </w:rPr>
      </w:pPr>
      <w:r w:rsidRPr="0037044E">
        <w:rPr>
          <w:rFonts w:ascii="Arial" w:hAnsi="Arial" w:cs="Arial"/>
          <w:sz w:val="20"/>
        </w:rPr>
        <w:t xml:space="preserve">The </w:t>
      </w:r>
      <w:r w:rsidR="00132826">
        <w:rPr>
          <w:rFonts w:ascii="Arial" w:hAnsi="Arial" w:cs="Arial"/>
          <w:sz w:val="20"/>
        </w:rPr>
        <w:t xml:space="preserve">ARPANSA Standard </w:t>
      </w:r>
      <w:r w:rsidRPr="0037044E">
        <w:rPr>
          <w:rFonts w:ascii="Arial" w:hAnsi="Arial" w:cs="Arial"/>
          <w:sz w:val="20"/>
        </w:rPr>
        <w:t xml:space="preserve">can be found on the Australian </w:t>
      </w:r>
      <w:r>
        <w:rPr>
          <w:rFonts w:ascii="Arial" w:hAnsi="Arial" w:cs="Arial"/>
          <w:sz w:val="20"/>
        </w:rPr>
        <w:t>Radiation Protection and Nuclear Safety Agency’s website (</w:t>
      </w:r>
      <w:hyperlink r:id="rId15" w:history="1">
        <w:r w:rsidRPr="00EE3C27">
          <w:rPr>
            <w:rStyle w:val="Hyperlink"/>
            <w:rFonts w:ascii="Arial" w:hAnsi="Arial" w:cs="Arial"/>
            <w:sz w:val="20"/>
          </w:rPr>
          <w:t>http://www.arpanasa.gov.au</w:t>
        </w:r>
      </w:hyperlink>
      <w:r>
        <w:rPr>
          <w:rFonts w:ascii="Arial" w:hAnsi="Arial" w:cs="Arial"/>
          <w:sz w:val="20"/>
        </w:rPr>
        <w:t>).</w:t>
      </w:r>
    </w:p>
    <w:p w14:paraId="4757BC42" w14:textId="77777777" w:rsidR="00914D5C" w:rsidRDefault="00914D5C" w:rsidP="00914D5C">
      <w:pPr>
        <w:outlineLvl w:val="0"/>
        <w:rPr>
          <w:rFonts w:ascii="Arial" w:hAnsi="Arial" w:cs="Arial"/>
          <w:b/>
          <w:sz w:val="22"/>
          <w:szCs w:val="22"/>
          <w:lang w:val="en-AU"/>
        </w:rPr>
      </w:pPr>
    </w:p>
    <w:p w14:paraId="0BDE016D" w14:textId="77777777" w:rsidR="00914D5C" w:rsidRPr="005A5476" w:rsidRDefault="00914D5C" w:rsidP="00914D5C">
      <w:pPr>
        <w:keepNext/>
        <w:spacing w:line="360" w:lineRule="auto"/>
        <w:outlineLvl w:val="0"/>
        <w:rPr>
          <w:rFonts w:ascii="Arial" w:hAnsi="Arial" w:cs="Arial"/>
          <w:b/>
          <w:sz w:val="22"/>
          <w:szCs w:val="22"/>
          <w:lang w:val="en-AU"/>
        </w:rPr>
      </w:pPr>
      <w:r w:rsidRPr="005A5476">
        <w:rPr>
          <w:rFonts w:ascii="Arial" w:hAnsi="Arial" w:cs="Arial"/>
          <w:b/>
          <w:sz w:val="22"/>
          <w:szCs w:val="22"/>
          <w:lang w:val="en-AU"/>
        </w:rPr>
        <w:lastRenderedPageBreak/>
        <w:t xml:space="preserve">Statement of </w:t>
      </w:r>
      <w:r>
        <w:rPr>
          <w:rFonts w:ascii="Arial" w:hAnsi="Arial" w:cs="Arial"/>
          <w:b/>
          <w:sz w:val="22"/>
          <w:szCs w:val="22"/>
          <w:lang w:val="en-AU"/>
        </w:rPr>
        <w:t>C</w:t>
      </w:r>
      <w:r w:rsidRPr="005A5476">
        <w:rPr>
          <w:rFonts w:ascii="Arial" w:hAnsi="Arial" w:cs="Arial"/>
          <w:b/>
          <w:sz w:val="22"/>
          <w:szCs w:val="22"/>
          <w:lang w:val="en-AU"/>
        </w:rPr>
        <w:t xml:space="preserve">ompatibility with </w:t>
      </w:r>
      <w:r>
        <w:rPr>
          <w:rFonts w:ascii="Arial" w:hAnsi="Arial" w:cs="Arial"/>
          <w:b/>
          <w:sz w:val="22"/>
          <w:szCs w:val="22"/>
          <w:lang w:val="en-AU"/>
        </w:rPr>
        <w:t>H</w:t>
      </w:r>
      <w:r w:rsidRPr="005A5476">
        <w:rPr>
          <w:rFonts w:ascii="Arial" w:hAnsi="Arial" w:cs="Arial"/>
          <w:b/>
          <w:sz w:val="22"/>
          <w:szCs w:val="22"/>
          <w:lang w:val="en-AU"/>
        </w:rPr>
        <w:t xml:space="preserve">uman </w:t>
      </w:r>
      <w:r>
        <w:rPr>
          <w:rFonts w:ascii="Arial" w:hAnsi="Arial" w:cs="Arial"/>
          <w:b/>
          <w:sz w:val="22"/>
          <w:szCs w:val="22"/>
          <w:lang w:val="en-AU"/>
        </w:rPr>
        <w:t>R</w:t>
      </w:r>
      <w:r w:rsidRPr="005A5476">
        <w:rPr>
          <w:rFonts w:ascii="Arial" w:hAnsi="Arial" w:cs="Arial"/>
          <w:b/>
          <w:sz w:val="22"/>
          <w:szCs w:val="22"/>
          <w:lang w:val="en-AU"/>
        </w:rPr>
        <w:t>ights</w:t>
      </w:r>
    </w:p>
    <w:p w14:paraId="5EE97715" w14:textId="77777777" w:rsidR="00914D5C" w:rsidRDefault="00914D5C" w:rsidP="00914D5C">
      <w:pPr>
        <w:rPr>
          <w:rFonts w:ascii="Arial" w:hAnsi="Arial" w:cs="Arial"/>
          <w:sz w:val="20"/>
          <w:lang w:val="en-AU"/>
        </w:rPr>
      </w:pPr>
      <w:r>
        <w:rPr>
          <w:rFonts w:ascii="Arial" w:hAnsi="Arial" w:cs="Arial"/>
          <w:sz w:val="20"/>
        </w:rPr>
        <w:t>As required by s</w:t>
      </w:r>
      <w:r w:rsidRPr="005029D3">
        <w:rPr>
          <w:rFonts w:ascii="Arial" w:hAnsi="Arial" w:cs="Arial"/>
          <w:sz w:val="20"/>
        </w:rPr>
        <w:t xml:space="preserve">ubsection 9(1) of the </w:t>
      </w:r>
      <w:r w:rsidRPr="00BD05EE">
        <w:rPr>
          <w:rFonts w:ascii="Arial" w:hAnsi="Arial" w:cs="Arial"/>
          <w:i/>
          <w:sz w:val="20"/>
        </w:rPr>
        <w:t>Human Rights (Parliamentary Scrutiny) Act 2011</w:t>
      </w:r>
      <w:r w:rsidR="008068A8">
        <w:rPr>
          <w:rFonts w:ascii="Arial" w:hAnsi="Arial" w:cs="Arial"/>
          <w:i/>
          <w:sz w:val="20"/>
        </w:rPr>
        <w:t>,</w:t>
      </w:r>
      <w:r w:rsidRPr="005029D3">
        <w:rPr>
          <w:rFonts w:ascii="Arial" w:hAnsi="Arial" w:cs="Arial"/>
          <w:sz w:val="20"/>
        </w:rPr>
        <w:t xml:space="preserve"> a </w:t>
      </w:r>
      <w:r>
        <w:rPr>
          <w:rFonts w:ascii="Arial" w:hAnsi="Arial" w:cs="Arial"/>
          <w:sz w:val="20"/>
        </w:rPr>
        <w:t>S</w:t>
      </w:r>
      <w:r w:rsidRPr="005029D3">
        <w:rPr>
          <w:rFonts w:ascii="Arial" w:hAnsi="Arial" w:cs="Arial"/>
          <w:sz w:val="20"/>
        </w:rPr>
        <w:t xml:space="preserve">tatement of </w:t>
      </w:r>
      <w:r>
        <w:rPr>
          <w:rFonts w:ascii="Arial" w:hAnsi="Arial" w:cs="Arial"/>
          <w:sz w:val="20"/>
        </w:rPr>
        <w:t>C</w:t>
      </w:r>
      <w:r w:rsidRPr="005029D3">
        <w:rPr>
          <w:rFonts w:ascii="Arial" w:hAnsi="Arial" w:cs="Arial"/>
          <w:sz w:val="20"/>
        </w:rPr>
        <w:t xml:space="preserve">ompatibility </w:t>
      </w:r>
      <w:r>
        <w:rPr>
          <w:rFonts w:ascii="Arial" w:hAnsi="Arial" w:cs="Arial"/>
          <w:sz w:val="20"/>
        </w:rPr>
        <w:t xml:space="preserve">with Human Rights has been prepared by the ACMA and </w:t>
      </w:r>
      <w:r w:rsidRPr="005029D3">
        <w:rPr>
          <w:rFonts w:ascii="Arial" w:hAnsi="Arial" w:cs="Arial"/>
          <w:sz w:val="20"/>
        </w:rPr>
        <w:t>is</w:t>
      </w:r>
      <w:r w:rsidRPr="005029D3">
        <w:rPr>
          <w:rFonts w:ascii="Arial" w:hAnsi="Arial" w:cs="Arial"/>
          <w:sz w:val="20"/>
          <w:lang w:val="en-AU"/>
        </w:rPr>
        <w:t xml:space="preserve"> </w:t>
      </w:r>
      <w:r>
        <w:rPr>
          <w:rFonts w:ascii="Arial" w:hAnsi="Arial" w:cs="Arial"/>
          <w:sz w:val="20"/>
          <w:lang w:val="en-AU"/>
        </w:rPr>
        <w:t xml:space="preserve">at </w:t>
      </w:r>
      <w:r w:rsidRPr="005029D3">
        <w:rPr>
          <w:rFonts w:ascii="Arial" w:hAnsi="Arial" w:cs="Arial"/>
          <w:b/>
          <w:sz w:val="20"/>
          <w:lang w:val="en-AU"/>
        </w:rPr>
        <w:t>Attachment B</w:t>
      </w:r>
      <w:r w:rsidRPr="005029D3">
        <w:rPr>
          <w:rFonts w:ascii="Arial" w:hAnsi="Arial" w:cs="Arial"/>
          <w:sz w:val="20"/>
          <w:lang w:val="en-AU"/>
        </w:rPr>
        <w:t>.</w:t>
      </w:r>
    </w:p>
    <w:p w14:paraId="3D8A3B38" w14:textId="77777777" w:rsidR="00914D5C" w:rsidRPr="005A5476" w:rsidRDefault="00914D5C" w:rsidP="00914D5C">
      <w:pPr>
        <w:rPr>
          <w:rFonts w:ascii="Arial" w:hAnsi="Arial" w:cs="Arial"/>
          <w:b/>
          <w:sz w:val="22"/>
          <w:szCs w:val="22"/>
          <w:lang w:val="en-AU"/>
        </w:rPr>
      </w:pPr>
      <w:r>
        <w:rPr>
          <w:rFonts w:ascii="Arial" w:hAnsi="Arial" w:cs="Arial"/>
          <w:b/>
          <w:sz w:val="22"/>
          <w:szCs w:val="22"/>
          <w:lang w:val="en-AU"/>
        </w:rPr>
        <w:br w:type="page"/>
      </w:r>
      <w:r w:rsidRPr="005A5476">
        <w:rPr>
          <w:rFonts w:ascii="Arial" w:hAnsi="Arial" w:cs="Arial"/>
          <w:b/>
          <w:sz w:val="22"/>
          <w:szCs w:val="22"/>
          <w:lang w:val="en-AU"/>
        </w:rPr>
        <w:lastRenderedPageBreak/>
        <w:t>ATTACHMENT A</w:t>
      </w:r>
    </w:p>
    <w:p w14:paraId="7B0E9DF8" w14:textId="77777777" w:rsidR="00914D5C" w:rsidRPr="005A5476" w:rsidRDefault="00914D5C" w:rsidP="00914D5C">
      <w:pPr>
        <w:spacing w:line="360" w:lineRule="auto"/>
        <w:rPr>
          <w:rFonts w:ascii="Arial" w:hAnsi="Arial" w:cs="Arial"/>
          <w:b/>
          <w:sz w:val="22"/>
          <w:szCs w:val="22"/>
          <w:lang w:val="en-AU"/>
        </w:rPr>
      </w:pPr>
    </w:p>
    <w:p w14:paraId="7ACF2FFF" w14:textId="68AEEA19" w:rsidR="00914D5C" w:rsidRDefault="00914D5C" w:rsidP="00914D5C">
      <w:pPr>
        <w:spacing w:line="360" w:lineRule="auto"/>
        <w:rPr>
          <w:rFonts w:ascii="Arial" w:hAnsi="Arial" w:cs="Arial"/>
          <w:b/>
          <w:i/>
          <w:sz w:val="22"/>
          <w:szCs w:val="22"/>
          <w:lang w:val="en-AU"/>
        </w:rPr>
      </w:pPr>
      <w:r w:rsidRPr="005A5476">
        <w:rPr>
          <w:rFonts w:ascii="Arial" w:hAnsi="Arial" w:cs="Arial"/>
          <w:b/>
          <w:sz w:val="22"/>
          <w:szCs w:val="22"/>
          <w:lang w:val="en-AU"/>
        </w:rPr>
        <w:t xml:space="preserve">DETAILS OF THE </w:t>
      </w:r>
      <w:r w:rsidRPr="00D72A99">
        <w:rPr>
          <w:rFonts w:ascii="Arial" w:hAnsi="Arial" w:cs="Arial"/>
          <w:b/>
          <w:i/>
          <w:sz w:val="22"/>
          <w:szCs w:val="22"/>
          <w:lang w:val="en-AU"/>
        </w:rPr>
        <w:t>RADIOCOMMUNICATIONS</w:t>
      </w:r>
      <w:r>
        <w:rPr>
          <w:rFonts w:ascii="Arial" w:hAnsi="Arial" w:cs="Arial"/>
          <w:b/>
          <w:i/>
          <w:sz w:val="22"/>
          <w:szCs w:val="22"/>
          <w:lang w:val="en-AU"/>
        </w:rPr>
        <w:t xml:space="preserve"> </w:t>
      </w:r>
      <w:r w:rsidR="009C41FC">
        <w:rPr>
          <w:rFonts w:ascii="Arial" w:hAnsi="Arial" w:cs="Arial"/>
          <w:b/>
          <w:i/>
          <w:sz w:val="22"/>
          <w:szCs w:val="22"/>
          <w:lang w:val="en-AU"/>
        </w:rPr>
        <w:t>LICENCE CONDITIONS (APPARATUS LICENCE) DETERMINATION 201</w:t>
      </w:r>
      <w:r w:rsidR="002D4667">
        <w:rPr>
          <w:rFonts w:ascii="Arial" w:hAnsi="Arial" w:cs="Arial"/>
          <w:b/>
          <w:i/>
          <w:sz w:val="22"/>
          <w:szCs w:val="22"/>
          <w:lang w:val="en-AU"/>
        </w:rPr>
        <w:t>5</w:t>
      </w:r>
    </w:p>
    <w:p w14:paraId="2E2E54E0" w14:textId="427AD969" w:rsidR="00E6186D" w:rsidRPr="00E6186D" w:rsidRDefault="00E6186D" w:rsidP="00914D5C">
      <w:pPr>
        <w:spacing w:before="80" w:after="120" w:line="276" w:lineRule="auto"/>
        <w:rPr>
          <w:rFonts w:ascii="Arial" w:hAnsi="Arial" w:cs="Arial"/>
          <w:b/>
          <w:sz w:val="20"/>
          <w:lang w:val="en-AU"/>
        </w:rPr>
      </w:pPr>
      <w:r w:rsidRPr="00E6186D">
        <w:rPr>
          <w:rFonts w:ascii="Arial" w:hAnsi="Arial" w:cs="Arial"/>
          <w:b/>
          <w:sz w:val="20"/>
          <w:lang w:val="en-AU"/>
        </w:rPr>
        <w:t>Part 1</w:t>
      </w:r>
      <w:r w:rsidRPr="00E6186D">
        <w:rPr>
          <w:rFonts w:ascii="Arial" w:hAnsi="Arial" w:cs="Arial"/>
          <w:b/>
          <w:sz w:val="20"/>
          <w:lang w:val="en-AU"/>
        </w:rPr>
        <w:tab/>
      </w:r>
      <w:r w:rsidRPr="00E6186D">
        <w:rPr>
          <w:rFonts w:ascii="Arial" w:hAnsi="Arial" w:cs="Arial"/>
          <w:b/>
          <w:sz w:val="20"/>
          <w:lang w:val="en-AU"/>
        </w:rPr>
        <w:tab/>
        <w:t>Preliminary</w:t>
      </w:r>
    </w:p>
    <w:p w14:paraId="08FF9C4E" w14:textId="77777777" w:rsidR="00914D5C" w:rsidRPr="00433E6B" w:rsidRDefault="00914D5C" w:rsidP="00914D5C">
      <w:pPr>
        <w:spacing w:before="80" w:after="120" w:line="276" w:lineRule="auto"/>
        <w:rPr>
          <w:rFonts w:ascii="Arial" w:hAnsi="Arial" w:cs="Arial"/>
          <w:b/>
          <w:color w:val="262626"/>
          <w:sz w:val="20"/>
        </w:rPr>
      </w:pPr>
      <w:r w:rsidRPr="00433E6B">
        <w:rPr>
          <w:rFonts w:ascii="Arial" w:hAnsi="Arial" w:cs="Arial"/>
          <w:b/>
          <w:color w:val="262626"/>
          <w:sz w:val="20"/>
        </w:rPr>
        <w:t>Section 1</w:t>
      </w:r>
      <w:r w:rsidRPr="00433E6B">
        <w:rPr>
          <w:rFonts w:ascii="Arial" w:hAnsi="Arial" w:cs="Arial"/>
          <w:b/>
          <w:color w:val="262626"/>
          <w:sz w:val="20"/>
        </w:rPr>
        <w:tab/>
        <w:t xml:space="preserve">Name of </w:t>
      </w:r>
      <w:r w:rsidR="00C23DB0" w:rsidRPr="00433E6B">
        <w:rPr>
          <w:rFonts w:ascii="Arial" w:hAnsi="Arial" w:cs="Arial"/>
          <w:b/>
          <w:color w:val="262626"/>
          <w:sz w:val="20"/>
        </w:rPr>
        <w:t>D</w:t>
      </w:r>
      <w:r w:rsidR="009C41FC">
        <w:rPr>
          <w:rFonts w:ascii="Arial" w:hAnsi="Arial" w:cs="Arial"/>
          <w:b/>
          <w:color w:val="262626"/>
          <w:sz w:val="20"/>
        </w:rPr>
        <w:t>etermination</w:t>
      </w:r>
    </w:p>
    <w:p w14:paraId="511C1D00" w14:textId="1957BF30" w:rsidR="00914D5C" w:rsidRPr="009C41FC" w:rsidRDefault="00914D5C" w:rsidP="00914D5C">
      <w:pPr>
        <w:spacing w:before="80" w:after="120" w:line="276" w:lineRule="auto"/>
        <w:rPr>
          <w:rFonts w:ascii="Arial" w:hAnsi="Arial" w:cs="Arial"/>
          <w:i/>
          <w:sz w:val="20"/>
          <w:lang w:val="en-AU"/>
        </w:rPr>
      </w:pPr>
      <w:r>
        <w:rPr>
          <w:rFonts w:ascii="Arial" w:hAnsi="Arial" w:cs="Arial"/>
          <w:sz w:val="20"/>
          <w:lang w:val="en-AU"/>
        </w:rPr>
        <w:t>Section 1</w:t>
      </w:r>
      <w:r w:rsidRPr="00987C42">
        <w:rPr>
          <w:rFonts w:ascii="Arial" w:hAnsi="Arial" w:cs="Arial"/>
          <w:sz w:val="20"/>
          <w:lang w:val="en-AU"/>
        </w:rPr>
        <w:t xml:space="preserve"> </w:t>
      </w:r>
      <w:r>
        <w:rPr>
          <w:rFonts w:ascii="Arial" w:hAnsi="Arial" w:cs="Arial"/>
          <w:sz w:val="20"/>
          <w:lang w:val="en-AU"/>
        </w:rPr>
        <w:t xml:space="preserve">provides that the </w:t>
      </w:r>
      <w:r w:rsidR="009C41FC">
        <w:rPr>
          <w:rFonts w:ascii="Arial" w:hAnsi="Arial" w:cs="Arial"/>
          <w:sz w:val="20"/>
          <w:lang w:val="en-AU"/>
        </w:rPr>
        <w:t xml:space="preserve">Determination is the </w:t>
      </w:r>
      <w:proofErr w:type="spellStart"/>
      <w:r w:rsidR="009C41FC" w:rsidRPr="009C41FC">
        <w:rPr>
          <w:rFonts w:ascii="Arial" w:hAnsi="Arial" w:cs="Arial"/>
          <w:i/>
          <w:sz w:val="20"/>
          <w:lang w:val="en-AU"/>
        </w:rPr>
        <w:t>Radiocommunications</w:t>
      </w:r>
      <w:proofErr w:type="spellEnd"/>
      <w:r w:rsidR="009C41FC" w:rsidRPr="009C41FC">
        <w:rPr>
          <w:rFonts w:ascii="Arial" w:hAnsi="Arial" w:cs="Arial"/>
          <w:i/>
          <w:sz w:val="20"/>
          <w:lang w:val="en-AU"/>
        </w:rPr>
        <w:t xml:space="preserve"> Licence Conditions (Apparatus Licence) Determination 201</w:t>
      </w:r>
      <w:r w:rsidR="002D4667">
        <w:rPr>
          <w:rFonts w:ascii="Arial" w:hAnsi="Arial" w:cs="Arial"/>
          <w:i/>
          <w:sz w:val="20"/>
          <w:lang w:val="en-AU"/>
        </w:rPr>
        <w:t>5</w:t>
      </w:r>
      <w:r w:rsidR="006C40DC">
        <w:rPr>
          <w:rFonts w:ascii="Arial" w:hAnsi="Arial" w:cs="Arial"/>
          <w:i/>
          <w:sz w:val="20"/>
          <w:lang w:val="en-AU"/>
        </w:rPr>
        <w:t>.</w:t>
      </w:r>
    </w:p>
    <w:p w14:paraId="3E915979" w14:textId="77777777" w:rsidR="00914D5C" w:rsidRPr="00EC4D12" w:rsidRDefault="00914D5C" w:rsidP="00914D5C">
      <w:pPr>
        <w:spacing w:line="276" w:lineRule="auto"/>
        <w:outlineLvl w:val="0"/>
        <w:rPr>
          <w:rFonts w:ascii="Arial" w:hAnsi="Arial" w:cs="Arial"/>
          <w:b/>
          <w:sz w:val="20"/>
          <w:lang w:val="en-AU"/>
        </w:rPr>
      </w:pPr>
      <w:r w:rsidRPr="00EC4D12">
        <w:rPr>
          <w:rFonts w:ascii="Arial" w:hAnsi="Arial" w:cs="Arial"/>
          <w:b/>
          <w:sz w:val="20"/>
          <w:lang w:val="en-AU"/>
        </w:rPr>
        <w:t xml:space="preserve">Section 2 </w:t>
      </w:r>
      <w:r w:rsidR="009C41FC">
        <w:rPr>
          <w:rFonts w:ascii="Arial" w:hAnsi="Arial" w:cs="Arial"/>
          <w:b/>
          <w:sz w:val="20"/>
          <w:lang w:val="en-AU"/>
        </w:rPr>
        <w:tab/>
      </w:r>
      <w:r w:rsidRPr="00EC4D12">
        <w:rPr>
          <w:rFonts w:ascii="Arial" w:hAnsi="Arial" w:cs="Arial"/>
          <w:b/>
          <w:sz w:val="20"/>
          <w:lang w:val="en-AU"/>
        </w:rPr>
        <w:t xml:space="preserve"> Commencement </w:t>
      </w:r>
    </w:p>
    <w:p w14:paraId="692253F1" w14:textId="77777777" w:rsidR="00F27D50" w:rsidRDefault="00914D5C" w:rsidP="009C41FC">
      <w:pPr>
        <w:spacing w:before="80" w:after="120" w:line="276" w:lineRule="auto"/>
        <w:rPr>
          <w:rFonts w:ascii="Arial" w:hAnsi="Arial" w:cs="Arial"/>
          <w:sz w:val="20"/>
          <w:lang w:val="en-AU"/>
        </w:rPr>
      </w:pPr>
      <w:r>
        <w:rPr>
          <w:rFonts w:ascii="Arial" w:hAnsi="Arial" w:cs="Arial"/>
          <w:sz w:val="20"/>
          <w:lang w:val="en-AU"/>
        </w:rPr>
        <w:t>S</w:t>
      </w:r>
      <w:r w:rsidRPr="00EC4D12">
        <w:rPr>
          <w:rFonts w:ascii="Arial" w:hAnsi="Arial" w:cs="Arial"/>
          <w:sz w:val="20"/>
          <w:lang w:val="en-AU"/>
        </w:rPr>
        <w:t xml:space="preserve">ection </w:t>
      </w:r>
      <w:r>
        <w:rPr>
          <w:rFonts w:ascii="Arial" w:hAnsi="Arial" w:cs="Arial"/>
          <w:sz w:val="20"/>
          <w:lang w:val="en-AU"/>
        </w:rPr>
        <w:t xml:space="preserve">2 provides that the </w:t>
      </w:r>
      <w:r w:rsidR="00C23DB0">
        <w:rPr>
          <w:rFonts w:ascii="Arial" w:hAnsi="Arial" w:cs="Arial"/>
          <w:sz w:val="20"/>
          <w:lang w:val="en-AU"/>
        </w:rPr>
        <w:t>De</w:t>
      </w:r>
      <w:r w:rsidR="009C41FC">
        <w:rPr>
          <w:rFonts w:ascii="Arial" w:hAnsi="Arial" w:cs="Arial"/>
          <w:sz w:val="20"/>
          <w:lang w:val="en-AU"/>
        </w:rPr>
        <w:t>termination</w:t>
      </w:r>
      <w:r>
        <w:rPr>
          <w:rFonts w:ascii="Arial" w:hAnsi="Arial" w:cs="Arial"/>
          <w:sz w:val="20"/>
          <w:lang w:val="en-AU"/>
        </w:rPr>
        <w:t xml:space="preserve"> </w:t>
      </w:r>
      <w:r w:rsidRPr="00EC4D12">
        <w:rPr>
          <w:rFonts w:ascii="Arial" w:hAnsi="Arial" w:cs="Arial"/>
          <w:sz w:val="20"/>
          <w:lang w:val="en-AU"/>
        </w:rPr>
        <w:t>commence</w:t>
      </w:r>
      <w:r>
        <w:rPr>
          <w:rFonts w:ascii="Arial" w:hAnsi="Arial" w:cs="Arial"/>
          <w:sz w:val="20"/>
          <w:lang w:val="en-AU"/>
        </w:rPr>
        <w:t>s</w:t>
      </w:r>
      <w:r w:rsidR="00F27D50">
        <w:rPr>
          <w:rFonts w:ascii="Arial" w:hAnsi="Arial" w:cs="Arial"/>
          <w:sz w:val="20"/>
          <w:lang w:val="en-AU"/>
        </w:rPr>
        <w:t xml:space="preserve"> on </w:t>
      </w:r>
      <w:r>
        <w:rPr>
          <w:rFonts w:ascii="Arial" w:hAnsi="Arial" w:cs="Arial"/>
          <w:sz w:val="20"/>
          <w:lang w:val="en-AU"/>
        </w:rPr>
        <w:t xml:space="preserve">the </w:t>
      </w:r>
      <w:r w:rsidRPr="00D72A99">
        <w:rPr>
          <w:rFonts w:ascii="Arial" w:hAnsi="Arial" w:cs="Arial"/>
          <w:sz w:val="20"/>
          <w:lang w:val="en-AU"/>
        </w:rPr>
        <w:t xml:space="preserve">day after it is registered </w:t>
      </w:r>
      <w:r>
        <w:rPr>
          <w:rFonts w:ascii="Arial" w:hAnsi="Arial" w:cs="Arial"/>
          <w:sz w:val="20"/>
          <w:lang w:val="en-AU"/>
        </w:rPr>
        <w:t>on the Federal Register of Legislative Instruments (FRLI</w:t>
      </w:r>
      <w:r w:rsidR="009C41FC">
        <w:rPr>
          <w:rFonts w:ascii="Arial" w:hAnsi="Arial" w:cs="Arial"/>
          <w:sz w:val="20"/>
          <w:lang w:val="en-AU"/>
        </w:rPr>
        <w:t>).</w:t>
      </w:r>
    </w:p>
    <w:p w14:paraId="64FB2E59" w14:textId="77777777" w:rsidR="009C41FC" w:rsidRDefault="009C41FC" w:rsidP="009C41FC">
      <w:pPr>
        <w:spacing w:before="80" w:after="120" w:line="276" w:lineRule="auto"/>
        <w:rPr>
          <w:rFonts w:ascii="Arial" w:hAnsi="Arial" w:cs="Arial"/>
          <w:b/>
          <w:sz w:val="20"/>
          <w:lang w:val="en-AU"/>
        </w:rPr>
      </w:pPr>
      <w:r w:rsidRPr="009C41FC">
        <w:rPr>
          <w:rFonts w:ascii="Arial" w:hAnsi="Arial" w:cs="Arial"/>
          <w:b/>
          <w:sz w:val="20"/>
          <w:lang w:val="en-AU"/>
        </w:rPr>
        <w:t>Section 3</w:t>
      </w:r>
      <w:r>
        <w:rPr>
          <w:rFonts w:ascii="Arial" w:hAnsi="Arial" w:cs="Arial"/>
          <w:b/>
          <w:sz w:val="20"/>
          <w:lang w:val="en-AU"/>
        </w:rPr>
        <w:tab/>
        <w:t>Scope</w:t>
      </w:r>
    </w:p>
    <w:p w14:paraId="132DF875" w14:textId="2838C121" w:rsidR="004A4C16" w:rsidRDefault="009C41FC" w:rsidP="009C41FC">
      <w:pPr>
        <w:spacing w:before="80" w:after="120" w:line="276" w:lineRule="auto"/>
        <w:rPr>
          <w:rFonts w:ascii="Arial" w:hAnsi="Arial" w:cs="Arial"/>
          <w:sz w:val="20"/>
          <w:lang w:val="en-AU"/>
        </w:rPr>
      </w:pPr>
      <w:r w:rsidRPr="009C41FC">
        <w:rPr>
          <w:rFonts w:ascii="Arial" w:hAnsi="Arial" w:cs="Arial"/>
          <w:sz w:val="20"/>
          <w:lang w:val="en-AU"/>
        </w:rPr>
        <w:t>S</w:t>
      </w:r>
      <w:r w:rsidR="004A4C16">
        <w:rPr>
          <w:rFonts w:ascii="Arial" w:hAnsi="Arial" w:cs="Arial"/>
          <w:sz w:val="20"/>
          <w:lang w:val="en-AU"/>
        </w:rPr>
        <w:t>ubs</w:t>
      </w:r>
      <w:r w:rsidRPr="009C41FC">
        <w:rPr>
          <w:rFonts w:ascii="Arial" w:hAnsi="Arial" w:cs="Arial"/>
          <w:sz w:val="20"/>
          <w:lang w:val="en-AU"/>
        </w:rPr>
        <w:t>ection 3</w:t>
      </w:r>
      <w:r w:rsidR="004A4C16">
        <w:rPr>
          <w:rFonts w:ascii="Arial" w:hAnsi="Arial" w:cs="Arial"/>
          <w:sz w:val="20"/>
          <w:lang w:val="en-AU"/>
        </w:rPr>
        <w:t>(1)</w:t>
      </w:r>
      <w:r w:rsidRPr="009C41FC">
        <w:rPr>
          <w:rFonts w:ascii="Arial" w:hAnsi="Arial" w:cs="Arial"/>
          <w:sz w:val="20"/>
          <w:lang w:val="en-AU"/>
        </w:rPr>
        <w:t xml:space="preserve"> provides that the </w:t>
      </w:r>
      <w:r>
        <w:rPr>
          <w:rFonts w:ascii="Arial" w:hAnsi="Arial" w:cs="Arial"/>
          <w:sz w:val="20"/>
          <w:lang w:val="en-AU"/>
        </w:rPr>
        <w:t>Determination</w:t>
      </w:r>
      <w:r w:rsidR="004A4C16">
        <w:rPr>
          <w:rFonts w:ascii="Arial" w:hAnsi="Arial" w:cs="Arial"/>
          <w:sz w:val="20"/>
          <w:lang w:val="en-AU"/>
        </w:rPr>
        <w:t xml:space="preserve"> sets out</w:t>
      </w:r>
      <w:r>
        <w:rPr>
          <w:rFonts w:ascii="Arial" w:hAnsi="Arial" w:cs="Arial"/>
          <w:sz w:val="20"/>
          <w:lang w:val="en-AU"/>
        </w:rPr>
        <w:t xml:space="preserve"> conditions </w:t>
      </w:r>
      <w:r w:rsidR="004A4C16">
        <w:rPr>
          <w:rFonts w:ascii="Arial" w:hAnsi="Arial" w:cs="Arial"/>
          <w:sz w:val="20"/>
          <w:lang w:val="en-AU"/>
        </w:rPr>
        <w:t xml:space="preserve">to which </w:t>
      </w:r>
      <w:r>
        <w:rPr>
          <w:rFonts w:ascii="Arial" w:hAnsi="Arial" w:cs="Arial"/>
          <w:sz w:val="20"/>
          <w:lang w:val="en-AU"/>
        </w:rPr>
        <w:t>all transmitter licences issued under se</w:t>
      </w:r>
      <w:r w:rsidR="00672538">
        <w:rPr>
          <w:rFonts w:ascii="Arial" w:hAnsi="Arial" w:cs="Arial"/>
          <w:sz w:val="20"/>
          <w:lang w:val="en-AU"/>
        </w:rPr>
        <w:t>c</w:t>
      </w:r>
      <w:r>
        <w:rPr>
          <w:rFonts w:ascii="Arial" w:hAnsi="Arial" w:cs="Arial"/>
          <w:sz w:val="20"/>
          <w:lang w:val="en-AU"/>
        </w:rPr>
        <w:t>tions 100 or 100B of the</w:t>
      </w:r>
      <w:r w:rsidR="00861E86">
        <w:rPr>
          <w:rFonts w:ascii="Arial" w:hAnsi="Arial" w:cs="Arial"/>
          <w:sz w:val="20"/>
          <w:lang w:val="en-AU"/>
        </w:rPr>
        <w:t xml:space="preserve"> Act</w:t>
      </w:r>
      <w:r w:rsidR="004A4C16">
        <w:rPr>
          <w:rFonts w:ascii="Arial" w:hAnsi="Arial" w:cs="Arial"/>
          <w:sz w:val="20"/>
          <w:lang w:val="en-AU"/>
        </w:rPr>
        <w:t xml:space="preserve"> are subject</w:t>
      </w:r>
      <w:r>
        <w:rPr>
          <w:rFonts w:ascii="Arial" w:hAnsi="Arial" w:cs="Arial"/>
          <w:sz w:val="20"/>
          <w:lang w:val="en-AU"/>
        </w:rPr>
        <w:t xml:space="preserve">. </w:t>
      </w:r>
    </w:p>
    <w:p w14:paraId="65A15819" w14:textId="79693FF5" w:rsidR="009C41FC" w:rsidRDefault="004A4C16" w:rsidP="009C41FC">
      <w:pPr>
        <w:spacing w:before="80" w:after="120" w:line="276" w:lineRule="auto"/>
        <w:rPr>
          <w:rFonts w:ascii="Arial" w:hAnsi="Arial" w:cs="Arial"/>
          <w:sz w:val="20"/>
          <w:lang w:val="en-AU"/>
        </w:rPr>
      </w:pPr>
      <w:r>
        <w:rPr>
          <w:rFonts w:ascii="Arial" w:hAnsi="Arial" w:cs="Arial"/>
          <w:sz w:val="20"/>
          <w:lang w:val="en-AU"/>
        </w:rPr>
        <w:t>Subsection 3(2)</w:t>
      </w:r>
      <w:r w:rsidR="009C41FC">
        <w:rPr>
          <w:rFonts w:ascii="Arial" w:hAnsi="Arial" w:cs="Arial"/>
          <w:sz w:val="20"/>
          <w:lang w:val="en-AU"/>
        </w:rPr>
        <w:t xml:space="preserve"> provides that, if a condition in the Determination</w:t>
      </w:r>
      <w:r w:rsidR="00540D3D">
        <w:rPr>
          <w:rFonts w:ascii="Arial" w:hAnsi="Arial" w:cs="Arial"/>
          <w:sz w:val="20"/>
          <w:lang w:val="en-AU"/>
        </w:rPr>
        <w:t xml:space="preserve"> is inconsistent with a condition specified in a licence</w:t>
      </w:r>
      <w:r w:rsidR="009C41FC">
        <w:rPr>
          <w:rFonts w:ascii="Arial" w:hAnsi="Arial" w:cs="Arial"/>
          <w:sz w:val="20"/>
          <w:lang w:val="en-AU"/>
        </w:rPr>
        <w:t xml:space="preserve">, the condition </w:t>
      </w:r>
      <w:r w:rsidR="00540D3D">
        <w:rPr>
          <w:rFonts w:ascii="Arial" w:hAnsi="Arial" w:cs="Arial"/>
          <w:sz w:val="20"/>
          <w:lang w:val="en-AU"/>
        </w:rPr>
        <w:t>in the</w:t>
      </w:r>
      <w:r w:rsidR="009C41FC">
        <w:rPr>
          <w:rFonts w:ascii="Arial" w:hAnsi="Arial" w:cs="Arial"/>
          <w:sz w:val="20"/>
          <w:lang w:val="en-AU"/>
        </w:rPr>
        <w:t xml:space="preserve"> licence applies.</w:t>
      </w:r>
    </w:p>
    <w:p w14:paraId="79BDAEBD" w14:textId="77777777" w:rsidR="009C41FC" w:rsidRDefault="009C41FC" w:rsidP="009C41FC">
      <w:pPr>
        <w:spacing w:before="80" w:after="120" w:line="276" w:lineRule="auto"/>
        <w:rPr>
          <w:rFonts w:ascii="Arial" w:hAnsi="Arial" w:cs="Arial"/>
          <w:b/>
          <w:sz w:val="20"/>
          <w:lang w:val="en-AU"/>
        </w:rPr>
      </w:pPr>
      <w:r w:rsidRPr="009C41FC">
        <w:rPr>
          <w:rFonts w:ascii="Arial" w:hAnsi="Arial" w:cs="Arial"/>
          <w:b/>
          <w:sz w:val="20"/>
          <w:lang w:val="en-AU"/>
        </w:rPr>
        <w:t>Section 4</w:t>
      </w:r>
      <w:r w:rsidRPr="009C41FC">
        <w:rPr>
          <w:rFonts w:ascii="Arial" w:hAnsi="Arial" w:cs="Arial"/>
          <w:b/>
          <w:sz w:val="20"/>
          <w:lang w:val="en-AU"/>
        </w:rPr>
        <w:tab/>
        <w:t>Interpretation</w:t>
      </w:r>
    </w:p>
    <w:p w14:paraId="7CE58BEE" w14:textId="79E247D9" w:rsidR="009C41FC" w:rsidRDefault="009C41FC" w:rsidP="009C41FC">
      <w:pPr>
        <w:spacing w:before="80" w:after="120" w:line="276" w:lineRule="auto"/>
        <w:rPr>
          <w:rFonts w:ascii="Arial" w:hAnsi="Arial" w:cs="Arial"/>
          <w:sz w:val="20"/>
          <w:lang w:val="en-AU"/>
        </w:rPr>
      </w:pPr>
      <w:r w:rsidRPr="009C41FC">
        <w:rPr>
          <w:rFonts w:ascii="Arial" w:hAnsi="Arial" w:cs="Arial"/>
          <w:sz w:val="20"/>
          <w:lang w:val="en-AU"/>
        </w:rPr>
        <w:t>Subsection 4(1) defines terms used in the Determination</w:t>
      </w:r>
      <w:r w:rsidR="00437A22">
        <w:rPr>
          <w:rFonts w:ascii="Arial" w:hAnsi="Arial" w:cs="Arial"/>
          <w:sz w:val="20"/>
          <w:lang w:val="en-AU"/>
        </w:rPr>
        <w:t>.</w:t>
      </w:r>
    </w:p>
    <w:p w14:paraId="0D3632A8" w14:textId="569A3803" w:rsidR="009C41FC" w:rsidRDefault="009C41FC" w:rsidP="009C41FC">
      <w:pPr>
        <w:spacing w:before="80" w:after="120" w:line="276" w:lineRule="auto"/>
        <w:rPr>
          <w:rFonts w:ascii="Arial" w:hAnsi="Arial" w:cs="Arial"/>
          <w:sz w:val="20"/>
          <w:lang w:val="en-AU"/>
        </w:rPr>
      </w:pPr>
      <w:r>
        <w:rPr>
          <w:rFonts w:ascii="Arial" w:hAnsi="Arial" w:cs="Arial"/>
          <w:sz w:val="20"/>
          <w:lang w:val="en-AU"/>
        </w:rPr>
        <w:t>Subsection 4</w:t>
      </w:r>
      <w:r w:rsidR="00861E86">
        <w:rPr>
          <w:rFonts w:ascii="Arial" w:hAnsi="Arial" w:cs="Arial"/>
          <w:sz w:val="20"/>
          <w:lang w:val="en-AU"/>
        </w:rPr>
        <w:t>(</w:t>
      </w:r>
      <w:r>
        <w:rPr>
          <w:rFonts w:ascii="Arial" w:hAnsi="Arial" w:cs="Arial"/>
          <w:sz w:val="20"/>
          <w:lang w:val="en-AU"/>
        </w:rPr>
        <w:t xml:space="preserve">2) provides that a reference </w:t>
      </w:r>
      <w:r w:rsidR="00437A22">
        <w:rPr>
          <w:rFonts w:ascii="Arial" w:hAnsi="Arial" w:cs="Arial"/>
          <w:sz w:val="20"/>
          <w:lang w:val="en-AU"/>
        </w:rPr>
        <w:t>in the Determinati</w:t>
      </w:r>
      <w:r w:rsidR="0026503A">
        <w:rPr>
          <w:rFonts w:ascii="Arial" w:hAnsi="Arial" w:cs="Arial"/>
          <w:sz w:val="20"/>
          <w:lang w:val="en-AU"/>
        </w:rPr>
        <w:t>on</w:t>
      </w:r>
      <w:r w:rsidR="00437A22">
        <w:rPr>
          <w:rFonts w:ascii="Arial" w:hAnsi="Arial" w:cs="Arial"/>
          <w:sz w:val="20"/>
          <w:lang w:val="en-AU"/>
        </w:rPr>
        <w:t xml:space="preserve"> </w:t>
      </w:r>
      <w:r>
        <w:rPr>
          <w:rFonts w:ascii="Arial" w:hAnsi="Arial" w:cs="Arial"/>
          <w:sz w:val="20"/>
          <w:lang w:val="en-AU"/>
        </w:rPr>
        <w:t xml:space="preserve">to </w:t>
      </w:r>
      <w:r w:rsidR="00861E86">
        <w:rPr>
          <w:rFonts w:ascii="Arial" w:hAnsi="Arial" w:cs="Arial"/>
          <w:sz w:val="20"/>
          <w:lang w:val="en-AU"/>
        </w:rPr>
        <w:t>an instrument made under the Act</w:t>
      </w:r>
      <w:r w:rsidR="0026503A">
        <w:rPr>
          <w:rFonts w:ascii="Arial" w:hAnsi="Arial" w:cs="Arial"/>
          <w:sz w:val="20"/>
          <w:lang w:val="en-AU"/>
        </w:rPr>
        <w:t>,</w:t>
      </w:r>
      <w:r w:rsidR="00861E86">
        <w:rPr>
          <w:rFonts w:ascii="Arial" w:hAnsi="Arial" w:cs="Arial"/>
          <w:sz w:val="20"/>
          <w:lang w:val="en-AU"/>
        </w:rPr>
        <w:t xml:space="preserve"> or </w:t>
      </w:r>
      <w:r>
        <w:rPr>
          <w:rFonts w:ascii="Arial" w:hAnsi="Arial" w:cs="Arial"/>
          <w:sz w:val="20"/>
          <w:lang w:val="en-AU"/>
        </w:rPr>
        <w:t>a document</w:t>
      </w:r>
      <w:r w:rsidR="00861E86">
        <w:rPr>
          <w:rFonts w:ascii="Arial" w:hAnsi="Arial" w:cs="Arial"/>
          <w:sz w:val="20"/>
          <w:lang w:val="en-AU"/>
        </w:rPr>
        <w:t xml:space="preserve"> </w:t>
      </w:r>
      <w:r w:rsidR="00132826">
        <w:rPr>
          <w:rFonts w:ascii="Arial" w:hAnsi="Arial" w:cs="Arial"/>
          <w:sz w:val="20"/>
          <w:lang w:val="en-AU"/>
        </w:rPr>
        <w:t xml:space="preserve">or publication </w:t>
      </w:r>
      <w:r w:rsidR="00861E86">
        <w:rPr>
          <w:rFonts w:ascii="Arial" w:hAnsi="Arial" w:cs="Arial"/>
          <w:sz w:val="20"/>
          <w:lang w:val="en-AU"/>
        </w:rPr>
        <w:t xml:space="preserve">made by Standards Australia </w:t>
      </w:r>
      <w:r w:rsidR="00437A22">
        <w:rPr>
          <w:rFonts w:ascii="Arial" w:hAnsi="Arial" w:cs="Arial"/>
          <w:sz w:val="20"/>
          <w:lang w:val="en-AU"/>
        </w:rPr>
        <w:t>or the ACMA</w:t>
      </w:r>
      <w:r w:rsidR="00861E86">
        <w:rPr>
          <w:rFonts w:ascii="Arial" w:hAnsi="Arial" w:cs="Arial"/>
          <w:sz w:val="20"/>
          <w:lang w:val="en-AU"/>
        </w:rPr>
        <w:t>, includes a reference to the instrument, publication or document as in</w:t>
      </w:r>
      <w:r w:rsidR="00132826">
        <w:rPr>
          <w:rFonts w:ascii="Arial" w:hAnsi="Arial" w:cs="Arial"/>
          <w:sz w:val="20"/>
          <w:lang w:val="en-AU"/>
        </w:rPr>
        <w:t xml:space="preserve"> </w:t>
      </w:r>
      <w:r w:rsidR="00861E86">
        <w:rPr>
          <w:rFonts w:ascii="Arial" w:hAnsi="Arial" w:cs="Arial"/>
          <w:sz w:val="20"/>
          <w:lang w:val="en-AU"/>
        </w:rPr>
        <w:t>force or existing from time to time.</w:t>
      </w:r>
    </w:p>
    <w:p w14:paraId="734220FC" w14:textId="6ED77A96" w:rsidR="00861E86" w:rsidRDefault="00861E86" w:rsidP="009C41FC">
      <w:pPr>
        <w:spacing w:before="80" w:after="120" w:line="276" w:lineRule="auto"/>
        <w:rPr>
          <w:rFonts w:ascii="Arial" w:hAnsi="Arial" w:cs="Arial"/>
          <w:sz w:val="20"/>
          <w:lang w:val="en-AU"/>
        </w:rPr>
      </w:pPr>
      <w:r>
        <w:rPr>
          <w:rFonts w:ascii="Arial" w:hAnsi="Arial" w:cs="Arial"/>
          <w:sz w:val="20"/>
          <w:lang w:val="en-AU"/>
        </w:rPr>
        <w:t xml:space="preserve">Subsection 4(3) provides that where a term defined in the ARPANSA </w:t>
      </w:r>
      <w:r w:rsidR="008F53D6">
        <w:rPr>
          <w:rFonts w:ascii="Arial" w:hAnsi="Arial" w:cs="Arial"/>
          <w:sz w:val="20"/>
          <w:lang w:val="en-AU"/>
        </w:rPr>
        <w:t>S</w:t>
      </w:r>
      <w:r>
        <w:rPr>
          <w:rFonts w:ascii="Arial" w:hAnsi="Arial" w:cs="Arial"/>
          <w:sz w:val="20"/>
          <w:lang w:val="en-AU"/>
        </w:rPr>
        <w:t>tandard is used</w:t>
      </w:r>
      <w:r w:rsidR="0026503A">
        <w:rPr>
          <w:rFonts w:ascii="Arial" w:hAnsi="Arial" w:cs="Arial"/>
          <w:sz w:val="20"/>
          <w:lang w:val="en-AU"/>
        </w:rPr>
        <w:t xml:space="preserve"> but not defined</w:t>
      </w:r>
      <w:r>
        <w:rPr>
          <w:rFonts w:ascii="Arial" w:hAnsi="Arial" w:cs="Arial"/>
          <w:sz w:val="20"/>
          <w:lang w:val="en-AU"/>
        </w:rPr>
        <w:t xml:space="preserve"> in the Determination</w:t>
      </w:r>
      <w:r w:rsidR="005C32D5">
        <w:rPr>
          <w:rFonts w:ascii="Arial" w:hAnsi="Arial" w:cs="Arial"/>
          <w:sz w:val="20"/>
          <w:lang w:val="en-AU"/>
        </w:rPr>
        <w:t>,</w:t>
      </w:r>
      <w:r>
        <w:rPr>
          <w:rFonts w:ascii="Arial" w:hAnsi="Arial" w:cs="Arial"/>
          <w:sz w:val="20"/>
          <w:lang w:val="en-AU"/>
        </w:rPr>
        <w:t xml:space="preserve"> the </w:t>
      </w:r>
      <w:r w:rsidR="005C32D5">
        <w:rPr>
          <w:rFonts w:ascii="Arial" w:hAnsi="Arial" w:cs="Arial"/>
          <w:sz w:val="20"/>
          <w:lang w:val="en-AU"/>
        </w:rPr>
        <w:t>term has the meaning given</w:t>
      </w:r>
      <w:r>
        <w:rPr>
          <w:rFonts w:ascii="Arial" w:hAnsi="Arial" w:cs="Arial"/>
          <w:sz w:val="20"/>
          <w:lang w:val="en-AU"/>
        </w:rPr>
        <w:t xml:space="preserve"> in the ARPANSA </w:t>
      </w:r>
      <w:r w:rsidR="005C32D5">
        <w:rPr>
          <w:rFonts w:ascii="Arial" w:hAnsi="Arial" w:cs="Arial"/>
          <w:sz w:val="20"/>
          <w:lang w:val="en-AU"/>
        </w:rPr>
        <w:t>standard.</w:t>
      </w:r>
    </w:p>
    <w:p w14:paraId="4AF8481A" w14:textId="77777777" w:rsidR="00861E86" w:rsidRDefault="00861E86" w:rsidP="009C41FC">
      <w:pPr>
        <w:spacing w:before="80" w:after="120" w:line="276" w:lineRule="auto"/>
        <w:rPr>
          <w:rFonts w:ascii="Arial" w:hAnsi="Arial" w:cs="Arial"/>
          <w:b/>
          <w:sz w:val="20"/>
          <w:lang w:val="en-AU"/>
        </w:rPr>
      </w:pPr>
      <w:r w:rsidRPr="00861E86">
        <w:rPr>
          <w:rFonts w:ascii="Arial" w:hAnsi="Arial" w:cs="Arial"/>
          <w:b/>
          <w:sz w:val="20"/>
          <w:lang w:val="en-AU"/>
        </w:rPr>
        <w:t>Section 5</w:t>
      </w:r>
      <w:r w:rsidRPr="00861E86">
        <w:rPr>
          <w:rFonts w:ascii="Arial" w:hAnsi="Arial" w:cs="Arial"/>
          <w:b/>
          <w:sz w:val="20"/>
          <w:lang w:val="en-AU"/>
        </w:rPr>
        <w:tab/>
        <w:t>Revocation</w:t>
      </w:r>
    </w:p>
    <w:p w14:paraId="31F2DE4B" w14:textId="77777777" w:rsidR="00861E86" w:rsidRDefault="00861E86" w:rsidP="009C41FC">
      <w:pPr>
        <w:spacing w:before="80" w:after="120" w:line="276" w:lineRule="auto"/>
        <w:rPr>
          <w:rFonts w:ascii="Arial" w:hAnsi="Arial" w:cs="Arial"/>
          <w:i/>
          <w:sz w:val="20"/>
          <w:lang w:val="en-AU"/>
        </w:rPr>
      </w:pPr>
      <w:r>
        <w:rPr>
          <w:rFonts w:ascii="Arial" w:hAnsi="Arial" w:cs="Arial"/>
          <w:sz w:val="20"/>
          <w:lang w:val="en-AU"/>
        </w:rPr>
        <w:t xml:space="preserve">Section 5 revokes the </w:t>
      </w:r>
      <w:proofErr w:type="spellStart"/>
      <w:r w:rsidRPr="00861E86">
        <w:rPr>
          <w:rFonts w:ascii="Arial" w:hAnsi="Arial" w:cs="Arial"/>
          <w:i/>
          <w:sz w:val="20"/>
          <w:lang w:val="en-AU"/>
        </w:rPr>
        <w:t>Radiocommunications</w:t>
      </w:r>
      <w:proofErr w:type="spellEnd"/>
      <w:r w:rsidRPr="00861E86">
        <w:rPr>
          <w:rFonts w:ascii="Arial" w:hAnsi="Arial" w:cs="Arial"/>
          <w:i/>
          <w:sz w:val="20"/>
          <w:lang w:val="en-AU"/>
        </w:rPr>
        <w:t xml:space="preserve"> Licence Conditions (Apparatus Licence) Determination 2003.</w:t>
      </w:r>
    </w:p>
    <w:p w14:paraId="4D46BCB6" w14:textId="77777777" w:rsidR="00861E86" w:rsidRDefault="00861E86" w:rsidP="009C41FC">
      <w:pPr>
        <w:spacing w:before="80" w:after="120" w:line="276" w:lineRule="auto"/>
        <w:rPr>
          <w:rFonts w:ascii="Arial" w:hAnsi="Arial" w:cs="Arial"/>
          <w:b/>
          <w:sz w:val="20"/>
          <w:lang w:val="en-AU"/>
        </w:rPr>
      </w:pPr>
      <w:r w:rsidRPr="00861E86">
        <w:rPr>
          <w:rFonts w:ascii="Arial" w:hAnsi="Arial" w:cs="Arial"/>
          <w:b/>
          <w:sz w:val="20"/>
          <w:lang w:val="en-AU"/>
        </w:rPr>
        <w:t xml:space="preserve">Part 2 </w:t>
      </w:r>
      <w:r w:rsidRPr="00861E86">
        <w:rPr>
          <w:rFonts w:ascii="Arial" w:hAnsi="Arial" w:cs="Arial"/>
          <w:b/>
          <w:sz w:val="20"/>
          <w:lang w:val="en-AU"/>
        </w:rPr>
        <w:tab/>
      </w:r>
      <w:r w:rsidRPr="00861E86">
        <w:rPr>
          <w:rFonts w:ascii="Arial" w:hAnsi="Arial" w:cs="Arial"/>
          <w:b/>
          <w:sz w:val="20"/>
          <w:lang w:val="en-AU"/>
        </w:rPr>
        <w:tab/>
        <w:t xml:space="preserve">Operation of transmitters – general conditions </w:t>
      </w:r>
    </w:p>
    <w:p w14:paraId="2DC26750" w14:textId="77777777" w:rsidR="00B37B9B" w:rsidRDefault="00B37B9B" w:rsidP="009C41FC">
      <w:pPr>
        <w:spacing w:before="80" w:after="120" w:line="276" w:lineRule="auto"/>
        <w:rPr>
          <w:rFonts w:ascii="Arial" w:hAnsi="Arial" w:cs="Arial"/>
          <w:b/>
          <w:sz w:val="20"/>
          <w:lang w:val="en-AU"/>
        </w:rPr>
      </w:pPr>
      <w:r>
        <w:rPr>
          <w:rFonts w:ascii="Arial" w:hAnsi="Arial" w:cs="Arial"/>
          <w:b/>
          <w:sz w:val="20"/>
          <w:lang w:val="en-AU"/>
        </w:rPr>
        <w:t>Section 6</w:t>
      </w:r>
      <w:r>
        <w:rPr>
          <w:rFonts w:ascii="Arial" w:hAnsi="Arial" w:cs="Arial"/>
          <w:b/>
          <w:sz w:val="20"/>
          <w:lang w:val="en-AU"/>
        </w:rPr>
        <w:tab/>
        <w:t xml:space="preserve">Conditions </w:t>
      </w:r>
    </w:p>
    <w:p w14:paraId="16022FB2" w14:textId="6D29DC7C" w:rsidR="00F813EB" w:rsidRDefault="00B37B9B" w:rsidP="009C41FC">
      <w:pPr>
        <w:spacing w:before="80" w:after="120" w:line="276" w:lineRule="auto"/>
        <w:rPr>
          <w:rFonts w:ascii="Arial" w:hAnsi="Arial" w:cs="Arial"/>
          <w:sz w:val="20"/>
          <w:lang w:val="en-AU"/>
        </w:rPr>
      </w:pPr>
      <w:r w:rsidRPr="00B37B9B">
        <w:rPr>
          <w:rFonts w:ascii="Arial" w:hAnsi="Arial" w:cs="Arial"/>
          <w:sz w:val="20"/>
          <w:lang w:val="en-AU"/>
        </w:rPr>
        <w:t>S</w:t>
      </w:r>
      <w:r w:rsidR="00F813EB">
        <w:rPr>
          <w:rFonts w:ascii="Arial" w:hAnsi="Arial" w:cs="Arial"/>
          <w:sz w:val="20"/>
          <w:lang w:val="en-AU"/>
        </w:rPr>
        <w:t>ubs</w:t>
      </w:r>
      <w:r w:rsidRPr="00B37B9B">
        <w:rPr>
          <w:rFonts w:ascii="Arial" w:hAnsi="Arial" w:cs="Arial"/>
          <w:sz w:val="20"/>
          <w:lang w:val="en-AU"/>
        </w:rPr>
        <w:t>ection 6</w:t>
      </w:r>
      <w:r w:rsidR="00F813EB">
        <w:rPr>
          <w:rFonts w:ascii="Arial" w:hAnsi="Arial" w:cs="Arial"/>
          <w:sz w:val="20"/>
          <w:lang w:val="en-AU"/>
        </w:rPr>
        <w:t>(1)</w:t>
      </w:r>
      <w:r w:rsidRPr="00B37B9B">
        <w:rPr>
          <w:rFonts w:ascii="Arial" w:hAnsi="Arial" w:cs="Arial"/>
          <w:sz w:val="20"/>
          <w:lang w:val="en-AU"/>
        </w:rPr>
        <w:t xml:space="preserve"> provides that all </w:t>
      </w:r>
      <w:r w:rsidR="00E6186D">
        <w:rPr>
          <w:rFonts w:ascii="Arial" w:hAnsi="Arial" w:cs="Arial"/>
          <w:sz w:val="20"/>
          <w:lang w:val="en-AU"/>
        </w:rPr>
        <w:t xml:space="preserve">transmitter </w:t>
      </w:r>
      <w:r w:rsidRPr="00B37B9B">
        <w:rPr>
          <w:rFonts w:ascii="Arial" w:hAnsi="Arial" w:cs="Arial"/>
          <w:sz w:val="20"/>
          <w:lang w:val="en-AU"/>
        </w:rPr>
        <w:t>licences issued under sections 100 or 100B of the Act are subject to the conditions in Parts 2 and 3 of the Determination</w:t>
      </w:r>
      <w:r w:rsidR="005351EE">
        <w:rPr>
          <w:rFonts w:ascii="Arial" w:hAnsi="Arial" w:cs="Arial"/>
          <w:sz w:val="20"/>
          <w:lang w:val="en-AU"/>
        </w:rPr>
        <w:t xml:space="preserve">. </w:t>
      </w:r>
    </w:p>
    <w:p w14:paraId="6CEC8C03" w14:textId="143E5596" w:rsidR="00B37B9B" w:rsidRDefault="00F813EB" w:rsidP="009C41FC">
      <w:pPr>
        <w:spacing w:before="80" w:after="120" w:line="276" w:lineRule="auto"/>
        <w:rPr>
          <w:rFonts w:ascii="Arial" w:hAnsi="Arial" w:cs="Arial"/>
          <w:sz w:val="20"/>
          <w:lang w:val="en-AU"/>
        </w:rPr>
      </w:pPr>
      <w:r>
        <w:rPr>
          <w:rFonts w:ascii="Arial" w:hAnsi="Arial" w:cs="Arial"/>
          <w:sz w:val="20"/>
          <w:lang w:val="en-AU"/>
        </w:rPr>
        <w:t xml:space="preserve">Subsection 6(2) </w:t>
      </w:r>
      <w:r w:rsidR="00E6186D">
        <w:rPr>
          <w:rFonts w:ascii="Arial" w:hAnsi="Arial" w:cs="Arial"/>
          <w:sz w:val="20"/>
          <w:lang w:val="en-AU"/>
        </w:rPr>
        <w:t xml:space="preserve">has the effect </w:t>
      </w:r>
      <w:r>
        <w:rPr>
          <w:rFonts w:ascii="Arial" w:hAnsi="Arial" w:cs="Arial"/>
          <w:sz w:val="20"/>
          <w:lang w:val="en-AU"/>
        </w:rPr>
        <w:t>that t</w:t>
      </w:r>
      <w:r w:rsidR="00B37B9B" w:rsidRPr="00B37B9B">
        <w:rPr>
          <w:rFonts w:ascii="Arial" w:hAnsi="Arial" w:cs="Arial"/>
          <w:sz w:val="20"/>
          <w:lang w:val="en-AU"/>
        </w:rPr>
        <w:t xml:space="preserve">ransmitters authorised under space licences or mobile stations </w:t>
      </w:r>
      <w:r w:rsidR="00132826">
        <w:rPr>
          <w:rFonts w:ascii="Arial" w:hAnsi="Arial" w:cs="Arial"/>
          <w:sz w:val="20"/>
          <w:lang w:val="en-AU"/>
        </w:rPr>
        <w:t>that comply with the</w:t>
      </w:r>
      <w:r w:rsidR="00B37B9B" w:rsidRPr="00B37B9B">
        <w:rPr>
          <w:rFonts w:ascii="Arial" w:hAnsi="Arial" w:cs="Arial"/>
          <w:sz w:val="20"/>
          <w:lang w:val="en-AU"/>
        </w:rPr>
        <w:t xml:space="preserve"> </w:t>
      </w:r>
      <w:proofErr w:type="spellStart"/>
      <w:r w:rsidR="00B37B9B" w:rsidRPr="00B37B9B">
        <w:rPr>
          <w:rFonts w:ascii="Arial" w:hAnsi="Arial" w:cs="Arial"/>
          <w:i/>
          <w:sz w:val="20"/>
          <w:lang w:val="en-AU"/>
        </w:rPr>
        <w:t>Radiocommunications</w:t>
      </w:r>
      <w:proofErr w:type="spellEnd"/>
      <w:r w:rsidR="00B37B9B" w:rsidRPr="00B37B9B">
        <w:rPr>
          <w:rFonts w:ascii="Arial" w:hAnsi="Arial" w:cs="Arial"/>
          <w:i/>
          <w:sz w:val="20"/>
          <w:lang w:val="en-AU"/>
        </w:rPr>
        <w:t xml:space="preserve"> (Electromagnetic Radiation – Human Exposure) Standard 2014</w:t>
      </w:r>
      <w:r w:rsidR="00B37B9B" w:rsidRPr="00B37B9B">
        <w:rPr>
          <w:rFonts w:ascii="Arial" w:hAnsi="Arial" w:cs="Arial"/>
          <w:sz w:val="20"/>
          <w:lang w:val="en-AU"/>
        </w:rPr>
        <w:t xml:space="preserve"> are exempt from the </w:t>
      </w:r>
      <w:r w:rsidR="00132826">
        <w:rPr>
          <w:rFonts w:ascii="Arial" w:hAnsi="Arial" w:cs="Arial"/>
          <w:sz w:val="20"/>
          <w:lang w:val="en-AU"/>
        </w:rPr>
        <w:t xml:space="preserve">requirements </w:t>
      </w:r>
      <w:r w:rsidR="008F53D6">
        <w:rPr>
          <w:rFonts w:ascii="Arial" w:hAnsi="Arial" w:cs="Arial"/>
          <w:sz w:val="20"/>
          <w:lang w:val="en-AU"/>
        </w:rPr>
        <w:t>set out in Part 3 of the Determination</w:t>
      </w:r>
      <w:r w:rsidR="00B37B9B" w:rsidRPr="00B37B9B">
        <w:rPr>
          <w:rFonts w:ascii="Arial" w:hAnsi="Arial" w:cs="Arial"/>
          <w:sz w:val="20"/>
          <w:lang w:val="en-AU"/>
        </w:rPr>
        <w:t>.</w:t>
      </w:r>
    </w:p>
    <w:p w14:paraId="49C452D0" w14:textId="77777777" w:rsidR="00B37B9B" w:rsidRDefault="00B37B9B" w:rsidP="009C41FC">
      <w:pPr>
        <w:spacing w:before="80" w:after="120" w:line="276" w:lineRule="auto"/>
        <w:rPr>
          <w:rFonts w:ascii="Arial" w:hAnsi="Arial" w:cs="Arial"/>
          <w:b/>
          <w:sz w:val="20"/>
          <w:lang w:val="en-AU"/>
        </w:rPr>
      </w:pPr>
      <w:r w:rsidRPr="00B37B9B">
        <w:rPr>
          <w:rFonts w:ascii="Arial" w:hAnsi="Arial" w:cs="Arial"/>
          <w:b/>
          <w:sz w:val="20"/>
          <w:lang w:val="en-AU"/>
        </w:rPr>
        <w:t xml:space="preserve">Section 7 </w:t>
      </w:r>
      <w:r w:rsidRPr="00B37B9B">
        <w:rPr>
          <w:rFonts w:ascii="Arial" w:hAnsi="Arial" w:cs="Arial"/>
          <w:b/>
          <w:sz w:val="20"/>
          <w:lang w:val="en-AU"/>
        </w:rPr>
        <w:tab/>
        <w:t>Permitted communications</w:t>
      </w:r>
    </w:p>
    <w:p w14:paraId="0BA9DBFE" w14:textId="64438EB2" w:rsidR="00B37B9B" w:rsidRDefault="00B37B9B" w:rsidP="009C41FC">
      <w:pPr>
        <w:spacing w:before="80" w:after="120" w:line="276" w:lineRule="auto"/>
        <w:rPr>
          <w:rFonts w:ascii="Arial" w:hAnsi="Arial" w:cs="Arial"/>
          <w:sz w:val="20"/>
          <w:lang w:val="en-AU"/>
        </w:rPr>
      </w:pPr>
      <w:r w:rsidRPr="00B37B9B">
        <w:rPr>
          <w:rFonts w:ascii="Arial" w:hAnsi="Arial" w:cs="Arial"/>
          <w:sz w:val="20"/>
          <w:lang w:val="en-AU"/>
        </w:rPr>
        <w:t xml:space="preserve">Section 7 </w:t>
      </w:r>
      <w:r w:rsidR="00A93C57">
        <w:rPr>
          <w:rFonts w:ascii="Arial" w:hAnsi="Arial" w:cs="Arial"/>
          <w:sz w:val="20"/>
          <w:lang w:val="en-AU"/>
        </w:rPr>
        <w:t>provides</w:t>
      </w:r>
      <w:r w:rsidR="00A93C57" w:rsidRPr="00B37B9B">
        <w:rPr>
          <w:rFonts w:ascii="Arial" w:hAnsi="Arial" w:cs="Arial"/>
          <w:sz w:val="20"/>
          <w:lang w:val="en-AU"/>
        </w:rPr>
        <w:t xml:space="preserve"> </w:t>
      </w:r>
      <w:r w:rsidRPr="00B37B9B">
        <w:rPr>
          <w:rFonts w:ascii="Arial" w:hAnsi="Arial" w:cs="Arial"/>
          <w:sz w:val="20"/>
          <w:lang w:val="en-AU"/>
        </w:rPr>
        <w:t xml:space="preserve">that a licensee </w:t>
      </w:r>
      <w:r w:rsidR="00F813EB">
        <w:rPr>
          <w:rFonts w:ascii="Arial" w:hAnsi="Arial" w:cs="Arial"/>
          <w:sz w:val="20"/>
          <w:lang w:val="en-AU"/>
        </w:rPr>
        <w:t xml:space="preserve">must </w:t>
      </w:r>
      <w:r w:rsidRPr="00B37B9B">
        <w:rPr>
          <w:rFonts w:ascii="Arial" w:hAnsi="Arial" w:cs="Arial"/>
          <w:sz w:val="20"/>
          <w:lang w:val="en-AU"/>
        </w:rPr>
        <w:t xml:space="preserve">operate a transmitter </w:t>
      </w:r>
      <w:r w:rsidR="00A93C57">
        <w:rPr>
          <w:rFonts w:ascii="Arial" w:hAnsi="Arial" w:cs="Arial"/>
          <w:sz w:val="20"/>
          <w:lang w:val="en-AU"/>
        </w:rPr>
        <w:t xml:space="preserve">only </w:t>
      </w:r>
      <w:r w:rsidRPr="00B37B9B">
        <w:rPr>
          <w:rFonts w:ascii="Arial" w:hAnsi="Arial" w:cs="Arial"/>
          <w:sz w:val="20"/>
          <w:lang w:val="en-AU"/>
        </w:rPr>
        <w:t>to communicate with stations</w:t>
      </w:r>
      <w:r w:rsidR="00BB15BC">
        <w:rPr>
          <w:rFonts w:ascii="Arial" w:hAnsi="Arial" w:cs="Arial"/>
          <w:sz w:val="20"/>
          <w:lang w:val="en-AU"/>
        </w:rPr>
        <w:t xml:space="preserve"> or receivers</w:t>
      </w:r>
      <w:r w:rsidRPr="00B37B9B">
        <w:rPr>
          <w:rFonts w:ascii="Arial" w:hAnsi="Arial" w:cs="Arial"/>
          <w:sz w:val="20"/>
          <w:lang w:val="en-AU"/>
        </w:rPr>
        <w:t xml:space="preserve"> in accordance with the </w:t>
      </w:r>
      <w:r w:rsidR="00CD2D8F">
        <w:rPr>
          <w:rFonts w:ascii="Arial" w:hAnsi="Arial" w:cs="Arial"/>
          <w:sz w:val="20"/>
          <w:lang w:val="en-AU"/>
        </w:rPr>
        <w:t xml:space="preserve">terms of the </w:t>
      </w:r>
      <w:r w:rsidRPr="00B37B9B">
        <w:rPr>
          <w:rFonts w:ascii="Arial" w:hAnsi="Arial" w:cs="Arial"/>
          <w:sz w:val="20"/>
          <w:lang w:val="en-AU"/>
        </w:rPr>
        <w:t>licence</w:t>
      </w:r>
      <w:r w:rsidR="00CD2D8F">
        <w:rPr>
          <w:rFonts w:ascii="Arial" w:hAnsi="Arial" w:cs="Arial"/>
          <w:sz w:val="20"/>
          <w:lang w:val="en-AU"/>
        </w:rPr>
        <w:t>,</w:t>
      </w:r>
      <w:r w:rsidR="00A93C57">
        <w:rPr>
          <w:rFonts w:ascii="Arial" w:hAnsi="Arial" w:cs="Arial"/>
          <w:sz w:val="20"/>
          <w:lang w:val="en-AU"/>
        </w:rPr>
        <w:t xml:space="preserve"> unless</w:t>
      </w:r>
      <w:r w:rsidR="005351EE">
        <w:rPr>
          <w:rFonts w:ascii="Arial" w:hAnsi="Arial" w:cs="Arial"/>
          <w:sz w:val="20"/>
          <w:lang w:val="en-AU"/>
        </w:rPr>
        <w:t xml:space="preserve"> </w:t>
      </w:r>
      <w:r>
        <w:rPr>
          <w:rFonts w:ascii="Arial" w:hAnsi="Arial" w:cs="Arial"/>
          <w:sz w:val="20"/>
          <w:lang w:val="en-AU"/>
        </w:rPr>
        <w:t>in an emergency</w:t>
      </w:r>
      <w:r w:rsidR="00A93C57">
        <w:rPr>
          <w:rFonts w:ascii="Arial" w:hAnsi="Arial" w:cs="Arial"/>
          <w:sz w:val="20"/>
          <w:lang w:val="en-AU"/>
        </w:rPr>
        <w:t xml:space="preserve"> situation</w:t>
      </w:r>
      <w:r>
        <w:rPr>
          <w:rFonts w:ascii="Arial" w:hAnsi="Arial" w:cs="Arial"/>
          <w:sz w:val="20"/>
          <w:lang w:val="en-AU"/>
        </w:rPr>
        <w:t xml:space="preserve"> or if</w:t>
      </w:r>
      <w:r w:rsidR="00DA74A0">
        <w:rPr>
          <w:rFonts w:ascii="Arial" w:hAnsi="Arial" w:cs="Arial"/>
          <w:sz w:val="20"/>
          <w:lang w:val="en-AU"/>
        </w:rPr>
        <w:t xml:space="preserve"> </w:t>
      </w:r>
      <w:r w:rsidR="00F75E2F">
        <w:rPr>
          <w:rFonts w:ascii="Arial" w:hAnsi="Arial" w:cs="Arial"/>
          <w:sz w:val="20"/>
          <w:lang w:val="en-AU"/>
        </w:rPr>
        <w:t xml:space="preserve">the licensee is </w:t>
      </w:r>
      <w:r w:rsidR="00CD2D8F">
        <w:rPr>
          <w:rFonts w:ascii="Arial" w:hAnsi="Arial" w:cs="Arial"/>
          <w:sz w:val="20"/>
          <w:lang w:val="en-AU"/>
        </w:rPr>
        <w:t>authorised</w:t>
      </w:r>
      <w:r>
        <w:rPr>
          <w:rFonts w:ascii="Arial" w:hAnsi="Arial" w:cs="Arial"/>
          <w:sz w:val="20"/>
          <w:lang w:val="en-AU"/>
        </w:rPr>
        <w:t xml:space="preserve"> </w:t>
      </w:r>
      <w:r w:rsidR="00BB5CDB">
        <w:rPr>
          <w:rFonts w:ascii="Arial" w:hAnsi="Arial" w:cs="Arial"/>
          <w:sz w:val="20"/>
          <w:lang w:val="en-AU"/>
        </w:rPr>
        <w:t xml:space="preserve">to communicate with other stations or receivers </w:t>
      </w:r>
      <w:r>
        <w:rPr>
          <w:rFonts w:ascii="Arial" w:hAnsi="Arial" w:cs="Arial"/>
          <w:sz w:val="20"/>
          <w:lang w:val="en-AU"/>
        </w:rPr>
        <w:t>in</w:t>
      </w:r>
      <w:r w:rsidR="00BB15BC">
        <w:rPr>
          <w:rFonts w:ascii="Arial" w:hAnsi="Arial" w:cs="Arial"/>
          <w:sz w:val="20"/>
          <w:lang w:val="en-AU"/>
        </w:rPr>
        <w:t xml:space="preserve"> relation</w:t>
      </w:r>
      <w:r>
        <w:rPr>
          <w:rFonts w:ascii="Arial" w:hAnsi="Arial" w:cs="Arial"/>
          <w:sz w:val="20"/>
          <w:lang w:val="en-AU"/>
        </w:rPr>
        <w:t xml:space="preserve"> to</w:t>
      </w:r>
      <w:r w:rsidR="00BB15BC">
        <w:rPr>
          <w:rFonts w:ascii="Arial" w:hAnsi="Arial" w:cs="Arial"/>
          <w:sz w:val="20"/>
          <w:lang w:val="en-AU"/>
        </w:rPr>
        <w:t xml:space="preserve"> the</w:t>
      </w:r>
      <w:r>
        <w:rPr>
          <w:rFonts w:ascii="Arial" w:hAnsi="Arial" w:cs="Arial"/>
          <w:sz w:val="20"/>
          <w:lang w:val="en-AU"/>
        </w:rPr>
        <w:t xml:space="preserve"> investigat</w:t>
      </w:r>
      <w:r w:rsidR="00BB15BC">
        <w:rPr>
          <w:rFonts w:ascii="Arial" w:hAnsi="Arial" w:cs="Arial"/>
          <w:sz w:val="20"/>
          <w:lang w:val="en-AU"/>
        </w:rPr>
        <w:t>ion</w:t>
      </w:r>
      <w:r>
        <w:rPr>
          <w:rFonts w:ascii="Arial" w:hAnsi="Arial" w:cs="Arial"/>
          <w:sz w:val="20"/>
          <w:lang w:val="en-AU"/>
        </w:rPr>
        <w:t xml:space="preserve"> </w:t>
      </w:r>
      <w:r w:rsidR="00BB15BC">
        <w:rPr>
          <w:rFonts w:ascii="Arial" w:hAnsi="Arial" w:cs="Arial"/>
          <w:sz w:val="20"/>
          <w:lang w:val="en-AU"/>
        </w:rPr>
        <w:t xml:space="preserve">of </w:t>
      </w:r>
      <w:r>
        <w:rPr>
          <w:rFonts w:ascii="Arial" w:hAnsi="Arial" w:cs="Arial"/>
          <w:sz w:val="20"/>
          <w:lang w:val="en-AU"/>
        </w:rPr>
        <w:t>interference.</w:t>
      </w:r>
    </w:p>
    <w:p w14:paraId="442D3EAD" w14:textId="77777777" w:rsidR="00A75EAA" w:rsidRDefault="00A75EAA" w:rsidP="009C41FC">
      <w:pPr>
        <w:spacing w:before="80" w:after="120" w:line="276" w:lineRule="auto"/>
        <w:rPr>
          <w:rFonts w:ascii="Arial" w:hAnsi="Arial" w:cs="Arial"/>
          <w:b/>
          <w:sz w:val="20"/>
          <w:lang w:val="en-AU"/>
        </w:rPr>
      </w:pPr>
    </w:p>
    <w:p w14:paraId="16CA4CD7" w14:textId="77777777" w:rsidR="00A75EAA" w:rsidRDefault="00A75EAA" w:rsidP="009C41FC">
      <w:pPr>
        <w:spacing w:before="80" w:after="120" w:line="276" w:lineRule="auto"/>
        <w:rPr>
          <w:rFonts w:ascii="Arial" w:hAnsi="Arial" w:cs="Arial"/>
          <w:b/>
          <w:sz w:val="20"/>
          <w:lang w:val="en-AU"/>
        </w:rPr>
      </w:pPr>
    </w:p>
    <w:p w14:paraId="7FFE83A3" w14:textId="77777777" w:rsidR="00B37B9B" w:rsidRDefault="00B37B9B" w:rsidP="009C41FC">
      <w:pPr>
        <w:spacing w:before="80" w:after="120" w:line="276" w:lineRule="auto"/>
        <w:rPr>
          <w:rFonts w:ascii="Arial" w:hAnsi="Arial" w:cs="Arial"/>
          <w:b/>
          <w:sz w:val="20"/>
          <w:lang w:val="en-AU"/>
        </w:rPr>
      </w:pPr>
      <w:r w:rsidRPr="00B37B9B">
        <w:rPr>
          <w:rFonts w:ascii="Arial" w:hAnsi="Arial" w:cs="Arial"/>
          <w:b/>
          <w:sz w:val="20"/>
          <w:lang w:val="en-AU"/>
        </w:rPr>
        <w:lastRenderedPageBreak/>
        <w:t xml:space="preserve">Part 3 </w:t>
      </w:r>
      <w:r w:rsidRPr="00B37B9B">
        <w:rPr>
          <w:rFonts w:ascii="Arial" w:hAnsi="Arial" w:cs="Arial"/>
          <w:b/>
          <w:sz w:val="20"/>
          <w:lang w:val="en-AU"/>
        </w:rPr>
        <w:tab/>
      </w:r>
      <w:r w:rsidRPr="00B37B9B">
        <w:rPr>
          <w:rFonts w:ascii="Arial" w:hAnsi="Arial" w:cs="Arial"/>
          <w:b/>
          <w:sz w:val="20"/>
          <w:lang w:val="en-AU"/>
        </w:rPr>
        <w:tab/>
        <w:t>Operation of transmitters – electromagnetic radiation requirements</w:t>
      </w:r>
    </w:p>
    <w:p w14:paraId="620D1340" w14:textId="77777777" w:rsidR="00B37B9B" w:rsidRDefault="00B37B9B" w:rsidP="009C41FC">
      <w:pPr>
        <w:spacing w:before="80" w:after="120" w:line="276" w:lineRule="auto"/>
        <w:rPr>
          <w:rFonts w:ascii="Arial" w:hAnsi="Arial" w:cs="Arial"/>
          <w:b/>
          <w:sz w:val="20"/>
          <w:lang w:val="en-AU"/>
        </w:rPr>
      </w:pPr>
      <w:r>
        <w:rPr>
          <w:rFonts w:ascii="Arial" w:hAnsi="Arial" w:cs="Arial"/>
          <w:b/>
          <w:sz w:val="20"/>
          <w:lang w:val="en-AU"/>
        </w:rPr>
        <w:t xml:space="preserve">Section 8 </w:t>
      </w:r>
      <w:r>
        <w:rPr>
          <w:rFonts w:ascii="Arial" w:hAnsi="Arial" w:cs="Arial"/>
          <w:b/>
          <w:sz w:val="20"/>
          <w:lang w:val="en-AU"/>
        </w:rPr>
        <w:tab/>
        <w:t>Power flux density and field strengths</w:t>
      </w:r>
    </w:p>
    <w:p w14:paraId="2AA87503" w14:textId="268514CC" w:rsidR="002E2799" w:rsidRDefault="00B37B9B" w:rsidP="009C41FC">
      <w:pPr>
        <w:spacing w:before="80" w:after="120" w:line="276" w:lineRule="auto"/>
        <w:rPr>
          <w:rFonts w:ascii="Arial" w:hAnsi="Arial" w:cs="Arial"/>
          <w:sz w:val="20"/>
          <w:lang w:val="en-AU"/>
        </w:rPr>
      </w:pPr>
      <w:r w:rsidRPr="00B37B9B">
        <w:rPr>
          <w:rFonts w:ascii="Arial" w:hAnsi="Arial" w:cs="Arial"/>
          <w:sz w:val="20"/>
          <w:lang w:val="en-AU"/>
        </w:rPr>
        <w:t>S</w:t>
      </w:r>
      <w:r w:rsidR="002E2799">
        <w:rPr>
          <w:rFonts w:ascii="Arial" w:hAnsi="Arial" w:cs="Arial"/>
          <w:sz w:val="20"/>
          <w:lang w:val="en-AU"/>
        </w:rPr>
        <w:t>ubs</w:t>
      </w:r>
      <w:r w:rsidRPr="00B37B9B">
        <w:rPr>
          <w:rFonts w:ascii="Arial" w:hAnsi="Arial" w:cs="Arial"/>
          <w:sz w:val="20"/>
          <w:lang w:val="en-AU"/>
        </w:rPr>
        <w:t>ection 8</w:t>
      </w:r>
      <w:r w:rsidR="002E2799">
        <w:rPr>
          <w:rFonts w:ascii="Arial" w:hAnsi="Arial" w:cs="Arial"/>
          <w:sz w:val="20"/>
          <w:lang w:val="en-AU"/>
        </w:rPr>
        <w:t>(1)</w:t>
      </w:r>
      <w:r w:rsidRPr="00B37B9B">
        <w:rPr>
          <w:rFonts w:ascii="Arial" w:hAnsi="Arial" w:cs="Arial"/>
          <w:sz w:val="20"/>
          <w:lang w:val="en-AU"/>
        </w:rPr>
        <w:t xml:space="preserve"> provides that </w:t>
      </w:r>
      <w:r w:rsidR="008F53D6">
        <w:rPr>
          <w:rFonts w:ascii="Arial" w:hAnsi="Arial" w:cs="Arial"/>
          <w:sz w:val="20"/>
          <w:lang w:val="en-AU"/>
        </w:rPr>
        <w:t xml:space="preserve">the </w:t>
      </w:r>
      <w:r w:rsidR="0041357C">
        <w:rPr>
          <w:rFonts w:ascii="Arial" w:hAnsi="Arial" w:cs="Arial"/>
          <w:sz w:val="20"/>
          <w:lang w:val="en-AU"/>
        </w:rPr>
        <w:t>RF field</w:t>
      </w:r>
      <w:r w:rsidR="0041357C" w:rsidRPr="00B37B9B">
        <w:rPr>
          <w:rFonts w:ascii="Arial" w:hAnsi="Arial" w:cs="Arial"/>
          <w:sz w:val="20"/>
          <w:lang w:val="en-AU"/>
        </w:rPr>
        <w:t xml:space="preserve"> </w:t>
      </w:r>
      <w:r w:rsidRPr="00B37B9B">
        <w:rPr>
          <w:rFonts w:ascii="Arial" w:hAnsi="Arial" w:cs="Arial"/>
          <w:sz w:val="20"/>
          <w:lang w:val="en-AU"/>
        </w:rPr>
        <w:t xml:space="preserve">produced by a transmitter operated under a licence must not exceed the </w:t>
      </w:r>
      <w:r w:rsidR="001F6ACD">
        <w:rPr>
          <w:rFonts w:ascii="Arial" w:hAnsi="Arial" w:cs="Arial"/>
          <w:sz w:val="20"/>
          <w:lang w:val="en-AU"/>
        </w:rPr>
        <w:t xml:space="preserve">reference levels for </w:t>
      </w:r>
      <w:r w:rsidRPr="00B37B9B">
        <w:rPr>
          <w:rFonts w:ascii="Arial" w:hAnsi="Arial" w:cs="Arial"/>
          <w:sz w:val="20"/>
          <w:lang w:val="en-AU"/>
        </w:rPr>
        <w:t xml:space="preserve">general public </w:t>
      </w:r>
      <w:r w:rsidR="001F6ACD">
        <w:rPr>
          <w:rFonts w:ascii="Arial" w:hAnsi="Arial" w:cs="Arial"/>
          <w:sz w:val="20"/>
          <w:lang w:val="en-AU"/>
        </w:rPr>
        <w:t>exposure</w:t>
      </w:r>
      <w:r w:rsidRPr="00B37B9B">
        <w:rPr>
          <w:rFonts w:ascii="Arial" w:hAnsi="Arial" w:cs="Arial"/>
          <w:sz w:val="20"/>
          <w:lang w:val="en-AU"/>
        </w:rPr>
        <w:t xml:space="preserve"> at places accessible to members of the general public. </w:t>
      </w:r>
    </w:p>
    <w:p w14:paraId="1B9DCA1C" w14:textId="54E63CC9" w:rsidR="00B37B9B" w:rsidRDefault="002E2799" w:rsidP="009C41FC">
      <w:pPr>
        <w:spacing w:before="80" w:after="120" w:line="276" w:lineRule="auto"/>
        <w:rPr>
          <w:rFonts w:ascii="Arial" w:hAnsi="Arial" w:cs="Arial"/>
          <w:sz w:val="20"/>
          <w:lang w:val="en-AU"/>
        </w:rPr>
      </w:pPr>
      <w:r>
        <w:rPr>
          <w:rFonts w:ascii="Arial" w:hAnsi="Arial" w:cs="Arial"/>
          <w:sz w:val="20"/>
          <w:lang w:val="en-AU"/>
        </w:rPr>
        <w:t>Subsection</w:t>
      </w:r>
      <w:r w:rsidR="00F22BD5">
        <w:rPr>
          <w:rFonts w:ascii="Arial" w:hAnsi="Arial" w:cs="Arial"/>
          <w:sz w:val="20"/>
          <w:lang w:val="en-AU"/>
        </w:rPr>
        <w:t>s</w:t>
      </w:r>
      <w:r>
        <w:rPr>
          <w:rFonts w:ascii="Arial" w:hAnsi="Arial" w:cs="Arial"/>
          <w:sz w:val="20"/>
          <w:lang w:val="en-AU"/>
        </w:rPr>
        <w:t xml:space="preserve"> 8(2)</w:t>
      </w:r>
      <w:r w:rsidR="00F22BD5">
        <w:rPr>
          <w:rFonts w:ascii="Arial" w:hAnsi="Arial" w:cs="Arial"/>
          <w:sz w:val="20"/>
          <w:lang w:val="en-AU"/>
        </w:rPr>
        <w:t xml:space="preserve"> and 8(3)</w:t>
      </w:r>
      <w:r>
        <w:rPr>
          <w:rFonts w:ascii="Arial" w:hAnsi="Arial" w:cs="Arial"/>
          <w:sz w:val="20"/>
          <w:lang w:val="en-AU"/>
        </w:rPr>
        <w:t xml:space="preserve"> </w:t>
      </w:r>
      <w:r w:rsidR="00F22BD5">
        <w:rPr>
          <w:rFonts w:ascii="Arial" w:hAnsi="Arial" w:cs="Arial"/>
          <w:sz w:val="20"/>
          <w:lang w:val="en-AU"/>
        </w:rPr>
        <w:t>set out</w:t>
      </w:r>
      <w:r w:rsidR="00B37B9B" w:rsidRPr="00B37B9B">
        <w:rPr>
          <w:rFonts w:ascii="Arial" w:hAnsi="Arial" w:cs="Arial"/>
          <w:sz w:val="20"/>
          <w:lang w:val="en-AU"/>
        </w:rPr>
        <w:t xml:space="preserve"> criteria for the assessment of a transmitter that operates on a frequency of more than 10 MHz or simultaneously transmit</w:t>
      </w:r>
      <w:r w:rsidR="00672538">
        <w:rPr>
          <w:rFonts w:ascii="Arial" w:hAnsi="Arial" w:cs="Arial"/>
          <w:sz w:val="20"/>
          <w:lang w:val="en-AU"/>
        </w:rPr>
        <w:t>s</w:t>
      </w:r>
      <w:r w:rsidR="00B37B9B" w:rsidRPr="00B37B9B">
        <w:rPr>
          <w:rFonts w:ascii="Arial" w:hAnsi="Arial" w:cs="Arial"/>
          <w:sz w:val="20"/>
          <w:lang w:val="en-AU"/>
        </w:rPr>
        <w:t xml:space="preserve"> on multiple frequencies.</w:t>
      </w:r>
    </w:p>
    <w:p w14:paraId="584EDA51" w14:textId="77777777" w:rsidR="00B37B9B" w:rsidRPr="00B37B9B" w:rsidRDefault="00B37B9B" w:rsidP="009C41FC">
      <w:pPr>
        <w:spacing w:before="80" w:after="120" w:line="276" w:lineRule="auto"/>
        <w:rPr>
          <w:rFonts w:ascii="Arial" w:hAnsi="Arial" w:cs="Arial"/>
          <w:b/>
          <w:sz w:val="20"/>
          <w:lang w:val="en-AU"/>
        </w:rPr>
      </w:pPr>
      <w:r w:rsidRPr="00B37B9B">
        <w:rPr>
          <w:rFonts w:ascii="Arial" w:hAnsi="Arial" w:cs="Arial"/>
          <w:b/>
          <w:sz w:val="20"/>
          <w:lang w:val="en-AU"/>
        </w:rPr>
        <w:t xml:space="preserve">Section 9 </w:t>
      </w:r>
      <w:r w:rsidRPr="00B37B9B">
        <w:rPr>
          <w:rFonts w:ascii="Arial" w:hAnsi="Arial" w:cs="Arial"/>
          <w:b/>
          <w:sz w:val="20"/>
          <w:lang w:val="en-AU"/>
        </w:rPr>
        <w:tab/>
        <w:t>Level 1 criteria</w:t>
      </w:r>
    </w:p>
    <w:p w14:paraId="641A36E8" w14:textId="5F5E3F8F" w:rsidR="009C41FC" w:rsidRDefault="00B37B9B" w:rsidP="009C41FC">
      <w:pPr>
        <w:spacing w:before="80" w:after="120" w:line="276" w:lineRule="auto"/>
        <w:rPr>
          <w:rFonts w:ascii="Arial" w:hAnsi="Arial" w:cs="Arial"/>
          <w:sz w:val="20"/>
          <w:lang w:val="en-AU"/>
        </w:rPr>
      </w:pPr>
      <w:r w:rsidRPr="006313EF">
        <w:rPr>
          <w:rFonts w:ascii="Arial" w:hAnsi="Arial" w:cs="Arial"/>
          <w:sz w:val="20"/>
          <w:lang w:val="en-AU"/>
        </w:rPr>
        <w:t>S</w:t>
      </w:r>
      <w:r w:rsidR="00F75005">
        <w:rPr>
          <w:rFonts w:ascii="Arial" w:hAnsi="Arial" w:cs="Arial"/>
          <w:sz w:val="20"/>
          <w:lang w:val="en-AU"/>
        </w:rPr>
        <w:t>ubs</w:t>
      </w:r>
      <w:r w:rsidRPr="006313EF">
        <w:rPr>
          <w:rFonts w:ascii="Arial" w:hAnsi="Arial" w:cs="Arial"/>
          <w:sz w:val="20"/>
          <w:lang w:val="en-AU"/>
        </w:rPr>
        <w:t>ection</w:t>
      </w:r>
      <w:r w:rsidR="00F75005">
        <w:rPr>
          <w:rFonts w:ascii="Arial" w:hAnsi="Arial" w:cs="Arial"/>
          <w:sz w:val="20"/>
          <w:lang w:val="en-AU"/>
        </w:rPr>
        <w:t>s</w:t>
      </w:r>
      <w:r w:rsidRPr="006313EF">
        <w:rPr>
          <w:rFonts w:ascii="Arial" w:hAnsi="Arial" w:cs="Arial"/>
          <w:sz w:val="20"/>
          <w:lang w:val="en-AU"/>
        </w:rPr>
        <w:t xml:space="preserve"> 9</w:t>
      </w:r>
      <w:r w:rsidR="00F75005">
        <w:rPr>
          <w:rFonts w:ascii="Arial" w:hAnsi="Arial" w:cs="Arial"/>
          <w:sz w:val="20"/>
          <w:lang w:val="en-AU"/>
        </w:rPr>
        <w:t>(1) and 9(2)</w:t>
      </w:r>
      <w:r w:rsidRPr="006313EF">
        <w:rPr>
          <w:rFonts w:ascii="Arial" w:hAnsi="Arial" w:cs="Arial"/>
          <w:sz w:val="20"/>
          <w:lang w:val="en-AU"/>
        </w:rPr>
        <w:t xml:space="preserve"> spec</w:t>
      </w:r>
      <w:r w:rsidR="006313EF">
        <w:rPr>
          <w:rFonts w:ascii="Arial" w:hAnsi="Arial" w:cs="Arial"/>
          <w:sz w:val="20"/>
          <w:lang w:val="en-AU"/>
        </w:rPr>
        <w:t>i</w:t>
      </w:r>
      <w:r w:rsidRPr="006313EF">
        <w:rPr>
          <w:rFonts w:ascii="Arial" w:hAnsi="Arial" w:cs="Arial"/>
          <w:sz w:val="20"/>
          <w:lang w:val="en-AU"/>
        </w:rPr>
        <w:t>f</w:t>
      </w:r>
      <w:r w:rsidR="00F75005">
        <w:rPr>
          <w:rFonts w:ascii="Arial" w:hAnsi="Arial" w:cs="Arial"/>
          <w:sz w:val="20"/>
          <w:lang w:val="en-AU"/>
        </w:rPr>
        <w:t>y</w:t>
      </w:r>
      <w:r w:rsidRPr="006313EF">
        <w:rPr>
          <w:rFonts w:ascii="Arial" w:hAnsi="Arial" w:cs="Arial"/>
          <w:sz w:val="20"/>
          <w:lang w:val="en-AU"/>
        </w:rPr>
        <w:t xml:space="preserve"> the char</w:t>
      </w:r>
      <w:r w:rsidR="006313EF" w:rsidRPr="006313EF">
        <w:rPr>
          <w:rFonts w:ascii="Arial" w:hAnsi="Arial" w:cs="Arial"/>
          <w:sz w:val="20"/>
          <w:lang w:val="en-AU"/>
        </w:rPr>
        <w:t>ac</w:t>
      </w:r>
      <w:r w:rsidRPr="006313EF">
        <w:rPr>
          <w:rFonts w:ascii="Arial" w:hAnsi="Arial" w:cs="Arial"/>
          <w:sz w:val="20"/>
          <w:lang w:val="en-AU"/>
        </w:rPr>
        <w:t>teristics of transmitters that must comply with section 8</w:t>
      </w:r>
      <w:r w:rsidR="00311070">
        <w:rPr>
          <w:rFonts w:ascii="Arial" w:hAnsi="Arial" w:cs="Arial"/>
          <w:sz w:val="20"/>
          <w:lang w:val="en-AU"/>
        </w:rPr>
        <w:t>,</w:t>
      </w:r>
      <w:r w:rsidRPr="006313EF">
        <w:rPr>
          <w:rFonts w:ascii="Arial" w:hAnsi="Arial" w:cs="Arial"/>
          <w:sz w:val="20"/>
          <w:lang w:val="en-AU"/>
        </w:rPr>
        <w:t xml:space="preserve"> but for which licen</w:t>
      </w:r>
      <w:r w:rsidR="002D4667">
        <w:rPr>
          <w:rFonts w:ascii="Arial" w:hAnsi="Arial" w:cs="Arial"/>
          <w:sz w:val="20"/>
          <w:lang w:val="en-AU"/>
        </w:rPr>
        <w:t>s</w:t>
      </w:r>
      <w:r w:rsidR="006313EF">
        <w:rPr>
          <w:rFonts w:ascii="Arial" w:hAnsi="Arial" w:cs="Arial"/>
          <w:sz w:val="20"/>
          <w:lang w:val="en-AU"/>
        </w:rPr>
        <w:t>e</w:t>
      </w:r>
      <w:r w:rsidRPr="006313EF">
        <w:rPr>
          <w:rFonts w:ascii="Arial" w:hAnsi="Arial" w:cs="Arial"/>
          <w:sz w:val="20"/>
          <w:lang w:val="en-AU"/>
        </w:rPr>
        <w:t xml:space="preserve">es </w:t>
      </w:r>
      <w:r w:rsidR="00A50CBD">
        <w:rPr>
          <w:rFonts w:ascii="Arial" w:hAnsi="Arial" w:cs="Arial"/>
          <w:sz w:val="20"/>
          <w:lang w:val="en-AU"/>
        </w:rPr>
        <w:t>are not required to</w:t>
      </w:r>
      <w:r w:rsidRPr="006313EF">
        <w:rPr>
          <w:rFonts w:ascii="Arial" w:hAnsi="Arial" w:cs="Arial"/>
          <w:sz w:val="20"/>
          <w:lang w:val="en-AU"/>
        </w:rPr>
        <w:t xml:space="preserve"> demonstrate </w:t>
      </w:r>
      <w:r w:rsidR="006313EF">
        <w:rPr>
          <w:rFonts w:ascii="Arial" w:hAnsi="Arial" w:cs="Arial"/>
          <w:sz w:val="20"/>
          <w:lang w:val="en-AU"/>
        </w:rPr>
        <w:t xml:space="preserve">compliance </w:t>
      </w:r>
      <w:r w:rsidR="006313EF" w:rsidRPr="006313EF">
        <w:rPr>
          <w:rFonts w:ascii="Arial" w:hAnsi="Arial" w:cs="Arial"/>
          <w:sz w:val="20"/>
          <w:lang w:val="en-AU"/>
        </w:rPr>
        <w:t>unless requested by the ACMA under subsection 9(3).</w:t>
      </w:r>
    </w:p>
    <w:p w14:paraId="5CB9482F" w14:textId="77777777" w:rsidR="0046418A" w:rsidRDefault="0046418A" w:rsidP="009C41FC">
      <w:pPr>
        <w:spacing w:before="80" w:after="120" w:line="276" w:lineRule="auto"/>
        <w:rPr>
          <w:rFonts w:ascii="Arial" w:hAnsi="Arial" w:cs="Arial"/>
          <w:sz w:val="20"/>
          <w:lang w:val="en-AU"/>
        </w:rPr>
      </w:pPr>
      <w:r>
        <w:rPr>
          <w:rFonts w:ascii="Arial" w:hAnsi="Arial" w:cs="Arial"/>
          <w:sz w:val="20"/>
          <w:lang w:val="en-AU"/>
        </w:rPr>
        <w:t>The characteristics are:</w:t>
      </w:r>
    </w:p>
    <w:p w14:paraId="4B130E1D" w14:textId="77777777" w:rsidR="0046418A" w:rsidRDefault="0046418A" w:rsidP="0046418A">
      <w:pPr>
        <w:pStyle w:val="ListParagraph"/>
        <w:numPr>
          <w:ilvl w:val="0"/>
          <w:numId w:val="21"/>
        </w:numPr>
        <w:spacing w:before="80" w:after="120" w:line="276" w:lineRule="auto"/>
        <w:rPr>
          <w:rFonts w:ascii="Arial" w:hAnsi="Arial" w:cs="Arial"/>
          <w:sz w:val="20"/>
          <w:lang w:val="en-AU"/>
        </w:rPr>
      </w:pPr>
      <w:r>
        <w:rPr>
          <w:rFonts w:ascii="Arial" w:hAnsi="Arial" w:cs="Arial"/>
          <w:sz w:val="20"/>
          <w:lang w:val="en-AU"/>
        </w:rPr>
        <w:t>the average total power supplied by the transmitter to all antennas fed by the transmitter is not more than 100 watts and each antenna fed by the transmitter is installed so that it is inaccessible to a member of the general public; or</w:t>
      </w:r>
    </w:p>
    <w:p w14:paraId="35113C9D" w14:textId="77777777" w:rsidR="0046418A" w:rsidRDefault="0046418A" w:rsidP="0046418A">
      <w:pPr>
        <w:pStyle w:val="ListParagraph"/>
        <w:numPr>
          <w:ilvl w:val="0"/>
          <w:numId w:val="21"/>
        </w:numPr>
        <w:spacing w:before="80" w:after="120" w:line="276" w:lineRule="auto"/>
        <w:rPr>
          <w:rFonts w:ascii="Arial" w:hAnsi="Arial" w:cs="Arial"/>
          <w:sz w:val="20"/>
          <w:lang w:val="en-AU"/>
        </w:rPr>
      </w:pPr>
      <w:r>
        <w:rPr>
          <w:rFonts w:ascii="Arial" w:hAnsi="Arial" w:cs="Arial"/>
          <w:sz w:val="20"/>
          <w:lang w:val="en-AU"/>
        </w:rPr>
        <w:t>the bottom of the lowest antenna fed by the transmitter is at least 10 meters from ground level and the average to</w:t>
      </w:r>
      <w:r w:rsidR="008F53D6">
        <w:rPr>
          <w:rFonts w:ascii="Arial" w:hAnsi="Arial" w:cs="Arial"/>
          <w:sz w:val="20"/>
          <w:lang w:val="en-AU"/>
        </w:rPr>
        <w:t>t</w:t>
      </w:r>
      <w:r>
        <w:rPr>
          <w:rFonts w:ascii="Arial" w:hAnsi="Arial" w:cs="Arial"/>
          <w:sz w:val="20"/>
          <w:lang w:val="en-AU"/>
        </w:rPr>
        <w:t xml:space="preserve">al equivalent </w:t>
      </w:r>
      <w:proofErr w:type="spellStart"/>
      <w:r>
        <w:rPr>
          <w:rFonts w:ascii="Arial" w:hAnsi="Arial" w:cs="Arial"/>
          <w:sz w:val="20"/>
          <w:lang w:val="en-AU"/>
        </w:rPr>
        <w:t>isotropically</w:t>
      </w:r>
      <w:proofErr w:type="spellEnd"/>
      <w:r>
        <w:rPr>
          <w:rFonts w:ascii="Arial" w:hAnsi="Arial" w:cs="Arial"/>
          <w:sz w:val="20"/>
          <w:lang w:val="en-AU"/>
        </w:rPr>
        <w:t xml:space="preserve"> radiated power of all antenna</w:t>
      </w:r>
      <w:r w:rsidR="00311070">
        <w:rPr>
          <w:rFonts w:ascii="Arial" w:hAnsi="Arial" w:cs="Arial"/>
          <w:sz w:val="20"/>
          <w:lang w:val="en-AU"/>
        </w:rPr>
        <w:t>s</w:t>
      </w:r>
      <w:r>
        <w:rPr>
          <w:rFonts w:ascii="Arial" w:hAnsi="Arial" w:cs="Arial"/>
          <w:sz w:val="20"/>
          <w:lang w:val="en-AU"/>
        </w:rPr>
        <w:t xml:space="preserve"> fed by the transmitter is not more than 3200 watts in any direction; or</w:t>
      </w:r>
    </w:p>
    <w:p w14:paraId="714F10D9" w14:textId="77777777" w:rsidR="0046418A" w:rsidRDefault="0046418A" w:rsidP="0046418A">
      <w:pPr>
        <w:pStyle w:val="ListParagraph"/>
        <w:numPr>
          <w:ilvl w:val="0"/>
          <w:numId w:val="21"/>
        </w:numPr>
        <w:spacing w:before="80" w:after="120" w:line="276" w:lineRule="auto"/>
        <w:rPr>
          <w:rFonts w:ascii="Arial" w:hAnsi="Arial" w:cs="Arial"/>
          <w:sz w:val="20"/>
          <w:lang w:val="en-AU"/>
        </w:rPr>
      </w:pPr>
      <w:r>
        <w:rPr>
          <w:rFonts w:ascii="Arial" w:hAnsi="Arial" w:cs="Arial"/>
          <w:sz w:val="20"/>
          <w:lang w:val="en-AU"/>
        </w:rPr>
        <w:t>the transmitter is a point-to-point link operating at more tha</w:t>
      </w:r>
      <w:r w:rsidR="008F53D6">
        <w:rPr>
          <w:rFonts w:ascii="Arial" w:hAnsi="Arial" w:cs="Arial"/>
          <w:sz w:val="20"/>
          <w:lang w:val="en-AU"/>
        </w:rPr>
        <w:t>n</w:t>
      </w:r>
      <w:r>
        <w:rPr>
          <w:rFonts w:ascii="Arial" w:hAnsi="Arial" w:cs="Arial"/>
          <w:sz w:val="20"/>
          <w:lang w:val="en-AU"/>
        </w:rPr>
        <w:t xml:space="preserve"> 1 GHz; or</w:t>
      </w:r>
    </w:p>
    <w:p w14:paraId="01464F6B" w14:textId="7759D119" w:rsidR="0046418A" w:rsidRDefault="00E6186D" w:rsidP="0046418A">
      <w:pPr>
        <w:pStyle w:val="ListParagraph"/>
        <w:numPr>
          <w:ilvl w:val="0"/>
          <w:numId w:val="21"/>
        </w:numPr>
        <w:spacing w:before="80" w:after="120" w:line="276" w:lineRule="auto"/>
        <w:rPr>
          <w:rFonts w:ascii="Arial" w:hAnsi="Arial" w:cs="Arial"/>
          <w:sz w:val="20"/>
          <w:lang w:val="en-AU"/>
        </w:rPr>
      </w:pPr>
      <w:proofErr w:type="gramStart"/>
      <w:r>
        <w:rPr>
          <w:rFonts w:ascii="Arial" w:hAnsi="Arial" w:cs="Arial"/>
          <w:sz w:val="20"/>
          <w:lang w:val="en-AU"/>
        </w:rPr>
        <w:t>the</w:t>
      </w:r>
      <w:proofErr w:type="gramEnd"/>
      <w:r>
        <w:rPr>
          <w:rFonts w:ascii="Arial" w:hAnsi="Arial" w:cs="Arial"/>
          <w:sz w:val="20"/>
          <w:lang w:val="en-AU"/>
        </w:rPr>
        <w:t xml:space="preserve"> transmitter is </w:t>
      </w:r>
      <w:r w:rsidR="0046418A">
        <w:rPr>
          <w:rFonts w:ascii="Arial" w:hAnsi="Arial" w:cs="Arial"/>
          <w:sz w:val="20"/>
          <w:lang w:val="en-AU"/>
        </w:rPr>
        <w:t xml:space="preserve">a mobile station for which the average total power supplied by the station to all antennas </w:t>
      </w:r>
      <w:r w:rsidR="00CA33E9">
        <w:rPr>
          <w:rFonts w:ascii="Arial" w:hAnsi="Arial" w:cs="Arial"/>
          <w:sz w:val="20"/>
          <w:lang w:val="en-AU"/>
        </w:rPr>
        <w:t xml:space="preserve">fed </w:t>
      </w:r>
      <w:r w:rsidR="0046418A">
        <w:rPr>
          <w:rFonts w:ascii="Arial" w:hAnsi="Arial" w:cs="Arial"/>
          <w:sz w:val="20"/>
          <w:lang w:val="en-AU"/>
        </w:rPr>
        <w:t>by the station is not more than 100 watts.</w:t>
      </w:r>
    </w:p>
    <w:p w14:paraId="016175A5" w14:textId="5D59C0B8" w:rsidR="0062702D" w:rsidRDefault="0046418A" w:rsidP="0046418A">
      <w:pPr>
        <w:spacing w:before="80" w:after="120" w:line="276" w:lineRule="auto"/>
        <w:rPr>
          <w:rFonts w:ascii="Arial" w:hAnsi="Arial" w:cs="Arial"/>
          <w:sz w:val="20"/>
          <w:lang w:val="en-AU"/>
        </w:rPr>
      </w:pPr>
      <w:r>
        <w:rPr>
          <w:rFonts w:ascii="Arial" w:hAnsi="Arial" w:cs="Arial"/>
          <w:sz w:val="20"/>
          <w:lang w:val="en-AU"/>
        </w:rPr>
        <w:t xml:space="preserve">Any information requested by the ACMA </w:t>
      </w:r>
      <w:r w:rsidR="00CA33E9">
        <w:rPr>
          <w:rFonts w:ascii="Arial" w:hAnsi="Arial" w:cs="Arial"/>
          <w:sz w:val="20"/>
          <w:lang w:val="en-AU"/>
        </w:rPr>
        <w:t xml:space="preserve">under subsection 9(3) </w:t>
      </w:r>
      <w:r>
        <w:rPr>
          <w:rFonts w:ascii="Arial" w:hAnsi="Arial" w:cs="Arial"/>
          <w:sz w:val="20"/>
          <w:lang w:val="en-AU"/>
        </w:rPr>
        <w:t>must be provided within 20 days of the request</w:t>
      </w:r>
      <w:r w:rsidR="00093C52">
        <w:rPr>
          <w:rFonts w:ascii="Arial" w:hAnsi="Arial" w:cs="Arial"/>
          <w:sz w:val="20"/>
          <w:lang w:val="en-AU"/>
        </w:rPr>
        <w:t>,</w:t>
      </w:r>
      <w:r w:rsidR="00B44030">
        <w:rPr>
          <w:rFonts w:ascii="Arial" w:hAnsi="Arial" w:cs="Arial"/>
          <w:sz w:val="20"/>
          <w:lang w:val="en-AU"/>
        </w:rPr>
        <w:t xml:space="preserve"> unless</w:t>
      </w:r>
      <w:r>
        <w:rPr>
          <w:rFonts w:ascii="Arial" w:hAnsi="Arial" w:cs="Arial"/>
          <w:sz w:val="20"/>
          <w:lang w:val="en-AU"/>
        </w:rPr>
        <w:t xml:space="preserve"> </w:t>
      </w:r>
      <w:r w:rsidR="00B44030">
        <w:rPr>
          <w:rFonts w:ascii="Arial" w:hAnsi="Arial" w:cs="Arial"/>
          <w:sz w:val="20"/>
          <w:lang w:val="en-AU"/>
        </w:rPr>
        <w:t xml:space="preserve">the </w:t>
      </w:r>
      <w:r>
        <w:rPr>
          <w:rFonts w:ascii="Arial" w:hAnsi="Arial" w:cs="Arial"/>
          <w:sz w:val="20"/>
          <w:lang w:val="en-AU"/>
        </w:rPr>
        <w:t>licensee</w:t>
      </w:r>
      <w:r w:rsidR="00B44030">
        <w:rPr>
          <w:rFonts w:ascii="Arial" w:hAnsi="Arial" w:cs="Arial"/>
          <w:sz w:val="20"/>
          <w:lang w:val="en-AU"/>
        </w:rPr>
        <w:t xml:space="preserve"> provides </w:t>
      </w:r>
      <w:r w:rsidR="00F75005">
        <w:rPr>
          <w:rFonts w:ascii="Arial" w:hAnsi="Arial" w:cs="Arial"/>
          <w:sz w:val="20"/>
          <w:lang w:val="en-AU"/>
        </w:rPr>
        <w:t xml:space="preserve">written </w:t>
      </w:r>
      <w:r w:rsidR="00B44030">
        <w:rPr>
          <w:rFonts w:ascii="Arial" w:hAnsi="Arial" w:cs="Arial"/>
          <w:sz w:val="20"/>
          <w:lang w:val="en-AU"/>
        </w:rPr>
        <w:t>evidence that it is</w:t>
      </w:r>
      <w:r>
        <w:rPr>
          <w:rFonts w:ascii="Arial" w:hAnsi="Arial" w:cs="Arial"/>
          <w:sz w:val="20"/>
          <w:lang w:val="en-AU"/>
        </w:rPr>
        <w:t xml:space="preserve"> unable to </w:t>
      </w:r>
      <w:r w:rsidR="00B44030">
        <w:rPr>
          <w:rFonts w:ascii="Arial" w:hAnsi="Arial" w:cs="Arial"/>
          <w:sz w:val="20"/>
          <w:lang w:val="en-AU"/>
        </w:rPr>
        <w:t>comply</w:t>
      </w:r>
      <w:r w:rsidR="00093C52">
        <w:rPr>
          <w:rFonts w:ascii="Arial" w:hAnsi="Arial" w:cs="Arial"/>
          <w:sz w:val="20"/>
          <w:lang w:val="en-AU"/>
        </w:rPr>
        <w:t xml:space="preserve"> within that timeframe</w:t>
      </w:r>
      <w:r w:rsidR="0062702D">
        <w:rPr>
          <w:rFonts w:ascii="Arial" w:hAnsi="Arial" w:cs="Arial"/>
          <w:sz w:val="20"/>
          <w:lang w:val="en-AU"/>
        </w:rPr>
        <w:t>,</w:t>
      </w:r>
      <w:r w:rsidR="003C0B7D">
        <w:rPr>
          <w:rFonts w:ascii="Arial" w:hAnsi="Arial" w:cs="Arial"/>
          <w:sz w:val="20"/>
          <w:lang w:val="en-AU"/>
        </w:rPr>
        <w:t xml:space="preserve"> in accordance with subsection</w:t>
      </w:r>
      <w:r w:rsidR="00E6186D">
        <w:rPr>
          <w:rFonts w:ascii="Arial" w:hAnsi="Arial" w:cs="Arial"/>
          <w:sz w:val="20"/>
          <w:lang w:val="en-AU"/>
        </w:rPr>
        <w:t>s</w:t>
      </w:r>
      <w:r w:rsidR="003C0B7D">
        <w:rPr>
          <w:rFonts w:ascii="Arial" w:hAnsi="Arial" w:cs="Arial"/>
          <w:sz w:val="20"/>
          <w:lang w:val="en-AU"/>
        </w:rPr>
        <w:t xml:space="preserve"> 9(4)</w:t>
      </w:r>
      <w:r w:rsidR="00E6186D">
        <w:rPr>
          <w:rFonts w:ascii="Arial" w:hAnsi="Arial" w:cs="Arial"/>
          <w:sz w:val="20"/>
          <w:lang w:val="en-AU"/>
        </w:rPr>
        <w:t xml:space="preserve"> and 9(5)</w:t>
      </w:r>
      <w:r w:rsidR="003C0B7D">
        <w:rPr>
          <w:rFonts w:ascii="Arial" w:hAnsi="Arial" w:cs="Arial"/>
          <w:sz w:val="20"/>
          <w:lang w:val="en-AU"/>
        </w:rPr>
        <w:t>.</w:t>
      </w:r>
      <w:r>
        <w:rPr>
          <w:rFonts w:ascii="Arial" w:hAnsi="Arial" w:cs="Arial"/>
          <w:sz w:val="20"/>
          <w:lang w:val="en-AU"/>
        </w:rPr>
        <w:t xml:space="preserve"> </w:t>
      </w:r>
    </w:p>
    <w:p w14:paraId="12EAF025" w14:textId="77777777" w:rsidR="0046418A" w:rsidRDefault="0062702D" w:rsidP="0046418A">
      <w:pPr>
        <w:spacing w:before="80" w:after="120" w:line="276" w:lineRule="auto"/>
        <w:rPr>
          <w:rFonts w:ascii="Arial" w:hAnsi="Arial" w:cs="Arial"/>
          <w:sz w:val="20"/>
          <w:lang w:val="en-AU"/>
        </w:rPr>
      </w:pPr>
      <w:r>
        <w:rPr>
          <w:rFonts w:ascii="Arial" w:hAnsi="Arial" w:cs="Arial"/>
          <w:sz w:val="20"/>
          <w:lang w:val="en-AU"/>
        </w:rPr>
        <w:t xml:space="preserve">Subsections 9(6) and 9(7) provide that the </w:t>
      </w:r>
      <w:r w:rsidR="0046418A">
        <w:rPr>
          <w:rFonts w:ascii="Arial" w:hAnsi="Arial" w:cs="Arial"/>
          <w:sz w:val="20"/>
          <w:lang w:val="en-AU"/>
        </w:rPr>
        <w:t>ACMA must take the written advice into consideration before instituting regulatory action ag</w:t>
      </w:r>
      <w:r w:rsidR="002D4667">
        <w:rPr>
          <w:rFonts w:ascii="Arial" w:hAnsi="Arial" w:cs="Arial"/>
          <w:sz w:val="20"/>
          <w:lang w:val="en-AU"/>
        </w:rPr>
        <w:t>a</w:t>
      </w:r>
      <w:r w:rsidR="0046418A">
        <w:rPr>
          <w:rFonts w:ascii="Arial" w:hAnsi="Arial" w:cs="Arial"/>
          <w:sz w:val="20"/>
          <w:lang w:val="en-AU"/>
        </w:rPr>
        <w:t>inst the licensee. If the ACMA elects not to take regulato</w:t>
      </w:r>
      <w:r w:rsidR="00655288">
        <w:rPr>
          <w:rFonts w:ascii="Arial" w:hAnsi="Arial" w:cs="Arial"/>
          <w:sz w:val="20"/>
          <w:lang w:val="en-AU"/>
        </w:rPr>
        <w:t>ry action against the licensee, the ACMA must advise the licensee of this as soon as practicable.</w:t>
      </w:r>
    </w:p>
    <w:p w14:paraId="05306685" w14:textId="77777777" w:rsidR="00655288" w:rsidRDefault="00655288" w:rsidP="0046418A">
      <w:pPr>
        <w:spacing w:before="80" w:after="120" w:line="276" w:lineRule="auto"/>
        <w:rPr>
          <w:rFonts w:ascii="Arial" w:hAnsi="Arial" w:cs="Arial"/>
          <w:b/>
          <w:sz w:val="20"/>
          <w:lang w:val="en-AU"/>
        </w:rPr>
      </w:pPr>
      <w:r w:rsidRPr="00655288">
        <w:rPr>
          <w:rFonts w:ascii="Arial" w:hAnsi="Arial" w:cs="Arial"/>
          <w:b/>
          <w:sz w:val="20"/>
          <w:lang w:val="en-AU"/>
        </w:rPr>
        <w:t>Section 10</w:t>
      </w:r>
      <w:r w:rsidRPr="00655288">
        <w:rPr>
          <w:rFonts w:ascii="Arial" w:hAnsi="Arial" w:cs="Arial"/>
          <w:b/>
          <w:sz w:val="20"/>
          <w:lang w:val="en-AU"/>
        </w:rPr>
        <w:tab/>
        <w:t>Level 2 criteria</w:t>
      </w:r>
    </w:p>
    <w:p w14:paraId="2CD9B650" w14:textId="7563EE4E" w:rsidR="00655288" w:rsidRDefault="00655288" w:rsidP="0046418A">
      <w:pPr>
        <w:spacing w:before="80" w:after="120" w:line="276" w:lineRule="auto"/>
        <w:rPr>
          <w:rFonts w:ascii="Arial" w:hAnsi="Arial" w:cs="Arial"/>
          <w:sz w:val="20"/>
          <w:lang w:val="en-AU"/>
        </w:rPr>
      </w:pPr>
      <w:r w:rsidRPr="00655288">
        <w:rPr>
          <w:rFonts w:ascii="Arial" w:hAnsi="Arial" w:cs="Arial"/>
          <w:sz w:val="20"/>
          <w:lang w:val="en-AU"/>
        </w:rPr>
        <w:t>S</w:t>
      </w:r>
      <w:r w:rsidR="005C78D0">
        <w:rPr>
          <w:rFonts w:ascii="Arial" w:hAnsi="Arial" w:cs="Arial"/>
          <w:sz w:val="20"/>
          <w:lang w:val="en-AU"/>
        </w:rPr>
        <w:t>ubs</w:t>
      </w:r>
      <w:r w:rsidRPr="00655288">
        <w:rPr>
          <w:rFonts w:ascii="Arial" w:hAnsi="Arial" w:cs="Arial"/>
          <w:sz w:val="20"/>
          <w:lang w:val="en-AU"/>
        </w:rPr>
        <w:t>ection</w:t>
      </w:r>
      <w:r w:rsidR="005C78D0">
        <w:rPr>
          <w:rFonts w:ascii="Arial" w:hAnsi="Arial" w:cs="Arial"/>
          <w:sz w:val="20"/>
          <w:lang w:val="en-AU"/>
        </w:rPr>
        <w:t>s</w:t>
      </w:r>
      <w:r w:rsidRPr="00655288">
        <w:rPr>
          <w:rFonts w:ascii="Arial" w:hAnsi="Arial" w:cs="Arial"/>
          <w:sz w:val="20"/>
          <w:lang w:val="en-AU"/>
        </w:rPr>
        <w:t xml:space="preserve"> 10</w:t>
      </w:r>
      <w:r w:rsidR="005C78D0">
        <w:rPr>
          <w:rFonts w:ascii="Arial" w:hAnsi="Arial" w:cs="Arial"/>
          <w:sz w:val="20"/>
          <w:lang w:val="en-AU"/>
        </w:rPr>
        <w:t>(1) and 10(2)</w:t>
      </w:r>
      <w:r w:rsidRPr="00655288">
        <w:rPr>
          <w:rFonts w:ascii="Arial" w:hAnsi="Arial" w:cs="Arial"/>
          <w:sz w:val="20"/>
          <w:lang w:val="en-AU"/>
        </w:rPr>
        <w:t xml:space="preserve"> provide that</w:t>
      </w:r>
      <w:r w:rsidR="00116AF4">
        <w:rPr>
          <w:rFonts w:ascii="Arial" w:hAnsi="Arial" w:cs="Arial"/>
          <w:sz w:val="20"/>
          <w:lang w:val="en-AU"/>
        </w:rPr>
        <w:t>,</w:t>
      </w:r>
      <w:r w:rsidRPr="00655288">
        <w:rPr>
          <w:rFonts w:ascii="Arial" w:hAnsi="Arial" w:cs="Arial"/>
          <w:sz w:val="20"/>
          <w:lang w:val="en-AU"/>
        </w:rPr>
        <w:t xml:space="preserve"> </w:t>
      </w:r>
      <w:r w:rsidR="00B05460">
        <w:rPr>
          <w:rFonts w:ascii="Arial" w:hAnsi="Arial" w:cs="Arial"/>
          <w:sz w:val="20"/>
          <w:lang w:val="en-AU"/>
        </w:rPr>
        <w:t>for</w:t>
      </w:r>
      <w:r w:rsidR="00B05460" w:rsidRPr="00655288">
        <w:rPr>
          <w:rFonts w:ascii="Arial" w:hAnsi="Arial" w:cs="Arial"/>
          <w:sz w:val="20"/>
          <w:lang w:val="en-AU"/>
        </w:rPr>
        <w:t xml:space="preserve"> the operation of a transmitter that does not meet the criteria </w:t>
      </w:r>
      <w:r w:rsidR="00116AF4">
        <w:rPr>
          <w:rFonts w:ascii="Arial" w:hAnsi="Arial" w:cs="Arial"/>
          <w:sz w:val="20"/>
          <w:lang w:val="en-AU"/>
        </w:rPr>
        <w:t>set out in</w:t>
      </w:r>
      <w:r w:rsidR="00116AF4" w:rsidRPr="00655288">
        <w:rPr>
          <w:rFonts w:ascii="Arial" w:hAnsi="Arial" w:cs="Arial"/>
          <w:sz w:val="20"/>
          <w:lang w:val="en-AU"/>
        </w:rPr>
        <w:t xml:space="preserve"> </w:t>
      </w:r>
      <w:r w:rsidR="00B05460" w:rsidRPr="00655288">
        <w:rPr>
          <w:rFonts w:ascii="Arial" w:hAnsi="Arial" w:cs="Arial"/>
          <w:sz w:val="20"/>
          <w:lang w:val="en-AU"/>
        </w:rPr>
        <w:t>section 9</w:t>
      </w:r>
      <w:r w:rsidR="00B05460">
        <w:rPr>
          <w:rFonts w:ascii="Arial" w:hAnsi="Arial" w:cs="Arial"/>
          <w:sz w:val="20"/>
          <w:lang w:val="en-AU"/>
        </w:rPr>
        <w:t xml:space="preserve">, </w:t>
      </w:r>
      <w:r w:rsidRPr="00655288">
        <w:rPr>
          <w:rFonts w:ascii="Arial" w:hAnsi="Arial" w:cs="Arial"/>
          <w:sz w:val="20"/>
          <w:lang w:val="en-AU"/>
        </w:rPr>
        <w:t xml:space="preserve">a licensee must </w:t>
      </w:r>
      <w:r w:rsidR="00116AF4">
        <w:rPr>
          <w:rFonts w:ascii="Arial" w:hAnsi="Arial" w:cs="Arial"/>
          <w:sz w:val="20"/>
          <w:lang w:val="en-AU"/>
        </w:rPr>
        <w:t xml:space="preserve">be able to show that </w:t>
      </w:r>
      <w:r w:rsidR="000E0E43">
        <w:rPr>
          <w:rFonts w:ascii="Arial" w:hAnsi="Arial" w:cs="Arial"/>
          <w:sz w:val="20"/>
          <w:lang w:val="en-AU"/>
        </w:rPr>
        <w:t>it</w:t>
      </w:r>
      <w:r w:rsidR="00116AF4">
        <w:rPr>
          <w:rFonts w:ascii="Arial" w:hAnsi="Arial" w:cs="Arial"/>
          <w:sz w:val="20"/>
          <w:lang w:val="en-AU"/>
        </w:rPr>
        <w:t xml:space="preserve"> complies with section 8 by measuring RF fields</w:t>
      </w:r>
      <w:r w:rsidRPr="00655288">
        <w:rPr>
          <w:rFonts w:ascii="Arial" w:hAnsi="Arial" w:cs="Arial"/>
          <w:sz w:val="20"/>
          <w:lang w:val="en-AU"/>
        </w:rPr>
        <w:t xml:space="preserve"> </w:t>
      </w:r>
      <w:r>
        <w:rPr>
          <w:rFonts w:ascii="Arial" w:hAnsi="Arial" w:cs="Arial"/>
          <w:sz w:val="20"/>
          <w:lang w:val="en-AU"/>
        </w:rPr>
        <w:t>in ac</w:t>
      </w:r>
      <w:r w:rsidR="000E0E43">
        <w:rPr>
          <w:rFonts w:ascii="Arial" w:hAnsi="Arial" w:cs="Arial"/>
          <w:sz w:val="20"/>
          <w:lang w:val="en-AU"/>
        </w:rPr>
        <w:t>c</w:t>
      </w:r>
      <w:r>
        <w:rPr>
          <w:rFonts w:ascii="Arial" w:hAnsi="Arial" w:cs="Arial"/>
          <w:sz w:val="20"/>
          <w:lang w:val="en-AU"/>
        </w:rPr>
        <w:t xml:space="preserve">ordance </w:t>
      </w:r>
      <w:r w:rsidRPr="000E0E43">
        <w:rPr>
          <w:rFonts w:ascii="Arial" w:hAnsi="Arial" w:cs="Arial"/>
          <w:sz w:val="20"/>
          <w:lang w:val="en-AU"/>
        </w:rPr>
        <w:t xml:space="preserve">with </w:t>
      </w:r>
      <w:r w:rsidR="0085396B">
        <w:rPr>
          <w:rFonts w:ascii="Arial" w:hAnsi="Arial" w:cs="Arial"/>
          <w:sz w:val="20"/>
          <w:lang w:val="en-AU"/>
        </w:rPr>
        <w:t xml:space="preserve">the </w:t>
      </w:r>
      <w:r w:rsidR="002C1FE8">
        <w:rPr>
          <w:rFonts w:ascii="Arial" w:hAnsi="Arial" w:cs="Arial"/>
          <w:sz w:val="20"/>
          <w:lang w:val="en-AU"/>
        </w:rPr>
        <w:t xml:space="preserve">current </w:t>
      </w:r>
      <w:r w:rsidR="0085396B">
        <w:rPr>
          <w:rFonts w:ascii="Arial" w:hAnsi="Arial" w:cs="Arial"/>
          <w:sz w:val="20"/>
          <w:lang w:val="en-AU"/>
        </w:rPr>
        <w:t xml:space="preserve">standard </w:t>
      </w:r>
      <w:r w:rsidR="00EA2BC0" w:rsidRPr="00BF17B4">
        <w:rPr>
          <w:rFonts w:ascii="Arial" w:hAnsi="Arial" w:cs="Arial"/>
          <w:sz w:val="20"/>
          <w:lang w:val="en-AU"/>
        </w:rPr>
        <w:t>AS/NZS 2772.2</w:t>
      </w:r>
      <w:r w:rsidR="000E0E43" w:rsidRPr="00BF17B4">
        <w:rPr>
          <w:rFonts w:ascii="Arial" w:hAnsi="Arial" w:cs="Arial"/>
          <w:sz w:val="20"/>
          <w:lang w:val="en-AU"/>
        </w:rPr>
        <w:t xml:space="preserve">, </w:t>
      </w:r>
      <w:r w:rsidRPr="000E0E43">
        <w:rPr>
          <w:rFonts w:ascii="Arial" w:hAnsi="Arial" w:cs="Arial"/>
          <w:sz w:val="20"/>
          <w:lang w:val="en-AU"/>
        </w:rPr>
        <w:t>and</w:t>
      </w:r>
      <w:r>
        <w:rPr>
          <w:rFonts w:ascii="Arial" w:hAnsi="Arial" w:cs="Arial"/>
          <w:sz w:val="20"/>
          <w:lang w:val="en-AU"/>
        </w:rPr>
        <w:t xml:space="preserve"> </w:t>
      </w:r>
      <w:r w:rsidR="00B05460">
        <w:rPr>
          <w:rFonts w:ascii="Arial" w:hAnsi="Arial" w:cs="Arial"/>
          <w:sz w:val="20"/>
          <w:lang w:val="en-AU"/>
        </w:rPr>
        <w:t>keep</w:t>
      </w:r>
      <w:r w:rsidR="00AD57F0">
        <w:rPr>
          <w:rFonts w:ascii="Arial" w:hAnsi="Arial" w:cs="Arial"/>
          <w:sz w:val="20"/>
          <w:lang w:val="en-AU"/>
        </w:rPr>
        <w:t>ing</w:t>
      </w:r>
      <w:r w:rsidR="00B05460">
        <w:rPr>
          <w:rFonts w:ascii="Arial" w:hAnsi="Arial" w:cs="Arial"/>
          <w:sz w:val="20"/>
          <w:lang w:val="en-AU"/>
        </w:rPr>
        <w:t xml:space="preserve"> records in accordance with section 15.</w:t>
      </w:r>
    </w:p>
    <w:p w14:paraId="3733E52B" w14:textId="1E7FAF3F" w:rsidR="00655288" w:rsidRDefault="005C78D0" w:rsidP="0046418A">
      <w:pPr>
        <w:spacing w:before="80" w:after="120" w:line="276" w:lineRule="auto"/>
        <w:rPr>
          <w:rFonts w:ascii="Arial" w:hAnsi="Arial" w:cs="Arial"/>
          <w:sz w:val="20"/>
          <w:lang w:val="en-AU"/>
        </w:rPr>
      </w:pPr>
      <w:r>
        <w:rPr>
          <w:rFonts w:ascii="Arial" w:hAnsi="Arial" w:cs="Arial"/>
          <w:sz w:val="20"/>
          <w:lang w:val="en-AU"/>
        </w:rPr>
        <w:t>Subsection 10(3)</w:t>
      </w:r>
      <w:r w:rsidR="00655288">
        <w:rPr>
          <w:rFonts w:ascii="Arial" w:hAnsi="Arial" w:cs="Arial"/>
          <w:sz w:val="20"/>
          <w:lang w:val="en-AU"/>
        </w:rPr>
        <w:t xml:space="preserve"> provides that if a licensee spatially averages measurement</w:t>
      </w:r>
      <w:r w:rsidR="002C1FE8">
        <w:rPr>
          <w:rFonts w:ascii="Arial" w:hAnsi="Arial" w:cs="Arial"/>
          <w:sz w:val="20"/>
          <w:lang w:val="en-AU"/>
        </w:rPr>
        <w:t>s</w:t>
      </w:r>
      <w:r w:rsidR="00655288">
        <w:rPr>
          <w:rFonts w:ascii="Arial" w:hAnsi="Arial" w:cs="Arial"/>
          <w:sz w:val="20"/>
          <w:lang w:val="en-AU"/>
        </w:rPr>
        <w:t xml:space="preserve"> </w:t>
      </w:r>
      <w:r w:rsidR="002C1FE8">
        <w:rPr>
          <w:rFonts w:ascii="Arial" w:hAnsi="Arial" w:cs="Arial"/>
          <w:sz w:val="20"/>
          <w:lang w:val="en-AU"/>
        </w:rPr>
        <w:t>taken for subsection 10(2)</w:t>
      </w:r>
      <w:r w:rsidR="00655288">
        <w:rPr>
          <w:rFonts w:ascii="Arial" w:hAnsi="Arial" w:cs="Arial"/>
          <w:sz w:val="20"/>
          <w:lang w:val="en-AU"/>
        </w:rPr>
        <w:t xml:space="preserve">, </w:t>
      </w:r>
      <w:r w:rsidR="00B05460">
        <w:rPr>
          <w:rFonts w:ascii="Arial" w:hAnsi="Arial" w:cs="Arial"/>
          <w:sz w:val="20"/>
          <w:lang w:val="en-AU"/>
        </w:rPr>
        <w:t>the licensee</w:t>
      </w:r>
      <w:r w:rsidR="00655288">
        <w:rPr>
          <w:rFonts w:ascii="Arial" w:hAnsi="Arial" w:cs="Arial"/>
          <w:sz w:val="20"/>
          <w:lang w:val="en-AU"/>
        </w:rPr>
        <w:t xml:space="preserve"> must </w:t>
      </w:r>
      <w:r w:rsidR="00B05460">
        <w:rPr>
          <w:rFonts w:ascii="Arial" w:hAnsi="Arial" w:cs="Arial"/>
          <w:sz w:val="20"/>
          <w:lang w:val="en-AU"/>
        </w:rPr>
        <w:t>do so in</w:t>
      </w:r>
      <w:r w:rsidR="00655288">
        <w:rPr>
          <w:rFonts w:ascii="Arial" w:hAnsi="Arial" w:cs="Arial"/>
          <w:sz w:val="20"/>
          <w:lang w:val="en-AU"/>
        </w:rPr>
        <w:t xml:space="preserve"> accordance with section 2.7 of the ARPANSA </w:t>
      </w:r>
      <w:r w:rsidR="008F53D6">
        <w:rPr>
          <w:rFonts w:ascii="Arial" w:hAnsi="Arial" w:cs="Arial"/>
          <w:sz w:val="20"/>
          <w:lang w:val="en-AU"/>
        </w:rPr>
        <w:t>S</w:t>
      </w:r>
      <w:r w:rsidR="00655288">
        <w:rPr>
          <w:rFonts w:ascii="Arial" w:hAnsi="Arial" w:cs="Arial"/>
          <w:sz w:val="20"/>
          <w:lang w:val="en-AU"/>
        </w:rPr>
        <w:t>tandard.</w:t>
      </w:r>
    </w:p>
    <w:p w14:paraId="5CEB6EBF" w14:textId="486266B8" w:rsidR="002A69EB" w:rsidRDefault="00B05460" w:rsidP="00BF17B4">
      <w:pPr>
        <w:pStyle w:val="Definition"/>
        <w:spacing w:before="80" w:after="120" w:line="276" w:lineRule="auto"/>
        <w:ind w:left="0"/>
        <w:jc w:val="both"/>
        <w:rPr>
          <w:rFonts w:ascii="Arial" w:hAnsi="Arial" w:cs="Arial"/>
          <w:sz w:val="20"/>
        </w:rPr>
      </w:pPr>
      <w:r>
        <w:rPr>
          <w:rFonts w:ascii="Arial" w:hAnsi="Arial" w:cs="Arial"/>
          <w:sz w:val="20"/>
        </w:rPr>
        <w:t xml:space="preserve">Subsection 10(4) provides </w:t>
      </w:r>
      <w:r w:rsidR="002A69EB">
        <w:rPr>
          <w:rFonts w:ascii="Arial" w:hAnsi="Arial" w:cs="Arial"/>
          <w:sz w:val="20"/>
        </w:rPr>
        <w:t xml:space="preserve">for the use of existing assessments made in accordance with the </w:t>
      </w:r>
      <w:r w:rsidR="00EA2BC0" w:rsidRPr="00EA2BC0">
        <w:rPr>
          <w:rFonts w:ascii="Arial" w:hAnsi="Arial" w:cs="Arial"/>
          <w:sz w:val="20"/>
        </w:rPr>
        <w:t xml:space="preserve">former </w:t>
      </w:r>
      <w:r w:rsidR="0085396B">
        <w:rPr>
          <w:rFonts w:ascii="Arial" w:hAnsi="Arial" w:cs="Arial"/>
          <w:sz w:val="20"/>
        </w:rPr>
        <w:t xml:space="preserve">standard </w:t>
      </w:r>
      <w:r w:rsidR="00EA2BC0" w:rsidRPr="00BF17B4">
        <w:rPr>
          <w:rFonts w:ascii="Arial" w:hAnsi="Arial" w:cs="Arial"/>
          <w:sz w:val="20"/>
        </w:rPr>
        <w:t xml:space="preserve">AS 2772.2 </w:t>
      </w:r>
      <w:r w:rsidR="00352136" w:rsidRPr="0085396B">
        <w:rPr>
          <w:rFonts w:ascii="Arial" w:hAnsi="Arial" w:cs="Arial"/>
          <w:sz w:val="20"/>
        </w:rPr>
        <w:t>in</w:t>
      </w:r>
      <w:r w:rsidR="002A69EB">
        <w:rPr>
          <w:rFonts w:ascii="Arial" w:hAnsi="Arial" w:cs="Arial"/>
          <w:sz w:val="20"/>
        </w:rPr>
        <w:t xml:space="preserve"> certain circum</w:t>
      </w:r>
      <w:r w:rsidR="00EA2BC0">
        <w:rPr>
          <w:rFonts w:ascii="Arial" w:hAnsi="Arial" w:cs="Arial"/>
          <w:sz w:val="20"/>
        </w:rPr>
        <w:t>stance</w:t>
      </w:r>
      <w:r w:rsidR="002A69EB">
        <w:rPr>
          <w:rFonts w:ascii="Arial" w:hAnsi="Arial" w:cs="Arial"/>
          <w:sz w:val="20"/>
        </w:rPr>
        <w:t>s</w:t>
      </w:r>
      <w:r w:rsidR="00352136">
        <w:rPr>
          <w:rFonts w:ascii="Arial" w:hAnsi="Arial" w:cs="Arial"/>
          <w:sz w:val="20"/>
        </w:rPr>
        <w:t>.</w:t>
      </w:r>
    </w:p>
    <w:p w14:paraId="7B50B187" w14:textId="77777777" w:rsidR="00B05460" w:rsidRDefault="009863AF" w:rsidP="0046418A">
      <w:pPr>
        <w:spacing w:before="80" w:after="120" w:line="276" w:lineRule="auto"/>
        <w:rPr>
          <w:rFonts w:ascii="Arial" w:hAnsi="Arial" w:cs="Arial"/>
          <w:b/>
          <w:sz w:val="20"/>
          <w:lang w:val="en-AU"/>
        </w:rPr>
      </w:pPr>
      <w:r w:rsidRPr="009863AF">
        <w:rPr>
          <w:rFonts w:ascii="Arial" w:hAnsi="Arial" w:cs="Arial"/>
          <w:b/>
          <w:sz w:val="20"/>
          <w:lang w:val="en-AU"/>
        </w:rPr>
        <w:t xml:space="preserve">Section 10A </w:t>
      </w:r>
      <w:r w:rsidRPr="009863AF">
        <w:rPr>
          <w:rFonts w:ascii="Arial" w:hAnsi="Arial" w:cs="Arial"/>
          <w:b/>
          <w:sz w:val="20"/>
          <w:lang w:val="en-AU"/>
        </w:rPr>
        <w:tab/>
        <w:t>Compliance with Determination after amendment of Standard</w:t>
      </w:r>
    </w:p>
    <w:p w14:paraId="61B784CC" w14:textId="0E4D613C" w:rsidR="009863AF" w:rsidRDefault="009863AF" w:rsidP="0046418A">
      <w:pPr>
        <w:spacing w:before="80" w:after="120" w:line="276" w:lineRule="auto"/>
        <w:rPr>
          <w:rFonts w:ascii="Arial" w:hAnsi="Arial" w:cs="Arial"/>
          <w:sz w:val="20"/>
          <w:lang w:val="en-AU"/>
        </w:rPr>
      </w:pPr>
      <w:r w:rsidRPr="009863AF">
        <w:rPr>
          <w:rFonts w:ascii="Arial" w:hAnsi="Arial" w:cs="Arial"/>
          <w:sz w:val="20"/>
          <w:lang w:val="en-AU"/>
        </w:rPr>
        <w:t>Section 10A</w:t>
      </w:r>
      <w:r>
        <w:rPr>
          <w:rFonts w:ascii="Arial" w:hAnsi="Arial" w:cs="Arial"/>
          <w:sz w:val="20"/>
          <w:lang w:val="en-AU"/>
        </w:rPr>
        <w:t xml:space="preserve"> </w:t>
      </w:r>
      <w:r w:rsidR="00CA185B">
        <w:rPr>
          <w:rFonts w:ascii="Arial" w:hAnsi="Arial" w:cs="Arial"/>
          <w:sz w:val="20"/>
          <w:lang w:val="en-AU"/>
        </w:rPr>
        <w:t xml:space="preserve">applies in the event that </w:t>
      </w:r>
      <w:r w:rsidR="002C1FE8">
        <w:rPr>
          <w:rFonts w:ascii="Arial" w:hAnsi="Arial" w:cs="Arial"/>
          <w:sz w:val="20"/>
          <w:lang w:val="en-AU"/>
        </w:rPr>
        <w:t xml:space="preserve">the current standard </w:t>
      </w:r>
      <w:r w:rsidR="00CA185B">
        <w:rPr>
          <w:rFonts w:ascii="Arial" w:hAnsi="Arial" w:cs="Arial"/>
          <w:sz w:val="20"/>
          <w:lang w:val="en-AU"/>
        </w:rPr>
        <w:t xml:space="preserve">AS/NZS 2772.2 is amended, and </w:t>
      </w:r>
      <w:r>
        <w:rPr>
          <w:rFonts w:ascii="Arial" w:hAnsi="Arial" w:cs="Arial"/>
          <w:sz w:val="20"/>
          <w:lang w:val="en-AU"/>
        </w:rPr>
        <w:t>provides for transitional arrangement</w:t>
      </w:r>
      <w:r w:rsidR="00EA2BC0">
        <w:rPr>
          <w:rFonts w:ascii="Arial" w:hAnsi="Arial" w:cs="Arial"/>
          <w:sz w:val="20"/>
          <w:lang w:val="en-AU"/>
        </w:rPr>
        <w:t>s</w:t>
      </w:r>
      <w:r>
        <w:rPr>
          <w:rFonts w:ascii="Arial" w:hAnsi="Arial" w:cs="Arial"/>
          <w:sz w:val="20"/>
          <w:lang w:val="en-AU"/>
        </w:rPr>
        <w:t xml:space="preserve"> in relation to measurements and calculations of RF fields</w:t>
      </w:r>
      <w:r w:rsidR="00250E4C">
        <w:rPr>
          <w:rFonts w:ascii="Arial" w:hAnsi="Arial" w:cs="Arial"/>
          <w:sz w:val="20"/>
          <w:lang w:val="en-AU"/>
        </w:rPr>
        <w:t>.</w:t>
      </w:r>
    </w:p>
    <w:p w14:paraId="69F28D59" w14:textId="77777777" w:rsidR="00A75EAA" w:rsidRDefault="00A75EAA" w:rsidP="0046418A">
      <w:pPr>
        <w:spacing w:before="80" w:after="120" w:line="276" w:lineRule="auto"/>
        <w:rPr>
          <w:rFonts w:ascii="Arial" w:hAnsi="Arial" w:cs="Arial"/>
          <w:b/>
          <w:sz w:val="20"/>
          <w:lang w:val="en-AU"/>
        </w:rPr>
      </w:pPr>
    </w:p>
    <w:p w14:paraId="1FE1E23E" w14:textId="77777777" w:rsidR="009863AF" w:rsidRDefault="009863AF" w:rsidP="0046418A">
      <w:pPr>
        <w:spacing w:before="80" w:after="120" w:line="276" w:lineRule="auto"/>
        <w:rPr>
          <w:rFonts w:ascii="Arial" w:hAnsi="Arial" w:cs="Arial"/>
          <w:b/>
          <w:sz w:val="20"/>
          <w:lang w:val="en-AU"/>
        </w:rPr>
      </w:pPr>
      <w:r w:rsidRPr="009863AF">
        <w:rPr>
          <w:rFonts w:ascii="Arial" w:hAnsi="Arial" w:cs="Arial"/>
          <w:b/>
          <w:sz w:val="20"/>
          <w:lang w:val="en-AU"/>
        </w:rPr>
        <w:lastRenderedPageBreak/>
        <w:t xml:space="preserve">Section 11 </w:t>
      </w:r>
      <w:r w:rsidRPr="009863AF">
        <w:rPr>
          <w:rFonts w:ascii="Arial" w:hAnsi="Arial" w:cs="Arial"/>
          <w:b/>
          <w:sz w:val="20"/>
          <w:lang w:val="en-AU"/>
        </w:rPr>
        <w:tab/>
        <w:t>Changes to an installed transmitter</w:t>
      </w:r>
    </w:p>
    <w:p w14:paraId="37B11D65" w14:textId="2A6AFAB6" w:rsidR="009863AF" w:rsidRDefault="009863AF" w:rsidP="0046418A">
      <w:pPr>
        <w:spacing w:before="80" w:after="120" w:line="276" w:lineRule="auto"/>
        <w:rPr>
          <w:rFonts w:ascii="Arial" w:hAnsi="Arial" w:cs="Arial"/>
          <w:sz w:val="20"/>
          <w:lang w:val="en-AU"/>
        </w:rPr>
      </w:pPr>
      <w:r>
        <w:rPr>
          <w:rFonts w:ascii="Arial" w:hAnsi="Arial" w:cs="Arial"/>
          <w:sz w:val="20"/>
          <w:lang w:val="en-AU"/>
        </w:rPr>
        <w:t xml:space="preserve">Section 11 provides that if a transmitter </w:t>
      </w:r>
      <w:r w:rsidR="00250E4C">
        <w:rPr>
          <w:rFonts w:ascii="Arial" w:hAnsi="Arial" w:cs="Arial"/>
          <w:sz w:val="20"/>
          <w:lang w:val="en-AU"/>
        </w:rPr>
        <w:t xml:space="preserve">to which section 9 applies </w:t>
      </w:r>
      <w:r>
        <w:rPr>
          <w:rFonts w:ascii="Arial" w:hAnsi="Arial" w:cs="Arial"/>
          <w:sz w:val="20"/>
          <w:lang w:val="en-AU"/>
        </w:rPr>
        <w:t xml:space="preserve">is changed </w:t>
      </w:r>
      <w:r w:rsidR="007E7679">
        <w:rPr>
          <w:rFonts w:ascii="Arial" w:hAnsi="Arial" w:cs="Arial"/>
          <w:sz w:val="20"/>
          <w:lang w:val="en-AU"/>
        </w:rPr>
        <w:t xml:space="preserve">so </w:t>
      </w:r>
      <w:r>
        <w:rPr>
          <w:rFonts w:ascii="Arial" w:hAnsi="Arial" w:cs="Arial"/>
          <w:sz w:val="20"/>
          <w:lang w:val="en-AU"/>
        </w:rPr>
        <w:t>th</w:t>
      </w:r>
      <w:r w:rsidR="008F53D6">
        <w:rPr>
          <w:rFonts w:ascii="Arial" w:hAnsi="Arial" w:cs="Arial"/>
          <w:sz w:val="20"/>
          <w:lang w:val="en-AU"/>
        </w:rPr>
        <w:t>a</w:t>
      </w:r>
      <w:r>
        <w:rPr>
          <w:rFonts w:ascii="Arial" w:hAnsi="Arial" w:cs="Arial"/>
          <w:sz w:val="20"/>
          <w:lang w:val="en-AU"/>
        </w:rPr>
        <w:t xml:space="preserve">t it no </w:t>
      </w:r>
      <w:r w:rsidR="008F53D6">
        <w:rPr>
          <w:rFonts w:ascii="Arial" w:hAnsi="Arial" w:cs="Arial"/>
          <w:sz w:val="20"/>
          <w:lang w:val="en-AU"/>
        </w:rPr>
        <w:t>l</w:t>
      </w:r>
      <w:r>
        <w:rPr>
          <w:rFonts w:ascii="Arial" w:hAnsi="Arial" w:cs="Arial"/>
          <w:sz w:val="20"/>
          <w:lang w:val="en-AU"/>
        </w:rPr>
        <w:t xml:space="preserve">onger meets the </w:t>
      </w:r>
      <w:r w:rsidR="008F53D6">
        <w:rPr>
          <w:rFonts w:ascii="Arial" w:hAnsi="Arial" w:cs="Arial"/>
          <w:sz w:val="20"/>
          <w:lang w:val="en-AU"/>
        </w:rPr>
        <w:t>criteria</w:t>
      </w:r>
      <w:r>
        <w:rPr>
          <w:rFonts w:ascii="Arial" w:hAnsi="Arial" w:cs="Arial"/>
          <w:sz w:val="20"/>
          <w:lang w:val="en-AU"/>
        </w:rPr>
        <w:t xml:space="preserve"> of section 9, it must be </w:t>
      </w:r>
      <w:r w:rsidR="00250E4C">
        <w:rPr>
          <w:rFonts w:ascii="Arial" w:hAnsi="Arial" w:cs="Arial"/>
          <w:sz w:val="20"/>
          <w:lang w:val="en-AU"/>
        </w:rPr>
        <w:t xml:space="preserve">reassessed </w:t>
      </w:r>
      <w:r>
        <w:rPr>
          <w:rFonts w:ascii="Arial" w:hAnsi="Arial" w:cs="Arial"/>
          <w:sz w:val="20"/>
          <w:lang w:val="en-AU"/>
        </w:rPr>
        <w:t>in accordance with section 10. The section provides non-exhaustive guidance as to what constitute</w:t>
      </w:r>
      <w:r w:rsidR="00C805F8">
        <w:rPr>
          <w:rFonts w:ascii="Arial" w:hAnsi="Arial" w:cs="Arial"/>
          <w:sz w:val="20"/>
          <w:lang w:val="en-AU"/>
        </w:rPr>
        <w:t>s</w:t>
      </w:r>
      <w:r>
        <w:rPr>
          <w:rFonts w:ascii="Arial" w:hAnsi="Arial" w:cs="Arial"/>
          <w:sz w:val="20"/>
          <w:lang w:val="en-AU"/>
        </w:rPr>
        <w:t xml:space="preserve"> a change to a transmitter.</w:t>
      </w:r>
    </w:p>
    <w:p w14:paraId="20C1805D" w14:textId="77777777" w:rsidR="009863AF" w:rsidRDefault="009863AF" w:rsidP="0046418A">
      <w:pPr>
        <w:spacing w:before="80" w:after="120" w:line="276" w:lineRule="auto"/>
        <w:rPr>
          <w:rFonts w:ascii="Arial" w:hAnsi="Arial" w:cs="Arial"/>
          <w:b/>
          <w:sz w:val="20"/>
          <w:lang w:val="en-AU"/>
        </w:rPr>
      </w:pPr>
      <w:r w:rsidRPr="009863AF">
        <w:rPr>
          <w:rFonts w:ascii="Arial" w:hAnsi="Arial" w:cs="Arial"/>
          <w:b/>
          <w:sz w:val="20"/>
          <w:lang w:val="en-AU"/>
        </w:rPr>
        <w:t>Section 12</w:t>
      </w:r>
      <w:r w:rsidRPr="009863AF">
        <w:rPr>
          <w:rFonts w:ascii="Arial" w:hAnsi="Arial" w:cs="Arial"/>
          <w:b/>
          <w:sz w:val="20"/>
          <w:lang w:val="en-AU"/>
        </w:rPr>
        <w:tab/>
        <w:t>Multi-transmitter sites</w:t>
      </w:r>
    </w:p>
    <w:p w14:paraId="3A662D01" w14:textId="02F4AD4F" w:rsidR="009863AF" w:rsidRDefault="007048E4" w:rsidP="0046418A">
      <w:pPr>
        <w:spacing w:before="80" w:after="120" w:line="276" w:lineRule="auto"/>
        <w:rPr>
          <w:rFonts w:ascii="Arial" w:hAnsi="Arial" w:cs="Arial"/>
          <w:sz w:val="20"/>
          <w:lang w:val="en-AU"/>
        </w:rPr>
      </w:pPr>
      <w:r w:rsidRPr="007048E4">
        <w:rPr>
          <w:rFonts w:ascii="Arial" w:hAnsi="Arial" w:cs="Arial"/>
          <w:sz w:val="20"/>
          <w:lang w:val="en-AU"/>
        </w:rPr>
        <w:t>Section 12 provides that where a</w:t>
      </w:r>
      <w:r w:rsidR="00972DF8">
        <w:rPr>
          <w:rFonts w:ascii="Arial" w:hAnsi="Arial" w:cs="Arial"/>
          <w:sz w:val="20"/>
          <w:lang w:val="en-AU"/>
        </w:rPr>
        <w:t xml:space="preserve"> licensee operates a</w:t>
      </w:r>
      <w:r w:rsidRPr="007048E4">
        <w:rPr>
          <w:rFonts w:ascii="Arial" w:hAnsi="Arial" w:cs="Arial"/>
          <w:sz w:val="20"/>
          <w:lang w:val="en-AU"/>
        </w:rPr>
        <w:t xml:space="preserve"> </w:t>
      </w:r>
      <w:r>
        <w:rPr>
          <w:rFonts w:ascii="Arial" w:hAnsi="Arial" w:cs="Arial"/>
          <w:sz w:val="20"/>
          <w:lang w:val="en-AU"/>
        </w:rPr>
        <w:t xml:space="preserve">transmitter </w:t>
      </w:r>
      <w:r w:rsidR="00972DF8">
        <w:rPr>
          <w:rFonts w:ascii="Arial" w:hAnsi="Arial" w:cs="Arial"/>
          <w:sz w:val="20"/>
          <w:lang w:val="en-AU"/>
        </w:rPr>
        <w:t>on</w:t>
      </w:r>
      <w:r>
        <w:rPr>
          <w:rFonts w:ascii="Arial" w:hAnsi="Arial" w:cs="Arial"/>
          <w:sz w:val="20"/>
          <w:lang w:val="en-AU"/>
        </w:rPr>
        <w:t xml:space="preserve"> </w:t>
      </w:r>
      <w:r w:rsidR="008F53D6">
        <w:rPr>
          <w:rFonts w:ascii="Arial" w:hAnsi="Arial" w:cs="Arial"/>
          <w:sz w:val="20"/>
          <w:lang w:val="en-AU"/>
        </w:rPr>
        <w:t>a site that has</w:t>
      </w:r>
      <w:r>
        <w:rPr>
          <w:rFonts w:ascii="Arial" w:hAnsi="Arial" w:cs="Arial"/>
          <w:sz w:val="20"/>
          <w:lang w:val="en-AU"/>
        </w:rPr>
        <w:t xml:space="preserve"> more </w:t>
      </w:r>
      <w:r w:rsidR="008F53D6">
        <w:rPr>
          <w:rFonts w:ascii="Arial" w:hAnsi="Arial" w:cs="Arial"/>
          <w:sz w:val="20"/>
          <w:lang w:val="en-AU"/>
        </w:rPr>
        <w:t xml:space="preserve">than one </w:t>
      </w:r>
      <w:r>
        <w:rPr>
          <w:rFonts w:ascii="Arial" w:hAnsi="Arial" w:cs="Arial"/>
          <w:sz w:val="20"/>
          <w:lang w:val="en-AU"/>
        </w:rPr>
        <w:t xml:space="preserve">transmitter, and </w:t>
      </w:r>
      <w:r w:rsidR="00972DF8">
        <w:rPr>
          <w:rFonts w:ascii="Arial" w:hAnsi="Arial" w:cs="Arial"/>
          <w:sz w:val="20"/>
          <w:lang w:val="en-AU"/>
        </w:rPr>
        <w:t xml:space="preserve">keeps </w:t>
      </w:r>
      <w:r>
        <w:rPr>
          <w:rFonts w:ascii="Arial" w:hAnsi="Arial" w:cs="Arial"/>
          <w:sz w:val="20"/>
          <w:lang w:val="en-AU"/>
        </w:rPr>
        <w:t xml:space="preserve">documentation to show that </w:t>
      </w:r>
      <w:r w:rsidR="00C805F8">
        <w:rPr>
          <w:rFonts w:ascii="Arial" w:hAnsi="Arial" w:cs="Arial"/>
          <w:sz w:val="20"/>
          <w:lang w:val="en-AU"/>
        </w:rPr>
        <w:t>the</w:t>
      </w:r>
      <w:r>
        <w:rPr>
          <w:rFonts w:ascii="Arial" w:hAnsi="Arial" w:cs="Arial"/>
          <w:sz w:val="20"/>
          <w:lang w:val="en-AU"/>
        </w:rPr>
        <w:t xml:space="preserve"> transmitters</w:t>
      </w:r>
      <w:r w:rsidR="00972DF8">
        <w:rPr>
          <w:rFonts w:ascii="Arial" w:hAnsi="Arial" w:cs="Arial"/>
          <w:sz w:val="20"/>
          <w:lang w:val="en-AU"/>
        </w:rPr>
        <w:t xml:space="preserve"> on</w:t>
      </w:r>
      <w:r>
        <w:rPr>
          <w:rFonts w:ascii="Arial" w:hAnsi="Arial" w:cs="Arial"/>
          <w:sz w:val="20"/>
          <w:lang w:val="en-AU"/>
        </w:rPr>
        <w:t xml:space="preserve"> the site</w:t>
      </w:r>
      <w:r w:rsidR="00342A22">
        <w:rPr>
          <w:rFonts w:ascii="Arial" w:hAnsi="Arial" w:cs="Arial"/>
          <w:sz w:val="20"/>
          <w:lang w:val="en-AU"/>
        </w:rPr>
        <w:t xml:space="preserve">, </w:t>
      </w:r>
      <w:r>
        <w:rPr>
          <w:rFonts w:ascii="Arial" w:hAnsi="Arial" w:cs="Arial"/>
          <w:sz w:val="20"/>
          <w:lang w:val="en-AU"/>
        </w:rPr>
        <w:t>as a whole</w:t>
      </w:r>
      <w:r w:rsidR="00342A22">
        <w:rPr>
          <w:rFonts w:ascii="Arial" w:hAnsi="Arial" w:cs="Arial"/>
          <w:sz w:val="20"/>
          <w:lang w:val="en-AU"/>
        </w:rPr>
        <w:t>,</w:t>
      </w:r>
      <w:r>
        <w:rPr>
          <w:rFonts w:ascii="Arial" w:hAnsi="Arial" w:cs="Arial"/>
          <w:sz w:val="20"/>
          <w:lang w:val="en-AU"/>
        </w:rPr>
        <w:t xml:space="preserve"> </w:t>
      </w:r>
      <w:r w:rsidR="00C805F8">
        <w:rPr>
          <w:rFonts w:ascii="Arial" w:hAnsi="Arial" w:cs="Arial"/>
          <w:sz w:val="20"/>
          <w:lang w:val="en-AU"/>
        </w:rPr>
        <w:t xml:space="preserve">comply with </w:t>
      </w:r>
      <w:r>
        <w:rPr>
          <w:rFonts w:ascii="Arial" w:hAnsi="Arial" w:cs="Arial"/>
          <w:sz w:val="20"/>
          <w:lang w:val="en-AU"/>
        </w:rPr>
        <w:t xml:space="preserve">section 8, then </w:t>
      </w:r>
      <w:r w:rsidR="008102F3">
        <w:rPr>
          <w:rFonts w:ascii="Arial" w:hAnsi="Arial" w:cs="Arial"/>
          <w:sz w:val="20"/>
          <w:lang w:val="en-AU"/>
        </w:rPr>
        <w:t xml:space="preserve">the licensee </w:t>
      </w:r>
      <w:r w:rsidR="00E6186D">
        <w:rPr>
          <w:rFonts w:ascii="Arial" w:hAnsi="Arial" w:cs="Arial"/>
          <w:sz w:val="20"/>
          <w:lang w:val="en-AU"/>
        </w:rPr>
        <w:t xml:space="preserve">may use that documentation to comply with </w:t>
      </w:r>
      <w:r w:rsidR="008102F3">
        <w:rPr>
          <w:rFonts w:ascii="Arial" w:hAnsi="Arial" w:cs="Arial"/>
          <w:sz w:val="20"/>
          <w:lang w:val="en-AU"/>
        </w:rPr>
        <w:t>subsection 9(3)</w:t>
      </w:r>
      <w:r w:rsidR="00E17A56">
        <w:rPr>
          <w:rFonts w:ascii="Arial" w:hAnsi="Arial" w:cs="Arial"/>
          <w:sz w:val="20"/>
          <w:lang w:val="en-AU"/>
        </w:rPr>
        <w:t xml:space="preserve"> and paragraph 15(1)(e).</w:t>
      </w:r>
    </w:p>
    <w:p w14:paraId="35CD7944" w14:textId="77777777" w:rsidR="007048E4" w:rsidRDefault="007048E4" w:rsidP="00AE26CF">
      <w:pPr>
        <w:spacing w:before="80" w:after="120" w:line="276" w:lineRule="auto"/>
        <w:ind w:left="1440" w:hanging="1440"/>
        <w:rPr>
          <w:rFonts w:ascii="Arial" w:hAnsi="Arial" w:cs="Arial"/>
          <w:b/>
          <w:sz w:val="20"/>
          <w:lang w:val="en-AU"/>
        </w:rPr>
      </w:pPr>
      <w:r w:rsidRPr="00AE26CF">
        <w:rPr>
          <w:rFonts w:ascii="Arial" w:hAnsi="Arial" w:cs="Arial"/>
          <w:b/>
          <w:sz w:val="20"/>
          <w:lang w:val="en-AU"/>
        </w:rPr>
        <w:t>Section 13</w:t>
      </w:r>
      <w:r w:rsidR="00AE26CF">
        <w:rPr>
          <w:rFonts w:ascii="Arial" w:hAnsi="Arial" w:cs="Arial"/>
          <w:b/>
          <w:sz w:val="20"/>
          <w:lang w:val="en-AU"/>
        </w:rPr>
        <w:t xml:space="preserve"> </w:t>
      </w:r>
      <w:r w:rsidR="00AE26CF">
        <w:rPr>
          <w:rFonts w:ascii="Arial" w:hAnsi="Arial" w:cs="Arial"/>
          <w:b/>
          <w:sz w:val="20"/>
          <w:lang w:val="en-AU"/>
        </w:rPr>
        <w:tab/>
        <w:t>Exception to ARPANSA Standard – compliance documentation before 1 March 2003</w:t>
      </w:r>
    </w:p>
    <w:p w14:paraId="26B1FE58" w14:textId="2D01C575" w:rsidR="00AE26CF" w:rsidRDefault="00AE26CF" w:rsidP="002951B5">
      <w:pPr>
        <w:spacing w:before="80" w:after="120" w:line="276" w:lineRule="auto"/>
        <w:rPr>
          <w:rFonts w:ascii="Arial" w:hAnsi="Arial" w:cs="Arial"/>
          <w:sz w:val="20"/>
          <w:lang w:val="en-AU"/>
        </w:rPr>
      </w:pPr>
      <w:r w:rsidRPr="002951B5">
        <w:rPr>
          <w:rFonts w:ascii="Arial" w:hAnsi="Arial" w:cs="Arial"/>
          <w:sz w:val="20"/>
          <w:lang w:val="en-AU"/>
        </w:rPr>
        <w:t>S</w:t>
      </w:r>
      <w:r w:rsidR="00DC58AA">
        <w:rPr>
          <w:rFonts w:ascii="Arial" w:hAnsi="Arial" w:cs="Arial"/>
          <w:sz w:val="20"/>
          <w:lang w:val="en-AU"/>
        </w:rPr>
        <w:t>ubs</w:t>
      </w:r>
      <w:r w:rsidRPr="002951B5">
        <w:rPr>
          <w:rFonts w:ascii="Arial" w:hAnsi="Arial" w:cs="Arial"/>
          <w:sz w:val="20"/>
          <w:lang w:val="en-AU"/>
        </w:rPr>
        <w:t>ection</w:t>
      </w:r>
      <w:r w:rsidR="00DC58AA">
        <w:rPr>
          <w:rFonts w:ascii="Arial" w:hAnsi="Arial" w:cs="Arial"/>
          <w:sz w:val="20"/>
          <w:lang w:val="en-AU"/>
        </w:rPr>
        <w:t>s</w:t>
      </w:r>
      <w:r w:rsidRPr="002951B5">
        <w:rPr>
          <w:rFonts w:ascii="Arial" w:hAnsi="Arial" w:cs="Arial"/>
          <w:sz w:val="20"/>
          <w:lang w:val="en-AU"/>
        </w:rPr>
        <w:t xml:space="preserve"> 13</w:t>
      </w:r>
      <w:r w:rsidR="00DC58AA">
        <w:rPr>
          <w:rFonts w:ascii="Arial" w:hAnsi="Arial" w:cs="Arial"/>
          <w:sz w:val="20"/>
          <w:lang w:val="en-AU"/>
        </w:rPr>
        <w:t>(1) and 13(2)</w:t>
      </w:r>
      <w:r w:rsidRPr="002951B5">
        <w:rPr>
          <w:rFonts w:ascii="Arial" w:hAnsi="Arial" w:cs="Arial"/>
          <w:sz w:val="20"/>
          <w:lang w:val="en-AU"/>
        </w:rPr>
        <w:t xml:space="preserve"> provide that where the operation of a trans</w:t>
      </w:r>
      <w:r w:rsidR="002951B5">
        <w:rPr>
          <w:rFonts w:ascii="Arial" w:hAnsi="Arial" w:cs="Arial"/>
          <w:sz w:val="20"/>
          <w:lang w:val="en-AU"/>
        </w:rPr>
        <w:t xml:space="preserve">mitter was assessed before the </w:t>
      </w:r>
      <w:r w:rsidRPr="002951B5">
        <w:rPr>
          <w:rFonts w:ascii="Arial" w:hAnsi="Arial" w:cs="Arial"/>
          <w:sz w:val="20"/>
          <w:lang w:val="en-AU"/>
        </w:rPr>
        <w:t xml:space="preserve">commencement </w:t>
      </w:r>
      <w:r w:rsidR="002951B5">
        <w:rPr>
          <w:rFonts w:ascii="Arial" w:hAnsi="Arial" w:cs="Arial"/>
          <w:sz w:val="20"/>
          <w:lang w:val="en-AU"/>
        </w:rPr>
        <w:t xml:space="preserve">of the </w:t>
      </w:r>
      <w:r w:rsidR="00EA2BC0">
        <w:rPr>
          <w:rFonts w:ascii="Arial" w:hAnsi="Arial" w:cs="Arial"/>
          <w:sz w:val="20"/>
          <w:lang w:val="en-AU"/>
        </w:rPr>
        <w:t xml:space="preserve">2003 </w:t>
      </w:r>
      <w:r w:rsidR="002951B5">
        <w:rPr>
          <w:rFonts w:ascii="Arial" w:hAnsi="Arial" w:cs="Arial"/>
          <w:sz w:val="20"/>
          <w:lang w:val="en-AU"/>
        </w:rPr>
        <w:t xml:space="preserve">Determination, against the general public exposure limits of </w:t>
      </w:r>
      <w:r w:rsidR="002951B5" w:rsidRPr="00EA4937">
        <w:rPr>
          <w:rFonts w:ascii="Arial" w:hAnsi="Arial" w:cs="Arial"/>
          <w:sz w:val="20"/>
          <w:lang w:val="en-AU"/>
        </w:rPr>
        <w:t>AS/NZS 2772.</w:t>
      </w:r>
      <w:r w:rsidR="00B55494">
        <w:rPr>
          <w:rFonts w:ascii="Arial" w:hAnsi="Arial" w:cs="Arial"/>
          <w:sz w:val="20"/>
          <w:lang w:val="en-AU"/>
        </w:rPr>
        <w:t>1</w:t>
      </w:r>
      <w:r w:rsidR="008E4347">
        <w:rPr>
          <w:rFonts w:ascii="Arial" w:hAnsi="Arial" w:cs="Arial"/>
          <w:sz w:val="20"/>
          <w:lang w:val="en-AU"/>
        </w:rPr>
        <w:t>,</w:t>
      </w:r>
      <w:r w:rsidR="00B55494">
        <w:rPr>
          <w:rFonts w:ascii="Arial" w:hAnsi="Arial" w:cs="Arial"/>
          <w:sz w:val="20"/>
          <w:lang w:val="en-AU"/>
        </w:rPr>
        <w:t xml:space="preserve"> </w:t>
      </w:r>
      <w:r w:rsidR="00EA4937">
        <w:rPr>
          <w:rFonts w:ascii="Arial" w:hAnsi="Arial" w:cs="Arial"/>
          <w:sz w:val="20"/>
          <w:lang w:val="en-AU"/>
        </w:rPr>
        <w:t>in accordance with AS 2772.2</w:t>
      </w:r>
      <w:r w:rsidR="002951B5">
        <w:rPr>
          <w:rFonts w:ascii="Arial" w:hAnsi="Arial" w:cs="Arial"/>
          <w:sz w:val="20"/>
          <w:lang w:val="en-AU"/>
        </w:rPr>
        <w:t xml:space="preserve">, </w:t>
      </w:r>
      <w:r w:rsidR="00F73F54">
        <w:rPr>
          <w:rFonts w:ascii="Arial" w:hAnsi="Arial" w:cs="Arial"/>
          <w:sz w:val="20"/>
          <w:lang w:val="en-AU"/>
        </w:rPr>
        <w:t>and the licensee provides the necessary documentation to the ACMA</w:t>
      </w:r>
      <w:r w:rsidR="00E6186D">
        <w:rPr>
          <w:rFonts w:ascii="Arial" w:hAnsi="Arial" w:cs="Arial"/>
          <w:sz w:val="20"/>
          <w:lang w:val="en-AU"/>
        </w:rPr>
        <w:t xml:space="preserve"> upon request</w:t>
      </w:r>
      <w:r w:rsidR="00F73F54">
        <w:rPr>
          <w:rFonts w:ascii="Arial" w:hAnsi="Arial" w:cs="Arial"/>
          <w:sz w:val="20"/>
          <w:lang w:val="en-AU"/>
        </w:rPr>
        <w:t>, the licensee will be taken to have complied with subsection 9(3).</w:t>
      </w:r>
    </w:p>
    <w:p w14:paraId="15774B3D" w14:textId="6EF7684E" w:rsidR="00A21848" w:rsidRDefault="00A21848" w:rsidP="002951B5">
      <w:pPr>
        <w:spacing w:before="80" w:after="120" w:line="276" w:lineRule="auto"/>
        <w:rPr>
          <w:rFonts w:ascii="Arial" w:hAnsi="Arial" w:cs="Arial"/>
          <w:sz w:val="20"/>
          <w:lang w:val="en-AU"/>
        </w:rPr>
      </w:pPr>
      <w:r>
        <w:rPr>
          <w:rFonts w:ascii="Arial" w:hAnsi="Arial" w:cs="Arial"/>
          <w:sz w:val="20"/>
          <w:lang w:val="en-AU"/>
        </w:rPr>
        <w:t>The section also provides that where such documentation is kept</w:t>
      </w:r>
      <w:r w:rsidR="00EA2BC0">
        <w:rPr>
          <w:rFonts w:ascii="Arial" w:hAnsi="Arial" w:cs="Arial"/>
          <w:sz w:val="20"/>
          <w:lang w:val="en-AU"/>
        </w:rPr>
        <w:t>,</w:t>
      </w:r>
      <w:r>
        <w:rPr>
          <w:rFonts w:ascii="Arial" w:hAnsi="Arial" w:cs="Arial"/>
          <w:sz w:val="20"/>
          <w:lang w:val="en-AU"/>
        </w:rPr>
        <w:t xml:space="preserve"> the licensee is deemed to have complied with paragraph 15(1</w:t>
      </w:r>
      <w:proofErr w:type="gramStart"/>
      <w:r>
        <w:rPr>
          <w:rFonts w:ascii="Arial" w:hAnsi="Arial" w:cs="Arial"/>
          <w:sz w:val="20"/>
          <w:lang w:val="en-AU"/>
        </w:rPr>
        <w:t>)(</w:t>
      </w:r>
      <w:proofErr w:type="gramEnd"/>
      <w:r>
        <w:rPr>
          <w:rFonts w:ascii="Arial" w:hAnsi="Arial" w:cs="Arial"/>
          <w:sz w:val="20"/>
          <w:lang w:val="en-AU"/>
        </w:rPr>
        <w:t>e).</w:t>
      </w:r>
    </w:p>
    <w:p w14:paraId="4A555BDF" w14:textId="47B25413" w:rsidR="00E6186D" w:rsidRPr="00E6186D" w:rsidRDefault="00E6186D" w:rsidP="002951B5">
      <w:pPr>
        <w:spacing w:before="80" w:after="120" w:line="276" w:lineRule="auto"/>
        <w:rPr>
          <w:rFonts w:ascii="Arial" w:hAnsi="Arial" w:cs="Arial"/>
          <w:b/>
          <w:sz w:val="20"/>
          <w:lang w:val="en-AU"/>
        </w:rPr>
      </w:pPr>
      <w:r w:rsidRPr="00E6186D">
        <w:rPr>
          <w:rFonts w:ascii="Arial" w:hAnsi="Arial" w:cs="Arial"/>
          <w:b/>
          <w:sz w:val="20"/>
          <w:lang w:val="en-AU"/>
        </w:rPr>
        <w:t>Part 4</w:t>
      </w:r>
      <w:r w:rsidRPr="00E6186D">
        <w:rPr>
          <w:rFonts w:ascii="Arial" w:hAnsi="Arial" w:cs="Arial"/>
          <w:b/>
          <w:sz w:val="20"/>
          <w:lang w:val="en-AU"/>
        </w:rPr>
        <w:tab/>
      </w:r>
      <w:r w:rsidRPr="00E6186D">
        <w:rPr>
          <w:rFonts w:ascii="Arial" w:hAnsi="Arial" w:cs="Arial"/>
          <w:b/>
          <w:sz w:val="20"/>
          <w:lang w:val="en-AU"/>
        </w:rPr>
        <w:tab/>
        <w:t>Records</w:t>
      </w:r>
    </w:p>
    <w:p w14:paraId="1C8E31C3" w14:textId="1E857B96" w:rsidR="00A21848" w:rsidRDefault="00A21848" w:rsidP="002951B5">
      <w:pPr>
        <w:spacing w:before="80" w:after="120" w:line="276" w:lineRule="auto"/>
        <w:rPr>
          <w:rFonts w:ascii="Arial" w:hAnsi="Arial" w:cs="Arial"/>
          <w:b/>
          <w:sz w:val="20"/>
          <w:lang w:val="en-AU"/>
        </w:rPr>
      </w:pPr>
      <w:r w:rsidRPr="00A21848">
        <w:rPr>
          <w:rFonts w:ascii="Arial" w:hAnsi="Arial" w:cs="Arial"/>
          <w:b/>
          <w:sz w:val="20"/>
          <w:lang w:val="en-AU"/>
        </w:rPr>
        <w:t xml:space="preserve">Section 14 </w:t>
      </w:r>
      <w:r w:rsidRPr="00A21848">
        <w:rPr>
          <w:rFonts w:ascii="Arial" w:hAnsi="Arial" w:cs="Arial"/>
          <w:b/>
          <w:sz w:val="20"/>
          <w:lang w:val="en-AU"/>
        </w:rPr>
        <w:tab/>
      </w:r>
      <w:r>
        <w:rPr>
          <w:rFonts w:ascii="Arial" w:hAnsi="Arial" w:cs="Arial"/>
          <w:b/>
          <w:sz w:val="20"/>
          <w:lang w:val="en-AU"/>
        </w:rPr>
        <w:t xml:space="preserve">Application of </w:t>
      </w:r>
      <w:r w:rsidR="008E4347">
        <w:rPr>
          <w:rFonts w:ascii="Arial" w:hAnsi="Arial" w:cs="Arial"/>
          <w:b/>
          <w:sz w:val="20"/>
          <w:lang w:val="en-AU"/>
        </w:rPr>
        <w:t>this Part</w:t>
      </w:r>
    </w:p>
    <w:p w14:paraId="1617CE13" w14:textId="246972D9" w:rsidR="00A21848" w:rsidRDefault="00A21848" w:rsidP="002951B5">
      <w:pPr>
        <w:spacing w:before="80" w:after="120" w:line="276" w:lineRule="auto"/>
        <w:rPr>
          <w:rFonts w:ascii="Arial" w:hAnsi="Arial" w:cs="Arial"/>
          <w:sz w:val="20"/>
          <w:lang w:val="en-AU"/>
        </w:rPr>
      </w:pPr>
      <w:r w:rsidRPr="00A21848">
        <w:rPr>
          <w:rFonts w:ascii="Arial" w:hAnsi="Arial" w:cs="Arial"/>
          <w:sz w:val="20"/>
          <w:lang w:val="en-AU"/>
        </w:rPr>
        <w:t>Section 14 provides that Part 4 of the Determination applies to those trans</w:t>
      </w:r>
      <w:r w:rsidR="002D4667">
        <w:rPr>
          <w:rFonts w:ascii="Arial" w:hAnsi="Arial" w:cs="Arial"/>
          <w:sz w:val="20"/>
          <w:lang w:val="en-AU"/>
        </w:rPr>
        <w:t>m</w:t>
      </w:r>
      <w:r w:rsidRPr="00A21848">
        <w:rPr>
          <w:rFonts w:ascii="Arial" w:hAnsi="Arial" w:cs="Arial"/>
          <w:sz w:val="20"/>
          <w:lang w:val="en-AU"/>
        </w:rPr>
        <w:t>itters to which section 10 applies</w:t>
      </w:r>
      <w:r w:rsidR="009674B3">
        <w:rPr>
          <w:rFonts w:ascii="Arial" w:hAnsi="Arial" w:cs="Arial"/>
          <w:sz w:val="20"/>
          <w:lang w:val="en-AU"/>
        </w:rPr>
        <w:t>.</w:t>
      </w:r>
    </w:p>
    <w:p w14:paraId="2A496647" w14:textId="77777777" w:rsidR="00A21848" w:rsidRDefault="00A21848" w:rsidP="002951B5">
      <w:pPr>
        <w:spacing w:before="80" w:after="120" w:line="276" w:lineRule="auto"/>
        <w:rPr>
          <w:rFonts w:ascii="Arial" w:hAnsi="Arial" w:cs="Arial"/>
          <w:b/>
          <w:sz w:val="20"/>
          <w:lang w:val="en-AU"/>
        </w:rPr>
      </w:pPr>
      <w:r w:rsidRPr="00A21848">
        <w:rPr>
          <w:rFonts w:ascii="Arial" w:hAnsi="Arial" w:cs="Arial"/>
          <w:b/>
          <w:sz w:val="20"/>
          <w:lang w:val="en-AU"/>
        </w:rPr>
        <w:t>Section 15</w:t>
      </w:r>
      <w:r w:rsidRPr="00A21848">
        <w:rPr>
          <w:rFonts w:ascii="Arial" w:hAnsi="Arial" w:cs="Arial"/>
          <w:b/>
          <w:sz w:val="20"/>
          <w:lang w:val="en-AU"/>
        </w:rPr>
        <w:tab/>
        <w:t>Records</w:t>
      </w:r>
    </w:p>
    <w:p w14:paraId="5CE56E2F" w14:textId="37C500ED" w:rsidR="00C31731" w:rsidRDefault="00C41FE7" w:rsidP="008C0B02">
      <w:pPr>
        <w:spacing w:before="80" w:after="120" w:line="276" w:lineRule="auto"/>
        <w:rPr>
          <w:rFonts w:ascii="Arial" w:hAnsi="Arial" w:cs="Arial"/>
          <w:sz w:val="20"/>
          <w:lang w:val="en-AU"/>
        </w:rPr>
      </w:pPr>
      <w:r w:rsidRPr="00C41FE7">
        <w:rPr>
          <w:rFonts w:ascii="Arial" w:hAnsi="Arial" w:cs="Arial"/>
          <w:sz w:val="20"/>
          <w:lang w:val="en-AU"/>
        </w:rPr>
        <w:t>S</w:t>
      </w:r>
      <w:r w:rsidR="00C31731">
        <w:rPr>
          <w:rFonts w:ascii="Arial" w:hAnsi="Arial" w:cs="Arial"/>
          <w:sz w:val="20"/>
          <w:lang w:val="en-AU"/>
        </w:rPr>
        <w:t>ubs</w:t>
      </w:r>
      <w:r w:rsidRPr="00C41FE7">
        <w:rPr>
          <w:rFonts w:ascii="Arial" w:hAnsi="Arial" w:cs="Arial"/>
          <w:sz w:val="20"/>
          <w:lang w:val="en-AU"/>
        </w:rPr>
        <w:t>ection</w:t>
      </w:r>
      <w:r w:rsidR="00C31731">
        <w:rPr>
          <w:rFonts w:ascii="Arial" w:hAnsi="Arial" w:cs="Arial"/>
          <w:sz w:val="20"/>
          <w:lang w:val="en-AU"/>
        </w:rPr>
        <w:t>s</w:t>
      </w:r>
      <w:r w:rsidRPr="00C41FE7">
        <w:rPr>
          <w:rFonts w:ascii="Arial" w:hAnsi="Arial" w:cs="Arial"/>
          <w:sz w:val="20"/>
          <w:lang w:val="en-AU"/>
        </w:rPr>
        <w:t xml:space="preserve"> 15</w:t>
      </w:r>
      <w:r w:rsidR="00C31731">
        <w:rPr>
          <w:rFonts w:ascii="Arial" w:hAnsi="Arial" w:cs="Arial"/>
          <w:sz w:val="20"/>
          <w:lang w:val="en-AU"/>
        </w:rPr>
        <w:t>(1) and 15(2)</w:t>
      </w:r>
      <w:r w:rsidRPr="00C41FE7">
        <w:rPr>
          <w:rFonts w:ascii="Arial" w:hAnsi="Arial" w:cs="Arial"/>
          <w:sz w:val="20"/>
          <w:lang w:val="en-AU"/>
        </w:rPr>
        <w:t xml:space="preserve"> </w:t>
      </w:r>
      <w:r w:rsidR="009674B3">
        <w:rPr>
          <w:rFonts w:ascii="Arial" w:hAnsi="Arial" w:cs="Arial"/>
          <w:sz w:val="20"/>
          <w:lang w:val="en-AU"/>
        </w:rPr>
        <w:t>set out</w:t>
      </w:r>
      <w:r w:rsidR="009674B3" w:rsidRPr="00C41FE7">
        <w:rPr>
          <w:rFonts w:ascii="Arial" w:hAnsi="Arial" w:cs="Arial"/>
          <w:sz w:val="20"/>
          <w:lang w:val="en-AU"/>
        </w:rPr>
        <w:t xml:space="preserve"> </w:t>
      </w:r>
      <w:r w:rsidRPr="00C41FE7">
        <w:rPr>
          <w:rFonts w:ascii="Arial" w:hAnsi="Arial" w:cs="Arial"/>
          <w:sz w:val="20"/>
          <w:lang w:val="en-AU"/>
        </w:rPr>
        <w:t xml:space="preserve">the </w:t>
      </w:r>
      <w:r w:rsidR="009674B3">
        <w:rPr>
          <w:rFonts w:ascii="Arial" w:hAnsi="Arial" w:cs="Arial"/>
          <w:sz w:val="20"/>
          <w:lang w:val="en-AU"/>
        </w:rPr>
        <w:t xml:space="preserve">particular </w:t>
      </w:r>
      <w:r w:rsidRPr="00C41FE7">
        <w:rPr>
          <w:rFonts w:ascii="Arial" w:hAnsi="Arial" w:cs="Arial"/>
          <w:sz w:val="20"/>
          <w:lang w:val="en-AU"/>
        </w:rPr>
        <w:t xml:space="preserve">records a licensee must keep in relation to a transmitter to which </w:t>
      </w:r>
      <w:r w:rsidR="00EA2BC0">
        <w:rPr>
          <w:rFonts w:ascii="Arial" w:hAnsi="Arial" w:cs="Arial"/>
          <w:sz w:val="20"/>
          <w:lang w:val="en-AU"/>
        </w:rPr>
        <w:t>Par</w:t>
      </w:r>
      <w:r w:rsidRPr="00C41FE7">
        <w:rPr>
          <w:rFonts w:ascii="Arial" w:hAnsi="Arial" w:cs="Arial"/>
          <w:sz w:val="20"/>
          <w:lang w:val="en-AU"/>
        </w:rPr>
        <w:t>t 4 applies</w:t>
      </w:r>
      <w:r w:rsidR="002D4667">
        <w:rPr>
          <w:rFonts w:ascii="Arial" w:hAnsi="Arial" w:cs="Arial"/>
          <w:sz w:val="20"/>
          <w:lang w:val="en-AU"/>
        </w:rPr>
        <w:t>, including a declaration of conformity</w:t>
      </w:r>
      <w:r w:rsidR="00C31731">
        <w:rPr>
          <w:rFonts w:ascii="Arial" w:hAnsi="Arial" w:cs="Arial"/>
          <w:sz w:val="20"/>
          <w:lang w:val="en-AU"/>
        </w:rPr>
        <w:t>.</w:t>
      </w:r>
    </w:p>
    <w:p w14:paraId="68C0EA59" w14:textId="77777777" w:rsidR="002D4667" w:rsidRDefault="002D4667" w:rsidP="002D4667">
      <w:pPr>
        <w:spacing w:before="80" w:after="120" w:line="276" w:lineRule="auto"/>
        <w:rPr>
          <w:rFonts w:ascii="Arial" w:hAnsi="Arial" w:cs="Arial"/>
          <w:sz w:val="20"/>
          <w:lang w:val="en-AU"/>
        </w:rPr>
      </w:pPr>
      <w:r w:rsidRPr="00C41FE7">
        <w:rPr>
          <w:rFonts w:ascii="Arial" w:hAnsi="Arial" w:cs="Arial"/>
          <w:sz w:val="20"/>
          <w:lang w:val="en-AU"/>
        </w:rPr>
        <w:t>Subsection 15(3) provides that the licensee must amend the declaration of conformity in accordance with any changes to the information included in it.</w:t>
      </w:r>
    </w:p>
    <w:p w14:paraId="4BEB3A0A" w14:textId="37FD7ECC" w:rsidR="00C41FE7" w:rsidRDefault="00C31731" w:rsidP="008C0B02">
      <w:pPr>
        <w:spacing w:before="80" w:after="120" w:line="276" w:lineRule="auto"/>
        <w:rPr>
          <w:rFonts w:ascii="Arial" w:hAnsi="Arial" w:cs="Arial"/>
          <w:b/>
          <w:sz w:val="20"/>
          <w:lang w:val="en-AU"/>
        </w:rPr>
      </w:pPr>
      <w:r>
        <w:rPr>
          <w:rFonts w:ascii="Arial" w:hAnsi="Arial" w:cs="Arial"/>
          <w:sz w:val="20"/>
          <w:lang w:val="en-AU"/>
        </w:rPr>
        <w:t>Subsections 15(4) and 15(5) specify</w:t>
      </w:r>
      <w:r w:rsidR="00C41FE7" w:rsidRPr="00C41FE7">
        <w:rPr>
          <w:rFonts w:ascii="Arial" w:hAnsi="Arial" w:cs="Arial"/>
          <w:sz w:val="20"/>
          <w:lang w:val="en-AU"/>
        </w:rPr>
        <w:t xml:space="preserve"> that </w:t>
      </w:r>
      <w:r w:rsidR="00BC3EF1" w:rsidRPr="00C41FE7">
        <w:rPr>
          <w:rFonts w:ascii="Arial" w:hAnsi="Arial" w:cs="Arial"/>
          <w:sz w:val="20"/>
          <w:lang w:val="en-AU"/>
        </w:rPr>
        <w:t>the</w:t>
      </w:r>
      <w:r w:rsidR="00BC3EF1">
        <w:rPr>
          <w:rFonts w:ascii="Arial" w:hAnsi="Arial" w:cs="Arial"/>
          <w:sz w:val="20"/>
          <w:lang w:val="en-AU"/>
        </w:rPr>
        <w:t xml:space="preserve"> records</w:t>
      </w:r>
      <w:r w:rsidR="00BC3EF1" w:rsidRPr="00C41FE7">
        <w:rPr>
          <w:rFonts w:ascii="Arial" w:hAnsi="Arial" w:cs="Arial"/>
          <w:sz w:val="20"/>
          <w:lang w:val="en-AU"/>
        </w:rPr>
        <w:t xml:space="preserve"> </w:t>
      </w:r>
      <w:r w:rsidR="00C41FE7" w:rsidRPr="00C41FE7">
        <w:rPr>
          <w:rFonts w:ascii="Arial" w:hAnsi="Arial" w:cs="Arial"/>
          <w:sz w:val="20"/>
          <w:lang w:val="en-AU"/>
        </w:rPr>
        <w:t>must be kept for at least twelve months after the licence has expired</w:t>
      </w:r>
      <w:r w:rsidR="00BC3EF1">
        <w:rPr>
          <w:rFonts w:ascii="Arial" w:hAnsi="Arial" w:cs="Arial"/>
          <w:sz w:val="20"/>
          <w:lang w:val="en-AU"/>
        </w:rPr>
        <w:t>, and where the records must be kept available for inspection</w:t>
      </w:r>
      <w:r w:rsidR="00C41FE7">
        <w:rPr>
          <w:rFonts w:ascii="Arial" w:hAnsi="Arial" w:cs="Arial"/>
          <w:b/>
          <w:sz w:val="20"/>
          <w:lang w:val="en-AU"/>
        </w:rPr>
        <w:t xml:space="preserve">. </w:t>
      </w:r>
    </w:p>
    <w:p w14:paraId="1B3EDBF1" w14:textId="77777777" w:rsidR="00C41FE7" w:rsidRDefault="00C41FE7" w:rsidP="002951B5">
      <w:pPr>
        <w:spacing w:before="80" w:after="120" w:line="276" w:lineRule="auto"/>
        <w:rPr>
          <w:rFonts w:ascii="Arial" w:hAnsi="Arial" w:cs="Arial"/>
          <w:b/>
          <w:sz w:val="20"/>
          <w:lang w:val="en-AU"/>
        </w:rPr>
      </w:pPr>
      <w:r w:rsidRPr="00C41FE7">
        <w:rPr>
          <w:rFonts w:ascii="Arial" w:hAnsi="Arial" w:cs="Arial"/>
          <w:b/>
          <w:sz w:val="20"/>
          <w:lang w:val="en-AU"/>
        </w:rPr>
        <w:t>Section 16</w:t>
      </w:r>
      <w:r w:rsidRPr="00C41FE7">
        <w:rPr>
          <w:rFonts w:ascii="Arial" w:hAnsi="Arial" w:cs="Arial"/>
          <w:b/>
          <w:sz w:val="20"/>
          <w:lang w:val="en-AU"/>
        </w:rPr>
        <w:tab/>
        <w:t>Provision of information to an authorised officer</w:t>
      </w:r>
    </w:p>
    <w:p w14:paraId="55887BC0" w14:textId="1BC18CB2" w:rsidR="00C41FE7" w:rsidRPr="00F75005" w:rsidRDefault="00C41FE7" w:rsidP="002951B5">
      <w:pPr>
        <w:spacing w:before="80" w:after="120" w:line="276" w:lineRule="auto"/>
        <w:rPr>
          <w:rFonts w:ascii="Arial" w:hAnsi="Arial" w:cs="Arial"/>
          <w:sz w:val="20"/>
          <w:lang w:val="en-AU"/>
        </w:rPr>
      </w:pPr>
      <w:r w:rsidRPr="00C41FE7">
        <w:rPr>
          <w:rFonts w:ascii="Arial" w:hAnsi="Arial" w:cs="Arial"/>
          <w:sz w:val="20"/>
          <w:lang w:val="en-AU"/>
        </w:rPr>
        <w:t>S</w:t>
      </w:r>
      <w:r w:rsidR="009E0E73">
        <w:rPr>
          <w:rFonts w:ascii="Arial" w:hAnsi="Arial" w:cs="Arial"/>
          <w:sz w:val="20"/>
          <w:lang w:val="en-AU"/>
        </w:rPr>
        <w:t>ubs</w:t>
      </w:r>
      <w:r w:rsidRPr="00C41FE7">
        <w:rPr>
          <w:rFonts w:ascii="Arial" w:hAnsi="Arial" w:cs="Arial"/>
          <w:sz w:val="20"/>
          <w:lang w:val="en-AU"/>
        </w:rPr>
        <w:t>ection 16</w:t>
      </w:r>
      <w:r w:rsidR="009E0E73">
        <w:rPr>
          <w:rFonts w:ascii="Arial" w:hAnsi="Arial" w:cs="Arial"/>
          <w:sz w:val="20"/>
          <w:lang w:val="en-AU"/>
        </w:rPr>
        <w:t>(1)</w:t>
      </w:r>
      <w:r w:rsidRPr="00C41FE7">
        <w:rPr>
          <w:rFonts w:ascii="Arial" w:hAnsi="Arial" w:cs="Arial"/>
          <w:sz w:val="20"/>
          <w:lang w:val="en-AU"/>
        </w:rPr>
        <w:t xml:space="preserve"> provides that the licensee</w:t>
      </w:r>
      <w:r>
        <w:rPr>
          <w:rFonts w:ascii="Arial" w:hAnsi="Arial" w:cs="Arial"/>
          <w:sz w:val="20"/>
          <w:lang w:val="en-AU"/>
        </w:rPr>
        <w:t xml:space="preserve"> must give information </w:t>
      </w:r>
      <w:r w:rsidR="004C11CA">
        <w:rPr>
          <w:rFonts w:ascii="Arial" w:hAnsi="Arial" w:cs="Arial"/>
          <w:sz w:val="20"/>
          <w:lang w:val="en-AU"/>
        </w:rPr>
        <w:t>about the licensee’s compliance with the Determ</w:t>
      </w:r>
      <w:r w:rsidR="002D4667">
        <w:rPr>
          <w:rFonts w:ascii="Arial" w:hAnsi="Arial" w:cs="Arial"/>
          <w:sz w:val="20"/>
          <w:lang w:val="en-AU"/>
        </w:rPr>
        <w:t>i</w:t>
      </w:r>
      <w:r w:rsidR="004C11CA">
        <w:rPr>
          <w:rFonts w:ascii="Arial" w:hAnsi="Arial" w:cs="Arial"/>
          <w:sz w:val="20"/>
          <w:lang w:val="en-AU"/>
        </w:rPr>
        <w:t>nation</w:t>
      </w:r>
      <w:r>
        <w:rPr>
          <w:rFonts w:ascii="Arial" w:hAnsi="Arial" w:cs="Arial"/>
          <w:sz w:val="20"/>
          <w:lang w:val="en-AU"/>
        </w:rPr>
        <w:t xml:space="preserve"> to an ACMA officer within 20 days of </w:t>
      </w:r>
      <w:r w:rsidR="00257D03">
        <w:rPr>
          <w:rFonts w:ascii="Arial" w:hAnsi="Arial" w:cs="Arial"/>
          <w:sz w:val="20"/>
          <w:lang w:val="en-AU"/>
        </w:rPr>
        <w:t>such a</w:t>
      </w:r>
      <w:r>
        <w:rPr>
          <w:rFonts w:ascii="Arial" w:hAnsi="Arial" w:cs="Arial"/>
          <w:sz w:val="20"/>
          <w:lang w:val="en-AU"/>
        </w:rPr>
        <w:t xml:space="preserve"> request.</w:t>
      </w:r>
    </w:p>
    <w:p w14:paraId="70004E5D" w14:textId="31C70E63" w:rsidR="00125072" w:rsidRPr="008E41C4" w:rsidRDefault="00125072" w:rsidP="00125072">
      <w:pPr>
        <w:spacing w:before="80" w:after="120" w:line="276" w:lineRule="auto"/>
        <w:rPr>
          <w:rFonts w:ascii="Arial" w:hAnsi="Arial" w:cs="Arial"/>
          <w:sz w:val="20"/>
          <w:lang w:val="en-AU"/>
        </w:rPr>
      </w:pPr>
      <w:r w:rsidRPr="008E41C4">
        <w:rPr>
          <w:rFonts w:ascii="Arial" w:hAnsi="Arial" w:cs="Arial"/>
          <w:sz w:val="20"/>
          <w:lang w:val="en-AU"/>
        </w:rPr>
        <w:t xml:space="preserve">However, where the licensee provides </w:t>
      </w:r>
      <w:r w:rsidR="00EB4125">
        <w:rPr>
          <w:rFonts w:ascii="Arial" w:hAnsi="Arial" w:cs="Arial"/>
          <w:sz w:val="20"/>
          <w:lang w:val="en-AU"/>
        </w:rPr>
        <w:t xml:space="preserve">written </w:t>
      </w:r>
      <w:r w:rsidRPr="008E41C4">
        <w:rPr>
          <w:rFonts w:ascii="Arial" w:hAnsi="Arial" w:cs="Arial"/>
          <w:sz w:val="20"/>
          <w:lang w:val="en-AU"/>
        </w:rPr>
        <w:t xml:space="preserve">evidence that it is unable to </w:t>
      </w:r>
      <w:r w:rsidR="00EB4125">
        <w:rPr>
          <w:rFonts w:ascii="Arial" w:hAnsi="Arial" w:cs="Arial"/>
          <w:sz w:val="20"/>
          <w:lang w:val="en-AU"/>
        </w:rPr>
        <w:t>comply within that timeframe</w:t>
      </w:r>
      <w:r w:rsidRPr="008E41C4">
        <w:rPr>
          <w:rFonts w:ascii="Arial" w:hAnsi="Arial" w:cs="Arial"/>
          <w:sz w:val="20"/>
          <w:lang w:val="en-AU"/>
        </w:rPr>
        <w:t>, the licensee can propose an alter</w:t>
      </w:r>
      <w:r w:rsidR="009E0E73" w:rsidRPr="008E41C4">
        <w:rPr>
          <w:rFonts w:ascii="Arial" w:hAnsi="Arial" w:cs="Arial"/>
          <w:sz w:val="20"/>
          <w:lang w:val="en-AU"/>
        </w:rPr>
        <w:t>native date to meet the request</w:t>
      </w:r>
      <w:r w:rsidRPr="008E41C4">
        <w:rPr>
          <w:rFonts w:ascii="Arial" w:hAnsi="Arial" w:cs="Arial"/>
          <w:sz w:val="20"/>
          <w:lang w:val="en-AU"/>
        </w:rPr>
        <w:t xml:space="preserve"> i</w:t>
      </w:r>
      <w:r w:rsidR="009E0E73" w:rsidRPr="008E41C4">
        <w:rPr>
          <w:rFonts w:ascii="Arial" w:hAnsi="Arial" w:cs="Arial"/>
          <w:sz w:val="20"/>
          <w:lang w:val="en-AU"/>
        </w:rPr>
        <w:t>n accordance with subsection</w:t>
      </w:r>
      <w:r w:rsidR="005A4BD0">
        <w:rPr>
          <w:rFonts w:ascii="Arial" w:hAnsi="Arial" w:cs="Arial"/>
          <w:sz w:val="20"/>
          <w:lang w:val="en-AU"/>
        </w:rPr>
        <w:t>s</w:t>
      </w:r>
      <w:r w:rsidR="009E0E73" w:rsidRPr="008E41C4">
        <w:rPr>
          <w:rFonts w:ascii="Arial" w:hAnsi="Arial" w:cs="Arial"/>
          <w:sz w:val="20"/>
          <w:lang w:val="en-AU"/>
        </w:rPr>
        <w:t xml:space="preserve"> 16(2)</w:t>
      </w:r>
      <w:r w:rsidR="005A4BD0">
        <w:rPr>
          <w:rFonts w:ascii="Arial" w:hAnsi="Arial" w:cs="Arial"/>
          <w:sz w:val="20"/>
          <w:lang w:val="en-AU"/>
        </w:rPr>
        <w:t xml:space="preserve"> and 16(3)</w:t>
      </w:r>
      <w:r w:rsidR="009E0E73" w:rsidRPr="008E41C4">
        <w:rPr>
          <w:rFonts w:ascii="Arial" w:hAnsi="Arial" w:cs="Arial"/>
          <w:sz w:val="20"/>
          <w:lang w:val="en-AU"/>
        </w:rPr>
        <w:t>.</w:t>
      </w:r>
    </w:p>
    <w:p w14:paraId="56CB28EA" w14:textId="77777777" w:rsidR="00C41FE7" w:rsidRPr="008E41C4" w:rsidRDefault="00125072" w:rsidP="00125072">
      <w:pPr>
        <w:spacing w:before="80" w:after="120" w:line="276" w:lineRule="auto"/>
        <w:rPr>
          <w:rFonts w:ascii="Arial" w:hAnsi="Arial" w:cs="Arial"/>
          <w:sz w:val="20"/>
          <w:lang w:val="en-AU"/>
        </w:rPr>
      </w:pPr>
      <w:r w:rsidRPr="008E41C4">
        <w:rPr>
          <w:rFonts w:ascii="Arial" w:hAnsi="Arial" w:cs="Arial"/>
          <w:sz w:val="20"/>
          <w:lang w:val="en-AU"/>
        </w:rPr>
        <w:t xml:space="preserve">Subsections </w:t>
      </w:r>
      <w:r w:rsidR="009E0E73" w:rsidRPr="008E41C4">
        <w:rPr>
          <w:rFonts w:ascii="Arial" w:hAnsi="Arial" w:cs="Arial"/>
          <w:sz w:val="20"/>
          <w:lang w:val="en-AU"/>
        </w:rPr>
        <w:t>16(4) and 16(5)</w:t>
      </w:r>
      <w:r w:rsidRPr="008E41C4">
        <w:rPr>
          <w:rFonts w:ascii="Arial" w:hAnsi="Arial" w:cs="Arial"/>
          <w:sz w:val="20"/>
          <w:lang w:val="en-AU"/>
        </w:rPr>
        <w:t xml:space="preserve"> provide that the ACMA must take the written advice into consideration before instituting regulatory action ag</w:t>
      </w:r>
      <w:r w:rsidR="002D4667">
        <w:rPr>
          <w:rFonts w:ascii="Arial" w:hAnsi="Arial" w:cs="Arial"/>
          <w:sz w:val="20"/>
          <w:lang w:val="en-AU"/>
        </w:rPr>
        <w:t>a</w:t>
      </w:r>
      <w:r w:rsidRPr="008E41C4">
        <w:rPr>
          <w:rFonts w:ascii="Arial" w:hAnsi="Arial" w:cs="Arial"/>
          <w:sz w:val="20"/>
          <w:lang w:val="en-AU"/>
        </w:rPr>
        <w:t>inst the licensee. If the ACMA elects not to take regulatory action against the licensee, the ACMA must advise the licensee of this as soon as practicable.</w:t>
      </w:r>
    </w:p>
    <w:p w14:paraId="1427ABD1" w14:textId="77777777" w:rsidR="00A21848" w:rsidRDefault="0071309B" w:rsidP="0071309B">
      <w:pPr>
        <w:spacing w:before="80" w:after="120" w:line="276" w:lineRule="auto"/>
        <w:ind w:left="1440" w:hanging="1440"/>
        <w:rPr>
          <w:rFonts w:ascii="Arial" w:hAnsi="Arial" w:cs="Arial"/>
          <w:b/>
          <w:sz w:val="20"/>
          <w:lang w:val="en-AU"/>
        </w:rPr>
      </w:pPr>
      <w:r>
        <w:rPr>
          <w:rFonts w:ascii="Arial" w:hAnsi="Arial" w:cs="Arial"/>
          <w:b/>
          <w:sz w:val="20"/>
          <w:lang w:val="en-AU"/>
        </w:rPr>
        <w:t xml:space="preserve">Section 17 </w:t>
      </w:r>
      <w:r>
        <w:rPr>
          <w:rFonts w:ascii="Arial" w:hAnsi="Arial" w:cs="Arial"/>
          <w:b/>
          <w:sz w:val="20"/>
          <w:lang w:val="en-AU"/>
        </w:rPr>
        <w:tab/>
        <w:t>Dispute over reliability of evaluation provided in compliance documentation</w:t>
      </w:r>
    </w:p>
    <w:p w14:paraId="50F71CC2" w14:textId="35FAD5D8" w:rsidR="00E01E7E" w:rsidRDefault="0071309B" w:rsidP="0071309B">
      <w:pPr>
        <w:spacing w:before="80" w:after="120" w:line="276" w:lineRule="auto"/>
        <w:rPr>
          <w:rFonts w:ascii="Arial" w:hAnsi="Arial" w:cs="Arial"/>
          <w:sz w:val="20"/>
          <w:lang w:val="en-AU"/>
        </w:rPr>
      </w:pPr>
      <w:r w:rsidRPr="0071309B">
        <w:rPr>
          <w:rFonts w:ascii="Arial" w:hAnsi="Arial" w:cs="Arial"/>
          <w:sz w:val="20"/>
          <w:lang w:val="en-AU"/>
        </w:rPr>
        <w:t>S</w:t>
      </w:r>
      <w:r w:rsidR="00E01E7E">
        <w:rPr>
          <w:rFonts w:ascii="Arial" w:hAnsi="Arial" w:cs="Arial"/>
          <w:sz w:val="20"/>
          <w:lang w:val="en-AU"/>
        </w:rPr>
        <w:t>ubs</w:t>
      </w:r>
      <w:r w:rsidRPr="0071309B">
        <w:rPr>
          <w:rFonts w:ascii="Arial" w:hAnsi="Arial" w:cs="Arial"/>
          <w:sz w:val="20"/>
          <w:lang w:val="en-AU"/>
        </w:rPr>
        <w:t>ection 17</w:t>
      </w:r>
      <w:r w:rsidR="00E01E7E">
        <w:rPr>
          <w:rFonts w:ascii="Arial" w:hAnsi="Arial" w:cs="Arial"/>
          <w:sz w:val="20"/>
          <w:lang w:val="en-AU"/>
        </w:rPr>
        <w:t>(1)</w:t>
      </w:r>
      <w:r w:rsidRPr="0071309B">
        <w:rPr>
          <w:rFonts w:ascii="Arial" w:hAnsi="Arial" w:cs="Arial"/>
          <w:sz w:val="20"/>
          <w:lang w:val="en-AU"/>
        </w:rPr>
        <w:t xml:space="preserve"> provides that if a licensee and the ACMA do not ag</w:t>
      </w:r>
      <w:r>
        <w:rPr>
          <w:rFonts w:ascii="Arial" w:hAnsi="Arial" w:cs="Arial"/>
          <w:sz w:val="20"/>
          <w:lang w:val="en-AU"/>
        </w:rPr>
        <w:t xml:space="preserve">ree about whether a transmitter </w:t>
      </w:r>
      <w:r w:rsidR="00DE6017">
        <w:rPr>
          <w:rFonts w:ascii="Arial" w:hAnsi="Arial" w:cs="Arial"/>
          <w:sz w:val="20"/>
          <w:lang w:val="en-AU"/>
        </w:rPr>
        <w:t>complies</w:t>
      </w:r>
      <w:r w:rsidRPr="0071309B">
        <w:rPr>
          <w:rFonts w:ascii="Arial" w:hAnsi="Arial" w:cs="Arial"/>
          <w:sz w:val="20"/>
          <w:lang w:val="en-AU"/>
        </w:rPr>
        <w:t xml:space="preserve"> with </w:t>
      </w:r>
      <w:r w:rsidR="00112757">
        <w:rPr>
          <w:rFonts w:ascii="Arial" w:hAnsi="Arial" w:cs="Arial"/>
          <w:sz w:val="20"/>
          <w:lang w:val="en-AU"/>
        </w:rPr>
        <w:t xml:space="preserve">section 8, the ACMA may </w:t>
      </w:r>
      <w:r w:rsidR="00DE6017">
        <w:rPr>
          <w:rFonts w:ascii="Arial" w:hAnsi="Arial" w:cs="Arial"/>
          <w:sz w:val="20"/>
          <w:lang w:val="en-AU"/>
        </w:rPr>
        <w:t xml:space="preserve">request </w:t>
      </w:r>
      <w:r w:rsidR="00112757">
        <w:rPr>
          <w:rFonts w:ascii="Arial" w:hAnsi="Arial" w:cs="Arial"/>
          <w:sz w:val="20"/>
          <w:lang w:val="en-AU"/>
        </w:rPr>
        <w:t xml:space="preserve">the licensee to have the transmitter </w:t>
      </w:r>
      <w:r w:rsidR="00112757">
        <w:rPr>
          <w:rFonts w:ascii="Arial" w:hAnsi="Arial" w:cs="Arial"/>
          <w:sz w:val="20"/>
          <w:lang w:val="en-AU"/>
        </w:rPr>
        <w:lastRenderedPageBreak/>
        <w:t xml:space="preserve">assessed by a body accredited by the National </w:t>
      </w:r>
      <w:r w:rsidR="00CF071C">
        <w:rPr>
          <w:rFonts w:ascii="Arial" w:hAnsi="Arial" w:cs="Arial"/>
          <w:sz w:val="20"/>
          <w:lang w:val="en-AU"/>
        </w:rPr>
        <w:t xml:space="preserve">Association </w:t>
      </w:r>
      <w:r w:rsidR="00112757">
        <w:rPr>
          <w:rFonts w:ascii="Arial" w:hAnsi="Arial" w:cs="Arial"/>
          <w:sz w:val="20"/>
          <w:lang w:val="en-AU"/>
        </w:rPr>
        <w:t>of Testing Authorities (NATA)</w:t>
      </w:r>
      <w:r w:rsidR="00DE6017">
        <w:rPr>
          <w:rFonts w:ascii="Arial" w:hAnsi="Arial" w:cs="Arial"/>
          <w:sz w:val="20"/>
          <w:lang w:val="en-AU"/>
        </w:rPr>
        <w:t xml:space="preserve"> and to obtain and provide a report on compliance</w:t>
      </w:r>
      <w:r w:rsidR="00112757">
        <w:rPr>
          <w:rFonts w:ascii="Arial" w:hAnsi="Arial" w:cs="Arial"/>
          <w:sz w:val="20"/>
          <w:lang w:val="en-AU"/>
        </w:rPr>
        <w:t xml:space="preserve">. </w:t>
      </w:r>
    </w:p>
    <w:p w14:paraId="33172248" w14:textId="72EA9436" w:rsidR="0071309B" w:rsidRDefault="00E01E7E" w:rsidP="0071309B">
      <w:pPr>
        <w:spacing w:before="80" w:after="120" w:line="276" w:lineRule="auto"/>
        <w:rPr>
          <w:rFonts w:ascii="Arial" w:hAnsi="Arial" w:cs="Arial"/>
          <w:sz w:val="20"/>
          <w:lang w:val="en-AU"/>
        </w:rPr>
      </w:pPr>
      <w:r>
        <w:rPr>
          <w:rFonts w:ascii="Arial" w:hAnsi="Arial" w:cs="Arial"/>
          <w:sz w:val="20"/>
          <w:lang w:val="en-AU"/>
        </w:rPr>
        <w:t xml:space="preserve">Subsections 17(2) and 17(3) provide that the </w:t>
      </w:r>
      <w:r w:rsidR="00112757">
        <w:rPr>
          <w:rFonts w:ascii="Arial" w:hAnsi="Arial" w:cs="Arial"/>
          <w:sz w:val="20"/>
          <w:lang w:val="en-AU"/>
        </w:rPr>
        <w:t>licensee must comply with such a request within 30 days and pay all costs associated with providing the information to the ACMA.</w:t>
      </w:r>
    </w:p>
    <w:p w14:paraId="198AFBE6" w14:textId="77777777" w:rsidR="00112757" w:rsidRDefault="00112757" w:rsidP="0071309B">
      <w:pPr>
        <w:spacing w:before="80" w:after="120" w:line="276" w:lineRule="auto"/>
        <w:rPr>
          <w:rFonts w:ascii="Arial" w:hAnsi="Arial" w:cs="Arial"/>
          <w:b/>
          <w:sz w:val="20"/>
          <w:lang w:val="en-AU"/>
        </w:rPr>
      </w:pPr>
      <w:r w:rsidRPr="00112757">
        <w:rPr>
          <w:rFonts w:ascii="Arial" w:hAnsi="Arial" w:cs="Arial"/>
          <w:b/>
          <w:sz w:val="20"/>
          <w:lang w:val="en-AU"/>
        </w:rPr>
        <w:t xml:space="preserve">Section 18 </w:t>
      </w:r>
      <w:r w:rsidRPr="00112757">
        <w:rPr>
          <w:rFonts w:ascii="Arial" w:hAnsi="Arial" w:cs="Arial"/>
          <w:b/>
          <w:sz w:val="20"/>
          <w:lang w:val="en-AU"/>
        </w:rPr>
        <w:tab/>
        <w:t>Agents</w:t>
      </w:r>
    </w:p>
    <w:p w14:paraId="03EE74EF" w14:textId="7715D531" w:rsidR="00E01E7E" w:rsidRDefault="00112757" w:rsidP="0071309B">
      <w:pPr>
        <w:spacing w:before="80" w:after="120" w:line="276" w:lineRule="auto"/>
        <w:rPr>
          <w:rFonts w:ascii="Arial" w:hAnsi="Arial" w:cs="Arial"/>
          <w:sz w:val="20"/>
          <w:lang w:val="en-AU"/>
        </w:rPr>
      </w:pPr>
      <w:r>
        <w:rPr>
          <w:rFonts w:ascii="Arial" w:hAnsi="Arial" w:cs="Arial"/>
          <w:sz w:val="20"/>
          <w:lang w:val="en-AU"/>
        </w:rPr>
        <w:t>S</w:t>
      </w:r>
      <w:r w:rsidR="00E01E7E">
        <w:rPr>
          <w:rFonts w:ascii="Arial" w:hAnsi="Arial" w:cs="Arial"/>
          <w:sz w:val="20"/>
          <w:lang w:val="en-AU"/>
        </w:rPr>
        <w:t>ubs</w:t>
      </w:r>
      <w:r>
        <w:rPr>
          <w:rFonts w:ascii="Arial" w:hAnsi="Arial" w:cs="Arial"/>
          <w:sz w:val="20"/>
          <w:lang w:val="en-AU"/>
        </w:rPr>
        <w:t>ection 18</w:t>
      </w:r>
      <w:r w:rsidR="00E01E7E">
        <w:rPr>
          <w:rFonts w:ascii="Arial" w:hAnsi="Arial" w:cs="Arial"/>
          <w:sz w:val="20"/>
          <w:lang w:val="en-AU"/>
        </w:rPr>
        <w:t>(1)</w:t>
      </w:r>
      <w:r>
        <w:rPr>
          <w:rFonts w:ascii="Arial" w:hAnsi="Arial" w:cs="Arial"/>
          <w:sz w:val="20"/>
          <w:lang w:val="en-AU"/>
        </w:rPr>
        <w:t xml:space="preserve"> </w:t>
      </w:r>
      <w:r w:rsidR="00311D43">
        <w:rPr>
          <w:rFonts w:ascii="Arial" w:hAnsi="Arial" w:cs="Arial"/>
          <w:sz w:val="20"/>
          <w:lang w:val="en-AU"/>
        </w:rPr>
        <w:t xml:space="preserve">provides that </w:t>
      </w:r>
      <w:r>
        <w:rPr>
          <w:rFonts w:ascii="Arial" w:hAnsi="Arial" w:cs="Arial"/>
          <w:sz w:val="20"/>
          <w:lang w:val="en-AU"/>
        </w:rPr>
        <w:t xml:space="preserve">a licensee </w:t>
      </w:r>
      <w:r w:rsidR="00311D43">
        <w:rPr>
          <w:rFonts w:ascii="Arial" w:hAnsi="Arial" w:cs="Arial"/>
          <w:sz w:val="20"/>
          <w:lang w:val="en-AU"/>
        </w:rPr>
        <w:t>may</w:t>
      </w:r>
      <w:r>
        <w:rPr>
          <w:rFonts w:ascii="Arial" w:hAnsi="Arial" w:cs="Arial"/>
          <w:sz w:val="20"/>
          <w:lang w:val="en-AU"/>
        </w:rPr>
        <w:t xml:space="preserve"> use an agent to ensure that </w:t>
      </w:r>
      <w:r w:rsidR="009F7FC4">
        <w:rPr>
          <w:rFonts w:ascii="Arial" w:hAnsi="Arial" w:cs="Arial"/>
          <w:sz w:val="20"/>
          <w:lang w:val="en-AU"/>
        </w:rPr>
        <w:t xml:space="preserve">a </w:t>
      </w:r>
      <w:r>
        <w:rPr>
          <w:rFonts w:ascii="Arial" w:hAnsi="Arial" w:cs="Arial"/>
          <w:sz w:val="20"/>
          <w:lang w:val="en-AU"/>
        </w:rPr>
        <w:t xml:space="preserve">transmitter complies with the </w:t>
      </w:r>
      <w:r w:rsidR="009F7FC4">
        <w:rPr>
          <w:rFonts w:ascii="Arial" w:hAnsi="Arial" w:cs="Arial"/>
          <w:sz w:val="20"/>
          <w:lang w:val="en-AU"/>
        </w:rPr>
        <w:t>Determination,</w:t>
      </w:r>
      <w:r>
        <w:rPr>
          <w:rFonts w:ascii="Arial" w:hAnsi="Arial" w:cs="Arial"/>
          <w:sz w:val="20"/>
          <w:lang w:val="en-AU"/>
        </w:rPr>
        <w:t xml:space="preserve"> and to keep the required documentation. </w:t>
      </w:r>
    </w:p>
    <w:p w14:paraId="6E08A826" w14:textId="1BA0B8EE" w:rsidR="00112757" w:rsidRPr="00112757" w:rsidRDefault="00E01E7E" w:rsidP="0071309B">
      <w:pPr>
        <w:spacing w:before="80" w:after="120" w:line="276" w:lineRule="auto"/>
        <w:rPr>
          <w:rFonts w:ascii="Arial" w:hAnsi="Arial" w:cs="Arial"/>
          <w:b/>
          <w:sz w:val="20"/>
          <w:lang w:val="en-AU"/>
        </w:rPr>
      </w:pPr>
      <w:r>
        <w:rPr>
          <w:rFonts w:ascii="Arial" w:hAnsi="Arial" w:cs="Arial"/>
          <w:sz w:val="20"/>
          <w:lang w:val="en-AU"/>
        </w:rPr>
        <w:t>Subsection 18(2) provides that, i</w:t>
      </w:r>
      <w:r w:rsidR="00112757">
        <w:rPr>
          <w:rFonts w:ascii="Arial" w:hAnsi="Arial" w:cs="Arial"/>
          <w:sz w:val="20"/>
          <w:lang w:val="en-AU"/>
        </w:rPr>
        <w:t>f a licensee uses an agent, both the licensee and the agent must keep a copy of the agency agreement</w:t>
      </w:r>
      <w:r>
        <w:rPr>
          <w:rFonts w:ascii="Arial" w:hAnsi="Arial" w:cs="Arial"/>
          <w:sz w:val="20"/>
          <w:lang w:val="en-AU"/>
        </w:rPr>
        <w:t xml:space="preserve"> for the same period that records must be kept under the Determination</w:t>
      </w:r>
      <w:r w:rsidR="00112757">
        <w:rPr>
          <w:rFonts w:ascii="Arial" w:hAnsi="Arial" w:cs="Arial"/>
          <w:sz w:val="20"/>
          <w:lang w:val="en-AU"/>
        </w:rPr>
        <w:t>.</w:t>
      </w:r>
    </w:p>
    <w:p w14:paraId="5D27A3E7" w14:textId="77777777" w:rsidR="0046418A" w:rsidRPr="0046418A" w:rsidRDefault="0046418A" w:rsidP="0046418A">
      <w:pPr>
        <w:spacing w:before="80" w:after="120" w:line="276" w:lineRule="auto"/>
        <w:rPr>
          <w:rFonts w:ascii="Arial" w:hAnsi="Arial" w:cs="Arial"/>
          <w:sz w:val="20"/>
          <w:lang w:val="en-AU"/>
        </w:rPr>
      </w:pPr>
    </w:p>
    <w:p w14:paraId="54C7B68C" w14:textId="77777777" w:rsidR="00914D5C" w:rsidRDefault="00914D5C" w:rsidP="00914D5C">
      <w:pPr>
        <w:spacing w:line="360" w:lineRule="auto"/>
        <w:jc w:val="right"/>
        <w:outlineLvl w:val="0"/>
        <w:rPr>
          <w:rFonts w:ascii="Arial" w:hAnsi="Arial" w:cs="Arial"/>
          <w:b/>
          <w:sz w:val="22"/>
          <w:szCs w:val="22"/>
          <w:lang w:val="en-AU"/>
        </w:rPr>
      </w:pPr>
      <w:r w:rsidRPr="005A5476">
        <w:rPr>
          <w:rFonts w:ascii="Arial" w:hAnsi="Arial" w:cs="Arial"/>
          <w:b/>
          <w:color w:val="000000"/>
          <w:sz w:val="22"/>
          <w:szCs w:val="22"/>
        </w:rPr>
        <w:br w:type="page"/>
      </w:r>
      <w:r w:rsidRPr="005A5476">
        <w:rPr>
          <w:rFonts w:ascii="Arial" w:hAnsi="Arial" w:cs="Arial"/>
          <w:b/>
          <w:sz w:val="22"/>
          <w:szCs w:val="22"/>
          <w:lang w:val="en-AU"/>
        </w:rPr>
        <w:lastRenderedPageBreak/>
        <w:t>ATTACHMENT B</w:t>
      </w:r>
    </w:p>
    <w:p w14:paraId="0CB30CB4" w14:textId="77777777" w:rsidR="00914D5C" w:rsidRDefault="00914D5C" w:rsidP="00914D5C">
      <w:pPr>
        <w:spacing w:line="360" w:lineRule="auto"/>
        <w:jc w:val="center"/>
        <w:outlineLvl w:val="0"/>
        <w:rPr>
          <w:rFonts w:ascii="Arial" w:hAnsi="Arial" w:cs="Arial"/>
          <w:b/>
          <w:sz w:val="22"/>
          <w:szCs w:val="22"/>
          <w:lang w:val="en-AU"/>
        </w:rPr>
      </w:pPr>
    </w:p>
    <w:p w14:paraId="4BFB01D3" w14:textId="77777777" w:rsidR="00914D5C" w:rsidRPr="005A5476" w:rsidRDefault="00914D5C" w:rsidP="00914D5C">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Statement of Compatibility with Human Rights</w:t>
      </w:r>
    </w:p>
    <w:p w14:paraId="7781CA79" w14:textId="77777777" w:rsidR="00914D5C" w:rsidRPr="009E6BC6" w:rsidRDefault="00914D5C" w:rsidP="00914D5C">
      <w:pPr>
        <w:spacing w:line="360" w:lineRule="auto"/>
        <w:jc w:val="center"/>
        <w:rPr>
          <w:rFonts w:ascii="Arial" w:hAnsi="Arial" w:cs="Arial"/>
          <w:sz w:val="20"/>
          <w:lang w:val="en-AU"/>
        </w:rPr>
      </w:pPr>
      <w:r w:rsidRPr="009E6BC6">
        <w:rPr>
          <w:rFonts w:ascii="Arial" w:hAnsi="Arial" w:cs="Arial"/>
          <w:sz w:val="20"/>
          <w:lang w:val="en-AU"/>
        </w:rPr>
        <w:t xml:space="preserve">Prepared in accordance with Part 3 of the </w:t>
      </w:r>
      <w:r w:rsidRPr="009E6BC6">
        <w:rPr>
          <w:rFonts w:ascii="Arial" w:hAnsi="Arial" w:cs="Arial"/>
          <w:i/>
          <w:sz w:val="20"/>
          <w:lang w:val="en-AU"/>
        </w:rPr>
        <w:t>Human Rights (Parliamentary Scrutiny) Act 2011</w:t>
      </w:r>
    </w:p>
    <w:p w14:paraId="49418775" w14:textId="77777777" w:rsidR="00914D5C" w:rsidRPr="005A5476" w:rsidRDefault="00914D5C" w:rsidP="00914D5C">
      <w:pPr>
        <w:rPr>
          <w:rFonts w:ascii="Arial" w:hAnsi="Arial" w:cs="Arial"/>
          <w:i/>
          <w:sz w:val="22"/>
          <w:szCs w:val="22"/>
        </w:rPr>
      </w:pPr>
    </w:p>
    <w:p w14:paraId="71F664F3" w14:textId="77777777" w:rsidR="00914D5C" w:rsidRPr="00113113" w:rsidRDefault="00914D5C" w:rsidP="00914D5C">
      <w:pPr>
        <w:spacing w:line="360" w:lineRule="auto"/>
        <w:jc w:val="center"/>
        <w:outlineLvl w:val="0"/>
        <w:rPr>
          <w:rFonts w:ascii="Arial" w:hAnsi="Arial" w:cs="Arial"/>
          <w:b/>
          <w:sz w:val="22"/>
          <w:szCs w:val="22"/>
          <w:lang w:val="en-AU"/>
        </w:rPr>
      </w:pPr>
    </w:p>
    <w:p w14:paraId="148BA921" w14:textId="5A4D79FE" w:rsidR="00914D5C" w:rsidRPr="00113113" w:rsidRDefault="00112757" w:rsidP="00914D5C">
      <w:pPr>
        <w:spacing w:line="360" w:lineRule="auto"/>
        <w:jc w:val="center"/>
        <w:outlineLvl w:val="0"/>
        <w:rPr>
          <w:rFonts w:ascii="Arial" w:hAnsi="Arial" w:cs="Arial"/>
          <w:b/>
          <w:sz w:val="22"/>
          <w:szCs w:val="22"/>
          <w:lang w:val="en-AU"/>
        </w:rPr>
      </w:pPr>
      <w:proofErr w:type="spellStart"/>
      <w:r w:rsidRPr="00112757">
        <w:rPr>
          <w:rFonts w:ascii="Arial" w:hAnsi="Arial" w:cs="Arial"/>
          <w:b/>
          <w:sz w:val="22"/>
          <w:szCs w:val="22"/>
          <w:lang w:val="en-AU" w:eastAsia="en-US"/>
        </w:rPr>
        <w:t>Radiocommunications</w:t>
      </w:r>
      <w:proofErr w:type="spellEnd"/>
      <w:r w:rsidRPr="00112757">
        <w:rPr>
          <w:rFonts w:ascii="Arial" w:hAnsi="Arial" w:cs="Arial"/>
          <w:b/>
          <w:sz w:val="22"/>
          <w:szCs w:val="22"/>
          <w:lang w:val="en-AU" w:eastAsia="en-US"/>
        </w:rPr>
        <w:t xml:space="preserve"> Licence Conditions (Apparatus Licence) Determination 201</w:t>
      </w:r>
      <w:r w:rsidR="002D4667">
        <w:rPr>
          <w:rFonts w:ascii="Arial" w:hAnsi="Arial" w:cs="Arial"/>
          <w:b/>
          <w:sz w:val="22"/>
          <w:szCs w:val="22"/>
          <w:lang w:val="en-AU" w:eastAsia="en-US"/>
        </w:rPr>
        <w:t>5</w:t>
      </w:r>
    </w:p>
    <w:p w14:paraId="4CE40B5D" w14:textId="77777777" w:rsidR="00914D5C" w:rsidRPr="005A5476" w:rsidRDefault="00914D5C" w:rsidP="00914D5C">
      <w:pPr>
        <w:rPr>
          <w:rFonts w:ascii="Arial" w:hAnsi="Arial" w:cs="Arial"/>
          <w:b/>
          <w:sz w:val="22"/>
          <w:szCs w:val="22"/>
        </w:rPr>
      </w:pPr>
    </w:p>
    <w:p w14:paraId="6394C759" w14:textId="77777777" w:rsidR="00914D5C" w:rsidRPr="009E6BC6" w:rsidRDefault="00914D5C" w:rsidP="00914D5C">
      <w:pPr>
        <w:spacing w:line="360" w:lineRule="auto"/>
        <w:rPr>
          <w:rFonts w:ascii="Arial" w:hAnsi="Arial" w:cs="Arial"/>
          <w:sz w:val="20"/>
        </w:rPr>
      </w:pPr>
      <w:r w:rsidRPr="009E6BC6">
        <w:rPr>
          <w:rFonts w:ascii="Arial" w:hAnsi="Arial" w:cs="Arial"/>
          <w:sz w:val="20"/>
        </w:rPr>
        <w:t xml:space="preserve">This legislative instrument is compatible with the human rights and freedoms recognised or declared in the international instruments listed in section 3 of the </w:t>
      </w:r>
      <w:r w:rsidRPr="009E6BC6">
        <w:rPr>
          <w:rFonts w:ascii="Arial" w:hAnsi="Arial" w:cs="Arial"/>
          <w:i/>
          <w:sz w:val="20"/>
        </w:rPr>
        <w:t>Human Rights (Parliamentary Scrutiny) Act 2011</w:t>
      </w:r>
      <w:r w:rsidRPr="009E6BC6">
        <w:rPr>
          <w:rFonts w:ascii="Arial" w:hAnsi="Arial" w:cs="Arial"/>
          <w:sz w:val="20"/>
        </w:rPr>
        <w:t>.</w:t>
      </w:r>
    </w:p>
    <w:p w14:paraId="5DB095FE" w14:textId="77777777" w:rsidR="00914D5C" w:rsidRPr="005A5476" w:rsidRDefault="00914D5C" w:rsidP="00914D5C">
      <w:pPr>
        <w:spacing w:line="360" w:lineRule="auto"/>
        <w:rPr>
          <w:rFonts w:ascii="Arial" w:hAnsi="Arial" w:cs="Arial"/>
          <w:sz w:val="22"/>
          <w:szCs w:val="22"/>
        </w:rPr>
      </w:pPr>
    </w:p>
    <w:p w14:paraId="5A772A5B"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Overview of the Legislative Instrument</w:t>
      </w:r>
    </w:p>
    <w:p w14:paraId="28A0D348" w14:textId="5329BC2F" w:rsidR="00914D5C" w:rsidRDefault="00914D5C" w:rsidP="00914D5C">
      <w:pPr>
        <w:spacing w:line="360" w:lineRule="auto"/>
        <w:outlineLvl w:val="0"/>
        <w:rPr>
          <w:rFonts w:ascii="Arial" w:hAnsi="Arial" w:cs="Arial"/>
          <w:sz w:val="22"/>
          <w:szCs w:val="22"/>
          <w:lang w:val="en-AU"/>
        </w:rPr>
      </w:pPr>
      <w:r w:rsidRPr="008E6EB9">
        <w:rPr>
          <w:rFonts w:ascii="Arial" w:hAnsi="Arial" w:cs="Arial"/>
          <w:sz w:val="20"/>
        </w:rPr>
        <w:t xml:space="preserve">The </w:t>
      </w:r>
      <w:proofErr w:type="spellStart"/>
      <w:r w:rsidR="00112757" w:rsidRPr="00112757">
        <w:rPr>
          <w:rFonts w:ascii="Arial" w:hAnsi="Arial" w:cs="Arial"/>
          <w:i/>
          <w:sz w:val="20"/>
        </w:rPr>
        <w:t>Radiocommunications</w:t>
      </w:r>
      <w:proofErr w:type="spellEnd"/>
      <w:r w:rsidR="00112757" w:rsidRPr="00112757">
        <w:rPr>
          <w:rFonts w:ascii="Arial" w:hAnsi="Arial" w:cs="Arial"/>
          <w:i/>
          <w:sz w:val="20"/>
        </w:rPr>
        <w:t xml:space="preserve"> Licence Conditions (Apparatus Licence) Determination 201</w:t>
      </w:r>
      <w:r w:rsidR="002D4667">
        <w:rPr>
          <w:rFonts w:ascii="Arial" w:hAnsi="Arial" w:cs="Arial"/>
          <w:i/>
          <w:sz w:val="20"/>
        </w:rPr>
        <w:t>5</w:t>
      </w:r>
      <w:r w:rsidR="00112757">
        <w:rPr>
          <w:rFonts w:ascii="Arial" w:hAnsi="Arial" w:cs="Arial"/>
          <w:sz w:val="20"/>
        </w:rPr>
        <w:t xml:space="preserve"> </w:t>
      </w:r>
      <w:r w:rsidRPr="008E6EB9">
        <w:rPr>
          <w:rFonts w:ascii="Arial" w:hAnsi="Arial" w:cs="Arial"/>
          <w:sz w:val="20"/>
        </w:rPr>
        <w:t xml:space="preserve">(the </w:t>
      </w:r>
      <w:r w:rsidR="003E63FC">
        <w:rPr>
          <w:rFonts w:ascii="Arial" w:hAnsi="Arial" w:cs="Arial"/>
          <w:sz w:val="20"/>
        </w:rPr>
        <w:t>De</w:t>
      </w:r>
      <w:r w:rsidR="00112757">
        <w:rPr>
          <w:rFonts w:ascii="Arial" w:hAnsi="Arial" w:cs="Arial"/>
          <w:sz w:val="20"/>
        </w:rPr>
        <w:t>term</w:t>
      </w:r>
      <w:r w:rsidR="00311D43">
        <w:rPr>
          <w:rFonts w:ascii="Arial" w:hAnsi="Arial" w:cs="Arial"/>
          <w:sz w:val="20"/>
        </w:rPr>
        <w:t>i</w:t>
      </w:r>
      <w:r w:rsidR="00112757">
        <w:rPr>
          <w:rFonts w:ascii="Arial" w:hAnsi="Arial" w:cs="Arial"/>
          <w:sz w:val="20"/>
        </w:rPr>
        <w:t>nation</w:t>
      </w:r>
      <w:r w:rsidRPr="008E6EB9">
        <w:rPr>
          <w:rFonts w:ascii="Arial" w:hAnsi="Arial" w:cs="Arial"/>
          <w:sz w:val="20"/>
        </w:rPr>
        <w:t xml:space="preserve">) </w:t>
      </w:r>
      <w:r>
        <w:rPr>
          <w:rFonts w:ascii="Arial" w:hAnsi="Arial" w:cs="Arial"/>
          <w:sz w:val="20"/>
        </w:rPr>
        <w:t>revokes</w:t>
      </w:r>
      <w:r w:rsidRPr="008E6EB9">
        <w:rPr>
          <w:rFonts w:ascii="Arial" w:hAnsi="Arial" w:cs="Arial"/>
          <w:sz w:val="20"/>
        </w:rPr>
        <w:t xml:space="preserve"> </w:t>
      </w:r>
      <w:r>
        <w:rPr>
          <w:rFonts w:ascii="Arial" w:hAnsi="Arial" w:cs="Arial"/>
          <w:sz w:val="20"/>
        </w:rPr>
        <w:t xml:space="preserve">and replaces </w:t>
      </w:r>
      <w:r w:rsidRPr="008E6EB9">
        <w:rPr>
          <w:rFonts w:ascii="Arial" w:hAnsi="Arial" w:cs="Arial"/>
          <w:sz w:val="20"/>
        </w:rPr>
        <w:t xml:space="preserve">the </w:t>
      </w:r>
      <w:proofErr w:type="spellStart"/>
      <w:r w:rsidR="00112757">
        <w:rPr>
          <w:rFonts w:ascii="Arial" w:hAnsi="Arial" w:cs="Arial"/>
          <w:i/>
          <w:sz w:val="20"/>
        </w:rPr>
        <w:t>Radiocommunications</w:t>
      </w:r>
      <w:proofErr w:type="spellEnd"/>
      <w:r w:rsidR="00112757">
        <w:rPr>
          <w:rFonts w:ascii="Arial" w:hAnsi="Arial" w:cs="Arial"/>
          <w:i/>
          <w:sz w:val="20"/>
        </w:rPr>
        <w:t xml:space="preserve"> Licence Conditions (Apparatus Licence) Determination 2003</w:t>
      </w:r>
      <w:r w:rsidRPr="008E6EB9">
        <w:rPr>
          <w:rFonts w:ascii="Arial" w:hAnsi="Arial" w:cs="Arial"/>
          <w:i/>
          <w:sz w:val="20"/>
        </w:rPr>
        <w:t xml:space="preserve"> </w:t>
      </w:r>
      <w:r>
        <w:rPr>
          <w:rFonts w:ascii="Arial" w:hAnsi="Arial" w:cs="Arial"/>
          <w:sz w:val="20"/>
        </w:rPr>
        <w:t>without making any significant changes to the regulatory arrangements created by that instrument.</w:t>
      </w:r>
    </w:p>
    <w:p w14:paraId="3CD62C0D" w14:textId="77777777" w:rsidR="00914D5C" w:rsidRDefault="00914D5C" w:rsidP="00914D5C">
      <w:pPr>
        <w:spacing w:line="360" w:lineRule="auto"/>
        <w:rPr>
          <w:rFonts w:ascii="Arial" w:hAnsi="Arial" w:cs="Arial"/>
          <w:sz w:val="20"/>
        </w:rPr>
      </w:pPr>
    </w:p>
    <w:p w14:paraId="7F64BFB7" w14:textId="210D45BB" w:rsidR="00112757" w:rsidRPr="00026C1A" w:rsidRDefault="003E63FC" w:rsidP="00112757">
      <w:pPr>
        <w:keepNext/>
        <w:spacing w:line="360" w:lineRule="auto"/>
        <w:outlineLvl w:val="0"/>
        <w:rPr>
          <w:rFonts w:ascii="Arial" w:hAnsi="Arial" w:cs="Arial"/>
          <w:sz w:val="20"/>
        </w:rPr>
      </w:pPr>
      <w:r w:rsidRPr="001418A8">
        <w:rPr>
          <w:rFonts w:ascii="Arial" w:hAnsi="Arial" w:cs="Arial"/>
          <w:sz w:val="20"/>
        </w:rPr>
        <w:t xml:space="preserve">The </w:t>
      </w:r>
      <w:r w:rsidR="00112757">
        <w:rPr>
          <w:rFonts w:ascii="Arial" w:hAnsi="Arial" w:cs="Arial"/>
          <w:sz w:val="20"/>
        </w:rPr>
        <w:t xml:space="preserve">Determination contains conditions that apply to all </w:t>
      </w:r>
      <w:r w:rsidR="005A4BD0">
        <w:rPr>
          <w:rFonts w:ascii="Arial" w:hAnsi="Arial" w:cs="Arial"/>
          <w:sz w:val="20"/>
        </w:rPr>
        <w:t xml:space="preserve">transmitter </w:t>
      </w:r>
      <w:r w:rsidR="00112757">
        <w:rPr>
          <w:rFonts w:ascii="Arial" w:hAnsi="Arial" w:cs="Arial"/>
          <w:sz w:val="20"/>
        </w:rPr>
        <w:t>licences issued under section 100</w:t>
      </w:r>
      <w:r w:rsidR="002A2015">
        <w:rPr>
          <w:rFonts w:ascii="Arial" w:hAnsi="Arial" w:cs="Arial"/>
          <w:sz w:val="20"/>
        </w:rPr>
        <w:t xml:space="preserve"> </w:t>
      </w:r>
      <w:r w:rsidR="00112757">
        <w:rPr>
          <w:rFonts w:ascii="Arial" w:hAnsi="Arial" w:cs="Arial"/>
          <w:sz w:val="20"/>
        </w:rPr>
        <w:t>or section 100B</w:t>
      </w:r>
      <w:r w:rsidR="002A2015">
        <w:rPr>
          <w:rFonts w:ascii="Arial" w:hAnsi="Arial" w:cs="Arial"/>
          <w:sz w:val="20"/>
        </w:rPr>
        <w:t xml:space="preserve"> </w:t>
      </w:r>
      <w:r w:rsidR="00112757">
        <w:rPr>
          <w:rFonts w:ascii="Arial" w:hAnsi="Arial" w:cs="Arial"/>
          <w:sz w:val="20"/>
        </w:rPr>
        <w:t xml:space="preserve">of the Act.  </w:t>
      </w:r>
      <w:r w:rsidR="00112757" w:rsidRPr="00026C1A">
        <w:rPr>
          <w:rFonts w:ascii="Arial" w:hAnsi="Arial" w:cs="Arial"/>
          <w:sz w:val="20"/>
        </w:rPr>
        <w:t xml:space="preserve">The conditions imposed by the Determination relate to permitted communications and the exposure of the general public to EME from </w:t>
      </w:r>
      <w:proofErr w:type="spellStart"/>
      <w:r w:rsidR="00112757" w:rsidRPr="00026C1A">
        <w:rPr>
          <w:rFonts w:ascii="Arial" w:hAnsi="Arial" w:cs="Arial"/>
          <w:sz w:val="20"/>
        </w:rPr>
        <w:t>radiocommunications</w:t>
      </w:r>
      <w:proofErr w:type="spellEnd"/>
      <w:r w:rsidR="00112757" w:rsidRPr="00026C1A">
        <w:rPr>
          <w:rFonts w:ascii="Arial" w:hAnsi="Arial" w:cs="Arial"/>
          <w:sz w:val="20"/>
        </w:rPr>
        <w:t xml:space="preserve"> transmitters.</w:t>
      </w:r>
    </w:p>
    <w:p w14:paraId="571BDD3E" w14:textId="77777777" w:rsidR="003E63FC" w:rsidRPr="008E6EB9" w:rsidRDefault="003E63FC" w:rsidP="00914D5C">
      <w:pPr>
        <w:spacing w:line="360" w:lineRule="auto"/>
        <w:rPr>
          <w:rFonts w:ascii="Arial" w:hAnsi="Arial" w:cs="Arial"/>
          <w:sz w:val="20"/>
        </w:rPr>
      </w:pPr>
    </w:p>
    <w:p w14:paraId="630386D6"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Human Rights Implications</w:t>
      </w:r>
    </w:p>
    <w:p w14:paraId="1958AE7D" w14:textId="77777777" w:rsidR="00914D5C" w:rsidRPr="009E6BC6" w:rsidRDefault="00914D5C" w:rsidP="00914D5C">
      <w:pPr>
        <w:spacing w:line="360" w:lineRule="auto"/>
        <w:outlineLvl w:val="0"/>
        <w:rPr>
          <w:rFonts w:ascii="Arial" w:hAnsi="Arial" w:cs="Arial"/>
          <w:sz w:val="20"/>
        </w:rPr>
      </w:pPr>
      <w:r w:rsidRPr="009E6BC6">
        <w:rPr>
          <w:rFonts w:ascii="Arial" w:hAnsi="Arial" w:cs="Arial"/>
          <w:sz w:val="20"/>
        </w:rPr>
        <w:t xml:space="preserve">The </w:t>
      </w:r>
      <w:r w:rsidR="00112757">
        <w:rPr>
          <w:rFonts w:ascii="Arial" w:hAnsi="Arial" w:cs="Arial"/>
          <w:sz w:val="20"/>
        </w:rPr>
        <w:t>Determination</w:t>
      </w:r>
      <w:r>
        <w:rPr>
          <w:rFonts w:ascii="Arial" w:hAnsi="Arial" w:cs="Arial"/>
          <w:sz w:val="20"/>
        </w:rPr>
        <w:t xml:space="preserve"> </w:t>
      </w:r>
      <w:r w:rsidRPr="009E6BC6">
        <w:rPr>
          <w:rFonts w:ascii="Arial" w:hAnsi="Arial" w:cs="Arial"/>
          <w:sz w:val="20"/>
        </w:rPr>
        <w:t>does not engage any of the applicable rights or freedoms.</w:t>
      </w:r>
    </w:p>
    <w:p w14:paraId="7A2AB6B7"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Conclusion</w:t>
      </w:r>
    </w:p>
    <w:p w14:paraId="53B08B5B" w14:textId="77777777" w:rsidR="00914D5C" w:rsidRPr="009E6BC6" w:rsidRDefault="00914D5C" w:rsidP="00914D5C">
      <w:pPr>
        <w:spacing w:line="360" w:lineRule="auto"/>
        <w:outlineLvl w:val="0"/>
        <w:rPr>
          <w:rFonts w:ascii="Arial" w:hAnsi="Arial" w:cs="Arial"/>
          <w:b/>
          <w:sz w:val="20"/>
        </w:rPr>
      </w:pPr>
      <w:r w:rsidRPr="009E6BC6">
        <w:rPr>
          <w:rFonts w:ascii="Arial" w:hAnsi="Arial" w:cs="Arial"/>
          <w:sz w:val="20"/>
        </w:rPr>
        <w:t xml:space="preserve">The </w:t>
      </w:r>
      <w:r w:rsidR="003E63FC">
        <w:rPr>
          <w:rFonts w:ascii="Arial" w:hAnsi="Arial" w:cs="Arial"/>
          <w:sz w:val="20"/>
        </w:rPr>
        <w:t>D</w:t>
      </w:r>
      <w:r w:rsidR="00112757">
        <w:rPr>
          <w:rFonts w:ascii="Arial" w:hAnsi="Arial" w:cs="Arial"/>
          <w:sz w:val="20"/>
        </w:rPr>
        <w:t>etermination</w:t>
      </w:r>
      <w:r w:rsidRPr="009E6BC6">
        <w:rPr>
          <w:rFonts w:ascii="Arial" w:hAnsi="Arial" w:cs="Arial"/>
          <w:sz w:val="20"/>
        </w:rPr>
        <w:t xml:space="preserve"> is compatible with human rights as it does not raise any human rights issues.</w:t>
      </w:r>
    </w:p>
    <w:p w14:paraId="04E47AD9" w14:textId="77777777" w:rsidR="00A61538" w:rsidRPr="00914D5C" w:rsidRDefault="00A61538" w:rsidP="00914D5C"/>
    <w:sectPr w:rsidR="00A61538" w:rsidRPr="00914D5C" w:rsidSect="008C193D">
      <w:footerReference w:type="default" r:id="rId16"/>
      <w:pgSz w:w="11907" w:h="16840" w:code="9"/>
      <w:pgMar w:top="1440" w:right="164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F2D32" w14:textId="77777777" w:rsidR="0086336B" w:rsidRDefault="0086336B">
      <w:r>
        <w:separator/>
      </w:r>
    </w:p>
  </w:endnote>
  <w:endnote w:type="continuationSeparator" w:id="0">
    <w:p w14:paraId="7A159AF6" w14:textId="77777777" w:rsidR="0086336B" w:rsidRDefault="0086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EED6" w14:textId="77777777" w:rsidR="00B87B6E" w:rsidRDefault="00B87B6E">
    <w:pPr>
      <w:pStyle w:val="Footer"/>
      <w:rPr>
        <w:rStyle w:val="PageNumber"/>
        <w:sz w:val="16"/>
        <w:szCs w:val="16"/>
      </w:rPr>
    </w:pPr>
    <w:r w:rsidRPr="00E363A4">
      <w:rPr>
        <w:sz w:val="16"/>
        <w:szCs w:val="16"/>
        <w:lang w:val="en-AU"/>
      </w:rPr>
      <w:tab/>
    </w:r>
    <w:r w:rsidRPr="00E363A4">
      <w:rPr>
        <w:sz w:val="16"/>
        <w:szCs w:val="16"/>
        <w:lang w:val="en-AU"/>
      </w:rPr>
      <w:tab/>
      <w:t xml:space="preserve">Page </w:t>
    </w:r>
    <w:r w:rsidR="00113193" w:rsidRPr="00E363A4">
      <w:rPr>
        <w:rStyle w:val="PageNumber"/>
        <w:sz w:val="16"/>
        <w:szCs w:val="16"/>
      </w:rPr>
      <w:fldChar w:fldCharType="begin"/>
    </w:r>
    <w:r w:rsidRPr="00E363A4">
      <w:rPr>
        <w:rStyle w:val="PageNumber"/>
        <w:sz w:val="16"/>
        <w:szCs w:val="16"/>
      </w:rPr>
      <w:instrText xml:space="preserve"> PAGE </w:instrText>
    </w:r>
    <w:r w:rsidR="00113193" w:rsidRPr="00E363A4">
      <w:rPr>
        <w:rStyle w:val="PageNumber"/>
        <w:sz w:val="16"/>
        <w:szCs w:val="16"/>
      </w:rPr>
      <w:fldChar w:fldCharType="separate"/>
    </w:r>
    <w:r w:rsidR="00D42119">
      <w:rPr>
        <w:rStyle w:val="PageNumber"/>
        <w:noProof/>
        <w:sz w:val="16"/>
        <w:szCs w:val="16"/>
      </w:rPr>
      <w:t>1</w:t>
    </w:r>
    <w:r w:rsidR="00113193" w:rsidRPr="00E363A4">
      <w:rPr>
        <w:rStyle w:val="PageNumber"/>
        <w:sz w:val="16"/>
        <w:szCs w:val="16"/>
      </w:rPr>
      <w:fldChar w:fldCharType="end"/>
    </w:r>
    <w:r w:rsidRPr="00E363A4">
      <w:rPr>
        <w:rStyle w:val="PageNumber"/>
        <w:sz w:val="16"/>
        <w:szCs w:val="16"/>
      </w:rPr>
      <w:t xml:space="preserve"> of </w:t>
    </w:r>
    <w:r w:rsidR="00113193" w:rsidRPr="00E363A4">
      <w:rPr>
        <w:rStyle w:val="PageNumber"/>
        <w:sz w:val="16"/>
        <w:szCs w:val="16"/>
      </w:rPr>
      <w:fldChar w:fldCharType="begin"/>
    </w:r>
    <w:r w:rsidRPr="00E363A4">
      <w:rPr>
        <w:rStyle w:val="PageNumber"/>
        <w:sz w:val="16"/>
        <w:szCs w:val="16"/>
      </w:rPr>
      <w:instrText xml:space="preserve"> NUMPAGES </w:instrText>
    </w:r>
    <w:r w:rsidR="00113193" w:rsidRPr="00E363A4">
      <w:rPr>
        <w:rStyle w:val="PageNumber"/>
        <w:sz w:val="16"/>
        <w:szCs w:val="16"/>
      </w:rPr>
      <w:fldChar w:fldCharType="separate"/>
    </w:r>
    <w:r w:rsidR="00D42119">
      <w:rPr>
        <w:rStyle w:val="PageNumber"/>
        <w:noProof/>
        <w:sz w:val="16"/>
        <w:szCs w:val="16"/>
      </w:rPr>
      <w:t>8</w:t>
    </w:r>
    <w:r w:rsidR="00113193" w:rsidRPr="00E363A4">
      <w:rPr>
        <w:rStyle w:val="PageNumber"/>
        <w:sz w:val="16"/>
        <w:szCs w:val="16"/>
      </w:rPr>
      <w:fldChar w:fldCharType="end"/>
    </w:r>
  </w:p>
  <w:p w14:paraId="3B9A6926" w14:textId="77777777" w:rsidR="00B87B6E" w:rsidRPr="00E363A4" w:rsidRDefault="00B87B6E" w:rsidP="00E37E46">
    <w:pPr>
      <w:pStyle w:val="Footer"/>
      <w:jc w:val="right"/>
      <w:rPr>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4485" w14:textId="77777777" w:rsidR="0086336B" w:rsidRDefault="0086336B">
      <w:r>
        <w:separator/>
      </w:r>
    </w:p>
  </w:footnote>
  <w:footnote w:type="continuationSeparator" w:id="0">
    <w:p w14:paraId="5D1297C0" w14:textId="77777777" w:rsidR="0086336B" w:rsidRDefault="00863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309FC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4DE56AF"/>
    <w:multiLevelType w:val="hybridMultilevel"/>
    <w:tmpl w:val="9424D25C"/>
    <w:lvl w:ilvl="0" w:tplc="01EE7998">
      <w:start w:val="1"/>
      <w:numFmt w:val="decimal"/>
      <w:lvlText w:val="%1."/>
      <w:lvlJc w:val="left"/>
      <w:pPr>
        <w:tabs>
          <w:tab w:val="num" w:pos="360"/>
        </w:tabs>
        <w:ind w:left="360" w:hanging="360"/>
      </w:pPr>
      <w:rPr>
        <w:rFonts w:hint="default"/>
        <w:color w:val="auto"/>
      </w:rPr>
    </w:lvl>
    <w:lvl w:ilvl="1" w:tplc="ED264EA0">
      <w:start w:val="1"/>
      <w:numFmt w:val="decimal"/>
      <w:lvlText w:val="(%2)"/>
      <w:lvlJc w:val="left"/>
      <w:pPr>
        <w:tabs>
          <w:tab w:val="num" w:pos="1080"/>
        </w:tabs>
        <w:ind w:left="1080" w:hanging="360"/>
      </w:pPr>
      <w:rPr>
        <w:rFont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92626F5"/>
    <w:multiLevelType w:val="hybridMultilevel"/>
    <w:tmpl w:val="A06E3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0529BC"/>
    <w:multiLevelType w:val="hybridMultilevel"/>
    <w:tmpl w:val="8EACE15A"/>
    <w:lvl w:ilvl="0" w:tplc="0C090003">
      <w:start w:val="1"/>
      <w:numFmt w:val="bullet"/>
      <w:lvlText w:val="o"/>
      <w:lvlJc w:val="left"/>
      <w:pPr>
        <w:tabs>
          <w:tab w:val="num" w:pos="720"/>
        </w:tabs>
        <w:ind w:left="720" w:hanging="360"/>
      </w:pPr>
      <w:rPr>
        <w:rFonts w:ascii="Courier New" w:hAnsi="Courier New" w:cs="Courier New" w:hint="default"/>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F23658F"/>
    <w:multiLevelType w:val="hybridMultilevel"/>
    <w:tmpl w:val="B71E6EB6"/>
    <w:lvl w:ilvl="0" w:tplc="3E48B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656DDD"/>
    <w:multiLevelType w:val="hybridMultilevel"/>
    <w:tmpl w:val="2BB884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AB45DD"/>
    <w:multiLevelType w:val="hybridMultilevel"/>
    <w:tmpl w:val="FE92CE0C"/>
    <w:lvl w:ilvl="0" w:tplc="0C090003">
      <w:start w:val="1"/>
      <w:numFmt w:val="bullet"/>
      <w:lvlText w:val="o"/>
      <w:lvlJc w:val="left"/>
      <w:pPr>
        <w:tabs>
          <w:tab w:val="num" w:pos="720"/>
        </w:tabs>
        <w:ind w:left="720" w:hanging="360"/>
      </w:pPr>
      <w:rPr>
        <w:rFonts w:ascii="Courier New" w:hAnsi="Courier New" w:cs="Courier New" w:hint="default"/>
        <w:color w:val="auto"/>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7F42B66"/>
    <w:multiLevelType w:val="hybridMultilevel"/>
    <w:tmpl w:val="B43E625A"/>
    <w:lvl w:ilvl="0" w:tplc="0C09000F">
      <w:start w:val="1"/>
      <w:numFmt w:val="decimal"/>
      <w:lvlText w:val="%1."/>
      <w:lvlJc w:val="left"/>
      <w:pPr>
        <w:tabs>
          <w:tab w:val="num" w:pos="360"/>
        </w:tabs>
        <w:ind w:left="360" w:hanging="360"/>
      </w:pPr>
    </w:lvl>
    <w:lvl w:ilvl="1" w:tplc="ED264EA0">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ECD610E"/>
    <w:multiLevelType w:val="hybridMultilevel"/>
    <w:tmpl w:val="6212D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
    <w:nsid w:val="340601E0"/>
    <w:multiLevelType w:val="singleLevel"/>
    <w:tmpl w:val="8D466266"/>
    <w:lvl w:ilvl="0">
      <w:start w:val="1"/>
      <w:numFmt w:val="lowerLetter"/>
      <w:lvlText w:val="(%1)"/>
      <w:legacy w:legacy="1" w:legacySpace="0" w:legacyIndent="990"/>
      <w:lvlJc w:val="left"/>
      <w:rPr>
        <w:rFonts w:ascii="Times New Roman" w:hAnsi="Times New Roman" w:cs="Times New Roman" w:hint="default"/>
      </w:rPr>
    </w:lvl>
  </w:abstractNum>
  <w:abstractNum w:abstractNumId="11">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B97B8C"/>
    <w:multiLevelType w:val="hybridMultilevel"/>
    <w:tmpl w:val="DA4C2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B37469"/>
    <w:multiLevelType w:val="hybridMultilevel"/>
    <w:tmpl w:val="83084772"/>
    <w:lvl w:ilvl="0" w:tplc="C610C9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661922"/>
    <w:multiLevelType w:val="hybridMultilevel"/>
    <w:tmpl w:val="AFC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F17D3E"/>
    <w:multiLevelType w:val="hybridMultilevel"/>
    <w:tmpl w:val="0770B9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597E9B"/>
    <w:multiLevelType w:val="hybridMultilevel"/>
    <w:tmpl w:val="A74EF7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95F6731"/>
    <w:multiLevelType w:val="hybridMultilevel"/>
    <w:tmpl w:val="07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B47030"/>
    <w:multiLevelType w:val="hybridMultilevel"/>
    <w:tmpl w:val="5192C25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C2228D"/>
    <w:multiLevelType w:val="hybridMultilevel"/>
    <w:tmpl w:val="8948F3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28764F9"/>
    <w:multiLevelType w:val="hybridMultilevel"/>
    <w:tmpl w:val="C7B8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7"/>
  </w:num>
  <w:num w:numId="5">
    <w:abstractNumId w:val="3"/>
  </w:num>
  <w:num w:numId="6">
    <w:abstractNumId w:val="6"/>
  </w:num>
  <w:num w:numId="7">
    <w:abstractNumId w:val="16"/>
  </w:num>
  <w:num w:numId="8">
    <w:abstractNumId w:val="18"/>
  </w:num>
  <w:num w:numId="9">
    <w:abstractNumId w:val="9"/>
  </w:num>
  <w:num w:numId="10">
    <w:abstractNumId w:val="14"/>
  </w:num>
  <w:num w:numId="11">
    <w:abstractNumId w:val="17"/>
  </w:num>
  <w:num w:numId="12">
    <w:abstractNumId w:val="11"/>
  </w:num>
  <w:num w:numId="13">
    <w:abstractNumId w:val="0"/>
  </w:num>
  <w:num w:numId="14">
    <w:abstractNumId w:val="5"/>
  </w:num>
  <w:num w:numId="15">
    <w:abstractNumId w:val="19"/>
  </w:num>
  <w:num w:numId="16">
    <w:abstractNumId w:val="15"/>
  </w:num>
  <w:num w:numId="17">
    <w:abstractNumId w:val="12"/>
  </w:num>
  <w:num w:numId="18">
    <w:abstractNumId w:val="8"/>
  </w:num>
  <w:num w:numId="19">
    <w:abstractNumId w:val="2"/>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2"/>
    <w:rsid w:val="00026C1A"/>
    <w:rsid w:val="00037540"/>
    <w:rsid w:val="00056CB6"/>
    <w:rsid w:val="00061935"/>
    <w:rsid w:val="00065B98"/>
    <w:rsid w:val="00093C52"/>
    <w:rsid w:val="000A181A"/>
    <w:rsid w:val="000C4DD1"/>
    <w:rsid w:val="000E0E43"/>
    <w:rsid w:val="000E405D"/>
    <w:rsid w:val="000F291E"/>
    <w:rsid w:val="00110199"/>
    <w:rsid w:val="001119EE"/>
    <w:rsid w:val="00112757"/>
    <w:rsid w:val="00113193"/>
    <w:rsid w:val="00116AF4"/>
    <w:rsid w:val="00125072"/>
    <w:rsid w:val="00127A78"/>
    <w:rsid w:val="00132826"/>
    <w:rsid w:val="001418A8"/>
    <w:rsid w:val="001524B2"/>
    <w:rsid w:val="00155F36"/>
    <w:rsid w:val="00163740"/>
    <w:rsid w:val="001771D8"/>
    <w:rsid w:val="00192D43"/>
    <w:rsid w:val="001A3FB0"/>
    <w:rsid w:val="001C731C"/>
    <w:rsid w:val="001D0311"/>
    <w:rsid w:val="001D1E80"/>
    <w:rsid w:val="001F6ACD"/>
    <w:rsid w:val="0020657B"/>
    <w:rsid w:val="00211A22"/>
    <w:rsid w:val="002172BA"/>
    <w:rsid w:val="00220217"/>
    <w:rsid w:val="00250E4C"/>
    <w:rsid w:val="00251BF2"/>
    <w:rsid w:val="00257D03"/>
    <w:rsid w:val="0026503A"/>
    <w:rsid w:val="0026539D"/>
    <w:rsid w:val="0026606F"/>
    <w:rsid w:val="002662E0"/>
    <w:rsid w:val="002741E3"/>
    <w:rsid w:val="00290BB9"/>
    <w:rsid w:val="002951B5"/>
    <w:rsid w:val="002A2015"/>
    <w:rsid w:val="002A69EB"/>
    <w:rsid w:val="002B5A57"/>
    <w:rsid w:val="002C1FE8"/>
    <w:rsid w:val="002C6829"/>
    <w:rsid w:val="002D4667"/>
    <w:rsid w:val="002E2799"/>
    <w:rsid w:val="002F1D5B"/>
    <w:rsid w:val="002F7C9D"/>
    <w:rsid w:val="00311070"/>
    <w:rsid w:val="00311D43"/>
    <w:rsid w:val="00342A22"/>
    <w:rsid w:val="00352136"/>
    <w:rsid w:val="0037044E"/>
    <w:rsid w:val="00371BFE"/>
    <w:rsid w:val="003B11AA"/>
    <w:rsid w:val="003C0B7D"/>
    <w:rsid w:val="003C7624"/>
    <w:rsid w:val="003D13D9"/>
    <w:rsid w:val="003E1DB5"/>
    <w:rsid w:val="003E47A2"/>
    <w:rsid w:val="003E63FC"/>
    <w:rsid w:val="00400B3B"/>
    <w:rsid w:val="00404140"/>
    <w:rsid w:val="00405102"/>
    <w:rsid w:val="00406EF1"/>
    <w:rsid w:val="00410016"/>
    <w:rsid w:val="00410E37"/>
    <w:rsid w:val="00411A59"/>
    <w:rsid w:val="00412A00"/>
    <w:rsid w:val="0041357C"/>
    <w:rsid w:val="004257BD"/>
    <w:rsid w:val="00433E6B"/>
    <w:rsid w:val="00437A22"/>
    <w:rsid w:val="0046418A"/>
    <w:rsid w:val="004A4C16"/>
    <w:rsid w:val="004C11CA"/>
    <w:rsid w:val="004C7852"/>
    <w:rsid w:val="004D55B8"/>
    <w:rsid w:val="00502B75"/>
    <w:rsid w:val="00512CE7"/>
    <w:rsid w:val="00513056"/>
    <w:rsid w:val="00524EB8"/>
    <w:rsid w:val="00530C80"/>
    <w:rsid w:val="005351EE"/>
    <w:rsid w:val="00540D3D"/>
    <w:rsid w:val="005946FD"/>
    <w:rsid w:val="005A4BD0"/>
    <w:rsid w:val="005C32D5"/>
    <w:rsid w:val="005C4BF3"/>
    <w:rsid w:val="005C78D0"/>
    <w:rsid w:val="00613C40"/>
    <w:rsid w:val="0062702D"/>
    <w:rsid w:val="006313EF"/>
    <w:rsid w:val="00642FC9"/>
    <w:rsid w:val="00655288"/>
    <w:rsid w:val="00657EBB"/>
    <w:rsid w:val="00672538"/>
    <w:rsid w:val="00685A66"/>
    <w:rsid w:val="0069504B"/>
    <w:rsid w:val="006B69BB"/>
    <w:rsid w:val="006C40DC"/>
    <w:rsid w:val="006D4FE7"/>
    <w:rsid w:val="006F6110"/>
    <w:rsid w:val="007019F4"/>
    <w:rsid w:val="007025B6"/>
    <w:rsid w:val="007048E4"/>
    <w:rsid w:val="0071309B"/>
    <w:rsid w:val="00742D78"/>
    <w:rsid w:val="00760E4C"/>
    <w:rsid w:val="00781B30"/>
    <w:rsid w:val="007A728A"/>
    <w:rsid w:val="007D3EAE"/>
    <w:rsid w:val="007E3A87"/>
    <w:rsid w:val="007E4039"/>
    <w:rsid w:val="007E7679"/>
    <w:rsid w:val="008068A8"/>
    <w:rsid w:val="008102F3"/>
    <w:rsid w:val="00816345"/>
    <w:rsid w:val="0085396B"/>
    <w:rsid w:val="00856F16"/>
    <w:rsid w:val="00861E86"/>
    <w:rsid w:val="0086336B"/>
    <w:rsid w:val="008C0B02"/>
    <w:rsid w:val="008C193D"/>
    <w:rsid w:val="008E2A6E"/>
    <w:rsid w:val="008E41C4"/>
    <w:rsid w:val="008E4347"/>
    <w:rsid w:val="008F227B"/>
    <w:rsid w:val="008F53D6"/>
    <w:rsid w:val="00914D5C"/>
    <w:rsid w:val="00927987"/>
    <w:rsid w:val="009674B3"/>
    <w:rsid w:val="009718BE"/>
    <w:rsid w:val="00972DF8"/>
    <w:rsid w:val="00976228"/>
    <w:rsid w:val="009863AF"/>
    <w:rsid w:val="00991937"/>
    <w:rsid w:val="009A08BE"/>
    <w:rsid w:val="009C3685"/>
    <w:rsid w:val="009C41FC"/>
    <w:rsid w:val="009C6622"/>
    <w:rsid w:val="009D1463"/>
    <w:rsid w:val="009E0E73"/>
    <w:rsid w:val="009E4A20"/>
    <w:rsid w:val="009F38D2"/>
    <w:rsid w:val="009F7FC4"/>
    <w:rsid w:val="00A21848"/>
    <w:rsid w:val="00A43C84"/>
    <w:rsid w:val="00A46D8F"/>
    <w:rsid w:val="00A50CBD"/>
    <w:rsid w:val="00A56BB3"/>
    <w:rsid w:val="00A61538"/>
    <w:rsid w:val="00A75EAA"/>
    <w:rsid w:val="00A93C57"/>
    <w:rsid w:val="00AC59E2"/>
    <w:rsid w:val="00AD57F0"/>
    <w:rsid w:val="00AE26CF"/>
    <w:rsid w:val="00AF179C"/>
    <w:rsid w:val="00B05460"/>
    <w:rsid w:val="00B30F15"/>
    <w:rsid w:val="00B32288"/>
    <w:rsid w:val="00B37B9B"/>
    <w:rsid w:val="00B44030"/>
    <w:rsid w:val="00B55494"/>
    <w:rsid w:val="00B66A62"/>
    <w:rsid w:val="00B75E10"/>
    <w:rsid w:val="00B86F9C"/>
    <w:rsid w:val="00B87B6E"/>
    <w:rsid w:val="00BA2114"/>
    <w:rsid w:val="00BA350B"/>
    <w:rsid w:val="00BB15BC"/>
    <w:rsid w:val="00BB5CDB"/>
    <w:rsid w:val="00BC3EF1"/>
    <w:rsid w:val="00BC5162"/>
    <w:rsid w:val="00BF17B4"/>
    <w:rsid w:val="00BF1E45"/>
    <w:rsid w:val="00C04F1C"/>
    <w:rsid w:val="00C21263"/>
    <w:rsid w:val="00C22791"/>
    <w:rsid w:val="00C23DB0"/>
    <w:rsid w:val="00C31731"/>
    <w:rsid w:val="00C35862"/>
    <w:rsid w:val="00C37CC5"/>
    <w:rsid w:val="00C41FE7"/>
    <w:rsid w:val="00C805F8"/>
    <w:rsid w:val="00CA185B"/>
    <w:rsid w:val="00CA33E9"/>
    <w:rsid w:val="00CC4BD4"/>
    <w:rsid w:val="00CD2D8F"/>
    <w:rsid w:val="00CD6F3C"/>
    <w:rsid w:val="00CD709E"/>
    <w:rsid w:val="00CF071C"/>
    <w:rsid w:val="00CF7386"/>
    <w:rsid w:val="00D119E3"/>
    <w:rsid w:val="00D35230"/>
    <w:rsid w:val="00D42119"/>
    <w:rsid w:val="00D63AC4"/>
    <w:rsid w:val="00D64230"/>
    <w:rsid w:val="00D943D4"/>
    <w:rsid w:val="00DA74A0"/>
    <w:rsid w:val="00DC58AA"/>
    <w:rsid w:val="00DE6017"/>
    <w:rsid w:val="00E01E7E"/>
    <w:rsid w:val="00E132CB"/>
    <w:rsid w:val="00E17A56"/>
    <w:rsid w:val="00E21FB2"/>
    <w:rsid w:val="00E226D5"/>
    <w:rsid w:val="00E37E46"/>
    <w:rsid w:val="00E6186D"/>
    <w:rsid w:val="00E73405"/>
    <w:rsid w:val="00EA2BC0"/>
    <w:rsid w:val="00EA4937"/>
    <w:rsid w:val="00EA5D84"/>
    <w:rsid w:val="00EA6135"/>
    <w:rsid w:val="00EB4125"/>
    <w:rsid w:val="00ED008A"/>
    <w:rsid w:val="00EE5439"/>
    <w:rsid w:val="00F029D8"/>
    <w:rsid w:val="00F05D89"/>
    <w:rsid w:val="00F22BD5"/>
    <w:rsid w:val="00F2507F"/>
    <w:rsid w:val="00F27D50"/>
    <w:rsid w:val="00F455CA"/>
    <w:rsid w:val="00F73F54"/>
    <w:rsid w:val="00F74EFC"/>
    <w:rsid w:val="00F75005"/>
    <w:rsid w:val="00F75E2F"/>
    <w:rsid w:val="00F813EB"/>
    <w:rsid w:val="00FC16D2"/>
    <w:rsid w:val="00FD4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5E49C"/>
  <w15:docId w15:val="{E9E0AEF5-0136-4170-81EC-BD2CD844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3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8D2"/>
    <w:pPr>
      <w:spacing w:after="120"/>
    </w:pPr>
    <w:rPr>
      <w:lang w:val="en-AU"/>
    </w:rPr>
  </w:style>
  <w:style w:type="paragraph" w:styleId="Footer">
    <w:name w:val="footer"/>
    <w:basedOn w:val="Normal"/>
    <w:rsid w:val="009F38D2"/>
    <w:pPr>
      <w:tabs>
        <w:tab w:val="center" w:pos="4153"/>
        <w:tab w:val="right" w:pos="8306"/>
      </w:tabs>
    </w:pPr>
  </w:style>
  <w:style w:type="character" w:styleId="PageNumber">
    <w:name w:val="page number"/>
    <w:basedOn w:val="DefaultParagraphFont"/>
    <w:rsid w:val="009F38D2"/>
  </w:style>
  <w:style w:type="paragraph" w:styleId="Header">
    <w:name w:val="header"/>
    <w:basedOn w:val="Normal"/>
    <w:rsid w:val="009F38D2"/>
    <w:pPr>
      <w:tabs>
        <w:tab w:val="center" w:pos="4153"/>
        <w:tab w:val="right" w:pos="8306"/>
      </w:tabs>
    </w:pPr>
    <w:rPr>
      <w:lang w:val="en-AU"/>
    </w:rPr>
  </w:style>
  <w:style w:type="paragraph" w:styleId="NormalWeb">
    <w:name w:val="Normal (Web)"/>
    <w:basedOn w:val="Normal"/>
    <w:rsid w:val="00613C40"/>
    <w:pPr>
      <w:spacing w:before="100" w:beforeAutospacing="1" w:after="100" w:afterAutospacing="1"/>
    </w:pPr>
    <w:rPr>
      <w:szCs w:val="24"/>
      <w:lang w:val="en-AU"/>
    </w:rPr>
  </w:style>
  <w:style w:type="paragraph" w:customStyle="1" w:styleId="P1">
    <w:name w:val="P1"/>
    <w:aliases w:val="(a)"/>
    <w:basedOn w:val="Normal"/>
    <w:rsid w:val="00D943D4"/>
    <w:pPr>
      <w:tabs>
        <w:tab w:val="right" w:pos="1191"/>
      </w:tabs>
      <w:spacing w:before="60" w:line="260" w:lineRule="exact"/>
      <w:ind w:left="1418" w:hanging="1418"/>
      <w:jc w:val="both"/>
    </w:pPr>
    <w:rPr>
      <w:noProof/>
      <w:szCs w:val="24"/>
      <w:lang w:val="en-AU" w:eastAsia="en-US"/>
    </w:rPr>
  </w:style>
  <w:style w:type="paragraph" w:styleId="ListParagraph">
    <w:name w:val="List Paragraph"/>
    <w:basedOn w:val="Normal"/>
    <w:uiPriority w:val="34"/>
    <w:qFormat/>
    <w:rsid w:val="00914D5C"/>
    <w:pPr>
      <w:ind w:left="720"/>
    </w:pPr>
    <w:rPr>
      <w:szCs w:val="24"/>
      <w:lang w:val="en-US" w:eastAsia="en-US"/>
    </w:rPr>
  </w:style>
  <w:style w:type="paragraph" w:customStyle="1" w:styleId="indenta">
    <w:name w:val="indenta"/>
    <w:basedOn w:val="Normal"/>
    <w:rsid w:val="00914D5C"/>
    <w:pPr>
      <w:spacing w:before="100" w:beforeAutospacing="1" w:after="100" w:afterAutospacing="1"/>
    </w:pPr>
    <w:rPr>
      <w:szCs w:val="24"/>
      <w:lang w:val="en-AU"/>
    </w:rPr>
  </w:style>
  <w:style w:type="character" w:customStyle="1" w:styleId="charsectno">
    <w:name w:val="charsectno"/>
    <w:basedOn w:val="DefaultParagraphFont"/>
    <w:rsid w:val="00914D5C"/>
  </w:style>
  <w:style w:type="character" w:customStyle="1" w:styleId="apple-converted-space">
    <w:name w:val="apple-converted-space"/>
    <w:basedOn w:val="DefaultParagraphFont"/>
    <w:rsid w:val="00914D5C"/>
  </w:style>
  <w:style w:type="paragraph" w:customStyle="1" w:styleId="ACMABodyText">
    <w:name w:val="ACMA Body Text"/>
    <w:rsid w:val="002B5A57"/>
    <w:pPr>
      <w:suppressAutoHyphens/>
      <w:spacing w:before="80" w:after="120" w:line="280" w:lineRule="atLeast"/>
    </w:pPr>
    <w:rPr>
      <w:snapToGrid w:val="0"/>
      <w:sz w:val="24"/>
      <w:lang w:eastAsia="en-US"/>
    </w:rPr>
  </w:style>
  <w:style w:type="character" w:styleId="CommentReference">
    <w:name w:val="annotation reference"/>
    <w:uiPriority w:val="99"/>
    <w:semiHidden/>
    <w:unhideWhenUsed/>
    <w:rsid w:val="001418A8"/>
    <w:rPr>
      <w:sz w:val="16"/>
      <w:szCs w:val="16"/>
    </w:rPr>
  </w:style>
  <w:style w:type="paragraph" w:styleId="CommentText">
    <w:name w:val="annotation text"/>
    <w:basedOn w:val="Normal"/>
    <w:link w:val="CommentTextChar"/>
    <w:uiPriority w:val="99"/>
    <w:semiHidden/>
    <w:unhideWhenUsed/>
    <w:rsid w:val="001418A8"/>
    <w:rPr>
      <w:sz w:val="20"/>
    </w:rPr>
  </w:style>
  <w:style w:type="character" w:customStyle="1" w:styleId="CommentTextChar">
    <w:name w:val="Comment Text Char"/>
    <w:link w:val="CommentText"/>
    <w:uiPriority w:val="99"/>
    <w:semiHidden/>
    <w:rsid w:val="001418A8"/>
    <w:rPr>
      <w:lang w:val="en-GB"/>
    </w:rPr>
  </w:style>
  <w:style w:type="paragraph" w:styleId="CommentSubject">
    <w:name w:val="annotation subject"/>
    <w:basedOn w:val="CommentText"/>
    <w:next w:val="CommentText"/>
    <w:link w:val="CommentSubjectChar"/>
    <w:uiPriority w:val="99"/>
    <w:semiHidden/>
    <w:unhideWhenUsed/>
    <w:rsid w:val="001418A8"/>
    <w:rPr>
      <w:b/>
      <w:bCs/>
    </w:rPr>
  </w:style>
  <w:style w:type="character" w:customStyle="1" w:styleId="CommentSubjectChar">
    <w:name w:val="Comment Subject Char"/>
    <w:link w:val="CommentSubject"/>
    <w:uiPriority w:val="99"/>
    <w:semiHidden/>
    <w:rsid w:val="001418A8"/>
    <w:rPr>
      <w:b/>
      <w:bCs/>
      <w:lang w:val="en-GB"/>
    </w:rPr>
  </w:style>
  <w:style w:type="paragraph" w:styleId="BalloonText">
    <w:name w:val="Balloon Text"/>
    <w:basedOn w:val="Normal"/>
    <w:link w:val="BalloonTextChar"/>
    <w:uiPriority w:val="99"/>
    <w:semiHidden/>
    <w:unhideWhenUsed/>
    <w:rsid w:val="001418A8"/>
    <w:rPr>
      <w:rFonts w:ascii="Tahoma" w:hAnsi="Tahoma" w:cs="Tahoma"/>
      <w:sz w:val="16"/>
      <w:szCs w:val="16"/>
    </w:rPr>
  </w:style>
  <w:style w:type="character" w:customStyle="1" w:styleId="BalloonTextChar">
    <w:name w:val="Balloon Text Char"/>
    <w:link w:val="BalloonText"/>
    <w:uiPriority w:val="99"/>
    <w:semiHidden/>
    <w:rsid w:val="001418A8"/>
    <w:rPr>
      <w:rFonts w:ascii="Tahoma" w:hAnsi="Tahoma" w:cs="Tahoma"/>
      <w:sz w:val="16"/>
      <w:szCs w:val="16"/>
      <w:lang w:val="en-GB"/>
    </w:rPr>
  </w:style>
  <w:style w:type="paragraph" w:styleId="ListBullet">
    <w:name w:val="List Bullet"/>
    <w:basedOn w:val="Normal"/>
    <w:rsid w:val="001418A8"/>
    <w:pPr>
      <w:numPr>
        <w:numId w:val="13"/>
      </w:numPr>
      <w:spacing w:after="80" w:line="240" w:lineRule="atLeast"/>
    </w:pPr>
    <w:rPr>
      <w:rFonts w:ascii="Arial" w:hAnsi="Arial"/>
      <w:sz w:val="20"/>
      <w:szCs w:val="24"/>
      <w:lang w:val="en-AU"/>
    </w:rPr>
  </w:style>
  <w:style w:type="character" w:styleId="Hyperlink">
    <w:name w:val="Hyperlink"/>
    <w:uiPriority w:val="99"/>
    <w:unhideWhenUsed/>
    <w:rsid w:val="00AF179C"/>
    <w:rPr>
      <w:color w:val="0000FF"/>
      <w:u w:val="single"/>
    </w:rPr>
  </w:style>
  <w:style w:type="paragraph" w:customStyle="1" w:styleId="Definition">
    <w:name w:val="Definition"/>
    <w:aliases w:val="dd"/>
    <w:basedOn w:val="Normal"/>
    <w:rsid w:val="00EA2BC0"/>
    <w:pPr>
      <w:spacing w:before="180"/>
      <w:ind w:left="1134"/>
    </w:pPr>
    <w:rPr>
      <w:sz w:val="22"/>
      <w:lang w:val="en-AU"/>
    </w:rPr>
  </w:style>
  <w:style w:type="paragraph" w:styleId="Revision">
    <w:name w:val="Revision"/>
    <w:hidden/>
    <w:uiPriority w:val="99"/>
    <w:semiHidden/>
    <w:rsid w:val="003D13D9"/>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la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rpanasa.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6db8f3c6-01a1-4322-b043-a3b2a190f7a8">KNAH4PPFC442-2596-247</_dlc_DocId>
    <_dlc_DocIdUrl xmlns="6db8f3c6-01a1-4322-b043-a3b2a190f7a8">
      <Url>http://collaboration/organisation/CID/RPB/RLPS/lib/_layouts/DocIdRedir.aspx?ID=KNAH4PPFC442-2596-247</Url>
      <Description>KNAH4PPFC442-2596-247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7F6700E72D8C244BB4A9479B32C0DD1" ma:contentTypeVersion="0" ma:contentTypeDescription="Create a new document." ma:contentTypeScope="" ma:versionID="9ec5da8a6c9a492cfcd5e85756ab22c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AA969-8DDF-423B-8B09-5C1C6D5091A7}">
  <ds:schemaRefs>
    <ds:schemaRef ds:uri="http://schemas.microsoft.com/sharepoint/v3/contenttype/forms"/>
  </ds:schemaRefs>
</ds:datastoreItem>
</file>

<file path=customXml/itemProps2.xml><?xml version="1.0" encoding="utf-8"?>
<ds:datastoreItem xmlns:ds="http://schemas.openxmlformats.org/officeDocument/2006/customXml" ds:itemID="{728C6CFD-ED93-4EF5-8DF0-C4CBFAC73944}">
  <ds:schemaRefs>
    <ds:schemaRef ds:uri="http://schemas.microsoft.com/office/2006/metadata/properties"/>
    <ds:schemaRef ds:uri="6db8f3c6-01a1-4322-b043-a3b2a190f7a8"/>
  </ds:schemaRefs>
</ds:datastoreItem>
</file>

<file path=customXml/itemProps3.xml><?xml version="1.0" encoding="utf-8"?>
<ds:datastoreItem xmlns:ds="http://schemas.openxmlformats.org/officeDocument/2006/customXml" ds:itemID="{997806A4-9FEE-4F1B-B60E-753602FDEACD}">
  <ds:schemaRefs>
    <ds:schemaRef ds:uri="http://schemas.microsoft.com/sharepoint/events"/>
  </ds:schemaRefs>
</ds:datastoreItem>
</file>

<file path=customXml/itemProps4.xml><?xml version="1.0" encoding="utf-8"?>
<ds:datastoreItem xmlns:ds="http://schemas.openxmlformats.org/officeDocument/2006/customXml" ds:itemID="{62367156-2DE2-417E-BEFC-36F9A492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419E20-4D13-46BA-B1C0-DDA61295E4D9}">
  <ds:schemaRefs>
    <ds:schemaRef ds:uri="http://schemas.microsoft.com/office/2006/metadata/longProperties"/>
  </ds:schemaRefs>
</ds:datastoreItem>
</file>

<file path=customXml/itemProps6.xml><?xml version="1.0" encoding="utf-8"?>
<ds:datastoreItem xmlns:ds="http://schemas.openxmlformats.org/officeDocument/2006/customXml" ds:itemID="{00BB226F-DA4C-4C73-9D70-2A9AE9B1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2461</Words>
  <Characters>13993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Authority</Company>
  <LinksUpToDate>false</LinksUpToDate>
  <CharactersWithSpaces>16422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CCecere</dc:creator>
  <cp:lastModifiedBy>Helen Turnbull</cp:lastModifiedBy>
  <cp:revision>2</cp:revision>
  <cp:lastPrinted>2015-02-09T03:34:00Z</cp:lastPrinted>
  <dcterms:created xsi:type="dcterms:W3CDTF">2015-02-23T00:10:00Z</dcterms:created>
  <dcterms:modified xsi:type="dcterms:W3CDTF">2015-02-23T00:10:00Z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KNAH4PPFC442-2596-74</vt:lpwstr>
  </property>
  <property fmtid="{D5CDD505-2E9C-101B-9397-08002B2CF9AE}" pid="3" name="_dlc_DocIdItemGuid">
    <vt:lpwstr>5d1f5875-1814-42f6-963e-334ca356c7ab</vt:lpwstr>
  </property>
  <property fmtid="{D5CDD505-2E9C-101B-9397-08002B2CF9AE}" pid="4" name="_dlc_DocIdUrl">
    <vt:lpwstr>http://collaboration/organisation/CID/RPB/RLPS/lib/_layouts/DocIdRedir.aspx?ID=KNAH4PPFC442-2596-74, KNAH4PPFC442-2596-74</vt:lpwstr>
  </property>
  <property fmtid="{D5CDD505-2E9C-101B-9397-08002B2CF9AE}" pid="5" name="ContentTypeId">
    <vt:lpwstr>0x010100E7F6700E72D8C244BB4A9479B32C0DD1</vt:lpwstr>
  </property>
</Properties>
</file>