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1" w:rsidRPr="0041051E" w:rsidRDefault="00B13EA8" w:rsidP="00674B00">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870EE5" w:rsidRPr="0041051E" w:rsidRDefault="00FD3094">
      <w:pPr>
        <w:pStyle w:val="Title"/>
        <w:pBdr>
          <w:bottom w:val="single" w:sz="4" w:space="3" w:color="auto"/>
        </w:pBdr>
      </w:pPr>
      <w:bookmarkStart w:id="0" w:name="Citation"/>
      <w:r>
        <w:t>Autonomous Sanctions (</w:t>
      </w:r>
      <w:r w:rsidR="003610D5">
        <w:t xml:space="preserve">Designated </w:t>
      </w:r>
      <w:r w:rsidR="000316A1">
        <w:t xml:space="preserve">Persons and Entities </w:t>
      </w:r>
      <w:r w:rsidR="00C73725">
        <w:t xml:space="preserve">and Declared </w:t>
      </w:r>
      <w:r w:rsidR="003610D5">
        <w:t>Persons</w:t>
      </w:r>
      <w:r w:rsidR="00C73725">
        <w:t xml:space="preserve"> </w:t>
      </w:r>
      <w:r w:rsidR="003610D5">
        <w:t xml:space="preserve">– </w:t>
      </w:r>
      <w:r w:rsidR="00F54A56">
        <w:t>Libya</w:t>
      </w:r>
      <w:r w:rsidR="00870EE5" w:rsidRPr="0041051E">
        <w:t xml:space="preserve">) </w:t>
      </w:r>
      <w:r w:rsidR="00EA47B2">
        <w:t xml:space="preserve">Amendment </w:t>
      </w:r>
      <w:r w:rsidR="00F94227">
        <w:t>List</w:t>
      </w:r>
      <w:r>
        <w:t xml:space="preserve"> 201</w:t>
      </w:r>
      <w:r w:rsidR="00C91E2C">
        <w:t>5</w:t>
      </w:r>
      <w:r w:rsidR="009B6326">
        <w:t xml:space="preserve"> (No. 1)</w:t>
      </w:r>
      <w:r w:rsidR="008F5D27">
        <w:rPr>
          <w:vertAlign w:val="superscript"/>
        </w:rPr>
        <w:t>1</w:t>
      </w:r>
      <w:r w:rsidR="00870EE5" w:rsidRPr="0041051E">
        <w:t xml:space="preserve"> </w:t>
      </w:r>
      <w:bookmarkEnd w:id="0"/>
    </w:p>
    <w:p w:rsidR="008F5D27" w:rsidRPr="0041051E" w:rsidRDefault="008F5D27" w:rsidP="008F5D27">
      <w:pPr>
        <w:pBdr>
          <w:bottom w:val="single" w:sz="4" w:space="3" w:color="auto"/>
        </w:pBdr>
        <w:spacing w:before="480"/>
        <w:rPr>
          <w:rFonts w:ascii="Arial" w:hAnsi="Arial" w:cs="Arial"/>
          <w:i/>
          <w:sz w:val="28"/>
          <w:szCs w:val="28"/>
          <w:lang w:val="en-US"/>
        </w:rPr>
      </w:pPr>
      <w:r>
        <w:rPr>
          <w:rFonts w:ascii="Arial" w:hAnsi="Arial" w:cs="Arial"/>
          <w:i/>
          <w:sz w:val="28"/>
          <w:szCs w:val="28"/>
          <w:lang w:val="en-US"/>
        </w:rPr>
        <w:t>Autonomous Sanctions Regulations 2011</w:t>
      </w:r>
    </w:p>
    <w:p w:rsidR="008F5D27" w:rsidRPr="0041051E" w:rsidRDefault="008F5D27" w:rsidP="008F5D27">
      <w:pPr>
        <w:spacing w:before="360"/>
        <w:jc w:val="both"/>
      </w:pPr>
      <w:r w:rsidRPr="0041051E">
        <w:t xml:space="preserve">I, </w:t>
      </w:r>
      <w:r w:rsidR="001D2A68">
        <w:t>JULIE BISHOP</w:t>
      </w:r>
      <w:r w:rsidRPr="0041051E">
        <w:t xml:space="preserve">, Minister for </w:t>
      </w:r>
      <w:r w:rsidR="00EA47B2">
        <w:t>Foreign Affairs</w:t>
      </w:r>
      <w:r w:rsidRPr="0041051E">
        <w:t xml:space="preserve">, make this Instrument under </w:t>
      </w:r>
      <w:r>
        <w:br/>
        <w:t xml:space="preserve">subregulation 6(1) </w:t>
      </w:r>
      <w:r w:rsidRPr="0041051E">
        <w:t xml:space="preserve">of the </w:t>
      </w:r>
      <w:r>
        <w:rPr>
          <w:i/>
        </w:rPr>
        <w:t>Autonomous Sanctions Regulations 2011</w:t>
      </w:r>
      <w:r w:rsidRPr="0041051E">
        <w:t>.</w:t>
      </w:r>
    </w:p>
    <w:p w:rsidR="008F5D27" w:rsidRPr="0041051E" w:rsidRDefault="008F5D27" w:rsidP="00E616F9">
      <w:pPr>
        <w:tabs>
          <w:tab w:val="left" w:pos="1134"/>
          <w:tab w:val="left" w:pos="3119"/>
        </w:tabs>
        <w:spacing w:before="300" w:after="600" w:line="300" w:lineRule="atLeast"/>
      </w:pPr>
      <w:r>
        <w:t>Dated</w:t>
      </w:r>
      <w:r w:rsidR="00563E00">
        <w:t xml:space="preserve">  19 February 2015</w:t>
      </w:r>
      <w:bookmarkStart w:id="1" w:name="_GoBack"/>
      <w:bookmarkEnd w:id="1"/>
      <w:r w:rsidR="00E616F9">
        <w:tab/>
      </w:r>
      <w:r>
        <w:t xml:space="preserve"> </w:t>
      </w:r>
    </w:p>
    <w:p w:rsidR="008F5D27" w:rsidRPr="0041051E" w:rsidRDefault="008F5D27" w:rsidP="008F5D27">
      <w:pPr>
        <w:pBdr>
          <w:bottom w:val="single" w:sz="4" w:space="12" w:color="auto"/>
        </w:pBdr>
        <w:tabs>
          <w:tab w:val="left" w:pos="3119"/>
        </w:tabs>
        <w:spacing w:after="240" w:line="300" w:lineRule="atLeast"/>
      </w:pPr>
      <w:bookmarkStart w:id="2" w:name="Minister"/>
    </w:p>
    <w:p w:rsidR="008F5D27" w:rsidRPr="0041051E" w:rsidRDefault="008F5D27" w:rsidP="008F5D27">
      <w:pPr>
        <w:pBdr>
          <w:bottom w:val="single" w:sz="4" w:space="12" w:color="auto"/>
        </w:pBdr>
        <w:tabs>
          <w:tab w:val="left" w:pos="3119"/>
        </w:tabs>
        <w:spacing w:after="240" w:line="300" w:lineRule="atLeast"/>
      </w:pPr>
    </w:p>
    <w:p w:rsidR="008F5D27" w:rsidRPr="0041051E" w:rsidRDefault="001D2A68" w:rsidP="008F5D27">
      <w:pPr>
        <w:pBdr>
          <w:bottom w:val="single" w:sz="4" w:space="12" w:color="auto"/>
        </w:pBdr>
        <w:tabs>
          <w:tab w:val="left" w:pos="3119"/>
        </w:tabs>
        <w:spacing w:after="240" w:line="300" w:lineRule="atLeast"/>
      </w:pPr>
      <w:r>
        <w:t>JULIE BISHOP</w:t>
      </w:r>
    </w:p>
    <w:p w:rsidR="008F5D27" w:rsidRDefault="008F5D27" w:rsidP="008F5D27">
      <w:pPr>
        <w:pBdr>
          <w:bottom w:val="single" w:sz="4" w:space="12" w:color="auto"/>
        </w:pBdr>
        <w:tabs>
          <w:tab w:val="left" w:pos="3119"/>
        </w:tabs>
        <w:spacing w:after="240" w:line="300" w:lineRule="atLeast"/>
      </w:pPr>
      <w:r w:rsidRPr="0041051E">
        <w:t>Minister for</w:t>
      </w:r>
      <w:r w:rsidR="00EA47B2">
        <w:t xml:space="preserve"> Foreign Affairs</w:t>
      </w:r>
      <w:r w:rsidRPr="0041051E">
        <w:t xml:space="preserve"> </w:t>
      </w:r>
      <w:bookmarkEnd w:id="2"/>
    </w:p>
    <w:p w:rsidR="00870EE5" w:rsidRPr="0041051E" w:rsidRDefault="00870EE5" w:rsidP="00870EE5">
      <w:pPr>
        <w:pStyle w:val="HR"/>
      </w:pPr>
      <w:r w:rsidRPr="0041051E">
        <w:rPr>
          <w:rStyle w:val="CharSectno"/>
        </w:rPr>
        <w:t>1</w:t>
      </w:r>
      <w:r w:rsidRPr="0041051E">
        <w:tab/>
        <w:t xml:space="preserve">Name of </w:t>
      </w:r>
      <w:r w:rsidR="00AA779C" w:rsidRPr="0041051E">
        <w:t>Instrument</w:t>
      </w:r>
    </w:p>
    <w:p w:rsidR="00870EE5" w:rsidRPr="0041051E" w:rsidRDefault="00870EE5" w:rsidP="00870EE5">
      <w:pPr>
        <w:pStyle w:val="R1"/>
      </w:pPr>
      <w:r w:rsidRPr="0041051E">
        <w:tab/>
      </w:r>
      <w:r w:rsidRPr="0041051E">
        <w:tab/>
        <w:t xml:space="preserve">This </w:t>
      </w:r>
      <w:r w:rsidR="00625A8B" w:rsidRPr="0041051E">
        <w:t>Instrument</w:t>
      </w:r>
      <w:r w:rsidRPr="0041051E">
        <w:t xml:space="preserve"> is the </w:t>
      </w:r>
      <w:r w:rsidR="00FD3094">
        <w:rPr>
          <w:i/>
        </w:rPr>
        <w:t>Autonomous Sanctions (</w:t>
      </w:r>
      <w:r w:rsidR="003610D5" w:rsidRPr="003610D5">
        <w:rPr>
          <w:i/>
        </w:rPr>
        <w:t xml:space="preserve">Designated </w:t>
      </w:r>
      <w:r w:rsidR="000316A1">
        <w:rPr>
          <w:i/>
        </w:rPr>
        <w:t xml:space="preserve">Persons and Entities </w:t>
      </w:r>
      <w:r w:rsidR="00C73725" w:rsidRPr="003610D5">
        <w:rPr>
          <w:i/>
        </w:rPr>
        <w:t xml:space="preserve">and </w:t>
      </w:r>
      <w:r w:rsidR="00C73725">
        <w:rPr>
          <w:i/>
        </w:rPr>
        <w:t xml:space="preserve">Declared </w:t>
      </w:r>
      <w:r w:rsidR="003610D5" w:rsidRPr="003610D5">
        <w:rPr>
          <w:i/>
        </w:rPr>
        <w:t>Persons</w:t>
      </w:r>
      <w:r w:rsidR="00C73725">
        <w:rPr>
          <w:i/>
        </w:rPr>
        <w:t xml:space="preserve"> </w:t>
      </w:r>
      <w:r w:rsidR="003610D5" w:rsidRPr="003610D5">
        <w:rPr>
          <w:i/>
        </w:rPr>
        <w:t xml:space="preserve">– </w:t>
      </w:r>
      <w:r w:rsidR="00F54A56">
        <w:rPr>
          <w:i/>
        </w:rPr>
        <w:t>Libya</w:t>
      </w:r>
      <w:r w:rsidR="00FD3094">
        <w:rPr>
          <w:i/>
        </w:rPr>
        <w:t xml:space="preserve">) </w:t>
      </w:r>
      <w:r w:rsidR="00EA47B2">
        <w:rPr>
          <w:i/>
        </w:rPr>
        <w:t xml:space="preserve">Amendment </w:t>
      </w:r>
      <w:r w:rsidR="00F94227">
        <w:rPr>
          <w:i/>
        </w:rPr>
        <w:t>List</w:t>
      </w:r>
      <w:r w:rsidR="00FD3094">
        <w:rPr>
          <w:i/>
        </w:rPr>
        <w:t xml:space="preserve"> 201</w:t>
      </w:r>
      <w:r w:rsidR="00C91E2C">
        <w:rPr>
          <w:i/>
        </w:rPr>
        <w:t>5</w:t>
      </w:r>
      <w:r w:rsidR="00AE4C5B">
        <w:rPr>
          <w:i/>
        </w:rPr>
        <w:t xml:space="preserve"> (No. 1)</w:t>
      </w:r>
      <w:r w:rsidRPr="0041051E">
        <w:t>.</w:t>
      </w:r>
    </w:p>
    <w:p w:rsidR="00870EE5" w:rsidRPr="0041051E" w:rsidRDefault="00870EE5" w:rsidP="00870EE5">
      <w:pPr>
        <w:pStyle w:val="HR"/>
      </w:pPr>
      <w:r w:rsidRPr="0041051E">
        <w:rPr>
          <w:rStyle w:val="CharSectno"/>
        </w:rPr>
        <w:t>2</w:t>
      </w:r>
      <w:r w:rsidRPr="0041051E">
        <w:tab/>
        <w:t>Commencement</w:t>
      </w:r>
    </w:p>
    <w:p w:rsidR="00870EE5" w:rsidRPr="0041051E" w:rsidRDefault="00870EE5" w:rsidP="00870EE5">
      <w:pPr>
        <w:pStyle w:val="R1"/>
      </w:pPr>
      <w:r w:rsidRPr="0041051E">
        <w:tab/>
      </w:r>
      <w:r w:rsidRPr="0041051E">
        <w:tab/>
        <w:t xml:space="preserve">This </w:t>
      </w:r>
      <w:r w:rsidR="00625A8B" w:rsidRPr="0041051E">
        <w:t>Instrument</w:t>
      </w:r>
      <w:r w:rsidRPr="0041051E">
        <w:t xml:space="preserve"> commences </w:t>
      </w:r>
      <w:r w:rsidR="00FD3094">
        <w:t xml:space="preserve">on the day </w:t>
      </w:r>
      <w:r w:rsidR="00CC3E6F">
        <w:t xml:space="preserve">after </w:t>
      </w:r>
      <w:r w:rsidR="00FD3094">
        <w:t>it is registered</w:t>
      </w:r>
      <w:r w:rsidR="00AA779C" w:rsidRPr="0041051E">
        <w:t>.</w:t>
      </w:r>
    </w:p>
    <w:p w:rsidR="00EA47B2" w:rsidRDefault="00870EE5" w:rsidP="00EA47B2">
      <w:pPr>
        <w:pStyle w:val="HR"/>
      </w:pPr>
      <w:r w:rsidRPr="0041051E">
        <w:rPr>
          <w:rStyle w:val="CharSectno"/>
        </w:rPr>
        <w:t>3</w:t>
      </w:r>
      <w:r w:rsidRPr="0041051E">
        <w:tab/>
      </w:r>
      <w:r w:rsidR="00EA47B2">
        <w:t xml:space="preserve">Amendment of the </w:t>
      </w:r>
      <w:r w:rsidR="00EA47B2" w:rsidRPr="00501883">
        <w:rPr>
          <w:i/>
        </w:rPr>
        <w:t>Autonomous Sanctions (Designated Persons and Entities and Declared Persons – Libya) List 2012</w:t>
      </w:r>
    </w:p>
    <w:p w:rsidR="00870EE5" w:rsidRPr="0041051E" w:rsidRDefault="00EA47B2" w:rsidP="00EA47B2">
      <w:pPr>
        <w:pStyle w:val="R1"/>
      </w:pPr>
      <w:r>
        <w:tab/>
      </w:r>
      <w:r>
        <w:tab/>
        <w:t xml:space="preserve">Schedule 1 amends the </w:t>
      </w:r>
      <w:r w:rsidRPr="005A3055">
        <w:rPr>
          <w:i/>
        </w:rPr>
        <w:t xml:space="preserve">Autonomous Sanctions (Designated Persons and Entities and Declared Persons – </w:t>
      </w:r>
      <w:r w:rsidR="005A3055" w:rsidRPr="005A3055">
        <w:rPr>
          <w:i/>
        </w:rPr>
        <w:t>Libya</w:t>
      </w:r>
      <w:r w:rsidRPr="005A3055">
        <w:rPr>
          <w:i/>
        </w:rPr>
        <w:t>) List 2012</w:t>
      </w:r>
      <w:r>
        <w:t>.</w:t>
      </w:r>
    </w:p>
    <w:p w:rsidR="00C73725" w:rsidRPr="00C73725" w:rsidRDefault="00FD3094" w:rsidP="00EA47B2">
      <w:pPr>
        <w:pStyle w:val="R1"/>
      </w:pPr>
      <w:r>
        <w:tab/>
      </w:r>
    </w:p>
    <w:p w:rsidR="00222371" w:rsidRDefault="00222371" w:rsidP="000316A1">
      <w:pPr>
        <w:pStyle w:val="Scheduletitle"/>
        <w:rPr>
          <w:rStyle w:val="CharAmSchNo"/>
        </w:rPr>
      </w:pPr>
      <w:bookmarkStart w:id="3" w:name="_Toc312139637"/>
      <w:r>
        <w:rPr>
          <w:rStyle w:val="CharAmSchNo"/>
        </w:rPr>
        <w:lastRenderedPageBreak/>
        <w:t xml:space="preserve">Schedule 1 – Amendments </w:t>
      </w:r>
    </w:p>
    <w:p w:rsidR="001B5756" w:rsidRPr="00222371" w:rsidRDefault="001B5756" w:rsidP="001B5756">
      <w:pPr>
        <w:ind w:firstLine="720"/>
        <w:rPr>
          <w:bCs/>
          <w:color w:val="000000"/>
          <w:sz w:val="22"/>
          <w:szCs w:val="22"/>
        </w:rPr>
      </w:pPr>
      <w:r w:rsidRPr="00222371">
        <w:rPr>
          <w:bCs/>
          <w:color w:val="000000"/>
          <w:sz w:val="22"/>
          <w:szCs w:val="22"/>
        </w:rPr>
        <w:t xml:space="preserve">Repeal the Schedule, substitute: </w:t>
      </w:r>
    </w:p>
    <w:p w:rsidR="000316A1" w:rsidRPr="007546E1" w:rsidRDefault="000316A1" w:rsidP="000316A1">
      <w:pPr>
        <w:pStyle w:val="Scheduletitle"/>
      </w:pPr>
      <w:r w:rsidRPr="007546E1">
        <w:rPr>
          <w:rStyle w:val="CharAmSchNo"/>
        </w:rPr>
        <w:t>Schedule 1</w:t>
      </w:r>
      <w:r w:rsidRPr="007546E1">
        <w:tab/>
      </w:r>
      <w:bookmarkEnd w:id="3"/>
      <w:r>
        <w:rPr>
          <w:rStyle w:val="CharAmSchText"/>
        </w:rPr>
        <w:t>Designated persons and entities and declared persons</w:t>
      </w:r>
    </w:p>
    <w:p w:rsidR="000316A1" w:rsidRPr="007546E1" w:rsidRDefault="000316A1" w:rsidP="000316A1">
      <w:pPr>
        <w:pStyle w:val="Schedulereference"/>
      </w:pPr>
      <w:r>
        <w:t>(section 3</w:t>
      </w:r>
      <w:r w:rsidRPr="007546E1">
        <w:t>)</w:t>
      </w:r>
    </w:p>
    <w:p w:rsidR="00222371" w:rsidRDefault="00222371" w:rsidP="00222371">
      <w:pPr>
        <w:rPr>
          <w:bCs/>
          <w:color w:val="000000"/>
          <w:sz w:val="22"/>
          <w:szCs w:val="22"/>
        </w:rPr>
      </w:pPr>
      <w:bookmarkStart w:id="4" w:name="_Toc312139638"/>
    </w:p>
    <w:p w:rsidR="000316A1" w:rsidRPr="009549C9" w:rsidRDefault="000316A1" w:rsidP="000316A1">
      <w:pPr>
        <w:pStyle w:val="Schedulepart"/>
        <w:rPr>
          <w:rStyle w:val="CharSchPTNo"/>
        </w:rPr>
      </w:pPr>
      <w:r w:rsidRPr="00F42EDE">
        <w:rPr>
          <w:rStyle w:val="CharPartNo"/>
        </w:rPr>
        <w:t>Part 1</w:t>
      </w:r>
      <w:r w:rsidRPr="009549C9">
        <w:rPr>
          <w:rStyle w:val="CharSchPTNo"/>
        </w:rPr>
        <w:tab/>
      </w:r>
      <w:bookmarkEnd w:id="4"/>
      <w:r>
        <w:rPr>
          <w:rStyle w:val="CharPartText"/>
        </w:rPr>
        <w:t>Designated and declared persons</w:t>
      </w:r>
      <w:r w:rsidRPr="009549C9">
        <w:rPr>
          <w:rStyle w:val="CharSchPTNo"/>
        </w:rPr>
        <w:t xml:space="preserve"> </w:t>
      </w:r>
    </w:p>
    <w:p w:rsidR="00F4713A" w:rsidRPr="0041051E" w:rsidRDefault="00F4713A" w:rsidP="00F4713A">
      <w:pPr>
        <w:pStyle w:val="A2S"/>
      </w:pPr>
    </w:p>
    <w:tbl>
      <w:tblPr>
        <w:tblW w:w="8755" w:type="dxa"/>
        <w:tblLook w:val="0000" w:firstRow="0" w:lastRow="0" w:firstColumn="0" w:lastColumn="0" w:noHBand="0" w:noVBand="0"/>
      </w:tblPr>
      <w:tblGrid>
        <w:gridCol w:w="762"/>
        <w:gridCol w:w="2552"/>
        <w:gridCol w:w="5441"/>
      </w:tblGrid>
      <w:tr w:rsidR="00933FBA" w:rsidRPr="00F54A56" w:rsidTr="00F54A56">
        <w:trPr>
          <w:trHeight w:val="20"/>
        </w:trPr>
        <w:tc>
          <w:tcPr>
            <w:tcW w:w="762" w:type="dxa"/>
            <w:tcBorders>
              <w:bottom w:val="single" w:sz="4" w:space="0" w:color="auto"/>
            </w:tcBorders>
          </w:tcPr>
          <w:p w:rsidR="00933FBA" w:rsidRPr="00F54A56" w:rsidRDefault="00933FBA" w:rsidP="00F54A56">
            <w:pPr>
              <w:pStyle w:val="TableText"/>
              <w:spacing w:before="0" w:after="0"/>
              <w:rPr>
                <w:rFonts w:ascii="Arial" w:hAnsi="Arial" w:cs="Arial"/>
                <w:b/>
                <w:szCs w:val="22"/>
              </w:rPr>
            </w:pPr>
            <w:r w:rsidRPr="00F54A56">
              <w:rPr>
                <w:rFonts w:ascii="Arial" w:hAnsi="Arial" w:cs="Arial"/>
                <w:b/>
                <w:szCs w:val="22"/>
              </w:rPr>
              <w:t>Item</w:t>
            </w:r>
          </w:p>
        </w:tc>
        <w:tc>
          <w:tcPr>
            <w:tcW w:w="2552" w:type="dxa"/>
            <w:tcBorders>
              <w:bottom w:val="single" w:sz="4" w:space="0" w:color="auto"/>
            </w:tcBorders>
          </w:tcPr>
          <w:p w:rsidR="00933FBA" w:rsidRPr="00F54A56" w:rsidRDefault="00F454F2" w:rsidP="00F54A56">
            <w:pPr>
              <w:pStyle w:val="TableText"/>
              <w:spacing w:before="0" w:after="0"/>
              <w:rPr>
                <w:rFonts w:ascii="Arial" w:hAnsi="Arial" w:cs="Arial"/>
                <w:b/>
                <w:szCs w:val="22"/>
              </w:rPr>
            </w:pPr>
            <w:r w:rsidRPr="00F54A56">
              <w:rPr>
                <w:rFonts w:ascii="Arial" w:hAnsi="Arial" w:cs="Arial"/>
                <w:b/>
                <w:szCs w:val="22"/>
              </w:rPr>
              <w:t>Description</w:t>
            </w:r>
          </w:p>
        </w:tc>
        <w:tc>
          <w:tcPr>
            <w:tcW w:w="5441" w:type="dxa"/>
            <w:tcBorders>
              <w:bottom w:val="single" w:sz="4" w:space="0" w:color="auto"/>
            </w:tcBorders>
          </w:tcPr>
          <w:p w:rsidR="00933FBA" w:rsidRPr="00F54A56" w:rsidRDefault="00933FBA" w:rsidP="00F54A56">
            <w:pPr>
              <w:pStyle w:val="TableText"/>
              <w:spacing w:before="0" w:after="0"/>
              <w:rPr>
                <w:rFonts w:ascii="Arial" w:hAnsi="Arial" w:cs="Arial"/>
                <w:b/>
                <w:szCs w:val="22"/>
              </w:rPr>
            </w:pPr>
          </w:p>
        </w:tc>
      </w:tr>
      <w:tr w:rsidR="00F54A56" w:rsidRPr="00F54A56" w:rsidTr="00F54A56">
        <w:tblPrEx>
          <w:tblLook w:val="04A0" w:firstRow="1" w:lastRow="0" w:firstColumn="1" w:lastColumn="0" w:noHBand="0" w:noVBand="1"/>
        </w:tblPrEx>
        <w:trPr>
          <w:trHeight w:val="20"/>
        </w:trPr>
        <w:tc>
          <w:tcPr>
            <w:tcW w:w="762" w:type="dxa"/>
            <w:tcBorders>
              <w:top w:val="single" w:sz="4" w:space="0" w:color="auto"/>
            </w:tcBorders>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1</w:t>
            </w:r>
          </w:p>
        </w:tc>
        <w:tc>
          <w:tcPr>
            <w:tcW w:w="2552" w:type="dxa"/>
            <w:tcBorders>
              <w:top w:val="single" w:sz="4" w:space="0" w:color="auto"/>
            </w:tcBorders>
            <w:shd w:val="clear" w:color="auto" w:fill="auto"/>
            <w:noWrap/>
            <w:hideMark/>
          </w:tcPr>
          <w:p w:rsidR="00F54A56" w:rsidRPr="00F54A56" w:rsidRDefault="00F54A56" w:rsidP="00F54A56">
            <w:pPr>
              <w:rPr>
                <w:color w:val="000000"/>
                <w:sz w:val="22"/>
                <w:szCs w:val="22"/>
              </w:rPr>
            </w:pPr>
            <w:r w:rsidRPr="00F54A56">
              <w:rPr>
                <w:bCs/>
                <w:color w:val="000000"/>
                <w:sz w:val="22"/>
                <w:szCs w:val="22"/>
              </w:rPr>
              <w:t>Name of Individual:</w:t>
            </w:r>
          </w:p>
        </w:tc>
        <w:tc>
          <w:tcPr>
            <w:tcW w:w="5441" w:type="dxa"/>
            <w:tcBorders>
              <w:top w:val="single" w:sz="4" w:space="0" w:color="auto"/>
            </w:tcBorders>
            <w:shd w:val="clear" w:color="auto" w:fill="auto"/>
            <w:noWrap/>
            <w:hideMark/>
          </w:tcPr>
          <w:p w:rsidR="00F54A56" w:rsidRPr="00F54A56" w:rsidRDefault="00F54A56" w:rsidP="00F54A56">
            <w:pPr>
              <w:rPr>
                <w:color w:val="000000"/>
                <w:sz w:val="22"/>
                <w:szCs w:val="22"/>
              </w:rPr>
            </w:pPr>
            <w:r w:rsidRPr="00F54A56">
              <w:rPr>
                <w:noProof/>
                <w:color w:val="000000"/>
                <w:sz w:val="22"/>
                <w:szCs w:val="22"/>
              </w:rPr>
              <w:t>Abdallah MANSOUR</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Senior role in security serives and former Director of Radio and Television</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2011LBY0029</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2</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Abdelhaziz ZLITNI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A515F4">
            <w:pPr>
              <w:rPr>
                <w:color w:val="000000"/>
                <w:sz w:val="22"/>
                <w:szCs w:val="22"/>
              </w:rPr>
            </w:pPr>
            <w:r w:rsidRPr="00F54A56">
              <w:rPr>
                <w:noProof/>
                <w:color w:val="000000"/>
                <w:sz w:val="22"/>
                <w:szCs w:val="22"/>
              </w:rPr>
              <w:t>Minister for Planning and Finance in Colonel Gaddafi’s Government</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2011LBY0034</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3</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Abdelkebir Mohamad FAKHIRI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Minister for Education, Higher Education and Research in Colonel Gaddafi’s Government</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2011LBY0024</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4</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Abdelmajid AL-GAOUD</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Minister for Agriculture, Animal and Maritime Resources in Colonel Gaddafi’s Government</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2011LBY0021</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5</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Abdulqader Yusef DIBRI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Date of Birth:</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1946</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Place of Birth:</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Houn, Libya.</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Head of Muammar Qadhafi’s personal security. Responsibility for regime security. History of directing violence against dissidents.</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2011LBY0002</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6</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Abdussalam Mohammed ABDUSSALAM</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Date of Birth:</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c1952</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Place of Birth:</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Tripoli, Libya.</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 xml:space="preserve">Head of Counter-Terrorism, External Security Organisation. Prominent Revolutionary Committee </w:t>
            </w:r>
            <w:r w:rsidRPr="00F54A56">
              <w:rPr>
                <w:noProof/>
                <w:color w:val="000000"/>
                <w:sz w:val="22"/>
                <w:szCs w:val="22"/>
              </w:rPr>
              <w:lastRenderedPageBreak/>
              <w:t>member. Close associate of Muammar Qadhafi.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2011LBY0012</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D904DE" w:rsidP="00F54A56">
            <w:pPr>
              <w:jc w:val="right"/>
              <w:rPr>
                <w:color w:val="000000"/>
                <w:sz w:val="22"/>
                <w:szCs w:val="22"/>
              </w:rPr>
            </w:pPr>
            <w:r>
              <w:rPr>
                <w:color w:val="000000"/>
                <w:sz w:val="22"/>
                <w:szCs w:val="22"/>
              </w:rPr>
              <w:t>7</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Bachir SALEH</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Head of Cabinet of the Leader</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2011LBY0030</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D904DE" w:rsidP="00F54A56">
            <w:pPr>
              <w:jc w:val="right"/>
              <w:rPr>
                <w:color w:val="000000"/>
                <w:sz w:val="22"/>
                <w:szCs w:val="22"/>
              </w:rPr>
            </w:pPr>
            <w:r>
              <w:rPr>
                <w:color w:val="000000"/>
                <w:sz w:val="22"/>
                <w:szCs w:val="22"/>
              </w:rPr>
              <w:t>8</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Baghdadi AL-MAHMOUDI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Prime Minister of Colonel Gaddafi’s Government</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2011LBY0022</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D904DE" w:rsidP="00F54A56">
            <w:pPr>
              <w:jc w:val="right"/>
              <w:rPr>
                <w:color w:val="000000"/>
                <w:sz w:val="22"/>
                <w:szCs w:val="22"/>
              </w:rPr>
            </w:pPr>
            <w:r>
              <w:rPr>
                <w:color w:val="000000"/>
                <w:sz w:val="22"/>
                <w:szCs w:val="22"/>
              </w:rPr>
              <w:t>9</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Colonel Amid Husain AL KUNI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Governor of Ghat (South Libya)</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2011LBY0017</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1</w:t>
            </w:r>
            <w:r w:rsidR="00D904DE">
              <w:rPr>
                <w:color w:val="000000"/>
                <w:sz w:val="22"/>
                <w:szCs w:val="22"/>
              </w:rPr>
              <w:t>0</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Colonel Mas'ud ABDULHAFIZ</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Armed Forces Commander. Third in command of Armed Forces. Significant role in Military Intelligence.</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2011LBY0011</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1</w:t>
            </w:r>
            <w:r w:rsidR="00D904DE">
              <w:rPr>
                <w:color w:val="000000"/>
                <w:sz w:val="22"/>
                <w:szCs w:val="22"/>
              </w:rPr>
              <w:t>1</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Colonel Taher JUWADI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Fourth in Revolutionary Guard chain of command.</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2011LBY0055</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1</w:t>
            </w:r>
            <w:r w:rsidR="00D904DE">
              <w:rPr>
                <w:color w:val="000000"/>
                <w:sz w:val="22"/>
                <w:szCs w:val="22"/>
              </w:rPr>
              <w:t>2</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Dr Abdulqader Mohammed AL-BAGHDADI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Date of Birth:</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1/07/1950</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Passport number: B010574. Head of the Liaison Office of the Revolutionary Committees. Revolutionary Committees involved in violence against demonstrators.</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2011LBY0001</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1</w:t>
            </w:r>
            <w:r w:rsidR="00D904DE">
              <w:rPr>
                <w:color w:val="000000"/>
                <w:sz w:val="22"/>
                <w:szCs w:val="22"/>
              </w:rPr>
              <w:t>3</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General Khaled TOHAMI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Director of Internal Security Office</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2011LBY0031</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1</w:t>
            </w:r>
            <w:r w:rsidR="00D904DE">
              <w:rPr>
                <w:color w:val="000000"/>
                <w:sz w:val="22"/>
                <w:szCs w:val="22"/>
              </w:rPr>
              <w:t>4</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Ibrahim Zarroug AL-CHARIF</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Minister for Social Affairs in Colonel Gaddafi’s Government</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2011LBY0020</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B1562E" w:rsidP="00F54A56">
            <w:pPr>
              <w:jc w:val="right"/>
              <w:rPr>
                <w:color w:val="000000"/>
                <w:sz w:val="22"/>
                <w:szCs w:val="22"/>
              </w:rPr>
            </w:pPr>
            <w:r>
              <w:rPr>
                <w:color w:val="000000"/>
                <w:sz w:val="22"/>
                <w:szCs w:val="22"/>
              </w:rPr>
              <w:t>1</w:t>
            </w:r>
            <w:r w:rsidR="00D904DE">
              <w:rPr>
                <w:color w:val="000000"/>
                <w:sz w:val="22"/>
                <w:szCs w:val="22"/>
              </w:rPr>
              <w:t>5</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Mohamad Mahmoud HIJAZI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Minister for Health and Environment in Colonel Gaddafi’s Government</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2011LBY0027</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B1562E" w:rsidP="00F54A56">
            <w:pPr>
              <w:jc w:val="right"/>
              <w:rPr>
                <w:color w:val="000000"/>
                <w:sz w:val="22"/>
                <w:szCs w:val="22"/>
              </w:rPr>
            </w:pPr>
            <w:r>
              <w:rPr>
                <w:color w:val="000000"/>
                <w:sz w:val="22"/>
                <w:szCs w:val="22"/>
              </w:rPr>
              <w:t>1</w:t>
            </w:r>
            <w:r w:rsidR="00D904DE">
              <w:rPr>
                <w:color w:val="000000"/>
                <w:sz w:val="22"/>
                <w:szCs w:val="22"/>
              </w:rPr>
              <w:t>6</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Mohamed Abou EL-KASSIM ZOUAI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Secretary General of the General People’s Congress</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2011LBY0023</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A27342" w:rsidP="00D904DE">
            <w:pPr>
              <w:jc w:val="right"/>
              <w:rPr>
                <w:color w:val="000000"/>
                <w:sz w:val="22"/>
                <w:szCs w:val="22"/>
              </w:rPr>
            </w:pPr>
            <w:r>
              <w:rPr>
                <w:color w:val="000000"/>
                <w:sz w:val="22"/>
                <w:szCs w:val="22"/>
              </w:rPr>
              <w:t>1</w:t>
            </w:r>
            <w:r w:rsidR="00D904DE">
              <w:rPr>
                <w:color w:val="000000"/>
                <w:sz w:val="22"/>
                <w:szCs w:val="22"/>
              </w:rPr>
              <w:t>7</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A02D28" w:rsidP="00F54A56">
            <w:pPr>
              <w:rPr>
                <w:color w:val="000000"/>
                <w:sz w:val="22"/>
                <w:szCs w:val="22"/>
              </w:rPr>
            </w:pPr>
            <w:r>
              <w:rPr>
                <w:noProof/>
                <w:color w:val="000000"/>
                <w:sz w:val="22"/>
                <w:szCs w:val="22"/>
              </w:rPr>
              <w:t>Mohama</w:t>
            </w:r>
            <w:r w:rsidR="00F54A56" w:rsidRPr="00F54A56">
              <w:rPr>
                <w:noProof/>
                <w:color w:val="000000"/>
                <w:sz w:val="22"/>
                <w:szCs w:val="22"/>
              </w:rPr>
              <w:t>d Ali HOUEJ</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Minister for Industry, Economy and Trade in Colonel Gaddafi’s Government</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2011LBY0028</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D904DE" w:rsidP="00F54A56">
            <w:pPr>
              <w:jc w:val="right"/>
              <w:rPr>
                <w:color w:val="000000"/>
                <w:sz w:val="22"/>
                <w:szCs w:val="22"/>
              </w:rPr>
            </w:pPr>
            <w:r>
              <w:rPr>
                <w:color w:val="000000"/>
                <w:sz w:val="22"/>
                <w:szCs w:val="22"/>
              </w:rPr>
              <w:t>18</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Mohammed Boucharaya FARKASH</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Director of intelligence in External Security Office</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2011LBY0025</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D904DE" w:rsidP="00F54A56">
            <w:pPr>
              <w:jc w:val="right"/>
              <w:rPr>
                <w:color w:val="000000"/>
                <w:sz w:val="22"/>
                <w:szCs w:val="22"/>
              </w:rPr>
            </w:pPr>
            <w:r>
              <w:rPr>
                <w:color w:val="000000"/>
                <w:sz w:val="22"/>
                <w:szCs w:val="22"/>
              </w:rPr>
              <w:t>19</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Omar ASHKAL</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Place of Birth:</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Sirte, Libya.</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Head, Revolutionary Committees Movement. Revolutionary Committees involved in violence against demonstrators.</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2011LBY0015</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D904DE" w:rsidP="00F54A56">
            <w:pPr>
              <w:jc w:val="right"/>
              <w:rPr>
                <w:color w:val="000000"/>
                <w:sz w:val="22"/>
                <w:szCs w:val="22"/>
              </w:rPr>
            </w:pPr>
            <w:r>
              <w:rPr>
                <w:color w:val="000000"/>
                <w:sz w:val="22"/>
                <w:szCs w:val="22"/>
              </w:rPr>
              <w:t>20</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lang w:val="fr-FR"/>
              </w:rPr>
            </w:pPr>
            <w:r w:rsidRPr="00F54A56">
              <w:rPr>
                <w:noProof/>
                <w:color w:val="000000"/>
                <w:sz w:val="22"/>
                <w:szCs w:val="22"/>
                <w:lang w:val="fr-FR"/>
              </w:rPr>
              <w:t>Quren Salih Quren AL QADHAFI</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lang w:val="fr-FR"/>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Libyan Ambassador to Chad</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2011LBY0018</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D904DE" w:rsidP="00F54A56">
            <w:pPr>
              <w:jc w:val="right"/>
              <w:rPr>
                <w:color w:val="000000"/>
                <w:sz w:val="22"/>
                <w:szCs w:val="22"/>
              </w:rPr>
            </w:pPr>
            <w:r>
              <w:rPr>
                <w:color w:val="000000"/>
                <w:sz w:val="22"/>
                <w:szCs w:val="22"/>
              </w:rPr>
              <w:t>21</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Sayyid Mohammed QADHAF AL-DAM</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Date of Birth:</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1948</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Place of Birth:</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Sirte, Libya.</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Cousin of Muammar Qadhafi. In the 1980s, Sayyid was involved in the dissident assassination campaign and allegedly responsible for several deaths in Europe. He is also thought to have been involved in arms procurement.</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2011LBY0006</w:t>
            </w: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p>
        </w:tc>
        <w:tc>
          <w:tcPr>
            <w:tcW w:w="544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762" w:type="dxa"/>
            <w:shd w:val="clear" w:color="auto" w:fill="auto"/>
            <w:noWrap/>
            <w:hideMark/>
          </w:tcPr>
          <w:p w:rsidR="00F54A56" w:rsidRPr="00F54A56" w:rsidRDefault="00D904DE" w:rsidP="00F54A56">
            <w:pPr>
              <w:jc w:val="right"/>
              <w:rPr>
                <w:color w:val="000000"/>
                <w:sz w:val="22"/>
                <w:szCs w:val="22"/>
              </w:rPr>
            </w:pPr>
            <w:r>
              <w:rPr>
                <w:color w:val="000000"/>
                <w:sz w:val="22"/>
                <w:szCs w:val="22"/>
              </w:rPr>
              <w:t>22</w:t>
            </w:r>
          </w:p>
        </w:tc>
        <w:tc>
          <w:tcPr>
            <w:tcW w:w="2552"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Individual:</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Shaariya  ABU</w:t>
            </w:r>
          </w:p>
        </w:tc>
      </w:tr>
      <w:tr w:rsidR="00F54A56" w:rsidRPr="00F54A56" w:rsidTr="00A27342">
        <w:tblPrEx>
          <w:tblLook w:val="04A0" w:firstRow="1" w:lastRow="0" w:firstColumn="1" w:lastColumn="0" w:noHBand="0" w:noVBand="1"/>
        </w:tblPrEx>
        <w:trPr>
          <w:trHeight w:val="20"/>
        </w:trPr>
        <w:tc>
          <w:tcPr>
            <w:tcW w:w="762" w:type="dxa"/>
            <w:shd w:val="clear" w:color="auto" w:fill="auto"/>
            <w:noWrap/>
            <w:hideMark/>
          </w:tcPr>
          <w:p w:rsidR="00F54A56" w:rsidRPr="00F54A56" w:rsidRDefault="00F54A56" w:rsidP="00F54A56">
            <w:pPr>
              <w:jc w:val="right"/>
              <w:rPr>
                <w:color w:val="000000"/>
                <w:sz w:val="22"/>
                <w:szCs w:val="22"/>
              </w:rPr>
            </w:pPr>
          </w:p>
        </w:tc>
        <w:tc>
          <w:tcPr>
            <w:tcW w:w="2552"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Additional Information:</w:t>
            </w:r>
          </w:p>
        </w:tc>
        <w:tc>
          <w:tcPr>
            <w:tcW w:w="544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Deputy Head, External Security Organisation. Prominent member of regime. Brother-in-law of Muammar Qadhafi.</w:t>
            </w:r>
          </w:p>
        </w:tc>
      </w:tr>
      <w:tr w:rsidR="00F54A56" w:rsidRPr="00F54A56" w:rsidTr="00A27342">
        <w:tblPrEx>
          <w:tblLook w:val="04A0" w:firstRow="1" w:lastRow="0" w:firstColumn="1" w:lastColumn="0" w:noHBand="0" w:noVBand="1"/>
        </w:tblPrEx>
        <w:trPr>
          <w:trHeight w:val="20"/>
        </w:trPr>
        <w:tc>
          <w:tcPr>
            <w:tcW w:w="762" w:type="dxa"/>
            <w:tcBorders>
              <w:bottom w:val="single" w:sz="4" w:space="0" w:color="auto"/>
            </w:tcBorders>
            <w:shd w:val="clear" w:color="auto" w:fill="auto"/>
            <w:noWrap/>
            <w:hideMark/>
          </w:tcPr>
          <w:p w:rsidR="00F54A56" w:rsidRPr="00F54A56" w:rsidRDefault="00F54A56" w:rsidP="00F54A56">
            <w:pPr>
              <w:jc w:val="right"/>
              <w:rPr>
                <w:color w:val="000000"/>
                <w:sz w:val="22"/>
                <w:szCs w:val="22"/>
              </w:rPr>
            </w:pPr>
          </w:p>
        </w:tc>
        <w:tc>
          <w:tcPr>
            <w:tcW w:w="2552" w:type="dxa"/>
            <w:tcBorders>
              <w:bottom w:val="single" w:sz="4" w:space="0" w:color="auto"/>
            </w:tcBorders>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441" w:type="dxa"/>
            <w:tcBorders>
              <w:bottom w:val="single" w:sz="4" w:space="0" w:color="auto"/>
            </w:tcBorders>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2011LBY0013</w:t>
            </w:r>
          </w:p>
        </w:tc>
      </w:tr>
    </w:tbl>
    <w:p w:rsidR="00F54A56" w:rsidRPr="00F54A56" w:rsidRDefault="00F54A56" w:rsidP="00F54A56">
      <w:pPr>
        <w:pStyle w:val="A2S"/>
      </w:pPr>
    </w:p>
    <w:p w:rsidR="005063B3" w:rsidRPr="009549C9" w:rsidRDefault="005063B3" w:rsidP="00FE65E8">
      <w:pPr>
        <w:pStyle w:val="Schedulepart"/>
        <w:spacing w:before="0"/>
        <w:rPr>
          <w:rStyle w:val="CharSchPTNo"/>
        </w:rPr>
      </w:pPr>
      <w:r w:rsidRPr="00F42EDE">
        <w:rPr>
          <w:rStyle w:val="CharPartNo"/>
        </w:rPr>
        <w:t xml:space="preserve">Part </w:t>
      </w:r>
      <w:r>
        <w:rPr>
          <w:rStyle w:val="CharPartNo"/>
        </w:rPr>
        <w:t>2</w:t>
      </w:r>
      <w:r w:rsidRPr="009549C9">
        <w:rPr>
          <w:rStyle w:val="CharSchPTNo"/>
        </w:rPr>
        <w:tab/>
      </w:r>
      <w:r>
        <w:rPr>
          <w:rStyle w:val="CharPartText"/>
        </w:rPr>
        <w:t>Designated entities</w:t>
      </w:r>
      <w:r w:rsidRPr="009549C9">
        <w:rPr>
          <w:rStyle w:val="CharSchPTNo"/>
        </w:rPr>
        <w:t xml:space="preserve"> </w:t>
      </w:r>
    </w:p>
    <w:p w:rsidR="005063B3" w:rsidRPr="0041051E" w:rsidRDefault="005063B3" w:rsidP="005063B3">
      <w:pPr>
        <w:pStyle w:val="A2S"/>
      </w:pPr>
    </w:p>
    <w:tbl>
      <w:tblPr>
        <w:tblW w:w="8755" w:type="dxa"/>
        <w:tblLook w:val="0000" w:firstRow="0" w:lastRow="0" w:firstColumn="0" w:lastColumn="0" w:noHBand="0" w:noVBand="0"/>
      </w:tblPr>
      <w:tblGrid>
        <w:gridCol w:w="694"/>
        <w:gridCol w:w="2690"/>
        <w:gridCol w:w="5371"/>
      </w:tblGrid>
      <w:tr w:rsidR="005063B3" w:rsidRPr="00F54A56" w:rsidTr="00F54A56">
        <w:trPr>
          <w:trHeight w:val="20"/>
        </w:trPr>
        <w:tc>
          <w:tcPr>
            <w:tcW w:w="694" w:type="dxa"/>
            <w:tcBorders>
              <w:bottom w:val="single" w:sz="4" w:space="0" w:color="auto"/>
            </w:tcBorders>
          </w:tcPr>
          <w:p w:rsidR="005063B3" w:rsidRPr="00F54A56" w:rsidRDefault="005063B3" w:rsidP="00F54A56">
            <w:pPr>
              <w:pStyle w:val="TableText"/>
              <w:spacing w:before="0" w:after="0"/>
              <w:rPr>
                <w:rFonts w:ascii="Arial" w:hAnsi="Arial" w:cs="Arial"/>
                <w:b/>
                <w:szCs w:val="22"/>
              </w:rPr>
            </w:pPr>
            <w:r w:rsidRPr="00F54A56">
              <w:rPr>
                <w:rFonts w:ascii="Arial" w:hAnsi="Arial" w:cs="Arial"/>
                <w:b/>
                <w:szCs w:val="22"/>
              </w:rPr>
              <w:t>Item</w:t>
            </w:r>
          </w:p>
        </w:tc>
        <w:tc>
          <w:tcPr>
            <w:tcW w:w="2690" w:type="dxa"/>
            <w:tcBorders>
              <w:bottom w:val="single" w:sz="4" w:space="0" w:color="auto"/>
            </w:tcBorders>
          </w:tcPr>
          <w:p w:rsidR="005063B3" w:rsidRPr="00F54A56" w:rsidRDefault="005063B3" w:rsidP="00FE65E8">
            <w:pPr>
              <w:pStyle w:val="TableText"/>
              <w:spacing w:before="0" w:after="0"/>
              <w:rPr>
                <w:rFonts w:ascii="Arial" w:hAnsi="Arial" w:cs="Arial"/>
                <w:b/>
                <w:szCs w:val="22"/>
              </w:rPr>
            </w:pPr>
            <w:r w:rsidRPr="00F54A56">
              <w:rPr>
                <w:rFonts w:ascii="Arial" w:hAnsi="Arial" w:cs="Arial"/>
                <w:b/>
                <w:szCs w:val="22"/>
              </w:rPr>
              <w:t>Description</w:t>
            </w:r>
          </w:p>
        </w:tc>
        <w:tc>
          <w:tcPr>
            <w:tcW w:w="5371" w:type="dxa"/>
            <w:tcBorders>
              <w:bottom w:val="single" w:sz="4" w:space="0" w:color="auto"/>
            </w:tcBorders>
          </w:tcPr>
          <w:p w:rsidR="005063B3" w:rsidRPr="00F54A56" w:rsidRDefault="005063B3" w:rsidP="00FE65E8">
            <w:pPr>
              <w:pStyle w:val="TableText"/>
              <w:spacing w:before="0" w:after="0"/>
              <w:rPr>
                <w:rFonts w:ascii="Arial" w:hAnsi="Arial" w:cs="Arial"/>
                <w:b/>
                <w:szCs w:val="22"/>
              </w:rPr>
            </w:pPr>
          </w:p>
        </w:tc>
      </w:tr>
      <w:tr w:rsidR="00F54A56" w:rsidRPr="00F54A56" w:rsidTr="00F54A56">
        <w:tblPrEx>
          <w:tblLook w:val="04A0" w:firstRow="1" w:lastRow="0" w:firstColumn="1" w:lastColumn="0" w:noHBand="0" w:noVBand="1"/>
        </w:tblPrEx>
        <w:trPr>
          <w:trHeight w:val="20"/>
        </w:trPr>
        <w:tc>
          <w:tcPr>
            <w:tcW w:w="694" w:type="dxa"/>
            <w:tcBorders>
              <w:top w:val="single" w:sz="4" w:space="0" w:color="auto"/>
            </w:tcBorders>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1</w:t>
            </w:r>
          </w:p>
        </w:tc>
        <w:tc>
          <w:tcPr>
            <w:tcW w:w="2690" w:type="dxa"/>
            <w:tcBorders>
              <w:top w:val="single" w:sz="4" w:space="0" w:color="auto"/>
            </w:tcBorders>
            <w:shd w:val="clear" w:color="auto" w:fill="auto"/>
            <w:noWrap/>
            <w:hideMark/>
          </w:tcPr>
          <w:p w:rsidR="00F54A56" w:rsidRPr="00F54A56" w:rsidRDefault="00F54A56" w:rsidP="00F54A56">
            <w:pPr>
              <w:rPr>
                <w:color w:val="000000"/>
                <w:sz w:val="22"/>
                <w:szCs w:val="22"/>
              </w:rPr>
            </w:pPr>
            <w:r w:rsidRPr="00F54A56">
              <w:rPr>
                <w:bCs/>
                <w:color w:val="000000"/>
                <w:sz w:val="22"/>
                <w:szCs w:val="22"/>
              </w:rPr>
              <w:t>Name of Entity:</w:t>
            </w:r>
          </w:p>
        </w:tc>
        <w:tc>
          <w:tcPr>
            <w:tcW w:w="5371" w:type="dxa"/>
            <w:tcBorders>
              <w:top w:val="single" w:sz="4" w:space="0" w:color="auto"/>
            </w:tcBorders>
            <w:shd w:val="clear" w:color="auto" w:fill="auto"/>
            <w:noWrap/>
            <w:hideMark/>
          </w:tcPr>
          <w:p w:rsidR="00F54A56" w:rsidRPr="00F54A56" w:rsidRDefault="00F54A56" w:rsidP="00F54A56">
            <w:pPr>
              <w:rPr>
                <w:color w:val="000000"/>
                <w:sz w:val="22"/>
                <w:szCs w:val="22"/>
              </w:rPr>
            </w:pPr>
            <w:r w:rsidRPr="00F54A56">
              <w:rPr>
                <w:noProof/>
                <w:color w:val="000000"/>
                <w:sz w:val="22"/>
                <w:szCs w:val="22"/>
              </w:rPr>
              <w:t>Al-Inma Holding Company for Construction and Real Estate Developments</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2011LBY0035</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p>
        </w:tc>
        <w:tc>
          <w:tcPr>
            <w:tcW w:w="537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2</w:t>
            </w: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Name of Entity:</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Al-Inma Holding Company For Industrial Investments</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2011LBY0036</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p>
        </w:tc>
        <w:tc>
          <w:tcPr>
            <w:tcW w:w="537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3</w:t>
            </w:r>
          </w:p>
        </w:tc>
        <w:tc>
          <w:tcPr>
            <w:tcW w:w="2690"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Entity:</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Al-Inma Holding Company for Services Investments</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2011LBY0037</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p>
        </w:tc>
        <w:tc>
          <w:tcPr>
            <w:tcW w:w="537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4</w:t>
            </w:r>
          </w:p>
        </w:tc>
        <w:tc>
          <w:tcPr>
            <w:tcW w:w="2690"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Entity:</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Al-Inma Holding Company for Tourism Investment</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Address:</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Hasan al-Mashay Street (off al-Zawiyah Street), Tel No.: (218) 213345187, Fax: +218.21.334.5188, e-mail: info@ethic.ly</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2011LBY0038</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p>
        </w:tc>
        <w:tc>
          <w:tcPr>
            <w:tcW w:w="537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5</w:t>
            </w:r>
          </w:p>
        </w:tc>
        <w:tc>
          <w:tcPr>
            <w:tcW w:w="2690"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Entity:</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Gaddafi International Charity and Development Foundation</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Address:</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P.O. Box 1101; Hay Alandalus, Jian St, Tripoli, Libya</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2011LBY0041</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p>
        </w:tc>
        <w:tc>
          <w:tcPr>
            <w:tcW w:w="537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r w:rsidRPr="00F54A56">
              <w:rPr>
                <w:color w:val="000000"/>
                <w:sz w:val="22"/>
                <w:szCs w:val="22"/>
              </w:rPr>
              <w:t>6</w:t>
            </w:r>
          </w:p>
        </w:tc>
        <w:tc>
          <w:tcPr>
            <w:tcW w:w="2690"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Entity:</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Libyan Arab African Investment Company (LAAICO)</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Address:</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76351 Janzour, Libya; 81370 Tripoli, Libya</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2011LBY0045</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p>
        </w:tc>
        <w:tc>
          <w:tcPr>
            <w:tcW w:w="537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D904DE" w:rsidP="001D2A68">
            <w:pPr>
              <w:jc w:val="right"/>
              <w:rPr>
                <w:color w:val="000000"/>
                <w:sz w:val="22"/>
                <w:szCs w:val="22"/>
              </w:rPr>
            </w:pPr>
            <w:r>
              <w:rPr>
                <w:color w:val="000000"/>
                <w:sz w:val="22"/>
                <w:szCs w:val="22"/>
              </w:rPr>
              <w:t>7</w:t>
            </w:r>
          </w:p>
        </w:tc>
        <w:tc>
          <w:tcPr>
            <w:tcW w:w="2690"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Entity:</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Libyan Jamahirya Broadcasting Corporation</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Address:</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Libya</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2011LBY0048</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p>
        </w:tc>
        <w:tc>
          <w:tcPr>
            <w:tcW w:w="537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D904DE" w:rsidP="001D2A68">
            <w:pPr>
              <w:jc w:val="right"/>
              <w:rPr>
                <w:color w:val="000000"/>
                <w:sz w:val="22"/>
                <w:szCs w:val="22"/>
              </w:rPr>
            </w:pPr>
            <w:r>
              <w:rPr>
                <w:color w:val="000000"/>
                <w:sz w:val="22"/>
                <w:szCs w:val="22"/>
              </w:rPr>
              <w:t>8</w:t>
            </w:r>
          </w:p>
        </w:tc>
        <w:tc>
          <w:tcPr>
            <w:tcW w:w="2690"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Entity:</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Revolutionary Guard Corps</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2011LBY0051</w:t>
            </w: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p>
        </w:tc>
        <w:tc>
          <w:tcPr>
            <w:tcW w:w="5371" w:type="dxa"/>
            <w:shd w:val="clear" w:color="auto" w:fill="auto"/>
            <w:noWrap/>
            <w:hideMark/>
          </w:tcPr>
          <w:p w:rsidR="00F54A56" w:rsidRPr="00F54A56" w:rsidRDefault="00F54A56" w:rsidP="00F54A56">
            <w:pPr>
              <w:rPr>
                <w:rFonts w:ascii="Calibri" w:hAnsi="Calibri" w:cs="Calibri"/>
                <w:color w:val="000000"/>
                <w:sz w:val="22"/>
                <w:szCs w:val="22"/>
              </w:rPr>
            </w:pPr>
          </w:p>
        </w:tc>
      </w:tr>
      <w:tr w:rsidR="00F54A56" w:rsidRPr="00F54A56" w:rsidTr="00F54A56">
        <w:tblPrEx>
          <w:tblLook w:val="04A0" w:firstRow="1" w:lastRow="0" w:firstColumn="1" w:lastColumn="0" w:noHBand="0" w:noVBand="1"/>
        </w:tblPrEx>
        <w:trPr>
          <w:trHeight w:val="20"/>
        </w:trPr>
        <w:tc>
          <w:tcPr>
            <w:tcW w:w="694" w:type="dxa"/>
            <w:shd w:val="clear" w:color="auto" w:fill="auto"/>
            <w:noWrap/>
            <w:hideMark/>
          </w:tcPr>
          <w:p w:rsidR="00F54A56" w:rsidRPr="00F54A56" w:rsidRDefault="00D904DE" w:rsidP="001D2A68">
            <w:pPr>
              <w:jc w:val="right"/>
              <w:rPr>
                <w:color w:val="000000"/>
                <w:sz w:val="22"/>
                <w:szCs w:val="22"/>
              </w:rPr>
            </w:pPr>
            <w:r>
              <w:rPr>
                <w:color w:val="000000"/>
                <w:sz w:val="22"/>
                <w:szCs w:val="22"/>
              </w:rPr>
              <w:t>9</w:t>
            </w:r>
          </w:p>
        </w:tc>
        <w:tc>
          <w:tcPr>
            <w:tcW w:w="2690" w:type="dxa"/>
            <w:shd w:val="clear" w:color="auto" w:fill="auto"/>
            <w:noWrap/>
            <w:hideMark/>
          </w:tcPr>
          <w:p w:rsidR="00F54A56" w:rsidRPr="00F54A56" w:rsidRDefault="00F54A56" w:rsidP="00F54A56">
            <w:pPr>
              <w:rPr>
                <w:color w:val="000000"/>
                <w:sz w:val="22"/>
                <w:szCs w:val="22"/>
              </w:rPr>
            </w:pPr>
            <w:r w:rsidRPr="00F54A56">
              <w:rPr>
                <w:color w:val="000000"/>
                <w:sz w:val="22"/>
                <w:szCs w:val="22"/>
              </w:rPr>
              <w:t>Name of Entity:</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Waatassimou Foundation</w:t>
            </w:r>
          </w:p>
        </w:tc>
      </w:tr>
      <w:tr w:rsidR="00F54A56" w:rsidRPr="00F54A56" w:rsidTr="00A02D28">
        <w:tblPrEx>
          <w:tblLook w:val="04A0" w:firstRow="1" w:lastRow="0" w:firstColumn="1" w:lastColumn="0" w:noHBand="0" w:noVBand="1"/>
        </w:tblPrEx>
        <w:trPr>
          <w:trHeight w:val="20"/>
        </w:trPr>
        <w:tc>
          <w:tcPr>
            <w:tcW w:w="694" w:type="dxa"/>
            <w:shd w:val="clear" w:color="auto" w:fill="auto"/>
            <w:noWrap/>
            <w:hideMark/>
          </w:tcPr>
          <w:p w:rsidR="00F54A56" w:rsidRPr="00F54A56" w:rsidRDefault="00F54A56" w:rsidP="00F54A56">
            <w:pPr>
              <w:jc w:val="right"/>
              <w:rPr>
                <w:color w:val="000000"/>
                <w:sz w:val="22"/>
                <w:szCs w:val="22"/>
              </w:rPr>
            </w:pPr>
          </w:p>
        </w:tc>
        <w:tc>
          <w:tcPr>
            <w:tcW w:w="2690" w:type="dxa"/>
            <w:shd w:val="clear" w:color="auto" w:fill="auto"/>
            <w:noWrap/>
            <w:hideMark/>
          </w:tcPr>
          <w:p w:rsidR="00F54A56" w:rsidRPr="00F54A56" w:rsidRDefault="00F54A56" w:rsidP="00F54A56">
            <w:pPr>
              <w:rPr>
                <w:color w:val="000000"/>
                <w:sz w:val="22"/>
                <w:szCs w:val="22"/>
              </w:rPr>
            </w:pPr>
            <w:r w:rsidRPr="00F54A56">
              <w:rPr>
                <w:bCs/>
                <w:color w:val="000000"/>
                <w:sz w:val="22"/>
                <w:szCs w:val="22"/>
              </w:rPr>
              <w:t>Address:</w:t>
            </w:r>
          </w:p>
        </w:tc>
        <w:tc>
          <w:tcPr>
            <w:tcW w:w="5371" w:type="dxa"/>
            <w:shd w:val="clear" w:color="auto" w:fill="auto"/>
            <w:noWrap/>
            <w:hideMark/>
          </w:tcPr>
          <w:p w:rsidR="00F54A56" w:rsidRPr="00F54A56" w:rsidRDefault="00F54A56" w:rsidP="00F54A56">
            <w:pPr>
              <w:rPr>
                <w:color w:val="000000"/>
                <w:sz w:val="22"/>
                <w:szCs w:val="22"/>
              </w:rPr>
            </w:pPr>
            <w:r w:rsidRPr="00F54A56">
              <w:rPr>
                <w:noProof/>
                <w:color w:val="000000"/>
                <w:sz w:val="22"/>
                <w:szCs w:val="22"/>
              </w:rPr>
              <w:t>Tripoli</w:t>
            </w:r>
          </w:p>
        </w:tc>
      </w:tr>
      <w:tr w:rsidR="00F54A56" w:rsidRPr="00F54A56" w:rsidTr="00A02D28">
        <w:tblPrEx>
          <w:tblLook w:val="04A0" w:firstRow="1" w:lastRow="0" w:firstColumn="1" w:lastColumn="0" w:noHBand="0" w:noVBand="1"/>
        </w:tblPrEx>
        <w:trPr>
          <w:trHeight w:val="20"/>
        </w:trPr>
        <w:tc>
          <w:tcPr>
            <w:tcW w:w="694" w:type="dxa"/>
            <w:tcBorders>
              <w:bottom w:val="single" w:sz="4" w:space="0" w:color="auto"/>
            </w:tcBorders>
            <w:shd w:val="clear" w:color="auto" w:fill="auto"/>
            <w:noWrap/>
            <w:hideMark/>
          </w:tcPr>
          <w:p w:rsidR="00F54A56" w:rsidRPr="00F54A56" w:rsidRDefault="00F54A56" w:rsidP="00F54A56">
            <w:pPr>
              <w:jc w:val="right"/>
              <w:rPr>
                <w:color w:val="000000"/>
                <w:sz w:val="22"/>
                <w:szCs w:val="22"/>
              </w:rPr>
            </w:pPr>
          </w:p>
        </w:tc>
        <w:tc>
          <w:tcPr>
            <w:tcW w:w="2690" w:type="dxa"/>
            <w:tcBorders>
              <w:bottom w:val="single" w:sz="4" w:space="0" w:color="auto"/>
            </w:tcBorders>
            <w:shd w:val="clear" w:color="auto" w:fill="auto"/>
            <w:noWrap/>
            <w:hideMark/>
          </w:tcPr>
          <w:p w:rsidR="00F54A56" w:rsidRPr="00F54A56" w:rsidRDefault="00F54A56" w:rsidP="00F54A56">
            <w:pPr>
              <w:rPr>
                <w:color w:val="000000"/>
                <w:sz w:val="22"/>
                <w:szCs w:val="22"/>
              </w:rPr>
            </w:pPr>
            <w:r w:rsidRPr="00F54A56">
              <w:rPr>
                <w:bCs/>
                <w:color w:val="000000"/>
                <w:sz w:val="22"/>
                <w:szCs w:val="22"/>
              </w:rPr>
              <w:t>Listing Information:</w:t>
            </w:r>
          </w:p>
        </w:tc>
        <w:tc>
          <w:tcPr>
            <w:tcW w:w="5371" w:type="dxa"/>
            <w:tcBorders>
              <w:bottom w:val="single" w:sz="4" w:space="0" w:color="auto"/>
            </w:tcBorders>
            <w:shd w:val="clear" w:color="auto" w:fill="auto"/>
            <w:noWrap/>
            <w:hideMark/>
          </w:tcPr>
          <w:p w:rsidR="00F54A56" w:rsidRPr="00F54A56" w:rsidRDefault="00F54A56" w:rsidP="00F54A56">
            <w:pPr>
              <w:rPr>
                <w:color w:val="000000"/>
                <w:sz w:val="22"/>
                <w:szCs w:val="22"/>
              </w:rPr>
            </w:pPr>
            <w:r w:rsidRPr="00F54A56">
              <w:rPr>
                <w:noProof/>
                <w:color w:val="000000"/>
                <w:sz w:val="22"/>
                <w:szCs w:val="22"/>
              </w:rPr>
              <w:t>Formerly listed on the RBA Consolidated List as 2011LBY0053</w:t>
            </w:r>
          </w:p>
        </w:tc>
      </w:tr>
    </w:tbl>
    <w:p w:rsidR="008F5D27" w:rsidRPr="007546E1" w:rsidRDefault="008F5D27" w:rsidP="008F5D27">
      <w:pPr>
        <w:pStyle w:val="NoteEnd"/>
        <w:spacing w:before="480"/>
        <w:rPr>
          <w:rFonts w:ascii="Arial" w:hAnsi="Arial"/>
          <w:b/>
          <w:sz w:val="24"/>
        </w:rPr>
      </w:pPr>
      <w:r w:rsidRPr="007546E1">
        <w:rPr>
          <w:rFonts w:ascii="Arial" w:hAnsi="Arial"/>
          <w:b/>
          <w:sz w:val="24"/>
        </w:rPr>
        <w:lastRenderedPageBreak/>
        <w:t>Note</w:t>
      </w:r>
    </w:p>
    <w:p w:rsidR="008F5D27" w:rsidRPr="004347BC" w:rsidRDefault="008F5D27" w:rsidP="008F5D27">
      <w:pPr>
        <w:pStyle w:val="A1S"/>
        <w:spacing w:before="0"/>
        <w:rPr>
          <w:rFonts w:ascii="Times New Roman" w:hAnsi="Times New Roman"/>
          <w:b w:val="0"/>
        </w:rPr>
      </w:pPr>
      <w:r w:rsidRPr="004347BC">
        <w:rPr>
          <w:rFonts w:ascii="Times New Roman" w:hAnsi="Times New Roman"/>
          <w:b w:val="0"/>
        </w:rPr>
        <w:t>1.</w:t>
      </w:r>
      <w:r w:rsidRPr="004347BC">
        <w:rPr>
          <w:rFonts w:ascii="Times New Roman" w:hAnsi="Times New Roman"/>
          <w:b w:val="0"/>
        </w:rPr>
        <w:tab/>
        <w:t xml:space="preserve">All legislative instruments and compilations are registered on the Federal Register of Legislative Instruments kept under the </w:t>
      </w:r>
      <w:r w:rsidRPr="004347BC">
        <w:rPr>
          <w:rFonts w:ascii="Times New Roman" w:hAnsi="Times New Roman"/>
          <w:b w:val="0"/>
          <w:i/>
        </w:rPr>
        <w:t xml:space="preserve">Legislative Instruments Act 2003. </w:t>
      </w:r>
      <w:r w:rsidRPr="004347BC">
        <w:rPr>
          <w:rFonts w:ascii="Times New Roman" w:hAnsi="Times New Roman"/>
          <w:b w:val="0"/>
        </w:rPr>
        <w:t>See http://www.frli.gov.au.</w:t>
      </w:r>
    </w:p>
    <w:p w:rsidR="00933FBA" w:rsidRPr="0041051E" w:rsidRDefault="00933FBA" w:rsidP="008F5D27">
      <w:pPr>
        <w:pStyle w:val="A1S"/>
        <w:spacing w:before="0"/>
      </w:pPr>
    </w:p>
    <w:sectPr w:rsidR="00933FBA" w:rsidRPr="0041051E" w:rsidSect="00753CC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89" w:rsidRDefault="003A0689" w:rsidP="003610D5">
      <w:r>
        <w:separator/>
      </w:r>
    </w:p>
  </w:endnote>
  <w:endnote w:type="continuationSeparator" w:id="0">
    <w:p w:rsidR="003A0689" w:rsidRDefault="003A0689" w:rsidP="0036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56" w:rsidRDefault="00F54A56"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54A56">
      <w:tc>
        <w:tcPr>
          <w:tcW w:w="1134" w:type="dxa"/>
        </w:tcPr>
        <w:p w:rsidR="00F54A56" w:rsidRPr="003D7214" w:rsidRDefault="00B107E4" w:rsidP="00BD545A">
          <w:pPr>
            <w:spacing w:line="240" w:lineRule="exact"/>
            <w:rPr>
              <w:rFonts w:ascii="Arial" w:hAnsi="Arial" w:cs="Arial"/>
              <w:sz w:val="22"/>
              <w:szCs w:val="22"/>
            </w:rPr>
          </w:pPr>
          <w:r w:rsidRPr="003D7214">
            <w:rPr>
              <w:rStyle w:val="PageNumber"/>
              <w:rFonts w:cs="Arial"/>
              <w:szCs w:val="22"/>
            </w:rPr>
            <w:fldChar w:fldCharType="begin"/>
          </w:r>
          <w:r w:rsidR="00F54A56" w:rsidRPr="003D7214">
            <w:rPr>
              <w:rStyle w:val="PageNumber"/>
              <w:rFonts w:cs="Arial"/>
              <w:szCs w:val="22"/>
            </w:rPr>
            <w:instrText xml:space="preserve">PAGE  </w:instrText>
          </w:r>
          <w:r w:rsidRPr="003D7214">
            <w:rPr>
              <w:rStyle w:val="PageNumber"/>
              <w:rFonts w:cs="Arial"/>
              <w:szCs w:val="22"/>
            </w:rPr>
            <w:fldChar w:fldCharType="separate"/>
          </w:r>
          <w:r w:rsidR="00563E00">
            <w:rPr>
              <w:rStyle w:val="PageNumber"/>
              <w:rFonts w:cs="Arial"/>
              <w:noProof/>
              <w:szCs w:val="22"/>
            </w:rPr>
            <w:t>6</w:t>
          </w:r>
          <w:r w:rsidRPr="003D7214">
            <w:rPr>
              <w:rStyle w:val="PageNumber"/>
              <w:rFonts w:cs="Arial"/>
              <w:szCs w:val="22"/>
            </w:rPr>
            <w:fldChar w:fldCharType="end"/>
          </w:r>
        </w:p>
      </w:tc>
      <w:tc>
        <w:tcPr>
          <w:tcW w:w="6095" w:type="dxa"/>
        </w:tcPr>
        <w:p w:rsidR="00F54A56" w:rsidRPr="004F5D6D" w:rsidRDefault="008A671C" w:rsidP="00AE4C5B">
          <w:pPr>
            <w:pStyle w:val="Footer"/>
            <w:spacing w:before="20" w:line="240" w:lineRule="exact"/>
          </w:pPr>
          <w:r>
            <w:t xml:space="preserve">Autonomous Sanctions (Designated Persons and Entities and Declared Persons – Libya) </w:t>
          </w:r>
          <w:r w:rsidR="005A3055">
            <w:t xml:space="preserve">Amendment </w:t>
          </w:r>
          <w:r>
            <w:t>List 201</w:t>
          </w:r>
          <w:r w:rsidR="00C91E2C">
            <w:t>5</w:t>
          </w:r>
          <w:r w:rsidR="00AE4C5B">
            <w:t xml:space="preserve"> (No. 1)</w:t>
          </w:r>
        </w:p>
      </w:tc>
      <w:tc>
        <w:tcPr>
          <w:tcW w:w="1134" w:type="dxa"/>
        </w:tcPr>
        <w:p w:rsidR="00F54A56" w:rsidRPr="00451BF5" w:rsidRDefault="00F54A56" w:rsidP="00BD545A">
          <w:pPr>
            <w:spacing w:line="240" w:lineRule="exact"/>
            <w:jc w:val="right"/>
            <w:rPr>
              <w:rStyle w:val="PageNumber"/>
            </w:rPr>
          </w:pPr>
        </w:p>
      </w:tc>
    </w:tr>
  </w:tbl>
  <w:p w:rsidR="00F54A56" w:rsidRDefault="00F54A56" w:rsidP="00BD545A">
    <w:pPr>
      <w:pStyle w:val="FooterInfo"/>
      <w:rPr>
        <w:b/>
        <w:sz w:val="40"/>
      </w:rPr>
    </w:pPr>
  </w:p>
  <w:p w:rsidR="00F54A56" w:rsidRDefault="00F54A56" w:rsidP="00BD545A">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56" w:rsidRDefault="00F54A56"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54A56">
      <w:tc>
        <w:tcPr>
          <w:tcW w:w="1134" w:type="dxa"/>
        </w:tcPr>
        <w:p w:rsidR="00F54A56" w:rsidRDefault="00F54A56" w:rsidP="00BD545A">
          <w:pPr>
            <w:spacing w:line="240" w:lineRule="exact"/>
          </w:pPr>
        </w:p>
      </w:tc>
      <w:tc>
        <w:tcPr>
          <w:tcW w:w="6095" w:type="dxa"/>
        </w:tcPr>
        <w:p w:rsidR="00F54A56" w:rsidRPr="004F5D6D" w:rsidRDefault="000D435C" w:rsidP="00AE4C5B">
          <w:pPr>
            <w:pStyle w:val="FooterCitation"/>
          </w:pPr>
          <w:r>
            <w:t xml:space="preserve">Autonomous Sanctions (Designated Persons and Entities and Declared Persons – Libya) </w:t>
          </w:r>
          <w:r w:rsidR="005A3055">
            <w:t xml:space="preserve">Amendment </w:t>
          </w:r>
          <w:r>
            <w:t>List 201</w:t>
          </w:r>
          <w:r w:rsidR="00C91E2C">
            <w:t>5</w:t>
          </w:r>
          <w:r w:rsidR="00AE4C5B">
            <w:t xml:space="preserve"> (No. 1)</w:t>
          </w:r>
        </w:p>
      </w:tc>
      <w:tc>
        <w:tcPr>
          <w:tcW w:w="1134" w:type="dxa"/>
        </w:tcPr>
        <w:p w:rsidR="00F54A56" w:rsidRPr="003D7214" w:rsidRDefault="00B107E4" w:rsidP="00BD545A">
          <w:pPr>
            <w:spacing w:line="240" w:lineRule="exact"/>
            <w:jc w:val="right"/>
            <w:rPr>
              <w:rStyle w:val="PageNumber"/>
              <w:rFonts w:cs="Arial"/>
              <w:szCs w:val="22"/>
            </w:rPr>
          </w:pPr>
          <w:r w:rsidRPr="003D7214">
            <w:rPr>
              <w:rStyle w:val="PageNumber"/>
              <w:rFonts w:cs="Arial"/>
              <w:szCs w:val="22"/>
            </w:rPr>
            <w:fldChar w:fldCharType="begin"/>
          </w:r>
          <w:r w:rsidR="00F54A56" w:rsidRPr="003D7214">
            <w:rPr>
              <w:rStyle w:val="PageNumber"/>
              <w:rFonts w:cs="Arial"/>
              <w:szCs w:val="22"/>
            </w:rPr>
            <w:instrText xml:space="preserve">PAGE  </w:instrText>
          </w:r>
          <w:r w:rsidRPr="003D7214">
            <w:rPr>
              <w:rStyle w:val="PageNumber"/>
              <w:rFonts w:cs="Arial"/>
              <w:szCs w:val="22"/>
            </w:rPr>
            <w:fldChar w:fldCharType="separate"/>
          </w:r>
          <w:r w:rsidR="00563E00">
            <w:rPr>
              <w:rStyle w:val="PageNumber"/>
              <w:rFonts w:cs="Arial"/>
              <w:noProof/>
              <w:szCs w:val="22"/>
            </w:rPr>
            <w:t>5</w:t>
          </w:r>
          <w:r w:rsidRPr="003D7214">
            <w:rPr>
              <w:rStyle w:val="PageNumber"/>
              <w:rFonts w:cs="Arial"/>
              <w:szCs w:val="22"/>
            </w:rPr>
            <w:fldChar w:fldCharType="end"/>
          </w:r>
        </w:p>
      </w:tc>
    </w:tr>
  </w:tbl>
  <w:p w:rsidR="00F54A56" w:rsidRDefault="00F54A56" w:rsidP="00BD545A">
    <w:pPr>
      <w:pStyle w:val="FooterInfo"/>
      <w:rPr>
        <w:b/>
        <w:sz w:val="40"/>
      </w:rPr>
    </w:pPr>
  </w:p>
  <w:p w:rsidR="00F54A56" w:rsidRDefault="00F54A56" w:rsidP="00BD545A">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56" w:rsidRDefault="00F54A56">
    <w:pPr>
      <w:pStyle w:val="FooterDra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89" w:rsidRDefault="003A0689" w:rsidP="003610D5">
      <w:r>
        <w:separator/>
      </w:r>
    </w:p>
  </w:footnote>
  <w:footnote w:type="continuationSeparator" w:id="0">
    <w:p w:rsidR="003A0689" w:rsidRDefault="003A0689" w:rsidP="0036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1E0" w:firstRow="1" w:lastRow="1" w:firstColumn="1" w:lastColumn="1" w:noHBand="0" w:noVBand="0"/>
    </w:tblPr>
    <w:tblGrid>
      <w:gridCol w:w="6798"/>
      <w:gridCol w:w="1548"/>
    </w:tblGrid>
    <w:tr w:rsidR="00F54A56" w:rsidTr="00C54DA8">
      <w:tc>
        <w:tcPr>
          <w:tcW w:w="6798" w:type="dxa"/>
          <w:vAlign w:val="bottom"/>
        </w:tcPr>
        <w:p w:rsidR="00F54A56" w:rsidRDefault="00563E00" w:rsidP="000316A1">
          <w:pPr>
            <w:pStyle w:val="HeaderLiteOdd"/>
          </w:pPr>
          <w:r>
            <w:fldChar w:fldCharType="begin"/>
          </w:r>
          <w:r>
            <w:instrText xml:space="preserve"> STYLEREF CharPartText \*Charformat \l </w:instrText>
          </w:r>
          <w:r>
            <w:fldChar w:fldCharType="separate"/>
          </w:r>
          <w:r>
            <w:rPr>
              <w:noProof/>
            </w:rPr>
            <w:t>Designated entities</w:t>
          </w:r>
          <w:r>
            <w:rPr>
              <w:noProof/>
            </w:rPr>
            <w:fldChar w:fldCharType="end"/>
          </w:r>
        </w:p>
      </w:tc>
      <w:tc>
        <w:tcPr>
          <w:tcW w:w="1548" w:type="dxa"/>
        </w:tcPr>
        <w:p w:rsidR="00F54A56" w:rsidRDefault="00563E00" w:rsidP="000316A1">
          <w:pPr>
            <w:pStyle w:val="HeaderLiteOdd"/>
          </w:pPr>
          <w:r>
            <w:fldChar w:fldCharType="begin"/>
          </w:r>
          <w:r>
            <w:instrText xml:space="preserve"> STYLEREF CharPartNo \*Charformat \l </w:instrText>
          </w:r>
          <w:r>
            <w:fldChar w:fldCharType="separate"/>
          </w:r>
          <w:r>
            <w:rPr>
              <w:noProof/>
            </w:rPr>
            <w:t>Part 2</w:t>
          </w:r>
          <w:r>
            <w:rPr>
              <w:noProof/>
            </w:rPr>
            <w:fldChar w:fldCharType="end"/>
          </w:r>
        </w:p>
      </w:tc>
    </w:tr>
  </w:tbl>
  <w:p w:rsidR="00F54A56" w:rsidRDefault="00F54A56"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F54A56">
      <w:tc>
        <w:tcPr>
          <w:tcW w:w="6914" w:type="dxa"/>
        </w:tcPr>
        <w:p w:rsidR="00F54A56" w:rsidRDefault="00F54A56" w:rsidP="00BD545A">
          <w:pPr>
            <w:pStyle w:val="HeaderLiteOdd"/>
          </w:pPr>
        </w:p>
      </w:tc>
      <w:tc>
        <w:tcPr>
          <w:tcW w:w="1471" w:type="dxa"/>
        </w:tcPr>
        <w:p w:rsidR="00F54A56" w:rsidRDefault="00F54A56" w:rsidP="00BD545A">
          <w:pPr>
            <w:pStyle w:val="HeaderLiteOdd"/>
          </w:pPr>
        </w:p>
      </w:tc>
    </w:tr>
    <w:tr w:rsidR="00F54A56">
      <w:tc>
        <w:tcPr>
          <w:tcW w:w="6914" w:type="dxa"/>
        </w:tcPr>
        <w:p w:rsidR="00F54A56" w:rsidRDefault="00F54A56" w:rsidP="00BD545A">
          <w:pPr>
            <w:pStyle w:val="HeaderLiteOdd"/>
          </w:pPr>
        </w:p>
      </w:tc>
      <w:tc>
        <w:tcPr>
          <w:tcW w:w="1471" w:type="dxa"/>
        </w:tcPr>
        <w:p w:rsidR="00F54A56" w:rsidRDefault="00F54A56" w:rsidP="00BD545A">
          <w:pPr>
            <w:pStyle w:val="HeaderLiteOdd"/>
          </w:pPr>
        </w:p>
      </w:tc>
    </w:tr>
    <w:tr w:rsidR="00F54A56">
      <w:tc>
        <w:tcPr>
          <w:tcW w:w="8385" w:type="dxa"/>
          <w:gridSpan w:val="2"/>
          <w:tcBorders>
            <w:bottom w:val="single" w:sz="4" w:space="0" w:color="auto"/>
          </w:tcBorders>
        </w:tcPr>
        <w:p w:rsidR="00F54A56" w:rsidRDefault="00F54A56" w:rsidP="00BD545A">
          <w:pPr>
            <w:pStyle w:val="HeaderBoldOdd"/>
          </w:pPr>
        </w:p>
      </w:tc>
    </w:tr>
  </w:tbl>
  <w:p w:rsidR="00F54A56" w:rsidRDefault="00F54A56"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2C" w:rsidRDefault="00C91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38A0"/>
    <w:rsid w:val="00012F8A"/>
    <w:rsid w:val="0001662A"/>
    <w:rsid w:val="00020108"/>
    <w:rsid w:val="00026131"/>
    <w:rsid w:val="000316A1"/>
    <w:rsid w:val="00032F2C"/>
    <w:rsid w:val="00040090"/>
    <w:rsid w:val="000403D5"/>
    <w:rsid w:val="000427E4"/>
    <w:rsid w:val="00043C7E"/>
    <w:rsid w:val="00045BA4"/>
    <w:rsid w:val="00045F1B"/>
    <w:rsid w:val="000521B7"/>
    <w:rsid w:val="0005339D"/>
    <w:rsid w:val="00060076"/>
    <w:rsid w:val="000646EC"/>
    <w:rsid w:val="00065118"/>
    <w:rsid w:val="00065296"/>
    <w:rsid w:val="000715D1"/>
    <w:rsid w:val="00082916"/>
    <w:rsid w:val="00083189"/>
    <w:rsid w:val="0008560A"/>
    <w:rsid w:val="0008766B"/>
    <w:rsid w:val="00091146"/>
    <w:rsid w:val="00093E54"/>
    <w:rsid w:val="00095849"/>
    <w:rsid w:val="000A0788"/>
    <w:rsid w:val="000A0CCA"/>
    <w:rsid w:val="000A1742"/>
    <w:rsid w:val="000A620C"/>
    <w:rsid w:val="000A7869"/>
    <w:rsid w:val="000B4121"/>
    <w:rsid w:val="000B51B3"/>
    <w:rsid w:val="000D1916"/>
    <w:rsid w:val="000D435C"/>
    <w:rsid w:val="000E16EC"/>
    <w:rsid w:val="000E27E3"/>
    <w:rsid w:val="000E48BD"/>
    <w:rsid w:val="000E7494"/>
    <w:rsid w:val="00105BB8"/>
    <w:rsid w:val="001105B2"/>
    <w:rsid w:val="00111D90"/>
    <w:rsid w:val="00116989"/>
    <w:rsid w:val="00125657"/>
    <w:rsid w:val="001312D8"/>
    <w:rsid w:val="001328CE"/>
    <w:rsid w:val="00133E56"/>
    <w:rsid w:val="00134DDC"/>
    <w:rsid w:val="00140090"/>
    <w:rsid w:val="001409F1"/>
    <w:rsid w:val="0014186A"/>
    <w:rsid w:val="00141CBA"/>
    <w:rsid w:val="00144DE3"/>
    <w:rsid w:val="00153195"/>
    <w:rsid w:val="00162609"/>
    <w:rsid w:val="00164935"/>
    <w:rsid w:val="00165D61"/>
    <w:rsid w:val="001744ED"/>
    <w:rsid w:val="0017685B"/>
    <w:rsid w:val="00185F83"/>
    <w:rsid w:val="00186360"/>
    <w:rsid w:val="00187D63"/>
    <w:rsid w:val="00191FA5"/>
    <w:rsid w:val="00192C10"/>
    <w:rsid w:val="00193F32"/>
    <w:rsid w:val="001A4DD7"/>
    <w:rsid w:val="001A6C59"/>
    <w:rsid w:val="001B5756"/>
    <w:rsid w:val="001B73F5"/>
    <w:rsid w:val="001B7AA2"/>
    <w:rsid w:val="001C22F5"/>
    <w:rsid w:val="001C25FE"/>
    <w:rsid w:val="001D2A68"/>
    <w:rsid w:val="001D6D71"/>
    <w:rsid w:val="001E092D"/>
    <w:rsid w:val="001E397C"/>
    <w:rsid w:val="001E433B"/>
    <w:rsid w:val="001F108C"/>
    <w:rsid w:val="001F41C5"/>
    <w:rsid w:val="001F76FB"/>
    <w:rsid w:val="002015B2"/>
    <w:rsid w:val="00203232"/>
    <w:rsid w:val="00210652"/>
    <w:rsid w:val="0021328C"/>
    <w:rsid w:val="00214C3B"/>
    <w:rsid w:val="00222371"/>
    <w:rsid w:val="00222FD0"/>
    <w:rsid w:val="002252C7"/>
    <w:rsid w:val="0022734F"/>
    <w:rsid w:val="00233C57"/>
    <w:rsid w:val="0023489C"/>
    <w:rsid w:val="00240546"/>
    <w:rsid w:val="00240EA8"/>
    <w:rsid w:val="0024222C"/>
    <w:rsid w:val="00243601"/>
    <w:rsid w:val="00244C01"/>
    <w:rsid w:val="00246042"/>
    <w:rsid w:val="00252F17"/>
    <w:rsid w:val="00253DDD"/>
    <w:rsid w:val="00260912"/>
    <w:rsid w:val="00275245"/>
    <w:rsid w:val="00281E63"/>
    <w:rsid w:val="0028609E"/>
    <w:rsid w:val="00286562"/>
    <w:rsid w:val="00286CEA"/>
    <w:rsid w:val="00293BC3"/>
    <w:rsid w:val="002A0984"/>
    <w:rsid w:val="002A19B0"/>
    <w:rsid w:val="002A37DA"/>
    <w:rsid w:val="002B1EBA"/>
    <w:rsid w:val="002B265A"/>
    <w:rsid w:val="002B3196"/>
    <w:rsid w:val="002B32C5"/>
    <w:rsid w:val="002B519A"/>
    <w:rsid w:val="002B7DCF"/>
    <w:rsid w:val="002D4558"/>
    <w:rsid w:val="002D71AC"/>
    <w:rsid w:val="002D7932"/>
    <w:rsid w:val="002E5749"/>
    <w:rsid w:val="002F78D5"/>
    <w:rsid w:val="00306194"/>
    <w:rsid w:val="0031352D"/>
    <w:rsid w:val="003231FF"/>
    <w:rsid w:val="0033573E"/>
    <w:rsid w:val="00336724"/>
    <w:rsid w:val="00343B24"/>
    <w:rsid w:val="003469E3"/>
    <w:rsid w:val="0035001E"/>
    <w:rsid w:val="00353F3B"/>
    <w:rsid w:val="00357657"/>
    <w:rsid w:val="003610D5"/>
    <w:rsid w:val="00367E3F"/>
    <w:rsid w:val="00370DD7"/>
    <w:rsid w:val="0037255F"/>
    <w:rsid w:val="0038199B"/>
    <w:rsid w:val="00387F34"/>
    <w:rsid w:val="00392557"/>
    <w:rsid w:val="0039396B"/>
    <w:rsid w:val="003A0689"/>
    <w:rsid w:val="003A5AF1"/>
    <w:rsid w:val="003A77F7"/>
    <w:rsid w:val="003B0D29"/>
    <w:rsid w:val="003B7E2B"/>
    <w:rsid w:val="003C1D25"/>
    <w:rsid w:val="003D1079"/>
    <w:rsid w:val="003D1FD3"/>
    <w:rsid w:val="003D5FC8"/>
    <w:rsid w:val="003D659C"/>
    <w:rsid w:val="003D6F03"/>
    <w:rsid w:val="003E6D06"/>
    <w:rsid w:val="003F2E18"/>
    <w:rsid w:val="003F6833"/>
    <w:rsid w:val="004005D4"/>
    <w:rsid w:val="00403F78"/>
    <w:rsid w:val="0041051E"/>
    <w:rsid w:val="00421964"/>
    <w:rsid w:val="00422471"/>
    <w:rsid w:val="00422522"/>
    <w:rsid w:val="004255DD"/>
    <w:rsid w:val="00433B06"/>
    <w:rsid w:val="004361A5"/>
    <w:rsid w:val="00440B24"/>
    <w:rsid w:val="00441E9A"/>
    <w:rsid w:val="00442AA3"/>
    <w:rsid w:val="00443890"/>
    <w:rsid w:val="0044430D"/>
    <w:rsid w:val="00444F77"/>
    <w:rsid w:val="004459DE"/>
    <w:rsid w:val="00450DE1"/>
    <w:rsid w:val="004533FC"/>
    <w:rsid w:val="00464092"/>
    <w:rsid w:val="004640EA"/>
    <w:rsid w:val="00466DBA"/>
    <w:rsid w:val="004879CB"/>
    <w:rsid w:val="0049172E"/>
    <w:rsid w:val="00493C31"/>
    <w:rsid w:val="004A20E2"/>
    <w:rsid w:val="004A7713"/>
    <w:rsid w:val="004A7AA7"/>
    <w:rsid w:val="004B1AC1"/>
    <w:rsid w:val="004B6C4F"/>
    <w:rsid w:val="004C2680"/>
    <w:rsid w:val="004C639E"/>
    <w:rsid w:val="004D32C2"/>
    <w:rsid w:val="004D5EAB"/>
    <w:rsid w:val="004D6045"/>
    <w:rsid w:val="004E0619"/>
    <w:rsid w:val="004E1C75"/>
    <w:rsid w:val="004E2FEB"/>
    <w:rsid w:val="004E7590"/>
    <w:rsid w:val="004F346A"/>
    <w:rsid w:val="004F5D6D"/>
    <w:rsid w:val="00501883"/>
    <w:rsid w:val="00501E0C"/>
    <w:rsid w:val="005056C8"/>
    <w:rsid w:val="005063B3"/>
    <w:rsid w:val="0051137B"/>
    <w:rsid w:val="00511776"/>
    <w:rsid w:val="00511924"/>
    <w:rsid w:val="00512974"/>
    <w:rsid w:val="0051511D"/>
    <w:rsid w:val="0052220C"/>
    <w:rsid w:val="005234C7"/>
    <w:rsid w:val="005238E0"/>
    <w:rsid w:val="005277E8"/>
    <w:rsid w:val="0054351E"/>
    <w:rsid w:val="00551663"/>
    <w:rsid w:val="005516CA"/>
    <w:rsid w:val="005626C3"/>
    <w:rsid w:val="00563E00"/>
    <w:rsid w:val="005672DE"/>
    <w:rsid w:val="005749F6"/>
    <w:rsid w:val="00576569"/>
    <w:rsid w:val="00580301"/>
    <w:rsid w:val="005859FB"/>
    <w:rsid w:val="005924C4"/>
    <w:rsid w:val="005943B6"/>
    <w:rsid w:val="005A3055"/>
    <w:rsid w:val="005A4031"/>
    <w:rsid w:val="005B47E8"/>
    <w:rsid w:val="005B5BAF"/>
    <w:rsid w:val="005B752F"/>
    <w:rsid w:val="005B7B02"/>
    <w:rsid w:val="005C4A85"/>
    <w:rsid w:val="005D0D39"/>
    <w:rsid w:val="005D2F97"/>
    <w:rsid w:val="005D692B"/>
    <w:rsid w:val="005D7930"/>
    <w:rsid w:val="005E43E5"/>
    <w:rsid w:val="005E563D"/>
    <w:rsid w:val="005F47D8"/>
    <w:rsid w:val="005F52A1"/>
    <w:rsid w:val="00602748"/>
    <w:rsid w:val="006047C5"/>
    <w:rsid w:val="00621915"/>
    <w:rsid w:val="00624074"/>
    <w:rsid w:val="00624A47"/>
    <w:rsid w:val="00625A8B"/>
    <w:rsid w:val="0062769F"/>
    <w:rsid w:val="00635749"/>
    <w:rsid w:val="00641664"/>
    <w:rsid w:val="0065001E"/>
    <w:rsid w:val="006533B7"/>
    <w:rsid w:val="00674B00"/>
    <w:rsid w:val="006B5D7C"/>
    <w:rsid w:val="006C098F"/>
    <w:rsid w:val="006C2616"/>
    <w:rsid w:val="006C5742"/>
    <w:rsid w:val="006D018E"/>
    <w:rsid w:val="006D3078"/>
    <w:rsid w:val="006D4034"/>
    <w:rsid w:val="006E2530"/>
    <w:rsid w:val="006E548F"/>
    <w:rsid w:val="006F0BD8"/>
    <w:rsid w:val="006F4A4C"/>
    <w:rsid w:val="006F73F0"/>
    <w:rsid w:val="00702998"/>
    <w:rsid w:val="0071055A"/>
    <w:rsid w:val="0071414A"/>
    <w:rsid w:val="007149BC"/>
    <w:rsid w:val="0071514F"/>
    <w:rsid w:val="00716F1E"/>
    <w:rsid w:val="00716FDE"/>
    <w:rsid w:val="00727685"/>
    <w:rsid w:val="00730AF8"/>
    <w:rsid w:val="00735D7F"/>
    <w:rsid w:val="007375F7"/>
    <w:rsid w:val="00740322"/>
    <w:rsid w:val="00740916"/>
    <w:rsid w:val="007431FF"/>
    <w:rsid w:val="00753CCA"/>
    <w:rsid w:val="00756F9E"/>
    <w:rsid w:val="00772ADE"/>
    <w:rsid w:val="007778CF"/>
    <w:rsid w:val="0078300B"/>
    <w:rsid w:val="007833A9"/>
    <w:rsid w:val="007851E9"/>
    <w:rsid w:val="007910D2"/>
    <w:rsid w:val="00794754"/>
    <w:rsid w:val="007A3064"/>
    <w:rsid w:val="007C7959"/>
    <w:rsid w:val="007D1A1E"/>
    <w:rsid w:val="007E231D"/>
    <w:rsid w:val="007E3AA5"/>
    <w:rsid w:val="007F75DF"/>
    <w:rsid w:val="008002E8"/>
    <w:rsid w:val="008006D5"/>
    <w:rsid w:val="008149B7"/>
    <w:rsid w:val="00825250"/>
    <w:rsid w:val="008322B6"/>
    <w:rsid w:val="008349F1"/>
    <w:rsid w:val="00836024"/>
    <w:rsid w:val="00836392"/>
    <w:rsid w:val="008416EA"/>
    <w:rsid w:val="00844132"/>
    <w:rsid w:val="00847850"/>
    <w:rsid w:val="008546A9"/>
    <w:rsid w:val="00854857"/>
    <w:rsid w:val="00856EB5"/>
    <w:rsid w:val="00863597"/>
    <w:rsid w:val="0086648B"/>
    <w:rsid w:val="008673F2"/>
    <w:rsid w:val="00870EE5"/>
    <w:rsid w:val="008731F9"/>
    <w:rsid w:val="00873699"/>
    <w:rsid w:val="00873E3C"/>
    <w:rsid w:val="008750E2"/>
    <w:rsid w:val="00876486"/>
    <w:rsid w:val="00886003"/>
    <w:rsid w:val="008866E8"/>
    <w:rsid w:val="0088671C"/>
    <w:rsid w:val="00886C7C"/>
    <w:rsid w:val="008A4808"/>
    <w:rsid w:val="008A62FC"/>
    <w:rsid w:val="008A671C"/>
    <w:rsid w:val="008A6DFE"/>
    <w:rsid w:val="008B0EFE"/>
    <w:rsid w:val="008B183C"/>
    <w:rsid w:val="008B1E93"/>
    <w:rsid w:val="008B5981"/>
    <w:rsid w:val="008B6C52"/>
    <w:rsid w:val="008C3068"/>
    <w:rsid w:val="008C43C2"/>
    <w:rsid w:val="008C48D9"/>
    <w:rsid w:val="008D5B3D"/>
    <w:rsid w:val="008E0F8C"/>
    <w:rsid w:val="008E2235"/>
    <w:rsid w:val="008E3423"/>
    <w:rsid w:val="008E63C4"/>
    <w:rsid w:val="008F1DAB"/>
    <w:rsid w:val="008F3C01"/>
    <w:rsid w:val="008F5D27"/>
    <w:rsid w:val="009007F1"/>
    <w:rsid w:val="009078CC"/>
    <w:rsid w:val="00911F7B"/>
    <w:rsid w:val="00913281"/>
    <w:rsid w:val="00913EA5"/>
    <w:rsid w:val="009146C1"/>
    <w:rsid w:val="00915D96"/>
    <w:rsid w:val="0092642D"/>
    <w:rsid w:val="00927849"/>
    <w:rsid w:val="00930919"/>
    <w:rsid w:val="00933FBA"/>
    <w:rsid w:val="00941FFC"/>
    <w:rsid w:val="00943CEA"/>
    <w:rsid w:val="00945A5E"/>
    <w:rsid w:val="009612A7"/>
    <w:rsid w:val="00963ADB"/>
    <w:rsid w:val="00967444"/>
    <w:rsid w:val="00976374"/>
    <w:rsid w:val="00983A1F"/>
    <w:rsid w:val="00987485"/>
    <w:rsid w:val="0099167B"/>
    <w:rsid w:val="009A0CC8"/>
    <w:rsid w:val="009A207B"/>
    <w:rsid w:val="009A5A0D"/>
    <w:rsid w:val="009A679E"/>
    <w:rsid w:val="009A6D1B"/>
    <w:rsid w:val="009B19E3"/>
    <w:rsid w:val="009B303B"/>
    <w:rsid w:val="009B3BDA"/>
    <w:rsid w:val="009B6326"/>
    <w:rsid w:val="009B76D8"/>
    <w:rsid w:val="009B785F"/>
    <w:rsid w:val="009C0398"/>
    <w:rsid w:val="009C2A55"/>
    <w:rsid w:val="009D6B2A"/>
    <w:rsid w:val="009D7BDF"/>
    <w:rsid w:val="009E1C06"/>
    <w:rsid w:val="009E28DB"/>
    <w:rsid w:val="009E2D2F"/>
    <w:rsid w:val="009E670E"/>
    <w:rsid w:val="009F3F7B"/>
    <w:rsid w:val="00A00A9F"/>
    <w:rsid w:val="00A00C88"/>
    <w:rsid w:val="00A025DF"/>
    <w:rsid w:val="00A02D28"/>
    <w:rsid w:val="00A046F7"/>
    <w:rsid w:val="00A13F63"/>
    <w:rsid w:val="00A21D2D"/>
    <w:rsid w:val="00A223AA"/>
    <w:rsid w:val="00A24F06"/>
    <w:rsid w:val="00A2629E"/>
    <w:rsid w:val="00A266F5"/>
    <w:rsid w:val="00A27342"/>
    <w:rsid w:val="00A30ABA"/>
    <w:rsid w:val="00A314B9"/>
    <w:rsid w:val="00A41885"/>
    <w:rsid w:val="00A41B45"/>
    <w:rsid w:val="00A515F4"/>
    <w:rsid w:val="00A52515"/>
    <w:rsid w:val="00A54B37"/>
    <w:rsid w:val="00A609DD"/>
    <w:rsid w:val="00A60B57"/>
    <w:rsid w:val="00A61815"/>
    <w:rsid w:val="00A644DE"/>
    <w:rsid w:val="00A6740F"/>
    <w:rsid w:val="00A95A88"/>
    <w:rsid w:val="00AA1B63"/>
    <w:rsid w:val="00AA3188"/>
    <w:rsid w:val="00AA420D"/>
    <w:rsid w:val="00AA779C"/>
    <w:rsid w:val="00AB2C8C"/>
    <w:rsid w:val="00AB444A"/>
    <w:rsid w:val="00AC405E"/>
    <w:rsid w:val="00AC467D"/>
    <w:rsid w:val="00AE4C5B"/>
    <w:rsid w:val="00AE559B"/>
    <w:rsid w:val="00AE732F"/>
    <w:rsid w:val="00AF074C"/>
    <w:rsid w:val="00AF716F"/>
    <w:rsid w:val="00B03AF0"/>
    <w:rsid w:val="00B05373"/>
    <w:rsid w:val="00B067E6"/>
    <w:rsid w:val="00B107E4"/>
    <w:rsid w:val="00B11A88"/>
    <w:rsid w:val="00B12260"/>
    <w:rsid w:val="00B13EA8"/>
    <w:rsid w:val="00B13F00"/>
    <w:rsid w:val="00B1562E"/>
    <w:rsid w:val="00B156E1"/>
    <w:rsid w:val="00B25433"/>
    <w:rsid w:val="00B2626C"/>
    <w:rsid w:val="00B3728B"/>
    <w:rsid w:val="00B408B6"/>
    <w:rsid w:val="00B531ED"/>
    <w:rsid w:val="00B53574"/>
    <w:rsid w:val="00B60027"/>
    <w:rsid w:val="00B63AE9"/>
    <w:rsid w:val="00B670FF"/>
    <w:rsid w:val="00B76BE0"/>
    <w:rsid w:val="00B80913"/>
    <w:rsid w:val="00B91A8D"/>
    <w:rsid w:val="00BA34AD"/>
    <w:rsid w:val="00BA4B2A"/>
    <w:rsid w:val="00BB69FF"/>
    <w:rsid w:val="00BC2C49"/>
    <w:rsid w:val="00BC3155"/>
    <w:rsid w:val="00BC49C9"/>
    <w:rsid w:val="00BD545A"/>
    <w:rsid w:val="00BE355E"/>
    <w:rsid w:val="00BF1C2D"/>
    <w:rsid w:val="00BF2735"/>
    <w:rsid w:val="00BF738E"/>
    <w:rsid w:val="00C0127D"/>
    <w:rsid w:val="00C0402F"/>
    <w:rsid w:val="00C059C6"/>
    <w:rsid w:val="00C14CE5"/>
    <w:rsid w:val="00C24D41"/>
    <w:rsid w:val="00C329A2"/>
    <w:rsid w:val="00C352F3"/>
    <w:rsid w:val="00C35EC8"/>
    <w:rsid w:val="00C4065A"/>
    <w:rsid w:val="00C412B4"/>
    <w:rsid w:val="00C42FF3"/>
    <w:rsid w:val="00C447FD"/>
    <w:rsid w:val="00C44BA2"/>
    <w:rsid w:val="00C464FB"/>
    <w:rsid w:val="00C4794A"/>
    <w:rsid w:val="00C479EC"/>
    <w:rsid w:val="00C5024F"/>
    <w:rsid w:val="00C51630"/>
    <w:rsid w:val="00C52F4B"/>
    <w:rsid w:val="00C53754"/>
    <w:rsid w:val="00C54123"/>
    <w:rsid w:val="00C54DA8"/>
    <w:rsid w:val="00C6035E"/>
    <w:rsid w:val="00C639B5"/>
    <w:rsid w:val="00C651A6"/>
    <w:rsid w:val="00C72C99"/>
    <w:rsid w:val="00C73725"/>
    <w:rsid w:val="00C822F8"/>
    <w:rsid w:val="00C8251B"/>
    <w:rsid w:val="00C83482"/>
    <w:rsid w:val="00C83A6F"/>
    <w:rsid w:val="00C91E2C"/>
    <w:rsid w:val="00C92D6F"/>
    <w:rsid w:val="00C93DEA"/>
    <w:rsid w:val="00C97351"/>
    <w:rsid w:val="00C97D8E"/>
    <w:rsid w:val="00CA2A23"/>
    <w:rsid w:val="00CA752C"/>
    <w:rsid w:val="00CB009F"/>
    <w:rsid w:val="00CB221F"/>
    <w:rsid w:val="00CC3524"/>
    <w:rsid w:val="00CC3E6F"/>
    <w:rsid w:val="00CD0386"/>
    <w:rsid w:val="00CD3C04"/>
    <w:rsid w:val="00CD3C3C"/>
    <w:rsid w:val="00CE662A"/>
    <w:rsid w:val="00CF73A6"/>
    <w:rsid w:val="00D05575"/>
    <w:rsid w:val="00D118BD"/>
    <w:rsid w:val="00D13C76"/>
    <w:rsid w:val="00D15738"/>
    <w:rsid w:val="00D2157E"/>
    <w:rsid w:val="00D22AE7"/>
    <w:rsid w:val="00D2550B"/>
    <w:rsid w:val="00D271FF"/>
    <w:rsid w:val="00D32F32"/>
    <w:rsid w:val="00D3367E"/>
    <w:rsid w:val="00D33956"/>
    <w:rsid w:val="00D34F1B"/>
    <w:rsid w:val="00D41229"/>
    <w:rsid w:val="00D4367A"/>
    <w:rsid w:val="00D57D13"/>
    <w:rsid w:val="00D6243F"/>
    <w:rsid w:val="00D6403A"/>
    <w:rsid w:val="00D774C6"/>
    <w:rsid w:val="00D776D6"/>
    <w:rsid w:val="00D80163"/>
    <w:rsid w:val="00D84CCB"/>
    <w:rsid w:val="00D84E18"/>
    <w:rsid w:val="00D904DE"/>
    <w:rsid w:val="00D9207F"/>
    <w:rsid w:val="00D95125"/>
    <w:rsid w:val="00DA6DD9"/>
    <w:rsid w:val="00DB2470"/>
    <w:rsid w:val="00DC7FB4"/>
    <w:rsid w:val="00DD3546"/>
    <w:rsid w:val="00DE2ADD"/>
    <w:rsid w:val="00DE5043"/>
    <w:rsid w:val="00DF44BE"/>
    <w:rsid w:val="00DF64FD"/>
    <w:rsid w:val="00DF7914"/>
    <w:rsid w:val="00E05AF6"/>
    <w:rsid w:val="00E10958"/>
    <w:rsid w:val="00E127AC"/>
    <w:rsid w:val="00E13056"/>
    <w:rsid w:val="00E14318"/>
    <w:rsid w:val="00E24EF9"/>
    <w:rsid w:val="00E24FB9"/>
    <w:rsid w:val="00E26CD1"/>
    <w:rsid w:val="00E26F82"/>
    <w:rsid w:val="00E348DF"/>
    <w:rsid w:val="00E3606E"/>
    <w:rsid w:val="00E44149"/>
    <w:rsid w:val="00E44D80"/>
    <w:rsid w:val="00E44ECA"/>
    <w:rsid w:val="00E459C3"/>
    <w:rsid w:val="00E53A61"/>
    <w:rsid w:val="00E57384"/>
    <w:rsid w:val="00E5755C"/>
    <w:rsid w:val="00E616F9"/>
    <w:rsid w:val="00E6578A"/>
    <w:rsid w:val="00E7293B"/>
    <w:rsid w:val="00E74109"/>
    <w:rsid w:val="00E750F1"/>
    <w:rsid w:val="00E814E3"/>
    <w:rsid w:val="00E83542"/>
    <w:rsid w:val="00EA0DE3"/>
    <w:rsid w:val="00EA0E4D"/>
    <w:rsid w:val="00EA47B2"/>
    <w:rsid w:val="00EB1E0E"/>
    <w:rsid w:val="00EB260A"/>
    <w:rsid w:val="00EB77D8"/>
    <w:rsid w:val="00EB7CEA"/>
    <w:rsid w:val="00EB7D39"/>
    <w:rsid w:val="00EC00F7"/>
    <w:rsid w:val="00EC100A"/>
    <w:rsid w:val="00ED1C66"/>
    <w:rsid w:val="00EE4BF8"/>
    <w:rsid w:val="00EE739D"/>
    <w:rsid w:val="00EF0DD0"/>
    <w:rsid w:val="00EF15F7"/>
    <w:rsid w:val="00EF1EE8"/>
    <w:rsid w:val="00EF63BE"/>
    <w:rsid w:val="00EF69B2"/>
    <w:rsid w:val="00F02711"/>
    <w:rsid w:val="00F02993"/>
    <w:rsid w:val="00F069E7"/>
    <w:rsid w:val="00F10F95"/>
    <w:rsid w:val="00F11A57"/>
    <w:rsid w:val="00F172D2"/>
    <w:rsid w:val="00F242C4"/>
    <w:rsid w:val="00F336D9"/>
    <w:rsid w:val="00F41F12"/>
    <w:rsid w:val="00F454F2"/>
    <w:rsid w:val="00F4713A"/>
    <w:rsid w:val="00F511C0"/>
    <w:rsid w:val="00F54A56"/>
    <w:rsid w:val="00F719EC"/>
    <w:rsid w:val="00F7591B"/>
    <w:rsid w:val="00F76ECD"/>
    <w:rsid w:val="00F86BD5"/>
    <w:rsid w:val="00F92D2D"/>
    <w:rsid w:val="00F94227"/>
    <w:rsid w:val="00F9606B"/>
    <w:rsid w:val="00F96711"/>
    <w:rsid w:val="00FB1906"/>
    <w:rsid w:val="00FC2B87"/>
    <w:rsid w:val="00FD119D"/>
    <w:rsid w:val="00FD3094"/>
    <w:rsid w:val="00FD6632"/>
    <w:rsid w:val="00FE262A"/>
    <w:rsid w:val="00FE36CF"/>
    <w:rsid w:val="00FE3A0D"/>
    <w:rsid w:val="00FE65E8"/>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link w:val="SchedulepartChar"/>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character" w:customStyle="1" w:styleId="TitleChar">
    <w:name w:val="Title Char"/>
    <w:basedOn w:val="DefaultParagraphFont"/>
    <w:link w:val="Title"/>
    <w:uiPriority w:val="10"/>
    <w:rsid w:val="003610D5"/>
    <w:rPr>
      <w:rFonts w:ascii="Arial" w:hAnsi="Arial" w:cs="Arial"/>
      <w:b/>
      <w:bCs/>
      <w:sz w:val="40"/>
      <w:szCs w:val="40"/>
    </w:rPr>
  </w:style>
  <w:style w:type="paragraph" w:customStyle="1" w:styleId="Style1">
    <w:name w:val="Style1"/>
    <w:basedOn w:val="Normal"/>
    <w:link w:val="Style1Char"/>
    <w:qFormat/>
    <w:rsid w:val="003610D5"/>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3610D5"/>
    <w:rPr>
      <w:rFonts w:ascii="Arial" w:hAnsi="Arial"/>
      <w:b/>
      <w:sz w:val="28"/>
      <w:szCs w:val="24"/>
      <w:lang w:eastAsia="en-US"/>
    </w:rPr>
  </w:style>
  <w:style w:type="paragraph" w:customStyle="1" w:styleId="xl63">
    <w:name w:val="xl63"/>
    <w:basedOn w:val="Normal"/>
    <w:rsid w:val="003610D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3610D5"/>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3610D5"/>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3610D5"/>
    <w:pPr>
      <w:pBdr>
        <w:left w:val="single" w:sz="8" w:space="0" w:color="auto"/>
        <w:right w:val="single" w:sz="8" w:space="0" w:color="auto"/>
      </w:pBdr>
      <w:spacing w:before="100" w:beforeAutospacing="1" w:after="100" w:afterAutospacing="1"/>
      <w:jc w:val="right"/>
      <w:textAlignment w:val="top"/>
    </w:pPr>
  </w:style>
  <w:style w:type="paragraph" w:customStyle="1" w:styleId="xl70">
    <w:name w:val="xl70"/>
    <w:basedOn w:val="Normal"/>
    <w:rsid w:val="00CD0386"/>
    <w:pPr>
      <w:spacing w:before="100" w:beforeAutospacing="1" w:after="100" w:afterAutospacing="1"/>
      <w:textAlignment w:val="top"/>
    </w:pPr>
  </w:style>
  <w:style w:type="paragraph" w:customStyle="1" w:styleId="xl71">
    <w:name w:val="xl71"/>
    <w:basedOn w:val="Normal"/>
    <w:rsid w:val="00CD0386"/>
    <w:pPr>
      <w:spacing w:before="100" w:beforeAutospacing="1" w:after="100" w:afterAutospacing="1"/>
      <w:textAlignment w:val="top"/>
    </w:pPr>
  </w:style>
  <w:style w:type="paragraph" w:customStyle="1" w:styleId="xl72">
    <w:name w:val="xl72"/>
    <w:basedOn w:val="Normal"/>
    <w:rsid w:val="00CD0386"/>
    <w:pPr>
      <w:spacing w:before="100" w:beforeAutospacing="1" w:after="100" w:afterAutospacing="1"/>
    </w:pPr>
  </w:style>
  <w:style w:type="character" w:customStyle="1" w:styleId="SchedulepartChar">
    <w:name w:val="Schedule part Char"/>
    <w:basedOn w:val="DefaultParagraphFont"/>
    <w:link w:val="Schedulepart"/>
    <w:rsid w:val="000316A1"/>
    <w:rPr>
      <w:rFonts w:ascii="Arial" w:hAnsi="Arial"/>
      <w:b/>
      <w:sz w:val="28"/>
      <w:szCs w:val="24"/>
    </w:rPr>
  </w:style>
  <w:style w:type="paragraph" w:customStyle="1" w:styleId="font5">
    <w:name w:val="font5"/>
    <w:basedOn w:val="Normal"/>
    <w:rsid w:val="009C2A55"/>
    <w:pPr>
      <w:spacing w:before="100" w:beforeAutospacing="1" w:after="100" w:afterAutospacing="1"/>
    </w:pPr>
    <w:rPr>
      <w:color w:val="000000"/>
    </w:rPr>
  </w:style>
  <w:style w:type="paragraph" w:customStyle="1" w:styleId="font6">
    <w:name w:val="font6"/>
    <w:basedOn w:val="Normal"/>
    <w:rsid w:val="009C2A55"/>
    <w:pPr>
      <w:spacing w:before="100" w:beforeAutospacing="1" w:after="100" w:afterAutospacing="1"/>
    </w:pPr>
    <w:rPr>
      <w:rFonts w:ascii="MS Mincho" w:eastAsia="MS Mincho" w:hAnsi="MS Minch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link w:val="SchedulepartChar"/>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character" w:customStyle="1" w:styleId="TitleChar">
    <w:name w:val="Title Char"/>
    <w:basedOn w:val="DefaultParagraphFont"/>
    <w:link w:val="Title"/>
    <w:uiPriority w:val="10"/>
    <w:rsid w:val="003610D5"/>
    <w:rPr>
      <w:rFonts w:ascii="Arial" w:hAnsi="Arial" w:cs="Arial"/>
      <w:b/>
      <w:bCs/>
      <w:sz w:val="40"/>
      <w:szCs w:val="40"/>
    </w:rPr>
  </w:style>
  <w:style w:type="paragraph" w:customStyle="1" w:styleId="Style1">
    <w:name w:val="Style1"/>
    <w:basedOn w:val="Normal"/>
    <w:link w:val="Style1Char"/>
    <w:qFormat/>
    <w:rsid w:val="003610D5"/>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3610D5"/>
    <w:rPr>
      <w:rFonts w:ascii="Arial" w:hAnsi="Arial"/>
      <w:b/>
      <w:sz w:val="28"/>
      <w:szCs w:val="24"/>
      <w:lang w:eastAsia="en-US"/>
    </w:rPr>
  </w:style>
  <w:style w:type="paragraph" w:customStyle="1" w:styleId="xl63">
    <w:name w:val="xl63"/>
    <w:basedOn w:val="Normal"/>
    <w:rsid w:val="003610D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3610D5"/>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3610D5"/>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3610D5"/>
    <w:pPr>
      <w:pBdr>
        <w:left w:val="single" w:sz="8" w:space="0" w:color="auto"/>
        <w:right w:val="single" w:sz="8" w:space="0" w:color="auto"/>
      </w:pBdr>
      <w:spacing w:before="100" w:beforeAutospacing="1" w:after="100" w:afterAutospacing="1"/>
      <w:jc w:val="right"/>
      <w:textAlignment w:val="top"/>
    </w:pPr>
  </w:style>
  <w:style w:type="paragraph" w:customStyle="1" w:styleId="xl70">
    <w:name w:val="xl70"/>
    <w:basedOn w:val="Normal"/>
    <w:rsid w:val="00CD0386"/>
    <w:pPr>
      <w:spacing w:before="100" w:beforeAutospacing="1" w:after="100" w:afterAutospacing="1"/>
      <w:textAlignment w:val="top"/>
    </w:pPr>
  </w:style>
  <w:style w:type="paragraph" w:customStyle="1" w:styleId="xl71">
    <w:name w:val="xl71"/>
    <w:basedOn w:val="Normal"/>
    <w:rsid w:val="00CD0386"/>
    <w:pPr>
      <w:spacing w:before="100" w:beforeAutospacing="1" w:after="100" w:afterAutospacing="1"/>
      <w:textAlignment w:val="top"/>
    </w:pPr>
  </w:style>
  <w:style w:type="paragraph" w:customStyle="1" w:styleId="xl72">
    <w:name w:val="xl72"/>
    <w:basedOn w:val="Normal"/>
    <w:rsid w:val="00CD0386"/>
    <w:pPr>
      <w:spacing w:before="100" w:beforeAutospacing="1" w:after="100" w:afterAutospacing="1"/>
    </w:pPr>
  </w:style>
  <w:style w:type="character" w:customStyle="1" w:styleId="SchedulepartChar">
    <w:name w:val="Schedule part Char"/>
    <w:basedOn w:val="DefaultParagraphFont"/>
    <w:link w:val="Schedulepart"/>
    <w:rsid w:val="000316A1"/>
    <w:rPr>
      <w:rFonts w:ascii="Arial" w:hAnsi="Arial"/>
      <w:b/>
      <w:sz w:val="28"/>
      <w:szCs w:val="24"/>
    </w:rPr>
  </w:style>
  <w:style w:type="paragraph" w:customStyle="1" w:styleId="font5">
    <w:name w:val="font5"/>
    <w:basedOn w:val="Normal"/>
    <w:rsid w:val="009C2A55"/>
    <w:pPr>
      <w:spacing w:before="100" w:beforeAutospacing="1" w:after="100" w:afterAutospacing="1"/>
    </w:pPr>
    <w:rPr>
      <w:color w:val="000000"/>
    </w:rPr>
  </w:style>
  <w:style w:type="paragraph" w:customStyle="1" w:styleId="font6">
    <w:name w:val="font6"/>
    <w:basedOn w:val="Normal"/>
    <w:rsid w:val="009C2A55"/>
    <w:pPr>
      <w:spacing w:before="100" w:beforeAutospacing="1" w:after="100" w:afterAutospacing="1"/>
    </w:pPr>
    <w:rPr>
      <w:rFonts w:ascii="MS Mincho" w:eastAsia="MS Mincho" w:hAnsi="MS Minch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87559">
      <w:bodyDiv w:val="1"/>
      <w:marLeft w:val="0"/>
      <w:marRight w:val="0"/>
      <w:marTop w:val="0"/>
      <w:marBottom w:val="0"/>
      <w:divBdr>
        <w:top w:val="none" w:sz="0" w:space="0" w:color="auto"/>
        <w:left w:val="none" w:sz="0" w:space="0" w:color="auto"/>
        <w:bottom w:val="none" w:sz="0" w:space="0" w:color="auto"/>
        <w:right w:val="none" w:sz="0" w:space="0" w:color="auto"/>
      </w:divBdr>
    </w:div>
    <w:div w:id="787554081">
      <w:bodyDiv w:val="1"/>
      <w:marLeft w:val="0"/>
      <w:marRight w:val="0"/>
      <w:marTop w:val="0"/>
      <w:marBottom w:val="0"/>
      <w:divBdr>
        <w:top w:val="none" w:sz="0" w:space="0" w:color="auto"/>
        <w:left w:val="none" w:sz="0" w:space="0" w:color="auto"/>
        <w:bottom w:val="none" w:sz="0" w:space="0" w:color="auto"/>
        <w:right w:val="none" w:sz="0" w:space="0" w:color="auto"/>
      </w:divBdr>
    </w:div>
    <w:div w:id="1419475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3276E8AE</Template>
  <TotalTime>0</TotalTime>
  <Pages>6</Pages>
  <Words>1106</Words>
  <Characters>7356</Characters>
  <Application>Microsoft Office Word</Application>
  <DocSecurity>0</DocSecurity>
  <Lines>525</Lines>
  <Paragraphs>291</Paragraphs>
  <ScaleCrop>false</ScaleCrop>
  <HeadingPairs>
    <vt:vector size="2" baseType="variant">
      <vt:variant>
        <vt:lpstr>Title</vt:lpstr>
      </vt:variant>
      <vt:variant>
        <vt:i4>1</vt:i4>
      </vt:variant>
    </vt:vector>
  </HeadingPairs>
  <TitlesOfParts>
    <vt:vector size="1" baseType="lpstr">
      <vt:lpstr>Charter of the United Nations (UN Sanction Enforcement Law) Declaration 2008</vt:lpstr>
    </vt:vector>
  </TitlesOfParts>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the United Nations (UN Sanction Enforcement Law) Declaration 2008</dc:title>
  <dc:creator/>
  <cp:lastModifiedBy/>
  <cp:revision>1</cp:revision>
  <cp:lastPrinted>2008-03-17T05:51:00Z</cp:lastPrinted>
  <dcterms:created xsi:type="dcterms:W3CDTF">2015-02-23T05:37:00Z</dcterms:created>
  <dcterms:modified xsi:type="dcterms:W3CDTF">2015-02-23T05:37:00Z</dcterms:modified>
</cp:coreProperties>
</file>