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52701B" w:rsidRDefault="005460B8" w:rsidP="0052701B">
      <w:pPr>
        <w:spacing w:after="0" w:line="240" w:lineRule="auto"/>
        <w:jc w:val="center"/>
        <w:rPr>
          <w:rStyle w:val="BookTitle"/>
          <w:rFonts w:ascii="Times New Roman" w:hAnsi="Times New Roman" w:cs="Times New Roman"/>
          <w:b/>
          <w:i w:val="0"/>
          <w:iCs w:val="0"/>
          <w:smallCaps w:val="0"/>
          <w:spacing w:val="0"/>
          <w:sz w:val="24"/>
        </w:rPr>
      </w:pPr>
      <w:r w:rsidRPr="0052701B">
        <w:rPr>
          <w:rStyle w:val="BookTitle"/>
          <w:rFonts w:ascii="Times New Roman" w:hAnsi="Times New Roman" w:cs="Times New Roman"/>
          <w:b/>
          <w:i w:val="0"/>
          <w:iCs w:val="0"/>
          <w:smallCaps w:val="0"/>
          <w:spacing w:val="0"/>
          <w:sz w:val="24"/>
        </w:rPr>
        <w:t>EXPLANATORY STATEMENT</w:t>
      </w:r>
    </w:p>
    <w:p w:rsidR="00910142" w:rsidRDefault="00910142" w:rsidP="0052701B">
      <w:pPr>
        <w:spacing w:after="0" w:line="240" w:lineRule="auto"/>
        <w:rPr>
          <w:rFonts w:ascii="Times New Roman" w:hAnsi="Times New Roman" w:cs="Times New Roman"/>
          <w:b/>
          <w:i/>
          <w:sz w:val="24"/>
          <w:szCs w:val="24"/>
        </w:rPr>
      </w:pPr>
    </w:p>
    <w:p w:rsidR="00284554" w:rsidRPr="006955F3" w:rsidRDefault="00284554" w:rsidP="0052701B">
      <w:pPr>
        <w:spacing w:after="0" w:line="240" w:lineRule="auto"/>
        <w:jc w:val="center"/>
        <w:rPr>
          <w:rFonts w:ascii="Times New Roman" w:hAnsi="Times New Roman" w:cs="Times New Roman"/>
          <w:b/>
          <w:i/>
          <w:sz w:val="24"/>
          <w:szCs w:val="24"/>
        </w:rPr>
      </w:pPr>
      <w:r w:rsidRPr="006955F3">
        <w:rPr>
          <w:rFonts w:ascii="Times New Roman" w:hAnsi="Times New Roman" w:cs="Times New Roman"/>
          <w:b/>
          <w:i/>
          <w:sz w:val="24"/>
          <w:szCs w:val="24"/>
        </w:rPr>
        <w:t>Workplace Gender Equality (</w:t>
      </w:r>
      <w:r w:rsidR="00A8006E" w:rsidRPr="006955F3">
        <w:rPr>
          <w:rFonts w:ascii="Times New Roman" w:hAnsi="Times New Roman" w:cs="Times New Roman"/>
          <w:b/>
          <w:i/>
          <w:sz w:val="24"/>
          <w:szCs w:val="24"/>
        </w:rPr>
        <w:t>Matters in relation to Gender Equality Indicators</w:t>
      </w:r>
      <w:r w:rsidR="004B34AE" w:rsidRPr="006955F3">
        <w:rPr>
          <w:rFonts w:ascii="Times New Roman" w:hAnsi="Times New Roman" w:cs="Times New Roman"/>
          <w:b/>
          <w:i/>
          <w:sz w:val="24"/>
          <w:szCs w:val="24"/>
        </w:rPr>
        <w:t xml:space="preserve">) </w:t>
      </w:r>
      <w:r w:rsidR="00A8006E" w:rsidRPr="006955F3">
        <w:rPr>
          <w:rFonts w:ascii="Times New Roman" w:hAnsi="Times New Roman" w:cs="Times New Roman"/>
          <w:b/>
          <w:i/>
          <w:sz w:val="24"/>
          <w:szCs w:val="24"/>
        </w:rPr>
        <w:t xml:space="preserve">Amendment </w:t>
      </w:r>
      <w:r w:rsidR="004B34AE" w:rsidRPr="006955F3">
        <w:rPr>
          <w:rFonts w:ascii="Times New Roman" w:hAnsi="Times New Roman" w:cs="Times New Roman"/>
          <w:b/>
          <w:i/>
          <w:sz w:val="24"/>
          <w:szCs w:val="24"/>
        </w:rPr>
        <w:t>Instrument</w:t>
      </w:r>
      <w:r w:rsidR="00C307C3" w:rsidRPr="006955F3">
        <w:rPr>
          <w:rFonts w:ascii="Times New Roman" w:hAnsi="Times New Roman" w:cs="Times New Roman"/>
          <w:b/>
          <w:i/>
          <w:sz w:val="24"/>
          <w:szCs w:val="24"/>
        </w:rPr>
        <w:t xml:space="preserve"> 201</w:t>
      </w:r>
      <w:r w:rsidR="00E015A8" w:rsidRPr="006955F3">
        <w:rPr>
          <w:rFonts w:ascii="Times New Roman" w:hAnsi="Times New Roman" w:cs="Times New Roman"/>
          <w:b/>
          <w:i/>
          <w:sz w:val="24"/>
          <w:szCs w:val="24"/>
        </w:rPr>
        <w:t>5</w:t>
      </w:r>
      <w:r w:rsidRPr="006955F3">
        <w:rPr>
          <w:rFonts w:ascii="Times New Roman" w:hAnsi="Times New Roman" w:cs="Times New Roman"/>
          <w:b/>
          <w:i/>
          <w:sz w:val="24"/>
          <w:szCs w:val="24"/>
        </w:rPr>
        <w:t xml:space="preserve"> </w:t>
      </w:r>
      <w:r w:rsidR="009B44EE" w:rsidRPr="006955F3">
        <w:rPr>
          <w:rFonts w:ascii="Times New Roman" w:hAnsi="Times New Roman" w:cs="Times New Roman"/>
          <w:b/>
          <w:i/>
          <w:sz w:val="24"/>
          <w:szCs w:val="24"/>
        </w:rPr>
        <w:t>(No.</w:t>
      </w:r>
      <w:r w:rsidR="000D54F9" w:rsidRPr="006955F3">
        <w:rPr>
          <w:rFonts w:ascii="Times New Roman" w:hAnsi="Times New Roman" w:cs="Times New Roman"/>
          <w:b/>
          <w:i/>
          <w:sz w:val="24"/>
          <w:szCs w:val="24"/>
        </w:rPr>
        <w:t xml:space="preserve"> </w:t>
      </w:r>
      <w:r w:rsidR="00E015A8" w:rsidRPr="006955F3">
        <w:rPr>
          <w:rFonts w:ascii="Times New Roman" w:hAnsi="Times New Roman" w:cs="Times New Roman"/>
          <w:b/>
          <w:i/>
          <w:sz w:val="24"/>
          <w:szCs w:val="24"/>
        </w:rPr>
        <w:t>1</w:t>
      </w:r>
      <w:r w:rsidR="00A8006E" w:rsidRPr="006955F3">
        <w:rPr>
          <w:rFonts w:ascii="Times New Roman" w:hAnsi="Times New Roman" w:cs="Times New Roman"/>
          <w:b/>
          <w:i/>
          <w:sz w:val="24"/>
          <w:szCs w:val="24"/>
        </w:rPr>
        <w:t>)</w:t>
      </w:r>
    </w:p>
    <w:p w:rsidR="00910142" w:rsidRDefault="00910142" w:rsidP="0052701B">
      <w:pPr>
        <w:spacing w:after="0" w:line="240" w:lineRule="auto"/>
        <w:rPr>
          <w:rStyle w:val="BookTitle"/>
          <w:rFonts w:ascii="Times New Roman" w:hAnsi="Times New Roman" w:cs="Times New Roman"/>
          <w:b/>
          <w:i w:val="0"/>
          <w:iCs w:val="0"/>
          <w:smallCaps w:val="0"/>
          <w:spacing w:val="0"/>
        </w:rPr>
      </w:pPr>
    </w:p>
    <w:p w:rsidR="00976D78" w:rsidRPr="004A2736" w:rsidRDefault="00976D78" w:rsidP="0052701B">
      <w:pPr>
        <w:spacing w:after="0" w:line="240" w:lineRule="auto"/>
        <w:rPr>
          <w:rStyle w:val="BookTitle"/>
          <w:rFonts w:ascii="Times New Roman" w:hAnsi="Times New Roman" w:cs="Times New Roman"/>
          <w:b/>
          <w:i w:val="0"/>
          <w:iCs w:val="0"/>
          <w:smallCaps w:val="0"/>
          <w:spacing w:val="0"/>
        </w:rPr>
      </w:pPr>
      <w:r w:rsidRPr="004A2736">
        <w:rPr>
          <w:rStyle w:val="BookTitle"/>
          <w:rFonts w:ascii="Times New Roman" w:hAnsi="Times New Roman" w:cs="Times New Roman"/>
          <w:b/>
          <w:i w:val="0"/>
          <w:iCs w:val="0"/>
          <w:smallCaps w:val="0"/>
          <w:spacing w:val="0"/>
        </w:rPr>
        <w:t>Summary</w:t>
      </w:r>
    </w:p>
    <w:p w:rsidR="00910142" w:rsidRDefault="00910142" w:rsidP="0052701B">
      <w:pPr>
        <w:spacing w:after="0" w:line="240" w:lineRule="auto"/>
        <w:rPr>
          <w:rStyle w:val="BookTitle"/>
          <w:rFonts w:ascii="Times New Roman" w:hAnsi="Times New Roman" w:cs="Times New Roman"/>
          <w:i w:val="0"/>
          <w:iCs w:val="0"/>
          <w:smallCaps w:val="0"/>
          <w:spacing w:val="0"/>
        </w:rPr>
      </w:pPr>
    </w:p>
    <w:p w:rsidR="006955F3" w:rsidRDefault="00284554" w:rsidP="0052701B">
      <w:pPr>
        <w:spacing w:after="0" w:line="240" w:lineRule="auto"/>
        <w:rPr>
          <w:rFonts w:ascii="Times New Roman" w:hAnsi="Times New Roman" w:cs="Times New Roman"/>
        </w:rPr>
      </w:pPr>
      <w:r w:rsidRPr="004A2736">
        <w:rPr>
          <w:rStyle w:val="BookTitle"/>
          <w:rFonts w:ascii="Times New Roman" w:hAnsi="Times New Roman" w:cs="Times New Roman"/>
          <w:i w:val="0"/>
          <w:iCs w:val="0"/>
          <w:smallCaps w:val="0"/>
          <w:spacing w:val="0"/>
        </w:rPr>
        <w:t xml:space="preserve">The </w:t>
      </w:r>
      <w:r w:rsidR="00A8006E" w:rsidRPr="004A2736">
        <w:rPr>
          <w:rStyle w:val="BookTitle"/>
          <w:rFonts w:ascii="Times New Roman" w:hAnsi="Times New Roman" w:cs="Times New Roman"/>
          <w:i w:val="0"/>
          <w:iCs w:val="0"/>
          <w:smallCaps w:val="0"/>
          <w:spacing w:val="0"/>
        </w:rPr>
        <w:t>purpose of th</w:t>
      </w:r>
      <w:r w:rsidR="00925B88">
        <w:rPr>
          <w:rStyle w:val="BookTitle"/>
          <w:rFonts w:ascii="Times New Roman" w:hAnsi="Times New Roman" w:cs="Times New Roman"/>
          <w:i w:val="0"/>
          <w:iCs w:val="0"/>
          <w:smallCaps w:val="0"/>
          <w:spacing w:val="0"/>
        </w:rPr>
        <w:t>e</w:t>
      </w:r>
      <w:r w:rsidR="00A8006E" w:rsidRPr="004A2736">
        <w:rPr>
          <w:rStyle w:val="BookTitle"/>
          <w:rFonts w:ascii="Times New Roman" w:hAnsi="Times New Roman" w:cs="Times New Roman"/>
          <w:i w:val="0"/>
          <w:iCs w:val="0"/>
          <w:smallCaps w:val="0"/>
          <w:spacing w:val="0"/>
        </w:rPr>
        <w:t xml:space="preserve"> </w:t>
      </w:r>
      <w:r w:rsidRPr="004A2736">
        <w:rPr>
          <w:rFonts w:ascii="Times New Roman" w:hAnsi="Times New Roman" w:cs="Times New Roman"/>
          <w:i/>
        </w:rPr>
        <w:t>Workplace Gender Equality (</w:t>
      </w:r>
      <w:r w:rsidR="00A8006E" w:rsidRPr="004A2736">
        <w:rPr>
          <w:rFonts w:ascii="Times New Roman" w:hAnsi="Times New Roman" w:cs="Times New Roman"/>
          <w:i/>
        </w:rPr>
        <w:t>Matters in relation to Gender Equality Indicators</w:t>
      </w:r>
      <w:r w:rsidRPr="004A2736">
        <w:rPr>
          <w:rFonts w:ascii="Times New Roman" w:hAnsi="Times New Roman" w:cs="Times New Roman"/>
          <w:i/>
        </w:rPr>
        <w:t>)</w:t>
      </w:r>
      <w:r w:rsidR="004B34AE" w:rsidRPr="004A2736">
        <w:rPr>
          <w:rFonts w:ascii="Times New Roman" w:hAnsi="Times New Roman" w:cs="Times New Roman"/>
        </w:rPr>
        <w:t xml:space="preserve"> </w:t>
      </w:r>
      <w:r w:rsidR="00A8006E" w:rsidRPr="004A2736">
        <w:rPr>
          <w:rFonts w:ascii="Times New Roman" w:hAnsi="Times New Roman" w:cs="Times New Roman"/>
          <w:i/>
        </w:rPr>
        <w:t>Amendment</w:t>
      </w:r>
      <w:r w:rsidR="00A8006E" w:rsidRPr="004A2736">
        <w:rPr>
          <w:rFonts w:ascii="Times New Roman" w:hAnsi="Times New Roman" w:cs="Times New Roman"/>
        </w:rPr>
        <w:t xml:space="preserve"> </w:t>
      </w:r>
      <w:r w:rsidR="004B34AE" w:rsidRPr="004A2736">
        <w:rPr>
          <w:rFonts w:ascii="Times New Roman" w:hAnsi="Times New Roman" w:cs="Times New Roman"/>
          <w:i/>
        </w:rPr>
        <w:t>Instrument</w:t>
      </w:r>
      <w:r w:rsidR="00C307C3" w:rsidRPr="004A2736">
        <w:rPr>
          <w:rFonts w:ascii="Times New Roman" w:hAnsi="Times New Roman" w:cs="Times New Roman"/>
          <w:i/>
        </w:rPr>
        <w:t xml:space="preserve"> 201</w:t>
      </w:r>
      <w:r w:rsidR="00E015A8">
        <w:rPr>
          <w:rFonts w:ascii="Times New Roman" w:hAnsi="Times New Roman" w:cs="Times New Roman"/>
          <w:i/>
        </w:rPr>
        <w:t>5</w:t>
      </w:r>
      <w:r w:rsidRPr="004A2736">
        <w:rPr>
          <w:rFonts w:ascii="Times New Roman" w:hAnsi="Times New Roman" w:cs="Times New Roman"/>
          <w:i/>
        </w:rPr>
        <w:t xml:space="preserve"> </w:t>
      </w:r>
      <w:r w:rsidR="009B44EE">
        <w:rPr>
          <w:rFonts w:ascii="Times New Roman" w:hAnsi="Times New Roman" w:cs="Times New Roman"/>
          <w:i/>
        </w:rPr>
        <w:t>(No.</w:t>
      </w:r>
      <w:r w:rsidR="000D54F9">
        <w:rPr>
          <w:rFonts w:ascii="Times New Roman" w:hAnsi="Times New Roman" w:cs="Times New Roman"/>
          <w:i/>
        </w:rPr>
        <w:t xml:space="preserve"> </w:t>
      </w:r>
      <w:r w:rsidR="00E015A8">
        <w:rPr>
          <w:rFonts w:ascii="Times New Roman" w:hAnsi="Times New Roman" w:cs="Times New Roman"/>
          <w:i/>
        </w:rPr>
        <w:t>1</w:t>
      </w:r>
      <w:r w:rsidR="00A8006E" w:rsidRPr="004A2736">
        <w:rPr>
          <w:rFonts w:ascii="Times New Roman" w:hAnsi="Times New Roman" w:cs="Times New Roman"/>
          <w:i/>
        </w:rPr>
        <w:t xml:space="preserve">) </w:t>
      </w:r>
      <w:r w:rsidRPr="004A2736">
        <w:rPr>
          <w:rFonts w:ascii="Times New Roman" w:hAnsi="Times New Roman" w:cs="Times New Roman"/>
        </w:rPr>
        <w:t>(</w:t>
      </w:r>
      <w:r w:rsidR="00A8006E" w:rsidRPr="004A2736">
        <w:rPr>
          <w:rFonts w:ascii="Times New Roman" w:hAnsi="Times New Roman" w:cs="Times New Roman"/>
        </w:rPr>
        <w:t xml:space="preserve">the </w:t>
      </w:r>
      <w:r w:rsidR="009B44EE">
        <w:rPr>
          <w:rFonts w:ascii="Times New Roman" w:hAnsi="Times New Roman" w:cs="Times New Roman"/>
        </w:rPr>
        <w:t xml:space="preserve">Amending </w:t>
      </w:r>
      <w:r w:rsidR="004B34AE" w:rsidRPr="004A2736">
        <w:rPr>
          <w:rFonts w:ascii="Times New Roman" w:hAnsi="Times New Roman" w:cs="Times New Roman"/>
        </w:rPr>
        <w:t>Instrument</w:t>
      </w:r>
      <w:r w:rsidRPr="004A2736">
        <w:rPr>
          <w:rFonts w:ascii="Times New Roman" w:hAnsi="Times New Roman" w:cs="Times New Roman"/>
        </w:rPr>
        <w:t>)</w:t>
      </w:r>
      <w:r w:rsidRPr="004A2736">
        <w:rPr>
          <w:rFonts w:ascii="Times New Roman" w:hAnsi="Times New Roman" w:cs="Times New Roman"/>
          <w:i/>
        </w:rPr>
        <w:t xml:space="preserve"> </w:t>
      </w:r>
      <w:r w:rsidRPr="004A2736">
        <w:rPr>
          <w:rFonts w:ascii="Times New Roman" w:hAnsi="Times New Roman" w:cs="Times New Roman"/>
        </w:rPr>
        <w:t xml:space="preserve">is </w:t>
      </w:r>
      <w:r w:rsidR="00A8006E" w:rsidRPr="004A2736">
        <w:rPr>
          <w:rFonts w:ascii="Times New Roman" w:hAnsi="Times New Roman" w:cs="Times New Roman"/>
        </w:rPr>
        <w:t xml:space="preserve">to amend the </w:t>
      </w:r>
      <w:r w:rsidR="00A8006E" w:rsidRPr="004A2736">
        <w:rPr>
          <w:rFonts w:ascii="Times New Roman" w:hAnsi="Times New Roman" w:cs="Times New Roman"/>
          <w:i/>
        </w:rPr>
        <w:t>Workplace Gender Equality (Matters in relation to Gender Equality Indicators) Instrument 2013 (No.</w:t>
      </w:r>
      <w:r w:rsidR="0008696F">
        <w:rPr>
          <w:rFonts w:ascii="Times New Roman" w:hAnsi="Times New Roman" w:cs="Times New Roman"/>
          <w:i/>
        </w:rPr>
        <w:t xml:space="preserve"> </w:t>
      </w:r>
      <w:r w:rsidR="00A8006E" w:rsidRPr="004A2736">
        <w:rPr>
          <w:rFonts w:ascii="Times New Roman" w:hAnsi="Times New Roman" w:cs="Times New Roman"/>
          <w:i/>
        </w:rPr>
        <w:t xml:space="preserve">1) </w:t>
      </w:r>
      <w:r w:rsidR="00A8006E" w:rsidRPr="004A2736">
        <w:rPr>
          <w:rFonts w:ascii="Times New Roman" w:hAnsi="Times New Roman" w:cs="Times New Roman"/>
        </w:rPr>
        <w:t xml:space="preserve">(the </w:t>
      </w:r>
      <w:r w:rsidR="009B44EE">
        <w:rPr>
          <w:rFonts w:ascii="Times New Roman" w:hAnsi="Times New Roman" w:cs="Times New Roman"/>
        </w:rPr>
        <w:t>Principal</w:t>
      </w:r>
      <w:r w:rsidR="00FB7B49" w:rsidRPr="004A2736">
        <w:rPr>
          <w:rFonts w:ascii="Times New Roman" w:hAnsi="Times New Roman" w:cs="Times New Roman"/>
        </w:rPr>
        <w:t xml:space="preserve"> </w:t>
      </w:r>
      <w:r w:rsidR="00A8006E" w:rsidRPr="004A2736">
        <w:rPr>
          <w:rFonts w:ascii="Times New Roman" w:hAnsi="Times New Roman" w:cs="Times New Roman"/>
        </w:rPr>
        <w:t>Instrument)</w:t>
      </w:r>
      <w:r w:rsidR="003B0A48">
        <w:rPr>
          <w:rFonts w:ascii="Times New Roman" w:hAnsi="Times New Roman" w:cs="Times New Roman"/>
        </w:rPr>
        <w:t xml:space="preserve">, to streamline the reporting matters </w:t>
      </w:r>
      <w:r w:rsidR="00BD2776">
        <w:rPr>
          <w:rFonts w:ascii="Times New Roman" w:hAnsi="Times New Roman" w:cs="Times New Roman"/>
        </w:rPr>
        <w:t>required to be addressed in a public report</w:t>
      </w:r>
      <w:r w:rsidR="009A441C">
        <w:rPr>
          <w:rFonts w:ascii="Times New Roman" w:hAnsi="Times New Roman" w:cs="Times New Roman"/>
        </w:rPr>
        <w:t xml:space="preserve"> from</w:t>
      </w:r>
      <w:r w:rsidR="003B0A48">
        <w:rPr>
          <w:rFonts w:ascii="Times New Roman" w:hAnsi="Times New Roman" w:cs="Times New Roman"/>
        </w:rPr>
        <w:t xml:space="preserve"> the 2015</w:t>
      </w:r>
      <w:r w:rsidR="00177D9C">
        <w:rPr>
          <w:rFonts w:ascii="Times New Roman" w:hAnsi="Times New Roman" w:cs="Times New Roman"/>
        </w:rPr>
        <w:t>–</w:t>
      </w:r>
      <w:r w:rsidR="003B0A48">
        <w:rPr>
          <w:rFonts w:ascii="Times New Roman" w:hAnsi="Times New Roman" w:cs="Times New Roman"/>
        </w:rPr>
        <w:t xml:space="preserve">16 reporting period (commencing on 1 April 2015). </w:t>
      </w:r>
      <w:r w:rsidR="00DA7517">
        <w:rPr>
          <w:rFonts w:ascii="Times New Roman" w:hAnsi="Times New Roman" w:cs="Times New Roman"/>
        </w:rPr>
        <w:t>Specifically</w:t>
      </w:r>
      <w:r w:rsidR="00294708">
        <w:rPr>
          <w:rFonts w:ascii="Times New Roman" w:hAnsi="Times New Roman" w:cs="Times New Roman"/>
        </w:rPr>
        <w:t>, the Amending Instrument will</w:t>
      </w:r>
      <w:r w:rsidR="00DA7517">
        <w:rPr>
          <w:rFonts w:ascii="Times New Roman" w:hAnsi="Times New Roman" w:cs="Times New Roman"/>
        </w:rPr>
        <w:t>:</w:t>
      </w:r>
    </w:p>
    <w:p w:rsidR="00897EE6" w:rsidRDefault="00897EE6" w:rsidP="0052701B">
      <w:pPr>
        <w:pStyle w:val="ListParagraph"/>
        <w:numPr>
          <w:ilvl w:val="0"/>
          <w:numId w:val="23"/>
        </w:numPr>
        <w:spacing w:after="0" w:line="240" w:lineRule="auto"/>
        <w:rPr>
          <w:rFonts w:ascii="Times New Roman" w:hAnsi="Times New Roman" w:cs="Times New Roman"/>
        </w:rPr>
      </w:pPr>
      <w:r w:rsidRPr="00EF2F54">
        <w:rPr>
          <w:rFonts w:ascii="Times New Roman" w:hAnsi="Times New Roman" w:cs="Times New Roman"/>
        </w:rPr>
        <w:t xml:space="preserve">amend the definition of </w:t>
      </w:r>
      <w:r w:rsidRPr="00EF2F54">
        <w:rPr>
          <w:rFonts w:ascii="Times New Roman" w:hAnsi="Times New Roman" w:cs="Times New Roman"/>
          <w:b/>
          <w:i/>
        </w:rPr>
        <w:t>employment status</w:t>
      </w:r>
      <w:r w:rsidRPr="00EF2F54">
        <w:rPr>
          <w:rFonts w:ascii="Times New Roman" w:hAnsi="Times New Roman" w:cs="Times New Roman"/>
        </w:rPr>
        <w:t xml:space="preserve"> to exclude </w:t>
      </w:r>
      <w:r w:rsidR="00AC5FDF">
        <w:rPr>
          <w:rFonts w:ascii="Times New Roman" w:hAnsi="Times New Roman" w:cs="Times New Roman"/>
        </w:rPr>
        <w:t xml:space="preserve">people employed under a contract </w:t>
      </w:r>
      <w:r w:rsidR="00AC73D1">
        <w:rPr>
          <w:rFonts w:ascii="Times New Roman" w:hAnsi="Times New Roman" w:cs="Times New Roman"/>
        </w:rPr>
        <w:t>for</w:t>
      </w:r>
      <w:r w:rsidR="00AC5FDF">
        <w:rPr>
          <w:rFonts w:ascii="Times New Roman" w:hAnsi="Times New Roman" w:cs="Times New Roman"/>
        </w:rPr>
        <w:t xml:space="preserve"> services (</w:t>
      </w:r>
      <w:r w:rsidR="00886397">
        <w:rPr>
          <w:rFonts w:ascii="Times New Roman" w:hAnsi="Times New Roman" w:cs="Times New Roman"/>
        </w:rPr>
        <w:t xml:space="preserve">i.e. </w:t>
      </w:r>
      <w:r w:rsidRPr="00EF2F54">
        <w:rPr>
          <w:rFonts w:ascii="Times New Roman" w:hAnsi="Times New Roman" w:cs="Times New Roman"/>
        </w:rPr>
        <w:t>independent contractors</w:t>
      </w:r>
      <w:r w:rsidR="00AC5FDF">
        <w:rPr>
          <w:rFonts w:ascii="Times New Roman" w:hAnsi="Times New Roman" w:cs="Times New Roman"/>
        </w:rPr>
        <w:t>)</w:t>
      </w:r>
      <w:r w:rsidRPr="00EF2F54">
        <w:rPr>
          <w:rFonts w:ascii="Times New Roman" w:hAnsi="Times New Roman" w:cs="Times New Roman"/>
        </w:rPr>
        <w:t xml:space="preserve"> for the purposes of the Principal Instrument and otherwise provide greater clarity;</w:t>
      </w:r>
    </w:p>
    <w:p w:rsidR="00DA7517" w:rsidRDefault="00DA7517" w:rsidP="0052701B">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 xml:space="preserve">streamline </w:t>
      </w:r>
      <w:r w:rsidR="00925B88">
        <w:rPr>
          <w:rFonts w:ascii="Times New Roman" w:hAnsi="Times New Roman" w:cs="Times New Roman"/>
        </w:rPr>
        <w:t xml:space="preserve">the </w:t>
      </w:r>
      <w:r>
        <w:rPr>
          <w:rFonts w:ascii="Times New Roman" w:hAnsi="Times New Roman" w:cs="Times New Roman"/>
        </w:rPr>
        <w:t xml:space="preserve">additional reporting requirements for </w:t>
      </w:r>
      <w:r w:rsidR="007D05E1">
        <w:rPr>
          <w:rFonts w:ascii="Times New Roman" w:hAnsi="Times New Roman" w:cs="Times New Roman"/>
        </w:rPr>
        <w:t>G</w:t>
      </w:r>
      <w:r>
        <w:rPr>
          <w:rFonts w:ascii="Times New Roman" w:hAnsi="Times New Roman" w:cs="Times New Roman"/>
        </w:rPr>
        <w:t xml:space="preserve">ender </w:t>
      </w:r>
      <w:r w:rsidR="007D05E1">
        <w:rPr>
          <w:rFonts w:ascii="Times New Roman" w:hAnsi="Times New Roman" w:cs="Times New Roman"/>
        </w:rPr>
        <w:t>E</w:t>
      </w:r>
      <w:r>
        <w:rPr>
          <w:rFonts w:ascii="Times New Roman" w:hAnsi="Times New Roman" w:cs="Times New Roman"/>
        </w:rPr>
        <w:t xml:space="preserve">quality </w:t>
      </w:r>
      <w:r w:rsidR="007D05E1">
        <w:rPr>
          <w:rFonts w:ascii="Times New Roman" w:hAnsi="Times New Roman" w:cs="Times New Roman"/>
        </w:rPr>
        <w:t>I</w:t>
      </w:r>
      <w:r>
        <w:rPr>
          <w:rFonts w:ascii="Times New Roman" w:hAnsi="Times New Roman" w:cs="Times New Roman"/>
        </w:rPr>
        <w:t>ndicator</w:t>
      </w:r>
      <w:r w:rsidR="0052701B">
        <w:rPr>
          <w:rFonts w:ascii="Times New Roman" w:hAnsi="Times New Roman" w:cs="Times New Roman"/>
        </w:rPr>
        <w:t xml:space="preserve"> (</w:t>
      </w:r>
      <w:proofErr w:type="spellStart"/>
      <w:r w:rsidR="0052701B">
        <w:rPr>
          <w:rFonts w:ascii="Times New Roman" w:hAnsi="Times New Roman" w:cs="Times New Roman"/>
        </w:rPr>
        <w:t>GEI</w:t>
      </w:r>
      <w:proofErr w:type="spellEnd"/>
      <w:r w:rsidR="0052701B">
        <w:rPr>
          <w:rFonts w:ascii="Times New Roman" w:hAnsi="Times New Roman" w:cs="Times New Roman"/>
        </w:rPr>
        <w:t>)</w:t>
      </w:r>
      <w:r>
        <w:rPr>
          <w:rFonts w:ascii="Times New Roman" w:hAnsi="Times New Roman" w:cs="Times New Roman"/>
        </w:rPr>
        <w:t xml:space="preserve"> 1 (gender composition of the workforce), by</w:t>
      </w:r>
      <w:r w:rsidRPr="00DA7517">
        <w:rPr>
          <w:rFonts w:ascii="Times New Roman" w:hAnsi="Times New Roman" w:cs="Times New Roman"/>
        </w:rPr>
        <w:t xml:space="preserve"> </w:t>
      </w:r>
      <w:r>
        <w:rPr>
          <w:rFonts w:ascii="Times New Roman" w:hAnsi="Times New Roman" w:cs="Times New Roman"/>
        </w:rPr>
        <w:t>removing requirements to report on:</w:t>
      </w:r>
    </w:p>
    <w:p w:rsidR="00DA7517" w:rsidRPr="0032568D" w:rsidRDefault="00DA7517" w:rsidP="00406099">
      <w:pPr>
        <w:pStyle w:val="ListParagraph"/>
        <w:numPr>
          <w:ilvl w:val="1"/>
          <w:numId w:val="23"/>
        </w:numPr>
        <w:spacing w:after="0" w:line="240" w:lineRule="auto"/>
        <w:rPr>
          <w:rFonts w:ascii="Times New Roman" w:hAnsi="Times New Roman" w:cs="Times New Roman"/>
        </w:rPr>
      </w:pPr>
      <w:r>
        <w:rPr>
          <w:rFonts w:ascii="Times New Roman" w:hAnsi="Times New Roman" w:cs="Times New Roman"/>
        </w:rPr>
        <w:t xml:space="preserve">recruitment applications and interviews; </w:t>
      </w:r>
    </w:p>
    <w:p w:rsidR="00DA7517" w:rsidRDefault="00DA7517" w:rsidP="0052701B">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 xml:space="preserve">streamline reporting requirements for </w:t>
      </w:r>
      <w:proofErr w:type="spellStart"/>
      <w:r w:rsidR="007D05E1">
        <w:rPr>
          <w:rFonts w:ascii="Times New Roman" w:hAnsi="Times New Roman" w:cs="Times New Roman"/>
        </w:rPr>
        <w:t>G</w:t>
      </w:r>
      <w:r w:rsidR="0052701B">
        <w:rPr>
          <w:rFonts w:ascii="Times New Roman" w:hAnsi="Times New Roman" w:cs="Times New Roman"/>
        </w:rPr>
        <w:t>EI</w:t>
      </w:r>
      <w:proofErr w:type="spellEnd"/>
      <w:r>
        <w:rPr>
          <w:rFonts w:ascii="Times New Roman" w:hAnsi="Times New Roman" w:cs="Times New Roman"/>
        </w:rPr>
        <w:t xml:space="preserve"> 3 (equal remuneration between women and men), by</w:t>
      </w:r>
      <w:r w:rsidR="0052701B">
        <w:rPr>
          <w:rFonts w:ascii="Times New Roman" w:hAnsi="Times New Roman" w:cs="Times New Roman"/>
        </w:rPr>
        <w:t>:</w:t>
      </w:r>
      <w:r>
        <w:rPr>
          <w:rFonts w:ascii="Times New Roman" w:hAnsi="Times New Roman" w:cs="Times New Roman"/>
        </w:rPr>
        <w:t xml:space="preserve"> </w:t>
      </w:r>
    </w:p>
    <w:p w:rsidR="00DA7517" w:rsidRDefault="0052701B" w:rsidP="0052701B">
      <w:pPr>
        <w:pStyle w:val="ListParagraph"/>
        <w:numPr>
          <w:ilvl w:val="1"/>
          <w:numId w:val="23"/>
        </w:numPr>
        <w:spacing w:after="0" w:line="240" w:lineRule="auto"/>
        <w:rPr>
          <w:rFonts w:ascii="Times New Roman" w:hAnsi="Times New Roman" w:cs="Times New Roman"/>
        </w:rPr>
      </w:pPr>
      <w:r>
        <w:rPr>
          <w:rFonts w:ascii="Times New Roman" w:hAnsi="Times New Roman" w:cs="Times New Roman"/>
        </w:rPr>
        <w:t>removing requirements to report on</w:t>
      </w:r>
      <w:r w:rsidRPr="007E7EC4">
        <w:rPr>
          <w:rFonts w:ascii="Times New Roman" w:hAnsi="Times New Roman" w:cs="Times New Roman"/>
        </w:rPr>
        <w:t xml:space="preserve"> </w:t>
      </w:r>
      <w:r w:rsidR="00BE09A6">
        <w:rPr>
          <w:rFonts w:ascii="Times New Roman" w:hAnsi="Times New Roman" w:cs="Times New Roman"/>
        </w:rPr>
        <w:t xml:space="preserve">the </w:t>
      </w:r>
      <w:r w:rsidR="00DA7517" w:rsidRPr="007E7EC4">
        <w:rPr>
          <w:rFonts w:ascii="Times New Roman" w:hAnsi="Times New Roman" w:cs="Times New Roman"/>
        </w:rPr>
        <w:t xml:space="preserve">remuneration of </w:t>
      </w:r>
      <w:r w:rsidR="00567170">
        <w:rPr>
          <w:rFonts w:ascii="Times New Roman" w:hAnsi="Times New Roman" w:cs="Times New Roman"/>
        </w:rPr>
        <w:t xml:space="preserve">the following managers: </w:t>
      </w:r>
      <w:r w:rsidR="00DA7517" w:rsidRPr="007E7EC4">
        <w:rPr>
          <w:rFonts w:ascii="Times New Roman" w:hAnsi="Times New Roman" w:cs="Times New Roman"/>
        </w:rPr>
        <w:t xml:space="preserve">the </w:t>
      </w:r>
      <w:r>
        <w:rPr>
          <w:rFonts w:ascii="Times New Roman" w:hAnsi="Times New Roman" w:cs="Times New Roman"/>
        </w:rPr>
        <w:t>Chief Executive Officer (</w:t>
      </w:r>
      <w:proofErr w:type="spellStart"/>
      <w:r w:rsidR="00DA7517" w:rsidRPr="007E7EC4">
        <w:rPr>
          <w:rFonts w:ascii="Times New Roman" w:hAnsi="Times New Roman" w:cs="Times New Roman"/>
        </w:rPr>
        <w:t>CEO</w:t>
      </w:r>
      <w:proofErr w:type="spellEnd"/>
      <w:r>
        <w:rPr>
          <w:rFonts w:ascii="Times New Roman" w:hAnsi="Times New Roman" w:cs="Times New Roman"/>
        </w:rPr>
        <w:t>)</w:t>
      </w:r>
      <w:r w:rsidR="00DA7517" w:rsidRPr="007E7EC4">
        <w:rPr>
          <w:rFonts w:ascii="Times New Roman" w:hAnsi="Times New Roman" w:cs="Times New Roman"/>
        </w:rPr>
        <w:t xml:space="preserve"> or equivalent</w:t>
      </w:r>
      <w:r w:rsidR="00567170">
        <w:rPr>
          <w:rFonts w:ascii="Times New Roman" w:hAnsi="Times New Roman" w:cs="Times New Roman"/>
        </w:rPr>
        <w:t>;</w:t>
      </w:r>
      <w:r w:rsidR="00DA7517" w:rsidRPr="007E7EC4">
        <w:rPr>
          <w:rFonts w:ascii="Times New Roman" w:hAnsi="Times New Roman" w:cs="Times New Roman"/>
        </w:rPr>
        <w:t xml:space="preserve"> </w:t>
      </w:r>
      <w:r w:rsidR="000076D4">
        <w:rPr>
          <w:rFonts w:ascii="Times New Roman" w:hAnsi="Times New Roman" w:cs="Times New Roman"/>
        </w:rPr>
        <w:t xml:space="preserve">key management personnel with a reporting distance above the </w:t>
      </w:r>
      <w:proofErr w:type="spellStart"/>
      <w:r w:rsidR="000076D4">
        <w:rPr>
          <w:rFonts w:ascii="Times New Roman" w:hAnsi="Times New Roman" w:cs="Times New Roman"/>
        </w:rPr>
        <w:t>CEO</w:t>
      </w:r>
      <w:proofErr w:type="spellEnd"/>
      <w:r w:rsidR="000076D4">
        <w:rPr>
          <w:rFonts w:ascii="Times New Roman" w:hAnsi="Times New Roman" w:cs="Times New Roman"/>
        </w:rPr>
        <w:t xml:space="preserve"> or equivalent</w:t>
      </w:r>
      <w:r w:rsidR="00567170">
        <w:rPr>
          <w:rFonts w:ascii="Times New Roman" w:hAnsi="Times New Roman" w:cs="Times New Roman"/>
        </w:rPr>
        <w:t>;</w:t>
      </w:r>
      <w:r w:rsidR="00335BA2">
        <w:rPr>
          <w:rFonts w:ascii="Times New Roman" w:hAnsi="Times New Roman" w:cs="Times New Roman"/>
        </w:rPr>
        <w:t xml:space="preserve"> and</w:t>
      </w:r>
      <w:r w:rsidR="00177D9C">
        <w:rPr>
          <w:rFonts w:ascii="Times New Roman" w:hAnsi="Times New Roman" w:cs="Times New Roman"/>
        </w:rPr>
        <w:t xml:space="preserve"> </w:t>
      </w:r>
      <w:r w:rsidR="00DA7517" w:rsidRPr="007E7EC4">
        <w:rPr>
          <w:rFonts w:ascii="Times New Roman" w:hAnsi="Times New Roman" w:cs="Times New Roman"/>
        </w:rPr>
        <w:t>casual managers;</w:t>
      </w:r>
    </w:p>
    <w:p w:rsidR="009A441C" w:rsidRDefault="00D02B66" w:rsidP="009A441C">
      <w:pPr>
        <w:pStyle w:val="ListParagraph"/>
        <w:numPr>
          <w:ilvl w:val="1"/>
          <w:numId w:val="23"/>
        </w:numPr>
        <w:spacing w:after="0" w:line="240" w:lineRule="auto"/>
        <w:rPr>
          <w:rFonts w:ascii="Times New Roman" w:hAnsi="Times New Roman" w:cs="Times New Roman"/>
        </w:rPr>
      </w:pPr>
      <w:r>
        <w:rPr>
          <w:rFonts w:ascii="Times New Roman" w:hAnsi="Times New Roman" w:cs="Times New Roman"/>
        </w:rPr>
        <w:t xml:space="preserve">removing </w:t>
      </w:r>
      <w:r w:rsidR="009A441C">
        <w:rPr>
          <w:rFonts w:ascii="Times New Roman" w:hAnsi="Times New Roman" w:cs="Times New Roman"/>
        </w:rPr>
        <w:t xml:space="preserve">requirements to report on disaggregated data by gender and workplace profile on annualised average full-time equivalent components of total remuneration; </w:t>
      </w:r>
    </w:p>
    <w:p w:rsidR="00FB36E6" w:rsidRPr="007E7EC4" w:rsidRDefault="000076D4" w:rsidP="0052701B">
      <w:pPr>
        <w:pStyle w:val="ListParagraph"/>
        <w:numPr>
          <w:ilvl w:val="1"/>
          <w:numId w:val="23"/>
        </w:numPr>
        <w:spacing w:after="0" w:line="240" w:lineRule="auto"/>
        <w:rPr>
          <w:rFonts w:ascii="Times New Roman" w:hAnsi="Times New Roman" w:cs="Times New Roman"/>
        </w:rPr>
      </w:pPr>
      <w:r>
        <w:rPr>
          <w:rFonts w:ascii="Times New Roman" w:hAnsi="Times New Roman" w:cs="Times New Roman"/>
        </w:rPr>
        <w:t>amending the requirement to annualise components of remune</w:t>
      </w:r>
      <w:r w:rsidR="009C1ED1">
        <w:rPr>
          <w:rFonts w:ascii="Times New Roman" w:hAnsi="Times New Roman" w:cs="Times New Roman"/>
        </w:rPr>
        <w:t>ration paid on a non-pro-rata or</w:t>
      </w:r>
      <w:r>
        <w:rPr>
          <w:rFonts w:ascii="Times New Roman" w:hAnsi="Times New Roman" w:cs="Times New Roman"/>
        </w:rPr>
        <w:t xml:space="preserve"> fixed amount basis; </w:t>
      </w:r>
      <w:r w:rsidR="00FB36E6">
        <w:rPr>
          <w:rFonts w:ascii="Times New Roman" w:hAnsi="Times New Roman" w:cs="Times New Roman"/>
        </w:rPr>
        <w:t>and</w:t>
      </w:r>
    </w:p>
    <w:p w:rsidR="00294708" w:rsidRDefault="00294708" w:rsidP="0052701B">
      <w:pPr>
        <w:pStyle w:val="ListParagraph"/>
        <w:numPr>
          <w:ilvl w:val="0"/>
          <w:numId w:val="23"/>
        </w:numPr>
        <w:spacing w:after="0" w:line="240" w:lineRule="auto"/>
        <w:rPr>
          <w:rFonts w:ascii="Times New Roman" w:hAnsi="Times New Roman" w:cs="Times New Roman"/>
        </w:rPr>
      </w:pPr>
      <w:r w:rsidRPr="00294708">
        <w:rPr>
          <w:rFonts w:ascii="Times New Roman" w:hAnsi="Times New Roman" w:cs="Times New Roman"/>
        </w:rPr>
        <w:t xml:space="preserve">streamline additional reporting requirements for </w:t>
      </w:r>
      <w:proofErr w:type="spellStart"/>
      <w:r w:rsidR="007D05E1">
        <w:rPr>
          <w:rFonts w:ascii="Times New Roman" w:hAnsi="Times New Roman" w:cs="Times New Roman"/>
        </w:rPr>
        <w:t>G</w:t>
      </w:r>
      <w:r w:rsidR="0052701B">
        <w:rPr>
          <w:rFonts w:ascii="Times New Roman" w:hAnsi="Times New Roman" w:cs="Times New Roman"/>
        </w:rPr>
        <w:t>EI</w:t>
      </w:r>
      <w:proofErr w:type="spellEnd"/>
      <w:r w:rsidRPr="00294708">
        <w:rPr>
          <w:rFonts w:ascii="Times New Roman" w:hAnsi="Times New Roman" w:cs="Times New Roman"/>
        </w:rPr>
        <w:t xml:space="preserve"> 4 (availability and utility of employment terms, conditions and practices relating to flexible working arrangements for employees and to working arrangements supporting employees with family or caring responsibilities</w:t>
      </w:r>
      <w:r>
        <w:rPr>
          <w:rFonts w:ascii="Times New Roman" w:hAnsi="Times New Roman" w:cs="Times New Roman"/>
        </w:rPr>
        <w:t>), by:</w:t>
      </w:r>
    </w:p>
    <w:p w:rsidR="00294708" w:rsidRDefault="00526AEB" w:rsidP="0052701B">
      <w:pPr>
        <w:pStyle w:val="ListParagraph"/>
        <w:numPr>
          <w:ilvl w:val="1"/>
          <w:numId w:val="23"/>
        </w:numPr>
        <w:spacing w:after="0" w:line="240" w:lineRule="auto"/>
        <w:rPr>
          <w:rFonts w:ascii="Times New Roman" w:hAnsi="Times New Roman" w:cs="Times New Roman"/>
        </w:rPr>
      </w:pPr>
      <w:r>
        <w:rPr>
          <w:rFonts w:ascii="Times New Roman" w:hAnsi="Times New Roman" w:cs="Times New Roman"/>
        </w:rPr>
        <w:t xml:space="preserve">creating </w:t>
      </w:r>
      <w:r w:rsidR="00294708">
        <w:rPr>
          <w:rFonts w:ascii="Times New Roman" w:hAnsi="Times New Roman" w:cs="Times New Roman"/>
        </w:rPr>
        <w:t xml:space="preserve">a more targeted reporting </w:t>
      </w:r>
      <w:r>
        <w:rPr>
          <w:rFonts w:ascii="Times New Roman" w:hAnsi="Times New Roman" w:cs="Times New Roman"/>
        </w:rPr>
        <w:t>matter</w:t>
      </w:r>
      <w:r w:rsidR="00294708">
        <w:rPr>
          <w:rFonts w:ascii="Times New Roman" w:hAnsi="Times New Roman" w:cs="Times New Roman"/>
        </w:rPr>
        <w:t xml:space="preserve"> </w:t>
      </w:r>
      <w:r w:rsidR="00DE27F2">
        <w:rPr>
          <w:rFonts w:ascii="Times New Roman" w:hAnsi="Times New Roman" w:cs="Times New Roman"/>
        </w:rPr>
        <w:t>to focus on the retention and turnover of</w:t>
      </w:r>
      <w:r w:rsidR="004425AF">
        <w:rPr>
          <w:rFonts w:ascii="Times New Roman" w:hAnsi="Times New Roman" w:cs="Times New Roman"/>
        </w:rPr>
        <w:t xml:space="preserve"> employees</w:t>
      </w:r>
      <w:r w:rsidR="00294708">
        <w:rPr>
          <w:rFonts w:ascii="Times New Roman" w:hAnsi="Times New Roman" w:cs="Times New Roman"/>
        </w:rPr>
        <w:t xml:space="preserve"> </w:t>
      </w:r>
      <w:r w:rsidR="009A441C">
        <w:rPr>
          <w:rFonts w:ascii="Times New Roman" w:hAnsi="Times New Roman" w:cs="Times New Roman"/>
        </w:rPr>
        <w:t>who</w:t>
      </w:r>
      <w:r w:rsidR="00DE27F2">
        <w:rPr>
          <w:rFonts w:ascii="Times New Roman" w:hAnsi="Times New Roman" w:cs="Times New Roman"/>
        </w:rPr>
        <w:t xml:space="preserve"> </w:t>
      </w:r>
      <w:r w:rsidR="004E529A">
        <w:rPr>
          <w:rFonts w:ascii="Times New Roman" w:hAnsi="Times New Roman" w:cs="Times New Roman"/>
        </w:rPr>
        <w:t>have taken</w:t>
      </w:r>
      <w:r w:rsidR="00294708">
        <w:rPr>
          <w:rFonts w:ascii="Times New Roman" w:hAnsi="Times New Roman" w:cs="Times New Roman"/>
        </w:rPr>
        <w:t xml:space="preserve"> parental leave; and</w:t>
      </w:r>
    </w:p>
    <w:p w:rsidR="00EF2F54" w:rsidRPr="00897EE6" w:rsidRDefault="00294708" w:rsidP="00897EE6">
      <w:pPr>
        <w:pStyle w:val="ListParagraph"/>
        <w:numPr>
          <w:ilvl w:val="1"/>
          <w:numId w:val="23"/>
        </w:numPr>
        <w:spacing w:after="0" w:line="240" w:lineRule="auto"/>
        <w:rPr>
          <w:rFonts w:ascii="Times New Roman" w:hAnsi="Times New Roman" w:cs="Times New Roman"/>
        </w:rPr>
      </w:pPr>
      <w:r>
        <w:rPr>
          <w:rFonts w:ascii="Times New Roman" w:hAnsi="Times New Roman" w:cs="Times New Roman"/>
        </w:rPr>
        <w:t>removing the requirement to report on requests and approvals for extended parental leave</w:t>
      </w:r>
      <w:r w:rsidR="00526AEB">
        <w:rPr>
          <w:rFonts w:ascii="Times New Roman" w:hAnsi="Times New Roman" w:cs="Times New Roman"/>
        </w:rPr>
        <w:t>;</w:t>
      </w:r>
      <w:r w:rsidR="00897EE6">
        <w:rPr>
          <w:rFonts w:ascii="Times New Roman" w:hAnsi="Times New Roman" w:cs="Times New Roman"/>
        </w:rPr>
        <w:t xml:space="preserve"> and</w:t>
      </w:r>
    </w:p>
    <w:p w:rsidR="00294708" w:rsidRPr="00294708" w:rsidRDefault="00084AF9" w:rsidP="0052701B">
      <w:pPr>
        <w:pStyle w:val="ListParagraph"/>
        <w:numPr>
          <w:ilvl w:val="0"/>
          <w:numId w:val="23"/>
        </w:numPr>
        <w:spacing w:after="0" w:line="240" w:lineRule="auto"/>
        <w:rPr>
          <w:rFonts w:ascii="Times New Roman" w:hAnsi="Times New Roman" w:cs="Times New Roman"/>
        </w:rPr>
      </w:pPr>
      <w:proofErr w:type="gramStart"/>
      <w:r>
        <w:rPr>
          <w:rFonts w:ascii="Times New Roman" w:hAnsi="Times New Roman" w:cs="Times New Roman"/>
        </w:rPr>
        <w:t>make</w:t>
      </w:r>
      <w:proofErr w:type="gramEnd"/>
      <w:r>
        <w:rPr>
          <w:rFonts w:ascii="Times New Roman" w:hAnsi="Times New Roman" w:cs="Times New Roman"/>
        </w:rPr>
        <w:t xml:space="preserve"> </w:t>
      </w:r>
      <w:r w:rsidR="0008696F">
        <w:rPr>
          <w:rFonts w:ascii="Times New Roman" w:hAnsi="Times New Roman" w:cs="Times New Roman"/>
        </w:rPr>
        <w:t>other amendments</w:t>
      </w:r>
      <w:r w:rsidR="00294708">
        <w:rPr>
          <w:rFonts w:ascii="Times New Roman" w:hAnsi="Times New Roman" w:cs="Times New Roman"/>
        </w:rPr>
        <w:t xml:space="preserve"> to improve the readability</w:t>
      </w:r>
      <w:r>
        <w:rPr>
          <w:rFonts w:ascii="Times New Roman" w:hAnsi="Times New Roman" w:cs="Times New Roman"/>
        </w:rPr>
        <w:t xml:space="preserve"> and operation</w:t>
      </w:r>
      <w:r w:rsidR="00294708">
        <w:rPr>
          <w:rFonts w:ascii="Times New Roman" w:hAnsi="Times New Roman" w:cs="Times New Roman"/>
        </w:rPr>
        <w:t xml:space="preserve"> of the Principal Instrument.</w:t>
      </w:r>
    </w:p>
    <w:p w:rsidR="00910142" w:rsidRDefault="00910142" w:rsidP="0052701B">
      <w:pPr>
        <w:spacing w:after="0" w:line="240" w:lineRule="auto"/>
        <w:rPr>
          <w:rStyle w:val="BookTitle"/>
          <w:rFonts w:ascii="Times New Roman" w:hAnsi="Times New Roman" w:cs="Times New Roman"/>
          <w:b/>
          <w:i w:val="0"/>
          <w:iCs w:val="0"/>
          <w:smallCaps w:val="0"/>
          <w:spacing w:val="0"/>
        </w:rPr>
      </w:pPr>
    </w:p>
    <w:p w:rsidR="0000536A" w:rsidRDefault="0000536A" w:rsidP="0052701B">
      <w:pPr>
        <w:spacing w:after="0" w:line="240" w:lineRule="auto"/>
        <w:rPr>
          <w:rStyle w:val="BookTitle"/>
          <w:rFonts w:ascii="Times New Roman" w:hAnsi="Times New Roman" w:cs="Times New Roman"/>
          <w:b/>
          <w:i w:val="0"/>
          <w:iCs w:val="0"/>
          <w:smallCaps w:val="0"/>
          <w:spacing w:val="0"/>
        </w:rPr>
      </w:pPr>
      <w:r>
        <w:rPr>
          <w:rStyle w:val="BookTitle"/>
          <w:rFonts w:ascii="Times New Roman" w:hAnsi="Times New Roman" w:cs="Times New Roman"/>
          <w:i w:val="0"/>
          <w:iCs w:val="0"/>
          <w:smallCaps w:val="0"/>
          <w:spacing w:val="0"/>
        </w:rPr>
        <w:t>The Amending Instrument is intended to ensure that relevant employers report on the most useful information to support businesses to address gender inequality and represents the best value for effort.</w:t>
      </w:r>
    </w:p>
    <w:p w:rsidR="0000536A" w:rsidRDefault="0000536A" w:rsidP="0052701B">
      <w:pPr>
        <w:spacing w:after="0" w:line="240" w:lineRule="auto"/>
        <w:rPr>
          <w:rStyle w:val="BookTitle"/>
          <w:rFonts w:ascii="Times New Roman" w:hAnsi="Times New Roman" w:cs="Times New Roman"/>
          <w:b/>
          <w:i w:val="0"/>
          <w:iCs w:val="0"/>
          <w:smallCaps w:val="0"/>
          <w:spacing w:val="0"/>
        </w:rPr>
      </w:pPr>
    </w:p>
    <w:p w:rsidR="00284554" w:rsidRPr="004F6D0B" w:rsidRDefault="00284554" w:rsidP="0052701B">
      <w:pPr>
        <w:spacing w:after="0" w:line="240" w:lineRule="auto"/>
        <w:rPr>
          <w:rStyle w:val="BookTitle"/>
          <w:rFonts w:ascii="Times New Roman" w:hAnsi="Times New Roman" w:cs="Times New Roman"/>
          <w:b/>
          <w:i w:val="0"/>
          <w:iCs w:val="0"/>
          <w:smallCaps w:val="0"/>
          <w:spacing w:val="0"/>
        </w:rPr>
      </w:pPr>
      <w:r w:rsidRPr="004F6D0B">
        <w:rPr>
          <w:rStyle w:val="BookTitle"/>
          <w:rFonts w:ascii="Times New Roman" w:hAnsi="Times New Roman" w:cs="Times New Roman"/>
          <w:b/>
          <w:i w:val="0"/>
          <w:iCs w:val="0"/>
          <w:smallCaps w:val="0"/>
          <w:spacing w:val="0"/>
        </w:rPr>
        <w:t>Background</w:t>
      </w:r>
    </w:p>
    <w:p w:rsidR="00910142" w:rsidRDefault="00910142" w:rsidP="0052701B">
      <w:pPr>
        <w:spacing w:after="0" w:line="240" w:lineRule="auto"/>
        <w:rPr>
          <w:rFonts w:ascii="Times New Roman" w:hAnsi="Times New Roman" w:cs="Times New Roman"/>
        </w:rPr>
      </w:pPr>
    </w:p>
    <w:p w:rsidR="00B566D4" w:rsidRDefault="00976D78" w:rsidP="0052701B">
      <w:pPr>
        <w:spacing w:after="0" w:line="240" w:lineRule="auto"/>
        <w:rPr>
          <w:rStyle w:val="BookTitle"/>
          <w:rFonts w:ascii="Times New Roman" w:hAnsi="Times New Roman" w:cs="Times New Roman"/>
          <w:i w:val="0"/>
          <w:iCs w:val="0"/>
          <w:smallCaps w:val="0"/>
          <w:spacing w:val="0"/>
        </w:rPr>
      </w:pPr>
      <w:r w:rsidRPr="004F6D0B">
        <w:rPr>
          <w:rFonts w:ascii="Times New Roman" w:hAnsi="Times New Roman" w:cs="Times New Roman"/>
        </w:rPr>
        <w:t xml:space="preserve">The </w:t>
      </w:r>
      <w:r w:rsidR="0052701B">
        <w:rPr>
          <w:rFonts w:ascii="Times New Roman" w:hAnsi="Times New Roman" w:cs="Times New Roman"/>
        </w:rPr>
        <w:t xml:space="preserve">Principal </w:t>
      </w:r>
      <w:r w:rsidR="004B34AE" w:rsidRPr="004F6D0B">
        <w:rPr>
          <w:rFonts w:ascii="Times New Roman" w:hAnsi="Times New Roman" w:cs="Times New Roman"/>
        </w:rPr>
        <w:t>Instrument</w:t>
      </w:r>
      <w:r w:rsidRPr="004F6D0B">
        <w:rPr>
          <w:rFonts w:ascii="Times New Roman" w:hAnsi="Times New Roman" w:cs="Times New Roman"/>
        </w:rPr>
        <w:t xml:space="preserve"> is made under s</w:t>
      </w:r>
      <w:r w:rsidRPr="004F6D0B">
        <w:rPr>
          <w:rStyle w:val="BookTitle"/>
          <w:rFonts w:ascii="Times New Roman" w:hAnsi="Times New Roman" w:cs="Times New Roman"/>
          <w:i w:val="0"/>
          <w:iCs w:val="0"/>
          <w:smallCaps w:val="0"/>
          <w:spacing w:val="0"/>
        </w:rPr>
        <w:t>ubsection</w:t>
      </w:r>
      <w:r w:rsidR="00660FBF" w:rsidRPr="004F6D0B">
        <w:rPr>
          <w:rStyle w:val="BookTitle"/>
          <w:rFonts w:ascii="Times New Roman" w:hAnsi="Times New Roman" w:cs="Times New Roman"/>
          <w:i w:val="0"/>
          <w:iCs w:val="0"/>
          <w:smallCaps w:val="0"/>
          <w:spacing w:val="0"/>
        </w:rPr>
        <w:t xml:space="preserve"> 13(3) </w:t>
      </w:r>
      <w:r w:rsidR="00A8006E" w:rsidRPr="004F6D0B">
        <w:rPr>
          <w:rStyle w:val="BookTitle"/>
          <w:rFonts w:ascii="Times New Roman" w:hAnsi="Times New Roman" w:cs="Times New Roman"/>
          <w:i w:val="0"/>
          <w:iCs w:val="0"/>
          <w:smallCaps w:val="0"/>
          <w:spacing w:val="0"/>
        </w:rPr>
        <w:t xml:space="preserve">of </w:t>
      </w:r>
      <w:r w:rsidRPr="004F6D0B">
        <w:rPr>
          <w:rStyle w:val="BookTitle"/>
          <w:rFonts w:ascii="Times New Roman" w:hAnsi="Times New Roman" w:cs="Times New Roman"/>
          <w:i w:val="0"/>
          <w:iCs w:val="0"/>
          <w:smallCaps w:val="0"/>
          <w:spacing w:val="0"/>
        </w:rPr>
        <w:t xml:space="preserve">the </w:t>
      </w:r>
      <w:r w:rsidR="00B55A66" w:rsidRPr="004F6D0B">
        <w:rPr>
          <w:rStyle w:val="BookTitle"/>
          <w:rFonts w:ascii="Times New Roman" w:hAnsi="Times New Roman" w:cs="Times New Roman"/>
          <w:iCs w:val="0"/>
          <w:smallCaps w:val="0"/>
          <w:spacing w:val="0"/>
        </w:rPr>
        <w:t xml:space="preserve">Workplace Gender Equality </w:t>
      </w:r>
      <w:r w:rsidRPr="004F6D0B">
        <w:rPr>
          <w:rStyle w:val="BookTitle"/>
          <w:rFonts w:ascii="Times New Roman" w:hAnsi="Times New Roman" w:cs="Times New Roman"/>
          <w:iCs w:val="0"/>
          <w:smallCaps w:val="0"/>
          <w:spacing w:val="0"/>
        </w:rPr>
        <w:t>Act</w:t>
      </w:r>
      <w:r w:rsidR="00B55A66" w:rsidRPr="004F6D0B">
        <w:rPr>
          <w:rStyle w:val="BookTitle"/>
          <w:rFonts w:ascii="Times New Roman" w:hAnsi="Times New Roman" w:cs="Times New Roman"/>
          <w:iCs w:val="0"/>
          <w:smallCaps w:val="0"/>
          <w:spacing w:val="0"/>
        </w:rPr>
        <w:t xml:space="preserve"> 2012</w:t>
      </w:r>
      <w:r w:rsidR="00B55A66" w:rsidRPr="004F6D0B">
        <w:rPr>
          <w:rStyle w:val="BookTitle"/>
          <w:rFonts w:ascii="Times New Roman" w:hAnsi="Times New Roman" w:cs="Times New Roman"/>
          <w:i w:val="0"/>
          <w:iCs w:val="0"/>
          <w:smallCaps w:val="0"/>
          <w:spacing w:val="0"/>
        </w:rPr>
        <w:t xml:space="preserve"> (the Act)</w:t>
      </w:r>
      <w:r w:rsidRPr="004F6D0B">
        <w:rPr>
          <w:rStyle w:val="BookTitle"/>
          <w:rFonts w:ascii="Times New Roman" w:hAnsi="Times New Roman" w:cs="Times New Roman"/>
          <w:i w:val="0"/>
          <w:iCs w:val="0"/>
          <w:smallCaps w:val="0"/>
          <w:spacing w:val="0"/>
        </w:rPr>
        <w:t xml:space="preserve">.  Subsection </w:t>
      </w:r>
      <w:r w:rsidR="00660FBF" w:rsidRPr="004F6D0B">
        <w:rPr>
          <w:rStyle w:val="BookTitle"/>
          <w:rFonts w:ascii="Times New Roman" w:hAnsi="Times New Roman" w:cs="Times New Roman"/>
          <w:i w:val="0"/>
          <w:iCs w:val="0"/>
          <w:smallCaps w:val="0"/>
          <w:spacing w:val="0"/>
        </w:rPr>
        <w:t>13(3</w:t>
      </w:r>
      <w:r w:rsidRPr="004F6D0B">
        <w:rPr>
          <w:rStyle w:val="BookTitle"/>
          <w:rFonts w:ascii="Times New Roman" w:hAnsi="Times New Roman" w:cs="Times New Roman"/>
          <w:i w:val="0"/>
          <w:iCs w:val="0"/>
          <w:smallCaps w:val="0"/>
          <w:spacing w:val="0"/>
        </w:rPr>
        <w:t xml:space="preserve">) provides that </w:t>
      </w:r>
      <w:r w:rsidR="00660FBF" w:rsidRPr="004F6D0B">
        <w:rPr>
          <w:rStyle w:val="BookTitle"/>
          <w:rFonts w:ascii="Times New Roman" w:hAnsi="Times New Roman" w:cs="Times New Roman"/>
          <w:i w:val="0"/>
          <w:iCs w:val="0"/>
          <w:smallCaps w:val="0"/>
          <w:spacing w:val="0"/>
        </w:rPr>
        <w:t>the Minister must, by legislative instrument, specify matters in relation to e</w:t>
      </w:r>
      <w:r w:rsidR="00CA4856" w:rsidRPr="004F6D0B">
        <w:rPr>
          <w:rStyle w:val="BookTitle"/>
          <w:rFonts w:ascii="Times New Roman" w:hAnsi="Times New Roman" w:cs="Times New Roman"/>
          <w:i w:val="0"/>
          <w:iCs w:val="0"/>
          <w:smallCaps w:val="0"/>
          <w:spacing w:val="0"/>
        </w:rPr>
        <w:t xml:space="preserve">ach </w:t>
      </w:r>
      <w:proofErr w:type="spellStart"/>
      <w:r w:rsidR="0052701B">
        <w:rPr>
          <w:rStyle w:val="BookTitle"/>
          <w:rFonts w:ascii="Times New Roman" w:hAnsi="Times New Roman" w:cs="Times New Roman"/>
          <w:i w:val="0"/>
          <w:iCs w:val="0"/>
          <w:smallCaps w:val="0"/>
          <w:spacing w:val="0"/>
        </w:rPr>
        <w:t>GEI</w:t>
      </w:r>
      <w:proofErr w:type="spellEnd"/>
      <w:r w:rsidR="009A441C">
        <w:rPr>
          <w:rStyle w:val="BookTitle"/>
          <w:rFonts w:ascii="Times New Roman" w:hAnsi="Times New Roman" w:cs="Times New Roman"/>
          <w:i w:val="0"/>
          <w:iCs w:val="0"/>
          <w:smallCaps w:val="0"/>
          <w:spacing w:val="0"/>
        </w:rPr>
        <w:t xml:space="preserve"> that relevant employers must report on in their public report</w:t>
      </w:r>
      <w:r w:rsidR="00CA4856" w:rsidRPr="004F6D0B">
        <w:rPr>
          <w:rStyle w:val="BookTitle"/>
          <w:rFonts w:ascii="Times New Roman" w:hAnsi="Times New Roman" w:cs="Times New Roman"/>
          <w:i w:val="0"/>
          <w:iCs w:val="0"/>
          <w:smallCaps w:val="0"/>
          <w:spacing w:val="0"/>
        </w:rPr>
        <w:t>.</w:t>
      </w:r>
      <w:r w:rsidR="004F6D0B" w:rsidRPr="004F6D0B">
        <w:rPr>
          <w:rStyle w:val="BookTitle"/>
          <w:rFonts w:ascii="Times New Roman" w:hAnsi="Times New Roman" w:cs="Times New Roman"/>
          <w:i w:val="0"/>
          <w:iCs w:val="0"/>
          <w:smallCaps w:val="0"/>
          <w:spacing w:val="0"/>
        </w:rPr>
        <w:t xml:space="preserve"> </w:t>
      </w:r>
    </w:p>
    <w:p w:rsidR="006955F3" w:rsidRPr="004F6D0B" w:rsidRDefault="006955F3" w:rsidP="0052701B">
      <w:pPr>
        <w:spacing w:after="0" w:line="240" w:lineRule="auto"/>
        <w:rPr>
          <w:rStyle w:val="BookTitle"/>
          <w:rFonts w:ascii="Times New Roman" w:hAnsi="Times New Roman" w:cs="Times New Roman"/>
          <w:i w:val="0"/>
          <w:iCs w:val="0"/>
          <w:smallCaps w:val="0"/>
          <w:spacing w:val="0"/>
        </w:rPr>
      </w:pPr>
    </w:p>
    <w:p w:rsidR="0071791A" w:rsidRDefault="00C307C3" w:rsidP="0052701B">
      <w:pPr>
        <w:spacing w:after="0" w:line="240" w:lineRule="auto"/>
        <w:rPr>
          <w:rStyle w:val="BookTitle"/>
          <w:rFonts w:ascii="Times New Roman" w:hAnsi="Times New Roman" w:cs="Times New Roman"/>
          <w:i w:val="0"/>
          <w:iCs w:val="0"/>
          <w:smallCaps w:val="0"/>
          <w:spacing w:val="0"/>
        </w:rPr>
      </w:pPr>
      <w:r w:rsidRPr="004F6D0B">
        <w:rPr>
          <w:rStyle w:val="BookTitle"/>
          <w:rFonts w:ascii="Times New Roman" w:hAnsi="Times New Roman" w:cs="Times New Roman"/>
          <w:i w:val="0"/>
          <w:iCs w:val="0"/>
          <w:smallCaps w:val="0"/>
          <w:spacing w:val="0"/>
        </w:rPr>
        <w:t xml:space="preserve">Under the Act, </w:t>
      </w:r>
      <w:r w:rsidR="00976D78" w:rsidRPr="004F6D0B">
        <w:rPr>
          <w:rStyle w:val="BookTitle"/>
          <w:rFonts w:ascii="Times New Roman" w:hAnsi="Times New Roman" w:cs="Times New Roman"/>
          <w:i w:val="0"/>
          <w:iCs w:val="0"/>
          <w:smallCaps w:val="0"/>
          <w:spacing w:val="0"/>
        </w:rPr>
        <w:t>relevant employer</w:t>
      </w:r>
      <w:r w:rsidR="00587026" w:rsidRPr="004F6D0B">
        <w:rPr>
          <w:rStyle w:val="BookTitle"/>
          <w:rFonts w:ascii="Times New Roman" w:hAnsi="Times New Roman" w:cs="Times New Roman"/>
          <w:i w:val="0"/>
          <w:iCs w:val="0"/>
          <w:smallCaps w:val="0"/>
          <w:spacing w:val="0"/>
        </w:rPr>
        <w:t xml:space="preserve">s </w:t>
      </w:r>
      <w:r w:rsidR="00976D78" w:rsidRPr="004F6D0B">
        <w:rPr>
          <w:rStyle w:val="BookTitle"/>
          <w:rFonts w:ascii="Times New Roman" w:hAnsi="Times New Roman" w:cs="Times New Roman"/>
          <w:i w:val="0"/>
          <w:iCs w:val="0"/>
          <w:smallCaps w:val="0"/>
          <w:spacing w:val="0"/>
        </w:rPr>
        <w:t xml:space="preserve">must </w:t>
      </w:r>
      <w:r w:rsidR="00587026" w:rsidRPr="004F6D0B">
        <w:rPr>
          <w:rStyle w:val="BookTitle"/>
          <w:rFonts w:ascii="Times New Roman" w:hAnsi="Times New Roman" w:cs="Times New Roman"/>
          <w:i w:val="0"/>
          <w:iCs w:val="0"/>
          <w:smallCaps w:val="0"/>
          <w:spacing w:val="0"/>
        </w:rPr>
        <w:t xml:space="preserve">lodge </w:t>
      </w:r>
      <w:r w:rsidR="00976D78" w:rsidRPr="004F6D0B">
        <w:rPr>
          <w:rStyle w:val="BookTitle"/>
          <w:rFonts w:ascii="Times New Roman" w:hAnsi="Times New Roman" w:cs="Times New Roman"/>
          <w:i w:val="0"/>
          <w:iCs w:val="0"/>
          <w:smallCaps w:val="0"/>
          <w:spacing w:val="0"/>
        </w:rPr>
        <w:t xml:space="preserve">a report </w:t>
      </w:r>
      <w:r w:rsidR="009F6CAB" w:rsidRPr="004F6D0B">
        <w:rPr>
          <w:rStyle w:val="BookTitle"/>
          <w:rFonts w:ascii="Times New Roman" w:hAnsi="Times New Roman" w:cs="Times New Roman"/>
          <w:i w:val="0"/>
          <w:iCs w:val="0"/>
          <w:smallCaps w:val="0"/>
          <w:spacing w:val="0"/>
        </w:rPr>
        <w:t xml:space="preserve">containing information relating to the employer and to the </w:t>
      </w:r>
      <w:proofErr w:type="spellStart"/>
      <w:r w:rsidR="00897EE6">
        <w:rPr>
          <w:rStyle w:val="BookTitle"/>
          <w:rFonts w:ascii="Times New Roman" w:hAnsi="Times New Roman" w:cs="Times New Roman"/>
          <w:i w:val="0"/>
          <w:iCs w:val="0"/>
          <w:smallCaps w:val="0"/>
          <w:spacing w:val="0"/>
        </w:rPr>
        <w:t>GEIs</w:t>
      </w:r>
      <w:proofErr w:type="spellEnd"/>
      <w:r w:rsidR="00EF6BF8" w:rsidRPr="004F6D0B">
        <w:rPr>
          <w:rStyle w:val="BookTitle"/>
          <w:rFonts w:ascii="Times New Roman" w:hAnsi="Times New Roman" w:cs="Times New Roman"/>
          <w:i w:val="0"/>
          <w:iCs w:val="0"/>
          <w:smallCaps w:val="0"/>
          <w:spacing w:val="0"/>
        </w:rPr>
        <w:t xml:space="preserve"> </w:t>
      </w:r>
      <w:r w:rsidR="00335E68" w:rsidRPr="004F6D0B">
        <w:rPr>
          <w:rStyle w:val="BookTitle"/>
          <w:rFonts w:ascii="Times New Roman" w:hAnsi="Times New Roman" w:cs="Times New Roman"/>
          <w:i w:val="0"/>
          <w:iCs w:val="0"/>
          <w:smallCaps w:val="0"/>
          <w:spacing w:val="0"/>
        </w:rPr>
        <w:t>for each annual reporting period</w:t>
      </w:r>
      <w:r w:rsidRPr="004F6D0B">
        <w:rPr>
          <w:rStyle w:val="BookTitle"/>
          <w:rFonts w:ascii="Times New Roman" w:hAnsi="Times New Roman" w:cs="Times New Roman"/>
          <w:i w:val="0"/>
          <w:iCs w:val="0"/>
          <w:smallCaps w:val="0"/>
          <w:spacing w:val="0"/>
        </w:rPr>
        <w:t xml:space="preserve">.  </w:t>
      </w:r>
      <w:r w:rsidR="00D05A96" w:rsidRPr="004F6D0B">
        <w:rPr>
          <w:rStyle w:val="BookTitle"/>
          <w:rFonts w:ascii="Times New Roman" w:hAnsi="Times New Roman" w:cs="Times New Roman"/>
          <w:i w:val="0"/>
          <w:iCs w:val="0"/>
          <w:smallCaps w:val="0"/>
          <w:spacing w:val="0"/>
        </w:rPr>
        <w:t xml:space="preserve">A report lodged under the Act must contain details of </w:t>
      </w:r>
      <w:r w:rsidR="009B44EE" w:rsidRPr="004F6D0B">
        <w:rPr>
          <w:rStyle w:val="BookTitle"/>
          <w:rFonts w:ascii="Times New Roman" w:hAnsi="Times New Roman" w:cs="Times New Roman"/>
          <w:i w:val="0"/>
          <w:iCs w:val="0"/>
          <w:smallCaps w:val="0"/>
          <w:spacing w:val="0"/>
        </w:rPr>
        <w:t>the matters specified in the Principal</w:t>
      </w:r>
      <w:r w:rsidR="00D05A96" w:rsidRPr="004F6D0B">
        <w:rPr>
          <w:rStyle w:val="BookTitle"/>
          <w:rFonts w:ascii="Times New Roman" w:hAnsi="Times New Roman" w:cs="Times New Roman"/>
          <w:i w:val="0"/>
          <w:iCs w:val="0"/>
          <w:smallCaps w:val="0"/>
          <w:spacing w:val="0"/>
        </w:rPr>
        <w:t xml:space="preserve"> Instrument.  </w:t>
      </w:r>
      <w:r w:rsidR="00B37075" w:rsidRPr="004F6D0B">
        <w:rPr>
          <w:rStyle w:val="BookTitle"/>
          <w:rFonts w:ascii="Times New Roman" w:hAnsi="Times New Roman" w:cs="Times New Roman"/>
          <w:i w:val="0"/>
          <w:iCs w:val="0"/>
          <w:smallCaps w:val="0"/>
          <w:spacing w:val="0"/>
        </w:rPr>
        <w:t xml:space="preserve">Reporting </w:t>
      </w:r>
      <w:r w:rsidR="00C575E0" w:rsidRPr="004F6D0B">
        <w:rPr>
          <w:rStyle w:val="BookTitle"/>
          <w:rFonts w:ascii="Times New Roman" w:hAnsi="Times New Roman" w:cs="Times New Roman"/>
          <w:i w:val="0"/>
          <w:iCs w:val="0"/>
          <w:smallCaps w:val="0"/>
          <w:spacing w:val="0"/>
        </w:rPr>
        <w:t xml:space="preserve">is intended to provide employers with the information to better understand the gender equality characteristics of their workplaces and </w:t>
      </w:r>
      <w:r w:rsidR="00B37075" w:rsidRPr="004F6D0B">
        <w:rPr>
          <w:rStyle w:val="BookTitle"/>
          <w:rFonts w:ascii="Times New Roman" w:hAnsi="Times New Roman" w:cs="Times New Roman"/>
          <w:i w:val="0"/>
          <w:iCs w:val="0"/>
          <w:smallCaps w:val="0"/>
          <w:spacing w:val="0"/>
        </w:rPr>
        <w:t xml:space="preserve">to assist </w:t>
      </w:r>
      <w:r w:rsidR="001C255B" w:rsidRPr="004F6D0B">
        <w:rPr>
          <w:rStyle w:val="BookTitle"/>
          <w:rFonts w:ascii="Times New Roman" w:hAnsi="Times New Roman" w:cs="Times New Roman"/>
          <w:i w:val="0"/>
          <w:iCs w:val="0"/>
          <w:smallCaps w:val="0"/>
          <w:spacing w:val="0"/>
        </w:rPr>
        <w:t xml:space="preserve">the </w:t>
      </w:r>
      <w:r w:rsidR="00B55A66" w:rsidRPr="004F6D0B">
        <w:rPr>
          <w:rStyle w:val="BookTitle"/>
          <w:rFonts w:ascii="Times New Roman" w:hAnsi="Times New Roman" w:cs="Times New Roman"/>
          <w:i w:val="0"/>
          <w:iCs w:val="0"/>
          <w:smallCaps w:val="0"/>
          <w:spacing w:val="0"/>
        </w:rPr>
        <w:t xml:space="preserve">Workplace Gender Equality </w:t>
      </w:r>
      <w:r w:rsidR="001C255B" w:rsidRPr="004F6D0B">
        <w:rPr>
          <w:rStyle w:val="BookTitle"/>
          <w:rFonts w:ascii="Times New Roman" w:hAnsi="Times New Roman" w:cs="Times New Roman"/>
          <w:i w:val="0"/>
          <w:iCs w:val="0"/>
          <w:smallCaps w:val="0"/>
          <w:spacing w:val="0"/>
        </w:rPr>
        <w:t xml:space="preserve">Agency </w:t>
      </w:r>
      <w:r w:rsidR="00B55A66" w:rsidRPr="004F6D0B">
        <w:rPr>
          <w:rStyle w:val="BookTitle"/>
          <w:rFonts w:ascii="Times New Roman" w:hAnsi="Times New Roman" w:cs="Times New Roman"/>
          <w:i w:val="0"/>
          <w:iCs w:val="0"/>
          <w:smallCaps w:val="0"/>
          <w:spacing w:val="0"/>
        </w:rPr>
        <w:t xml:space="preserve">(the Agency) </w:t>
      </w:r>
      <w:r w:rsidR="00B37075" w:rsidRPr="004F6D0B">
        <w:rPr>
          <w:rStyle w:val="BookTitle"/>
          <w:rFonts w:ascii="Times New Roman" w:hAnsi="Times New Roman" w:cs="Times New Roman"/>
          <w:i w:val="0"/>
          <w:iCs w:val="0"/>
          <w:smallCaps w:val="0"/>
          <w:spacing w:val="0"/>
        </w:rPr>
        <w:t xml:space="preserve">to promote and improve gender equality </w:t>
      </w:r>
      <w:r w:rsidR="00C575E0" w:rsidRPr="004F6D0B">
        <w:rPr>
          <w:rStyle w:val="BookTitle"/>
          <w:rFonts w:ascii="Times New Roman" w:hAnsi="Times New Roman" w:cs="Times New Roman"/>
          <w:i w:val="0"/>
          <w:iCs w:val="0"/>
          <w:smallCaps w:val="0"/>
          <w:spacing w:val="0"/>
        </w:rPr>
        <w:t>outcomes.</w:t>
      </w:r>
      <w:r w:rsidR="001C255B" w:rsidRPr="004F6D0B">
        <w:rPr>
          <w:rStyle w:val="BookTitle"/>
          <w:rFonts w:ascii="Times New Roman" w:hAnsi="Times New Roman" w:cs="Times New Roman"/>
          <w:i w:val="0"/>
          <w:iCs w:val="0"/>
          <w:smallCaps w:val="0"/>
          <w:spacing w:val="0"/>
        </w:rPr>
        <w:t xml:space="preserve">  Reporting is also used to assist the Agency in identifying compliance with </w:t>
      </w:r>
      <w:r w:rsidR="00BB26EE" w:rsidRPr="004F6D0B">
        <w:rPr>
          <w:rStyle w:val="BookTitle"/>
          <w:rFonts w:ascii="Times New Roman" w:hAnsi="Times New Roman" w:cs="Times New Roman"/>
          <w:i w:val="0"/>
          <w:iCs w:val="0"/>
          <w:smallCaps w:val="0"/>
          <w:spacing w:val="0"/>
        </w:rPr>
        <w:t xml:space="preserve">the requirements under the Act, including the </w:t>
      </w:r>
      <w:r w:rsidR="001C255B" w:rsidRPr="004F6D0B">
        <w:rPr>
          <w:rStyle w:val="BookTitle"/>
          <w:rFonts w:ascii="Times New Roman" w:hAnsi="Times New Roman" w:cs="Times New Roman"/>
          <w:i w:val="0"/>
          <w:iCs w:val="0"/>
          <w:smallCaps w:val="0"/>
          <w:spacing w:val="0"/>
        </w:rPr>
        <w:t xml:space="preserve">applicable </w:t>
      </w:r>
      <w:r w:rsidR="00000388" w:rsidRPr="004F6D0B">
        <w:rPr>
          <w:rStyle w:val="BookTitle"/>
          <w:rFonts w:ascii="Times New Roman" w:hAnsi="Times New Roman" w:cs="Times New Roman"/>
          <w:i w:val="0"/>
          <w:iCs w:val="0"/>
          <w:smallCaps w:val="0"/>
          <w:spacing w:val="0"/>
        </w:rPr>
        <w:t>m</w:t>
      </w:r>
      <w:r w:rsidR="001C255B" w:rsidRPr="004F6D0B">
        <w:rPr>
          <w:rStyle w:val="BookTitle"/>
          <w:rFonts w:ascii="Times New Roman" w:hAnsi="Times New Roman" w:cs="Times New Roman"/>
          <w:i w:val="0"/>
          <w:iCs w:val="0"/>
          <w:smallCaps w:val="0"/>
          <w:spacing w:val="0"/>
        </w:rPr>
        <w:t xml:space="preserve">inimum </w:t>
      </w:r>
      <w:r w:rsidR="00000388" w:rsidRPr="004F6D0B">
        <w:rPr>
          <w:rStyle w:val="BookTitle"/>
          <w:rFonts w:ascii="Times New Roman" w:hAnsi="Times New Roman" w:cs="Times New Roman"/>
          <w:i w:val="0"/>
          <w:iCs w:val="0"/>
          <w:smallCaps w:val="0"/>
          <w:spacing w:val="0"/>
        </w:rPr>
        <w:t>s</w:t>
      </w:r>
      <w:r w:rsidR="001C255B" w:rsidRPr="004F6D0B">
        <w:rPr>
          <w:rStyle w:val="BookTitle"/>
          <w:rFonts w:ascii="Times New Roman" w:hAnsi="Times New Roman" w:cs="Times New Roman"/>
          <w:i w:val="0"/>
          <w:iCs w:val="0"/>
          <w:smallCaps w:val="0"/>
          <w:spacing w:val="0"/>
        </w:rPr>
        <w:t>tandards</w:t>
      </w:r>
      <w:r w:rsidR="00125EA6">
        <w:rPr>
          <w:rStyle w:val="BookTitle"/>
          <w:rFonts w:ascii="Times New Roman" w:hAnsi="Times New Roman" w:cs="Times New Roman"/>
          <w:i w:val="0"/>
          <w:iCs w:val="0"/>
          <w:smallCaps w:val="0"/>
          <w:spacing w:val="0"/>
        </w:rPr>
        <w:t xml:space="preserve"> (as prescribed by the Minister under section 19 of the Act)</w:t>
      </w:r>
      <w:r w:rsidR="001C255B" w:rsidRPr="004F6D0B">
        <w:rPr>
          <w:rStyle w:val="BookTitle"/>
          <w:rFonts w:ascii="Times New Roman" w:hAnsi="Times New Roman" w:cs="Times New Roman"/>
          <w:i w:val="0"/>
          <w:iCs w:val="0"/>
          <w:smallCaps w:val="0"/>
          <w:spacing w:val="0"/>
        </w:rPr>
        <w:t>.</w:t>
      </w:r>
      <w:r w:rsidR="00A72BF3">
        <w:rPr>
          <w:rStyle w:val="BookTitle"/>
          <w:rFonts w:ascii="Times New Roman" w:hAnsi="Times New Roman" w:cs="Times New Roman"/>
          <w:i w:val="0"/>
          <w:iCs w:val="0"/>
          <w:smallCaps w:val="0"/>
          <w:spacing w:val="0"/>
        </w:rPr>
        <w:br/>
      </w:r>
      <w:r w:rsidR="0071791A">
        <w:rPr>
          <w:rStyle w:val="BookTitle"/>
          <w:rFonts w:ascii="Times New Roman" w:hAnsi="Times New Roman" w:cs="Times New Roman"/>
          <w:i w:val="0"/>
          <w:iCs w:val="0"/>
          <w:smallCaps w:val="0"/>
          <w:spacing w:val="0"/>
        </w:rPr>
        <w:lastRenderedPageBreak/>
        <w:br/>
      </w:r>
      <w:r w:rsidR="00745B7C">
        <w:rPr>
          <w:rStyle w:val="BookTitle"/>
          <w:rFonts w:ascii="Times New Roman" w:hAnsi="Times New Roman" w:cs="Times New Roman"/>
          <w:i w:val="0"/>
          <w:iCs w:val="0"/>
          <w:smallCaps w:val="0"/>
          <w:spacing w:val="0"/>
        </w:rPr>
        <w:t>Schedule 1 to the Principal Instrument</w:t>
      </w:r>
      <w:r w:rsidR="00A24286">
        <w:rPr>
          <w:rStyle w:val="BookTitle"/>
          <w:rFonts w:ascii="Times New Roman" w:hAnsi="Times New Roman" w:cs="Times New Roman"/>
          <w:i w:val="0"/>
          <w:iCs w:val="0"/>
          <w:smallCaps w:val="0"/>
          <w:spacing w:val="0"/>
        </w:rPr>
        <w:t xml:space="preserve"> (in its current form)</w:t>
      </w:r>
      <w:r w:rsidR="00310E1F">
        <w:rPr>
          <w:rStyle w:val="BookTitle"/>
          <w:rFonts w:ascii="Times New Roman" w:hAnsi="Times New Roman" w:cs="Times New Roman"/>
          <w:i w:val="0"/>
          <w:iCs w:val="0"/>
          <w:smallCaps w:val="0"/>
          <w:spacing w:val="0"/>
        </w:rPr>
        <w:t xml:space="preserve"> </w:t>
      </w:r>
      <w:r w:rsidR="00745B7C">
        <w:rPr>
          <w:rStyle w:val="BookTitle"/>
          <w:rFonts w:ascii="Times New Roman" w:hAnsi="Times New Roman" w:cs="Times New Roman"/>
          <w:i w:val="0"/>
          <w:iCs w:val="0"/>
          <w:smallCaps w:val="0"/>
          <w:spacing w:val="0"/>
        </w:rPr>
        <w:t>set</w:t>
      </w:r>
      <w:r w:rsidR="00F40281">
        <w:rPr>
          <w:rStyle w:val="BookTitle"/>
          <w:rFonts w:ascii="Times New Roman" w:hAnsi="Times New Roman" w:cs="Times New Roman"/>
          <w:i w:val="0"/>
          <w:iCs w:val="0"/>
          <w:smallCaps w:val="0"/>
          <w:spacing w:val="0"/>
        </w:rPr>
        <w:t>s</w:t>
      </w:r>
      <w:r w:rsidR="00745B7C">
        <w:rPr>
          <w:rStyle w:val="BookTitle"/>
          <w:rFonts w:ascii="Times New Roman" w:hAnsi="Times New Roman" w:cs="Times New Roman"/>
          <w:i w:val="0"/>
          <w:iCs w:val="0"/>
          <w:smallCaps w:val="0"/>
          <w:spacing w:val="0"/>
        </w:rPr>
        <w:t xml:space="preserve"> out the </w:t>
      </w:r>
      <w:r w:rsidR="00A24286">
        <w:rPr>
          <w:rStyle w:val="BookTitle"/>
          <w:rFonts w:ascii="Times New Roman" w:hAnsi="Times New Roman" w:cs="Times New Roman"/>
          <w:i w:val="0"/>
          <w:iCs w:val="0"/>
          <w:smallCaps w:val="0"/>
          <w:spacing w:val="0"/>
        </w:rPr>
        <w:t>existing</w:t>
      </w:r>
      <w:r w:rsidR="00745B7C">
        <w:rPr>
          <w:rStyle w:val="BookTitle"/>
          <w:rFonts w:ascii="Times New Roman" w:hAnsi="Times New Roman" w:cs="Times New Roman"/>
          <w:i w:val="0"/>
          <w:iCs w:val="0"/>
          <w:smallCaps w:val="0"/>
          <w:spacing w:val="0"/>
        </w:rPr>
        <w:t xml:space="preserve"> reporting requirements. </w:t>
      </w:r>
      <w:r w:rsidR="0071791A">
        <w:rPr>
          <w:rStyle w:val="BookTitle"/>
          <w:rFonts w:ascii="Times New Roman" w:hAnsi="Times New Roman" w:cs="Times New Roman"/>
          <w:i w:val="0"/>
          <w:iCs w:val="0"/>
          <w:smallCaps w:val="0"/>
          <w:spacing w:val="0"/>
        </w:rPr>
        <w:t>The effect of Schedule </w:t>
      </w:r>
      <w:r w:rsidR="0071791A" w:rsidRPr="004F6D0B">
        <w:rPr>
          <w:rStyle w:val="BookTitle"/>
          <w:rFonts w:ascii="Times New Roman" w:hAnsi="Times New Roman" w:cs="Times New Roman"/>
          <w:i w:val="0"/>
          <w:iCs w:val="0"/>
          <w:smallCaps w:val="0"/>
          <w:spacing w:val="0"/>
        </w:rPr>
        <w:t xml:space="preserve">2 </w:t>
      </w:r>
      <w:r w:rsidR="0071791A">
        <w:rPr>
          <w:rStyle w:val="BookTitle"/>
          <w:rFonts w:ascii="Times New Roman" w:hAnsi="Times New Roman" w:cs="Times New Roman"/>
          <w:i w:val="0"/>
          <w:iCs w:val="0"/>
          <w:smallCaps w:val="0"/>
          <w:spacing w:val="0"/>
        </w:rPr>
        <w:t xml:space="preserve">to </w:t>
      </w:r>
      <w:r w:rsidR="0071791A" w:rsidRPr="004F6D0B">
        <w:rPr>
          <w:rStyle w:val="BookTitle"/>
          <w:rFonts w:ascii="Times New Roman" w:hAnsi="Times New Roman" w:cs="Times New Roman"/>
          <w:i w:val="0"/>
          <w:iCs w:val="0"/>
          <w:smallCaps w:val="0"/>
          <w:spacing w:val="0"/>
        </w:rPr>
        <w:t xml:space="preserve">the </w:t>
      </w:r>
      <w:r w:rsidR="0071791A">
        <w:rPr>
          <w:rStyle w:val="BookTitle"/>
          <w:rFonts w:ascii="Times New Roman" w:hAnsi="Times New Roman" w:cs="Times New Roman"/>
          <w:i w:val="0"/>
          <w:iCs w:val="0"/>
          <w:smallCaps w:val="0"/>
          <w:spacing w:val="0"/>
        </w:rPr>
        <w:t xml:space="preserve">Principal </w:t>
      </w:r>
      <w:r w:rsidR="0071791A" w:rsidRPr="004F6D0B">
        <w:rPr>
          <w:rStyle w:val="BookTitle"/>
          <w:rFonts w:ascii="Times New Roman" w:hAnsi="Times New Roman" w:cs="Times New Roman"/>
          <w:i w:val="0"/>
          <w:iCs w:val="0"/>
          <w:smallCaps w:val="0"/>
          <w:spacing w:val="0"/>
        </w:rPr>
        <w:t xml:space="preserve">Instrument </w:t>
      </w:r>
      <w:r w:rsidR="00A24286">
        <w:rPr>
          <w:rStyle w:val="BookTitle"/>
          <w:rFonts w:ascii="Times New Roman" w:hAnsi="Times New Roman" w:cs="Times New Roman"/>
          <w:i w:val="0"/>
          <w:iCs w:val="0"/>
          <w:smallCaps w:val="0"/>
          <w:spacing w:val="0"/>
        </w:rPr>
        <w:t xml:space="preserve">(in its current form) </w:t>
      </w:r>
      <w:r w:rsidR="0071791A" w:rsidRPr="004F6D0B">
        <w:rPr>
          <w:rStyle w:val="BookTitle"/>
          <w:rFonts w:ascii="Times New Roman" w:hAnsi="Times New Roman" w:cs="Times New Roman"/>
          <w:i w:val="0"/>
          <w:iCs w:val="0"/>
          <w:smallCaps w:val="0"/>
          <w:spacing w:val="0"/>
        </w:rPr>
        <w:t>is</w:t>
      </w:r>
      <w:r w:rsidR="0091473E">
        <w:rPr>
          <w:rStyle w:val="BookTitle"/>
          <w:rFonts w:ascii="Times New Roman" w:hAnsi="Times New Roman" w:cs="Times New Roman"/>
          <w:i w:val="0"/>
          <w:iCs w:val="0"/>
          <w:smallCaps w:val="0"/>
          <w:spacing w:val="0"/>
        </w:rPr>
        <w:t>, by amending Schedule 1,</w:t>
      </w:r>
      <w:r w:rsidR="0071791A" w:rsidRPr="004F6D0B">
        <w:rPr>
          <w:rStyle w:val="BookTitle"/>
          <w:rFonts w:ascii="Times New Roman" w:hAnsi="Times New Roman" w:cs="Times New Roman"/>
          <w:i w:val="0"/>
          <w:iCs w:val="0"/>
          <w:smallCaps w:val="0"/>
          <w:spacing w:val="0"/>
        </w:rPr>
        <w:t xml:space="preserve"> to expand the number of matters that relevant employers must include in their annual reports under the Act</w:t>
      </w:r>
      <w:r w:rsidR="0091473E">
        <w:rPr>
          <w:rStyle w:val="BookTitle"/>
          <w:rFonts w:ascii="Times New Roman" w:hAnsi="Times New Roman" w:cs="Times New Roman"/>
          <w:i w:val="0"/>
          <w:iCs w:val="0"/>
          <w:smallCaps w:val="0"/>
          <w:spacing w:val="0"/>
        </w:rPr>
        <w:t xml:space="preserve"> by 1 April 2015</w:t>
      </w:r>
      <w:r w:rsidR="0071791A" w:rsidRPr="004F6D0B">
        <w:rPr>
          <w:rStyle w:val="BookTitle"/>
          <w:rFonts w:ascii="Times New Roman" w:hAnsi="Times New Roman" w:cs="Times New Roman"/>
          <w:i w:val="0"/>
          <w:iCs w:val="0"/>
          <w:smallCaps w:val="0"/>
          <w:spacing w:val="0"/>
        </w:rPr>
        <w:t>.  The</w:t>
      </w:r>
      <w:r w:rsidR="0071791A">
        <w:rPr>
          <w:rStyle w:val="BookTitle"/>
          <w:rFonts w:ascii="Times New Roman" w:hAnsi="Times New Roman" w:cs="Times New Roman"/>
          <w:i w:val="0"/>
          <w:iCs w:val="0"/>
          <w:smallCaps w:val="0"/>
          <w:spacing w:val="0"/>
        </w:rPr>
        <w:t xml:space="preserve"> Amending</w:t>
      </w:r>
      <w:r w:rsidR="0071791A" w:rsidRPr="004F6D0B">
        <w:rPr>
          <w:rStyle w:val="BookTitle"/>
          <w:rFonts w:ascii="Times New Roman" w:hAnsi="Times New Roman" w:cs="Times New Roman"/>
          <w:i w:val="0"/>
          <w:iCs w:val="0"/>
          <w:smallCaps w:val="0"/>
          <w:spacing w:val="0"/>
        </w:rPr>
        <w:t xml:space="preserve"> Instrument amends the </w:t>
      </w:r>
      <w:r w:rsidR="0071791A">
        <w:rPr>
          <w:rStyle w:val="BookTitle"/>
          <w:rFonts w:ascii="Times New Roman" w:hAnsi="Times New Roman" w:cs="Times New Roman"/>
          <w:i w:val="0"/>
          <w:iCs w:val="0"/>
          <w:smallCaps w:val="0"/>
          <w:spacing w:val="0"/>
        </w:rPr>
        <w:t>Principal</w:t>
      </w:r>
      <w:r w:rsidR="0071791A" w:rsidRPr="004F6D0B">
        <w:rPr>
          <w:rStyle w:val="BookTitle"/>
          <w:rFonts w:ascii="Times New Roman" w:hAnsi="Times New Roman" w:cs="Times New Roman"/>
          <w:i w:val="0"/>
          <w:iCs w:val="0"/>
          <w:smallCaps w:val="0"/>
          <w:spacing w:val="0"/>
        </w:rPr>
        <w:t xml:space="preserve"> Instrument to</w:t>
      </w:r>
      <w:r w:rsidR="0071791A">
        <w:rPr>
          <w:rStyle w:val="BookTitle"/>
          <w:rFonts w:ascii="Times New Roman" w:hAnsi="Times New Roman" w:cs="Times New Roman"/>
          <w:i w:val="0"/>
          <w:iCs w:val="0"/>
          <w:smallCaps w:val="0"/>
          <w:spacing w:val="0"/>
        </w:rPr>
        <w:t xml:space="preserve"> streamline some of the </w:t>
      </w:r>
      <w:r w:rsidR="00A24286">
        <w:rPr>
          <w:rStyle w:val="BookTitle"/>
          <w:rFonts w:ascii="Times New Roman" w:hAnsi="Times New Roman" w:cs="Times New Roman"/>
          <w:i w:val="0"/>
          <w:iCs w:val="0"/>
          <w:smallCaps w:val="0"/>
          <w:spacing w:val="0"/>
        </w:rPr>
        <w:t>existing</w:t>
      </w:r>
      <w:r w:rsidR="00745B7C">
        <w:rPr>
          <w:rStyle w:val="BookTitle"/>
          <w:rFonts w:ascii="Times New Roman" w:hAnsi="Times New Roman" w:cs="Times New Roman"/>
          <w:i w:val="0"/>
          <w:iCs w:val="0"/>
          <w:smallCaps w:val="0"/>
          <w:spacing w:val="0"/>
        </w:rPr>
        <w:t xml:space="preserve"> and </w:t>
      </w:r>
      <w:r w:rsidR="0071791A">
        <w:rPr>
          <w:rStyle w:val="BookTitle"/>
          <w:rFonts w:ascii="Times New Roman" w:hAnsi="Times New Roman" w:cs="Times New Roman"/>
          <w:i w:val="0"/>
          <w:iCs w:val="0"/>
          <w:smallCaps w:val="0"/>
          <w:spacing w:val="0"/>
        </w:rPr>
        <w:t>additional reporting requirements that were scheduled to commence on 1 April 2015</w:t>
      </w:r>
      <w:r w:rsidR="009A441C">
        <w:rPr>
          <w:rStyle w:val="BookTitle"/>
          <w:rFonts w:ascii="Times New Roman" w:hAnsi="Times New Roman" w:cs="Times New Roman"/>
          <w:i w:val="0"/>
          <w:iCs w:val="0"/>
          <w:smallCaps w:val="0"/>
          <w:spacing w:val="0"/>
        </w:rPr>
        <w:t>,</w:t>
      </w:r>
      <w:r w:rsidR="0071791A">
        <w:rPr>
          <w:rStyle w:val="BookTitle"/>
          <w:rFonts w:ascii="Times New Roman" w:hAnsi="Times New Roman" w:cs="Times New Roman"/>
          <w:i w:val="0"/>
          <w:iCs w:val="0"/>
          <w:smallCaps w:val="0"/>
          <w:spacing w:val="0"/>
        </w:rPr>
        <w:t xml:space="preserve"> and otherwise improve the operation of the Principal Instrument.</w:t>
      </w:r>
      <w:r w:rsidR="0071791A" w:rsidRPr="004F6D0B">
        <w:rPr>
          <w:rStyle w:val="BookTitle"/>
          <w:rFonts w:ascii="Times New Roman" w:hAnsi="Times New Roman" w:cs="Times New Roman"/>
          <w:i w:val="0"/>
          <w:iCs w:val="0"/>
          <w:smallCaps w:val="0"/>
          <w:spacing w:val="0"/>
        </w:rPr>
        <w:t xml:space="preserve"> </w:t>
      </w:r>
      <w:r w:rsidR="0071791A">
        <w:rPr>
          <w:rStyle w:val="BookTitle"/>
          <w:rFonts w:ascii="Times New Roman" w:hAnsi="Times New Roman" w:cs="Times New Roman"/>
          <w:i w:val="0"/>
          <w:iCs w:val="0"/>
          <w:smallCaps w:val="0"/>
          <w:spacing w:val="0"/>
        </w:rPr>
        <w:t xml:space="preserve">These amendments reflect </w:t>
      </w:r>
      <w:r w:rsidR="009A441C">
        <w:rPr>
          <w:rStyle w:val="BookTitle"/>
          <w:rFonts w:ascii="Times New Roman" w:hAnsi="Times New Roman" w:cs="Times New Roman"/>
          <w:i w:val="0"/>
          <w:iCs w:val="0"/>
          <w:smallCaps w:val="0"/>
          <w:spacing w:val="0"/>
        </w:rPr>
        <w:t xml:space="preserve">the </w:t>
      </w:r>
      <w:r w:rsidR="0071791A">
        <w:rPr>
          <w:rStyle w:val="BookTitle"/>
          <w:rFonts w:ascii="Times New Roman" w:hAnsi="Times New Roman" w:cs="Times New Roman"/>
          <w:i w:val="0"/>
          <w:iCs w:val="0"/>
          <w:smallCaps w:val="0"/>
          <w:spacing w:val="0"/>
        </w:rPr>
        <w:t>extensive consultation</w:t>
      </w:r>
      <w:r w:rsidR="009A441C">
        <w:rPr>
          <w:rStyle w:val="BookTitle"/>
          <w:rFonts w:ascii="Times New Roman" w:hAnsi="Times New Roman" w:cs="Times New Roman"/>
          <w:i w:val="0"/>
          <w:iCs w:val="0"/>
          <w:smallCaps w:val="0"/>
          <w:spacing w:val="0"/>
        </w:rPr>
        <w:t xml:space="preserve"> the Department of Employment</w:t>
      </w:r>
      <w:r w:rsidR="009C1ED1">
        <w:rPr>
          <w:rStyle w:val="BookTitle"/>
          <w:rFonts w:ascii="Times New Roman" w:hAnsi="Times New Roman" w:cs="Times New Roman"/>
          <w:i w:val="0"/>
          <w:iCs w:val="0"/>
          <w:smallCaps w:val="0"/>
          <w:spacing w:val="0"/>
        </w:rPr>
        <w:t xml:space="preserve"> (the Department)</w:t>
      </w:r>
      <w:r w:rsidR="009A441C">
        <w:rPr>
          <w:rStyle w:val="BookTitle"/>
          <w:rFonts w:ascii="Times New Roman" w:hAnsi="Times New Roman" w:cs="Times New Roman"/>
          <w:i w:val="0"/>
          <w:iCs w:val="0"/>
          <w:smallCaps w:val="0"/>
          <w:spacing w:val="0"/>
        </w:rPr>
        <w:t xml:space="preserve"> has undertaken</w:t>
      </w:r>
      <w:r w:rsidR="0071791A">
        <w:rPr>
          <w:rStyle w:val="BookTitle"/>
          <w:rFonts w:ascii="Times New Roman" w:hAnsi="Times New Roman" w:cs="Times New Roman"/>
          <w:i w:val="0"/>
          <w:iCs w:val="0"/>
          <w:smallCaps w:val="0"/>
          <w:spacing w:val="0"/>
        </w:rPr>
        <w:t xml:space="preserve"> with the Agency and other stakeholders (see the consultation commentary below).</w:t>
      </w:r>
    </w:p>
    <w:p w:rsidR="00FF1613" w:rsidRPr="004A2736" w:rsidRDefault="0071791A" w:rsidP="0052701B">
      <w:pPr>
        <w:spacing w:after="0" w:line="240" w:lineRule="auto"/>
        <w:rPr>
          <w:rFonts w:ascii="Times New Roman" w:hAnsi="Times New Roman" w:cs="Times New Roman"/>
          <w:lang w:eastAsia="en-AU"/>
        </w:rPr>
      </w:pPr>
      <w:r>
        <w:rPr>
          <w:rStyle w:val="BookTitle"/>
          <w:rFonts w:ascii="Times New Roman" w:hAnsi="Times New Roman" w:cs="Times New Roman"/>
          <w:i w:val="0"/>
          <w:iCs w:val="0"/>
          <w:smallCaps w:val="0"/>
          <w:spacing w:val="0"/>
        </w:rPr>
        <w:br/>
      </w:r>
      <w:r w:rsidR="002A5892" w:rsidRPr="004F6D0B">
        <w:rPr>
          <w:rStyle w:val="BookTitle"/>
          <w:rFonts w:ascii="Times New Roman" w:hAnsi="Times New Roman" w:cs="Times New Roman"/>
          <w:i w:val="0"/>
          <w:iCs w:val="0"/>
          <w:smallCaps w:val="0"/>
          <w:spacing w:val="0"/>
        </w:rPr>
        <w:t xml:space="preserve">The </w:t>
      </w:r>
      <w:r w:rsidR="004F6D0B">
        <w:rPr>
          <w:rStyle w:val="BookTitle"/>
          <w:rFonts w:ascii="Times New Roman" w:hAnsi="Times New Roman" w:cs="Times New Roman"/>
          <w:i w:val="0"/>
          <w:iCs w:val="0"/>
          <w:smallCaps w:val="0"/>
          <w:spacing w:val="0"/>
        </w:rPr>
        <w:t>Principal Instrument</w:t>
      </w:r>
      <w:r w:rsidR="002A5892" w:rsidRPr="004F6D0B">
        <w:rPr>
          <w:rStyle w:val="BookTitle"/>
          <w:rFonts w:ascii="Times New Roman" w:hAnsi="Times New Roman" w:cs="Times New Roman"/>
          <w:i w:val="0"/>
          <w:iCs w:val="0"/>
          <w:smallCaps w:val="0"/>
          <w:spacing w:val="0"/>
        </w:rPr>
        <w:t xml:space="preserve"> </w:t>
      </w:r>
      <w:r w:rsidR="00000388" w:rsidRPr="004F6D0B">
        <w:rPr>
          <w:rStyle w:val="BookTitle"/>
          <w:rFonts w:ascii="Times New Roman" w:hAnsi="Times New Roman" w:cs="Times New Roman"/>
          <w:i w:val="0"/>
          <w:iCs w:val="0"/>
          <w:smallCaps w:val="0"/>
          <w:spacing w:val="0"/>
        </w:rPr>
        <w:t xml:space="preserve">currently </w:t>
      </w:r>
      <w:r w:rsidR="002A5892" w:rsidRPr="004F6D0B">
        <w:rPr>
          <w:rStyle w:val="BookTitle"/>
          <w:rFonts w:ascii="Times New Roman" w:hAnsi="Times New Roman" w:cs="Times New Roman"/>
          <w:i w:val="0"/>
          <w:iCs w:val="0"/>
          <w:smallCaps w:val="0"/>
          <w:spacing w:val="0"/>
        </w:rPr>
        <w:t>provides that</w:t>
      </w:r>
      <w:r w:rsidR="004F6D0B">
        <w:rPr>
          <w:rStyle w:val="BookTitle"/>
          <w:rFonts w:ascii="Times New Roman" w:hAnsi="Times New Roman" w:cs="Times New Roman"/>
          <w:i w:val="0"/>
          <w:iCs w:val="0"/>
          <w:smallCaps w:val="0"/>
          <w:spacing w:val="0"/>
        </w:rPr>
        <w:t xml:space="preserve"> the reporting matters specified in Schedule 1 </w:t>
      </w:r>
      <w:r w:rsidR="00FF1613">
        <w:rPr>
          <w:rStyle w:val="BookTitle"/>
          <w:rFonts w:ascii="Times New Roman" w:hAnsi="Times New Roman" w:cs="Times New Roman"/>
          <w:i w:val="0"/>
          <w:iCs w:val="0"/>
          <w:smallCaps w:val="0"/>
          <w:spacing w:val="0"/>
        </w:rPr>
        <w:t>will be amended by the matters specified in Schedule 2</w:t>
      </w:r>
      <w:r w:rsidR="002A5892" w:rsidRPr="004F6D0B">
        <w:rPr>
          <w:rStyle w:val="BookTitle"/>
          <w:rFonts w:ascii="Times New Roman" w:hAnsi="Times New Roman" w:cs="Times New Roman"/>
          <w:i w:val="0"/>
          <w:iCs w:val="0"/>
          <w:smallCaps w:val="0"/>
          <w:spacing w:val="0"/>
        </w:rPr>
        <w:t xml:space="preserve"> </w:t>
      </w:r>
      <w:r w:rsidR="00FF1613">
        <w:rPr>
          <w:rStyle w:val="BookTitle"/>
          <w:rFonts w:ascii="Times New Roman" w:hAnsi="Times New Roman" w:cs="Times New Roman"/>
          <w:i w:val="0"/>
          <w:iCs w:val="0"/>
          <w:smallCaps w:val="0"/>
          <w:spacing w:val="0"/>
        </w:rPr>
        <w:t xml:space="preserve">with effect from 1 April 2015. </w:t>
      </w:r>
      <w:r w:rsidR="00D43A42">
        <w:rPr>
          <w:rStyle w:val="BookTitle"/>
          <w:rFonts w:ascii="Times New Roman" w:hAnsi="Times New Roman" w:cs="Times New Roman"/>
          <w:i w:val="0"/>
          <w:iCs w:val="0"/>
          <w:smallCaps w:val="0"/>
          <w:spacing w:val="0"/>
        </w:rPr>
        <w:t>This ensures that the changes in reporting requirements under the Principal Instrument only apply from the 2015–16 reporting period. The reporting requirements applicable for the 2014–15 reporting period (i.e. from 1 April 2014 to 31 March 2015) are not altered by the Amending Instrument. This provides certainty and fairness for relevant employers for the respective reporting periods. The amendments are also consistent with subsection 13(4) of the Act, which provides that an instrument (i.e. the Principal Instrument as amended by the Amending Instrument) has no effect in relation to a reporting period unless it is made before the first day of that period (i.e. before 1 April 2015).</w:t>
      </w:r>
      <w:r w:rsidR="00A72BF3">
        <w:rPr>
          <w:rStyle w:val="BookTitle"/>
          <w:rFonts w:ascii="Times New Roman" w:hAnsi="Times New Roman" w:cs="Times New Roman"/>
          <w:i w:val="0"/>
          <w:iCs w:val="0"/>
          <w:smallCaps w:val="0"/>
          <w:spacing w:val="0"/>
        </w:rPr>
        <w:br/>
      </w:r>
      <w:r w:rsidR="00A72BF3">
        <w:rPr>
          <w:rStyle w:val="BookTitle"/>
          <w:rFonts w:ascii="Times New Roman" w:hAnsi="Times New Roman" w:cs="Times New Roman"/>
          <w:i w:val="0"/>
          <w:iCs w:val="0"/>
          <w:smallCaps w:val="0"/>
          <w:spacing w:val="0"/>
        </w:rPr>
        <w:br/>
      </w:r>
    </w:p>
    <w:p w:rsidR="000076D4" w:rsidRDefault="000076D4" w:rsidP="0052701B">
      <w:pPr>
        <w:spacing w:after="0" w:line="240" w:lineRule="auto"/>
        <w:rPr>
          <w:rStyle w:val="BookTitle"/>
          <w:rFonts w:ascii="Times New Roman" w:hAnsi="Times New Roman" w:cs="Times New Roman"/>
          <w:b/>
          <w:i w:val="0"/>
          <w:iCs w:val="0"/>
          <w:smallCaps w:val="0"/>
          <w:spacing w:val="0"/>
        </w:rPr>
      </w:pPr>
      <w:r>
        <w:rPr>
          <w:rStyle w:val="BookTitle"/>
          <w:rFonts w:ascii="Times New Roman" w:hAnsi="Times New Roman" w:cs="Times New Roman"/>
          <w:b/>
          <w:i w:val="0"/>
          <w:iCs w:val="0"/>
          <w:smallCaps w:val="0"/>
          <w:spacing w:val="0"/>
        </w:rPr>
        <w:br w:type="page"/>
      </w:r>
    </w:p>
    <w:p w:rsidR="008053DB" w:rsidRPr="004A2736" w:rsidRDefault="00976D78" w:rsidP="0052701B">
      <w:pPr>
        <w:spacing w:after="0" w:line="240" w:lineRule="auto"/>
        <w:jc w:val="center"/>
        <w:rPr>
          <w:rStyle w:val="BookTitle"/>
          <w:rFonts w:ascii="Times New Roman" w:hAnsi="Times New Roman" w:cs="Times New Roman"/>
          <w:b/>
          <w:i w:val="0"/>
          <w:iCs w:val="0"/>
          <w:smallCaps w:val="0"/>
          <w:spacing w:val="0"/>
        </w:rPr>
      </w:pPr>
      <w:r w:rsidRPr="004A2736">
        <w:rPr>
          <w:rStyle w:val="BookTitle"/>
          <w:rFonts w:ascii="Times New Roman" w:hAnsi="Times New Roman" w:cs="Times New Roman"/>
          <w:b/>
          <w:i w:val="0"/>
          <w:iCs w:val="0"/>
          <w:smallCaps w:val="0"/>
          <w:spacing w:val="0"/>
        </w:rPr>
        <w:lastRenderedPageBreak/>
        <w:t xml:space="preserve">Explanation of </w:t>
      </w:r>
      <w:r w:rsidR="008053DB" w:rsidRPr="004A2736">
        <w:rPr>
          <w:rStyle w:val="BookTitle"/>
          <w:rFonts w:ascii="Times New Roman" w:hAnsi="Times New Roman" w:cs="Times New Roman"/>
          <w:b/>
          <w:i w:val="0"/>
          <w:iCs w:val="0"/>
          <w:smallCaps w:val="0"/>
          <w:spacing w:val="0"/>
        </w:rPr>
        <w:t>Provisions</w:t>
      </w:r>
    </w:p>
    <w:p w:rsidR="007F7819" w:rsidRPr="0052701B" w:rsidRDefault="009B44EE" w:rsidP="0052701B">
      <w:pPr>
        <w:spacing w:after="0" w:line="240" w:lineRule="auto"/>
        <w:rPr>
          <w:rStyle w:val="BookTitle"/>
          <w:rFonts w:ascii="Times New Roman" w:hAnsi="Times New Roman" w:cs="Times New Roman"/>
          <w:b/>
          <w:i w:val="0"/>
          <w:iCs w:val="0"/>
          <w:smallCaps w:val="0"/>
          <w:spacing w:val="0"/>
        </w:rPr>
      </w:pPr>
      <w:r w:rsidRPr="0052701B">
        <w:rPr>
          <w:rStyle w:val="BookTitle"/>
          <w:rFonts w:ascii="Times New Roman" w:hAnsi="Times New Roman" w:cs="Times New Roman"/>
          <w:b/>
          <w:i w:val="0"/>
          <w:iCs w:val="0"/>
          <w:smallCaps w:val="0"/>
          <w:spacing w:val="0"/>
        </w:rPr>
        <w:t xml:space="preserve">Section 1 - </w:t>
      </w:r>
      <w:r w:rsidR="007F7819" w:rsidRPr="0052701B">
        <w:rPr>
          <w:rStyle w:val="BookTitle"/>
          <w:rFonts w:ascii="Times New Roman" w:hAnsi="Times New Roman" w:cs="Times New Roman"/>
          <w:b/>
          <w:i w:val="0"/>
          <w:iCs w:val="0"/>
          <w:smallCaps w:val="0"/>
          <w:spacing w:val="0"/>
        </w:rPr>
        <w:t xml:space="preserve">Name of </w:t>
      </w:r>
      <w:r w:rsidRPr="0052701B">
        <w:rPr>
          <w:rStyle w:val="BookTitle"/>
          <w:rFonts w:ascii="Times New Roman" w:hAnsi="Times New Roman" w:cs="Times New Roman"/>
          <w:b/>
          <w:i w:val="0"/>
          <w:iCs w:val="0"/>
          <w:smallCaps w:val="0"/>
          <w:spacing w:val="0"/>
        </w:rPr>
        <w:t>i</w:t>
      </w:r>
      <w:r w:rsidR="004B34AE" w:rsidRPr="0052701B">
        <w:rPr>
          <w:rStyle w:val="BookTitle"/>
          <w:rFonts w:ascii="Times New Roman" w:hAnsi="Times New Roman" w:cs="Times New Roman"/>
          <w:b/>
          <w:i w:val="0"/>
          <w:iCs w:val="0"/>
          <w:smallCaps w:val="0"/>
          <w:spacing w:val="0"/>
        </w:rPr>
        <w:t>nstrument</w:t>
      </w:r>
      <w:r w:rsidR="007F7819" w:rsidRPr="0052701B">
        <w:rPr>
          <w:rStyle w:val="BookTitle"/>
          <w:rFonts w:ascii="Times New Roman" w:hAnsi="Times New Roman" w:cs="Times New Roman"/>
          <w:b/>
          <w:i w:val="0"/>
          <w:iCs w:val="0"/>
          <w:smallCaps w:val="0"/>
          <w:spacing w:val="0"/>
        </w:rPr>
        <w:t xml:space="preserve"> </w:t>
      </w:r>
      <w:r w:rsidR="000076D4" w:rsidRPr="0052701B">
        <w:rPr>
          <w:rStyle w:val="BookTitle"/>
          <w:rFonts w:ascii="Times New Roman" w:hAnsi="Times New Roman" w:cs="Times New Roman"/>
          <w:b/>
          <w:i w:val="0"/>
          <w:iCs w:val="0"/>
          <w:smallCaps w:val="0"/>
          <w:spacing w:val="0"/>
        </w:rPr>
        <w:br/>
      </w:r>
    </w:p>
    <w:p w:rsidR="000D7D99" w:rsidRPr="004A2736" w:rsidRDefault="000D7D99" w:rsidP="0052701B">
      <w:pPr>
        <w:spacing w:after="0" w:line="240" w:lineRule="auto"/>
        <w:rPr>
          <w:rStyle w:val="BookTitle"/>
          <w:rFonts w:ascii="Times New Roman" w:hAnsi="Times New Roman" w:cs="Times New Roman"/>
          <w:i w:val="0"/>
          <w:iCs w:val="0"/>
          <w:smallCaps w:val="0"/>
          <w:spacing w:val="0"/>
        </w:rPr>
      </w:pPr>
      <w:r w:rsidRPr="004A2736">
        <w:rPr>
          <w:rStyle w:val="BookTitle"/>
          <w:rFonts w:ascii="Times New Roman" w:hAnsi="Times New Roman" w:cs="Times New Roman"/>
          <w:i w:val="0"/>
          <w:iCs w:val="0"/>
          <w:smallCaps w:val="0"/>
          <w:spacing w:val="0"/>
        </w:rPr>
        <w:t xml:space="preserve">Section 1 of the </w:t>
      </w:r>
      <w:r w:rsidR="009B44EE">
        <w:rPr>
          <w:rStyle w:val="BookTitle"/>
          <w:rFonts w:ascii="Times New Roman" w:hAnsi="Times New Roman" w:cs="Times New Roman"/>
          <w:i w:val="0"/>
          <w:iCs w:val="0"/>
          <w:smallCaps w:val="0"/>
          <w:spacing w:val="0"/>
        </w:rPr>
        <w:t xml:space="preserve">Amending </w:t>
      </w:r>
      <w:r w:rsidR="004B34AE" w:rsidRPr="004A2736">
        <w:rPr>
          <w:rStyle w:val="BookTitle"/>
          <w:rFonts w:ascii="Times New Roman" w:hAnsi="Times New Roman" w:cs="Times New Roman"/>
          <w:i w:val="0"/>
          <w:iCs w:val="0"/>
          <w:smallCaps w:val="0"/>
          <w:spacing w:val="0"/>
        </w:rPr>
        <w:t>Instrument</w:t>
      </w:r>
      <w:r w:rsidRPr="004A2736">
        <w:rPr>
          <w:rStyle w:val="BookTitle"/>
          <w:rFonts w:ascii="Times New Roman" w:hAnsi="Times New Roman" w:cs="Times New Roman"/>
          <w:i w:val="0"/>
          <w:iCs w:val="0"/>
          <w:smallCaps w:val="0"/>
          <w:spacing w:val="0"/>
        </w:rPr>
        <w:t xml:space="preserve"> </w:t>
      </w:r>
      <w:r w:rsidR="009B44EE">
        <w:rPr>
          <w:rStyle w:val="BookTitle"/>
          <w:rFonts w:ascii="Times New Roman" w:hAnsi="Times New Roman" w:cs="Times New Roman"/>
          <w:i w:val="0"/>
          <w:iCs w:val="0"/>
          <w:smallCaps w:val="0"/>
          <w:spacing w:val="0"/>
        </w:rPr>
        <w:t xml:space="preserve">provides that </w:t>
      </w:r>
      <w:r w:rsidRPr="004A2736">
        <w:rPr>
          <w:rStyle w:val="BookTitle"/>
          <w:rFonts w:ascii="Times New Roman" w:hAnsi="Times New Roman" w:cs="Times New Roman"/>
          <w:i w:val="0"/>
          <w:iCs w:val="0"/>
          <w:smallCaps w:val="0"/>
          <w:spacing w:val="0"/>
        </w:rPr>
        <w:t xml:space="preserve">the name of the </w:t>
      </w:r>
      <w:r w:rsidR="009B44EE">
        <w:rPr>
          <w:rStyle w:val="BookTitle"/>
          <w:rFonts w:ascii="Times New Roman" w:hAnsi="Times New Roman" w:cs="Times New Roman"/>
          <w:i w:val="0"/>
          <w:iCs w:val="0"/>
          <w:smallCaps w:val="0"/>
          <w:spacing w:val="0"/>
        </w:rPr>
        <w:t xml:space="preserve">instrument </w:t>
      </w:r>
      <w:r w:rsidR="007F7819" w:rsidRPr="004A2736">
        <w:rPr>
          <w:rStyle w:val="BookTitle"/>
          <w:rFonts w:ascii="Times New Roman" w:hAnsi="Times New Roman" w:cs="Times New Roman"/>
          <w:i w:val="0"/>
          <w:iCs w:val="0"/>
          <w:smallCaps w:val="0"/>
          <w:spacing w:val="0"/>
        </w:rPr>
        <w:t xml:space="preserve">is the </w:t>
      </w:r>
      <w:r w:rsidR="007F7819" w:rsidRPr="004A2736">
        <w:rPr>
          <w:rStyle w:val="BookTitle"/>
          <w:rFonts w:ascii="Times New Roman" w:hAnsi="Times New Roman" w:cs="Times New Roman"/>
          <w:iCs w:val="0"/>
          <w:smallCaps w:val="0"/>
          <w:spacing w:val="0"/>
        </w:rPr>
        <w:t>Workplace Gender Equality (</w:t>
      </w:r>
      <w:r w:rsidR="00571F2E" w:rsidRPr="004A2736">
        <w:rPr>
          <w:rStyle w:val="BookTitle"/>
          <w:rFonts w:ascii="Times New Roman" w:hAnsi="Times New Roman" w:cs="Times New Roman"/>
          <w:iCs w:val="0"/>
          <w:smallCaps w:val="0"/>
          <w:spacing w:val="0"/>
        </w:rPr>
        <w:t>Matters in relation to Gender Equality Indicators</w:t>
      </w:r>
      <w:r w:rsidR="007F7819" w:rsidRPr="004A2736">
        <w:rPr>
          <w:rStyle w:val="BookTitle"/>
          <w:rFonts w:ascii="Times New Roman" w:hAnsi="Times New Roman" w:cs="Times New Roman"/>
          <w:iCs w:val="0"/>
          <w:smallCaps w:val="0"/>
          <w:spacing w:val="0"/>
        </w:rPr>
        <w:t xml:space="preserve">) </w:t>
      </w:r>
      <w:r w:rsidR="00571F2E" w:rsidRPr="004A2736">
        <w:rPr>
          <w:rStyle w:val="BookTitle"/>
          <w:rFonts w:ascii="Times New Roman" w:hAnsi="Times New Roman" w:cs="Times New Roman"/>
          <w:iCs w:val="0"/>
          <w:smallCaps w:val="0"/>
          <w:spacing w:val="0"/>
        </w:rPr>
        <w:t xml:space="preserve">Amendment </w:t>
      </w:r>
      <w:r w:rsidR="004B34AE" w:rsidRPr="004A2736">
        <w:rPr>
          <w:rStyle w:val="BookTitle"/>
          <w:rFonts w:ascii="Times New Roman" w:hAnsi="Times New Roman" w:cs="Times New Roman"/>
          <w:iCs w:val="0"/>
          <w:smallCaps w:val="0"/>
          <w:spacing w:val="0"/>
        </w:rPr>
        <w:t>Instrument</w:t>
      </w:r>
      <w:r w:rsidR="00E32D8D" w:rsidRPr="004A2736">
        <w:rPr>
          <w:rStyle w:val="BookTitle"/>
          <w:rFonts w:ascii="Times New Roman" w:hAnsi="Times New Roman" w:cs="Times New Roman"/>
          <w:iCs w:val="0"/>
          <w:smallCaps w:val="0"/>
          <w:spacing w:val="0"/>
        </w:rPr>
        <w:t xml:space="preserve"> 201</w:t>
      </w:r>
      <w:r w:rsidR="000D5180">
        <w:rPr>
          <w:rStyle w:val="BookTitle"/>
          <w:rFonts w:ascii="Times New Roman" w:hAnsi="Times New Roman" w:cs="Times New Roman"/>
          <w:iCs w:val="0"/>
          <w:smallCaps w:val="0"/>
          <w:spacing w:val="0"/>
        </w:rPr>
        <w:t>5</w:t>
      </w:r>
      <w:r w:rsidR="009B44EE">
        <w:rPr>
          <w:rStyle w:val="BookTitle"/>
          <w:rFonts w:ascii="Times New Roman" w:hAnsi="Times New Roman" w:cs="Times New Roman"/>
          <w:iCs w:val="0"/>
          <w:smallCaps w:val="0"/>
          <w:spacing w:val="0"/>
        </w:rPr>
        <w:t xml:space="preserve"> (No.</w:t>
      </w:r>
      <w:r w:rsidR="0071791A">
        <w:rPr>
          <w:rStyle w:val="BookTitle"/>
          <w:rFonts w:ascii="Times New Roman" w:hAnsi="Times New Roman" w:cs="Times New Roman"/>
          <w:iCs w:val="0"/>
          <w:smallCaps w:val="0"/>
          <w:spacing w:val="0"/>
        </w:rPr>
        <w:t xml:space="preserve"> </w:t>
      </w:r>
      <w:r w:rsidR="000D5180">
        <w:rPr>
          <w:rStyle w:val="BookTitle"/>
          <w:rFonts w:ascii="Times New Roman" w:hAnsi="Times New Roman" w:cs="Times New Roman"/>
          <w:iCs w:val="0"/>
          <w:smallCaps w:val="0"/>
          <w:spacing w:val="0"/>
        </w:rPr>
        <w:t>1</w:t>
      </w:r>
      <w:r w:rsidR="00571F2E" w:rsidRPr="004A2736">
        <w:rPr>
          <w:rStyle w:val="BookTitle"/>
          <w:rFonts w:ascii="Times New Roman" w:hAnsi="Times New Roman" w:cs="Times New Roman"/>
          <w:iCs w:val="0"/>
          <w:smallCaps w:val="0"/>
          <w:spacing w:val="0"/>
        </w:rPr>
        <w:t>)</w:t>
      </w:r>
      <w:r w:rsidR="007F7819" w:rsidRPr="004A2736">
        <w:rPr>
          <w:rStyle w:val="BookTitle"/>
          <w:rFonts w:ascii="Times New Roman" w:hAnsi="Times New Roman" w:cs="Times New Roman"/>
          <w:i w:val="0"/>
          <w:iCs w:val="0"/>
          <w:smallCaps w:val="0"/>
          <w:spacing w:val="0"/>
        </w:rPr>
        <w:t xml:space="preserve">. </w:t>
      </w:r>
    </w:p>
    <w:p w:rsidR="007F7819" w:rsidRPr="004A2736" w:rsidRDefault="007F7819" w:rsidP="0052701B">
      <w:pPr>
        <w:spacing w:after="0" w:line="240" w:lineRule="auto"/>
        <w:rPr>
          <w:rStyle w:val="BookTitle"/>
          <w:rFonts w:ascii="Times New Roman" w:hAnsi="Times New Roman" w:cs="Times New Roman"/>
          <w:iCs w:val="0"/>
          <w:smallCaps w:val="0"/>
          <w:spacing w:val="0"/>
        </w:rPr>
      </w:pPr>
    </w:p>
    <w:p w:rsidR="007F7819" w:rsidRPr="0052701B" w:rsidRDefault="009B44EE" w:rsidP="0052701B">
      <w:pPr>
        <w:spacing w:after="0" w:line="240" w:lineRule="auto"/>
        <w:rPr>
          <w:rStyle w:val="BookTitle"/>
          <w:rFonts w:ascii="Times New Roman" w:hAnsi="Times New Roman" w:cs="Times New Roman"/>
          <w:b/>
          <w:i w:val="0"/>
          <w:iCs w:val="0"/>
          <w:smallCaps w:val="0"/>
          <w:spacing w:val="0"/>
        </w:rPr>
      </w:pPr>
      <w:r w:rsidRPr="0052701B">
        <w:rPr>
          <w:rStyle w:val="BookTitle"/>
          <w:rFonts w:ascii="Times New Roman" w:hAnsi="Times New Roman" w:cs="Times New Roman"/>
          <w:b/>
          <w:i w:val="0"/>
          <w:iCs w:val="0"/>
          <w:smallCaps w:val="0"/>
          <w:spacing w:val="0"/>
        </w:rPr>
        <w:t xml:space="preserve">Section 2 – </w:t>
      </w:r>
      <w:r w:rsidR="007F7819" w:rsidRPr="0052701B">
        <w:rPr>
          <w:rStyle w:val="BookTitle"/>
          <w:rFonts w:ascii="Times New Roman" w:hAnsi="Times New Roman" w:cs="Times New Roman"/>
          <w:b/>
          <w:i w:val="0"/>
          <w:iCs w:val="0"/>
          <w:smallCaps w:val="0"/>
          <w:spacing w:val="0"/>
        </w:rPr>
        <w:t>Commencement</w:t>
      </w:r>
      <w:r w:rsidRPr="0052701B">
        <w:rPr>
          <w:rStyle w:val="BookTitle"/>
          <w:rFonts w:ascii="Times New Roman" w:hAnsi="Times New Roman" w:cs="Times New Roman"/>
          <w:b/>
          <w:i w:val="0"/>
          <w:iCs w:val="0"/>
          <w:smallCaps w:val="0"/>
          <w:spacing w:val="0"/>
        </w:rPr>
        <w:t xml:space="preserve"> information</w:t>
      </w:r>
      <w:r w:rsidR="000076D4" w:rsidRPr="0052701B">
        <w:rPr>
          <w:rStyle w:val="BookTitle"/>
          <w:rFonts w:ascii="Times New Roman" w:hAnsi="Times New Roman" w:cs="Times New Roman"/>
          <w:b/>
          <w:i w:val="0"/>
          <w:iCs w:val="0"/>
          <w:smallCaps w:val="0"/>
          <w:spacing w:val="0"/>
        </w:rPr>
        <w:br/>
      </w:r>
    </w:p>
    <w:p w:rsidR="00303194" w:rsidRPr="00994E78" w:rsidRDefault="006C2A4B" w:rsidP="0052701B">
      <w:pPr>
        <w:spacing w:after="0" w:line="240" w:lineRule="auto"/>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Section </w:t>
      </w:r>
      <w:r w:rsidR="000D7D99" w:rsidRPr="004A2736">
        <w:rPr>
          <w:rStyle w:val="BookTitle"/>
          <w:rFonts w:ascii="Times New Roman" w:hAnsi="Times New Roman" w:cs="Times New Roman"/>
          <w:i w:val="0"/>
          <w:iCs w:val="0"/>
          <w:smallCaps w:val="0"/>
          <w:spacing w:val="0"/>
        </w:rPr>
        <w:t xml:space="preserve">2 of the </w:t>
      </w:r>
      <w:r w:rsidR="009B44EE">
        <w:rPr>
          <w:rStyle w:val="BookTitle"/>
          <w:rFonts w:ascii="Times New Roman" w:hAnsi="Times New Roman" w:cs="Times New Roman"/>
          <w:i w:val="0"/>
          <w:iCs w:val="0"/>
          <w:smallCaps w:val="0"/>
          <w:spacing w:val="0"/>
        </w:rPr>
        <w:t xml:space="preserve">Amending </w:t>
      </w:r>
      <w:r w:rsidR="004B34AE" w:rsidRPr="004A2736">
        <w:rPr>
          <w:rStyle w:val="BookTitle"/>
          <w:rFonts w:ascii="Times New Roman" w:hAnsi="Times New Roman" w:cs="Times New Roman"/>
          <w:i w:val="0"/>
          <w:iCs w:val="0"/>
          <w:smallCaps w:val="0"/>
          <w:spacing w:val="0"/>
        </w:rPr>
        <w:t>Instrument</w:t>
      </w:r>
      <w:r w:rsidR="00AE413C" w:rsidRPr="004A2736">
        <w:rPr>
          <w:rStyle w:val="BookTitle"/>
          <w:rFonts w:ascii="Times New Roman" w:hAnsi="Times New Roman" w:cs="Times New Roman"/>
          <w:i w:val="0"/>
          <w:iCs w:val="0"/>
          <w:smallCaps w:val="0"/>
          <w:spacing w:val="0"/>
        </w:rPr>
        <w:t xml:space="preserve"> </w:t>
      </w:r>
      <w:r w:rsidR="00084AF9">
        <w:rPr>
          <w:rStyle w:val="BookTitle"/>
          <w:rFonts w:ascii="Times New Roman" w:hAnsi="Times New Roman" w:cs="Times New Roman"/>
          <w:i w:val="0"/>
          <w:iCs w:val="0"/>
          <w:smallCaps w:val="0"/>
          <w:spacing w:val="0"/>
        </w:rPr>
        <w:t xml:space="preserve">provides </w:t>
      </w:r>
      <w:r>
        <w:rPr>
          <w:rStyle w:val="BookTitle"/>
          <w:rFonts w:ascii="Times New Roman" w:hAnsi="Times New Roman" w:cs="Times New Roman"/>
          <w:i w:val="0"/>
          <w:iCs w:val="0"/>
          <w:smallCaps w:val="0"/>
          <w:spacing w:val="0"/>
        </w:rPr>
        <w:t>for the commencement of various provisions. Sections 1 to 4 and items 4 to 5 of Schedule 1 commence the day after the Amending Instrument is registered. Items 1 to 3 of Schedule 1 commence on 1 April 2015.</w:t>
      </w:r>
      <w:r w:rsidR="00084AF9">
        <w:rPr>
          <w:rStyle w:val="BookTitle"/>
          <w:rFonts w:ascii="Times New Roman" w:hAnsi="Times New Roman" w:cs="Times New Roman"/>
          <w:i w:val="0"/>
          <w:iCs w:val="0"/>
          <w:smallCaps w:val="0"/>
          <w:spacing w:val="0"/>
        </w:rPr>
        <w:t xml:space="preserve"> For clarity, the substantive amendments to the Principal Instrument </w:t>
      </w:r>
      <w:r>
        <w:rPr>
          <w:rStyle w:val="BookTitle"/>
          <w:rFonts w:ascii="Times New Roman" w:hAnsi="Times New Roman" w:cs="Times New Roman"/>
          <w:i w:val="0"/>
          <w:iCs w:val="0"/>
          <w:smallCaps w:val="0"/>
          <w:spacing w:val="0"/>
        </w:rPr>
        <w:t xml:space="preserve">all </w:t>
      </w:r>
      <w:r w:rsidR="00084AF9">
        <w:rPr>
          <w:rStyle w:val="BookTitle"/>
          <w:rFonts w:ascii="Times New Roman" w:hAnsi="Times New Roman" w:cs="Times New Roman"/>
          <w:i w:val="0"/>
          <w:iCs w:val="0"/>
          <w:smallCaps w:val="0"/>
          <w:spacing w:val="0"/>
        </w:rPr>
        <w:t xml:space="preserve">take effect </w:t>
      </w:r>
      <w:r w:rsidR="009B44EE">
        <w:rPr>
          <w:rStyle w:val="BookTitle"/>
          <w:rFonts w:ascii="Times New Roman" w:hAnsi="Times New Roman" w:cs="Times New Roman"/>
          <w:i w:val="0"/>
          <w:iCs w:val="0"/>
          <w:smallCaps w:val="0"/>
          <w:spacing w:val="0"/>
        </w:rPr>
        <w:t xml:space="preserve">on 1 April 2015. This commencement date aligns with the </w:t>
      </w:r>
      <w:r w:rsidR="00D02B66">
        <w:rPr>
          <w:rStyle w:val="BookTitle"/>
          <w:rFonts w:ascii="Times New Roman" w:hAnsi="Times New Roman" w:cs="Times New Roman"/>
          <w:i w:val="0"/>
          <w:iCs w:val="0"/>
          <w:smallCaps w:val="0"/>
          <w:spacing w:val="0"/>
        </w:rPr>
        <w:t xml:space="preserve">start </w:t>
      </w:r>
      <w:r w:rsidR="009B44EE">
        <w:rPr>
          <w:rStyle w:val="BookTitle"/>
          <w:rFonts w:ascii="Times New Roman" w:hAnsi="Times New Roman" w:cs="Times New Roman"/>
          <w:i w:val="0"/>
          <w:iCs w:val="0"/>
          <w:smallCaps w:val="0"/>
          <w:spacing w:val="0"/>
        </w:rPr>
        <w:t>of the 2015</w:t>
      </w:r>
      <w:r w:rsidR="004E529A">
        <w:rPr>
          <w:rStyle w:val="BookTitle"/>
          <w:rFonts w:ascii="Times New Roman" w:hAnsi="Times New Roman" w:cs="Times New Roman"/>
          <w:i w:val="0"/>
          <w:iCs w:val="0"/>
          <w:smallCaps w:val="0"/>
          <w:spacing w:val="0"/>
        </w:rPr>
        <w:t>–</w:t>
      </w:r>
      <w:r w:rsidR="009B44EE">
        <w:rPr>
          <w:rStyle w:val="BookTitle"/>
          <w:rFonts w:ascii="Times New Roman" w:hAnsi="Times New Roman" w:cs="Times New Roman"/>
          <w:i w:val="0"/>
          <w:iCs w:val="0"/>
          <w:smallCaps w:val="0"/>
          <w:spacing w:val="0"/>
        </w:rPr>
        <w:t xml:space="preserve">16 reporting period. </w:t>
      </w:r>
    </w:p>
    <w:p w:rsidR="007F7819" w:rsidRPr="004A2736" w:rsidRDefault="007F7819" w:rsidP="0052701B">
      <w:pPr>
        <w:spacing w:after="0" w:line="240" w:lineRule="auto"/>
        <w:rPr>
          <w:rStyle w:val="BookTitle"/>
          <w:rFonts w:ascii="Times New Roman" w:hAnsi="Times New Roman" w:cs="Times New Roman"/>
          <w:i w:val="0"/>
          <w:iCs w:val="0"/>
          <w:smallCaps w:val="0"/>
          <w:spacing w:val="0"/>
        </w:rPr>
      </w:pPr>
    </w:p>
    <w:p w:rsidR="007F7819" w:rsidRPr="0052701B" w:rsidRDefault="00303194" w:rsidP="0052701B">
      <w:pPr>
        <w:spacing w:after="0" w:line="240" w:lineRule="auto"/>
        <w:rPr>
          <w:rStyle w:val="BookTitle"/>
          <w:rFonts w:ascii="Times New Roman" w:hAnsi="Times New Roman" w:cs="Times New Roman"/>
          <w:b/>
          <w:i w:val="0"/>
          <w:iCs w:val="0"/>
          <w:smallCaps w:val="0"/>
          <w:spacing w:val="0"/>
        </w:rPr>
      </w:pPr>
      <w:r w:rsidRPr="0052701B">
        <w:rPr>
          <w:rStyle w:val="BookTitle"/>
          <w:rFonts w:ascii="Times New Roman" w:hAnsi="Times New Roman" w:cs="Times New Roman"/>
          <w:b/>
          <w:i w:val="0"/>
          <w:iCs w:val="0"/>
          <w:smallCaps w:val="0"/>
          <w:spacing w:val="0"/>
        </w:rPr>
        <w:t xml:space="preserve">Section 3 </w:t>
      </w:r>
      <w:r w:rsidR="0050610C" w:rsidRPr="0052701B">
        <w:rPr>
          <w:rStyle w:val="BookTitle"/>
          <w:rFonts w:ascii="Times New Roman" w:hAnsi="Times New Roman" w:cs="Times New Roman"/>
          <w:b/>
          <w:i w:val="0"/>
          <w:iCs w:val="0"/>
          <w:smallCaps w:val="0"/>
          <w:spacing w:val="0"/>
        </w:rPr>
        <w:t xml:space="preserve">- </w:t>
      </w:r>
      <w:r w:rsidR="007F7819" w:rsidRPr="0052701B">
        <w:rPr>
          <w:rStyle w:val="BookTitle"/>
          <w:rFonts w:ascii="Times New Roman" w:hAnsi="Times New Roman" w:cs="Times New Roman"/>
          <w:b/>
          <w:i w:val="0"/>
          <w:iCs w:val="0"/>
          <w:smallCaps w:val="0"/>
          <w:spacing w:val="0"/>
        </w:rPr>
        <w:t>Authority</w:t>
      </w:r>
    </w:p>
    <w:p w:rsidR="00890A33" w:rsidRPr="0050610C" w:rsidRDefault="000076D4" w:rsidP="0052701B">
      <w:pPr>
        <w:spacing w:after="0" w:line="240" w:lineRule="auto"/>
        <w:rPr>
          <w:rStyle w:val="BookTitle"/>
          <w:rFonts w:ascii="Times New Roman" w:hAnsi="Times New Roman" w:cs="Times New Roman"/>
          <w:iCs w:val="0"/>
          <w:smallCaps w:val="0"/>
          <w:spacing w:val="0"/>
        </w:rPr>
      </w:pPr>
      <w:r>
        <w:rPr>
          <w:rStyle w:val="BookTitle"/>
          <w:rFonts w:ascii="Times New Roman" w:hAnsi="Times New Roman" w:cs="Times New Roman"/>
          <w:i w:val="0"/>
          <w:iCs w:val="0"/>
          <w:smallCaps w:val="0"/>
          <w:spacing w:val="0"/>
        </w:rPr>
        <w:br/>
      </w:r>
      <w:r w:rsidR="00890A33" w:rsidRPr="004A2736">
        <w:rPr>
          <w:rStyle w:val="BookTitle"/>
          <w:rFonts w:ascii="Times New Roman" w:hAnsi="Times New Roman" w:cs="Times New Roman"/>
          <w:i w:val="0"/>
          <w:iCs w:val="0"/>
          <w:smallCaps w:val="0"/>
          <w:spacing w:val="0"/>
        </w:rPr>
        <w:t>Section</w:t>
      </w:r>
      <w:r w:rsidR="0075249F" w:rsidRPr="004A2736">
        <w:rPr>
          <w:rStyle w:val="BookTitle"/>
          <w:rFonts w:ascii="Times New Roman" w:hAnsi="Times New Roman" w:cs="Times New Roman"/>
          <w:i w:val="0"/>
          <w:iCs w:val="0"/>
          <w:smallCaps w:val="0"/>
          <w:spacing w:val="0"/>
        </w:rPr>
        <w:t xml:space="preserve"> 3 of the </w:t>
      </w:r>
      <w:r w:rsidR="0050610C">
        <w:rPr>
          <w:rStyle w:val="BookTitle"/>
          <w:rFonts w:ascii="Times New Roman" w:hAnsi="Times New Roman" w:cs="Times New Roman"/>
          <w:i w:val="0"/>
          <w:iCs w:val="0"/>
          <w:smallCaps w:val="0"/>
          <w:spacing w:val="0"/>
        </w:rPr>
        <w:t xml:space="preserve">Amending </w:t>
      </w:r>
      <w:r w:rsidR="004B34AE" w:rsidRPr="004A2736">
        <w:rPr>
          <w:rStyle w:val="BookTitle"/>
          <w:rFonts w:ascii="Times New Roman" w:hAnsi="Times New Roman" w:cs="Times New Roman"/>
          <w:i w:val="0"/>
          <w:iCs w:val="0"/>
          <w:smallCaps w:val="0"/>
          <w:spacing w:val="0"/>
        </w:rPr>
        <w:t>Instrument</w:t>
      </w:r>
      <w:r w:rsidR="00DB67D5" w:rsidRPr="004A2736">
        <w:rPr>
          <w:rStyle w:val="BookTitle"/>
          <w:rFonts w:ascii="Times New Roman" w:hAnsi="Times New Roman" w:cs="Times New Roman"/>
          <w:i w:val="0"/>
          <w:iCs w:val="0"/>
          <w:smallCaps w:val="0"/>
          <w:spacing w:val="0"/>
        </w:rPr>
        <w:t xml:space="preserve"> specifies</w:t>
      </w:r>
      <w:r w:rsidR="00890A33" w:rsidRPr="004A2736">
        <w:rPr>
          <w:rStyle w:val="BookTitle"/>
          <w:rFonts w:ascii="Times New Roman" w:hAnsi="Times New Roman" w:cs="Times New Roman"/>
          <w:i w:val="0"/>
          <w:iCs w:val="0"/>
          <w:smallCaps w:val="0"/>
          <w:spacing w:val="0"/>
        </w:rPr>
        <w:t xml:space="preserve"> the </w:t>
      </w:r>
      <w:r w:rsidR="007F7819" w:rsidRPr="004A2736">
        <w:rPr>
          <w:rStyle w:val="BookTitle"/>
          <w:rFonts w:ascii="Times New Roman" w:hAnsi="Times New Roman" w:cs="Times New Roman"/>
          <w:i w:val="0"/>
          <w:iCs w:val="0"/>
          <w:smallCaps w:val="0"/>
          <w:spacing w:val="0"/>
        </w:rPr>
        <w:t xml:space="preserve">authority for the </w:t>
      </w:r>
      <w:r w:rsidR="0050610C">
        <w:rPr>
          <w:rStyle w:val="BookTitle"/>
          <w:rFonts w:ascii="Times New Roman" w:hAnsi="Times New Roman" w:cs="Times New Roman"/>
          <w:i w:val="0"/>
          <w:iCs w:val="0"/>
          <w:smallCaps w:val="0"/>
          <w:spacing w:val="0"/>
        </w:rPr>
        <w:t>i</w:t>
      </w:r>
      <w:r w:rsidR="004B34AE" w:rsidRPr="004A2736">
        <w:rPr>
          <w:rStyle w:val="BookTitle"/>
          <w:rFonts w:ascii="Times New Roman" w:hAnsi="Times New Roman" w:cs="Times New Roman"/>
          <w:i w:val="0"/>
          <w:iCs w:val="0"/>
          <w:smallCaps w:val="0"/>
          <w:spacing w:val="0"/>
        </w:rPr>
        <w:t>nstrument</w:t>
      </w:r>
      <w:r w:rsidR="009746A8" w:rsidRPr="004A2736">
        <w:rPr>
          <w:rStyle w:val="BookTitle"/>
          <w:rFonts w:ascii="Times New Roman" w:hAnsi="Times New Roman" w:cs="Times New Roman"/>
          <w:i w:val="0"/>
          <w:iCs w:val="0"/>
          <w:smallCaps w:val="0"/>
          <w:spacing w:val="0"/>
        </w:rPr>
        <w:t>,</w:t>
      </w:r>
      <w:r w:rsidR="0050610C">
        <w:rPr>
          <w:rStyle w:val="BookTitle"/>
          <w:rFonts w:ascii="Times New Roman" w:hAnsi="Times New Roman" w:cs="Times New Roman"/>
          <w:i w:val="0"/>
          <w:iCs w:val="0"/>
          <w:smallCaps w:val="0"/>
          <w:spacing w:val="0"/>
        </w:rPr>
        <w:t xml:space="preserve"> which is subsection </w:t>
      </w:r>
      <w:r w:rsidR="00FB7B49" w:rsidRPr="004A2736">
        <w:rPr>
          <w:rStyle w:val="BookTitle"/>
          <w:rFonts w:ascii="Times New Roman" w:hAnsi="Times New Roman" w:cs="Times New Roman"/>
          <w:i w:val="0"/>
          <w:iCs w:val="0"/>
          <w:smallCaps w:val="0"/>
          <w:spacing w:val="0"/>
        </w:rPr>
        <w:t>13(3</w:t>
      </w:r>
      <w:r w:rsidR="007F7819" w:rsidRPr="004A2736">
        <w:rPr>
          <w:rStyle w:val="BookTitle"/>
          <w:rFonts w:ascii="Times New Roman" w:hAnsi="Times New Roman" w:cs="Times New Roman"/>
          <w:i w:val="0"/>
          <w:iCs w:val="0"/>
          <w:smallCaps w:val="0"/>
          <w:spacing w:val="0"/>
        </w:rPr>
        <w:t xml:space="preserve">) </w:t>
      </w:r>
      <w:r w:rsidR="00856AA6" w:rsidRPr="004A2736">
        <w:rPr>
          <w:rStyle w:val="BookTitle"/>
          <w:rFonts w:ascii="Times New Roman" w:hAnsi="Times New Roman" w:cs="Times New Roman"/>
          <w:i w:val="0"/>
          <w:iCs w:val="0"/>
          <w:smallCaps w:val="0"/>
          <w:spacing w:val="0"/>
        </w:rPr>
        <w:t>of the Act.</w:t>
      </w:r>
      <w:r w:rsidR="0050610C">
        <w:rPr>
          <w:rStyle w:val="BookTitle"/>
          <w:rFonts w:ascii="Times New Roman" w:hAnsi="Times New Roman" w:cs="Times New Roman"/>
          <w:i w:val="0"/>
          <w:iCs w:val="0"/>
          <w:smallCaps w:val="0"/>
          <w:spacing w:val="0"/>
        </w:rPr>
        <w:t xml:space="preserve"> </w:t>
      </w:r>
      <w:r w:rsidR="000D5180">
        <w:rPr>
          <w:rStyle w:val="BookTitle"/>
          <w:rFonts w:ascii="Times New Roman" w:hAnsi="Times New Roman" w:cs="Times New Roman"/>
          <w:i w:val="0"/>
          <w:iCs w:val="0"/>
          <w:smallCaps w:val="0"/>
          <w:spacing w:val="0"/>
        </w:rPr>
        <w:t>The Minister may amend the Principal Instrument i</w:t>
      </w:r>
      <w:r w:rsidR="0050610C">
        <w:rPr>
          <w:rStyle w:val="BookTitle"/>
          <w:rFonts w:ascii="Times New Roman" w:hAnsi="Times New Roman" w:cs="Times New Roman"/>
          <w:i w:val="0"/>
          <w:iCs w:val="0"/>
          <w:smallCaps w:val="0"/>
          <w:spacing w:val="0"/>
        </w:rPr>
        <w:t xml:space="preserve">n reliance on subsection 33(3) of the </w:t>
      </w:r>
      <w:r w:rsidR="0050610C">
        <w:rPr>
          <w:rStyle w:val="BookTitle"/>
          <w:rFonts w:ascii="Times New Roman" w:hAnsi="Times New Roman" w:cs="Times New Roman"/>
          <w:iCs w:val="0"/>
          <w:smallCaps w:val="0"/>
          <w:spacing w:val="0"/>
        </w:rPr>
        <w:t>Acts Interpretation Act 1901</w:t>
      </w:r>
      <w:r w:rsidR="0050610C">
        <w:rPr>
          <w:rStyle w:val="BookTitle"/>
          <w:rFonts w:ascii="Times New Roman" w:hAnsi="Times New Roman" w:cs="Times New Roman"/>
          <w:i w:val="0"/>
          <w:iCs w:val="0"/>
          <w:smallCaps w:val="0"/>
          <w:spacing w:val="0"/>
        </w:rPr>
        <w:t>.</w:t>
      </w:r>
      <w:r w:rsidR="0050610C">
        <w:rPr>
          <w:rStyle w:val="BookTitle"/>
          <w:rFonts w:ascii="Times New Roman" w:hAnsi="Times New Roman" w:cs="Times New Roman"/>
          <w:iCs w:val="0"/>
          <w:smallCaps w:val="0"/>
          <w:spacing w:val="0"/>
        </w:rPr>
        <w:t xml:space="preserve"> </w:t>
      </w:r>
    </w:p>
    <w:p w:rsidR="007F7819" w:rsidRPr="004A2736" w:rsidRDefault="007F7819" w:rsidP="0052701B">
      <w:pPr>
        <w:spacing w:after="0" w:line="240" w:lineRule="auto"/>
        <w:rPr>
          <w:rStyle w:val="BookTitle"/>
          <w:rFonts w:ascii="Times New Roman" w:hAnsi="Times New Roman" w:cs="Times New Roman"/>
          <w:iCs w:val="0"/>
          <w:smallCaps w:val="0"/>
          <w:spacing w:val="0"/>
        </w:rPr>
      </w:pPr>
    </w:p>
    <w:p w:rsidR="00665AA4" w:rsidRPr="0052701B" w:rsidRDefault="0050610C" w:rsidP="0052701B">
      <w:pPr>
        <w:spacing w:after="0" w:line="240" w:lineRule="auto"/>
        <w:rPr>
          <w:rStyle w:val="BookTitle"/>
          <w:rFonts w:ascii="Times New Roman" w:hAnsi="Times New Roman" w:cs="Times New Roman"/>
          <w:b/>
          <w:i w:val="0"/>
          <w:iCs w:val="0"/>
          <w:smallCaps w:val="0"/>
          <w:spacing w:val="0"/>
        </w:rPr>
      </w:pPr>
      <w:r w:rsidRPr="0052701B">
        <w:rPr>
          <w:rStyle w:val="BookTitle"/>
          <w:rFonts w:ascii="Times New Roman" w:hAnsi="Times New Roman" w:cs="Times New Roman"/>
          <w:b/>
          <w:i w:val="0"/>
          <w:iCs w:val="0"/>
          <w:smallCaps w:val="0"/>
          <w:spacing w:val="0"/>
        </w:rPr>
        <w:t xml:space="preserve">Section 4 - </w:t>
      </w:r>
      <w:r w:rsidR="00FB7B49" w:rsidRPr="0052701B">
        <w:rPr>
          <w:rStyle w:val="BookTitle"/>
          <w:rFonts w:ascii="Times New Roman" w:hAnsi="Times New Roman" w:cs="Times New Roman"/>
          <w:b/>
          <w:i w:val="0"/>
          <w:iCs w:val="0"/>
          <w:smallCaps w:val="0"/>
          <w:spacing w:val="0"/>
        </w:rPr>
        <w:t>Schedule(s)</w:t>
      </w:r>
    </w:p>
    <w:p w:rsidR="000076D4" w:rsidRDefault="000076D4" w:rsidP="0052701B">
      <w:pPr>
        <w:spacing w:after="0" w:line="240" w:lineRule="auto"/>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br/>
      </w:r>
      <w:r w:rsidR="00694CEB" w:rsidRPr="004A2736">
        <w:rPr>
          <w:rStyle w:val="BookTitle"/>
          <w:rFonts w:ascii="Times New Roman" w:hAnsi="Times New Roman" w:cs="Times New Roman"/>
          <w:i w:val="0"/>
          <w:iCs w:val="0"/>
          <w:smallCaps w:val="0"/>
          <w:spacing w:val="0"/>
        </w:rPr>
        <w:t>Section 4</w:t>
      </w:r>
      <w:r w:rsidR="00FB7B49" w:rsidRPr="004A2736">
        <w:rPr>
          <w:rStyle w:val="BookTitle"/>
          <w:rFonts w:ascii="Times New Roman" w:hAnsi="Times New Roman" w:cs="Times New Roman"/>
          <w:i w:val="0"/>
          <w:iCs w:val="0"/>
          <w:smallCaps w:val="0"/>
          <w:spacing w:val="0"/>
        </w:rPr>
        <w:t xml:space="preserve"> of the </w:t>
      </w:r>
      <w:r w:rsidR="0050610C">
        <w:rPr>
          <w:rStyle w:val="BookTitle"/>
          <w:rFonts w:ascii="Times New Roman" w:hAnsi="Times New Roman" w:cs="Times New Roman"/>
          <w:i w:val="0"/>
          <w:iCs w:val="0"/>
          <w:smallCaps w:val="0"/>
          <w:spacing w:val="0"/>
        </w:rPr>
        <w:t xml:space="preserve">Amending Instrument has the effect that Schedule 1 to the Amending Instrument amends the Principal Instrument. </w:t>
      </w:r>
    </w:p>
    <w:p w:rsidR="000076D4" w:rsidRDefault="000076D4" w:rsidP="0052701B">
      <w:pPr>
        <w:spacing w:after="0" w:line="240" w:lineRule="auto"/>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br w:type="page"/>
      </w:r>
    </w:p>
    <w:p w:rsidR="00FB7B49" w:rsidRPr="0052701B" w:rsidRDefault="00FB7B49" w:rsidP="0052701B">
      <w:pPr>
        <w:keepNext/>
        <w:spacing w:after="0" w:line="240" w:lineRule="auto"/>
        <w:rPr>
          <w:rStyle w:val="BookTitle"/>
          <w:rFonts w:ascii="Times New Roman" w:hAnsi="Times New Roman" w:cs="Times New Roman"/>
          <w:b/>
          <w:iCs w:val="0"/>
          <w:smallCaps w:val="0"/>
          <w:spacing w:val="0"/>
          <w:sz w:val="24"/>
          <w:u w:val="single"/>
        </w:rPr>
      </w:pPr>
      <w:r w:rsidRPr="0052701B">
        <w:rPr>
          <w:rStyle w:val="BookTitle"/>
          <w:rFonts w:ascii="Times New Roman" w:hAnsi="Times New Roman" w:cs="Times New Roman"/>
          <w:b/>
          <w:i w:val="0"/>
          <w:iCs w:val="0"/>
          <w:smallCaps w:val="0"/>
          <w:spacing w:val="0"/>
          <w:sz w:val="24"/>
          <w:u w:val="single"/>
        </w:rPr>
        <w:lastRenderedPageBreak/>
        <w:t xml:space="preserve">Schedule 1 </w:t>
      </w:r>
      <w:r w:rsidR="00C27374" w:rsidRPr="0052701B">
        <w:rPr>
          <w:rStyle w:val="BookTitle"/>
          <w:rFonts w:ascii="Times New Roman" w:hAnsi="Times New Roman" w:cs="Times New Roman"/>
          <w:b/>
          <w:i w:val="0"/>
          <w:iCs w:val="0"/>
          <w:smallCaps w:val="0"/>
          <w:spacing w:val="0"/>
          <w:sz w:val="24"/>
          <w:u w:val="single"/>
        </w:rPr>
        <w:t>–</w:t>
      </w:r>
      <w:r w:rsidRPr="0052701B">
        <w:rPr>
          <w:rStyle w:val="BookTitle"/>
          <w:rFonts w:ascii="Times New Roman" w:hAnsi="Times New Roman" w:cs="Times New Roman"/>
          <w:b/>
          <w:i w:val="0"/>
          <w:iCs w:val="0"/>
          <w:smallCaps w:val="0"/>
          <w:spacing w:val="0"/>
          <w:sz w:val="24"/>
          <w:u w:val="single"/>
        </w:rPr>
        <w:t xml:space="preserve"> Amendments</w:t>
      </w:r>
      <w:r w:rsidR="00F15C6D">
        <w:rPr>
          <w:rStyle w:val="BookTitle"/>
          <w:rFonts w:ascii="Times New Roman" w:hAnsi="Times New Roman" w:cs="Times New Roman"/>
          <w:b/>
          <w:i w:val="0"/>
          <w:iCs w:val="0"/>
          <w:smallCaps w:val="0"/>
          <w:spacing w:val="0"/>
          <w:sz w:val="24"/>
          <w:u w:val="single"/>
        </w:rPr>
        <w:t xml:space="preserve"> to the Principal Instrument</w:t>
      </w:r>
    </w:p>
    <w:p w:rsidR="00C91D70" w:rsidRDefault="00C91D70" w:rsidP="0052701B">
      <w:pPr>
        <w:spacing w:after="0" w:line="240" w:lineRule="auto"/>
        <w:rPr>
          <w:rStyle w:val="BookTitle"/>
          <w:rFonts w:ascii="Times New Roman" w:hAnsi="Times New Roman" w:cs="Times New Roman"/>
          <w:i w:val="0"/>
          <w:iCs w:val="0"/>
          <w:smallCaps w:val="0"/>
          <w:spacing w:val="0"/>
        </w:rPr>
      </w:pPr>
    </w:p>
    <w:p w:rsidR="00897EE6" w:rsidRPr="00897EE6" w:rsidRDefault="00897EE6" w:rsidP="00897EE6">
      <w:pPr>
        <w:spacing w:after="0" w:line="240" w:lineRule="auto"/>
        <w:rPr>
          <w:rStyle w:val="BookTitle"/>
          <w:rFonts w:ascii="Times New Roman" w:hAnsi="Times New Roman" w:cs="Times New Roman"/>
          <w:b/>
          <w:i w:val="0"/>
          <w:iCs w:val="0"/>
          <w:smallCaps w:val="0"/>
          <w:spacing w:val="0"/>
        </w:rPr>
      </w:pPr>
      <w:r>
        <w:rPr>
          <w:rStyle w:val="BookTitle"/>
          <w:rFonts w:ascii="Times New Roman" w:hAnsi="Times New Roman" w:cs="Times New Roman"/>
          <w:b/>
          <w:i w:val="0"/>
          <w:iCs w:val="0"/>
          <w:smallCaps w:val="0"/>
          <w:spacing w:val="0"/>
        </w:rPr>
        <w:t xml:space="preserve">Item 1 </w:t>
      </w:r>
      <w:r w:rsidRPr="00897EE6">
        <w:rPr>
          <w:rStyle w:val="BookTitle"/>
          <w:rFonts w:ascii="Times New Roman" w:hAnsi="Times New Roman" w:cs="Times New Roman"/>
          <w:i w:val="0"/>
          <w:iCs w:val="0"/>
          <w:smallCaps w:val="0"/>
          <w:spacing w:val="0"/>
        </w:rPr>
        <w:t>amends the definition of</w:t>
      </w:r>
      <w:r>
        <w:rPr>
          <w:rStyle w:val="BookTitle"/>
          <w:rFonts w:ascii="Times New Roman" w:hAnsi="Times New Roman" w:cs="Times New Roman"/>
          <w:b/>
          <w:i w:val="0"/>
          <w:iCs w:val="0"/>
          <w:smallCaps w:val="0"/>
          <w:spacing w:val="0"/>
        </w:rPr>
        <w:t xml:space="preserve"> </w:t>
      </w:r>
      <w:r>
        <w:rPr>
          <w:rStyle w:val="BookTitle"/>
          <w:rFonts w:ascii="Times New Roman" w:hAnsi="Times New Roman" w:cs="Times New Roman"/>
          <w:b/>
          <w:iCs w:val="0"/>
          <w:smallCaps w:val="0"/>
          <w:spacing w:val="0"/>
        </w:rPr>
        <w:t xml:space="preserve">employment status </w:t>
      </w:r>
      <w:r>
        <w:rPr>
          <w:rStyle w:val="BookTitle"/>
          <w:rFonts w:ascii="Times New Roman" w:hAnsi="Times New Roman" w:cs="Times New Roman"/>
          <w:i w:val="0"/>
          <w:iCs w:val="0"/>
          <w:smallCaps w:val="0"/>
          <w:spacing w:val="0"/>
        </w:rPr>
        <w:t>in section 5 of the Principal Instrument to take effect from 1 April 2015.</w:t>
      </w:r>
      <w:r>
        <w:rPr>
          <w:rStyle w:val="BookTitle"/>
          <w:rFonts w:ascii="Times New Roman" w:hAnsi="Times New Roman" w:cs="Times New Roman"/>
          <w:b/>
          <w:i w:val="0"/>
          <w:iCs w:val="0"/>
          <w:smallCaps w:val="0"/>
          <w:spacing w:val="0"/>
        </w:rPr>
        <w:t xml:space="preserve"> </w:t>
      </w:r>
      <w:r>
        <w:rPr>
          <w:rStyle w:val="BookTitle"/>
          <w:rFonts w:ascii="Times New Roman" w:hAnsi="Times New Roman" w:cs="Times New Roman"/>
          <w:i w:val="0"/>
          <w:iCs w:val="0"/>
          <w:smallCaps w:val="0"/>
          <w:spacing w:val="0"/>
        </w:rPr>
        <w:t xml:space="preserve">The existing definition refers to </w:t>
      </w:r>
      <w:r w:rsidRPr="0052701B">
        <w:rPr>
          <w:rStyle w:val="BookTitle"/>
          <w:rFonts w:ascii="Times New Roman" w:hAnsi="Times New Roman" w:cs="Times New Roman"/>
          <w:iCs w:val="0"/>
          <w:smallCaps w:val="0"/>
          <w:spacing w:val="0"/>
        </w:rPr>
        <w:t xml:space="preserve">‘employment on a part-time, full-time, permanent, casual or contract </w:t>
      </w:r>
      <w:proofErr w:type="gramStart"/>
      <w:r w:rsidRPr="0052701B">
        <w:rPr>
          <w:rStyle w:val="BookTitle"/>
          <w:rFonts w:ascii="Times New Roman" w:hAnsi="Times New Roman" w:cs="Times New Roman"/>
          <w:iCs w:val="0"/>
          <w:smallCaps w:val="0"/>
          <w:spacing w:val="0"/>
        </w:rPr>
        <w:t>basis’</w:t>
      </w:r>
      <w:proofErr w:type="gramEnd"/>
      <w:r w:rsidRPr="0052701B">
        <w:rPr>
          <w:rStyle w:val="BookTitle"/>
          <w:rFonts w:ascii="Times New Roman" w:hAnsi="Times New Roman" w:cs="Times New Roman"/>
          <w:iCs w:val="0"/>
          <w:smallCaps w:val="0"/>
          <w:spacing w:val="0"/>
        </w:rPr>
        <w:t xml:space="preserve">. </w:t>
      </w:r>
      <w:r w:rsidR="00571CDF">
        <w:rPr>
          <w:rStyle w:val="BookTitle"/>
          <w:rFonts w:ascii="Times New Roman" w:hAnsi="Times New Roman" w:cs="Times New Roman"/>
          <w:i w:val="0"/>
          <w:iCs w:val="0"/>
          <w:smallCaps w:val="0"/>
          <w:spacing w:val="0"/>
        </w:rPr>
        <w:t>The reference to ‘contract’ in this definition has been a source of confusion for industry as it is unclear as to whether it refers to an employment relationship of a fixed-term/non-ongoing basis (i.e. contract of service),</w:t>
      </w:r>
      <w:r w:rsidR="00D80057">
        <w:rPr>
          <w:rStyle w:val="BookTitle"/>
          <w:rFonts w:ascii="Times New Roman" w:hAnsi="Times New Roman" w:cs="Times New Roman"/>
          <w:i w:val="0"/>
          <w:iCs w:val="0"/>
          <w:smallCaps w:val="0"/>
          <w:spacing w:val="0"/>
        </w:rPr>
        <w:t xml:space="preserve"> or</w:t>
      </w:r>
      <w:r w:rsidR="00571CDF">
        <w:rPr>
          <w:rStyle w:val="BookTitle"/>
          <w:rFonts w:ascii="Times New Roman" w:hAnsi="Times New Roman" w:cs="Times New Roman"/>
          <w:i w:val="0"/>
          <w:iCs w:val="0"/>
          <w:smallCaps w:val="0"/>
          <w:spacing w:val="0"/>
        </w:rPr>
        <w:t xml:space="preserve"> employment of an independent contractor (i.e. contract for services), or both. </w:t>
      </w:r>
      <w:r>
        <w:rPr>
          <w:rStyle w:val="BookTitle"/>
          <w:rFonts w:ascii="Times New Roman" w:hAnsi="Times New Roman" w:cs="Times New Roman"/>
          <w:i w:val="0"/>
          <w:iCs w:val="0"/>
          <w:smallCaps w:val="0"/>
          <w:spacing w:val="0"/>
        </w:rPr>
        <w:t>Given the limited control that a relevant employer has over independent contractors, it is not considered necessary or appropriate for such employers to report on independent contractors, when reporting on employment status.</w:t>
      </w:r>
    </w:p>
    <w:p w:rsidR="00897EE6" w:rsidRDefault="00897EE6" w:rsidP="00897EE6">
      <w:pPr>
        <w:spacing w:after="0" w:line="240" w:lineRule="auto"/>
        <w:rPr>
          <w:rStyle w:val="BookTitle"/>
          <w:rFonts w:ascii="Times New Roman" w:hAnsi="Times New Roman" w:cs="Times New Roman"/>
          <w:i w:val="0"/>
          <w:iCs w:val="0"/>
          <w:smallCaps w:val="0"/>
          <w:spacing w:val="0"/>
        </w:rPr>
      </w:pPr>
    </w:p>
    <w:p w:rsidR="00897EE6" w:rsidRDefault="00897EE6" w:rsidP="00897EE6">
      <w:pPr>
        <w:spacing w:after="0" w:line="240" w:lineRule="auto"/>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Firstly, the descriptor of ‘permanent’ employment is expanded to include the expression ‘ongoing’ (paragraph (c)). This change recognises that some employment relationships may be considered to be ‘ongoing’ rather than permanent and includes this category for clarity. </w:t>
      </w:r>
    </w:p>
    <w:p w:rsidR="00897EE6" w:rsidRDefault="00897EE6" w:rsidP="00897EE6">
      <w:pPr>
        <w:spacing w:after="0" w:line="240" w:lineRule="auto"/>
        <w:rPr>
          <w:rStyle w:val="BookTitle"/>
          <w:rFonts w:ascii="Times New Roman" w:hAnsi="Times New Roman" w:cs="Times New Roman"/>
          <w:i w:val="0"/>
          <w:iCs w:val="0"/>
          <w:smallCaps w:val="0"/>
          <w:spacing w:val="0"/>
        </w:rPr>
      </w:pPr>
    </w:p>
    <w:p w:rsidR="00897EE6" w:rsidRDefault="00897EE6" w:rsidP="00897EE6">
      <w:pPr>
        <w:spacing w:after="0" w:line="240" w:lineRule="auto"/>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Secondly, the descriptor of ‘contract’ employment is expanded to clarify that it refers to a ‘fixed-term’ or ‘non-ongoing’ employment basis (paragraph (e)). </w:t>
      </w:r>
    </w:p>
    <w:p w:rsidR="00897EE6" w:rsidRDefault="00897EE6" w:rsidP="00897EE6">
      <w:pPr>
        <w:spacing w:after="0" w:line="240" w:lineRule="auto"/>
        <w:rPr>
          <w:rStyle w:val="BookTitle"/>
          <w:rFonts w:ascii="Times New Roman" w:hAnsi="Times New Roman" w:cs="Times New Roman"/>
          <w:i w:val="0"/>
          <w:iCs w:val="0"/>
          <w:smallCaps w:val="0"/>
          <w:spacing w:val="0"/>
        </w:rPr>
      </w:pPr>
    </w:p>
    <w:p w:rsidR="00897EE6" w:rsidRPr="00F471FB" w:rsidRDefault="00897EE6" w:rsidP="00897EE6">
      <w:pPr>
        <w:spacing w:after="0" w:line="240" w:lineRule="auto"/>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Finally, the new definition of </w:t>
      </w:r>
      <w:r>
        <w:rPr>
          <w:rStyle w:val="BookTitle"/>
          <w:rFonts w:ascii="Times New Roman" w:hAnsi="Times New Roman" w:cs="Times New Roman"/>
          <w:b/>
          <w:iCs w:val="0"/>
          <w:smallCaps w:val="0"/>
          <w:spacing w:val="0"/>
        </w:rPr>
        <w:t xml:space="preserve">employment status </w:t>
      </w:r>
      <w:r>
        <w:rPr>
          <w:rStyle w:val="BookTitle"/>
          <w:rFonts w:ascii="Times New Roman" w:hAnsi="Times New Roman" w:cs="Times New Roman"/>
          <w:i w:val="0"/>
          <w:iCs w:val="0"/>
          <w:smallCaps w:val="0"/>
          <w:spacing w:val="0"/>
        </w:rPr>
        <w:t xml:space="preserve">will expressly </w:t>
      </w:r>
      <w:r w:rsidRPr="00EE7309">
        <w:rPr>
          <w:rStyle w:val="BookTitle"/>
          <w:rFonts w:ascii="Times New Roman" w:hAnsi="Times New Roman" w:cs="Times New Roman"/>
          <w:i w:val="0"/>
          <w:iCs w:val="0"/>
          <w:smallCaps w:val="0"/>
          <w:spacing w:val="0"/>
        </w:rPr>
        <w:t>exclude</w:t>
      </w:r>
      <w:r>
        <w:rPr>
          <w:rStyle w:val="BookTitle"/>
          <w:rFonts w:ascii="Times New Roman" w:hAnsi="Times New Roman" w:cs="Times New Roman"/>
          <w:i w:val="0"/>
          <w:iCs w:val="0"/>
          <w:smallCaps w:val="0"/>
          <w:spacing w:val="0"/>
        </w:rPr>
        <w:t xml:space="preserve"> independent contractors</w:t>
      </w:r>
      <w:r w:rsidR="005966CE">
        <w:rPr>
          <w:rStyle w:val="BookTitle"/>
          <w:rFonts w:ascii="Times New Roman" w:hAnsi="Times New Roman" w:cs="Times New Roman"/>
          <w:i w:val="0"/>
          <w:iCs w:val="0"/>
          <w:smallCaps w:val="0"/>
          <w:spacing w:val="0"/>
        </w:rPr>
        <w:t xml:space="preserve"> (that is, </w:t>
      </w:r>
      <w:r w:rsidR="00D02B66">
        <w:rPr>
          <w:rStyle w:val="BookTitle"/>
          <w:rFonts w:ascii="Times New Roman" w:hAnsi="Times New Roman" w:cs="Times New Roman"/>
          <w:i w:val="0"/>
          <w:iCs w:val="0"/>
          <w:smallCaps w:val="0"/>
          <w:spacing w:val="0"/>
        </w:rPr>
        <w:t>people</w:t>
      </w:r>
      <w:r>
        <w:rPr>
          <w:rStyle w:val="BookTitle"/>
          <w:rFonts w:ascii="Times New Roman" w:hAnsi="Times New Roman" w:cs="Times New Roman"/>
          <w:i w:val="0"/>
          <w:iCs w:val="0"/>
          <w:smallCaps w:val="0"/>
          <w:spacing w:val="0"/>
        </w:rPr>
        <w:t xml:space="preserve"> </w:t>
      </w:r>
      <w:r w:rsidR="00886397">
        <w:rPr>
          <w:rStyle w:val="BookTitle"/>
          <w:rFonts w:ascii="Times New Roman" w:hAnsi="Times New Roman" w:cs="Times New Roman"/>
          <w:i w:val="0"/>
          <w:iCs w:val="0"/>
          <w:smallCaps w:val="0"/>
          <w:spacing w:val="0"/>
        </w:rPr>
        <w:t>employed</w:t>
      </w:r>
      <w:r w:rsidR="00D02B66">
        <w:rPr>
          <w:rStyle w:val="BookTitle"/>
          <w:rFonts w:ascii="Times New Roman" w:hAnsi="Times New Roman" w:cs="Times New Roman"/>
          <w:i w:val="0"/>
          <w:iCs w:val="0"/>
          <w:smallCaps w:val="0"/>
          <w:spacing w:val="0"/>
        </w:rPr>
        <w:t xml:space="preserve"> </w:t>
      </w:r>
      <w:r>
        <w:rPr>
          <w:rStyle w:val="BookTitle"/>
          <w:rFonts w:ascii="Times New Roman" w:hAnsi="Times New Roman" w:cs="Times New Roman"/>
          <w:i w:val="0"/>
          <w:iCs w:val="0"/>
          <w:smallCaps w:val="0"/>
          <w:spacing w:val="0"/>
        </w:rPr>
        <w:t>on a contract for services basis</w:t>
      </w:r>
      <w:r w:rsidR="005966CE">
        <w:rPr>
          <w:rStyle w:val="BookTitle"/>
          <w:rFonts w:ascii="Times New Roman" w:hAnsi="Times New Roman" w:cs="Times New Roman"/>
          <w:i w:val="0"/>
          <w:iCs w:val="0"/>
          <w:smallCaps w:val="0"/>
          <w:spacing w:val="0"/>
        </w:rPr>
        <w:t>)</w:t>
      </w:r>
      <w:r>
        <w:rPr>
          <w:rStyle w:val="BookTitle"/>
          <w:rFonts w:ascii="Times New Roman" w:hAnsi="Times New Roman" w:cs="Times New Roman"/>
          <w:i w:val="0"/>
          <w:iCs w:val="0"/>
          <w:smallCaps w:val="0"/>
          <w:spacing w:val="0"/>
        </w:rPr>
        <w:t xml:space="preserve">. </w:t>
      </w:r>
    </w:p>
    <w:p w:rsidR="00897EE6" w:rsidRDefault="00897EE6" w:rsidP="00897EE6">
      <w:pPr>
        <w:spacing w:after="0" w:line="240" w:lineRule="auto"/>
        <w:rPr>
          <w:rStyle w:val="BookTitle"/>
          <w:rFonts w:ascii="Times New Roman" w:hAnsi="Times New Roman" w:cs="Times New Roman"/>
          <w:b/>
          <w:i w:val="0"/>
          <w:iCs w:val="0"/>
          <w:smallCaps w:val="0"/>
          <w:spacing w:val="0"/>
        </w:rPr>
      </w:pPr>
    </w:p>
    <w:p w:rsidR="00897EE6" w:rsidRPr="00554868" w:rsidRDefault="00897EE6" w:rsidP="00897EE6">
      <w:pPr>
        <w:spacing w:after="0" w:line="240" w:lineRule="auto"/>
        <w:rPr>
          <w:rStyle w:val="BookTitle"/>
          <w:rFonts w:ascii="Times New Roman" w:hAnsi="Times New Roman" w:cs="Times New Roman"/>
          <w:iCs w:val="0"/>
          <w:smallCaps w:val="0"/>
          <w:spacing w:val="0"/>
        </w:rPr>
      </w:pPr>
      <w:proofErr w:type="gramStart"/>
      <w:r>
        <w:rPr>
          <w:rStyle w:val="BookTitle"/>
          <w:rFonts w:ascii="Times New Roman" w:hAnsi="Times New Roman" w:cs="Times New Roman"/>
          <w:b/>
          <w:i w:val="0"/>
          <w:iCs w:val="0"/>
          <w:smallCaps w:val="0"/>
          <w:spacing w:val="0"/>
        </w:rPr>
        <w:t>Items 2 and 3</w:t>
      </w:r>
      <w:r w:rsidR="00D80057">
        <w:rPr>
          <w:rStyle w:val="BookTitle"/>
          <w:rFonts w:ascii="Times New Roman" w:hAnsi="Times New Roman" w:cs="Times New Roman"/>
          <w:i w:val="0"/>
          <w:iCs w:val="0"/>
          <w:smallCaps w:val="0"/>
          <w:spacing w:val="0"/>
        </w:rPr>
        <w:t xml:space="preserve"> repeal and replace</w:t>
      </w:r>
      <w:r>
        <w:rPr>
          <w:rStyle w:val="BookTitle"/>
          <w:rFonts w:ascii="Times New Roman" w:hAnsi="Times New Roman" w:cs="Times New Roman"/>
          <w:i w:val="0"/>
          <w:iCs w:val="0"/>
          <w:smallCaps w:val="0"/>
          <w:spacing w:val="0"/>
        </w:rPr>
        <w:t xml:space="preserve">, from 1 April 2015, the definitions of </w:t>
      </w:r>
      <w:r w:rsidRPr="00554868">
        <w:rPr>
          <w:rStyle w:val="BookTitle"/>
          <w:rFonts w:ascii="Times New Roman" w:hAnsi="Times New Roman" w:cs="Times New Roman"/>
          <w:b/>
          <w:iCs w:val="0"/>
          <w:smallCaps w:val="0"/>
          <w:spacing w:val="0"/>
        </w:rPr>
        <w:t>manager</w:t>
      </w:r>
      <w:r>
        <w:rPr>
          <w:rStyle w:val="BookTitle"/>
          <w:rFonts w:ascii="Times New Roman" w:hAnsi="Times New Roman" w:cs="Times New Roman"/>
          <w:i w:val="0"/>
          <w:iCs w:val="0"/>
          <w:smallCaps w:val="0"/>
          <w:spacing w:val="0"/>
        </w:rPr>
        <w:t xml:space="preserve"> and </w:t>
      </w:r>
      <w:r w:rsidRPr="00554868">
        <w:rPr>
          <w:rStyle w:val="BookTitle"/>
          <w:rFonts w:ascii="Times New Roman" w:hAnsi="Times New Roman" w:cs="Times New Roman"/>
          <w:b/>
          <w:iCs w:val="0"/>
          <w:smallCaps w:val="0"/>
          <w:spacing w:val="0"/>
        </w:rPr>
        <w:t>non-manager</w:t>
      </w:r>
      <w:r w:rsidR="00554868">
        <w:rPr>
          <w:rStyle w:val="BookTitle"/>
          <w:rFonts w:ascii="Times New Roman" w:hAnsi="Times New Roman" w:cs="Times New Roman"/>
          <w:i w:val="0"/>
          <w:iCs w:val="0"/>
          <w:smallCaps w:val="0"/>
          <w:spacing w:val="0"/>
        </w:rPr>
        <w:t>, respectively,</w:t>
      </w:r>
      <w:r>
        <w:rPr>
          <w:rStyle w:val="BookTitle"/>
          <w:rFonts w:ascii="Times New Roman" w:hAnsi="Times New Roman" w:cs="Times New Roman"/>
          <w:b/>
          <w:iCs w:val="0"/>
          <w:smallCaps w:val="0"/>
          <w:spacing w:val="0"/>
        </w:rPr>
        <w:t xml:space="preserve"> </w:t>
      </w:r>
      <w:r>
        <w:rPr>
          <w:rStyle w:val="BookTitle"/>
          <w:rFonts w:ascii="Times New Roman" w:hAnsi="Times New Roman" w:cs="Times New Roman"/>
          <w:i w:val="0"/>
          <w:iCs w:val="0"/>
          <w:smallCaps w:val="0"/>
          <w:spacing w:val="0"/>
        </w:rPr>
        <w:t>in section 5 of the Principal Instrument.</w:t>
      </w:r>
      <w:proofErr w:type="gramEnd"/>
      <w:r>
        <w:rPr>
          <w:rStyle w:val="BookTitle"/>
          <w:rFonts w:ascii="Times New Roman" w:hAnsi="Times New Roman" w:cs="Times New Roman"/>
          <w:i w:val="0"/>
          <w:iCs w:val="0"/>
          <w:smallCaps w:val="0"/>
          <w:spacing w:val="0"/>
        </w:rPr>
        <w:t xml:space="preserve"> The definition</w:t>
      </w:r>
      <w:r w:rsidR="00554868">
        <w:rPr>
          <w:rStyle w:val="BookTitle"/>
          <w:rFonts w:ascii="Times New Roman" w:hAnsi="Times New Roman" w:cs="Times New Roman"/>
          <w:i w:val="0"/>
          <w:iCs w:val="0"/>
          <w:smallCaps w:val="0"/>
          <w:spacing w:val="0"/>
        </w:rPr>
        <w:t>s</w:t>
      </w:r>
      <w:r>
        <w:rPr>
          <w:rStyle w:val="BookTitle"/>
          <w:rFonts w:ascii="Times New Roman" w:hAnsi="Times New Roman" w:cs="Times New Roman"/>
          <w:i w:val="0"/>
          <w:iCs w:val="0"/>
          <w:smallCaps w:val="0"/>
          <w:spacing w:val="0"/>
        </w:rPr>
        <w:t xml:space="preserve"> will be wholly provided in section 5 to improve readability. It will not be necessary for a reader to cross-refer to clause</w:t>
      </w:r>
      <w:r w:rsidR="00554868">
        <w:rPr>
          <w:rStyle w:val="BookTitle"/>
          <w:rFonts w:ascii="Times New Roman" w:hAnsi="Times New Roman" w:cs="Times New Roman"/>
          <w:i w:val="0"/>
          <w:iCs w:val="0"/>
          <w:smallCaps w:val="0"/>
          <w:spacing w:val="0"/>
        </w:rPr>
        <w:t>s</w:t>
      </w:r>
      <w:r>
        <w:rPr>
          <w:rStyle w:val="BookTitle"/>
          <w:rFonts w:ascii="Times New Roman" w:hAnsi="Times New Roman" w:cs="Times New Roman"/>
          <w:i w:val="0"/>
          <w:iCs w:val="0"/>
          <w:smallCaps w:val="0"/>
          <w:spacing w:val="0"/>
        </w:rPr>
        <w:t> 1.1.2</w:t>
      </w:r>
      <w:r w:rsidR="00554868">
        <w:rPr>
          <w:rStyle w:val="BookTitle"/>
          <w:rFonts w:ascii="Times New Roman" w:hAnsi="Times New Roman" w:cs="Times New Roman"/>
          <w:i w:val="0"/>
          <w:iCs w:val="0"/>
          <w:smallCaps w:val="0"/>
          <w:spacing w:val="0"/>
        </w:rPr>
        <w:t xml:space="preserve"> or 1.1.3</w:t>
      </w:r>
      <w:r>
        <w:rPr>
          <w:rStyle w:val="BookTitle"/>
          <w:rFonts w:ascii="Times New Roman" w:hAnsi="Times New Roman" w:cs="Times New Roman"/>
          <w:i w:val="0"/>
          <w:iCs w:val="0"/>
          <w:smallCaps w:val="0"/>
          <w:spacing w:val="0"/>
        </w:rPr>
        <w:t xml:space="preserve"> of Schedule 1 to the Principal Instrument</w:t>
      </w:r>
      <w:r w:rsidR="00554868">
        <w:rPr>
          <w:rStyle w:val="BookTitle"/>
          <w:rFonts w:ascii="Times New Roman" w:hAnsi="Times New Roman" w:cs="Times New Roman"/>
          <w:i w:val="0"/>
          <w:iCs w:val="0"/>
          <w:smallCaps w:val="0"/>
          <w:spacing w:val="0"/>
        </w:rPr>
        <w:t xml:space="preserve"> (as the case may be)</w:t>
      </w:r>
      <w:r>
        <w:rPr>
          <w:rStyle w:val="BookTitle"/>
          <w:rFonts w:ascii="Times New Roman" w:hAnsi="Times New Roman" w:cs="Times New Roman"/>
          <w:i w:val="0"/>
          <w:iCs w:val="0"/>
          <w:smallCaps w:val="0"/>
          <w:spacing w:val="0"/>
        </w:rPr>
        <w:t xml:space="preserve"> when considering the use of the</w:t>
      </w:r>
      <w:r w:rsidR="00554868">
        <w:rPr>
          <w:rStyle w:val="BookTitle"/>
          <w:rFonts w:ascii="Times New Roman" w:hAnsi="Times New Roman" w:cs="Times New Roman"/>
          <w:i w:val="0"/>
          <w:iCs w:val="0"/>
          <w:smallCaps w:val="0"/>
          <w:spacing w:val="0"/>
        </w:rPr>
        <w:t>se</w:t>
      </w:r>
      <w:r>
        <w:rPr>
          <w:rStyle w:val="BookTitle"/>
          <w:rFonts w:ascii="Times New Roman" w:hAnsi="Times New Roman" w:cs="Times New Roman"/>
          <w:i w:val="0"/>
          <w:iCs w:val="0"/>
          <w:smallCaps w:val="0"/>
          <w:spacing w:val="0"/>
        </w:rPr>
        <w:t xml:space="preserve"> expression</w:t>
      </w:r>
      <w:r w:rsidR="00554868">
        <w:rPr>
          <w:rStyle w:val="BookTitle"/>
          <w:rFonts w:ascii="Times New Roman" w:hAnsi="Times New Roman" w:cs="Times New Roman"/>
          <w:i w:val="0"/>
          <w:iCs w:val="0"/>
          <w:smallCaps w:val="0"/>
          <w:spacing w:val="0"/>
        </w:rPr>
        <w:t>s</w:t>
      </w:r>
      <w:r>
        <w:rPr>
          <w:rStyle w:val="BookTitle"/>
          <w:rFonts w:ascii="Times New Roman" w:hAnsi="Times New Roman" w:cs="Times New Roman"/>
          <w:i w:val="0"/>
          <w:iCs w:val="0"/>
          <w:smallCaps w:val="0"/>
          <w:spacing w:val="0"/>
        </w:rPr>
        <w:t xml:space="preserve"> throughout the Principal Instrument.</w:t>
      </w:r>
    </w:p>
    <w:p w:rsidR="00897EE6" w:rsidRDefault="00897EE6" w:rsidP="00897EE6">
      <w:pPr>
        <w:spacing w:after="0" w:line="240" w:lineRule="auto"/>
        <w:rPr>
          <w:rStyle w:val="BookTitle"/>
          <w:rFonts w:ascii="Times New Roman" w:hAnsi="Times New Roman" w:cs="Times New Roman"/>
          <w:i w:val="0"/>
          <w:iCs w:val="0"/>
          <w:smallCaps w:val="0"/>
          <w:spacing w:val="0"/>
        </w:rPr>
      </w:pPr>
    </w:p>
    <w:p w:rsidR="00897EE6" w:rsidRDefault="00897EE6" w:rsidP="0052701B">
      <w:pPr>
        <w:spacing w:after="0" w:line="240" w:lineRule="auto"/>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For clarity, the amendments in </w:t>
      </w:r>
      <w:r w:rsidR="00554868" w:rsidRPr="00554868">
        <w:rPr>
          <w:rStyle w:val="BookTitle"/>
          <w:rFonts w:ascii="Times New Roman" w:hAnsi="Times New Roman" w:cs="Times New Roman"/>
          <w:b/>
          <w:i w:val="0"/>
          <w:iCs w:val="0"/>
          <w:smallCaps w:val="0"/>
          <w:spacing w:val="0"/>
        </w:rPr>
        <w:t xml:space="preserve">items </w:t>
      </w:r>
      <w:r w:rsidR="00D02B66">
        <w:rPr>
          <w:rStyle w:val="BookTitle"/>
          <w:rFonts w:ascii="Times New Roman" w:hAnsi="Times New Roman" w:cs="Times New Roman"/>
          <w:b/>
          <w:i w:val="0"/>
          <w:iCs w:val="0"/>
          <w:smallCaps w:val="0"/>
          <w:spacing w:val="0"/>
        </w:rPr>
        <w:t>2</w:t>
      </w:r>
      <w:r w:rsidR="00886397">
        <w:rPr>
          <w:rStyle w:val="BookTitle"/>
          <w:rFonts w:ascii="Times New Roman" w:hAnsi="Times New Roman" w:cs="Times New Roman"/>
          <w:b/>
          <w:i w:val="0"/>
          <w:iCs w:val="0"/>
          <w:smallCaps w:val="0"/>
          <w:spacing w:val="0"/>
        </w:rPr>
        <w:t xml:space="preserve"> </w:t>
      </w:r>
      <w:r w:rsidR="00554868" w:rsidRPr="00554868">
        <w:rPr>
          <w:rStyle w:val="BookTitle"/>
          <w:rFonts w:ascii="Times New Roman" w:hAnsi="Times New Roman" w:cs="Times New Roman"/>
          <w:b/>
          <w:i w:val="0"/>
          <w:iCs w:val="0"/>
          <w:smallCaps w:val="0"/>
          <w:spacing w:val="0"/>
        </w:rPr>
        <w:t xml:space="preserve">and </w:t>
      </w:r>
      <w:r w:rsidR="00D02B66">
        <w:rPr>
          <w:rStyle w:val="BookTitle"/>
          <w:rFonts w:ascii="Times New Roman" w:hAnsi="Times New Roman" w:cs="Times New Roman"/>
          <w:b/>
          <w:i w:val="0"/>
          <w:iCs w:val="0"/>
          <w:smallCaps w:val="0"/>
          <w:spacing w:val="0"/>
        </w:rPr>
        <w:t>3</w:t>
      </w:r>
      <w:r w:rsidR="00D02B66">
        <w:rPr>
          <w:rStyle w:val="BookTitle"/>
          <w:rFonts w:ascii="Times New Roman" w:hAnsi="Times New Roman" w:cs="Times New Roman"/>
          <w:i w:val="0"/>
          <w:iCs w:val="0"/>
          <w:smallCaps w:val="0"/>
          <w:spacing w:val="0"/>
        </w:rPr>
        <w:t xml:space="preserve"> </w:t>
      </w:r>
      <w:r>
        <w:rPr>
          <w:rStyle w:val="BookTitle"/>
          <w:rFonts w:ascii="Times New Roman" w:hAnsi="Times New Roman" w:cs="Times New Roman"/>
          <w:i w:val="0"/>
          <w:iCs w:val="0"/>
          <w:smallCaps w:val="0"/>
          <w:spacing w:val="0"/>
        </w:rPr>
        <w:t xml:space="preserve">are minor technical amendments to improve the readability and operation of the Principal Instrument. There are no substantive changes to the definitions of </w:t>
      </w:r>
      <w:r w:rsidRPr="00554868">
        <w:rPr>
          <w:rStyle w:val="BookTitle"/>
          <w:rFonts w:ascii="Times New Roman" w:hAnsi="Times New Roman" w:cs="Times New Roman"/>
          <w:b/>
          <w:iCs w:val="0"/>
          <w:smallCaps w:val="0"/>
          <w:spacing w:val="0"/>
        </w:rPr>
        <w:t>manager</w:t>
      </w:r>
      <w:r>
        <w:rPr>
          <w:rStyle w:val="BookTitle"/>
          <w:rFonts w:ascii="Times New Roman" w:hAnsi="Times New Roman" w:cs="Times New Roman"/>
          <w:i w:val="0"/>
          <w:iCs w:val="0"/>
          <w:smallCaps w:val="0"/>
          <w:spacing w:val="0"/>
        </w:rPr>
        <w:t xml:space="preserve"> or </w:t>
      </w:r>
      <w:r w:rsidRPr="009C1ED1">
        <w:rPr>
          <w:rStyle w:val="BookTitle"/>
          <w:rFonts w:ascii="Times New Roman" w:hAnsi="Times New Roman" w:cs="Times New Roman"/>
          <w:b/>
          <w:iCs w:val="0"/>
          <w:smallCaps w:val="0"/>
          <w:spacing w:val="0"/>
        </w:rPr>
        <w:t>non-manager</w:t>
      </w:r>
      <w:r>
        <w:rPr>
          <w:rStyle w:val="BookTitle"/>
          <w:rFonts w:ascii="Times New Roman" w:hAnsi="Times New Roman" w:cs="Times New Roman"/>
          <w:i w:val="0"/>
          <w:iCs w:val="0"/>
          <w:smallCaps w:val="0"/>
          <w:spacing w:val="0"/>
        </w:rPr>
        <w:t>.</w:t>
      </w:r>
    </w:p>
    <w:p w:rsidR="00897EE6" w:rsidRDefault="00897EE6" w:rsidP="0052701B">
      <w:pPr>
        <w:spacing w:after="0" w:line="240" w:lineRule="auto"/>
        <w:rPr>
          <w:rStyle w:val="BookTitle"/>
          <w:rFonts w:ascii="Times New Roman" w:hAnsi="Times New Roman" w:cs="Times New Roman"/>
          <w:i w:val="0"/>
          <w:iCs w:val="0"/>
          <w:smallCaps w:val="0"/>
          <w:spacing w:val="0"/>
        </w:rPr>
      </w:pPr>
    </w:p>
    <w:p w:rsidR="00925B88" w:rsidRDefault="00554868" w:rsidP="00910142">
      <w:pPr>
        <w:spacing w:after="0" w:line="240" w:lineRule="auto"/>
        <w:rPr>
          <w:rStyle w:val="BookTitle"/>
          <w:rFonts w:ascii="Times New Roman" w:hAnsi="Times New Roman" w:cs="Times New Roman"/>
          <w:i w:val="0"/>
          <w:iCs w:val="0"/>
          <w:smallCaps w:val="0"/>
          <w:spacing w:val="0"/>
        </w:rPr>
      </w:pPr>
      <w:r>
        <w:rPr>
          <w:rStyle w:val="BookTitle"/>
          <w:rFonts w:ascii="Times New Roman" w:hAnsi="Times New Roman" w:cs="Times New Roman"/>
          <w:b/>
          <w:i w:val="0"/>
          <w:iCs w:val="0"/>
          <w:smallCaps w:val="0"/>
          <w:spacing w:val="0"/>
        </w:rPr>
        <w:t>Item </w:t>
      </w:r>
      <w:r w:rsidR="00A80060">
        <w:rPr>
          <w:rStyle w:val="BookTitle"/>
          <w:rFonts w:ascii="Times New Roman" w:hAnsi="Times New Roman" w:cs="Times New Roman"/>
          <w:b/>
          <w:i w:val="0"/>
          <w:iCs w:val="0"/>
          <w:smallCaps w:val="0"/>
          <w:spacing w:val="0"/>
        </w:rPr>
        <w:t>4</w:t>
      </w:r>
      <w:r w:rsidR="00C91D70">
        <w:rPr>
          <w:rStyle w:val="BookTitle"/>
          <w:rFonts w:ascii="Times New Roman" w:hAnsi="Times New Roman" w:cs="Times New Roman"/>
          <w:b/>
          <w:i w:val="0"/>
          <w:iCs w:val="0"/>
          <w:smallCaps w:val="0"/>
          <w:spacing w:val="0"/>
        </w:rPr>
        <w:t xml:space="preserve"> </w:t>
      </w:r>
      <w:r w:rsidR="00C91D70">
        <w:rPr>
          <w:rStyle w:val="BookTitle"/>
          <w:rFonts w:ascii="Times New Roman" w:hAnsi="Times New Roman" w:cs="Times New Roman"/>
          <w:i w:val="0"/>
          <w:iCs w:val="0"/>
          <w:smallCaps w:val="0"/>
          <w:spacing w:val="0"/>
        </w:rPr>
        <w:t xml:space="preserve">repeals and substitutes Schedule 2 to the Principal Instrument. </w:t>
      </w:r>
    </w:p>
    <w:p w:rsidR="00925B88" w:rsidRDefault="00925B88" w:rsidP="00910142">
      <w:pPr>
        <w:spacing w:after="0" w:line="240" w:lineRule="auto"/>
        <w:rPr>
          <w:rStyle w:val="BookTitle"/>
          <w:rFonts w:ascii="Times New Roman" w:hAnsi="Times New Roman" w:cs="Times New Roman"/>
          <w:i w:val="0"/>
          <w:iCs w:val="0"/>
          <w:smallCaps w:val="0"/>
          <w:spacing w:val="0"/>
        </w:rPr>
      </w:pPr>
    </w:p>
    <w:p w:rsidR="00C91D70" w:rsidRPr="00DA7517" w:rsidRDefault="00C91D70" w:rsidP="00910142">
      <w:pPr>
        <w:spacing w:after="0" w:line="240" w:lineRule="auto"/>
        <w:rPr>
          <w:rFonts w:ascii="Times New Roman" w:hAnsi="Times New Roman" w:cs="Times New Roman"/>
        </w:rPr>
      </w:pPr>
      <w:r>
        <w:rPr>
          <w:rStyle w:val="BookTitle"/>
          <w:rFonts w:ascii="Times New Roman" w:hAnsi="Times New Roman" w:cs="Times New Roman"/>
          <w:i w:val="0"/>
          <w:iCs w:val="0"/>
          <w:smallCaps w:val="0"/>
          <w:spacing w:val="0"/>
        </w:rPr>
        <w:t>Schedule 2 to the Principal Instrument amends, from 1 April 2015, the matters specified for three</w:t>
      </w:r>
      <w:r w:rsidR="000354D3">
        <w:rPr>
          <w:rStyle w:val="BookTitle"/>
          <w:rFonts w:ascii="Times New Roman" w:hAnsi="Times New Roman" w:cs="Times New Roman"/>
          <w:i w:val="0"/>
          <w:iCs w:val="0"/>
          <w:smallCaps w:val="0"/>
          <w:spacing w:val="0"/>
        </w:rPr>
        <w:t xml:space="preserve"> </w:t>
      </w:r>
      <w:proofErr w:type="spellStart"/>
      <w:r w:rsidR="00571CDF">
        <w:rPr>
          <w:rStyle w:val="BookTitle"/>
          <w:rFonts w:ascii="Times New Roman" w:hAnsi="Times New Roman" w:cs="Times New Roman"/>
          <w:i w:val="0"/>
          <w:iCs w:val="0"/>
          <w:smallCaps w:val="0"/>
          <w:spacing w:val="0"/>
        </w:rPr>
        <w:t>GEIs</w:t>
      </w:r>
      <w:proofErr w:type="spellEnd"/>
      <w:r>
        <w:rPr>
          <w:rStyle w:val="BookTitle"/>
          <w:rFonts w:ascii="Times New Roman" w:hAnsi="Times New Roman" w:cs="Times New Roman"/>
          <w:i w:val="0"/>
          <w:iCs w:val="0"/>
          <w:smallCaps w:val="0"/>
          <w:spacing w:val="0"/>
        </w:rPr>
        <w:t xml:space="preserve"> in Schedule 1</w:t>
      </w:r>
      <w:r w:rsidR="00925B88">
        <w:rPr>
          <w:rStyle w:val="BookTitle"/>
          <w:rFonts w:ascii="Times New Roman" w:hAnsi="Times New Roman" w:cs="Times New Roman"/>
          <w:i w:val="0"/>
          <w:iCs w:val="0"/>
          <w:smallCaps w:val="0"/>
          <w:spacing w:val="0"/>
        </w:rPr>
        <w:t xml:space="preserve"> to the Principal Instrument</w:t>
      </w:r>
      <w:r>
        <w:rPr>
          <w:rStyle w:val="BookTitle"/>
          <w:rFonts w:ascii="Times New Roman" w:hAnsi="Times New Roman" w:cs="Times New Roman"/>
          <w:i w:val="0"/>
          <w:iCs w:val="0"/>
          <w:smallCaps w:val="0"/>
          <w:spacing w:val="0"/>
        </w:rPr>
        <w:t>.</w:t>
      </w:r>
      <w:r w:rsidR="00925B88">
        <w:rPr>
          <w:rStyle w:val="BookTitle"/>
          <w:rFonts w:ascii="Times New Roman" w:hAnsi="Times New Roman" w:cs="Times New Roman"/>
          <w:i w:val="0"/>
          <w:iCs w:val="0"/>
          <w:smallCaps w:val="0"/>
          <w:spacing w:val="0"/>
        </w:rPr>
        <w:t xml:space="preserve"> </w:t>
      </w:r>
    </w:p>
    <w:p w:rsidR="00C91D70" w:rsidRPr="0052701B" w:rsidRDefault="00C55474" w:rsidP="00910142">
      <w:pPr>
        <w:spacing w:after="0" w:line="240" w:lineRule="auto"/>
        <w:rPr>
          <w:rFonts w:ascii="Times New Roman" w:hAnsi="Times New Roman" w:cs="Times New Roman"/>
          <w:b/>
        </w:rPr>
      </w:pPr>
      <w:r w:rsidRPr="0052701B">
        <w:rPr>
          <w:rFonts w:ascii="Times New Roman" w:hAnsi="Times New Roman" w:cs="Times New Roman"/>
          <w:b/>
        </w:rPr>
        <w:br/>
      </w:r>
      <w:r w:rsidR="00827835">
        <w:rPr>
          <w:rFonts w:ascii="Times New Roman" w:hAnsi="Times New Roman" w:cs="Times New Roman"/>
          <w:u w:val="single"/>
        </w:rPr>
        <w:t>Clause 1</w:t>
      </w:r>
      <w:r w:rsidR="00DD7931">
        <w:rPr>
          <w:rFonts w:ascii="Times New Roman" w:hAnsi="Times New Roman" w:cs="Times New Roman"/>
          <w:u w:val="single"/>
        </w:rPr>
        <w:t xml:space="preserve"> of Schedule 2</w:t>
      </w:r>
      <w:r w:rsidR="00827835">
        <w:rPr>
          <w:rFonts w:ascii="Times New Roman" w:hAnsi="Times New Roman" w:cs="Times New Roman"/>
          <w:u w:val="single"/>
        </w:rPr>
        <w:t xml:space="preserve">: </w:t>
      </w:r>
      <w:proofErr w:type="spellStart"/>
      <w:r w:rsidR="00C91D70" w:rsidRPr="009C1ED1">
        <w:rPr>
          <w:rFonts w:ascii="Times New Roman" w:hAnsi="Times New Roman" w:cs="Times New Roman"/>
          <w:u w:val="single"/>
        </w:rPr>
        <w:t>G</w:t>
      </w:r>
      <w:r w:rsidR="00F15C6D" w:rsidRPr="009C1ED1">
        <w:rPr>
          <w:rFonts w:ascii="Times New Roman" w:hAnsi="Times New Roman" w:cs="Times New Roman"/>
          <w:u w:val="single"/>
        </w:rPr>
        <w:t>EI</w:t>
      </w:r>
      <w:proofErr w:type="spellEnd"/>
      <w:r w:rsidR="00F15C6D" w:rsidRPr="009C1ED1">
        <w:rPr>
          <w:rFonts w:ascii="Times New Roman" w:hAnsi="Times New Roman" w:cs="Times New Roman"/>
          <w:u w:val="single"/>
        </w:rPr>
        <w:t xml:space="preserve"> </w:t>
      </w:r>
      <w:r w:rsidR="00C91D70" w:rsidRPr="009C1ED1">
        <w:rPr>
          <w:rFonts w:ascii="Times New Roman" w:hAnsi="Times New Roman" w:cs="Times New Roman"/>
          <w:u w:val="single"/>
        </w:rPr>
        <w:t>1 – gender composition of the workforce</w:t>
      </w:r>
      <w:r w:rsidR="00F15C6D">
        <w:rPr>
          <w:rFonts w:ascii="Times New Roman" w:hAnsi="Times New Roman" w:cs="Times New Roman"/>
          <w:b/>
        </w:rPr>
        <w:t xml:space="preserve"> </w:t>
      </w:r>
    </w:p>
    <w:p w:rsidR="00450DB4" w:rsidRDefault="00450DB4" w:rsidP="00910142">
      <w:pPr>
        <w:spacing w:after="0" w:line="240" w:lineRule="auto"/>
        <w:rPr>
          <w:rFonts w:ascii="Times New Roman" w:hAnsi="Times New Roman" w:cs="Times New Roman"/>
        </w:rPr>
      </w:pPr>
    </w:p>
    <w:p w:rsidR="0065134E" w:rsidRDefault="0067626E" w:rsidP="00910142">
      <w:pPr>
        <w:spacing w:after="0" w:line="240" w:lineRule="auto"/>
        <w:rPr>
          <w:rFonts w:ascii="Times New Roman" w:hAnsi="Times New Roman" w:cs="Times New Roman"/>
          <w:i/>
        </w:rPr>
      </w:pPr>
      <w:r w:rsidRPr="0052701B">
        <w:rPr>
          <w:rFonts w:ascii="Times New Roman" w:hAnsi="Times New Roman" w:cs="Times New Roman"/>
          <w:i/>
        </w:rPr>
        <w:t>Manager/non-manager</w:t>
      </w:r>
    </w:p>
    <w:p w:rsidR="00C91D70" w:rsidRDefault="00F9501C" w:rsidP="00910142">
      <w:pPr>
        <w:spacing w:after="0" w:line="240" w:lineRule="auto"/>
        <w:rPr>
          <w:rFonts w:ascii="Times New Roman" w:hAnsi="Times New Roman" w:cs="Times New Roman"/>
        </w:rPr>
      </w:pPr>
      <w:r>
        <w:rPr>
          <w:rFonts w:ascii="Times New Roman" w:hAnsi="Times New Roman" w:cs="Times New Roman"/>
          <w:b/>
        </w:rPr>
        <w:br/>
      </w:r>
      <w:r w:rsidR="004F5E1B">
        <w:rPr>
          <w:rFonts w:ascii="Times New Roman" w:hAnsi="Times New Roman" w:cs="Times New Roman"/>
        </w:rPr>
        <w:t>N</w:t>
      </w:r>
      <w:r>
        <w:rPr>
          <w:rFonts w:ascii="Times New Roman" w:hAnsi="Times New Roman" w:cs="Times New Roman"/>
        </w:rPr>
        <w:t xml:space="preserve">ew Schedule 2 </w:t>
      </w:r>
      <w:r w:rsidR="000D2EF6">
        <w:rPr>
          <w:rFonts w:ascii="Times New Roman" w:hAnsi="Times New Roman" w:cs="Times New Roman"/>
        </w:rPr>
        <w:t>remove</w:t>
      </w:r>
      <w:r w:rsidR="0027484E">
        <w:rPr>
          <w:rFonts w:ascii="Times New Roman" w:hAnsi="Times New Roman" w:cs="Times New Roman"/>
        </w:rPr>
        <w:t>s</w:t>
      </w:r>
      <w:r w:rsidR="000D2EF6">
        <w:rPr>
          <w:rFonts w:ascii="Times New Roman" w:hAnsi="Times New Roman" w:cs="Times New Roman"/>
        </w:rPr>
        <w:t xml:space="preserve"> the breakdown of ‘manager and non-manager’ categories, to reflect the changes to the definitions made by </w:t>
      </w:r>
      <w:r w:rsidR="00EA76B5">
        <w:rPr>
          <w:rFonts w:ascii="Times New Roman" w:hAnsi="Times New Roman" w:cs="Times New Roman"/>
        </w:rPr>
        <w:t>item</w:t>
      </w:r>
      <w:r w:rsidR="00A80060">
        <w:rPr>
          <w:rFonts w:ascii="Times New Roman" w:hAnsi="Times New Roman" w:cs="Times New Roman"/>
        </w:rPr>
        <w:t>s 2 and 3</w:t>
      </w:r>
      <w:r w:rsidR="00EA76B5">
        <w:rPr>
          <w:rFonts w:ascii="Times New Roman" w:hAnsi="Times New Roman" w:cs="Times New Roman"/>
        </w:rPr>
        <w:t xml:space="preserve"> </w:t>
      </w:r>
      <w:r w:rsidR="00157F2D">
        <w:rPr>
          <w:rFonts w:ascii="Times New Roman" w:hAnsi="Times New Roman" w:cs="Times New Roman"/>
        </w:rPr>
        <w:t>(</w:t>
      </w:r>
      <w:r w:rsidR="00554868">
        <w:rPr>
          <w:rFonts w:ascii="Times New Roman" w:hAnsi="Times New Roman" w:cs="Times New Roman"/>
        </w:rPr>
        <w:t>above</w:t>
      </w:r>
      <w:r w:rsidR="00157F2D">
        <w:rPr>
          <w:rFonts w:ascii="Times New Roman" w:hAnsi="Times New Roman" w:cs="Times New Roman"/>
        </w:rPr>
        <w:t>)</w:t>
      </w:r>
      <w:r w:rsidR="00EA76B5">
        <w:rPr>
          <w:rFonts w:ascii="Times New Roman" w:hAnsi="Times New Roman" w:cs="Times New Roman"/>
        </w:rPr>
        <w:t xml:space="preserve">. </w:t>
      </w:r>
      <w:r w:rsidR="00A80BED">
        <w:rPr>
          <w:rFonts w:ascii="Times New Roman" w:hAnsi="Times New Roman" w:cs="Times New Roman"/>
        </w:rPr>
        <w:t>These minor technical amendments do not alter the subs</w:t>
      </w:r>
      <w:r w:rsidR="000D4203">
        <w:rPr>
          <w:rFonts w:ascii="Times New Roman" w:hAnsi="Times New Roman" w:cs="Times New Roman"/>
        </w:rPr>
        <w:t xml:space="preserve">tantive effect </w:t>
      </w:r>
      <w:r w:rsidR="004F5E1B">
        <w:rPr>
          <w:rFonts w:ascii="Times New Roman" w:hAnsi="Times New Roman" w:cs="Times New Roman"/>
        </w:rPr>
        <w:t>of</w:t>
      </w:r>
      <w:r w:rsidR="000D4203">
        <w:rPr>
          <w:rFonts w:ascii="Times New Roman" w:hAnsi="Times New Roman" w:cs="Times New Roman"/>
        </w:rPr>
        <w:t xml:space="preserve"> clause 1 of</w:t>
      </w:r>
      <w:r w:rsidR="00A80BED">
        <w:rPr>
          <w:rFonts w:ascii="Times New Roman" w:hAnsi="Times New Roman" w:cs="Times New Roman"/>
        </w:rPr>
        <w:t xml:space="preserve"> Schedule </w:t>
      </w:r>
      <w:r w:rsidR="00157F2D">
        <w:rPr>
          <w:rFonts w:ascii="Times New Roman" w:hAnsi="Times New Roman" w:cs="Times New Roman"/>
        </w:rPr>
        <w:t>2</w:t>
      </w:r>
      <w:r w:rsidR="002F0413">
        <w:rPr>
          <w:rFonts w:ascii="Times New Roman" w:hAnsi="Times New Roman" w:cs="Times New Roman"/>
        </w:rPr>
        <w:t xml:space="preserve"> to the Principal Instrument</w:t>
      </w:r>
      <w:r w:rsidR="00A80BED">
        <w:rPr>
          <w:rFonts w:ascii="Times New Roman" w:hAnsi="Times New Roman" w:cs="Times New Roman"/>
        </w:rPr>
        <w:t>.</w:t>
      </w:r>
    </w:p>
    <w:p w:rsidR="0067626E" w:rsidRDefault="0067626E" w:rsidP="00910142">
      <w:pPr>
        <w:spacing w:after="0" w:line="240" w:lineRule="auto"/>
        <w:rPr>
          <w:rFonts w:ascii="Times New Roman" w:hAnsi="Times New Roman" w:cs="Times New Roman"/>
        </w:rPr>
      </w:pPr>
    </w:p>
    <w:p w:rsidR="0065134E" w:rsidRDefault="0067626E" w:rsidP="00910142">
      <w:pPr>
        <w:spacing w:after="0" w:line="240" w:lineRule="auto"/>
        <w:rPr>
          <w:rFonts w:ascii="Times New Roman" w:hAnsi="Times New Roman" w:cs="Times New Roman"/>
          <w:i/>
        </w:rPr>
      </w:pPr>
      <w:r w:rsidRPr="0052701B">
        <w:rPr>
          <w:rFonts w:ascii="Times New Roman" w:hAnsi="Times New Roman" w:cs="Times New Roman"/>
          <w:i/>
        </w:rPr>
        <w:t>Recruitmen</w:t>
      </w:r>
      <w:r w:rsidR="005966CE">
        <w:rPr>
          <w:rFonts w:ascii="Times New Roman" w:hAnsi="Times New Roman" w:cs="Times New Roman"/>
          <w:i/>
        </w:rPr>
        <w:t>t: applications and interviews</w:t>
      </w:r>
    </w:p>
    <w:p w:rsidR="00191CD0" w:rsidRDefault="00F9501C" w:rsidP="00910142">
      <w:pPr>
        <w:spacing w:after="0" w:line="240" w:lineRule="auto"/>
        <w:rPr>
          <w:rFonts w:ascii="Times New Roman" w:hAnsi="Times New Roman" w:cs="Times New Roman"/>
        </w:rPr>
      </w:pPr>
      <w:r>
        <w:rPr>
          <w:rFonts w:ascii="Times New Roman" w:hAnsi="Times New Roman" w:cs="Times New Roman"/>
        </w:rPr>
        <w:br/>
      </w:r>
      <w:r w:rsidR="002F0413">
        <w:rPr>
          <w:rFonts w:ascii="Times New Roman" w:hAnsi="Times New Roman" w:cs="Times New Roman"/>
        </w:rPr>
        <w:t xml:space="preserve">Clause </w:t>
      </w:r>
      <w:r w:rsidR="002A36A0">
        <w:rPr>
          <w:rFonts w:ascii="Times New Roman" w:hAnsi="Times New Roman" w:cs="Times New Roman"/>
        </w:rPr>
        <w:t xml:space="preserve">1 of </w:t>
      </w:r>
      <w:r w:rsidR="00157F2D">
        <w:rPr>
          <w:rFonts w:ascii="Times New Roman" w:hAnsi="Times New Roman" w:cs="Times New Roman"/>
        </w:rPr>
        <w:t>Schedule 2</w:t>
      </w:r>
      <w:r w:rsidR="002F0413">
        <w:rPr>
          <w:rFonts w:ascii="Times New Roman" w:hAnsi="Times New Roman" w:cs="Times New Roman"/>
        </w:rPr>
        <w:t xml:space="preserve"> to the Principal Instrument currently</w:t>
      </w:r>
      <w:r w:rsidR="002A36A0">
        <w:rPr>
          <w:rFonts w:ascii="Times New Roman" w:hAnsi="Times New Roman" w:cs="Times New Roman"/>
        </w:rPr>
        <w:t xml:space="preserve"> amends</w:t>
      </w:r>
      <w:r w:rsidR="002A36A0" w:rsidRPr="002A36A0">
        <w:rPr>
          <w:rFonts w:ascii="Times New Roman" w:hAnsi="Times New Roman" w:cs="Times New Roman"/>
        </w:rPr>
        <w:t xml:space="preserve"> </w:t>
      </w:r>
      <w:r w:rsidR="002A36A0">
        <w:rPr>
          <w:rFonts w:ascii="Times New Roman" w:hAnsi="Times New Roman" w:cs="Times New Roman"/>
        </w:rPr>
        <w:t>clause</w:t>
      </w:r>
      <w:r w:rsidR="00CD274E">
        <w:rPr>
          <w:rFonts w:ascii="Times New Roman" w:hAnsi="Times New Roman" w:cs="Times New Roman"/>
        </w:rPr>
        <w:t xml:space="preserve"> </w:t>
      </w:r>
      <w:r w:rsidR="00CE2059">
        <w:rPr>
          <w:rFonts w:ascii="Times New Roman" w:hAnsi="Times New Roman" w:cs="Times New Roman"/>
        </w:rPr>
        <w:t>1</w:t>
      </w:r>
      <w:r w:rsidR="002A36A0">
        <w:rPr>
          <w:rFonts w:ascii="Times New Roman" w:hAnsi="Times New Roman" w:cs="Times New Roman"/>
        </w:rPr>
        <w:t xml:space="preserve"> of Schedule 1</w:t>
      </w:r>
      <w:r w:rsidR="002F0413">
        <w:rPr>
          <w:rFonts w:ascii="Times New Roman" w:hAnsi="Times New Roman" w:cs="Times New Roman"/>
        </w:rPr>
        <w:t xml:space="preserve"> to the Principal Instrument</w:t>
      </w:r>
      <w:r w:rsidR="002A36A0">
        <w:rPr>
          <w:rFonts w:ascii="Times New Roman" w:hAnsi="Times New Roman" w:cs="Times New Roman"/>
        </w:rPr>
        <w:t xml:space="preserve"> from 1 April 2015 </w:t>
      </w:r>
      <w:r w:rsidR="00CE2059">
        <w:rPr>
          <w:rFonts w:ascii="Times New Roman" w:hAnsi="Times New Roman" w:cs="Times New Roman"/>
        </w:rPr>
        <w:t>by inserting clauses 1.3 and 1.4 which</w:t>
      </w:r>
      <w:r w:rsidR="002A36A0">
        <w:rPr>
          <w:rFonts w:ascii="Times New Roman" w:hAnsi="Times New Roman" w:cs="Times New Roman"/>
        </w:rPr>
        <w:t xml:space="preserve"> require </w:t>
      </w:r>
      <w:r w:rsidR="0067626E">
        <w:rPr>
          <w:rFonts w:ascii="Times New Roman" w:hAnsi="Times New Roman" w:cs="Times New Roman"/>
        </w:rPr>
        <w:t xml:space="preserve">relevant employers to </w:t>
      </w:r>
      <w:r w:rsidR="00C91D70">
        <w:rPr>
          <w:rFonts w:ascii="Times New Roman" w:hAnsi="Times New Roman" w:cs="Times New Roman"/>
        </w:rPr>
        <w:t>report on the composition of recruitment applications and interviews by gender and by manager/non-manager</w:t>
      </w:r>
      <w:r w:rsidR="00686B3E">
        <w:rPr>
          <w:rFonts w:ascii="Times New Roman" w:hAnsi="Times New Roman" w:cs="Times New Roman"/>
        </w:rPr>
        <w:t xml:space="preserve"> status</w:t>
      </w:r>
      <w:r w:rsidR="00C91D70">
        <w:rPr>
          <w:rFonts w:ascii="Times New Roman" w:hAnsi="Times New Roman" w:cs="Times New Roman"/>
        </w:rPr>
        <w:t xml:space="preserve">. </w:t>
      </w:r>
      <w:r w:rsidR="00827835">
        <w:rPr>
          <w:rFonts w:ascii="Times New Roman" w:hAnsi="Times New Roman" w:cs="Times New Roman"/>
        </w:rPr>
        <w:t>Clause 1 of n</w:t>
      </w:r>
      <w:r>
        <w:rPr>
          <w:rFonts w:ascii="Times New Roman" w:hAnsi="Times New Roman" w:cs="Times New Roman"/>
        </w:rPr>
        <w:t xml:space="preserve">ew </w:t>
      </w:r>
      <w:r w:rsidR="00F15C6D">
        <w:rPr>
          <w:rFonts w:ascii="Times New Roman" w:hAnsi="Times New Roman" w:cs="Times New Roman"/>
        </w:rPr>
        <w:t>Schedule </w:t>
      </w:r>
      <w:r w:rsidR="0067626E">
        <w:rPr>
          <w:rFonts w:ascii="Times New Roman" w:hAnsi="Times New Roman" w:cs="Times New Roman"/>
        </w:rPr>
        <w:t>2</w:t>
      </w:r>
      <w:r w:rsidR="00C91D70">
        <w:rPr>
          <w:rFonts w:ascii="Times New Roman" w:hAnsi="Times New Roman" w:cs="Times New Roman"/>
        </w:rPr>
        <w:t xml:space="preserve"> remove</w:t>
      </w:r>
      <w:r w:rsidR="0067626E">
        <w:rPr>
          <w:rFonts w:ascii="Times New Roman" w:hAnsi="Times New Roman" w:cs="Times New Roman"/>
        </w:rPr>
        <w:t>s</w:t>
      </w:r>
      <w:r w:rsidR="00C91D70">
        <w:rPr>
          <w:rFonts w:ascii="Times New Roman" w:hAnsi="Times New Roman" w:cs="Times New Roman"/>
        </w:rPr>
        <w:t xml:space="preserve"> these additional reporting matters. </w:t>
      </w:r>
    </w:p>
    <w:p w:rsidR="00191CD0" w:rsidRDefault="00191CD0" w:rsidP="00910142">
      <w:pPr>
        <w:spacing w:after="0" w:line="240" w:lineRule="auto"/>
        <w:rPr>
          <w:rFonts w:ascii="Times New Roman" w:hAnsi="Times New Roman" w:cs="Times New Roman"/>
        </w:rPr>
      </w:pPr>
    </w:p>
    <w:p w:rsidR="00C91D70" w:rsidRDefault="0067626E" w:rsidP="00910142">
      <w:pPr>
        <w:spacing w:after="0" w:line="240" w:lineRule="auto"/>
        <w:rPr>
          <w:rFonts w:ascii="Times New Roman" w:hAnsi="Times New Roman" w:cs="Times New Roman"/>
        </w:rPr>
      </w:pPr>
      <w:r>
        <w:rPr>
          <w:rFonts w:ascii="Times New Roman" w:hAnsi="Times New Roman" w:cs="Times New Roman"/>
        </w:rPr>
        <w:t xml:space="preserve">The amendment </w:t>
      </w:r>
      <w:r w:rsidR="00EC1454">
        <w:rPr>
          <w:rFonts w:ascii="Times New Roman" w:hAnsi="Times New Roman" w:cs="Times New Roman"/>
        </w:rPr>
        <w:t>is a result of</w:t>
      </w:r>
      <w:r w:rsidR="00F9501C">
        <w:rPr>
          <w:rFonts w:ascii="Times New Roman" w:hAnsi="Times New Roman" w:cs="Times New Roman"/>
        </w:rPr>
        <w:t xml:space="preserve"> </w:t>
      </w:r>
      <w:r>
        <w:rPr>
          <w:rFonts w:ascii="Times New Roman" w:hAnsi="Times New Roman" w:cs="Times New Roman"/>
        </w:rPr>
        <w:t>f</w:t>
      </w:r>
      <w:r w:rsidR="00C91D70">
        <w:rPr>
          <w:rFonts w:ascii="Times New Roman" w:hAnsi="Times New Roman" w:cs="Times New Roman"/>
        </w:rPr>
        <w:t xml:space="preserve">eedback from </w:t>
      </w:r>
      <w:r w:rsidR="000447CA">
        <w:rPr>
          <w:rFonts w:ascii="Times New Roman" w:hAnsi="Times New Roman" w:cs="Times New Roman"/>
        </w:rPr>
        <w:t xml:space="preserve">employers and employer </w:t>
      </w:r>
      <w:r w:rsidR="0008696F">
        <w:rPr>
          <w:rFonts w:ascii="Times New Roman" w:hAnsi="Times New Roman" w:cs="Times New Roman"/>
        </w:rPr>
        <w:t>representatives</w:t>
      </w:r>
      <w:r w:rsidR="00C91D70">
        <w:rPr>
          <w:rFonts w:ascii="Times New Roman" w:hAnsi="Times New Roman" w:cs="Times New Roman"/>
        </w:rPr>
        <w:t xml:space="preserve"> </w:t>
      </w:r>
      <w:r>
        <w:rPr>
          <w:rFonts w:ascii="Times New Roman" w:hAnsi="Times New Roman" w:cs="Times New Roman"/>
        </w:rPr>
        <w:t xml:space="preserve">who </w:t>
      </w:r>
      <w:r w:rsidR="00C91D70">
        <w:rPr>
          <w:rFonts w:ascii="Times New Roman" w:hAnsi="Times New Roman" w:cs="Times New Roman"/>
        </w:rPr>
        <w:t xml:space="preserve">indicated that the </w:t>
      </w:r>
      <w:r w:rsidR="005966CE">
        <w:rPr>
          <w:rFonts w:ascii="Times New Roman" w:hAnsi="Times New Roman" w:cs="Times New Roman"/>
        </w:rPr>
        <w:t xml:space="preserve">number </w:t>
      </w:r>
      <w:r w:rsidR="00C91D70">
        <w:rPr>
          <w:rFonts w:ascii="Times New Roman" w:hAnsi="Times New Roman" w:cs="Times New Roman"/>
        </w:rPr>
        <w:t>of applications and interviews c</w:t>
      </w:r>
      <w:r w:rsidR="00191CD0">
        <w:rPr>
          <w:rFonts w:ascii="Times New Roman" w:hAnsi="Times New Roman" w:cs="Times New Roman"/>
        </w:rPr>
        <w:t>an</w:t>
      </w:r>
      <w:r w:rsidR="00C91D70">
        <w:rPr>
          <w:rFonts w:ascii="Times New Roman" w:hAnsi="Times New Roman" w:cs="Times New Roman"/>
        </w:rPr>
        <w:t xml:space="preserve"> be </w:t>
      </w:r>
      <w:r w:rsidR="000447CA">
        <w:rPr>
          <w:rFonts w:ascii="Times New Roman" w:hAnsi="Times New Roman" w:cs="Times New Roman"/>
        </w:rPr>
        <w:t xml:space="preserve">considerable, particularly for larger employers </w:t>
      </w:r>
      <w:r w:rsidR="00397FD4">
        <w:rPr>
          <w:rFonts w:ascii="Times New Roman" w:hAnsi="Times New Roman" w:cs="Times New Roman"/>
        </w:rPr>
        <w:t>and may not provide useful data, especially if gender cannot be determined</w:t>
      </w:r>
      <w:r w:rsidR="00F9501C">
        <w:rPr>
          <w:rFonts w:ascii="Times New Roman" w:hAnsi="Times New Roman" w:cs="Times New Roman"/>
        </w:rPr>
        <w:t xml:space="preserve"> (</w:t>
      </w:r>
      <w:r w:rsidR="00397FD4">
        <w:rPr>
          <w:rFonts w:ascii="Times New Roman" w:hAnsi="Times New Roman" w:cs="Times New Roman"/>
        </w:rPr>
        <w:t>for instance</w:t>
      </w:r>
      <w:r w:rsidR="00D665F4">
        <w:rPr>
          <w:rFonts w:ascii="Times New Roman" w:hAnsi="Times New Roman" w:cs="Times New Roman"/>
        </w:rPr>
        <w:t>,</w:t>
      </w:r>
      <w:r w:rsidR="00397FD4">
        <w:rPr>
          <w:rFonts w:ascii="Times New Roman" w:hAnsi="Times New Roman" w:cs="Times New Roman"/>
        </w:rPr>
        <w:t xml:space="preserve"> in written </w:t>
      </w:r>
      <w:r w:rsidR="00397FD4">
        <w:rPr>
          <w:rFonts w:ascii="Times New Roman" w:hAnsi="Times New Roman" w:cs="Times New Roman"/>
        </w:rPr>
        <w:lastRenderedPageBreak/>
        <w:t>applications</w:t>
      </w:r>
      <w:r w:rsidR="00F9501C">
        <w:rPr>
          <w:rFonts w:ascii="Times New Roman" w:hAnsi="Times New Roman" w:cs="Times New Roman"/>
        </w:rPr>
        <w:t>)</w:t>
      </w:r>
      <w:r w:rsidR="00C91D70">
        <w:rPr>
          <w:rFonts w:ascii="Times New Roman" w:hAnsi="Times New Roman" w:cs="Times New Roman"/>
        </w:rPr>
        <w:t>. Reporting on these matters would be an excessive burden</w:t>
      </w:r>
      <w:r>
        <w:rPr>
          <w:rFonts w:ascii="Times New Roman" w:hAnsi="Times New Roman" w:cs="Times New Roman"/>
        </w:rPr>
        <w:t xml:space="preserve"> and regulation</w:t>
      </w:r>
      <w:r w:rsidR="00C91D70">
        <w:rPr>
          <w:rFonts w:ascii="Times New Roman" w:hAnsi="Times New Roman" w:cs="Times New Roman"/>
        </w:rPr>
        <w:t xml:space="preserve">, without providing corresponding benefits </w:t>
      </w:r>
      <w:r w:rsidR="000447CA">
        <w:rPr>
          <w:rFonts w:ascii="Times New Roman" w:hAnsi="Times New Roman" w:cs="Times New Roman"/>
        </w:rPr>
        <w:t>for employers</w:t>
      </w:r>
      <w:r w:rsidR="00C91D70">
        <w:rPr>
          <w:rFonts w:ascii="Times New Roman" w:hAnsi="Times New Roman" w:cs="Times New Roman"/>
        </w:rPr>
        <w:t>. This argument is generally accepted by stakeholders.</w:t>
      </w:r>
    </w:p>
    <w:p w:rsidR="00C91D70" w:rsidRDefault="00C91D70" w:rsidP="00910142">
      <w:pPr>
        <w:spacing w:after="0" w:line="240" w:lineRule="auto"/>
        <w:rPr>
          <w:rFonts w:ascii="Times New Roman" w:hAnsi="Times New Roman" w:cs="Times New Roman"/>
        </w:rPr>
      </w:pPr>
    </w:p>
    <w:p w:rsidR="00C91D70" w:rsidRPr="009C1ED1" w:rsidRDefault="00827835" w:rsidP="00910142">
      <w:pPr>
        <w:spacing w:after="0" w:line="240" w:lineRule="auto"/>
        <w:rPr>
          <w:rFonts w:ascii="Times New Roman" w:hAnsi="Times New Roman" w:cs="Times New Roman"/>
          <w:u w:val="single"/>
        </w:rPr>
      </w:pPr>
      <w:r>
        <w:rPr>
          <w:rFonts w:ascii="Times New Roman" w:hAnsi="Times New Roman" w:cs="Times New Roman"/>
          <w:u w:val="single"/>
        </w:rPr>
        <w:t>Clause 2</w:t>
      </w:r>
      <w:r w:rsidR="00DD7931">
        <w:rPr>
          <w:rFonts w:ascii="Times New Roman" w:hAnsi="Times New Roman" w:cs="Times New Roman"/>
          <w:u w:val="single"/>
        </w:rPr>
        <w:t xml:space="preserve"> of Schedule 2</w:t>
      </w:r>
      <w:r>
        <w:rPr>
          <w:rFonts w:ascii="Times New Roman" w:hAnsi="Times New Roman" w:cs="Times New Roman"/>
          <w:u w:val="single"/>
        </w:rPr>
        <w:t xml:space="preserve">: </w:t>
      </w:r>
      <w:proofErr w:type="spellStart"/>
      <w:r w:rsidR="00C91D70" w:rsidRPr="009C1ED1">
        <w:rPr>
          <w:rFonts w:ascii="Times New Roman" w:hAnsi="Times New Roman" w:cs="Times New Roman"/>
          <w:u w:val="single"/>
        </w:rPr>
        <w:t>G</w:t>
      </w:r>
      <w:r w:rsidR="00F15C6D" w:rsidRPr="009C1ED1">
        <w:rPr>
          <w:rFonts w:ascii="Times New Roman" w:hAnsi="Times New Roman" w:cs="Times New Roman"/>
          <w:u w:val="single"/>
        </w:rPr>
        <w:t>EI</w:t>
      </w:r>
      <w:proofErr w:type="spellEnd"/>
      <w:r w:rsidR="00C91D70" w:rsidRPr="009C1ED1">
        <w:rPr>
          <w:rFonts w:ascii="Times New Roman" w:hAnsi="Times New Roman" w:cs="Times New Roman"/>
          <w:u w:val="single"/>
        </w:rPr>
        <w:t xml:space="preserve"> 3 – equal remuneration between women and men</w:t>
      </w:r>
    </w:p>
    <w:p w:rsidR="00C91D70" w:rsidRDefault="00C91D70" w:rsidP="00910142">
      <w:pPr>
        <w:spacing w:after="0" w:line="240" w:lineRule="auto"/>
        <w:rPr>
          <w:rFonts w:ascii="Times New Roman" w:hAnsi="Times New Roman" w:cs="Times New Roman"/>
        </w:rPr>
      </w:pPr>
    </w:p>
    <w:p w:rsidR="00F9501C" w:rsidRDefault="00FE58B1" w:rsidP="00910142">
      <w:pPr>
        <w:spacing w:after="0" w:line="240" w:lineRule="auto"/>
        <w:rPr>
          <w:rFonts w:ascii="Times New Roman" w:hAnsi="Times New Roman" w:cs="Times New Roman"/>
        </w:rPr>
      </w:pPr>
      <w:r>
        <w:rPr>
          <w:rFonts w:ascii="Times New Roman" w:hAnsi="Times New Roman" w:cs="Times New Roman"/>
        </w:rPr>
        <w:t xml:space="preserve">Clause </w:t>
      </w:r>
      <w:r w:rsidR="00792E5B">
        <w:rPr>
          <w:rFonts w:ascii="Times New Roman" w:hAnsi="Times New Roman" w:cs="Times New Roman"/>
        </w:rPr>
        <w:t>2</w:t>
      </w:r>
      <w:r w:rsidR="002F0413">
        <w:rPr>
          <w:rFonts w:ascii="Times New Roman" w:hAnsi="Times New Roman" w:cs="Times New Roman"/>
        </w:rPr>
        <w:t xml:space="preserve"> of </w:t>
      </w:r>
      <w:r w:rsidR="00C91D70">
        <w:rPr>
          <w:rFonts w:ascii="Times New Roman" w:hAnsi="Times New Roman" w:cs="Times New Roman"/>
        </w:rPr>
        <w:t xml:space="preserve">Schedule 2 </w:t>
      </w:r>
      <w:r w:rsidR="00F15C6D">
        <w:rPr>
          <w:rFonts w:ascii="Times New Roman" w:hAnsi="Times New Roman" w:cs="Times New Roman"/>
        </w:rPr>
        <w:t>to the Principal Instrument</w:t>
      </w:r>
      <w:r>
        <w:rPr>
          <w:rFonts w:ascii="Times New Roman" w:hAnsi="Times New Roman" w:cs="Times New Roman"/>
        </w:rPr>
        <w:t xml:space="preserve"> currently</w:t>
      </w:r>
      <w:r w:rsidR="00792E5B">
        <w:rPr>
          <w:rFonts w:ascii="Times New Roman" w:hAnsi="Times New Roman" w:cs="Times New Roman"/>
        </w:rPr>
        <w:t xml:space="preserve"> amends clause 3 of Schedule 1 to the Principal Instrument from 1 April 2015, and</w:t>
      </w:r>
      <w:r w:rsidR="00F15C6D">
        <w:rPr>
          <w:rFonts w:ascii="Times New Roman" w:hAnsi="Times New Roman" w:cs="Times New Roman"/>
        </w:rPr>
        <w:t xml:space="preserve"> </w:t>
      </w:r>
      <w:r w:rsidR="00B00041">
        <w:rPr>
          <w:rFonts w:ascii="Times New Roman" w:hAnsi="Times New Roman" w:cs="Times New Roman"/>
        </w:rPr>
        <w:t>provide</w:t>
      </w:r>
      <w:r w:rsidR="0027484E">
        <w:rPr>
          <w:rFonts w:ascii="Times New Roman" w:hAnsi="Times New Roman" w:cs="Times New Roman"/>
        </w:rPr>
        <w:t>s</w:t>
      </w:r>
      <w:r w:rsidR="00B00041">
        <w:rPr>
          <w:rFonts w:ascii="Times New Roman" w:hAnsi="Times New Roman" w:cs="Times New Roman"/>
        </w:rPr>
        <w:t xml:space="preserve"> </w:t>
      </w:r>
      <w:r w:rsidR="0027484E">
        <w:rPr>
          <w:rFonts w:ascii="Times New Roman" w:hAnsi="Times New Roman" w:cs="Times New Roman"/>
        </w:rPr>
        <w:t>that relevant employers must report on the remuneration of all its employees.</w:t>
      </w:r>
      <w:r w:rsidR="00B00041">
        <w:rPr>
          <w:rFonts w:ascii="Times New Roman" w:hAnsi="Times New Roman" w:cs="Times New Roman"/>
        </w:rPr>
        <w:t xml:space="preserve"> </w:t>
      </w:r>
    </w:p>
    <w:p w:rsidR="00F9501C" w:rsidRPr="0052701B" w:rsidRDefault="00F9501C" w:rsidP="00910142">
      <w:pPr>
        <w:spacing w:after="0" w:line="240" w:lineRule="auto"/>
        <w:rPr>
          <w:rFonts w:ascii="Times New Roman" w:hAnsi="Times New Roman" w:cs="Times New Roman"/>
          <w:i/>
        </w:rPr>
      </w:pPr>
    </w:p>
    <w:p w:rsidR="0065134E" w:rsidRPr="0052701B" w:rsidRDefault="0065134E" w:rsidP="00910142">
      <w:pPr>
        <w:spacing w:after="0" w:line="240" w:lineRule="auto"/>
        <w:rPr>
          <w:rFonts w:ascii="Times New Roman" w:hAnsi="Times New Roman" w:cs="Times New Roman"/>
          <w:i/>
        </w:rPr>
      </w:pPr>
      <w:r w:rsidRPr="0052701B">
        <w:rPr>
          <w:rFonts w:ascii="Times New Roman" w:hAnsi="Times New Roman" w:cs="Times New Roman"/>
          <w:i/>
        </w:rPr>
        <w:t>Remuneration of managers</w:t>
      </w:r>
    </w:p>
    <w:p w:rsidR="0065134E" w:rsidRDefault="0065134E" w:rsidP="00910142">
      <w:pPr>
        <w:spacing w:after="0" w:line="240" w:lineRule="auto"/>
        <w:rPr>
          <w:rFonts w:ascii="Times New Roman" w:hAnsi="Times New Roman" w:cs="Times New Roman"/>
        </w:rPr>
      </w:pPr>
    </w:p>
    <w:p w:rsidR="00B00041" w:rsidRDefault="00827835" w:rsidP="00910142">
      <w:pPr>
        <w:spacing w:after="0" w:line="240" w:lineRule="auto"/>
        <w:rPr>
          <w:rFonts w:ascii="Times New Roman" w:hAnsi="Times New Roman" w:cs="Times New Roman"/>
        </w:rPr>
      </w:pPr>
      <w:r>
        <w:rPr>
          <w:rFonts w:ascii="Times New Roman" w:hAnsi="Times New Roman" w:cs="Times New Roman"/>
        </w:rPr>
        <w:t>Clause 2 of n</w:t>
      </w:r>
      <w:r w:rsidR="00F9501C">
        <w:rPr>
          <w:rFonts w:ascii="Times New Roman" w:hAnsi="Times New Roman" w:cs="Times New Roman"/>
        </w:rPr>
        <w:t>ew Schedule 2</w:t>
      </w:r>
      <w:r w:rsidR="0091473E">
        <w:rPr>
          <w:rFonts w:ascii="Times New Roman" w:hAnsi="Times New Roman" w:cs="Times New Roman"/>
        </w:rPr>
        <w:t xml:space="preserve"> is different from</w:t>
      </w:r>
      <w:r w:rsidR="00C91D70">
        <w:rPr>
          <w:rFonts w:ascii="Times New Roman" w:hAnsi="Times New Roman" w:cs="Times New Roman"/>
        </w:rPr>
        <w:t xml:space="preserve"> </w:t>
      </w:r>
      <w:r w:rsidR="009C1ED1">
        <w:rPr>
          <w:rFonts w:ascii="Times New Roman" w:hAnsi="Times New Roman" w:cs="Times New Roman"/>
        </w:rPr>
        <w:t xml:space="preserve">clause 2 of </w:t>
      </w:r>
      <w:r w:rsidR="0091473E">
        <w:rPr>
          <w:rFonts w:ascii="Times New Roman" w:hAnsi="Times New Roman" w:cs="Times New Roman"/>
        </w:rPr>
        <w:t xml:space="preserve">current </w:t>
      </w:r>
      <w:r w:rsidR="009C1ED1">
        <w:rPr>
          <w:rFonts w:ascii="Times New Roman" w:hAnsi="Times New Roman" w:cs="Times New Roman"/>
        </w:rPr>
        <w:t>Schedule 2</w:t>
      </w:r>
      <w:r w:rsidR="00C91D70">
        <w:rPr>
          <w:rFonts w:ascii="Times New Roman" w:hAnsi="Times New Roman" w:cs="Times New Roman"/>
        </w:rPr>
        <w:t xml:space="preserve"> </w:t>
      </w:r>
      <w:r w:rsidR="0091473E">
        <w:rPr>
          <w:rFonts w:ascii="Times New Roman" w:hAnsi="Times New Roman" w:cs="Times New Roman"/>
        </w:rPr>
        <w:t>in that it</w:t>
      </w:r>
      <w:r w:rsidR="00567170">
        <w:rPr>
          <w:rFonts w:ascii="Times New Roman" w:hAnsi="Times New Roman" w:cs="Times New Roman"/>
        </w:rPr>
        <w:t xml:space="preserve"> remove</w:t>
      </w:r>
      <w:r w:rsidR="0091473E">
        <w:rPr>
          <w:rFonts w:ascii="Times New Roman" w:hAnsi="Times New Roman" w:cs="Times New Roman"/>
        </w:rPr>
        <w:t>s</w:t>
      </w:r>
      <w:r w:rsidR="00567170">
        <w:rPr>
          <w:rFonts w:ascii="Times New Roman" w:hAnsi="Times New Roman" w:cs="Times New Roman"/>
        </w:rPr>
        <w:t xml:space="preserve"> the requirement for </w:t>
      </w:r>
      <w:r w:rsidR="00C91D70">
        <w:rPr>
          <w:rFonts w:ascii="Times New Roman" w:hAnsi="Times New Roman" w:cs="Times New Roman"/>
        </w:rPr>
        <w:t>relevant employers</w:t>
      </w:r>
      <w:r w:rsidR="00567170">
        <w:rPr>
          <w:rFonts w:ascii="Times New Roman" w:hAnsi="Times New Roman" w:cs="Times New Roman"/>
        </w:rPr>
        <w:t xml:space="preserve"> </w:t>
      </w:r>
      <w:r w:rsidR="00975182">
        <w:rPr>
          <w:rFonts w:ascii="Times New Roman" w:hAnsi="Times New Roman" w:cs="Times New Roman"/>
        </w:rPr>
        <w:t xml:space="preserve">to </w:t>
      </w:r>
      <w:r w:rsidR="00B00041">
        <w:rPr>
          <w:rFonts w:ascii="Times New Roman" w:hAnsi="Times New Roman" w:cs="Times New Roman"/>
        </w:rPr>
        <w:t xml:space="preserve">report on the remuneration of </w:t>
      </w:r>
      <w:r w:rsidR="00975182">
        <w:rPr>
          <w:rFonts w:ascii="Times New Roman" w:hAnsi="Times New Roman" w:cs="Times New Roman"/>
        </w:rPr>
        <w:t xml:space="preserve">the following </w:t>
      </w:r>
      <w:r w:rsidR="00B00041">
        <w:rPr>
          <w:rFonts w:ascii="Times New Roman" w:hAnsi="Times New Roman" w:cs="Times New Roman"/>
        </w:rPr>
        <w:t>managers</w:t>
      </w:r>
      <w:r w:rsidR="00975182">
        <w:rPr>
          <w:rFonts w:ascii="Times New Roman" w:hAnsi="Times New Roman" w:cs="Times New Roman"/>
        </w:rPr>
        <w:t>:</w:t>
      </w:r>
    </w:p>
    <w:p w:rsidR="00B00041" w:rsidRDefault="00B00041" w:rsidP="0052701B">
      <w:pPr>
        <w:pStyle w:val="Sub-parax"/>
        <w:numPr>
          <w:ilvl w:val="0"/>
          <w:numId w:val="28"/>
        </w:numPr>
        <w:spacing w:line="240" w:lineRule="auto"/>
        <w:ind w:left="851" w:hanging="425"/>
      </w:pPr>
      <w:r>
        <w:t xml:space="preserve">key management personnel with a reporting distance above the </w:t>
      </w:r>
      <w:proofErr w:type="spellStart"/>
      <w:r>
        <w:t>CEO</w:t>
      </w:r>
      <w:proofErr w:type="spellEnd"/>
      <w:r>
        <w:t xml:space="preserve"> or equivalent;</w:t>
      </w:r>
    </w:p>
    <w:p w:rsidR="00B00041" w:rsidRDefault="00554868" w:rsidP="0052701B">
      <w:pPr>
        <w:pStyle w:val="Sub-parax"/>
        <w:numPr>
          <w:ilvl w:val="0"/>
          <w:numId w:val="28"/>
        </w:numPr>
        <w:spacing w:line="240" w:lineRule="auto"/>
        <w:ind w:left="851" w:hanging="425"/>
      </w:pPr>
      <w:r>
        <w:t xml:space="preserve">the </w:t>
      </w:r>
      <w:proofErr w:type="spellStart"/>
      <w:r>
        <w:t>CEO</w:t>
      </w:r>
      <w:proofErr w:type="spellEnd"/>
      <w:r>
        <w:t xml:space="preserve"> or equivalent; or</w:t>
      </w:r>
    </w:p>
    <w:p w:rsidR="00B00041" w:rsidRDefault="00B00041" w:rsidP="0052701B">
      <w:pPr>
        <w:pStyle w:val="Sub-parax"/>
        <w:numPr>
          <w:ilvl w:val="0"/>
          <w:numId w:val="28"/>
        </w:numPr>
        <w:spacing w:line="240" w:lineRule="auto"/>
        <w:ind w:left="851" w:hanging="425"/>
      </w:pPr>
      <w:proofErr w:type="gramStart"/>
      <w:r>
        <w:t>a</w:t>
      </w:r>
      <w:proofErr w:type="gramEnd"/>
      <w:r>
        <w:t xml:space="preserve"> casual manager.</w:t>
      </w:r>
    </w:p>
    <w:p w:rsidR="00C91D70" w:rsidRDefault="00C91D70" w:rsidP="00910142">
      <w:pPr>
        <w:spacing w:after="0" w:line="240" w:lineRule="auto"/>
        <w:rPr>
          <w:rFonts w:ascii="Times New Roman" w:hAnsi="Times New Roman" w:cs="Times New Roman"/>
        </w:rPr>
      </w:pPr>
    </w:p>
    <w:p w:rsidR="00C91D70" w:rsidRDefault="00D90E8E" w:rsidP="00910142">
      <w:pPr>
        <w:spacing w:after="0" w:line="240" w:lineRule="auto"/>
        <w:rPr>
          <w:rFonts w:ascii="Times New Roman" w:hAnsi="Times New Roman" w:cs="Times New Roman"/>
        </w:rPr>
      </w:pPr>
      <w:r>
        <w:rPr>
          <w:rFonts w:ascii="Times New Roman" w:hAnsi="Times New Roman" w:cs="Times New Roman"/>
        </w:rPr>
        <w:t xml:space="preserve">The requirement to report on the remuneration of the </w:t>
      </w:r>
      <w:proofErr w:type="spellStart"/>
      <w:r>
        <w:rPr>
          <w:rFonts w:ascii="Times New Roman" w:hAnsi="Times New Roman" w:cs="Times New Roman"/>
        </w:rPr>
        <w:t>CEO</w:t>
      </w:r>
      <w:proofErr w:type="spellEnd"/>
      <w:r>
        <w:rPr>
          <w:rFonts w:ascii="Times New Roman" w:hAnsi="Times New Roman" w:cs="Times New Roman"/>
        </w:rPr>
        <w:t xml:space="preserve"> or equivalent has been removed</w:t>
      </w:r>
      <w:r w:rsidR="00716E0D">
        <w:rPr>
          <w:rFonts w:ascii="Times New Roman" w:hAnsi="Times New Roman" w:cs="Times New Roman"/>
        </w:rPr>
        <w:t xml:space="preserve"> due to concerns raised by employers</w:t>
      </w:r>
      <w:r>
        <w:rPr>
          <w:rFonts w:ascii="Times New Roman" w:hAnsi="Times New Roman" w:cs="Times New Roman"/>
        </w:rPr>
        <w:t xml:space="preserve">. </w:t>
      </w:r>
      <w:r w:rsidR="0027484E">
        <w:rPr>
          <w:rFonts w:ascii="Times New Roman" w:hAnsi="Times New Roman" w:cs="Times New Roman"/>
        </w:rPr>
        <w:t>L</w:t>
      </w:r>
      <w:r w:rsidR="007F5D4A">
        <w:rPr>
          <w:rFonts w:ascii="Times New Roman" w:hAnsi="Times New Roman" w:cs="Times New Roman"/>
        </w:rPr>
        <w:t>isted entitie</w:t>
      </w:r>
      <w:r w:rsidR="0027484E">
        <w:rPr>
          <w:rFonts w:ascii="Times New Roman" w:hAnsi="Times New Roman" w:cs="Times New Roman"/>
        </w:rPr>
        <w:t>s are</w:t>
      </w:r>
      <w:r w:rsidR="004D394A">
        <w:rPr>
          <w:rFonts w:ascii="Times New Roman" w:hAnsi="Times New Roman" w:cs="Times New Roman"/>
        </w:rPr>
        <w:t xml:space="preserve"> </w:t>
      </w:r>
      <w:r w:rsidR="00921302">
        <w:rPr>
          <w:rFonts w:ascii="Times New Roman" w:hAnsi="Times New Roman" w:cs="Times New Roman"/>
        </w:rPr>
        <w:t xml:space="preserve">already </w:t>
      </w:r>
      <w:r w:rsidR="004D394A">
        <w:rPr>
          <w:rFonts w:ascii="Times New Roman" w:hAnsi="Times New Roman" w:cs="Times New Roman"/>
        </w:rPr>
        <w:t>require</w:t>
      </w:r>
      <w:r w:rsidR="0027484E">
        <w:rPr>
          <w:rFonts w:ascii="Times New Roman" w:hAnsi="Times New Roman" w:cs="Times New Roman"/>
        </w:rPr>
        <w:t>d</w:t>
      </w:r>
      <w:r w:rsidR="004D394A">
        <w:rPr>
          <w:rFonts w:ascii="Times New Roman" w:hAnsi="Times New Roman" w:cs="Times New Roman"/>
        </w:rPr>
        <w:t xml:space="preserve"> to </w:t>
      </w:r>
      <w:r w:rsidR="0055765A">
        <w:rPr>
          <w:rFonts w:ascii="Times New Roman" w:hAnsi="Times New Roman" w:cs="Times New Roman"/>
        </w:rPr>
        <w:t xml:space="preserve">provide remuneration information of the </w:t>
      </w:r>
      <w:proofErr w:type="spellStart"/>
      <w:r w:rsidR="0055765A">
        <w:rPr>
          <w:rFonts w:ascii="Times New Roman" w:hAnsi="Times New Roman" w:cs="Times New Roman"/>
        </w:rPr>
        <w:t>CEO</w:t>
      </w:r>
      <w:proofErr w:type="spellEnd"/>
      <w:r w:rsidR="0055765A">
        <w:rPr>
          <w:rFonts w:ascii="Times New Roman" w:hAnsi="Times New Roman" w:cs="Times New Roman"/>
        </w:rPr>
        <w:t xml:space="preserve"> </w:t>
      </w:r>
      <w:r w:rsidR="00ED7B54" w:rsidRPr="00ED7B54">
        <w:rPr>
          <w:rFonts w:ascii="Times New Roman" w:hAnsi="Times New Roman" w:cs="Times New Roman"/>
        </w:rPr>
        <w:t>and certain key management personnel</w:t>
      </w:r>
      <w:r w:rsidR="00ED7B54" w:rsidRPr="0022185A">
        <w:t xml:space="preserve"> </w:t>
      </w:r>
      <w:r w:rsidR="007F5D4A">
        <w:rPr>
          <w:rFonts w:ascii="Times New Roman" w:hAnsi="Times New Roman" w:cs="Times New Roman"/>
        </w:rPr>
        <w:t xml:space="preserve">under </w:t>
      </w:r>
      <w:r w:rsidR="0055765A">
        <w:rPr>
          <w:rFonts w:ascii="Times New Roman" w:hAnsi="Times New Roman" w:cs="Times New Roman"/>
        </w:rPr>
        <w:t>section </w:t>
      </w:r>
      <w:proofErr w:type="spellStart"/>
      <w:r w:rsidR="0055765A">
        <w:rPr>
          <w:rFonts w:ascii="Times New Roman" w:hAnsi="Times New Roman" w:cs="Times New Roman"/>
        </w:rPr>
        <w:t>300A</w:t>
      </w:r>
      <w:proofErr w:type="spellEnd"/>
      <w:r w:rsidR="0055765A">
        <w:rPr>
          <w:rFonts w:ascii="Times New Roman" w:hAnsi="Times New Roman" w:cs="Times New Roman"/>
        </w:rPr>
        <w:t xml:space="preserve"> of </w:t>
      </w:r>
      <w:r w:rsidR="007F5D4A">
        <w:rPr>
          <w:rFonts w:ascii="Times New Roman" w:hAnsi="Times New Roman" w:cs="Times New Roman"/>
        </w:rPr>
        <w:t xml:space="preserve">the </w:t>
      </w:r>
      <w:r w:rsidR="007F5D4A">
        <w:rPr>
          <w:rFonts w:ascii="Times New Roman" w:hAnsi="Times New Roman" w:cs="Times New Roman"/>
          <w:i/>
        </w:rPr>
        <w:t>Corporations Act 2001</w:t>
      </w:r>
      <w:r w:rsidR="004D394A">
        <w:rPr>
          <w:rFonts w:ascii="Times New Roman" w:hAnsi="Times New Roman" w:cs="Times New Roman"/>
        </w:rPr>
        <w:t>.</w:t>
      </w:r>
      <w:r w:rsidR="006B7449">
        <w:rPr>
          <w:rFonts w:ascii="Times New Roman" w:hAnsi="Times New Roman" w:cs="Times New Roman"/>
        </w:rPr>
        <w:t xml:space="preserve"> </w:t>
      </w:r>
      <w:r w:rsidR="00D91FBC">
        <w:rPr>
          <w:rFonts w:ascii="Times New Roman" w:hAnsi="Times New Roman" w:cs="Times New Roman"/>
        </w:rPr>
        <w:t xml:space="preserve">Reporting on the </w:t>
      </w:r>
      <w:r w:rsidR="006B7449">
        <w:rPr>
          <w:rFonts w:ascii="Times New Roman" w:hAnsi="Times New Roman" w:cs="Times New Roman"/>
        </w:rPr>
        <w:t xml:space="preserve">remuneration of key management personnel with a reporting distance above the </w:t>
      </w:r>
      <w:proofErr w:type="spellStart"/>
      <w:r w:rsidR="006B7449">
        <w:rPr>
          <w:rFonts w:ascii="Times New Roman" w:hAnsi="Times New Roman" w:cs="Times New Roman"/>
        </w:rPr>
        <w:t>CEO</w:t>
      </w:r>
      <w:proofErr w:type="spellEnd"/>
      <w:r w:rsidR="006B7449">
        <w:rPr>
          <w:rFonts w:ascii="Times New Roman" w:hAnsi="Times New Roman" w:cs="Times New Roman"/>
        </w:rPr>
        <w:t xml:space="preserve"> or equivalent has been removed as a consequential change</w:t>
      </w:r>
      <w:r w:rsidR="00D91FBC">
        <w:rPr>
          <w:rFonts w:ascii="Times New Roman" w:hAnsi="Times New Roman" w:cs="Times New Roman"/>
        </w:rPr>
        <w:t xml:space="preserve"> from removing the </w:t>
      </w:r>
      <w:proofErr w:type="spellStart"/>
      <w:r w:rsidR="00D91FBC">
        <w:rPr>
          <w:rFonts w:ascii="Times New Roman" w:hAnsi="Times New Roman" w:cs="Times New Roman"/>
        </w:rPr>
        <w:t>CEO</w:t>
      </w:r>
      <w:proofErr w:type="spellEnd"/>
      <w:r w:rsidR="00D91FBC">
        <w:rPr>
          <w:rFonts w:ascii="Times New Roman" w:hAnsi="Times New Roman" w:cs="Times New Roman"/>
        </w:rPr>
        <w:t xml:space="preserve"> reporting requirements on remuneration.</w:t>
      </w:r>
      <w:r w:rsidR="00F9501C" w:rsidRPr="00F9501C">
        <w:rPr>
          <w:rFonts w:ascii="Times New Roman" w:hAnsi="Times New Roman" w:cs="Times New Roman"/>
        </w:rPr>
        <w:t xml:space="preserve"> </w:t>
      </w:r>
      <w:r w:rsidR="00004A02" w:rsidRPr="00004A02">
        <w:rPr>
          <w:rFonts w:ascii="Times New Roman" w:hAnsi="Times New Roman" w:cs="Times New Roman"/>
        </w:rPr>
        <w:t>Remuneration data on casual managers is being streamlined due to the small number of managers employed on this basis.</w:t>
      </w:r>
    </w:p>
    <w:p w:rsidR="00C91D70" w:rsidRPr="0052701B" w:rsidRDefault="00C91D70" w:rsidP="00910142">
      <w:pPr>
        <w:spacing w:after="0" w:line="240" w:lineRule="auto"/>
        <w:rPr>
          <w:rFonts w:ascii="Times New Roman" w:hAnsi="Times New Roman" w:cs="Times New Roman"/>
          <w:i/>
        </w:rPr>
      </w:pPr>
    </w:p>
    <w:p w:rsidR="0065134E" w:rsidRPr="0052701B" w:rsidRDefault="0065134E" w:rsidP="00910142">
      <w:pPr>
        <w:spacing w:after="0" w:line="240" w:lineRule="auto"/>
        <w:rPr>
          <w:rFonts w:ascii="Times New Roman" w:hAnsi="Times New Roman" w:cs="Times New Roman"/>
          <w:i/>
        </w:rPr>
      </w:pPr>
      <w:r w:rsidRPr="0052701B">
        <w:rPr>
          <w:rFonts w:ascii="Times New Roman" w:hAnsi="Times New Roman" w:cs="Times New Roman"/>
          <w:i/>
        </w:rPr>
        <w:t>Disaggregated remuneration data</w:t>
      </w:r>
    </w:p>
    <w:p w:rsidR="0065134E" w:rsidRDefault="0065134E" w:rsidP="00910142">
      <w:pPr>
        <w:spacing w:after="0" w:line="240" w:lineRule="auto"/>
        <w:rPr>
          <w:rFonts w:ascii="Times New Roman" w:hAnsi="Times New Roman" w:cs="Times New Roman"/>
        </w:rPr>
      </w:pPr>
    </w:p>
    <w:p w:rsidR="0065134E" w:rsidRDefault="00DD7931" w:rsidP="0052701B">
      <w:pPr>
        <w:spacing w:after="0" w:line="240" w:lineRule="auto"/>
        <w:rPr>
          <w:rFonts w:ascii="Times New Roman" w:hAnsi="Times New Roman" w:cs="Times New Roman"/>
        </w:rPr>
      </w:pPr>
      <w:r>
        <w:rPr>
          <w:rFonts w:ascii="Times New Roman" w:hAnsi="Times New Roman" w:cs="Times New Roman"/>
        </w:rPr>
        <w:t xml:space="preserve">Currently </w:t>
      </w:r>
      <w:r w:rsidRPr="000D0176">
        <w:rPr>
          <w:rFonts w:ascii="Times New Roman" w:hAnsi="Times New Roman" w:cs="Times New Roman"/>
        </w:rPr>
        <w:t>clause</w:t>
      </w:r>
      <w:r>
        <w:rPr>
          <w:rFonts w:ascii="Times New Roman" w:hAnsi="Times New Roman" w:cs="Times New Roman"/>
        </w:rPr>
        <w:t>s 3.1.1 and 3.1.2 of Schedule </w:t>
      </w:r>
      <w:r w:rsidRPr="000D0176">
        <w:rPr>
          <w:rFonts w:ascii="Times New Roman" w:hAnsi="Times New Roman" w:cs="Times New Roman"/>
        </w:rPr>
        <w:t>1</w:t>
      </w:r>
      <w:r>
        <w:rPr>
          <w:rFonts w:ascii="Times New Roman" w:hAnsi="Times New Roman" w:cs="Times New Roman"/>
        </w:rPr>
        <w:t xml:space="preserve"> to the Principal </w:t>
      </w:r>
      <w:r w:rsidR="0085412D">
        <w:rPr>
          <w:rFonts w:ascii="Times New Roman" w:hAnsi="Times New Roman" w:cs="Times New Roman"/>
        </w:rPr>
        <w:t>I</w:t>
      </w:r>
      <w:r>
        <w:rPr>
          <w:rFonts w:ascii="Times New Roman" w:hAnsi="Times New Roman" w:cs="Times New Roman"/>
        </w:rPr>
        <w:t>nstrument provide that</w:t>
      </w:r>
      <w:r w:rsidR="00B71914" w:rsidRPr="000D0176">
        <w:rPr>
          <w:rFonts w:ascii="Times New Roman" w:hAnsi="Times New Roman" w:cs="Times New Roman"/>
        </w:rPr>
        <w:t xml:space="preserve"> relevant employers must report on disaggregated remuneration data including annualised average full-time equivalent base salary and annualised average full-time equivalent total remuneration</w:t>
      </w:r>
      <w:r>
        <w:rPr>
          <w:rFonts w:ascii="Times New Roman" w:hAnsi="Times New Roman" w:cs="Times New Roman"/>
        </w:rPr>
        <w:t>.</w:t>
      </w:r>
      <w:r w:rsidR="001F5E3B">
        <w:rPr>
          <w:rFonts w:ascii="Times New Roman" w:hAnsi="Times New Roman" w:cs="Times New Roman"/>
        </w:rPr>
        <w:t xml:space="preserve"> While clause 2 of Schedule 2 </w:t>
      </w:r>
      <w:r w:rsidR="0091473E">
        <w:rPr>
          <w:rFonts w:ascii="Times New Roman" w:hAnsi="Times New Roman" w:cs="Times New Roman"/>
        </w:rPr>
        <w:t xml:space="preserve">currently </w:t>
      </w:r>
      <w:r w:rsidR="001F5E3B">
        <w:rPr>
          <w:rFonts w:ascii="Times New Roman" w:hAnsi="Times New Roman" w:cs="Times New Roman"/>
        </w:rPr>
        <w:t>repeals and substitutes clause 3 of Schedule 1 to the Principal Instrument, it does not</w:t>
      </w:r>
      <w:r w:rsidR="00991E1B">
        <w:rPr>
          <w:rFonts w:ascii="Times New Roman" w:hAnsi="Times New Roman" w:cs="Times New Roman"/>
        </w:rPr>
        <w:t xml:space="preserve"> </w:t>
      </w:r>
      <w:r w:rsidR="00F435C0">
        <w:rPr>
          <w:rFonts w:ascii="Times New Roman" w:hAnsi="Times New Roman" w:cs="Times New Roman"/>
        </w:rPr>
        <w:t>amend</w:t>
      </w:r>
      <w:r w:rsidR="001F5E3B">
        <w:rPr>
          <w:rFonts w:ascii="Times New Roman" w:hAnsi="Times New Roman" w:cs="Times New Roman"/>
        </w:rPr>
        <w:t xml:space="preserve"> the requirements of clauses 3.1.1 and 3.1.2.</w:t>
      </w:r>
    </w:p>
    <w:p w:rsidR="00F15C6D" w:rsidRDefault="00F15C6D" w:rsidP="0052701B">
      <w:pPr>
        <w:spacing w:after="0" w:line="240" w:lineRule="auto"/>
        <w:rPr>
          <w:rFonts w:ascii="Times New Roman" w:hAnsi="Times New Roman" w:cs="Times New Roman"/>
        </w:rPr>
      </w:pPr>
    </w:p>
    <w:p w:rsidR="00B71914" w:rsidRDefault="00DD7931" w:rsidP="0052701B">
      <w:pPr>
        <w:spacing w:after="0" w:line="240" w:lineRule="auto"/>
        <w:rPr>
          <w:rFonts w:ascii="Times New Roman" w:hAnsi="Times New Roman" w:cs="Times New Roman"/>
        </w:rPr>
      </w:pPr>
      <w:r>
        <w:rPr>
          <w:rFonts w:ascii="Times New Roman" w:hAnsi="Times New Roman" w:cs="Times New Roman"/>
        </w:rPr>
        <w:t xml:space="preserve">Clause 2 </w:t>
      </w:r>
      <w:r w:rsidR="00207435">
        <w:rPr>
          <w:rFonts w:ascii="Times New Roman" w:hAnsi="Times New Roman" w:cs="Times New Roman"/>
        </w:rPr>
        <w:t>of</w:t>
      </w:r>
      <w:r>
        <w:rPr>
          <w:rFonts w:ascii="Times New Roman" w:hAnsi="Times New Roman" w:cs="Times New Roman"/>
        </w:rPr>
        <w:t xml:space="preserve"> n</w:t>
      </w:r>
      <w:r w:rsidR="0065134E">
        <w:rPr>
          <w:rFonts w:ascii="Times New Roman" w:hAnsi="Times New Roman" w:cs="Times New Roman"/>
        </w:rPr>
        <w:t>ew Schedule 2 amends t</w:t>
      </w:r>
      <w:r w:rsidR="00B71914" w:rsidRPr="000D0176">
        <w:rPr>
          <w:rFonts w:ascii="Times New Roman" w:hAnsi="Times New Roman" w:cs="Times New Roman"/>
        </w:rPr>
        <w:t xml:space="preserve">he requirement to provide annualised average full-time equivalent total remuneration for some components of remuneration. </w:t>
      </w:r>
      <w:r w:rsidR="00B71914" w:rsidRPr="004A374B">
        <w:rPr>
          <w:rFonts w:ascii="Times New Roman" w:hAnsi="Times New Roman" w:cs="Times New Roman"/>
        </w:rPr>
        <w:t>Components</w:t>
      </w:r>
      <w:r w:rsidR="00B71914" w:rsidRPr="000D0176">
        <w:rPr>
          <w:rFonts w:ascii="Times New Roman" w:hAnsi="Times New Roman" w:cs="Times New Roman"/>
        </w:rPr>
        <w:t xml:space="preserve"> paid on a non-pro-rata or fixed amount basis </w:t>
      </w:r>
      <w:r>
        <w:rPr>
          <w:rFonts w:ascii="Times New Roman" w:hAnsi="Times New Roman" w:cs="Times New Roman"/>
        </w:rPr>
        <w:t>must</w:t>
      </w:r>
      <w:r w:rsidR="00B71914" w:rsidRPr="000D0176">
        <w:rPr>
          <w:rFonts w:ascii="Times New Roman" w:hAnsi="Times New Roman" w:cs="Times New Roman"/>
        </w:rPr>
        <w:t xml:space="preserve"> be reported on a fixed total remuneration</w:t>
      </w:r>
      <w:r w:rsidR="00BF4012" w:rsidRPr="000D0176">
        <w:rPr>
          <w:rFonts w:ascii="Times New Roman" w:hAnsi="Times New Roman" w:cs="Times New Roman"/>
        </w:rPr>
        <w:t xml:space="preserve"> basis</w:t>
      </w:r>
      <w:r w:rsidR="00F15C6D">
        <w:rPr>
          <w:rFonts w:ascii="Times New Roman" w:hAnsi="Times New Roman" w:cs="Times New Roman"/>
        </w:rPr>
        <w:t xml:space="preserve"> from 1 April </w:t>
      </w:r>
      <w:r w:rsidR="00056EE2">
        <w:rPr>
          <w:rFonts w:ascii="Times New Roman" w:hAnsi="Times New Roman" w:cs="Times New Roman"/>
        </w:rPr>
        <w:t>2015</w:t>
      </w:r>
      <w:r w:rsidR="00BF4012" w:rsidRPr="000D0176">
        <w:rPr>
          <w:rFonts w:ascii="Times New Roman" w:hAnsi="Times New Roman" w:cs="Times New Roman"/>
        </w:rPr>
        <w:t xml:space="preserve">. </w:t>
      </w:r>
      <w:r w:rsidR="0065134E">
        <w:rPr>
          <w:rFonts w:ascii="Times New Roman" w:hAnsi="Times New Roman" w:cs="Times New Roman"/>
        </w:rPr>
        <w:t>This change is a result of f</w:t>
      </w:r>
      <w:r w:rsidR="000D0176" w:rsidRPr="000D0176">
        <w:rPr>
          <w:rFonts w:ascii="Times New Roman" w:hAnsi="Times New Roman" w:cs="Times New Roman"/>
        </w:rPr>
        <w:t xml:space="preserve">eedback from the </w:t>
      </w:r>
      <w:r w:rsidR="0065134E">
        <w:rPr>
          <w:rFonts w:ascii="Times New Roman" w:hAnsi="Times New Roman" w:cs="Times New Roman"/>
        </w:rPr>
        <w:t>Agency</w:t>
      </w:r>
      <w:r w:rsidR="000D0176" w:rsidRPr="000D0176">
        <w:rPr>
          <w:rFonts w:ascii="Times New Roman" w:hAnsi="Times New Roman" w:cs="Times New Roman"/>
        </w:rPr>
        <w:t xml:space="preserve"> that annualising components paid on a non-pro-rata or fixed </w:t>
      </w:r>
      <w:r w:rsidR="00056EE2">
        <w:rPr>
          <w:rFonts w:ascii="Times New Roman" w:hAnsi="Times New Roman" w:cs="Times New Roman"/>
        </w:rPr>
        <w:t>a</w:t>
      </w:r>
      <w:r w:rsidR="000D0176" w:rsidRPr="000D0176">
        <w:rPr>
          <w:rFonts w:ascii="Times New Roman" w:hAnsi="Times New Roman" w:cs="Times New Roman"/>
        </w:rPr>
        <w:t>mount basis distorts the remuneration data.</w:t>
      </w:r>
      <w:r>
        <w:rPr>
          <w:rFonts w:ascii="Times New Roman" w:hAnsi="Times New Roman" w:cs="Times New Roman"/>
        </w:rPr>
        <w:t xml:space="preserve"> Clause 2 of new Schedule 2</w:t>
      </w:r>
      <w:r w:rsidR="00F15C6D">
        <w:rPr>
          <w:rFonts w:ascii="Times New Roman" w:hAnsi="Times New Roman" w:cs="Times New Roman"/>
        </w:rPr>
        <w:t xml:space="preserve"> </w:t>
      </w:r>
      <w:r>
        <w:rPr>
          <w:rFonts w:ascii="Times New Roman" w:hAnsi="Times New Roman" w:cs="Times New Roman"/>
        </w:rPr>
        <w:t xml:space="preserve">will </w:t>
      </w:r>
      <w:r w:rsidR="000D0176" w:rsidRPr="000D0176">
        <w:rPr>
          <w:rFonts w:ascii="Times New Roman" w:hAnsi="Times New Roman" w:cs="Times New Roman"/>
        </w:rPr>
        <w:t xml:space="preserve">still </w:t>
      </w:r>
      <w:r w:rsidR="000D0176">
        <w:rPr>
          <w:rFonts w:ascii="Times New Roman" w:hAnsi="Times New Roman" w:cs="Times New Roman"/>
        </w:rPr>
        <w:t>requir</w:t>
      </w:r>
      <w:r w:rsidR="0065134E">
        <w:rPr>
          <w:rFonts w:ascii="Times New Roman" w:hAnsi="Times New Roman" w:cs="Times New Roman"/>
        </w:rPr>
        <w:t xml:space="preserve">e </w:t>
      </w:r>
      <w:r w:rsidR="000D0176">
        <w:rPr>
          <w:rFonts w:ascii="Times New Roman" w:hAnsi="Times New Roman" w:cs="Times New Roman"/>
        </w:rPr>
        <w:t>employers to report on, but not annualise</w:t>
      </w:r>
      <w:r w:rsidR="000D0176" w:rsidRPr="000D0176">
        <w:rPr>
          <w:rFonts w:ascii="Times New Roman" w:hAnsi="Times New Roman" w:cs="Times New Roman"/>
        </w:rPr>
        <w:t>, remuneration that is paid on a non</w:t>
      </w:r>
      <w:r w:rsidR="000D0176" w:rsidRPr="000D0176">
        <w:rPr>
          <w:rFonts w:ascii="Times New Roman" w:hAnsi="Times New Roman" w:cs="Times New Roman"/>
        </w:rPr>
        <w:noBreakHyphen/>
        <w:t>pro</w:t>
      </w:r>
      <w:r w:rsidR="000D0176" w:rsidRPr="000D0176">
        <w:rPr>
          <w:rFonts w:ascii="Times New Roman" w:hAnsi="Times New Roman" w:cs="Times New Roman"/>
        </w:rPr>
        <w:noBreakHyphen/>
        <w:t xml:space="preserve">rata basis </w:t>
      </w:r>
      <w:r>
        <w:rPr>
          <w:rFonts w:ascii="Times New Roman" w:hAnsi="Times New Roman" w:cs="Times New Roman"/>
        </w:rPr>
        <w:t>(</w:t>
      </w:r>
      <w:r w:rsidR="000D0176" w:rsidRPr="000D0176">
        <w:rPr>
          <w:rFonts w:ascii="Times New Roman" w:hAnsi="Times New Roman" w:cs="Times New Roman"/>
        </w:rPr>
        <w:t>such as shares, allowances and overtime</w:t>
      </w:r>
      <w:r>
        <w:rPr>
          <w:rFonts w:ascii="Times New Roman" w:hAnsi="Times New Roman" w:cs="Times New Roman"/>
        </w:rPr>
        <w:t>)</w:t>
      </w:r>
      <w:r w:rsidR="0065134E">
        <w:rPr>
          <w:rFonts w:ascii="Times New Roman" w:hAnsi="Times New Roman" w:cs="Times New Roman"/>
        </w:rPr>
        <w:t>. This</w:t>
      </w:r>
      <w:r w:rsidR="00056EE2">
        <w:rPr>
          <w:rFonts w:ascii="Times New Roman" w:hAnsi="Times New Roman" w:cs="Times New Roman"/>
        </w:rPr>
        <w:t xml:space="preserve"> change</w:t>
      </w:r>
      <w:r w:rsidR="0065134E">
        <w:rPr>
          <w:rFonts w:ascii="Times New Roman" w:hAnsi="Times New Roman" w:cs="Times New Roman"/>
        </w:rPr>
        <w:t xml:space="preserve"> will </w:t>
      </w:r>
      <w:r w:rsidR="00910142">
        <w:rPr>
          <w:rFonts w:ascii="Times New Roman" w:hAnsi="Times New Roman" w:cs="Times New Roman"/>
        </w:rPr>
        <w:t xml:space="preserve">aim to </w:t>
      </w:r>
      <w:r w:rsidR="000D0176" w:rsidRPr="000D0176">
        <w:rPr>
          <w:rFonts w:ascii="Times New Roman" w:hAnsi="Times New Roman" w:cs="Times New Roman"/>
        </w:rPr>
        <w:t>provid</w:t>
      </w:r>
      <w:r w:rsidR="0065134E">
        <w:rPr>
          <w:rFonts w:ascii="Times New Roman" w:hAnsi="Times New Roman" w:cs="Times New Roman"/>
        </w:rPr>
        <w:t>e</w:t>
      </w:r>
      <w:r w:rsidR="000D0176" w:rsidRPr="000D0176">
        <w:rPr>
          <w:rFonts w:ascii="Times New Roman" w:hAnsi="Times New Roman" w:cs="Times New Roman"/>
        </w:rPr>
        <w:t xml:space="preserve"> more reliable data.</w:t>
      </w:r>
    </w:p>
    <w:p w:rsidR="00F15C6D" w:rsidRPr="00BF4012" w:rsidRDefault="00F15C6D" w:rsidP="0052701B">
      <w:pPr>
        <w:spacing w:after="0" w:line="240" w:lineRule="auto"/>
        <w:rPr>
          <w:rFonts w:ascii="Times New Roman" w:hAnsi="Times New Roman" w:cs="Times New Roman"/>
        </w:rPr>
      </w:pPr>
    </w:p>
    <w:p w:rsidR="00C91D70" w:rsidRDefault="00C91D70" w:rsidP="00910142">
      <w:pPr>
        <w:spacing w:after="0" w:line="240" w:lineRule="auto"/>
        <w:rPr>
          <w:rFonts w:ascii="Times New Roman" w:hAnsi="Times New Roman" w:cs="Times New Roman"/>
        </w:rPr>
      </w:pPr>
      <w:r>
        <w:rPr>
          <w:rFonts w:ascii="Times New Roman" w:hAnsi="Times New Roman" w:cs="Times New Roman"/>
        </w:rPr>
        <w:t xml:space="preserve">Currently, </w:t>
      </w:r>
      <w:r w:rsidR="00E63006">
        <w:rPr>
          <w:rFonts w:ascii="Times New Roman" w:hAnsi="Times New Roman" w:cs="Times New Roman"/>
        </w:rPr>
        <w:t xml:space="preserve">clause 2 of Schedule 2 to the Principal Instrument amends </w:t>
      </w:r>
      <w:r w:rsidR="002A139B">
        <w:rPr>
          <w:rFonts w:ascii="Times New Roman" w:hAnsi="Times New Roman" w:cs="Times New Roman"/>
        </w:rPr>
        <w:t xml:space="preserve">clause 3 </w:t>
      </w:r>
      <w:r w:rsidR="00E63006">
        <w:rPr>
          <w:rFonts w:ascii="Times New Roman" w:hAnsi="Times New Roman" w:cs="Times New Roman"/>
        </w:rPr>
        <w:t xml:space="preserve">of Schedule 1 to the Principal Instrument from 1 April 2015 </w:t>
      </w:r>
      <w:r w:rsidR="002A139B">
        <w:rPr>
          <w:rFonts w:ascii="Times New Roman" w:hAnsi="Times New Roman" w:cs="Times New Roman"/>
        </w:rPr>
        <w:t>by inserting clause 3.6 which</w:t>
      </w:r>
      <w:r w:rsidR="00E63006">
        <w:rPr>
          <w:rFonts w:ascii="Times New Roman" w:hAnsi="Times New Roman" w:cs="Times New Roman"/>
        </w:rPr>
        <w:t xml:space="preserve"> </w:t>
      </w:r>
      <w:r w:rsidR="0065134E">
        <w:rPr>
          <w:rFonts w:ascii="Times New Roman" w:hAnsi="Times New Roman" w:cs="Times New Roman"/>
        </w:rPr>
        <w:t>require</w:t>
      </w:r>
      <w:r>
        <w:rPr>
          <w:rFonts w:ascii="Times New Roman" w:hAnsi="Times New Roman" w:cs="Times New Roman"/>
        </w:rPr>
        <w:t xml:space="preserve"> relevant employers </w:t>
      </w:r>
      <w:r w:rsidR="0065134E">
        <w:rPr>
          <w:rFonts w:ascii="Times New Roman" w:hAnsi="Times New Roman" w:cs="Times New Roman"/>
        </w:rPr>
        <w:t>to</w:t>
      </w:r>
      <w:r>
        <w:rPr>
          <w:rFonts w:ascii="Times New Roman" w:hAnsi="Times New Roman" w:cs="Times New Roman"/>
        </w:rPr>
        <w:t xml:space="preserve"> report on disaggregated data by gender on annualised average full-time equivalent components of total remun</w:t>
      </w:r>
      <w:r w:rsidR="00F15C6D">
        <w:rPr>
          <w:rFonts w:ascii="Times New Roman" w:hAnsi="Times New Roman" w:cs="Times New Roman"/>
        </w:rPr>
        <w:t>eration</w:t>
      </w:r>
      <w:r>
        <w:rPr>
          <w:rFonts w:ascii="Times New Roman" w:hAnsi="Times New Roman" w:cs="Times New Roman"/>
        </w:rPr>
        <w:t xml:space="preserve">. </w:t>
      </w:r>
      <w:r w:rsidR="0065134E">
        <w:rPr>
          <w:rFonts w:ascii="Times New Roman" w:hAnsi="Times New Roman" w:cs="Times New Roman"/>
        </w:rPr>
        <w:t xml:space="preserve"> E</w:t>
      </w:r>
      <w:r w:rsidR="00DE0CB5">
        <w:rPr>
          <w:rFonts w:ascii="Times New Roman" w:hAnsi="Times New Roman" w:cs="Times New Roman"/>
        </w:rPr>
        <w:t xml:space="preserve">mployers </w:t>
      </w:r>
      <w:r w:rsidR="0065134E">
        <w:rPr>
          <w:rFonts w:ascii="Times New Roman" w:hAnsi="Times New Roman" w:cs="Times New Roman"/>
        </w:rPr>
        <w:t xml:space="preserve">have </w:t>
      </w:r>
      <w:r w:rsidR="00056EE2">
        <w:rPr>
          <w:rFonts w:ascii="Times New Roman" w:hAnsi="Times New Roman" w:cs="Times New Roman"/>
        </w:rPr>
        <w:t xml:space="preserve">again </w:t>
      </w:r>
      <w:r w:rsidR="0065134E">
        <w:rPr>
          <w:rFonts w:ascii="Times New Roman" w:hAnsi="Times New Roman" w:cs="Times New Roman"/>
        </w:rPr>
        <w:t xml:space="preserve">provided feedback that it </w:t>
      </w:r>
      <w:r>
        <w:rPr>
          <w:rFonts w:ascii="Times New Roman" w:hAnsi="Times New Roman" w:cs="Times New Roman"/>
        </w:rPr>
        <w:t>is considered an excessive burden to identify and report on separate individual components of total remuneration</w:t>
      </w:r>
      <w:r w:rsidR="00ED0826">
        <w:rPr>
          <w:rFonts w:ascii="Times New Roman" w:hAnsi="Times New Roman" w:cs="Times New Roman"/>
        </w:rPr>
        <w:t xml:space="preserve"> </w:t>
      </w:r>
      <w:r w:rsidR="00556869">
        <w:rPr>
          <w:rFonts w:ascii="Times New Roman" w:hAnsi="Times New Roman" w:cs="Times New Roman"/>
        </w:rPr>
        <w:t xml:space="preserve">and </w:t>
      </w:r>
      <w:r w:rsidR="00716E0D">
        <w:rPr>
          <w:rFonts w:ascii="Times New Roman" w:hAnsi="Times New Roman" w:cs="Times New Roman"/>
        </w:rPr>
        <w:t xml:space="preserve">given </w:t>
      </w:r>
      <w:r w:rsidR="00ED0826">
        <w:rPr>
          <w:rFonts w:ascii="Times New Roman" w:hAnsi="Times New Roman" w:cs="Times New Roman"/>
        </w:rPr>
        <w:t xml:space="preserve">the data is difficult to provide, </w:t>
      </w:r>
      <w:r w:rsidR="00556869">
        <w:rPr>
          <w:rFonts w:ascii="Times New Roman" w:hAnsi="Times New Roman" w:cs="Times New Roman"/>
        </w:rPr>
        <w:t>it</w:t>
      </w:r>
      <w:r w:rsidR="00ED0826">
        <w:rPr>
          <w:rFonts w:ascii="Times New Roman" w:hAnsi="Times New Roman" w:cs="Times New Roman"/>
        </w:rPr>
        <w:t xml:space="preserve"> </w:t>
      </w:r>
      <w:r w:rsidR="00716E0D">
        <w:rPr>
          <w:rFonts w:ascii="Times New Roman" w:hAnsi="Times New Roman" w:cs="Times New Roman"/>
        </w:rPr>
        <w:t xml:space="preserve">is likely to </w:t>
      </w:r>
      <w:r w:rsidR="00ED0826">
        <w:rPr>
          <w:rFonts w:ascii="Times New Roman" w:hAnsi="Times New Roman" w:cs="Times New Roman"/>
        </w:rPr>
        <w:t>be unreliable</w:t>
      </w:r>
      <w:r>
        <w:rPr>
          <w:rFonts w:ascii="Times New Roman" w:hAnsi="Times New Roman" w:cs="Times New Roman"/>
        </w:rPr>
        <w:t xml:space="preserve">. </w:t>
      </w:r>
      <w:r w:rsidR="00E63006">
        <w:rPr>
          <w:rFonts w:ascii="Times New Roman" w:hAnsi="Times New Roman" w:cs="Times New Roman"/>
        </w:rPr>
        <w:t>Clause 2 to n</w:t>
      </w:r>
      <w:r w:rsidR="0065134E">
        <w:rPr>
          <w:rFonts w:ascii="Times New Roman" w:hAnsi="Times New Roman" w:cs="Times New Roman"/>
        </w:rPr>
        <w:t xml:space="preserve">ew Schedule 2 removes </w:t>
      </w:r>
      <w:r w:rsidR="00E63006">
        <w:rPr>
          <w:rFonts w:ascii="Times New Roman" w:hAnsi="Times New Roman" w:cs="Times New Roman"/>
        </w:rPr>
        <w:t>this requirement</w:t>
      </w:r>
      <w:r w:rsidR="00910142">
        <w:rPr>
          <w:rFonts w:ascii="Times New Roman" w:hAnsi="Times New Roman" w:cs="Times New Roman"/>
        </w:rPr>
        <w:t>.</w:t>
      </w:r>
    </w:p>
    <w:p w:rsidR="00C91D70" w:rsidRDefault="00C91D70" w:rsidP="00910142">
      <w:pPr>
        <w:spacing w:after="0" w:line="240" w:lineRule="auto"/>
        <w:rPr>
          <w:rFonts w:ascii="Times New Roman" w:hAnsi="Times New Roman" w:cs="Times New Roman"/>
        </w:rPr>
      </w:pPr>
    </w:p>
    <w:p w:rsidR="00C91D70" w:rsidRDefault="00C91D70" w:rsidP="00910142">
      <w:pPr>
        <w:spacing w:after="0" w:line="240" w:lineRule="auto"/>
        <w:rPr>
          <w:rFonts w:ascii="Times New Roman" w:hAnsi="Times New Roman" w:cs="Times New Roman"/>
        </w:rPr>
      </w:pPr>
      <w:r w:rsidRPr="00CF3EC5">
        <w:rPr>
          <w:rFonts w:ascii="Times New Roman" w:hAnsi="Times New Roman" w:cs="Times New Roman"/>
        </w:rPr>
        <w:t>For clarity</w:t>
      </w:r>
      <w:r w:rsidR="00897EE6" w:rsidRPr="00CF3EC5">
        <w:rPr>
          <w:rFonts w:ascii="Times New Roman" w:hAnsi="Times New Roman" w:cs="Times New Roman"/>
        </w:rPr>
        <w:t>, clause</w:t>
      </w:r>
      <w:r w:rsidR="005E16D0">
        <w:rPr>
          <w:rFonts w:ascii="Times New Roman" w:hAnsi="Times New Roman" w:cs="Times New Roman"/>
        </w:rPr>
        <w:t xml:space="preserve"> 2 of </w:t>
      </w:r>
      <w:r w:rsidR="00234F87" w:rsidRPr="00CF3EC5">
        <w:rPr>
          <w:rFonts w:ascii="Times New Roman" w:hAnsi="Times New Roman" w:cs="Times New Roman"/>
        </w:rPr>
        <w:t xml:space="preserve">new Schedule 2 </w:t>
      </w:r>
      <w:r w:rsidRPr="00CF3EC5">
        <w:rPr>
          <w:rFonts w:ascii="Times New Roman" w:hAnsi="Times New Roman" w:cs="Times New Roman"/>
        </w:rPr>
        <w:t xml:space="preserve">makes no further changes </w:t>
      </w:r>
      <w:r w:rsidR="0091473E">
        <w:rPr>
          <w:rFonts w:ascii="Times New Roman" w:hAnsi="Times New Roman" w:cs="Times New Roman"/>
        </w:rPr>
        <w:t xml:space="preserve">(other than those described above) </w:t>
      </w:r>
      <w:r w:rsidRPr="00CF3EC5">
        <w:rPr>
          <w:rFonts w:ascii="Times New Roman" w:hAnsi="Times New Roman" w:cs="Times New Roman"/>
        </w:rPr>
        <w:t>to the matters specified</w:t>
      </w:r>
      <w:r w:rsidR="005E16D0">
        <w:rPr>
          <w:rFonts w:ascii="Times New Roman" w:hAnsi="Times New Roman" w:cs="Times New Roman"/>
        </w:rPr>
        <w:t xml:space="preserve"> in clause 2 of Schedule 2 of the Principal Instrument</w:t>
      </w:r>
      <w:r w:rsidR="00AE391F">
        <w:rPr>
          <w:rFonts w:ascii="Times New Roman" w:hAnsi="Times New Roman" w:cs="Times New Roman"/>
        </w:rPr>
        <w:t>.</w:t>
      </w:r>
      <w:r w:rsidRPr="00CF3EC5">
        <w:rPr>
          <w:rFonts w:ascii="Times New Roman" w:hAnsi="Times New Roman" w:cs="Times New Roman"/>
        </w:rPr>
        <w:t xml:space="preserve"> </w:t>
      </w:r>
    </w:p>
    <w:p w:rsidR="00C91D70" w:rsidRDefault="00C91D70" w:rsidP="00910142">
      <w:pPr>
        <w:spacing w:after="0" w:line="240" w:lineRule="auto"/>
        <w:rPr>
          <w:rFonts w:ascii="Times New Roman" w:hAnsi="Times New Roman" w:cs="Times New Roman"/>
        </w:rPr>
      </w:pPr>
    </w:p>
    <w:p w:rsidR="0032568D" w:rsidRDefault="0032568D" w:rsidP="00910142">
      <w:pPr>
        <w:spacing w:after="0" w:line="240" w:lineRule="auto"/>
        <w:rPr>
          <w:rFonts w:ascii="Times New Roman" w:hAnsi="Times New Roman" w:cs="Times New Roman"/>
          <w:u w:val="single"/>
        </w:rPr>
      </w:pPr>
    </w:p>
    <w:p w:rsidR="00C91D70" w:rsidRPr="009C1ED1" w:rsidRDefault="00827835" w:rsidP="00910142">
      <w:pPr>
        <w:spacing w:after="0" w:line="240" w:lineRule="auto"/>
        <w:rPr>
          <w:rFonts w:ascii="Times New Roman" w:hAnsi="Times New Roman" w:cs="Times New Roman"/>
          <w:u w:val="single"/>
        </w:rPr>
      </w:pPr>
      <w:r>
        <w:rPr>
          <w:rFonts w:ascii="Times New Roman" w:hAnsi="Times New Roman" w:cs="Times New Roman"/>
          <w:u w:val="single"/>
        </w:rPr>
        <w:t>Clause 3</w:t>
      </w:r>
      <w:r w:rsidR="00DD7931">
        <w:rPr>
          <w:rFonts w:ascii="Times New Roman" w:hAnsi="Times New Roman" w:cs="Times New Roman"/>
          <w:u w:val="single"/>
        </w:rPr>
        <w:t xml:space="preserve"> of Schedule 2</w:t>
      </w:r>
      <w:r>
        <w:rPr>
          <w:rFonts w:ascii="Times New Roman" w:hAnsi="Times New Roman" w:cs="Times New Roman"/>
          <w:u w:val="single"/>
        </w:rPr>
        <w:t xml:space="preserve">: </w:t>
      </w:r>
      <w:proofErr w:type="spellStart"/>
      <w:r w:rsidR="00BC1556" w:rsidRPr="009C1ED1">
        <w:rPr>
          <w:rFonts w:ascii="Times New Roman" w:hAnsi="Times New Roman" w:cs="Times New Roman"/>
          <w:u w:val="single"/>
        </w:rPr>
        <w:t>GEI</w:t>
      </w:r>
      <w:proofErr w:type="spellEnd"/>
      <w:r w:rsidR="00C91D70" w:rsidRPr="009C1ED1">
        <w:rPr>
          <w:rFonts w:ascii="Times New Roman" w:hAnsi="Times New Roman" w:cs="Times New Roman"/>
          <w:u w:val="single"/>
        </w:rPr>
        <w:t xml:space="preserve"> 4 - availability and utility of employment terms, conditions and practices relating to flexible working arrangements for employees and to working arrangements supporting employees with family or caring responsibilities</w:t>
      </w:r>
    </w:p>
    <w:p w:rsidR="00E401F9" w:rsidRDefault="00E401F9" w:rsidP="00910142">
      <w:pPr>
        <w:spacing w:after="0" w:line="240" w:lineRule="auto"/>
        <w:rPr>
          <w:rFonts w:ascii="Times New Roman" w:hAnsi="Times New Roman" w:cs="Times New Roman"/>
        </w:rPr>
      </w:pPr>
    </w:p>
    <w:p w:rsidR="001A0C7B" w:rsidRPr="0052701B" w:rsidRDefault="001A0C7B" w:rsidP="001A0C7B">
      <w:pPr>
        <w:spacing w:after="0" w:line="240" w:lineRule="auto"/>
        <w:rPr>
          <w:rFonts w:ascii="Times New Roman" w:hAnsi="Times New Roman" w:cs="Times New Roman"/>
          <w:i/>
        </w:rPr>
      </w:pPr>
      <w:r w:rsidRPr="0052701B">
        <w:rPr>
          <w:rFonts w:ascii="Times New Roman" w:hAnsi="Times New Roman" w:cs="Times New Roman"/>
          <w:i/>
        </w:rPr>
        <w:t>Return to work from parental leave</w:t>
      </w:r>
    </w:p>
    <w:p w:rsidR="001A0C7B" w:rsidRDefault="001A0C7B" w:rsidP="00910142">
      <w:pPr>
        <w:spacing w:after="0" w:line="240" w:lineRule="auto"/>
        <w:rPr>
          <w:rFonts w:ascii="Times New Roman" w:hAnsi="Times New Roman" w:cs="Times New Roman"/>
        </w:rPr>
      </w:pPr>
    </w:p>
    <w:p w:rsidR="00C55474" w:rsidRDefault="0050799B" w:rsidP="00910142">
      <w:pPr>
        <w:spacing w:after="0" w:line="240" w:lineRule="auto"/>
        <w:rPr>
          <w:rFonts w:ascii="Times New Roman" w:hAnsi="Times New Roman" w:cs="Times New Roman"/>
        </w:rPr>
      </w:pPr>
      <w:r>
        <w:rPr>
          <w:rFonts w:ascii="Times New Roman" w:hAnsi="Times New Roman" w:cs="Times New Roman"/>
        </w:rPr>
        <w:t xml:space="preserve">Clause 3 of </w:t>
      </w:r>
      <w:r w:rsidR="00C91D70">
        <w:rPr>
          <w:rFonts w:ascii="Times New Roman" w:hAnsi="Times New Roman" w:cs="Times New Roman"/>
        </w:rPr>
        <w:t>Schedule 2</w:t>
      </w:r>
      <w:r w:rsidR="00CF3EC5">
        <w:rPr>
          <w:rFonts w:ascii="Times New Roman" w:hAnsi="Times New Roman" w:cs="Times New Roman"/>
        </w:rPr>
        <w:t xml:space="preserve"> </w:t>
      </w:r>
      <w:r w:rsidR="00BC1556">
        <w:rPr>
          <w:rFonts w:ascii="Times New Roman" w:hAnsi="Times New Roman" w:cs="Times New Roman"/>
        </w:rPr>
        <w:t>to</w:t>
      </w:r>
      <w:r w:rsidR="00CF3EC5">
        <w:rPr>
          <w:rFonts w:ascii="Times New Roman" w:hAnsi="Times New Roman" w:cs="Times New Roman"/>
        </w:rPr>
        <w:t xml:space="preserve"> the Principal Instrument</w:t>
      </w:r>
      <w:r w:rsidR="00C91D70">
        <w:rPr>
          <w:rFonts w:ascii="Times New Roman" w:hAnsi="Times New Roman" w:cs="Times New Roman"/>
        </w:rPr>
        <w:t xml:space="preserve"> </w:t>
      </w:r>
      <w:r>
        <w:rPr>
          <w:rFonts w:ascii="Times New Roman" w:hAnsi="Times New Roman" w:cs="Times New Roman"/>
        </w:rPr>
        <w:t>currently amends clause 4 of Schedule 1 to the Principal Instrument</w:t>
      </w:r>
      <w:r w:rsidR="006E58E9">
        <w:rPr>
          <w:rFonts w:ascii="Times New Roman" w:hAnsi="Times New Roman" w:cs="Times New Roman"/>
        </w:rPr>
        <w:t xml:space="preserve"> </w:t>
      </w:r>
      <w:r>
        <w:rPr>
          <w:rFonts w:ascii="Times New Roman" w:hAnsi="Times New Roman" w:cs="Times New Roman"/>
        </w:rPr>
        <w:t>from 1 April 2015</w:t>
      </w:r>
      <w:r w:rsidR="002A139B">
        <w:rPr>
          <w:rFonts w:ascii="Times New Roman" w:hAnsi="Times New Roman" w:cs="Times New Roman"/>
        </w:rPr>
        <w:t xml:space="preserve"> by inserting a new requirement (</w:t>
      </w:r>
      <w:r w:rsidR="006E58E9">
        <w:rPr>
          <w:rFonts w:ascii="Times New Roman" w:hAnsi="Times New Roman" w:cs="Times New Roman"/>
        </w:rPr>
        <w:t xml:space="preserve">amending </w:t>
      </w:r>
      <w:r w:rsidR="002A139B">
        <w:rPr>
          <w:rFonts w:ascii="Times New Roman" w:hAnsi="Times New Roman" w:cs="Times New Roman"/>
        </w:rPr>
        <w:t>clause 4.8)</w:t>
      </w:r>
      <w:r>
        <w:rPr>
          <w:rFonts w:ascii="Times New Roman" w:hAnsi="Times New Roman" w:cs="Times New Roman"/>
        </w:rPr>
        <w:t xml:space="preserve"> </w:t>
      </w:r>
      <w:r w:rsidR="002A139B">
        <w:rPr>
          <w:rFonts w:ascii="Times New Roman" w:hAnsi="Times New Roman" w:cs="Times New Roman"/>
        </w:rPr>
        <w:t xml:space="preserve">which </w:t>
      </w:r>
      <w:r w:rsidR="00106A4E">
        <w:rPr>
          <w:rFonts w:ascii="Times New Roman" w:hAnsi="Times New Roman" w:cs="Times New Roman"/>
        </w:rPr>
        <w:t xml:space="preserve">provides that </w:t>
      </w:r>
      <w:r w:rsidR="00C91D70">
        <w:rPr>
          <w:rFonts w:ascii="Times New Roman" w:hAnsi="Times New Roman" w:cs="Times New Roman"/>
        </w:rPr>
        <w:t>relevant employers</w:t>
      </w:r>
      <w:r w:rsidR="002A139B">
        <w:rPr>
          <w:rFonts w:ascii="Times New Roman" w:hAnsi="Times New Roman" w:cs="Times New Roman"/>
        </w:rPr>
        <w:t xml:space="preserve"> will have to</w:t>
      </w:r>
      <w:r w:rsidR="00C91D70">
        <w:rPr>
          <w:rFonts w:ascii="Times New Roman" w:hAnsi="Times New Roman" w:cs="Times New Roman"/>
        </w:rPr>
        <w:t xml:space="preserve"> report on disaggregated data by gender and manager/non-manager status on return to work from parental leave. </w:t>
      </w:r>
    </w:p>
    <w:p w:rsidR="00BC1556" w:rsidRDefault="00BC1556" w:rsidP="00910142">
      <w:pPr>
        <w:spacing w:after="0" w:line="240" w:lineRule="auto"/>
        <w:rPr>
          <w:rFonts w:ascii="Times New Roman" w:hAnsi="Times New Roman" w:cs="Times New Roman"/>
        </w:rPr>
      </w:pPr>
    </w:p>
    <w:p w:rsidR="009B5E3F" w:rsidRDefault="009B5E3F" w:rsidP="009B5E3F">
      <w:pPr>
        <w:spacing w:after="0" w:line="240" w:lineRule="auto"/>
        <w:rPr>
          <w:rFonts w:ascii="Times New Roman" w:hAnsi="Times New Roman" w:cs="Times New Roman"/>
        </w:rPr>
      </w:pPr>
      <w:r>
        <w:rPr>
          <w:rFonts w:ascii="Times New Roman" w:hAnsi="Times New Roman" w:cs="Times New Roman"/>
        </w:rPr>
        <w:t>Clause 3 of new Schedule 2</w:t>
      </w:r>
      <w:r w:rsidR="0091473E">
        <w:rPr>
          <w:rFonts w:ascii="Times New Roman" w:hAnsi="Times New Roman" w:cs="Times New Roman"/>
        </w:rPr>
        <w:t xml:space="preserve"> is different from the current</w:t>
      </w:r>
      <w:r>
        <w:rPr>
          <w:rFonts w:ascii="Times New Roman" w:hAnsi="Times New Roman" w:cs="Times New Roman"/>
        </w:rPr>
        <w:t xml:space="preserve"> clause 3 of Schedule 2 to the Principal Instrument </w:t>
      </w:r>
      <w:r w:rsidR="0091473E">
        <w:rPr>
          <w:rFonts w:ascii="Times New Roman" w:hAnsi="Times New Roman" w:cs="Times New Roman"/>
        </w:rPr>
        <w:t>in that it</w:t>
      </w:r>
      <w:r>
        <w:rPr>
          <w:rFonts w:ascii="Times New Roman" w:hAnsi="Times New Roman" w:cs="Times New Roman"/>
        </w:rPr>
        <w:t xml:space="preserve"> instead require</w:t>
      </w:r>
      <w:r w:rsidR="0091473E">
        <w:rPr>
          <w:rFonts w:ascii="Times New Roman" w:hAnsi="Times New Roman" w:cs="Times New Roman"/>
        </w:rPr>
        <w:t>s</w:t>
      </w:r>
      <w:r>
        <w:rPr>
          <w:rFonts w:ascii="Times New Roman" w:hAnsi="Times New Roman" w:cs="Times New Roman"/>
        </w:rPr>
        <w:t xml:space="preserve"> reporting on the proportion of </w:t>
      </w:r>
      <w:r w:rsidR="00374BA1" w:rsidRPr="00374BA1">
        <w:rPr>
          <w:rFonts w:ascii="Times New Roman" w:hAnsi="Times New Roman" w:cs="Times New Roman"/>
        </w:rPr>
        <w:t>employees who took a period of parental leave</w:t>
      </w:r>
      <w:r w:rsidR="00374BA1" w:rsidRPr="0022185A">
        <w:t xml:space="preserve"> </w:t>
      </w:r>
      <w:r>
        <w:rPr>
          <w:rFonts w:ascii="Times New Roman" w:hAnsi="Times New Roman" w:cs="Times New Roman"/>
        </w:rPr>
        <w:t xml:space="preserve">that cease employment </w:t>
      </w:r>
      <w:r w:rsidRPr="001933A6">
        <w:rPr>
          <w:rFonts w:ascii="Times New Roman" w:hAnsi="Times New Roman" w:cs="Times New Roman"/>
        </w:rPr>
        <w:t xml:space="preserve">during, or at the end of </w:t>
      </w:r>
      <w:r w:rsidR="00374BA1">
        <w:rPr>
          <w:rFonts w:ascii="Times New Roman" w:hAnsi="Times New Roman" w:cs="Times New Roman"/>
        </w:rPr>
        <w:t>that</w:t>
      </w:r>
      <w:r w:rsidRPr="001933A6">
        <w:rPr>
          <w:rFonts w:ascii="Times New Roman" w:hAnsi="Times New Roman" w:cs="Times New Roman"/>
        </w:rPr>
        <w:t xml:space="preserve"> period of parental leave (including where the parental leave is taken continuously with any other leave type), by gender and manager/non-manager.</w:t>
      </w:r>
      <w:r>
        <w:rPr>
          <w:rFonts w:ascii="Times New Roman" w:hAnsi="Times New Roman" w:cs="Times New Roman"/>
        </w:rPr>
        <w:t xml:space="preserve"> Other leave types can include those taken in addition to paid parental leave, in a continuous cycle. For example, a person may utilise paid parental leave, annual leave and unpaid leave during a single block of ‘parental leave’. </w:t>
      </w:r>
    </w:p>
    <w:p w:rsidR="009B5E3F" w:rsidRDefault="009B5E3F" w:rsidP="009B5E3F">
      <w:pPr>
        <w:spacing w:after="0" w:line="240" w:lineRule="auto"/>
        <w:rPr>
          <w:rFonts w:ascii="Times New Roman" w:hAnsi="Times New Roman" w:cs="Times New Roman"/>
        </w:rPr>
      </w:pPr>
    </w:p>
    <w:p w:rsidR="00BC1556" w:rsidRDefault="009B5E3F" w:rsidP="00910142">
      <w:pPr>
        <w:spacing w:after="0" w:line="240" w:lineRule="auto"/>
        <w:rPr>
          <w:rFonts w:ascii="Times New Roman" w:hAnsi="Times New Roman" w:cs="Times New Roman"/>
        </w:rPr>
      </w:pPr>
      <w:r>
        <w:rPr>
          <w:rFonts w:ascii="Times New Roman" w:hAnsi="Times New Roman" w:cs="Times New Roman"/>
        </w:rPr>
        <w:t>This amendment is a result of f</w:t>
      </w:r>
      <w:r w:rsidR="00BC1556">
        <w:rPr>
          <w:rFonts w:ascii="Times New Roman" w:hAnsi="Times New Roman" w:cs="Times New Roman"/>
        </w:rPr>
        <w:t xml:space="preserve">eedback from stakeholders </w:t>
      </w:r>
      <w:r>
        <w:rPr>
          <w:rFonts w:ascii="Times New Roman" w:hAnsi="Times New Roman" w:cs="Times New Roman"/>
        </w:rPr>
        <w:t>which</w:t>
      </w:r>
      <w:r w:rsidR="00BC1556">
        <w:rPr>
          <w:rFonts w:ascii="Times New Roman" w:hAnsi="Times New Roman" w:cs="Times New Roman"/>
        </w:rPr>
        <w:t xml:space="preserve"> revealed that while this</w:t>
      </w:r>
      <w:r>
        <w:rPr>
          <w:rFonts w:ascii="Times New Roman" w:hAnsi="Times New Roman" w:cs="Times New Roman"/>
        </w:rPr>
        <w:t xml:space="preserve"> reporting on return to work from parental leave</w:t>
      </w:r>
      <w:r w:rsidR="00BC1556">
        <w:rPr>
          <w:rFonts w:ascii="Times New Roman" w:hAnsi="Times New Roman" w:cs="Times New Roman"/>
        </w:rPr>
        <w:t xml:space="preserve"> is regarded as important, the </w:t>
      </w:r>
      <w:r>
        <w:rPr>
          <w:rFonts w:ascii="Times New Roman" w:hAnsi="Times New Roman" w:cs="Times New Roman"/>
        </w:rPr>
        <w:t xml:space="preserve">reporting </w:t>
      </w:r>
      <w:r w:rsidR="00BC1556">
        <w:rPr>
          <w:rFonts w:ascii="Times New Roman" w:hAnsi="Times New Roman" w:cs="Times New Roman"/>
        </w:rPr>
        <w:t xml:space="preserve">formulation could be improved. </w:t>
      </w:r>
      <w:r>
        <w:rPr>
          <w:rFonts w:ascii="Times New Roman" w:hAnsi="Times New Roman" w:cs="Times New Roman"/>
        </w:rPr>
        <w:t>The amendment</w:t>
      </w:r>
      <w:r w:rsidR="009C1ED1">
        <w:rPr>
          <w:rFonts w:ascii="Times New Roman" w:hAnsi="Times New Roman" w:cs="Times New Roman"/>
        </w:rPr>
        <w:t xml:space="preserve"> </w:t>
      </w:r>
      <w:r w:rsidR="00BC1556">
        <w:rPr>
          <w:rFonts w:ascii="Times New Roman" w:hAnsi="Times New Roman" w:cs="Times New Roman"/>
        </w:rPr>
        <w:t xml:space="preserve">aims to provide a more accurate picture of the return to work rates over time in an organisation. </w:t>
      </w:r>
    </w:p>
    <w:p w:rsidR="00106A4E" w:rsidRDefault="00106A4E" w:rsidP="00910142">
      <w:pPr>
        <w:spacing w:after="0" w:line="240" w:lineRule="auto"/>
        <w:rPr>
          <w:rFonts w:ascii="Times New Roman" w:hAnsi="Times New Roman" w:cs="Times New Roman"/>
        </w:rPr>
      </w:pPr>
    </w:p>
    <w:p w:rsidR="00106A4E" w:rsidRDefault="00106A4E" w:rsidP="00554868">
      <w:pPr>
        <w:keepNext/>
        <w:spacing w:after="0" w:line="240" w:lineRule="auto"/>
        <w:rPr>
          <w:rFonts w:ascii="Times New Roman" w:hAnsi="Times New Roman" w:cs="Times New Roman"/>
          <w:i/>
        </w:rPr>
      </w:pPr>
      <w:r w:rsidRPr="0052701B">
        <w:rPr>
          <w:rFonts w:ascii="Times New Roman" w:hAnsi="Times New Roman" w:cs="Times New Roman"/>
          <w:i/>
        </w:rPr>
        <w:t>Requests and approvals for extended parental leave</w:t>
      </w:r>
    </w:p>
    <w:p w:rsidR="00106A4E" w:rsidRPr="0052701B" w:rsidRDefault="00106A4E" w:rsidP="00554868">
      <w:pPr>
        <w:keepNext/>
        <w:spacing w:after="0" w:line="240" w:lineRule="auto"/>
        <w:rPr>
          <w:rFonts w:ascii="Times New Roman" w:hAnsi="Times New Roman" w:cs="Times New Roman"/>
          <w:i/>
        </w:rPr>
      </w:pPr>
    </w:p>
    <w:p w:rsidR="00C91D70" w:rsidRDefault="006E58E9" w:rsidP="00554868">
      <w:pPr>
        <w:keepNext/>
        <w:spacing w:after="0" w:line="240" w:lineRule="auto"/>
        <w:rPr>
          <w:rFonts w:ascii="Times New Roman" w:hAnsi="Times New Roman" w:cs="Times New Roman"/>
        </w:rPr>
      </w:pPr>
      <w:r>
        <w:rPr>
          <w:rFonts w:ascii="Times New Roman" w:hAnsi="Times New Roman" w:cs="Times New Roman"/>
        </w:rPr>
        <w:t>Clause 3 of Schedule 2 to the Principal Instrument currently amends clause 4 of Schedule 1 to the Principal Instrument from 1 April 2015 by inserting a new requirement (amending clause 4.9) which w</w:t>
      </w:r>
      <w:r w:rsidR="0091473E">
        <w:rPr>
          <w:rFonts w:ascii="Times New Roman" w:hAnsi="Times New Roman" w:cs="Times New Roman"/>
        </w:rPr>
        <w:t>ould</w:t>
      </w:r>
      <w:r>
        <w:rPr>
          <w:rFonts w:ascii="Times New Roman" w:hAnsi="Times New Roman" w:cs="Times New Roman"/>
        </w:rPr>
        <w:t xml:space="preserve"> require </w:t>
      </w:r>
      <w:r w:rsidR="00C91D70">
        <w:rPr>
          <w:rFonts w:ascii="Times New Roman" w:hAnsi="Times New Roman" w:cs="Times New Roman"/>
        </w:rPr>
        <w:t>relevant employers</w:t>
      </w:r>
      <w:r>
        <w:rPr>
          <w:rFonts w:ascii="Times New Roman" w:hAnsi="Times New Roman" w:cs="Times New Roman"/>
        </w:rPr>
        <w:t xml:space="preserve"> to</w:t>
      </w:r>
      <w:r w:rsidR="00C91D70">
        <w:rPr>
          <w:rFonts w:ascii="Times New Roman" w:hAnsi="Times New Roman" w:cs="Times New Roman"/>
        </w:rPr>
        <w:t xml:space="preserve"> report on the number of requests and approvals for extended parental leave by gender and by manager/non-manager</w:t>
      </w:r>
      <w:r w:rsidR="00A1136A">
        <w:rPr>
          <w:rFonts w:ascii="Times New Roman" w:hAnsi="Times New Roman" w:cs="Times New Roman"/>
        </w:rPr>
        <w:t xml:space="preserve"> status</w:t>
      </w:r>
      <w:r w:rsidR="00C91D70">
        <w:rPr>
          <w:rFonts w:ascii="Times New Roman" w:hAnsi="Times New Roman" w:cs="Times New Roman"/>
        </w:rPr>
        <w:t xml:space="preserve">. </w:t>
      </w:r>
      <w:r w:rsidR="00106A4E">
        <w:rPr>
          <w:rFonts w:ascii="Times New Roman" w:hAnsi="Times New Roman" w:cs="Times New Roman"/>
        </w:rPr>
        <w:t xml:space="preserve"> </w:t>
      </w:r>
      <w:r>
        <w:rPr>
          <w:rFonts w:ascii="Times New Roman" w:hAnsi="Times New Roman" w:cs="Times New Roman"/>
        </w:rPr>
        <w:t>Clause 3 of n</w:t>
      </w:r>
      <w:r w:rsidR="00106A4E">
        <w:rPr>
          <w:rFonts w:ascii="Times New Roman" w:hAnsi="Times New Roman" w:cs="Times New Roman"/>
        </w:rPr>
        <w:t xml:space="preserve">ew Schedule 2 </w:t>
      </w:r>
      <w:r w:rsidR="0091473E">
        <w:rPr>
          <w:rFonts w:ascii="Times New Roman" w:hAnsi="Times New Roman" w:cs="Times New Roman"/>
        </w:rPr>
        <w:t>does not include</w:t>
      </w:r>
      <w:r w:rsidR="00106A4E">
        <w:rPr>
          <w:rFonts w:ascii="Times New Roman" w:hAnsi="Times New Roman" w:cs="Times New Roman"/>
        </w:rPr>
        <w:t xml:space="preserve"> this requirement. This</w:t>
      </w:r>
      <w:r w:rsidR="00A0630F">
        <w:rPr>
          <w:rFonts w:ascii="Times New Roman" w:hAnsi="Times New Roman" w:cs="Times New Roman"/>
        </w:rPr>
        <w:t xml:space="preserve"> change</w:t>
      </w:r>
      <w:r w:rsidR="00106A4E">
        <w:rPr>
          <w:rFonts w:ascii="Times New Roman" w:hAnsi="Times New Roman" w:cs="Times New Roman"/>
        </w:rPr>
        <w:t xml:space="preserve"> follows the general agreement between s</w:t>
      </w:r>
      <w:r w:rsidR="00C91D70">
        <w:rPr>
          <w:rFonts w:ascii="Times New Roman" w:hAnsi="Times New Roman" w:cs="Times New Roman"/>
        </w:rPr>
        <w:t>takeholders</w:t>
      </w:r>
      <w:r w:rsidR="00106A4E">
        <w:rPr>
          <w:rFonts w:ascii="Times New Roman" w:hAnsi="Times New Roman" w:cs="Times New Roman"/>
        </w:rPr>
        <w:t xml:space="preserve"> that</w:t>
      </w:r>
      <w:r w:rsidR="00C91D70">
        <w:rPr>
          <w:rFonts w:ascii="Times New Roman" w:hAnsi="Times New Roman" w:cs="Times New Roman"/>
        </w:rPr>
        <w:t xml:space="preserve"> </w:t>
      </w:r>
      <w:r w:rsidR="00716E0D">
        <w:rPr>
          <w:rFonts w:ascii="Times New Roman" w:hAnsi="Times New Roman" w:cs="Times New Roman"/>
        </w:rPr>
        <w:t xml:space="preserve">this information is complicated </w:t>
      </w:r>
      <w:r w:rsidR="003055BA">
        <w:rPr>
          <w:rFonts w:ascii="Times New Roman" w:hAnsi="Times New Roman" w:cs="Times New Roman"/>
        </w:rPr>
        <w:t xml:space="preserve">and difficult </w:t>
      </w:r>
      <w:r w:rsidR="00716E0D">
        <w:rPr>
          <w:rFonts w:ascii="Times New Roman" w:hAnsi="Times New Roman" w:cs="Times New Roman"/>
        </w:rPr>
        <w:t xml:space="preserve">for employers to </w:t>
      </w:r>
      <w:r w:rsidR="00106A4E">
        <w:rPr>
          <w:rFonts w:ascii="Times New Roman" w:hAnsi="Times New Roman" w:cs="Times New Roman"/>
        </w:rPr>
        <w:t>obtain,</w:t>
      </w:r>
      <w:r w:rsidR="003055BA">
        <w:rPr>
          <w:rFonts w:ascii="Times New Roman" w:hAnsi="Times New Roman" w:cs="Times New Roman"/>
        </w:rPr>
        <w:t xml:space="preserve"> responses may not be comparable</w:t>
      </w:r>
      <w:r>
        <w:rPr>
          <w:rFonts w:ascii="Times New Roman" w:hAnsi="Times New Roman" w:cs="Times New Roman"/>
        </w:rPr>
        <w:t>,</w:t>
      </w:r>
      <w:r w:rsidR="003055BA">
        <w:rPr>
          <w:rFonts w:ascii="Times New Roman" w:hAnsi="Times New Roman" w:cs="Times New Roman"/>
        </w:rPr>
        <w:t xml:space="preserve"> </w:t>
      </w:r>
      <w:r w:rsidR="00D665F4">
        <w:rPr>
          <w:rFonts w:ascii="Times New Roman" w:hAnsi="Times New Roman" w:cs="Times New Roman"/>
        </w:rPr>
        <w:t>and</w:t>
      </w:r>
      <w:r w:rsidR="003055BA">
        <w:rPr>
          <w:rFonts w:ascii="Times New Roman" w:hAnsi="Times New Roman" w:cs="Times New Roman"/>
        </w:rPr>
        <w:t xml:space="preserve"> </w:t>
      </w:r>
      <w:r w:rsidR="00AA48CE">
        <w:rPr>
          <w:rFonts w:ascii="Times New Roman" w:hAnsi="Times New Roman" w:cs="Times New Roman"/>
        </w:rPr>
        <w:t xml:space="preserve">therefore </w:t>
      </w:r>
      <w:r w:rsidR="00C91D70">
        <w:rPr>
          <w:rFonts w:ascii="Times New Roman" w:hAnsi="Times New Roman" w:cs="Times New Roman"/>
        </w:rPr>
        <w:t xml:space="preserve">reporting on this measure would be of limited </w:t>
      </w:r>
      <w:r w:rsidR="00106A4E">
        <w:rPr>
          <w:rFonts w:ascii="Times New Roman" w:hAnsi="Times New Roman" w:cs="Times New Roman"/>
        </w:rPr>
        <w:t>use.</w:t>
      </w:r>
    </w:p>
    <w:p w:rsidR="00106A4E" w:rsidRDefault="00106A4E" w:rsidP="00910142">
      <w:pPr>
        <w:spacing w:after="0" w:line="240" w:lineRule="auto"/>
        <w:rPr>
          <w:rFonts w:ascii="Times New Roman" w:hAnsi="Times New Roman" w:cs="Times New Roman"/>
        </w:rPr>
      </w:pPr>
    </w:p>
    <w:p w:rsidR="00106A4E" w:rsidRPr="0052701B" w:rsidRDefault="00106A4E" w:rsidP="00910142">
      <w:pPr>
        <w:spacing w:after="0" w:line="240" w:lineRule="auto"/>
        <w:rPr>
          <w:rFonts w:ascii="Times New Roman" w:hAnsi="Times New Roman" w:cs="Times New Roman"/>
          <w:i/>
        </w:rPr>
      </w:pPr>
      <w:r w:rsidRPr="0052701B">
        <w:rPr>
          <w:rFonts w:ascii="Times New Roman" w:hAnsi="Times New Roman" w:cs="Times New Roman"/>
          <w:i/>
        </w:rPr>
        <w:t>Family and caring responsibilities</w:t>
      </w:r>
    </w:p>
    <w:p w:rsidR="00106A4E" w:rsidRDefault="00106A4E" w:rsidP="00910142">
      <w:pPr>
        <w:spacing w:after="0" w:line="240" w:lineRule="auto"/>
        <w:rPr>
          <w:rFonts w:ascii="Times New Roman" w:hAnsi="Times New Roman" w:cs="Times New Roman"/>
        </w:rPr>
      </w:pPr>
    </w:p>
    <w:p w:rsidR="00CF3EC5" w:rsidRDefault="006E58E9" w:rsidP="00910142">
      <w:pPr>
        <w:spacing w:after="0" w:line="240" w:lineRule="auto"/>
        <w:rPr>
          <w:rFonts w:ascii="Times New Roman" w:hAnsi="Times New Roman" w:cs="Times New Roman"/>
        </w:rPr>
      </w:pPr>
      <w:r>
        <w:rPr>
          <w:rFonts w:ascii="Times New Roman" w:hAnsi="Times New Roman" w:cs="Times New Roman"/>
        </w:rPr>
        <w:t>Clause 3 of Schedule 2 to the Principal Instrument currently amends clause 4 of Schedule 1 to the Principal Instrument from 1 April 2015 and provides that</w:t>
      </w:r>
      <w:r w:rsidR="00CF3EC5">
        <w:rPr>
          <w:rFonts w:ascii="Times New Roman" w:hAnsi="Times New Roman" w:cs="Times New Roman"/>
        </w:rPr>
        <w:t xml:space="preserve"> </w:t>
      </w:r>
      <w:r w:rsidR="00C91D70">
        <w:rPr>
          <w:rFonts w:ascii="Times New Roman" w:hAnsi="Times New Roman" w:cs="Times New Roman"/>
        </w:rPr>
        <w:t xml:space="preserve">relevant employers </w:t>
      </w:r>
      <w:r>
        <w:rPr>
          <w:rFonts w:ascii="Times New Roman" w:hAnsi="Times New Roman" w:cs="Times New Roman"/>
        </w:rPr>
        <w:t>will have to</w:t>
      </w:r>
      <w:r w:rsidR="00C91D70">
        <w:rPr>
          <w:rFonts w:ascii="Times New Roman" w:hAnsi="Times New Roman" w:cs="Times New Roman"/>
        </w:rPr>
        <w:t xml:space="preserve"> report on policies and strategies and non-leave based measures to support employees with family </w:t>
      </w:r>
      <w:r w:rsidR="00C91D70" w:rsidRPr="005E16D0">
        <w:rPr>
          <w:rFonts w:ascii="Times New Roman" w:hAnsi="Times New Roman" w:cs="Times New Roman"/>
          <w:i/>
        </w:rPr>
        <w:t xml:space="preserve">and </w:t>
      </w:r>
      <w:r w:rsidR="00C91D70">
        <w:rPr>
          <w:rFonts w:ascii="Times New Roman" w:hAnsi="Times New Roman" w:cs="Times New Roman"/>
        </w:rPr>
        <w:t>caring responsibilities</w:t>
      </w:r>
      <w:r w:rsidR="00E4630A">
        <w:rPr>
          <w:rFonts w:ascii="Times New Roman" w:hAnsi="Times New Roman" w:cs="Times New Roman"/>
        </w:rPr>
        <w:t xml:space="preserve"> (</w:t>
      </w:r>
      <w:r>
        <w:rPr>
          <w:rFonts w:ascii="Times New Roman" w:hAnsi="Times New Roman" w:cs="Times New Roman"/>
        </w:rPr>
        <w:t xml:space="preserve">amending </w:t>
      </w:r>
      <w:r w:rsidR="00BC1556">
        <w:rPr>
          <w:rFonts w:ascii="Times New Roman" w:hAnsi="Times New Roman" w:cs="Times New Roman"/>
        </w:rPr>
        <w:t>clauses</w:t>
      </w:r>
      <w:r w:rsidR="00B041F1">
        <w:rPr>
          <w:rFonts w:ascii="Times New Roman" w:hAnsi="Times New Roman" w:cs="Times New Roman"/>
        </w:rPr>
        <w:t> </w:t>
      </w:r>
      <w:r w:rsidR="00E4630A">
        <w:rPr>
          <w:rFonts w:ascii="Times New Roman" w:hAnsi="Times New Roman" w:cs="Times New Roman"/>
        </w:rPr>
        <w:t>4.12 and 4.13</w:t>
      </w:r>
      <w:r w:rsidR="0091473E">
        <w:rPr>
          <w:rFonts w:ascii="Times New Roman" w:hAnsi="Times New Roman" w:cs="Times New Roman"/>
        </w:rPr>
        <w:t xml:space="preserve"> of Schedule 2</w:t>
      </w:r>
      <w:r w:rsidR="00E4630A">
        <w:rPr>
          <w:rFonts w:ascii="Times New Roman" w:hAnsi="Times New Roman" w:cs="Times New Roman"/>
        </w:rPr>
        <w:t>)</w:t>
      </w:r>
      <w:r w:rsidR="00C91D70">
        <w:rPr>
          <w:rFonts w:ascii="Times New Roman" w:hAnsi="Times New Roman" w:cs="Times New Roman"/>
        </w:rPr>
        <w:t>. Consistent with t</w:t>
      </w:r>
      <w:r w:rsidR="009C1ED1">
        <w:rPr>
          <w:rFonts w:ascii="Times New Roman" w:hAnsi="Times New Roman" w:cs="Times New Roman"/>
        </w:rPr>
        <w:t>he policy objectives of the Act</w:t>
      </w:r>
      <w:r w:rsidR="00C91D70">
        <w:rPr>
          <w:rFonts w:ascii="Times New Roman" w:hAnsi="Times New Roman" w:cs="Times New Roman"/>
        </w:rPr>
        <w:t xml:space="preserve">, this </w:t>
      </w:r>
      <w:r w:rsidR="005E16D0">
        <w:rPr>
          <w:rFonts w:ascii="Times New Roman" w:hAnsi="Times New Roman" w:cs="Times New Roman"/>
        </w:rPr>
        <w:t>reporting matter</w:t>
      </w:r>
      <w:r w:rsidR="00C91D70">
        <w:rPr>
          <w:rFonts w:ascii="Times New Roman" w:hAnsi="Times New Roman" w:cs="Times New Roman"/>
        </w:rPr>
        <w:t xml:space="preserve"> is designed to support persons with family </w:t>
      </w:r>
      <w:r w:rsidR="00C91D70" w:rsidRPr="005E16D0">
        <w:rPr>
          <w:rFonts w:ascii="Times New Roman" w:hAnsi="Times New Roman" w:cs="Times New Roman"/>
          <w:i/>
        </w:rPr>
        <w:t>or</w:t>
      </w:r>
      <w:r w:rsidR="00C91D70">
        <w:rPr>
          <w:rFonts w:ascii="Times New Roman" w:hAnsi="Times New Roman" w:cs="Times New Roman"/>
        </w:rPr>
        <w:t xml:space="preserve"> caring responsibilities. </w:t>
      </w:r>
    </w:p>
    <w:p w:rsidR="00CF3EC5" w:rsidRDefault="00CF3EC5" w:rsidP="00910142">
      <w:pPr>
        <w:spacing w:after="0" w:line="240" w:lineRule="auto"/>
        <w:rPr>
          <w:rFonts w:ascii="Times New Roman" w:hAnsi="Times New Roman" w:cs="Times New Roman"/>
        </w:rPr>
      </w:pPr>
    </w:p>
    <w:p w:rsidR="00C91D70" w:rsidRDefault="005E16D0" w:rsidP="00910142">
      <w:pPr>
        <w:spacing w:after="0" w:line="240" w:lineRule="auto"/>
        <w:rPr>
          <w:rFonts w:ascii="Times New Roman" w:hAnsi="Times New Roman" w:cs="Times New Roman"/>
        </w:rPr>
      </w:pPr>
      <w:r>
        <w:rPr>
          <w:rFonts w:ascii="Times New Roman" w:hAnsi="Times New Roman" w:cs="Times New Roman"/>
        </w:rPr>
        <w:t>Clause 3 of</w:t>
      </w:r>
      <w:r w:rsidR="009C1ED1">
        <w:rPr>
          <w:rFonts w:ascii="Times New Roman" w:hAnsi="Times New Roman" w:cs="Times New Roman"/>
        </w:rPr>
        <w:t xml:space="preserve"> </w:t>
      </w:r>
      <w:r>
        <w:rPr>
          <w:rFonts w:ascii="Times New Roman" w:hAnsi="Times New Roman" w:cs="Times New Roman"/>
        </w:rPr>
        <w:t>n</w:t>
      </w:r>
      <w:r w:rsidR="00BC1556">
        <w:rPr>
          <w:rFonts w:ascii="Times New Roman" w:hAnsi="Times New Roman" w:cs="Times New Roman"/>
        </w:rPr>
        <w:t>ew Schedule </w:t>
      </w:r>
      <w:r w:rsidR="00106A4E">
        <w:rPr>
          <w:rFonts w:ascii="Times New Roman" w:hAnsi="Times New Roman" w:cs="Times New Roman"/>
        </w:rPr>
        <w:t xml:space="preserve">2 </w:t>
      </w:r>
      <w:r w:rsidR="00C91D70">
        <w:rPr>
          <w:rFonts w:ascii="Times New Roman" w:hAnsi="Times New Roman" w:cs="Times New Roman"/>
        </w:rPr>
        <w:t>clarif</w:t>
      </w:r>
      <w:r>
        <w:rPr>
          <w:rFonts w:ascii="Times New Roman" w:hAnsi="Times New Roman" w:cs="Times New Roman"/>
        </w:rPr>
        <w:t>ies</w:t>
      </w:r>
      <w:r w:rsidR="00C91D70">
        <w:rPr>
          <w:rFonts w:ascii="Times New Roman" w:hAnsi="Times New Roman" w:cs="Times New Roman"/>
        </w:rPr>
        <w:t xml:space="preserve"> </w:t>
      </w:r>
      <w:r w:rsidR="00B041F1">
        <w:rPr>
          <w:rFonts w:ascii="Times New Roman" w:hAnsi="Times New Roman" w:cs="Times New Roman"/>
        </w:rPr>
        <w:t>th</w:t>
      </w:r>
      <w:r>
        <w:rPr>
          <w:rFonts w:ascii="Times New Roman" w:hAnsi="Times New Roman" w:cs="Times New Roman"/>
        </w:rPr>
        <w:t>is</w:t>
      </w:r>
      <w:r w:rsidR="00B041F1">
        <w:rPr>
          <w:rFonts w:ascii="Times New Roman" w:hAnsi="Times New Roman" w:cs="Times New Roman"/>
        </w:rPr>
        <w:t xml:space="preserve"> objective</w:t>
      </w:r>
      <w:r w:rsidR="00C91D70">
        <w:rPr>
          <w:rFonts w:ascii="Times New Roman" w:hAnsi="Times New Roman" w:cs="Times New Roman"/>
        </w:rPr>
        <w:t xml:space="preserve"> </w:t>
      </w:r>
      <w:r>
        <w:rPr>
          <w:rFonts w:ascii="Times New Roman" w:hAnsi="Times New Roman" w:cs="Times New Roman"/>
        </w:rPr>
        <w:t xml:space="preserve">and will require </w:t>
      </w:r>
      <w:r w:rsidR="00C91D70">
        <w:rPr>
          <w:rFonts w:ascii="Times New Roman" w:hAnsi="Times New Roman" w:cs="Times New Roman"/>
        </w:rPr>
        <w:t>relevant employers</w:t>
      </w:r>
      <w:r>
        <w:rPr>
          <w:rFonts w:ascii="Times New Roman" w:hAnsi="Times New Roman" w:cs="Times New Roman"/>
        </w:rPr>
        <w:t xml:space="preserve"> to</w:t>
      </w:r>
      <w:r w:rsidR="00C91D70">
        <w:rPr>
          <w:rFonts w:ascii="Times New Roman" w:hAnsi="Times New Roman" w:cs="Times New Roman"/>
        </w:rPr>
        <w:t xml:space="preserve"> report on policies and strategies and non-leave based measures to support employees with family </w:t>
      </w:r>
      <w:r w:rsidR="00C91D70" w:rsidRPr="005E16D0">
        <w:rPr>
          <w:rFonts w:ascii="Times New Roman" w:hAnsi="Times New Roman" w:cs="Times New Roman"/>
          <w:i/>
        </w:rPr>
        <w:t>or</w:t>
      </w:r>
      <w:r w:rsidR="00C91D70">
        <w:rPr>
          <w:rFonts w:ascii="Times New Roman" w:hAnsi="Times New Roman" w:cs="Times New Roman"/>
        </w:rPr>
        <w:t xml:space="preserve"> caring responsibilities. </w:t>
      </w:r>
      <w:r w:rsidR="00E4630A">
        <w:rPr>
          <w:rFonts w:ascii="Times New Roman" w:hAnsi="Times New Roman" w:cs="Times New Roman"/>
        </w:rPr>
        <w:t xml:space="preserve">For example, a person may have caring responsibilities for a person that is not a family member. </w:t>
      </w:r>
      <w:r w:rsidR="00C91D70">
        <w:rPr>
          <w:rFonts w:ascii="Times New Roman" w:hAnsi="Times New Roman" w:cs="Times New Roman"/>
        </w:rPr>
        <w:t>Of course, it is recognised that in many cases a person’s family and caring responsibilities may overlap.</w:t>
      </w:r>
      <w:r w:rsidR="00AA48CE">
        <w:rPr>
          <w:rFonts w:ascii="Times New Roman" w:hAnsi="Times New Roman" w:cs="Times New Roman"/>
        </w:rPr>
        <w:t xml:space="preserve"> This is a minor amendment to reflect the policy objectives of the Act. </w:t>
      </w:r>
    </w:p>
    <w:p w:rsidR="00BC1556" w:rsidRPr="00CF22AA" w:rsidRDefault="00BC1556" w:rsidP="00910142">
      <w:pPr>
        <w:spacing w:after="0" w:line="240" w:lineRule="auto"/>
        <w:rPr>
          <w:rFonts w:ascii="Times New Roman" w:hAnsi="Times New Roman" w:cs="Times New Roman"/>
        </w:rPr>
      </w:pPr>
    </w:p>
    <w:p w:rsidR="008E4529" w:rsidRDefault="00C91D70" w:rsidP="00897EE6">
      <w:pPr>
        <w:spacing w:after="0" w:line="240" w:lineRule="auto"/>
        <w:rPr>
          <w:rFonts w:ascii="Times New Roman" w:hAnsi="Times New Roman" w:cs="Times New Roman"/>
        </w:rPr>
      </w:pPr>
      <w:r>
        <w:rPr>
          <w:rFonts w:ascii="Times New Roman" w:hAnsi="Times New Roman" w:cs="Times New Roman"/>
        </w:rPr>
        <w:t xml:space="preserve">For clarity, </w:t>
      </w:r>
      <w:r w:rsidR="005E16D0">
        <w:rPr>
          <w:rFonts w:ascii="Times New Roman" w:hAnsi="Times New Roman" w:cs="Times New Roman"/>
        </w:rPr>
        <w:t xml:space="preserve">clause 3 of </w:t>
      </w:r>
      <w:r w:rsidR="00C55474">
        <w:rPr>
          <w:rFonts w:ascii="Times New Roman" w:hAnsi="Times New Roman" w:cs="Times New Roman"/>
        </w:rPr>
        <w:t>new Schedule 2</w:t>
      </w:r>
      <w:r w:rsidR="00380DD0">
        <w:rPr>
          <w:rFonts w:ascii="Times New Roman" w:hAnsi="Times New Roman" w:cs="Times New Roman"/>
        </w:rPr>
        <w:t xml:space="preserve"> is otherwise no different to</w:t>
      </w:r>
      <w:r>
        <w:rPr>
          <w:rFonts w:ascii="Times New Roman" w:hAnsi="Times New Roman" w:cs="Times New Roman"/>
        </w:rPr>
        <w:t xml:space="preserve"> the matters specified</w:t>
      </w:r>
      <w:r w:rsidR="00F700EC">
        <w:rPr>
          <w:rFonts w:ascii="Times New Roman" w:hAnsi="Times New Roman" w:cs="Times New Roman"/>
        </w:rPr>
        <w:t xml:space="preserve"> in c</w:t>
      </w:r>
      <w:r w:rsidR="00C8760D">
        <w:rPr>
          <w:rFonts w:ascii="Times New Roman" w:hAnsi="Times New Roman" w:cs="Times New Roman"/>
        </w:rPr>
        <w:t>lause 3</w:t>
      </w:r>
      <w:r w:rsidR="00F700EC">
        <w:rPr>
          <w:rFonts w:ascii="Times New Roman" w:hAnsi="Times New Roman" w:cs="Times New Roman"/>
        </w:rPr>
        <w:t xml:space="preserve"> of Schedule 2 of the Principal Instrument.</w:t>
      </w:r>
      <w:r>
        <w:rPr>
          <w:rFonts w:ascii="Times New Roman" w:hAnsi="Times New Roman" w:cs="Times New Roman"/>
        </w:rPr>
        <w:t xml:space="preserve"> </w:t>
      </w:r>
    </w:p>
    <w:p w:rsidR="00A80060" w:rsidRDefault="00A80060" w:rsidP="00897EE6">
      <w:pPr>
        <w:spacing w:after="0" w:line="240" w:lineRule="auto"/>
        <w:rPr>
          <w:rFonts w:ascii="Times New Roman" w:hAnsi="Times New Roman" w:cs="Times New Roman"/>
        </w:rPr>
      </w:pPr>
    </w:p>
    <w:p w:rsidR="007F5F30" w:rsidRDefault="00A80060" w:rsidP="00897EE6">
      <w:pPr>
        <w:spacing w:after="0" w:line="240" w:lineRule="auto"/>
        <w:rPr>
          <w:rStyle w:val="BookTitle"/>
          <w:rFonts w:ascii="Times New Roman" w:hAnsi="Times New Roman" w:cs="Times New Roman"/>
          <w:i w:val="0"/>
          <w:iCs w:val="0"/>
          <w:smallCaps w:val="0"/>
          <w:spacing w:val="0"/>
        </w:rPr>
      </w:pPr>
      <w:r>
        <w:rPr>
          <w:rStyle w:val="BookTitle"/>
          <w:rFonts w:ascii="Times New Roman" w:hAnsi="Times New Roman" w:cs="Times New Roman"/>
          <w:b/>
          <w:i w:val="0"/>
          <w:iCs w:val="0"/>
          <w:smallCaps w:val="0"/>
          <w:spacing w:val="0"/>
        </w:rPr>
        <w:lastRenderedPageBreak/>
        <w:t xml:space="preserve">Item 5 </w:t>
      </w:r>
      <w:r>
        <w:rPr>
          <w:rStyle w:val="BookTitle"/>
          <w:rFonts w:ascii="Times New Roman" w:hAnsi="Times New Roman" w:cs="Times New Roman"/>
          <w:i w:val="0"/>
          <w:iCs w:val="0"/>
          <w:smallCaps w:val="0"/>
          <w:spacing w:val="0"/>
        </w:rPr>
        <w:t>repeals Schedule 2 to the Principal Instrument imme</w:t>
      </w:r>
      <w:r w:rsidR="0032568D">
        <w:rPr>
          <w:rStyle w:val="BookTitle"/>
          <w:rFonts w:ascii="Times New Roman" w:hAnsi="Times New Roman" w:cs="Times New Roman"/>
          <w:i w:val="0"/>
          <w:iCs w:val="0"/>
          <w:smallCaps w:val="0"/>
          <w:spacing w:val="0"/>
        </w:rPr>
        <w:t>diately after it commences on 1 </w:t>
      </w:r>
      <w:r>
        <w:rPr>
          <w:rStyle w:val="BookTitle"/>
          <w:rFonts w:ascii="Times New Roman" w:hAnsi="Times New Roman" w:cs="Times New Roman"/>
          <w:i w:val="0"/>
          <w:iCs w:val="0"/>
          <w:smallCaps w:val="0"/>
          <w:spacing w:val="0"/>
        </w:rPr>
        <w:t>April</w:t>
      </w:r>
      <w:r w:rsidR="0032568D">
        <w:rPr>
          <w:rStyle w:val="BookTitle"/>
          <w:rFonts w:ascii="Times New Roman" w:hAnsi="Times New Roman" w:cs="Times New Roman"/>
          <w:i w:val="0"/>
          <w:iCs w:val="0"/>
          <w:smallCaps w:val="0"/>
          <w:spacing w:val="0"/>
        </w:rPr>
        <w:t> </w:t>
      </w:r>
      <w:r>
        <w:rPr>
          <w:rStyle w:val="BookTitle"/>
          <w:rFonts w:ascii="Times New Roman" w:hAnsi="Times New Roman" w:cs="Times New Roman"/>
          <w:i w:val="0"/>
          <w:iCs w:val="0"/>
          <w:smallCaps w:val="0"/>
          <w:spacing w:val="0"/>
        </w:rPr>
        <w:t xml:space="preserve">2015.  </w:t>
      </w:r>
      <w:r w:rsidR="0016731E">
        <w:rPr>
          <w:rStyle w:val="BookTitle"/>
          <w:rFonts w:ascii="Times New Roman" w:hAnsi="Times New Roman" w:cs="Times New Roman"/>
          <w:i w:val="0"/>
          <w:iCs w:val="0"/>
          <w:smallCaps w:val="0"/>
          <w:spacing w:val="0"/>
        </w:rPr>
        <w:t xml:space="preserve">The note to item 5 clarifies that the item repeals Schedule 2 as amended by </w:t>
      </w:r>
      <w:r w:rsidR="003F19CB">
        <w:rPr>
          <w:rStyle w:val="BookTitle"/>
          <w:rFonts w:ascii="Times New Roman" w:hAnsi="Times New Roman" w:cs="Times New Roman"/>
          <w:i w:val="0"/>
          <w:iCs w:val="0"/>
          <w:smallCaps w:val="0"/>
          <w:spacing w:val="0"/>
        </w:rPr>
        <w:t>the Amending</w:t>
      </w:r>
      <w:r w:rsidR="0016731E">
        <w:rPr>
          <w:rStyle w:val="BookTitle"/>
          <w:rFonts w:ascii="Times New Roman" w:hAnsi="Times New Roman" w:cs="Times New Roman"/>
          <w:i w:val="0"/>
          <w:iCs w:val="0"/>
          <w:smallCaps w:val="0"/>
          <w:spacing w:val="0"/>
        </w:rPr>
        <w:t xml:space="preserve"> </w:t>
      </w:r>
      <w:r w:rsidR="00913447">
        <w:rPr>
          <w:rStyle w:val="BookTitle"/>
          <w:rFonts w:ascii="Times New Roman" w:hAnsi="Times New Roman" w:cs="Times New Roman"/>
          <w:i w:val="0"/>
          <w:iCs w:val="0"/>
          <w:smallCaps w:val="0"/>
          <w:spacing w:val="0"/>
        </w:rPr>
        <w:t>I</w:t>
      </w:r>
      <w:r w:rsidR="0016731E">
        <w:rPr>
          <w:rStyle w:val="BookTitle"/>
          <w:rFonts w:ascii="Times New Roman" w:hAnsi="Times New Roman" w:cs="Times New Roman"/>
          <w:i w:val="0"/>
          <w:iCs w:val="0"/>
          <w:smallCaps w:val="0"/>
          <w:spacing w:val="0"/>
        </w:rPr>
        <w:t>nstrument.</w:t>
      </w:r>
      <w:r w:rsidR="007F5F30">
        <w:rPr>
          <w:rStyle w:val="BookTitle"/>
          <w:rFonts w:ascii="Times New Roman" w:hAnsi="Times New Roman" w:cs="Times New Roman"/>
          <w:i w:val="0"/>
          <w:iCs w:val="0"/>
          <w:smallCaps w:val="0"/>
          <w:spacing w:val="0"/>
        </w:rPr>
        <w:t xml:space="preserve">  </w:t>
      </w:r>
    </w:p>
    <w:p w:rsidR="007F5F30" w:rsidRDefault="007F5F30" w:rsidP="00897EE6">
      <w:pPr>
        <w:spacing w:after="0" w:line="240" w:lineRule="auto"/>
        <w:rPr>
          <w:rStyle w:val="BookTitle"/>
          <w:rFonts w:ascii="Times New Roman" w:hAnsi="Times New Roman" w:cs="Times New Roman"/>
          <w:i w:val="0"/>
          <w:iCs w:val="0"/>
          <w:smallCaps w:val="0"/>
          <w:spacing w:val="0"/>
        </w:rPr>
      </w:pPr>
    </w:p>
    <w:p w:rsidR="00A80060" w:rsidRPr="00897EE6" w:rsidRDefault="00A80060" w:rsidP="00897EE6">
      <w:pPr>
        <w:spacing w:after="0" w:line="240" w:lineRule="auto"/>
        <w:rPr>
          <w:rStyle w:val="BookTitle"/>
          <w:rFonts w:ascii="Times New Roman" w:hAnsi="Times New Roman" w:cs="Times New Roman"/>
          <w:b/>
          <w:i w:val="0"/>
          <w:iCs w:val="0"/>
          <w:smallCaps w:val="0"/>
          <w:spacing w:val="0"/>
        </w:rPr>
      </w:pPr>
      <w:r>
        <w:rPr>
          <w:rStyle w:val="BookTitle"/>
          <w:rFonts w:ascii="Times New Roman" w:hAnsi="Times New Roman" w:cs="Times New Roman"/>
          <w:i w:val="0"/>
          <w:iCs w:val="0"/>
          <w:smallCaps w:val="0"/>
          <w:spacing w:val="0"/>
        </w:rPr>
        <w:t>The reason for this is because Schedule 2 (as amended) will amend Schedule 1 to the Principal Instrument on the first moment of 1 April 2015 (i.e. immediately after the expiration of 31 March 2015). Schedule 2 will no longer serve any useful purpose in the Principal Instrument from that point, so will therefore be removed to improve the readability of the Principal Instrument.</w:t>
      </w:r>
    </w:p>
    <w:p w:rsidR="00150FD1" w:rsidRDefault="00150FD1">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br w:type="page"/>
      </w:r>
    </w:p>
    <w:p w:rsidR="000D4203" w:rsidRDefault="000D4203" w:rsidP="0052701B">
      <w:pPr>
        <w:spacing w:after="0" w:line="240" w:lineRule="auto"/>
        <w:rPr>
          <w:rStyle w:val="BookTitle"/>
          <w:rFonts w:ascii="Times New Roman" w:hAnsi="Times New Roman" w:cs="Times New Roman"/>
          <w:b/>
          <w:i w:val="0"/>
          <w:iCs w:val="0"/>
          <w:smallCaps w:val="0"/>
          <w:spacing w:val="0"/>
        </w:rPr>
      </w:pPr>
      <w:r w:rsidRPr="00EC0C12">
        <w:rPr>
          <w:rStyle w:val="BookTitle"/>
          <w:rFonts w:ascii="Times New Roman" w:hAnsi="Times New Roman" w:cs="Times New Roman"/>
          <w:b/>
          <w:i w:val="0"/>
          <w:iCs w:val="0"/>
          <w:smallCaps w:val="0"/>
          <w:spacing w:val="0"/>
        </w:rPr>
        <w:lastRenderedPageBreak/>
        <w:t>Consultation</w:t>
      </w:r>
    </w:p>
    <w:p w:rsidR="008E4529" w:rsidRPr="00EC0C12" w:rsidRDefault="008E4529" w:rsidP="0052701B">
      <w:pPr>
        <w:spacing w:after="0" w:line="240" w:lineRule="auto"/>
        <w:rPr>
          <w:rStyle w:val="BookTitle"/>
          <w:rFonts w:ascii="Times New Roman" w:hAnsi="Times New Roman" w:cs="Times New Roman"/>
          <w:b/>
          <w:i w:val="0"/>
          <w:iCs w:val="0"/>
          <w:smallCaps w:val="0"/>
          <w:spacing w:val="0"/>
        </w:rPr>
      </w:pPr>
    </w:p>
    <w:p w:rsidR="00150FD1" w:rsidRDefault="00150FD1" w:rsidP="00150FD1">
      <w:pPr>
        <w:spacing w:after="0" w:line="240" w:lineRule="auto"/>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Section </w:t>
      </w:r>
      <w:proofErr w:type="spellStart"/>
      <w:r>
        <w:rPr>
          <w:rStyle w:val="BookTitle"/>
          <w:rFonts w:ascii="Times New Roman" w:hAnsi="Times New Roman" w:cs="Times New Roman"/>
          <w:i w:val="0"/>
          <w:iCs w:val="0"/>
          <w:smallCaps w:val="0"/>
          <w:spacing w:val="0"/>
        </w:rPr>
        <w:t>33A</w:t>
      </w:r>
      <w:proofErr w:type="spellEnd"/>
      <w:r>
        <w:rPr>
          <w:rStyle w:val="BookTitle"/>
          <w:rFonts w:ascii="Times New Roman" w:hAnsi="Times New Roman" w:cs="Times New Roman"/>
          <w:i w:val="0"/>
          <w:iCs w:val="0"/>
          <w:smallCaps w:val="0"/>
          <w:spacing w:val="0"/>
        </w:rPr>
        <w:t xml:space="preserve"> of the </w:t>
      </w:r>
      <w:r w:rsidRPr="009F3F84">
        <w:rPr>
          <w:rStyle w:val="BookTitle"/>
          <w:rFonts w:ascii="Times New Roman" w:hAnsi="Times New Roman" w:cs="Times New Roman"/>
          <w:i w:val="0"/>
          <w:iCs w:val="0"/>
          <w:smallCaps w:val="0"/>
          <w:spacing w:val="0"/>
        </w:rPr>
        <w:t>Act</w:t>
      </w:r>
      <w:r>
        <w:rPr>
          <w:rStyle w:val="BookTitle"/>
          <w:rFonts w:ascii="Times New Roman" w:hAnsi="Times New Roman" w:cs="Times New Roman"/>
          <w:i w:val="0"/>
          <w:iCs w:val="0"/>
          <w:smallCaps w:val="0"/>
          <w:spacing w:val="0"/>
        </w:rPr>
        <w:t xml:space="preserve"> provides that </w:t>
      </w:r>
      <w:r w:rsidRPr="009F3F84">
        <w:rPr>
          <w:rStyle w:val="BookTitle"/>
          <w:rFonts w:ascii="Times New Roman" w:hAnsi="Times New Roman" w:cs="Times New Roman"/>
          <w:i w:val="0"/>
          <w:iCs w:val="0"/>
          <w:smallCaps w:val="0"/>
          <w:spacing w:val="0"/>
        </w:rPr>
        <w:t xml:space="preserve">the Minister </w:t>
      </w:r>
      <w:r>
        <w:rPr>
          <w:rStyle w:val="BookTitle"/>
          <w:rFonts w:ascii="Times New Roman" w:hAnsi="Times New Roman" w:cs="Times New Roman"/>
          <w:i w:val="0"/>
          <w:iCs w:val="0"/>
          <w:smallCaps w:val="0"/>
          <w:spacing w:val="0"/>
        </w:rPr>
        <w:t xml:space="preserve">must consult with the Agency </w:t>
      </w:r>
      <w:r w:rsidRPr="009F3F84">
        <w:rPr>
          <w:rStyle w:val="BookTitle"/>
          <w:rFonts w:ascii="Times New Roman" w:hAnsi="Times New Roman" w:cs="Times New Roman"/>
          <w:i w:val="0"/>
          <w:iCs w:val="0"/>
          <w:smallCaps w:val="0"/>
          <w:spacing w:val="0"/>
        </w:rPr>
        <w:t>before making</w:t>
      </w:r>
      <w:r>
        <w:rPr>
          <w:rStyle w:val="BookTitle"/>
          <w:rFonts w:ascii="Times New Roman" w:hAnsi="Times New Roman" w:cs="Times New Roman"/>
          <w:i w:val="0"/>
          <w:iCs w:val="0"/>
          <w:smallCaps w:val="0"/>
          <w:spacing w:val="0"/>
        </w:rPr>
        <w:t xml:space="preserve"> </w:t>
      </w:r>
      <w:r w:rsidRPr="009F3F84">
        <w:rPr>
          <w:rStyle w:val="BookTitle"/>
          <w:rFonts w:ascii="Times New Roman" w:hAnsi="Times New Roman" w:cs="Times New Roman"/>
          <w:i w:val="0"/>
          <w:iCs w:val="0"/>
          <w:smallCaps w:val="0"/>
          <w:spacing w:val="0"/>
        </w:rPr>
        <w:t xml:space="preserve">any legislative instruments </w:t>
      </w:r>
      <w:r>
        <w:rPr>
          <w:rStyle w:val="BookTitle"/>
          <w:rFonts w:ascii="Times New Roman" w:hAnsi="Times New Roman" w:cs="Times New Roman"/>
          <w:i w:val="0"/>
          <w:iCs w:val="0"/>
          <w:smallCaps w:val="0"/>
          <w:spacing w:val="0"/>
        </w:rPr>
        <w:t xml:space="preserve">under the Act </w:t>
      </w:r>
      <w:r w:rsidRPr="009F3F84">
        <w:rPr>
          <w:rStyle w:val="BookTitle"/>
          <w:rFonts w:ascii="Times New Roman" w:hAnsi="Times New Roman" w:cs="Times New Roman"/>
          <w:i w:val="0"/>
          <w:iCs w:val="0"/>
          <w:smallCaps w:val="0"/>
          <w:spacing w:val="0"/>
        </w:rPr>
        <w:t xml:space="preserve">and have regard to any recommendations of the </w:t>
      </w:r>
      <w:r>
        <w:rPr>
          <w:rStyle w:val="BookTitle"/>
          <w:rFonts w:ascii="Times New Roman" w:hAnsi="Times New Roman" w:cs="Times New Roman"/>
          <w:i w:val="0"/>
          <w:iCs w:val="0"/>
          <w:smallCaps w:val="0"/>
          <w:spacing w:val="0"/>
        </w:rPr>
        <w:t>A</w:t>
      </w:r>
      <w:r w:rsidRPr="009F3F84">
        <w:rPr>
          <w:rStyle w:val="BookTitle"/>
          <w:rFonts w:ascii="Times New Roman" w:hAnsi="Times New Roman" w:cs="Times New Roman"/>
          <w:i w:val="0"/>
          <w:iCs w:val="0"/>
          <w:smallCaps w:val="0"/>
          <w:spacing w:val="0"/>
        </w:rPr>
        <w:t xml:space="preserve">gency. The Minister must also consult such </w:t>
      </w:r>
      <w:r>
        <w:rPr>
          <w:rStyle w:val="BookTitle"/>
          <w:rFonts w:ascii="Times New Roman" w:hAnsi="Times New Roman" w:cs="Times New Roman"/>
          <w:i w:val="0"/>
          <w:iCs w:val="0"/>
          <w:smallCaps w:val="0"/>
          <w:spacing w:val="0"/>
        </w:rPr>
        <w:t>persons mentioned in subsection </w:t>
      </w:r>
      <w:r w:rsidRPr="009F3F84">
        <w:rPr>
          <w:rStyle w:val="BookTitle"/>
          <w:rFonts w:ascii="Times New Roman" w:hAnsi="Times New Roman" w:cs="Times New Roman"/>
          <w:i w:val="0"/>
          <w:iCs w:val="0"/>
          <w:smallCaps w:val="0"/>
          <w:spacing w:val="0"/>
        </w:rPr>
        <w:t>31(3) of the Act as the Minister considers appropriate. This includes persons representing industry or business, employee organisations or higher education providers and persons having special knowledge or interest in relation to gender equality in the workplace, the functions of the Agency or the operation of the Act. This also reflects</w:t>
      </w:r>
      <w:r w:rsidR="00452868">
        <w:rPr>
          <w:rStyle w:val="BookTitle"/>
          <w:rFonts w:ascii="Times New Roman" w:hAnsi="Times New Roman" w:cs="Times New Roman"/>
          <w:i w:val="0"/>
          <w:iCs w:val="0"/>
          <w:smallCaps w:val="0"/>
          <w:spacing w:val="0"/>
        </w:rPr>
        <w:t>,</w:t>
      </w:r>
      <w:r>
        <w:rPr>
          <w:rStyle w:val="BookTitle"/>
          <w:rFonts w:ascii="Times New Roman" w:hAnsi="Times New Roman" w:cs="Times New Roman"/>
          <w:i w:val="0"/>
          <w:iCs w:val="0"/>
          <w:smallCaps w:val="0"/>
          <w:spacing w:val="0"/>
        </w:rPr>
        <w:t xml:space="preserve"> and is complementary to</w:t>
      </w:r>
      <w:r w:rsidR="00452868">
        <w:rPr>
          <w:rStyle w:val="BookTitle"/>
          <w:rFonts w:ascii="Times New Roman" w:hAnsi="Times New Roman" w:cs="Times New Roman"/>
          <w:i w:val="0"/>
          <w:iCs w:val="0"/>
          <w:smallCaps w:val="0"/>
          <w:spacing w:val="0"/>
        </w:rPr>
        <w:t>, the</w:t>
      </w:r>
      <w:r w:rsidRPr="009F3F84">
        <w:rPr>
          <w:rStyle w:val="BookTitle"/>
          <w:rFonts w:ascii="Times New Roman" w:hAnsi="Times New Roman" w:cs="Times New Roman"/>
          <w:i w:val="0"/>
          <w:iCs w:val="0"/>
          <w:smallCaps w:val="0"/>
          <w:spacing w:val="0"/>
        </w:rPr>
        <w:t xml:space="preserve"> co</w:t>
      </w:r>
      <w:r>
        <w:rPr>
          <w:rStyle w:val="BookTitle"/>
          <w:rFonts w:ascii="Times New Roman" w:hAnsi="Times New Roman" w:cs="Times New Roman"/>
          <w:i w:val="0"/>
          <w:iCs w:val="0"/>
          <w:smallCaps w:val="0"/>
          <w:spacing w:val="0"/>
        </w:rPr>
        <w:t>nsultation requirements in Part </w:t>
      </w:r>
      <w:r w:rsidRPr="009F3F84">
        <w:rPr>
          <w:rStyle w:val="BookTitle"/>
          <w:rFonts w:ascii="Times New Roman" w:hAnsi="Times New Roman" w:cs="Times New Roman"/>
          <w:i w:val="0"/>
          <w:iCs w:val="0"/>
          <w:smallCaps w:val="0"/>
          <w:spacing w:val="0"/>
        </w:rPr>
        <w:t xml:space="preserve">3 of the </w:t>
      </w:r>
      <w:r w:rsidRPr="00E56852">
        <w:rPr>
          <w:rStyle w:val="BookTitle"/>
          <w:rFonts w:ascii="Times New Roman" w:hAnsi="Times New Roman" w:cs="Times New Roman"/>
          <w:iCs w:val="0"/>
          <w:smallCaps w:val="0"/>
          <w:spacing w:val="0"/>
        </w:rPr>
        <w:t>Legislative Ins</w:t>
      </w:r>
      <w:r w:rsidRPr="00A46CD9">
        <w:rPr>
          <w:rStyle w:val="BookTitle"/>
          <w:rFonts w:ascii="Times New Roman" w:hAnsi="Times New Roman" w:cs="Times New Roman"/>
          <w:iCs w:val="0"/>
          <w:smallCaps w:val="0"/>
          <w:spacing w:val="0"/>
        </w:rPr>
        <w:t>truments Act 2003</w:t>
      </w:r>
      <w:r w:rsidRPr="009F3F84">
        <w:rPr>
          <w:rStyle w:val="BookTitle"/>
          <w:rFonts w:ascii="Times New Roman" w:hAnsi="Times New Roman" w:cs="Times New Roman"/>
          <w:i w:val="0"/>
          <w:iCs w:val="0"/>
          <w:smallCaps w:val="0"/>
          <w:spacing w:val="0"/>
        </w:rPr>
        <w:t>.</w:t>
      </w:r>
    </w:p>
    <w:p w:rsidR="00150FD1" w:rsidRDefault="00150FD1" w:rsidP="0052701B">
      <w:pPr>
        <w:spacing w:after="0" w:line="240" w:lineRule="auto"/>
        <w:rPr>
          <w:rFonts w:ascii="Times New Roman" w:hAnsi="Times New Roman" w:cs="Times New Roman"/>
          <w:lang w:eastAsia="en-AU"/>
        </w:rPr>
      </w:pPr>
    </w:p>
    <w:p w:rsidR="000D4203" w:rsidRDefault="00150FD1" w:rsidP="0052701B">
      <w:pPr>
        <w:spacing w:after="0" w:line="240" w:lineRule="auto"/>
        <w:rPr>
          <w:rStyle w:val="BookTitle"/>
          <w:rFonts w:ascii="Times New Roman" w:hAnsi="Times New Roman" w:cs="Times New Roman"/>
          <w:i w:val="0"/>
          <w:iCs w:val="0"/>
          <w:smallCaps w:val="0"/>
          <w:spacing w:val="0"/>
        </w:rPr>
      </w:pPr>
      <w:r>
        <w:rPr>
          <w:rFonts w:ascii="Times New Roman" w:hAnsi="Times New Roman" w:cs="Times New Roman"/>
          <w:lang w:eastAsia="en-AU"/>
        </w:rPr>
        <w:t>Accordingly, o</w:t>
      </w:r>
      <w:r w:rsidR="00BC1556">
        <w:rPr>
          <w:rStyle w:val="BookTitle"/>
          <w:rFonts w:ascii="Times New Roman" w:hAnsi="Times New Roman" w:cs="Times New Roman"/>
          <w:i w:val="0"/>
          <w:iCs w:val="0"/>
          <w:smallCaps w:val="0"/>
          <w:spacing w:val="0"/>
        </w:rPr>
        <w:t>n 25 March </w:t>
      </w:r>
      <w:r w:rsidR="000D4203" w:rsidRPr="00DD7A01">
        <w:rPr>
          <w:rStyle w:val="BookTitle"/>
          <w:rFonts w:ascii="Times New Roman" w:hAnsi="Times New Roman" w:cs="Times New Roman"/>
          <w:i w:val="0"/>
          <w:iCs w:val="0"/>
          <w:smallCaps w:val="0"/>
          <w:spacing w:val="0"/>
        </w:rPr>
        <w:t>2014, Senator the Hon. Eric </w:t>
      </w:r>
      <w:proofErr w:type="spellStart"/>
      <w:r w:rsidR="000D4203" w:rsidRPr="00DD7A01">
        <w:rPr>
          <w:rStyle w:val="BookTitle"/>
          <w:rFonts w:ascii="Times New Roman" w:hAnsi="Times New Roman" w:cs="Times New Roman"/>
          <w:i w:val="0"/>
          <w:iCs w:val="0"/>
          <w:smallCaps w:val="0"/>
          <w:spacing w:val="0"/>
        </w:rPr>
        <w:t>Abetz</w:t>
      </w:r>
      <w:proofErr w:type="spellEnd"/>
      <w:r w:rsidR="000D4203" w:rsidRPr="00DD7A01">
        <w:rPr>
          <w:rStyle w:val="BookTitle"/>
          <w:rFonts w:ascii="Times New Roman" w:hAnsi="Times New Roman" w:cs="Times New Roman"/>
          <w:i w:val="0"/>
          <w:iCs w:val="0"/>
          <w:smallCaps w:val="0"/>
          <w:spacing w:val="0"/>
        </w:rPr>
        <w:t xml:space="preserve">, Minister for Employment and Senator the Hon. </w:t>
      </w:r>
      <w:proofErr w:type="spellStart"/>
      <w:r w:rsidR="000D4203" w:rsidRPr="00DD7A01">
        <w:rPr>
          <w:rStyle w:val="BookTitle"/>
          <w:rFonts w:ascii="Times New Roman" w:hAnsi="Times New Roman" w:cs="Times New Roman"/>
          <w:i w:val="0"/>
          <w:iCs w:val="0"/>
          <w:smallCaps w:val="0"/>
          <w:spacing w:val="0"/>
        </w:rPr>
        <w:t>Michaelia</w:t>
      </w:r>
      <w:proofErr w:type="spellEnd"/>
      <w:r w:rsidR="000D4203" w:rsidRPr="00DD7A01">
        <w:rPr>
          <w:rStyle w:val="BookTitle"/>
          <w:rFonts w:ascii="Times New Roman" w:hAnsi="Times New Roman" w:cs="Times New Roman"/>
          <w:i w:val="0"/>
          <w:iCs w:val="0"/>
          <w:smallCaps w:val="0"/>
          <w:spacing w:val="0"/>
        </w:rPr>
        <w:t> Cash, Minister Assisting the Prime Minister for Women, announced a public consultation process on reporting requirements</w:t>
      </w:r>
      <w:r w:rsidR="000D4203">
        <w:rPr>
          <w:rStyle w:val="BookTitle"/>
          <w:rFonts w:ascii="Times New Roman" w:hAnsi="Times New Roman" w:cs="Times New Roman"/>
          <w:i w:val="0"/>
          <w:iCs w:val="0"/>
          <w:smallCaps w:val="0"/>
          <w:spacing w:val="0"/>
        </w:rPr>
        <w:t xml:space="preserve"> under the Act</w:t>
      </w:r>
      <w:r w:rsidR="000D4203" w:rsidRPr="00DD7A01">
        <w:rPr>
          <w:rStyle w:val="BookTitle"/>
          <w:rFonts w:ascii="Times New Roman" w:hAnsi="Times New Roman" w:cs="Times New Roman"/>
          <w:i w:val="0"/>
          <w:iCs w:val="0"/>
          <w:smallCaps w:val="0"/>
          <w:spacing w:val="0"/>
        </w:rPr>
        <w:t xml:space="preserve">. </w:t>
      </w:r>
    </w:p>
    <w:p w:rsidR="008E4529" w:rsidRPr="00DD7A01" w:rsidRDefault="008E4529" w:rsidP="0052701B">
      <w:pPr>
        <w:spacing w:after="0" w:line="240" w:lineRule="auto"/>
        <w:rPr>
          <w:rStyle w:val="BookTitle"/>
          <w:rFonts w:ascii="Times New Roman" w:hAnsi="Times New Roman" w:cs="Times New Roman"/>
          <w:i w:val="0"/>
          <w:iCs w:val="0"/>
          <w:smallCaps w:val="0"/>
          <w:spacing w:val="0"/>
        </w:rPr>
      </w:pPr>
    </w:p>
    <w:p w:rsidR="000D4203" w:rsidRDefault="00BC1556" w:rsidP="0052701B">
      <w:pPr>
        <w:spacing w:after="0" w:line="240" w:lineRule="auto"/>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Since May </w:t>
      </w:r>
      <w:r w:rsidR="009C1ED1">
        <w:rPr>
          <w:rStyle w:val="BookTitle"/>
          <w:rFonts w:ascii="Times New Roman" w:hAnsi="Times New Roman" w:cs="Times New Roman"/>
          <w:i w:val="0"/>
          <w:iCs w:val="0"/>
          <w:smallCaps w:val="0"/>
          <w:spacing w:val="0"/>
        </w:rPr>
        <w:t>2014, the Department</w:t>
      </w:r>
      <w:r w:rsidR="000D4203">
        <w:rPr>
          <w:rStyle w:val="BookTitle"/>
          <w:rFonts w:ascii="Times New Roman" w:hAnsi="Times New Roman" w:cs="Times New Roman"/>
          <w:i w:val="0"/>
          <w:iCs w:val="0"/>
          <w:smallCaps w:val="0"/>
          <w:spacing w:val="0"/>
        </w:rPr>
        <w:t xml:space="preserve"> </w:t>
      </w:r>
      <w:r w:rsidR="000D4203" w:rsidRPr="00DD7A01">
        <w:rPr>
          <w:rStyle w:val="BookTitle"/>
          <w:rFonts w:ascii="Times New Roman" w:hAnsi="Times New Roman" w:cs="Times New Roman"/>
          <w:i w:val="0"/>
          <w:iCs w:val="0"/>
          <w:smallCaps w:val="0"/>
          <w:spacing w:val="0"/>
        </w:rPr>
        <w:t xml:space="preserve">led </w:t>
      </w:r>
      <w:r w:rsidR="000D4203">
        <w:rPr>
          <w:rStyle w:val="BookTitle"/>
          <w:rFonts w:ascii="Times New Roman" w:hAnsi="Times New Roman" w:cs="Times New Roman"/>
          <w:i w:val="0"/>
          <w:iCs w:val="0"/>
          <w:smallCaps w:val="0"/>
          <w:spacing w:val="0"/>
        </w:rPr>
        <w:t>the</w:t>
      </w:r>
      <w:r w:rsidR="000D4203" w:rsidRPr="00DD7A01">
        <w:rPr>
          <w:rStyle w:val="BookTitle"/>
          <w:rFonts w:ascii="Times New Roman" w:hAnsi="Times New Roman" w:cs="Times New Roman"/>
          <w:i w:val="0"/>
          <w:iCs w:val="0"/>
          <w:smallCaps w:val="0"/>
          <w:spacing w:val="0"/>
        </w:rPr>
        <w:t xml:space="preserve"> public consultation process, </w:t>
      </w:r>
      <w:r w:rsidR="000D4203">
        <w:rPr>
          <w:rStyle w:val="BookTitle"/>
          <w:rFonts w:ascii="Times New Roman" w:hAnsi="Times New Roman" w:cs="Times New Roman"/>
          <w:i w:val="0"/>
          <w:iCs w:val="0"/>
          <w:smallCaps w:val="0"/>
          <w:spacing w:val="0"/>
        </w:rPr>
        <w:t xml:space="preserve">in </w:t>
      </w:r>
      <w:r w:rsidR="003B514A">
        <w:rPr>
          <w:rStyle w:val="BookTitle"/>
          <w:rFonts w:ascii="Times New Roman" w:hAnsi="Times New Roman" w:cs="Times New Roman"/>
          <w:i w:val="0"/>
          <w:iCs w:val="0"/>
          <w:smallCaps w:val="0"/>
          <w:spacing w:val="0"/>
        </w:rPr>
        <w:t xml:space="preserve">collaboration </w:t>
      </w:r>
      <w:r w:rsidR="000D4203" w:rsidRPr="00DD7A01">
        <w:rPr>
          <w:rStyle w:val="BookTitle"/>
          <w:rFonts w:ascii="Times New Roman" w:hAnsi="Times New Roman" w:cs="Times New Roman"/>
          <w:i w:val="0"/>
          <w:iCs w:val="0"/>
          <w:smallCaps w:val="0"/>
          <w:spacing w:val="0"/>
        </w:rPr>
        <w:t>with the Office for Women within the Department of the Prime Minister and Cabinet. The purpose of the consultation was to identify opportunities to streamline reporting requirements to ensure gender reporting d</w:t>
      </w:r>
      <w:r w:rsidR="000D4203">
        <w:rPr>
          <w:rStyle w:val="BookTitle"/>
          <w:rFonts w:ascii="Times New Roman" w:hAnsi="Times New Roman" w:cs="Times New Roman"/>
          <w:i w:val="0"/>
          <w:iCs w:val="0"/>
          <w:smallCaps w:val="0"/>
          <w:spacing w:val="0"/>
        </w:rPr>
        <w:t xml:space="preserve">rives results in the workplace </w:t>
      </w:r>
      <w:r w:rsidR="000D4203" w:rsidRPr="00DD7A01">
        <w:rPr>
          <w:rStyle w:val="BookTitle"/>
          <w:rFonts w:ascii="Times New Roman" w:hAnsi="Times New Roman" w:cs="Times New Roman"/>
          <w:i w:val="0"/>
          <w:iCs w:val="0"/>
          <w:smallCaps w:val="0"/>
          <w:spacing w:val="0"/>
        </w:rPr>
        <w:t>and represents value for effort</w:t>
      </w:r>
      <w:r w:rsidR="000D4203">
        <w:rPr>
          <w:rStyle w:val="BookTitle"/>
          <w:rFonts w:ascii="Times New Roman" w:hAnsi="Times New Roman" w:cs="Times New Roman"/>
          <w:i w:val="0"/>
          <w:iCs w:val="0"/>
          <w:smallCaps w:val="0"/>
          <w:spacing w:val="0"/>
        </w:rPr>
        <w:t>.</w:t>
      </w:r>
    </w:p>
    <w:p w:rsidR="008E4529" w:rsidRPr="00DD7A01" w:rsidRDefault="008E4529" w:rsidP="0052701B">
      <w:pPr>
        <w:spacing w:after="0" w:line="240" w:lineRule="auto"/>
        <w:rPr>
          <w:rStyle w:val="BookTitle"/>
          <w:rFonts w:ascii="Times New Roman" w:hAnsi="Times New Roman" w:cs="Times New Roman"/>
          <w:i w:val="0"/>
          <w:iCs w:val="0"/>
          <w:smallCaps w:val="0"/>
          <w:spacing w:val="0"/>
        </w:rPr>
      </w:pPr>
    </w:p>
    <w:p w:rsidR="000D4203" w:rsidRDefault="000D4203" w:rsidP="0052701B">
      <w:pPr>
        <w:spacing w:after="0" w:line="240" w:lineRule="auto"/>
        <w:rPr>
          <w:rFonts w:ascii="Times New Roman" w:hAnsi="Times New Roman" w:cs="Times New Roman"/>
          <w:lang w:eastAsia="en-AU"/>
        </w:rPr>
      </w:pPr>
      <w:r w:rsidRPr="00DD7A01">
        <w:rPr>
          <w:rStyle w:val="BookTitle"/>
          <w:rFonts w:ascii="Times New Roman" w:hAnsi="Times New Roman" w:cs="Times New Roman"/>
          <w:i w:val="0"/>
          <w:iCs w:val="0"/>
          <w:smallCaps w:val="0"/>
          <w:spacing w:val="0"/>
        </w:rPr>
        <w:t xml:space="preserve">To </w:t>
      </w:r>
      <w:r>
        <w:rPr>
          <w:rStyle w:val="BookTitle"/>
          <w:rFonts w:ascii="Times New Roman" w:hAnsi="Times New Roman" w:cs="Times New Roman"/>
          <w:i w:val="0"/>
          <w:iCs w:val="0"/>
          <w:smallCaps w:val="0"/>
          <w:spacing w:val="0"/>
        </w:rPr>
        <w:t xml:space="preserve">ensure the consultation met the requirements of the Act and that all stakeholders were provided with the opportunity to engage </w:t>
      </w:r>
      <w:r w:rsidR="00452868">
        <w:rPr>
          <w:rStyle w:val="BookTitle"/>
          <w:rFonts w:ascii="Times New Roman" w:hAnsi="Times New Roman" w:cs="Times New Roman"/>
          <w:i w:val="0"/>
          <w:iCs w:val="0"/>
          <w:smallCaps w:val="0"/>
          <w:spacing w:val="0"/>
        </w:rPr>
        <w:t>in</w:t>
      </w:r>
      <w:r>
        <w:rPr>
          <w:rStyle w:val="BookTitle"/>
          <w:rFonts w:ascii="Times New Roman" w:hAnsi="Times New Roman" w:cs="Times New Roman"/>
          <w:i w:val="0"/>
          <w:iCs w:val="0"/>
          <w:smallCaps w:val="0"/>
          <w:spacing w:val="0"/>
        </w:rPr>
        <w:t xml:space="preserve"> the process,</w:t>
      </w:r>
      <w:r>
        <w:rPr>
          <w:rFonts w:ascii="Times New Roman" w:hAnsi="Times New Roman" w:cs="Times New Roman"/>
          <w:lang w:eastAsia="en-AU"/>
        </w:rPr>
        <w:t xml:space="preserve"> t</w:t>
      </w:r>
      <w:r w:rsidRPr="007F7B1C">
        <w:rPr>
          <w:rFonts w:ascii="Times New Roman" w:hAnsi="Times New Roman" w:cs="Times New Roman"/>
          <w:lang w:eastAsia="en-AU"/>
        </w:rPr>
        <w:t xml:space="preserve">he Department wrote to all stakeholders (including </w:t>
      </w:r>
      <w:r>
        <w:rPr>
          <w:rFonts w:ascii="Times New Roman" w:hAnsi="Times New Roman" w:cs="Times New Roman"/>
          <w:lang w:eastAsia="en-AU"/>
        </w:rPr>
        <w:t>relevant employers</w:t>
      </w:r>
      <w:r w:rsidRPr="007F7B1C">
        <w:rPr>
          <w:rFonts w:ascii="Times New Roman" w:hAnsi="Times New Roman" w:cs="Times New Roman"/>
          <w:lang w:eastAsia="en-AU"/>
        </w:rPr>
        <w:t>, academics, industry peak bodies, women’s groups and other relevant peak bodies) with information on the consultation process, how they could be involved and the information being sought.</w:t>
      </w:r>
    </w:p>
    <w:p w:rsidR="008E4529" w:rsidRPr="007F7B1C" w:rsidRDefault="008E4529" w:rsidP="0052701B">
      <w:pPr>
        <w:spacing w:after="0" w:line="240" w:lineRule="auto"/>
        <w:rPr>
          <w:rFonts w:ascii="Times New Roman" w:hAnsi="Times New Roman" w:cs="Times New Roman"/>
          <w:lang w:eastAsia="en-AU"/>
        </w:rPr>
      </w:pPr>
    </w:p>
    <w:p w:rsidR="000D4203" w:rsidRDefault="00EF0C43" w:rsidP="0052701B">
      <w:pPr>
        <w:spacing w:after="0" w:line="240" w:lineRule="auto"/>
        <w:rPr>
          <w:rStyle w:val="BookTitle"/>
          <w:rFonts w:ascii="Times New Roman" w:hAnsi="Times New Roman" w:cs="Times New Roman"/>
          <w:i w:val="0"/>
          <w:iCs w:val="0"/>
          <w:smallCaps w:val="0"/>
          <w:spacing w:val="0"/>
        </w:rPr>
      </w:pPr>
      <w:r>
        <w:rPr>
          <w:rFonts w:ascii="Times New Roman" w:hAnsi="Times New Roman" w:cs="Times New Roman"/>
          <w:lang w:eastAsia="en-AU"/>
        </w:rPr>
        <w:t>A</w:t>
      </w:r>
      <w:r w:rsidR="000D4203" w:rsidRPr="007F7B1C">
        <w:rPr>
          <w:rFonts w:ascii="Times New Roman" w:hAnsi="Times New Roman" w:cs="Times New Roman"/>
          <w:lang w:eastAsia="en-AU"/>
        </w:rPr>
        <w:t xml:space="preserve"> web page </w:t>
      </w:r>
      <w:r>
        <w:rPr>
          <w:rFonts w:ascii="Times New Roman" w:hAnsi="Times New Roman" w:cs="Times New Roman"/>
          <w:lang w:eastAsia="en-AU"/>
        </w:rPr>
        <w:t xml:space="preserve">was created that </w:t>
      </w:r>
      <w:r w:rsidR="000D4203" w:rsidRPr="007F7B1C">
        <w:rPr>
          <w:rFonts w:ascii="Times New Roman" w:hAnsi="Times New Roman" w:cs="Times New Roman"/>
          <w:lang w:eastAsia="en-AU"/>
        </w:rPr>
        <w:t>provided an opportunity for stakeholders and interested parties to provide feedback to the consultation process</w:t>
      </w:r>
      <w:r w:rsidR="00CD1A59">
        <w:rPr>
          <w:rFonts w:ascii="Times New Roman" w:hAnsi="Times New Roman" w:cs="Times New Roman"/>
          <w:lang w:eastAsia="en-AU"/>
        </w:rPr>
        <w:t xml:space="preserve">. </w:t>
      </w:r>
      <w:r w:rsidR="000D4203">
        <w:rPr>
          <w:rStyle w:val="BookTitle"/>
          <w:rFonts w:ascii="Times New Roman" w:hAnsi="Times New Roman" w:cs="Times New Roman"/>
          <w:i w:val="0"/>
          <w:iCs w:val="0"/>
          <w:smallCaps w:val="0"/>
          <w:spacing w:val="0"/>
        </w:rPr>
        <w:t>Stakeholders were invited to</w:t>
      </w:r>
      <w:r w:rsidR="000D4203" w:rsidRPr="00DD7A01">
        <w:rPr>
          <w:rStyle w:val="BookTitle"/>
          <w:rFonts w:ascii="Times New Roman" w:hAnsi="Times New Roman" w:cs="Times New Roman"/>
          <w:i w:val="0"/>
          <w:iCs w:val="0"/>
          <w:smallCaps w:val="0"/>
          <w:spacing w:val="0"/>
        </w:rPr>
        <w:t xml:space="preserve"> provide feedback or make a formal submission.  The Department also created a short survey designed for </w:t>
      </w:r>
      <w:r w:rsidR="000D4203">
        <w:rPr>
          <w:rStyle w:val="BookTitle"/>
          <w:rFonts w:ascii="Times New Roman" w:hAnsi="Times New Roman" w:cs="Times New Roman"/>
          <w:i w:val="0"/>
          <w:iCs w:val="0"/>
          <w:smallCaps w:val="0"/>
          <w:spacing w:val="0"/>
        </w:rPr>
        <w:t xml:space="preserve">relevant </w:t>
      </w:r>
      <w:r w:rsidR="000D4203" w:rsidRPr="00DD7A01">
        <w:rPr>
          <w:rStyle w:val="BookTitle"/>
          <w:rFonts w:ascii="Times New Roman" w:hAnsi="Times New Roman" w:cs="Times New Roman"/>
          <w:i w:val="0"/>
          <w:iCs w:val="0"/>
          <w:smallCaps w:val="0"/>
          <w:spacing w:val="0"/>
        </w:rPr>
        <w:t xml:space="preserve">employers who had valuable feedback but may have been deterred in providing it through a written submission. </w:t>
      </w:r>
    </w:p>
    <w:p w:rsidR="008E4529" w:rsidRDefault="008E4529" w:rsidP="0052701B">
      <w:pPr>
        <w:spacing w:after="0" w:line="240" w:lineRule="auto"/>
        <w:rPr>
          <w:rStyle w:val="BookTitle"/>
          <w:rFonts w:ascii="Times New Roman" w:hAnsi="Times New Roman" w:cs="Times New Roman"/>
          <w:i w:val="0"/>
          <w:iCs w:val="0"/>
          <w:smallCaps w:val="0"/>
          <w:spacing w:val="0"/>
        </w:rPr>
      </w:pPr>
    </w:p>
    <w:p w:rsidR="000D4203" w:rsidRPr="00BC1556" w:rsidRDefault="000D4203" w:rsidP="0052701B">
      <w:pPr>
        <w:keepLines/>
        <w:spacing w:after="0" w:line="240" w:lineRule="auto"/>
        <w:rPr>
          <w:rStyle w:val="BookTitle"/>
          <w:rFonts w:ascii="Times New Roman" w:hAnsi="Times New Roman" w:cs="Times New Roman"/>
          <w:i w:val="0"/>
          <w:iCs w:val="0"/>
          <w:smallCaps w:val="0"/>
          <w:spacing w:val="0"/>
        </w:rPr>
      </w:pPr>
      <w:r w:rsidRPr="00BC1556">
        <w:rPr>
          <w:rStyle w:val="BookTitle"/>
          <w:rFonts w:ascii="Times New Roman" w:hAnsi="Times New Roman" w:cs="Times New Roman"/>
          <w:i w:val="0"/>
          <w:iCs w:val="0"/>
          <w:smallCaps w:val="0"/>
          <w:spacing w:val="0"/>
        </w:rPr>
        <w:t xml:space="preserve">Forty-two submissions were received, of which 28 are publically available on the Department’s website (including three anonymous submissions). Five hundred and twenty-three valid survey responses were received, and the Department met with 18 relevant employers to seek their views on the reporting regime and options for improvement. The Agency also attended many of these meetings. </w:t>
      </w:r>
    </w:p>
    <w:p w:rsidR="008E4529" w:rsidRDefault="008E4529" w:rsidP="0052701B">
      <w:pPr>
        <w:spacing w:after="0" w:line="240" w:lineRule="auto"/>
        <w:rPr>
          <w:rFonts w:ascii="Times New Roman" w:hAnsi="Times New Roman" w:cs="Times New Roman"/>
          <w:lang w:eastAsia="en-AU"/>
        </w:rPr>
      </w:pPr>
    </w:p>
    <w:p w:rsidR="000D4203" w:rsidRDefault="000D4203" w:rsidP="0052701B">
      <w:pPr>
        <w:spacing w:after="0" w:line="240" w:lineRule="auto"/>
        <w:rPr>
          <w:rFonts w:ascii="Times New Roman" w:hAnsi="Times New Roman" w:cs="Times New Roman"/>
          <w:lang w:eastAsia="en-AU"/>
        </w:rPr>
      </w:pPr>
      <w:r w:rsidRPr="007F7B1C">
        <w:rPr>
          <w:rFonts w:ascii="Times New Roman" w:hAnsi="Times New Roman" w:cs="Times New Roman"/>
          <w:lang w:eastAsia="en-AU"/>
        </w:rPr>
        <w:t xml:space="preserve">Throughout the consultation process the Department liaised with the Agency to </w:t>
      </w:r>
      <w:r>
        <w:rPr>
          <w:rFonts w:ascii="Times New Roman" w:hAnsi="Times New Roman" w:cs="Times New Roman"/>
          <w:lang w:eastAsia="en-AU"/>
        </w:rPr>
        <w:t>consider</w:t>
      </w:r>
      <w:r w:rsidRPr="007F7B1C">
        <w:rPr>
          <w:rFonts w:ascii="Times New Roman" w:hAnsi="Times New Roman" w:cs="Times New Roman"/>
          <w:lang w:eastAsia="en-AU"/>
        </w:rPr>
        <w:t xml:space="preserve"> the feedback the Agency was receiving from employers about reporting, the integrity of the data received and the implications for implementation of the policy options being considered. </w:t>
      </w:r>
    </w:p>
    <w:p w:rsidR="008E4529" w:rsidRPr="0073732D" w:rsidRDefault="008E4529" w:rsidP="0052701B">
      <w:pPr>
        <w:spacing w:after="0" w:line="240" w:lineRule="auto"/>
        <w:rPr>
          <w:rFonts w:ascii="Times New Roman" w:hAnsi="Times New Roman" w:cs="Times New Roman"/>
          <w:lang w:eastAsia="en-AU"/>
        </w:rPr>
      </w:pPr>
    </w:p>
    <w:p w:rsidR="000D4203" w:rsidRDefault="000D4203" w:rsidP="0052701B">
      <w:pPr>
        <w:spacing w:after="0" w:line="240" w:lineRule="auto"/>
        <w:rPr>
          <w:rFonts w:ascii="Times New Roman" w:hAnsi="Times New Roman" w:cs="Times New Roman"/>
          <w:lang w:eastAsia="en-AU"/>
        </w:rPr>
      </w:pPr>
      <w:r w:rsidRPr="007F7B1C">
        <w:rPr>
          <w:rFonts w:ascii="Times New Roman" w:hAnsi="Times New Roman" w:cs="Times New Roman"/>
          <w:lang w:eastAsia="en-AU"/>
        </w:rPr>
        <w:t>In addition, the Department consulted research and data experts within government, including the Australian Bureau of Statistics and the Australian Tax</w:t>
      </w:r>
      <w:r w:rsidR="00AE391F">
        <w:rPr>
          <w:rFonts w:ascii="Times New Roman" w:hAnsi="Times New Roman" w:cs="Times New Roman"/>
          <w:lang w:eastAsia="en-AU"/>
        </w:rPr>
        <w:t>ation</w:t>
      </w:r>
      <w:r w:rsidRPr="007F7B1C">
        <w:rPr>
          <w:rFonts w:ascii="Times New Roman" w:hAnsi="Times New Roman" w:cs="Times New Roman"/>
          <w:lang w:eastAsia="en-AU"/>
        </w:rPr>
        <w:t xml:space="preserve"> Office to explore opportunities for utilising gender related data already collected by government agencies and possible options for streamlining the data collection.</w:t>
      </w:r>
    </w:p>
    <w:p w:rsidR="008E4529" w:rsidRPr="007F7B1C" w:rsidRDefault="008E4529" w:rsidP="0052701B">
      <w:pPr>
        <w:spacing w:after="0" w:line="240" w:lineRule="auto"/>
        <w:rPr>
          <w:rFonts w:ascii="Times New Roman" w:hAnsi="Times New Roman" w:cs="Times New Roman"/>
          <w:lang w:eastAsia="en-AU"/>
        </w:rPr>
      </w:pPr>
    </w:p>
    <w:p w:rsidR="00571CDF" w:rsidRDefault="00EF0C43" w:rsidP="0052701B">
      <w:pPr>
        <w:spacing w:after="0" w:line="240" w:lineRule="auto"/>
        <w:rPr>
          <w:rStyle w:val="BookTitle"/>
          <w:rFonts w:ascii="Times New Roman" w:hAnsi="Times New Roman" w:cs="Times New Roman"/>
          <w:i w:val="0"/>
          <w:iCs w:val="0"/>
          <w:smallCaps w:val="0"/>
          <w:spacing w:val="0"/>
        </w:rPr>
      </w:pPr>
      <w:r>
        <w:rPr>
          <w:rFonts w:ascii="Times New Roman" w:hAnsi="Times New Roman" w:cs="Times New Roman"/>
          <w:lang w:eastAsia="en-AU"/>
        </w:rPr>
        <w:t>T</w:t>
      </w:r>
      <w:r w:rsidR="000D4203" w:rsidRPr="00BC1F9D">
        <w:rPr>
          <w:rFonts w:ascii="Times New Roman" w:hAnsi="Times New Roman" w:cs="Times New Roman"/>
          <w:lang w:eastAsia="en-AU"/>
        </w:rPr>
        <w:t xml:space="preserve">he Department engaged </w:t>
      </w:r>
      <w:r>
        <w:rPr>
          <w:rFonts w:ascii="Times New Roman" w:hAnsi="Times New Roman" w:cs="Times New Roman"/>
          <w:lang w:eastAsia="en-AU"/>
        </w:rPr>
        <w:t xml:space="preserve">and met </w:t>
      </w:r>
      <w:r w:rsidR="000D4203" w:rsidRPr="00BC1F9D">
        <w:rPr>
          <w:rFonts w:ascii="Times New Roman" w:hAnsi="Times New Roman" w:cs="Times New Roman"/>
          <w:lang w:eastAsia="en-AU"/>
        </w:rPr>
        <w:t xml:space="preserve">with a broad range of stakeholders on possible options for improving the reporting requirements as set out in the </w:t>
      </w:r>
      <w:r w:rsidR="000D4203">
        <w:rPr>
          <w:rFonts w:ascii="Times New Roman" w:hAnsi="Times New Roman" w:cs="Times New Roman"/>
          <w:lang w:eastAsia="en-AU"/>
        </w:rPr>
        <w:t xml:space="preserve">Principal </w:t>
      </w:r>
      <w:r w:rsidR="000D4203" w:rsidRPr="00BC1F9D">
        <w:rPr>
          <w:rFonts w:ascii="Times New Roman" w:hAnsi="Times New Roman" w:cs="Times New Roman"/>
          <w:lang w:eastAsia="en-AU"/>
        </w:rPr>
        <w:t xml:space="preserve">Instrument and </w:t>
      </w:r>
      <w:r w:rsidR="000D4203">
        <w:rPr>
          <w:rFonts w:ascii="Times New Roman" w:hAnsi="Times New Roman" w:cs="Times New Roman"/>
          <w:lang w:eastAsia="en-AU"/>
        </w:rPr>
        <w:t xml:space="preserve">based on the </w:t>
      </w:r>
      <w:r w:rsidR="000D4203" w:rsidRPr="00BC1F9D">
        <w:rPr>
          <w:rFonts w:ascii="Times New Roman" w:hAnsi="Times New Roman" w:cs="Times New Roman"/>
          <w:lang w:eastAsia="en-AU"/>
        </w:rPr>
        <w:t>analysis of the feedback received through the consultation.</w:t>
      </w:r>
      <w:r w:rsidR="001A439E">
        <w:rPr>
          <w:rFonts w:ascii="Times New Roman" w:hAnsi="Times New Roman" w:cs="Times New Roman"/>
          <w:lang w:eastAsia="en-AU"/>
        </w:rPr>
        <w:t xml:space="preserve"> </w:t>
      </w:r>
      <w:r w:rsidR="001A439E" w:rsidRPr="009F3F84">
        <w:rPr>
          <w:rStyle w:val="BookTitle"/>
          <w:rFonts w:ascii="Times New Roman" w:hAnsi="Times New Roman" w:cs="Times New Roman"/>
          <w:i w:val="0"/>
          <w:iCs w:val="0"/>
          <w:smallCaps w:val="0"/>
          <w:spacing w:val="0"/>
        </w:rPr>
        <w:t xml:space="preserve">The </w:t>
      </w:r>
      <w:r w:rsidR="001A439E">
        <w:rPr>
          <w:rStyle w:val="BookTitle"/>
          <w:rFonts w:ascii="Times New Roman" w:hAnsi="Times New Roman" w:cs="Times New Roman"/>
          <w:i w:val="0"/>
          <w:iCs w:val="0"/>
          <w:smallCaps w:val="0"/>
          <w:spacing w:val="0"/>
        </w:rPr>
        <w:t>feedback provided throughout the consultation</w:t>
      </w:r>
      <w:r w:rsidR="001A439E" w:rsidRPr="009F3F84">
        <w:rPr>
          <w:rStyle w:val="BookTitle"/>
          <w:rFonts w:ascii="Times New Roman" w:hAnsi="Times New Roman" w:cs="Times New Roman"/>
          <w:i w:val="0"/>
          <w:iCs w:val="0"/>
          <w:smallCaps w:val="0"/>
          <w:spacing w:val="0"/>
        </w:rPr>
        <w:t xml:space="preserve"> formed</w:t>
      </w:r>
      <w:r w:rsidR="001A439E">
        <w:rPr>
          <w:rStyle w:val="BookTitle"/>
          <w:rFonts w:ascii="Times New Roman" w:hAnsi="Times New Roman" w:cs="Times New Roman"/>
          <w:i w:val="0"/>
          <w:iCs w:val="0"/>
          <w:smallCaps w:val="0"/>
          <w:spacing w:val="0"/>
        </w:rPr>
        <w:t xml:space="preserve"> the evidence base for </w:t>
      </w:r>
      <w:r w:rsidR="001A439E" w:rsidRPr="009F3F84">
        <w:rPr>
          <w:rStyle w:val="BookTitle"/>
          <w:rFonts w:ascii="Times New Roman" w:hAnsi="Times New Roman" w:cs="Times New Roman"/>
          <w:i w:val="0"/>
          <w:iCs w:val="0"/>
          <w:smallCaps w:val="0"/>
          <w:spacing w:val="0"/>
        </w:rPr>
        <w:t xml:space="preserve">the decision making process in regards to the </w:t>
      </w:r>
      <w:r w:rsidR="001A439E">
        <w:rPr>
          <w:rStyle w:val="BookTitle"/>
          <w:rFonts w:ascii="Times New Roman" w:hAnsi="Times New Roman" w:cs="Times New Roman"/>
          <w:i w:val="0"/>
          <w:iCs w:val="0"/>
          <w:smallCaps w:val="0"/>
          <w:spacing w:val="0"/>
        </w:rPr>
        <w:t>changes set out in the Amending Instrument.</w:t>
      </w:r>
    </w:p>
    <w:p w:rsidR="00FF1878" w:rsidRPr="0022185A" w:rsidRDefault="00571CDF" w:rsidP="00FF1878">
      <w:pPr>
        <w:jc w:val="center"/>
        <w:rPr>
          <w:rFonts w:ascii="Times New Roman" w:hAnsi="Times New Roman" w:cs="Times New Roman"/>
          <w:b/>
        </w:rPr>
      </w:pPr>
      <w:r>
        <w:rPr>
          <w:rStyle w:val="BookTitle"/>
          <w:rFonts w:ascii="Times New Roman" w:hAnsi="Times New Roman" w:cs="Times New Roman"/>
          <w:i w:val="0"/>
          <w:iCs w:val="0"/>
          <w:smallCaps w:val="0"/>
          <w:spacing w:val="0"/>
        </w:rPr>
        <w:br w:type="page"/>
      </w:r>
      <w:r w:rsidR="00FF1878" w:rsidRPr="0022185A">
        <w:rPr>
          <w:rFonts w:ascii="Times New Roman" w:hAnsi="Times New Roman" w:cs="Times New Roman"/>
          <w:b/>
        </w:rPr>
        <w:lastRenderedPageBreak/>
        <w:t>Statement of Compatibility with Human Rights</w:t>
      </w:r>
    </w:p>
    <w:p w:rsidR="00FF1878" w:rsidRPr="0022185A" w:rsidRDefault="00FF1878" w:rsidP="00FF1878">
      <w:pPr>
        <w:jc w:val="center"/>
        <w:rPr>
          <w:rFonts w:ascii="Times New Roman" w:hAnsi="Times New Roman" w:cs="Times New Roman"/>
          <w:i/>
        </w:rPr>
      </w:pPr>
      <w:r w:rsidRPr="0022185A">
        <w:rPr>
          <w:rFonts w:ascii="Times New Roman" w:hAnsi="Times New Roman" w:cs="Times New Roman"/>
          <w:i/>
        </w:rPr>
        <w:t>Prepared in accordance with Part 3 of the Human Rights (Parliamentary Scrutiny) Act 2011</w:t>
      </w:r>
    </w:p>
    <w:p w:rsidR="00FF1878" w:rsidRPr="0022185A" w:rsidRDefault="00FF1878" w:rsidP="00FF1878">
      <w:pPr>
        <w:jc w:val="center"/>
        <w:rPr>
          <w:rFonts w:ascii="Times New Roman" w:hAnsi="Times New Roman" w:cs="Times New Roman"/>
          <w:b/>
          <w:i/>
        </w:rPr>
      </w:pPr>
      <w:r w:rsidRPr="0022185A">
        <w:rPr>
          <w:rFonts w:ascii="Times New Roman" w:hAnsi="Times New Roman" w:cs="Times New Roman"/>
          <w:b/>
          <w:i/>
        </w:rPr>
        <w:t>Workplace Gender Equality (Matters in Relation to Gender Equality Indicators) Amendment Instrument 2015 (No. 1)</w:t>
      </w:r>
    </w:p>
    <w:p w:rsidR="00FF1878" w:rsidRPr="0022185A" w:rsidRDefault="00FF1878" w:rsidP="00FF1878">
      <w:pPr>
        <w:rPr>
          <w:rFonts w:ascii="Times New Roman" w:hAnsi="Times New Roman" w:cs="Times New Roman"/>
        </w:rPr>
      </w:pPr>
      <w:r w:rsidRPr="0022185A">
        <w:rPr>
          <w:rFonts w:ascii="Times New Roman" w:hAnsi="Times New Roman" w:cs="Times New Roman"/>
        </w:rPr>
        <w:t xml:space="preserve">The </w:t>
      </w:r>
      <w:r w:rsidRPr="0022185A">
        <w:rPr>
          <w:rFonts w:ascii="Times New Roman" w:hAnsi="Times New Roman" w:cs="Times New Roman"/>
          <w:i/>
        </w:rPr>
        <w:t>Workplace Gender Equality (Matters in Relation to Gender Equality Indicators) Amendment Instrument 2015 (No. 1)</w:t>
      </w:r>
      <w:r w:rsidRPr="0022185A">
        <w:rPr>
          <w:rFonts w:ascii="Times New Roman" w:hAnsi="Times New Roman" w:cs="Times New Roman"/>
        </w:rPr>
        <w:t xml:space="preserve"> (the Amending Instrument) is compatible with the human rights and freedoms recognised or declared in the international instruments listed in section 3 of the </w:t>
      </w:r>
      <w:r w:rsidRPr="0022185A">
        <w:rPr>
          <w:rFonts w:ascii="Times New Roman" w:hAnsi="Times New Roman" w:cs="Times New Roman"/>
          <w:i/>
        </w:rPr>
        <w:t>Human Rights (Parliamentary Scrutiny) Act 2011.</w:t>
      </w:r>
    </w:p>
    <w:p w:rsidR="00FF1878" w:rsidRPr="0022185A" w:rsidRDefault="00FF1878" w:rsidP="00FF1878">
      <w:pPr>
        <w:rPr>
          <w:rFonts w:ascii="Times New Roman" w:hAnsi="Times New Roman" w:cs="Times New Roman"/>
          <w:b/>
          <w:i/>
        </w:rPr>
      </w:pPr>
      <w:r w:rsidRPr="0022185A">
        <w:rPr>
          <w:rFonts w:ascii="Times New Roman" w:hAnsi="Times New Roman" w:cs="Times New Roman"/>
          <w:b/>
        </w:rPr>
        <w:t xml:space="preserve">Overview of the Amending Instrument under the </w:t>
      </w:r>
      <w:r w:rsidRPr="0022185A">
        <w:rPr>
          <w:rFonts w:ascii="Times New Roman" w:hAnsi="Times New Roman" w:cs="Times New Roman"/>
          <w:b/>
          <w:i/>
        </w:rPr>
        <w:t>Workplace Gender Equality Act 2012</w:t>
      </w:r>
    </w:p>
    <w:p w:rsidR="00FF1878" w:rsidRPr="00FF1878" w:rsidRDefault="00FF1878" w:rsidP="00FF1878">
      <w:pPr>
        <w:spacing w:before="120" w:after="120"/>
        <w:rPr>
          <w:rFonts w:ascii="Times New Roman" w:hAnsi="Times New Roman" w:cs="Times New Roman"/>
        </w:rPr>
      </w:pPr>
      <w:r w:rsidRPr="00FF1878">
        <w:rPr>
          <w:rFonts w:ascii="Times New Roman" w:hAnsi="Times New Roman" w:cs="Times New Roman"/>
          <w:lang w:eastAsia="en-AU"/>
        </w:rPr>
        <w:t xml:space="preserve">The purpose of the </w:t>
      </w:r>
      <w:r w:rsidRPr="00FF1878">
        <w:rPr>
          <w:rFonts w:ascii="Times New Roman" w:hAnsi="Times New Roman" w:cs="Times New Roman"/>
          <w:i/>
          <w:iCs/>
          <w:lang w:eastAsia="en-AU"/>
        </w:rPr>
        <w:t>Workplace Gender Equality Act 2012</w:t>
      </w:r>
      <w:r w:rsidRPr="00FF1878">
        <w:rPr>
          <w:rFonts w:ascii="Times New Roman" w:hAnsi="Times New Roman" w:cs="Times New Roman"/>
          <w:lang w:eastAsia="en-AU"/>
        </w:rPr>
        <w:t xml:space="preserve"> (the Act) is to promote and improve productivity and workforce participation through the promotion of gender equality in the workplace.  To this end, the Act requires relevant employers (being higher education providers or a natural person, body or association that is the employer of 100 or more employees) to report annually on gender equality indicators (</w:t>
      </w:r>
      <w:proofErr w:type="spellStart"/>
      <w:r w:rsidRPr="00FF1878">
        <w:rPr>
          <w:rFonts w:ascii="Times New Roman" w:hAnsi="Times New Roman" w:cs="Times New Roman"/>
          <w:lang w:eastAsia="en-AU"/>
        </w:rPr>
        <w:t>GEIs</w:t>
      </w:r>
      <w:proofErr w:type="spellEnd"/>
      <w:r w:rsidRPr="00FF1878">
        <w:rPr>
          <w:rFonts w:ascii="Times New Roman" w:hAnsi="Times New Roman" w:cs="Times New Roman"/>
          <w:lang w:eastAsia="en-AU"/>
        </w:rPr>
        <w:t>).  Data obtained through reporting is used by the Workplace Gender Equality Agency (the Agency) to promote and improve gender equality outcomes and develop industry specific benchmarks. Reporting also provides relevant employers with information to better understand the gender equality characteristics of their workplaces and promotes cultural change to improve equality.</w:t>
      </w:r>
    </w:p>
    <w:p w:rsidR="00FF1878" w:rsidRPr="00FF1878" w:rsidRDefault="00FF1878" w:rsidP="00FF1878">
      <w:pPr>
        <w:spacing w:before="120" w:after="120"/>
        <w:rPr>
          <w:rFonts w:ascii="Times New Roman" w:hAnsi="Times New Roman" w:cs="Times New Roman"/>
          <w:lang w:eastAsia="en-AU"/>
        </w:rPr>
      </w:pPr>
      <w:r w:rsidRPr="00FF1878">
        <w:rPr>
          <w:rFonts w:ascii="Times New Roman" w:hAnsi="Times New Roman" w:cs="Times New Roman"/>
          <w:lang w:eastAsia="en-AU"/>
        </w:rPr>
        <w:t xml:space="preserve">The matters that relevant employers must include in their annual reports are specified by Schedule 1 to the </w:t>
      </w:r>
      <w:r w:rsidRPr="00FF1878">
        <w:rPr>
          <w:rFonts w:ascii="Times New Roman" w:hAnsi="Times New Roman" w:cs="Times New Roman"/>
          <w:i/>
          <w:lang w:eastAsia="en-AU"/>
        </w:rPr>
        <w:t xml:space="preserve">Workplace Gender Equality (Matters in relation to Gender Equality Indicators) Instrument 2013 (No. 1) </w:t>
      </w:r>
      <w:r w:rsidRPr="00FF1878">
        <w:rPr>
          <w:rFonts w:ascii="Times New Roman" w:hAnsi="Times New Roman" w:cs="Times New Roman"/>
          <w:lang w:eastAsia="en-AU"/>
        </w:rPr>
        <w:t>(the Principal Instrument). In its current form, Schedule 2 (together with section 4) of the Principal Instrument</w:t>
      </w:r>
      <w:r w:rsidRPr="00FF1878">
        <w:rPr>
          <w:rFonts w:ascii="Times New Roman" w:hAnsi="Times New Roman" w:cs="Times New Roman"/>
          <w:i/>
          <w:lang w:eastAsia="en-AU"/>
        </w:rPr>
        <w:t xml:space="preserve"> </w:t>
      </w:r>
      <w:r w:rsidRPr="00FF1878">
        <w:rPr>
          <w:rFonts w:ascii="Times New Roman" w:hAnsi="Times New Roman" w:cs="Times New Roman"/>
          <w:lang w:eastAsia="en-AU"/>
        </w:rPr>
        <w:t>amends Schedule 1 from 1 April 2015, to increase the number of reporting matters that must be included in public reports under the Act.</w:t>
      </w:r>
    </w:p>
    <w:p w:rsidR="00FF1878" w:rsidRPr="00E63922" w:rsidRDefault="00FF1878" w:rsidP="00FF1878">
      <w:pPr>
        <w:spacing w:before="100" w:beforeAutospacing="1" w:after="100" w:afterAutospacing="1"/>
        <w:rPr>
          <w:rFonts w:ascii="Times New Roman" w:hAnsi="Times New Roman" w:cs="Times New Roman"/>
          <w:i/>
          <w:iCs/>
          <w:smallCaps/>
        </w:rPr>
      </w:pPr>
      <w:r w:rsidRPr="00E63922">
        <w:rPr>
          <w:rStyle w:val="BookTitle"/>
          <w:rFonts w:ascii="Times New Roman" w:hAnsi="Times New Roman" w:cs="Times New Roman"/>
          <w:i w:val="0"/>
          <w:smallCaps w:val="0"/>
        </w:rPr>
        <w:t>Section </w:t>
      </w:r>
      <w:proofErr w:type="spellStart"/>
      <w:r w:rsidRPr="00E63922">
        <w:rPr>
          <w:rStyle w:val="BookTitle"/>
          <w:rFonts w:ascii="Times New Roman" w:hAnsi="Times New Roman" w:cs="Times New Roman"/>
          <w:i w:val="0"/>
          <w:smallCaps w:val="0"/>
        </w:rPr>
        <w:t>33A</w:t>
      </w:r>
      <w:proofErr w:type="spellEnd"/>
      <w:r w:rsidRPr="00E63922">
        <w:rPr>
          <w:rStyle w:val="BookTitle"/>
          <w:rFonts w:ascii="Times New Roman" w:hAnsi="Times New Roman" w:cs="Times New Roman"/>
          <w:i w:val="0"/>
          <w:smallCaps w:val="0"/>
        </w:rPr>
        <w:t xml:space="preserve"> of the Act provides that the Minister must consult with the Agency before making any legislative instruments under the Act and have regard to any recommendations of the Agency. The Minister must also consult such persons mentioned in subsection 31(3) of the Act as the Minister considers appropriate. </w:t>
      </w:r>
    </w:p>
    <w:p w:rsidR="00FF1878" w:rsidRPr="00E63922" w:rsidRDefault="00FF1878" w:rsidP="00FF1878">
      <w:pPr>
        <w:rPr>
          <w:rFonts w:ascii="Times New Roman" w:hAnsi="Times New Roman" w:cs="Times New Roman"/>
          <w:lang w:eastAsia="en-AU"/>
        </w:rPr>
      </w:pPr>
      <w:r w:rsidRPr="00FF1878">
        <w:rPr>
          <w:rFonts w:ascii="Times New Roman" w:hAnsi="Times New Roman" w:cs="Times New Roman"/>
          <w:lang w:eastAsia="en-AU"/>
        </w:rPr>
        <w:t xml:space="preserve">The Department of Employment (the Department) has undertaken a public consultation process, in </w:t>
      </w:r>
      <w:r w:rsidR="00406099">
        <w:rPr>
          <w:rFonts w:ascii="Times New Roman" w:hAnsi="Times New Roman" w:cs="Times New Roman"/>
          <w:lang w:eastAsia="en-AU"/>
        </w:rPr>
        <w:t>consultation</w:t>
      </w:r>
      <w:r w:rsidRPr="00FF1878">
        <w:rPr>
          <w:rFonts w:ascii="Times New Roman" w:hAnsi="Times New Roman" w:cs="Times New Roman"/>
          <w:lang w:eastAsia="en-AU"/>
        </w:rPr>
        <w:t xml:space="preserve"> with the Office for Women within the Department of the Prime Minister and Cabinet. The consultation process aimed to determine whether there were opportunities to streamline and improve the reporting requirements, and to ensure the requirements provided appropriate and valuable information while not being unduly burdensome. Striking a balance between reporting that is effective in achieving outcomes in terms of women’s workforce participation and overall economic productivity compared to reporting that meets statutory compliance but does not usefully assist in </w:t>
      </w:r>
      <w:r w:rsidRPr="00E63922">
        <w:rPr>
          <w:rFonts w:ascii="Times New Roman" w:hAnsi="Times New Roman" w:cs="Times New Roman"/>
          <w:lang w:eastAsia="en-AU"/>
        </w:rPr>
        <w:t>promoting gender equality is essential.</w:t>
      </w:r>
    </w:p>
    <w:p w:rsidR="00FF1878" w:rsidRPr="00FF1878" w:rsidRDefault="00FF1878" w:rsidP="00FF1878">
      <w:pPr>
        <w:keepLines/>
        <w:rPr>
          <w:rFonts w:ascii="Times New Roman" w:hAnsi="Times New Roman" w:cs="Times New Roman"/>
          <w:lang w:eastAsia="en-AU"/>
        </w:rPr>
      </w:pPr>
      <w:r w:rsidRPr="00E63922">
        <w:rPr>
          <w:rStyle w:val="BookTitle"/>
          <w:rFonts w:ascii="Times New Roman" w:hAnsi="Times New Roman" w:cs="Times New Roman"/>
          <w:i w:val="0"/>
          <w:smallCaps w:val="0"/>
        </w:rPr>
        <w:t>To ensure the consultation met the requirements of the Act and that all stakeholders were provided with the opportunity to engage with the process,</w:t>
      </w:r>
      <w:r w:rsidRPr="00E63922">
        <w:rPr>
          <w:rFonts w:ascii="Times New Roman" w:hAnsi="Times New Roman" w:cs="Times New Roman"/>
          <w:lang w:eastAsia="en-AU"/>
        </w:rPr>
        <w:t xml:space="preserve"> the Department invited relevant employers, academics, industry peak bodies, women’s groups and other relevant peak bodies to provide feedback or make a formal submission. The Department</w:t>
      </w:r>
      <w:r w:rsidRPr="00FF1878">
        <w:rPr>
          <w:rFonts w:ascii="Times New Roman" w:hAnsi="Times New Roman" w:cs="Times New Roman"/>
          <w:lang w:eastAsia="en-AU"/>
        </w:rPr>
        <w:t xml:space="preserve"> also created a short survey designed for relevant employers who had valuable feedback but may have been deterred in providing it through a written submission. </w:t>
      </w:r>
    </w:p>
    <w:p w:rsidR="00FF1878" w:rsidRPr="00E63922" w:rsidRDefault="00FF1878" w:rsidP="00FF1878">
      <w:pPr>
        <w:keepLines/>
        <w:rPr>
          <w:rStyle w:val="BookTitle"/>
          <w:rFonts w:ascii="Times New Roman" w:hAnsi="Times New Roman" w:cs="Times New Roman"/>
          <w:i w:val="0"/>
          <w:smallCaps w:val="0"/>
        </w:rPr>
      </w:pPr>
      <w:r w:rsidRPr="00E63922">
        <w:rPr>
          <w:rStyle w:val="BookTitle"/>
          <w:rFonts w:ascii="Times New Roman" w:hAnsi="Times New Roman" w:cs="Times New Roman"/>
          <w:i w:val="0"/>
          <w:smallCaps w:val="0"/>
        </w:rPr>
        <w:lastRenderedPageBreak/>
        <w:t xml:space="preserve">Forty-two submissions were received, of which 28 are publically available on the Department’s website (including three anonymous submissions). Five hundred and twenty-three valid survey responses were received, and the Department met with 18 relevant employers to seek their views on the current reporting regime and options for improvement. The Agency also attended many of these meetings. </w:t>
      </w:r>
    </w:p>
    <w:p w:rsidR="00FF1878" w:rsidRPr="00FF1878" w:rsidRDefault="00FF1878" w:rsidP="00FF1878">
      <w:pPr>
        <w:rPr>
          <w:rFonts w:ascii="Times New Roman" w:hAnsi="Times New Roman" w:cs="Times New Roman"/>
        </w:rPr>
      </w:pPr>
      <w:r w:rsidRPr="00E63922">
        <w:rPr>
          <w:rStyle w:val="BookTitle"/>
          <w:rFonts w:ascii="Times New Roman" w:hAnsi="Times New Roman" w:cs="Times New Roman"/>
          <w:i w:val="0"/>
          <w:smallCaps w:val="0"/>
        </w:rPr>
        <w:t>Throughout the consultation process the Department liaised with the Agency to consider the feedback the Agency was receiving from employers about reporting, the integrity of the data received and the implications for implementation of the policy options being considered.</w:t>
      </w:r>
      <w:r w:rsidRPr="00FF1878">
        <w:rPr>
          <w:rStyle w:val="BookTitle"/>
          <w:rFonts w:ascii="Times New Roman" w:hAnsi="Times New Roman" w:cs="Times New Roman"/>
        </w:rPr>
        <w:t xml:space="preserve"> </w:t>
      </w:r>
      <w:r w:rsidRPr="00FF1878">
        <w:rPr>
          <w:rFonts w:ascii="Times New Roman" w:hAnsi="Times New Roman" w:cs="Times New Roman"/>
          <w:lang w:eastAsia="en-AU"/>
        </w:rPr>
        <w:t>The Amending Instrument is based on the learnings from the consultation process. It is clear from the consultation that reporting for the 2013–14 reporting period was difficult for many relevant employers. This is supported by the experience of the Agency, which reports that between 14 February and 20 October 2014, more than 20,000 cases were logged through the Agency helpline (noting that cases represent one or more calls to or from the Agency). Almost all of these cases related to online reporting, with the largest majority (8309, or 41 per cent), specifically relating to reporting issues</w:t>
      </w:r>
      <w:r w:rsidRPr="00FF1878">
        <w:rPr>
          <w:rStyle w:val="FootnoteReference"/>
          <w:rFonts w:ascii="Times New Roman" w:hAnsi="Times New Roman" w:cs="Times New Roman"/>
        </w:rPr>
        <w:footnoteReference w:id="1"/>
      </w:r>
      <w:r w:rsidRPr="00FF1878">
        <w:rPr>
          <w:rFonts w:ascii="Times New Roman" w:hAnsi="Times New Roman" w:cs="Times New Roman"/>
        </w:rPr>
        <w:t>.</w:t>
      </w:r>
    </w:p>
    <w:p w:rsidR="00FF1878" w:rsidRPr="00FF1878" w:rsidRDefault="00FF1878" w:rsidP="00FF1878">
      <w:pPr>
        <w:spacing w:before="100" w:beforeAutospacing="1" w:after="100" w:afterAutospacing="1"/>
        <w:rPr>
          <w:rFonts w:ascii="Times New Roman" w:hAnsi="Times New Roman" w:cs="Times New Roman"/>
          <w:lang w:eastAsia="en-AU"/>
        </w:rPr>
      </w:pPr>
      <w:r w:rsidRPr="00FF1878">
        <w:rPr>
          <w:rFonts w:ascii="Times New Roman" w:hAnsi="Times New Roman" w:cs="Times New Roman"/>
          <w:lang w:eastAsia="en-AU"/>
        </w:rPr>
        <w:t xml:space="preserve">It is important to note that most reporting organisations who participated in the consultation process advised that they support the objective of gender equality reporting when it is not onerous and they can clearly see the benefits for their organisation. Women’s advocacy groups, academics and social commentators have stated that they consider that the current reporting requirements should be retained because the process of reporting by business is a key factor in driving change at the workplace level. They also support reporting due to the focus it gives to gender equality and the gender pay gap more generally. </w:t>
      </w:r>
    </w:p>
    <w:p w:rsidR="00FF1878" w:rsidRPr="00FF1878" w:rsidRDefault="00FF1878" w:rsidP="00FF1878">
      <w:pPr>
        <w:rPr>
          <w:rFonts w:ascii="Times New Roman" w:hAnsi="Times New Roman" w:cs="Times New Roman"/>
          <w:lang w:eastAsia="en-AU"/>
        </w:rPr>
      </w:pPr>
      <w:r w:rsidRPr="00FF1878">
        <w:rPr>
          <w:rFonts w:ascii="Times New Roman" w:hAnsi="Times New Roman" w:cs="Times New Roman"/>
          <w:lang w:eastAsia="en-AU"/>
        </w:rPr>
        <w:t>The Amending Instrument</w:t>
      </w:r>
      <w:r w:rsidRPr="00FF1878">
        <w:rPr>
          <w:rFonts w:ascii="Times New Roman" w:hAnsi="Times New Roman" w:cs="Times New Roman"/>
        </w:rPr>
        <w:t xml:space="preserve"> </w:t>
      </w:r>
      <w:r w:rsidRPr="00FF1878">
        <w:rPr>
          <w:rFonts w:ascii="Times New Roman" w:hAnsi="Times New Roman" w:cs="Times New Roman"/>
          <w:lang w:eastAsia="en-AU"/>
        </w:rPr>
        <w:t xml:space="preserve">seeks to reach a balance between ensuring the data collected is reliable and effective in driving gender equality change in the workplace, while being manageable for employers to report. </w:t>
      </w:r>
    </w:p>
    <w:p w:rsidR="00FF1878" w:rsidRPr="00FF1878" w:rsidRDefault="00FF1878" w:rsidP="00FF1878">
      <w:pPr>
        <w:spacing w:after="0" w:line="240" w:lineRule="auto"/>
        <w:rPr>
          <w:rFonts w:ascii="Times New Roman" w:hAnsi="Times New Roman" w:cs="Times New Roman"/>
          <w:lang w:eastAsia="en-AU"/>
        </w:rPr>
      </w:pPr>
      <w:r w:rsidRPr="00FF1878">
        <w:rPr>
          <w:rFonts w:ascii="Times New Roman" w:hAnsi="Times New Roman" w:cs="Times New Roman"/>
          <w:lang w:eastAsia="en-AU"/>
        </w:rPr>
        <w:t>In summary, the Amending Instrument amends the Principal Instrument so that from the 2015–16 reporting period (i.e. from 1 April 2015 to 31 March 2016) it will:</w:t>
      </w:r>
    </w:p>
    <w:p w:rsidR="00FF1878" w:rsidRPr="00FF1878" w:rsidRDefault="00FF1878" w:rsidP="00FF1878">
      <w:pPr>
        <w:pStyle w:val="ListParagraph"/>
        <w:numPr>
          <w:ilvl w:val="0"/>
          <w:numId w:val="24"/>
        </w:numPr>
        <w:rPr>
          <w:rFonts w:ascii="Times New Roman" w:hAnsi="Times New Roman" w:cs="Times New Roman"/>
        </w:rPr>
      </w:pPr>
      <w:r w:rsidRPr="00FF1878">
        <w:rPr>
          <w:rFonts w:ascii="Times New Roman" w:hAnsi="Times New Roman" w:cs="Times New Roman"/>
        </w:rPr>
        <w:t xml:space="preserve">amend the definition of </w:t>
      </w:r>
      <w:r w:rsidRPr="00FF1878">
        <w:rPr>
          <w:rFonts w:ascii="Times New Roman" w:hAnsi="Times New Roman" w:cs="Times New Roman"/>
          <w:b/>
          <w:i/>
        </w:rPr>
        <w:t>employment status</w:t>
      </w:r>
      <w:r w:rsidRPr="00FF1878">
        <w:rPr>
          <w:rFonts w:ascii="Times New Roman" w:hAnsi="Times New Roman" w:cs="Times New Roman"/>
        </w:rPr>
        <w:t xml:space="preserve"> to exclude independent contractors (i.e. those employed on a contract for services basis) for the purposes of the Principal Instrument;</w:t>
      </w:r>
    </w:p>
    <w:p w:rsidR="00FF1878" w:rsidRPr="00FF1878" w:rsidRDefault="00FF1878" w:rsidP="00FF1878">
      <w:pPr>
        <w:pStyle w:val="ListParagraph"/>
        <w:numPr>
          <w:ilvl w:val="1"/>
          <w:numId w:val="24"/>
        </w:numPr>
        <w:rPr>
          <w:rFonts w:ascii="Times New Roman" w:hAnsi="Times New Roman" w:cs="Times New Roman"/>
        </w:rPr>
      </w:pPr>
      <w:proofErr w:type="gramStart"/>
      <w:r w:rsidRPr="00FF1878">
        <w:rPr>
          <w:rFonts w:ascii="Times New Roman" w:hAnsi="Times New Roman" w:cs="Times New Roman"/>
        </w:rPr>
        <w:t>this</w:t>
      </w:r>
      <w:proofErr w:type="gramEnd"/>
      <w:r w:rsidRPr="00FF1878">
        <w:rPr>
          <w:rFonts w:ascii="Times New Roman" w:hAnsi="Times New Roman" w:cs="Times New Roman"/>
        </w:rPr>
        <w:t xml:space="preserve"> is based on consultation feedback which highlighted that the original definition did not clarify whether independent contractors should be included. As independent contractors are not employees (as commonly understood), there should not be a requirement to report on this category of employment status.</w:t>
      </w:r>
    </w:p>
    <w:p w:rsidR="00FF1878" w:rsidRPr="00FF1878" w:rsidRDefault="00FF1878" w:rsidP="00FF1878">
      <w:pPr>
        <w:pStyle w:val="ListParagraph"/>
        <w:numPr>
          <w:ilvl w:val="0"/>
          <w:numId w:val="24"/>
        </w:numPr>
        <w:rPr>
          <w:rFonts w:ascii="Times New Roman" w:hAnsi="Times New Roman" w:cs="Times New Roman"/>
        </w:rPr>
      </w:pPr>
      <w:r w:rsidRPr="00FF1878">
        <w:rPr>
          <w:rFonts w:ascii="Times New Roman" w:hAnsi="Times New Roman" w:cs="Times New Roman"/>
        </w:rPr>
        <w:t xml:space="preserve">streamline additional reporting requirements for </w:t>
      </w:r>
      <w:proofErr w:type="spellStart"/>
      <w:r w:rsidRPr="00FF1878">
        <w:rPr>
          <w:rFonts w:ascii="Times New Roman" w:hAnsi="Times New Roman" w:cs="Times New Roman"/>
        </w:rPr>
        <w:t>GEI</w:t>
      </w:r>
      <w:proofErr w:type="spellEnd"/>
      <w:r w:rsidRPr="00FF1878">
        <w:rPr>
          <w:rFonts w:ascii="Times New Roman" w:hAnsi="Times New Roman" w:cs="Times New Roman"/>
        </w:rPr>
        <w:t xml:space="preserve"> 1 (gender composition of the workforce), by removing requirements to report on:</w:t>
      </w:r>
    </w:p>
    <w:p w:rsidR="00FF1878" w:rsidRPr="00FF1878" w:rsidRDefault="00FF1878" w:rsidP="00FF1878">
      <w:pPr>
        <w:pStyle w:val="ListParagraph"/>
        <w:numPr>
          <w:ilvl w:val="1"/>
          <w:numId w:val="24"/>
        </w:numPr>
        <w:rPr>
          <w:rFonts w:ascii="Times New Roman" w:hAnsi="Times New Roman" w:cs="Times New Roman"/>
        </w:rPr>
      </w:pPr>
      <w:r w:rsidRPr="00FF1878">
        <w:rPr>
          <w:rFonts w:ascii="Times New Roman" w:hAnsi="Times New Roman" w:cs="Times New Roman"/>
        </w:rPr>
        <w:t xml:space="preserve">recruitment applications and interviews; </w:t>
      </w:r>
    </w:p>
    <w:p w:rsidR="00FF1878" w:rsidRPr="00FF1878" w:rsidRDefault="00FF1878" w:rsidP="00FF1878">
      <w:pPr>
        <w:pStyle w:val="ListParagraph"/>
        <w:numPr>
          <w:ilvl w:val="2"/>
          <w:numId w:val="24"/>
        </w:numPr>
        <w:rPr>
          <w:rFonts w:ascii="Times New Roman" w:hAnsi="Times New Roman" w:cs="Times New Roman"/>
        </w:rPr>
      </w:pPr>
      <w:proofErr w:type="gramStart"/>
      <w:r w:rsidRPr="00FF1878">
        <w:rPr>
          <w:rFonts w:ascii="Times New Roman" w:hAnsi="Times New Roman" w:cs="Times New Roman"/>
        </w:rPr>
        <w:t>feedback</w:t>
      </w:r>
      <w:proofErr w:type="gramEnd"/>
      <w:r w:rsidRPr="00FF1878">
        <w:rPr>
          <w:rFonts w:ascii="Times New Roman" w:hAnsi="Times New Roman" w:cs="Times New Roman"/>
        </w:rPr>
        <w:t xml:space="preserve"> from employers and employer representatives indicated that the number of applications and interviews could be considerable, particularly for larger employers, and may not provide useful data, especially if gender cannot be determined, for instance, in written applications.</w:t>
      </w:r>
    </w:p>
    <w:p w:rsidR="00FF1878" w:rsidRPr="00FF1878" w:rsidRDefault="00FF1878" w:rsidP="00FF1878">
      <w:pPr>
        <w:pStyle w:val="ListParagraph"/>
        <w:numPr>
          <w:ilvl w:val="0"/>
          <w:numId w:val="24"/>
        </w:numPr>
        <w:rPr>
          <w:rFonts w:ascii="Times New Roman" w:hAnsi="Times New Roman" w:cs="Times New Roman"/>
        </w:rPr>
      </w:pPr>
      <w:r w:rsidRPr="00FF1878">
        <w:rPr>
          <w:rFonts w:ascii="Times New Roman" w:hAnsi="Times New Roman" w:cs="Times New Roman"/>
        </w:rPr>
        <w:t xml:space="preserve">streamline reporting requirements for </w:t>
      </w:r>
      <w:proofErr w:type="spellStart"/>
      <w:r w:rsidRPr="00FF1878">
        <w:rPr>
          <w:rFonts w:ascii="Times New Roman" w:hAnsi="Times New Roman" w:cs="Times New Roman"/>
        </w:rPr>
        <w:t>GEI</w:t>
      </w:r>
      <w:proofErr w:type="spellEnd"/>
      <w:r w:rsidRPr="00FF1878">
        <w:rPr>
          <w:rFonts w:ascii="Times New Roman" w:hAnsi="Times New Roman" w:cs="Times New Roman"/>
        </w:rPr>
        <w:t xml:space="preserve"> 3 (equal remuneration between women and men), by removing requirements to report on:</w:t>
      </w:r>
    </w:p>
    <w:p w:rsidR="00FF1878" w:rsidRPr="00FF1878" w:rsidRDefault="00FF1878" w:rsidP="00FF1878">
      <w:pPr>
        <w:pStyle w:val="ListParagraph"/>
        <w:numPr>
          <w:ilvl w:val="1"/>
          <w:numId w:val="24"/>
        </w:numPr>
        <w:rPr>
          <w:rFonts w:ascii="Times New Roman" w:hAnsi="Times New Roman" w:cs="Times New Roman"/>
        </w:rPr>
      </w:pPr>
      <w:r w:rsidRPr="00FF1878">
        <w:rPr>
          <w:rFonts w:ascii="Times New Roman" w:hAnsi="Times New Roman" w:cs="Times New Roman"/>
        </w:rPr>
        <w:t>remuneration of the following managers: the Chief Executive Officer (</w:t>
      </w:r>
      <w:proofErr w:type="spellStart"/>
      <w:r w:rsidRPr="00FF1878">
        <w:rPr>
          <w:rFonts w:ascii="Times New Roman" w:hAnsi="Times New Roman" w:cs="Times New Roman"/>
        </w:rPr>
        <w:t>CEO</w:t>
      </w:r>
      <w:proofErr w:type="spellEnd"/>
      <w:r w:rsidRPr="00FF1878">
        <w:rPr>
          <w:rFonts w:ascii="Times New Roman" w:hAnsi="Times New Roman" w:cs="Times New Roman"/>
        </w:rPr>
        <w:t xml:space="preserve">) or equivalent; key management personnel with a reporting distance above the </w:t>
      </w:r>
      <w:proofErr w:type="spellStart"/>
      <w:r w:rsidRPr="00FF1878">
        <w:rPr>
          <w:rFonts w:ascii="Times New Roman" w:hAnsi="Times New Roman" w:cs="Times New Roman"/>
        </w:rPr>
        <w:t>CEO</w:t>
      </w:r>
      <w:proofErr w:type="spellEnd"/>
      <w:r w:rsidRPr="00FF1878">
        <w:rPr>
          <w:rFonts w:ascii="Times New Roman" w:hAnsi="Times New Roman" w:cs="Times New Roman"/>
        </w:rPr>
        <w:t xml:space="preserve"> or equivalent; and casual managers; </w:t>
      </w:r>
    </w:p>
    <w:p w:rsidR="00FF1878" w:rsidRPr="00FF1878" w:rsidRDefault="00FF1878" w:rsidP="00FF1878">
      <w:pPr>
        <w:pStyle w:val="ListParagraph"/>
        <w:numPr>
          <w:ilvl w:val="2"/>
          <w:numId w:val="24"/>
        </w:numPr>
        <w:spacing w:after="0"/>
        <w:rPr>
          <w:rFonts w:ascii="Times New Roman" w:hAnsi="Times New Roman" w:cs="Times New Roman"/>
        </w:rPr>
      </w:pPr>
      <w:proofErr w:type="gramStart"/>
      <w:r w:rsidRPr="00FF1878">
        <w:rPr>
          <w:rFonts w:ascii="Times New Roman" w:hAnsi="Times New Roman" w:cs="Times New Roman"/>
        </w:rPr>
        <w:t>the</w:t>
      </w:r>
      <w:proofErr w:type="gramEnd"/>
      <w:r w:rsidRPr="00FF1878">
        <w:rPr>
          <w:rFonts w:ascii="Times New Roman" w:hAnsi="Times New Roman" w:cs="Times New Roman"/>
        </w:rPr>
        <w:t xml:space="preserve"> requirement to report on the remuneration of the </w:t>
      </w:r>
      <w:proofErr w:type="spellStart"/>
      <w:r w:rsidRPr="00FF1878">
        <w:rPr>
          <w:rFonts w:ascii="Times New Roman" w:hAnsi="Times New Roman" w:cs="Times New Roman"/>
        </w:rPr>
        <w:t>CEO</w:t>
      </w:r>
      <w:proofErr w:type="spellEnd"/>
      <w:r w:rsidRPr="00FF1878">
        <w:rPr>
          <w:rFonts w:ascii="Times New Roman" w:hAnsi="Times New Roman" w:cs="Times New Roman"/>
        </w:rPr>
        <w:t xml:space="preserve"> or equivalent and certain key management personnel has been removed due to concerns raised by employers. For listed entities, there is already a requirement to disclose the remuneration of the </w:t>
      </w:r>
      <w:proofErr w:type="spellStart"/>
      <w:r w:rsidRPr="00FF1878">
        <w:rPr>
          <w:rFonts w:ascii="Times New Roman" w:hAnsi="Times New Roman" w:cs="Times New Roman"/>
        </w:rPr>
        <w:t>CEO</w:t>
      </w:r>
      <w:proofErr w:type="spellEnd"/>
      <w:r w:rsidRPr="00FF1878">
        <w:rPr>
          <w:rFonts w:ascii="Times New Roman" w:hAnsi="Times New Roman" w:cs="Times New Roman"/>
        </w:rPr>
        <w:t xml:space="preserve"> and certain key management personnel under the </w:t>
      </w:r>
      <w:r w:rsidRPr="00FF1878">
        <w:rPr>
          <w:rFonts w:ascii="Times New Roman" w:hAnsi="Times New Roman" w:cs="Times New Roman"/>
          <w:i/>
        </w:rPr>
        <w:t>Corporations Act 2001</w:t>
      </w:r>
      <w:r w:rsidRPr="00FF1878">
        <w:rPr>
          <w:rFonts w:ascii="Times New Roman" w:hAnsi="Times New Roman" w:cs="Times New Roman"/>
        </w:rPr>
        <w:t>. There is agreement with all stakeholders on this change; and</w:t>
      </w:r>
    </w:p>
    <w:p w:rsidR="00004A02" w:rsidRPr="00004A02" w:rsidRDefault="00004A02" w:rsidP="00FF1878">
      <w:pPr>
        <w:pStyle w:val="ListParagraph"/>
        <w:numPr>
          <w:ilvl w:val="2"/>
          <w:numId w:val="24"/>
        </w:numPr>
        <w:spacing w:after="0"/>
        <w:rPr>
          <w:rFonts w:ascii="Times New Roman" w:hAnsi="Times New Roman" w:cs="Times New Roman"/>
        </w:rPr>
      </w:pPr>
      <w:proofErr w:type="gramStart"/>
      <w:r w:rsidRPr="00004A02">
        <w:rPr>
          <w:rFonts w:ascii="Times New Roman" w:hAnsi="Times New Roman" w:cs="Times New Roman"/>
        </w:rPr>
        <w:t>remuneration</w:t>
      </w:r>
      <w:proofErr w:type="gramEnd"/>
      <w:r w:rsidRPr="00004A02">
        <w:rPr>
          <w:rFonts w:ascii="Times New Roman" w:hAnsi="Times New Roman" w:cs="Times New Roman"/>
        </w:rPr>
        <w:t xml:space="preserve"> data on casual managers is being streamlined due to the small number of managers employed on this basis.</w:t>
      </w:r>
    </w:p>
    <w:p w:rsidR="00FF1878" w:rsidRPr="00FF1878" w:rsidRDefault="00FF1878" w:rsidP="00FF1878">
      <w:pPr>
        <w:pStyle w:val="ListParagraph"/>
        <w:numPr>
          <w:ilvl w:val="1"/>
          <w:numId w:val="24"/>
        </w:numPr>
        <w:rPr>
          <w:rFonts w:ascii="Times New Roman" w:hAnsi="Times New Roman" w:cs="Times New Roman"/>
        </w:rPr>
      </w:pPr>
      <w:r w:rsidRPr="00FF1878">
        <w:rPr>
          <w:rFonts w:ascii="Times New Roman" w:hAnsi="Times New Roman" w:cs="Times New Roman"/>
        </w:rPr>
        <w:t>annualised average full-time equivalent remuneration for components of remuneration that are paid on a non-pro-rata or fixed-amount basis;</w:t>
      </w:r>
    </w:p>
    <w:p w:rsidR="00FF1878" w:rsidRPr="00FF1878" w:rsidRDefault="00FF1878" w:rsidP="00FF1878">
      <w:pPr>
        <w:pStyle w:val="ListParagraph"/>
        <w:numPr>
          <w:ilvl w:val="2"/>
          <w:numId w:val="24"/>
        </w:numPr>
        <w:rPr>
          <w:rFonts w:ascii="Times New Roman" w:hAnsi="Times New Roman" w:cs="Times New Roman"/>
        </w:rPr>
      </w:pPr>
      <w:proofErr w:type="gramStart"/>
      <w:r w:rsidRPr="00FF1878">
        <w:rPr>
          <w:rFonts w:ascii="Times New Roman" w:hAnsi="Times New Roman" w:cs="Times New Roman"/>
        </w:rPr>
        <w:t>feedback</w:t>
      </w:r>
      <w:proofErr w:type="gramEnd"/>
      <w:r w:rsidRPr="00FF1878">
        <w:rPr>
          <w:rFonts w:ascii="Times New Roman" w:hAnsi="Times New Roman" w:cs="Times New Roman"/>
        </w:rPr>
        <w:t xml:space="preserve"> from the Agency is that annualising components paid on a non-pro-rata or fixed amount basis may distort the remuneration data. This amendment would have the effect of still requiring employers to report on, but not </w:t>
      </w:r>
      <w:proofErr w:type="gramStart"/>
      <w:r w:rsidRPr="00FF1878">
        <w:rPr>
          <w:rFonts w:ascii="Times New Roman" w:hAnsi="Times New Roman" w:cs="Times New Roman"/>
        </w:rPr>
        <w:t>annualise,</w:t>
      </w:r>
      <w:proofErr w:type="gramEnd"/>
      <w:r w:rsidRPr="00FF1878">
        <w:rPr>
          <w:rFonts w:ascii="Times New Roman" w:hAnsi="Times New Roman" w:cs="Times New Roman"/>
        </w:rPr>
        <w:t xml:space="preserve"> remuneration that is paid on a non</w:t>
      </w:r>
      <w:r w:rsidRPr="00FF1878">
        <w:rPr>
          <w:rFonts w:ascii="Times New Roman" w:hAnsi="Times New Roman" w:cs="Times New Roman"/>
        </w:rPr>
        <w:noBreakHyphen/>
        <w:t>pro</w:t>
      </w:r>
      <w:r w:rsidRPr="00FF1878">
        <w:rPr>
          <w:rFonts w:ascii="Times New Roman" w:hAnsi="Times New Roman" w:cs="Times New Roman"/>
        </w:rPr>
        <w:noBreakHyphen/>
        <w:t>rata basis (such as shares, allowances and overtime) and thus provide more reliable data.</w:t>
      </w:r>
    </w:p>
    <w:p w:rsidR="00FF1878" w:rsidRPr="00FF1878" w:rsidRDefault="00FF1878" w:rsidP="00FF1878">
      <w:pPr>
        <w:pStyle w:val="ListParagraph"/>
        <w:numPr>
          <w:ilvl w:val="1"/>
          <w:numId w:val="24"/>
        </w:numPr>
        <w:rPr>
          <w:rFonts w:ascii="Times New Roman" w:hAnsi="Times New Roman" w:cs="Times New Roman"/>
        </w:rPr>
      </w:pPr>
      <w:proofErr w:type="gramStart"/>
      <w:r w:rsidRPr="00FF1878">
        <w:rPr>
          <w:rFonts w:ascii="Times New Roman" w:hAnsi="Times New Roman" w:cs="Times New Roman"/>
        </w:rPr>
        <w:t>additional</w:t>
      </w:r>
      <w:proofErr w:type="gramEnd"/>
      <w:r w:rsidRPr="00FF1878">
        <w:rPr>
          <w:rFonts w:ascii="Times New Roman" w:hAnsi="Times New Roman" w:cs="Times New Roman"/>
        </w:rPr>
        <w:t xml:space="preserve"> disaggregated data by gender on annualised average full-time equivalent components of total remuneration.</w:t>
      </w:r>
    </w:p>
    <w:p w:rsidR="00FF1878" w:rsidRPr="00FF1878" w:rsidRDefault="00FF1878" w:rsidP="00FF1878">
      <w:pPr>
        <w:pStyle w:val="ListParagraph"/>
        <w:numPr>
          <w:ilvl w:val="2"/>
          <w:numId w:val="24"/>
        </w:numPr>
        <w:rPr>
          <w:rFonts w:ascii="Times New Roman" w:hAnsi="Times New Roman" w:cs="Times New Roman"/>
        </w:rPr>
      </w:pPr>
      <w:proofErr w:type="gramStart"/>
      <w:r w:rsidRPr="00FF1878">
        <w:rPr>
          <w:rFonts w:ascii="Times New Roman" w:hAnsi="Times New Roman" w:cs="Times New Roman"/>
        </w:rPr>
        <w:t>feedback</w:t>
      </w:r>
      <w:proofErr w:type="gramEnd"/>
      <w:r w:rsidRPr="00FF1878">
        <w:rPr>
          <w:rFonts w:ascii="Times New Roman" w:hAnsi="Times New Roman" w:cs="Times New Roman"/>
        </w:rPr>
        <w:t xml:space="preserve"> from employers and industry is that it is considered an excessive burden to identify and report on separate individual components of total remuneration and given the data is difficult to provide, it is likely to be unreliable.</w:t>
      </w:r>
    </w:p>
    <w:p w:rsidR="00FF1878" w:rsidRPr="00FF1878" w:rsidRDefault="00FF1878" w:rsidP="00FF1878">
      <w:pPr>
        <w:pStyle w:val="ListParagraph"/>
        <w:numPr>
          <w:ilvl w:val="0"/>
          <w:numId w:val="24"/>
        </w:numPr>
        <w:rPr>
          <w:rFonts w:ascii="Times New Roman" w:hAnsi="Times New Roman" w:cs="Times New Roman"/>
        </w:rPr>
      </w:pPr>
      <w:r w:rsidRPr="00FF1878">
        <w:rPr>
          <w:rFonts w:ascii="Times New Roman" w:hAnsi="Times New Roman" w:cs="Times New Roman"/>
        </w:rPr>
        <w:t xml:space="preserve">streamline additional reporting requirements for </w:t>
      </w:r>
      <w:proofErr w:type="spellStart"/>
      <w:r w:rsidRPr="00FF1878">
        <w:rPr>
          <w:rFonts w:ascii="Times New Roman" w:hAnsi="Times New Roman" w:cs="Times New Roman"/>
        </w:rPr>
        <w:t>GEI</w:t>
      </w:r>
      <w:proofErr w:type="spellEnd"/>
      <w:r w:rsidRPr="00FF1878">
        <w:rPr>
          <w:rFonts w:ascii="Times New Roman" w:hAnsi="Times New Roman" w:cs="Times New Roman"/>
        </w:rPr>
        <w:t xml:space="preserve"> 4 (availability and utility of employment terms, conditions and practices relating to flexible working arrangements for employees and to working arrangements supporting employees with family or caring responsibilities), by:</w:t>
      </w:r>
    </w:p>
    <w:p w:rsidR="00FF1878" w:rsidRPr="00FF1878" w:rsidRDefault="00FF1878" w:rsidP="00FF1878">
      <w:pPr>
        <w:pStyle w:val="ListParagraph"/>
        <w:numPr>
          <w:ilvl w:val="1"/>
          <w:numId w:val="24"/>
        </w:numPr>
        <w:rPr>
          <w:rFonts w:ascii="Times New Roman" w:hAnsi="Times New Roman" w:cs="Times New Roman"/>
        </w:rPr>
      </w:pPr>
      <w:r w:rsidRPr="00FF1878">
        <w:rPr>
          <w:rFonts w:ascii="Times New Roman" w:hAnsi="Times New Roman" w:cs="Times New Roman"/>
        </w:rPr>
        <w:t>improving the reporting matter regarding persons returning to the workforce from parental leave;</w:t>
      </w:r>
    </w:p>
    <w:p w:rsidR="00FF1878" w:rsidRPr="00FF1878" w:rsidRDefault="00FF1878" w:rsidP="00FF1878">
      <w:pPr>
        <w:pStyle w:val="ListParagraph"/>
        <w:numPr>
          <w:ilvl w:val="2"/>
          <w:numId w:val="24"/>
        </w:numPr>
        <w:rPr>
          <w:rFonts w:ascii="Times New Roman" w:hAnsi="Times New Roman" w:cs="Times New Roman"/>
        </w:rPr>
      </w:pPr>
      <w:proofErr w:type="gramStart"/>
      <w:r w:rsidRPr="00FF1878">
        <w:rPr>
          <w:rFonts w:ascii="Times New Roman" w:hAnsi="Times New Roman" w:cs="Times New Roman"/>
        </w:rPr>
        <w:t>feedback</w:t>
      </w:r>
      <w:proofErr w:type="gramEnd"/>
      <w:r w:rsidRPr="00FF1878">
        <w:rPr>
          <w:rFonts w:ascii="Times New Roman" w:hAnsi="Times New Roman" w:cs="Times New Roman"/>
        </w:rPr>
        <w:t xml:space="preserve"> from stakeholders is that the intention of this measure is important, but the formulation could be improved. This amendment therefore replaces this reporting matter with a requirement to report on the proportion of employees who took a period of parental leave that cease employment during, or at the end of that period of parental leave (including where the parental leave is taken continuously with any other leave type), by gender and manager/non-manager. Using this formulation provides a more accurate picture of the return to work rates over time in an organisation.</w:t>
      </w:r>
    </w:p>
    <w:p w:rsidR="00FF1878" w:rsidRPr="00FF1878" w:rsidRDefault="00FF1878" w:rsidP="00FF1878">
      <w:pPr>
        <w:pStyle w:val="ListParagraph"/>
        <w:numPr>
          <w:ilvl w:val="1"/>
          <w:numId w:val="24"/>
        </w:numPr>
        <w:rPr>
          <w:rFonts w:ascii="Times New Roman" w:hAnsi="Times New Roman" w:cs="Times New Roman"/>
        </w:rPr>
      </w:pPr>
      <w:r w:rsidRPr="00FF1878">
        <w:rPr>
          <w:rFonts w:ascii="Times New Roman" w:hAnsi="Times New Roman" w:cs="Times New Roman"/>
        </w:rPr>
        <w:t>removing the requirement to report on requests and approvals for extended parental leave;</w:t>
      </w:r>
    </w:p>
    <w:p w:rsidR="00FF1878" w:rsidRPr="00FF1878" w:rsidRDefault="00FF1878" w:rsidP="00FF1878">
      <w:pPr>
        <w:pStyle w:val="ListParagraph"/>
        <w:numPr>
          <w:ilvl w:val="2"/>
          <w:numId w:val="24"/>
        </w:numPr>
        <w:rPr>
          <w:rFonts w:ascii="Times New Roman" w:hAnsi="Times New Roman" w:cs="Times New Roman"/>
        </w:rPr>
      </w:pPr>
      <w:proofErr w:type="gramStart"/>
      <w:r w:rsidRPr="00FF1878">
        <w:rPr>
          <w:rFonts w:ascii="Times New Roman" w:hAnsi="Times New Roman" w:cs="Times New Roman"/>
        </w:rPr>
        <w:t>stakeholders</w:t>
      </w:r>
      <w:proofErr w:type="gramEnd"/>
      <w:r w:rsidRPr="00FF1878">
        <w:rPr>
          <w:rFonts w:ascii="Times New Roman" w:hAnsi="Times New Roman" w:cs="Times New Roman"/>
        </w:rPr>
        <w:t xml:space="preserve"> generally agree that this information is complicated and difficult for employers to gather, responses may not be comparable and reporting on this measure would be of limited utility. </w:t>
      </w:r>
    </w:p>
    <w:p w:rsidR="00FF1878" w:rsidRPr="00FF1878" w:rsidRDefault="00FF1878" w:rsidP="00FF1878">
      <w:pPr>
        <w:pStyle w:val="ListParagraph"/>
        <w:numPr>
          <w:ilvl w:val="0"/>
          <w:numId w:val="24"/>
        </w:numPr>
        <w:rPr>
          <w:rFonts w:ascii="Times New Roman" w:hAnsi="Times New Roman" w:cs="Times New Roman"/>
        </w:rPr>
      </w:pPr>
      <w:proofErr w:type="gramStart"/>
      <w:r w:rsidRPr="00FF1878">
        <w:rPr>
          <w:rFonts w:ascii="Times New Roman" w:hAnsi="Times New Roman" w:cs="Times New Roman"/>
        </w:rPr>
        <w:t>make</w:t>
      </w:r>
      <w:proofErr w:type="gramEnd"/>
      <w:r w:rsidRPr="00FF1878">
        <w:rPr>
          <w:rFonts w:ascii="Times New Roman" w:hAnsi="Times New Roman" w:cs="Times New Roman"/>
        </w:rPr>
        <w:t xml:space="preserve"> other amendments to improve the readability and operation of the Principal Instrument – without streamlining reporting matters. For example, some definitional changes that will be </w:t>
      </w:r>
      <w:r w:rsidRPr="00FF1878">
        <w:rPr>
          <w:rFonts w:ascii="Times New Roman" w:hAnsi="Times New Roman" w:cs="Times New Roman"/>
        </w:rPr>
        <w:lastRenderedPageBreak/>
        <w:t>made to the Principal Instrument are simply to ensure that definitions are fully contained without a need to cross-refer to other clauses.</w:t>
      </w:r>
    </w:p>
    <w:p w:rsidR="0032568D" w:rsidRDefault="0032568D" w:rsidP="00FF1878">
      <w:pPr>
        <w:spacing w:before="240" w:after="240"/>
        <w:rPr>
          <w:rFonts w:ascii="Times New Roman" w:hAnsi="Times New Roman" w:cs="Times New Roman"/>
          <w:u w:val="single"/>
        </w:rPr>
      </w:pPr>
    </w:p>
    <w:p w:rsidR="00FF1878" w:rsidRPr="00FF1878" w:rsidRDefault="00FF1878" w:rsidP="00FF1878">
      <w:pPr>
        <w:spacing w:before="240" w:after="240"/>
        <w:rPr>
          <w:rFonts w:ascii="Times New Roman" w:hAnsi="Times New Roman" w:cs="Times New Roman"/>
          <w:u w:val="single"/>
        </w:rPr>
      </w:pPr>
      <w:r w:rsidRPr="00FF1878">
        <w:rPr>
          <w:rFonts w:ascii="Times New Roman" w:hAnsi="Times New Roman" w:cs="Times New Roman"/>
          <w:u w:val="single"/>
        </w:rPr>
        <w:t>The Amending Instrument</w:t>
      </w:r>
    </w:p>
    <w:p w:rsidR="00FF1878" w:rsidRPr="00FF1878" w:rsidRDefault="00FF1878" w:rsidP="00FF1878">
      <w:pPr>
        <w:spacing w:before="240" w:after="240"/>
        <w:rPr>
          <w:rFonts w:ascii="Times New Roman" w:hAnsi="Times New Roman" w:cs="Times New Roman"/>
        </w:rPr>
      </w:pPr>
      <w:r w:rsidRPr="00FF1878">
        <w:rPr>
          <w:rFonts w:ascii="Times New Roman" w:hAnsi="Times New Roman" w:cs="Times New Roman"/>
        </w:rPr>
        <w:t>As noted above, the Amending Instrument will streamline some existing reporting requirements for relevant employers, as well as some additional reporting requirements that were to commence on 1 April 2015. For the sake of clarity, the streamlining of these requirements is not a limitation on the human rights that are promoted by the Principal Instrument. The Principal Instrument (as would be amended by the Amending Instrument) will still ensure that targeted, reliable and useful data will be available to relevant employers and the Agency. In contrast, measures (whether in full or in part) that represent an unnecessary burden without a corresponding benefit; are unreliable; or do not present a meaningful picture of the workforce profile, are to be streamlined as considered appropriate and as based on the findings from the consultation process.</w:t>
      </w:r>
    </w:p>
    <w:p w:rsidR="00FF1878" w:rsidRPr="00FF1878" w:rsidRDefault="00FF1878" w:rsidP="00FF1878">
      <w:pPr>
        <w:rPr>
          <w:rFonts w:ascii="Times New Roman" w:hAnsi="Times New Roman" w:cs="Times New Roman"/>
        </w:rPr>
      </w:pPr>
      <w:r w:rsidRPr="00FF1878">
        <w:rPr>
          <w:rFonts w:ascii="Times New Roman" w:hAnsi="Times New Roman" w:cs="Times New Roman"/>
        </w:rPr>
        <w:t>The Principal Instrument (as would be amended by the Amending Instrument) will provide additional reporting requirements designed to promote the human rights referred to below from 1 April 2015, compared with the existing requirements applicable before 1 April 2015. In other words</w:t>
      </w:r>
      <w:r w:rsidR="00406099">
        <w:rPr>
          <w:rFonts w:ascii="Times New Roman" w:hAnsi="Times New Roman" w:cs="Times New Roman"/>
        </w:rPr>
        <w:t xml:space="preserve"> </w:t>
      </w:r>
      <w:r w:rsidRPr="00FF1878">
        <w:rPr>
          <w:rFonts w:ascii="Times New Roman" w:hAnsi="Times New Roman" w:cs="Times New Roman"/>
        </w:rPr>
        <w:t xml:space="preserve">reports provided by relevant employers for the 2015–16 reporting period (commencing 1 April 2015) will contain more useful information than those provided for the 2014–15 reporting period (for the period 1 April 2014 to 31 March 2015). </w:t>
      </w:r>
    </w:p>
    <w:p w:rsidR="00FF1878" w:rsidRPr="00FF1878" w:rsidRDefault="00FF1878" w:rsidP="00FF1878">
      <w:pPr>
        <w:rPr>
          <w:rFonts w:ascii="Times New Roman" w:hAnsi="Times New Roman" w:cs="Times New Roman"/>
        </w:rPr>
      </w:pPr>
      <w:r w:rsidRPr="00FF1878">
        <w:rPr>
          <w:rFonts w:ascii="Times New Roman" w:hAnsi="Times New Roman" w:cs="Times New Roman"/>
        </w:rPr>
        <w:t xml:space="preserve">Even where some reporting matters that were to commence on 1 April 2015 are to be removed or streamlined, the reporting framework will not prevent relevant employers providing additional information. For example, for a number of reporting matters and </w:t>
      </w:r>
      <w:proofErr w:type="spellStart"/>
      <w:r w:rsidRPr="00FF1878">
        <w:rPr>
          <w:rFonts w:ascii="Times New Roman" w:hAnsi="Times New Roman" w:cs="Times New Roman"/>
        </w:rPr>
        <w:t>GEIs</w:t>
      </w:r>
      <w:proofErr w:type="spellEnd"/>
      <w:r w:rsidRPr="00FF1878">
        <w:rPr>
          <w:rFonts w:ascii="Times New Roman" w:hAnsi="Times New Roman" w:cs="Times New Roman"/>
        </w:rPr>
        <w:t>, there are “free text” options to report on additional reporting matters.</w:t>
      </w:r>
    </w:p>
    <w:p w:rsidR="00FF1878" w:rsidRPr="00FF1878" w:rsidRDefault="00FF1878" w:rsidP="00FF1878">
      <w:pPr>
        <w:spacing w:before="240" w:after="240"/>
        <w:rPr>
          <w:rFonts w:ascii="Times New Roman" w:hAnsi="Times New Roman" w:cs="Times New Roman"/>
          <w:lang w:eastAsia="en-AU"/>
        </w:rPr>
      </w:pPr>
      <w:r w:rsidRPr="00FF1878">
        <w:rPr>
          <w:rFonts w:ascii="Times New Roman" w:hAnsi="Times New Roman" w:cs="Times New Roman"/>
          <w:b/>
          <w:lang w:eastAsia="en-AU"/>
        </w:rPr>
        <w:t>Human rights implications</w:t>
      </w:r>
    </w:p>
    <w:p w:rsidR="00FF1878" w:rsidRPr="00FF1878" w:rsidRDefault="00FF1878" w:rsidP="00FF1878">
      <w:pPr>
        <w:spacing w:after="0" w:line="240" w:lineRule="auto"/>
        <w:rPr>
          <w:rFonts w:ascii="Times New Roman" w:hAnsi="Times New Roman" w:cs="Times New Roman"/>
          <w:lang w:eastAsia="en-AU"/>
        </w:rPr>
      </w:pPr>
      <w:r w:rsidRPr="00FF1878">
        <w:rPr>
          <w:rFonts w:ascii="Times New Roman" w:hAnsi="Times New Roman" w:cs="Times New Roman"/>
          <w:lang w:eastAsia="en-AU"/>
        </w:rPr>
        <w:t xml:space="preserve">The Australian Government’s international human rights and labour rights obligations relevant to the issue of gender equality in the workplace are set out in the following international instruments: </w:t>
      </w:r>
    </w:p>
    <w:p w:rsidR="00FF1878" w:rsidRPr="00FF1878" w:rsidRDefault="00FF1878" w:rsidP="00FF1878">
      <w:pPr>
        <w:numPr>
          <w:ilvl w:val="0"/>
          <w:numId w:val="20"/>
        </w:numPr>
        <w:spacing w:after="0" w:line="240" w:lineRule="auto"/>
        <w:rPr>
          <w:rFonts w:ascii="Times New Roman" w:hAnsi="Times New Roman" w:cs="Times New Roman"/>
        </w:rPr>
      </w:pPr>
      <w:r w:rsidRPr="00FF1878">
        <w:rPr>
          <w:rFonts w:ascii="Times New Roman" w:hAnsi="Times New Roman" w:cs="Times New Roman"/>
        </w:rPr>
        <w:t xml:space="preserve">The </w:t>
      </w:r>
      <w:r w:rsidRPr="00FF1878">
        <w:rPr>
          <w:rFonts w:ascii="Times New Roman" w:hAnsi="Times New Roman" w:cs="Times New Roman"/>
          <w:i/>
        </w:rPr>
        <w:t>Convention on the Elimination of All Forms of Discrimination against Women</w:t>
      </w:r>
      <w:r w:rsidRPr="00FF1878">
        <w:rPr>
          <w:rFonts w:ascii="Times New Roman" w:hAnsi="Times New Roman" w:cs="Times New Roman"/>
        </w:rPr>
        <w:t xml:space="preserve"> (</w:t>
      </w:r>
      <w:proofErr w:type="spellStart"/>
      <w:r w:rsidRPr="00FF1878">
        <w:rPr>
          <w:rFonts w:ascii="Times New Roman" w:hAnsi="Times New Roman" w:cs="Times New Roman"/>
        </w:rPr>
        <w:t>CEDAW</w:t>
      </w:r>
      <w:proofErr w:type="spellEnd"/>
      <w:r w:rsidRPr="00FF1878">
        <w:rPr>
          <w:rFonts w:ascii="Times New Roman" w:hAnsi="Times New Roman" w:cs="Times New Roman"/>
        </w:rPr>
        <w:t>);</w:t>
      </w:r>
    </w:p>
    <w:p w:rsidR="00FF1878" w:rsidRPr="00FF1878" w:rsidRDefault="00FF1878" w:rsidP="00FF1878">
      <w:pPr>
        <w:numPr>
          <w:ilvl w:val="0"/>
          <w:numId w:val="20"/>
        </w:numPr>
        <w:spacing w:before="240" w:beforeAutospacing="1" w:after="240" w:afterAutospacing="1"/>
        <w:rPr>
          <w:rFonts w:ascii="Times New Roman" w:hAnsi="Times New Roman" w:cs="Times New Roman"/>
        </w:rPr>
      </w:pPr>
      <w:r w:rsidRPr="00FF1878">
        <w:rPr>
          <w:rFonts w:ascii="Times New Roman" w:hAnsi="Times New Roman" w:cs="Times New Roman"/>
        </w:rPr>
        <w:t xml:space="preserve">The </w:t>
      </w:r>
      <w:r w:rsidRPr="00FF1878">
        <w:rPr>
          <w:rFonts w:ascii="Times New Roman" w:hAnsi="Times New Roman" w:cs="Times New Roman"/>
          <w:i/>
        </w:rPr>
        <w:t>International Covenant on Civil and Political Rights</w:t>
      </w:r>
      <w:r w:rsidRPr="00FF1878">
        <w:rPr>
          <w:rFonts w:ascii="Times New Roman" w:hAnsi="Times New Roman" w:cs="Times New Roman"/>
        </w:rPr>
        <w:t xml:space="preserve"> (</w:t>
      </w:r>
      <w:proofErr w:type="spellStart"/>
      <w:r w:rsidRPr="00FF1878">
        <w:rPr>
          <w:rFonts w:ascii="Times New Roman" w:hAnsi="Times New Roman" w:cs="Times New Roman"/>
        </w:rPr>
        <w:t>ICCPR</w:t>
      </w:r>
      <w:proofErr w:type="spellEnd"/>
      <w:r w:rsidRPr="00FF1878">
        <w:rPr>
          <w:rFonts w:ascii="Times New Roman" w:hAnsi="Times New Roman" w:cs="Times New Roman"/>
        </w:rPr>
        <w:t>) ; and</w:t>
      </w:r>
    </w:p>
    <w:p w:rsidR="00FF1878" w:rsidRPr="00FF1878" w:rsidRDefault="00FF1878" w:rsidP="00FF1878">
      <w:pPr>
        <w:numPr>
          <w:ilvl w:val="0"/>
          <w:numId w:val="20"/>
        </w:numPr>
        <w:spacing w:before="240" w:beforeAutospacing="1" w:after="240" w:afterAutospacing="1"/>
        <w:rPr>
          <w:rFonts w:ascii="Times New Roman" w:hAnsi="Times New Roman" w:cs="Times New Roman"/>
        </w:rPr>
      </w:pPr>
      <w:r w:rsidRPr="00FF1878">
        <w:rPr>
          <w:rFonts w:ascii="Times New Roman" w:hAnsi="Times New Roman" w:cs="Times New Roman"/>
        </w:rPr>
        <w:t xml:space="preserve">The </w:t>
      </w:r>
      <w:r w:rsidRPr="00FF1878">
        <w:rPr>
          <w:rFonts w:ascii="Times New Roman" w:hAnsi="Times New Roman" w:cs="Times New Roman"/>
          <w:i/>
        </w:rPr>
        <w:t>International Covenant on Economic, Social and Cultural Rights</w:t>
      </w:r>
      <w:r w:rsidRPr="00FF1878">
        <w:rPr>
          <w:rFonts w:ascii="Times New Roman" w:hAnsi="Times New Roman" w:cs="Times New Roman"/>
        </w:rPr>
        <w:t xml:space="preserve"> (</w:t>
      </w:r>
      <w:proofErr w:type="spellStart"/>
      <w:r w:rsidRPr="00FF1878">
        <w:rPr>
          <w:rFonts w:ascii="Times New Roman" w:hAnsi="Times New Roman" w:cs="Times New Roman"/>
        </w:rPr>
        <w:t>ICESCR</w:t>
      </w:r>
      <w:proofErr w:type="spellEnd"/>
      <w:r w:rsidRPr="00FF1878">
        <w:rPr>
          <w:rFonts w:ascii="Times New Roman" w:hAnsi="Times New Roman" w:cs="Times New Roman"/>
        </w:rPr>
        <w:t>).</w:t>
      </w:r>
    </w:p>
    <w:p w:rsidR="00FF1878" w:rsidRPr="00FF1878" w:rsidRDefault="00FF1878" w:rsidP="00FF1878">
      <w:pPr>
        <w:spacing w:after="0" w:line="240" w:lineRule="auto"/>
        <w:rPr>
          <w:rFonts w:ascii="Times New Roman" w:hAnsi="Times New Roman" w:cs="Times New Roman"/>
          <w:lang w:eastAsia="en-AU"/>
        </w:rPr>
      </w:pPr>
      <w:r w:rsidRPr="00FF1878">
        <w:rPr>
          <w:rFonts w:ascii="Times New Roman" w:hAnsi="Times New Roman" w:cs="Times New Roman"/>
          <w:lang w:eastAsia="en-AU"/>
        </w:rPr>
        <w:t>In addition to the protections afforded by these instruments, employees’ rights are further supported by the following International Labour Organisation Conventions:</w:t>
      </w:r>
    </w:p>
    <w:p w:rsidR="00FF1878" w:rsidRPr="00FF1878" w:rsidRDefault="00FF1878" w:rsidP="00FF1878">
      <w:pPr>
        <w:numPr>
          <w:ilvl w:val="0"/>
          <w:numId w:val="19"/>
        </w:numPr>
        <w:spacing w:after="240" w:afterAutospacing="1"/>
        <w:rPr>
          <w:rFonts w:ascii="Times New Roman" w:hAnsi="Times New Roman" w:cs="Times New Roman"/>
        </w:rPr>
      </w:pPr>
      <w:r w:rsidRPr="00FF1878">
        <w:rPr>
          <w:rFonts w:ascii="Times New Roman" w:hAnsi="Times New Roman" w:cs="Times New Roman"/>
          <w:i/>
        </w:rPr>
        <w:t>Equal Remuneration Convention</w:t>
      </w:r>
      <w:r w:rsidRPr="00FF1878">
        <w:rPr>
          <w:rFonts w:ascii="Times New Roman" w:hAnsi="Times New Roman" w:cs="Times New Roman"/>
        </w:rPr>
        <w:t>, 1951 (No. 100);</w:t>
      </w:r>
    </w:p>
    <w:p w:rsidR="00FF1878" w:rsidRPr="00FF1878" w:rsidRDefault="00FF1878" w:rsidP="00FF1878">
      <w:pPr>
        <w:numPr>
          <w:ilvl w:val="0"/>
          <w:numId w:val="19"/>
        </w:numPr>
        <w:spacing w:before="240" w:beforeAutospacing="1" w:after="240" w:afterAutospacing="1"/>
        <w:rPr>
          <w:rFonts w:ascii="Times New Roman" w:hAnsi="Times New Roman" w:cs="Times New Roman"/>
        </w:rPr>
      </w:pPr>
      <w:r w:rsidRPr="00FF1878">
        <w:rPr>
          <w:rFonts w:ascii="Times New Roman" w:hAnsi="Times New Roman" w:cs="Times New Roman"/>
          <w:i/>
        </w:rPr>
        <w:t>Discrimination (Employment and Occupation) Convention</w:t>
      </w:r>
      <w:r w:rsidRPr="00FF1878">
        <w:rPr>
          <w:rFonts w:ascii="Times New Roman" w:hAnsi="Times New Roman" w:cs="Times New Roman"/>
        </w:rPr>
        <w:t>, 1958 (No. 111);</w:t>
      </w:r>
    </w:p>
    <w:p w:rsidR="00FF1878" w:rsidRPr="00FF1878" w:rsidRDefault="00FF1878" w:rsidP="00FF1878">
      <w:pPr>
        <w:numPr>
          <w:ilvl w:val="0"/>
          <w:numId w:val="19"/>
        </w:numPr>
        <w:spacing w:before="240" w:beforeAutospacing="1" w:after="240" w:afterAutospacing="1"/>
        <w:rPr>
          <w:rFonts w:ascii="Times New Roman" w:hAnsi="Times New Roman" w:cs="Times New Roman"/>
        </w:rPr>
      </w:pPr>
      <w:r w:rsidRPr="00FF1878">
        <w:rPr>
          <w:rFonts w:ascii="Times New Roman" w:hAnsi="Times New Roman" w:cs="Times New Roman"/>
          <w:i/>
        </w:rPr>
        <w:t>Workers with Family Responsibilities Convention</w:t>
      </w:r>
      <w:r w:rsidRPr="00FF1878">
        <w:rPr>
          <w:rFonts w:ascii="Times New Roman" w:hAnsi="Times New Roman" w:cs="Times New Roman"/>
        </w:rPr>
        <w:t>, 1981 (No. 156); and</w:t>
      </w:r>
    </w:p>
    <w:p w:rsidR="00FF1878" w:rsidRPr="00FF1878" w:rsidRDefault="00FF1878" w:rsidP="00FF1878">
      <w:pPr>
        <w:numPr>
          <w:ilvl w:val="0"/>
          <w:numId w:val="19"/>
        </w:numPr>
        <w:spacing w:before="240" w:beforeAutospacing="1" w:after="240" w:afterAutospacing="1"/>
        <w:rPr>
          <w:rFonts w:ascii="Times New Roman" w:hAnsi="Times New Roman" w:cs="Times New Roman"/>
        </w:rPr>
      </w:pPr>
      <w:r w:rsidRPr="00FF1878">
        <w:rPr>
          <w:rFonts w:ascii="Times New Roman" w:hAnsi="Times New Roman" w:cs="Times New Roman"/>
          <w:i/>
        </w:rPr>
        <w:t>Part-Time Work Convention</w:t>
      </w:r>
      <w:r w:rsidRPr="00FF1878">
        <w:rPr>
          <w:rFonts w:ascii="Times New Roman" w:hAnsi="Times New Roman" w:cs="Times New Roman"/>
        </w:rPr>
        <w:t>, 1994 (No. 175).</w:t>
      </w:r>
    </w:p>
    <w:p w:rsidR="00FF1878" w:rsidRPr="00FF1878" w:rsidRDefault="00FF1878" w:rsidP="00FF1878">
      <w:pPr>
        <w:spacing w:before="240" w:after="240"/>
        <w:rPr>
          <w:rFonts w:ascii="Times New Roman" w:hAnsi="Times New Roman" w:cs="Times New Roman"/>
          <w:lang w:eastAsia="en-AU"/>
        </w:rPr>
      </w:pPr>
      <w:r w:rsidRPr="00FF1878">
        <w:rPr>
          <w:rFonts w:ascii="Times New Roman" w:hAnsi="Times New Roman" w:cs="Times New Roman"/>
          <w:lang w:eastAsia="en-AU"/>
        </w:rPr>
        <w:t>The Principal Instrument as would be amended by the Amending Instrument promotes the following human rights:</w:t>
      </w:r>
    </w:p>
    <w:p w:rsidR="00FF1878" w:rsidRPr="00FF1878" w:rsidRDefault="00FF1878" w:rsidP="00FF1878">
      <w:pPr>
        <w:spacing w:before="240" w:after="240"/>
        <w:rPr>
          <w:rFonts w:ascii="Times New Roman" w:hAnsi="Times New Roman" w:cs="Times New Roman"/>
          <w:lang w:eastAsia="en-AU"/>
        </w:rPr>
      </w:pPr>
      <w:r w:rsidRPr="00FF1878">
        <w:rPr>
          <w:rFonts w:ascii="Times New Roman" w:hAnsi="Times New Roman" w:cs="Times New Roman"/>
          <w:u w:val="single"/>
          <w:lang w:eastAsia="en-AU"/>
        </w:rPr>
        <w:t xml:space="preserve">Freedom from discrimination in employment </w:t>
      </w:r>
    </w:p>
    <w:p w:rsidR="00FF1878" w:rsidRPr="00FF1878" w:rsidRDefault="00FF1878" w:rsidP="00FF1878">
      <w:pPr>
        <w:spacing w:before="240" w:after="240"/>
        <w:rPr>
          <w:rFonts w:ascii="Times New Roman" w:hAnsi="Times New Roman" w:cs="Times New Roman"/>
          <w:lang w:eastAsia="en-AU"/>
        </w:rPr>
      </w:pPr>
      <w:r w:rsidRPr="00FF1878">
        <w:rPr>
          <w:rFonts w:ascii="Times New Roman" w:hAnsi="Times New Roman" w:cs="Times New Roman"/>
          <w:lang w:eastAsia="en-AU"/>
        </w:rPr>
        <w:t xml:space="preserve">The elimination of discrimination in employment engages Article 11 of </w:t>
      </w:r>
      <w:proofErr w:type="spellStart"/>
      <w:r w:rsidRPr="00FF1878">
        <w:rPr>
          <w:rFonts w:ascii="Times New Roman" w:hAnsi="Times New Roman" w:cs="Times New Roman"/>
          <w:lang w:eastAsia="en-AU"/>
        </w:rPr>
        <w:t>CEDAW</w:t>
      </w:r>
      <w:proofErr w:type="spellEnd"/>
      <w:r w:rsidRPr="00FF1878">
        <w:rPr>
          <w:rFonts w:ascii="Times New Roman" w:hAnsi="Times New Roman" w:cs="Times New Roman"/>
          <w:lang w:eastAsia="en-AU"/>
        </w:rPr>
        <w:t>. Article 11 expressly obliges Australia to ‘</w:t>
      </w:r>
      <w:r w:rsidRPr="00FF1878">
        <w:rPr>
          <w:rFonts w:ascii="Times New Roman" w:hAnsi="Times New Roman" w:cs="Times New Roman"/>
          <w:i/>
          <w:iCs/>
          <w:lang w:eastAsia="en-AU"/>
        </w:rPr>
        <w:t xml:space="preserve">take all appropriate measures to eliminate discrimination against </w:t>
      </w:r>
      <w:r w:rsidRPr="00FF1878">
        <w:rPr>
          <w:rFonts w:ascii="Times New Roman" w:hAnsi="Times New Roman" w:cs="Times New Roman"/>
          <w:i/>
          <w:iCs/>
          <w:lang w:eastAsia="en-AU"/>
        </w:rPr>
        <w:lastRenderedPageBreak/>
        <w:t>women in the field of employment in order to ensure, on a basis of equality of men and women, the same rights, in particular… the right to the same employment opportunities… the right to promotion…[and] equal remuneration</w:t>
      </w:r>
      <w:r w:rsidRPr="00FF1878">
        <w:rPr>
          <w:rFonts w:ascii="Times New Roman" w:hAnsi="Times New Roman" w:cs="Times New Roman"/>
          <w:lang w:eastAsia="en-AU"/>
        </w:rPr>
        <w:t>.</w:t>
      </w:r>
      <w:bookmarkStart w:id="0" w:name="_ednref1"/>
      <w:r w:rsidRPr="00FF1878">
        <w:rPr>
          <w:rStyle w:val="FootnoteReference"/>
          <w:rFonts w:ascii="Times New Roman" w:hAnsi="Times New Roman" w:cs="Times New Roman"/>
          <w:lang w:eastAsia="en-AU"/>
        </w:rPr>
        <w:footnoteReference w:id="2"/>
      </w:r>
      <w:bookmarkEnd w:id="0"/>
    </w:p>
    <w:p w:rsidR="00FF1878" w:rsidRPr="00FF1878" w:rsidRDefault="00FF1878" w:rsidP="00FF1878">
      <w:pPr>
        <w:spacing w:before="240" w:after="240"/>
        <w:rPr>
          <w:rFonts w:ascii="Times New Roman" w:hAnsi="Times New Roman" w:cs="Times New Roman"/>
          <w:lang w:eastAsia="en-AU"/>
        </w:rPr>
      </w:pPr>
      <w:r w:rsidRPr="00FF1878">
        <w:rPr>
          <w:rFonts w:ascii="Times New Roman" w:hAnsi="Times New Roman" w:cs="Times New Roman"/>
          <w:lang w:eastAsia="en-AU"/>
        </w:rPr>
        <w:t xml:space="preserve">The Principal Instrument, as would be amended by the Amending Instrument, contributes to the elimination of discriminatory workplace practices by improving the focus on core reporting matters for the </w:t>
      </w:r>
      <w:proofErr w:type="spellStart"/>
      <w:r w:rsidRPr="00FF1878">
        <w:rPr>
          <w:rFonts w:ascii="Times New Roman" w:hAnsi="Times New Roman" w:cs="Times New Roman"/>
          <w:lang w:eastAsia="en-AU"/>
        </w:rPr>
        <w:t>GEIs</w:t>
      </w:r>
      <w:proofErr w:type="spellEnd"/>
      <w:r w:rsidRPr="00FF1878">
        <w:rPr>
          <w:rFonts w:ascii="Times New Roman" w:hAnsi="Times New Roman" w:cs="Times New Roman"/>
          <w:lang w:eastAsia="en-AU"/>
        </w:rPr>
        <w:t xml:space="preserve"> on areas of key priority for gender equality. This includes the requirement for relevant employers to report on the remuneration of managers and non-managers, as well as policies or strategies on equal remuneration between women and men, including any gender pay equity objectives. </w:t>
      </w:r>
    </w:p>
    <w:p w:rsidR="00FF1878" w:rsidRPr="00FF1878" w:rsidRDefault="00FF1878" w:rsidP="00FF1878">
      <w:pPr>
        <w:spacing w:before="240" w:after="240"/>
        <w:rPr>
          <w:rFonts w:ascii="Times New Roman" w:hAnsi="Times New Roman" w:cs="Times New Roman"/>
          <w:lang w:eastAsia="en-AU"/>
        </w:rPr>
      </w:pPr>
      <w:r w:rsidRPr="00FF1878">
        <w:rPr>
          <w:rFonts w:ascii="Times New Roman" w:hAnsi="Times New Roman" w:cs="Times New Roman"/>
          <w:lang w:eastAsia="en-AU"/>
        </w:rPr>
        <w:t>The Principal Instrument, as would be amended by the Amending Instrument, will enable relevant employers to consider their workplace practices and outcomes in relation to gender equality in a more targeted and considered manner, and to more easily effect improvements over time. In turn, this will advance freedom from discrimination in employment for women and men.</w:t>
      </w:r>
    </w:p>
    <w:p w:rsidR="00FF1878" w:rsidRPr="00FF1878" w:rsidRDefault="00FF1878" w:rsidP="00FF1878">
      <w:pPr>
        <w:spacing w:before="240" w:after="240"/>
        <w:rPr>
          <w:rFonts w:ascii="Times New Roman" w:hAnsi="Times New Roman" w:cs="Times New Roman"/>
          <w:lang w:eastAsia="en-AU"/>
        </w:rPr>
      </w:pPr>
      <w:r w:rsidRPr="00FF1878">
        <w:rPr>
          <w:rFonts w:ascii="Times New Roman" w:hAnsi="Times New Roman" w:cs="Times New Roman"/>
          <w:lang w:eastAsia="en-AU"/>
        </w:rPr>
        <w:t>Therefore, the Act and the Principal Instrument (as would be amended) will continue to promote the principle that employment for women should be dealt with on the basis of merit and promote the elimination of discrimination against, and the provision of equal opportunity for, women in relation to employment matters.</w:t>
      </w:r>
    </w:p>
    <w:p w:rsidR="00FF1878" w:rsidRPr="00FF1878" w:rsidRDefault="00FF1878" w:rsidP="00FF1878">
      <w:pPr>
        <w:spacing w:before="240" w:after="240"/>
        <w:rPr>
          <w:rFonts w:ascii="Times New Roman" w:hAnsi="Times New Roman" w:cs="Times New Roman"/>
          <w:lang w:eastAsia="en-AU"/>
        </w:rPr>
      </w:pPr>
      <w:r w:rsidRPr="00FF1878">
        <w:rPr>
          <w:rFonts w:ascii="Times New Roman" w:hAnsi="Times New Roman" w:cs="Times New Roman"/>
          <w:u w:val="single"/>
          <w:lang w:eastAsia="en-AU"/>
        </w:rPr>
        <w:t xml:space="preserve">Right to equality and non-discrimination on the ground of sex </w:t>
      </w:r>
    </w:p>
    <w:p w:rsidR="00FF1878" w:rsidRPr="00FF1878" w:rsidRDefault="00FF1878" w:rsidP="00FF1878">
      <w:pPr>
        <w:spacing w:before="240" w:after="240"/>
        <w:rPr>
          <w:rFonts w:ascii="Times New Roman" w:hAnsi="Times New Roman" w:cs="Times New Roman"/>
          <w:lang w:eastAsia="en-AU"/>
        </w:rPr>
      </w:pPr>
      <w:r w:rsidRPr="00FF1878">
        <w:rPr>
          <w:rFonts w:ascii="Times New Roman" w:hAnsi="Times New Roman" w:cs="Times New Roman"/>
          <w:lang w:eastAsia="en-AU"/>
        </w:rPr>
        <w:t xml:space="preserve">Equality affirms that all human beings are born free and individuals have the same rights and deserve the same level of respect. Non-discrimination is an integral part of the principle of equality. Articles 4 and 26 of the </w:t>
      </w:r>
      <w:proofErr w:type="spellStart"/>
      <w:r w:rsidRPr="00FF1878">
        <w:rPr>
          <w:rFonts w:ascii="Times New Roman" w:hAnsi="Times New Roman" w:cs="Times New Roman"/>
          <w:lang w:eastAsia="en-AU"/>
        </w:rPr>
        <w:t>ICCPR</w:t>
      </w:r>
      <w:proofErr w:type="spellEnd"/>
      <w:r w:rsidRPr="00FF1878">
        <w:rPr>
          <w:rFonts w:ascii="Times New Roman" w:hAnsi="Times New Roman" w:cs="Times New Roman"/>
          <w:lang w:eastAsia="en-AU"/>
        </w:rPr>
        <w:t xml:space="preserve"> contain a positive obligation on State Parties to take steps to protect against discrimination on the ground of sex. The right to equality and non-discrimination on the ground of sex is also affirmed in Article 2(2) of the </w:t>
      </w:r>
      <w:proofErr w:type="spellStart"/>
      <w:r w:rsidRPr="00FF1878">
        <w:rPr>
          <w:rFonts w:ascii="Times New Roman" w:hAnsi="Times New Roman" w:cs="Times New Roman"/>
          <w:lang w:eastAsia="en-AU"/>
        </w:rPr>
        <w:t>ICESCR</w:t>
      </w:r>
      <w:proofErr w:type="spellEnd"/>
      <w:r w:rsidRPr="00FF1878">
        <w:rPr>
          <w:rFonts w:ascii="Times New Roman" w:hAnsi="Times New Roman" w:cs="Times New Roman"/>
          <w:lang w:eastAsia="en-AU"/>
        </w:rPr>
        <w:t xml:space="preserve"> in relation to the provision of rights under that Covenant and Articles 2, 3 and 4 of </w:t>
      </w:r>
      <w:proofErr w:type="spellStart"/>
      <w:r w:rsidRPr="00FF1878">
        <w:rPr>
          <w:rFonts w:ascii="Times New Roman" w:hAnsi="Times New Roman" w:cs="Times New Roman"/>
          <w:lang w:eastAsia="en-AU"/>
        </w:rPr>
        <w:t>CEDAW</w:t>
      </w:r>
      <w:proofErr w:type="spellEnd"/>
      <w:r w:rsidRPr="00FF1878">
        <w:rPr>
          <w:rFonts w:ascii="Times New Roman" w:hAnsi="Times New Roman" w:cs="Times New Roman"/>
          <w:lang w:eastAsia="en-AU"/>
        </w:rPr>
        <w:t>.</w:t>
      </w:r>
    </w:p>
    <w:p w:rsidR="00FF1878" w:rsidRPr="00FF1878" w:rsidRDefault="00FF1878" w:rsidP="00FF1878">
      <w:pPr>
        <w:spacing w:before="240" w:after="240"/>
        <w:rPr>
          <w:rFonts w:ascii="Times New Roman" w:hAnsi="Times New Roman" w:cs="Times New Roman"/>
          <w:lang w:eastAsia="en-AU"/>
        </w:rPr>
      </w:pPr>
      <w:r w:rsidRPr="00FF1878">
        <w:rPr>
          <w:rFonts w:ascii="Times New Roman" w:hAnsi="Times New Roman" w:cs="Times New Roman"/>
          <w:lang w:eastAsia="en-AU"/>
        </w:rPr>
        <w:t xml:space="preserve">The Principal Instrument (as </w:t>
      </w:r>
      <w:r w:rsidR="00680D58">
        <w:rPr>
          <w:rFonts w:ascii="Times New Roman" w:hAnsi="Times New Roman" w:cs="Times New Roman"/>
          <w:lang w:eastAsia="en-AU"/>
        </w:rPr>
        <w:t xml:space="preserve">it </w:t>
      </w:r>
      <w:r w:rsidRPr="00FF1878">
        <w:rPr>
          <w:rFonts w:ascii="Times New Roman" w:hAnsi="Times New Roman" w:cs="Times New Roman"/>
          <w:lang w:eastAsia="en-AU"/>
        </w:rPr>
        <w:t xml:space="preserve">would be amended by the Amending Instrument) promotes the right to equality and the elimination of discrimination on the basis of gender in the workplace, by improving the focus of reporting matters for the </w:t>
      </w:r>
      <w:proofErr w:type="spellStart"/>
      <w:r w:rsidRPr="00FF1878">
        <w:rPr>
          <w:rFonts w:ascii="Times New Roman" w:hAnsi="Times New Roman" w:cs="Times New Roman"/>
          <w:lang w:eastAsia="en-AU"/>
        </w:rPr>
        <w:t>GEIs</w:t>
      </w:r>
      <w:proofErr w:type="spellEnd"/>
      <w:r w:rsidRPr="00FF1878">
        <w:rPr>
          <w:rFonts w:ascii="Times New Roman" w:hAnsi="Times New Roman" w:cs="Times New Roman"/>
          <w:lang w:eastAsia="en-AU"/>
        </w:rPr>
        <w:t xml:space="preserve"> on areas of key priority for gender equality.  The Principal Instrument (as </w:t>
      </w:r>
      <w:r w:rsidR="00680D58">
        <w:rPr>
          <w:rFonts w:ascii="Times New Roman" w:hAnsi="Times New Roman" w:cs="Times New Roman"/>
          <w:lang w:eastAsia="en-AU"/>
        </w:rPr>
        <w:t xml:space="preserve">it </w:t>
      </w:r>
      <w:r w:rsidRPr="00FF1878">
        <w:rPr>
          <w:rFonts w:ascii="Times New Roman" w:hAnsi="Times New Roman" w:cs="Times New Roman"/>
          <w:lang w:eastAsia="en-AU"/>
        </w:rPr>
        <w:t xml:space="preserve">would be amended) also promotes the full and equal participation of women in the workforce by enabling compliance with the minimum standards set under the Act by the </w:t>
      </w:r>
      <w:r w:rsidRPr="00FF1878">
        <w:rPr>
          <w:rFonts w:ascii="Times New Roman" w:hAnsi="Times New Roman" w:cs="Times New Roman"/>
          <w:i/>
          <w:lang w:eastAsia="en-AU"/>
        </w:rPr>
        <w:t>Workplace Gender Equality (Minimum Standards) Instrument 2014</w:t>
      </w:r>
      <w:r w:rsidRPr="00FF1878">
        <w:rPr>
          <w:rFonts w:ascii="Times New Roman" w:hAnsi="Times New Roman" w:cs="Times New Roman"/>
          <w:lang w:eastAsia="en-AU"/>
        </w:rPr>
        <w:t xml:space="preserve"> and, particularly the objective of sex-based harassment and discrimination prevention in the employer’s workplace.</w:t>
      </w:r>
    </w:p>
    <w:p w:rsidR="00FF1878" w:rsidRDefault="00FF1878" w:rsidP="00FF1878">
      <w:pPr>
        <w:spacing w:before="240" w:after="240"/>
        <w:rPr>
          <w:rFonts w:ascii="Times New Roman" w:hAnsi="Times New Roman" w:cs="Times New Roman"/>
          <w:lang w:eastAsia="en-AU"/>
        </w:rPr>
      </w:pPr>
      <w:r w:rsidRPr="00FF1878">
        <w:rPr>
          <w:rFonts w:ascii="Times New Roman" w:hAnsi="Times New Roman" w:cs="Times New Roman"/>
          <w:lang w:eastAsia="en-AU"/>
        </w:rPr>
        <w:t xml:space="preserve">As noted above, a primary objective of the framework of the Act and the Principal Instrument (as </w:t>
      </w:r>
      <w:r w:rsidR="00680D58">
        <w:rPr>
          <w:rFonts w:ascii="Times New Roman" w:hAnsi="Times New Roman" w:cs="Times New Roman"/>
          <w:lang w:eastAsia="en-AU"/>
        </w:rPr>
        <w:t xml:space="preserve">it </w:t>
      </w:r>
      <w:r w:rsidRPr="00FF1878">
        <w:rPr>
          <w:rFonts w:ascii="Times New Roman" w:hAnsi="Times New Roman" w:cs="Times New Roman"/>
          <w:lang w:eastAsia="en-AU"/>
        </w:rPr>
        <w:t xml:space="preserve">would be amended) includes promoting equal employment opportunities for women. To the extent that the Principal Instrument (as </w:t>
      </w:r>
      <w:r w:rsidR="00680D58">
        <w:rPr>
          <w:rFonts w:ascii="Times New Roman" w:hAnsi="Times New Roman" w:cs="Times New Roman"/>
          <w:lang w:eastAsia="en-AU"/>
        </w:rPr>
        <w:t xml:space="preserve">it </w:t>
      </w:r>
      <w:r w:rsidRPr="00FF1878">
        <w:rPr>
          <w:rFonts w:ascii="Times New Roman" w:hAnsi="Times New Roman" w:cs="Times New Roman"/>
          <w:lang w:eastAsia="en-AU"/>
        </w:rPr>
        <w:t>would be amended) provides for measures intended to assist or recognise the disadvantage that women face in the workplace, these are permitted ‘special measures’ consistent with the right to equality and non-discrimination.</w:t>
      </w:r>
    </w:p>
    <w:p w:rsidR="00004A02" w:rsidRDefault="00004A02" w:rsidP="00FF1878">
      <w:pPr>
        <w:spacing w:before="240" w:after="240"/>
        <w:rPr>
          <w:rFonts w:ascii="Times New Roman" w:hAnsi="Times New Roman" w:cs="Times New Roman"/>
          <w:lang w:eastAsia="en-AU"/>
        </w:rPr>
      </w:pPr>
    </w:p>
    <w:p w:rsidR="00C0063F" w:rsidRPr="00FF1878" w:rsidRDefault="00C0063F" w:rsidP="00FF1878">
      <w:pPr>
        <w:spacing w:before="240" w:after="240"/>
        <w:rPr>
          <w:rFonts w:ascii="Times New Roman" w:hAnsi="Times New Roman" w:cs="Times New Roman"/>
          <w:lang w:eastAsia="en-AU"/>
        </w:rPr>
      </w:pPr>
      <w:bookmarkStart w:id="1" w:name="_GoBack"/>
      <w:bookmarkEnd w:id="1"/>
    </w:p>
    <w:p w:rsidR="00FF1878" w:rsidRPr="00FF1878" w:rsidRDefault="00FF1878" w:rsidP="00FF1878">
      <w:pPr>
        <w:spacing w:before="240" w:after="240"/>
        <w:rPr>
          <w:rFonts w:ascii="Times New Roman" w:hAnsi="Times New Roman" w:cs="Times New Roman"/>
          <w:lang w:eastAsia="en-AU"/>
        </w:rPr>
      </w:pPr>
      <w:r w:rsidRPr="00FF1878">
        <w:rPr>
          <w:rFonts w:ascii="Times New Roman" w:hAnsi="Times New Roman" w:cs="Times New Roman"/>
          <w:u w:val="single"/>
          <w:lang w:eastAsia="en-AU"/>
        </w:rPr>
        <w:lastRenderedPageBreak/>
        <w:t>The right to fair wages and equal remuneration for work of equal value</w:t>
      </w:r>
    </w:p>
    <w:p w:rsidR="00FF1878" w:rsidRPr="00FF1878" w:rsidRDefault="00FF1878" w:rsidP="00FF1878">
      <w:pPr>
        <w:spacing w:before="240" w:after="240"/>
        <w:rPr>
          <w:rFonts w:ascii="Times New Roman" w:hAnsi="Times New Roman" w:cs="Times New Roman"/>
          <w:lang w:eastAsia="en-AU"/>
        </w:rPr>
      </w:pPr>
      <w:r w:rsidRPr="00FF1878">
        <w:rPr>
          <w:rFonts w:ascii="Times New Roman" w:hAnsi="Times New Roman" w:cs="Times New Roman"/>
          <w:lang w:eastAsia="en-AU"/>
        </w:rPr>
        <w:t xml:space="preserve">Article 7 of the </w:t>
      </w:r>
      <w:proofErr w:type="spellStart"/>
      <w:r w:rsidRPr="00FF1878">
        <w:rPr>
          <w:rFonts w:ascii="Times New Roman" w:hAnsi="Times New Roman" w:cs="Times New Roman"/>
          <w:lang w:eastAsia="en-AU"/>
        </w:rPr>
        <w:t>ICESCR</w:t>
      </w:r>
      <w:proofErr w:type="spellEnd"/>
      <w:r w:rsidRPr="00FF1878">
        <w:rPr>
          <w:rFonts w:ascii="Times New Roman" w:hAnsi="Times New Roman" w:cs="Times New Roman"/>
          <w:lang w:eastAsia="en-AU"/>
        </w:rPr>
        <w:t xml:space="preserve"> recognises the right of everyone to fair wages and equal remuneration for work of equal value.  The Principal Instrument (as </w:t>
      </w:r>
      <w:r w:rsidR="00680D58">
        <w:rPr>
          <w:rFonts w:ascii="Times New Roman" w:hAnsi="Times New Roman" w:cs="Times New Roman"/>
          <w:lang w:eastAsia="en-AU"/>
        </w:rPr>
        <w:t>it</w:t>
      </w:r>
      <w:r w:rsidR="0032568D">
        <w:rPr>
          <w:rFonts w:ascii="Times New Roman" w:hAnsi="Times New Roman" w:cs="Times New Roman"/>
          <w:lang w:eastAsia="en-AU"/>
        </w:rPr>
        <w:t xml:space="preserve"> </w:t>
      </w:r>
      <w:r w:rsidRPr="00FF1878">
        <w:rPr>
          <w:rFonts w:ascii="Times New Roman" w:hAnsi="Times New Roman" w:cs="Times New Roman"/>
          <w:lang w:eastAsia="en-AU"/>
        </w:rPr>
        <w:t xml:space="preserve">would be amended by the Amending Instrument) promotes equal remuneration between women and men in the workplace by requiring employers to report on the remuneration of managers and non-managers, as well as policies or strategies on equal remuneration between women and men, including any gender pay equity objectives. The Principal Instrument (as </w:t>
      </w:r>
      <w:r w:rsidR="00680D58">
        <w:rPr>
          <w:rFonts w:ascii="Times New Roman" w:hAnsi="Times New Roman" w:cs="Times New Roman"/>
          <w:lang w:eastAsia="en-AU"/>
        </w:rPr>
        <w:t xml:space="preserve">it </w:t>
      </w:r>
      <w:r w:rsidRPr="00FF1878">
        <w:rPr>
          <w:rFonts w:ascii="Times New Roman" w:hAnsi="Times New Roman" w:cs="Times New Roman"/>
          <w:lang w:eastAsia="en-AU"/>
        </w:rPr>
        <w:t>would be amended) will enable employers to consider their workplace practices and outcomes in relation to gender equality in a more targeted and considered manner, and to more easily effect improvements over time.</w:t>
      </w:r>
    </w:p>
    <w:p w:rsidR="00FF1878" w:rsidRPr="00FF1878" w:rsidRDefault="00FF1878" w:rsidP="00FF1878">
      <w:pPr>
        <w:rPr>
          <w:rFonts w:ascii="Times New Roman" w:hAnsi="Times New Roman" w:cs="Times New Roman"/>
          <w:lang w:eastAsia="en-AU"/>
        </w:rPr>
      </w:pPr>
      <w:r w:rsidRPr="00FF1878">
        <w:rPr>
          <w:rFonts w:ascii="Times New Roman" w:hAnsi="Times New Roman" w:cs="Times New Roman"/>
          <w:b/>
          <w:lang w:eastAsia="en-AU"/>
        </w:rPr>
        <w:t>Conclusion</w:t>
      </w:r>
    </w:p>
    <w:p w:rsidR="00FF1878" w:rsidRPr="00FF1878" w:rsidRDefault="00FF1878" w:rsidP="00FF1878">
      <w:pPr>
        <w:rPr>
          <w:rFonts w:ascii="Times New Roman" w:hAnsi="Times New Roman" w:cs="Times New Roman"/>
          <w:lang w:eastAsia="en-AU"/>
        </w:rPr>
      </w:pPr>
      <w:r w:rsidRPr="00FF1878">
        <w:rPr>
          <w:rFonts w:ascii="Times New Roman" w:hAnsi="Times New Roman" w:cs="Times New Roman"/>
          <w:lang w:eastAsia="en-AU"/>
        </w:rPr>
        <w:t xml:space="preserve">The Amending Instrument (which amends the Principal Instrument) is compatible with human rights because it promotes the protection of human rights. </w:t>
      </w:r>
    </w:p>
    <w:p w:rsidR="00FF1878" w:rsidRPr="00FF1878" w:rsidRDefault="00FF1878" w:rsidP="00FF1878">
      <w:pPr>
        <w:spacing w:after="0" w:line="240" w:lineRule="auto"/>
        <w:rPr>
          <w:rFonts w:ascii="Times New Roman" w:hAnsi="Times New Roman" w:cs="Times New Roman"/>
        </w:rPr>
      </w:pPr>
    </w:p>
    <w:p w:rsidR="008634E7" w:rsidRPr="00FF1878" w:rsidRDefault="008634E7" w:rsidP="00FF1878">
      <w:pPr>
        <w:rPr>
          <w:rStyle w:val="BookTitle"/>
          <w:rFonts w:ascii="Times New Roman" w:hAnsi="Times New Roman" w:cs="Times New Roman"/>
          <w:i w:val="0"/>
          <w:iCs w:val="0"/>
          <w:smallCaps w:val="0"/>
          <w:spacing w:val="0"/>
        </w:rPr>
      </w:pPr>
    </w:p>
    <w:sectPr w:rsidR="008634E7" w:rsidRPr="00FF1878" w:rsidSect="00F64F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9DF" w:rsidRDefault="007259DF" w:rsidP="005A1BDE">
      <w:pPr>
        <w:spacing w:after="0" w:line="240" w:lineRule="auto"/>
      </w:pPr>
      <w:r>
        <w:separator/>
      </w:r>
    </w:p>
  </w:endnote>
  <w:endnote w:type="continuationSeparator" w:id="0">
    <w:p w:rsidR="007259DF" w:rsidRDefault="007259DF" w:rsidP="005A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9DF" w:rsidRDefault="007259DF" w:rsidP="005A1BDE">
      <w:pPr>
        <w:spacing w:after="0" w:line="240" w:lineRule="auto"/>
      </w:pPr>
      <w:r>
        <w:separator/>
      </w:r>
    </w:p>
  </w:footnote>
  <w:footnote w:type="continuationSeparator" w:id="0">
    <w:p w:rsidR="007259DF" w:rsidRDefault="007259DF" w:rsidP="005A1BDE">
      <w:pPr>
        <w:spacing w:after="0" w:line="240" w:lineRule="auto"/>
      </w:pPr>
      <w:r>
        <w:continuationSeparator/>
      </w:r>
    </w:p>
  </w:footnote>
  <w:footnote w:id="1">
    <w:p w:rsidR="00FF1878" w:rsidRPr="007E6CEC" w:rsidRDefault="00FF1878" w:rsidP="00FF1878">
      <w:pPr>
        <w:pStyle w:val="FootnoteText"/>
        <w:rPr>
          <w:sz w:val="16"/>
          <w:szCs w:val="16"/>
        </w:rPr>
      </w:pPr>
      <w:r w:rsidRPr="003739E2">
        <w:rPr>
          <w:rStyle w:val="FootnoteReference"/>
          <w:rFonts w:asciiTheme="minorHAnsi" w:hAnsiTheme="minorHAnsi" w:cstheme="minorHAnsi"/>
          <w:sz w:val="16"/>
          <w:szCs w:val="16"/>
        </w:rPr>
        <w:footnoteRef/>
      </w:r>
      <w:r>
        <w:rPr>
          <w:rFonts w:ascii="Times New Roman" w:hAnsi="Times New Roman"/>
          <w:sz w:val="16"/>
          <w:szCs w:val="16"/>
        </w:rPr>
        <w:t>H Conway,</w:t>
      </w:r>
      <w:r w:rsidRPr="009578B2">
        <w:rPr>
          <w:rFonts w:ascii="Times New Roman" w:hAnsi="Times New Roman"/>
          <w:sz w:val="16"/>
          <w:szCs w:val="16"/>
        </w:rPr>
        <w:t xml:space="preserve"> Education and Employment Legislative Committee, Senate Estimates Hansard, Thursday, 23 October 2014.</w:t>
      </w:r>
      <w:r w:rsidRPr="007E6CEC">
        <w:rPr>
          <w:sz w:val="16"/>
          <w:szCs w:val="16"/>
        </w:rPr>
        <w:t xml:space="preserve"> </w:t>
      </w:r>
    </w:p>
  </w:footnote>
  <w:footnote w:id="2">
    <w:p w:rsidR="00FF1878" w:rsidRPr="00AD491A" w:rsidRDefault="00FF1878" w:rsidP="00FF1878">
      <w:pPr>
        <w:spacing w:after="0" w:line="240" w:lineRule="auto"/>
        <w:rPr>
          <w:rFonts w:ascii="Times New Roman" w:hAnsi="Times New Roman" w:cs="Times New Roman"/>
          <w:sz w:val="24"/>
          <w:szCs w:val="24"/>
        </w:rPr>
      </w:pPr>
      <w:r>
        <w:rPr>
          <w:rStyle w:val="FootnoteReference"/>
        </w:rPr>
        <w:footnoteRef/>
      </w:r>
      <w:r>
        <w:t xml:space="preserve"> </w:t>
      </w:r>
      <w:r w:rsidRPr="0022185A">
        <w:rPr>
          <w:rFonts w:ascii="Times New Roman" w:eastAsia="Times New Roman" w:hAnsi="Times New Roman" w:cs="Times New Roman"/>
          <w:sz w:val="16"/>
          <w:szCs w:val="16"/>
          <w:lang w:eastAsia="en-AU"/>
        </w:rPr>
        <w:t>Article 11(1</w:t>
      </w:r>
      <w:proofErr w:type="gramStart"/>
      <w:r w:rsidRPr="0022185A">
        <w:rPr>
          <w:rFonts w:ascii="Times New Roman" w:eastAsia="Times New Roman" w:hAnsi="Times New Roman" w:cs="Times New Roman"/>
          <w:sz w:val="16"/>
          <w:szCs w:val="16"/>
          <w:lang w:eastAsia="en-AU"/>
        </w:rPr>
        <w:t>)(</w:t>
      </w:r>
      <w:proofErr w:type="gramEnd"/>
      <w:r w:rsidRPr="0022185A">
        <w:rPr>
          <w:rFonts w:ascii="Times New Roman" w:eastAsia="Times New Roman" w:hAnsi="Times New Roman" w:cs="Times New Roman"/>
          <w:sz w:val="16"/>
          <w:szCs w:val="16"/>
          <w:lang w:eastAsia="en-AU"/>
        </w:rPr>
        <w:t>d) provides ‘the right to equal remuneration, including benefits, and to equal treatment in respect of work of equal value, as well as equality of treatment in the evaluation of the quality of work.’</w:t>
      </w:r>
    </w:p>
    <w:p w:rsidR="00FF1878" w:rsidRDefault="00FF1878" w:rsidP="00FF187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104A"/>
    <w:multiLevelType w:val="hybridMultilevel"/>
    <w:tmpl w:val="263C2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FAC60E2"/>
    <w:multiLevelType w:val="hybridMultilevel"/>
    <w:tmpl w:val="2F681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C747D4"/>
    <w:multiLevelType w:val="hybridMultilevel"/>
    <w:tmpl w:val="C0F03B10"/>
    <w:lvl w:ilvl="0" w:tplc="CDEA0E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3125"/>
        </w:tabs>
        <w:ind w:left="3125" w:hanging="425"/>
      </w:pPr>
      <w:rPr>
        <w:b w:val="0"/>
        <w:i w:val="0"/>
      </w:rPr>
    </w:lvl>
    <w:lvl w:ilvl="8">
      <w:start w:val="1"/>
      <w:numFmt w:val="bullet"/>
      <w:lvlText w:val="–"/>
      <w:lvlJc w:val="left"/>
      <w:pPr>
        <w:tabs>
          <w:tab w:val="num" w:pos="2551"/>
        </w:tabs>
        <w:ind w:left="2551" w:hanging="425"/>
      </w:pPr>
      <w:rPr>
        <w:b w:val="0"/>
        <w:i w:val="0"/>
      </w:rPr>
    </w:lvl>
  </w:abstractNum>
  <w:abstractNum w:abstractNumId="4">
    <w:nsid w:val="2ACA4DFF"/>
    <w:multiLevelType w:val="hybridMultilevel"/>
    <w:tmpl w:val="19AC3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F034B59"/>
    <w:multiLevelType w:val="hybridMultilevel"/>
    <w:tmpl w:val="90E29F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3CCD3B6D"/>
    <w:multiLevelType w:val="hybridMultilevel"/>
    <w:tmpl w:val="1A6E5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3002A80"/>
    <w:multiLevelType w:val="hybridMultilevel"/>
    <w:tmpl w:val="3FF8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F1261D"/>
    <w:multiLevelType w:val="multilevel"/>
    <w:tmpl w:val="AA58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FA1EF6"/>
    <w:multiLevelType w:val="hybridMultilevel"/>
    <w:tmpl w:val="9064F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42458E9"/>
    <w:multiLevelType w:val="hybridMultilevel"/>
    <w:tmpl w:val="4E72F98C"/>
    <w:lvl w:ilvl="0" w:tplc="E9D04D50">
      <w:start w:val="1"/>
      <w:numFmt w:val="lowerLetter"/>
      <w:pStyle w:val="Sub-parax"/>
      <w:lvlText w:val="(%1)"/>
      <w:lvlJc w:val="left"/>
      <w:pPr>
        <w:ind w:left="1910" w:hanging="360"/>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630" w:hanging="360"/>
      </w:pPr>
    </w:lvl>
    <w:lvl w:ilvl="2" w:tplc="0C09001B" w:tentative="1">
      <w:start w:val="1"/>
      <w:numFmt w:val="lowerRoman"/>
      <w:lvlText w:val="%3."/>
      <w:lvlJc w:val="right"/>
      <w:pPr>
        <w:ind w:left="3350" w:hanging="180"/>
      </w:pPr>
    </w:lvl>
    <w:lvl w:ilvl="3" w:tplc="0C09000F" w:tentative="1">
      <w:start w:val="1"/>
      <w:numFmt w:val="decimal"/>
      <w:lvlText w:val="%4."/>
      <w:lvlJc w:val="left"/>
      <w:pPr>
        <w:ind w:left="4070" w:hanging="360"/>
      </w:pPr>
    </w:lvl>
    <w:lvl w:ilvl="4" w:tplc="0C090019" w:tentative="1">
      <w:start w:val="1"/>
      <w:numFmt w:val="lowerLetter"/>
      <w:lvlText w:val="%5."/>
      <w:lvlJc w:val="left"/>
      <w:pPr>
        <w:ind w:left="4790" w:hanging="360"/>
      </w:pPr>
    </w:lvl>
    <w:lvl w:ilvl="5" w:tplc="0C09001B" w:tentative="1">
      <w:start w:val="1"/>
      <w:numFmt w:val="lowerRoman"/>
      <w:lvlText w:val="%6."/>
      <w:lvlJc w:val="right"/>
      <w:pPr>
        <w:ind w:left="5510" w:hanging="180"/>
      </w:pPr>
    </w:lvl>
    <w:lvl w:ilvl="6" w:tplc="0C09000F" w:tentative="1">
      <w:start w:val="1"/>
      <w:numFmt w:val="decimal"/>
      <w:lvlText w:val="%7."/>
      <w:lvlJc w:val="left"/>
      <w:pPr>
        <w:ind w:left="6230" w:hanging="360"/>
      </w:pPr>
    </w:lvl>
    <w:lvl w:ilvl="7" w:tplc="0C090019" w:tentative="1">
      <w:start w:val="1"/>
      <w:numFmt w:val="lowerLetter"/>
      <w:lvlText w:val="%8."/>
      <w:lvlJc w:val="left"/>
      <w:pPr>
        <w:ind w:left="6950" w:hanging="360"/>
      </w:pPr>
    </w:lvl>
    <w:lvl w:ilvl="8" w:tplc="0C09001B" w:tentative="1">
      <w:start w:val="1"/>
      <w:numFmt w:val="lowerRoman"/>
      <w:lvlText w:val="%9."/>
      <w:lvlJc w:val="right"/>
      <w:pPr>
        <w:ind w:left="7670" w:hanging="180"/>
      </w:pPr>
    </w:lvl>
  </w:abstractNum>
  <w:abstractNum w:abstractNumId="11">
    <w:nsid w:val="4696384F"/>
    <w:multiLevelType w:val="hybridMultilevel"/>
    <w:tmpl w:val="FDEAB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11569D"/>
    <w:multiLevelType w:val="hybridMultilevel"/>
    <w:tmpl w:val="0E02D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5632797A"/>
    <w:multiLevelType w:val="hybridMultilevel"/>
    <w:tmpl w:val="D8943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6F3018B"/>
    <w:multiLevelType w:val="hybridMultilevel"/>
    <w:tmpl w:val="D8A84E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59EA1FD6"/>
    <w:multiLevelType w:val="hybridMultilevel"/>
    <w:tmpl w:val="29305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7A677A"/>
    <w:multiLevelType w:val="hybridMultilevel"/>
    <w:tmpl w:val="E16A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6A6570"/>
    <w:multiLevelType w:val="multilevel"/>
    <w:tmpl w:val="8AAC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69363F7"/>
    <w:multiLevelType w:val="hybridMultilevel"/>
    <w:tmpl w:val="A96C2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8776EB9"/>
    <w:multiLevelType w:val="hybridMultilevel"/>
    <w:tmpl w:val="1494B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CE1314B"/>
    <w:multiLevelType w:val="hybridMultilevel"/>
    <w:tmpl w:val="7A8CE80C"/>
    <w:lvl w:ilvl="0" w:tplc="0C090001">
      <w:start w:val="1"/>
      <w:numFmt w:val="bullet"/>
      <w:lvlText w:val=""/>
      <w:lvlJc w:val="left"/>
      <w:pPr>
        <w:ind w:left="1910" w:hanging="360"/>
      </w:pPr>
      <w:rPr>
        <w:rFonts w:ascii="Symbol" w:hAnsi="Symbol"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630" w:hanging="360"/>
      </w:pPr>
    </w:lvl>
    <w:lvl w:ilvl="2" w:tplc="0C09001B" w:tentative="1">
      <w:start w:val="1"/>
      <w:numFmt w:val="lowerRoman"/>
      <w:lvlText w:val="%3."/>
      <w:lvlJc w:val="right"/>
      <w:pPr>
        <w:ind w:left="3350" w:hanging="180"/>
      </w:pPr>
    </w:lvl>
    <w:lvl w:ilvl="3" w:tplc="0C09000F" w:tentative="1">
      <w:start w:val="1"/>
      <w:numFmt w:val="decimal"/>
      <w:lvlText w:val="%4."/>
      <w:lvlJc w:val="left"/>
      <w:pPr>
        <w:ind w:left="4070" w:hanging="360"/>
      </w:pPr>
    </w:lvl>
    <w:lvl w:ilvl="4" w:tplc="0C090019" w:tentative="1">
      <w:start w:val="1"/>
      <w:numFmt w:val="lowerLetter"/>
      <w:lvlText w:val="%5."/>
      <w:lvlJc w:val="left"/>
      <w:pPr>
        <w:ind w:left="4790" w:hanging="360"/>
      </w:pPr>
    </w:lvl>
    <w:lvl w:ilvl="5" w:tplc="0C09001B" w:tentative="1">
      <w:start w:val="1"/>
      <w:numFmt w:val="lowerRoman"/>
      <w:lvlText w:val="%6."/>
      <w:lvlJc w:val="right"/>
      <w:pPr>
        <w:ind w:left="5510" w:hanging="180"/>
      </w:pPr>
    </w:lvl>
    <w:lvl w:ilvl="6" w:tplc="0C09000F" w:tentative="1">
      <w:start w:val="1"/>
      <w:numFmt w:val="decimal"/>
      <w:lvlText w:val="%7."/>
      <w:lvlJc w:val="left"/>
      <w:pPr>
        <w:ind w:left="6230" w:hanging="360"/>
      </w:pPr>
    </w:lvl>
    <w:lvl w:ilvl="7" w:tplc="0C090019" w:tentative="1">
      <w:start w:val="1"/>
      <w:numFmt w:val="lowerLetter"/>
      <w:lvlText w:val="%8."/>
      <w:lvlJc w:val="left"/>
      <w:pPr>
        <w:ind w:left="6950" w:hanging="360"/>
      </w:pPr>
    </w:lvl>
    <w:lvl w:ilvl="8" w:tplc="0C09001B" w:tentative="1">
      <w:start w:val="1"/>
      <w:numFmt w:val="lowerRoman"/>
      <w:lvlText w:val="%9."/>
      <w:lvlJc w:val="right"/>
      <w:pPr>
        <w:ind w:left="7670" w:hanging="180"/>
      </w:pPr>
    </w:lvl>
  </w:abstractNum>
  <w:abstractNum w:abstractNumId="21">
    <w:nsid w:val="6E020888"/>
    <w:multiLevelType w:val="hybridMultilevel"/>
    <w:tmpl w:val="99086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226670B"/>
    <w:multiLevelType w:val="hybridMultilevel"/>
    <w:tmpl w:val="58007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3F01966"/>
    <w:multiLevelType w:val="hybridMultilevel"/>
    <w:tmpl w:val="7124158A"/>
    <w:lvl w:ilvl="0" w:tplc="A0DA31F2">
      <w:start w:val="1"/>
      <w:numFmt w:val="decimal"/>
      <w:lvlText w:val="%1."/>
      <w:lvlJc w:val="left"/>
      <w:pPr>
        <w:ind w:left="360" w:hanging="360"/>
      </w:pPr>
      <w:rPr>
        <w:rFonts w:ascii="Arial" w:hAnsi="Arial" w:cs="Arial" w:hint="default"/>
        <w:b/>
        <w:sz w:val="32"/>
        <w:szCs w:val="32"/>
      </w:rPr>
    </w:lvl>
    <w:lvl w:ilvl="1" w:tplc="A002181A">
      <w:start w:val="1"/>
      <w:numFmt w:val="bullet"/>
      <w:lvlText w:val="o"/>
      <w:lvlJc w:val="left"/>
      <w:pPr>
        <w:ind w:left="1080" w:hanging="360"/>
      </w:pPr>
      <w:rPr>
        <w:rFonts w:ascii="Courier New" w:hAnsi="Courier New" w:cs="Courier New" w:hint="default"/>
      </w:rPr>
    </w:lvl>
    <w:lvl w:ilvl="2" w:tplc="1FCE734C" w:tentative="1">
      <w:start w:val="1"/>
      <w:numFmt w:val="bullet"/>
      <w:lvlText w:val=""/>
      <w:lvlJc w:val="left"/>
      <w:pPr>
        <w:ind w:left="1800" w:hanging="360"/>
      </w:pPr>
      <w:rPr>
        <w:rFonts w:ascii="Wingdings" w:hAnsi="Wingdings" w:hint="default"/>
      </w:rPr>
    </w:lvl>
    <w:lvl w:ilvl="3" w:tplc="B1CC869A" w:tentative="1">
      <w:start w:val="1"/>
      <w:numFmt w:val="bullet"/>
      <w:lvlText w:val=""/>
      <w:lvlJc w:val="left"/>
      <w:pPr>
        <w:ind w:left="2520" w:hanging="360"/>
      </w:pPr>
      <w:rPr>
        <w:rFonts w:ascii="Symbol" w:hAnsi="Symbol" w:hint="default"/>
      </w:rPr>
    </w:lvl>
    <w:lvl w:ilvl="4" w:tplc="549C7F3C" w:tentative="1">
      <w:start w:val="1"/>
      <w:numFmt w:val="bullet"/>
      <w:lvlText w:val="o"/>
      <w:lvlJc w:val="left"/>
      <w:pPr>
        <w:ind w:left="3240" w:hanging="360"/>
      </w:pPr>
      <w:rPr>
        <w:rFonts w:ascii="Courier New" w:hAnsi="Courier New" w:cs="Courier New" w:hint="default"/>
      </w:rPr>
    </w:lvl>
    <w:lvl w:ilvl="5" w:tplc="913AFBE0" w:tentative="1">
      <w:start w:val="1"/>
      <w:numFmt w:val="bullet"/>
      <w:lvlText w:val=""/>
      <w:lvlJc w:val="left"/>
      <w:pPr>
        <w:ind w:left="3960" w:hanging="360"/>
      </w:pPr>
      <w:rPr>
        <w:rFonts w:ascii="Wingdings" w:hAnsi="Wingdings" w:hint="default"/>
      </w:rPr>
    </w:lvl>
    <w:lvl w:ilvl="6" w:tplc="7CA42AAC" w:tentative="1">
      <w:start w:val="1"/>
      <w:numFmt w:val="bullet"/>
      <w:lvlText w:val=""/>
      <w:lvlJc w:val="left"/>
      <w:pPr>
        <w:ind w:left="4680" w:hanging="360"/>
      </w:pPr>
      <w:rPr>
        <w:rFonts w:ascii="Symbol" w:hAnsi="Symbol" w:hint="default"/>
      </w:rPr>
    </w:lvl>
    <w:lvl w:ilvl="7" w:tplc="73064952" w:tentative="1">
      <w:start w:val="1"/>
      <w:numFmt w:val="bullet"/>
      <w:lvlText w:val="o"/>
      <w:lvlJc w:val="left"/>
      <w:pPr>
        <w:ind w:left="5400" w:hanging="360"/>
      </w:pPr>
      <w:rPr>
        <w:rFonts w:ascii="Courier New" w:hAnsi="Courier New" w:cs="Courier New" w:hint="default"/>
      </w:rPr>
    </w:lvl>
    <w:lvl w:ilvl="8" w:tplc="5658083C" w:tentative="1">
      <w:start w:val="1"/>
      <w:numFmt w:val="bullet"/>
      <w:lvlText w:val=""/>
      <w:lvlJc w:val="left"/>
      <w:pPr>
        <w:ind w:left="6120" w:hanging="360"/>
      </w:pPr>
      <w:rPr>
        <w:rFonts w:ascii="Wingdings" w:hAnsi="Wingdings" w:hint="default"/>
      </w:rPr>
    </w:lvl>
  </w:abstractNum>
  <w:abstractNum w:abstractNumId="24">
    <w:nsid w:val="751B6401"/>
    <w:multiLevelType w:val="hybridMultilevel"/>
    <w:tmpl w:val="77ECF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57F6B23"/>
    <w:multiLevelType w:val="multilevel"/>
    <w:tmpl w:val="FA1230AE"/>
    <w:lvl w:ilvl="0">
      <w:start w:val="4"/>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26">
    <w:nsid w:val="7A736FD5"/>
    <w:multiLevelType w:val="multilevel"/>
    <w:tmpl w:val="1356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B90253D"/>
    <w:multiLevelType w:val="multilevel"/>
    <w:tmpl w:val="7CAA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6"/>
  </w:num>
  <w:num w:numId="3">
    <w:abstractNumId w:val="2"/>
  </w:num>
  <w:num w:numId="4">
    <w:abstractNumId w:val="2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2"/>
  </w:num>
  <w:num w:numId="8">
    <w:abstractNumId w:val="14"/>
  </w:num>
  <w:num w:numId="9">
    <w:abstractNumId w:val="8"/>
  </w:num>
  <w:num w:numId="10">
    <w:abstractNumId w:val="26"/>
  </w:num>
  <w:num w:numId="11">
    <w:abstractNumId w:val="17"/>
  </w:num>
  <w:num w:numId="12">
    <w:abstractNumId w:val="27"/>
  </w:num>
  <w:num w:numId="13">
    <w:abstractNumId w:val="9"/>
  </w:num>
  <w:num w:numId="14">
    <w:abstractNumId w:val="4"/>
  </w:num>
  <w:num w:numId="15">
    <w:abstractNumId w:val="23"/>
  </w:num>
  <w:num w:numId="16">
    <w:abstractNumId w:val="13"/>
  </w:num>
  <w:num w:numId="17">
    <w:abstractNumId w:val="18"/>
  </w:num>
  <w:num w:numId="18">
    <w:abstractNumId w:val="0"/>
  </w:num>
  <w:num w:numId="19">
    <w:abstractNumId w:val="6"/>
  </w:num>
  <w:num w:numId="20">
    <w:abstractNumId w:val="24"/>
  </w:num>
  <w:num w:numId="21">
    <w:abstractNumId w:val="22"/>
  </w:num>
  <w:num w:numId="22">
    <w:abstractNumId w:val="15"/>
  </w:num>
  <w:num w:numId="23">
    <w:abstractNumId w:val="11"/>
  </w:num>
  <w:num w:numId="24">
    <w:abstractNumId w:val="1"/>
  </w:num>
  <w:num w:numId="25">
    <w:abstractNumId w:val="19"/>
  </w:num>
  <w:num w:numId="26">
    <w:abstractNumId w:val="7"/>
  </w:num>
  <w:num w:numId="27">
    <w:abstractNumId w:val="1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5460B8"/>
    <w:rsid w:val="00000388"/>
    <w:rsid w:val="00000D9B"/>
    <w:rsid w:val="00003E1E"/>
    <w:rsid w:val="00004A02"/>
    <w:rsid w:val="0000536A"/>
    <w:rsid w:val="00006543"/>
    <w:rsid w:val="000076D4"/>
    <w:rsid w:val="00012777"/>
    <w:rsid w:val="0001594A"/>
    <w:rsid w:val="00017429"/>
    <w:rsid w:val="00020C4D"/>
    <w:rsid w:val="00020F42"/>
    <w:rsid w:val="00025601"/>
    <w:rsid w:val="0002755B"/>
    <w:rsid w:val="00030939"/>
    <w:rsid w:val="0003340D"/>
    <w:rsid w:val="0003342F"/>
    <w:rsid w:val="000354D3"/>
    <w:rsid w:val="000441A5"/>
    <w:rsid w:val="000447CA"/>
    <w:rsid w:val="00044E32"/>
    <w:rsid w:val="0004528B"/>
    <w:rsid w:val="00047307"/>
    <w:rsid w:val="00047AAF"/>
    <w:rsid w:val="000513E7"/>
    <w:rsid w:val="000539DE"/>
    <w:rsid w:val="0005501D"/>
    <w:rsid w:val="00056EE2"/>
    <w:rsid w:val="00067005"/>
    <w:rsid w:val="0007191E"/>
    <w:rsid w:val="0007294D"/>
    <w:rsid w:val="000732B1"/>
    <w:rsid w:val="00076649"/>
    <w:rsid w:val="000811C4"/>
    <w:rsid w:val="00084AF9"/>
    <w:rsid w:val="00084E38"/>
    <w:rsid w:val="00086636"/>
    <w:rsid w:val="0008696F"/>
    <w:rsid w:val="00091E42"/>
    <w:rsid w:val="00091F60"/>
    <w:rsid w:val="00092B46"/>
    <w:rsid w:val="00095421"/>
    <w:rsid w:val="00096D2B"/>
    <w:rsid w:val="00097E7C"/>
    <w:rsid w:val="000A3FE5"/>
    <w:rsid w:val="000A52EF"/>
    <w:rsid w:val="000A67FD"/>
    <w:rsid w:val="000B43CB"/>
    <w:rsid w:val="000B4C89"/>
    <w:rsid w:val="000C38AA"/>
    <w:rsid w:val="000C52A3"/>
    <w:rsid w:val="000C5F13"/>
    <w:rsid w:val="000C67E0"/>
    <w:rsid w:val="000C7378"/>
    <w:rsid w:val="000D0176"/>
    <w:rsid w:val="000D1DF2"/>
    <w:rsid w:val="000D2EF6"/>
    <w:rsid w:val="000D4203"/>
    <w:rsid w:val="000D46D3"/>
    <w:rsid w:val="000D5180"/>
    <w:rsid w:val="000D54F9"/>
    <w:rsid w:val="000D5537"/>
    <w:rsid w:val="000D7D99"/>
    <w:rsid w:val="000E16D1"/>
    <w:rsid w:val="000F2053"/>
    <w:rsid w:val="000F3C1B"/>
    <w:rsid w:val="00101DC8"/>
    <w:rsid w:val="001021CA"/>
    <w:rsid w:val="00103B0D"/>
    <w:rsid w:val="00106A4E"/>
    <w:rsid w:val="00106F31"/>
    <w:rsid w:val="00111FD6"/>
    <w:rsid w:val="0012467E"/>
    <w:rsid w:val="00125EA6"/>
    <w:rsid w:val="001328D3"/>
    <w:rsid w:val="001345D3"/>
    <w:rsid w:val="00137045"/>
    <w:rsid w:val="00150FD1"/>
    <w:rsid w:val="00152D6A"/>
    <w:rsid w:val="00157F2D"/>
    <w:rsid w:val="001605B8"/>
    <w:rsid w:val="00160C79"/>
    <w:rsid w:val="00167210"/>
    <w:rsid w:val="00167219"/>
    <w:rsid w:val="0016731E"/>
    <w:rsid w:val="001707C3"/>
    <w:rsid w:val="001749EC"/>
    <w:rsid w:val="00177D9C"/>
    <w:rsid w:val="001806D4"/>
    <w:rsid w:val="0018485B"/>
    <w:rsid w:val="0018735F"/>
    <w:rsid w:val="00191CD0"/>
    <w:rsid w:val="001933A6"/>
    <w:rsid w:val="001A0C7B"/>
    <w:rsid w:val="001A439E"/>
    <w:rsid w:val="001A6AC5"/>
    <w:rsid w:val="001B289E"/>
    <w:rsid w:val="001C255B"/>
    <w:rsid w:val="001C3D79"/>
    <w:rsid w:val="001C5F6A"/>
    <w:rsid w:val="001C6DDB"/>
    <w:rsid w:val="001D2CCE"/>
    <w:rsid w:val="001D4E8E"/>
    <w:rsid w:val="001D4EAE"/>
    <w:rsid w:val="001D509E"/>
    <w:rsid w:val="001E05D5"/>
    <w:rsid w:val="001E5BC3"/>
    <w:rsid w:val="001E630D"/>
    <w:rsid w:val="001E63C4"/>
    <w:rsid w:val="001F0EF3"/>
    <w:rsid w:val="001F1E4C"/>
    <w:rsid w:val="001F5E3B"/>
    <w:rsid w:val="001F6279"/>
    <w:rsid w:val="001F710B"/>
    <w:rsid w:val="001F797F"/>
    <w:rsid w:val="002047D5"/>
    <w:rsid w:val="002049A7"/>
    <w:rsid w:val="00207435"/>
    <w:rsid w:val="00210426"/>
    <w:rsid w:val="002111C6"/>
    <w:rsid w:val="002125E6"/>
    <w:rsid w:val="00213A49"/>
    <w:rsid w:val="00213B26"/>
    <w:rsid w:val="00215759"/>
    <w:rsid w:val="00221468"/>
    <w:rsid w:val="00223D5D"/>
    <w:rsid w:val="0022469C"/>
    <w:rsid w:val="00225637"/>
    <w:rsid w:val="00227E74"/>
    <w:rsid w:val="00234F87"/>
    <w:rsid w:val="00240AE8"/>
    <w:rsid w:val="00241AF5"/>
    <w:rsid w:val="00242A1D"/>
    <w:rsid w:val="00243114"/>
    <w:rsid w:val="002465C3"/>
    <w:rsid w:val="002472F9"/>
    <w:rsid w:val="002515F0"/>
    <w:rsid w:val="00254C99"/>
    <w:rsid w:val="00255906"/>
    <w:rsid w:val="00262E7B"/>
    <w:rsid w:val="002666DF"/>
    <w:rsid w:val="002710AB"/>
    <w:rsid w:val="00271F48"/>
    <w:rsid w:val="00274581"/>
    <w:rsid w:val="0027484E"/>
    <w:rsid w:val="002755E7"/>
    <w:rsid w:val="00276567"/>
    <w:rsid w:val="002829E6"/>
    <w:rsid w:val="00283957"/>
    <w:rsid w:val="00284554"/>
    <w:rsid w:val="002944E7"/>
    <w:rsid w:val="00294708"/>
    <w:rsid w:val="00294F63"/>
    <w:rsid w:val="002A139B"/>
    <w:rsid w:val="002A1F9F"/>
    <w:rsid w:val="002A36A0"/>
    <w:rsid w:val="002A4C45"/>
    <w:rsid w:val="002A55E9"/>
    <w:rsid w:val="002A5892"/>
    <w:rsid w:val="002B0FAF"/>
    <w:rsid w:val="002B35B9"/>
    <w:rsid w:val="002B3C1C"/>
    <w:rsid w:val="002B72B5"/>
    <w:rsid w:val="002B79AB"/>
    <w:rsid w:val="002B7BE6"/>
    <w:rsid w:val="002C0F57"/>
    <w:rsid w:val="002C21EE"/>
    <w:rsid w:val="002C3887"/>
    <w:rsid w:val="002C5174"/>
    <w:rsid w:val="002D1E7A"/>
    <w:rsid w:val="002D2A55"/>
    <w:rsid w:val="002D3493"/>
    <w:rsid w:val="002D3993"/>
    <w:rsid w:val="002D6F32"/>
    <w:rsid w:val="002D7222"/>
    <w:rsid w:val="002E19F6"/>
    <w:rsid w:val="002E3C19"/>
    <w:rsid w:val="002E476A"/>
    <w:rsid w:val="002E7D8F"/>
    <w:rsid w:val="002F0266"/>
    <w:rsid w:val="002F0413"/>
    <w:rsid w:val="002F2231"/>
    <w:rsid w:val="002F6B13"/>
    <w:rsid w:val="002F7243"/>
    <w:rsid w:val="002F777C"/>
    <w:rsid w:val="00303194"/>
    <w:rsid w:val="0030328D"/>
    <w:rsid w:val="003055BA"/>
    <w:rsid w:val="00310E1F"/>
    <w:rsid w:val="00317228"/>
    <w:rsid w:val="003175A6"/>
    <w:rsid w:val="00323B32"/>
    <w:rsid w:val="0032568D"/>
    <w:rsid w:val="00325874"/>
    <w:rsid w:val="00325FC4"/>
    <w:rsid w:val="00330ED3"/>
    <w:rsid w:val="00332026"/>
    <w:rsid w:val="00333DC7"/>
    <w:rsid w:val="0033513D"/>
    <w:rsid w:val="00335776"/>
    <w:rsid w:val="00335924"/>
    <w:rsid w:val="00335BA2"/>
    <w:rsid w:val="00335E68"/>
    <w:rsid w:val="00347A33"/>
    <w:rsid w:val="00360123"/>
    <w:rsid w:val="00360E13"/>
    <w:rsid w:val="00360FA1"/>
    <w:rsid w:val="0036352F"/>
    <w:rsid w:val="00363D1C"/>
    <w:rsid w:val="003646F3"/>
    <w:rsid w:val="0036555E"/>
    <w:rsid w:val="00370DDD"/>
    <w:rsid w:val="00372B15"/>
    <w:rsid w:val="00373CEA"/>
    <w:rsid w:val="00374BA1"/>
    <w:rsid w:val="00380DD0"/>
    <w:rsid w:val="0038150E"/>
    <w:rsid w:val="00387032"/>
    <w:rsid w:val="003947E1"/>
    <w:rsid w:val="00397FD4"/>
    <w:rsid w:val="003B065C"/>
    <w:rsid w:val="003B0A48"/>
    <w:rsid w:val="003B2BB8"/>
    <w:rsid w:val="003B514A"/>
    <w:rsid w:val="003B5C21"/>
    <w:rsid w:val="003C4A77"/>
    <w:rsid w:val="003D1DCB"/>
    <w:rsid w:val="003D2D81"/>
    <w:rsid w:val="003D34FF"/>
    <w:rsid w:val="003E046C"/>
    <w:rsid w:val="003E3553"/>
    <w:rsid w:val="003E7195"/>
    <w:rsid w:val="003F13C8"/>
    <w:rsid w:val="003F1439"/>
    <w:rsid w:val="003F1660"/>
    <w:rsid w:val="003F19CB"/>
    <w:rsid w:val="003F2584"/>
    <w:rsid w:val="003F37FB"/>
    <w:rsid w:val="003F394F"/>
    <w:rsid w:val="00406099"/>
    <w:rsid w:val="00406A90"/>
    <w:rsid w:val="00410ACC"/>
    <w:rsid w:val="00413EDF"/>
    <w:rsid w:val="00414F97"/>
    <w:rsid w:val="00415849"/>
    <w:rsid w:val="00416CF8"/>
    <w:rsid w:val="00417234"/>
    <w:rsid w:val="00417D00"/>
    <w:rsid w:val="004246DB"/>
    <w:rsid w:val="0042583A"/>
    <w:rsid w:val="0043376D"/>
    <w:rsid w:val="004341C6"/>
    <w:rsid w:val="00435FB9"/>
    <w:rsid w:val="00440E84"/>
    <w:rsid w:val="004425AF"/>
    <w:rsid w:val="00443999"/>
    <w:rsid w:val="00444785"/>
    <w:rsid w:val="004473E6"/>
    <w:rsid w:val="00450DB4"/>
    <w:rsid w:val="0045196B"/>
    <w:rsid w:val="00452868"/>
    <w:rsid w:val="00453696"/>
    <w:rsid w:val="00455AF6"/>
    <w:rsid w:val="004572FB"/>
    <w:rsid w:val="00457798"/>
    <w:rsid w:val="0046099D"/>
    <w:rsid w:val="00463219"/>
    <w:rsid w:val="00464408"/>
    <w:rsid w:val="00465481"/>
    <w:rsid w:val="00466894"/>
    <w:rsid w:val="00470A0A"/>
    <w:rsid w:val="00475566"/>
    <w:rsid w:val="0047597D"/>
    <w:rsid w:val="004768DE"/>
    <w:rsid w:val="0048310B"/>
    <w:rsid w:val="004905D3"/>
    <w:rsid w:val="00492827"/>
    <w:rsid w:val="00493389"/>
    <w:rsid w:val="00493FB6"/>
    <w:rsid w:val="00496A68"/>
    <w:rsid w:val="00497E30"/>
    <w:rsid w:val="004A1CA6"/>
    <w:rsid w:val="004A2736"/>
    <w:rsid w:val="004A374B"/>
    <w:rsid w:val="004A3DE5"/>
    <w:rsid w:val="004A4408"/>
    <w:rsid w:val="004B0E5B"/>
    <w:rsid w:val="004B34AE"/>
    <w:rsid w:val="004B54CA"/>
    <w:rsid w:val="004B557F"/>
    <w:rsid w:val="004C1C95"/>
    <w:rsid w:val="004C2AE3"/>
    <w:rsid w:val="004C3849"/>
    <w:rsid w:val="004C446D"/>
    <w:rsid w:val="004C556F"/>
    <w:rsid w:val="004C6FF8"/>
    <w:rsid w:val="004D05CB"/>
    <w:rsid w:val="004D240E"/>
    <w:rsid w:val="004D38B4"/>
    <w:rsid w:val="004D394A"/>
    <w:rsid w:val="004D613F"/>
    <w:rsid w:val="004D79B5"/>
    <w:rsid w:val="004E3081"/>
    <w:rsid w:val="004E31DE"/>
    <w:rsid w:val="004E3798"/>
    <w:rsid w:val="004E4105"/>
    <w:rsid w:val="004E529A"/>
    <w:rsid w:val="004E5CBF"/>
    <w:rsid w:val="004E6245"/>
    <w:rsid w:val="004F0F33"/>
    <w:rsid w:val="004F5E1B"/>
    <w:rsid w:val="004F6BD2"/>
    <w:rsid w:val="004F6D0B"/>
    <w:rsid w:val="00501A63"/>
    <w:rsid w:val="00503C0E"/>
    <w:rsid w:val="0050610C"/>
    <w:rsid w:val="0050690D"/>
    <w:rsid w:val="0050746E"/>
    <w:rsid w:val="0050799B"/>
    <w:rsid w:val="00512230"/>
    <w:rsid w:val="00512F68"/>
    <w:rsid w:val="00516F54"/>
    <w:rsid w:val="0052109C"/>
    <w:rsid w:val="005255B4"/>
    <w:rsid w:val="00525FDB"/>
    <w:rsid w:val="00526A68"/>
    <w:rsid w:val="00526AEB"/>
    <w:rsid w:val="0052701B"/>
    <w:rsid w:val="00530A90"/>
    <w:rsid w:val="005317B1"/>
    <w:rsid w:val="00531B79"/>
    <w:rsid w:val="00532ABF"/>
    <w:rsid w:val="00543A2F"/>
    <w:rsid w:val="00545086"/>
    <w:rsid w:val="005460B8"/>
    <w:rsid w:val="005468C5"/>
    <w:rsid w:val="0055283E"/>
    <w:rsid w:val="00554054"/>
    <w:rsid w:val="00554868"/>
    <w:rsid w:val="00554FFC"/>
    <w:rsid w:val="00556869"/>
    <w:rsid w:val="0055765A"/>
    <w:rsid w:val="005603E0"/>
    <w:rsid w:val="00563A2E"/>
    <w:rsid w:val="00567170"/>
    <w:rsid w:val="0056736F"/>
    <w:rsid w:val="00571CDF"/>
    <w:rsid w:val="00571F2E"/>
    <w:rsid w:val="00575B08"/>
    <w:rsid w:val="005808F9"/>
    <w:rsid w:val="00580C56"/>
    <w:rsid w:val="00587026"/>
    <w:rsid w:val="005944DD"/>
    <w:rsid w:val="00595F5F"/>
    <w:rsid w:val="005966CE"/>
    <w:rsid w:val="005968BA"/>
    <w:rsid w:val="005A1BDE"/>
    <w:rsid w:val="005A26DA"/>
    <w:rsid w:val="005A67E5"/>
    <w:rsid w:val="005A798C"/>
    <w:rsid w:val="005B0341"/>
    <w:rsid w:val="005B17F7"/>
    <w:rsid w:val="005B1B12"/>
    <w:rsid w:val="005B55B8"/>
    <w:rsid w:val="005C2E06"/>
    <w:rsid w:val="005C3AA9"/>
    <w:rsid w:val="005C3ECE"/>
    <w:rsid w:val="005E16D0"/>
    <w:rsid w:val="005E1E5E"/>
    <w:rsid w:val="005E2341"/>
    <w:rsid w:val="005E7866"/>
    <w:rsid w:val="005F298D"/>
    <w:rsid w:val="005F29E7"/>
    <w:rsid w:val="005F675A"/>
    <w:rsid w:val="005F68DA"/>
    <w:rsid w:val="005F74C8"/>
    <w:rsid w:val="006001D4"/>
    <w:rsid w:val="00600E38"/>
    <w:rsid w:val="00607B40"/>
    <w:rsid w:val="00611DFF"/>
    <w:rsid w:val="00612198"/>
    <w:rsid w:val="00613735"/>
    <w:rsid w:val="00613BFA"/>
    <w:rsid w:val="00617AF1"/>
    <w:rsid w:val="00626B0F"/>
    <w:rsid w:val="00632343"/>
    <w:rsid w:val="00632D01"/>
    <w:rsid w:val="00640B4F"/>
    <w:rsid w:val="00642CAE"/>
    <w:rsid w:val="00647B2D"/>
    <w:rsid w:val="0065134E"/>
    <w:rsid w:val="00653F07"/>
    <w:rsid w:val="00660FBF"/>
    <w:rsid w:val="0066171B"/>
    <w:rsid w:val="006634DD"/>
    <w:rsid w:val="00663843"/>
    <w:rsid w:val="00664B3C"/>
    <w:rsid w:val="00664BE1"/>
    <w:rsid w:val="00665AA4"/>
    <w:rsid w:val="0066689B"/>
    <w:rsid w:val="0067256E"/>
    <w:rsid w:val="00673620"/>
    <w:rsid w:val="0067626E"/>
    <w:rsid w:val="00676E54"/>
    <w:rsid w:val="00680D58"/>
    <w:rsid w:val="0068103A"/>
    <w:rsid w:val="006859C4"/>
    <w:rsid w:val="00686B3E"/>
    <w:rsid w:val="0068751B"/>
    <w:rsid w:val="00687F2A"/>
    <w:rsid w:val="00694CEB"/>
    <w:rsid w:val="00695465"/>
    <w:rsid w:val="006955F3"/>
    <w:rsid w:val="006967D3"/>
    <w:rsid w:val="00696867"/>
    <w:rsid w:val="006A4CE7"/>
    <w:rsid w:val="006A54EB"/>
    <w:rsid w:val="006A5EA3"/>
    <w:rsid w:val="006B1976"/>
    <w:rsid w:val="006B26DE"/>
    <w:rsid w:val="006B32A5"/>
    <w:rsid w:val="006B38CC"/>
    <w:rsid w:val="006B40DD"/>
    <w:rsid w:val="006B5F6C"/>
    <w:rsid w:val="006B7449"/>
    <w:rsid w:val="006B7B11"/>
    <w:rsid w:val="006C2A4B"/>
    <w:rsid w:val="006C46AD"/>
    <w:rsid w:val="006D1380"/>
    <w:rsid w:val="006D740B"/>
    <w:rsid w:val="006E0A80"/>
    <w:rsid w:val="006E33C0"/>
    <w:rsid w:val="006E345E"/>
    <w:rsid w:val="006E58E9"/>
    <w:rsid w:val="006F19BE"/>
    <w:rsid w:val="006F23B3"/>
    <w:rsid w:val="006F2E51"/>
    <w:rsid w:val="00701A41"/>
    <w:rsid w:val="00701EF1"/>
    <w:rsid w:val="00704606"/>
    <w:rsid w:val="007066A5"/>
    <w:rsid w:val="00706B0A"/>
    <w:rsid w:val="00706DBE"/>
    <w:rsid w:val="00707ADB"/>
    <w:rsid w:val="00707BD4"/>
    <w:rsid w:val="00716E0D"/>
    <w:rsid w:val="0071791A"/>
    <w:rsid w:val="00721522"/>
    <w:rsid w:val="0072263D"/>
    <w:rsid w:val="007259DF"/>
    <w:rsid w:val="007434CB"/>
    <w:rsid w:val="00745B7C"/>
    <w:rsid w:val="00750501"/>
    <w:rsid w:val="0075249F"/>
    <w:rsid w:val="0075707B"/>
    <w:rsid w:val="0076084D"/>
    <w:rsid w:val="007609DD"/>
    <w:rsid w:val="00766934"/>
    <w:rsid w:val="00767DFD"/>
    <w:rsid w:val="00771FA2"/>
    <w:rsid w:val="00781660"/>
    <w:rsid w:val="00783E53"/>
    <w:rsid w:val="00785261"/>
    <w:rsid w:val="00785CC8"/>
    <w:rsid w:val="0078774D"/>
    <w:rsid w:val="0079145F"/>
    <w:rsid w:val="007916C6"/>
    <w:rsid w:val="00791F61"/>
    <w:rsid w:val="00792A5C"/>
    <w:rsid w:val="00792E5B"/>
    <w:rsid w:val="0079323B"/>
    <w:rsid w:val="00793581"/>
    <w:rsid w:val="007A07E4"/>
    <w:rsid w:val="007A2239"/>
    <w:rsid w:val="007A2C82"/>
    <w:rsid w:val="007A3E05"/>
    <w:rsid w:val="007A41FA"/>
    <w:rsid w:val="007A7AC4"/>
    <w:rsid w:val="007B0256"/>
    <w:rsid w:val="007B459E"/>
    <w:rsid w:val="007C0048"/>
    <w:rsid w:val="007C09D4"/>
    <w:rsid w:val="007C1543"/>
    <w:rsid w:val="007C4012"/>
    <w:rsid w:val="007D05E1"/>
    <w:rsid w:val="007D2C8A"/>
    <w:rsid w:val="007D2CDA"/>
    <w:rsid w:val="007D36BB"/>
    <w:rsid w:val="007D39AA"/>
    <w:rsid w:val="007E7637"/>
    <w:rsid w:val="007E7EC4"/>
    <w:rsid w:val="007F0C47"/>
    <w:rsid w:val="007F0DA9"/>
    <w:rsid w:val="007F2F43"/>
    <w:rsid w:val="007F370A"/>
    <w:rsid w:val="007F5D4A"/>
    <w:rsid w:val="007F5F30"/>
    <w:rsid w:val="007F7554"/>
    <w:rsid w:val="007F7819"/>
    <w:rsid w:val="00800A85"/>
    <w:rsid w:val="00801300"/>
    <w:rsid w:val="008053DB"/>
    <w:rsid w:val="0081228A"/>
    <w:rsid w:val="00812346"/>
    <w:rsid w:val="00813829"/>
    <w:rsid w:val="008143C6"/>
    <w:rsid w:val="0082126B"/>
    <w:rsid w:val="00821D3B"/>
    <w:rsid w:val="00821F61"/>
    <w:rsid w:val="00822DB1"/>
    <w:rsid w:val="00827835"/>
    <w:rsid w:val="00833646"/>
    <w:rsid w:val="0083448D"/>
    <w:rsid w:val="00836F1D"/>
    <w:rsid w:val="008400F8"/>
    <w:rsid w:val="008414B9"/>
    <w:rsid w:val="00844AF6"/>
    <w:rsid w:val="0085412D"/>
    <w:rsid w:val="008554B7"/>
    <w:rsid w:val="0085630A"/>
    <w:rsid w:val="00856AA6"/>
    <w:rsid w:val="00857297"/>
    <w:rsid w:val="0086069D"/>
    <w:rsid w:val="00861332"/>
    <w:rsid w:val="00861624"/>
    <w:rsid w:val="008634E7"/>
    <w:rsid w:val="00863571"/>
    <w:rsid w:val="008640BA"/>
    <w:rsid w:val="00865160"/>
    <w:rsid w:val="00871CEA"/>
    <w:rsid w:val="008776F2"/>
    <w:rsid w:val="00886397"/>
    <w:rsid w:val="00890A33"/>
    <w:rsid w:val="00893779"/>
    <w:rsid w:val="00893DB1"/>
    <w:rsid w:val="00897EE6"/>
    <w:rsid w:val="008A1562"/>
    <w:rsid w:val="008A3312"/>
    <w:rsid w:val="008A3703"/>
    <w:rsid w:val="008A4FDC"/>
    <w:rsid w:val="008B0F77"/>
    <w:rsid w:val="008B2A2D"/>
    <w:rsid w:val="008B732C"/>
    <w:rsid w:val="008C2F66"/>
    <w:rsid w:val="008C4603"/>
    <w:rsid w:val="008D07C6"/>
    <w:rsid w:val="008D0D0C"/>
    <w:rsid w:val="008D19F0"/>
    <w:rsid w:val="008E134F"/>
    <w:rsid w:val="008E2606"/>
    <w:rsid w:val="008E4529"/>
    <w:rsid w:val="008F4392"/>
    <w:rsid w:val="008F5C0F"/>
    <w:rsid w:val="008F77B5"/>
    <w:rsid w:val="009035DF"/>
    <w:rsid w:val="00905F59"/>
    <w:rsid w:val="00906AD7"/>
    <w:rsid w:val="00910142"/>
    <w:rsid w:val="00913447"/>
    <w:rsid w:val="0091385E"/>
    <w:rsid w:val="0091473E"/>
    <w:rsid w:val="00920999"/>
    <w:rsid w:val="00921302"/>
    <w:rsid w:val="00921348"/>
    <w:rsid w:val="009225F0"/>
    <w:rsid w:val="00925B88"/>
    <w:rsid w:val="009264FD"/>
    <w:rsid w:val="009275C0"/>
    <w:rsid w:val="00927E67"/>
    <w:rsid w:val="009325DC"/>
    <w:rsid w:val="00934D92"/>
    <w:rsid w:val="00934EE9"/>
    <w:rsid w:val="0094358D"/>
    <w:rsid w:val="00966DC3"/>
    <w:rsid w:val="00967136"/>
    <w:rsid w:val="00967667"/>
    <w:rsid w:val="00972386"/>
    <w:rsid w:val="00973006"/>
    <w:rsid w:val="009732F1"/>
    <w:rsid w:val="009746A8"/>
    <w:rsid w:val="00975182"/>
    <w:rsid w:val="00976D78"/>
    <w:rsid w:val="0097725F"/>
    <w:rsid w:val="00984A6F"/>
    <w:rsid w:val="00985F4C"/>
    <w:rsid w:val="00991596"/>
    <w:rsid w:val="00991E1B"/>
    <w:rsid w:val="0099303E"/>
    <w:rsid w:val="00993DB2"/>
    <w:rsid w:val="00994E78"/>
    <w:rsid w:val="009A0A75"/>
    <w:rsid w:val="009A441C"/>
    <w:rsid w:val="009B44EE"/>
    <w:rsid w:val="009B5E3F"/>
    <w:rsid w:val="009C0433"/>
    <w:rsid w:val="009C0A27"/>
    <w:rsid w:val="009C1ED1"/>
    <w:rsid w:val="009C34DC"/>
    <w:rsid w:val="009C4179"/>
    <w:rsid w:val="009C4406"/>
    <w:rsid w:val="009D1C67"/>
    <w:rsid w:val="009D1EF9"/>
    <w:rsid w:val="009D3416"/>
    <w:rsid w:val="009E15FC"/>
    <w:rsid w:val="009E4D53"/>
    <w:rsid w:val="009F3F84"/>
    <w:rsid w:val="009F680F"/>
    <w:rsid w:val="009F6CAB"/>
    <w:rsid w:val="009F78C7"/>
    <w:rsid w:val="00A01341"/>
    <w:rsid w:val="00A03457"/>
    <w:rsid w:val="00A05173"/>
    <w:rsid w:val="00A0630F"/>
    <w:rsid w:val="00A10F1C"/>
    <w:rsid w:val="00A1105A"/>
    <w:rsid w:val="00A1136A"/>
    <w:rsid w:val="00A204BE"/>
    <w:rsid w:val="00A21457"/>
    <w:rsid w:val="00A232FA"/>
    <w:rsid w:val="00A24286"/>
    <w:rsid w:val="00A31D90"/>
    <w:rsid w:val="00A32C47"/>
    <w:rsid w:val="00A34CA6"/>
    <w:rsid w:val="00A34D00"/>
    <w:rsid w:val="00A3531D"/>
    <w:rsid w:val="00A35C30"/>
    <w:rsid w:val="00A363D6"/>
    <w:rsid w:val="00A37DDA"/>
    <w:rsid w:val="00A46CD9"/>
    <w:rsid w:val="00A57609"/>
    <w:rsid w:val="00A608AE"/>
    <w:rsid w:val="00A70B0F"/>
    <w:rsid w:val="00A72BF3"/>
    <w:rsid w:val="00A74764"/>
    <w:rsid w:val="00A75442"/>
    <w:rsid w:val="00A80060"/>
    <w:rsid w:val="00A8006E"/>
    <w:rsid w:val="00A80BED"/>
    <w:rsid w:val="00A828E2"/>
    <w:rsid w:val="00A83218"/>
    <w:rsid w:val="00A9061E"/>
    <w:rsid w:val="00AA1D7C"/>
    <w:rsid w:val="00AA3704"/>
    <w:rsid w:val="00AA48CE"/>
    <w:rsid w:val="00AA522C"/>
    <w:rsid w:val="00AB0FB1"/>
    <w:rsid w:val="00AB4C94"/>
    <w:rsid w:val="00AC16D9"/>
    <w:rsid w:val="00AC51A9"/>
    <w:rsid w:val="00AC5FDF"/>
    <w:rsid w:val="00AC73D1"/>
    <w:rsid w:val="00AC7F91"/>
    <w:rsid w:val="00AD18DA"/>
    <w:rsid w:val="00AD3A3A"/>
    <w:rsid w:val="00AD3ACB"/>
    <w:rsid w:val="00AD7334"/>
    <w:rsid w:val="00AE1658"/>
    <w:rsid w:val="00AE1FBD"/>
    <w:rsid w:val="00AE391F"/>
    <w:rsid w:val="00AE3EC4"/>
    <w:rsid w:val="00AE413C"/>
    <w:rsid w:val="00AE7264"/>
    <w:rsid w:val="00AF0BCD"/>
    <w:rsid w:val="00AF0C00"/>
    <w:rsid w:val="00AF2284"/>
    <w:rsid w:val="00AF75AC"/>
    <w:rsid w:val="00B00041"/>
    <w:rsid w:val="00B03743"/>
    <w:rsid w:val="00B041F1"/>
    <w:rsid w:val="00B1159D"/>
    <w:rsid w:val="00B116D4"/>
    <w:rsid w:val="00B13249"/>
    <w:rsid w:val="00B1342A"/>
    <w:rsid w:val="00B16348"/>
    <w:rsid w:val="00B16DB4"/>
    <w:rsid w:val="00B217A5"/>
    <w:rsid w:val="00B22C24"/>
    <w:rsid w:val="00B271C6"/>
    <w:rsid w:val="00B31F4D"/>
    <w:rsid w:val="00B33291"/>
    <w:rsid w:val="00B33AF8"/>
    <w:rsid w:val="00B34544"/>
    <w:rsid w:val="00B37075"/>
    <w:rsid w:val="00B425CB"/>
    <w:rsid w:val="00B43049"/>
    <w:rsid w:val="00B433AE"/>
    <w:rsid w:val="00B5094A"/>
    <w:rsid w:val="00B5527A"/>
    <w:rsid w:val="00B55A66"/>
    <w:rsid w:val="00B566D4"/>
    <w:rsid w:val="00B57DA5"/>
    <w:rsid w:val="00B618F3"/>
    <w:rsid w:val="00B642E2"/>
    <w:rsid w:val="00B6552D"/>
    <w:rsid w:val="00B712E7"/>
    <w:rsid w:val="00B71914"/>
    <w:rsid w:val="00B81F74"/>
    <w:rsid w:val="00B83CFD"/>
    <w:rsid w:val="00B90E2B"/>
    <w:rsid w:val="00B936C9"/>
    <w:rsid w:val="00B94E1E"/>
    <w:rsid w:val="00B95D0E"/>
    <w:rsid w:val="00B968E4"/>
    <w:rsid w:val="00B97F57"/>
    <w:rsid w:val="00BA2DB9"/>
    <w:rsid w:val="00BA42BD"/>
    <w:rsid w:val="00BB26EE"/>
    <w:rsid w:val="00BC1556"/>
    <w:rsid w:val="00BC2714"/>
    <w:rsid w:val="00BC394F"/>
    <w:rsid w:val="00BC7D7B"/>
    <w:rsid w:val="00BD1FB3"/>
    <w:rsid w:val="00BD2776"/>
    <w:rsid w:val="00BD6AF0"/>
    <w:rsid w:val="00BE09A6"/>
    <w:rsid w:val="00BE7148"/>
    <w:rsid w:val="00BE76F9"/>
    <w:rsid w:val="00BF322D"/>
    <w:rsid w:val="00BF3FD8"/>
    <w:rsid w:val="00BF4012"/>
    <w:rsid w:val="00BF4CF5"/>
    <w:rsid w:val="00BF5DF0"/>
    <w:rsid w:val="00BF6FF4"/>
    <w:rsid w:val="00C0063F"/>
    <w:rsid w:val="00C017B9"/>
    <w:rsid w:val="00C0759F"/>
    <w:rsid w:val="00C1235A"/>
    <w:rsid w:val="00C1338F"/>
    <w:rsid w:val="00C139A2"/>
    <w:rsid w:val="00C13D9A"/>
    <w:rsid w:val="00C1552F"/>
    <w:rsid w:val="00C25792"/>
    <w:rsid w:val="00C27374"/>
    <w:rsid w:val="00C307C3"/>
    <w:rsid w:val="00C34267"/>
    <w:rsid w:val="00C41FC6"/>
    <w:rsid w:val="00C45EC1"/>
    <w:rsid w:val="00C4610E"/>
    <w:rsid w:val="00C51B40"/>
    <w:rsid w:val="00C55474"/>
    <w:rsid w:val="00C56D2C"/>
    <w:rsid w:val="00C575E0"/>
    <w:rsid w:val="00C60ABF"/>
    <w:rsid w:val="00C662BB"/>
    <w:rsid w:val="00C67053"/>
    <w:rsid w:val="00C7114E"/>
    <w:rsid w:val="00C724B8"/>
    <w:rsid w:val="00C74733"/>
    <w:rsid w:val="00C74B54"/>
    <w:rsid w:val="00C77434"/>
    <w:rsid w:val="00C803E7"/>
    <w:rsid w:val="00C80534"/>
    <w:rsid w:val="00C8075E"/>
    <w:rsid w:val="00C86098"/>
    <w:rsid w:val="00C87532"/>
    <w:rsid w:val="00C8760D"/>
    <w:rsid w:val="00C87B71"/>
    <w:rsid w:val="00C90864"/>
    <w:rsid w:val="00C91D70"/>
    <w:rsid w:val="00C92106"/>
    <w:rsid w:val="00C967CD"/>
    <w:rsid w:val="00C96E34"/>
    <w:rsid w:val="00CA1A33"/>
    <w:rsid w:val="00CA2EFB"/>
    <w:rsid w:val="00CA4856"/>
    <w:rsid w:val="00CA528D"/>
    <w:rsid w:val="00CB51B9"/>
    <w:rsid w:val="00CB617E"/>
    <w:rsid w:val="00CB7931"/>
    <w:rsid w:val="00CC10E1"/>
    <w:rsid w:val="00CC3FC7"/>
    <w:rsid w:val="00CD05CD"/>
    <w:rsid w:val="00CD1A59"/>
    <w:rsid w:val="00CD274E"/>
    <w:rsid w:val="00CD358B"/>
    <w:rsid w:val="00CD5D14"/>
    <w:rsid w:val="00CD6A3E"/>
    <w:rsid w:val="00CE2059"/>
    <w:rsid w:val="00CE3CC6"/>
    <w:rsid w:val="00CE7E64"/>
    <w:rsid w:val="00CF22AA"/>
    <w:rsid w:val="00CF3862"/>
    <w:rsid w:val="00CF3EC5"/>
    <w:rsid w:val="00CF4817"/>
    <w:rsid w:val="00CF5897"/>
    <w:rsid w:val="00D02B66"/>
    <w:rsid w:val="00D05A96"/>
    <w:rsid w:val="00D0611A"/>
    <w:rsid w:val="00D111AD"/>
    <w:rsid w:val="00D20E97"/>
    <w:rsid w:val="00D22CE4"/>
    <w:rsid w:val="00D250BE"/>
    <w:rsid w:val="00D25FAE"/>
    <w:rsid w:val="00D30814"/>
    <w:rsid w:val="00D31C28"/>
    <w:rsid w:val="00D35714"/>
    <w:rsid w:val="00D36842"/>
    <w:rsid w:val="00D43A42"/>
    <w:rsid w:val="00D44D5D"/>
    <w:rsid w:val="00D47BB1"/>
    <w:rsid w:val="00D51619"/>
    <w:rsid w:val="00D53141"/>
    <w:rsid w:val="00D54A12"/>
    <w:rsid w:val="00D64305"/>
    <w:rsid w:val="00D6556F"/>
    <w:rsid w:val="00D665F4"/>
    <w:rsid w:val="00D66D79"/>
    <w:rsid w:val="00D74E7B"/>
    <w:rsid w:val="00D75D04"/>
    <w:rsid w:val="00D76B1A"/>
    <w:rsid w:val="00D80057"/>
    <w:rsid w:val="00D80DFC"/>
    <w:rsid w:val="00D8163E"/>
    <w:rsid w:val="00D827E9"/>
    <w:rsid w:val="00D90E8E"/>
    <w:rsid w:val="00D91FBC"/>
    <w:rsid w:val="00DA067B"/>
    <w:rsid w:val="00DA2161"/>
    <w:rsid w:val="00DA276A"/>
    <w:rsid w:val="00DA7517"/>
    <w:rsid w:val="00DB0765"/>
    <w:rsid w:val="00DB60DF"/>
    <w:rsid w:val="00DB67D5"/>
    <w:rsid w:val="00DC0288"/>
    <w:rsid w:val="00DC2C9A"/>
    <w:rsid w:val="00DC514E"/>
    <w:rsid w:val="00DC7D5D"/>
    <w:rsid w:val="00DD04E7"/>
    <w:rsid w:val="00DD1B43"/>
    <w:rsid w:val="00DD77CC"/>
    <w:rsid w:val="00DD7931"/>
    <w:rsid w:val="00DE0CB5"/>
    <w:rsid w:val="00DE14BF"/>
    <w:rsid w:val="00DE27F2"/>
    <w:rsid w:val="00DE49E0"/>
    <w:rsid w:val="00DF0556"/>
    <w:rsid w:val="00DF280D"/>
    <w:rsid w:val="00DF6B70"/>
    <w:rsid w:val="00DF6F59"/>
    <w:rsid w:val="00E0036A"/>
    <w:rsid w:val="00E015A8"/>
    <w:rsid w:val="00E03C54"/>
    <w:rsid w:val="00E04641"/>
    <w:rsid w:val="00E04C29"/>
    <w:rsid w:val="00E058A4"/>
    <w:rsid w:val="00E074C5"/>
    <w:rsid w:val="00E105CF"/>
    <w:rsid w:val="00E1148F"/>
    <w:rsid w:val="00E13057"/>
    <w:rsid w:val="00E13821"/>
    <w:rsid w:val="00E13EB5"/>
    <w:rsid w:val="00E17875"/>
    <w:rsid w:val="00E246EC"/>
    <w:rsid w:val="00E248E8"/>
    <w:rsid w:val="00E31CE2"/>
    <w:rsid w:val="00E31E62"/>
    <w:rsid w:val="00E32D8D"/>
    <w:rsid w:val="00E33CD5"/>
    <w:rsid w:val="00E3435D"/>
    <w:rsid w:val="00E3457F"/>
    <w:rsid w:val="00E37A38"/>
    <w:rsid w:val="00E401F9"/>
    <w:rsid w:val="00E40573"/>
    <w:rsid w:val="00E4143A"/>
    <w:rsid w:val="00E4630A"/>
    <w:rsid w:val="00E50FC1"/>
    <w:rsid w:val="00E543F0"/>
    <w:rsid w:val="00E56852"/>
    <w:rsid w:val="00E61C2F"/>
    <w:rsid w:val="00E63006"/>
    <w:rsid w:val="00E63922"/>
    <w:rsid w:val="00E64D7D"/>
    <w:rsid w:val="00E66F33"/>
    <w:rsid w:val="00E71295"/>
    <w:rsid w:val="00E71E65"/>
    <w:rsid w:val="00E72EE1"/>
    <w:rsid w:val="00E75BBC"/>
    <w:rsid w:val="00E80437"/>
    <w:rsid w:val="00E812FE"/>
    <w:rsid w:val="00E823A4"/>
    <w:rsid w:val="00E83804"/>
    <w:rsid w:val="00E85F70"/>
    <w:rsid w:val="00E86A6E"/>
    <w:rsid w:val="00E87721"/>
    <w:rsid w:val="00E91CFA"/>
    <w:rsid w:val="00E93466"/>
    <w:rsid w:val="00EA06F5"/>
    <w:rsid w:val="00EA3600"/>
    <w:rsid w:val="00EA40A0"/>
    <w:rsid w:val="00EA411A"/>
    <w:rsid w:val="00EA4967"/>
    <w:rsid w:val="00EA76B5"/>
    <w:rsid w:val="00EB0BEC"/>
    <w:rsid w:val="00EB1279"/>
    <w:rsid w:val="00EB1BAD"/>
    <w:rsid w:val="00EB23ED"/>
    <w:rsid w:val="00EB43BB"/>
    <w:rsid w:val="00EB7AEA"/>
    <w:rsid w:val="00EB7B87"/>
    <w:rsid w:val="00EC0C12"/>
    <w:rsid w:val="00EC13AF"/>
    <w:rsid w:val="00EC1454"/>
    <w:rsid w:val="00EC5E2E"/>
    <w:rsid w:val="00EC7277"/>
    <w:rsid w:val="00ED0826"/>
    <w:rsid w:val="00ED7B54"/>
    <w:rsid w:val="00EE02BE"/>
    <w:rsid w:val="00EE4B3D"/>
    <w:rsid w:val="00EE661C"/>
    <w:rsid w:val="00EE7309"/>
    <w:rsid w:val="00EF0C43"/>
    <w:rsid w:val="00EF2F54"/>
    <w:rsid w:val="00EF3417"/>
    <w:rsid w:val="00EF6BF8"/>
    <w:rsid w:val="00EF7DD9"/>
    <w:rsid w:val="00F01076"/>
    <w:rsid w:val="00F058F3"/>
    <w:rsid w:val="00F0685F"/>
    <w:rsid w:val="00F07D46"/>
    <w:rsid w:val="00F141FA"/>
    <w:rsid w:val="00F14237"/>
    <w:rsid w:val="00F15C6D"/>
    <w:rsid w:val="00F20015"/>
    <w:rsid w:val="00F24B12"/>
    <w:rsid w:val="00F31CA6"/>
    <w:rsid w:val="00F31FCE"/>
    <w:rsid w:val="00F372BD"/>
    <w:rsid w:val="00F40281"/>
    <w:rsid w:val="00F416DD"/>
    <w:rsid w:val="00F435C0"/>
    <w:rsid w:val="00F471FB"/>
    <w:rsid w:val="00F47AC4"/>
    <w:rsid w:val="00F53656"/>
    <w:rsid w:val="00F62006"/>
    <w:rsid w:val="00F64F61"/>
    <w:rsid w:val="00F66F8F"/>
    <w:rsid w:val="00F700EC"/>
    <w:rsid w:val="00F70C1E"/>
    <w:rsid w:val="00F743C7"/>
    <w:rsid w:val="00F74E38"/>
    <w:rsid w:val="00F76609"/>
    <w:rsid w:val="00F76D51"/>
    <w:rsid w:val="00F80E69"/>
    <w:rsid w:val="00F8359E"/>
    <w:rsid w:val="00F83ABA"/>
    <w:rsid w:val="00F854F6"/>
    <w:rsid w:val="00F855CB"/>
    <w:rsid w:val="00F934EC"/>
    <w:rsid w:val="00F9501C"/>
    <w:rsid w:val="00F9624D"/>
    <w:rsid w:val="00FA2053"/>
    <w:rsid w:val="00FA21A2"/>
    <w:rsid w:val="00FA6950"/>
    <w:rsid w:val="00FA750A"/>
    <w:rsid w:val="00FB23A3"/>
    <w:rsid w:val="00FB36E6"/>
    <w:rsid w:val="00FB6BBF"/>
    <w:rsid w:val="00FB7B49"/>
    <w:rsid w:val="00FC16BE"/>
    <w:rsid w:val="00FC2340"/>
    <w:rsid w:val="00FC502D"/>
    <w:rsid w:val="00FC5C3A"/>
    <w:rsid w:val="00FC6298"/>
    <w:rsid w:val="00FD0653"/>
    <w:rsid w:val="00FE388B"/>
    <w:rsid w:val="00FE58B1"/>
    <w:rsid w:val="00FE690E"/>
    <w:rsid w:val="00FF0017"/>
    <w:rsid w:val="00FF09B0"/>
    <w:rsid w:val="00FF1613"/>
    <w:rsid w:val="00FF1878"/>
    <w:rsid w:val="00FF3E4A"/>
    <w:rsid w:val="00FF5507"/>
    <w:rsid w:val="00FF5AAB"/>
    <w:rsid w:val="00FF6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List Paragraph1,List Paragraph11,Recommendation"/>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5A1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BDE"/>
    <w:rPr>
      <w:rFonts w:ascii="Arial" w:hAnsi="Arial"/>
    </w:rPr>
  </w:style>
  <w:style w:type="paragraph" w:styleId="Footer">
    <w:name w:val="footer"/>
    <w:basedOn w:val="Normal"/>
    <w:link w:val="FooterChar"/>
    <w:uiPriority w:val="99"/>
    <w:unhideWhenUsed/>
    <w:rsid w:val="005A1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DE"/>
    <w:rPr>
      <w:rFonts w:ascii="Arial" w:hAnsi="Arial"/>
    </w:rPr>
  </w:style>
  <w:style w:type="paragraph" w:styleId="BalloonText">
    <w:name w:val="Balloon Text"/>
    <w:basedOn w:val="Normal"/>
    <w:link w:val="BalloonTextChar"/>
    <w:uiPriority w:val="99"/>
    <w:semiHidden/>
    <w:unhideWhenUsed/>
    <w:rsid w:val="007C1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43"/>
    <w:rPr>
      <w:rFonts w:ascii="Tahoma" w:hAnsi="Tahoma" w:cs="Tahoma"/>
      <w:sz w:val="16"/>
      <w:szCs w:val="16"/>
    </w:rPr>
  </w:style>
  <w:style w:type="character" w:styleId="CommentReference">
    <w:name w:val="annotation reference"/>
    <w:basedOn w:val="DefaultParagraphFont"/>
    <w:uiPriority w:val="99"/>
    <w:semiHidden/>
    <w:unhideWhenUsed/>
    <w:rsid w:val="00000D9B"/>
    <w:rPr>
      <w:sz w:val="16"/>
      <w:szCs w:val="16"/>
    </w:rPr>
  </w:style>
  <w:style w:type="paragraph" w:styleId="CommentText">
    <w:name w:val="annotation text"/>
    <w:basedOn w:val="Normal"/>
    <w:link w:val="CommentTextChar"/>
    <w:uiPriority w:val="99"/>
    <w:unhideWhenUsed/>
    <w:rsid w:val="00000D9B"/>
    <w:pPr>
      <w:spacing w:line="240" w:lineRule="auto"/>
    </w:pPr>
    <w:rPr>
      <w:sz w:val="20"/>
      <w:szCs w:val="20"/>
    </w:rPr>
  </w:style>
  <w:style w:type="character" w:customStyle="1" w:styleId="CommentTextChar">
    <w:name w:val="Comment Text Char"/>
    <w:basedOn w:val="DefaultParagraphFont"/>
    <w:link w:val="CommentText"/>
    <w:uiPriority w:val="99"/>
    <w:rsid w:val="00000D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0D9B"/>
    <w:rPr>
      <w:b/>
      <w:bCs/>
    </w:rPr>
  </w:style>
  <w:style w:type="character" w:customStyle="1" w:styleId="CommentSubjectChar">
    <w:name w:val="Comment Subject Char"/>
    <w:basedOn w:val="CommentTextChar"/>
    <w:link w:val="CommentSubject"/>
    <w:uiPriority w:val="99"/>
    <w:semiHidden/>
    <w:rsid w:val="00000D9B"/>
    <w:rPr>
      <w:rFonts w:ascii="Arial" w:hAnsi="Arial"/>
      <w:b/>
      <w:bCs/>
      <w:sz w:val="20"/>
      <w:szCs w:val="20"/>
    </w:rPr>
  </w:style>
  <w:style w:type="paragraph" w:customStyle="1" w:styleId="AnthonyHeaderLn3">
    <w:name w:val="Anthony Header Ln 3"/>
    <w:basedOn w:val="Normal"/>
    <w:rsid w:val="00B5527A"/>
    <w:pPr>
      <w:spacing w:after="0" w:line="240" w:lineRule="auto"/>
      <w:jc w:val="center"/>
    </w:pPr>
    <w:rPr>
      <w:rFonts w:eastAsia="Times New Roman" w:cs="Arial"/>
      <w:b/>
      <w:bCs/>
      <w:noProof/>
      <w:sz w:val="24"/>
      <w:szCs w:val="24"/>
    </w:rPr>
  </w:style>
  <w:style w:type="paragraph" w:customStyle="1" w:styleId="NumberLevel1">
    <w:name w:val="Number Level 1"/>
    <w:basedOn w:val="Normal"/>
    <w:rsid w:val="00B5527A"/>
    <w:pPr>
      <w:tabs>
        <w:tab w:val="num" w:pos="0"/>
      </w:tabs>
      <w:spacing w:before="140" w:after="140" w:line="280" w:lineRule="atLeast"/>
      <w:ind w:hanging="709"/>
    </w:pPr>
    <w:rPr>
      <w:rFonts w:eastAsia="Times New Roman" w:cs="Arial"/>
      <w:lang w:eastAsia="en-AU"/>
    </w:rPr>
  </w:style>
  <w:style w:type="character" w:styleId="EndnoteReference">
    <w:name w:val="endnote reference"/>
    <w:rsid w:val="00B5527A"/>
    <w:rPr>
      <w:rFonts w:ascii="Arial" w:hAnsi="Arial" w:cs="Times New Roman"/>
      <w:sz w:val="20"/>
      <w:vertAlign w:val="superscript"/>
    </w:rPr>
  </w:style>
  <w:style w:type="paragraph" w:styleId="EndnoteText">
    <w:name w:val="endnote text"/>
    <w:basedOn w:val="Normal"/>
    <w:link w:val="EndnoteTextChar"/>
    <w:uiPriority w:val="99"/>
    <w:rsid w:val="00B5527A"/>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99"/>
    <w:rsid w:val="00B5527A"/>
    <w:rPr>
      <w:rFonts w:ascii="Times New Roman" w:eastAsia="Times New Roman" w:hAnsi="Times New Roman" w:cs="Times New Roman"/>
      <w:sz w:val="20"/>
      <w:szCs w:val="20"/>
      <w:lang w:eastAsia="en-AU"/>
    </w:rPr>
  </w:style>
  <w:style w:type="paragraph" w:customStyle="1" w:styleId="RISAttachments-Normal">
    <w:name w:val="RIS Attachments - Normal"/>
    <w:basedOn w:val="Normal"/>
    <w:link w:val="RISAttachments-NormalChar"/>
    <w:rsid w:val="00B5527A"/>
    <w:pPr>
      <w:spacing w:before="180" w:after="240" w:line="240" w:lineRule="auto"/>
    </w:pPr>
    <w:rPr>
      <w:rFonts w:eastAsia="Malgun Gothic" w:cs="Arial"/>
    </w:rPr>
  </w:style>
  <w:style w:type="character" w:customStyle="1" w:styleId="RISAttachments-NormalChar">
    <w:name w:val="RIS Attachments - Normal Char"/>
    <w:link w:val="RISAttachments-Normal"/>
    <w:locked/>
    <w:rsid w:val="00B5527A"/>
    <w:rPr>
      <w:rFonts w:ascii="Arial" w:eastAsia="Malgun Gothic" w:hAnsi="Arial" w:cs="Arial"/>
    </w:rPr>
  </w:style>
  <w:style w:type="character" w:styleId="Hyperlink">
    <w:name w:val="Hyperlink"/>
    <w:basedOn w:val="DefaultParagraphFont"/>
    <w:uiPriority w:val="99"/>
    <w:unhideWhenUsed/>
    <w:rsid w:val="00360123"/>
    <w:rPr>
      <w:color w:val="0000FF" w:themeColor="hyperlink"/>
      <w:u w:val="single"/>
    </w:rPr>
  </w:style>
  <w:style w:type="paragraph" w:styleId="Revision">
    <w:name w:val="Revision"/>
    <w:hidden/>
    <w:uiPriority w:val="99"/>
    <w:semiHidden/>
    <w:rsid w:val="00106F31"/>
    <w:pPr>
      <w:spacing w:after="0" w:line="240" w:lineRule="auto"/>
    </w:pPr>
    <w:rPr>
      <w:rFonts w:ascii="Arial" w:hAnsi="Arial"/>
    </w:rPr>
  </w:style>
  <w:style w:type="character" w:customStyle="1" w:styleId="ListParagraphChar">
    <w:name w:val="List Paragraph Char"/>
    <w:aliases w:val="L Char,List Paragraph1 Char,List Paragraph11 Char,Recommendation Char"/>
    <w:basedOn w:val="DefaultParagraphFont"/>
    <w:link w:val="ListParagraph"/>
    <w:uiPriority w:val="34"/>
    <w:locked/>
    <w:rsid w:val="00C1552F"/>
    <w:rPr>
      <w:rFonts w:ascii="Arial" w:hAnsi="Arial"/>
    </w:rPr>
  </w:style>
  <w:style w:type="paragraph" w:customStyle="1" w:styleId="tabletext">
    <w:name w:val="tabletext"/>
    <w:basedOn w:val="Normal"/>
    <w:rsid w:val="00C1552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nhideWhenUsed/>
    <w:rsid w:val="004A3DE5"/>
    <w:pPr>
      <w:spacing w:after="0" w:line="240" w:lineRule="auto"/>
    </w:pPr>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rsid w:val="004A3DE5"/>
    <w:rPr>
      <w:rFonts w:ascii="Arial" w:eastAsia="Times New Roman" w:hAnsi="Arial" w:cs="Times New Roman"/>
      <w:sz w:val="20"/>
      <w:szCs w:val="20"/>
    </w:rPr>
  </w:style>
  <w:style w:type="character" w:styleId="FootnoteReference">
    <w:name w:val="footnote reference"/>
    <w:aliases w:val="AFPC Footnote Reference"/>
    <w:basedOn w:val="DefaultParagraphFont"/>
    <w:unhideWhenUsed/>
    <w:rsid w:val="004A3DE5"/>
    <w:rPr>
      <w:vertAlign w:val="superscript"/>
    </w:rPr>
  </w:style>
  <w:style w:type="paragraph" w:customStyle="1" w:styleId="Sub-parax">
    <w:name w:val="Sub-para (x)"/>
    <w:basedOn w:val="Normal"/>
    <w:uiPriority w:val="99"/>
    <w:rsid w:val="00B00041"/>
    <w:pPr>
      <w:numPr>
        <w:numId w:val="27"/>
      </w:numPr>
      <w:spacing w:after="0" w:line="260" w:lineRule="atLeast"/>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List Paragraph1,List Paragraph11,Recommendation"/>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5A1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BDE"/>
    <w:rPr>
      <w:rFonts w:ascii="Arial" w:hAnsi="Arial"/>
    </w:rPr>
  </w:style>
  <w:style w:type="paragraph" w:styleId="Footer">
    <w:name w:val="footer"/>
    <w:basedOn w:val="Normal"/>
    <w:link w:val="FooterChar"/>
    <w:uiPriority w:val="99"/>
    <w:unhideWhenUsed/>
    <w:rsid w:val="005A1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DE"/>
    <w:rPr>
      <w:rFonts w:ascii="Arial" w:hAnsi="Arial"/>
    </w:rPr>
  </w:style>
  <w:style w:type="paragraph" w:styleId="BalloonText">
    <w:name w:val="Balloon Text"/>
    <w:basedOn w:val="Normal"/>
    <w:link w:val="BalloonTextChar"/>
    <w:uiPriority w:val="99"/>
    <w:semiHidden/>
    <w:unhideWhenUsed/>
    <w:rsid w:val="007C1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43"/>
    <w:rPr>
      <w:rFonts w:ascii="Tahoma" w:hAnsi="Tahoma" w:cs="Tahoma"/>
      <w:sz w:val="16"/>
      <w:szCs w:val="16"/>
    </w:rPr>
  </w:style>
  <w:style w:type="character" w:styleId="CommentReference">
    <w:name w:val="annotation reference"/>
    <w:basedOn w:val="DefaultParagraphFont"/>
    <w:uiPriority w:val="99"/>
    <w:semiHidden/>
    <w:unhideWhenUsed/>
    <w:rsid w:val="00000D9B"/>
    <w:rPr>
      <w:sz w:val="16"/>
      <w:szCs w:val="16"/>
    </w:rPr>
  </w:style>
  <w:style w:type="paragraph" w:styleId="CommentText">
    <w:name w:val="annotation text"/>
    <w:basedOn w:val="Normal"/>
    <w:link w:val="CommentTextChar"/>
    <w:uiPriority w:val="99"/>
    <w:unhideWhenUsed/>
    <w:rsid w:val="00000D9B"/>
    <w:pPr>
      <w:spacing w:line="240" w:lineRule="auto"/>
    </w:pPr>
    <w:rPr>
      <w:sz w:val="20"/>
      <w:szCs w:val="20"/>
    </w:rPr>
  </w:style>
  <w:style w:type="character" w:customStyle="1" w:styleId="CommentTextChar">
    <w:name w:val="Comment Text Char"/>
    <w:basedOn w:val="DefaultParagraphFont"/>
    <w:link w:val="CommentText"/>
    <w:uiPriority w:val="99"/>
    <w:rsid w:val="00000D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0D9B"/>
    <w:rPr>
      <w:b/>
      <w:bCs/>
    </w:rPr>
  </w:style>
  <w:style w:type="character" w:customStyle="1" w:styleId="CommentSubjectChar">
    <w:name w:val="Comment Subject Char"/>
    <w:basedOn w:val="CommentTextChar"/>
    <w:link w:val="CommentSubject"/>
    <w:uiPriority w:val="99"/>
    <w:semiHidden/>
    <w:rsid w:val="00000D9B"/>
    <w:rPr>
      <w:rFonts w:ascii="Arial" w:hAnsi="Arial"/>
      <w:b/>
      <w:bCs/>
      <w:sz w:val="20"/>
      <w:szCs w:val="20"/>
    </w:rPr>
  </w:style>
  <w:style w:type="paragraph" w:customStyle="1" w:styleId="AnthonyHeaderLn3">
    <w:name w:val="Anthony Header Ln 3"/>
    <w:basedOn w:val="Normal"/>
    <w:rsid w:val="00B5527A"/>
    <w:pPr>
      <w:spacing w:after="0" w:line="240" w:lineRule="auto"/>
      <w:jc w:val="center"/>
    </w:pPr>
    <w:rPr>
      <w:rFonts w:eastAsia="Times New Roman" w:cs="Arial"/>
      <w:b/>
      <w:bCs/>
      <w:noProof/>
      <w:sz w:val="24"/>
      <w:szCs w:val="24"/>
    </w:rPr>
  </w:style>
  <w:style w:type="paragraph" w:customStyle="1" w:styleId="NumberLevel1">
    <w:name w:val="Number Level 1"/>
    <w:basedOn w:val="Normal"/>
    <w:rsid w:val="00B5527A"/>
    <w:pPr>
      <w:tabs>
        <w:tab w:val="num" w:pos="0"/>
      </w:tabs>
      <w:spacing w:before="140" w:after="140" w:line="280" w:lineRule="atLeast"/>
      <w:ind w:hanging="709"/>
    </w:pPr>
    <w:rPr>
      <w:rFonts w:eastAsia="Times New Roman" w:cs="Arial"/>
      <w:lang w:eastAsia="en-AU"/>
    </w:rPr>
  </w:style>
  <w:style w:type="character" w:styleId="EndnoteReference">
    <w:name w:val="endnote reference"/>
    <w:rsid w:val="00B5527A"/>
    <w:rPr>
      <w:rFonts w:ascii="Arial" w:hAnsi="Arial" w:cs="Times New Roman"/>
      <w:sz w:val="20"/>
      <w:vertAlign w:val="superscript"/>
    </w:rPr>
  </w:style>
  <w:style w:type="paragraph" w:styleId="EndnoteText">
    <w:name w:val="endnote text"/>
    <w:basedOn w:val="Normal"/>
    <w:link w:val="EndnoteTextChar"/>
    <w:uiPriority w:val="99"/>
    <w:rsid w:val="00B5527A"/>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99"/>
    <w:rsid w:val="00B5527A"/>
    <w:rPr>
      <w:rFonts w:ascii="Times New Roman" w:eastAsia="Times New Roman" w:hAnsi="Times New Roman" w:cs="Times New Roman"/>
      <w:sz w:val="20"/>
      <w:szCs w:val="20"/>
      <w:lang w:eastAsia="en-AU"/>
    </w:rPr>
  </w:style>
  <w:style w:type="paragraph" w:customStyle="1" w:styleId="RISAttachments-Normal">
    <w:name w:val="RIS Attachments - Normal"/>
    <w:basedOn w:val="Normal"/>
    <w:link w:val="RISAttachments-NormalChar"/>
    <w:rsid w:val="00B5527A"/>
    <w:pPr>
      <w:spacing w:before="180" w:after="240" w:line="240" w:lineRule="auto"/>
    </w:pPr>
    <w:rPr>
      <w:rFonts w:eastAsia="Malgun Gothic" w:cs="Arial"/>
    </w:rPr>
  </w:style>
  <w:style w:type="character" w:customStyle="1" w:styleId="RISAttachments-NormalChar">
    <w:name w:val="RIS Attachments - Normal Char"/>
    <w:link w:val="RISAttachments-Normal"/>
    <w:locked/>
    <w:rsid w:val="00B5527A"/>
    <w:rPr>
      <w:rFonts w:ascii="Arial" w:eastAsia="Malgun Gothic" w:hAnsi="Arial" w:cs="Arial"/>
    </w:rPr>
  </w:style>
  <w:style w:type="character" w:styleId="Hyperlink">
    <w:name w:val="Hyperlink"/>
    <w:basedOn w:val="DefaultParagraphFont"/>
    <w:uiPriority w:val="99"/>
    <w:unhideWhenUsed/>
    <w:rsid w:val="00360123"/>
    <w:rPr>
      <w:color w:val="0000FF" w:themeColor="hyperlink"/>
      <w:u w:val="single"/>
    </w:rPr>
  </w:style>
  <w:style w:type="paragraph" w:styleId="Revision">
    <w:name w:val="Revision"/>
    <w:hidden/>
    <w:uiPriority w:val="99"/>
    <w:semiHidden/>
    <w:rsid w:val="00106F31"/>
    <w:pPr>
      <w:spacing w:after="0" w:line="240" w:lineRule="auto"/>
    </w:pPr>
    <w:rPr>
      <w:rFonts w:ascii="Arial" w:hAnsi="Arial"/>
    </w:rPr>
  </w:style>
  <w:style w:type="character" w:customStyle="1" w:styleId="ListParagraphChar">
    <w:name w:val="List Paragraph Char"/>
    <w:aliases w:val="L Char,List Paragraph1 Char,List Paragraph11 Char,Recommendation Char"/>
    <w:basedOn w:val="DefaultParagraphFont"/>
    <w:link w:val="ListParagraph"/>
    <w:uiPriority w:val="34"/>
    <w:locked/>
    <w:rsid w:val="00C1552F"/>
    <w:rPr>
      <w:rFonts w:ascii="Arial" w:hAnsi="Arial"/>
    </w:rPr>
  </w:style>
  <w:style w:type="paragraph" w:customStyle="1" w:styleId="tabletext">
    <w:name w:val="tabletext"/>
    <w:basedOn w:val="Normal"/>
    <w:rsid w:val="00C1552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nhideWhenUsed/>
    <w:rsid w:val="004A3DE5"/>
    <w:pPr>
      <w:spacing w:after="0" w:line="240" w:lineRule="auto"/>
    </w:pPr>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rsid w:val="004A3DE5"/>
    <w:rPr>
      <w:rFonts w:ascii="Arial" w:eastAsia="Times New Roman" w:hAnsi="Arial" w:cs="Times New Roman"/>
      <w:sz w:val="20"/>
      <w:szCs w:val="20"/>
    </w:rPr>
  </w:style>
  <w:style w:type="character" w:styleId="FootnoteReference">
    <w:name w:val="footnote reference"/>
    <w:aliases w:val="AFPC Footnote Reference"/>
    <w:basedOn w:val="DefaultParagraphFont"/>
    <w:unhideWhenUsed/>
    <w:rsid w:val="004A3DE5"/>
    <w:rPr>
      <w:vertAlign w:val="superscript"/>
    </w:rPr>
  </w:style>
  <w:style w:type="paragraph" w:customStyle="1" w:styleId="Sub-parax">
    <w:name w:val="Sub-para (x)"/>
    <w:basedOn w:val="Normal"/>
    <w:uiPriority w:val="99"/>
    <w:rsid w:val="00B00041"/>
    <w:pPr>
      <w:numPr>
        <w:numId w:val="27"/>
      </w:numPr>
      <w:spacing w:after="0" w:line="260" w:lineRule="atLeas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50614">
      <w:bodyDiv w:val="1"/>
      <w:marLeft w:val="0"/>
      <w:marRight w:val="0"/>
      <w:marTop w:val="0"/>
      <w:marBottom w:val="0"/>
      <w:divBdr>
        <w:top w:val="none" w:sz="0" w:space="0" w:color="auto"/>
        <w:left w:val="none" w:sz="0" w:space="0" w:color="auto"/>
        <w:bottom w:val="none" w:sz="0" w:space="0" w:color="auto"/>
        <w:right w:val="none" w:sz="0" w:space="0" w:color="auto"/>
      </w:divBdr>
      <w:divsChild>
        <w:div w:id="1328435676">
          <w:marLeft w:val="0"/>
          <w:marRight w:val="0"/>
          <w:marTop w:val="0"/>
          <w:marBottom w:val="0"/>
          <w:divBdr>
            <w:top w:val="none" w:sz="0" w:space="0" w:color="auto"/>
            <w:left w:val="none" w:sz="0" w:space="0" w:color="auto"/>
            <w:bottom w:val="none" w:sz="0" w:space="0" w:color="auto"/>
            <w:right w:val="none" w:sz="0" w:space="0" w:color="auto"/>
          </w:divBdr>
          <w:divsChild>
            <w:div w:id="1695351603">
              <w:marLeft w:val="0"/>
              <w:marRight w:val="0"/>
              <w:marTop w:val="0"/>
              <w:marBottom w:val="0"/>
              <w:divBdr>
                <w:top w:val="none" w:sz="0" w:space="0" w:color="auto"/>
                <w:left w:val="none" w:sz="0" w:space="0" w:color="auto"/>
                <w:bottom w:val="none" w:sz="0" w:space="0" w:color="auto"/>
                <w:right w:val="none" w:sz="0" w:space="0" w:color="auto"/>
              </w:divBdr>
              <w:divsChild>
                <w:div w:id="468208528">
                  <w:marLeft w:val="0"/>
                  <w:marRight w:val="0"/>
                  <w:marTop w:val="0"/>
                  <w:marBottom w:val="0"/>
                  <w:divBdr>
                    <w:top w:val="none" w:sz="0" w:space="0" w:color="auto"/>
                    <w:left w:val="none" w:sz="0" w:space="0" w:color="auto"/>
                    <w:bottom w:val="none" w:sz="0" w:space="0" w:color="auto"/>
                    <w:right w:val="none" w:sz="0" w:space="0" w:color="auto"/>
                  </w:divBdr>
                  <w:divsChild>
                    <w:div w:id="383139702">
                      <w:marLeft w:val="0"/>
                      <w:marRight w:val="0"/>
                      <w:marTop w:val="0"/>
                      <w:marBottom w:val="0"/>
                      <w:divBdr>
                        <w:top w:val="none" w:sz="0" w:space="0" w:color="auto"/>
                        <w:left w:val="none" w:sz="0" w:space="0" w:color="auto"/>
                        <w:bottom w:val="none" w:sz="0" w:space="0" w:color="auto"/>
                        <w:right w:val="none" w:sz="0" w:space="0" w:color="auto"/>
                      </w:divBdr>
                      <w:divsChild>
                        <w:div w:id="1735546797">
                          <w:marLeft w:val="0"/>
                          <w:marRight w:val="0"/>
                          <w:marTop w:val="0"/>
                          <w:marBottom w:val="0"/>
                          <w:divBdr>
                            <w:top w:val="single" w:sz="6" w:space="0" w:color="828282"/>
                            <w:left w:val="single" w:sz="6" w:space="0" w:color="828282"/>
                            <w:bottom w:val="single" w:sz="6" w:space="0" w:color="828282"/>
                            <w:right w:val="single" w:sz="6" w:space="0" w:color="828282"/>
                          </w:divBdr>
                          <w:divsChild>
                            <w:div w:id="432676298">
                              <w:marLeft w:val="0"/>
                              <w:marRight w:val="0"/>
                              <w:marTop w:val="0"/>
                              <w:marBottom w:val="0"/>
                              <w:divBdr>
                                <w:top w:val="none" w:sz="0" w:space="0" w:color="auto"/>
                                <w:left w:val="none" w:sz="0" w:space="0" w:color="auto"/>
                                <w:bottom w:val="none" w:sz="0" w:space="0" w:color="auto"/>
                                <w:right w:val="none" w:sz="0" w:space="0" w:color="auto"/>
                              </w:divBdr>
                              <w:divsChild>
                                <w:div w:id="1981113628">
                                  <w:marLeft w:val="0"/>
                                  <w:marRight w:val="0"/>
                                  <w:marTop w:val="0"/>
                                  <w:marBottom w:val="0"/>
                                  <w:divBdr>
                                    <w:top w:val="none" w:sz="0" w:space="0" w:color="auto"/>
                                    <w:left w:val="none" w:sz="0" w:space="0" w:color="auto"/>
                                    <w:bottom w:val="none" w:sz="0" w:space="0" w:color="auto"/>
                                    <w:right w:val="none" w:sz="0" w:space="0" w:color="auto"/>
                                  </w:divBdr>
                                  <w:divsChild>
                                    <w:div w:id="1192839961">
                                      <w:marLeft w:val="0"/>
                                      <w:marRight w:val="0"/>
                                      <w:marTop w:val="0"/>
                                      <w:marBottom w:val="0"/>
                                      <w:divBdr>
                                        <w:top w:val="none" w:sz="0" w:space="0" w:color="auto"/>
                                        <w:left w:val="none" w:sz="0" w:space="0" w:color="auto"/>
                                        <w:bottom w:val="none" w:sz="0" w:space="0" w:color="auto"/>
                                        <w:right w:val="none" w:sz="0" w:space="0" w:color="auto"/>
                                      </w:divBdr>
                                      <w:divsChild>
                                        <w:div w:id="1554191914">
                                          <w:marLeft w:val="0"/>
                                          <w:marRight w:val="0"/>
                                          <w:marTop w:val="0"/>
                                          <w:marBottom w:val="0"/>
                                          <w:divBdr>
                                            <w:top w:val="none" w:sz="0" w:space="0" w:color="auto"/>
                                            <w:left w:val="none" w:sz="0" w:space="0" w:color="auto"/>
                                            <w:bottom w:val="none" w:sz="0" w:space="0" w:color="auto"/>
                                            <w:right w:val="none" w:sz="0" w:space="0" w:color="auto"/>
                                          </w:divBdr>
                                          <w:divsChild>
                                            <w:div w:id="1152679917">
                                              <w:marLeft w:val="0"/>
                                              <w:marRight w:val="0"/>
                                              <w:marTop w:val="0"/>
                                              <w:marBottom w:val="0"/>
                                              <w:divBdr>
                                                <w:top w:val="none" w:sz="0" w:space="0" w:color="auto"/>
                                                <w:left w:val="none" w:sz="0" w:space="0" w:color="auto"/>
                                                <w:bottom w:val="none" w:sz="0" w:space="0" w:color="auto"/>
                                                <w:right w:val="none" w:sz="0" w:space="0" w:color="auto"/>
                                              </w:divBdr>
                                              <w:divsChild>
                                                <w:div w:id="1420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529435">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1146972041">
      <w:bodyDiv w:val="1"/>
      <w:marLeft w:val="0"/>
      <w:marRight w:val="0"/>
      <w:marTop w:val="0"/>
      <w:marBottom w:val="0"/>
      <w:divBdr>
        <w:top w:val="none" w:sz="0" w:space="0" w:color="auto"/>
        <w:left w:val="none" w:sz="0" w:space="0" w:color="auto"/>
        <w:bottom w:val="none" w:sz="0" w:space="0" w:color="auto"/>
        <w:right w:val="none" w:sz="0" w:space="0" w:color="auto"/>
      </w:divBdr>
    </w:div>
    <w:div w:id="1174876174">
      <w:bodyDiv w:val="1"/>
      <w:marLeft w:val="0"/>
      <w:marRight w:val="0"/>
      <w:marTop w:val="0"/>
      <w:marBottom w:val="0"/>
      <w:divBdr>
        <w:top w:val="none" w:sz="0" w:space="0" w:color="auto"/>
        <w:left w:val="none" w:sz="0" w:space="0" w:color="auto"/>
        <w:bottom w:val="none" w:sz="0" w:space="0" w:color="auto"/>
        <w:right w:val="none" w:sz="0" w:space="0" w:color="auto"/>
      </w:divBdr>
      <w:divsChild>
        <w:div w:id="1864971543">
          <w:marLeft w:val="0"/>
          <w:marRight w:val="0"/>
          <w:marTop w:val="0"/>
          <w:marBottom w:val="0"/>
          <w:divBdr>
            <w:top w:val="none" w:sz="0" w:space="0" w:color="auto"/>
            <w:left w:val="none" w:sz="0" w:space="0" w:color="auto"/>
            <w:bottom w:val="none" w:sz="0" w:space="0" w:color="auto"/>
            <w:right w:val="none" w:sz="0" w:space="0" w:color="auto"/>
          </w:divBdr>
          <w:divsChild>
            <w:div w:id="1820729189">
              <w:marLeft w:val="0"/>
              <w:marRight w:val="0"/>
              <w:marTop w:val="0"/>
              <w:marBottom w:val="0"/>
              <w:divBdr>
                <w:top w:val="none" w:sz="0" w:space="0" w:color="auto"/>
                <w:left w:val="none" w:sz="0" w:space="0" w:color="auto"/>
                <w:bottom w:val="none" w:sz="0" w:space="0" w:color="auto"/>
                <w:right w:val="none" w:sz="0" w:space="0" w:color="auto"/>
              </w:divBdr>
              <w:divsChild>
                <w:div w:id="1150756929">
                  <w:marLeft w:val="0"/>
                  <w:marRight w:val="0"/>
                  <w:marTop w:val="0"/>
                  <w:marBottom w:val="0"/>
                  <w:divBdr>
                    <w:top w:val="none" w:sz="0" w:space="0" w:color="auto"/>
                    <w:left w:val="none" w:sz="0" w:space="0" w:color="auto"/>
                    <w:bottom w:val="none" w:sz="0" w:space="0" w:color="auto"/>
                    <w:right w:val="none" w:sz="0" w:space="0" w:color="auto"/>
                  </w:divBdr>
                  <w:divsChild>
                    <w:div w:id="1772048898">
                      <w:marLeft w:val="0"/>
                      <w:marRight w:val="0"/>
                      <w:marTop w:val="0"/>
                      <w:marBottom w:val="0"/>
                      <w:divBdr>
                        <w:top w:val="none" w:sz="0" w:space="0" w:color="auto"/>
                        <w:left w:val="none" w:sz="0" w:space="0" w:color="auto"/>
                        <w:bottom w:val="none" w:sz="0" w:space="0" w:color="auto"/>
                        <w:right w:val="none" w:sz="0" w:space="0" w:color="auto"/>
                      </w:divBdr>
                      <w:divsChild>
                        <w:div w:id="918101163">
                          <w:marLeft w:val="0"/>
                          <w:marRight w:val="0"/>
                          <w:marTop w:val="0"/>
                          <w:marBottom w:val="0"/>
                          <w:divBdr>
                            <w:top w:val="single" w:sz="6" w:space="0" w:color="828282"/>
                            <w:left w:val="single" w:sz="6" w:space="0" w:color="828282"/>
                            <w:bottom w:val="single" w:sz="6" w:space="0" w:color="828282"/>
                            <w:right w:val="single" w:sz="6" w:space="0" w:color="828282"/>
                          </w:divBdr>
                          <w:divsChild>
                            <w:div w:id="679045983">
                              <w:marLeft w:val="0"/>
                              <w:marRight w:val="0"/>
                              <w:marTop w:val="0"/>
                              <w:marBottom w:val="0"/>
                              <w:divBdr>
                                <w:top w:val="none" w:sz="0" w:space="0" w:color="auto"/>
                                <w:left w:val="none" w:sz="0" w:space="0" w:color="auto"/>
                                <w:bottom w:val="none" w:sz="0" w:space="0" w:color="auto"/>
                                <w:right w:val="none" w:sz="0" w:space="0" w:color="auto"/>
                              </w:divBdr>
                              <w:divsChild>
                                <w:div w:id="1470126884">
                                  <w:marLeft w:val="0"/>
                                  <w:marRight w:val="0"/>
                                  <w:marTop w:val="0"/>
                                  <w:marBottom w:val="0"/>
                                  <w:divBdr>
                                    <w:top w:val="none" w:sz="0" w:space="0" w:color="auto"/>
                                    <w:left w:val="none" w:sz="0" w:space="0" w:color="auto"/>
                                    <w:bottom w:val="none" w:sz="0" w:space="0" w:color="auto"/>
                                    <w:right w:val="none" w:sz="0" w:space="0" w:color="auto"/>
                                  </w:divBdr>
                                  <w:divsChild>
                                    <w:div w:id="2090687774">
                                      <w:marLeft w:val="0"/>
                                      <w:marRight w:val="0"/>
                                      <w:marTop w:val="0"/>
                                      <w:marBottom w:val="0"/>
                                      <w:divBdr>
                                        <w:top w:val="none" w:sz="0" w:space="0" w:color="auto"/>
                                        <w:left w:val="none" w:sz="0" w:space="0" w:color="auto"/>
                                        <w:bottom w:val="none" w:sz="0" w:space="0" w:color="auto"/>
                                        <w:right w:val="none" w:sz="0" w:space="0" w:color="auto"/>
                                      </w:divBdr>
                                      <w:divsChild>
                                        <w:div w:id="2123259066">
                                          <w:marLeft w:val="0"/>
                                          <w:marRight w:val="0"/>
                                          <w:marTop w:val="0"/>
                                          <w:marBottom w:val="0"/>
                                          <w:divBdr>
                                            <w:top w:val="none" w:sz="0" w:space="0" w:color="auto"/>
                                            <w:left w:val="none" w:sz="0" w:space="0" w:color="auto"/>
                                            <w:bottom w:val="none" w:sz="0" w:space="0" w:color="auto"/>
                                            <w:right w:val="none" w:sz="0" w:space="0" w:color="auto"/>
                                          </w:divBdr>
                                          <w:divsChild>
                                            <w:div w:id="1915584254">
                                              <w:marLeft w:val="0"/>
                                              <w:marRight w:val="0"/>
                                              <w:marTop w:val="0"/>
                                              <w:marBottom w:val="0"/>
                                              <w:divBdr>
                                                <w:top w:val="none" w:sz="0" w:space="0" w:color="auto"/>
                                                <w:left w:val="none" w:sz="0" w:space="0" w:color="auto"/>
                                                <w:bottom w:val="none" w:sz="0" w:space="0" w:color="auto"/>
                                                <w:right w:val="none" w:sz="0" w:space="0" w:color="auto"/>
                                              </w:divBdr>
                                              <w:divsChild>
                                                <w:div w:id="11981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107703">
      <w:bodyDiv w:val="1"/>
      <w:marLeft w:val="0"/>
      <w:marRight w:val="0"/>
      <w:marTop w:val="0"/>
      <w:marBottom w:val="0"/>
      <w:divBdr>
        <w:top w:val="none" w:sz="0" w:space="0" w:color="auto"/>
        <w:left w:val="none" w:sz="0" w:space="0" w:color="auto"/>
        <w:bottom w:val="none" w:sz="0" w:space="0" w:color="auto"/>
        <w:right w:val="none" w:sz="0" w:space="0" w:color="auto"/>
      </w:divBdr>
    </w:div>
    <w:div w:id="1419444921">
      <w:bodyDiv w:val="1"/>
      <w:marLeft w:val="0"/>
      <w:marRight w:val="0"/>
      <w:marTop w:val="0"/>
      <w:marBottom w:val="0"/>
      <w:divBdr>
        <w:top w:val="none" w:sz="0" w:space="0" w:color="auto"/>
        <w:left w:val="none" w:sz="0" w:space="0" w:color="auto"/>
        <w:bottom w:val="none" w:sz="0" w:space="0" w:color="auto"/>
        <w:right w:val="none" w:sz="0" w:space="0" w:color="auto"/>
      </w:divBdr>
    </w:div>
    <w:div w:id="1518346365">
      <w:bodyDiv w:val="1"/>
      <w:marLeft w:val="0"/>
      <w:marRight w:val="0"/>
      <w:marTop w:val="0"/>
      <w:marBottom w:val="0"/>
      <w:divBdr>
        <w:top w:val="none" w:sz="0" w:space="0" w:color="auto"/>
        <w:left w:val="none" w:sz="0" w:space="0" w:color="auto"/>
        <w:bottom w:val="none" w:sz="0" w:space="0" w:color="auto"/>
        <w:right w:val="none" w:sz="0" w:space="0" w:color="auto"/>
      </w:divBdr>
    </w:div>
    <w:div w:id="1526477433">
      <w:bodyDiv w:val="1"/>
      <w:marLeft w:val="0"/>
      <w:marRight w:val="0"/>
      <w:marTop w:val="0"/>
      <w:marBottom w:val="0"/>
      <w:divBdr>
        <w:top w:val="none" w:sz="0" w:space="0" w:color="auto"/>
        <w:left w:val="none" w:sz="0" w:space="0" w:color="auto"/>
        <w:bottom w:val="none" w:sz="0" w:space="0" w:color="auto"/>
        <w:right w:val="none" w:sz="0" w:space="0" w:color="auto"/>
      </w:divBdr>
      <w:divsChild>
        <w:div w:id="427625595">
          <w:marLeft w:val="0"/>
          <w:marRight w:val="0"/>
          <w:marTop w:val="0"/>
          <w:marBottom w:val="0"/>
          <w:divBdr>
            <w:top w:val="none" w:sz="0" w:space="0" w:color="auto"/>
            <w:left w:val="none" w:sz="0" w:space="0" w:color="auto"/>
            <w:bottom w:val="none" w:sz="0" w:space="0" w:color="auto"/>
            <w:right w:val="none" w:sz="0" w:space="0" w:color="auto"/>
          </w:divBdr>
          <w:divsChild>
            <w:div w:id="2004503308">
              <w:marLeft w:val="0"/>
              <w:marRight w:val="0"/>
              <w:marTop w:val="0"/>
              <w:marBottom w:val="0"/>
              <w:divBdr>
                <w:top w:val="none" w:sz="0" w:space="0" w:color="auto"/>
                <w:left w:val="none" w:sz="0" w:space="0" w:color="auto"/>
                <w:bottom w:val="none" w:sz="0" w:space="0" w:color="auto"/>
                <w:right w:val="none" w:sz="0" w:space="0" w:color="auto"/>
              </w:divBdr>
              <w:divsChild>
                <w:div w:id="359815441">
                  <w:marLeft w:val="15"/>
                  <w:marRight w:val="15"/>
                  <w:marTop w:val="0"/>
                  <w:marBottom w:val="0"/>
                  <w:divBdr>
                    <w:top w:val="single" w:sz="6" w:space="0" w:color="FFFFFF"/>
                    <w:left w:val="single" w:sz="6" w:space="0" w:color="FFFFFF"/>
                    <w:bottom w:val="single" w:sz="6" w:space="11" w:color="FFFFFF"/>
                    <w:right w:val="single" w:sz="6" w:space="0" w:color="FFFFFF"/>
                  </w:divBdr>
                  <w:divsChild>
                    <w:div w:id="283193441">
                      <w:marLeft w:val="300"/>
                      <w:marRight w:val="300"/>
                      <w:marTop w:val="300"/>
                      <w:marBottom w:val="0"/>
                      <w:divBdr>
                        <w:top w:val="none" w:sz="0" w:space="0" w:color="auto"/>
                        <w:left w:val="none" w:sz="0" w:space="0" w:color="auto"/>
                        <w:bottom w:val="none" w:sz="0" w:space="0" w:color="auto"/>
                        <w:right w:val="none" w:sz="0" w:space="0" w:color="auto"/>
                      </w:divBdr>
                      <w:divsChild>
                        <w:div w:id="2014381644">
                          <w:marLeft w:val="0"/>
                          <w:marRight w:val="0"/>
                          <w:marTop w:val="0"/>
                          <w:marBottom w:val="15"/>
                          <w:divBdr>
                            <w:top w:val="single" w:sz="6" w:space="12" w:color="C8C8C8"/>
                            <w:left w:val="single" w:sz="6" w:space="15" w:color="C8C8C8"/>
                            <w:bottom w:val="single" w:sz="6" w:space="0" w:color="C8C8C8"/>
                            <w:right w:val="single" w:sz="6" w:space="15" w:color="C8C8C8"/>
                          </w:divBdr>
                          <w:divsChild>
                            <w:div w:id="1324160275">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024443">
      <w:bodyDiv w:val="1"/>
      <w:marLeft w:val="0"/>
      <w:marRight w:val="0"/>
      <w:marTop w:val="0"/>
      <w:marBottom w:val="0"/>
      <w:divBdr>
        <w:top w:val="none" w:sz="0" w:space="0" w:color="auto"/>
        <w:left w:val="none" w:sz="0" w:space="0" w:color="auto"/>
        <w:bottom w:val="none" w:sz="0" w:space="0" w:color="auto"/>
        <w:right w:val="none" w:sz="0" w:space="0" w:color="auto"/>
      </w:divBdr>
    </w:div>
    <w:div w:id="1871256075">
      <w:bodyDiv w:val="1"/>
      <w:marLeft w:val="0"/>
      <w:marRight w:val="0"/>
      <w:marTop w:val="0"/>
      <w:marBottom w:val="0"/>
      <w:divBdr>
        <w:top w:val="none" w:sz="0" w:space="0" w:color="auto"/>
        <w:left w:val="none" w:sz="0" w:space="0" w:color="auto"/>
        <w:bottom w:val="none" w:sz="0" w:space="0" w:color="auto"/>
        <w:right w:val="none" w:sz="0" w:space="0" w:color="auto"/>
      </w:divBdr>
    </w:div>
    <w:div w:id="1889340790">
      <w:bodyDiv w:val="1"/>
      <w:marLeft w:val="0"/>
      <w:marRight w:val="0"/>
      <w:marTop w:val="0"/>
      <w:marBottom w:val="0"/>
      <w:divBdr>
        <w:top w:val="none" w:sz="0" w:space="0" w:color="auto"/>
        <w:left w:val="none" w:sz="0" w:space="0" w:color="auto"/>
        <w:bottom w:val="none" w:sz="0" w:space="0" w:color="auto"/>
        <w:right w:val="none" w:sz="0" w:space="0" w:color="auto"/>
      </w:divBdr>
      <w:divsChild>
        <w:div w:id="111093082">
          <w:marLeft w:val="0"/>
          <w:marRight w:val="0"/>
          <w:marTop w:val="0"/>
          <w:marBottom w:val="0"/>
          <w:divBdr>
            <w:top w:val="single" w:sz="6" w:space="8" w:color="B8B8B8"/>
            <w:left w:val="none" w:sz="0" w:space="0" w:color="auto"/>
            <w:bottom w:val="none" w:sz="0" w:space="0" w:color="auto"/>
            <w:right w:val="none" w:sz="0" w:space="0" w:color="auto"/>
          </w:divBdr>
          <w:divsChild>
            <w:div w:id="890845385">
              <w:marLeft w:val="2"/>
              <w:marRight w:val="2"/>
              <w:marTop w:val="0"/>
              <w:marBottom w:val="0"/>
              <w:divBdr>
                <w:top w:val="single" w:sz="6" w:space="8" w:color="CDCCD4"/>
                <w:left w:val="single" w:sz="6" w:space="8" w:color="CDCCD4"/>
                <w:bottom w:val="single" w:sz="6" w:space="8" w:color="CDCCD4"/>
                <w:right w:val="single" w:sz="6" w:space="4" w:color="CDCCD4"/>
              </w:divBdr>
              <w:divsChild>
                <w:div w:id="364336165">
                  <w:marLeft w:val="0"/>
                  <w:marRight w:val="0"/>
                  <w:marTop w:val="75"/>
                  <w:marBottom w:val="75"/>
                  <w:divBdr>
                    <w:top w:val="single" w:sz="6" w:space="8" w:color="CCCCD4"/>
                    <w:left w:val="single" w:sz="6" w:space="8" w:color="CCCCD4"/>
                    <w:bottom w:val="single" w:sz="6" w:space="8" w:color="CCCCD4"/>
                    <w:right w:val="single" w:sz="6" w:space="8" w:color="CCCCD4"/>
                  </w:divBdr>
                  <w:divsChild>
                    <w:div w:id="10314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5ED010B465230C49B07C0D8CC6E1250D" ma:contentTypeVersion="8" ma:contentTypeDescription="Ddocs' Word Content Type" ma:contentTypeScope="" ma:versionID="8e9a51321d8d1b88e973843e88b741b2">
  <xsd:schema xmlns:xsd="http://www.w3.org/2001/XMLSchema" xmlns:xs="http://www.w3.org/2001/XMLSchema" xmlns:p="http://schemas.microsoft.com/office/2006/metadata/properties" xmlns:ns2="http://schemas.microsoft.com/sharepoint/v3/fields" xmlns:ns3="aa4207c7-5642-493f-9786-e265201cbb14" targetNamespace="http://schemas.microsoft.com/office/2006/metadata/properties" ma:root="true" ma:fieldsID="9332dc1017e9851924dfa2e60aeac62c"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FED80-9085-4C38-94F0-5916E5B2BF19}">
  <ds:schemaRef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sharepoint/v3/fields"/>
    <ds:schemaRef ds:uri="aa4207c7-5642-493f-9786-e265201cbb1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785D192-CF6F-4396-A271-A53FD4911776}">
  <ds:schemaRefs>
    <ds:schemaRef ds:uri="http://schemas.microsoft.com/sharepoint/events"/>
  </ds:schemaRefs>
</ds:datastoreItem>
</file>

<file path=customXml/itemProps3.xml><?xml version="1.0" encoding="utf-8"?>
<ds:datastoreItem xmlns:ds="http://schemas.openxmlformats.org/officeDocument/2006/customXml" ds:itemID="{AC556968-6867-4FF8-9395-1BE87A2C7AB8}">
  <ds:schemaRefs>
    <ds:schemaRef ds:uri="office.server.policy"/>
  </ds:schemaRefs>
</ds:datastoreItem>
</file>

<file path=customXml/itemProps4.xml><?xml version="1.0" encoding="utf-8"?>
<ds:datastoreItem xmlns:ds="http://schemas.openxmlformats.org/officeDocument/2006/customXml" ds:itemID="{C5934FC5-F2EE-4408-8E28-C9CF1085E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551C40-B11B-4559-A0BD-F7C442DC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91C0B296.dotm</Template>
  <TotalTime>0</TotalTime>
  <Pages>14</Pages>
  <Words>5612</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2015-02-27T00:32:00Z</dcterms:created>
  <dcterms:modified xsi:type="dcterms:W3CDTF">2015-02-27T00:32:00Z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0x0101009EDC4876AF524A70BD125A9D2C0D191E0C005ED010B465230C49B07C0D8CC6E1250D</vt:lpwstr>
  </property>
  <property fmtid="{D5CDD505-2E9C-101B-9397-08002B2CF9AE}" pid="3" name="ItemRetentionFormula">
    <vt:lpwstr/>
  </property>
  <property fmtid="{D5CDD505-2E9C-101B-9397-08002B2CF9AE}" pid="4" name="_dlc_policyId">
    <vt:lpwstr/>
  </property>
</Properties>
</file>