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41" w:rsidRDefault="00BD1C9A" w:rsidP="00CC6EE1">
      <w:pPr>
        <w:rPr>
          <w:rFonts w:cstheme="minorHAnsi"/>
          <w:sz w:val="56"/>
          <w:szCs w:val="56"/>
        </w:rPr>
      </w:pPr>
      <w:bookmarkStart w:id="0" w:name="_GoBack"/>
      <w:bookmarkEnd w:id="0"/>
      <w:r w:rsidRPr="00CC6EE1">
        <w:rPr>
          <w:rFonts w:ascii="Calibri" w:eastAsia="Times New Roman" w:hAnsi="Calibri" w:cs="Times New Roman"/>
          <w:noProof/>
          <w:lang w:eastAsia="en-AU"/>
        </w:rPr>
        <w:drawing>
          <wp:anchor distT="0" distB="0" distL="114300" distR="114300" simplePos="0" relativeHeight="251658240" behindDoc="1" locked="0" layoutInCell="1" allowOverlap="1" wp14:anchorId="2B0EAA06" wp14:editId="2B0EAA07">
            <wp:simplePos x="0" y="0"/>
            <wp:positionH relativeFrom="column">
              <wp:posOffset>-900430</wp:posOffset>
            </wp:positionH>
            <wp:positionV relativeFrom="paragraph">
              <wp:posOffset>-901700</wp:posOffset>
            </wp:positionV>
            <wp:extent cx="7581265" cy="10720705"/>
            <wp:effectExtent l="0" t="0" r="635" b="4445"/>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1265" cy="10720705"/>
                    </a:xfrm>
                    <a:prstGeom prst="rect">
                      <a:avLst/>
                    </a:prstGeom>
                  </pic:spPr>
                </pic:pic>
              </a:graphicData>
            </a:graphic>
          </wp:anchor>
        </w:drawing>
      </w:r>
      <w:r w:rsidR="00CC6EE1" w:rsidRPr="00CC6EE1">
        <w:rPr>
          <w:rFonts w:ascii="Calibri" w:eastAsia="Times New Roman" w:hAnsi="Calibri" w:cs="Times New Roman"/>
          <w:noProof/>
          <w:lang w:eastAsia="en-AU"/>
        </w:rPr>
        <w:drawing>
          <wp:inline distT="0" distB="0" distL="0" distR="0" wp14:anchorId="2B0EAA08" wp14:editId="2B0EAA09">
            <wp:extent cx="3016972" cy="700087"/>
            <wp:effectExtent l="0" t="0" r="0" b="5080"/>
            <wp:docPr id="11" name="Picture 1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3529" cy="699288"/>
                    </a:xfrm>
                    <a:prstGeom prst="rect">
                      <a:avLst/>
                    </a:prstGeom>
                  </pic:spPr>
                </pic:pic>
              </a:graphicData>
            </a:graphic>
          </wp:inline>
        </w:drawing>
      </w:r>
      <w:r w:rsidR="000C09AC" w:rsidRPr="00E00483">
        <w:rPr>
          <w:rFonts w:cstheme="minorHAnsi"/>
          <w:sz w:val="56"/>
          <w:szCs w:val="56"/>
        </w:rPr>
        <w:t xml:space="preserve"> </w:t>
      </w:r>
    </w:p>
    <w:p w:rsidR="00AF4641" w:rsidRPr="00142030" w:rsidRDefault="00164A76" w:rsidP="00142030">
      <w:pPr>
        <w:pStyle w:val="Title"/>
      </w:pPr>
      <w:r w:rsidRPr="00142030">
        <w:t>Workplace Gender Equality Reporting</w:t>
      </w:r>
    </w:p>
    <w:p w:rsidR="00164A76" w:rsidRPr="00142030" w:rsidRDefault="00164A76" w:rsidP="00142030">
      <w:pPr>
        <w:pStyle w:val="Subtitle"/>
      </w:pPr>
      <w:r w:rsidRPr="00142030">
        <w:t xml:space="preserve">Regulation Impact Statement </w:t>
      </w:r>
    </w:p>
    <w:p w:rsidR="00164A76" w:rsidRPr="00164A76" w:rsidRDefault="004667FD" w:rsidP="00CC6EE1">
      <w:pPr>
        <w:rPr>
          <w:rFonts w:cstheme="minorHAnsi"/>
          <w:color w:val="FFFFFF" w:themeColor="background1"/>
          <w:sz w:val="56"/>
          <w:szCs w:val="56"/>
        </w:rPr>
      </w:pPr>
      <w:r>
        <w:rPr>
          <w:rFonts w:cstheme="minorHAnsi"/>
          <w:color w:val="FFFFFF" w:themeColor="background1"/>
          <w:sz w:val="56"/>
          <w:szCs w:val="56"/>
        </w:rPr>
        <w:t xml:space="preserve">February </w:t>
      </w:r>
      <w:r w:rsidR="00164A76" w:rsidRPr="00164A76">
        <w:rPr>
          <w:rFonts w:cstheme="minorHAnsi"/>
          <w:color w:val="FFFFFF" w:themeColor="background1"/>
          <w:sz w:val="56"/>
          <w:szCs w:val="56"/>
        </w:rPr>
        <w:t>201</w:t>
      </w:r>
      <w:r w:rsidR="00387D1C">
        <w:rPr>
          <w:rFonts w:cstheme="minorHAnsi"/>
          <w:color w:val="FFFFFF" w:themeColor="background1"/>
          <w:sz w:val="56"/>
          <w:szCs w:val="56"/>
        </w:rPr>
        <w:t>5</w:t>
      </w:r>
    </w:p>
    <w:p w:rsidR="00E00483" w:rsidRPr="00D1413D" w:rsidRDefault="00CC6EE1" w:rsidP="007E6CEC">
      <w:pPr>
        <w:tabs>
          <w:tab w:val="left" w:pos="6225"/>
        </w:tabs>
        <w:rPr>
          <w:rFonts w:cstheme="minorHAnsi"/>
          <w:sz w:val="20"/>
          <w:szCs w:val="20"/>
        </w:rPr>
      </w:pPr>
      <w:r w:rsidRPr="00E00483">
        <w:rPr>
          <w:rFonts w:cstheme="minorHAnsi"/>
          <w:sz w:val="56"/>
          <w:szCs w:val="56"/>
        </w:rPr>
        <w:t xml:space="preserve"> </w:t>
      </w:r>
      <w:r w:rsidR="00E00483" w:rsidRPr="00E00483">
        <w:rPr>
          <w:rFonts w:cstheme="minorHAnsi"/>
          <w:sz w:val="56"/>
          <w:szCs w:val="56"/>
        </w:rPr>
        <w:br w:type="page"/>
      </w:r>
    </w:p>
    <w:sdt>
      <w:sdtPr>
        <w:rPr>
          <w:rFonts w:asciiTheme="minorHAnsi" w:eastAsiaTheme="minorHAnsi" w:hAnsiTheme="minorHAnsi" w:cstheme="minorHAnsi"/>
          <w:b w:val="0"/>
          <w:bCs w:val="0"/>
          <w:color w:val="auto"/>
          <w:sz w:val="22"/>
          <w:szCs w:val="22"/>
          <w:lang w:val="en-AU" w:eastAsia="en-US"/>
        </w:rPr>
        <w:id w:val="-1225676128"/>
        <w:docPartObj>
          <w:docPartGallery w:val="Table of Contents"/>
          <w:docPartUnique/>
        </w:docPartObj>
      </w:sdtPr>
      <w:sdtEndPr>
        <w:rPr>
          <w:noProof/>
        </w:rPr>
      </w:sdtEndPr>
      <w:sdtContent>
        <w:p w:rsidR="006D4988" w:rsidRPr="006D4988" w:rsidRDefault="006D4988">
          <w:pPr>
            <w:pStyle w:val="TOCHeading"/>
            <w:rPr>
              <w:rFonts w:asciiTheme="minorHAnsi" w:hAnsiTheme="minorHAnsi" w:cstheme="minorHAnsi"/>
            </w:rPr>
          </w:pPr>
          <w:r w:rsidRPr="006D4988">
            <w:rPr>
              <w:rFonts w:asciiTheme="minorHAnsi" w:hAnsiTheme="minorHAnsi" w:cstheme="minorHAnsi"/>
            </w:rPr>
            <w:t>Contents</w:t>
          </w:r>
        </w:p>
        <w:p w:rsidR="00700B4E" w:rsidRDefault="0036234F">
          <w:pPr>
            <w:pStyle w:val="TOC1"/>
            <w:tabs>
              <w:tab w:val="right" w:leader="dot" w:pos="9016"/>
            </w:tabs>
            <w:rPr>
              <w:rFonts w:eastAsiaTheme="minorEastAsia"/>
              <w:noProof/>
              <w:lang w:eastAsia="en-AU"/>
            </w:rPr>
          </w:pPr>
          <w:r w:rsidRPr="006D4988">
            <w:rPr>
              <w:rFonts w:cstheme="minorHAnsi"/>
            </w:rPr>
            <w:fldChar w:fldCharType="begin"/>
          </w:r>
          <w:r w:rsidR="006D4988" w:rsidRPr="006D4988">
            <w:rPr>
              <w:rFonts w:cstheme="minorHAnsi"/>
            </w:rPr>
            <w:instrText xml:space="preserve"> TOC \o "1-3" \h \z \u </w:instrText>
          </w:r>
          <w:r w:rsidRPr="006D4988">
            <w:rPr>
              <w:rFonts w:cstheme="minorHAnsi"/>
            </w:rPr>
            <w:fldChar w:fldCharType="separate"/>
          </w:r>
          <w:hyperlink w:anchor="_Toc405895151" w:history="1">
            <w:r w:rsidR="00700B4E" w:rsidRPr="00071D80">
              <w:rPr>
                <w:rStyle w:val="Hyperlink"/>
                <w:rFonts w:cstheme="minorHAnsi"/>
                <w:noProof/>
              </w:rPr>
              <w:t>Regulation Impact Statement</w:t>
            </w:r>
            <w:r w:rsidR="00700B4E">
              <w:rPr>
                <w:noProof/>
                <w:webHidden/>
              </w:rPr>
              <w:tab/>
            </w:r>
            <w:r w:rsidR="00700B4E">
              <w:rPr>
                <w:noProof/>
                <w:webHidden/>
              </w:rPr>
              <w:fldChar w:fldCharType="begin"/>
            </w:r>
            <w:r w:rsidR="00700B4E">
              <w:rPr>
                <w:noProof/>
                <w:webHidden/>
              </w:rPr>
              <w:instrText xml:space="preserve"> PAGEREF _Toc405895151 \h </w:instrText>
            </w:r>
            <w:r w:rsidR="00700B4E">
              <w:rPr>
                <w:noProof/>
                <w:webHidden/>
              </w:rPr>
            </w:r>
            <w:r w:rsidR="00700B4E">
              <w:rPr>
                <w:noProof/>
                <w:webHidden/>
              </w:rPr>
              <w:fldChar w:fldCharType="separate"/>
            </w:r>
            <w:r w:rsidR="00F50843">
              <w:rPr>
                <w:noProof/>
                <w:webHidden/>
              </w:rPr>
              <w:t>3</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52" w:history="1">
            <w:r w:rsidR="00700B4E" w:rsidRPr="00071D80">
              <w:rPr>
                <w:rStyle w:val="Hyperlink"/>
                <w:rFonts w:cstheme="minorHAnsi"/>
                <w:noProof/>
              </w:rPr>
              <w:t>Background</w:t>
            </w:r>
            <w:r w:rsidR="00700B4E">
              <w:rPr>
                <w:noProof/>
                <w:webHidden/>
              </w:rPr>
              <w:tab/>
            </w:r>
            <w:r w:rsidR="00700B4E">
              <w:rPr>
                <w:noProof/>
                <w:webHidden/>
              </w:rPr>
              <w:fldChar w:fldCharType="begin"/>
            </w:r>
            <w:r w:rsidR="00700B4E">
              <w:rPr>
                <w:noProof/>
                <w:webHidden/>
              </w:rPr>
              <w:instrText xml:space="preserve"> PAGEREF _Toc405895152 \h </w:instrText>
            </w:r>
            <w:r w:rsidR="00700B4E">
              <w:rPr>
                <w:noProof/>
                <w:webHidden/>
              </w:rPr>
            </w:r>
            <w:r w:rsidR="00700B4E">
              <w:rPr>
                <w:noProof/>
                <w:webHidden/>
              </w:rPr>
              <w:fldChar w:fldCharType="separate"/>
            </w:r>
            <w:r w:rsidR="00F50843">
              <w:rPr>
                <w:noProof/>
                <w:webHidden/>
              </w:rPr>
              <w:t>3</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53" w:history="1">
            <w:r w:rsidR="00700B4E" w:rsidRPr="00071D80">
              <w:rPr>
                <w:rStyle w:val="Hyperlink"/>
                <w:rFonts w:cstheme="minorHAnsi"/>
                <w:noProof/>
              </w:rPr>
              <w:t>What is the problem to be solved?</w:t>
            </w:r>
            <w:r w:rsidR="00700B4E">
              <w:rPr>
                <w:noProof/>
                <w:webHidden/>
              </w:rPr>
              <w:tab/>
            </w:r>
            <w:r w:rsidR="00700B4E">
              <w:rPr>
                <w:noProof/>
                <w:webHidden/>
              </w:rPr>
              <w:fldChar w:fldCharType="begin"/>
            </w:r>
            <w:r w:rsidR="00700B4E">
              <w:rPr>
                <w:noProof/>
                <w:webHidden/>
              </w:rPr>
              <w:instrText xml:space="preserve"> PAGEREF _Toc405895153 \h </w:instrText>
            </w:r>
            <w:r w:rsidR="00700B4E">
              <w:rPr>
                <w:noProof/>
                <w:webHidden/>
              </w:rPr>
            </w:r>
            <w:r w:rsidR="00700B4E">
              <w:rPr>
                <w:noProof/>
                <w:webHidden/>
              </w:rPr>
              <w:fldChar w:fldCharType="separate"/>
            </w:r>
            <w:r w:rsidR="00F50843">
              <w:rPr>
                <w:noProof/>
                <w:webHidden/>
              </w:rPr>
              <w:t>6</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54" w:history="1">
            <w:r w:rsidR="00700B4E" w:rsidRPr="00071D80">
              <w:rPr>
                <w:rStyle w:val="Hyperlink"/>
                <w:rFonts w:cstheme="minorHAnsi"/>
                <w:noProof/>
              </w:rPr>
              <w:t>Why is Government action needed?</w:t>
            </w:r>
            <w:r w:rsidR="00700B4E">
              <w:rPr>
                <w:noProof/>
                <w:webHidden/>
              </w:rPr>
              <w:tab/>
            </w:r>
            <w:r w:rsidR="00700B4E">
              <w:rPr>
                <w:noProof/>
                <w:webHidden/>
              </w:rPr>
              <w:fldChar w:fldCharType="begin"/>
            </w:r>
            <w:r w:rsidR="00700B4E">
              <w:rPr>
                <w:noProof/>
                <w:webHidden/>
              </w:rPr>
              <w:instrText xml:space="preserve"> PAGEREF _Toc405895154 \h </w:instrText>
            </w:r>
            <w:r w:rsidR="00700B4E">
              <w:rPr>
                <w:noProof/>
                <w:webHidden/>
              </w:rPr>
            </w:r>
            <w:r w:rsidR="00700B4E">
              <w:rPr>
                <w:noProof/>
                <w:webHidden/>
              </w:rPr>
              <w:fldChar w:fldCharType="separate"/>
            </w:r>
            <w:r w:rsidR="00F50843">
              <w:rPr>
                <w:noProof/>
                <w:webHidden/>
              </w:rPr>
              <w:t>8</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55" w:history="1">
            <w:r w:rsidR="00700B4E" w:rsidRPr="00071D80">
              <w:rPr>
                <w:rStyle w:val="Hyperlink"/>
                <w:rFonts w:cstheme="minorHAnsi"/>
                <w:noProof/>
              </w:rPr>
              <w:t>Policy options being considered</w:t>
            </w:r>
            <w:r w:rsidR="00700B4E">
              <w:rPr>
                <w:noProof/>
                <w:webHidden/>
              </w:rPr>
              <w:tab/>
            </w:r>
            <w:r w:rsidR="00700B4E">
              <w:rPr>
                <w:noProof/>
                <w:webHidden/>
              </w:rPr>
              <w:fldChar w:fldCharType="begin"/>
            </w:r>
            <w:r w:rsidR="00700B4E">
              <w:rPr>
                <w:noProof/>
                <w:webHidden/>
              </w:rPr>
              <w:instrText xml:space="preserve"> PAGEREF _Toc405895155 \h </w:instrText>
            </w:r>
            <w:r w:rsidR="00700B4E">
              <w:rPr>
                <w:noProof/>
                <w:webHidden/>
              </w:rPr>
            </w:r>
            <w:r w:rsidR="00700B4E">
              <w:rPr>
                <w:noProof/>
                <w:webHidden/>
              </w:rPr>
              <w:fldChar w:fldCharType="separate"/>
            </w:r>
            <w:r w:rsidR="00F50843">
              <w:rPr>
                <w:noProof/>
                <w:webHidden/>
              </w:rPr>
              <w:t>9</w:t>
            </w:r>
            <w:r w:rsidR="00700B4E">
              <w:rPr>
                <w:noProof/>
                <w:webHidden/>
              </w:rPr>
              <w:fldChar w:fldCharType="end"/>
            </w:r>
          </w:hyperlink>
        </w:p>
        <w:p w:rsidR="00700B4E" w:rsidRDefault="002C0F42">
          <w:pPr>
            <w:pStyle w:val="TOC2"/>
            <w:tabs>
              <w:tab w:val="right" w:leader="dot" w:pos="9016"/>
            </w:tabs>
            <w:rPr>
              <w:rFonts w:eastAsiaTheme="minorEastAsia"/>
              <w:noProof/>
              <w:lang w:eastAsia="en-AU"/>
            </w:rPr>
          </w:pPr>
          <w:hyperlink w:anchor="_Toc405895156" w:history="1">
            <w:r w:rsidR="00700B4E" w:rsidRPr="00071D80">
              <w:rPr>
                <w:rStyle w:val="Hyperlink"/>
                <w:rFonts w:cstheme="minorHAnsi"/>
                <w:noProof/>
              </w:rPr>
              <w:t>Option 1: No change</w:t>
            </w:r>
            <w:r w:rsidR="00700B4E">
              <w:rPr>
                <w:noProof/>
                <w:webHidden/>
              </w:rPr>
              <w:tab/>
            </w:r>
            <w:r w:rsidR="00700B4E">
              <w:rPr>
                <w:noProof/>
                <w:webHidden/>
              </w:rPr>
              <w:fldChar w:fldCharType="begin"/>
            </w:r>
            <w:r w:rsidR="00700B4E">
              <w:rPr>
                <w:noProof/>
                <w:webHidden/>
              </w:rPr>
              <w:instrText xml:space="preserve"> PAGEREF _Toc405895156 \h </w:instrText>
            </w:r>
            <w:r w:rsidR="00700B4E">
              <w:rPr>
                <w:noProof/>
                <w:webHidden/>
              </w:rPr>
            </w:r>
            <w:r w:rsidR="00700B4E">
              <w:rPr>
                <w:noProof/>
                <w:webHidden/>
              </w:rPr>
              <w:fldChar w:fldCharType="separate"/>
            </w:r>
            <w:r w:rsidR="00F50843">
              <w:rPr>
                <w:noProof/>
                <w:webHidden/>
              </w:rPr>
              <w:t>11</w:t>
            </w:r>
            <w:r w:rsidR="00700B4E">
              <w:rPr>
                <w:noProof/>
                <w:webHidden/>
              </w:rPr>
              <w:fldChar w:fldCharType="end"/>
            </w:r>
          </w:hyperlink>
        </w:p>
        <w:p w:rsidR="00700B4E" w:rsidRDefault="002C0F42">
          <w:pPr>
            <w:pStyle w:val="TOC2"/>
            <w:tabs>
              <w:tab w:val="right" w:leader="dot" w:pos="9016"/>
            </w:tabs>
            <w:rPr>
              <w:rFonts w:eastAsiaTheme="minorEastAsia"/>
              <w:noProof/>
              <w:lang w:eastAsia="en-AU"/>
            </w:rPr>
          </w:pPr>
          <w:hyperlink w:anchor="_Toc405895157" w:history="1">
            <w:r w:rsidR="00700B4E" w:rsidRPr="00071D80">
              <w:rPr>
                <w:rStyle w:val="Hyperlink"/>
                <w:rFonts w:cstheme="minorHAnsi"/>
                <w:noProof/>
              </w:rPr>
              <w:t>Option 2: Streamline reporting requirements (significant removal of remuneration data and reduced Schedule 2 components)</w:t>
            </w:r>
            <w:r w:rsidR="00700B4E">
              <w:rPr>
                <w:noProof/>
                <w:webHidden/>
              </w:rPr>
              <w:tab/>
            </w:r>
            <w:r w:rsidR="00700B4E">
              <w:rPr>
                <w:noProof/>
                <w:webHidden/>
              </w:rPr>
              <w:fldChar w:fldCharType="begin"/>
            </w:r>
            <w:r w:rsidR="00700B4E">
              <w:rPr>
                <w:noProof/>
                <w:webHidden/>
              </w:rPr>
              <w:instrText xml:space="preserve"> PAGEREF _Toc405895157 \h </w:instrText>
            </w:r>
            <w:r w:rsidR="00700B4E">
              <w:rPr>
                <w:noProof/>
                <w:webHidden/>
              </w:rPr>
            </w:r>
            <w:r w:rsidR="00700B4E">
              <w:rPr>
                <w:noProof/>
                <w:webHidden/>
              </w:rPr>
              <w:fldChar w:fldCharType="separate"/>
            </w:r>
            <w:r w:rsidR="00F50843">
              <w:rPr>
                <w:noProof/>
                <w:webHidden/>
              </w:rPr>
              <w:t>11</w:t>
            </w:r>
            <w:r w:rsidR="00700B4E">
              <w:rPr>
                <w:noProof/>
                <w:webHidden/>
              </w:rPr>
              <w:fldChar w:fldCharType="end"/>
            </w:r>
          </w:hyperlink>
        </w:p>
        <w:p w:rsidR="00700B4E" w:rsidRDefault="002C0F42">
          <w:pPr>
            <w:pStyle w:val="TOC2"/>
            <w:tabs>
              <w:tab w:val="right" w:leader="dot" w:pos="9016"/>
            </w:tabs>
            <w:rPr>
              <w:rFonts w:eastAsiaTheme="minorEastAsia"/>
              <w:noProof/>
              <w:lang w:eastAsia="en-AU"/>
            </w:rPr>
          </w:pPr>
          <w:hyperlink w:anchor="_Toc405895158" w:history="1">
            <w:r w:rsidR="00700B4E" w:rsidRPr="00071D80">
              <w:rPr>
                <w:rStyle w:val="Hyperlink"/>
                <w:rFonts w:cstheme="minorHAnsi"/>
                <w:noProof/>
              </w:rPr>
              <w:t>Option 3: Streamline reporting requirements (minimal salary data and removal of significant elements of Schedule 2)</w:t>
            </w:r>
            <w:r w:rsidR="00700B4E">
              <w:rPr>
                <w:noProof/>
                <w:webHidden/>
              </w:rPr>
              <w:tab/>
            </w:r>
            <w:r w:rsidR="00700B4E">
              <w:rPr>
                <w:noProof/>
                <w:webHidden/>
              </w:rPr>
              <w:fldChar w:fldCharType="begin"/>
            </w:r>
            <w:r w:rsidR="00700B4E">
              <w:rPr>
                <w:noProof/>
                <w:webHidden/>
              </w:rPr>
              <w:instrText xml:space="preserve"> PAGEREF _Toc405895158 \h </w:instrText>
            </w:r>
            <w:r w:rsidR="00700B4E">
              <w:rPr>
                <w:noProof/>
                <w:webHidden/>
              </w:rPr>
            </w:r>
            <w:r w:rsidR="00700B4E">
              <w:rPr>
                <w:noProof/>
                <w:webHidden/>
              </w:rPr>
              <w:fldChar w:fldCharType="separate"/>
            </w:r>
            <w:r w:rsidR="00F50843">
              <w:rPr>
                <w:noProof/>
                <w:webHidden/>
              </w:rPr>
              <w:t>12</w:t>
            </w:r>
            <w:r w:rsidR="00700B4E">
              <w:rPr>
                <w:noProof/>
                <w:webHidden/>
              </w:rPr>
              <w:fldChar w:fldCharType="end"/>
            </w:r>
          </w:hyperlink>
        </w:p>
        <w:p w:rsidR="00700B4E" w:rsidRDefault="002C0F42">
          <w:pPr>
            <w:pStyle w:val="TOC2"/>
            <w:tabs>
              <w:tab w:val="right" w:leader="dot" w:pos="9016"/>
            </w:tabs>
            <w:rPr>
              <w:rFonts w:eastAsiaTheme="minorEastAsia"/>
              <w:noProof/>
              <w:lang w:eastAsia="en-AU"/>
            </w:rPr>
          </w:pPr>
          <w:hyperlink w:anchor="_Toc405895159" w:history="1">
            <w:r w:rsidR="00700B4E" w:rsidRPr="00071D80">
              <w:rPr>
                <w:rStyle w:val="Hyperlink"/>
                <w:rFonts w:cstheme="minorHAnsi"/>
                <w:noProof/>
              </w:rPr>
              <w:t>Option 4: Streamline reporting requirements (remove all Schedule 2 requirements)</w:t>
            </w:r>
            <w:r w:rsidR="00700B4E">
              <w:rPr>
                <w:noProof/>
                <w:webHidden/>
              </w:rPr>
              <w:tab/>
            </w:r>
            <w:r w:rsidR="00700B4E">
              <w:rPr>
                <w:noProof/>
                <w:webHidden/>
              </w:rPr>
              <w:fldChar w:fldCharType="begin"/>
            </w:r>
            <w:r w:rsidR="00700B4E">
              <w:rPr>
                <w:noProof/>
                <w:webHidden/>
              </w:rPr>
              <w:instrText xml:space="preserve"> PAGEREF _Toc405895159 \h </w:instrText>
            </w:r>
            <w:r w:rsidR="00700B4E">
              <w:rPr>
                <w:noProof/>
                <w:webHidden/>
              </w:rPr>
            </w:r>
            <w:r w:rsidR="00700B4E">
              <w:rPr>
                <w:noProof/>
                <w:webHidden/>
              </w:rPr>
              <w:fldChar w:fldCharType="separate"/>
            </w:r>
            <w:r w:rsidR="00F50843">
              <w:rPr>
                <w:noProof/>
                <w:webHidden/>
              </w:rPr>
              <w:t>12</w:t>
            </w:r>
            <w:r w:rsidR="00700B4E">
              <w:rPr>
                <w:noProof/>
                <w:webHidden/>
              </w:rPr>
              <w:fldChar w:fldCharType="end"/>
            </w:r>
          </w:hyperlink>
        </w:p>
        <w:p w:rsidR="00700B4E" w:rsidRDefault="002C0F42">
          <w:pPr>
            <w:pStyle w:val="TOC2"/>
            <w:tabs>
              <w:tab w:val="right" w:leader="dot" w:pos="9016"/>
            </w:tabs>
            <w:rPr>
              <w:rFonts w:eastAsiaTheme="minorEastAsia"/>
              <w:noProof/>
              <w:lang w:eastAsia="en-AU"/>
            </w:rPr>
          </w:pPr>
          <w:hyperlink w:anchor="_Toc405895160" w:history="1">
            <w:r w:rsidR="00700B4E" w:rsidRPr="00071D80">
              <w:rPr>
                <w:rStyle w:val="Hyperlink"/>
                <w:rFonts w:cstheme="minorHAnsi"/>
                <w:noProof/>
              </w:rPr>
              <w:t>Option 5: Remove all reporting requirements</w:t>
            </w:r>
            <w:r w:rsidR="00700B4E">
              <w:rPr>
                <w:noProof/>
                <w:webHidden/>
              </w:rPr>
              <w:tab/>
            </w:r>
            <w:r w:rsidR="00700B4E">
              <w:rPr>
                <w:noProof/>
                <w:webHidden/>
              </w:rPr>
              <w:fldChar w:fldCharType="begin"/>
            </w:r>
            <w:r w:rsidR="00700B4E">
              <w:rPr>
                <w:noProof/>
                <w:webHidden/>
              </w:rPr>
              <w:instrText xml:space="preserve"> PAGEREF _Toc405895160 \h </w:instrText>
            </w:r>
            <w:r w:rsidR="00700B4E">
              <w:rPr>
                <w:noProof/>
                <w:webHidden/>
              </w:rPr>
            </w:r>
            <w:r w:rsidR="00700B4E">
              <w:rPr>
                <w:noProof/>
                <w:webHidden/>
              </w:rPr>
              <w:fldChar w:fldCharType="separate"/>
            </w:r>
            <w:r w:rsidR="00F50843">
              <w:rPr>
                <w:noProof/>
                <w:webHidden/>
              </w:rPr>
              <w:t>13</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61" w:history="1">
            <w:r w:rsidR="00700B4E" w:rsidRPr="00071D80">
              <w:rPr>
                <w:rStyle w:val="Hyperlink"/>
                <w:rFonts w:cstheme="minorHAnsi"/>
                <w:noProof/>
              </w:rPr>
              <w:t>Impact Analysis (likely net benefit of each option)</w:t>
            </w:r>
            <w:r w:rsidR="00700B4E">
              <w:rPr>
                <w:noProof/>
                <w:webHidden/>
              </w:rPr>
              <w:tab/>
            </w:r>
            <w:r w:rsidR="00700B4E">
              <w:rPr>
                <w:noProof/>
                <w:webHidden/>
              </w:rPr>
              <w:fldChar w:fldCharType="begin"/>
            </w:r>
            <w:r w:rsidR="00700B4E">
              <w:rPr>
                <w:noProof/>
                <w:webHidden/>
              </w:rPr>
              <w:instrText xml:space="preserve"> PAGEREF _Toc405895161 \h </w:instrText>
            </w:r>
            <w:r w:rsidR="00700B4E">
              <w:rPr>
                <w:noProof/>
                <w:webHidden/>
              </w:rPr>
            </w:r>
            <w:r w:rsidR="00700B4E">
              <w:rPr>
                <w:noProof/>
                <w:webHidden/>
              </w:rPr>
              <w:fldChar w:fldCharType="separate"/>
            </w:r>
            <w:r w:rsidR="00F50843">
              <w:rPr>
                <w:noProof/>
                <w:webHidden/>
              </w:rPr>
              <w:t>13</w:t>
            </w:r>
            <w:r w:rsidR="00700B4E">
              <w:rPr>
                <w:noProof/>
                <w:webHidden/>
              </w:rPr>
              <w:fldChar w:fldCharType="end"/>
            </w:r>
          </w:hyperlink>
        </w:p>
        <w:p w:rsidR="00700B4E" w:rsidRDefault="002C0F42">
          <w:pPr>
            <w:pStyle w:val="TOC2"/>
            <w:tabs>
              <w:tab w:val="right" w:leader="dot" w:pos="9016"/>
            </w:tabs>
            <w:rPr>
              <w:rFonts w:eastAsiaTheme="minorEastAsia"/>
              <w:noProof/>
              <w:lang w:eastAsia="en-AU"/>
            </w:rPr>
          </w:pPr>
          <w:hyperlink w:anchor="_Toc405895162" w:history="1">
            <w:r w:rsidR="00700B4E" w:rsidRPr="00071D80">
              <w:rPr>
                <w:rStyle w:val="Hyperlink"/>
                <w:rFonts w:cstheme="minorHAnsi"/>
                <w:noProof/>
              </w:rPr>
              <w:t>Option 1: No Change</w:t>
            </w:r>
            <w:r w:rsidR="00700B4E">
              <w:rPr>
                <w:noProof/>
                <w:webHidden/>
              </w:rPr>
              <w:tab/>
            </w:r>
            <w:r w:rsidR="00700B4E">
              <w:rPr>
                <w:noProof/>
                <w:webHidden/>
              </w:rPr>
              <w:fldChar w:fldCharType="begin"/>
            </w:r>
            <w:r w:rsidR="00700B4E">
              <w:rPr>
                <w:noProof/>
                <w:webHidden/>
              </w:rPr>
              <w:instrText xml:space="preserve"> PAGEREF _Toc405895162 \h </w:instrText>
            </w:r>
            <w:r w:rsidR="00700B4E">
              <w:rPr>
                <w:noProof/>
                <w:webHidden/>
              </w:rPr>
            </w:r>
            <w:r w:rsidR="00700B4E">
              <w:rPr>
                <w:noProof/>
                <w:webHidden/>
              </w:rPr>
              <w:fldChar w:fldCharType="separate"/>
            </w:r>
            <w:r w:rsidR="00F50843">
              <w:rPr>
                <w:noProof/>
                <w:webHidden/>
              </w:rPr>
              <w:t>13</w:t>
            </w:r>
            <w:r w:rsidR="00700B4E">
              <w:rPr>
                <w:noProof/>
                <w:webHidden/>
              </w:rPr>
              <w:fldChar w:fldCharType="end"/>
            </w:r>
          </w:hyperlink>
        </w:p>
        <w:p w:rsidR="00700B4E" w:rsidRDefault="002C0F42">
          <w:pPr>
            <w:pStyle w:val="TOC2"/>
            <w:tabs>
              <w:tab w:val="right" w:leader="dot" w:pos="9016"/>
            </w:tabs>
            <w:rPr>
              <w:rFonts w:eastAsiaTheme="minorEastAsia"/>
              <w:noProof/>
              <w:lang w:eastAsia="en-AU"/>
            </w:rPr>
          </w:pPr>
          <w:hyperlink w:anchor="_Toc405895163" w:history="1">
            <w:r w:rsidR="00700B4E" w:rsidRPr="00071D80">
              <w:rPr>
                <w:rStyle w:val="Hyperlink"/>
                <w:rFonts w:cstheme="minorHAnsi"/>
                <w:noProof/>
              </w:rPr>
              <w:t>Option 2: Streamline reporting requirements (significant removal of remuneration data and reduced Schedule 2 components)</w:t>
            </w:r>
            <w:r w:rsidR="00700B4E">
              <w:rPr>
                <w:noProof/>
                <w:webHidden/>
              </w:rPr>
              <w:tab/>
            </w:r>
            <w:r w:rsidR="00700B4E">
              <w:rPr>
                <w:noProof/>
                <w:webHidden/>
              </w:rPr>
              <w:fldChar w:fldCharType="begin"/>
            </w:r>
            <w:r w:rsidR="00700B4E">
              <w:rPr>
                <w:noProof/>
                <w:webHidden/>
              </w:rPr>
              <w:instrText xml:space="preserve"> PAGEREF _Toc405895163 \h </w:instrText>
            </w:r>
            <w:r w:rsidR="00700B4E">
              <w:rPr>
                <w:noProof/>
                <w:webHidden/>
              </w:rPr>
            </w:r>
            <w:r w:rsidR="00700B4E">
              <w:rPr>
                <w:noProof/>
                <w:webHidden/>
              </w:rPr>
              <w:fldChar w:fldCharType="separate"/>
            </w:r>
            <w:r w:rsidR="00F50843">
              <w:rPr>
                <w:noProof/>
                <w:webHidden/>
              </w:rPr>
              <w:t>15</w:t>
            </w:r>
            <w:r w:rsidR="00700B4E">
              <w:rPr>
                <w:noProof/>
                <w:webHidden/>
              </w:rPr>
              <w:fldChar w:fldCharType="end"/>
            </w:r>
          </w:hyperlink>
        </w:p>
        <w:p w:rsidR="00700B4E" w:rsidRDefault="002C0F42">
          <w:pPr>
            <w:pStyle w:val="TOC2"/>
            <w:tabs>
              <w:tab w:val="right" w:leader="dot" w:pos="9016"/>
            </w:tabs>
            <w:rPr>
              <w:rFonts w:eastAsiaTheme="minorEastAsia"/>
              <w:noProof/>
              <w:lang w:eastAsia="en-AU"/>
            </w:rPr>
          </w:pPr>
          <w:hyperlink w:anchor="_Toc405895164" w:history="1">
            <w:r w:rsidR="00700B4E" w:rsidRPr="00071D80">
              <w:rPr>
                <w:rStyle w:val="Hyperlink"/>
                <w:rFonts w:cstheme="minorHAnsi"/>
                <w:noProof/>
              </w:rPr>
              <w:t>Option 3: Streamline reporting requirements (minimal salary data and removal of significant elements of Schedule 2)</w:t>
            </w:r>
            <w:r w:rsidR="00700B4E">
              <w:rPr>
                <w:noProof/>
                <w:webHidden/>
              </w:rPr>
              <w:tab/>
            </w:r>
            <w:r w:rsidR="00700B4E">
              <w:rPr>
                <w:noProof/>
                <w:webHidden/>
              </w:rPr>
              <w:fldChar w:fldCharType="begin"/>
            </w:r>
            <w:r w:rsidR="00700B4E">
              <w:rPr>
                <w:noProof/>
                <w:webHidden/>
              </w:rPr>
              <w:instrText xml:space="preserve"> PAGEREF _Toc405895164 \h </w:instrText>
            </w:r>
            <w:r w:rsidR="00700B4E">
              <w:rPr>
                <w:noProof/>
                <w:webHidden/>
              </w:rPr>
            </w:r>
            <w:r w:rsidR="00700B4E">
              <w:rPr>
                <w:noProof/>
                <w:webHidden/>
              </w:rPr>
              <w:fldChar w:fldCharType="separate"/>
            </w:r>
            <w:r w:rsidR="00F50843">
              <w:rPr>
                <w:noProof/>
                <w:webHidden/>
              </w:rPr>
              <w:t>18</w:t>
            </w:r>
            <w:r w:rsidR="00700B4E">
              <w:rPr>
                <w:noProof/>
                <w:webHidden/>
              </w:rPr>
              <w:fldChar w:fldCharType="end"/>
            </w:r>
          </w:hyperlink>
        </w:p>
        <w:p w:rsidR="00700B4E" w:rsidRDefault="002C0F42">
          <w:pPr>
            <w:pStyle w:val="TOC2"/>
            <w:tabs>
              <w:tab w:val="right" w:leader="dot" w:pos="9016"/>
            </w:tabs>
            <w:rPr>
              <w:rFonts w:eastAsiaTheme="minorEastAsia"/>
              <w:noProof/>
              <w:lang w:eastAsia="en-AU"/>
            </w:rPr>
          </w:pPr>
          <w:hyperlink w:anchor="_Toc405895165" w:history="1">
            <w:r w:rsidR="00700B4E" w:rsidRPr="00071D80">
              <w:rPr>
                <w:rStyle w:val="Hyperlink"/>
                <w:rFonts w:cstheme="minorHAnsi"/>
                <w:noProof/>
              </w:rPr>
              <w:t>Option 4: Streamline reporting requirements (remove all Schedule 2 requirements)</w:t>
            </w:r>
            <w:r w:rsidR="00700B4E">
              <w:rPr>
                <w:noProof/>
                <w:webHidden/>
              </w:rPr>
              <w:tab/>
            </w:r>
            <w:r w:rsidR="00700B4E">
              <w:rPr>
                <w:noProof/>
                <w:webHidden/>
              </w:rPr>
              <w:fldChar w:fldCharType="begin"/>
            </w:r>
            <w:r w:rsidR="00700B4E">
              <w:rPr>
                <w:noProof/>
                <w:webHidden/>
              </w:rPr>
              <w:instrText xml:space="preserve"> PAGEREF _Toc405895165 \h </w:instrText>
            </w:r>
            <w:r w:rsidR="00700B4E">
              <w:rPr>
                <w:noProof/>
                <w:webHidden/>
              </w:rPr>
            </w:r>
            <w:r w:rsidR="00700B4E">
              <w:rPr>
                <w:noProof/>
                <w:webHidden/>
              </w:rPr>
              <w:fldChar w:fldCharType="separate"/>
            </w:r>
            <w:r w:rsidR="00F50843">
              <w:rPr>
                <w:noProof/>
                <w:webHidden/>
              </w:rPr>
              <w:t>20</w:t>
            </w:r>
            <w:r w:rsidR="00700B4E">
              <w:rPr>
                <w:noProof/>
                <w:webHidden/>
              </w:rPr>
              <w:fldChar w:fldCharType="end"/>
            </w:r>
          </w:hyperlink>
        </w:p>
        <w:p w:rsidR="00700B4E" w:rsidRDefault="002C0F42">
          <w:pPr>
            <w:pStyle w:val="TOC2"/>
            <w:tabs>
              <w:tab w:val="right" w:leader="dot" w:pos="9016"/>
            </w:tabs>
            <w:rPr>
              <w:rFonts w:eastAsiaTheme="minorEastAsia"/>
              <w:noProof/>
              <w:lang w:eastAsia="en-AU"/>
            </w:rPr>
          </w:pPr>
          <w:hyperlink w:anchor="_Toc405895166" w:history="1">
            <w:r w:rsidR="00700B4E" w:rsidRPr="00071D80">
              <w:rPr>
                <w:rStyle w:val="Hyperlink"/>
                <w:rFonts w:cstheme="minorHAnsi"/>
                <w:noProof/>
              </w:rPr>
              <w:t>Option 5: Remove all reporting requirements</w:t>
            </w:r>
            <w:r w:rsidR="00700B4E">
              <w:rPr>
                <w:noProof/>
                <w:webHidden/>
              </w:rPr>
              <w:tab/>
            </w:r>
            <w:r w:rsidR="00700B4E">
              <w:rPr>
                <w:noProof/>
                <w:webHidden/>
              </w:rPr>
              <w:fldChar w:fldCharType="begin"/>
            </w:r>
            <w:r w:rsidR="00700B4E">
              <w:rPr>
                <w:noProof/>
                <w:webHidden/>
              </w:rPr>
              <w:instrText xml:space="preserve"> PAGEREF _Toc405895166 \h </w:instrText>
            </w:r>
            <w:r w:rsidR="00700B4E">
              <w:rPr>
                <w:noProof/>
                <w:webHidden/>
              </w:rPr>
            </w:r>
            <w:r w:rsidR="00700B4E">
              <w:rPr>
                <w:noProof/>
                <w:webHidden/>
              </w:rPr>
              <w:fldChar w:fldCharType="separate"/>
            </w:r>
            <w:r w:rsidR="00F50843">
              <w:rPr>
                <w:noProof/>
                <w:webHidden/>
              </w:rPr>
              <w:t>21</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67" w:history="1">
            <w:r w:rsidR="00700B4E" w:rsidRPr="00071D80">
              <w:rPr>
                <w:rStyle w:val="Hyperlink"/>
                <w:rFonts w:cstheme="minorHAnsi"/>
                <w:noProof/>
              </w:rPr>
              <w:t>Consultation</w:t>
            </w:r>
            <w:r w:rsidR="00700B4E">
              <w:rPr>
                <w:noProof/>
                <w:webHidden/>
              </w:rPr>
              <w:tab/>
            </w:r>
            <w:r w:rsidR="00700B4E">
              <w:rPr>
                <w:noProof/>
                <w:webHidden/>
              </w:rPr>
              <w:fldChar w:fldCharType="begin"/>
            </w:r>
            <w:r w:rsidR="00700B4E">
              <w:rPr>
                <w:noProof/>
                <w:webHidden/>
              </w:rPr>
              <w:instrText xml:space="preserve"> PAGEREF _Toc405895167 \h </w:instrText>
            </w:r>
            <w:r w:rsidR="00700B4E">
              <w:rPr>
                <w:noProof/>
                <w:webHidden/>
              </w:rPr>
            </w:r>
            <w:r w:rsidR="00700B4E">
              <w:rPr>
                <w:noProof/>
                <w:webHidden/>
              </w:rPr>
              <w:fldChar w:fldCharType="separate"/>
            </w:r>
            <w:r w:rsidR="00F50843">
              <w:rPr>
                <w:noProof/>
                <w:webHidden/>
              </w:rPr>
              <w:t>23</w:t>
            </w:r>
            <w:r w:rsidR="00700B4E">
              <w:rPr>
                <w:noProof/>
                <w:webHidden/>
              </w:rPr>
              <w:fldChar w:fldCharType="end"/>
            </w:r>
          </w:hyperlink>
        </w:p>
        <w:p w:rsidR="00700B4E" w:rsidRDefault="002C0F42">
          <w:pPr>
            <w:pStyle w:val="TOC2"/>
            <w:tabs>
              <w:tab w:val="right" w:leader="dot" w:pos="9016"/>
            </w:tabs>
            <w:rPr>
              <w:rFonts w:eastAsiaTheme="minorEastAsia"/>
              <w:noProof/>
              <w:lang w:eastAsia="en-AU"/>
            </w:rPr>
          </w:pPr>
          <w:hyperlink w:anchor="_Toc405895168" w:history="1">
            <w:r w:rsidR="00700B4E" w:rsidRPr="00071D80">
              <w:rPr>
                <w:rStyle w:val="Hyperlink"/>
                <w:rFonts w:cstheme="minorHAnsi"/>
                <w:noProof/>
              </w:rPr>
              <w:t>Consultation learnings</w:t>
            </w:r>
            <w:r w:rsidR="00700B4E">
              <w:rPr>
                <w:noProof/>
                <w:webHidden/>
              </w:rPr>
              <w:tab/>
            </w:r>
            <w:r w:rsidR="00700B4E">
              <w:rPr>
                <w:noProof/>
                <w:webHidden/>
              </w:rPr>
              <w:fldChar w:fldCharType="begin"/>
            </w:r>
            <w:r w:rsidR="00700B4E">
              <w:rPr>
                <w:noProof/>
                <w:webHidden/>
              </w:rPr>
              <w:instrText xml:space="preserve"> PAGEREF _Toc405895168 \h </w:instrText>
            </w:r>
            <w:r w:rsidR="00700B4E">
              <w:rPr>
                <w:noProof/>
                <w:webHidden/>
              </w:rPr>
            </w:r>
            <w:r w:rsidR="00700B4E">
              <w:rPr>
                <w:noProof/>
                <w:webHidden/>
              </w:rPr>
              <w:fldChar w:fldCharType="separate"/>
            </w:r>
            <w:r w:rsidR="00F50843">
              <w:rPr>
                <w:noProof/>
                <w:webHidden/>
              </w:rPr>
              <w:t>23</w:t>
            </w:r>
            <w:r w:rsidR="00700B4E">
              <w:rPr>
                <w:noProof/>
                <w:webHidden/>
              </w:rPr>
              <w:fldChar w:fldCharType="end"/>
            </w:r>
          </w:hyperlink>
        </w:p>
        <w:p w:rsidR="00700B4E" w:rsidRDefault="002C0F42">
          <w:pPr>
            <w:pStyle w:val="TOC3"/>
            <w:tabs>
              <w:tab w:val="right" w:leader="dot" w:pos="9016"/>
            </w:tabs>
            <w:rPr>
              <w:rFonts w:eastAsiaTheme="minorEastAsia"/>
              <w:noProof/>
              <w:lang w:eastAsia="en-AU"/>
            </w:rPr>
          </w:pPr>
          <w:hyperlink w:anchor="_Toc405895169" w:history="1">
            <w:r w:rsidR="00700B4E" w:rsidRPr="00071D80">
              <w:rPr>
                <w:rStyle w:val="Hyperlink"/>
                <w:rFonts w:cstheme="minorHAnsi"/>
                <w:noProof/>
              </w:rPr>
              <w:t>Employer survey</w:t>
            </w:r>
            <w:r w:rsidR="00700B4E">
              <w:rPr>
                <w:noProof/>
                <w:webHidden/>
              </w:rPr>
              <w:tab/>
            </w:r>
            <w:r w:rsidR="00700B4E">
              <w:rPr>
                <w:noProof/>
                <w:webHidden/>
              </w:rPr>
              <w:fldChar w:fldCharType="begin"/>
            </w:r>
            <w:r w:rsidR="00700B4E">
              <w:rPr>
                <w:noProof/>
                <w:webHidden/>
              </w:rPr>
              <w:instrText xml:space="preserve"> PAGEREF _Toc405895169 \h </w:instrText>
            </w:r>
            <w:r w:rsidR="00700B4E">
              <w:rPr>
                <w:noProof/>
                <w:webHidden/>
              </w:rPr>
            </w:r>
            <w:r w:rsidR="00700B4E">
              <w:rPr>
                <w:noProof/>
                <w:webHidden/>
              </w:rPr>
              <w:fldChar w:fldCharType="separate"/>
            </w:r>
            <w:r w:rsidR="00F50843">
              <w:rPr>
                <w:noProof/>
                <w:webHidden/>
              </w:rPr>
              <w:t>24</w:t>
            </w:r>
            <w:r w:rsidR="00700B4E">
              <w:rPr>
                <w:noProof/>
                <w:webHidden/>
              </w:rPr>
              <w:fldChar w:fldCharType="end"/>
            </w:r>
          </w:hyperlink>
        </w:p>
        <w:p w:rsidR="00700B4E" w:rsidRDefault="002C0F42">
          <w:pPr>
            <w:pStyle w:val="TOC3"/>
            <w:tabs>
              <w:tab w:val="right" w:leader="dot" w:pos="9016"/>
            </w:tabs>
            <w:rPr>
              <w:rFonts w:eastAsiaTheme="minorEastAsia"/>
              <w:noProof/>
              <w:lang w:eastAsia="en-AU"/>
            </w:rPr>
          </w:pPr>
          <w:hyperlink w:anchor="_Toc405895170" w:history="1">
            <w:r w:rsidR="00700B4E" w:rsidRPr="00071D80">
              <w:rPr>
                <w:rStyle w:val="Hyperlink"/>
                <w:rFonts w:cstheme="minorHAnsi"/>
                <w:noProof/>
              </w:rPr>
              <w:t>Submissions</w:t>
            </w:r>
            <w:r w:rsidR="00700B4E">
              <w:rPr>
                <w:noProof/>
                <w:webHidden/>
              </w:rPr>
              <w:tab/>
            </w:r>
            <w:r w:rsidR="00700B4E">
              <w:rPr>
                <w:noProof/>
                <w:webHidden/>
              </w:rPr>
              <w:fldChar w:fldCharType="begin"/>
            </w:r>
            <w:r w:rsidR="00700B4E">
              <w:rPr>
                <w:noProof/>
                <w:webHidden/>
              </w:rPr>
              <w:instrText xml:space="preserve"> PAGEREF _Toc405895170 \h </w:instrText>
            </w:r>
            <w:r w:rsidR="00700B4E">
              <w:rPr>
                <w:noProof/>
                <w:webHidden/>
              </w:rPr>
            </w:r>
            <w:r w:rsidR="00700B4E">
              <w:rPr>
                <w:noProof/>
                <w:webHidden/>
              </w:rPr>
              <w:fldChar w:fldCharType="separate"/>
            </w:r>
            <w:r w:rsidR="00F50843">
              <w:rPr>
                <w:noProof/>
                <w:webHidden/>
              </w:rPr>
              <w:t>24</w:t>
            </w:r>
            <w:r w:rsidR="00700B4E">
              <w:rPr>
                <w:noProof/>
                <w:webHidden/>
              </w:rPr>
              <w:fldChar w:fldCharType="end"/>
            </w:r>
          </w:hyperlink>
        </w:p>
        <w:p w:rsidR="00700B4E" w:rsidRDefault="002C0F42">
          <w:pPr>
            <w:pStyle w:val="TOC3"/>
            <w:tabs>
              <w:tab w:val="right" w:leader="dot" w:pos="9016"/>
            </w:tabs>
            <w:rPr>
              <w:rFonts w:eastAsiaTheme="minorEastAsia"/>
              <w:noProof/>
              <w:lang w:eastAsia="en-AU"/>
            </w:rPr>
          </w:pPr>
          <w:hyperlink w:anchor="_Toc405895171" w:history="1">
            <w:r w:rsidR="00700B4E" w:rsidRPr="00071D80">
              <w:rPr>
                <w:rStyle w:val="Hyperlink"/>
                <w:rFonts w:cstheme="minorHAnsi"/>
                <w:noProof/>
              </w:rPr>
              <w:t>Email feedback</w:t>
            </w:r>
            <w:r w:rsidR="00700B4E">
              <w:rPr>
                <w:noProof/>
                <w:webHidden/>
              </w:rPr>
              <w:tab/>
            </w:r>
            <w:r w:rsidR="00700B4E">
              <w:rPr>
                <w:noProof/>
                <w:webHidden/>
              </w:rPr>
              <w:fldChar w:fldCharType="begin"/>
            </w:r>
            <w:r w:rsidR="00700B4E">
              <w:rPr>
                <w:noProof/>
                <w:webHidden/>
              </w:rPr>
              <w:instrText xml:space="preserve"> PAGEREF _Toc405895171 \h </w:instrText>
            </w:r>
            <w:r w:rsidR="00700B4E">
              <w:rPr>
                <w:noProof/>
                <w:webHidden/>
              </w:rPr>
            </w:r>
            <w:r w:rsidR="00700B4E">
              <w:rPr>
                <w:noProof/>
                <w:webHidden/>
              </w:rPr>
              <w:fldChar w:fldCharType="separate"/>
            </w:r>
            <w:r w:rsidR="00F50843">
              <w:rPr>
                <w:noProof/>
                <w:webHidden/>
              </w:rPr>
              <w:t>25</w:t>
            </w:r>
            <w:r w:rsidR="00700B4E">
              <w:rPr>
                <w:noProof/>
                <w:webHidden/>
              </w:rPr>
              <w:fldChar w:fldCharType="end"/>
            </w:r>
          </w:hyperlink>
        </w:p>
        <w:p w:rsidR="00700B4E" w:rsidRDefault="002C0F42">
          <w:pPr>
            <w:pStyle w:val="TOC3"/>
            <w:tabs>
              <w:tab w:val="right" w:leader="dot" w:pos="9016"/>
            </w:tabs>
            <w:rPr>
              <w:rFonts w:eastAsiaTheme="minorEastAsia"/>
              <w:noProof/>
              <w:lang w:eastAsia="en-AU"/>
            </w:rPr>
          </w:pPr>
          <w:hyperlink w:anchor="_Toc405895172" w:history="1">
            <w:r w:rsidR="00700B4E" w:rsidRPr="00071D80">
              <w:rPr>
                <w:rStyle w:val="Hyperlink"/>
                <w:rFonts w:cstheme="minorHAnsi"/>
                <w:noProof/>
              </w:rPr>
              <w:t>Employer conversations conducted by the Department</w:t>
            </w:r>
            <w:r w:rsidR="00700B4E">
              <w:rPr>
                <w:noProof/>
                <w:webHidden/>
              </w:rPr>
              <w:tab/>
            </w:r>
            <w:r w:rsidR="00700B4E">
              <w:rPr>
                <w:noProof/>
                <w:webHidden/>
              </w:rPr>
              <w:fldChar w:fldCharType="begin"/>
            </w:r>
            <w:r w:rsidR="00700B4E">
              <w:rPr>
                <w:noProof/>
                <w:webHidden/>
              </w:rPr>
              <w:instrText xml:space="preserve"> PAGEREF _Toc405895172 \h </w:instrText>
            </w:r>
            <w:r w:rsidR="00700B4E">
              <w:rPr>
                <w:noProof/>
                <w:webHidden/>
              </w:rPr>
            </w:r>
            <w:r w:rsidR="00700B4E">
              <w:rPr>
                <w:noProof/>
                <w:webHidden/>
              </w:rPr>
              <w:fldChar w:fldCharType="separate"/>
            </w:r>
            <w:r w:rsidR="00F50843">
              <w:rPr>
                <w:noProof/>
                <w:webHidden/>
              </w:rPr>
              <w:t>25</w:t>
            </w:r>
            <w:r w:rsidR="00700B4E">
              <w:rPr>
                <w:noProof/>
                <w:webHidden/>
              </w:rPr>
              <w:fldChar w:fldCharType="end"/>
            </w:r>
          </w:hyperlink>
        </w:p>
        <w:p w:rsidR="00700B4E" w:rsidRDefault="002C0F42">
          <w:pPr>
            <w:pStyle w:val="TOC3"/>
            <w:tabs>
              <w:tab w:val="right" w:leader="dot" w:pos="9016"/>
            </w:tabs>
            <w:rPr>
              <w:rFonts w:eastAsiaTheme="minorEastAsia"/>
              <w:noProof/>
              <w:lang w:eastAsia="en-AU"/>
            </w:rPr>
          </w:pPr>
          <w:hyperlink w:anchor="_Toc405895173" w:history="1">
            <w:r w:rsidR="00700B4E" w:rsidRPr="00071D80">
              <w:rPr>
                <w:rStyle w:val="Hyperlink"/>
                <w:rFonts w:cstheme="minorHAnsi"/>
                <w:noProof/>
              </w:rPr>
              <w:t>Stakeholder consultation sessions</w:t>
            </w:r>
            <w:r w:rsidR="00700B4E">
              <w:rPr>
                <w:noProof/>
                <w:webHidden/>
              </w:rPr>
              <w:tab/>
            </w:r>
            <w:r w:rsidR="00700B4E">
              <w:rPr>
                <w:noProof/>
                <w:webHidden/>
              </w:rPr>
              <w:fldChar w:fldCharType="begin"/>
            </w:r>
            <w:r w:rsidR="00700B4E">
              <w:rPr>
                <w:noProof/>
                <w:webHidden/>
              </w:rPr>
              <w:instrText xml:space="preserve"> PAGEREF _Toc405895173 \h </w:instrText>
            </w:r>
            <w:r w:rsidR="00700B4E">
              <w:rPr>
                <w:noProof/>
                <w:webHidden/>
              </w:rPr>
            </w:r>
            <w:r w:rsidR="00700B4E">
              <w:rPr>
                <w:noProof/>
                <w:webHidden/>
              </w:rPr>
              <w:fldChar w:fldCharType="separate"/>
            </w:r>
            <w:r w:rsidR="00F50843">
              <w:rPr>
                <w:noProof/>
                <w:webHidden/>
              </w:rPr>
              <w:t>25</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74" w:history="1">
            <w:r w:rsidR="00700B4E" w:rsidRPr="00071D80">
              <w:rPr>
                <w:rStyle w:val="Hyperlink"/>
                <w:rFonts w:cstheme="minorHAnsi"/>
                <w:noProof/>
              </w:rPr>
              <w:t>Recommended Option</w:t>
            </w:r>
            <w:r w:rsidR="00700B4E">
              <w:rPr>
                <w:noProof/>
                <w:webHidden/>
              </w:rPr>
              <w:tab/>
            </w:r>
            <w:r w:rsidR="00700B4E">
              <w:rPr>
                <w:noProof/>
                <w:webHidden/>
              </w:rPr>
              <w:fldChar w:fldCharType="begin"/>
            </w:r>
            <w:r w:rsidR="00700B4E">
              <w:rPr>
                <w:noProof/>
                <w:webHidden/>
              </w:rPr>
              <w:instrText xml:space="preserve"> PAGEREF _Toc405895174 \h </w:instrText>
            </w:r>
            <w:r w:rsidR="00700B4E">
              <w:rPr>
                <w:noProof/>
                <w:webHidden/>
              </w:rPr>
            </w:r>
            <w:r w:rsidR="00700B4E">
              <w:rPr>
                <w:noProof/>
                <w:webHidden/>
              </w:rPr>
              <w:fldChar w:fldCharType="separate"/>
            </w:r>
            <w:r w:rsidR="00F50843">
              <w:rPr>
                <w:noProof/>
                <w:webHidden/>
              </w:rPr>
              <w:t>26</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75" w:history="1">
            <w:r w:rsidR="00700B4E" w:rsidRPr="00071D80">
              <w:rPr>
                <w:rStyle w:val="Hyperlink"/>
                <w:rFonts w:cstheme="minorHAnsi"/>
                <w:noProof/>
              </w:rPr>
              <w:t>Implementation and Review</w:t>
            </w:r>
            <w:r w:rsidR="00700B4E">
              <w:rPr>
                <w:noProof/>
                <w:webHidden/>
              </w:rPr>
              <w:tab/>
            </w:r>
            <w:r w:rsidR="00700B4E">
              <w:rPr>
                <w:noProof/>
                <w:webHidden/>
              </w:rPr>
              <w:fldChar w:fldCharType="begin"/>
            </w:r>
            <w:r w:rsidR="00700B4E">
              <w:rPr>
                <w:noProof/>
                <w:webHidden/>
              </w:rPr>
              <w:instrText xml:space="preserve"> PAGEREF _Toc405895175 \h </w:instrText>
            </w:r>
            <w:r w:rsidR="00700B4E">
              <w:rPr>
                <w:noProof/>
                <w:webHidden/>
              </w:rPr>
            </w:r>
            <w:r w:rsidR="00700B4E">
              <w:rPr>
                <w:noProof/>
                <w:webHidden/>
              </w:rPr>
              <w:fldChar w:fldCharType="separate"/>
            </w:r>
            <w:r w:rsidR="00F50843">
              <w:rPr>
                <w:noProof/>
                <w:webHidden/>
              </w:rPr>
              <w:t>26</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76" w:history="1">
            <w:r w:rsidR="00700B4E" w:rsidRPr="00071D80">
              <w:rPr>
                <w:rStyle w:val="Hyperlink"/>
                <w:noProof/>
              </w:rPr>
              <w:t>Appendix A – Schedule 1 and 2 Reporting Requirements</w:t>
            </w:r>
            <w:r w:rsidR="00700B4E">
              <w:rPr>
                <w:noProof/>
                <w:webHidden/>
              </w:rPr>
              <w:tab/>
            </w:r>
            <w:r w:rsidR="00700B4E">
              <w:rPr>
                <w:noProof/>
                <w:webHidden/>
              </w:rPr>
              <w:fldChar w:fldCharType="begin"/>
            </w:r>
            <w:r w:rsidR="00700B4E">
              <w:rPr>
                <w:noProof/>
                <w:webHidden/>
              </w:rPr>
              <w:instrText xml:space="preserve"> PAGEREF _Toc405895176 \h </w:instrText>
            </w:r>
            <w:r w:rsidR="00700B4E">
              <w:rPr>
                <w:noProof/>
                <w:webHidden/>
              </w:rPr>
            </w:r>
            <w:r w:rsidR="00700B4E">
              <w:rPr>
                <w:noProof/>
                <w:webHidden/>
              </w:rPr>
              <w:fldChar w:fldCharType="separate"/>
            </w:r>
            <w:r w:rsidR="00F50843">
              <w:rPr>
                <w:noProof/>
                <w:webHidden/>
              </w:rPr>
              <w:t>28</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77" w:history="1">
            <w:r w:rsidR="00700B4E" w:rsidRPr="00071D80">
              <w:rPr>
                <w:rStyle w:val="Hyperlink"/>
                <w:rFonts w:cstheme="minorHAnsi"/>
                <w:noProof/>
              </w:rPr>
              <w:t>Appendix B – The Economic and Business Case for Improving Gender Equality in the Workplace</w:t>
            </w:r>
            <w:r w:rsidR="00700B4E">
              <w:rPr>
                <w:noProof/>
                <w:webHidden/>
              </w:rPr>
              <w:tab/>
            </w:r>
            <w:r w:rsidR="00700B4E">
              <w:rPr>
                <w:noProof/>
                <w:webHidden/>
              </w:rPr>
              <w:fldChar w:fldCharType="begin"/>
            </w:r>
            <w:r w:rsidR="00700B4E">
              <w:rPr>
                <w:noProof/>
                <w:webHidden/>
              </w:rPr>
              <w:instrText xml:space="preserve"> PAGEREF _Toc405895177 \h </w:instrText>
            </w:r>
            <w:r w:rsidR="00700B4E">
              <w:rPr>
                <w:noProof/>
                <w:webHidden/>
              </w:rPr>
            </w:r>
            <w:r w:rsidR="00700B4E">
              <w:rPr>
                <w:noProof/>
                <w:webHidden/>
              </w:rPr>
              <w:fldChar w:fldCharType="separate"/>
            </w:r>
            <w:r w:rsidR="00F50843">
              <w:rPr>
                <w:noProof/>
                <w:webHidden/>
              </w:rPr>
              <w:t>31</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78" w:history="1">
            <w:r w:rsidR="00700B4E" w:rsidRPr="00071D80">
              <w:rPr>
                <w:rStyle w:val="Hyperlink"/>
                <w:rFonts w:cstheme="minorHAnsi"/>
                <w:noProof/>
              </w:rPr>
              <w:t>Appendix C – Workplace Profile</w:t>
            </w:r>
            <w:r w:rsidR="00700B4E">
              <w:rPr>
                <w:noProof/>
                <w:webHidden/>
              </w:rPr>
              <w:tab/>
            </w:r>
            <w:r w:rsidR="00700B4E">
              <w:rPr>
                <w:noProof/>
                <w:webHidden/>
              </w:rPr>
              <w:fldChar w:fldCharType="begin"/>
            </w:r>
            <w:r w:rsidR="00700B4E">
              <w:rPr>
                <w:noProof/>
                <w:webHidden/>
              </w:rPr>
              <w:instrText xml:space="preserve"> PAGEREF _Toc405895178 \h </w:instrText>
            </w:r>
            <w:r w:rsidR="00700B4E">
              <w:rPr>
                <w:noProof/>
                <w:webHidden/>
              </w:rPr>
            </w:r>
            <w:r w:rsidR="00700B4E">
              <w:rPr>
                <w:noProof/>
                <w:webHidden/>
              </w:rPr>
              <w:fldChar w:fldCharType="separate"/>
            </w:r>
            <w:r w:rsidR="00F50843">
              <w:rPr>
                <w:noProof/>
                <w:webHidden/>
              </w:rPr>
              <w:t>37</w:t>
            </w:r>
            <w:r w:rsidR="00700B4E">
              <w:rPr>
                <w:noProof/>
                <w:webHidden/>
              </w:rPr>
              <w:fldChar w:fldCharType="end"/>
            </w:r>
          </w:hyperlink>
        </w:p>
        <w:p w:rsidR="00700B4E" w:rsidRDefault="002C0F42">
          <w:pPr>
            <w:pStyle w:val="TOC1"/>
            <w:tabs>
              <w:tab w:val="right" w:leader="dot" w:pos="9016"/>
            </w:tabs>
            <w:rPr>
              <w:rFonts w:eastAsiaTheme="minorEastAsia"/>
              <w:noProof/>
              <w:lang w:eastAsia="en-AU"/>
            </w:rPr>
          </w:pPr>
          <w:hyperlink w:anchor="_Toc405895179" w:history="1">
            <w:r w:rsidR="00700B4E" w:rsidRPr="00071D80">
              <w:rPr>
                <w:rStyle w:val="Hyperlink"/>
                <w:rFonts w:cstheme="minorHAnsi"/>
                <w:noProof/>
              </w:rPr>
              <w:t>Appendix D – Summary of Submissions</w:t>
            </w:r>
            <w:r w:rsidR="00700B4E">
              <w:rPr>
                <w:noProof/>
                <w:webHidden/>
              </w:rPr>
              <w:tab/>
            </w:r>
            <w:r w:rsidR="00700B4E">
              <w:rPr>
                <w:noProof/>
                <w:webHidden/>
              </w:rPr>
              <w:fldChar w:fldCharType="begin"/>
            </w:r>
            <w:r w:rsidR="00700B4E">
              <w:rPr>
                <w:noProof/>
                <w:webHidden/>
              </w:rPr>
              <w:instrText xml:space="preserve"> PAGEREF _Toc405895179 \h </w:instrText>
            </w:r>
            <w:r w:rsidR="00700B4E">
              <w:rPr>
                <w:noProof/>
                <w:webHidden/>
              </w:rPr>
            </w:r>
            <w:r w:rsidR="00700B4E">
              <w:rPr>
                <w:noProof/>
                <w:webHidden/>
              </w:rPr>
              <w:fldChar w:fldCharType="separate"/>
            </w:r>
            <w:r w:rsidR="00F50843">
              <w:rPr>
                <w:noProof/>
                <w:webHidden/>
              </w:rPr>
              <w:t>39</w:t>
            </w:r>
            <w:r w:rsidR="00700B4E">
              <w:rPr>
                <w:noProof/>
                <w:webHidden/>
              </w:rPr>
              <w:fldChar w:fldCharType="end"/>
            </w:r>
          </w:hyperlink>
        </w:p>
        <w:p w:rsidR="006D4988" w:rsidRPr="006D4988" w:rsidRDefault="0036234F">
          <w:pPr>
            <w:rPr>
              <w:rFonts w:cstheme="minorHAnsi"/>
            </w:rPr>
          </w:pPr>
          <w:r w:rsidRPr="006D4988">
            <w:rPr>
              <w:rFonts w:cstheme="minorHAnsi"/>
              <w:b/>
              <w:bCs/>
              <w:noProof/>
            </w:rPr>
            <w:fldChar w:fldCharType="end"/>
          </w:r>
        </w:p>
      </w:sdtContent>
    </w:sdt>
    <w:p w:rsidR="00713742" w:rsidRPr="006D4988" w:rsidRDefault="00A14472" w:rsidP="00A14472">
      <w:pPr>
        <w:pStyle w:val="Heading1"/>
        <w:rPr>
          <w:rFonts w:asciiTheme="minorHAnsi" w:hAnsiTheme="minorHAnsi" w:cstheme="minorHAnsi"/>
        </w:rPr>
      </w:pPr>
      <w:bookmarkStart w:id="1" w:name="_Toc405895151"/>
      <w:bookmarkStart w:id="2" w:name="_Toc404158249"/>
      <w:r w:rsidRPr="006D4988">
        <w:rPr>
          <w:rFonts w:asciiTheme="minorHAnsi" w:hAnsiTheme="minorHAnsi" w:cstheme="minorHAnsi"/>
        </w:rPr>
        <w:lastRenderedPageBreak/>
        <w:t>Regulation Impact Statement</w:t>
      </w:r>
      <w:bookmarkEnd w:id="1"/>
      <w:r w:rsidR="008A6064" w:rsidRPr="006D4988">
        <w:rPr>
          <w:rFonts w:asciiTheme="minorHAnsi" w:hAnsiTheme="minorHAnsi" w:cstheme="minorHAnsi"/>
        </w:rPr>
        <w:t xml:space="preserve"> </w:t>
      </w:r>
      <w:bookmarkEnd w:id="2"/>
    </w:p>
    <w:p w:rsidR="002C5F6C" w:rsidRPr="006D4988" w:rsidRDefault="002C5F6C" w:rsidP="002C5F6C">
      <w:pPr>
        <w:rPr>
          <w:rFonts w:cstheme="minorHAnsi"/>
          <w:i/>
        </w:rPr>
      </w:pPr>
      <w:r w:rsidRPr="006D4988">
        <w:rPr>
          <w:rFonts w:cstheme="minorHAnsi"/>
        </w:rPr>
        <w:t>This Regulation Impact Statement</w:t>
      </w:r>
      <w:r w:rsidR="007A2177" w:rsidRPr="006D4988">
        <w:rPr>
          <w:rFonts w:cstheme="minorHAnsi"/>
        </w:rPr>
        <w:t xml:space="preserve"> (</w:t>
      </w:r>
      <w:proofErr w:type="spellStart"/>
      <w:r w:rsidR="007A2177" w:rsidRPr="006D4988">
        <w:rPr>
          <w:rFonts w:cstheme="minorHAnsi"/>
        </w:rPr>
        <w:t>RIS</w:t>
      </w:r>
      <w:proofErr w:type="spellEnd"/>
      <w:r w:rsidR="007A2177" w:rsidRPr="006D4988">
        <w:rPr>
          <w:rFonts w:cstheme="minorHAnsi"/>
        </w:rPr>
        <w:t>)</w:t>
      </w:r>
      <w:r w:rsidRPr="006D4988">
        <w:rPr>
          <w:rFonts w:cstheme="minorHAnsi"/>
        </w:rPr>
        <w:t xml:space="preserve"> has been prepared by the Department of Employment (the Department). The purpose of the </w:t>
      </w:r>
      <w:proofErr w:type="spellStart"/>
      <w:r w:rsidR="007A2177" w:rsidRPr="006D4988">
        <w:rPr>
          <w:rFonts w:cstheme="minorHAnsi"/>
        </w:rPr>
        <w:t>RIS</w:t>
      </w:r>
      <w:proofErr w:type="spellEnd"/>
      <w:r w:rsidRPr="006D4988">
        <w:rPr>
          <w:rFonts w:cstheme="minorHAnsi"/>
        </w:rPr>
        <w:t xml:space="preserve"> is to assist the Australian Government to make decisions regarding reporting requirements for employers under the </w:t>
      </w:r>
      <w:r w:rsidRPr="006D4988">
        <w:rPr>
          <w:rFonts w:cstheme="minorHAnsi"/>
          <w:i/>
        </w:rPr>
        <w:t>Workplace Gender Equality Act 2012</w:t>
      </w:r>
      <w:r w:rsidRPr="006D4988">
        <w:rPr>
          <w:rFonts w:cstheme="minorHAnsi"/>
        </w:rPr>
        <w:t xml:space="preserve"> (the Act) and the </w:t>
      </w:r>
      <w:r w:rsidRPr="006D4988">
        <w:rPr>
          <w:rFonts w:cstheme="minorHAnsi"/>
          <w:i/>
        </w:rPr>
        <w:t>Workplace Gender Equality (Matters in relation to Gender Equality Indicators) Instrument 2013 (No. 1)</w:t>
      </w:r>
      <w:r w:rsidRPr="006D4988">
        <w:rPr>
          <w:rFonts w:cstheme="minorHAnsi"/>
        </w:rPr>
        <w:t xml:space="preserve"> (the Instrument).</w:t>
      </w:r>
    </w:p>
    <w:p w:rsidR="002C5F6C" w:rsidRPr="006D4988" w:rsidRDefault="002C5F6C" w:rsidP="002C5F6C">
      <w:pPr>
        <w:spacing w:after="0"/>
        <w:rPr>
          <w:rFonts w:cstheme="minorHAnsi"/>
        </w:rPr>
      </w:pPr>
      <w:r w:rsidRPr="006D4988">
        <w:rPr>
          <w:rFonts w:cstheme="minorHAnsi"/>
        </w:rPr>
        <w:t xml:space="preserve">This </w:t>
      </w:r>
      <w:proofErr w:type="spellStart"/>
      <w:r w:rsidR="007A2177" w:rsidRPr="006D4988">
        <w:rPr>
          <w:rFonts w:cstheme="minorHAnsi"/>
        </w:rPr>
        <w:t>RIS</w:t>
      </w:r>
      <w:proofErr w:type="spellEnd"/>
      <w:r w:rsidRPr="006D4988">
        <w:rPr>
          <w:rFonts w:cstheme="minorHAnsi"/>
        </w:rPr>
        <w:t xml:space="preserve"> has been prepared in accordance with the </w:t>
      </w:r>
      <w:r w:rsidRPr="006D4988">
        <w:rPr>
          <w:rFonts w:cstheme="minorHAnsi"/>
          <w:i/>
        </w:rPr>
        <w:t>Australian Government Guide to Regulation 2014</w:t>
      </w:r>
      <w:r w:rsidRPr="006D4988">
        <w:rPr>
          <w:rFonts w:cstheme="minorHAnsi"/>
        </w:rPr>
        <w:t xml:space="preserve"> and in consultation with the Office of Best Practice Regulation </w:t>
      </w:r>
      <w:r w:rsidR="00B36113">
        <w:rPr>
          <w:rFonts w:cstheme="minorHAnsi"/>
        </w:rPr>
        <w:t>(</w:t>
      </w:r>
      <w:proofErr w:type="spellStart"/>
      <w:r w:rsidR="00B36113">
        <w:rPr>
          <w:rFonts w:cstheme="minorHAnsi"/>
        </w:rPr>
        <w:t>OBPR</w:t>
      </w:r>
      <w:proofErr w:type="spellEnd"/>
      <w:r w:rsidR="00B36113">
        <w:rPr>
          <w:rFonts w:cstheme="minorHAnsi"/>
        </w:rPr>
        <w:t>)</w:t>
      </w:r>
      <w:r w:rsidRPr="006D4988">
        <w:rPr>
          <w:rFonts w:cstheme="minorHAnsi"/>
        </w:rPr>
        <w:t xml:space="preserve"> in the Department of the Prime Minister and Cabinet. The </w:t>
      </w:r>
      <w:proofErr w:type="spellStart"/>
      <w:r w:rsidR="00B6230A" w:rsidRPr="006D4988">
        <w:rPr>
          <w:rFonts w:cstheme="minorHAnsi"/>
        </w:rPr>
        <w:t>RIS</w:t>
      </w:r>
      <w:proofErr w:type="spellEnd"/>
      <w:r w:rsidRPr="006D4988">
        <w:rPr>
          <w:rFonts w:cstheme="minorHAnsi"/>
        </w:rPr>
        <w:t xml:space="preserve"> addresses the seven Regulation Impact Statement questions:</w:t>
      </w:r>
    </w:p>
    <w:p w:rsidR="002C5F6C" w:rsidRPr="006D4988" w:rsidRDefault="002C5F6C" w:rsidP="003E6551">
      <w:pPr>
        <w:pStyle w:val="ListParagraph"/>
        <w:numPr>
          <w:ilvl w:val="0"/>
          <w:numId w:val="43"/>
        </w:numPr>
        <w:spacing w:before="120" w:after="120" w:line="276" w:lineRule="auto"/>
        <w:contextualSpacing w:val="0"/>
        <w:rPr>
          <w:rFonts w:asciiTheme="minorHAnsi" w:hAnsiTheme="minorHAnsi" w:cstheme="minorHAnsi"/>
          <w:sz w:val="22"/>
          <w:szCs w:val="22"/>
        </w:rPr>
      </w:pPr>
      <w:r w:rsidRPr="006D4988">
        <w:rPr>
          <w:rFonts w:asciiTheme="minorHAnsi" w:hAnsiTheme="minorHAnsi" w:cstheme="minorHAnsi"/>
          <w:sz w:val="22"/>
          <w:szCs w:val="22"/>
        </w:rPr>
        <w:t>What is the policy problem to be solved?</w:t>
      </w:r>
    </w:p>
    <w:p w:rsidR="002C5F6C" w:rsidRPr="006D4988" w:rsidRDefault="002C5F6C" w:rsidP="003E6551">
      <w:pPr>
        <w:pStyle w:val="ListParagraph"/>
        <w:numPr>
          <w:ilvl w:val="0"/>
          <w:numId w:val="43"/>
        </w:numPr>
        <w:spacing w:before="120" w:after="120" w:line="276" w:lineRule="auto"/>
        <w:contextualSpacing w:val="0"/>
        <w:rPr>
          <w:rFonts w:asciiTheme="minorHAnsi" w:hAnsiTheme="minorHAnsi" w:cstheme="minorHAnsi"/>
          <w:sz w:val="22"/>
          <w:szCs w:val="22"/>
        </w:rPr>
      </w:pPr>
      <w:r w:rsidRPr="006D4988">
        <w:rPr>
          <w:rFonts w:asciiTheme="minorHAnsi" w:hAnsiTheme="minorHAnsi" w:cstheme="minorHAnsi"/>
          <w:sz w:val="22"/>
          <w:szCs w:val="22"/>
        </w:rPr>
        <w:t>Why is Government action needed?</w:t>
      </w:r>
    </w:p>
    <w:p w:rsidR="002C5F6C" w:rsidRPr="006D4988" w:rsidRDefault="002C5F6C" w:rsidP="003E6551">
      <w:pPr>
        <w:pStyle w:val="ListParagraph"/>
        <w:numPr>
          <w:ilvl w:val="0"/>
          <w:numId w:val="43"/>
        </w:numPr>
        <w:spacing w:before="120" w:after="120" w:line="276" w:lineRule="auto"/>
        <w:contextualSpacing w:val="0"/>
        <w:rPr>
          <w:rFonts w:asciiTheme="minorHAnsi" w:hAnsiTheme="minorHAnsi" w:cstheme="minorHAnsi"/>
          <w:sz w:val="22"/>
          <w:szCs w:val="22"/>
        </w:rPr>
      </w:pPr>
      <w:r w:rsidRPr="006D4988">
        <w:rPr>
          <w:rFonts w:asciiTheme="minorHAnsi" w:hAnsiTheme="minorHAnsi" w:cstheme="minorHAnsi"/>
          <w:sz w:val="22"/>
          <w:szCs w:val="22"/>
        </w:rPr>
        <w:t>What policy options are being considered?</w:t>
      </w:r>
    </w:p>
    <w:p w:rsidR="002C5F6C" w:rsidRPr="006D4988" w:rsidRDefault="002C5F6C" w:rsidP="003E6551">
      <w:pPr>
        <w:pStyle w:val="ListParagraph"/>
        <w:numPr>
          <w:ilvl w:val="0"/>
          <w:numId w:val="43"/>
        </w:numPr>
        <w:spacing w:before="120" w:after="120" w:line="276" w:lineRule="auto"/>
        <w:contextualSpacing w:val="0"/>
        <w:rPr>
          <w:rFonts w:asciiTheme="minorHAnsi" w:hAnsiTheme="minorHAnsi" w:cstheme="minorHAnsi"/>
          <w:sz w:val="22"/>
          <w:szCs w:val="22"/>
        </w:rPr>
      </w:pPr>
      <w:r w:rsidRPr="006D4988">
        <w:rPr>
          <w:rFonts w:asciiTheme="minorHAnsi" w:hAnsiTheme="minorHAnsi" w:cstheme="minorHAnsi"/>
          <w:sz w:val="22"/>
          <w:szCs w:val="22"/>
        </w:rPr>
        <w:t>What is the likely net benefit of each option?</w:t>
      </w:r>
    </w:p>
    <w:p w:rsidR="002C5F6C" w:rsidRPr="006D4988" w:rsidRDefault="002C5F6C" w:rsidP="003E6551">
      <w:pPr>
        <w:pStyle w:val="ListParagraph"/>
        <w:numPr>
          <w:ilvl w:val="0"/>
          <w:numId w:val="43"/>
        </w:numPr>
        <w:spacing w:before="120" w:after="120" w:line="276" w:lineRule="auto"/>
        <w:contextualSpacing w:val="0"/>
        <w:rPr>
          <w:rFonts w:asciiTheme="minorHAnsi" w:hAnsiTheme="minorHAnsi" w:cstheme="minorHAnsi"/>
          <w:sz w:val="22"/>
          <w:szCs w:val="22"/>
        </w:rPr>
      </w:pPr>
      <w:r w:rsidRPr="006D4988">
        <w:rPr>
          <w:rFonts w:asciiTheme="minorHAnsi" w:hAnsiTheme="minorHAnsi" w:cstheme="minorHAnsi"/>
          <w:sz w:val="22"/>
          <w:szCs w:val="22"/>
        </w:rPr>
        <w:t>Who will you consult and how will you consult them?</w:t>
      </w:r>
    </w:p>
    <w:p w:rsidR="002C5F6C" w:rsidRPr="006D4988" w:rsidRDefault="002C5F6C" w:rsidP="003E6551">
      <w:pPr>
        <w:pStyle w:val="ListParagraph"/>
        <w:numPr>
          <w:ilvl w:val="0"/>
          <w:numId w:val="43"/>
        </w:numPr>
        <w:spacing w:before="120" w:after="120" w:line="276" w:lineRule="auto"/>
        <w:contextualSpacing w:val="0"/>
        <w:rPr>
          <w:rFonts w:asciiTheme="minorHAnsi" w:hAnsiTheme="minorHAnsi" w:cstheme="minorHAnsi"/>
          <w:sz w:val="22"/>
          <w:szCs w:val="22"/>
        </w:rPr>
      </w:pPr>
      <w:r w:rsidRPr="006D4988">
        <w:rPr>
          <w:rFonts w:asciiTheme="minorHAnsi" w:hAnsiTheme="minorHAnsi" w:cstheme="minorHAnsi"/>
          <w:sz w:val="22"/>
          <w:szCs w:val="22"/>
        </w:rPr>
        <w:t>What is the best option from those considered?</w:t>
      </w:r>
    </w:p>
    <w:p w:rsidR="002C5F6C" w:rsidRPr="006D4988" w:rsidRDefault="002C5F6C" w:rsidP="003E6551">
      <w:pPr>
        <w:pStyle w:val="ListParagraph"/>
        <w:numPr>
          <w:ilvl w:val="0"/>
          <w:numId w:val="43"/>
        </w:numPr>
        <w:spacing w:before="120" w:after="120" w:line="276" w:lineRule="auto"/>
        <w:contextualSpacing w:val="0"/>
        <w:rPr>
          <w:rFonts w:asciiTheme="minorHAnsi" w:hAnsiTheme="minorHAnsi" w:cstheme="minorHAnsi"/>
          <w:sz w:val="22"/>
          <w:szCs w:val="22"/>
        </w:rPr>
      </w:pPr>
      <w:r w:rsidRPr="006D4988">
        <w:rPr>
          <w:rFonts w:asciiTheme="minorHAnsi" w:hAnsiTheme="minorHAnsi" w:cstheme="minorHAnsi"/>
          <w:sz w:val="22"/>
          <w:szCs w:val="22"/>
        </w:rPr>
        <w:t>How will the chosen option be implemented and evaluated?</w:t>
      </w:r>
    </w:p>
    <w:p w:rsidR="00A14472" w:rsidRPr="0069298D" w:rsidRDefault="00A14472" w:rsidP="000404B7">
      <w:pPr>
        <w:pStyle w:val="Heading1"/>
        <w:spacing w:before="240"/>
        <w:rPr>
          <w:rFonts w:asciiTheme="minorHAnsi" w:hAnsiTheme="minorHAnsi" w:cstheme="minorHAnsi"/>
        </w:rPr>
      </w:pPr>
      <w:bookmarkStart w:id="3" w:name="_Toc404158250"/>
      <w:bookmarkStart w:id="4" w:name="_Toc405895152"/>
      <w:r w:rsidRPr="0069298D">
        <w:rPr>
          <w:rFonts w:asciiTheme="minorHAnsi" w:hAnsiTheme="minorHAnsi" w:cstheme="minorHAnsi"/>
        </w:rPr>
        <w:t>Background</w:t>
      </w:r>
      <w:bookmarkEnd w:id="3"/>
      <w:bookmarkEnd w:id="4"/>
    </w:p>
    <w:p w:rsidR="004F0724" w:rsidRPr="006D4988" w:rsidRDefault="004F0724" w:rsidP="00AE51C4">
      <w:pPr>
        <w:rPr>
          <w:rFonts w:cstheme="minorHAnsi"/>
        </w:rPr>
      </w:pPr>
      <w:r w:rsidRPr="006D4988">
        <w:rPr>
          <w:rFonts w:cstheme="minorHAnsi"/>
        </w:rPr>
        <w:t xml:space="preserve">The Act has its origins in the </w:t>
      </w:r>
      <w:r w:rsidRPr="006D4988">
        <w:rPr>
          <w:rFonts w:cstheme="minorHAnsi"/>
          <w:i/>
        </w:rPr>
        <w:t>Equal Opportunity for Women in the Workplace Act 1999</w:t>
      </w:r>
      <w:r w:rsidRPr="006D4988">
        <w:rPr>
          <w:rFonts w:cstheme="minorHAnsi"/>
        </w:rPr>
        <w:t xml:space="preserve"> before it was renamed and refocused</w:t>
      </w:r>
      <w:r w:rsidR="008D5FD5" w:rsidRPr="006D4988">
        <w:rPr>
          <w:rFonts w:cstheme="minorHAnsi"/>
        </w:rPr>
        <w:t xml:space="preserve"> </w:t>
      </w:r>
      <w:r w:rsidR="00E57ABE" w:rsidRPr="006D4988">
        <w:rPr>
          <w:rFonts w:cstheme="minorHAnsi"/>
        </w:rPr>
        <w:t>in 2012</w:t>
      </w:r>
      <w:r w:rsidRPr="006D4988">
        <w:rPr>
          <w:rFonts w:cstheme="minorHAnsi"/>
        </w:rPr>
        <w:t xml:space="preserve"> to promote and improve gender equality outcomes in the workplace.</w:t>
      </w:r>
    </w:p>
    <w:p w:rsidR="0025033F" w:rsidRPr="006D4988" w:rsidRDefault="00AE51C4" w:rsidP="0025033F">
      <w:pPr>
        <w:spacing w:after="0"/>
        <w:rPr>
          <w:rFonts w:cstheme="minorHAnsi"/>
        </w:rPr>
      </w:pPr>
      <w:r w:rsidRPr="006D4988">
        <w:rPr>
          <w:rFonts w:cstheme="minorHAnsi"/>
        </w:rPr>
        <w:t>The principal objectives of the Act are to</w:t>
      </w:r>
      <w:r w:rsidR="0025033F" w:rsidRPr="006D4988">
        <w:rPr>
          <w:rFonts w:cstheme="minorHAnsi"/>
        </w:rPr>
        <w:t>:</w:t>
      </w:r>
    </w:p>
    <w:p w:rsidR="0025033F" w:rsidRPr="006D4988" w:rsidRDefault="00AE51C4" w:rsidP="003E6551">
      <w:pPr>
        <w:pStyle w:val="ListParagraph"/>
        <w:numPr>
          <w:ilvl w:val="0"/>
          <w:numId w:val="38"/>
        </w:numPr>
        <w:spacing w:before="120" w:after="120" w:line="276" w:lineRule="auto"/>
        <w:ind w:left="714" w:hanging="357"/>
        <w:contextualSpacing w:val="0"/>
        <w:rPr>
          <w:rFonts w:asciiTheme="minorHAnsi" w:hAnsiTheme="minorHAnsi" w:cstheme="minorHAnsi"/>
          <w:sz w:val="22"/>
          <w:szCs w:val="22"/>
        </w:rPr>
      </w:pPr>
      <w:r w:rsidRPr="006D4988">
        <w:rPr>
          <w:rFonts w:asciiTheme="minorHAnsi" w:hAnsiTheme="minorHAnsi" w:cstheme="minorHAnsi"/>
          <w:sz w:val="22"/>
          <w:szCs w:val="22"/>
        </w:rPr>
        <w:t>promote and improve gender equality (including equal remuneration) i</w:t>
      </w:r>
      <w:r w:rsidR="0025033F" w:rsidRPr="006D4988">
        <w:rPr>
          <w:rFonts w:asciiTheme="minorHAnsi" w:hAnsiTheme="minorHAnsi" w:cstheme="minorHAnsi"/>
          <w:sz w:val="22"/>
          <w:szCs w:val="22"/>
        </w:rPr>
        <w:t>n employment and the workplace</w:t>
      </w:r>
    </w:p>
    <w:p w:rsidR="0025033F" w:rsidRPr="006D4988" w:rsidRDefault="00AE51C4" w:rsidP="003E6551">
      <w:pPr>
        <w:pStyle w:val="ListParagraph"/>
        <w:numPr>
          <w:ilvl w:val="0"/>
          <w:numId w:val="38"/>
        </w:numPr>
        <w:spacing w:before="120" w:after="120" w:line="276" w:lineRule="auto"/>
        <w:ind w:left="714" w:hanging="357"/>
        <w:contextualSpacing w:val="0"/>
        <w:rPr>
          <w:rFonts w:asciiTheme="minorHAnsi" w:hAnsiTheme="minorHAnsi" w:cstheme="minorHAnsi"/>
          <w:sz w:val="22"/>
          <w:szCs w:val="22"/>
        </w:rPr>
      </w:pPr>
      <w:r w:rsidRPr="006D4988">
        <w:rPr>
          <w:rFonts w:asciiTheme="minorHAnsi" w:hAnsiTheme="minorHAnsi" w:cstheme="minorHAnsi"/>
          <w:sz w:val="22"/>
          <w:szCs w:val="22"/>
        </w:rPr>
        <w:t xml:space="preserve">support employers to remove barriers to the full and equal participation of women in the </w:t>
      </w:r>
      <w:r w:rsidR="006C2DD3">
        <w:rPr>
          <w:rFonts w:asciiTheme="minorHAnsi" w:hAnsiTheme="minorHAnsi" w:cstheme="minorHAnsi"/>
          <w:sz w:val="22"/>
          <w:szCs w:val="22"/>
        </w:rPr>
        <w:t>workforce</w:t>
      </w:r>
    </w:p>
    <w:p w:rsidR="0025033F" w:rsidRPr="006D4988" w:rsidRDefault="00AE51C4" w:rsidP="003E6551">
      <w:pPr>
        <w:pStyle w:val="ListParagraph"/>
        <w:numPr>
          <w:ilvl w:val="0"/>
          <w:numId w:val="38"/>
        </w:numPr>
        <w:spacing w:before="120" w:after="120" w:line="276" w:lineRule="auto"/>
        <w:ind w:left="714" w:hanging="357"/>
        <w:contextualSpacing w:val="0"/>
        <w:rPr>
          <w:rFonts w:asciiTheme="minorHAnsi" w:hAnsiTheme="minorHAnsi" w:cstheme="minorHAnsi"/>
          <w:sz w:val="22"/>
          <w:szCs w:val="22"/>
        </w:rPr>
      </w:pPr>
      <w:r w:rsidRPr="006D4988">
        <w:rPr>
          <w:rFonts w:asciiTheme="minorHAnsi" w:hAnsiTheme="minorHAnsi" w:cstheme="minorHAnsi"/>
          <w:sz w:val="22"/>
          <w:szCs w:val="22"/>
        </w:rPr>
        <w:t>promote, amongst employers, the elimination of discrimination on the basis of gender</w:t>
      </w:r>
      <w:r w:rsidR="006C2DD3">
        <w:rPr>
          <w:rFonts w:asciiTheme="minorHAnsi" w:hAnsiTheme="minorHAnsi" w:cstheme="minorHAnsi"/>
          <w:sz w:val="22"/>
          <w:szCs w:val="22"/>
        </w:rPr>
        <w:t xml:space="preserve"> in employment matters</w:t>
      </w:r>
      <w:r w:rsidRPr="006D4988">
        <w:rPr>
          <w:rFonts w:asciiTheme="minorHAnsi" w:hAnsiTheme="minorHAnsi" w:cstheme="minorHAnsi"/>
          <w:sz w:val="22"/>
          <w:szCs w:val="22"/>
        </w:rPr>
        <w:t xml:space="preserve"> </w:t>
      </w:r>
    </w:p>
    <w:p w:rsidR="0025033F" w:rsidRPr="006D4988" w:rsidRDefault="00AE51C4" w:rsidP="003E6551">
      <w:pPr>
        <w:pStyle w:val="ListParagraph"/>
        <w:numPr>
          <w:ilvl w:val="0"/>
          <w:numId w:val="38"/>
        </w:numPr>
        <w:spacing w:before="120" w:after="120" w:line="276" w:lineRule="auto"/>
        <w:ind w:left="714" w:hanging="357"/>
        <w:contextualSpacing w:val="0"/>
        <w:rPr>
          <w:rFonts w:asciiTheme="minorHAnsi" w:hAnsiTheme="minorHAnsi" w:cstheme="minorHAnsi"/>
          <w:sz w:val="22"/>
          <w:szCs w:val="22"/>
        </w:rPr>
      </w:pPr>
      <w:r w:rsidRPr="006D4988">
        <w:rPr>
          <w:rFonts w:asciiTheme="minorHAnsi" w:hAnsiTheme="minorHAnsi" w:cstheme="minorHAnsi"/>
          <w:sz w:val="22"/>
          <w:szCs w:val="22"/>
        </w:rPr>
        <w:t>foster consultation between employers and employees on ge</w:t>
      </w:r>
      <w:r w:rsidR="006C2DD3">
        <w:rPr>
          <w:rFonts w:asciiTheme="minorHAnsi" w:hAnsiTheme="minorHAnsi" w:cstheme="minorHAnsi"/>
          <w:sz w:val="22"/>
          <w:szCs w:val="22"/>
        </w:rPr>
        <w:t>nder equality in the workplace</w:t>
      </w:r>
      <w:r w:rsidRPr="006D4988">
        <w:rPr>
          <w:rFonts w:asciiTheme="minorHAnsi" w:hAnsiTheme="minorHAnsi" w:cstheme="minorHAnsi"/>
          <w:sz w:val="22"/>
          <w:szCs w:val="22"/>
        </w:rPr>
        <w:t xml:space="preserve"> </w:t>
      </w:r>
    </w:p>
    <w:p w:rsidR="0025033F" w:rsidRPr="006D4988" w:rsidRDefault="00AE51C4" w:rsidP="003E6551">
      <w:pPr>
        <w:pStyle w:val="ListParagraph"/>
        <w:numPr>
          <w:ilvl w:val="0"/>
          <w:numId w:val="38"/>
        </w:numPr>
        <w:spacing w:before="120" w:after="120" w:line="276" w:lineRule="auto"/>
        <w:ind w:left="714" w:hanging="357"/>
        <w:contextualSpacing w:val="0"/>
        <w:rPr>
          <w:rFonts w:asciiTheme="minorHAnsi" w:hAnsiTheme="minorHAnsi" w:cstheme="minorHAnsi"/>
          <w:sz w:val="22"/>
          <w:szCs w:val="22"/>
        </w:rPr>
      </w:pPr>
      <w:proofErr w:type="gramStart"/>
      <w:r w:rsidRPr="006D4988">
        <w:rPr>
          <w:rFonts w:asciiTheme="minorHAnsi" w:hAnsiTheme="minorHAnsi" w:cstheme="minorHAnsi"/>
          <w:sz w:val="22"/>
          <w:szCs w:val="22"/>
        </w:rPr>
        <w:t>improve</w:t>
      </w:r>
      <w:proofErr w:type="gramEnd"/>
      <w:r w:rsidRPr="006D4988">
        <w:rPr>
          <w:rFonts w:asciiTheme="minorHAnsi" w:hAnsiTheme="minorHAnsi" w:cstheme="minorHAnsi"/>
          <w:sz w:val="22"/>
          <w:szCs w:val="22"/>
        </w:rPr>
        <w:t xml:space="preserve"> productivity and competitiveness of business through the advancement of gender equality.</w:t>
      </w:r>
    </w:p>
    <w:p w:rsidR="006C2DD3" w:rsidRDefault="00E57ABE" w:rsidP="006C2DD3">
      <w:pPr>
        <w:spacing w:after="240"/>
        <w:rPr>
          <w:rFonts w:cstheme="minorHAnsi"/>
        </w:rPr>
      </w:pPr>
      <w:r w:rsidRPr="006D4988">
        <w:rPr>
          <w:rFonts w:cstheme="minorHAnsi"/>
        </w:rPr>
        <w:t xml:space="preserve">The Act commenced on </w:t>
      </w:r>
      <w:r w:rsidR="00A62737">
        <w:rPr>
          <w:rFonts w:cstheme="minorHAnsi"/>
        </w:rPr>
        <w:t>6</w:t>
      </w:r>
      <w:r w:rsidRPr="006D4988">
        <w:rPr>
          <w:rFonts w:cstheme="minorHAnsi"/>
        </w:rPr>
        <w:t xml:space="preserve"> </w:t>
      </w:r>
      <w:r w:rsidR="00A62737">
        <w:rPr>
          <w:rFonts w:cstheme="minorHAnsi"/>
        </w:rPr>
        <w:t>December 2012</w:t>
      </w:r>
      <w:r w:rsidRPr="006D4988">
        <w:rPr>
          <w:rFonts w:cstheme="minorHAnsi"/>
        </w:rPr>
        <w:t xml:space="preserve">. </w:t>
      </w:r>
      <w:r w:rsidR="00AE51C4" w:rsidRPr="006D4988">
        <w:rPr>
          <w:rFonts w:cstheme="minorHAnsi"/>
        </w:rPr>
        <w:t xml:space="preserve">The Act introduced new reporting, accessibility and compliance measures to be phased in over two years, commencing </w:t>
      </w:r>
      <w:r w:rsidR="00A62737">
        <w:rPr>
          <w:rFonts w:cstheme="minorHAnsi"/>
        </w:rPr>
        <w:t>on 1 April 2013 for</w:t>
      </w:r>
      <w:r w:rsidR="00AE51C4" w:rsidRPr="006D4988">
        <w:rPr>
          <w:rFonts w:cstheme="minorHAnsi"/>
        </w:rPr>
        <w:t xml:space="preserve"> the 2013–14 reporting period. The process of submitting reports has been streamlined through the introduction </w:t>
      </w:r>
      <w:r w:rsidR="00783191" w:rsidRPr="006D4988">
        <w:rPr>
          <w:rFonts w:cstheme="minorHAnsi"/>
        </w:rPr>
        <w:t xml:space="preserve">of </w:t>
      </w:r>
      <w:r w:rsidR="00AE51C4" w:rsidRPr="006D4988">
        <w:rPr>
          <w:rFonts w:cstheme="minorHAnsi"/>
        </w:rPr>
        <w:t xml:space="preserve">an online reporting portal </w:t>
      </w:r>
      <w:r w:rsidR="0025033F" w:rsidRPr="006D4988">
        <w:rPr>
          <w:rFonts w:cstheme="minorHAnsi"/>
        </w:rPr>
        <w:t>for employers,</w:t>
      </w:r>
      <w:r w:rsidR="008D5FD5" w:rsidRPr="006D4988">
        <w:rPr>
          <w:rFonts w:cstheme="minorHAnsi"/>
        </w:rPr>
        <w:t xml:space="preserve"> which was</w:t>
      </w:r>
      <w:r w:rsidR="0025033F" w:rsidRPr="006D4988">
        <w:rPr>
          <w:rFonts w:cstheme="minorHAnsi"/>
        </w:rPr>
        <w:t xml:space="preserve"> </w:t>
      </w:r>
      <w:r w:rsidR="00AE51C4" w:rsidRPr="006D4988">
        <w:rPr>
          <w:rFonts w:cstheme="minorHAnsi"/>
        </w:rPr>
        <w:t>created</w:t>
      </w:r>
      <w:r w:rsidR="00EC05E0">
        <w:rPr>
          <w:rFonts w:cstheme="minorHAnsi"/>
        </w:rPr>
        <w:t>,</w:t>
      </w:r>
      <w:r w:rsidR="00AE51C4" w:rsidRPr="006D4988">
        <w:rPr>
          <w:rFonts w:cstheme="minorHAnsi"/>
        </w:rPr>
        <w:t xml:space="preserve"> and </w:t>
      </w:r>
      <w:r w:rsidR="008D5FD5" w:rsidRPr="006D4988">
        <w:rPr>
          <w:rFonts w:cstheme="minorHAnsi"/>
        </w:rPr>
        <w:t xml:space="preserve">is </w:t>
      </w:r>
      <w:r w:rsidR="00AE51C4" w:rsidRPr="006D4988">
        <w:rPr>
          <w:rFonts w:cstheme="minorHAnsi"/>
        </w:rPr>
        <w:t>managed by</w:t>
      </w:r>
      <w:r w:rsidR="00EC05E0">
        <w:rPr>
          <w:rFonts w:cstheme="minorHAnsi"/>
        </w:rPr>
        <w:t>,</w:t>
      </w:r>
      <w:r w:rsidR="00AE51C4" w:rsidRPr="006D4988">
        <w:rPr>
          <w:rFonts w:cstheme="minorHAnsi"/>
        </w:rPr>
        <w:t xml:space="preserve"> the Workplace Gender Equality Agency</w:t>
      </w:r>
      <w:r w:rsidR="00631FB3">
        <w:rPr>
          <w:rFonts w:cstheme="minorHAnsi"/>
        </w:rPr>
        <w:t xml:space="preserve"> (</w:t>
      </w:r>
      <w:r w:rsidR="00AE51C4" w:rsidRPr="006D4988">
        <w:rPr>
          <w:rFonts w:cstheme="minorHAnsi"/>
        </w:rPr>
        <w:t>the Agency)</w:t>
      </w:r>
      <w:r w:rsidR="00631FB3">
        <w:rPr>
          <w:rFonts w:cstheme="minorHAnsi"/>
        </w:rPr>
        <w:t xml:space="preserve">, </w:t>
      </w:r>
      <w:r w:rsidR="00631FB3" w:rsidRPr="006D4988">
        <w:rPr>
          <w:rFonts w:cstheme="minorHAnsi"/>
        </w:rPr>
        <w:t>formerly the Equal Opportunity for Women in the Workplace Agency</w:t>
      </w:r>
      <w:r w:rsidR="00AE51C4" w:rsidRPr="006D4988">
        <w:rPr>
          <w:rFonts w:cstheme="minorHAnsi"/>
        </w:rPr>
        <w:t xml:space="preserve">. </w:t>
      </w:r>
    </w:p>
    <w:p w:rsidR="00EC05E0" w:rsidRDefault="008B4722" w:rsidP="006C2DD3">
      <w:pPr>
        <w:spacing w:after="240"/>
        <w:rPr>
          <w:rFonts w:cstheme="minorHAnsi"/>
        </w:rPr>
      </w:pPr>
      <w:r w:rsidRPr="006D4988">
        <w:rPr>
          <w:rFonts w:cstheme="minorHAnsi"/>
        </w:rPr>
        <w:lastRenderedPageBreak/>
        <w:t>The Act requires registered higher education providers and non-public sector employers with 100 or more employees (defined as relevant employers</w:t>
      </w:r>
      <w:r w:rsidR="00A7611A" w:rsidRPr="00A7611A">
        <w:rPr>
          <w:rStyle w:val="FootnoteReference"/>
          <w:rFonts w:cstheme="minorHAnsi"/>
        </w:rPr>
        <w:footnoteReference w:customMarkFollows="1" w:id="2"/>
        <w:sym w:font="Symbol" w:char="F02A"/>
      </w:r>
      <w:r w:rsidRPr="006D4988">
        <w:rPr>
          <w:rFonts w:cstheme="minorHAnsi"/>
        </w:rPr>
        <w:t xml:space="preserve">) to report annually to the Agency. </w:t>
      </w:r>
    </w:p>
    <w:p w:rsidR="008B4722" w:rsidRDefault="008B4722" w:rsidP="008B4722">
      <w:pPr>
        <w:rPr>
          <w:rFonts w:cstheme="minorHAnsi"/>
        </w:rPr>
      </w:pPr>
      <w:r w:rsidRPr="006D4988">
        <w:rPr>
          <w:rFonts w:cstheme="minorHAnsi"/>
        </w:rPr>
        <w:t>Repor</w:t>
      </w:r>
      <w:r w:rsidR="00C76DA5">
        <w:rPr>
          <w:rFonts w:cstheme="minorHAnsi"/>
        </w:rPr>
        <w:t>ts relate to the 12-</w:t>
      </w:r>
      <w:r w:rsidRPr="006D4988">
        <w:rPr>
          <w:rFonts w:cstheme="minorHAnsi"/>
        </w:rPr>
        <w:t xml:space="preserve">month period between 1 April and 31 March (the reporting period) and are to be submitted within two months of the end of the reporting period. For the 2013–14 reporting period, it is expected that </w:t>
      </w:r>
      <w:r w:rsidR="00C76DA5">
        <w:rPr>
          <w:rFonts w:cstheme="minorHAnsi"/>
        </w:rPr>
        <w:t>about</w:t>
      </w:r>
      <w:r w:rsidR="00C76DA5" w:rsidRPr="006D4988">
        <w:rPr>
          <w:rFonts w:cstheme="minorHAnsi"/>
        </w:rPr>
        <w:t xml:space="preserve"> </w:t>
      </w:r>
      <w:r w:rsidRPr="006D4988">
        <w:rPr>
          <w:rFonts w:cstheme="minorHAnsi"/>
        </w:rPr>
        <w:t xml:space="preserve">4660 reports will be submitted by organisations on behalf of approximately 12,000 </w:t>
      </w:r>
      <w:r w:rsidR="00A62737">
        <w:rPr>
          <w:rFonts w:cstheme="minorHAnsi"/>
        </w:rPr>
        <w:t>employers</w:t>
      </w:r>
      <w:r w:rsidRPr="006D4988">
        <w:rPr>
          <w:rFonts w:cstheme="minorHAnsi"/>
        </w:rPr>
        <w:t xml:space="preserve">, covering </w:t>
      </w:r>
      <w:r w:rsidR="00C76DA5">
        <w:rPr>
          <w:rFonts w:cstheme="minorHAnsi"/>
        </w:rPr>
        <w:t>about</w:t>
      </w:r>
      <w:r w:rsidR="00C76DA5" w:rsidRPr="006D4988">
        <w:rPr>
          <w:rFonts w:cstheme="minorHAnsi"/>
        </w:rPr>
        <w:t xml:space="preserve"> </w:t>
      </w:r>
      <w:r w:rsidRPr="006D4988">
        <w:rPr>
          <w:rFonts w:cstheme="minorHAnsi"/>
        </w:rPr>
        <w:t>3.9 million employees.</w:t>
      </w:r>
      <w:r w:rsidRPr="006D4988" w:rsidDel="005475F1">
        <w:rPr>
          <w:rFonts w:cstheme="minorHAnsi"/>
        </w:rPr>
        <w:t xml:space="preserve"> </w:t>
      </w:r>
      <w:r w:rsidRPr="006D4988">
        <w:rPr>
          <w:rFonts w:cstheme="minorHAnsi"/>
        </w:rPr>
        <w:t xml:space="preserve">This lower number of reports compared </w:t>
      </w:r>
      <w:r w:rsidR="004A56C2">
        <w:rPr>
          <w:rFonts w:cstheme="minorHAnsi"/>
        </w:rPr>
        <w:t>with</w:t>
      </w:r>
      <w:r w:rsidR="004A56C2" w:rsidRPr="006D4988">
        <w:rPr>
          <w:rFonts w:cstheme="minorHAnsi"/>
        </w:rPr>
        <w:t xml:space="preserve"> </w:t>
      </w:r>
      <w:r w:rsidRPr="006D4988">
        <w:rPr>
          <w:rFonts w:cstheme="minorHAnsi"/>
        </w:rPr>
        <w:t xml:space="preserve">the number of employers is due to the </w:t>
      </w:r>
      <w:r w:rsidR="00A62737">
        <w:rPr>
          <w:rFonts w:cstheme="minorHAnsi"/>
        </w:rPr>
        <w:t>reporting</w:t>
      </w:r>
      <w:r w:rsidRPr="006D4988">
        <w:rPr>
          <w:rFonts w:cstheme="minorHAnsi"/>
        </w:rPr>
        <w:t xml:space="preserve"> arrangements </w:t>
      </w:r>
      <w:r w:rsidR="00A62737">
        <w:rPr>
          <w:rFonts w:cstheme="minorHAnsi"/>
        </w:rPr>
        <w:t>within corporate structures</w:t>
      </w:r>
      <w:r w:rsidR="004A56C2">
        <w:rPr>
          <w:rFonts w:cstheme="minorHAnsi"/>
        </w:rPr>
        <w:t xml:space="preserve"> (parent organisations can report on behalf of subsidiaries)</w:t>
      </w:r>
      <w:r w:rsidRPr="006D4988">
        <w:rPr>
          <w:rFonts w:cstheme="minorHAnsi"/>
        </w:rPr>
        <w:t xml:space="preserve">. </w:t>
      </w:r>
    </w:p>
    <w:p w:rsidR="008B4722" w:rsidRPr="006D4988" w:rsidRDefault="008B4722" w:rsidP="008B4722">
      <w:pPr>
        <w:rPr>
          <w:rFonts w:cstheme="minorHAnsi"/>
        </w:rPr>
      </w:pPr>
      <w:r w:rsidRPr="006D4988">
        <w:rPr>
          <w:rFonts w:cstheme="minorHAnsi"/>
        </w:rPr>
        <w:t xml:space="preserve">The Act also established the Agency, an Australian Government statutory agency. The role of the Agency is to collect and analyse the data from employers and develop benchmarks in relation to the </w:t>
      </w:r>
      <w:r w:rsidR="00A62737">
        <w:rPr>
          <w:rFonts w:cstheme="minorHAnsi"/>
        </w:rPr>
        <w:t xml:space="preserve">Gender Equality </w:t>
      </w:r>
      <w:r w:rsidRPr="006D4988">
        <w:rPr>
          <w:rFonts w:cstheme="minorHAnsi"/>
        </w:rPr>
        <w:t>Indicators</w:t>
      </w:r>
      <w:r w:rsidR="00A62737">
        <w:rPr>
          <w:rFonts w:cstheme="minorHAnsi"/>
        </w:rPr>
        <w:t xml:space="preserve"> (the Indicators)</w:t>
      </w:r>
      <w:r w:rsidRPr="006D4988">
        <w:rPr>
          <w:rFonts w:cstheme="minorHAnsi"/>
        </w:rPr>
        <w:t xml:space="preserve">. It is expected that the first </w:t>
      </w:r>
      <w:r w:rsidR="00A62737">
        <w:rPr>
          <w:rFonts w:cstheme="minorHAnsi"/>
        </w:rPr>
        <w:t xml:space="preserve">confidential </w:t>
      </w:r>
      <w:r w:rsidR="0090015C">
        <w:rPr>
          <w:rFonts w:cstheme="minorHAnsi"/>
        </w:rPr>
        <w:t>customised</w:t>
      </w:r>
      <w:r w:rsidR="00A62737">
        <w:rPr>
          <w:rFonts w:cstheme="minorHAnsi"/>
        </w:rPr>
        <w:t xml:space="preserve"> </w:t>
      </w:r>
      <w:r w:rsidRPr="006D4988">
        <w:rPr>
          <w:rFonts w:cstheme="minorHAnsi"/>
        </w:rPr>
        <w:t xml:space="preserve">benchmark reports will be provided to reporting organisations </w:t>
      </w:r>
      <w:r w:rsidR="00C8371E">
        <w:rPr>
          <w:rFonts w:cstheme="minorHAnsi"/>
        </w:rPr>
        <w:t xml:space="preserve">in </w:t>
      </w:r>
      <w:r w:rsidR="00631FB3">
        <w:rPr>
          <w:rFonts w:cstheme="minorHAnsi"/>
        </w:rPr>
        <w:t>early</w:t>
      </w:r>
      <w:r w:rsidRPr="006D4988">
        <w:rPr>
          <w:rFonts w:cstheme="minorHAnsi"/>
        </w:rPr>
        <w:t xml:space="preserve"> </w:t>
      </w:r>
      <w:r w:rsidR="00631FB3">
        <w:rPr>
          <w:rFonts w:cstheme="minorHAnsi"/>
        </w:rPr>
        <w:t>December</w:t>
      </w:r>
      <w:r w:rsidR="00EC05E0" w:rsidRPr="006D4988">
        <w:rPr>
          <w:rFonts w:cstheme="minorHAnsi"/>
        </w:rPr>
        <w:t xml:space="preserve"> </w:t>
      </w:r>
      <w:r w:rsidRPr="006D4988">
        <w:rPr>
          <w:rFonts w:cstheme="minorHAnsi"/>
        </w:rPr>
        <w:t>2014. The Agency must submit a report to the Minister for Employment on the progress achieved in relation to the Indicators every two years, with the first report due after the two</w:t>
      </w:r>
      <w:r w:rsidR="00C76DA5">
        <w:rPr>
          <w:rFonts w:cstheme="minorHAnsi"/>
        </w:rPr>
        <w:t>-</w:t>
      </w:r>
      <w:r w:rsidRPr="006D4988">
        <w:rPr>
          <w:rFonts w:cstheme="minorHAnsi"/>
        </w:rPr>
        <w:t xml:space="preserve">year period ending on 31 May 2016. Other Agency functions include undertaking research, formulating programmes and providing advice and assistance to employers for the purpose of promoting and improving gender equality in the workplace. </w:t>
      </w:r>
    </w:p>
    <w:p w:rsidR="00F8575B" w:rsidRDefault="0084581B" w:rsidP="00AE51C4">
      <w:pPr>
        <w:rPr>
          <w:rFonts w:cstheme="minorHAnsi"/>
        </w:rPr>
      </w:pPr>
      <w:r w:rsidRPr="006D4988">
        <w:rPr>
          <w:rFonts w:cstheme="minorHAnsi"/>
        </w:rPr>
        <w:t>R</w:t>
      </w:r>
      <w:r w:rsidR="00AE51C4" w:rsidRPr="006D4988">
        <w:rPr>
          <w:rFonts w:cstheme="minorHAnsi"/>
        </w:rPr>
        <w:t xml:space="preserve">eporting under the Act </w:t>
      </w:r>
      <w:r w:rsidR="008215F5" w:rsidRPr="006D4988">
        <w:rPr>
          <w:rFonts w:cstheme="minorHAnsi"/>
        </w:rPr>
        <w:t>is intended to</w:t>
      </w:r>
      <w:r w:rsidR="00AE51C4" w:rsidRPr="006D4988">
        <w:rPr>
          <w:rFonts w:cstheme="minorHAnsi"/>
        </w:rPr>
        <w:t xml:space="preserve"> establish a long-term dataset to provide evidence </w:t>
      </w:r>
      <w:r w:rsidR="008B4722" w:rsidRPr="006D4988">
        <w:rPr>
          <w:rFonts w:cstheme="minorHAnsi"/>
        </w:rPr>
        <w:t>at</w:t>
      </w:r>
      <w:r w:rsidR="00AE51C4" w:rsidRPr="006D4988">
        <w:rPr>
          <w:rFonts w:cstheme="minorHAnsi"/>
        </w:rPr>
        <w:t xml:space="preserve"> the workplace and industry level</w:t>
      </w:r>
      <w:r w:rsidR="00C76DA5">
        <w:rPr>
          <w:rFonts w:cstheme="minorHAnsi"/>
        </w:rPr>
        <w:t>,</w:t>
      </w:r>
      <w:r w:rsidR="00A134DE">
        <w:rPr>
          <w:rFonts w:cstheme="minorHAnsi"/>
        </w:rPr>
        <w:t xml:space="preserve"> </w:t>
      </w:r>
      <w:r w:rsidR="00AE51C4" w:rsidRPr="006D4988">
        <w:rPr>
          <w:rFonts w:cstheme="minorHAnsi"/>
        </w:rPr>
        <w:t xml:space="preserve">and to provide a better understanding of gender </w:t>
      </w:r>
      <w:r w:rsidR="0025033F" w:rsidRPr="006D4988">
        <w:rPr>
          <w:rFonts w:cstheme="minorHAnsi"/>
        </w:rPr>
        <w:t>dynamics</w:t>
      </w:r>
      <w:r w:rsidR="00AE51C4" w:rsidRPr="006D4988">
        <w:rPr>
          <w:rFonts w:cstheme="minorHAnsi"/>
        </w:rPr>
        <w:t xml:space="preserve"> in Australian workplaces. </w:t>
      </w:r>
      <w:r w:rsidR="00DA5566" w:rsidRPr="006D4988">
        <w:rPr>
          <w:rFonts w:cstheme="minorHAnsi"/>
        </w:rPr>
        <w:t xml:space="preserve">From the data provided by </w:t>
      </w:r>
      <w:r w:rsidR="00AC02C3" w:rsidRPr="006D4988">
        <w:rPr>
          <w:rFonts w:cstheme="minorHAnsi"/>
        </w:rPr>
        <w:t>reporting organisations</w:t>
      </w:r>
      <w:r w:rsidR="00DA5566" w:rsidRPr="006D4988">
        <w:rPr>
          <w:rFonts w:cstheme="minorHAnsi"/>
        </w:rPr>
        <w:t xml:space="preserve"> each year, the Agency </w:t>
      </w:r>
      <w:r w:rsidR="00E57ABE" w:rsidRPr="006D4988">
        <w:rPr>
          <w:rFonts w:cstheme="minorHAnsi"/>
        </w:rPr>
        <w:t>intends to</w:t>
      </w:r>
      <w:r w:rsidR="00DA5566" w:rsidRPr="006D4988">
        <w:rPr>
          <w:rFonts w:cstheme="minorHAnsi"/>
        </w:rPr>
        <w:t xml:space="preserve"> develop </w:t>
      </w:r>
      <w:r w:rsidR="00A84AA4">
        <w:rPr>
          <w:rFonts w:cstheme="minorHAnsi"/>
        </w:rPr>
        <w:t xml:space="preserve">aggregate </w:t>
      </w:r>
      <w:r w:rsidR="00DA5566" w:rsidRPr="006D4988">
        <w:rPr>
          <w:rFonts w:cstheme="minorHAnsi"/>
        </w:rPr>
        <w:t>benchmark</w:t>
      </w:r>
      <w:r w:rsidR="00A84AA4">
        <w:rPr>
          <w:rFonts w:cstheme="minorHAnsi"/>
        </w:rPr>
        <w:t xml:space="preserve"> data</w:t>
      </w:r>
      <w:r w:rsidR="00C76DA5">
        <w:rPr>
          <w:rFonts w:cstheme="minorHAnsi"/>
        </w:rPr>
        <w:t>,</w:t>
      </w:r>
      <w:r w:rsidR="003E7BAB">
        <w:rPr>
          <w:rFonts w:cstheme="minorHAnsi"/>
        </w:rPr>
        <w:t xml:space="preserve"> </w:t>
      </w:r>
      <w:r w:rsidR="00A84AA4">
        <w:rPr>
          <w:rFonts w:cstheme="minorHAnsi"/>
        </w:rPr>
        <w:t>and individual customised and confidential employer reports</w:t>
      </w:r>
      <w:r w:rsidR="00DA5566" w:rsidRPr="006D4988">
        <w:rPr>
          <w:rFonts w:cstheme="minorHAnsi"/>
        </w:rPr>
        <w:t xml:space="preserve"> in relation to </w:t>
      </w:r>
      <w:r w:rsidR="00A62737">
        <w:rPr>
          <w:rFonts w:cstheme="minorHAnsi"/>
        </w:rPr>
        <w:t>the I</w:t>
      </w:r>
      <w:r w:rsidR="00DA5566" w:rsidRPr="006D4988">
        <w:rPr>
          <w:rFonts w:cstheme="minorHAnsi"/>
        </w:rPr>
        <w:t>ndicators. Th</w:t>
      </w:r>
      <w:r w:rsidR="00A84AA4">
        <w:rPr>
          <w:rFonts w:cstheme="minorHAnsi"/>
        </w:rPr>
        <w:t>is</w:t>
      </w:r>
      <w:r w:rsidR="00DA5566" w:rsidRPr="006D4988">
        <w:rPr>
          <w:rFonts w:cstheme="minorHAnsi"/>
        </w:rPr>
        <w:t xml:space="preserve"> will provide employers with </w:t>
      </w:r>
      <w:r w:rsidR="00A84AA4">
        <w:rPr>
          <w:rFonts w:cstheme="minorHAnsi"/>
        </w:rPr>
        <w:t xml:space="preserve">aggregate </w:t>
      </w:r>
      <w:r w:rsidR="00DA5566" w:rsidRPr="006D4988">
        <w:rPr>
          <w:rFonts w:cstheme="minorHAnsi"/>
        </w:rPr>
        <w:t xml:space="preserve">data </w:t>
      </w:r>
      <w:r w:rsidRPr="006D4988">
        <w:rPr>
          <w:rFonts w:cstheme="minorHAnsi"/>
        </w:rPr>
        <w:t>(</w:t>
      </w:r>
      <w:r w:rsidR="00A839CC">
        <w:rPr>
          <w:rFonts w:cstheme="minorHAnsi"/>
        </w:rPr>
        <w:t xml:space="preserve">that can be compared across multiple </w:t>
      </w:r>
      <w:r w:rsidR="00A84AA4">
        <w:rPr>
          <w:rFonts w:cstheme="minorHAnsi"/>
        </w:rPr>
        <w:t>variations, including</w:t>
      </w:r>
      <w:r w:rsidRPr="006D4988">
        <w:rPr>
          <w:rFonts w:cstheme="minorHAnsi"/>
        </w:rPr>
        <w:t xml:space="preserve"> industry and size) </w:t>
      </w:r>
      <w:r w:rsidR="00DA5566" w:rsidRPr="006D4988">
        <w:rPr>
          <w:rFonts w:cstheme="minorHAnsi"/>
        </w:rPr>
        <w:t xml:space="preserve">to consider their workplace outcomes and practices in relation </w:t>
      </w:r>
      <w:r w:rsidR="00164E46" w:rsidRPr="006D4988">
        <w:rPr>
          <w:rFonts w:cstheme="minorHAnsi"/>
        </w:rPr>
        <w:t xml:space="preserve">to previous reporting years and </w:t>
      </w:r>
      <w:r w:rsidR="00DA5566" w:rsidRPr="006D4988">
        <w:rPr>
          <w:rFonts w:cstheme="minorHAnsi"/>
        </w:rPr>
        <w:t xml:space="preserve">industry peers. </w:t>
      </w:r>
      <w:r w:rsidR="00AE51C4" w:rsidRPr="006D4988">
        <w:rPr>
          <w:rFonts w:cstheme="minorHAnsi"/>
        </w:rPr>
        <w:t>Employers can use this information to drive change within their organisations and industries.</w:t>
      </w:r>
    </w:p>
    <w:p w:rsidR="008C4F2C" w:rsidRPr="006D4988" w:rsidRDefault="00EC05E0" w:rsidP="00861A34">
      <w:pPr>
        <w:autoSpaceDE w:val="0"/>
        <w:autoSpaceDN w:val="0"/>
        <w:adjustRightInd w:val="0"/>
        <w:rPr>
          <w:rFonts w:cstheme="minorHAnsi"/>
        </w:rPr>
      </w:pPr>
      <w:r w:rsidRPr="006D4988">
        <w:rPr>
          <w:rFonts w:cstheme="minorHAnsi"/>
        </w:rPr>
        <w:t>The Agency will also make the de-identified data available more widely for other stakeholders</w:t>
      </w:r>
      <w:r w:rsidR="00C76DA5">
        <w:rPr>
          <w:rFonts w:cstheme="minorHAnsi"/>
        </w:rPr>
        <w:t>,</w:t>
      </w:r>
      <w:r w:rsidRPr="006D4988">
        <w:rPr>
          <w:rFonts w:cstheme="minorHAnsi"/>
        </w:rPr>
        <w:t xml:space="preserve"> including researchers, industry groups, educators and the general public via data.gov.au and through a custom</w:t>
      </w:r>
      <w:r w:rsidRPr="006D4988">
        <w:rPr>
          <w:rFonts w:cstheme="minorHAnsi"/>
        </w:rPr>
        <w:noBreakHyphen/>
        <w:t>built data-visualisation product</w:t>
      </w:r>
      <w:r w:rsidR="00861A34">
        <w:rPr>
          <w:rFonts w:cstheme="minorHAnsi"/>
        </w:rPr>
        <w:t>.</w:t>
      </w:r>
    </w:p>
    <w:p w:rsidR="008C4F2C" w:rsidRDefault="008C4F2C" w:rsidP="008C4F2C">
      <w:pPr>
        <w:rPr>
          <w:rFonts w:cstheme="minorHAnsi"/>
        </w:rPr>
      </w:pPr>
      <w:r w:rsidRPr="006D4988">
        <w:rPr>
          <w:rFonts w:cstheme="minorHAnsi"/>
        </w:rPr>
        <w:t xml:space="preserve">Gender reporting, as outlined in the Act, is a mechanism for individual organisations to identify and action gaps in </w:t>
      </w:r>
      <w:r w:rsidR="000A6CA4">
        <w:rPr>
          <w:rFonts w:cstheme="minorHAnsi"/>
        </w:rPr>
        <w:t xml:space="preserve">gender equality, </w:t>
      </w:r>
      <w:r w:rsidR="00EC05E0">
        <w:rPr>
          <w:rFonts w:cstheme="minorHAnsi"/>
        </w:rPr>
        <w:t xml:space="preserve">gender </w:t>
      </w:r>
      <w:r w:rsidRPr="006D4988">
        <w:rPr>
          <w:rFonts w:cstheme="minorHAnsi"/>
        </w:rPr>
        <w:t>representation</w:t>
      </w:r>
      <w:r w:rsidR="000A6CA4">
        <w:rPr>
          <w:rFonts w:cstheme="minorHAnsi"/>
        </w:rPr>
        <w:t xml:space="preserve">, </w:t>
      </w:r>
      <w:r w:rsidR="00EC05E0">
        <w:rPr>
          <w:rFonts w:cstheme="minorHAnsi"/>
        </w:rPr>
        <w:t xml:space="preserve">gender </w:t>
      </w:r>
      <w:r w:rsidRPr="006D4988">
        <w:rPr>
          <w:rFonts w:cstheme="minorHAnsi"/>
        </w:rPr>
        <w:t xml:space="preserve">pay and </w:t>
      </w:r>
      <w:r w:rsidR="000A6CA4">
        <w:rPr>
          <w:rFonts w:cstheme="minorHAnsi"/>
        </w:rPr>
        <w:t xml:space="preserve">access to flexible work arrangements </w:t>
      </w:r>
      <w:r w:rsidRPr="006D4988">
        <w:rPr>
          <w:rFonts w:cstheme="minorHAnsi"/>
        </w:rPr>
        <w:t>within their organisation. Using the benchmark reports prepared by the Agency, organisations will also be able to compare their results with similar organisations. In effect</w:t>
      </w:r>
      <w:r w:rsidR="000A6CA4">
        <w:rPr>
          <w:rFonts w:cstheme="minorHAnsi"/>
        </w:rPr>
        <w:t>,</w:t>
      </w:r>
      <w:r w:rsidRPr="006D4988">
        <w:rPr>
          <w:rFonts w:cstheme="minorHAnsi"/>
        </w:rPr>
        <w:t xml:space="preserve"> while there is a regulatory requirement </w:t>
      </w:r>
      <w:r w:rsidR="004A56C2">
        <w:rPr>
          <w:rFonts w:cstheme="minorHAnsi"/>
        </w:rPr>
        <w:t xml:space="preserve">with which </w:t>
      </w:r>
      <w:r w:rsidRPr="006D4988">
        <w:rPr>
          <w:rFonts w:cstheme="minorHAnsi"/>
        </w:rPr>
        <w:t>relevant employers must comply</w:t>
      </w:r>
      <w:r w:rsidR="000A6CA4">
        <w:rPr>
          <w:rFonts w:cstheme="minorHAnsi"/>
        </w:rPr>
        <w:t xml:space="preserve">, </w:t>
      </w:r>
      <w:r w:rsidRPr="006D4988">
        <w:rPr>
          <w:rFonts w:cstheme="minorHAnsi"/>
        </w:rPr>
        <w:t>they gain a two-fold benefit of better understanding of their own organisation as well as an understanding of their industry more broadly.</w:t>
      </w:r>
    </w:p>
    <w:p w:rsidR="00142030" w:rsidRDefault="00142030">
      <w:pPr>
        <w:rPr>
          <w:rFonts w:cstheme="minorHAnsi"/>
        </w:rPr>
      </w:pPr>
      <w:r>
        <w:rPr>
          <w:rFonts w:cstheme="minorHAnsi"/>
        </w:rPr>
        <w:br w:type="page"/>
      </w:r>
    </w:p>
    <w:p w:rsidR="0025033F" w:rsidRPr="006D4988" w:rsidRDefault="0025033F" w:rsidP="0025033F">
      <w:pPr>
        <w:spacing w:after="0"/>
        <w:rPr>
          <w:rFonts w:cstheme="minorHAnsi"/>
        </w:rPr>
      </w:pPr>
      <w:r w:rsidRPr="006D4988">
        <w:rPr>
          <w:rFonts w:cstheme="minorHAnsi"/>
        </w:rPr>
        <w:lastRenderedPageBreak/>
        <w:t>The six Indicators that employers must report on</w:t>
      </w:r>
      <w:r w:rsidR="00C76DA5">
        <w:rPr>
          <w:rFonts w:cstheme="minorHAnsi"/>
        </w:rPr>
        <w:t>, as</w:t>
      </w:r>
      <w:r w:rsidR="00080D7F" w:rsidRPr="006D4988">
        <w:rPr>
          <w:rFonts w:cstheme="minorHAnsi"/>
        </w:rPr>
        <w:t xml:space="preserve"> set out in the Act and the</w:t>
      </w:r>
      <w:r w:rsidR="00E57ABE" w:rsidRPr="006D4988">
        <w:rPr>
          <w:rFonts w:cstheme="minorHAnsi"/>
        </w:rPr>
        <w:t xml:space="preserve"> associated </w:t>
      </w:r>
      <w:r w:rsidR="00080D7F" w:rsidRPr="006D4988">
        <w:rPr>
          <w:rFonts w:cstheme="minorHAnsi"/>
        </w:rPr>
        <w:t>Instrument</w:t>
      </w:r>
      <w:r w:rsidR="00C76DA5">
        <w:rPr>
          <w:rFonts w:cstheme="minorHAnsi"/>
        </w:rPr>
        <w:t>, are</w:t>
      </w:r>
      <w:r w:rsidRPr="006D4988">
        <w:rPr>
          <w:rFonts w:cstheme="minorHAnsi"/>
        </w:rPr>
        <w:t>:</w:t>
      </w:r>
    </w:p>
    <w:p w:rsidR="0025033F" w:rsidRDefault="0025033F" w:rsidP="003E6551">
      <w:pPr>
        <w:pStyle w:val="ListParagraph"/>
        <w:numPr>
          <w:ilvl w:val="0"/>
          <w:numId w:val="44"/>
        </w:numPr>
        <w:spacing w:before="120" w:after="120" w:line="276" w:lineRule="auto"/>
        <w:contextualSpacing w:val="0"/>
        <w:rPr>
          <w:rFonts w:asciiTheme="minorHAnsi" w:hAnsiTheme="minorHAnsi" w:cstheme="minorHAnsi"/>
          <w:sz w:val="22"/>
        </w:rPr>
      </w:pPr>
      <w:r w:rsidRPr="006D4988">
        <w:rPr>
          <w:rFonts w:asciiTheme="minorHAnsi" w:hAnsiTheme="minorHAnsi" w:cstheme="minorHAnsi"/>
          <w:sz w:val="22"/>
        </w:rPr>
        <w:t>gender composition of the workforce</w:t>
      </w:r>
    </w:p>
    <w:p w:rsidR="0025033F" w:rsidRPr="006D4988" w:rsidRDefault="0025033F" w:rsidP="003E6551">
      <w:pPr>
        <w:pStyle w:val="ListParagraph"/>
        <w:numPr>
          <w:ilvl w:val="0"/>
          <w:numId w:val="44"/>
        </w:numPr>
        <w:spacing w:before="120" w:after="120" w:line="276" w:lineRule="auto"/>
        <w:contextualSpacing w:val="0"/>
        <w:rPr>
          <w:rFonts w:asciiTheme="minorHAnsi" w:hAnsiTheme="minorHAnsi" w:cstheme="minorHAnsi"/>
          <w:sz w:val="22"/>
        </w:rPr>
      </w:pPr>
      <w:r w:rsidRPr="006D4988">
        <w:rPr>
          <w:rFonts w:asciiTheme="minorHAnsi" w:hAnsiTheme="minorHAnsi" w:cstheme="minorHAnsi"/>
          <w:sz w:val="22"/>
        </w:rPr>
        <w:t>gender composition of governing bodies of relevant employers</w:t>
      </w:r>
    </w:p>
    <w:p w:rsidR="0025033F" w:rsidRPr="006D4988" w:rsidRDefault="0025033F" w:rsidP="003E6551">
      <w:pPr>
        <w:pStyle w:val="ListParagraph"/>
        <w:numPr>
          <w:ilvl w:val="0"/>
          <w:numId w:val="44"/>
        </w:numPr>
        <w:spacing w:before="120" w:after="120" w:line="276" w:lineRule="auto"/>
        <w:contextualSpacing w:val="0"/>
        <w:rPr>
          <w:rFonts w:asciiTheme="minorHAnsi" w:hAnsiTheme="minorHAnsi" w:cstheme="minorHAnsi"/>
          <w:sz w:val="22"/>
        </w:rPr>
      </w:pPr>
      <w:r w:rsidRPr="006D4988">
        <w:rPr>
          <w:rFonts w:asciiTheme="minorHAnsi" w:hAnsiTheme="minorHAnsi" w:cstheme="minorHAnsi"/>
          <w:sz w:val="22"/>
        </w:rPr>
        <w:t>equal remuneration between women and men</w:t>
      </w:r>
    </w:p>
    <w:p w:rsidR="0025033F" w:rsidRPr="006D4988" w:rsidRDefault="0025033F" w:rsidP="003E6551">
      <w:pPr>
        <w:pStyle w:val="ListParagraph"/>
        <w:numPr>
          <w:ilvl w:val="0"/>
          <w:numId w:val="44"/>
        </w:numPr>
        <w:spacing w:before="120" w:after="120" w:line="276" w:lineRule="auto"/>
        <w:contextualSpacing w:val="0"/>
        <w:rPr>
          <w:rFonts w:asciiTheme="minorHAnsi" w:hAnsiTheme="minorHAnsi" w:cstheme="minorHAnsi"/>
          <w:sz w:val="22"/>
        </w:rPr>
      </w:pPr>
      <w:r w:rsidRPr="006D4988">
        <w:rPr>
          <w:rFonts w:asciiTheme="minorHAnsi" w:hAnsiTheme="minorHAnsi" w:cstheme="minorHAnsi"/>
          <w:sz w:val="22"/>
        </w:rPr>
        <w:t>availability and utility of employment terms, conditions and practices relating to flexible working</w:t>
      </w:r>
      <w:r w:rsidR="00DF1ED6" w:rsidRPr="006D4988">
        <w:rPr>
          <w:rFonts w:asciiTheme="minorHAnsi" w:hAnsiTheme="minorHAnsi" w:cstheme="minorHAnsi"/>
          <w:sz w:val="22"/>
        </w:rPr>
        <w:t xml:space="preserve"> </w:t>
      </w:r>
      <w:r w:rsidRPr="006D4988">
        <w:rPr>
          <w:rFonts w:asciiTheme="minorHAnsi" w:hAnsiTheme="minorHAnsi" w:cstheme="minorHAnsi"/>
          <w:sz w:val="22"/>
        </w:rPr>
        <w:t>arrangements for employees and to working arrangements supporting employees with family or caring responsibilities</w:t>
      </w:r>
    </w:p>
    <w:p w:rsidR="0025033F" w:rsidRPr="006D4988" w:rsidRDefault="0025033F" w:rsidP="003E6551">
      <w:pPr>
        <w:pStyle w:val="ListParagraph"/>
        <w:numPr>
          <w:ilvl w:val="0"/>
          <w:numId w:val="44"/>
        </w:numPr>
        <w:spacing w:before="120" w:after="120" w:line="276" w:lineRule="auto"/>
        <w:contextualSpacing w:val="0"/>
        <w:rPr>
          <w:rFonts w:asciiTheme="minorHAnsi" w:hAnsiTheme="minorHAnsi" w:cstheme="minorHAnsi"/>
          <w:sz w:val="22"/>
        </w:rPr>
      </w:pPr>
      <w:r w:rsidRPr="006D4988">
        <w:rPr>
          <w:rFonts w:asciiTheme="minorHAnsi" w:hAnsiTheme="minorHAnsi" w:cstheme="minorHAnsi"/>
          <w:sz w:val="22"/>
        </w:rPr>
        <w:t xml:space="preserve">consultation with employees on issues concerning gender equality in the workplace, and </w:t>
      </w:r>
    </w:p>
    <w:p w:rsidR="0025033F" w:rsidRPr="006D4988" w:rsidRDefault="0025033F" w:rsidP="003E6551">
      <w:pPr>
        <w:pStyle w:val="ListParagraph"/>
        <w:numPr>
          <w:ilvl w:val="0"/>
          <w:numId w:val="44"/>
        </w:numPr>
        <w:spacing w:before="120" w:after="120" w:line="276" w:lineRule="auto"/>
        <w:contextualSpacing w:val="0"/>
        <w:rPr>
          <w:rFonts w:asciiTheme="minorHAnsi" w:eastAsiaTheme="minorHAnsi" w:hAnsiTheme="minorHAnsi" w:cstheme="minorHAnsi"/>
          <w:sz w:val="22"/>
        </w:rPr>
      </w:pPr>
      <w:proofErr w:type="gramStart"/>
      <w:r w:rsidRPr="006D4988">
        <w:rPr>
          <w:rFonts w:asciiTheme="minorHAnsi" w:hAnsiTheme="minorHAnsi" w:cstheme="minorHAnsi"/>
          <w:sz w:val="22"/>
        </w:rPr>
        <w:t>any</w:t>
      </w:r>
      <w:proofErr w:type="gramEnd"/>
      <w:r w:rsidRPr="006D4988">
        <w:rPr>
          <w:rFonts w:asciiTheme="minorHAnsi" w:hAnsiTheme="minorHAnsi" w:cstheme="minorHAnsi"/>
          <w:sz w:val="22"/>
        </w:rPr>
        <w:t xml:space="preserve"> other matters specified in an instrument – the Instrument sets out sex-based harassment and discrimination in the</w:t>
      </w:r>
      <w:r w:rsidRPr="006D4988">
        <w:rPr>
          <w:rFonts w:asciiTheme="minorHAnsi" w:eastAsiaTheme="minorHAnsi" w:hAnsiTheme="minorHAnsi" w:cstheme="minorHAnsi"/>
          <w:sz w:val="22"/>
        </w:rPr>
        <w:t xml:space="preserve"> workplace as Indicator 6. </w:t>
      </w:r>
    </w:p>
    <w:p w:rsidR="00796A6C" w:rsidRPr="006D4988" w:rsidRDefault="00C54841" w:rsidP="00AE51C4">
      <w:pPr>
        <w:rPr>
          <w:rFonts w:cstheme="minorHAnsi"/>
        </w:rPr>
      </w:pPr>
      <w:r w:rsidRPr="006D4988">
        <w:rPr>
          <w:rFonts w:cstheme="minorHAnsi"/>
        </w:rPr>
        <w:t>Under the Act</w:t>
      </w:r>
      <w:r w:rsidR="00C14248" w:rsidRPr="006D4988">
        <w:rPr>
          <w:rFonts w:cstheme="minorHAnsi"/>
        </w:rPr>
        <w:t>,</w:t>
      </w:r>
      <w:r w:rsidR="008215F5" w:rsidRPr="006D4988">
        <w:rPr>
          <w:rFonts w:cstheme="minorHAnsi"/>
        </w:rPr>
        <w:t xml:space="preserve"> </w:t>
      </w:r>
      <w:r w:rsidR="00C8371E">
        <w:rPr>
          <w:rFonts w:cstheme="minorHAnsi"/>
        </w:rPr>
        <w:t xml:space="preserve">relevant </w:t>
      </w:r>
      <w:r w:rsidR="008215F5" w:rsidRPr="006D4988">
        <w:rPr>
          <w:rFonts w:cstheme="minorHAnsi"/>
        </w:rPr>
        <w:t>e</w:t>
      </w:r>
      <w:r w:rsidR="00796A6C" w:rsidRPr="006D4988">
        <w:rPr>
          <w:rFonts w:cstheme="minorHAnsi"/>
        </w:rPr>
        <w:t xml:space="preserve">mployers </w:t>
      </w:r>
      <w:r w:rsidRPr="006D4988">
        <w:rPr>
          <w:rFonts w:cstheme="minorHAnsi"/>
        </w:rPr>
        <w:t xml:space="preserve">must </w:t>
      </w:r>
      <w:r w:rsidR="00796A6C" w:rsidRPr="006D4988">
        <w:rPr>
          <w:rFonts w:cstheme="minorHAnsi"/>
        </w:rPr>
        <w:t xml:space="preserve">make their </w:t>
      </w:r>
      <w:r w:rsidR="0025033F" w:rsidRPr="006D4988">
        <w:rPr>
          <w:rFonts w:cstheme="minorHAnsi"/>
        </w:rPr>
        <w:t xml:space="preserve">gender </w:t>
      </w:r>
      <w:r w:rsidR="00796A6C" w:rsidRPr="006D4988">
        <w:rPr>
          <w:rFonts w:cstheme="minorHAnsi"/>
        </w:rPr>
        <w:t xml:space="preserve">reports, </w:t>
      </w:r>
      <w:r w:rsidR="00C8371E">
        <w:rPr>
          <w:rFonts w:cstheme="minorHAnsi"/>
        </w:rPr>
        <w:t xml:space="preserve">with </w:t>
      </w:r>
      <w:r w:rsidR="00796A6C" w:rsidRPr="006D4988">
        <w:rPr>
          <w:rFonts w:cstheme="minorHAnsi"/>
        </w:rPr>
        <w:t>personal</w:t>
      </w:r>
      <w:r w:rsidR="006228E7">
        <w:rPr>
          <w:rFonts w:cstheme="minorHAnsi"/>
        </w:rPr>
        <w:t xml:space="preserve"> and confidential </w:t>
      </w:r>
      <w:r w:rsidR="006228E7" w:rsidRPr="006D4988">
        <w:rPr>
          <w:rFonts w:cstheme="minorHAnsi"/>
        </w:rPr>
        <w:t>information</w:t>
      </w:r>
      <w:r w:rsidR="00C8371E">
        <w:rPr>
          <w:rFonts w:cstheme="minorHAnsi"/>
        </w:rPr>
        <w:t xml:space="preserve"> redacted</w:t>
      </w:r>
      <w:r w:rsidR="006228E7">
        <w:rPr>
          <w:rFonts w:cstheme="minorHAnsi"/>
        </w:rPr>
        <w:t xml:space="preserve">, </w:t>
      </w:r>
      <w:r w:rsidR="00C76DA5">
        <w:rPr>
          <w:rFonts w:cstheme="minorHAnsi"/>
        </w:rPr>
        <w:t>(</w:t>
      </w:r>
      <w:r w:rsidR="006228E7">
        <w:rPr>
          <w:rFonts w:cstheme="minorHAnsi"/>
        </w:rPr>
        <w:t>such as the remuneration data</w:t>
      </w:r>
      <w:r w:rsidR="00C76DA5">
        <w:rPr>
          <w:rFonts w:cstheme="minorHAnsi"/>
        </w:rPr>
        <w:t>)</w:t>
      </w:r>
      <w:r w:rsidR="006228E7">
        <w:rPr>
          <w:rFonts w:cstheme="minorHAnsi"/>
        </w:rPr>
        <w:t xml:space="preserve"> accessible to employees, </w:t>
      </w:r>
      <w:r w:rsidR="00796A6C" w:rsidRPr="006D4988">
        <w:rPr>
          <w:rFonts w:cstheme="minorHAnsi"/>
        </w:rPr>
        <w:t>shareholders</w:t>
      </w:r>
      <w:r w:rsidR="006228E7">
        <w:rPr>
          <w:rFonts w:cstheme="minorHAnsi"/>
        </w:rPr>
        <w:t xml:space="preserve"> and members of the employer</w:t>
      </w:r>
      <w:r w:rsidR="00796A6C" w:rsidRPr="006D4988">
        <w:rPr>
          <w:rFonts w:cstheme="minorHAnsi"/>
        </w:rPr>
        <w:t xml:space="preserve"> through electronic or other </w:t>
      </w:r>
      <w:r w:rsidR="00985A9D" w:rsidRPr="006D4988">
        <w:rPr>
          <w:rFonts w:cstheme="minorHAnsi"/>
        </w:rPr>
        <w:t xml:space="preserve">means. Employers are also required to take reasonable steps to inform </w:t>
      </w:r>
      <w:r w:rsidR="009427AC" w:rsidRPr="006D4988">
        <w:rPr>
          <w:rFonts w:cstheme="minorHAnsi"/>
        </w:rPr>
        <w:t>unions</w:t>
      </w:r>
      <w:r w:rsidR="00164E46" w:rsidRPr="006D4988">
        <w:rPr>
          <w:rFonts w:cstheme="minorHAnsi"/>
        </w:rPr>
        <w:t xml:space="preserve"> (</w:t>
      </w:r>
      <w:r w:rsidR="00E57ABE" w:rsidRPr="006D4988">
        <w:rPr>
          <w:rFonts w:cstheme="minorHAnsi"/>
        </w:rPr>
        <w:t>which</w:t>
      </w:r>
      <w:r w:rsidR="00985A9D" w:rsidRPr="006D4988">
        <w:rPr>
          <w:rFonts w:cstheme="minorHAnsi"/>
        </w:rPr>
        <w:t xml:space="preserve"> ha</w:t>
      </w:r>
      <w:r w:rsidR="00164E46" w:rsidRPr="006D4988">
        <w:rPr>
          <w:rFonts w:cstheme="minorHAnsi"/>
        </w:rPr>
        <w:t>ve</w:t>
      </w:r>
      <w:r w:rsidR="00985A9D" w:rsidRPr="006D4988">
        <w:rPr>
          <w:rFonts w:cstheme="minorHAnsi"/>
        </w:rPr>
        <w:t xml:space="preserve"> members who are employees</w:t>
      </w:r>
      <w:r w:rsidR="00C14248" w:rsidRPr="006D4988">
        <w:rPr>
          <w:rFonts w:cstheme="minorHAnsi"/>
        </w:rPr>
        <w:t>)</w:t>
      </w:r>
      <w:r w:rsidR="00985A9D" w:rsidRPr="006D4988">
        <w:rPr>
          <w:rFonts w:cstheme="minorHAnsi"/>
        </w:rPr>
        <w:t xml:space="preserve"> that the employer has lodged the report. Employees and </w:t>
      </w:r>
      <w:r w:rsidR="009427AC" w:rsidRPr="006D4988">
        <w:rPr>
          <w:rFonts w:cstheme="minorHAnsi"/>
        </w:rPr>
        <w:t>unions</w:t>
      </w:r>
      <w:r w:rsidR="00985A9D" w:rsidRPr="006D4988">
        <w:rPr>
          <w:rFonts w:cstheme="minorHAnsi"/>
        </w:rPr>
        <w:t xml:space="preserve"> may then provide comments on the report to either the employer or the Agency.</w:t>
      </w:r>
    </w:p>
    <w:p w:rsidR="00E953CB" w:rsidRPr="006D4988" w:rsidRDefault="00AE51C4" w:rsidP="00AE51C4">
      <w:pPr>
        <w:rPr>
          <w:rFonts w:cstheme="minorHAnsi"/>
        </w:rPr>
      </w:pPr>
      <w:r w:rsidRPr="006D4988">
        <w:rPr>
          <w:rFonts w:cstheme="minorHAnsi"/>
        </w:rPr>
        <w:t xml:space="preserve">The Instrument </w:t>
      </w:r>
      <w:r w:rsidR="006823D5">
        <w:rPr>
          <w:rFonts w:cstheme="minorHAnsi"/>
        </w:rPr>
        <w:t>that</w:t>
      </w:r>
      <w:r w:rsidR="006823D5" w:rsidRPr="006D4988">
        <w:rPr>
          <w:rFonts w:cstheme="minorHAnsi"/>
        </w:rPr>
        <w:t xml:space="preserve"> </w:t>
      </w:r>
      <w:r w:rsidRPr="006D4988">
        <w:rPr>
          <w:rFonts w:cstheme="minorHAnsi"/>
        </w:rPr>
        <w:t xml:space="preserve">stipulates the specific reporting requirements </w:t>
      </w:r>
      <w:r w:rsidR="00536AEA" w:rsidRPr="006D4988">
        <w:rPr>
          <w:rFonts w:cstheme="minorHAnsi"/>
        </w:rPr>
        <w:t>under each</w:t>
      </w:r>
      <w:r w:rsidR="009427AC" w:rsidRPr="006D4988">
        <w:rPr>
          <w:rFonts w:cstheme="minorHAnsi"/>
        </w:rPr>
        <w:t xml:space="preserve"> of the six</w:t>
      </w:r>
      <w:r w:rsidR="00536AEA" w:rsidRPr="006D4988">
        <w:rPr>
          <w:rFonts w:cstheme="minorHAnsi"/>
        </w:rPr>
        <w:t xml:space="preserve"> </w:t>
      </w:r>
      <w:r w:rsidRPr="006D4988">
        <w:rPr>
          <w:rFonts w:cstheme="minorHAnsi"/>
        </w:rPr>
        <w:t>Indicator</w:t>
      </w:r>
      <w:r w:rsidR="009427AC" w:rsidRPr="006D4988">
        <w:rPr>
          <w:rFonts w:cstheme="minorHAnsi"/>
        </w:rPr>
        <w:t>s</w:t>
      </w:r>
      <w:r w:rsidR="00C14248" w:rsidRPr="006D4988">
        <w:rPr>
          <w:rFonts w:cstheme="minorHAnsi"/>
        </w:rPr>
        <w:t xml:space="preserve"> took effect on 1 April 2013</w:t>
      </w:r>
      <w:r w:rsidRPr="006D4988">
        <w:rPr>
          <w:rFonts w:cstheme="minorHAnsi"/>
        </w:rPr>
        <w:t>. Relevant employers are required to report against the Indicators under Schedule 1 of the Instrument</w:t>
      </w:r>
      <w:r w:rsidR="00E953CB" w:rsidRPr="006D4988">
        <w:rPr>
          <w:rFonts w:cstheme="minorHAnsi"/>
        </w:rPr>
        <w:t xml:space="preserve"> for the 2013</w:t>
      </w:r>
      <w:r w:rsidR="00C76DA5">
        <w:rPr>
          <w:rFonts w:cstheme="minorHAnsi"/>
        </w:rPr>
        <w:t>–</w:t>
      </w:r>
      <w:r w:rsidR="00E953CB" w:rsidRPr="006D4988">
        <w:rPr>
          <w:rFonts w:cstheme="minorHAnsi"/>
        </w:rPr>
        <w:t>14 reporting period</w:t>
      </w:r>
      <w:r w:rsidRPr="006D4988">
        <w:rPr>
          <w:rFonts w:cstheme="minorHAnsi"/>
        </w:rPr>
        <w:t xml:space="preserve">. </w:t>
      </w:r>
      <w:proofErr w:type="gramStart"/>
      <w:r w:rsidRPr="006D4988">
        <w:rPr>
          <w:rFonts w:cstheme="minorHAnsi"/>
        </w:rPr>
        <w:t xml:space="preserve">Schedule 2 of the Instrument </w:t>
      </w:r>
      <w:r w:rsidR="00536AEA" w:rsidRPr="006D4988">
        <w:rPr>
          <w:rFonts w:cstheme="minorHAnsi"/>
        </w:rPr>
        <w:t xml:space="preserve">sets out additional requirements for </w:t>
      </w:r>
      <w:r w:rsidRPr="006D4988">
        <w:rPr>
          <w:rFonts w:cstheme="minorHAnsi"/>
        </w:rPr>
        <w:t xml:space="preserve">three of the six </w:t>
      </w:r>
      <w:r w:rsidR="00536AEA" w:rsidRPr="006D4988">
        <w:rPr>
          <w:rFonts w:cstheme="minorHAnsi"/>
        </w:rPr>
        <w:t>I</w:t>
      </w:r>
      <w:r w:rsidRPr="006D4988">
        <w:rPr>
          <w:rFonts w:cstheme="minorHAnsi"/>
        </w:rPr>
        <w:t>ndicators</w:t>
      </w:r>
      <w:r w:rsidR="002D4C38" w:rsidRPr="006D4988">
        <w:rPr>
          <w:rFonts w:cstheme="minorHAnsi"/>
        </w:rPr>
        <w:t>.</w:t>
      </w:r>
      <w:proofErr w:type="gramEnd"/>
      <w:r w:rsidR="00A51C66" w:rsidRPr="006D4988">
        <w:rPr>
          <w:rFonts w:cstheme="minorHAnsi"/>
        </w:rPr>
        <w:t xml:space="preserve"> </w:t>
      </w:r>
      <w:r w:rsidR="00074888" w:rsidRPr="006D4988">
        <w:rPr>
          <w:rFonts w:cstheme="minorHAnsi"/>
        </w:rPr>
        <w:t>T</w:t>
      </w:r>
      <w:r w:rsidR="00A51C66" w:rsidRPr="006D4988">
        <w:rPr>
          <w:rFonts w:cstheme="minorHAnsi"/>
        </w:rPr>
        <w:t xml:space="preserve">he </w:t>
      </w:r>
      <w:r w:rsidR="002D4C38" w:rsidRPr="006D4988">
        <w:rPr>
          <w:rFonts w:cstheme="minorHAnsi"/>
        </w:rPr>
        <w:t>Schedule 2</w:t>
      </w:r>
      <w:r w:rsidR="00A51C66" w:rsidRPr="006D4988">
        <w:rPr>
          <w:rFonts w:cstheme="minorHAnsi"/>
        </w:rPr>
        <w:t xml:space="preserve"> requirements </w:t>
      </w:r>
      <w:r w:rsidR="002D4C38" w:rsidRPr="006D4988">
        <w:rPr>
          <w:rFonts w:cstheme="minorHAnsi"/>
        </w:rPr>
        <w:t xml:space="preserve">are not </w:t>
      </w:r>
      <w:r w:rsidR="00074888" w:rsidRPr="006D4988">
        <w:rPr>
          <w:rFonts w:cstheme="minorHAnsi"/>
        </w:rPr>
        <w:t>due</w:t>
      </w:r>
      <w:r w:rsidR="00C75A97" w:rsidRPr="006D4988">
        <w:rPr>
          <w:rFonts w:cstheme="minorHAnsi"/>
        </w:rPr>
        <w:t xml:space="preserve"> to </w:t>
      </w:r>
      <w:r w:rsidR="00A51C66" w:rsidRPr="006D4988">
        <w:rPr>
          <w:rFonts w:cstheme="minorHAnsi"/>
        </w:rPr>
        <w:t xml:space="preserve">commence </w:t>
      </w:r>
      <w:r w:rsidR="002D4C38" w:rsidRPr="006D4988">
        <w:rPr>
          <w:rFonts w:cstheme="minorHAnsi"/>
        </w:rPr>
        <w:t>until</w:t>
      </w:r>
      <w:r w:rsidR="00A51C66" w:rsidRPr="006D4988">
        <w:rPr>
          <w:rFonts w:cstheme="minorHAnsi"/>
        </w:rPr>
        <w:t xml:space="preserve"> </w:t>
      </w:r>
      <w:r w:rsidR="00E953CB" w:rsidRPr="006D4988">
        <w:rPr>
          <w:rFonts w:cstheme="minorHAnsi"/>
        </w:rPr>
        <w:t>the 201</w:t>
      </w:r>
      <w:r w:rsidR="002D4C38" w:rsidRPr="006D4988">
        <w:rPr>
          <w:rFonts w:cstheme="minorHAnsi"/>
        </w:rPr>
        <w:t>5</w:t>
      </w:r>
      <w:r w:rsidR="00C76DA5">
        <w:rPr>
          <w:rFonts w:cstheme="minorHAnsi"/>
        </w:rPr>
        <w:t>–</w:t>
      </w:r>
      <w:r w:rsidR="00E953CB" w:rsidRPr="006D4988">
        <w:rPr>
          <w:rFonts w:cstheme="minorHAnsi"/>
        </w:rPr>
        <w:t>1</w:t>
      </w:r>
      <w:r w:rsidR="002D4C38" w:rsidRPr="006D4988">
        <w:rPr>
          <w:rFonts w:cstheme="minorHAnsi"/>
        </w:rPr>
        <w:t>6</w:t>
      </w:r>
      <w:r w:rsidR="00E953CB" w:rsidRPr="006D4988">
        <w:rPr>
          <w:rFonts w:cstheme="minorHAnsi"/>
        </w:rPr>
        <w:t xml:space="preserve"> reporting period</w:t>
      </w:r>
      <w:r w:rsidR="00074888" w:rsidRPr="006D4988">
        <w:rPr>
          <w:rFonts w:cstheme="minorHAnsi"/>
        </w:rPr>
        <w:t xml:space="preserve"> (noting these requirements were originally due to commen</w:t>
      </w:r>
      <w:r w:rsidR="001F04CD" w:rsidRPr="006D4988">
        <w:rPr>
          <w:rFonts w:cstheme="minorHAnsi"/>
        </w:rPr>
        <w:t>ce</w:t>
      </w:r>
      <w:r w:rsidR="00074888" w:rsidRPr="006D4988">
        <w:rPr>
          <w:rFonts w:cstheme="minorHAnsi"/>
        </w:rPr>
        <w:t xml:space="preserve"> for the 2014</w:t>
      </w:r>
      <w:r w:rsidR="00C76DA5">
        <w:rPr>
          <w:rFonts w:cstheme="minorHAnsi"/>
        </w:rPr>
        <w:t>–</w:t>
      </w:r>
      <w:r w:rsidR="00074888" w:rsidRPr="006D4988">
        <w:rPr>
          <w:rFonts w:cstheme="minorHAnsi"/>
        </w:rPr>
        <w:t>15 reporting period</w:t>
      </w:r>
      <w:r w:rsidR="00C14248" w:rsidRPr="006D4988">
        <w:rPr>
          <w:rFonts w:cstheme="minorHAnsi"/>
        </w:rPr>
        <w:t xml:space="preserve"> but were delayed fo</w:t>
      </w:r>
      <w:r w:rsidR="004A56C2">
        <w:rPr>
          <w:rFonts w:cstheme="minorHAnsi"/>
        </w:rPr>
        <w:t>llowing a Government decision</w:t>
      </w:r>
      <w:r w:rsidR="00C14248" w:rsidRPr="006D4988">
        <w:rPr>
          <w:rFonts w:cstheme="minorHAnsi"/>
        </w:rPr>
        <w:t xml:space="preserve"> in early 2014</w:t>
      </w:r>
      <w:r w:rsidR="004A56C2">
        <w:rPr>
          <w:rFonts w:cstheme="minorHAnsi"/>
        </w:rPr>
        <w:t xml:space="preserve"> </w:t>
      </w:r>
      <w:r w:rsidR="006823D5">
        <w:rPr>
          <w:rFonts w:cstheme="minorHAnsi"/>
        </w:rPr>
        <w:t xml:space="preserve">after </w:t>
      </w:r>
      <w:r w:rsidR="004A56C2">
        <w:rPr>
          <w:rFonts w:cstheme="minorHAnsi"/>
        </w:rPr>
        <w:t>consultation with relevant stakeholders</w:t>
      </w:r>
      <w:r w:rsidR="002A0729">
        <w:rPr>
          <w:rFonts w:cstheme="minorHAnsi"/>
        </w:rPr>
        <w:t>)</w:t>
      </w:r>
      <w:r w:rsidR="00E953CB" w:rsidRPr="006D4988">
        <w:rPr>
          <w:rFonts w:cstheme="minorHAnsi"/>
        </w:rPr>
        <w:t>.</w:t>
      </w:r>
    </w:p>
    <w:p w:rsidR="00E953CB" w:rsidRPr="006D4988" w:rsidRDefault="00E953CB" w:rsidP="00E953CB">
      <w:pPr>
        <w:rPr>
          <w:rFonts w:cstheme="minorHAnsi"/>
        </w:rPr>
      </w:pPr>
      <w:r w:rsidRPr="006D4988">
        <w:rPr>
          <w:rFonts w:cstheme="minorHAnsi"/>
        </w:rPr>
        <w:t>Under the Instrument, Schedule 1 requires relevant employers to provide a workplace profile of their organisation (including gender, employment status, occupational categories for managers and non</w:t>
      </w:r>
      <w:r w:rsidR="003E7BAB">
        <w:rPr>
          <w:rFonts w:cstheme="minorHAnsi"/>
        </w:rPr>
        <w:t>-</w:t>
      </w:r>
      <w:r w:rsidRPr="006D4988">
        <w:rPr>
          <w:rFonts w:cstheme="minorHAnsi"/>
        </w:rPr>
        <w:t xml:space="preserve">managers, reporting level from the Chief Executive Officer </w:t>
      </w:r>
      <w:r w:rsidR="006823D5">
        <w:rPr>
          <w:rFonts w:cstheme="minorHAnsi"/>
        </w:rPr>
        <w:t>(</w:t>
      </w:r>
      <w:proofErr w:type="spellStart"/>
      <w:r w:rsidR="006823D5">
        <w:rPr>
          <w:rFonts w:cstheme="minorHAnsi"/>
        </w:rPr>
        <w:t>CEO</w:t>
      </w:r>
      <w:proofErr w:type="spellEnd"/>
      <w:r w:rsidR="006823D5">
        <w:rPr>
          <w:rFonts w:cstheme="minorHAnsi"/>
        </w:rPr>
        <w:t xml:space="preserve">) </w:t>
      </w:r>
      <w:r w:rsidR="00C8371E">
        <w:rPr>
          <w:rFonts w:cstheme="minorHAnsi"/>
        </w:rPr>
        <w:t>or equivalent</w:t>
      </w:r>
      <w:r w:rsidR="00C8371E" w:rsidRPr="006D4988">
        <w:rPr>
          <w:rFonts w:cstheme="minorHAnsi"/>
        </w:rPr>
        <w:t xml:space="preserve"> </w:t>
      </w:r>
      <w:r w:rsidRPr="006D4988">
        <w:rPr>
          <w:rFonts w:cstheme="minorHAnsi"/>
        </w:rPr>
        <w:t xml:space="preserve">and annualised average full–time equivalent </w:t>
      </w:r>
      <w:r w:rsidRPr="004A56C2">
        <w:rPr>
          <w:rFonts w:cstheme="minorHAnsi"/>
        </w:rPr>
        <w:t xml:space="preserve">base salary and total remuneration), as well as report against the six </w:t>
      </w:r>
      <w:r w:rsidR="00C76DA5">
        <w:rPr>
          <w:rFonts w:cstheme="minorHAnsi"/>
        </w:rPr>
        <w:t>I</w:t>
      </w:r>
      <w:r w:rsidR="00C76DA5" w:rsidRPr="004A56C2">
        <w:rPr>
          <w:rFonts w:cstheme="minorHAnsi"/>
        </w:rPr>
        <w:t xml:space="preserve">ndicators </w:t>
      </w:r>
      <w:r w:rsidRPr="004A56C2">
        <w:rPr>
          <w:rFonts w:cstheme="minorHAnsi"/>
        </w:rPr>
        <w:t>through a questionnaire.</w:t>
      </w:r>
      <w:r w:rsidR="005D259B" w:rsidRPr="004A56C2">
        <w:rPr>
          <w:rFonts w:cstheme="minorHAnsi"/>
        </w:rPr>
        <w:t xml:space="preserve"> </w:t>
      </w:r>
      <w:r w:rsidRPr="004A56C2">
        <w:rPr>
          <w:rFonts w:cstheme="minorHAnsi"/>
        </w:rPr>
        <w:t xml:space="preserve">This is a significant increase </w:t>
      </w:r>
      <w:r w:rsidR="00D05DBE" w:rsidRPr="004A56C2">
        <w:rPr>
          <w:rFonts w:cstheme="minorHAnsi"/>
        </w:rPr>
        <w:t xml:space="preserve">in the information employers are to provide compared </w:t>
      </w:r>
      <w:r w:rsidR="00C15912">
        <w:rPr>
          <w:rFonts w:cstheme="minorHAnsi"/>
        </w:rPr>
        <w:t>with</w:t>
      </w:r>
      <w:r w:rsidR="00C15912" w:rsidRPr="004A56C2">
        <w:rPr>
          <w:rFonts w:cstheme="minorHAnsi"/>
        </w:rPr>
        <w:t xml:space="preserve"> </w:t>
      </w:r>
      <w:r w:rsidRPr="004A56C2">
        <w:rPr>
          <w:rFonts w:cstheme="minorHAnsi"/>
        </w:rPr>
        <w:t>the previous reporting requirements under the</w:t>
      </w:r>
      <w:r w:rsidRPr="004A56C2">
        <w:rPr>
          <w:rFonts w:cstheme="minorHAnsi"/>
          <w:i/>
        </w:rPr>
        <w:t xml:space="preserve"> Equal Opportunity for Women in the Workplace Act 1999</w:t>
      </w:r>
      <w:r w:rsidR="00C14248" w:rsidRPr="004A56C2">
        <w:rPr>
          <w:rFonts w:cstheme="minorHAnsi"/>
          <w:i/>
        </w:rPr>
        <w:t>,</w:t>
      </w:r>
      <w:r w:rsidRPr="004A56C2">
        <w:rPr>
          <w:rFonts w:cstheme="minorHAnsi"/>
        </w:rPr>
        <w:t xml:space="preserve"> but is supported by </w:t>
      </w:r>
      <w:r w:rsidR="004A56C2" w:rsidRPr="004A56C2">
        <w:rPr>
          <w:rFonts w:cstheme="minorHAnsi"/>
        </w:rPr>
        <w:t>a</w:t>
      </w:r>
      <w:r w:rsidRPr="004A56C2">
        <w:rPr>
          <w:rFonts w:cstheme="minorHAnsi"/>
        </w:rPr>
        <w:t xml:space="preserve"> new online reporting tool that aims to make reporting easier.</w:t>
      </w:r>
      <w:r w:rsidR="00C14248" w:rsidRPr="006D4988">
        <w:rPr>
          <w:rFonts w:cstheme="minorHAnsi"/>
        </w:rPr>
        <w:t xml:space="preserve"> </w:t>
      </w:r>
    </w:p>
    <w:p w:rsidR="00AE51C4" w:rsidRPr="006D4988" w:rsidRDefault="00E953CB" w:rsidP="00AE51C4">
      <w:pPr>
        <w:rPr>
          <w:rFonts w:cstheme="minorHAnsi"/>
        </w:rPr>
      </w:pPr>
      <w:r w:rsidRPr="006D4988">
        <w:rPr>
          <w:rFonts w:cstheme="minorHAnsi"/>
        </w:rPr>
        <w:t>Schedule 2 of the Instrument introduces additional requirements to the workplace profile and questionnaire</w:t>
      </w:r>
      <w:r w:rsidR="00E57ABE" w:rsidRPr="006D4988">
        <w:rPr>
          <w:rFonts w:cstheme="minorHAnsi"/>
        </w:rPr>
        <w:t xml:space="preserve"> </w:t>
      </w:r>
      <w:r w:rsidR="00C15912">
        <w:rPr>
          <w:rFonts w:cstheme="minorHAnsi"/>
        </w:rPr>
        <w:t>that</w:t>
      </w:r>
      <w:r w:rsidR="00C15912" w:rsidRPr="006D4988">
        <w:rPr>
          <w:rFonts w:cstheme="minorHAnsi"/>
        </w:rPr>
        <w:t xml:space="preserve"> </w:t>
      </w:r>
      <w:r w:rsidR="00E57ABE" w:rsidRPr="006D4988">
        <w:rPr>
          <w:rFonts w:cstheme="minorHAnsi"/>
        </w:rPr>
        <w:t>were initially intended to commence a year after the requirements in Schedule 1</w:t>
      </w:r>
      <w:r w:rsidRPr="006D4988">
        <w:rPr>
          <w:rFonts w:cstheme="minorHAnsi"/>
        </w:rPr>
        <w:t xml:space="preserve">. </w:t>
      </w:r>
      <w:r w:rsidR="00C75A97" w:rsidRPr="006D4988">
        <w:rPr>
          <w:rFonts w:cstheme="minorHAnsi"/>
        </w:rPr>
        <w:t xml:space="preserve">These additions include </w:t>
      </w:r>
      <w:r w:rsidRPr="006D4988">
        <w:rPr>
          <w:rFonts w:cstheme="minorHAnsi"/>
        </w:rPr>
        <w:t>detailed information on the components of total remuneration (such as bonus payments, superannuation, discretionary pay, overtime, other allowances and other components not already included), recruitment exercises</w:t>
      </w:r>
      <w:r w:rsidR="00D05DBE">
        <w:rPr>
          <w:rFonts w:cstheme="minorHAnsi"/>
        </w:rPr>
        <w:t xml:space="preserve"> such as</w:t>
      </w:r>
      <w:r w:rsidRPr="006D4988">
        <w:rPr>
          <w:rFonts w:cstheme="minorHAnsi"/>
        </w:rPr>
        <w:t xml:space="preserve"> interviews, promotions, resignations and employees returning from parental leave. Details of </w:t>
      </w:r>
      <w:r w:rsidR="00D1217F" w:rsidRPr="006D4988">
        <w:rPr>
          <w:rFonts w:cstheme="minorHAnsi"/>
        </w:rPr>
        <w:t>the reporting requirements as set out in Schedule 1 and Schedule 2</w:t>
      </w:r>
      <w:r w:rsidR="00E04726" w:rsidRPr="006D4988">
        <w:rPr>
          <w:rFonts w:cstheme="minorHAnsi"/>
        </w:rPr>
        <w:t xml:space="preserve"> </w:t>
      </w:r>
      <w:r w:rsidR="00C76DA5">
        <w:rPr>
          <w:rFonts w:cstheme="minorHAnsi"/>
        </w:rPr>
        <w:t>are</w:t>
      </w:r>
      <w:r w:rsidR="00C76DA5" w:rsidRPr="006D4988">
        <w:rPr>
          <w:rFonts w:cstheme="minorHAnsi"/>
        </w:rPr>
        <w:t xml:space="preserve"> </w:t>
      </w:r>
      <w:r w:rsidR="00E04726" w:rsidRPr="006D4988">
        <w:rPr>
          <w:rFonts w:cstheme="minorHAnsi"/>
        </w:rPr>
        <w:t xml:space="preserve">at </w:t>
      </w:r>
      <w:r w:rsidR="001A52CE" w:rsidRPr="00C76DA5">
        <w:rPr>
          <w:rFonts w:cstheme="minorHAnsi"/>
          <w:b/>
        </w:rPr>
        <w:t>APPENDIX A</w:t>
      </w:r>
      <w:r w:rsidR="00E04726" w:rsidRPr="00654093">
        <w:rPr>
          <w:rFonts w:cstheme="minorHAnsi"/>
        </w:rPr>
        <w:t>.</w:t>
      </w:r>
      <w:r w:rsidR="00D1217F" w:rsidRPr="006D4988">
        <w:rPr>
          <w:rFonts w:cstheme="minorHAnsi"/>
        </w:rPr>
        <w:t xml:space="preserve"> </w:t>
      </w:r>
    </w:p>
    <w:p w:rsidR="007A7BCA" w:rsidRPr="0069298D" w:rsidRDefault="007A7BCA" w:rsidP="000404B7">
      <w:pPr>
        <w:pStyle w:val="Heading1"/>
        <w:tabs>
          <w:tab w:val="right" w:pos="9354"/>
        </w:tabs>
        <w:spacing w:before="240"/>
        <w:rPr>
          <w:rFonts w:asciiTheme="minorHAnsi" w:hAnsiTheme="minorHAnsi" w:cstheme="minorHAnsi"/>
        </w:rPr>
      </w:pPr>
      <w:bookmarkStart w:id="5" w:name="_Toc404158251"/>
      <w:bookmarkStart w:id="6" w:name="_Toc405895153"/>
      <w:r w:rsidRPr="0069298D">
        <w:rPr>
          <w:rFonts w:asciiTheme="minorHAnsi" w:hAnsiTheme="minorHAnsi" w:cstheme="minorHAnsi"/>
        </w:rPr>
        <w:lastRenderedPageBreak/>
        <w:t>What is the problem to be solved?</w:t>
      </w:r>
      <w:bookmarkEnd w:id="5"/>
      <w:bookmarkEnd w:id="6"/>
      <w:r w:rsidR="00DB1178">
        <w:rPr>
          <w:rFonts w:asciiTheme="minorHAnsi" w:hAnsiTheme="minorHAnsi" w:cstheme="minorHAnsi"/>
        </w:rPr>
        <w:tab/>
      </w:r>
    </w:p>
    <w:p w:rsidR="003A2189" w:rsidRDefault="003A2189" w:rsidP="003A2189">
      <w:pPr>
        <w:rPr>
          <w:rFonts w:cstheme="minorHAnsi"/>
        </w:rPr>
      </w:pPr>
      <w:r w:rsidRPr="006D4988">
        <w:rPr>
          <w:rFonts w:cstheme="minorHAnsi"/>
        </w:rPr>
        <w:t xml:space="preserve">Gender equality is achieved when people are able to access and enjoy the same rewards, resources and opportunities regardless of whether they are a woman or a man. The aim of gender equality in the workplace is to achieve broadly equal outcomes for women and men. </w:t>
      </w:r>
    </w:p>
    <w:p w:rsidR="00187F2D" w:rsidRDefault="00F805CE" w:rsidP="003A2189">
      <w:pPr>
        <w:rPr>
          <w:rFonts w:cstheme="minorHAnsi"/>
        </w:rPr>
      </w:pPr>
      <w:r>
        <w:rPr>
          <w:rFonts w:cstheme="minorHAnsi"/>
        </w:rPr>
        <w:t>A</w:t>
      </w:r>
      <w:r w:rsidR="003A2189">
        <w:rPr>
          <w:rFonts w:cstheme="minorHAnsi"/>
        </w:rPr>
        <w:t>chiev</w:t>
      </w:r>
      <w:r>
        <w:rPr>
          <w:rFonts w:cstheme="minorHAnsi"/>
        </w:rPr>
        <w:t xml:space="preserve">ing </w:t>
      </w:r>
      <w:r w:rsidR="003A2189">
        <w:rPr>
          <w:rFonts w:cstheme="minorHAnsi"/>
        </w:rPr>
        <w:t>gender equality within the workplace not only benefit</w:t>
      </w:r>
      <w:r w:rsidR="003D409B">
        <w:rPr>
          <w:rFonts w:cstheme="minorHAnsi"/>
        </w:rPr>
        <w:t>s</w:t>
      </w:r>
      <w:r w:rsidR="003A2189">
        <w:rPr>
          <w:rFonts w:cstheme="minorHAnsi"/>
        </w:rPr>
        <w:t xml:space="preserve"> women but also adds to the benefit of other stakeholders, </w:t>
      </w:r>
      <w:r>
        <w:rPr>
          <w:rFonts w:cstheme="minorHAnsi"/>
        </w:rPr>
        <w:t>such as employers, businesses</w:t>
      </w:r>
      <w:r w:rsidR="003A2189">
        <w:rPr>
          <w:rFonts w:cstheme="minorHAnsi"/>
        </w:rPr>
        <w:t xml:space="preserve">, investors and the wider </w:t>
      </w:r>
      <w:r w:rsidR="00861A34">
        <w:rPr>
          <w:rFonts w:cstheme="minorHAnsi"/>
        </w:rPr>
        <w:t>community</w:t>
      </w:r>
      <w:r w:rsidR="003D409B">
        <w:rPr>
          <w:rFonts w:cstheme="minorHAnsi"/>
        </w:rPr>
        <w:t xml:space="preserve"> and economy</w:t>
      </w:r>
      <w:r w:rsidR="003A2189">
        <w:rPr>
          <w:rFonts w:cstheme="minorHAnsi"/>
        </w:rPr>
        <w:t xml:space="preserve">. </w:t>
      </w:r>
      <w:r w:rsidR="00C778BB">
        <w:rPr>
          <w:rFonts w:cstheme="minorHAnsi"/>
        </w:rPr>
        <w:t>For example, t</w:t>
      </w:r>
      <w:r w:rsidR="00C778BB" w:rsidRPr="006D4988">
        <w:rPr>
          <w:rFonts w:cstheme="minorHAnsi"/>
        </w:rPr>
        <w:t>he Grattan Institute has estimated that if 6 per cent more women entered the paid workforce, this would increase the size of the Australian economy by about $25 billion per year</w:t>
      </w:r>
      <w:r w:rsidR="00EE769F">
        <w:rPr>
          <w:rFonts w:cstheme="minorHAnsi"/>
        </w:rPr>
        <w:t>.</w:t>
      </w:r>
      <w:r w:rsidR="00712BED">
        <w:rPr>
          <w:rStyle w:val="FootnoteReference"/>
          <w:rFonts w:cstheme="minorHAnsi"/>
        </w:rPr>
        <w:footnoteReference w:id="3"/>
      </w:r>
      <w:r w:rsidR="00C778BB" w:rsidRPr="006D4988">
        <w:rPr>
          <w:rFonts w:cstheme="minorHAnsi"/>
        </w:rPr>
        <w:t xml:space="preserve"> The OECD also recently estimated that Australia could increase its average annual growth in GDP per capita from 2.0 per cent to 2.4 per cent if the labour participation gap between men and women was reduced by 75 per cent</w:t>
      </w:r>
      <w:r w:rsidR="00EE769F">
        <w:rPr>
          <w:rFonts w:cstheme="minorHAnsi"/>
        </w:rPr>
        <w:t>.</w:t>
      </w:r>
      <w:r w:rsidR="00712BED">
        <w:rPr>
          <w:rStyle w:val="FootnoteReference"/>
          <w:rFonts w:cstheme="minorHAnsi"/>
        </w:rPr>
        <w:footnoteReference w:id="4"/>
      </w:r>
      <w:r w:rsidR="00C778BB">
        <w:rPr>
          <w:rFonts w:cstheme="minorHAnsi"/>
        </w:rPr>
        <w:t xml:space="preserve"> </w:t>
      </w:r>
    </w:p>
    <w:p w:rsidR="003A2189" w:rsidRDefault="00187F2D" w:rsidP="003A2189">
      <w:pPr>
        <w:rPr>
          <w:rFonts w:cstheme="minorHAnsi"/>
          <w:b/>
          <w:u w:val="single"/>
        </w:rPr>
      </w:pPr>
      <w:r>
        <w:rPr>
          <w:rFonts w:cstheme="minorHAnsi"/>
        </w:rPr>
        <w:t>Having a more diverse labour force is good for business</w:t>
      </w:r>
      <w:r w:rsidR="00740B13">
        <w:rPr>
          <w:rFonts w:cstheme="minorHAnsi"/>
        </w:rPr>
        <w:t>. T</w:t>
      </w:r>
      <w:r>
        <w:rPr>
          <w:rFonts w:cstheme="minorHAnsi"/>
        </w:rPr>
        <w:t>he Credit Suisse Institute identifie</w:t>
      </w:r>
      <w:r w:rsidR="00861A34">
        <w:rPr>
          <w:rFonts w:cstheme="minorHAnsi"/>
        </w:rPr>
        <w:t>d</w:t>
      </w:r>
      <w:r>
        <w:rPr>
          <w:rFonts w:cstheme="minorHAnsi"/>
        </w:rPr>
        <w:t xml:space="preserve"> in a recent report</w:t>
      </w:r>
      <w:r w:rsidR="00822917">
        <w:rPr>
          <w:rFonts w:cstheme="minorHAnsi"/>
        </w:rPr>
        <w:t>,</w:t>
      </w:r>
      <w:r>
        <w:rPr>
          <w:rFonts w:cstheme="minorHAnsi"/>
        </w:rPr>
        <w:t xml:space="preserve"> </w:t>
      </w:r>
      <w:r w:rsidR="00822917">
        <w:rPr>
          <w:rFonts w:cstheme="minorHAnsi"/>
        </w:rPr>
        <w:t xml:space="preserve">looking at over 3000 companies, </w:t>
      </w:r>
      <w:r>
        <w:rPr>
          <w:rFonts w:cstheme="minorHAnsi"/>
        </w:rPr>
        <w:t xml:space="preserve">that </w:t>
      </w:r>
      <w:r w:rsidR="00822917">
        <w:rPr>
          <w:rFonts w:cstheme="minorHAnsi"/>
        </w:rPr>
        <w:t xml:space="preserve">those </w:t>
      </w:r>
      <w:r>
        <w:rPr>
          <w:rFonts w:cstheme="minorHAnsi"/>
        </w:rPr>
        <w:t xml:space="preserve">companies with a market value of </w:t>
      </w:r>
      <w:r w:rsidR="00C15912">
        <w:rPr>
          <w:rFonts w:cstheme="minorHAnsi"/>
        </w:rPr>
        <w:t xml:space="preserve">more than </w:t>
      </w:r>
      <w:proofErr w:type="spellStart"/>
      <w:r>
        <w:rPr>
          <w:rFonts w:cstheme="minorHAnsi"/>
        </w:rPr>
        <w:t>US$10</w:t>
      </w:r>
      <w:proofErr w:type="spellEnd"/>
      <w:r>
        <w:rPr>
          <w:rFonts w:cstheme="minorHAnsi"/>
        </w:rPr>
        <w:t xml:space="preserve"> billion, with at least one woman on the board</w:t>
      </w:r>
      <w:r w:rsidR="00C15912">
        <w:rPr>
          <w:rFonts w:cstheme="minorHAnsi"/>
        </w:rPr>
        <w:t>,</w:t>
      </w:r>
      <w:r>
        <w:rPr>
          <w:rFonts w:cstheme="minorHAnsi"/>
        </w:rPr>
        <w:t xml:space="preserve"> achieved a 5 per cent better stock market performance compared </w:t>
      </w:r>
      <w:r w:rsidR="00C15912">
        <w:rPr>
          <w:rFonts w:cstheme="minorHAnsi"/>
        </w:rPr>
        <w:t xml:space="preserve">with </w:t>
      </w:r>
      <w:r>
        <w:rPr>
          <w:rFonts w:cstheme="minorHAnsi"/>
        </w:rPr>
        <w:t xml:space="preserve">companies that do not have </w:t>
      </w:r>
      <w:r w:rsidR="00740B13">
        <w:rPr>
          <w:rFonts w:cstheme="minorHAnsi"/>
        </w:rPr>
        <w:t xml:space="preserve">any </w:t>
      </w:r>
      <w:r>
        <w:rPr>
          <w:rFonts w:cstheme="minorHAnsi"/>
        </w:rPr>
        <w:t>women on the board</w:t>
      </w:r>
      <w:r w:rsidR="00EE769F">
        <w:rPr>
          <w:rFonts w:cstheme="minorHAnsi"/>
        </w:rPr>
        <w:t>.</w:t>
      </w:r>
      <w:r w:rsidR="00396897">
        <w:rPr>
          <w:rStyle w:val="FootnoteReference"/>
          <w:rFonts w:cstheme="minorHAnsi"/>
        </w:rPr>
        <w:footnoteReference w:id="5"/>
      </w:r>
      <w:r>
        <w:rPr>
          <w:rFonts w:cstheme="minorHAnsi"/>
        </w:rPr>
        <w:t xml:space="preserve"> In addition, the report showed that companies with higher proportions of women in management positions also experienced better returns. </w:t>
      </w:r>
      <w:r w:rsidR="003A2189">
        <w:rPr>
          <w:rFonts w:cstheme="minorHAnsi"/>
        </w:rPr>
        <w:t xml:space="preserve">In short, there is a social, business and investment case </w:t>
      </w:r>
      <w:r w:rsidR="003D409B">
        <w:rPr>
          <w:rFonts w:cstheme="minorHAnsi"/>
        </w:rPr>
        <w:t xml:space="preserve">to support </w:t>
      </w:r>
      <w:r w:rsidR="004A56C2">
        <w:rPr>
          <w:rFonts w:cstheme="minorHAnsi"/>
        </w:rPr>
        <w:t xml:space="preserve">greater </w:t>
      </w:r>
      <w:r w:rsidR="003A2189">
        <w:rPr>
          <w:rFonts w:cstheme="minorHAnsi"/>
        </w:rPr>
        <w:t>gender equality</w:t>
      </w:r>
      <w:r w:rsidR="003D409B">
        <w:rPr>
          <w:rFonts w:cstheme="minorHAnsi"/>
        </w:rPr>
        <w:t xml:space="preserve"> in the workplace</w:t>
      </w:r>
      <w:r w:rsidR="003B0B2A">
        <w:rPr>
          <w:rFonts w:cstheme="minorHAnsi"/>
        </w:rPr>
        <w:t xml:space="preserve"> as greater diversity </w:t>
      </w:r>
      <w:r w:rsidR="00822917">
        <w:rPr>
          <w:rFonts w:cstheme="minorHAnsi"/>
        </w:rPr>
        <w:t>creates better</w:t>
      </w:r>
      <w:r w:rsidR="003B0B2A">
        <w:rPr>
          <w:rFonts w:cstheme="minorHAnsi"/>
        </w:rPr>
        <w:t xml:space="preserve"> decision-making and business performance</w:t>
      </w:r>
      <w:r w:rsidR="003A2189">
        <w:rPr>
          <w:rFonts w:cstheme="minorHAnsi"/>
        </w:rPr>
        <w:t>.</w:t>
      </w:r>
      <w:r w:rsidR="00C778BB" w:rsidRPr="00C778BB">
        <w:rPr>
          <w:rFonts w:cstheme="minorHAnsi"/>
        </w:rPr>
        <w:t xml:space="preserve"> </w:t>
      </w:r>
      <w:r w:rsidR="00C778BB" w:rsidRPr="006D4988">
        <w:rPr>
          <w:rFonts w:cstheme="minorHAnsi"/>
        </w:rPr>
        <w:t xml:space="preserve">Further details about the economic and business case </w:t>
      </w:r>
      <w:r w:rsidR="00C15912">
        <w:rPr>
          <w:rFonts w:cstheme="minorHAnsi"/>
        </w:rPr>
        <w:t>are</w:t>
      </w:r>
      <w:r w:rsidR="00C15912" w:rsidRPr="006D4988">
        <w:rPr>
          <w:rFonts w:cstheme="minorHAnsi"/>
        </w:rPr>
        <w:t xml:space="preserve"> </w:t>
      </w:r>
      <w:r w:rsidR="00C778BB" w:rsidRPr="006D4988">
        <w:rPr>
          <w:rFonts w:cstheme="minorHAnsi"/>
        </w:rPr>
        <w:t xml:space="preserve">set out in </w:t>
      </w:r>
      <w:r w:rsidR="00F50843" w:rsidRPr="00C76DA5">
        <w:rPr>
          <w:rFonts w:cstheme="minorHAnsi"/>
          <w:b/>
        </w:rPr>
        <w:t>Appendix</w:t>
      </w:r>
      <w:r w:rsidR="00F50843">
        <w:rPr>
          <w:rFonts w:cstheme="minorHAnsi"/>
          <w:b/>
        </w:rPr>
        <w:t> </w:t>
      </w:r>
      <w:r w:rsidR="00C778BB" w:rsidRPr="00C76DA5">
        <w:rPr>
          <w:rFonts w:cstheme="minorHAnsi"/>
          <w:b/>
        </w:rPr>
        <w:t>B</w:t>
      </w:r>
      <w:r w:rsidR="00C778BB" w:rsidRPr="00654093">
        <w:rPr>
          <w:rFonts w:cstheme="minorHAnsi"/>
        </w:rPr>
        <w:t>.</w:t>
      </w:r>
      <w:r w:rsidR="00C778BB" w:rsidRPr="006D4988">
        <w:rPr>
          <w:rFonts w:cstheme="minorHAnsi"/>
          <w:b/>
          <w:u w:val="single"/>
        </w:rPr>
        <w:t xml:space="preserve"> </w:t>
      </w:r>
    </w:p>
    <w:p w:rsidR="00B35F18" w:rsidRDefault="00B35F18" w:rsidP="00B35F18">
      <w:r>
        <w:t xml:space="preserve">The concept of reporting and measurement as a driver for change in the workplace is </w:t>
      </w:r>
      <w:r w:rsidRPr="00325F9D">
        <w:t xml:space="preserve">supported by international reports. </w:t>
      </w:r>
      <w:r>
        <w:t>For example, m</w:t>
      </w:r>
      <w:r w:rsidRPr="00325F9D">
        <w:t>anagement consulting firm McKinsey and Company has found</w:t>
      </w:r>
      <w:r>
        <w:t xml:space="preserve"> that a company which has a robust, fact</w:t>
      </w:r>
      <w:r w:rsidR="00C04BE0">
        <w:t>-</w:t>
      </w:r>
      <w:r>
        <w:t xml:space="preserve">based understanding of gender equality in </w:t>
      </w:r>
      <w:r w:rsidR="00C04BE0">
        <w:t xml:space="preserve">its </w:t>
      </w:r>
      <w:r>
        <w:t xml:space="preserve">workplace </w:t>
      </w:r>
      <w:r w:rsidR="00C04BE0">
        <w:t xml:space="preserve">is </w:t>
      </w:r>
      <w:r>
        <w:t>2.4 times more likely to have transformative diversity policies. The same report also argues that</w:t>
      </w:r>
      <w:r w:rsidR="00C04BE0">
        <w:t>,</w:t>
      </w:r>
      <w:r>
        <w:t xml:space="preserve"> at a minimum, the data should include ‘the proportion of women in the company’s business units at each level of employment, the pay levels and attrition rates of men and women in comparable positions, and the ratio of women promoted to women eligible for promotion’</w:t>
      </w:r>
      <w:r w:rsidR="00396897">
        <w:rPr>
          <w:rStyle w:val="FootnoteReference"/>
        </w:rPr>
        <w:footnoteReference w:id="6"/>
      </w:r>
      <w:r w:rsidR="00FE4C7F">
        <w:t>.</w:t>
      </w:r>
      <w:r>
        <w:t xml:space="preserve"> </w:t>
      </w:r>
    </w:p>
    <w:p w:rsidR="00D9076B" w:rsidRPr="006D4988" w:rsidRDefault="00DF1ED6" w:rsidP="00DF1ED6">
      <w:pPr>
        <w:rPr>
          <w:rFonts w:cstheme="minorHAnsi"/>
        </w:rPr>
      </w:pPr>
      <w:r w:rsidRPr="006D4988">
        <w:rPr>
          <w:rFonts w:cstheme="minorHAnsi"/>
        </w:rPr>
        <w:t xml:space="preserve">Employers </w:t>
      </w:r>
      <w:r w:rsidR="00270A9F" w:rsidRPr="006D4988">
        <w:rPr>
          <w:rFonts w:cstheme="minorHAnsi"/>
        </w:rPr>
        <w:t xml:space="preserve">and employer organisations </w:t>
      </w:r>
      <w:r w:rsidRPr="006D4988">
        <w:rPr>
          <w:rFonts w:cstheme="minorHAnsi"/>
        </w:rPr>
        <w:t xml:space="preserve">have raised concerns with </w:t>
      </w:r>
      <w:r w:rsidR="00FB10C8" w:rsidRPr="006D4988">
        <w:rPr>
          <w:rFonts w:cstheme="minorHAnsi"/>
        </w:rPr>
        <w:t xml:space="preserve">the </w:t>
      </w:r>
      <w:r w:rsidRPr="006D4988">
        <w:rPr>
          <w:rFonts w:cstheme="minorHAnsi"/>
        </w:rPr>
        <w:t xml:space="preserve">Government about the </w:t>
      </w:r>
      <w:r w:rsidR="002A0729">
        <w:rPr>
          <w:rFonts w:cstheme="minorHAnsi"/>
        </w:rPr>
        <w:t>effectiveness</w:t>
      </w:r>
      <w:r w:rsidRPr="006D4988">
        <w:rPr>
          <w:rFonts w:cstheme="minorHAnsi"/>
        </w:rPr>
        <w:t xml:space="preserve"> of the new reporting regime. </w:t>
      </w:r>
      <w:r w:rsidR="00270A9F" w:rsidRPr="006D4988">
        <w:rPr>
          <w:rFonts w:cstheme="minorHAnsi"/>
        </w:rPr>
        <w:t>They have stated</w:t>
      </w:r>
      <w:r w:rsidRPr="006D4988">
        <w:rPr>
          <w:rFonts w:cstheme="minorHAnsi"/>
        </w:rPr>
        <w:t xml:space="preserve"> that the benefits </w:t>
      </w:r>
      <w:r w:rsidR="00270A9F" w:rsidRPr="006D4988">
        <w:rPr>
          <w:rFonts w:cstheme="minorHAnsi"/>
        </w:rPr>
        <w:t xml:space="preserve">they </w:t>
      </w:r>
      <w:r w:rsidR="00961C94" w:rsidRPr="006D4988">
        <w:rPr>
          <w:rFonts w:cstheme="minorHAnsi"/>
        </w:rPr>
        <w:t>m</w:t>
      </w:r>
      <w:r w:rsidR="00961C94">
        <w:rPr>
          <w:rFonts w:cstheme="minorHAnsi"/>
        </w:rPr>
        <w:t>ight</w:t>
      </w:r>
      <w:r w:rsidR="00961C94" w:rsidRPr="006D4988">
        <w:rPr>
          <w:rFonts w:cstheme="minorHAnsi"/>
        </w:rPr>
        <w:t xml:space="preserve"> </w:t>
      </w:r>
      <w:r w:rsidR="00270A9F" w:rsidRPr="006D4988">
        <w:rPr>
          <w:rFonts w:cstheme="minorHAnsi"/>
        </w:rPr>
        <w:t>receive from</w:t>
      </w:r>
      <w:r w:rsidRPr="006D4988">
        <w:rPr>
          <w:rFonts w:cstheme="minorHAnsi"/>
        </w:rPr>
        <w:t xml:space="preserve"> the requirements are not commensurate with the </w:t>
      </w:r>
      <w:r w:rsidR="00C14248" w:rsidRPr="006D4988">
        <w:rPr>
          <w:rFonts w:cstheme="minorHAnsi"/>
        </w:rPr>
        <w:t xml:space="preserve">significant </w:t>
      </w:r>
      <w:r w:rsidRPr="006D4988">
        <w:rPr>
          <w:rFonts w:cstheme="minorHAnsi"/>
        </w:rPr>
        <w:t>effort</w:t>
      </w:r>
      <w:r w:rsidR="00270A9F" w:rsidRPr="006D4988">
        <w:rPr>
          <w:rFonts w:cstheme="minorHAnsi"/>
        </w:rPr>
        <w:t xml:space="preserve"> required to report</w:t>
      </w:r>
      <w:r w:rsidRPr="006D4988">
        <w:rPr>
          <w:rFonts w:cstheme="minorHAnsi"/>
        </w:rPr>
        <w:t>.</w:t>
      </w:r>
      <w:r w:rsidR="00FB10C8" w:rsidRPr="006D4988">
        <w:rPr>
          <w:rFonts w:cstheme="minorHAnsi"/>
        </w:rPr>
        <w:t xml:space="preserve"> </w:t>
      </w:r>
      <w:r w:rsidR="00D9076B" w:rsidRPr="006D4988">
        <w:rPr>
          <w:rFonts w:cstheme="minorHAnsi"/>
        </w:rPr>
        <w:t xml:space="preserve">For this reason, </w:t>
      </w:r>
      <w:r w:rsidR="00725F26" w:rsidRPr="006D4988">
        <w:rPr>
          <w:rFonts w:cstheme="minorHAnsi"/>
        </w:rPr>
        <w:t>the</w:t>
      </w:r>
      <w:r w:rsidR="00D9076B" w:rsidRPr="006D4988">
        <w:rPr>
          <w:rFonts w:cstheme="minorHAnsi"/>
        </w:rPr>
        <w:t xml:space="preserve"> Government has committed to reviewing the reporting requirements </w:t>
      </w:r>
      <w:r w:rsidR="00FE4C7F">
        <w:rPr>
          <w:rFonts w:cstheme="minorHAnsi"/>
        </w:rPr>
        <w:t xml:space="preserve">through a public consultation process </w:t>
      </w:r>
      <w:r w:rsidR="00D9076B" w:rsidRPr="006D4988">
        <w:rPr>
          <w:rFonts w:cstheme="minorHAnsi"/>
        </w:rPr>
        <w:t xml:space="preserve">with a view to streamlining </w:t>
      </w:r>
      <w:r w:rsidR="004A56C2">
        <w:rPr>
          <w:rFonts w:cstheme="minorHAnsi"/>
        </w:rPr>
        <w:t>the</w:t>
      </w:r>
      <w:r w:rsidR="00D9076B" w:rsidRPr="006D4988">
        <w:rPr>
          <w:rFonts w:cstheme="minorHAnsi"/>
        </w:rPr>
        <w:t xml:space="preserve"> data collection</w:t>
      </w:r>
      <w:r w:rsidR="009904DA" w:rsidRPr="006D4988">
        <w:rPr>
          <w:rFonts w:cstheme="minorHAnsi"/>
        </w:rPr>
        <w:t xml:space="preserve"> </w:t>
      </w:r>
      <w:r w:rsidR="004A56C2">
        <w:rPr>
          <w:rFonts w:cstheme="minorHAnsi"/>
        </w:rPr>
        <w:t>on</w:t>
      </w:r>
      <w:r w:rsidR="009904DA" w:rsidRPr="006D4988">
        <w:rPr>
          <w:rFonts w:cstheme="minorHAnsi"/>
        </w:rPr>
        <w:t xml:space="preserve"> gender reporting</w:t>
      </w:r>
      <w:r w:rsidR="00D9076B" w:rsidRPr="006D4988">
        <w:rPr>
          <w:rFonts w:cstheme="minorHAnsi"/>
        </w:rPr>
        <w:t xml:space="preserve"> </w:t>
      </w:r>
      <w:r w:rsidR="004A56C2">
        <w:rPr>
          <w:rFonts w:cstheme="minorHAnsi"/>
        </w:rPr>
        <w:t>so it</w:t>
      </w:r>
      <w:r w:rsidR="00D9076B" w:rsidRPr="006D4988">
        <w:rPr>
          <w:rFonts w:cstheme="minorHAnsi"/>
        </w:rPr>
        <w:t xml:space="preserve"> is manageable and drives change. </w:t>
      </w:r>
    </w:p>
    <w:p w:rsidR="00CB3713" w:rsidRPr="006D4988" w:rsidRDefault="00CB3713" w:rsidP="00CB3713">
      <w:pPr>
        <w:rPr>
          <w:rFonts w:cstheme="minorHAnsi"/>
        </w:rPr>
      </w:pPr>
      <w:r w:rsidRPr="006D4988">
        <w:rPr>
          <w:rFonts w:cstheme="minorHAnsi"/>
        </w:rPr>
        <w:t xml:space="preserve">It is important to note that </w:t>
      </w:r>
      <w:r w:rsidR="0035447E" w:rsidRPr="006D4988">
        <w:rPr>
          <w:rFonts w:cstheme="minorHAnsi"/>
        </w:rPr>
        <w:t>most</w:t>
      </w:r>
      <w:r w:rsidRPr="006D4988">
        <w:rPr>
          <w:rFonts w:cstheme="minorHAnsi"/>
        </w:rPr>
        <w:t xml:space="preserve"> reporting organisations </w:t>
      </w:r>
      <w:r w:rsidR="00F7116C">
        <w:rPr>
          <w:rFonts w:cstheme="minorHAnsi"/>
        </w:rPr>
        <w:t xml:space="preserve">who participated in the consultation process </w:t>
      </w:r>
      <w:r w:rsidRPr="006D4988">
        <w:rPr>
          <w:rFonts w:cstheme="minorHAnsi"/>
        </w:rPr>
        <w:t xml:space="preserve">advised that they </w:t>
      </w:r>
      <w:r w:rsidR="002A0729">
        <w:rPr>
          <w:rFonts w:cstheme="minorHAnsi"/>
        </w:rPr>
        <w:t xml:space="preserve">support the objective of </w:t>
      </w:r>
      <w:r w:rsidRPr="006D4988">
        <w:rPr>
          <w:rFonts w:cstheme="minorHAnsi"/>
        </w:rPr>
        <w:t>gender equality reporting when it is not onerous and they can clearly see the benefits for their organisation. Therefore</w:t>
      </w:r>
      <w:r w:rsidR="00653955">
        <w:rPr>
          <w:rFonts w:cstheme="minorHAnsi"/>
        </w:rPr>
        <w:t>,</w:t>
      </w:r>
      <w:r w:rsidRPr="006D4988">
        <w:rPr>
          <w:rFonts w:cstheme="minorHAnsi"/>
        </w:rPr>
        <w:t xml:space="preserve"> it is essential that the data </w:t>
      </w:r>
      <w:r w:rsidRPr="006D4988">
        <w:rPr>
          <w:rFonts w:cstheme="minorHAnsi"/>
        </w:rPr>
        <w:lastRenderedPageBreak/>
        <w:t>collected directly support</w:t>
      </w:r>
      <w:r w:rsidR="0016452A">
        <w:rPr>
          <w:rFonts w:cstheme="minorHAnsi"/>
        </w:rPr>
        <w:t>s</w:t>
      </w:r>
      <w:r w:rsidRPr="006D4988">
        <w:rPr>
          <w:rFonts w:cstheme="minorHAnsi"/>
        </w:rPr>
        <w:t xml:space="preserve"> organisations in their efforts to improve gender equality in their workplaces</w:t>
      </w:r>
      <w:r w:rsidR="004A56C2">
        <w:rPr>
          <w:rFonts w:cstheme="minorHAnsi"/>
        </w:rPr>
        <w:t xml:space="preserve"> in a transparent and manageable way</w:t>
      </w:r>
      <w:r w:rsidRPr="006D4988">
        <w:rPr>
          <w:rFonts w:cstheme="minorHAnsi"/>
        </w:rPr>
        <w:t xml:space="preserve">. </w:t>
      </w:r>
    </w:p>
    <w:p w:rsidR="00DF1ED6" w:rsidRPr="006D4988" w:rsidRDefault="00FB10C8" w:rsidP="00DF1ED6">
      <w:pPr>
        <w:rPr>
          <w:rFonts w:cstheme="minorHAnsi"/>
        </w:rPr>
      </w:pPr>
      <w:r w:rsidRPr="006D4988">
        <w:rPr>
          <w:rFonts w:cstheme="minorHAnsi"/>
        </w:rPr>
        <w:t xml:space="preserve">To date, employers have not received the benchmark reports from the Agency </w:t>
      </w:r>
      <w:r w:rsidR="00653955">
        <w:rPr>
          <w:rFonts w:cstheme="minorHAnsi"/>
        </w:rPr>
        <w:t>that</w:t>
      </w:r>
      <w:r w:rsidR="00653955" w:rsidRPr="006D4988">
        <w:rPr>
          <w:rFonts w:cstheme="minorHAnsi"/>
        </w:rPr>
        <w:t xml:space="preserve"> </w:t>
      </w:r>
      <w:r w:rsidRPr="006D4988">
        <w:rPr>
          <w:rFonts w:cstheme="minorHAnsi"/>
        </w:rPr>
        <w:t>show them how they compare with similar organisations within their industry, or similar</w:t>
      </w:r>
      <w:r w:rsidR="00653955">
        <w:rPr>
          <w:rFonts w:cstheme="minorHAnsi"/>
        </w:rPr>
        <w:t>-</w:t>
      </w:r>
      <w:r w:rsidRPr="006D4988">
        <w:rPr>
          <w:rFonts w:cstheme="minorHAnsi"/>
        </w:rPr>
        <w:t xml:space="preserve">sized organisations. These are expected to be provided to employers in </w:t>
      </w:r>
      <w:r w:rsidR="00B70D04">
        <w:rPr>
          <w:rFonts w:cstheme="minorHAnsi"/>
        </w:rPr>
        <w:t>December</w:t>
      </w:r>
      <w:r w:rsidRPr="006D4988">
        <w:rPr>
          <w:rFonts w:cstheme="minorHAnsi"/>
        </w:rPr>
        <w:t xml:space="preserve"> 2014. </w:t>
      </w:r>
    </w:p>
    <w:p w:rsidR="009904DA" w:rsidRPr="006D4988" w:rsidRDefault="00D9076B" w:rsidP="00B04475">
      <w:pPr>
        <w:rPr>
          <w:rFonts w:cstheme="minorHAnsi"/>
        </w:rPr>
      </w:pPr>
      <w:r w:rsidRPr="006D4988">
        <w:rPr>
          <w:rFonts w:cstheme="minorHAnsi"/>
        </w:rPr>
        <w:t xml:space="preserve">There are three clear areas of reporting requirements where </w:t>
      </w:r>
      <w:r w:rsidR="009904DA" w:rsidRPr="006D4988">
        <w:rPr>
          <w:rFonts w:cstheme="minorHAnsi"/>
        </w:rPr>
        <w:t xml:space="preserve">the majority of reporting </w:t>
      </w:r>
      <w:r w:rsidRPr="006D4988">
        <w:rPr>
          <w:rFonts w:cstheme="minorHAnsi"/>
        </w:rPr>
        <w:t xml:space="preserve">employers </w:t>
      </w:r>
      <w:r w:rsidR="00FE4C7F">
        <w:rPr>
          <w:rFonts w:cstheme="minorHAnsi"/>
        </w:rPr>
        <w:t xml:space="preserve">who participated in the consultation </w:t>
      </w:r>
      <w:r w:rsidRPr="006D4988">
        <w:rPr>
          <w:rFonts w:cstheme="minorHAnsi"/>
        </w:rPr>
        <w:t xml:space="preserve">have concerns. </w:t>
      </w:r>
      <w:r w:rsidR="009904DA" w:rsidRPr="006D4988">
        <w:rPr>
          <w:rFonts w:cstheme="minorHAnsi"/>
        </w:rPr>
        <w:t xml:space="preserve">These were raised consistently during the </w:t>
      </w:r>
      <w:r w:rsidR="00E12D53">
        <w:rPr>
          <w:rFonts w:cstheme="minorHAnsi"/>
        </w:rPr>
        <w:t>D</w:t>
      </w:r>
      <w:r w:rsidR="009904DA" w:rsidRPr="006D4988">
        <w:rPr>
          <w:rFonts w:cstheme="minorHAnsi"/>
        </w:rPr>
        <w:t>epartment’s consultation process, including through its online survey, face</w:t>
      </w:r>
      <w:r w:rsidR="00E12D53">
        <w:rPr>
          <w:rFonts w:cstheme="minorHAnsi"/>
        </w:rPr>
        <w:t>-</w:t>
      </w:r>
      <w:r w:rsidR="009904DA" w:rsidRPr="006D4988">
        <w:rPr>
          <w:rFonts w:cstheme="minorHAnsi"/>
        </w:rPr>
        <w:t>to</w:t>
      </w:r>
      <w:r w:rsidR="00E12D53">
        <w:rPr>
          <w:rFonts w:cstheme="minorHAnsi"/>
        </w:rPr>
        <w:t>-</w:t>
      </w:r>
      <w:r w:rsidR="009904DA" w:rsidRPr="006D4988">
        <w:rPr>
          <w:rFonts w:cstheme="minorHAnsi"/>
        </w:rPr>
        <w:t>face discussions with employers and through the written</w:t>
      </w:r>
      <w:r w:rsidR="00653955">
        <w:rPr>
          <w:rFonts w:cstheme="minorHAnsi"/>
        </w:rPr>
        <w:t>-</w:t>
      </w:r>
      <w:r w:rsidR="009904DA" w:rsidRPr="006D4988">
        <w:rPr>
          <w:rFonts w:cstheme="minorHAnsi"/>
        </w:rPr>
        <w:t>submission process. These three areas are:</w:t>
      </w:r>
    </w:p>
    <w:p w:rsidR="009904DA" w:rsidRPr="006D4988" w:rsidRDefault="00653955" w:rsidP="003E6551">
      <w:pPr>
        <w:pStyle w:val="ListParagraph"/>
        <w:numPr>
          <w:ilvl w:val="0"/>
          <w:numId w:val="38"/>
        </w:numPr>
        <w:spacing w:before="120" w:after="120" w:line="276"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r</w:t>
      </w:r>
      <w:r w:rsidRPr="006D4988">
        <w:rPr>
          <w:rFonts w:asciiTheme="minorHAnsi" w:hAnsiTheme="minorHAnsi" w:cstheme="minorHAnsi"/>
          <w:sz w:val="22"/>
          <w:szCs w:val="22"/>
        </w:rPr>
        <w:t xml:space="preserve">emuneration </w:t>
      </w:r>
      <w:r w:rsidR="009904DA" w:rsidRPr="006D4988">
        <w:rPr>
          <w:rFonts w:asciiTheme="minorHAnsi" w:hAnsiTheme="minorHAnsi" w:cstheme="minorHAnsi"/>
          <w:sz w:val="22"/>
          <w:szCs w:val="22"/>
        </w:rPr>
        <w:t>data for all non-managers in an organisation that must be annualised and turned into full-time equivalents (workforce profile section)</w:t>
      </w:r>
    </w:p>
    <w:p w:rsidR="009904DA" w:rsidRPr="006D4988" w:rsidRDefault="00653955" w:rsidP="003E6551">
      <w:pPr>
        <w:pStyle w:val="ListParagraph"/>
        <w:numPr>
          <w:ilvl w:val="0"/>
          <w:numId w:val="38"/>
        </w:numPr>
        <w:spacing w:before="120" w:after="120" w:line="276"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o</w:t>
      </w:r>
      <w:r w:rsidRPr="006D4988">
        <w:rPr>
          <w:rFonts w:asciiTheme="minorHAnsi" w:hAnsiTheme="minorHAnsi" w:cstheme="minorHAnsi"/>
          <w:sz w:val="22"/>
          <w:szCs w:val="22"/>
        </w:rPr>
        <w:t xml:space="preserve">ccupational </w:t>
      </w:r>
      <w:r w:rsidR="009904DA" w:rsidRPr="006D4988">
        <w:rPr>
          <w:rFonts w:asciiTheme="minorHAnsi" w:hAnsiTheme="minorHAnsi" w:cstheme="minorHAnsi"/>
          <w:sz w:val="22"/>
          <w:szCs w:val="22"/>
        </w:rPr>
        <w:t>categories for managers and non-managers (workforce profile section)</w:t>
      </w:r>
    </w:p>
    <w:p w:rsidR="009904DA" w:rsidRPr="0016452A" w:rsidRDefault="00653955" w:rsidP="003E6551">
      <w:pPr>
        <w:pStyle w:val="ListParagraph"/>
        <w:numPr>
          <w:ilvl w:val="0"/>
          <w:numId w:val="38"/>
        </w:numPr>
        <w:spacing w:before="120" w:after="120" w:line="276"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 xml:space="preserve">additional </w:t>
      </w:r>
      <w:r w:rsidR="009904DA" w:rsidRPr="006D4988">
        <w:rPr>
          <w:rFonts w:asciiTheme="minorHAnsi" w:hAnsiTheme="minorHAnsi" w:cstheme="minorHAnsi"/>
          <w:sz w:val="22"/>
          <w:szCs w:val="22"/>
        </w:rPr>
        <w:t xml:space="preserve">components of </w:t>
      </w:r>
      <w:r w:rsidR="004D29BA">
        <w:rPr>
          <w:rFonts w:asciiTheme="minorHAnsi" w:hAnsiTheme="minorHAnsi" w:cstheme="minorHAnsi"/>
          <w:sz w:val="22"/>
          <w:szCs w:val="22"/>
        </w:rPr>
        <w:t>t</w:t>
      </w:r>
      <w:r w:rsidR="004D29BA" w:rsidRPr="006D4988">
        <w:rPr>
          <w:rFonts w:asciiTheme="minorHAnsi" w:hAnsiTheme="minorHAnsi" w:cstheme="minorHAnsi"/>
          <w:sz w:val="22"/>
          <w:szCs w:val="22"/>
        </w:rPr>
        <w:t xml:space="preserve">otal </w:t>
      </w:r>
      <w:r w:rsidR="009904DA" w:rsidRPr="006D4988">
        <w:rPr>
          <w:rFonts w:asciiTheme="minorHAnsi" w:hAnsiTheme="minorHAnsi" w:cstheme="minorHAnsi"/>
          <w:sz w:val="22"/>
          <w:szCs w:val="22"/>
        </w:rPr>
        <w:t xml:space="preserve">remuneration and application processes (outlined in Schedule 2 of the Legislative Instrument that </w:t>
      </w:r>
      <w:r w:rsidR="00CB3713" w:rsidRPr="006D4988">
        <w:rPr>
          <w:rFonts w:asciiTheme="minorHAnsi" w:hAnsiTheme="minorHAnsi" w:cstheme="minorHAnsi"/>
          <w:sz w:val="22"/>
          <w:szCs w:val="22"/>
        </w:rPr>
        <w:t>is</w:t>
      </w:r>
      <w:r w:rsidR="009904DA" w:rsidRPr="006D4988">
        <w:rPr>
          <w:rFonts w:asciiTheme="minorHAnsi" w:hAnsiTheme="minorHAnsi" w:cstheme="minorHAnsi"/>
          <w:sz w:val="22"/>
          <w:szCs w:val="22"/>
        </w:rPr>
        <w:t xml:space="preserve"> not yet in force and </w:t>
      </w:r>
      <w:r w:rsidR="00CB3713" w:rsidRPr="006D4988">
        <w:rPr>
          <w:rFonts w:asciiTheme="minorHAnsi" w:hAnsiTheme="minorHAnsi" w:cstheme="minorHAnsi"/>
          <w:sz w:val="22"/>
          <w:szCs w:val="22"/>
        </w:rPr>
        <w:t>is</w:t>
      </w:r>
      <w:r w:rsidR="009904DA" w:rsidRPr="006D4988">
        <w:rPr>
          <w:rFonts w:asciiTheme="minorHAnsi" w:hAnsiTheme="minorHAnsi" w:cstheme="minorHAnsi"/>
          <w:sz w:val="22"/>
          <w:szCs w:val="22"/>
        </w:rPr>
        <w:t xml:space="preserve"> currently due to commence in the 2015</w:t>
      </w:r>
      <w:r w:rsidR="009904DA" w:rsidRPr="006D4988">
        <w:rPr>
          <w:rFonts w:asciiTheme="minorHAnsi" w:hAnsiTheme="minorHAnsi" w:cstheme="minorHAnsi"/>
          <w:sz w:val="22"/>
          <w:szCs w:val="22"/>
        </w:rPr>
        <w:noBreakHyphen/>
        <w:t xml:space="preserve">16 reporting year). </w:t>
      </w:r>
    </w:p>
    <w:p w:rsidR="009904DA" w:rsidRDefault="009904DA" w:rsidP="00B04475">
      <w:pPr>
        <w:rPr>
          <w:rFonts w:cstheme="minorHAnsi"/>
        </w:rPr>
      </w:pPr>
      <w:r w:rsidRPr="006D4988">
        <w:rPr>
          <w:rFonts w:cstheme="minorHAnsi"/>
        </w:rPr>
        <w:t xml:space="preserve">Generally, </w:t>
      </w:r>
      <w:r w:rsidR="0035447E" w:rsidRPr="006D4988">
        <w:rPr>
          <w:rFonts w:cstheme="minorHAnsi"/>
        </w:rPr>
        <w:t>most</w:t>
      </w:r>
      <w:r w:rsidRPr="006D4988">
        <w:rPr>
          <w:rFonts w:cstheme="minorHAnsi"/>
        </w:rPr>
        <w:t xml:space="preserve"> employers and stakeholders have no concerns about questions that ask about whether organisations have gender equality strategies or policies, equal remuneration strategies or policies and flexible working arrangements, among other issues.</w:t>
      </w:r>
    </w:p>
    <w:p w:rsidR="00B04475" w:rsidRPr="006D4988" w:rsidRDefault="00B04475" w:rsidP="00B04475">
      <w:pPr>
        <w:rPr>
          <w:rFonts w:cstheme="minorHAnsi"/>
        </w:rPr>
      </w:pPr>
      <w:r w:rsidRPr="006D4988">
        <w:rPr>
          <w:rFonts w:cstheme="minorHAnsi"/>
        </w:rPr>
        <w:t>To complete the reporting requirements</w:t>
      </w:r>
      <w:r w:rsidR="009904DA" w:rsidRPr="006D4988">
        <w:rPr>
          <w:rFonts w:cstheme="minorHAnsi"/>
        </w:rPr>
        <w:t xml:space="preserve"> for the workforce profile section</w:t>
      </w:r>
      <w:r w:rsidRPr="006D4988">
        <w:rPr>
          <w:rFonts w:cstheme="minorHAnsi"/>
        </w:rPr>
        <w:t xml:space="preserve">, some organisations have advised that they must manually extract data from their payroll or human resources data systems that then needs </w:t>
      </w:r>
      <w:r w:rsidR="00CB3713" w:rsidRPr="006D4988">
        <w:rPr>
          <w:rFonts w:cstheme="minorHAnsi"/>
        </w:rPr>
        <w:t xml:space="preserve">significant amounts of </w:t>
      </w:r>
      <w:r w:rsidRPr="006D4988">
        <w:rPr>
          <w:rFonts w:cstheme="minorHAnsi"/>
        </w:rPr>
        <w:t>manipulation to fit the reporting framework. The impost of the time and cost to em</w:t>
      </w:r>
      <w:r w:rsidR="00CB3713" w:rsidRPr="006D4988">
        <w:rPr>
          <w:rFonts w:cstheme="minorHAnsi"/>
        </w:rPr>
        <w:t xml:space="preserve">ployers of completing the </w:t>
      </w:r>
      <w:r w:rsidR="00F7116C">
        <w:rPr>
          <w:rFonts w:cstheme="minorHAnsi"/>
        </w:rPr>
        <w:t>remuneration data requirements in the workforce profile section</w:t>
      </w:r>
      <w:r w:rsidR="00CB3713" w:rsidRPr="006D4988">
        <w:rPr>
          <w:rFonts w:cstheme="minorHAnsi"/>
        </w:rPr>
        <w:t xml:space="preserve"> </w:t>
      </w:r>
      <w:r w:rsidRPr="006D4988">
        <w:rPr>
          <w:rFonts w:cstheme="minorHAnsi"/>
        </w:rPr>
        <w:t>is high</w:t>
      </w:r>
      <w:r w:rsidR="00740B13">
        <w:rPr>
          <w:rFonts w:cstheme="minorHAnsi"/>
        </w:rPr>
        <w:t>. O</w:t>
      </w:r>
      <w:r w:rsidRPr="006D4988">
        <w:rPr>
          <w:rFonts w:cstheme="minorHAnsi"/>
        </w:rPr>
        <w:t xml:space="preserve">rganisations have reported that they are concerned that the data they are asked to provide </w:t>
      </w:r>
      <w:r w:rsidR="006D0F58" w:rsidRPr="006D4988">
        <w:rPr>
          <w:rFonts w:cstheme="minorHAnsi"/>
        </w:rPr>
        <w:t>m</w:t>
      </w:r>
      <w:r w:rsidR="006D0F58">
        <w:rPr>
          <w:rFonts w:cstheme="minorHAnsi"/>
        </w:rPr>
        <w:t>ight</w:t>
      </w:r>
      <w:r w:rsidR="006D0F58" w:rsidRPr="006D4988">
        <w:rPr>
          <w:rFonts w:cstheme="minorHAnsi"/>
        </w:rPr>
        <w:t xml:space="preserve"> </w:t>
      </w:r>
      <w:r w:rsidRPr="006D4988">
        <w:rPr>
          <w:rFonts w:cstheme="minorHAnsi"/>
        </w:rPr>
        <w:t>be distorted through this process and</w:t>
      </w:r>
      <w:r w:rsidR="006D0F58">
        <w:rPr>
          <w:rFonts w:cstheme="minorHAnsi"/>
        </w:rPr>
        <w:t>,</w:t>
      </w:r>
      <w:r w:rsidRPr="006D4988">
        <w:rPr>
          <w:rFonts w:cstheme="minorHAnsi"/>
        </w:rPr>
        <w:t xml:space="preserve"> </w:t>
      </w:r>
      <w:r w:rsidR="00CB3713" w:rsidRPr="006D4988">
        <w:rPr>
          <w:rFonts w:cstheme="minorHAnsi"/>
        </w:rPr>
        <w:t>therefore</w:t>
      </w:r>
      <w:r w:rsidR="006D0F58">
        <w:rPr>
          <w:rFonts w:cstheme="minorHAnsi"/>
        </w:rPr>
        <w:t>,</w:t>
      </w:r>
      <w:r w:rsidR="00CB3713" w:rsidRPr="006D4988">
        <w:rPr>
          <w:rFonts w:cstheme="minorHAnsi"/>
        </w:rPr>
        <w:t xml:space="preserve"> </w:t>
      </w:r>
      <w:r w:rsidRPr="006D4988">
        <w:rPr>
          <w:rFonts w:cstheme="minorHAnsi"/>
        </w:rPr>
        <w:t>m</w:t>
      </w:r>
      <w:r w:rsidR="006D0F58">
        <w:rPr>
          <w:rFonts w:cstheme="minorHAnsi"/>
        </w:rPr>
        <w:t>ight</w:t>
      </w:r>
      <w:r w:rsidRPr="006D4988">
        <w:rPr>
          <w:rFonts w:cstheme="minorHAnsi"/>
        </w:rPr>
        <w:t xml:space="preserve"> not represent their organisation accurately. This has the potential to result in data that does not </w:t>
      </w:r>
      <w:r w:rsidR="00CB3713" w:rsidRPr="006D4988">
        <w:rPr>
          <w:rFonts w:cstheme="minorHAnsi"/>
        </w:rPr>
        <w:t xml:space="preserve">correctly </w:t>
      </w:r>
      <w:r w:rsidRPr="006D4988">
        <w:rPr>
          <w:rFonts w:cstheme="minorHAnsi"/>
        </w:rPr>
        <w:t xml:space="preserve">reflect </w:t>
      </w:r>
      <w:r w:rsidR="00FB10C8" w:rsidRPr="006D4988">
        <w:rPr>
          <w:rFonts w:cstheme="minorHAnsi"/>
        </w:rPr>
        <w:t xml:space="preserve">the profile of </w:t>
      </w:r>
      <w:r w:rsidRPr="006D4988">
        <w:rPr>
          <w:rFonts w:cstheme="minorHAnsi"/>
        </w:rPr>
        <w:t xml:space="preserve">individual organisations for internal analysis or benchmarking purposes. </w:t>
      </w:r>
    </w:p>
    <w:p w:rsidR="00B04475" w:rsidRDefault="00B04475" w:rsidP="00B04475">
      <w:pPr>
        <w:rPr>
          <w:rFonts w:cstheme="minorHAnsi"/>
        </w:rPr>
      </w:pPr>
      <w:r w:rsidRPr="006D4988">
        <w:rPr>
          <w:rFonts w:cstheme="minorHAnsi"/>
        </w:rPr>
        <w:t xml:space="preserve">Advice </w:t>
      </w:r>
      <w:r w:rsidR="00CB3713" w:rsidRPr="006D4988">
        <w:rPr>
          <w:rFonts w:cstheme="minorHAnsi"/>
        </w:rPr>
        <w:t xml:space="preserve">that the </w:t>
      </w:r>
      <w:r w:rsidR="00E12D53">
        <w:rPr>
          <w:rFonts w:cstheme="minorHAnsi"/>
        </w:rPr>
        <w:t>D</w:t>
      </w:r>
      <w:r w:rsidR="00CB3713" w:rsidRPr="006D4988">
        <w:rPr>
          <w:rFonts w:cstheme="minorHAnsi"/>
        </w:rPr>
        <w:t xml:space="preserve">epartment has received </w:t>
      </w:r>
      <w:r w:rsidRPr="006D4988">
        <w:rPr>
          <w:rFonts w:cstheme="minorHAnsi"/>
        </w:rPr>
        <w:t xml:space="preserve">from the Agency supports the concerns raised by employers. </w:t>
      </w:r>
      <w:r w:rsidRPr="00A51D75">
        <w:rPr>
          <w:rFonts w:cstheme="minorHAnsi"/>
        </w:rPr>
        <w:t xml:space="preserve">The Agency has indicated that the </w:t>
      </w:r>
      <w:r w:rsidR="00F7116C" w:rsidRPr="00A51D75">
        <w:rPr>
          <w:rFonts w:cstheme="minorHAnsi"/>
        </w:rPr>
        <w:t xml:space="preserve">non-manager remuneration data </w:t>
      </w:r>
      <w:r w:rsidR="004A56C2">
        <w:rPr>
          <w:rFonts w:cstheme="minorHAnsi"/>
        </w:rPr>
        <w:t>broken down by the A</w:t>
      </w:r>
      <w:r w:rsidR="00FF681E">
        <w:rPr>
          <w:rFonts w:cstheme="minorHAnsi"/>
        </w:rPr>
        <w:t xml:space="preserve">ustralian and </w:t>
      </w:r>
      <w:r w:rsidR="004A56C2">
        <w:rPr>
          <w:rFonts w:cstheme="minorHAnsi"/>
        </w:rPr>
        <w:t>N</w:t>
      </w:r>
      <w:r w:rsidR="00FF681E">
        <w:rPr>
          <w:rFonts w:cstheme="minorHAnsi"/>
        </w:rPr>
        <w:t xml:space="preserve">ew </w:t>
      </w:r>
      <w:r w:rsidR="004A56C2">
        <w:rPr>
          <w:rFonts w:cstheme="minorHAnsi"/>
        </w:rPr>
        <w:t>Z</w:t>
      </w:r>
      <w:r w:rsidR="00FF681E">
        <w:rPr>
          <w:rFonts w:cstheme="minorHAnsi"/>
        </w:rPr>
        <w:t xml:space="preserve">ealand </w:t>
      </w:r>
      <w:r w:rsidR="004A56C2">
        <w:rPr>
          <w:rFonts w:cstheme="minorHAnsi"/>
        </w:rPr>
        <w:t>S</w:t>
      </w:r>
      <w:r w:rsidR="00FF681E">
        <w:rPr>
          <w:rFonts w:cstheme="minorHAnsi"/>
        </w:rPr>
        <w:t xml:space="preserve">tandard </w:t>
      </w:r>
      <w:r w:rsidR="004A56C2">
        <w:rPr>
          <w:rFonts w:cstheme="minorHAnsi"/>
        </w:rPr>
        <w:t>C</w:t>
      </w:r>
      <w:r w:rsidR="00FF681E">
        <w:rPr>
          <w:rFonts w:cstheme="minorHAnsi"/>
        </w:rPr>
        <w:t xml:space="preserve">lassification of </w:t>
      </w:r>
      <w:r w:rsidR="004A56C2">
        <w:rPr>
          <w:rFonts w:cstheme="minorHAnsi"/>
        </w:rPr>
        <w:t>O</w:t>
      </w:r>
      <w:r w:rsidR="00FF681E">
        <w:rPr>
          <w:rFonts w:cstheme="minorHAnsi"/>
        </w:rPr>
        <w:t>ccupations (</w:t>
      </w:r>
      <w:proofErr w:type="spellStart"/>
      <w:r w:rsidR="00FF681E">
        <w:rPr>
          <w:rFonts w:cstheme="minorHAnsi"/>
        </w:rPr>
        <w:t>ANZSCO</w:t>
      </w:r>
      <w:proofErr w:type="spellEnd"/>
      <w:r w:rsidR="00FF681E">
        <w:rPr>
          <w:rFonts w:cstheme="minorHAnsi"/>
        </w:rPr>
        <w:t>)</w:t>
      </w:r>
      <w:r w:rsidR="004A56C2">
        <w:rPr>
          <w:rFonts w:cstheme="minorHAnsi"/>
        </w:rPr>
        <w:t xml:space="preserve"> level 1 occupational category </w:t>
      </w:r>
      <w:r w:rsidR="00F7116C" w:rsidRPr="00A51D75">
        <w:rPr>
          <w:rFonts w:cstheme="minorHAnsi"/>
        </w:rPr>
        <w:t xml:space="preserve">is too broad for useful analysis and therefore </w:t>
      </w:r>
      <w:r w:rsidR="006D0F58" w:rsidRPr="00A51D75">
        <w:rPr>
          <w:rFonts w:cstheme="minorHAnsi"/>
        </w:rPr>
        <w:t>m</w:t>
      </w:r>
      <w:r w:rsidR="006D0F58">
        <w:rPr>
          <w:rFonts w:cstheme="minorHAnsi"/>
        </w:rPr>
        <w:t>ight</w:t>
      </w:r>
      <w:r w:rsidR="006D0F58" w:rsidRPr="00A51D75">
        <w:rPr>
          <w:rFonts w:cstheme="minorHAnsi"/>
        </w:rPr>
        <w:t xml:space="preserve"> </w:t>
      </w:r>
      <w:r w:rsidR="00F7116C" w:rsidRPr="00A51D75">
        <w:rPr>
          <w:rFonts w:cstheme="minorHAnsi"/>
        </w:rPr>
        <w:t xml:space="preserve">not be effective in driving change. </w:t>
      </w:r>
      <w:r w:rsidR="00FB10C8" w:rsidRPr="00A51D75">
        <w:rPr>
          <w:rFonts w:cstheme="minorHAnsi"/>
        </w:rPr>
        <w:t>The</w:t>
      </w:r>
      <w:r w:rsidR="00FB10C8" w:rsidRPr="006D4988">
        <w:rPr>
          <w:rFonts w:cstheme="minorHAnsi"/>
        </w:rPr>
        <w:t xml:space="preserve"> Agency is currently working with employers to ‘cleanse’ </w:t>
      </w:r>
      <w:r w:rsidR="00F7116C">
        <w:rPr>
          <w:rFonts w:cstheme="minorHAnsi"/>
        </w:rPr>
        <w:t>some of the remuneration</w:t>
      </w:r>
      <w:r w:rsidR="00FB10C8" w:rsidRPr="006D4988">
        <w:rPr>
          <w:rFonts w:cstheme="minorHAnsi"/>
        </w:rPr>
        <w:t xml:space="preserve"> data where it has been incorrectly formatted or provided</w:t>
      </w:r>
      <w:r w:rsidR="006D0F58">
        <w:rPr>
          <w:rFonts w:cstheme="minorHAnsi"/>
        </w:rPr>
        <w:t>,</w:t>
      </w:r>
      <w:r w:rsidR="00FB10C8" w:rsidRPr="006D4988">
        <w:rPr>
          <w:rFonts w:cstheme="minorHAnsi"/>
        </w:rPr>
        <w:t xml:space="preserve"> but</w:t>
      </w:r>
      <w:r w:rsidR="00D9076B" w:rsidRPr="006D4988">
        <w:rPr>
          <w:rFonts w:cstheme="minorHAnsi"/>
        </w:rPr>
        <w:t xml:space="preserve"> it</w:t>
      </w:r>
      <w:r w:rsidR="00FB10C8" w:rsidRPr="006D4988">
        <w:rPr>
          <w:rFonts w:cstheme="minorHAnsi"/>
        </w:rPr>
        <w:t xml:space="preserve"> </w:t>
      </w:r>
      <w:r w:rsidR="006D0F58">
        <w:rPr>
          <w:rFonts w:cstheme="minorHAnsi"/>
        </w:rPr>
        <w:t>might</w:t>
      </w:r>
      <w:r w:rsidR="006D0F58" w:rsidRPr="006D4988">
        <w:rPr>
          <w:rFonts w:cstheme="minorHAnsi"/>
        </w:rPr>
        <w:t xml:space="preserve"> </w:t>
      </w:r>
      <w:r w:rsidR="00FB10C8" w:rsidRPr="006D4988">
        <w:rPr>
          <w:rFonts w:cstheme="minorHAnsi"/>
        </w:rPr>
        <w:t>not be able to address all quality issues</w:t>
      </w:r>
      <w:r w:rsidR="00FF681E">
        <w:rPr>
          <w:rFonts w:cstheme="minorHAnsi"/>
        </w:rPr>
        <w:t>.</w:t>
      </w:r>
    </w:p>
    <w:p w:rsidR="00FE4C7F" w:rsidRPr="006D4988" w:rsidRDefault="00FE4C7F" w:rsidP="00FE4C7F">
      <w:pPr>
        <w:rPr>
          <w:rFonts w:cstheme="minorHAnsi"/>
        </w:rPr>
      </w:pPr>
      <w:r>
        <w:rPr>
          <w:rFonts w:cstheme="minorHAnsi"/>
        </w:rPr>
        <w:t>While difficulties regarding aspects of reporting have been raised, it is important to note that</w:t>
      </w:r>
      <w:r w:rsidRPr="006D4988">
        <w:rPr>
          <w:rFonts w:cstheme="minorHAnsi"/>
        </w:rPr>
        <w:t xml:space="preserve"> </w:t>
      </w:r>
      <w:r>
        <w:rPr>
          <w:rFonts w:cstheme="minorHAnsi"/>
        </w:rPr>
        <w:t xml:space="preserve">the </w:t>
      </w:r>
      <w:r w:rsidRPr="006D4988">
        <w:rPr>
          <w:rFonts w:cstheme="minorHAnsi"/>
        </w:rPr>
        <w:t>data collected by the Agency is unique. While some alternative data sources exist</w:t>
      </w:r>
      <w:r w:rsidR="006D0F58">
        <w:rPr>
          <w:rFonts w:cstheme="minorHAnsi"/>
        </w:rPr>
        <w:t>,</w:t>
      </w:r>
      <w:r w:rsidRPr="006D4988">
        <w:rPr>
          <w:rFonts w:cstheme="minorHAnsi"/>
        </w:rPr>
        <w:t xml:space="preserve"> such as labour market statistics gathered by the Australian Bureau of Statistics, these primarily capture slices of workplace gender equality data, for example by industry, single issues or broad national data. They do not provide </w:t>
      </w:r>
      <w:r w:rsidR="00933EB1" w:rsidRPr="006D4988">
        <w:rPr>
          <w:rFonts w:cstheme="minorHAnsi"/>
        </w:rPr>
        <w:t>organisational</w:t>
      </w:r>
      <w:r w:rsidR="00933EB1">
        <w:rPr>
          <w:rFonts w:cstheme="minorHAnsi"/>
        </w:rPr>
        <w:t>-</w:t>
      </w:r>
      <w:r w:rsidRPr="006D4988">
        <w:rPr>
          <w:rFonts w:cstheme="minorHAnsi"/>
        </w:rPr>
        <w:t xml:space="preserve">level data that provides the basis for internal analysis. The gender reporting data provided through this process is </w:t>
      </w:r>
      <w:r w:rsidR="00AB36E4">
        <w:rPr>
          <w:rFonts w:cstheme="minorHAnsi"/>
        </w:rPr>
        <w:t>more</w:t>
      </w:r>
      <w:r w:rsidRPr="006D4988">
        <w:rPr>
          <w:rFonts w:cstheme="minorHAnsi"/>
        </w:rPr>
        <w:t xml:space="preserve"> granular. The outcome from the annual reports provided to the Agency will result in </w:t>
      </w:r>
      <w:r w:rsidR="00FF681E">
        <w:rPr>
          <w:rFonts w:cstheme="minorHAnsi"/>
        </w:rPr>
        <w:t>b</w:t>
      </w:r>
      <w:r w:rsidR="00FF681E" w:rsidRPr="006D4988">
        <w:rPr>
          <w:rFonts w:cstheme="minorHAnsi"/>
        </w:rPr>
        <w:t xml:space="preserve">enchmark </w:t>
      </w:r>
      <w:r w:rsidRPr="006D4988">
        <w:rPr>
          <w:rFonts w:cstheme="minorHAnsi"/>
        </w:rPr>
        <w:t xml:space="preserve">reports that will enable employers to consider the </w:t>
      </w:r>
      <w:r w:rsidRPr="006D4988">
        <w:rPr>
          <w:rFonts w:cstheme="minorHAnsi"/>
        </w:rPr>
        <w:lastRenderedPageBreak/>
        <w:t>workplace practices and outcomes in relation to industry peers and compare their own performance from one year to the next.</w:t>
      </w:r>
    </w:p>
    <w:p w:rsidR="001008B3" w:rsidRPr="006D4988" w:rsidRDefault="00270A9F" w:rsidP="00D9076B">
      <w:pPr>
        <w:rPr>
          <w:rFonts w:cstheme="minorHAnsi"/>
        </w:rPr>
      </w:pPr>
      <w:r w:rsidRPr="006D4988">
        <w:rPr>
          <w:rFonts w:cstheme="minorHAnsi"/>
        </w:rPr>
        <w:t xml:space="preserve">The policy problem to be solved is how gender reporting can be streamlined so that the data collected is manageable for employers </w:t>
      </w:r>
      <w:r w:rsidR="002A0729">
        <w:rPr>
          <w:rFonts w:cstheme="minorHAnsi"/>
        </w:rPr>
        <w:t xml:space="preserve">as well as accurate </w:t>
      </w:r>
      <w:r w:rsidRPr="006D4988">
        <w:rPr>
          <w:rFonts w:cstheme="minorHAnsi"/>
        </w:rPr>
        <w:t>and effective in terms of driving change at the workplace level.</w:t>
      </w:r>
      <w:r w:rsidR="00934C35" w:rsidRPr="006D4988">
        <w:rPr>
          <w:rFonts w:cstheme="minorHAnsi"/>
        </w:rPr>
        <w:t xml:space="preserve"> This has to be viewed within the context of</w:t>
      </w:r>
      <w:r w:rsidR="001008B3" w:rsidRPr="006D4988">
        <w:rPr>
          <w:rFonts w:cstheme="minorHAnsi"/>
        </w:rPr>
        <w:t>:</w:t>
      </w:r>
    </w:p>
    <w:p w:rsidR="001008B3" w:rsidRPr="006D4988" w:rsidRDefault="00934C35" w:rsidP="003E6551">
      <w:pPr>
        <w:pStyle w:val="ListParagraph"/>
        <w:numPr>
          <w:ilvl w:val="0"/>
          <w:numId w:val="37"/>
        </w:numPr>
        <w:spacing w:before="120" w:after="120" w:line="276" w:lineRule="auto"/>
        <w:ind w:left="714" w:hanging="357"/>
        <w:contextualSpacing w:val="0"/>
        <w:rPr>
          <w:rFonts w:asciiTheme="minorHAnsi" w:eastAsiaTheme="minorHAnsi" w:hAnsiTheme="minorHAnsi" w:cstheme="minorHAnsi"/>
          <w:sz w:val="22"/>
          <w:szCs w:val="22"/>
          <w:lang w:eastAsia="en-US"/>
        </w:rPr>
      </w:pPr>
      <w:r w:rsidRPr="006D4988">
        <w:rPr>
          <w:rFonts w:asciiTheme="minorHAnsi" w:eastAsiaTheme="minorHAnsi" w:hAnsiTheme="minorHAnsi" w:cstheme="minorHAnsi"/>
          <w:sz w:val="22"/>
          <w:szCs w:val="22"/>
          <w:lang w:eastAsia="en-US"/>
        </w:rPr>
        <w:t xml:space="preserve">Government, employers and other key stakeholders </w:t>
      </w:r>
      <w:r w:rsidR="00B73B11" w:rsidRPr="006D4988">
        <w:rPr>
          <w:rFonts w:asciiTheme="minorHAnsi" w:eastAsiaTheme="minorHAnsi" w:hAnsiTheme="minorHAnsi" w:cstheme="minorHAnsi"/>
          <w:sz w:val="22"/>
          <w:szCs w:val="22"/>
          <w:lang w:eastAsia="en-US"/>
        </w:rPr>
        <w:t>agreeing</w:t>
      </w:r>
      <w:r w:rsidRPr="006D4988">
        <w:rPr>
          <w:rFonts w:asciiTheme="minorHAnsi" w:eastAsiaTheme="minorHAnsi" w:hAnsiTheme="minorHAnsi" w:cstheme="minorHAnsi"/>
          <w:sz w:val="22"/>
          <w:szCs w:val="22"/>
          <w:lang w:eastAsia="en-US"/>
        </w:rPr>
        <w:t xml:space="preserve"> that gender equality in workplace</w:t>
      </w:r>
      <w:r w:rsidR="00686262" w:rsidRPr="006D4988">
        <w:rPr>
          <w:rFonts w:asciiTheme="minorHAnsi" w:eastAsiaTheme="minorHAnsi" w:hAnsiTheme="minorHAnsi" w:cstheme="minorHAnsi"/>
          <w:sz w:val="22"/>
          <w:szCs w:val="22"/>
          <w:lang w:eastAsia="en-US"/>
        </w:rPr>
        <w:t>s</w:t>
      </w:r>
      <w:r w:rsidRPr="006D4988">
        <w:rPr>
          <w:rFonts w:asciiTheme="minorHAnsi" w:eastAsiaTheme="minorHAnsi" w:hAnsiTheme="minorHAnsi" w:cstheme="minorHAnsi"/>
          <w:sz w:val="22"/>
          <w:szCs w:val="22"/>
          <w:lang w:eastAsia="en-US"/>
        </w:rPr>
        <w:t xml:space="preserve"> is important</w:t>
      </w:r>
      <w:r w:rsidR="00686262" w:rsidRPr="006D4988">
        <w:rPr>
          <w:rFonts w:asciiTheme="minorHAnsi" w:eastAsiaTheme="minorHAnsi" w:hAnsiTheme="minorHAnsi" w:cstheme="minorHAnsi"/>
          <w:sz w:val="22"/>
          <w:szCs w:val="22"/>
          <w:lang w:eastAsia="en-US"/>
        </w:rPr>
        <w:t xml:space="preserve"> and currently lagging in Australia</w:t>
      </w:r>
      <w:r w:rsidR="00B73B11" w:rsidRPr="006D4988">
        <w:rPr>
          <w:rFonts w:asciiTheme="minorHAnsi" w:eastAsiaTheme="minorHAnsi" w:hAnsiTheme="minorHAnsi" w:cstheme="minorHAnsi"/>
          <w:sz w:val="22"/>
          <w:szCs w:val="22"/>
          <w:lang w:eastAsia="en-US"/>
        </w:rPr>
        <w:t xml:space="preserve"> </w:t>
      </w:r>
    </w:p>
    <w:p w:rsidR="001008B3" w:rsidRPr="006D4988" w:rsidRDefault="006C1559" w:rsidP="003E6551">
      <w:pPr>
        <w:pStyle w:val="ListParagraph"/>
        <w:numPr>
          <w:ilvl w:val="0"/>
          <w:numId w:val="37"/>
        </w:numPr>
        <w:spacing w:before="120" w:after="120" w:line="276" w:lineRule="auto"/>
        <w:ind w:left="714" w:hanging="357"/>
        <w:contextualSpacing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w:t>
      </w:r>
      <w:r w:rsidRPr="006D4988">
        <w:rPr>
          <w:rFonts w:asciiTheme="minorHAnsi" w:eastAsiaTheme="minorHAnsi" w:hAnsiTheme="minorHAnsi" w:cstheme="minorHAnsi"/>
          <w:sz w:val="22"/>
          <w:szCs w:val="22"/>
          <w:lang w:eastAsia="en-US"/>
        </w:rPr>
        <w:t xml:space="preserve">he </w:t>
      </w:r>
      <w:r w:rsidR="0028331E" w:rsidRPr="006D4988">
        <w:rPr>
          <w:rFonts w:asciiTheme="minorHAnsi" w:eastAsiaTheme="minorHAnsi" w:hAnsiTheme="minorHAnsi" w:cstheme="minorHAnsi"/>
          <w:sz w:val="22"/>
          <w:szCs w:val="22"/>
          <w:lang w:eastAsia="en-US"/>
        </w:rPr>
        <w:t>aim of g</w:t>
      </w:r>
      <w:r w:rsidR="00B73B11" w:rsidRPr="006D4988">
        <w:rPr>
          <w:rFonts w:asciiTheme="minorHAnsi" w:eastAsiaTheme="minorHAnsi" w:hAnsiTheme="minorHAnsi" w:cstheme="minorHAnsi"/>
          <w:sz w:val="22"/>
          <w:szCs w:val="22"/>
          <w:lang w:eastAsia="en-US"/>
        </w:rPr>
        <w:t xml:space="preserve">ender equality reporting </w:t>
      </w:r>
      <w:r w:rsidR="0028331E" w:rsidRPr="006D4988">
        <w:rPr>
          <w:rFonts w:asciiTheme="minorHAnsi" w:eastAsiaTheme="minorHAnsi" w:hAnsiTheme="minorHAnsi" w:cstheme="minorHAnsi"/>
          <w:sz w:val="22"/>
          <w:szCs w:val="22"/>
          <w:lang w:eastAsia="en-US"/>
        </w:rPr>
        <w:t>is</w:t>
      </w:r>
      <w:r w:rsidR="00B73B11" w:rsidRPr="006D4988">
        <w:rPr>
          <w:rFonts w:asciiTheme="minorHAnsi" w:eastAsiaTheme="minorHAnsi" w:hAnsiTheme="minorHAnsi" w:cstheme="minorHAnsi"/>
          <w:sz w:val="22"/>
          <w:szCs w:val="22"/>
          <w:lang w:eastAsia="en-US"/>
        </w:rPr>
        <w:t xml:space="preserve"> to address a lack of understanding of employers of gender </w:t>
      </w:r>
      <w:r w:rsidR="002A0729">
        <w:rPr>
          <w:rFonts w:asciiTheme="minorHAnsi" w:eastAsiaTheme="minorHAnsi" w:hAnsiTheme="minorHAnsi" w:cstheme="minorHAnsi"/>
          <w:sz w:val="22"/>
          <w:szCs w:val="22"/>
          <w:lang w:eastAsia="en-US"/>
        </w:rPr>
        <w:t>inequality</w:t>
      </w:r>
      <w:r w:rsidR="002A0729" w:rsidRPr="006D4988">
        <w:rPr>
          <w:rFonts w:asciiTheme="minorHAnsi" w:eastAsiaTheme="minorHAnsi" w:hAnsiTheme="minorHAnsi" w:cstheme="minorHAnsi"/>
          <w:sz w:val="22"/>
          <w:szCs w:val="22"/>
          <w:lang w:eastAsia="en-US"/>
        </w:rPr>
        <w:t xml:space="preserve"> </w:t>
      </w:r>
      <w:r w:rsidR="00B73B11" w:rsidRPr="006D4988">
        <w:rPr>
          <w:rFonts w:asciiTheme="minorHAnsi" w:eastAsiaTheme="minorHAnsi" w:hAnsiTheme="minorHAnsi" w:cstheme="minorHAnsi"/>
          <w:sz w:val="22"/>
          <w:szCs w:val="22"/>
          <w:lang w:eastAsia="en-US"/>
        </w:rPr>
        <w:t>within their organisation, either by occupation</w:t>
      </w:r>
      <w:r w:rsidR="004473B0">
        <w:rPr>
          <w:rFonts w:asciiTheme="minorHAnsi" w:eastAsiaTheme="minorHAnsi" w:hAnsiTheme="minorHAnsi" w:cstheme="minorHAnsi"/>
          <w:sz w:val="22"/>
          <w:szCs w:val="22"/>
          <w:lang w:eastAsia="en-US"/>
        </w:rPr>
        <w:t>,</w:t>
      </w:r>
      <w:r w:rsidR="00B73B11" w:rsidRPr="006D4988">
        <w:rPr>
          <w:rFonts w:asciiTheme="minorHAnsi" w:eastAsiaTheme="minorHAnsi" w:hAnsiTheme="minorHAnsi" w:cstheme="minorHAnsi"/>
          <w:sz w:val="22"/>
          <w:szCs w:val="22"/>
          <w:lang w:eastAsia="en-US"/>
        </w:rPr>
        <w:t xml:space="preserve"> </w:t>
      </w:r>
      <w:r w:rsidR="001008B3" w:rsidRPr="006D4988">
        <w:rPr>
          <w:rFonts w:asciiTheme="minorHAnsi" w:eastAsiaTheme="minorHAnsi" w:hAnsiTheme="minorHAnsi" w:cstheme="minorHAnsi"/>
          <w:sz w:val="22"/>
          <w:szCs w:val="22"/>
          <w:lang w:eastAsia="en-US"/>
        </w:rPr>
        <w:t>seniority</w:t>
      </w:r>
      <w:r w:rsidR="00B73B11" w:rsidRPr="006D4988">
        <w:rPr>
          <w:rFonts w:asciiTheme="minorHAnsi" w:eastAsiaTheme="minorHAnsi" w:hAnsiTheme="minorHAnsi" w:cstheme="minorHAnsi"/>
          <w:sz w:val="22"/>
          <w:szCs w:val="22"/>
          <w:lang w:eastAsia="en-US"/>
        </w:rPr>
        <w:t xml:space="preserve"> levels</w:t>
      </w:r>
      <w:r w:rsidR="004473B0">
        <w:rPr>
          <w:rFonts w:asciiTheme="minorHAnsi" w:eastAsiaTheme="minorHAnsi" w:hAnsiTheme="minorHAnsi" w:cstheme="minorHAnsi"/>
          <w:sz w:val="22"/>
          <w:szCs w:val="22"/>
          <w:lang w:eastAsia="en-US"/>
        </w:rPr>
        <w:t xml:space="preserve"> or opportunity for career progression</w:t>
      </w:r>
      <w:r w:rsidR="00B73B11" w:rsidRPr="006D4988">
        <w:rPr>
          <w:rFonts w:asciiTheme="minorHAnsi" w:eastAsiaTheme="minorHAnsi" w:hAnsiTheme="minorHAnsi" w:cstheme="minorHAnsi"/>
          <w:sz w:val="22"/>
          <w:szCs w:val="22"/>
          <w:lang w:eastAsia="en-US"/>
        </w:rPr>
        <w:t>, and provide</w:t>
      </w:r>
      <w:r w:rsidR="001008B3" w:rsidRPr="006D4988">
        <w:rPr>
          <w:rFonts w:asciiTheme="minorHAnsi" w:eastAsiaTheme="minorHAnsi" w:hAnsiTheme="minorHAnsi" w:cstheme="minorHAnsi"/>
          <w:sz w:val="22"/>
          <w:szCs w:val="22"/>
          <w:lang w:eastAsia="en-US"/>
        </w:rPr>
        <w:t>s</w:t>
      </w:r>
      <w:r w:rsidR="00F7116C">
        <w:rPr>
          <w:rFonts w:asciiTheme="minorHAnsi" w:eastAsiaTheme="minorHAnsi" w:hAnsiTheme="minorHAnsi" w:cstheme="minorHAnsi"/>
          <w:sz w:val="22"/>
          <w:szCs w:val="22"/>
          <w:lang w:eastAsia="en-US"/>
        </w:rPr>
        <w:t xml:space="preserve"> the imp</w:t>
      </w:r>
      <w:r w:rsidR="001A2D2A">
        <w:rPr>
          <w:rFonts w:asciiTheme="minorHAnsi" w:eastAsiaTheme="minorHAnsi" w:hAnsiTheme="minorHAnsi" w:cstheme="minorHAnsi"/>
          <w:sz w:val="22"/>
          <w:szCs w:val="22"/>
          <w:lang w:eastAsia="en-US"/>
        </w:rPr>
        <w:t>et</w:t>
      </w:r>
      <w:r w:rsidR="00B73B11" w:rsidRPr="006D4988">
        <w:rPr>
          <w:rFonts w:asciiTheme="minorHAnsi" w:eastAsiaTheme="minorHAnsi" w:hAnsiTheme="minorHAnsi" w:cstheme="minorHAnsi"/>
          <w:sz w:val="22"/>
          <w:szCs w:val="22"/>
          <w:lang w:eastAsia="en-US"/>
        </w:rPr>
        <w:t xml:space="preserve">us to </w:t>
      </w:r>
      <w:r w:rsidR="00AB36E4">
        <w:rPr>
          <w:rFonts w:asciiTheme="minorHAnsi" w:eastAsiaTheme="minorHAnsi" w:hAnsiTheme="minorHAnsi" w:cstheme="minorHAnsi"/>
          <w:sz w:val="22"/>
          <w:szCs w:val="22"/>
          <w:lang w:eastAsia="en-US"/>
        </w:rPr>
        <w:t xml:space="preserve">review their own data and outcomes, and </w:t>
      </w:r>
      <w:r w:rsidR="00B73B11" w:rsidRPr="006D4988">
        <w:rPr>
          <w:rFonts w:asciiTheme="minorHAnsi" w:eastAsiaTheme="minorHAnsi" w:hAnsiTheme="minorHAnsi" w:cstheme="minorHAnsi"/>
          <w:sz w:val="22"/>
          <w:szCs w:val="22"/>
          <w:lang w:eastAsia="en-US"/>
        </w:rPr>
        <w:t xml:space="preserve">develop strategies to improve </w:t>
      </w:r>
      <w:r w:rsidR="00AB36E4">
        <w:rPr>
          <w:rFonts w:asciiTheme="minorHAnsi" w:eastAsiaTheme="minorHAnsi" w:hAnsiTheme="minorHAnsi" w:cstheme="minorHAnsi"/>
          <w:sz w:val="22"/>
          <w:szCs w:val="22"/>
          <w:lang w:eastAsia="en-US"/>
        </w:rPr>
        <w:t>gender equality within their organisation</w:t>
      </w:r>
      <w:r w:rsidR="00B73B11" w:rsidRPr="006D4988">
        <w:rPr>
          <w:rFonts w:asciiTheme="minorHAnsi" w:eastAsiaTheme="minorHAnsi" w:hAnsiTheme="minorHAnsi" w:cstheme="minorHAnsi"/>
          <w:sz w:val="22"/>
          <w:szCs w:val="22"/>
          <w:lang w:eastAsia="en-US"/>
        </w:rPr>
        <w:t xml:space="preserve"> </w:t>
      </w:r>
    </w:p>
    <w:p w:rsidR="00DF1ED6" w:rsidRDefault="00933EB1" w:rsidP="003E6551">
      <w:pPr>
        <w:pStyle w:val="ListParagraph"/>
        <w:numPr>
          <w:ilvl w:val="0"/>
          <w:numId w:val="37"/>
        </w:numPr>
        <w:spacing w:before="120" w:after="120" w:line="276" w:lineRule="auto"/>
        <w:ind w:left="714" w:hanging="357"/>
        <w:contextualSpacing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w:t>
      </w:r>
      <w:r w:rsidRPr="006D4988">
        <w:rPr>
          <w:rFonts w:asciiTheme="minorHAnsi" w:eastAsiaTheme="minorHAnsi" w:hAnsiTheme="minorHAnsi" w:cstheme="minorHAnsi"/>
          <w:sz w:val="22"/>
          <w:szCs w:val="22"/>
          <w:lang w:eastAsia="en-US"/>
        </w:rPr>
        <w:t xml:space="preserve">takeholders </w:t>
      </w:r>
      <w:r w:rsidR="00B73B11" w:rsidRPr="006D4988">
        <w:rPr>
          <w:rFonts w:asciiTheme="minorHAnsi" w:eastAsiaTheme="minorHAnsi" w:hAnsiTheme="minorHAnsi" w:cstheme="minorHAnsi"/>
          <w:sz w:val="22"/>
          <w:szCs w:val="22"/>
          <w:lang w:eastAsia="en-US"/>
        </w:rPr>
        <w:t>hav</w:t>
      </w:r>
      <w:r w:rsidR="0028331E" w:rsidRPr="006D4988">
        <w:rPr>
          <w:rFonts w:asciiTheme="minorHAnsi" w:eastAsiaTheme="minorHAnsi" w:hAnsiTheme="minorHAnsi" w:cstheme="minorHAnsi"/>
          <w:sz w:val="22"/>
          <w:szCs w:val="22"/>
          <w:lang w:eastAsia="en-US"/>
        </w:rPr>
        <w:t>ing</w:t>
      </w:r>
      <w:r w:rsidR="00B73B11" w:rsidRPr="006D4988">
        <w:rPr>
          <w:rFonts w:asciiTheme="minorHAnsi" w:eastAsiaTheme="minorHAnsi" w:hAnsiTheme="minorHAnsi" w:cstheme="minorHAnsi"/>
          <w:sz w:val="22"/>
          <w:szCs w:val="22"/>
          <w:lang w:eastAsia="en-US"/>
        </w:rPr>
        <w:t xml:space="preserve"> </w:t>
      </w:r>
      <w:r w:rsidR="001008B3" w:rsidRPr="006D4988">
        <w:rPr>
          <w:rFonts w:asciiTheme="minorHAnsi" w:eastAsiaTheme="minorHAnsi" w:hAnsiTheme="minorHAnsi" w:cstheme="minorHAnsi"/>
          <w:sz w:val="22"/>
          <w:szCs w:val="22"/>
          <w:lang w:eastAsia="en-US"/>
        </w:rPr>
        <w:t>divergent views on the importance and usefulness of particular aspects of reporting</w:t>
      </w:r>
    </w:p>
    <w:p w:rsidR="00FE4C7F" w:rsidRPr="006D4988" w:rsidRDefault="00933EB1" w:rsidP="003E6551">
      <w:pPr>
        <w:pStyle w:val="ListParagraph"/>
        <w:numPr>
          <w:ilvl w:val="0"/>
          <w:numId w:val="37"/>
        </w:numPr>
        <w:spacing w:before="120" w:after="120" w:line="276" w:lineRule="auto"/>
        <w:ind w:left="714" w:hanging="357"/>
        <w:contextualSpacing w:val="0"/>
        <w:rPr>
          <w:rFonts w:asciiTheme="minorHAnsi" w:eastAsiaTheme="minorHAnsi" w:hAnsiTheme="minorHAnsi" w:cstheme="minorHAnsi"/>
          <w:sz w:val="22"/>
          <w:szCs w:val="22"/>
          <w:lang w:eastAsia="en-US"/>
        </w:rPr>
      </w:pPr>
      <w:proofErr w:type="gramStart"/>
      <w:r>
        <w:rPr>
          <w:rFonts w:asciiTheme="minorHAnsi" w:eastAsiaTheme="minorHAnsi" w:hAnsiTheme="minorHAnsi" w:cstheme="minorHAnsi"/>
          <w:sz w:val="22"/>
          <w:szCs w:val="22"/>
          <w:lang w:eastAsia="en-US"/>
        </w:rPr>
        <w:t>recognition</w:t>
      </w:r>
      <w:proofErr w:type="gramEnd"/>
      <w:r>
        <w:rPr>
          <w:rFonts w:asciiTheme="minorHAnsi" w:eastAsiaTheme="minorHAnsi" w:hAnsiTheme="minorHAnsi" w:cstheme="minorHAnsi"/>
          <w:sz w:val="22"/>
          <w:szCs w:val="22"/>
          <w:lang w:eastAsia="en-US"/>
        </w:rPr>
        <w:t xml:space="preserve"> </w:t>
      </w:r>
      <w:r w:rsidR="00FE4C7F">
        <w:rPr>
          <w:rFonts w:asciiTheme="minorHAnsi" w:eastAsiaTheme="minorHAnsi" w:hAnsiTheme="minorHAnsi" w:cstheme="minorHAnsi"/>
          <w:sz w:val="22"/>
          <w:szCs w:val="22"/>
          <w:lang w:eastAsia="en-US"/>
        </w:rPr>
        <w:t xml:space="preserve">that </w:t>
      </w:r>
      <w:r w:rsidR="0016452A">
        <w:rPr>
          <w:rFonts w:asciiTheme="minorHAnsi" w:eastAsiaTheme="minorHAnsi" w:hAnsiTheme="minorHAnsi" w:cstheme="minorHAnsi"/>
          <w:sz w:val="22"/>
          <w:szCs w:val="22"/>
          <w:lang w:eastAsia="en-US"/>
        </w:rPr>
        <w:t>compulsory</w:t>
      </w:r>
      <w:r w:rsidR="00FE4C7F">
        <w:rPr>
          <w:rFonts w:asciiTheme="minorHAnsi" w:eastAsiaTheme="minorHAnsi" w:hAnsiTheme="minorHAnsi" w:cstheme="minorHAnsi"/>
          <w:sz w:val="22"/>
          <w:szCs w:val="22"/>
          <w:lang w:eastAsia="en-US"/>
        </w:rPr>
        <w:t xml:space="preserve"> reporting is one of a number of levers </w:t>
      </w:r>
      <w:r w:rsidR="0016452A">
        <w:rPr>
          <w:rFonts w:asciiTheme="minorHAnsi" w:eastAsiaTheme="minorHAnsi" w:hAnsiTheme="minorHAnsi" w:cstheme="minorHAnsi"/>
          <w:sz w:val="22"/>
          <w:szCs w:val="22"/>
          <w:lang w:eastAsia="en-US"/>
        </w:rPr>
        <w:t xml:space="preserve">used </w:t>
      </w:r>
      <w:r w:rsidR="00FE4C7F">
        <w:rPr>
          <w:rFonts w:asciiTheme="minorHAnsi" w:eastAsiaTheme="minorHAnsi" w:hAnsiTheme="minorHAnsi" w:cstheme="minorHAnsi"/>
          <w:sz w:val="22"/>
          <w:szCs w:val="22"/>
          <w:lang w:eastAsia="en-US"/>
        </w:rPr>
        <w:t>to improve gender diversity.</w:t>
      </w:r>
    </w:p>
    <w:p w:rsidR="001008B3" w:rsidRPr="006D4988" w:rsidRDefault="001008B3" w:rsidP="0028331E">
      <w:pPr>
        <w:spacing w:before="120" w:after="120"/>
        <w:rPr>
          <w:rFonts w:cstheme="minorHAnsi"/>
        </w:rPr>
      </w:pPr>
      <w:r w:rsidRPr="006D4988">
        <w:rPr>
          <w:rFonts w:cstheme="minorHAnsi"/>
        </w:rPr>
        <w:t>The policy response</w:t>
      </w:r>
      <w:r w:rsidR="00933EB1">
        <w:rPr>
          <w:rFonts w:cstheme="minorHAnsi"/>
        </w:rPr>
        <w:t>,</w:t>
      </w:r>
      <w:r w:rsidRPr="006D4988">
        <w:rPr>
          <w:rFonts w:cstheme="minorHAnsi"/>
        </w:rPr>
        <w:t xml:space="preserve"> </w:t>
      </w:r>
      <w:r w:rsidR="003858CF" w:rsidRPr="006D4988">
        <w:rPr>
          <w:rFonts w:cstheme="minorHAnsi"/>
        </w:rPr>
        <w:t>therefore</w:t>
      </w:r>
      <w:r w:rsidR="00933EB1">
        <w:rPr>
          <w:rFonts w:cstheme="minorHAnsi"/>
        </w:rPr>
        <w:t xml:space="preserve">, </w:t>
      </w:r>
      <w:r w:rsidR="003858CF" w:rsidRPr="006D4988">
        <w:rPr>
          <w:rFonts w:cstheme="minorHAnsi"/>
        </w:rPr>
        <w:t xml:space="preserve">should </w:t>
      </w:r>
      <w:r w:rsidRPr="006D4988">
        <w:rPr>
          <w:rFonts w:cstheme="minorHAnsi"/>
        </w:rPr>
        <w:t xml:space="preserve">seek to achieve a balance </w:t>
      </w:r>
      <w:r w:rsidR="003858CF" w:rsidRPr="006D4988">
        <w:rPr>
          <w:rFonts w:cstheme="minorHAnsi"/>
        </w:rPr>
        <w:t>which</w:t>
      </w:r>
      <w:r w:rsidRPr="006D4988">
        <w:rPr>
          <w:rFonts w:cstheme="minorHAnsi"/>
        </w:rPr>
        <w:t xml:space="preserve"> ensure</w:t>
      </w:r>
      <w:r w:rsidR="003858CF" w:rsidRPr="006D4988">
        <w:rPr>
          <w:rFonts w:cstheme="minorHAnsi"/>
        </w:rPr>
        <w:t>s</w:t>
      </w:r>
      <w:r w:rsidRPr="006D4988">
        <w:rPr>
          <w:rFonts w:cstheme="minorHAnsi"/>
        </w:rPr>
        <w:t xml:space="preserve"> reporting is effective in achieving its aims</w:t>
      </w:r>
      <w:r w:rsidR="008C4F2C" w:rsidRPr="006D4988">
        <w:rPr>
          <w:rFonts w:cstheme="minorHAnsi"/>
        </w:rPr>
        <w:t xml:space="preserve"> </w:t>
      </w:r>
      <w:r w:rsidR="009825B1" w:rsidRPr="006D4988">
        <w:rPr>
          <w:rFonts w:cstheme="minorHAnsi"/>
        </w:rPr>
        <w:t xml:space="preserve">of supporting improvements in </w:t>
      </w:r>
      <w:r w:rsidR="00933EB1" w:rsidRPr="006D4988">
        <w:rPr>
          <w:rFonts w:cstheme="minorHAnsi"/>
        </w:rPr>
        <w:t>gender</w:t>
      </w:r>
      <w:r w:rsidR="00933EB1">
        <w:rPr>
          <w:rFonts w:cstheme="minorHAnsi"/>
        </w:rPr>
        <w:t>-</w:t>
      </w:r>
      <w:r w:rsidR="009825B1" w:rsidRPr="006D4988">
        <w:rPr>
          <w:rFonts w:cstheme="minorHAnsi"/>
        </w:rPr>
        <w:t xml:space="preserve">related barriers </w:t>
      </w:r>
      <w:r w:rsidR="00863E3A">
        <w:rPr>
          <w:rFonts w:cstheme="minorHAnsi"/>
        </w:rPr>
        <w:t>in</w:t>
      </w:r>
      <w:r w:rsidR="00863E3A" w:rsidRPr="006D4988">
        <w:rPr>
          <w:rFonts w:cstheme="minorHAnsi"/>
        </w:rPr>
        <w:t xml:space="preserve"> </w:t>
      </w:r>
      <w:r w:rsidR="009825B1" w:rsidRPr="006D4988">
        <w:rPr>
          <w:rFonts w:cstheme="minorHAnsi"/>
        </w:rPr>
        <w:t>employment</w:t>
      </w:r>
      <w:r w:rsidR="00FE4C7F">
        <w:rPr>
          <w:rFonts w:cstheme="minorHAnsi"/>
        </w:rPr>
        <w:t xml:space="preserve"> and</w:t>
      </w:r>
      <w:r w:rsidR="0016452A">
        <w:rPr>
          <w:rFonts w:cstheme="minorHAnsi"/>
        </w:rPr>
        <w:t xml:space="preserve"> </w:t>
      </w:r>
      <w:r w:rsidR="00863E3A">
        <w:rPr>
          <w:rFonts w:cstheme="minorHAnsi"/>
        </w:rPr>
        <w:t>workplaces</w:t>
      </w:r>
      <w:r w:rsidR="00933EB1">
        <w:rPr>
          <w:rFonts w:cstheme="minorHAnsi"/>
        </w:rPr>
        <w:t>,</w:t>
      </w:r>
      <w:r w:rsidR="009825B1" w:rsidRPr="006D4988">
        <w:rPr>
          <w:rFonts w:cstheme="minorHAnsi"/>
        </w:rPr>
        <w:t xml:space="preserve"> while being </w:t>
      </w:r>
      <w:r w:rsidR="008C4F2C" w:rsidRPr="006D4988">
        <w:rPr>
          <w:rFonts w:cstheme="minorHAnsi"/>
        </w:rPr>
        <w:t>manageable for employers</w:t>
      </w:r>
      <w:r w:rsidRPr="006D4988">
        <w:rPr>
          <w:rFonts w:cstheme="minorHAnsi"/>
        </w:rPr>
        <w:t>.</w:t>
      </w:r>
    </w:p>
    <w:p w:rsidR="00B6254D" w:rsidRPr="0069298D" w:rsidRDefault="00B6254D" w:rsidP="000404B7">
      <w:pPr>
        <w:pStyle w:val="Heading1"/>
        <w:spacing w:before="240"/>
        <w:rPr>
          <w:rFonts w:asciiTheme="minorHAnsi" w:hAnsiTheme="minorHAnsi" w:cstheme="minorHAnsi"/>
        </w:rPr>
      </w:pPr>
      <w:bookmarkStart w:id="7" w:name="_Toc404158252"/>
      <w:bookmarkStart w:id="8" w:name="_Toc405895154"/>
      <w:r w:rsidRPr="0069298D">
        <w:rPr>
          <w:rFonts w:asciiTheme="minorHAnsi" w:hAnsiTheme="minorHAnsi" w:cstheme="minorHAnsi"/>
        </w:rPr>
        <w:t>Why is Government action needed?</w:t>
      </w:r>
      <w:bookmarkEnd w:id="7"/>
      <w:bookmarkEnd w:id="8"/>
    </w:p>
    <w:p w:rsidR="00CB3713" w:rsidRPr="006D4988" w:rsidRDefault="009121E5" w:rsidP="00216C24">
      <w:pPr>
        <w:rPr>
          <w:rFonts w:cstheme="minorHAnsi"/>
        </w:rPr>
      </w:pPr>
      <w:r w:rsidRPr="006D4988">
        <w:rPr>
          <w:rFonts w:cstheme="minorHAnsi"/>
        </w:rPr>
        <w:t xml:space="preserve">The gender reporting requirements are given effect by federal legislation. </w:t>
      </w:r>
      <w:r w:rsidR="00CB3713" w:rsidRPr="006D4988">
        <w:rPr>
          <w:rFonts w:cstheme="minorHAnsi"/>
        </w:rPr>
        <w:t xml:space="preserve">The former Government established the current gender reporting requirements, which were </w:t>
      </w:r>
      <w:r w:rsidR="00E12D53">
        <w:rPr>
          <w:rFonts w:cstheme="minorHAnsi"/>
        </w:rPr>
        <w:t>given effect by</w:t>
      </w:r>
      <w:r w:rsidR="00CB3713" w:rsidRPr="006D4988">
        <w:rPr>
          <w:rFonts w:cstheme="minorHAnsi"/>
        </w:rPr>
        <w:t xml:space="preserve"> </w:t>
      </w:r>
      <w:r w:rsidR="00E12D53">
        <w:rPr>
          <w:rFonts w:cstheme="minorHAnsi"/>
        </w:rPr>
        <w:t>the</w:t>
      </w:r>
      <w:r w:rsidR="00CB3713" w:rsidRPr="006D4988">
        <w:rPr>
          <w:rFonts w:cstheme="minorHAnsi"/>
        </w:rPr>
        <w:t xml:space="preserve"> Instrument in </w:t>
      </w:r>
      <w:r w:rsidR="001A2D2A">
        <w:rPr>
          <w:rFonts w:cstheme="minorHAnsi"/>
        </w:rPr>
        <w:t>March</w:t>
      </w:r>
      <w:r w:rsidR="00CB3713" w:rsidRPr="006D4988">
        <w:rPr>
          <w:rFonts w:cstheme="minorHAnsi"/>
        </w:rPr>
        <w:t xml:space="preserve"> 2013 following a consultation process. Some employers and employer groups </w:t>
      </w:r>
      <w:r w:rsidR="001A2D2A">
        <w:rPr>
          <w:rFonts w:cstheme="minorHAnsi"/>
        </w:rPr>
        <w:t xml:space="preserve">raised concerns with </w:t>
      </w:r>
      <w:r w:rsidR="00D85507">
        <w:rPr>
          <w:rFonts w:cstheme="minorHAnsi"/>
        </w:rPr>
        <w:t xml:space="preserve">the </w:t>
      </w:r>
      <w:r w:rsidR="001A2D2A">
        <w:rPr>
          <w:rFonts w:cstheme="minorHAnsi"/>
        </w:rPr>
        <w:t xml:space="preserve">Government </w:t>
      </w:r>
      <w:r w:rsidR="00CB3713" w:rsidRPr="006D4988">
        <w:rPr>
          <w:rFonts w:cstheme="minorHAnsi"/>
        </w:rPr>
        <w:t xml:space="preserve">that their views were not adequately taken into account during this initial phase of consultation and in the setting of the </w:t>
      </w:r>
      <w:r w:rsidR="00E12D53">
        <w:rPr>
          <w:rFonts w:cstheme="minorHAnsi"/>
        </w:rPr>
        <w:t>Instrument</w:t>
      </w:r>
      <w:r w:rsidR="00CB3713" w:rsidRPr="006D4988">
        <w:rPr>
          <w:rFonts w:cstheme="minorHAnsi"/>
        </w:rPr>
        <w:t xml:space="preserve">. They </w:t>
      </w:r>
      <w:proofErr w:type="gramStart"/>
      <w:r w:rsidR="00CB3713" w:rsidRPr="006D4988">
        <w:rPr>
          <w:rFonts w:cstheme="minorHAnsi"/>
        </w:rPr>
        <w:t>argue</w:t>
      </w:r>
      <w:r w:rsidR="00D85507">
        <w:rPr>
          <w:rFonts w:cstheme="minorHAnsi"/>
        </w:rPr>
        <w:t>,</w:t>
      </w:r>
      <w:proofErr w:type="gramEnd"/>
      <w:r w:rsidR="00CB3713" w:rsidRPr="006D4988">
        <w:rPr>
          <w:rFonts w:cstheme="minorHAnsi"/>
        </w:rPr>
        <w:t xml:space="preserve"> that now that the </w:t>
      </w:r>
      <w:r w:rsidRPr="006D4988">
        <w:rPr>
          <w:rFonts w:cstheme="minorHAnsi"/>
        </w:rPr>
        <w:t>requirements are in place, the onerous nature of some of the requirements clearly present significant problems for reporting organisations. They have asked the Government to consider this issue and</w:t>
      </w:r>
      <w:r w:rsidR="00D85507">
        <w:rPr>
          <w:rFonts w:cstheme="minorHAnsi"/>
        </w:rPr>
        <w:t>,</w:t>
      </w:r>
      <w:r w:rsidRPr="006D4988">
        <w:rPr>
          <w:rFonts w:cstheme="minorHAnsi"/>
        </w:rPr>
        <w:t xml:space="preserve"> for this reason, the Government has committed to reviewing the requirements.</w:t>
      </w:r>
    </w:p>
    <w:p w:rsidR="009121E5" w:rsidRPr="006D4988" w:rsidRDefault="009121E5" w:rsidP="00216C24">
      <w:pPr>
        <w:rPr>
          <w:rFonts w:cstheme="minorHAnsi"/>
        </w:rPr>
      </w:pPr>
      <w:r w:rsidRPr="006D4988">
        <w:rPr>
          <w:rFonts w:cstheme="minorHAnsi"/>
        </w:rPr>
        <w:t xml:space="preserve">The Government has the ability to change the reporting requirements through amending the disallowable Instrument that sets these out. There is no requirement to amend the </w:t>
      </w:r>
      <w:r w:rsidR="00C57D0C">
        <w:rPr>
          <w:rFonts w:cstheme="minorHAnsi"/>
        </w:rPr>
        <w:t xml:space="preserve">Act </w:t>
      </w:r>
      <w:r w:rsidRPr="006D4988">
        <w:rPr>
          <w:rFonts w:cstheme="minorHAnsi"/>
        </w:rPr>
        <w:t xml:space="preserve">in order to do this. </w:t>
      </w:r>
    </w:p>
    <w:p w:rsidR="009121E5" w:rsidRPr="006D4988" w:rsidRDefault="009121E5" w:rsidP="009121E5">
      <w:pPr>
        <w:rPr>
          <w:rFonts w:cstheme="minorHAnsi"/>
          <w:bCs/>
        </w:rPr>
      </w:pPr>
      <w:r w:rsidRPr="006D4988">
        <w:rPr>
          <w:rFonts w:cstheme="minorHAnsi"/>
          <w:bCs/>
        </w:rPr>
        <w:t>In early 2014, the Department conducted a consultation process with a number of stakeholders interested in gender reporting on the reporting requirements. In response to feedback from this consultation process and feedback from employers, Senator the Hon. Eric </w:t>
      </w:r>
      <w:proofErr w:type="spellStart"/>
      <w:r w:rsidRPr="006D4988">
        <w:rPr>
          <w:rFonts w:cstheme="minorHAnsi"/>
          <w:bCs/>
        </w:rPr>
        <w:t>Abetz</w:t>
      </w:r>
      <w:proofErr w:type="spellEnd"/>
      <w:r w:rsidRPr="006D4988">
        <w:rPr>
          <w:rFonts w:cstheme="minorHAnsi"/>
          <w:bCs/>
        </w:rPr>
        <w:t>, Minister for Employment and Senator the Hon. </w:t>
      </w:r>
      <w:proofErr w:type="spellStart"/>
      <w:r w:rsidRPr="006D4988">
        <w:rPr>
          <w:rFonts w:cstheme="minorHAnsi"/>
          <w:bCs/>
        </w:rPr>
        <w:t>Michaelia</w:t>
      </w:r>
      <w:proofErr w:type="spellEnd"/>
      <w:r w:rsidRPr="006D4988">
        <w:rPr>
          <w:rFonts w:cstheme="minorHAnsi"/>
          <w:bCs/>
        </w:rPr>
        <w:t xml:space="preserve"> Cash, Minister Assisting the Prime Minister for Women, announced on 25 March 2014 a public consultation process on the reporting requirements set out in the Instrument. </w:t>
      </w:r>
      <w:r w:rsidRPr="006D4988">
        <w:rPr>
          <w:rFonts w:cstheme="minorHAnsi"/>
        </w:rPr>
        <w:t>The Government made a commitment that workplace gender equality reporting will remain in place</w:t>
      </w:r>
      <w:r w:rsidR="00D85507">
        <w:rPr>
          <w:rFonts w:cstheme="minorHAnsi"/>
        </w:rPr>
        <w:t>,</w:t>
      </w:r>
      <w:r w:rsidRPr="006D4988">
        <w:rPr>
          <w:rFonts w:cstheme="minorHAnsi"/>
        </w:rPr>
        <w:t xml:space="preserve"> and that the purpose of the consultation is to identify opportunities to streamline reporting requirements to ensure gender reporting drives results in the workplace and represents value for effort.</w:t>
      </w:r>
    </w:p>
    <w:p w:rsidR="00CB3713" w:rsidRPr="006D4988" w:rsidRDefault="00030955" w:rsidP="00216C24">
      <w:pPr>
        <w:rPr>
          <w:rFonts w:cstheme="minorHAnsi"/>
        </w:rPr>
      </w:pPr>
      <w:r w:rsidRPr="006D4988">
        <w:rPr>
          <w:rFonts w:cstheme="minorHAnsi"/>
        </w:rPr>
        <w:lastRenderedPageBreak/>
        <w:t xml:space="preserve">The role of gender reporting regulation is to assist </w:t>
      </w:r>
      <w:r w:rsidR="0043768D" w:rsidRPr="006D4988">
        <w:rPr>
          <w:rFonts w:cstheme="minorHAnsi"/>
        </w:rPr>
        <w:t>businesses to consider gender equality</w:t>
      </w:r>
      <w:r w:rsidRPr="006D4988">
        <w:rPr>
          <w:rFonts w:cstheme="minorHAnsi"/>
        </w:rPr>
        <w:t xml:space="preserve"> in their own organisation</w:t>
      </w:r>
      <w:r w:rsidR="00CB3713" w:rsidRPr="006D4988">
        <w:rPr>
          <w:rFonts w:cstheme="minorHAnsi"/>
        </w:rPr>
        <w:t xml:space="preserve">. </w:t>
      </w:r>
      <w:proofErr w:type="gramStart"/>
      <w:r w:rsidR="003E1A60">
        <w:rPr>
          <w:rFonts w:cstheme="minorHAnsi"/>
        </w:rPr>
        <w:t xml:space="preserve">Gender reporting </w:t>
      </w:r>
      <w:r w:rsidR="00FF717D">
        <w:rPr>
          <w:rFonts w:cstheme="minorHAnsi"/>
        </w:rPr>
        <w:t xml:space="preserve">aims to </w:t>
      </w:r>
      <w:r w:rsidR="003E1A60">
        <w:rPr>
          <w:rFonts w:cstheme="minorHAnsi"/>
        </w:rPr>
        <w:t xml:space="preserve">achieve this by </w:t>
      </w:r>
      <w:r w:rsidR="00CB3713" w:rsidRPr="006D4988">
        <w:rPr>
          <w:rFonts w:cstheme="minorHAnsi"/>
        </w:rPr>
        <w:t>ga</w:t>
      </w:r>
      <w:r w:rsidR="00AB36E4">
        <w:rPr>
          <w:rFonts w:cstheme="minorHAnsi"/>
        </w:rPr>
        <w:t>thering</w:t>
      </w:r>
      <w:r w:rsidR="00CB3713" w:rsidRPr="006D4988">
        <w:rPr>
          <w:rFonts w:cstheme="minorHAnsi"/>
        </w:rPr>
        <w:t xml:space="preserve"> evidence at the workplace level </w:t>
      </w:r>
      <w:r w:rsidR="00310963">
        <w:rPr>
          <w:rFonts w:cstheme="minorHAnsi"/>
        </w:rPr>
        <w:t>that will</w:t>
      </w:r>
      <w:r w:rsidR="00CB3713" w:rsidRPr="006D4988">
        <w:rPr>
          <w:rFonts w:cstheme="minorHAnsi"/>
        </w:rPr>
        <w:t xml:space="preserve"> drive change </w:t>
      </w:r>
      <w:r w:rsidR="00740B13">
        <w:rPr>
          <w:rFonts w:cstheme="minorHAnsi"/>
        </w:rPr>
        <w:t>to</w:t>
      </w:r>
      <w:r w:rsidR="00740B13" w:rsidRPr="006D4988">
        <w:rPr>
          <w:rFonts w:cstheme="minorHAnsi"/>
        </w:rPr>
        <w:t xml:space="preserve"> </w:t>
      </w:r>
      <w:r w:rsidR="00CB3713" w:rsidRPr="006D4988">
        <w:rPr>
          <w:rFonts w:cstheme="minorHAnsi"/>
        </w:rPr>
        <w:t>promote</w:t>
      </w:r>
      <w:r w:rsidR="00740B13">
        <w:rPr>
          <w:rFonts w:cstheme="minorHAnsi"/>
        </w:rPr>
        <w:t xml:space="preserve"> </w:t>
      </w:r>
      <w:r w:rsidRPr="006D4988">
        <w:rPr>
          <w:rFonts w:cstheme="minorHAnsi"/>
        </w:rPr>
        <w:t>female workforce participation across the economy.</w:t>
      </w:r>
      <w:proofErr w:type="gramEnd"/>
      <w:r w:rsidRPr="006D4988">
        <w:rPr>
          <w:rFonts w:cstheme="minorHAnsi"/>
        </w:rPr>
        <w:t xml:space="preserve"> </w:t>
      </w:r>
      <w:r w:rsidR="00CB3713" w:rsidRPr="006D4988">
        <w:rPr>
          <w:rFonts w:cstheme="minorHAnsi"/>
        </w:rPr>
        <w:t>It is a</w:t>
      </w:r>
      <w:r w:rsidR="000322A9" w:rsidRPr="006D4988">
        <w:rPr>
          <w:rFonts w:cstheme="minorHAnsi"/>
        </w:rPr>
        <w:t>n accepted</w:t>
      </w:r>
      <w:r w:rsidR="0043768D" w:rsidRPr="006D4988">
        <w:rPr>
          <w:rFonts w:cstheme="minorHAnsi"/>
        </w:rPr>
        <w:t xml:space="preserve"> </w:t>
      </w:r>
      <w:r w:rsidR="00B04475" w:rsidRPr="006D4988">
        <w:rPr>
          <w:rFonts w:cstheme="minorHAnsi"/>
        </w:rPr>
        <w:t xml:space="preserve">role of government to </w:t>
      </w:r>
      <w:r w:rsidR="000322A9" w:rsidRPr="006D4988">
        <w:rPr>
          <w:rFonts w:cstheme="minorHAnsi"/>
        </w:rPr>
        <w:t xml:space="preserve">provide leadership which </w:t>
      </w:r>
      <w:r w:rsidR="00B04475" w:rsidRPr="006D4988">
        <w:rPr>
          <w:rFonts w:cstheme="minorHAnsi"/>
        </w:rPr>
        <w:t>support</w:t>
      </w:r>
      <w:r w:rsidR="000322A9" w:rsidRPr="006D4988">
        <w:rPr>
          <w:rFonts w:cstheme="minorHAnsi"/>
        </w:rPr>
        <w:t>s</w:t>
      </w:r>
      <w:r w:rsidR="00B04475" w:rsidRPr="006D4988">
        <w:rPr>
          <w:rFonts w:cstheme="minorHAnsi"/>
        </w:rPr>
        <w:t xml:space="preserve"> improvements in the </w:t>
      </w:r>
      <w:r w:rsidR="0043768D" w:rsidRPr="006D4988">
        <w:rPr>
          <w:rFonts w:cstheme="minorHAnsi"/>
        </w:rPr>
        <w:t>demand</w:t>
      </w:r>
      <w:r w:rsidR="00CB3713" w:rsidRPr="006D4988">
        <w:rPr>
          <w:rFonts w:cstheme="minorHAnsi"/>
        </w:rPr>
        <w:t xml:space="preserve"> for and supply</w:t>
      </w:r>
      <w:r w:rsidR="0043768D" w:rsidRPr="006D4988">
        <w:rPr>
          <w:rFonts w:cstheme="minorHAnsi"/>
        </w:rPr>
        <w:t xml:space="preserve"> </w:t>
      </w:r>
      <w:r w:rsidR="00CB3713" w:rsidRPr="006D4988">
        <w:rPr>
          <w:rFonts w:cstheme="minorHAnsi"/>
        </w:rPr>
        <w:t>of women’s labour contributions. G</w:t>
      </w:r>
      <w:r w:rsidR="00B04475" w:rsidRPr="006D4988">
        <w:rPr>
          <w:rFonts w:cstheme="minorHAnsi"/>
        </w:rPr>
        <w:t>ender reporting is consistent with other</w:t>
      </w:r>
      <w:r w:rsidR="0043768D" w:rsidRPr="006D4988">
        <w:rPr>
          <w:rFonts w:cstheme="minorHAnsi"/>
        </w:rPr>
        <w:t xml:space="preserve"> ‘supply-side’ policies such as </w:t>
      </w:r>
      <w:r w:rsidR="008D5FAD" w:rsidRPr="006D4988">
        <w:rPr>
          <w:rFonts w:cstheme="minorHAnsi"/>
        </w:rPr>
        <w:t>child care su</w:t>
      </w:r>
      <w:r w:rsidR="0043768D" w:rsidRPr="006D4988">
        <w:rPr>
          <w:rFonts w:cstheme="minorHAnsi"/>
        </w:rPr>
        <w:t>bsidies and paid parental leave</w:t>
      </w:r>
      <w:r w:rsidR="00CB3713" w:rsidRPr="006D4988">
        <w:rPr>
          <w:rFonts w:cstheme="minorHAnsi"/>
        </w:rPr>
        <w:t>, except that instead of providing a benefit directly to women, it provides evidence to employers on where they can make improvements to their workforce profile and their gender</w:t>
      </w:r>
      <w:r w:rsidR="00D85507">
        <w:rPr>
          <w:rFonts w:cstheme="minorHAnsi"/>
        </w:rPr>
        <w:t>-</w:t>
      </w:r>
      <w:r w:rsidR="00CB3713" w:rsidRPr="006D4988">
        <w:rPr>
          <w:rFonts w:cstheme="minorHAnsi"/>
        </w:rPr>
        <w:t>equality frameworks</w:t>
      </w:r>
      <w:r w:rsidR="0043768D" w:rsidRPr="006D4988">
        <w:rPr>
          <w:rFonts w:cstheme="minorHAnsi"/>
        </w:rPr>
        <w:t>.</w:t>
      </w:r>
      <w:r w:rsidR="00216C24" w:rsidRPr="006D4988">
        <w:rPr>
          <w:rFonts w:cstheme="minorHAnsi"/>
        </w:rPr>
        <w:t xml:space="preserve"> </w:t>
      </w:r>
    </w:p>
    <w:p w:rsidR="0043768D" w:rsidRPr="006D4988" w:rsidRDefault="00216C24" w:rsidP="00216C24">
      <w:pPr>
        <w:rPr>
          <w:rFonts w:cstheme="minorHAnsi"/>
        </w:rPr>
      </w:pPr>
      <w:r w:rsidRPr="006D4988">
        <w:rPr>
          <w:rFonts w:cstheme="minorHAnsi"/>
        </w:rPr>
        <w:t>Australia lags behind other countries in terms of wom</w:t>
      </w:r>
      <w:r w:rsidR="00CB3713" w:rsidRPr="006D4988">
        <w:rPr>
          <w:rFonts w:cstheme="minorHAnsi"/>
        </w:rPr>
        <w:t>en’s labour force participation</w:t>
      </w:r>
      <w:r w:rsidRPr="006D4988">
        <w:rPr>
          <w:rFonts w:cstheme="minorHAnsi"/>
        </w:rPr>
        <w:t xml:space="preserve">. </w:t>
      </w:r>
      <w:r w:rsidR="00B04475" w:rsidRPr="006D4988">
        <w:rPr>
          <w:rFonts w:cstheme="minorHAnsi"/>
        </w:rPr>
        <w:t xml:space="preserve">It is </w:t>
      </w:r>
      <w:r w:rsidR="00E12D53">
        <w:rPr>
          <w:rFonts w:cstheme="minorHAnsi"/>
        </w:rPr>
        <w:t xml:space="preserve">the </w:t>
      </w:r>
      <w:r w:rsidR="00B04475" w:rsidRPr="006D4988">
        <w:rPr>
          <w:rFonts w:cstheme="minorHAnsi"/>
        </w:rPr>
        <w:t xml:space="preserve">Government’s role to </w:t>
      </w:r>
      <w:r w:rsidR="00A06EFB" w:rsidRPr="006D4988">
        <w:rPr>
          <w:rFonts w:cstheme="minorHAnsi"/>
        </w:rPr>
        <w:t>provide levers which</w:t>
      </w:r>
      <w:r w:rsidR="00B04475" w:rsidRPr="006D4988">
        <w:rPr>
          <w:rFonts w:cstheme="minorHAnsi"/>
        </w:rPr>
        <w:t xml:space="preserve"> ensure that the labour market is as equitable as possible and that parti</w:t>
      </w:r>
      <w:r w:rsidR="00CB3713" w:rsidRPr="006D4988">
        <w:rPr>
          <w:rFonts w:cstheme="minorHAnsi"/>
        </w:rPr>
        <w:t>cular groups are not ‘excluded’.</w:t>
      </w:r>
      <w:r w:rsidR="00B04475" w:rsidRPr="006D4988">
        <w:rPr>
          <w:rFonts w:cstheme="minorHAnsi"/>
        </w:rPr>
        <w:t xml:space="preserve"> </w:t>
      </w:r>
      <w:r w:rsidR="00E12D53">
        <w:rPr>
          <w:rFonts w:cstheme="minorHAnsi"/>
        </w:rPr>
        <w:t xml:space="preserve">The </w:t>
      </w:r>
      <w:r w:rsidR="00B04475" w:rsidRPr="006D4988">
        <w:rPr>
          <w:rFonts w:cstheme="minorHAnsi"/>
        </w:rPr>
        <w:t>Government</w:t>
      </w:r>
      <w:r w:rsidR="00A06EFB" w:rsidRPr="006D4988">
        <w:rPr>
          <w:rFonts w:cstheme="minorHAnsi"/>
        </w:rPr>
        <w:t>’s role is to seek to</w:t>
      </w:r>
      <w:r w:rsidR="00B04475" w:rsidRPr="006D4988">
        <w:rPr>
          <w:rFonts w:cstheme="minorHAnsi"/>
        </w:rPr>
        <w:t xml:space="preserve"> address areas of ‘market failure’</w:t>
      </w:r>
      <w:r w:rsidR="00CB3713" w:rsidRPr="006D4988">
        <w:rPr>
          <w:rFonts w:cstheme="minorHAnsi"/>
        </w:rPr>
        <w:t xml:space="preserve"> and women’s low labour force participation, particularly among some cohorts, can be viewed through that lens</w:t>
      </w:r>
      <w:r w:rsidR="00B04475" w:rsidRPr="006D4988">
        <w:rPr>
          <w:rFonts w:cstheme="minorHAnsi"/>
        </w:rPr>
        <w:t>.</w:t>
      </w:r>
    </w:p>
    <w:p w:rsidR="0062253C" w:rsidRPr="0069298D" w:rsidRDefault="001211CD" w:rsidP="000404B7">
      <w:pPr>
        <w:pStyle w:val="Heading1"/>
        <w:spacing w:before="240"/>
        <w:rPr>
          <w:rFonts w:asciiTheme="minorHAnsi" w:hAnsiTheme="minorHAnsi" w:cstheme="minorHAnsi"/>
        </w:rPr>
      </w:pPr>
      <w:bookmarkStart w:id="9" w:name="_Toc404158253"/>
      <w:bookmarkStart w:id="10" w:name="_Toc405895155"/>
      <w:r w:rsidRPr="0069298D">
        <w:rPr>
          <w:rFonts w:asciiTheme="minorHAnsi" w:hAnsiTheme="minorHAnsi" w:cstheme="minorHAnsi"/>
        </w:rPr>
        <w:t>Policy options being considered</w:t>
      </w:r>
      <w:bookmarkEnd w:id="9"/>
      <w:bookmarkEnd w:id="10"/>
    </w:p>
    <w:p w:rsidR="00CB3713" w:rsidRPr="006D4988" w:rsidRDefault="009121E5" w:rsidP="00CB3713">
      <w:pPr>
        <w:rPr>
          <w:rFonts w:cstheme="minorHAnsi"/>
        </w:rPr>
      </w:pPr>
      <w:r w:rsidRPr="006D4988">
        <w:rPr>
          <w:rFonts w:cstheme="minorHAnsi"/>
          <w:bCs/>
        </w:rPr>
        <w:t>The</w:t>
      </w:r>
      <w:r w:rsidR="00CB3713" w:rsidRPr="006D4988">
        <w:rPr>
          <w:rFonts w:cstheme="minorHAnsi"/>
          <w:bCs/>
        </w:rPr>
        <w:t xml:space="preserve"> Department </w:t>
      </w:r>
      <w:r w:rsidRPr="006D4988">
        <w:rPr>
          <w:rFonts w:cstheme="minorHAnsi"/>
          <w:bCs/>
        </w:rPr>
        <w:t>has undertaken</w:t>
      </w:r>
      <w:r w:rsidR="00CB3713" w:rsidRPr="006D4988">
        <w:rPr>
          <w:rFonts w:cstheme="minorHAnsi"/>
          <w:bCs/>
        </w:rPr>
        <w:t xml:space="preserve"> a public consultation process, </w:t>
      </w:r>
      <w:r w:rsidR="00D85507">
        <w:rPr>
          <w:rFonts w:cstheme="minorHAnsi"/>
          <w:bCs/>
        </w:rPr>
        <w:t>in collaboration</w:t>
      </w:r>
      <w:r w:rsidR="00CB3713" w:rsidRPr="006D4988">
        <w:rPr>
          <w:rFonts w:cstheme="minorHAnsi"/>
          <w:bCs/>
        </w:rPr>
        <w:t xml:space="preserve"> with </w:t>
      </w:r>
      <w:r w:rsidR="00FF717D">
        <w:rPr>
          <w:rFonts w:cstheme="minorHAnsi"/>
          <w:bCs/>
        </w:rPr>
        <w:t xml:space="preserve">the </w:t>
      </w:r>
      <w:r w:rsidR="00CB3713" w:rsidRPr="006D4988">
        <w:rPr>
          <w:rFonts w:cstheme="minorHAnsi"/>
        </w:rPr>
        <w:t>Office for Women within the Department of the Prime Minister and Cabinet. The consultation process aimed to determine whether there are opportunities to streamline and improve the reporting requirements, and to ensure the requirements represent value for effort. This included considering whether the reporting requirements:</w:t>
      </w:r>
    </w:p>
    <w:p w:rsidR="00CB3713" w:rsidRPr="006D4988" w:rsidRDefault="00CB3713" w:rsidP="0011095F">
      <w:pPr>
        <w:pStyle w:val="ListParagraph"/>
        <w:numPr>
          <w:ilvl w:val="0"/>
          <w:numId w:val="18"/>
        </w:numPr>
        <w:spacing w:line="276" w:lineRule="auto"/>
        <w:rPr>
          <w:rFonts w:asciiTheme="minorHAnsi" w:eastAsiaTheme="minorHAnsi" w:hAnsiTheme="minorHAnsi" w:cstheme="minorHAnsi"/>
          <w:sz w:val="22"/>
          <w:lang w:eastAsia="en-US"/>
        </w:rPr>
      </w:pPr>
      <w:r w:rsidRPr="006D4988">
        <w:rPr>
          <w:rFonts w:asciiTheme="minorHAnsi" w:eastAsiaTheme="minorHAnsi" w:hAnsiTheme="minorHAnsi" w:cstheme="minorHAnsi"/>
          <w:sz w:val="22"/>
          <w:lang w:eastAsia="en-US"/>
        </w:rPr>
        <w:t xml:space="preserve">strike a balance between the effort of reporting and </w:t>
      </w:r>
      <w:r w:rsidR="006F16E9" w:rsidRPr="006D4988">
        <w:rPr>
          <w:rFonts w:asciiTheme="minorHAnsi" w:eastAsiaTheme="minorHAnsi" w:hAnsiTheme="minorHAnsi" w:cstheme="minorHAnsi"/>
          <w:sz w:val="22"/>
          <w:szCs w:val="22"/>
          <w:lang w:eastAsia="en-US"/>
        </w:rPr>
        <w:t xml:space="preserve">an </w:t>
      </w:r>
      <w:r w:rsidR="006637A5" w:rsidRPr="006D4988">
        <w:rPr>
          <w:rFonts w:asciiTheme="minorHAnsi" w:eastAsiaTheme="minorHAnsi" w:hAnsiTheme="minorHAnsi" w:cstheme="minorHAnsi"/>
          <w:sz w:val="22"/>
          <w:szCs w:val="22"/>
          <w:lang w:eastAsia="en-US"/>
        </w:rPr>
        <w:t>understanding of</w:t>
      </w:r>
      <w:r w:rsidR="006F16E9" w:rsidRPr="006D4988">
        <w:rPr>
          <w:rFonts w:asciiTheme="minorHAnsi" w:eastAsiaTheme="minorHAnsi" w:hAnsiTheme="minorHAnsi" w:cstheme="minorHAnsi"/>
          <w:sz w:val="22"/>
          <w:szCs w:val="22"/>
          <w:lang w:eastAsia="en-US"/>
        </w:rPr>
        <w:t>, and support for,</w:t>
      </w:r>
      <w:r w:rsidR="00A3444C" w:rsidRPr="006D4988">
        <w:rPr>
          <w:rFonts w:asciiTheme="minorHAnsi" w:eastAsiaTheme="minorHAnsi" w:hAnsiTheme="minorHAnsi" w:cstheme="minorHAnsi"/>
          <w:sz w:val="22"/>
          <w:szCs w:val="22"/>
          <w:lang w:eastAsia="en-US"/>
        </w:rPr>
        <w:t xml:space="preserve"> the</w:t>
      </w:r>
      <w:r w:rsidR="006637A5" w:rsidRPr="006D4988">
        <w:rPr>
          <w:rFonts w:asciiTheme="minorHAnsi" w:eastAsiaTheme="minorHAnsi" w:hAnsiTheme="minorHAnsi" w:cstheme="minorHAnsi"/>
          <w:sz w:val="22"/>
          <w:szCs w:val="22"/>
          <w:lang w:eastAsia="en-US"/>
        </w:rPr>
        <w:t xml:space="preserve"> be</w:t>
      </w:r>
      <w:r w:rsidRPr="006D4988">
        <w:rPr>
          <w:rFonts w:asciiTheme="minorHAnsi" w:eastAsiaTheme="minorHAnsi" w:hAnsiTheme="minorHAnsi" w:cstheme="minorHAnsi"/>
          <w:sz w:val="22"/>
          <w:szCs w:val="22"/>
          <w:lang w:eastAsia="en-US"/>
        </w:rPr>
        <w:t xml:space="preserve">nefits </w:t>
      </w:r>
      <w:r w:rsidR="006637A5" w:rsidRPr="006D4988">
        <w:rPr>
          <w:rFonts w:asciiTheme="minorHAnsi" w:eastAsiaTheme="minorHAnsi" w:hAnsiTheme="minorHAnsi" w:cstheme="minorHAnsi"/>
          <w:sz w:val="22"/>
          <w:szCs w:val="22"/>
          <w:lang w:eastAsia="en-US"/>
        </w:rPr>
        <w:t xml:space="preserve">to be </w:t>
      </w:r>
      <w:r w:rsidRPr="006D4988">
        <w:rPr>
          <w:rFonts w:asciiTheme="minorHAnsi" w:eastAsiaTheme="minorHAnsi" w:hAnsiTheme="minorHAnsi" w:cstheme="minorHAnsi"/>
          <w:sz w:val="22"/>
          <w:szCs w:val="22"/>
          <w:lang w:eastAsia="en-US"/>
        </w:rPr>
        <w:t xml:space="preserve">gained </w:t>
      </w:r>
      <w:r w:rsidR="006637A5" w:rsidRPr="006D4988">
        <w:rPr>
          <w:rFonts w:asciiTheme="minorHAnsi" w:eastAsiaTheme="minorHAnsi" w:hAnsiTheme="minorHAnsi" w:cstheme="minorHAnsi"/>
          <w:sz w:val="22"/>
          <w:szCs w:val="22"/>
          <w:lang w:eastAsia="en-US"/>
        </w:rPr>
        <w:t>by</w:t>
      </w:r>
      <w:r w:rsidRPr="006D4988">
        <w:rPr>
          <w:rFonts w:asciiTheme="minorHAnsi" w:eastAsiaTheme="minorHAnsi" w:hAnsiTheme="minorHAnsi" w:cstheme="minorHAnsi"/>
          <w:sz w:val="22"/>
          <w:szCs w:val="22"/>
          <w:lang w:eastAsia="en-US"/>
        </w:rPr>
        <w:t xml:space="preserve"> </w:t>
      </w:r>
      <w:r w:rsidR="006F16E9" w:rsidRPr="006D4988">
        <w:rPr>
          <w:rFonts w:asciiTheme="minorHAnsi" w:eastAsiaTheme="minorHAnsi" w:hAnsiTheme="minorHAnsi" w:cstheme="minorHAnsi"/>
          <w:sz w:val="22"/>
          <w:szCs w:val="22"/>
          <w:lang w:eastAsia="en-US"/>
        </w:rPr>
        <w:t>reporting</w:t>
      </w:r>
    </w:p>
    <w:p w:rsidR="00CB3713" w:rsidRPr="006D4988" w:rsidRDefault="00CB3713" w:rsidP="0011095F">
      <w:pPr>
        <w:pStyle w:val="ListParagraph"/>
        <w:numPr>
          <w:ilvl w:val="0"/>
          <w:numId w:val="18"/>
        </w:numPr>
        <w:spacing w:line="276" w:lineRule="auto"/>
        <w:rPr>
          <w:rFonts w:asciiTheme="minorHAnsi" w:eastAsiaTheme="minorHAnsi" w:hAnsiTheme="minorHAnsi" w:cstheme="minorHAnsi"/>
          <w:sz w:val="22"/>
          <w:szCs w:val="22"/>
          <w:lang w:eastAsia="en-US"/>
        </w:rPr>
      </w:pPr>
      <w:r w:rsidRPr="006D4988">
        <w:rPr>
          <w:rFonts w:asciiTheme="minorHAnsi" w:eastAsiaTheme="minorHAnsi" w:hAnsiTheme="minorHAnsi" w:cstheme="minorHAnsi"/>
          <w:sz w:val="22"/>
          <w:szCs w:val="22"/>
          <w:lang w:eastAsia="en-US"/>
        </w:rPr>
        <w:t xml:space="preserve">provide individual organisations with </w:t>
      </w:r>
      <w:r w:rsidR="00FF717D">
        <w:rPr>
          <w:rFonts w:asciiTheme="minorHAnsi" w:eastAsiaTheme="minorHAnsi" w:hAnsiTheme="minorHAnsi" w:cstheme="minorHAnsi"/>
          <w:sz w:val="22"/>
          <w:szCs w:val="22"/>
          <w:lang w:eastAsia="en-US"/>
        </w:rPr>
        <w:t xml:space="preserve">useful </w:t>
      </w:r>
      <w:r w:rsidRPr="006D4988">
        <w:rPr>
          <w:rFonts w:asciiTheme="minorHAnsi" w:eastAsiaTheme="minorHAnsi" w:hAnsiTheme="minorHAnsi" w:cstheme="minorHAnsi"/>
          <w:sz w:val="22"/>
          <w:szCs w:val="22"/>
          <w:lang w:eastAsia="en-US"/>
        </w:rPr>
        <w:t>information to assist in analysing gender equality in their organisations</w:t>
      </w:r>
    </w:p>
    <w:p w:rsidR="00CB3713" w:rsidRPr="006D4988" w:rsidRDefault="00CB3713" w:rsidP="0011095F">
      <w:pPr>
        <w:pStyle w:val="ListParagraph"/>
        <w:numPr>
          <w:ilvl w:val="0"/>
          <w:numId w:val="18"/>
        </w:numPr>
        <w:spacing w:line="276" w:lineRule="auto"/>
        <w:rPr>
          <w:rFonts w:asciiTheme="minorHAnsi" w:eastAsiaTheme="minorHAnsi" w:hAnsiTheme="minorHAnsi" w:cstheme="minorHAnsi"/>
          <w:sz w:val="22"/>
          <w:szCs w:val="22"/>
          <w:lang w:eastAsia="en-US"/>
        </w:rPr>
      </w:pPr>
      <w:r w:rsidRPr="006D4988">
        <w:rPr>
          <w:rFonts w:asciiTheme="minorHAnsi" w:eastAsiaTheme="minorHAnsi" w:hAnsiTheme="minorHAnsi" w:cstheme="minorHAnsi"/>
          <w:sz w:val="22"/>
          <w:szCs w:val="22"/>
          <w:lang w:eastAsia="en-US"/>
        </w:rPr>
        <w:t xml:space="preserve">provide data that enables organisations to reliably compare their gender equality performance with other </w:t>
      </w:r>
      <w:r w:rsidR="00A77881" w:rsidRPr="006D4988">
        <w:rPr>
          <w:rFonts w:asciiTheme="minorHAnsi" w:eastAsiaTheme="minorHAnsi" w:hAnsiTheme="minorHAnsi" w:cstheme="minorHAnsi"/>
          <w:sz w:val="22"/>
          <w:szCs w:val="22"/>
          <w:lang w:eastAsia="en-US"/>
        </w:rPr>
        <w:t>‘</w:t>
      </w:r>
      <w:r w:rsidRPr="006D4988">
        <w:rPr>
          <w:rFonts w:asciiTheme="minorHAnsi" w:eastAsiaTheme="minorHAnsi" w:hAnsiTheme="minorHAnsi" w:cstheme="minorHAnsi"/>
          <w:sz w:val="22"/>
          <w:szCs w:val="22"/>
          <w:lang w:eastAsia="en-US"/>
        </w:rPr>
        <w:t>like</w:t>
      </w:r>
      <w:r w:rsidR="00A77881" w:rsidRPr="006D4988">
        <w:rPr>
          <w:rFonts w:asciiTheme="minorHAnsi" w:eastAsiaTheme="minorHAnsi" w:hAnsiTheme="minorHAnsi" w:cstheme="minorHAnsi"/>
          <w:sz w:val="22"/>
          <w:szCs w:val="22"/>
          <w:lang w:eastAsia="en-US"/>
        </w:rPr>
        <w:t>’</w:t>
      </w:r>
      <w:r w:rsidRPr="006D4988">
        <w:rPr>
          <w:rFonts w:asciiTheme="minorHAnsi" w:eastAsiaTheme="minorHAnsi" w:hAnsiTheme="minorHAnsi" w:cstheme="minorHAnsi"/>
          <w:sz w:val="22"/>
          <w:szCs w:val="22"/>
          <w:lang w:eastAsia="en-US"/>
        </w:rPr>
        <w:t xml:space="preserve"> organisations</w:t>
      </w:r>
    </w:p>
    <w:p w:rsidR="00CB3713" w:rsidRPr="006D4988" w:rsidRDefault="00CB3713" w:rsidP="0011095F">
      <w:pPr>
        <w:pStyle w:val="ListParagraph"/>
        <w:numPr>
          <w:ilvl w:val="0"/>
          <w:numId w:val="18"/>
        </w:numPr>
        <w:spacing w:after="240" w:line="276" w:lineRule="auto"/>
        <w:rPr>
          <w:rFonts w:asciiTheme="minorHAnsi" w:eastAsiaTheme="minorHAnsi" w:hAnsiTheme="minorHAnsi" w:cstheme="minorHAnsi"/>
          <w:sz w:val="22"/>
          <w:szCs w:val="22"/>
          <w:lang w:eastAsia="en-US"/>
        </w:rPr>
      </w:pPr>
      <w:proofErr w:type="gramStart"/>
      <w:r w:rsidRPr="006D4988">
        <w:rPr>
          <w:rFonts w:asciiTheme="minorHAnsi" w:eastAsiaTheme="minorHAnsi" w:hAnsiTheme="minorHAnsi" w:cstheme="minorHAnsi"/>
          <w:sz w:val="22"/>
          <w:szCs w:val="22"/>
          <w:lang w:eastAsia="en-US"/>
        </w:rPr>
        <w:t>collect</w:t>
      </w:r>
      <w:proofErr w:type="gramEnd"/>
      <w:r w:rsidRPr="006D4988">
        <w:rPr>
          <w:rFonts w:asciiTheme="minorHAnsi" w:eastAsiaTheme="minorHAnsi" w:hAnsiTheme="minorHAnsi" w:cstheme="minorHAnsi"/>
          <w:sz w:val="22"/>
          <w:szCs w:val="22"/>
          <w:lang w:eastAsia="en-US"/>
        </w:rPr>
        <w:t xml:space="preserve"> core elements of workplace gender data to inform individual organisations, benchmark reports and help identify where educational priorities of the Agency should be focused.</w:t>
      </w:r>
    </w:p>
    <w:p w:rsidR="00CB3713" w:rsidRPr="006D4988" w:rsidRDefault="00CB3713" w:rsidP="00CB3713">
      <w:pPr>
        <w:rPr>
          <w:rFonts w:cstheme="minorHAnsi"/>
        </w:rPr>
      </w:pPr>
      <w:r w:rsidRPr="006D4988">
        <w:rPr>
          <w:rFonts w:cstheme="minorHAnsi"/>
        </w:rPr>
        <w:t>The consultation process initially focused on seeking feedback from employers regarding their experiences of reporting, as well as analysis of the reporting requirements and data to ensure that the end data is relevant and meaningful for employers. To do this</w:t>
      </w:r>
      <w:r w:rsidR="00A07D8D">
        <w:rPr>
          <w:rFonts w:cstheme="minorHAnsi"/>
        </w:rPr>
        <w:t>,</w:t>
      </w:r>
      <w:r w:rsidRPr="006D4988">
        <w:rPr>
          <w:rFonts w:cstheme="minorHAnsi"/>
        </w:rPr>
        <w:t xml:space="preserve"> the Department invited interested parties to provide feedback or make a formal submission, with formal submissions lodged with the Department by 30 September 2014. The Department also created a short survey on the reporting requirements</w:t>
      </w:r>
      <w:r w:rsidR="00A07D8D">
        <w:rPr>
          <w:rFonts w:cstheme="minorHAnsi"/>
        </w:rPr>
        <w:t>,</w:t>
      </w:r>
      <w:r w:rsidRPr="006D4988">
        <w:rPr>
          <w:rFonts w:cstheme="minorHAnsi"/>
        </w:rPr>
        <w:t xml:space="preserve"> which was open from 15 May to 31 July 2014. In addition, the Department met with </w:t>
      </w:r>
      <w:r w:rsidR="00C0379C">
        <w:rPr>
          <w:rFonts w:cstheme="minorHAnsi"/>
        </w:rPr>
        <w:t>18</w:t>
      </w:r>
      <w:r w:rsidR="00C0379C" w:rsidRPr="006D4988">
        <w:rPr>
          <w:rFonts w:cstheme="minorHAnsi"/>
        </w:rPr>
        <w:t xml:space="preserve"> </w:t>
      </w:r>
      <w:r w:rsidRPr="006D4988">
        <w:rPr>
          <w:rFonts w:cstheme="minorHAnsi"/>
        </w:rPr>
        <w:t>reporting organisations to discuss their individual feedback in relation to the reporting requirements. From late September 2014</w:t>
      </w:r>
      <w:r w:rsidR="00A07D8D">
        <w:rPr>
          <w:rFonts w:cstheme="minorHAnsi"/>
        </w:rPr>
        <w:t>,</w:t>
      </w:r>
      <w:r w:rsidRPr="006D4988">
        <w:rPr>
          <w:rFonts w:cstheme="minorHAnsi"/>
        </w:rPr>
        <w:t xml:space="preserve"> the Department engaged with a broad range of stakeholders on possible options for improving the reporting requirements as set out in the Instrument and derived from analysis of the feedback received through the consultation</w:t>
      </w:r>
      <w:r w:rsidR="00C0379C">
        <w:rPr>
          <w:rFonts w:cstheme="minorHAnsi"/>
        </w:rPr>
        <w:t>.</w:t>
      </w:r>
      <w:r w:rsidRPr="006D4988">
        <w:rPr>
          <w:rFonts w:cstheme="minorHAnsi"/>
        </w:rPr>
        <w:t xml:space="preserve"> </w:t>
      </w:r>
    </w:p>
    <w:p w:rsidR="00CB3713" w:rsidRPr="006D4988" w:rsidRDefault="00CB3713" w:rsidP="00CB3713">
      <w:pPr>
        <w:rPr>
          <w:rFonts w:cstheme="minorHAnsi"/>
        </w:rPr>
      </w:pPr>
      <w:r w:rsidRPr="001F393F">
        <w:rPr>
          <w:rFonts w:cstheme="minorHAnsi"/>
        </w:rPr>
        <w:t xml:space="preserve">It is </w:t>
      </w:r>
      <w:r w:rsidRPr="001F393F">
        <w:rPr>
          <w:rFonts w:cstheme="minorHAnsi"/>
          <w:shd w:val="clear" w:color="auto" w:fill="FFFFFF" w:themeFill="background1"/>
        </w:rPr>
        <w:t>clear from this consultation process</w:t>
      </w:r>
      <w:r w:rsidRPr="001F393F">
        <w:rPr>
          <w:rFonts w:cstheme="minorHAnsi"/>
        </w:rPr>
        <w:t xml:space="preserve"> that</w:t>
      </w:r>
      <w:r w:rsidRPr="006D4988">
        <w:rPr>
          <w:rFonts w:cstheme="minorHAnsi"/>
        </w:rPr>
        <w:t xml:space="preserve"> reporting for the 2013</w:t>
      </w:r>
      <w:r w:rsidR="00D85507">
        <w:rPr>
          <w:rFonts w:cstheme="minorHAnsi"/>
        </w:rPr>
        <w:t>–</w:t>
      </w:r>
      <w:r w:rsidRPr="006D4988">
        <w:rPr>
          <w:rFonts w:cstheme="minorHAnsi"/>
        </w:rPr>
        <w:t xml:space="preserve">14 reporting period has been difficult for many reporting organisations. This is supported by the experience of the Agency, which reports that between 14 February and 20 October 2014, </w:t>
      </w:r>
      <w:r w:rsidR="00A07D8D">
        <w:rPr>
          <w:rFonts w:cstheme="minorHAnsi"/>
        </w:rPr>
        <w:t>more than</w:t>
      </w:r>
      <w:r w:rsidR="00A07D8D" w:rsidRPr="006D4988">
        <w:rPr>
          <w:rFonts w:cstheme="minorHAnsi"/>
        </w:rPr>
        <w:t xml:space="preserve"> </w:t>
      </w:r>
      <w:r w:rsidRPr="006D4988">
        <w:rPr>
          <w:rFonts w:cstheme="minorHAnsi"/>
        </w:rPr>
        <w:t xml:space="preserve">20,076 cases have been logged </w:t>
      </w:r>
      <w:r w:rsidRPr="006D4988">
        <w:rPr>
          <w:rFonts w:cstheme="minorHAnsi"/>
        </w:rPr>
        <w:lastRenderedPageBreak/>
        <w:t xml:space="preserve">through the Agency helpline (noting that cases represent one or more calls to </w:t>
      </w:r>
      <w:r w:rsidR="001A2D2A">
        <w:rPr>
          <w:rFonts w:cstheme="minorHAnsi"/>
        </w:rPr>
        <w:t xml:space="preserve">or from </w:t>
      </w:r>
      <w:r w:rsidRPr="006D4988">
        <w:rPr>
          <w:rFonts w:cstheme="minorHAnsi"/>
        </w:rPr>
        <w:t>the Agency), almost all of these cases related to online reporting</w:t>
      </w:r>
      <w:r w:rsidR="00A07D8D">
        <w:rPr>
          <w:rFonts w:cstheme="minorHAnsi"/>
        </w:rPr>
        <w:t>,</w:t>
      </w:r>
      <w:r w:rsidRPr="006D4988">
        <w:rPr>
          <w:rFonts w:cstheme="minorHAnsi"/>
        </w:rPr>
        <w:t xml:space="preserve"> with the largest majority (8309 or 41</w:t>
      </w:r>
      <w:r w:rsidR="00D278CC">
        <w:rPr>
          <w:rFonts w:cstheme="minorHAnsi"/>
        </w:rPr>
        <w:t xml:space="preserve"> per cent</w:t>
      </w:r>
      <w:r w:rsidRPr="006D4988">
        <w:rPr>
          <w:rFonts w:cstheme="minorHAnsi"/>
        </w:rPr>
        <w:t>) specifical</w:t>
      </w:r>
      <w:r w:rsidR="007456D2">
        <w:rPr>
          <w:rFonts w:cstheme="minorHAnsi"/>
        </w:rPr>
        <w:t>ly relating to reporting issues</w:t>
      </w:r>
      <w:r w:rsidR="00EE769F">
        <w:rPr>
          <w:rFonts w:cstheme="minorHAnsi"/>
        </w:rPr>
        <w:t>.</w:t>
      </w:r>
      <w:r w:rsidRPr="006D4988">
        <w:rPr>
          <w:rStyle w:val="FootnoteReference"/>
          <w:rFonts w:cstheme="minorHAnsi"/>
        </w:rPr>
        <w:footnoteReference w:id="7"/>
      </w:r>
    </w:p>
    <w:p w:rsidR="00CB3713" w:rsidRPr="006D4988" w:rsidRDefault="00CB3713" w:rsidP="00CB3713">
      <w:pPr>
        <w:rPr>
          <w:rFonts w:cstheme="minorHAnsi"/>
        </w:rPr>
      </w:pPr>
      <w:r w:rsidRPr="006D4988">
        <w:rPr>
          <w:rFonts w:cstheme="minorHAnsi"/>
        </w:rPr>
        <w:t xml:space="preserve">Some </w:t>
      </w:r>
      <w:r w:rsidR="00FF717D">
        <w:rPr>
          <w:rFonts w:cstheme="minorHAnsi"/>
        </w:rPr>
        <w:t>of the difficulties</w:t>
      </w:r>
      <w:r w:rsidRPr="006D4988">
        <w:rPr>
          <w:rFonts w:cstheme="minorHAnsi"/>
        </w:rPr>
        <w:t xml:space="preserve"> would be due to the fact that this </w:t>
      </w:r>
      <w:r w:rsidR="00A07D8D">
        <w:rPr>
          <w:rFonts w:cstheme="minorHAnsi"/>
        </w:rPr>
        <w:t xml:space="preserve">was </w:t>
      </w:r>
      <w:r w:rsidRPr="006D4988">
        <w:rPr>
          <w:rFonts w:cstheme="minorHAnsi"/>
        </w:rPr>
        <w:t xml:space="preserve">the first full year of reporting on the new requirements using the online system, but this cannot explain all the </w:t>
      </w:r>
      <w:r w:rsidR="00FF717D">
        <w:rPr>
          <w:rFonts w:cstheme="minorHAnsi"/>
        </w:rPr>
        <w:t>challenges</w:t>
      </w:r>
      <w:r w:rsidRPr="006D4988">
        <w:rPr>
          <w:rFonts w:cstheme="minorHAnsi"/>
        </w:rPr>
        <w:t xml:space="preserve">. Much is also due to the onerous nature of the requirements. </w:t>
      </w:r>
      <w:r w:rsidR="00A3444C" w:rsidRPr="006D4988">
        <w:rPr>
          <w:rFonts w:cstheme="minorHAnsi"/>
        </w:rPr>
        <w:t>T</w:t>
      </w:r>
      <w:r w:rsidR="00C971AB" w:rsidRPr="006D4988">
        <w:rPr>
          <w:rFonts w:cstheme="minorHAnsi"/>
        </w:rPr>
        <w:t xml:space="preserve">he Agency has </w:t>
      </w:r>
      <w:r w:rsidR="00A3444C" w:rsidRPr="006D4988">
        <w:rPr>
          <w:rFonts w:cstheme="minorHAnsi"/>
        </w:rPr>
        <w:t>developed</w:t>
      </w:r>
      <w:r w:rsidR="00C971AB" w:rsidRPr="006D4988">
        <w:rPr>
          <w:rFonts w:cstheme="minorHAnsi"/>
        </w:rPr>
        <w:t xml:space="preserve"> </w:t>
      </w:r>
      <w:r w:rsidR="00A3444C" w:rsidRPr="006D4988">
        <w:rPr>
          <w:rFonts w:cstheme="minorHAnsi"/>
        </w:rPr>
        <w:t>many</w:t>
      </w:r>
      <w:r w:rsidR="00C971AB" w:rsidRPr="006D4988">
        <w:rPr>
          <w:rFonts w:cstheme="minorHAnsi"/>
        </w:rPr>
        <w:t xml:space="preserve"> resources </w:t>
      </w:r>
      <w:r w:rsidR="00A3444C" w:rsidRPr="006D4988">
        <w:rPr>
          <w:rFonts w:cstheme="minorHAnsi"/>
        </w:rPr>
        <w:t xml:space="preserve">for reporting organisations </w:t>
      </w:r>
      <w:r w:rsidR="00C971AB" w:rsidRPr="006D4988">
        <w:rPr>
          <w:rFonts w:cstheme="minorHAnsi"/>
        </w:rPr>
        <w:t>that provide detailed information</w:t>
      </w:r>
      <w:r w:rsidR="00A3444C" w:rsidRPr="006D4988">
        <w:rPr>
          <w:rFonts w:cstheme="minorHAnsi"/>
        </w:rPr>
        <w:t xml:space="preserve"> </w:t>
      </w:r>
      <w:r w:rsidR="00C971AB" w:rsidRPr="006D4988">
        <w:rPr>
          <w:rFonts w:cstheme="minorHAnsi"/>
        </w:rPr>
        <w:t>to assist with reporting</w:t>
      </w:r>
      <w:r w:rsidR="00A07D8D">
        <w:rPr>
          <w:rFonts w:cstheme="minorHAnsi"/>
        </w:rPr>
        <w:t xml:space="preserve">. </w:t>
      </w:r>
      <w:r w:rsidR="00E3505E">
        <w:rPr>
          <w:rFonts w:cstheme="minorHAnsi"/>
        </w:rPr>
        <w:t xml:space="preserve">There is evidence, however, </w:t>
      </w:r>
      <w:r w:rsidR="00FF717D">
        <w:rPr>
          <w:rFonts w:cstheme="minorHAnsi"/>
        </w:rPr>
        <w:t>(such as resubmissions and rechecking of the data by the Agency)</w:t>
      </w:r>
      <w:r w:rsidR="00A07D8D">
        <w:rPr>
          <w:rFonts w:cstheme="minorHAnsi"/>
        </w:rPr>
        <w:t>,</w:t>
      </w:r>
      <w:r w:rsidR="00FF717D">
        <w:rPr>
          <w:rFonts w:cstheme="minorHAnsi"/>
        </w:rPr>
        <w:t xml:space="preserve"> that </w:t>
      </w:r>
      <w:r w:rsidR="00A3444C" w:rsidRPr="006D4988">
        <w:rPr>
          <w:rFonts w:cstheme="minorHAnsi"/>
        </w:rPr>
        <w:t>much of this information is</w:t>
      </w:r>
      <w:r w:rsidR="00C971AB" w:rsidRPr="006D4988">
        <w:rPr>
          <w:rFonts w:cstheme="minorHAnsi"/>
        </w:rPr>
        <w:t xml:space="preserve"> not being utilised</w:t>
      </w:r>
      <w:r w:rsidR="00A3444C" w:rsidRPr="006D4988">
        <w:rPr>
          <w:rFonts w:cstheme="minorHAnsi"/>
        </w:rPr>
        <w:t xml:space="preserve"> by many of the reporting organisations</w:t>
      </w:r>
      <w:r w:rsidR="00C971AB" w:rsidRPr="006D4988">
        <w:rPr>
          <w:rFonts w:cstheme="minorHAnsi"/>
        </w:rPr>
        <w:t>.</w:t>
      </w:r>
    </w:p>
    <w:p w:rsidR="00CB3713" w:rsidRPr="006D4988" w:rsidRDefault="00CB3713" w:rsidP="00CB3713">
      <w:pPr>
        <w:rPr>
          <w:rFonts w:cstheme="minorHAnsi"/>
        </w:rPr>
      </w:pPr>
      <w:r w:rsidRPr="006D4988">
        <w:rPr>
          <w:rFonts w:cstheme="minorHAnsi"/>
        </w:rPr>
        <w:t>The Department estimates the total cost to business in complying with reporting requirements set out in both Schedule 1 and 2 is approximately $19 million per year. On a per business basis, the cost of complying with these reporting requirements is estimated to be approximately $4069 per year</w:t>
      </w:r>
      <w:r w:rsidR="00EE769F">
        <w:rPr>
          <w:rFonts w:cstheme="minorHAnsi"/>
        </w:rPr>
        <w:t>.</w:t>
      </w:r>
      <w:r w:rsidRPr="006D4988">
        <w:rPr>
          <w:rStyle w:val="FootnoteReference"/>
          <w:rFonts w:cstheme="minorHAnsi"/>
        </w:rPr>
        <w:footnoteReference w:id="8"/>
      </w:r>
      <w:r w:rsidRPr="006D4988">
        <w:rPr>
          <w:rFonts w:cstheme="minorHAnsi"/>
        </w:rPr>
        <w:t xml:space="preserve"> This cost is mainly associated with the time and resources required for data collection and reporting to the Agency.</w:t>
      </w:r>
    </w:p>
    <w:p w:rsidR="00CB3713" w:rsidRPr="006D4988" w:rsidRDefault="00CB3713" w:rsidP="00CB3713">
      <w:pPr>
        <w:rPr>
          <w:rFonts w:cstheme="minorHAnsi"/>
        </w:rPr>
      </w:pPr>
      <w:r w:rsidRPr="006D4988">
        <w:rPr>
          <w:rFonts w:cstheme="minorHAnsi"/>
        </w:rPr>
        <w:t xml:space="preserve">Other parties have also provided feedback on the reporting requirements to the Department and via the media. Women’s advocacy groups, academics and social commentators have noted that they consider that the current reporting requirements should be retained as the process of reporting by business is a key </w:t>
      </w:r>
      <w:r w:rsidR="00C0379C">
        <w:rPr>
          <w:rFonts w:cstheme="minorHAnsi"/>
        </w:rPr>
        <w:t>factor in</w:t>
      </w:r>
      <w:r w:rsidRPr="006D4988">
        <w:rPr>
          <w:rFonts w:cstheme="minorHAnsi"/>
        </w:rPr>
        <w:t xml:space="preserve"> driving change at the workplace level. They also support reporting due to the focus it gives to gender equality and the gender pay gap more generally. They further note that gender inequality in the workplace has been intractable</w:t>
      </w:r>
      <w:r w:rsidR="00D548C0">
        <w:rPr>
          <w:rFonts w:cstheme="minorHAnsi"/>
        </w:rPr>
        <w:t>,</w:t>
      </w:r>
      <w:r w:rsidRPr="006D4988">
        <w:rPr>
          <w:rFonts w:cstheme="minorHAnsi"/>
        </w:rPr>
        <w:t xml:space="preserve"> despite legislative provisions to address </w:t>
      </w:r>
      <w:r w:rsidR="001A2D2A">
        <w:rPr>
          <w:rFonts w:cstheme="minorHAnsi"/>
        </w:rPr>
        <w:t xml:space="preserve">these issues </w:t>
      </w:r>
      <w:r w:rsidRPr="006D4988">
        <w:rPr>
          <w:rFonts w:cstheme="minorHAnsi"/>
        </w:rPr>
        <w:t xml:space="preserve">having been in place for </w:t>
      </w:r>
      <w:r w:rsidR="00D548C0">
        <w:rPr>
          <w:rFonts w:cstheme="minorHAnsi"/>
        </w:rPr>
        <w:t>more than thirty</w:t>
      </w:r>
      <w:r w:rsidRPr="006D4988">
        <w:rPr>
          <w:rFonts w:cstheme="minorHAnsi"/>
        </w:rPr>
        <w:t xml:space="preserve"> years. Some of these groups also consider that reporting should be increased to capture extra information such as the number of requests from employees and approvals by employers, </w:t>
      </w:r>
      <w:r w:rsidR="00D85507">
        <w:rPr>
          <w:rFonts w:cstheme="minorHAnsi"/>
        </w:rPr>
        <w:t>for</w:t>
      </w:r>
      <w:r w:rsidR="00D85507" w:rsidRPr="006D4988">
        <w:rPr>
          <w:rFonts w:cstheme="minorHAnsi"/>
        </w:rPr>
        <w:t xml:space="preserve"> </w:t>
      </w:r>
      <w:r w:rsidRPr="006D4988">
        <w:rPr>
          <w:rFonts w:cstheme="minorHAnsi"/>
        </w:rPr>
        <w:t>access to flexible work arrangements.</w:t>
      </w:r>
      <w:r w:rsidR="00AB36E4">
        <w:rPr>
          <w:rFonts w:cstheme="minorHAnsi"/>
        </w:rPr>
        <w:t xml:space="preserve"> It should be noted that a few employers had no concerns about the reporting requirements.</w:t>
      </w:r>
    </w:p>
    <w:p w:rsidR="00927F6C" w:rsidRDefault="00CB3713" w:rsidP="00927F6C">
      <w:pPr>
        <w:rPr>
          <w:rFonts w:cstheme="minorHAnsi"/>
        </w:rPr>
      </w:pPr>
      <w:r w:rsidRPr="006D4988">
        <w:rPr>
          <w:rFonts w:cstheme="minorHAnsi"/>
        </w:rPr>
        <w:t>Therefore</w:t>
      </w:r>
      <w:r w:rsidR="00D548C0">
        <w:rPr>
          <w:rFonts w:cstheme="minorHAnsi"/>
        </w:rPr>
        <w:t>,</w:t>
      </w:r>
      <w:r w:rsidRPr="006D4988">
        <w:rPr>
          <w:rFonts w:cstheme="minorHAnsi"/>
        </w:rPr>
        <w:t xml:space="preserve"> the key difficulty in achieving the objectives for reporting will be in finding a balance that responds to the varying expectations and requirements of the interested parties. While reporting organisations identify and report on the practical difficulties in providing detailed, accurate and comparable data, women’s advocacy groups and some academics and social commentators seek minimal to no change </w:t>
      </w:r>
      <w:r w:rsidR="00106325" w:rsidRPr="006D4988">
        <w:rPr>
          <w:rFonts w:cstheme="minorHAnsi"/>
        </w:rPr>
        <w:t>to current requirements</w:t>
      </w:r>
      <w:r w:rsidR="00AB36E4">
        <w:rPr>
          <w:rFonts w:cstheme="minorHAnsi"/>
        </w:rPr>
        <w:t>,</w:t>
      </w:r>
      <w:r w:rsidRPr="006D4988">
        <w:rPr>
          <w:rFonts w:cstheme="minorHAnsi"/>
        </w:rPr>
        <w:t xml:space="preserve"> or</w:t>
      </w:r>
      <w:r w:rsidR="00106325" w:rsidRPr="006D4988">
        <w:rPr>
          <w:rFonts w:cstheme="minorHAnsi"/>
        </w:rPr>
        <w:t xml:space="preserve"> they seek even</w:t>
      </w:r>
      <w:r w:rsidRPr="006D4988">
        <w:rPr>
          <w:rFonts w:cstheme="minorHAnsi"/>
        </w:rPr>
        <w:t xml:space="preserve"> more reporting</w:t>
      </w:r>
      <w:r w:rsidR="00AB36E4">
        <w:rPr>
          <w:rFonts w:cstheme="minorHAnsi"/>
        </w:rPr>
        <w:t xml:space="preserve"> on issues of interest</w:t>
      </w:r>
      <w:r w:rsidRPr="006D4988">
        <w:rPr>
          <w:rFonts w:cstheme="minorHAnsi"/>
        </w:rPr>
        <w:t xml:space="preserve">. </w:t>
      </w:r>
    </w:p>
    <w:p w:rsidR="00E020F9" w:rsidRPr="006D4988" w:rsidRDefault="00F15C05" w:rsidP="00927F6C">
      <w:pPr>
        <w:rPr>
          <w:rFonts w:cstheme="minorHAnsi"/>
        </w:rPr>
      </w:pPr>
      <w:r w:rsidRPr="006D4988">
        <w:rPr>
          <w:rFonts w:cstheme="minorHAnsi"/>
        </w:rPr>
        <w:t>A number of the concerns raised by reporting employers th</w:t>
      </w:r>
      <w:r w:rsidR="001205F8" w:rsidRPr="006D4988">
        <w:rPr>
          <w:rFonts w:cstheme="minorHAnsi"/>
        </w:rPr>
        <w:t>r</w:t>
      </w:r>
      <w:r w:rsidRPr="006D4988">
        <w:rPr>
          <w:rFonts w:cstheme="minorHAnsi"/>
        </w:rPr>
        <w:t>ough</w:t>
      </w:r>
      <w:r w:rsidR="001205F8" w:rsidRPr="006D4988">
        <w:rPr>
          <w:rFonts w:cstheme="minorHAnsi"/>
        </w:rPr>
        <w:t>out the consultations can be addressed by improving components of implementation of reporting requirements by the Agency, as distinct from amendments</w:t>
      </w:r>
      <w:r w:rsidR="00EE005C">
        <w:rPr>
          <w:rFonts w:cstheme="minorHAnsi"/>
        </w:rPr>
        <w:t xml:space="preserve"> to the Instrument</w:t>
      </w:r>
      <w:r w:rsidR="001205F8" w:rsidRPr="006D4988">
        <w:rPr>
          <w:rFonts w:cstheme="minorHAnsi"/>
        </w:rPr>
        <w:t xml:space="preserve">. These implementation changes include </w:t>
      </w:r>
      <w:r w:rsidR="001A2D2A">
        <w:rPr>
          <w:rFonts w:cstheme="minorHAnsi"/>
        </w:rPr>
        <w:t xml:space="preserve">working with other Government </w:t>
      </w:r>
      <w:r w:rsidR="00D85507">
        <w:rPr>
          <w:rFonts w:cstheme="minorHAnsi"/>
        </w:rPr>
        <w:t>a</w:t>
      </w:r>
      <w:r w:rsidR="001A2D2A">
        <w:rPr>
          <w:rFonts w:cstheme="minorHAnsi"/>
        </w:rPr>
        <w:t xml:space="preserve">gencies to </w:t>
      </w:r>
      <w:r w:rsidR="001205F8" w:rsidRPr="006D4988">
        <w:rPr>
          <w:rFonts w:cstheme="minorHAnsi"/>
        </w:rPr>
        <w:t xml:space="preserve">addressing access to the </w:t>
      </w:r>
      <w:proofErr w:type="spellStart"/>
      <w:r w:rsidR="001205F8" w:rsidRPr="006D4988">
        <w:rPr>
          <w:rFonts w:cstheme="minorHAnsi"/>
        </w:rPr>
        <w:t>AUSkey</w:t>
      </w:r>
      <w:proofErr w:type="spellEnd"/>
      <w:r w:rsidR="001205F8" w:rsidRPr="006D4988">
        <w:rPr>
          <w:rFonts w:cstheme="minorHAnsi"/>
        </w:rPr>
        <w:t xml:space="preserve">, elements of online reporting through the online portal, and </w:t>
      </w:r>
      <w:r w:rsidR="001A2D2A">
        <w:rPr>
          <w:rFonts w:cstheme="minorHAnsi"/>
        </w:rPr>
        <w:t>further refining guidance material</w:t>
      </w:r>
      <w:r w:rsidR="001205F8" w:rsidRPr="006D4988">
        <w:rPr>
          <w:rFonts w:cstheme="minorHAnsi"/>
        </w:rPr>
        <w:t>. More significant changes to data requirements will need to be addressed through amendment to the Instrument</w:t>
      </w:r>
      <w:r w:rsidR="00331123" w:rsidRPr="006D4988">
        <w:rPr>
          <w:rFonts w:cstheme="minorHAnsi"/>
        </w:rPr>
        <w:t xml:space="preserve"> and are outlined below</w:t>
      </w:r>
      <w:r w:rsidR="001205F8" w:rsidRPr="006D4988">
        <w:rPr>
          <w:rFonts w:cstheme="minorHAnsi"/>
        </w:rPr>
        <w:t>.</w:t>
      </w:r>
    </w:p>
    <w:p w:rsidR="007456D2" w:rsidRDefault="00F95B37" w:rsidP="009B51DF">
      <w:pPr>
        <w:spacing w:before="120" w:after="120"/>
        <w:rPr>
          <w:rFonts w:cstheme="minorHAnsi"/>
        </w:rPr>
      </w:pPr>
      <w:r>
        <w:rPr>
          <w:rFonts w:cstheme="minorHAnsi"/>
        </w:rPr>
        <w:lastRenderedPageBreak/>
        <w:t xml:space="preserve">A </w:t>
      </w:r>
      <w:proofErr w:type="spellStart"/>
      <w:r>
        <w:rPr>
          <w:rFonts w:cstheme="minorHAnsi"/>
        </w:rPr>
        <w:t>RIS</w:t>
      </w:r>
      <w:proofErr w:type="spellEnd"/>
      <w:r>
        <w:rPr>
          <w:rFonts w:cstheme="minorHAnsi"/>
        </w:rPr>
        <w:t xml:space="preserve"> was completed in 2011 by the Office for Women in the former Department of Families</w:t>
      </w:r>
      <w:r w:rsidR="00D85507">
        <w:rPr>
          <w:rFonts w:cstheme="minorHAnsi"/>
        </w:rPr>
        <w:t>,</w:t>
      </w:r>
      <w:r>
        <w:rPr>
          <w:rFonts w:cstheme="minorHAnsi"/>
        </w:rPr>
        <w:t xml:space="preserve"> Housing, Community Services and Indigenous Affairs for the introduction </w:t>
      </w:r>
      <w:r w:rsidR="008D3682">
        <w:rPr>
          <w:rFonts w:cstheme="minorHAnsi"/>
        </w:rPr>
        <w:t xml:space="preserve">of the Act. </w:t>
      </w:r>
      <w:r w:rsidR="003573C8">
        <w:rPr>
          <w:rFonts w:cstheme="minorHAnsi"/>
        </w:rPr>
        <w:t xml:space="preserve">This </w:t>
      </w:r>
      <w:proofErr w:type="spellStart"/>
      <w:r w:rsidR="003573C8">
        <w:rPr>
          <w:rFonts w:cstheme="minorHAnsi"/>
        </w:rPr>
        <w:t>RIS</w:t>
      </w:r>
      <w:proofErr w:type="spellEnd"/>
      <w:r w:rsidR="003573C8">
        <w:rPr>
          <w:rFonts w:cstheme="minorHAnsi"/>
        </w:rPr>
        <w:t xml:space="preserve"> is published on the </w:t>
      </w:r>
      <w:proofErr w:type="spellStart"/>
      <w:r w:rsidR="003573C8">
        <w:rPr>
          <w:rFonts w:cstheme="minorHAnsi"/>
        </w:rPr>
        <w:t>OBPR</w:t>
      </w:r>
      <w:proofErr w:type="spellEnd"/>
      <w:r w:rsidR="003573C8">
        <w:rPr>
          <w:rFonts w:cstheme="minorHAnsi"/>
        </w:rPr>
        <w:t xml:space="preserve"> website. </w:t>
      </w:r>
      <w:r w:rsidR="007456D2">
        <w:rPr>
          <w:rFonts w:cstheme="minorHAnsi"/>
        </w:rPr>
        <w:t>T</w:t>
      </w:r>
      <w:r w:rsidR="007456D2" w:rsidRPr="006D4988">
        <w:rPr>
          <w:rFonts w:cstheme="minorHAnsi"/>
        </w:rPr>
        <w:t xml:space="preserve">he Government considered </w:t>
      </w:r>
      <w:r w:rsidR="007456D2">
        <w:rPr>
          <w:rFonts w:cstheme="minorHAnsi"/>
        </w:rPr>
        <w:t xml:space="preserve">options </w:t>
      </w:r>
      <w:r w:rsidR="008C4B20" w:rsidRPr="006D4988">
        <w:rPr>
          <w:rFonts w:cstheme="minorHAnsi"/>
        </w:rPr>
        <w:t>for changes to reporting requirements in response to feedback received from late 2013. At this time</w:t>
      </w:r>
      <w:r w:rsidR="00D548C0">
        <w:rPr>
          <w:rFonts w:cstheme="minorHAnsi"/>
        </w:rPr>
        <w:t>,</w:t>
      </w:r>
      <w:r w:rsidR="008C4B20" w:rsidRPr="006D4988">
        <w:rPr>
          <w:rFonts w:cstheme="minorHAnsi"/>
        </w:rPr>
        <w:t xml:space="preserve"> the problems were identified and options considered </w:t>
      </w:r>
      <w:r w:rsidR="003573C8">
        <w:rPr>
          <w:rFonts w:cstheme="minorHAnsi"/>
        </w:rPr>
        <w:t xml:space="preserve">through a targeted consultation which then formed the basis for options </w:t>
      </w:r>
      <w:r w:rsidR="008C4B20" w:rsidRPr="006D4988">
        <w:rPr>
          <w:rFonts w:cstheme="minorHAnsi"/>
        </w:rPr>
        <w:t xml:space="preserve">in an earlier </w:t>
      </w:r>
      <w:proofErr w:type="spellStart"/>
      <w:r w:rsidR="008C4B20" w:rsidRPr="006D4988">
        <w:rPr>
          <w:rFonts w:cstheme="minorHAnsi"/>
        </w:rPr>
        <w:t>RIS</w:t>
      </w:r>
      <w:proofErr w:type="spellEnd"/>
      <w:r w:rsidR="008C4B20" w:rsidRPr="006D4988">
        <w:rPr>
          <w:rFonts w:cstheme="minorHAnsi"/>
        </w:rPr>
        <w:t xml:space="preserve"> process that was assessed as compliant by </w:t>
      </w:r>
      <w:proofErr w:type="spellStart"/>
      <w:r w:rsidR="008C4B20" w:rsidRPr="006D4988">
        <w:rPr>
          <w:rFonts w:cstheme="minorHAnsi"/>
        </w:rPr>
        <w:t>OPBR</w:t>
      </w:r>
      <w:proofErr w:type="spellEnd"/>
      <w:r w:rsidR="008C4B20" w:rsidRPr="006D4988">
        <w:rPr>
          <w:rFonts w:cstheme="minorHAnsi"/>
        </w:rPr>
        <w:t xml:space="preserve"> in early March 2014</w:t>
      </w:r>
      <w:r w:rsidR="003573C8">
        <w:rPr>
          <w:rFonts w:cstheme="minorHAnsi"/>
        </w:rPr>
        <w:t xml:space="preserve">. </w:t>
      </w:r>
      <w:r w:rsidR="007456D2">
        <w:rPr>
          <w:rFonts w:cstheme="minorHAnsi"/>
        </w:rPr>
        <w:t>The Government announced a public consultation process and the delay of the introduction of</w:t>
      </w:r>
      <w:r w:rsidR="00B36113">
        <w:rPr>
          <w:rFonts w:cstheme="minorHAnsi"/>
        </w:rPr>
        <w:t xml:space="preserve"> the additional Schedule 2 reporting requirements</w:t>
      </w:r>
      <w:r w:rsidR="007456D2">
        <w:rPr>
          <w:rFonts w:cstheme="minorHAnsi"/>
        </w:rPr>
        <w:t>,</w:t>
      </w:r>
      <w:r w:rsidR="00B36113">
        <w:rPr>
          <w:rFonts w:cstheme="minorHAnsi"/>
        </w:rPr>
        <w:t xml:space="preserve"> and </w:t>
      </w:r>
      <w:r w:rsidR="006E15B2">
        <w:rPr>
          <w:rFonts w:cstheme="minorHAnsi"/>
        </w:rPr>
        <w:t>as a result</w:t>
      </w:r>
      <w:r w:rsidR="007456D2">
        <w:rPr>
          <w:rFonts w:cstheme="minorHAnsi"/>
        </w:rPr>
        <w:t>,</w:t>
      </w:r>
      <w:r w:rsidR="00B36113">
        <w:rPr>
          <w:rFonts w:cstheme="minorHAnsi"/>
        </w:rPr>
        <w:t xml:space="preserve"> the March 2014 </w:t>
      </w:r>
      <w:proofErr w:type="spellStart"/>
      <w:r w:rsidR="00B36113">
        <w:rPr>
          <w:rFonts w:cstheme="minorHAnsi"/>
        </w:rPr>
        <w:t>RIS</w:t>
      </w:r>
      <w:proofErr w:type="spellEnd"/>
      <w:r w:rsidR="00B36113">
        <w:rPr>
          <w:rFonts w:cstheme="minorHAnsi"/>
        </w:rPr>
        <w:t xml:space="preserve"> was not published</w:t>
      </w:r>
      <w:r w:rsidR="008C4B20" w:rsidRPr="006D4988">
        <w:rPr>
          <w:rFonts w:cstheme="minorHAnsi"/>
        </w:rPr>
        <w:t xml:space="preserve">. </w:t>
      </w:r>
    </w:p>
    <w:p w:rsidR="008C4B20" w:rsidRPr="006D4988" w:rsidRDefault="008C4B20" w:rsidP="009B51DF">
      <w:pPr>
        <w:keepNext/>
        <w:keepLines/>
        <w:spacing w:before="120" w:after="120"/>
        <w:rPr>
          <w:rFonts w:cstheme="minorHAnsi"/>
        </w:rPr>
      </w:pPr>
      <w:r w:rsidRPr="006D4988">
        <w:rPr>
          <w:rFonts w:cstheme="minorHAnsi"/>
        </w:rPr>
        <w:t xml:space="preserve">The options listed below were developed from early evidence from the </w:t>
      </w:r>
      <w:r w:rsidR="006E15B2">
        <w:rPr>
          <w:rFonts w:cstheme="minorHAnsi"/>
        </w:rPr>
        <w:t xml:space="preserve">public </w:t>
      </w:r>
      <w:r w:rsidRPr="006D4988">
        <w:rPr>
          <w:rFonts w:cstheme="minorHAnsi"/>
        </w:rPr>
        <w:t xml:space="preserve">consultation process where </w:t>
      </w:r>
      <w:r w:rsidR="00D941F0" w:rsidRPr="006D4988">
        <w:rPr>
          <w:rFonts w:cstheme="minorHAnsi"/>
        </w:rPr>
        <w:t xml:space="preserve">consistent </w:t>
      </w:r>
      <w:r w:rsidRPr="006D4988">
        <w:rPr>
          <w:rFonts w:cstheme="minorHAnsi"/>
        </w:rPr>
        <w:t>concerns</w:t>
      </w:r>
      <w:r w:rsidR="007456D2">
        <w:rPr>
          <w:rFonts w:cstheme="minorHAnsi"/>
        </w:rPr>
        <w:t xml:space="preserve"> began to</w:t>
      </w:r>
      <w:r w:rsidRPr="006D4988">
        <w:rPr>
          <w:rFonts w:cstheme="minorHAnsi"/>
        </w:rPr>
        <w:t xml:space="preserve"> </w:t>
      </w:r>
      <w:r w:rsidR="007456D2" w:rsidRPr="006D4988">
        <w:rPr>
          <w:rFonts w:cstheme="minorHAnsi"/>
        </w:rPr>
        <w:t>emerge</w:t>
      </w:r>
      <w:r w:rsidRPr="006D4988">
        <w:rPr>
          <w:rFonts w:cstheme="minorHAnsi"/>
        </w:rPr>
        <w:t xml:space="preserve">. The options were then considered by key stakeholders and subsequent feedback has led the </w:t>
      </w:r>
      <w:r w:rsidR="00D941F0" w:rsidRPr="006D4988">
        <w:rPr>
          <w:rFonts w:cstheme="minorHAnsi"/>
        </w:rPr>
        <w:t>Department to consider that these</w:t>
      </w:r>
      <w:r w:rsidRPr="006D4988">
        <w:rPr>
          <w:rFonts w:cstheme="minorHAnsi"/>
        </w:rPr>
        <w:t xml:space="preserve"> options represent viable ways in which the Government could respond to the feedback received.</w:t>
      </w:r>
    </w:p>
    <w:p w:rsidR="00200B48" w:rsidRPr="006D4988" w:rsidRDefault="00BB578E" w:rsidP="0069298D">
      <w:pPr>
        <w:pStyle w:val="Heading2"/>
        <w:rPr>
          <w:rFonts w:asciiTheme="minorHAnsi" w:hAnsiTheme="minorHAnsi" w:cstheme="minorHAnsi"/>
        </w:rPr>
      </w:pPr>
      <w:bookmarkStart w:id="11" w:name="_Toc404158254"/>
      <w:bookmarkStart w:id="12" w:name="_Toc405895156"/>
      <w:r w:rsidRPr="006D4988">
        <w:rPr>
          <w:rFonts w:asciiTheme="minorHAnsi" w:hAnsiTheme="minorHAnsi" w:cstheme="minorHAnsi"/>
        </w:rPr>
        <w:t xml:space="preserve">Option 1: </w:t>
      </w:r>
      <w:r w:rsidR="00200B48" w:rsidRPr="006D4988">
        <w:rPr>
          <w:rFonts w:asciiTheme="minorHAnsi" w:hAnsiTheme="minorHAnsi" w:cstheme="minorHAnsi"/>
        </w:rPr>
        <w:t xml:space="preserve">No </w:t>
      </w:r>
      <w:r w:rsidR="00BB2200" w:rsidRPr="006D4988">
        <w:rPr>
          <w:rFonts w:asciiTheme="minorHAnsi" w:hAnsiTheme="minorHAnsi" w:cstheme="minorHAnsi"/>
        </w:rPr>
        <w:t>c</w:t>
      </w:r>
      <w:r w:rsidR="00200B48" w:rsidRPr="006D4988">
        <w:rPr>
          <w:rFonts w:asciiTheme="minorHAnsi" w:hAnsiTheme="minorHAnsi" w:cstheme="minorHAnsi"/>
        </w:rPr>
        <w:t>hange</w:t>
      </w:r>
      <w:bookmarkEnd w:id="11"/>
      <w:bookmarkEnd w:id="12"/>
    </w:p>
    <w:p w:rsidR="00200B48" w:rsidRPr="006D4988" w:rsidRDefault="00200B48" w:rsidP="00200B48">
      <w:pPr>
        <w:rPr>
          <w:rFonts w:cstheme="minorHAnsi"/>
        </w:rPr>
      </w:pPr>
      <w:r w:rsidRPr="006D4988">
        <w:rPr>
          <w:rFonts w:cstheme="minorHAnsi"/>
        </w:rPr>
        <w:t xml:space="preserve">The current reporting requirements </w:t>
      </w:r>
      <w:r w:rsidR="006D3CCE" w:rsidRPr="006D4988">
        <w:rPr>
          <w:rFonts w:cstheme="minorHAnsi"/>
        </w:rPr>
        <w:t xml:space="preserve">outlined in the Act and the Instrument </w:t>
      </w:r>
      <w:proofErr w:type="gramStart"/>
      <w:r w:rsidRPr="006D4988">
        <w:rPr>
          <w:rFonts w:cstheme="minorHAnsi"/>
        </w:rPr>
        <w:t>remain</w:t>
      </w:r>
      <w:proofErr w:type="gramEnd"/>
      <w:r w:rsidRPr="006D4988">
        <w:rPr>
          <w:rFonts w:cstheme="minorHAnsi"/>
        </w:rPr>
        <w:t xml:space="preserve"> the same</w:t>
      </w:r>
      <w:r w:rsidR="006D3CCE" w:rsidRPr="006D4988">
        <w:rPr>
          <w:rFonts w:cstheme="minorHAnsi"/>
        </w:rPr>
        <w:t>. This includes the reporting that organisations are currently required to complete, as outlined in Schedule</w:t>
      </w:r>
      <w:r w:rsidR="00E3505E">
        <w:rPr>
          <w:rFonts w:cstheme="minorHAnsi"/>
        </w:rPr>
        <w:t> </w:t>
      </w:r>
      <w:r w:rsidR="006D3CCE" w:rsidRPr="006D4988">
        <w:rPr>
          <w:rFonts w:cstheme="minorHAnsi"/>
        </w:rPr>
        <w:t>1 of the Instrument and the</w:t>
      </w:r>
      <w:r w:rsidRPr="006D4988">
        <w:rPr>
          <w:rFonts w:cstheme="minorHAnsi"/>
        </w:rPr>
        <w:t xml:space="preserve"> reporting requirements </w:t>
      </w:r>
      <w:r w:rsidR="006D3CCE" w:rsidRPr="006D4988">
        <w:rPr>
          <w:rFonts w:cstheme="minorHAnsi"/>
        </w:rPr>
        <w:t xml:space="preserve">outlined in </w:t>
      </w:r>
      <w:r w:rsidRPr="006D4988">
        <w:rPr>
          <w:rFonts w:cstheme="minorHAnsi"/>
        </w:rPr>
        <w:t xml:space="preserve">Schedule 2 </w:t>
      </w:r>
      <w:r w:rsidR="006D3CCE" w:rsidRPr="006D4988">
        <w:rPr>
          <w:rFonts w:cstheme="minorHAnsi"/>
        </w:rPr>
        <w:t xml:space="preserve">of the Instrument that will </w:t>
      </w:r>
      <w:r w:rsidRPr="006D4988">
        <w:rPr>
          <w:rFonts w:cstheme="minorHAnsi"/>
        </w:rPr>
        <w:t>take effect from 1</w:t>
      </w:r>
      <w:r w:rsidR="003F4075" w:rsidRPr="006D4988">
        <w:rPr>
          <w:rFonts w:cstheme="minorHAnsi"/>
        </w:rPr>
        <w:t> </w:t>
      </w:r>
      <w:r w:rsidRPr="006D4988">
        <w:rPr>
          <w:rFonts w:cstheme="minorHAnsi"/>
        </w:rPr>
        <w:t>April</w:t>
      </w:r>
      <w:r w:rsidR="003F4075" w:rsidRPr="006D4988">
        <w:rPr>
          <w:rFonts w:cstheme="minorHAnsi"/>
        </w:rPr>
        <w:t> </w:t>
      </w:r>
      <w:r w:rsidRPr="006D4988">
        <w:rPr>
          <w:rFonts w:cstheme="minorHAnsi"/>
        </w:rPr>
        <w:t>201</w:t>
      </w:r>
      <w:r w:rsidR="009616CE" w:rsidRPr="006D4988">
        <w:rPr>
          <w:rFonts w:cstheme="minorHAnsi"/>
        </w:rPr>
        <w:t>5</w:t>
      </w:r>
      <w:r w:rsidR="004A31CA" w:rsidRPr="006D4988">
        <w:rPr>
          <w:rFonts w:cstheme="minorHAnsi"/>
        </w:rPr>
        <w:t>.</w:t>
      </w:r>
      <w:r w:rsidRPr="006D4988">
        <w:rPr>
          <w:rFonts w:cstheme="minorHAnsi"/>
        </w:rPr>
        <w:t xml:space="preserve"> </w:t>
      </w:r>
      <w:r w:rsidR="004A1755" w:rsidRPr="006D4988">
        <w:rPr>
          <w:rFonts w:cstheme="minorHAnsi"/>
        </w:rPr>
        <w:t xml:space="preserve">This option does not respond to </w:t>
      </w:r>
      <w:r w:rsidR="009D4F34" w:rsidRPr="006D4988">
        <w:rPr>
          <w:rFonts w:cstheme="minorHAnsi"/>
        </w:rPr>
        <w:t>any of</w:t>
      </w:r>
      <w:r w:rsidR="004A1755" w:rsidRPr="006D4988">
        <w:rPr>
          <w:rFonts w:cstheme="minorHAnsi"/>
        </w:rPr>
        <w:t xml:space="preserve"> </w:t>
      </w:r>
      <w:r w:rsidR="00682122" w:rsidRPr="006D4988">
        <w:rPr>
          <w:rFonts w:cstheme="minorHAnsi"/>
        </w:rPr>
        <w:t xml:space="preserve">the issues raised by employers. </w:t>
      </w:r>
    </w:p>
    <w:p w:rsidR="004802D7" w:rsidRPr="006D4988" w:rsidRDefault="00BB578E" w:rsidP="000404B7">
      <w:pPr>
        <w:pStyle w:val="Heading2"/>
        <w:rPr>
          <w:rFonts w:asciiTheme="minorHAnsi" w:hAnsiTheme="minorHAnsi" w:cstheme="minorHAnsi"/>
        </w:rPr>
      </w:pPr>
      <w:bookmarkStart w:id="13" w:name="_Toc404158255"/>
      <w:bookmarkStart w:id="14" w:name="_Toc405895157"/>
      <w:r w:rsidRPr="006D4988">
        <w:rPr>
          <w:rFonts w:asciiTheme="minorHAnsi" w:hAnsiTheme="minorHAnsi" w:cstheme="minorHAnsi"/>
        </w:rPr>
        <w:t xml:space="preserve">Option 2: </w:t>
      </w:r>
      <w:r w:rsidR="004A31CA" w:rsidRPr="006D4988">
        <w:rPr>
          <w:rFonts w:asciiTheme="minorHAnsi" w:hAnsiTheme="minorHAnsi" w:cstheme="minorHAnsi"/>
        </w:rPr>
        <w:t>S</w:t>
      </w:r>
      <w:r w:rsidR="004802D7" w:rsidRPr="006D4988">
        <w:rPr>
          <w:rFonts w:asciiTheme="minorHAnsi" w:hAnsiTheme="minorHAnsi" w:cstheme="minorHAnsi"/>
        </w:rPr>
        <w:t xml:space="preserve">treamline reporting requirements </w:t>
      </w:r>
      <w:r w:rsidR="004A1755" w:rsidRPr="006D4988">
        <w:rPr>
          <w:rFonts w:asciiTheme="minorHAnsi" w:hAnsiTheme="minorHAnsi" w:cstheme="minorHAnsi"/>
        </w:rPr>
        <w:t>(</w:t>
      </w:r>
      <w:r w:rsidR="0069239D" w:rsidRPr="006D4988">
        <w:rPr>
          <w:rFonts w:asciiTheme="minorHAnsi" w:hAnsiTheme="minorHAnsi" w:cstheme="minorHAnsi"/>
        </w:rPr>
        <w:t>significant removal of remuneration data</w:t>
      </w:r>
      <w:r w:rsidR="00E660A1" w:rsidRPr="006D4988">
        <w:rPr>
          <w:rFonts w:asciiTheme="minorHAnsi" w:hAnsiTheme="minorHAnsi" w:cstheme="minorHAnsi"/>
        </w:rPr>
        <w:t xml:space="preserve"> and reduced Schedule 2 components</w:t>
      </w:r>
      <w:r w:rsidR="004A1755" w:rsidRPr="006D4988">
        <w:rPr>
          <w:rFonts w:asciiTheme="minorHAnsi" w:hAnsiTheme="minorHAnsi" w:cstheme="minorHAnsi"/>
        </w:rPr>
        <w:t>)</w:t>
      </w:r>
      <w:bookmarkEnd w:id="13"/>
      <w:bookmarkEnd w:id="14"/>
    </w:p>
    <w:p w:rsidR="00A7247A" w:rsidRDefault="004802D7" w:rsidP="004C7663">
      <w:pPr>
        <w:rPr>
          <w:rFonts w:cstheme="minorHAnsi"/>
        </w:rPr>
      </w:pPr>
      <w:r w:rsidRPr="006D4988">
        <w:rPr>
          <w:rFonts w:cstheme="minorHAnsi"/>
        </w:rPr>
        <w:t>Th</w:t>
      </w:r>
      <w:r w:rsidR="004A31CA" w:rsidRPr="006D4988">
        <w:rPr>
          <w:rFonts w:cstheme="minorHAnsi"/>
        </w:rPr>
        <w:t xml:space="preserve">is option proposes </w:t>
      </w:r>
      <w:r w:rsidR="006D3CCE" w:rsidRPr="006D4988">
        <w:rPr>
          <w:rFonts w:cstheme="minorHAnsi"/>
        </w:rPr>
        <w:t>making some changes to the reporting requirements</w:t>
      </w:r>
      <w:r w:rsidR="00A7247A" w:rsidRPr="006D4988">
        <w:rPr>
          <w:rFonts w:cstheme="minorHAnsi"/>
        </w:rPr>
        <w:t>. The aim of this option</w:t>
      </w:r>
      <w:r w:rsidR="006D3CCE" w:rsidRPr="006D4988">
        <w:rPr>
          <w:rFonts w:cstheme="minorHAnsi"/>
        </w:rPr>
        <w:t xml:space="preserve"> is to reduce the complexity </w:t>
      </w:r>
      <w:r w:rsidR="00A7247A" w:rsidRPr="006D4988">
        <w:rPr>
          <w:rFonts w:cstheme="minorHAnsi"/>
        </w:rPr>
        <w:t xml:space="preserve">of the reporting while collecting key data to allow organisations to identify and address gaps in gender equality in their workplace and benchmark against like organisations. </w:t>
      </w:r>
    </w:p>
    <w:p w:rsidR="00AC02C3" w:rsidRPr="006D4988" w:rsidRDefault="00A7247A" w:rsidP="00666599">
      <w:pPr>
        <w:rPr>
          <w:rFonts w:cstheme="minorHAnsi"/>
        </w:rPr>
      </w:pPr>
      <w:r w:rsidRPr="006D4988">
        <w:rPr>
          <w:rFonts w:cstheme="minorHAnsi"/>
        </w:rPr>
        <w:t>The features of this option are as follows:</w:t>
      </w:r>
    </w:p>
    <w:p w:rsidR="006D3CCE" w:rsidRPr="006D4988" w:rsidRDefault="006D3CCE" w:rsidP="00666599">
      <w:pPr>
        <w:contextualSpacing/>
      </w:pPr>
      <w:r w:rsidRPr="006D4988">
        <w:t>The overarch</w:t>
      </w:r>
      <w:r w:rsidR="000B4D10" w:rsidRPr="006D4988">
        <w:t>ing framework remains the same</w:t>
      </w:r>
    </w:p>
    <w:p w:rsidR="006D3CCE" w:rsidRPr="00666599" w:rsidRDefault="00B91803" w:rsidP="003E6551">
      <w:pPr>
        <w:pStyle w:val="ListParagraph"/>
        <w:numPr>
          <w:ilvl w:val="0"/>
          <w:numId w:val="38"/>
        </w:numPr>
        <w:spacing w:before="120" w:after="120" w:line="276" w:lineRule="auto"/>
        <w:ind w:left="714" w:hanging="357"/>
        <w:contextualSpacing w:val="0"/>
        <w:rPr>
          <w:rFonts w:asciiTheme="minorHAnsi" w:eastAsiaTheme="minorHAnsi" w:hAnsiTheme="minorHAnsi"/>
          <w:sz w:val="22"/>
        </w:rPr>
      </w:pPr>
      <w:bookmarkStart w:id="15" w:name="_Toc402873922"/>
      <w:r w:rsidRPr="00666599">
        <w:rPr>
          <w:rFonts w:asciiTheme="minorHAnsi" w:eastAsiaTheme="minorHAnsi" w:hAnsiTheme="minorHAnsi"/>
          <w:sz w:val="22"/>
        </w:rPr>
        <w:t xml:space="preserve">registered higher education providers and </w:t>
      </w:r>
      <w:r w:rsidR="001A2D2A" w:rsidRPr="00666599">
        <w:rPr>
          <w:rFonts w:asciiTheme="minorHAnsi" w:eastAsiaTheme="minorHAnsi" w:hAnsiTheme="minorHAnsi"/>
          <w:sz w:val="22"/>
        </w:rPr>
        <w:t xml:space="preserve">private sector </w:t>
      </w:r>
      <w:r w:rsidR="0035447E" w:rsidRPr="00666599">
        <w:rPr>
          <w:rFonts w:asciiTheme="minorHAnsi" w:eastAsiaTheme="minorHAnsi" w:hAnsiTheme="minorHAnsi"/>
          <w:sz w:val="22"/>
        </w:rPr>
        <w:t>e</w:t>
      </w:r>
      <w:r w:rsidR="006D3CCE" w:rsidRPr="00666599">
        <w:rPr>
          <w:rFonts w:asciiTheme="minorHAnsi" w:eastAsiaTheme="minorHAnsi" w:hAnsiTheme="minorHAnsi"/>
          <w:sz w:val="22"/>
        </w:rPr>
        <w:t xml:space="preserve">mployers with 100 or more employees will continue to be required to report every year on </w:t>
      </w:r>
      <w:r w:rsidR="00D4195C" w:rsidRPr="00666599">
        <w:rPr>
          <w:rFonts w:asciiTheme="minorHAnsi" w:eastAsiaTheme="minorHAnsi" w:hAnsiTheme="minorHAnsi"/>
          <w:sz w:val="22"/>
        </w:rPr>
        <w:t xml:space="preserve">the </w:t>
      </w:r>
      <w:r w:rsidR="006D3CCE" w:rsidRPr="00666599">
        <w:rPr>
          <w:rFonts w:asciiTheme="minorHAnsi" w:eastAsiaTheme="minorHAnsi" w:hAnsiTheme="minorHAnsi"/>
          <w:sz w:val="22"/>
        </w:rPr>
        <w:t>gender equalit</w:t>
      </w:r>
      <w:r w:rsidR="000B4D10" w:rsidRPr="00666599">
        <w:rPr>
          <w:rFonts w:asciiTheme="minorHAnsi" w:eastAsiaTheme="minorHAnsi" w:hAnsiTheme="minorHAnsi"/>
          <w:sz w:val="22"/>
        </w:rPr>
        <w:t>y indicators in their workplace</w:t>
      </w:r>
      <w:bookmarkEnd w:id="15"/>
    </w:p>
    <w:p w:rsidR="005F0F60" w:rsidRPr="00666599" w:rsidRDefault="0035447E" w:rsidP="003E6551">
      <w:pPr>
        <w:pStyle w:val="ListParagraph"/>
        <w:numPr>
          <w:ilvl w:val="0"/>
          <w:numId w:val="38"/>
        </w:numPr>
        <w:spacing w:before="120" w:after="120" w:line="276" w:lineRule="auto"/>
        <w:ind w:left="714" w:hanging="357"/>
        <w:contextualSpacing w:val="0"/>
        <w:rPr>
          <w:rFonts w:asciiTheme="minorHAnsi" w:eastAsiaTheme="minorHAnsi" w:hAnsiTheme="minorHAnsi"/>
          <w:sz w:val="22"/>
        </w:rPr>
      </w:pPr>
      <w:bookmarkStart w:id="16" w:name="_Toc402873923"/>
      <w:r w:rsidRPr="00666599">
        <w:rPr>
          <w:rFonts w:asciiTheme="minorHAnsi" w:eastAsiaTheme="minorHAnsi" w:hAnsiTheme="minorHAnsi"/>
          <w:sz w:val="22"/>
        </w:rPr>
        <w:t>t</w:t>
      </w:r>
      <w:r w:rsidR="006D3CCE" w:rsidRPr="00666599">
        <w:rPr>
          <w:rFonts w:asciiTheme="minorHAnsi" w:eastAsiaTheme="minorHAnsi" w:hAnsiTheme="minorHAnsi"/>
          <w:sz w:val="22"/>
        </w:rPr>
        <w:t>he reporting continues to cover the six Indicators required by the legislation</w:t>
      </w:r>
      <w:bookmarkEnd w:id="16"/>
      <w:r w:rsidR="003020E8">
        <w:rPr>
          <w:rFonts w:asciiTheme="minorHAnsi" w:eastAsiaTheme="minorHAnsi" w:hAnsiTheme="minorHAnsi"/>
          <w:sz w:val="22"/>
        </w:rPr>
        <w:t>,</w:t>
      </w:r>
      <w:r w:rsidR="005F0F60" w:rsidRPr="00666599">
        <w:rPr>
          <w:rFonts w:asciiTheme="minorHAnsi" w:eastAsiaTheme="minorHAnsi" w:hAnsiTheme="minorHAnsi"/>
          <w:sz w:val="22"/>
        </w:rPr>
        <w:t xml:space="preserve"> </w:t>
      </w:r>
      <w:r w:rsidR="00E76C9D" w:rsidRPr="00666599">
        <w:rPr>
          <w:rFonts w:asciiTheme="minorHAnsi" w:eastAsiaTheme="minorHAnsi" w:hAnsiTheme="minorHAnsi"/>
          <w:sz w:val="22"/>
        </w:rPr>
        <w:t>including the</w:t>
      </w:r>
      <w:r w:rsidR="005F0F60" w:rsidRPr="00666599">
        <w:rPr>
          <w:rFonts w:asciiTheme="minorHAnsi" w:eastAsiaTheme="minorHAnsi" w:hAnsiTheme="minorHAnsi"/>
          <w:sz w:val="22"/>
        </w:rPr>
        <w:t xml:space="preserve"> core data:</w:t>
      </w:r>
    </w:p>
    <w:p w:rsidR="005F0F60" w:rsidRPr="00666599" w:rsidRDefault="005F0F60" w:rsidP="003E6551">
      <w:pPr>
        <w:pStyle w:val="ListParagraph"/>
        <w:numPr>
          <w:ilvl w:val="1"/>
          <w:numId w:val="38"/>
        </w:numPr>
        <w:spacing w:before="120" w:after="120" w:line="276" w:lineRule="auto"/>
        <w:contextualSpacing w:val="0"/>
        <w:rPr>
          <w:rFonts w:asciiTheme="minorHAnsi" w:eastAsiaTheme="minorHAnsi" w:hAnsiTheme="minorHAnsi"/>
          <w:sz w:val="22"/>
        </w:rPr>
      </w:pPr>
      <w:r w:rsidRPr="00666599">
        <w:rPr>
          <w:rFonts w:asciiTheme="minorHAnsi" w:eastAsiaTheme="minorHAnsi" w:hAnsiTheme="minorHAnsi"/>
          <w:sz w:val="22"/>
        </w:rPr>
        <w:t xml:space="preserve">the number of employees by manager/non-manager and employment status </w:t>
      </w:r>
    </w:p>
    <w:p w:rsidR="005F0F60" w:rsidRPr="00666599" w:rsidRDefault="005F0F60" w:rsidP="003E6551">
      <w:pPr>
        <w:pStyle w:val="ListParagraph"/>
        <w:numPr>
          <w:ilvl w:val="1"/>
          <w:numId w:val="38"/>
        </w:numPr>
        <w:spacing w:before="120" w:after="120" w:line="276" w:lineRule="auto"/>
        <w:contextualSpacing w:val="0"/>
        <w:rPr>
          <w:rFonts w:asciiTheme="minorHAnsi" w:eastAsiaTheme="minorHAnsi" w:hAnsiTheme="minorHAnsi"/>
          <w:sz w:val="22"/>
        </w:rPr>
      </w:pPr>
      <w:r w:rsidRPr="00666599">
        <w:rPr>
          <w:rFonts w:asciiTheme="minorHAnsi" w:eastAsiaTheme="minorHAnsi" w:hAnsiTheme="minorHAnsi"/>
          <w:sz w:val="22"/>
        </w:rPr>
        <w:t xml:space="preserve">the remuneration data for managers </w:t>
      </w:r>
    </w:p>
    <w:p w:rsidR="00A85C2E" w:rsidRPr="00666599" w:rsidRDefault="00E76C9D" w:rsidP="003E6551">
      <w:pPr>
        <w:pStyle w:val="ListParagraph"/>
        <w:numPr>
          <w:ilvl w:val="1"/>
          <w:numId w:val="38"/>
        </w:numPr>
        <w:spacing w:before="120" w:after="120" w:line="276" w:lineRule="auto"/>
        <w:contextualSpacing w:val="0"/>
        <w:rPr>
          <w:rFonts w:asciiTheme="minorHAnsi" w:eastAsiaTheme="minorHAnsi" w:hAnsiTheme="minorHAnsi"/>
          <w:sz w:val="22"/>
        </w:rPr>
      </w:pPr>
      <w:proofErr w:type="gramStart"/>
      <w:r w:rsidRPr="00666599">
        <w:rPr>
          <w:rFonts w:asciiTheme="minorHAnsi" w:eastAsiaTheme="minorHAnsi" w:hAnsiTheme="minorHAnsi"/>
          <w:sz w:val="22"/>
        </w:rPr>
        <w:t>the</w:t>
      </w:r>
      <w:proofErr w:type="gramEnd"/>
      <w:r w:rsidRPr="00666599">
        <w:rPr>
          <w:rFonts w:asciiTheme="minorHAnsi" w:eastAsiaTheme="minorHAnsi" w:hAnsiTheme="minorHAnsi"/>
          <w:sz w:val="22"/>
        </w:rPr>
        <w:t xml:space="preserve"> </w:t>
      </w:r>
      <w:r w:rsidR="005F0F60" w:rsidRPr="00666599">
        <w:rPr>
          <w:rFonts w:asciiTheme="minorHAnsi" w:eastAsiaTheme="minorHAnsi" w:hAnsiTheme="minorHAnsi"/>
          <w:sz w:val="22"/>
        </w:rPr>
        <w:t>questions that make up the current questionnaire</w:t>
      </w:r>
      <w:r w:rsidR="003C67F4" w:rsidRPr="00666599">
        <w:rPr>
          <w:rFonts w:asciiTheme="minorHAnsi" w:eastAsiaTheme="minorHAnsi" w:hAnsiTheme="minorHAnsi"/>
          <w:sz w:val="22"/>
        </w:rPr>
        <w:t xml:space="preserve"> (from Schedule 1)</w:t>
      </w:r>
      <w:r w:rsidRPr="00666599">
        <w:rPr>
          <w:rFonts w:asciiTheme="minorHAnsi" w:eastAsiaTheme="minorHAnsi" w:hAnsiTheme="minorHAnsi"/>
          <w:sz w:val="22"/>
        </w:rPr>
        <w:t xml:space="preserve">, and </w:t>
      </w:r>
      <w:r w:rsidRPr="00666599">
        <w:rPr>
          <w:rFonts w:asciiTheme="minorHAnsi" w:hAnsiTheme="minorHAnsi"/>
          <w:sz w:val="22"/>
        </w:rPr>
        <w:t xml:space="preserve">recruitment outcomes data and the number of employees returning from parental leave (from </w:t>
      </w:r>
      <w:r w:rsidR="003C67F4" w:rsidRPr="00666599">
        <w:rPr>
          <w:rFonts w:asciiTheme="minorHAnsi" w:hAnsiTheme="minorHAnsi"/>
          <w:sz w:val="22"/>
        </w:rPr>
        <w:t>S</w:t>
      </w:r>
      <w:r w:rsidRPr="00666599">
        <w:rPr>
          <w:rFonts w:asciiTheme="minorHAnsi" w:hAnsiTheme="minorHAnsi"/>
          <w:sz w:val="22"/>
        </w:rPr>
        <w:t>chedule 2)</w:t>
      </w:r>
      <w:r w:rsidR="00AB36E4" w:rsidRPr="00666599">
        <w:rPr>
          <w:rFonts w:asciiTheme="minorHAnsi" w:hAnsiTheme="minorHAnsi"/>
          <w:sz w:val="22"/>
        </w:rPr>
        <w:t>.</w:t>
      </w:r>
    </w:p>
    <w:p w:rsidR="00142030" w:rsidRDefault="00142030">
      <w:r>
        <w:br w:type="page"/>
      </w:r>
    </w:p>
    <w:p w:rsidR="00302446" w:rsidRPr="006D4988" w:rsidRDefault="0097087D" w:rsidP="00666599">
      <w:r w:rsidRPr="006D4988">
        <w:lastRenderedPageBreak/>
        <w:t>The requirement to collect r</w:t>
      </w:r>
      <w:r w:rsidR="006D3CCE" w:rsidRPr="006D4988">
        <w:t xml:space="preserve">emuneration data </w:t>
      </w:r>
      <w:r w:rsidRPr="006D4988">
        <w:t>for non-manager is removed</w:t>
      </w:r>
      <w:r w:rsidR="001957B2" w:rsidRPr="006D4988">
        <w:t xml:space="preserve"> and</w:t>
      </w:r>
      <w:r w:rsidR="003020E8">
        <w:t>:</w:t>
      </w:r>
    </w:p>
    <w:p w:rsidR="00302446" w:rsidRPr="00666599" w:rsidRDefault="0035447E" w:rsidP="003E6551">
      <w:pPr>
        <w:pStyle w:val="ListParagraph"/>
        <w:numPr>
          <w:ilvl w:val="0"/>
          <w:numId w:val="38"/>
        </w:numPr>
        <w:spacing w:before="120" w:after="120" w:line="276" w:lineRule="auto"/>
        <w:ind w:left="714" w:hanging="357"/>
        <w:contextualSpacing w:val="0"/>
        <w:rPr>
          <w:rFonts w:asciiTheme="minorHAnsi" w:hAnsiTheme="minorHAnsi"/>
          <w:sz w:val="22"/>
        </w:rPr>
      </w:pPr>
      <w:r w:rsidRPr="00666599">
        <w:rPr>
          <w:rFonts w:asciiTheme="minorHAnsi" w:hAnsiTheme="minorHAnsi"/>
          <w:sz w:val="22"/>
        </w:rPr>
        <w:t>r</w:t>
      </w:r>
      <w:r w:rsidR="001957B2" w:rsidRPr="00666599">
        <w:rPr>
          <w:rFonts w:asciiTheme="minorHAnsi" w:hAnsiTheme="minorHAnsi"/>
          <w:sz w:val="22"/>
        </w:rPr>
        <w:t xml:space="preserve">emuneration data for </w:t>
      </w:r>
      <w:proofErr w:type="spellStart"/>
      <w:r w:rsidR="00C8371E" w:rsidRPr="00666599">
        <w:rPr>
          <w:rFonts w:asciiTheme="minorHAnsi" w:hAnsiTheme="minorHAnsi"/>
          <w:sz w:val="22"/>
        </w:rPr>
        <w:t>CEOs</w:t>
      </w:r>
      <w:proofErr w:type="spellEnd"/>
      <w:r w:rsidR="001957B2" w:rsidRPr="00666599">
        <w:rPr>
          <w:rFonts w:asciiTheme="minorHAnsi" w:hAnsiTheme="minorHAnsi"/>
          <w:sz w:val="22"/>
        </w:rPr>
        <w:t xml:space="preserve"> </w:t>
      </w:r>
      <w:r w:rsidR="00905010">
        <w:rPr>
          <w:rFonts w:asciiTheme="minorHAnsi" w:hAnsiTheme="minorHAnsi"/>
          <w:sz w:val="22"/>
        </w:rPr>
        <w:t xml:space="preserve">and </w:t>
      </w:r>
      <w:r w:rsidR="006455F8" w:rsidRPr="00666599">
        <w:rPr>
          <w:rFonts w:asciiTheme="minorHAnsi" w:hAnsiTheme="minorHAnsi"/>
          <w:sz w:val="22"/>
        </w:rPr>
        <w:t xml:space="preserve">any managers employed on a casual basis </w:t>
      </w:r>
      <w:r w:rsidR="000B4D10" w:rsidRPr="00666599">
        <w:rPr>
          <w:rFonts w:asciiTheme="minorHAnsi" w:hAnsiTheme="minorHAnsi"/>
          <w:sz w:val="22"/>
        </w:rPr>
        <w:t>will be removed</w:t>
      </w:r>
    </w:p>
    <w:p w:rsidR="006D3CCE" w:rsidRPr="00666599" w:rsidRDefault="0035447E" w:rsidP="003E6551">
      <w:pPr>
        <w:pStyle w:val="ListParagraph"/>
        <w:numPr>
          <w:ilvl w:val="0"/>
          <w:numId w:val="38"/>
        </w:numPr>
        <w:spacing w:before="120" w:after="120" w:line="276" w:lineRule="auto"/>
        <w:ind w:left="714" w:hanging="357"/>
        <w:contextualSpacing w:val="0"/>
        <w:rPr>
          <w:rFonts w:asciiTheme="minorHAnsi" w:eastAsiaTheme="minorHAnsi" w:hAnsiTheme="minorHAnsi"/>
          <w:sz w:val="22"/>
        </w:rPr>
      </w:pPr>
      <w:bookmarkStart w:id="17" w:name="_Toc402873924"/>
      <w:proofErr w:type="gramStart"/>
      <w:r w:rsidRPr="00666599">
        <w:rPr>
          <w:rFonts w:asciiTheme="minorHAnsi" w:eastAsiaTheme="minorHAnsi" w:hAnsiTheme="minorHAnsi"/>
          <w:sz w:val="22"/>
        </w:rPr>
        <w:t>r</w:t>
      </w:r>
      <w:r w:rsidR="00302446" w:rsidRPr="00666599">
        <w:rPr>
          <w:rFonts w:asciiTheme="minorHAnsi" w:eastAsiaTheme="minorHAnsi" w:hAnsiTheme="minorHAnsi"/>
          <w:sz w:val="22"/>
        </w:rPr>
        <w:t>emuneration</w:t>
      </w:r>
      <w:proofErr w:type="gramEnd"/>
      <w:r w:rsidR="00302446" w:rsidRPr="00666599">
        <w:rPr>
          <w:rFonts w:asciiTheme="minorHAnsi" w:eastAsiaTheme="minorHAnsi" w:hAnsiTheme="minorHAnsi"/>
          <w:sz w:val="22"/>
        </w:rPr>
        <w:t xml:space="preserve"> </w:t>
      </w:r>
      <w:r w:rsidR="001957B2" w:rsidRPr="00666599">
        <w:rPr>
          <w:rFonts w:asciiTheme="minorHAnsi" w:eastAsiaTheme="minorHAnsi" w:hAnsiTheme="minorHAnsi"/>
          <w:sz w:val="22"/>
        </w:rPr>
        <w:t xml:space="preserve">data for all other managers </w:t>
      </w:r>
      <w:r w:rsidR="00302446" w:rsidRPr="00666599">
        <w:rPr>
          <w:rFonts w:asciiTheme="minorHAnsi" w:eastAsiaTheme="minorHAnsi" w:hAnsiTheme="minorHAnsi"/>
          <w:sz w:val="22"/>
        </w:rPr>
        <w:t>will still be required to be provided.</w:t>
      </w:r>
      <w:bookmarkEnd w:id="17"/>
      <w:r w:rsidR="006D3CCE" w:rsidRPr="00666599">
        <w:rPr>
          <w:rFonts w:asciiTheme="minorHAnsi" w:eastAsiaTheme="minorHAnsi" w:hAnsiTheme="minorHAnsi"/>
          <w:sz w:val="22"/>
        </w:rPr>
        <w:t xml:space="preserve"> </w:t>
      </w:r>
    </w:p>
    <w:p w:rsidR="00A85C2E" w:rsidRDefault="00A85C2E" w:rsidP="00100B0F">
      <w:pPr>
        <w:pStyle w:val="Style1"/>
        <w:numPr>
          <w:ilvl w:val="0"/>
          <w:numId w:val="0"/>
        </w:numPr>
        <w:ind w:left="720"/>
        <w:rPr>
          <w:rFonts w:eastAsiaTheme="minorHAnsi" w:cstheme="minorBidi"/>
        </w:rPr>
      </w:pPr>
    </w:p>
    <w:p w:rsidR="00A7247A" w:rsidRPr="006D4988" w:rsidRDefault="0097087D" w:rsidP="00666599">
      <w:bookmarkStart w:id="18" w:name="_Toc402873925"/>
      <w:r w:rsidRPr="006D4988">
        <w:t xml:space="preserve">Most of the </w:t>
      </w:r>
      <w:r w:rsidR="00EE005C">
        <w:t xml:space="preserve">additional </w:t>
      </w:r>
      <w:r w:rsidRPr="006D4988">
        <w:t xml:space="preserve">requirements </w:t>
      </w:r>
      <w:r w:rsidR="00EE005C">
        <w:t xml:space="preserve">contained </w:t>
      </w:r>
      <w:r w:rsidRPr="006D4988">
        <w:t xml:space="preserve">in </w:t>
      </w:r>
      <w:r w:rsidR="00A7247A" w:rsidRPr="006D4988">
        <w:t xml:space="preserve">Schedule 2 </w:t>
      </w:r>
      <w:r w:rsidR="000B4D10" w:rsidRPr="006D4988">
        <w:t>are</w:t>
      </w:r>
      <w:r w:rsidR="002376E3" w:rsidRPr="006D4988">
        <w:t xml:space="preserve"> removed, including</w:t>
      </w:r>
      <w:r w:rsidR="000B4D10" w:rsidRPr="006D4988">
        <w:t xml:space="preserve"> the requirement to report on</w:t>
      </w:r>
      <w:bookmarkEnd w:id="18"/>
      <w:r w:rsidR="00666599">
        <w:rPr>
          <w:rFonts w:cstheme="minorHAnsi"/>
        </w:rPr>
        <w:t>:</w:t>
      </w:r>
    </w:p>
    <w:p w:rsidR="00CF4FE8" w:rsidRPr="00666599" w:rsidRDefault="00CF4FE8" w:rsidP="003E6551">
      <w:pPr>
        <w:pStyle w:val="ListParagraph"/>
        <w:numPr>
          <w:ilvl w:val="0"/>
          <w:numId w:val="38"/>
        </w:numPr>
        <w:spacing w:before="120" w:after="120" w:line="276" w:lineRule="auto"/>
        <w:ind w:left="714" w:hanging="357"/>
        <w:contextualSpacing w:val="0"/>
        <w:rPr>
          <w:rFonts w:asciiTheme="minorHAnsi" w:eastAsiaTheme="minorHAnsi" w:hAnsiTheme="minorHAnsi"/>
          <w:sz w:val="22"/>
        </w:rPr>
      </w:pPr>
      <w:bookmarkStart w:id="19" w:name="_Toc402873926"/>
      <w:r w:rsidRPr="00666599">
        <w:rPr>
          <w:rFonts w:asciiTheme="minorHAnsi" w:eastAsiaTheme="minorHAnsi" w:hAnsiTheme="minorHAnsi"/>
          <w:sz w:val="22"/>
        </w:rPr>
        <w:t xml:space="preserve">annualised </w:t>
      </w:r>
      <w:r w:rsidR="006D68CB" w:rsidRPr="00666599">
        <w:rPr>
          <w:rFonts w:asciiTheme="minorHAnsi" w:eastAsiaTheme="minorHAnsi" w:hAnsiTheme="minorHAnsi"/>
          <w:sz w:val="22"/>
        </w:rPr>
        <w:t xml:space="preserve">average full-time equivalent </w:t>
      </w:r>
      <w:r w:rsidRPr="00666599">
        <w:rPr>
          <w:rFonts w:asciiTheme="minorHAnsi" w:eastAsiaTheme="minorHAnsi" w:hAnsiTheme="minorHAnsi"/>
          <w:sz w:val="22"/>
        </w:rPr>
        <w:t>components of total remuneration</w:t>
      </w:r>
      <w:bookmarkEnd w:id="19"/>
    </w:p>
    <w:p w:rsidR="000B4D10" w:rsidRPr="00666599" w:rsidRDefault="000B4D10" w:rsidP="003E6551">
      <w:pPr>
        <w:pStyle w:val="ListParagraph"/>
        <w:numPr>
          <w:ilvl w:val="0"/>
          <w:numId w:val="38"/>
        </w:numPr>
        <w:spacing w:before="120" w:after="120" w:line="276" w:lineRule="auto"/>
        <w:ind w:left="714" w:hanging="357"/>
        <w:contextualSpacing w:val="0"/>
        <w:rPr>
          <w:rFonts w:asciiTheme="minorHAnsi" w:eastAsiaTheme="minorHAnsi" w:hAnsiTheme="minorHAnsi"/>
          <w:sz w:val="22"/>
        </w:rPr>
      </w:pPr>
      <w:bookmarkStart w:id="20" w:name="_Toc402873927"/>
      <w:r w:rsidRPr="00666599">
        <w:rPr>
          <w:rFonts w:asciiTheme="minorHAnsi" w:eastAsiaTheme="minorHAnsi" w:hAnsiTheme="minorHAnsi"/>
          <w:sz w:val="22"/>
        </w:rPr>
        <w:t>the number of job applications received and job interviews conducted</w:t>
      </w:r>
      <w:bookmarkEnd w:id="20"/>
      <w:r w:rsidR="00CF4FE8" w:rsidRPr="00666599">
        <w:rPr>
          <w:rFonts w:asciiTheme="minorHAnsi" w:eastAsiaTheme="minorHAnsi" w:hAnsiTheme="minorHAnsi"/>
          <w:sz w:val="22"/>
        </w:rPr>
        <w:t xml:space="preserve"> </w:t>
      </w:r>
    </w:p>
    <w:p w:rsidR="000B4D10" w:rsidRPr="00666599" w:rsidRDefault="0035447E" w:rsidP="003E6551">
      <w:pPr>
        <w:pStyle w:val="ListParagraph"/>
        <w:numPr>
          <w:ilvl w:val="0"/>
          <w:numId w:val="38"/>
        </w:numPr>
        <w:spacing w:before="120" w:after="120" w:line="276" w:lineRule="auto"/>
        <w:ind w:left="714" w:hanging="357"/>
        <w:contextualSpacing w:val="0"/>
        <w:rPr>
          <w:rFonts w:asciiTheme="minorHAnsi" w:eastAsiaTheme="minorHAnsi" w:hAnsiTheme="minorHAnsi"/>
          <w:sz w:val="22"/>
        </w:rPr>
      </w:pPr>
      <w:proofErr w:type="gramStart"/>
      <w:r w:rsidRPr="00666599">
        <w:rPr>
          <w:rFonts w:asciiTheme="minorHAnsi" w:eastAsiaTheme="minorHAnsi" w:hAnsiTheme="minorHAnsi"/>
          <w:sz w:val="22"/>
        </w:rPr>
        <w:t>e</w:t>
      </w:r>
      <w:r w:rsidR="000B4D10" w:rsidRPr="00666599">
        <w:rPr>
          <w:rFonts w:asciiTheme="minorHAnsi" w:eastAsiaTheme="minorHAnsi" w:hAnsiTheme="minorHAnsi"/>
          <w:sz w:val="22"/>
        </w:rPr>
        <w:t>xtensions</w:t>
      </w:r>
      <w:proofErr w:type="gramEnd"/>
      <w:r w:rsidR="000B4D10" w:rsidRPr="00666599">
        <w:rPr>
          <w:rFonts w:asciiTheme="minorHAnsi" w:eastAsiaTheme="minorHAnsi" w:hAnsiTheme="minorHAnsi"/>
          <w:sz w:val="22"/>
        </w:rPr>
        <w:t xml:space="preserve"> to parental leave.</w:t>
      </w:r>
    </w:p>
    <w:p w:rsidR="000B4D10" w:rsidRPr="006D4988" w:rsidRDefault="000B4D10" w:rsidP="00100B0F">
      <w:bookmarkStart w:id="21" w:name="_Toc402873928"/>
      <w:r w:rsidRPr="006D4988">
        <w:t xml:space="preserve">The requirement to report on </w:t>
      </w:r>
      <w:r w:rsidR="006D68CB">
        <w:t>recruitment data that shows outcomes</w:t>
      </w:r>
      <w:r w:rsidR="003020E8">
        <w:t xml:space="preserve"> on</w:t>
      </w:r>
      <w:r w:rsidR="001F2572">
        <w:t>:</w:t>
      </w:r>
      <w:r w:rsidR="006D68CB">
        <w:t xml:space="preserve"> </w:t>
      </w:r>
      <w:r w:rsidRPr="006D4988">
        <w:t>appointments</w:t>
      </w:r>
      <w:r w:rsidR="003020E8">
        <w:t>,</w:t>
      </w:r>
      <w:r w:rsidRPr="006D4988">
        <w:t xml:space="preserve"> promotions and resignations and the </w:t>
      </w:r>
      <w:r w:rsidR="006D68CB">
        <w:t>proportion</w:t>
      </w:r>
      <w:r w:rsidR="006D68CB" w:rsidRPr="006D4988">
        <w:t xml:space="preserve"> </w:t>
      </w:r>
      <w:r w:rsidRPr="006D4988">
        <w:t xml:space="preserve">of employees who have returned from parental leave </w:t>
      </w:r>
      <w:proofErr w:type="gramStart"/>
      <w:r w:rsidRPr="006D4988">
        <w:t>is</w:t>
      </w:r>
      <w:proofErr w:type="gramEnd"/>
      <w:r w:rsidRPr="006D4988">
        <w:t xml:space="preserve"> retained.</w:t>
      </w:r>
      <w:bookmarkEnd w:id="21"/>
    </w:p>
    <w:p w:rsidR="0024329A" w:rsidRPr="006D4988" w:rsidRDefault="00BB578E" w:rsidP="000404B7">
      <w:pPr>
        <w:pStyle w:val="Heading2"/>
        <w:rPr>
          <w:rFonts w:asciiTheme="minorHAnsi" w:hAnsiTheme="minorHAnsi" w:cstheme="minorHAnsi"/>
        </w:rPr>
      </w:pPr>
      <w:bookmarkStart w:id="22" w:name="_Toc404158256"/>
      <w:bookmarkStart w:id="23" w:name="_Toc405895158"/>
      <w:r w:rsidRPr="006D4988">
        <w:rPr>
          <w:rFonts w:asciiTheme="minorHAnsi" w:hAnsiTheme="minorHAnsi" w:cstheme="minorHAnsi"/>
        </w:rPr>
        <w:t xml:space="preserve">Option 3: </w:t>
      </w:r>
      <w:r w:rsidR="0069239D" w:rsidRPr="006D4988">
        <w:rPr>
          <w:rFonts w:asciiTheme="minorHAnsi" w:hAnsiTheme="minorHAnsi" w:cstheme="minorHAnsi"/>
        </w:rPr>
        <w:t xml:space="preserve">Streamline reporting requirements </w:t>
      </w:r>
      <w:r w:rsidR="00290C34" w:rsidRPr="006D4988">
        <w:rPr>
          <w:rFonts w:asciiTheme="minorHAnsi" w:hAnsiTheme="minorHAnsi" w:cstheme="minorHAnsi"/>
        </w:rPr>
        <w:t>(</w:t>
      </w:r>
      <w:r w:rsidR="00E660A1" w:rsidRPr="006D4988">
        <w:rPr>
          <w:rFonts w:asciiTheme="minorHAnsi" w:hAnsiTheme="minorHAnsi" w:cstheme="minorHAnsi"/>
        </w:rPr>
        <w:t>minimal</w:t>
      </w:r>
      <w:r w:rsidR="0069239D" w:rsidRPr="006D4988">
        <w:rPr>
          <w:rFonts w:asciiTheme="minorHAnsi" w:hAnsiTheme="minorHAnsi" w:cstheme="minorHAnsi"/>
        </w:rPr>
        <w:t xml:space="preserve"> </w:t>
      </w:r>
      <w:r w:rsidR="00D41260" w:rsidRPr="006D4988">
        <w:rPr>
          <w:rFonts w:asciiTheme="minorHAnsi" w:hAnsiTheme="minorHAnsi" w:cstheme="minorHAnsi"/>
        </w:rPr>
        <w:t>s</w:t>
      </w:r>
      <w:r w:rsidR="00E660A1" w:rsidRPr="006D4988">
        <w:rPr>
          <w:rFonts w:asciiTheme="minorHAnsi" w:hAnsiTheme="minorHAnsi" w:cstheme="minorHAnsi"/>
        </w:rPr>
        <w:t xml:space="preserve">alary data </w:t>
      </w:r>
      <w:r w:rsidR="00306897">
        <w:rPr>
          <w:rFonts w:asciiTheme="minorHAnsi" w:hAnsiTheme="minorHAnsi" w:cstheme="minorHAnsi"/>
        </w:rPr>
        <w:t xml:space="preserve">and </w:t>
      </w:r>
      <w:r w:rsidR="00E660A1" w:rsidRPr="006D4988">
        <w:rPr>
          <w:rFonts w:asciiTheme="minorHAnsi" w:hAnsiTheme="minorHAnsi" w:cstheme="minorHAnsi"/>
        </w:rPr>
        <w:t xml:space="preserve">removal </w:t>
      </w:r>
      <w:r w:rsidR="00306897">
        <w:rPr>
          <w:rFonts w:asciiTheme="minorHAnsi" w:hAnsiTheme="minorHAnsi" w:cstheme="minorHAnsi"/>
        </w:rPr>
        <w:t xml:space="preserve">of </w:t>
      </w:r>
      <w:r w:rsidR="00E660A1" w:rsidRPr="006D4988">
        <w:rPr>
          <w:rFonts w:asciiTheme="minorHAnsi" w:hAnsiTheme="minorHAnsi" w:cstheme="minorHAnsi"/>
        </w:rPr>
        <w:t xml:space="preserve">significant </w:t>
      </w:r>
      <w:r w:rsidR="005E3E0C" w:rsidRPr="006D4988">
        <w:rPr>
          <w:rFonts w:asciiTheme="minorHAnsi" w:hAnsiTheme="minorHAnsi" w:cstheme="minorHAnsi"/>
        </w:rPr>
        <w:t>elements</w:t>
      </w:r>
      <w:r w:rsidR="00306897">
        <w:rPr>
          <w:rFonts w:asciiTheme="minorHAnsi" w:hAnsiTheme="minorHAnsi" w:cstheme="minorHAnsi"/>
        </w:rPr>
        <w:t xml:space="preserve"> of Schedule 2</w:t>
      </w:r>
      <w:r w:rsidR="00290C34" w:rsidRPr="006D4988">
        <w:rPr>
          <w:rFonts w:asciiTheme="minorHAnsi" w:hAnsiTheme="minorHAnsi" w:cstheme="minorHAnsi"/>
        </w:rPr>
        <w:t>)</w:t>
      </w:r>
      <w:bookmarkEnd w:id="22"/>
      <w:bookmarkEnd w:id="23"/>
    </w:p>
    <w:p w:rsidR="004A1755" w:rsidRPr="006D4988" w:rsidRDefault="002376E3" w:rsidP="00290C34">
      <w:pPr>
        <w:rPr>
          <w:rFonts w:cstheme="minorHAnsi"/>
          <w:b/>
        </w:rPr>
      </w:pPr>
      <w:r w:rsidRPr="006D4988">
        <w:rPr>
          <w:rFonts w:cstheme="minorHAnsi"/>
        </w:rPr>
        <w:t xml:space="preserve">As with </w:t>
      </w:r>
      <w:r w:rsidR="006E7AF6" w:rsidRPr="006D4988">
        <w:rPr>
          <w:rFonts w:cstheme="minorHAnsi"/>
        </w:rPr>
        <w:t>O</w:t>
      </w:r>
      <w:r w:rsidRPr="006D4988">
        <w:rPr>
          <w:rFonts w:cstheme="minorHAnsi"/>
        </w:rPr>
        <w:t xml:space="preserve">ption </w:t>
      </w:r>
      <w:r w:rsidR="006E7AF6" w:rsidRPr="006D4988">
        <w:rPr>
          <w:rFonts w:cstheme="minorHAnsi"/>
        </w:rPr>
        <w:t>2</w:t>
      </w:r>
      <w:r w:rsidRPr="006D4988">
        <w:rPr>
          <w:rFonts w:cstheme="minorHAnsi"/>
        </w:rPr>
        <w:t xml:space="preserve"> above, t</w:t>
      </w:r>
      <w:r w:rsidR="0024329A" w:rsidRPr="006D4988">
        <w:rPr>
          <w:rFonts w:cstheme="minorHAnsi"/>
        </w:rPr>
        <w:t>he overarching framework remains the same</w:t>
      </w:r>
      <w:r w:rsidRPr="006D4988">
        <w:rPr>
          <w:rFonts w:cstheme="minorHAnsi"/>
        </w:rPr>
        <w:t xml:space="preserve">. </w:t>
      </w:r>
      <w:r w:rsidR="004D29BA">
        <w:rPr>
          <w:rFonts w:cstheme="minorHAnsi"/>
        </w:rPr>
        <w:t>Private sector e</w:t>
      </w:r>
      <w:r w:rsidR="0024329A" w:rsidRPr="006D4988">
        <w:rPr>
          <w:rFonts w:cstheme="minorHAnsi"/>
        </w:rPr>
        <w:t>mployers with 100 or more employees will continue to be required to report every year on the gender equality indicators in their workplace.</w:t>
      </w:r>
      <w:r w:rsidRPr="006D4988">
        <w:rPr>
          <w:rFonts w:cstheme="minorHAnsi"/>
        </w:rPr>
        <w:t xml:space="preserve"> </w:t>
      </w:r>
      <w:r w:rsidR="0024329A" w:rsidRPr="006D4988">
        <w:rPr>
          <w:rFonts w:cstheme="minorHAnsi"/>
        </w:rPr>
        <w:t xml:space="preserve">The reporting continues to cover the six Indicators required by the </w:t>
      </w:r>
      <w:r w:rsidR="00CB5FAE">
        <w:rPr>
          <w:rFonts w:cstheme="minorHAnsi"/>
        </w:rPr>
        <w:t>Act</w:t>
      </w:r>
      <w:r w:rsidRPr="006D4988">
        <w:rPr>
          <w:rFonts w:cstheme="minorHAnsi"/>
        </w:rPr>
        <w:t>.</w:t>
      </w:r>
      <w:r w:rsidR="0024329A" w:rsidRPr="006D4988">
        <w:rPr>
          <w:rFonts w:cstheme="minorHAnsi"/>
        </w:rPr>
        <w:t xml:space="preserve"> </w:t>
      </w:r>
    </w:p>
    <w:p w:rsidR="0024329A" w:rsidRPr="006D4988" w:rsidRDefault="0024329A" w:rsidP="00590C54">
      <w:r w:rsidRPr="006D4988">
        <w:t xml:space="preserve">This option </w:t>
      </w:r>
      <w:r w:rsidR="002376E3" w:rsidRPr="006D4988">
        <w:t>removes the requirement to report on</w:t>
      </w:r>
      <w:r w:rsidRPr="006D4988">
        <w:t xml:space="preserve"> salary data for the </w:t>
      </w:r>
      <w:proofErr w:type="spellStart"/>
      <w:r w:rsidRPr="006D4988">
        <w:t>CEO</w:t>
      </w:r>
      <w:proofErr w:type="spellEnd"/>
      <w:r w:rsidRPr="006D4988">
        <w:t xml:space="preserve"> or any </w:t>
      </w:r>
      <w:proofErr w:type="gramStart"/>
      <w:r w:rsidRPr="006D4988">
        <w:t>managers employed on a casual basis</w:t>
      </w:r>
      <w:r w:rsidR="003020E8">
        <w:t>,</w:t>
      </w:r>
      <w:r w:rsidRPr="006D4988">
        <w:t xml:space="preserve"> </w:t>
      </w:r>
      <w:r w:rsidR="002376E3" w:rsidRPr="006D4988">
        <w:t>but</w:t>
      </w:r>
      <w:r w:rsidRPr="006D4988">
        <w:t xml:space="preserve"> retains</w:t>
      </w:r>
      <w:proofErr w:type="gramEnd"/>
      <w:r w:rsidRPr="006D4988">
        <w:t xml:space="preserve"> </w:t>
      </w:r>
      <w:r w:rsidR="002376E3" w:rsidRPr="006D4988">
        <w:t xml:space="preserve">the requirement to report </w:t>
      </w:r>
      <w:r w:rsidRPr="006D4988">
        <w:t>salary data for all other managers and non-managers</w:t>
      </w:r>
      <w:r w:rsidR="001F2572">
        <w:t>.</w:t>
      </w:r>
    </w:p>
    <w:p w:rsidR="00CF4FE8" w:rsidRPr="006D4988" w:rsidRDefault="00CF4FE8" w:rsidP="00666599">
      <w:r w:rsidRPr="006D4988">
        <w:t xml:space="preserve">Most of the </w:t>
      </w:r>
      <w:r w:rsidR="00CB5FAE">
        <w:t xml:space="preserve">additional </w:t>
      </w:r>
      <w:r w:rsidRPr="006D4988">
        <w:t xml:space="preserve">requirements </w:t>
      </w:r>
      <w:r w:rsidR="00CB5FAE">
        <w:t xml:space="preserve">contained </w:t>
      </w:r>
      <w:r w:rsidRPr="006D4988">
        <w:t>in Schedule 2 are removed, including reporting on</w:t>
      </w:r>
      <w:r w:rsidR="003020E8">
        <w:t>:</w:t>
      </w:r>
    </w:p>
    <w:p w:rsidR="00CF4FE8" w:rsidRPr="00666599" w:rsidRDefault="00CF4FE8" w:rsidP="003E6551">
      <w:pPr>
        <w:pStyle w:val="ListParagraph"/>
        <w:numPr>
          <w:ilvl w:val="0"/>
          <w:numId w:val="38"/>
        </w:numPr>
        <w:spacing w:before="120" w:after="120" w:line="276" w:lineRule="auto"/>
        <w:ind w:left="714" w:hanging="357"/>
        <w:contextualSpacing w:val="0"/>
        <w:rPr>
          <w:rFonts w:asciiTheme="minorHAnsi" w:eastAsiaTheme="minorHAnsi" w:hAnsiTheme="minorHAnsi"/>
          <w:sz w:val="22"/>
        </w:rPr>
      </w:pPr>
      <w:r w:rsidRPr="00666599">
        <w:rPr>
          <w:rFonts w:asciiTheme="minorHAnsi" w:eastAsiaTheme="minorHAnsi" w:hAnsiTheme="minorHAnsi"/>
          <w:sz w:val="22"/>
        </w:rPr>
        <w:t xml:space="preserve">annualised </w:t>
      </w:r>
      <w:r w:rsidR="004D29BA" w:rsidRPr="00666599">
        <w:rPr>
          <w:rFonts w:asciiTheme="minorHAnsi" w:eastAsiaTheme="minorHAnsi" w:hAnsiTheme="minorHAnsi"/>
          <w:sz w:val="22"/>
        </w:rPr>
        <w:t xml:space="preserve">average full-time equivalent </w:t>
      </w:r>
      <w:r w:rsidRPr="00666599">
        <w:rPr>
          <w:rFonts w:asciiTheme="minorHAnsi" w:eastAsiaTheme="minorHAnsi" w:hAnsiTheme="minorHAnsi"/>
          <w:sz w:val="22"/>
        </w:rPr>
        <w:t>components of total remuneration</w:t>
      </w:r>
    </w:p>
    <w:p w:rsidR="00CF4FE8" w:rsidRPr="006D4988" w:rsidRDefault="00CF4FE8" w:rsidP="003E6551">
      <w:pPr>
        <w:pStyle w:val="ListParagraph"/>
        <w:numPr>
          <w:ilvl w:val="0"/>
          <w:numId w:val="38"/>
        </w:numPr>
        <w:spacing w:before="120" w:after="120" w:line="276" w:lineRule="auto"/>
        <w:ind w:left="714" w:hanging="357"/>
        <w:contextualSpacing w:val="0"/>
      </w:pPr>
      <w:r w:rsidRPr="00666599">
        <w:rPr>
          <w:rFonts w:asciiTheme="minorHAnsi" w:eastAsiaTheme="minorHAnsi" w:hAnsiTheme="minorHAnsi"/>
          <w:sz w:val="22"/>
        </w:rPr>
        <w:t xml:space="preserve">the number of job applications received and job interviews </w:t>
      </w:r>
    </w:p>
    <w:p w:rsidR="00590C54" w:rsidRPr="00590C54" w:rsidRDefault="00CF4FE8" w:rsidP="003E6551">
      <w:pPr>
        <w:pStyle w:val="ListParagraph"/>
        <w:numPr>
          <w:ilvl w:val="0"/>
          <w:numId w:val="38"/>
        </w:numPr>
        <w:spacing w:before="120" w:after="120" w:line="276" w:lineRule="auto"/>
        <w:ind w:left="714" w:hanging="357"/>
        <w:contextualSpacing w:val="0"/>
      </w:pPr>
      <w:proofErr w:type="gramStart"/>
      <w:r w:rsidRPr="00666599">
        <w:rPr>
          <w:rFonts w:asciiTheme="minorHAnsi" w:eastAsiaTheme="minorHAnsi" w:hAnsiTheme="minorHAnsi"/>
          <w:sz w:val="22"/>
        </w:rPr>
        <w:t>extensions</w:t>
      </w:r>
      <w:proofErr w:type="gramEnd"/>
      <w:r w:rsidRPr="00666599">
        <w:rPr>
          <w:rFonts w:asciiTheme="minorHAnsi" w:eastAsiaTheme="minorHAnsi" w:hAnsiTheme="minorHAnsi"/>
          <w:sz w:val="22"/>
        </w:rPr>
        <w:t xml:space="preserve"> to parental leave</w:t>
      </w:r>
      <w:r w:rsidR="003020E8">
        <w:rPr>
          <w:rFonts w:asciiTheme="minorHAnsi" w:eastAsiaTheme="minorHAnsi" w:hAnsiTheme="minorHAnsi"/>
          <w:sz w:val="22"/>
        </w:rPr>
        <w:t>.</w:t>
      </w:r>
    </w:p>
    <w:p w:rsidR="0024329A" w:rsidRPr="00590C54" w:rsidRDefault="00CF4FE8" w:rsidP="00590C54">
      <w:pPr>
        <w:rPr>
          <w:bCs/>
        </w:rPr>
      </w:pPr>
      <w:r w:rsidRPr="00590C54">
        <w:t>The requirement to report on recruitment data that shows outcomes</w:t>
      </w:r>
      <w:r w:rsidR="003020E8">
        <w:t xml:space="preserve"> on</w:t>
      </w:r>
      <w:r w:rsidR="001F2572">
        <w:t>:</w:t>
      </w:r>
      <w:r w:rsidRPr="00590C54">
        <w:t xml:space="preserve"> appointments</w:t>
      </w:r>
      <w:r w:rsidR="003020E8">
        <w:t>,</w:t>
      </w:r>
      <w:r w:rsidRPr="00590C54">
        <w:t xml:space="preserve"> promotions</w:t>
      </w:r>
      <w:r w:rsidR="003020E8">
        <w:t>,</w:t>
      </w:r>
      <w:r w:rsidRPr="00590C54">
        <w:t xml:space="preserve"> and resignations</w:t>
      </w:r>
      <w:r w:rsidR="001F2572">
        <w:t xml:space="preserve"> and the proportion of employees who have returned from parental leave</w:t>
      </w:r>
      <w:r w:rsidRPr="00590C54">
        <w:t xml:space="preserve"> </w:t>
      </w:r>
      <w:proofErr w:type="gramStart"/>
      <w:r w:rsidRPr="00590C54">
        <w:t>is</w:t>
      </w:r>
      <w:proofErr w:type="gramEnd"/>
      <w:r w:rsidRPr="00590C54">
        <w:t xml:space="preserve"> </w:t>
      </w:r>
      <w:r w:rsidRPr="006D4988">
        <w:t>retained.</w:t>
      </w:r>
    </w:p>
    <w:p w:rsidR="0069239D" w:rsidRPr="006D4988" w:rsidRDefault="00BB578E" w:rsidP="0069298D">
      <w:pPr>
        <w:pStyle w:val="Heading2"/>
        <w:rPr>
          <w:rFonts w:asciiTheme="minorHAnsi" w:hAnsiTheme="minorHAnsi" w:cstheme="minorHAnsi"/>
        </w:rPr>
      </w:pPr>
      <w:bookmarkStart w:id="24" w:name="_Toc404158257"/>
      <w:bookmarkStart w:id="25" w:name="_Toc405895159"/>
      <w:r w:rsidRPr="006D4988">
        <w:rPr>
          <w:rFonts w:asciiTheme="minorHAnsi" w:hAnsiTheme="minorHAnsi" w:cstheme="minorHAnsi"/>
        </w:rPr>
        <w:t xml:space="preserve">Option 4: </w:t>
      </w:r>
      <w:r w:rsidR="00DD4EBD" w:rsidRPr="006D4988">
        <w:rPr>
          <w:rFonts w:asciiTheme="minorHAnsi" w:hAnsiTheme="minorHAnsi" w:cstheme="minorHAnsi"/>
        </w:rPr>
        <w:t>Streamline reporting requirements</w:t>
      </w:r>
      <w:r w:rsidR="00283637" w:rsidRPr="006D4988">
        <w:rPr>
          <w:rFonts w:asciiTheme="minorHAnsi" w:hAnsiTheme="minorHAnsi" w:cstheme="minorHAnsi"/>
        </w:rPr>
        <w:t xml:space="preserve"> </w:t>
      </w:r>
      <w:r w:rsidR="002E1337" w:rsidRPr="006D4988">
        <w:rPr>
          <w:rFonts w:asciiTheme="minorHAnsi" w:hAnsiTheme="minorHAnsi" w:cstheme="minorHAnsi"/>
        </w:rPr>
        <w:t>(</w:t>
      </w:r>
      <w:r w:rsidR="00DD4EBD" w:rsidRPr="006D4988">
        <w:rPr>
          <w:rFonts w:asciiTheme="minorHAnsi" w:hAnsiTheme="minorHAnsi" w:cstheme="minorHAnsi"/>
        </w:rPr>
        <w:t xml:space="preserve">remove </w:t>
      </w:r>
      <w:r w:rsidR="00EE2A8F" w:rsidRPr="006D4988">
        <w:rPr>
          <w:rFonts w:asciiTheme="minorHAnsi" w:hAnsiTheme="minorHAnsi" w:cstheme="minorHAnsi"/>
        </w:rPr>
        <w:t xml:space="preserve">all </w:t>
      </w:r>
      <w:r w:rsidR="00DD4EBD" w:rsidRPr="006D4988">
        <w:rPr>
          <w:rFonts w:asciiTheme="minorHAnsi" w:hAnsiTheme="minorHAnsi" w:cstheme="minorHAnsi"/>
        </w:rPr>
        <w:t>Schedule 2 requirements</w:t>
      </w:r>
      <w:r w:rsidR="00EE2A8F" w:rsidRPr="006D4988">
        <w:rPr>
          <w:rFonts w:asciiTheme="minorHAnsi" w:hAnsiTheme="minorHAnsi" w:cstheme="minorHAnsi"/>
        </w:rPr>
        <w:t>)</w:t>
      </w:r>
      <w:bookmarkEnd w:id="24"/>
      <w:bookmarkEnd w:id="25"/>
    </w:p>
    <w:p w:rsidR="00C2406B" w:rsidRPr="006D4988" w:rsidRDefault="00C2406B" w:rsidP="00EB445D">
      <w:pPr>
        <w:rPr>
          <w:rFonts w:cstheme="minorHAnsi"/>
          <w:bCs/>
        </w:rPr>
      </w:pPr>
      <w:r w:rsidRPr="006D4988">
        <w:rPr>
          <w:rFonts w:cstheme="minorHAnsi"/>
          <w:bCs/>
        </w:rPr>
        <w:t>All the</w:t>
      </w:r>
      <w:r w:rsidR="00C26AEE" w:rsidRPr="006D4988">
        <w:rPr>
          <w:rFonts w:cstheme="minorHAnsi"/>
          <w:bCs/>
        </w:rPr>
        <w:t xml:space="preserve"> reporting requirements outlined in Schedule 2 of the Instrument, due to be introduced in the 2015</w:t>
      </w:r>
      <w:r w:rsidR="003020E8">
        <w:rPr>
          <w:rFonts w:cstheme="minorHAnsi"/>
        </w:rPr>
        <w:t>–</w:t>
      </w:r>
      <w:r w:rsidR="00C26AEE" w:rsidRPr="006D4988">
        <w:rPr>
          <w:rFonts w:cstheme="minorHAnsi"/>
          <w:bCs/>
        </w:rPr>
        <w:t>16 reporting period, will be removed.</w:t>
      </w:r>
      <w:r w:rsidR="0024329A" w:rsidRPr="006D4988">
        <w:rPr>
          <w:rFonts w:cstheme="minorHAnsi"/>
          <w:bCs/>
        </w:rPr>
        <w:t xml:space="preserve"> </w:t>
      </w:r>
      <w:r w:rsidR="002E1337" w:rsidRPr="006D4988">
        <w:rPr>
          <w:rFonts w:cstheme="minorHAnsi"/>
          <w:bCs/>
        </w:rPr>
        <w:t>No c</w:t>
      </w:r>
      <w:r w:rsidR="00044974" w:rsidRPr="006D4988">
        <w:rPr>
          <w:rFonts w:cstheme="minorHAnsi"/>
          <w:bCs/>
        </w:rPr>
        <w:t xml:space="preserve">hanges will be applied to Schedule 1. </w:t>
      </w:r>
      <w:r w:rsidR="0028325A" w:rsidRPr="006D4988">
        <w:rPr>
          <w:rFonts w:cstheme="minorHAnsi"/>
          <w:bCs/>
        </w:rPr>
        <w:t xml:space="preserve">This </w:t>
      </w:r>
      <w:r w:rsidRPr="006D4988">
        <w:rPr>
          <w:rFonts w:cstheme="minorHAnsi"/>
          <w:bCs/>
        </w:rPr>
        <w:t xml:space="preserve">includes </w:t>
      </w:r>
      <w:r w:rsidR="0028325A" w:rsidRPr="006D4988">
        <w:rPr>
          <w:rFonts w:cstheme="minorHAnsi"/>
          <w:bCs/>
        </w:rPr>
        <w:t>removing</w:t>
      </w:r>
      <w:r w:rsidR="00EE2A8F" w:rsidRPr="006D4988">
        <w:rPr>
          <w:rFonts w:cstheme="minorHAnsi"/>
          <w:bCs/>
        </w:rPr>
        <w:t xml:space="preserve"> reporting on</w:t>
      </w:r>
      <w:r w:rsidR="0028325A" w:rsidRPr="006D4988">
        <w:rPr>
          <w:rFonts w:cstheme="minorHAnsi"/>
          <w:bCs/>
        </w:rPr>
        <w:t>:</w:t>
      </w:r>
    </w:p>
    <w:p w:rsidR="00C2406B" w:rsidRPr="009B51DF" w:rsidRDefault="00C26AEE" w:rsidP="003E6551">
      <w:pPr>
        <w:pStyle w:val="ListParagraph"/>
        <w:numPr>
          <w:ilvl w:val="0"/>
          <w:numId w:val="38"/>
        </w:numPr>
        <w:spacing w:before="120" w:after="120" w:line="276" w:lineRule="auto"/>
        <w:ind w:left="714" w:hanging="357"/>
        <w:contextualSpacing w:val="0"/>
        <w:rPr>
          <w:rFonts w:asciiTheme="minorHAnsi" w:eastAsiaTheme="minorHAnsi" w:hAnsiTheme="minorHAnsi"/>
          <w:sz w:val="22"/>
        </w:rPr>
      </w:pPr>
      <w:r w:rsidRPr="009B51DF">
        <w:rPr>
          <w:rFonts w:asciiTheme="minorHAnsi" w:eastAsiaTheme="minorHAnsi" w:hAnsiTheme="minorHAnsi"/>
          <w:sz w:val="22"/>
        </w:rPr>
        <w:t xml:space="preserve">annualised </w:t>
      </w:r>
      <w:r w:rsidR="004D29BA" w:rsidRPr="009B51DF">
        <w:rPr>
          <w:rFonts w:asciiTheme="minorHAnsi" w:eastAsiaTheme="minorHAnsi" w:hAnsiTheme="minorHAnsi"/>
          <w:sz w:val="22"/>
        </w:rPr>
        <w:t xml:space="preserve">average full-time equivalent </w:t>
      </w:r>
      <w:r w:rsidRPr="009B51DF">
        <w:rPr>
          <w:rFonts w:asciiTheme="minorHAnsi" w:eastAsiaTheme="minorHAnsi" w:hAnsiTheme="minorHAnsi"/>
          <w:sz w:val="22"/>
        </w:rPr>
        <w:t>c</w:t>
      </w:r>
      <w:r w:rsidR="0028325A" w:rsidRPr="009B51DF">
        <w:rPr>
          <w:rFonts w:asciiTheme="minorHAnsi" w:eastAsiaTheme="minorHAnsi" w:hAnsiTheme="minorHAnsi"/>
          <w:sz w:val="22"/>
        </w:rPr>
        <w:t>omponents of total remuneration</w:t>
      </w:r>
      <w:r w:rsidRPr="009B51DF">
        <w:rPr>
          <w:rFonts w:asciiTheme="minorHAnsi" w:eastAsiaTheme="minorHAnsi" w:hAnsiTheme="minorHAnsi"/>
          <w:sz w:val="22"/>
        </w:rPr>
        <w:t xml:space="preserve"> </w:t>
      </w:r>
    </w:p>
    <w:p w:rsidR="00C2406B" w:rsidRPr="009B51DF" w:rsidRDefault="002E1337" w:rsidP="003E6551">
      <w:pPr>
        <w:pStyle w:val="ListParagraph"/>
        <w:numPr>
          <w:ilvl w:val="0"/>
          <w:numId w:val="38"/>
        </w:numPr>
        <w:spacing w:before="120" w:after="120" w:line="276" w:lineRule="auto"/>
        <w:ind w:left="714" w:hanging="357"/>
        <w:contextualSpacing w:val="0"/>
        <w:rPr>
          <w:rFonts w:asciiTheme="minorHAnsi" w:eastAsiaTheme="minorHAnsi" w:hAnsiTheme="minorHAnsi"/>
          <w:sz w:val="22"/>
        </w:rPr>
      </w:pPr>
      <w:r w:rsidRPr="009B51DF">
        <w:rPr>
          <w:rFonts w:asciiTheme="minorHAnsi" w:eastAsiaTheme="minorHAnsi" w:hAnsiTheme="minorHAnsi"/>
          <w:sz w:val="22"/>
        </w:rPr>
        <w:t>a</w:t>
      </w:r>
      <w:r w:rsidR="00976A30" w:rsidRPr="009B51DF">
        <w:rPr>
          <w:rFonts w:asciiTheme="minorHAnsi" w:eastAsiaTheme="minorHAnsi" w:hAnsiTheme="minorHAnsi"/>
          <w:sz w:val="22"/>
        </w:rPr>
        <w:t>ll</w:t>
      </w:r>
      <w:r w:rsidR="00C26AEE" w:rsidRPr="009B51DF">
        <w:rPr>
          <w:rFonts w:asciiTheme="minorHAnsi" w:eastAsiaTheme="minorHAnsi" w:hAnsiTheme="minorHAnsi"/>
          <w:sz w:val="22"/>
        </w:rPr>
        <w:t xml:space="preserve"> recruitment processes</w:t>
      </w:r>
      <w:r w:rsidR="00976A30" w:rsidRPr="009B51DF">
        <w:rPr>
          <w:rFonts w:asciiTheme="minorHAnsi" w:eastAsiaTheme="minorHAnsi" w:hAnsiTheme="minorHAnsi"/>
          <w:sz w:val="22"/>
        </w:rPr>
        <w:t>, appointments and resignations</w:t>
      </w:r>
      <w:r w:rsidR="00C26AEE" w:rsidRPr="009B51DF">
        <w:rPr>
          <w:rFonts w:asciiTheme="minorHAnsi" w:eastAsiaTheme="minorHAnsi" w:hAnsiTheme="minorHAnsi"/>
          <w:sz w:val="22"/>
        </w:rPr>
        <w:t xml:space="preserve"> </w:t>
      </w:r>
      <w:r w:rsidR="001D6279" w:rsidRPr="009B51DF">
        <w:rPr>
          <w:rFonts w:asciiTheme="minorHAnsi" w:eastAsiaTheme="minorHAnsi" w:hAnsiTheme="minorHAnsi"/>
          <w:sz w:val="22"/>
        </w:rPr>
        <w:t>(</w:t>
      </w:r>
      <w:r w:rsidR="00976A30" w:rsidRPr="009B51DF">
        <w:rPr>
          <w:rFonts w:asciiTheme="minorHAnsi" w:eastAsiaTheme="minorHAnsi" w:hAnsiTheme="minorHAnsi"/>
          <w:sz w:val="22"/>
        </w:rPr>
        <w:t>this includes data on the number of applications received, interviews conducted, promotions awarded and resignations)</w:t>
      </w:r>
    </w:p>
    <w:p w:rsidR="00C26AEE" w:rsidRPr="009B51DF" w:rsidRDefault="001D6279" w:rsidP="003E6551">
      <w:pPr>
        <w:pStyle w:val="ListParagraph"/>
        <w:numPr>
          <w:ilvl w:val="0"/>
          <w:numId w:val="38"/>
        </w:numPr>
        <w:spacing w:before="120" w:after="120" w:line="276" w:lineRule="auto"/>
        <w:ind w:left="714" w:hanging="357"/>
        <w:contextualSpacing w:val="0"/>
        <w:rPr>
          <w:rFonts w:asciiTheme="minorHAnsi" w:eastAsiaTheme="minorHAnsi" w:hAnsiTheme="minorHAnsi"/>
          <w:sz w:val="22"/>
        </w:rPr>
      </w:pPr>
      <w:proofErr w:type="gramStart"/>
      <w:r w:rsidRPr="009B51DF">
        <w:rPr>
          <w:rFonts w:asciiTheme="minorHAnsi" w:eastAsiaTheme="minorHAnsi" w:hAnsiTheme="minorHAnsi"/>
          <w:sz w:val="22"/>
        </w:rPr>
        <w:lastRenderedPageBreak/>
        <w:t>the</w:t>
      </w:r>
      <w:proofErr w:type="gramEnd"/>
      <w:r w:rsidRPr="009B51DF">
        <w:rPr>
          <w:rFonts w:asciiTheme="minorHAnsi" w:eastAsiaTheme="minorHAnsi" w:hAnsiTheme="minorHAnsi"/>
          <w:sz w:val="22"/>
        </w:rPr>
        <w:t xml:space="preserve"> number of employees that have returned from parental leave as well as the number of requests received</w:t>
      </w:r>
      <w:r w:rsidR="006455F8" w:rsidRPr="009B51DF">
        <w:rPr>
          <w:rFonts w:asciiTheme="minorHAnsi" w:eastAsiaTheme="minorHAnsi" w:hAnsiTheme="minorHAnsi"/>
          <w:sz w:val="22"/>
        </w:rPr>
        <w:t>,</w:t>
      </w:r>
      <w:r w:rsidRPr="009B51DF">
        <w:rPr>
          <w:rFonts w:asciiTheme="minorHAnsi" w:eastAsiaTheme="minorHAnsi" w:hAnsiTheme="minorHAnsi"/>
          <w:sz w:val="22"/>
        </w:rPr>
        <w:t xml:space="preserve"> and approvals granted by the employer</w:t>
      </w:r>
      <w:r w:rsidR="006455F8" w:rsidRPr="009B51DF">
        <w:rPr>
          <w:rFonts w:asciiTheme="minorHAnsi" w:eastAsiaTheme="minorHAnsi" w:hAnsiTheme="minorHAnsi"/>
          <w:sz w:val="22"/>
        </w:rPr>
        <w:t>,</w:t>
      </w:r>
      <w:r w:rsidRPr="009B51DF">
        <w:rPr>
          <w:rFonts w:asciiTheme="minorHAnsi" w:eastAsiaTheme="minorHAnsi" w:hAnsiTheme="minorHAnsi"/>
          <w:sz w:val="22"/>
        </w:rPr>
        <w:t xml:space="preserve"> to extend parental leave.</w:t>
      </w:r>
    </w:p>
    <w:p w:rsidR="00682122" w:rsidRPr="006D4988" w:rsidRDefault="00CB5FAE" w:rsidP="002E1337">
      <w:pPr>
        <w:pStyle w:val="Style1"/>
        <w:numPr>
          <w:ilvl w:val="0"/>
          <w:numId w:val="0"/>
        </w:numPr>
        <w:spacing w:line="276" w:lineRule="auto"/>
        <w:rPr>
          <w:rFonts w:eastAsiaTheme="minorHAnsi"/>
          <w:b/>
        </w:rPr>
      </w:pPr>
      <w:r>
        <w:t>Relevant employers</w:t>
      </w:r>
      <w:r w:rsidR="00682122" w:rsidRPr="006D4988">
        <w:t xml:space="preserve"> will continue to be required to report every year on the </w:t>
      </w:r>
      <w:r>
        <w:t>I</w:t>
      </w:r>
      <w:r w:rsidR="00682122" w:rsidRPr="006D4988">
        <w:t xml:space="preserve">ndicators in their workplace. The reporting continues to cover the six Indicators required by the </w:t>
      </w:r>
      <w:r>
        <w:t>Act</w:t>
      </w:r>
      <w:r w:rsidR="00682122" w:rsidRPr="006D4988">
        <w:t xml:space="preserve">. </w:t>
      </w:r>
      <w:r w:rsidR="00044974" w:rsidRPr="006D4988">
        <w:t>Reporting will continue as per the 2013</w:t>
      </w:r>
      <w:r w:rsidR="003020E8">
        <w:t>–</w:t>
      </w:r>
      <w:r w:rsidR="00044974" w:rsidRPr="006D4988">
        <w:t>14 reports</w:t>
      </w:r>
      <w:r w:rsidR="003020E8">
        <w:t>,</w:t>
      </w:r>
      <w:r w:rsidR="00044974" w:rsidRPr="006D4988">
        <w:t xml:space="preserve"> with no new requirements being introduced.</w:t>
      </w:r>
    </w:p>
    <w:p w:rsidR="001D3A22" w:rsidRPr="006D4988" w:rsidRDefault="00BB578E" w:rsidP="0069298D">
      <w:pPr>
        <w:pStyle w:val="Heading2"/>
        <w:rPr>
          <w:rFonts w:asciiTheme="minorHAnsi" w:hAnsiTheme="minorHAnsi" w:cstheme="minorHAnsi"/>
        </w:rPr>
      </w:pPr>
      <w:bookmarkStart w:id="26" w:name="_Toc404158258"/>
      <w:bookmarkStart w:id="27" w:name="_Toc405895160"/>
      <w:r w:rsidRPr="006D4988">
        <w:rPr>
          <w:rFonts w:asciiTheme="minorHAnsi" w:hAnsiTheme="minorHAnsi" w:cstheme="minorHAnsi"/>
        </w:rPr>
        <w:t>Option 5:</w:t>
      </w:r>
      <w:r w:rsidRPr="006D4988">
        <w:rPr>
          <w:rFonts w:asciiTheme="minorHAnsi" w:hAnsiTheme="minorHAnsi" w:cstheme="minorHAnsi"/>
          <w:b w:val="0"/>
          <w:bCs w:val="0"/>
        </w:rPr>
        <w:t xml:space="preserve"> </w:t>
      </w:r>
      <w:r w:rsidR="001D3A22" w:rsidRPr="006D4988">
        <w:rPr>
          <w:rFonts w:asciiTheme="minorHAnsi" w:hAnsiTheme="minorHAnsi" w:cstheme="minorHAnsi"/>
        </w:rPr>
        <w:t xml:space="preserve">Remove </w:t>
      </w:r>
      <w:r w:rsidR="00BB2200" w:rsidRPr="006D4988">
        <w:rPr>
          <w:rFonts w:asciiTheme="minorHAnsi" w:hAnsiTheme="minorHAnsi" w:cstheme="minorHAnsi"/>
        </w:rPr>
        <w:t>all reporting r</w:t>
      </w:r>
      <w:r w:rsidR="001D3A22" w:rsidRPr="006D4988">
        <w:rPr>
          <w:rFonts w:asciiTheme="minorHAnsi" w:hAnsiTheme="minorHAnsi" w:cstheme="minorHAnsi"/>
        </w:rPr>
        <w:t>equirements</w:t>
      </w:r>
      <w:bookmarkEnd w:id="26"/>
      <w:bookmarkEnd w:id="27"/>
      <w:r w:rsidR="001D3A22" w:rsidRPr="006D4988">
        <w:rPr>
          <w:rFonts w:asciiTheme="minorHAnsi" w:hAnsiTheme="minorHAnsi" w:cstheme="minorHAnsi"/>
        </w:rPr>
        <w:t xml:space="preserve"> </w:t>
      </w:r>
    </w:p>
    <w:p w:rsidR="001E68C0" w:rsidRPr="006D4988" w:rsidRDefault="001D3A22" w:rsidP="001E68C0">
      <w:pPr>
        <w:rPr>
          <w:rFonts w:cstheme="minorHAnsi"/>
        </w:rPr>
      </w:pPr>
      <w:r w:rsidRPr="006D4988">
        <w:rPr>
          <w:rFonts w:cstheme="minorHAnsi"/>
        </w:rPr>
        <w:t xml:space="preserve">This option </w:t>
      </w:r>
      <w:r w:rsidR="001E68C0" w:rsidRPr="006D4988">
        <w:rPr>
          <w:rFonts w:cstheme="minorHAnsi"/>
        </w:rPr>
        <w:t>proposes</w:t>
      </w:r>
      <w:r w:rsidRPr="006D4988">
        <w:rPr>
          <w:rFonts w:cstheme="minorHAnsi"/>
        </w:rPr>
        <w:t xml:space="preserve"> remov</w:t>
      </w:r>
      <w:r w:rsidR="001E68C0" w:rsidRPr="006D4988">
        <w:rPr>
          <w:rFonts w:cstheme="minorHAnsi"/>
        </w:rPr>
        <w:t>ing</w:t>
      </w:r>
      <w:r w:rsidRPr="006D4988">
        <w:rPr>
          <w:rFonts w:cstheme="minorHAnsi"/>
        </w:rPr>
        <w:t xml:space="preserve"> </w:t>
      </w:r>
      <w:r w:rsidR="001E68C0" w:rsidRPr="006D4988">
        <w:rPr>
          <w:rFonts w:cstheme="minorHAnsi"/>
        </w:rPr>
        <w:t xml:space="preserve">all </w:t>
      </w:r>
      <w:r w:rsidRPr="006D4988">
        <w:rPr>
          <w:rFonts w:cstheme="minorHAnsi"/>
        </w:rPr>
        <w:t>reporting requirements for all organisations</w:t>
      </w:r>
      <w:r w:rsidR="001E68C0" w:rsidRPr="006D4988">
        <w:rPr>
          <w:rFonts w:cstheme="minorHAnsi"/>
        </w:rPr>
        <w:t>.</w:t>
      </w:r>
      <w:r w:rsidR="006F304A" w:rsidRPr="006D4988">
        <w:rPr>
          <w:rFonts w:cstheme="minorHAnsi"/>
        </w:rPr>
        <w:t xml:space="preserve"> </w:t>
      </w:r>
      <w:r w:rsidR="001E68C0" w:rsidRPr="006D4988">
        <w:rPr>
          <w:rFonts w:cstheme="minorHAnsi"/>
        </w:rPr>
        <w:t xml:space="preserve">This option would remove a longstanding requirement for employers with 100 or more employees to report on gender equality in Australian workplaces. </w:t>
      </w:r>
    </w:p>
    <w:p w:rsidR="0030790F" w:rsidRPr="006D4988" w:rsidRDefault="00683EB6" w:rsidP="00AC11EE">
      <w:pPr>
        <w:rPr>
          <w:rFonts w:cstheme="minorHAnsi"/>
        </w:rPr>
      </w:pPr>
      <w:r w:rsidRPr="006D4988">
        <w:rPr>
          <w:rFonts w:cstheme="minorHAnsi"/>
        </w:rPr>
        <w:t xml:space="preserve">The option requires the </w:t>
      </w:r>
      <w:r w:rsidR="00521EF9" w:rsidRPr="006D4988">
        <w:rPr>
          <w:rFonts w:cstheme="minorHAnsi"/>
        </w:rPr>
        <w:t>Act to be amended to remove reporting obligations</w:t>
      </w:r>
      <w:r w:rsidR="003020E8">
        <w:rPr>
          <w:rFonts w:cstheme="minorHAnsi"/>
        </w:rPr>
        <w:t xml:space="preserve"> and,</w:t>
      </w:r>
      <w:r w:rsidR="003020E8" w:rsidRPr="006D4988">
        <w:rPr>
          <w:rFonts w:cstheme="minorHAnsi"/>
        </w:rPr>
        <w:t xml:space="preserve"> </w:t>
      </w:r>
      <w:r w:rsidR="00521EF9" w:rsidRPr="006D4988">
        <w:rPr>
          <w:rFonts w:cstheme="minorHAnsi"/>
        </w:rPr>
        <w:t>as a result</w:t>
      </w:r>
      <w:r w:rsidR="003020E8">
        <w:rPr>
          <w:rFonts w:cstheme="minorHAnsi"/>
        </w:rPr>
        <w:t>,</w:t>
      </w:r>
      <w:r w:rsidR="00521EF9" w:rsidRPr="006D4988">
        <w:rPr>
          <w:rFonts w:cstheme="minorHAnsi"/>
        </w:rPr>
        <w:t xml:space="preserve"> the </w:t>
      </w:r>
      <w:r w:rsidRPr="006D4988">
        <w:rPr>
          <w:rFonts w:cstheme="minorHAnsi"/>
        </w:rPr>
        <w:t xml:space="preserve">Instrument </w:t>
      </w:r>
      <w:r w:rsidR="006B3855" w:rsidRPr="006D4988">
        <w:rPr>
          <w:rFonts w:cstheme="minorHAnsi"/>
        </w:rPr>
        <w:t xml:space="preserve">would be amended or abolished. </w:t>
      </w:r>
      <w:r w:rsidR="00D079D7" w:rsidRPr="006D4988">
        <w:rPr>
          <w:rFonts w:cstheme="minorHAnsi"/>
        </w:rPr>
        <w:t xml:space="preserve">If </w:t>
      </w:r>
      <w:r w:rsidR="00694E6E" w:rsidRPr="006D4988">
        <w:rPr>
          <w:rFonts w:cstheme="minorHAnsi"/>
        </w:rPr>
        <w:t xml:space="preserve">amendments to the Act </w:t>
      </w:r>
      <w:r w:rsidR="00AC11EE" w:rsidRPr="006D4988">
        <w:rPr>
          <w:rFonts w:cstheme="minorHAnsi"/>
        </w:rPr>
        <w:t xml:space="preserve">are </w:t>
      </w:r>
      <w:r w:rsidR="00D079D7" w:rsidRPr="006D4988">
        <w:rPr>
          <w:rFonts w:cstheme="minorHAnsi"/>
        </w:rPr>
        <w:t xml:space="preserve">not </w:t>
      </w:r>
      <w:r w:rsidR="00694E6E" w:rsidRPr="006D4988">
        <w:rPr>
          <w:rFonts w:cstheme="minorHAnsi"/>
        </w:rPr>
        <w:t xml:space="preserve">in place </w:t>
      </w:r>
      <w:r w:rsidR="00EA218E" w:rsidRPr="006D4988">
        <w:rPr>
          <w:rFonts w:cstheme="minorHAnsi"/>
        </w:rPr>
        <w:t>before the start of the 2015</w:t>
      </w:r>
      <w:r w:rsidR="003020E8">
        <w:rPr>
          <w:rFonts w:cstheme="minorHAnsi"/>
        </w:rPr>
        <w:t>–</w:t>
      </w:r>
      <w:r w:rsidR="00EA218E" w:rsidRPr="006D4988">
        <w:rPr>
          <w:rFonts w:cstheme="minorHAnsi"/>
        </w:rPr>
        <w:t xml:space="preserve">16 reporting period </w:t>
      </w:r>
      <w:r w:rsidR="00866744" w:rsidRPr="006D4988">
        <w:rPr>
          <w:rFonts w:cstheme="minorHAnsi"/>
        </w:rPr>
        <w:t>(</w:t>
      </w:r>
      <w:r w:rsidR="00EA218E" w:rsidRPr="006D4988">
        <w:rPr>
          <w:rFonts w:cstheme="minorHAnsi"/>
        </w:rPr>
        <w:t>1 April 2015</w:t>
      </w:r>
      <w:r w:rsidR="00866744" w:rsidRPr="006D4988">
        <w:rPr>
          <w:rFonts w:cstheme="minorHAnsi"/>
        </w:rPr>
        <w:t>)</w:t>
      </w:r>
      <w:r w:rsidR="00E75F25" w:rsidRPr="006D4988">
        <w:rPr>
          <w:rFonts w:cstheme="minorHAnsi"/>
        </w:rPr>
        <w:t>,</w:t>
      </w:r>
      <w:r w:rsidR="00EA218E" w:rsidRPr="006D4988">
        <w:rPr>
          <w:rFonts w:cstheme="minorHAnsi"/>
        </w:rPr>
        <w:t xml:space="preserve"> </w:t>
      </w:r>
      <w:r w:rsidR="00694E6E" w:rsidRPr="006D4988">
        <w:rPr>
          <w:rFonts w:cstheme="minorHAnsi"/>
        </w:rPr>
        <w:t xml:space="preserve">employers </w:t>
      </w:r>
      <w:r w:rsidR="00AC11EE" w:rsidRPr="006D4988">
        <w:rPr>
          <w:rFonts w:cstheme="minorHAnsi"/>
        </w:rPr>
        <w:t xml:space="preserve">will </w:t>
      </w:r>
      <w:r w:rsidR="00866744" w:rsidRPr="006D4988">
        <w:rPr>
          <w:rFonts w:cstheme="minorHAnsi"/>
        </w:rPr>
        <w:t xml:space="preserve">still </w:t>
      </w:r>
      <w:r w:rsidR="00694E6E" w:rsidRPr="006D4988">
        <w:rPr>
          <w:rFonts w:cstheme="minorHAnsi"/>
        </w:rPr>
        <w:t xml:space="preserve">be required to </w:t>
      </w:r>
      <w:r w:rsidR="00866744" w:rsidRPr="006D4988">
        <w:rPr>
          <w:rFonts w:cstheme="minorHAnsi"/>
        </w:rPr>
        <w:t xml:space="preserve">complete the existing </w:t>
      </w:r>
      <w:r w:rsidR="00694E6E" w:rsidRPr="006D4988">
        <w:rPr>
          <w:rFonts w:cstheme="minorHAnsi"/>
        </w:rPr>
        <w:t>report</w:t>
      </w:r>
      <w:r w:rsidR="00866744" w:rsidRPr="006D4988">
        <w:rPr>
          <w:rFonts w:cstheme="minorHAnsi"/>
        </w:rPr>
        <w:t>ing requirements</w:t>
      </w:r>
      <w:r w:rsidR="004D362D" w:rsidRPr="006D4988">
        <w:rPr>
          <w:rFonts w:cstheme="minorHAnsi"/>
        </w:rPr>
        <w:t xml:space="preserve"> for that reporting year</w:t>
      </w:r>
      <w:r w:rsidR="00866744" w:rsidRPr="006D4988">
        <w:rPr>
          <w:rFonts w:cstheme="minorHAnsi"/>
        </w:rPr>
        <w:t>.</w:t>
      </w:r>
      <w:r w:rsidR="00EA218E" w:rsidRPr="006D4988">
        <w:rPr>
          <w:rFonts w:cstheme="minorHAnsi"/>
        </w:rPr>
        <w:t xml:space="preserve"> </w:t>
      </w:r>
      <w:r w:rsidR="0028325A" w:rsidRPr="006D4988">
        <w:rPr>
          <w:rFonts w:cstheme="minorHAnsi"/>
        </w:rPr>
        <w:t xml:space="preserve"> </w:t>
      </w:r>
    </w:p>
    <w:p w:rsidR="00BD5D7E" w:rsidRPr="006D4988" w:rsidRDefault="0028325A" w:rsidP="00AC11EE">
      <w:pPr>
        <w:rPr>
          <w:rFonts w:cstheme="minorHAnsi"/>
          <w:color w:val="1F497D"/>
        </w:rPr>
      </w:pPr>
      <w:r w:rsidRPr="006D4988">
        <w:rPr>
          <w:rFonts w:cstheme="minorHAnsi"/>
        </w:rPr>
        <w:t xml:space="preserve">This </w:t>
      </w:r>
      <w:r w:rsidR="0030790F" w:rsidRPr="006D4988">
        <w:rPr>
          <w:rFonts w:cstheme="minorHAnsi"/>
        </w:rPr>
        <w:t xml:space="preserve">option </w:t>
      </w:r>
      <w:r w:rsidRPr="006D4988">
        <w:rPr>
          <w:rFonts w:cstheme="minorHAnsi"/>
        </w:rPr>
        <w:t>is contrary to stated Government policy.</w:t>
      </w:r>
    </w:p>
    <w:p w:rsidR="00A32604" w:rsidRPr="0069298D" w:rsidRDefault="00A14472" w:rsidP="000404B7">
      <w:pPr>
        <w:pStyle w:val="Heading1"/>
        <w:spacing w:before="240"/>
        <w:rPr>
          <w:rFonts w:asciiTheme="minorHAnsi" w:hAnsiTheme="minorHAnsi" w:cstheme="minorHAnsi"/>
        </w:rPr>
      </w:pPr>
      <w:bookmarkStart w:id="28" w:name="_Toc404158259"/>
      <w:bookmarkStart w:id="29" w:name="_Toc405895161"/>
      <w:r w:rsidRPr="0069298D">
        <w:rPr>
          <w:rFonts w:asciiTheme="minorHAnsi" w:hAnsiTheme="minorHAnsi" w:cstheme="minorHAnsi"/>
        </w:rPr>
        <w:t xml:space="preserve">Impact Analysis </w:t>
      </w:r>
      <w:r w:rsidR="00442CA4" w:rsidRPr="0069298D">
        <w:rPr>
          <w:rFonts w:asciiTheme="minorHAnsi" w:hAnsiTheme="minorHAnsi" w:cstheme="minorHAnsi"/>
        </w:rPr>
        <w:t>(likely net benefit of each option)</w:t>
      </w:r>
      <w:bookmarkEnd w:id="28"/>
      <w:bookmarkEnd w:id="29"/>
      <w:r w:rsidR="00A32604" w:rsidRPr="0069298D">
        <w:rPr>
          <w:rFonts w:asciiTheme="minorHAnsi" w:hAnsiTheme="minorHAnsi" w:cstheme="minorHAnsi"/>
        </w:rPr>
        <w:t xml:space="preserve"> </w:t>
      </w:r>
    </w:p>
    <w:p w:rsidR="00A14472" w:rsidRPr="006D4988" w:rsidRDefault="00AB36E4" w:rsidP="008C3767">
      <w:pPr>
        <w:keepLines/>
        <w:rPr>
          <w:rFonts w:cstheme="minorHAnsi"/>
        </w:rPr>
      </w:pPr>
      <w:r>
        <w:rPr>
          <w:rFonts w:cstheme="minorHAnsi"/>
        </w:rPr>
        <w:t>T</w:t>
      </w:r>
      <w:r w:rsidR="00A14472" w:rsidRPr="006D4988">
        <w:rPr>
          <w:rFonts w:cstheme="minorHAnsi"/>
        </w:rPr>
        <w:t xml:space="preserve">he options have varying degrees of impact on reporting organisations. The regulatory impact is identified as the increased time and resources for </w:t>
      </w:r>
      <w:r w:rsidR="00CB5FAE">
        <w:rPr>
          <w:rFonts w:cstheme="minorHAnsi"/>
        </w:rPr>
        <w:t xml:space="preserve">relevant </w:t>
      </w:r>
      <w:r w:rsidR="00A14472" w:rsidRPr="006D4988">
        <w:rPr>
          <w:rFonts w:cstheme="minorHAnsi"/>
        </w:rPr>
        <w:t>employers to collect information a</w:t>
      </w:r>
      <w:r w:rsidR="001C693C" w:rsidRPr="006D4988">
        <w:rPr>
          <w:rFonts w:cstheme="minorHAnsi"/>
        </w:rPr>
        <w:t>s well as</w:t>
      </w:r>
      <w:r w:rsidR="00A14472" w:rsidRPr="006D4988">
        <w:rPr>
          <w:rFonts w:cstheme="minorHAnsi"/>
        </w:rPr>
        <w:t xml:space="preserve"> prepare and submit annual reports to the Agency. </w:t>
      </w:r>
      <w:r w:rsidR="00EA489A">
        <w:rPr>
          <w:rFonts w:cstheme="minorHAnsi"/>
        </w:rPr>
        <w:t xml:space="preserve">The regulatory </w:t>
      </w:r>
      <w:r w:rsidR="009D5F90">
        <w:rPr>
          <w:rFonts w:cstheme="minorHAnsi"/>
        </w:rPr>
        <w:t>impact</w:t>
      </w:r>
      <w:r w:rsidR="00EA489A">
        <w:rPr>
          <w:rFonts w:cstheme="minorHAnsi"/>
        </w:rPr>
        <w:t xml:space="preserve"> </w:t>
      </w:r>
      <w:r w:rsidR="00652C9A">
        <w:rPr>
          <w:rFonts w:cstheme="minorHAnsi"/>
        </w:rPr>
        <w:t>is</w:t>
      </w:r>
      <w:r w:rsidR="00FB7155">
        <w:rPr>
          <w:rFonts w:cstheme="minorHAnsi"/>
        </w:rPr>
        <w:t xml:space="preserve"> </w:t>
      </w:r>
      <w:r w:rsidR="00EA489A">
        <w:rPr>
          <w:rFonts w:cstheme="minorHAnsi"/>
        </w:rPr>
        <w:t xml:space="preserve">considered against the benefits of retaining the full suite of </w:t>
      </w:r>
      <w:r w:rsidR="00FB7155">
        <w:rPr>
          <w:rFonts w:cstheme="minorHAnsi"/>
        </w:rPr>
        <w:t>information</w:t>
      </w:r>
      <w:r w:rsidR="00EA489A">
        <w:rPr>
          <w:rFonts w:cstheme="minorHAnsi"/>
        </w:rPr>
        <w:t xml:space="preserve"> </w:t>
      </w:r>
      <w:r w:rsidR="00FB7155">
        <w:rPr>
          <w:rFonts w:cstheme="minorHAnsi"/>
        </w:rPr>
        <w:t xml:space="preserve">currently required </w:t>
      </w:r>
      <w:r w:rsidR="003C67F4">
        <w:rPr>
          <w:rFonts w:cstheme="minorHAnsi"/>
        </w:rPr>
        <w:t xml:space="preserve">to be collected </w:t>
      </w:r>
      <w:r w:rsidR="00FB7155">
        <w:rPr>
          <w:rFonts w:cstheme="minorHAnsi"/>
        </w:rPr>
        <w:t>under the Instrument. T</w:t>
      </w:r>
      <w:r w:rsidR="00DB3A2B" w:rsidRPr="006D4988">
        <w:rPr>
          <w:rFonts w:cstheme="minorHAnsi"/>
        </w:rPr>
        <w:t>he costs and benefits to reporting organisations of a non</w:t>
      </w:r>
      <w:r w:rsidR="003020E8">
        <w:rPr>
          <w:rFonts w:cstheme="minorHAnsi"/>
        </w:rPr>
        <w:t>-</w:t>
      </w:r>
      <w:r w:rsidR="00DB3A2B" w:rsidRPr="006D4988">
        <w:rPr>
          <w:rFonts w:cstheme="minorHAnsi"/>
        </w:rPr>
        <w:t xml:space="preserve">regulatory approach </w:t>
      </w:r>
      <w:r w:rsidR="00CF7807" w:rsidRPr="006D4988">
        <w:rPr>
          <w:rFonts w:cstheme="minorHAnsi"/>
        </w:rPr>
        <w:t>are</w:t>
      </w:r>
      <w:r w:rsidR="00442CA4" w:rsidRPr="006D4988">
        <w:rPr>
          <w:rFonts w:cstheme="minorHAnsi"/>
        </w:rPr>
        <w:t xml:space="preserve"> </w:t>
      </w:r>
      <w:r w:rsidR="009D5F90">
        <w:rPr>
          <w:rFonts w:cstheme="minorHAnsi"/>
        </w:rPr>
        <w:t xml:space="preserve">also </w:t>
      </w:r>
      <w:r w:rsidR="00442CA4" w:rsidRPr="006D4988">
        <w:rPr>
          <w:rFonts w:cstheme="minorHAnsi"/>
        </w:rPr>
        <w:t>considered.</w:t>
      </w:r>
      <w:r w:rsidR="001B648B" w:rsidRPr="006D4988">
        <w:rPr>
          <w:rFonts w:cstheme="minorHAnsi"/>
        </w:rPr>
        <w:t xml:space="preserve"> </w:t>
      </w:r>
      <w:r w:rsidR="00A14472" w:rsidRPr="006D4988">
        <w:rPr>
          <w:rFonts w:cstheme="minorHAnsi"/>
        </w:rPr>
        <w:t>Impacts</w:t>
      </w:r>
      <w:r w:rsidR="00F11B4F">
        <w:rPr>
          <w:rFonts w:cstheme="minorHAnsi"/>
        </w:rPr>
        <w:t xml:space="preserve">, including </w:t>
      </w:r>
      <w:r w:rsidR="003C67F4">
        <w:rPr>
          <w:rFonts w:cstheme="minorHAnsi"/>
        </w:rPr>
        <w:t xml:space="preserve">the </w:t>
      </w:r>
      <w:r w:rsidR="00F11B4F">
        <w:rPr>
          <w:rFonts w:cstheme="minorHAnsi"/>
        </w:rPr>
        <w:t>regulatory, social and economic</w:t>
      </w:r>
      <w:r w:rsidR="00A14472" w:rsidRPr="006D4988">
        <w:rPr>
          <w:rFonts w:cstheme="minorHAnsi"/>
        </w:rPr>
        <w:t xml:space="preserve"> </w:t>
      </w:r>
      <w:r w:rsidR="00B75A5A">
        <w:rPr>
          <w:rFonts w:cstheme="minorHAnsi"/>
        </w:rPr>
        <w:t xml:space="preserve">implications </w:t>
      </w:r>
      <w:r w:rsidR="00A14472" w:rsidRPr="006D4988">
        <w:rPr>
          <w:rFonts w:cstheme="minorHAnsi"/>
        </w:rPr>
        <w:t>associated with each option</w:t>
      </w:r>
      <w:r w:rsidR="005B1EF2" w:rsidRPr="006D4988">
        <w:rPr>
          <w:rFonts w:cstheme="minorHAnsi"/>
        </w:rPr>
        <w:t xml:space="preserve"> are outlined below.</w:t>
      </w:r>
      <w:r w:rsidR="001B648B" w:rsidRPr="006D4988">
        <w:rPr>
          <w:rFonts w:cstheme="minorHAnsi"/>
        </w:rPr>
        <w:t xml:space="preserve"> </w:t>
      </w:r>
    </w:p>
    <w:p w:rsidR="00442CA4" w:rsidRPr="006D4988" w:rsidRDefault="00BB578E" w:rsidP="0069298D">
      <w:pPr>
        <w:pStyle w:val="Heading2"/>
        <w:rPr>
          <w:rFonts w:asciiTheme="minorHAnsi" w:hAnsiTheme="minorHAnsi" w:cstheme="minorHAnsi"/>
        </w:rPr>
      </w:pPr>
      <w:bookmarkStart w:id="30" w:name="_Toc404158260"/>
      <w:bookmarkStart w:id="31" w:name="_Toc405895162"/>
      <w:r w:rsidRPr="006D4988">
        <w:rPr>
          <w:rFonts w:asciiTheme="minorHAnsi" w:hAnsiTheme="minorHAnsi" w:cstheme="minorHAnsi"/>
        </w:rPr>
        <w:t xml:space="preserve">Option 1: </w:t>
      </w:r>
      <w:r w:rsidR="00442CA4" w:rsidRPr="006D4988">
        <w:rPr>
          <w:rFonts w:asciiTheme="minorHAnsi" w:hAnsiTheme="minorHAnsi" w:cstheme="minorHAnsi"/>
        </w:rPr>
        <w:t>No Change</w:t>
      </w:r>
      <w:bookmarkEnd w:id="30"/>
      <w:bookmarkEnd w:id="31"/>
    </w:p>
    <w:p w:rsidR="009826B5" w:rsidRPr="006D4988" w:rsidDel="009826B5" w:rsidRDefault="003461F5">
      <w:pPr>
        <w:rPr>
          <w:rFonts w:cstheme="minorHAnsi"/>
        </w:rPr>
      </w:pPr>
      <w:r w:rsidRPr="006D4988">
        <w:rPr>
          <w:rFonts w:cstheme="minorHAnsi"/>
        </w:rPr>
        <w:t>This option maintains the existing reporting requirements</w:t>
      </w:r>
      <w:r w:rsidR="004A0299" w:rsidRPr="006D4988">
        <w:rPr>
          <w:rFonts w:cstheme="minorHAnsi"/>
        </w:rPr>
        <w:t xml:space="preserve">, including the </w:t>
      </w:r>
      <w:r w:rsidRPr="006D4988">
        <w:rPr>
          <w:rFonts w:cstheme="minorHAnsi"/>
        </w:rPr>
        <w:t xml:space="preserve">Schedule 2 requirements </w:t>
      </w:r>
      <w:r w:rsidR="004A0299" w:rsidRPr="006D4988">
        <w:rPr>
          <w:rFonts w:cstheme="minorHAnsi"/>
        </w:rPr>
        <w:t xml:space="preserve">which are due to </w:t>
      </w:r>
      <w:r w:rsidRPr="006D4988">
        <w:rPr>
          <w:rFonts w:cstheme="minorHAnsi"/>
        </w:rPr>
        <w:t>take effect from 1 April 201</w:t>
      </w:r>
      <w:r w:rsidR="007B73F1" w:rsidRPr="006D4988">
        <w:rPr>
          <w:rFonts w:cstheme="minorHAnsi"/>
        </w:rPr>
        <w:t>5</w:t>
      </w:r>
      <w:r w:rsidRPr="006D4988">
        <w:rPr>
          <w:rFonts w:cstheme="minorHAnsi"/>
        </w:rPr>
        <w:t xml:space="preserve">. </w:t>
      </w:r>
    </w:p>
    <w:p w:rsidR="00582117" w:rsidRPr="006D4988" w:rsidRDefault="004628B8" w:rsidP="009826B5">
      <w:pPr>
        <w:rPr>
          <w:rFonts w:cstheme="minorHAnsi"/>
        </w:rPr>
      </w:pPr>
      <w:r w:rsidRPr="006D4988">
        <w:rPr>
          <w:rFonts w:cstheme="minorHAnsi"/>
        </w:rPr>
        <w:t xml:space="preserve">Maintaining the </w:t>
      </w:r>
      <w:r w:rsidR="00FC1904" w:rsidRPr="006D4988">
        <w:rPr>
          <w:rFonts w:cstheme="minorHAnsi"/>
        </w:rPr>
        <w:t xml:space="preserve">existing requirements </w:t>
      </w:r>
      <w:r w:rsidRPr="006D4988">
        <w:rPr>
          <w:rFonts w:cstheme="minorHAnsi"/>
        </w:rPr>
        <w:t xml:space="preserve">ensures </w:t>
      </w:r>
      <w:r w:rsidR="00FC1904" w:rsidRPr="006D4988">
        <w:rPr>
          <w:rFonts w:cstheme="minorHAnsi"/>
        </w:rPr>
        <w:t>the status quo</w:t>
      </w:r>
      <w:r w:rsidRPr="006D4988">
        <w:rPr>
          <w:rFonts w:cstheme="minorHAnsi"/>
        </w:rPr>
        <w:t xml:space="preserve"> for reporting employers as they have completed one year of reporting and in </w:t>
      </w:r>
      <w:r w:rsidR="00E3568E" w:rsidRPr="006D4988">
        <w:rPr>
          <w:rFonts w:cstheme="minorHAnsi"/>
        </w:rPr>
        <w:t>some</w:t>
      </w:r>
      <w:r w:rsidRPr="006D4988">
        <w:rPr>
          <w:rFonts w:cstheme="minorHAnsi"/>
        </w:rPr>
        <w:t xml:space="preserve"> cases have set up their systems to meet the requirements or established practices to report more efficiently for the 2014</w:t>
      </w:r>
      <w:r w:rsidR="003020E8">
        <w:rPr>
          <w:rFonts w:cstheme="minorHAnsi"/>
        </w:rPr>
        <w:t>–</w:t>
      </w:r>
      <w:r w:rsidRPr="006D4988">
        <w:rPr>
          <w:rFonts w:cstheme="minorHAnsi"/>
        </w:rPr>
        <w:t>15 reporting period</w:t>
      </w:r>
      <w:r w:rsidR="00E3568E" w:rsidRPr="006D4988">
        <w:rPr>
          <w:rFonts w:cstheme="minorHAnsi"/>
        </w:rPr>
        <w:t xml:space="preserve"> and subsequent years</w:t>
      </w:r>
      <w:r w:rsidRPr="006D4988">
        <w:rPr>
          <w:rFonts w:cstheme="minorHAnsi"/>
        </w:rPr>
        <w:t xml:space="preserve">. </w:t>
      </w:r>
      <w:r w:rsidR="00FC1904" w:rsidRPr="006D4988">
        <w:rPr>
          <w:rFonts w:cstheme="minorHAnsi"/>
        </w:rPr>
        <w:t>I</w:t>
      </w:r>
      <w:r w:rsidR="00E3568E" w:rsidRPr="006D4988">
        <w:rPr>
          <w:rFonts w:cstheme="minorHAnsi"/>
        </w:rPr>
        <w:t xml:space="preserve">t is </w:t>
      </w:r>
      <w:r w:rsidR="00393CB5">
        <w:rPr>
          <w:rFonts w:cstheme="minorHAnsi"/>
        </w:rPr>
        <w:t>expected</w:t>
      </w:r>
      <w:r w:rsidR="00393CB5" w:rsidRPr="006D4988">
        <w:rPr>
          <w:rFonts w:cstheme="minorHAnsi"/>
        </w:rPr>
        <w:t xml:space="preserve"> </w:t>
      </w:r>
      <w:r w:rsidR="00E3568E" w:rsidRPr="006D4988">
        <w:rPr>
          <w:rFonts w:cstheme="minorHAnsi"/>
        </w:rPr>
        <w:t>that</w:t>
      </w:r>
      <w:r w:rsidR="009017A2" w:rsidRPr="006D4988">
        <w:rPr>
          <w:rFonts w:cstheme="minorHAnsi"/>
        </w:rPr>
        <w:t xml:space="preserve"> </w:t>
      </w:r>
      <w:r w:rsidR="00E3568E" w:rsidRPr="006D4988">
        <w:rPr>
          <w:rFonts w:cstheme="minorHAnsi"/>
        </w:rPr>
        <w:t xml:space="preserve">the Agency will increase the support provided to employers through advice and online tools to reduce the impost of reporting by employers. </w:t>
      </w:r>
      <w:r w:rsidR="009017A2" w:rsidRPr="006D4988">
        <w:rPr>
          <w:rFonts w:cstheme="minorHAnsi"/>
        </w:rPr>
        <w:t xml:space="preserve">Some employers have anticipated the introduction of </w:t>
      </w:r>
      <w:r w:rsidR="00393CB5">
        <w:rPr>
          <w:rFonts w:cstheme="minorHAnsi"/>
        </w:rPr>
        <w:t>S</w:t>
      </w:r>
      <w:r w:rsidR="00393CB5" w:rsidRPr="006D4988">
        <w:rPr>
          <w:rFonts w:cstheme="minorHAnsi"/>
        </w:rPr>
        <w:t xml:space="preserve">chedule </w:t>
      </w:r>
      <w:r w:rsidR="009017A2" w:rsidRPr="006D4988">
        <w:rPr>
          <w:rFonts w:cstheme="minorHAnsi"/>
        </w:rPr>
        <w:t>2 requirements and have set up their systems to be able to meet these requirements from 2015 onwards.</w:t>
      </w:r>
    </w:p>
    <w:p w:rsidR="006D2745" w:rsidRDefault="006D2745" w:rsidP="006D2745">
      <w:pPr>
        <w:rPr>
          <w:rFonts w:cstheme="minorHAnsi"/>
        </w:rPr>
      </w:pPr>
      <w:r w:rsidRPr="006D4988">
        <w:rPr>
          <w:rFonts w:cstheme="minorHAnsi"/>
        </w:rPr>
        <w:t>A further benefit of retaining the status quo is that</w:t>
      </w:r>
      <w:r w:rsidR="00393CB5">
        <w:rPr>
          <w:rFonts w:cstheme="minorHAnsi"/>
        </w:rPr>
        <w:t>,</w:t>
      </w:r>
      <w:r w:rsidRPr="006D4988">
        <w:rPr>
          <w:rFonts w:cstheme="minorHAnsi"/>
        </w:rPr>
        <w:t xml:space="preserve"> while difficulties </w:t>
      </w:r>
      <w:r w:rsidR="00AB36E4">
        <w:rPr>
          <w:rFonts w:cstheme="minorHAnsi"/>
        </w:rPr>
        <w:t>in</w:t>
      </w:r>
      <w:r w:rsidRPr="006D4988">
        <w:rPr>
          <w:rFonts w:cstheme="minorHAnsi"/>
        </w:rPr>
        <w:t xml:space="preserve"> reporting have been </w:t>
      </w:r>
      <w:r w:rsidR="00AB36E4">
        <w:rPr>
          <w:rFonts w:cstheme="minorHAnsi"/>
        </w:rPr>
        <w:t>experienced</w:t>
      </w:r>
      <w:r w:rsidRPr="006D4988">
        <w:rPr>
          <w:rFonts w:cstheme="minorHAnsi"/>
        </w:rPr>
        <w:t xml:space="preserve">, reporting organisations will be able to build on the experience from the first year and efficiencies will be gained in subsequent years. It is likely that economies of scale will reduce the burden in subsequent years. </w:t>
      </w:r>
    </w:p>
    <w:p w:rsidR="00040FB9" w:rsidRPr="0064559C" w:rsidRDefault="00393CB5" w:rsidP="00040FB9">
      <w:pPr>
        <w:rPr>
          <w:rFonts w:cstheme="minorHAnsi"/>
        </w:rPr>
      </w:pPr>
      <w:r>
        <w:rPr>
          <w:rFonts w:cstheme="minorHAnsi"/>
        </w:rPr>
        <w:t>A</w:t>
      </w:r>
      <w:r w:rsidR="00040FB9" w:rsidRPr="006D4988">
        <w:rPr>
          <w:rFonts w:cstheme="minorHAnsi"/>
        </w:rPr>
        <w:t>nalysis from the consultation process</w:t>
      </w:r>
      <w:r>
        <w:rPr>
          <w:rFonts w:cstheme="minorHAnsi"/>
        </w:rPr>
        <w:t>, however,</w:t>
      </w:r>
      <w:r w:rsidR="00905010">
        <w:rPr>
          <w:rFonts w:cstheme="minorHAnsi"/>
        </w:rPr>
        <w:t xml:space="preserve"> </w:t>
      </w:r>
      <w:r w:rsidR="00040FB9" w:rsidRPr="006D4988">
        <w:rPr>
          <w:rFonts w:cstheme="minorHAnsi"/>
        </w:rPr>
        <w:t xml:space="preserve">shows </w:t>
      </w:r>
      <w:r w:rsidR="00040FB9">
        <w:rPr>
          <w:rFonts w:cstheme="minorHAnsi"/>
        </w:rPr>
        <w:t xml:space="preserve">that </w:t>
      </w:r>
      <w:r w:rsidR="00040FB9" w:rsidRPr="006D4988">
        <w:rPr>
          <w:rFonts w:cstheme="minorHAnsi"/>
        </w:rPr>
        <w:t xml:space="preserve">a large number of employers have raised concerns about the difficulty they had in providing accurate data for the workplace profile, </w:t>
      </w:r>
      <w:r w:rsidR="00040FB9" w:rsidRPr="006D4988">
        <w:rPr>
          <w:rFonts w:cstheme="minorHAnsi"/>
        </w:rPr>
        <w:lastRenderedPageBreak/>
        <w:t xml:space="preserve">and specifically the remuneration data (a copy of the workplace profile is </w:t>
      </w:r>
      <w:r w:rsidR="00040FB9" w:rsidRPr="00393CB5">
        <w:rPr>
          <w:rFonts w:cstheme="minorHAnsi"/>
          <w:b/>
        </w:rPr>
        <w:t>APPENDIX C</w:t>
      </w:r>
      <w:r w:rsidR="00040FB9" w:rsidRPr="00393CB5">
        <w:rPr>
          <w:rFonts w:cstheme="minorHAnsi"/>
        </w:rPr>
        <w:t>)</w:t>
      </w:r>
      <w:r w:rsidR="00040FB9" w:rsidRPr="006D4988">
        <w:rPr>
          <w:rFonts w:cstheme="minorHAnsi"/>
        </w:rPr>
        <w:t xml:space="preserve">. This relates to calculating the aggregate annualised remuneration data and incorporating </w:t>
      </w:r>
      <w:r w:rsidR="006B3BA2">
        <w:rPr>
          <w:rFonts w:cstheme="minorHAnsi"/>
        </w:rPr>
        <w:t xml:space="preserve">people employed on a </w:t>
      </w:r>
      <w:r w:rsidR="00040FB9" w:rsidRPr="006D4988">
        <w:rPr>
          <w:rFonts w:cstheme="minorHAnsi"/>
        </w:rPr>
        <w:t>casual</w:t>
      </w:r>
      <w:r w:rsidR="009318D0">
        <w:rPr>
          <w:rFonts w:cstheme="minorHAnsi"/>
        </w:rPr>
        <w:t>,</w:t>
      </w:r>
      <w:r w:rsidR="008808E9">
        <w:rPr>
          <w:rFonts w:cstheme="minorHAnsi"/>
        </w:rPr>
        <w:t xml:space="preserve"> </w:t>
      </w:r>
      <w:r w:rsidR="00040FB9" w:rsidRPr="006D4988">
        <w:rPr>
          <w:rFonts w:cstheme="minorHAnsi"/>
        </w:rPr>
        <w:t>part-time</w:t>
      </w:r>
      <w:r w:rsidR="008808E9">
        <w:rPr>
          <w:rFonts w:cstheme="minorHAnsi"/>
        </w:rPr>
        <w:t xml:space="preserve"> a</w:t>
      </w:r>
      <w:r w:rsidR="009318D0">
        <w:rPr>
          <w:rFonts w:cstheme="minorHAnsi"/>
        </w:rPr>
        <w:t>nd</w:t>
      </w:r>
      <w:r w:rsidR="008808E9">
        <w:rPr>
          <w:rFonts w:cstheme="minorHAnsi"/>
        </w:rPr>
        <w:t xml:space="preserve"> </w:t>
      </w:r>
      <w:r w:rsidR="006913C6">
        <w:rPr>
          <w:rFonts w:cstheme="minorHAnsi"/>
        </w:rPr>
        <w:t>contract</w:t>
      </w:r>
      <w:r w:rsidR="006B3BA2">
        <w:rPr>
          <w:rFonts w:cstheme="minorHAnsi"/>
        </w:rPr>
        <w:t xml:space="preserve"> basis</w:t>
      </w:r>
      <w:r w:rsidR="00040FB9" w:rsidRPr="006D4988">
        <w:rPr>
          <w:rFonts w:cstheme="minorHAnsi"/>
        </w:rPr>
        <w:t xml:space="preserve"> in the aggregate; finding an appropriate standard working week (particularly for </w:t>
      </w:r>
      <w:r w:rsidR="00CB5FAE">
        <w:rPr>
          <w:rFonts w:cstheme="minorHAnsi"/>
        </w:rPr>
        <w:t xml:space="preserve">independent </w:t>
      </w:r>
      <w:r w:rsidR="00040FB9" w:rsidRPr="006D4988">
        <w:rPr>
          <w:rFonts w:cstheme="minorHAnsi"/>
        </w:rPr>
        <w:t>contractors)</w:t>
      </w:r>
      <w:r>
        <w:rPr>
          <w:rFonts w:cstheme="minorHAnsi"/>
        </w:rPr>
        <w:t>,</w:t>
      </w:r>
      <w:r w:rsidR="00040FB9" w:rsidRPr="006D4988">
        <w:rPr>
          <w:rFonts w:cstheme="minorHAnsi"/>
        </w:rPr>
        <w:t xml:space="preserve"> and extracting the data from more than one payroll system.</w:t>
      </w:r>
      <w:r w:rsidR="00040FB9" w:rsidRPr="00040FB9">
        <w:rPr>
          <w:rFonts w:cstheme="minorHAnsi"/>
        </w:rPr>
        <w:t xml:space="preserve"> </w:t>
      </w:r>
      <w:r w:rsidR="00040FB9">
        <w:rPr>
          <w:rFonts w:cstheme="minorHAnsi"/>
        </w:rPr>
        <w:t>In experiencing these difficulties, employers report that they have provided information as best they can to represent their organisation</w:t>
      </w:r>
      <w:r>
        <w:rPr>
          <w:rFonts w:cstheme="minorHAnsi"/>
        </w:rPr>
        <w:t>,</w:t>
      </w:r>
      <w:r w:rsidR="00040FB9">
        <w:rPr>
          <w:rFonts w:cstheme="minorHAnsi"/>
        </w:rPr>
        <w:t xml:space="preserve"> but raise doubt as to whether the data they, or other organisations provide, is </w:t>
      </w:r>
      <w:r w:rsidR="00FC6BB9">
        <w:rPr>
          <w:rFonts w:cstheme="minorHAnsi"/>
        </w:rPr>
        <w:t>robust</w:t>
      </w:r>
      <w:r w:rsidR="00040FB9">
        <w:rPr>
          <w:rFonts w:cstheme="minorHAnsi"/>
        </w:rPr>
        <w:t xml:space="preserve"> enough for analysis or benchmark reports</w:t>
      </w:r>
      <w:r w:rsidR="00AB36E4">
        <w:rPr>
          <w:rFonts w:cstheme="minorHAnsi"/>
        </w:rPr>
        <w:t xml:space="preserve"> (i</w:t>
      </w:r>
      <w:r w:rsidR="00CB5FAE">
        <w:rPr>
          <w:rFonts w:cstheme="minorHAnsi"/>
        </w:rPr>
        <w:t>.</w:t>
      </w:r>
      <w:r w:rsidR="00AB36E4">
        <w:rPr>
          <w:rFonts w:cstheme="minorHAnsi"/>
        </w:rPr>
        <w:t>e</w:t>
      </w:r>
      <w:r w:rsidR="00CB5FAE">
        <w:rPr>
          <w:rFonts w:cstheme="minorHAnsi"/>
        </w:rPr>
        <w:t>.</w:t>
      </w:r>
      <w:r w:rsidR="00AB36E4">
        <w:rPr>
          <w:rFonts w:cstheme="minorHAnsi"/>
        </w:rPr>
        <w:t xml:space="preserve"> to compare with other organisations)</w:t>
      </w:r>
      <w:r w:rsidR="00B6353C">
        <w:rPr>
          <w:rFonts w:cstheme="minorHAnsi"/>
        </w:rPr>
        <w:t>.</w:t>
      </w:r>
      <w:r w:rsidR="00040FB9">
        <w:rPr>
          <w:rFonts w:cstheme="minorHAnsi"/>
        </w:rPr>
        <w:t xml:space="preserve"> </w:t>
      </w:r>
      <w:r w:rsidR="00040FB9" w:rsidRPr="006D4988">
        <w:rPr>
          <w:rFonts w:cstheme="minorHAnsi"/>
        </w:rPr>
        <w:t>Employers are</w:t>
      </w:r>
      <w:r>
        <w:rPr>
          <w:rFonts w:cstheme="minorHAnsi"/>
        </w:rPr>
        <w:t>,</w:t>
      </w:r>
      <w:r w:rsidR="00040FB9" w:rsidRPr="006D4988">
        <w:rPr>
          <w:rFonts w:cstheme="minorHAnsi"/>
        </w:rPr>
        <w:t xml:space="preserve"> therefore</w:t>
      </w:r>
      <w:r>
        <w:rPr>
          <w:rFonts w:cstheme="minorHAnsi"/>
        </w:rPr>
        <w:t>,</w:t>
      </w:r>
      <w:r w:rsidR="00040FB9" w:rsidRPr="006D4988">
        <w:rPr>
          <w:rFonts w:cstheme="minorHAnsi"/>
        </w:rPr>
        <w:t xml:space="preserve"> questioning whether the</w:t>
      </w:r>
      <w:r w:rsidR="00AB36E4">
        <w:rPr>
          <w:rFonts w:cstheme="minorHAnsi"/>
        </w:rPr>
        <w:t>ir</w:t>
      </w:r>
      <w:r w:rsidR="00040FB9" w:rsidRPr="006D4988">
        <w:rPr>
          <w:rFonts w:cstheme="minorHAnsi"/>
        </w:rPr>
        <w:t xml:space="preserve"> effort will match the value, especially if the data is not representative of their business structure. </w:t>
      </w:r>
      <w:r w:rsidR="00040FB9" w:rsidRPr="0064559C">
        <w:rPr>
          <w:rFonts w:cstheme="minorHAnsi"/>
        </w:rPr>
        <w:t>Given the concerns employers have raised during the consultation process</w:t>
      </w:r>
      <w:r w:rsidR="00CC7564" w:rsidRPr="0064559C">
        <w:t>,</w:t>
      </w:r>
      <w:r w:rsidR="00040FB9" w:rsidRPr="0064559C">
        <w:rPr>
          <w:rFonts w:cstheme="minorHAnsi"/>
        </w:rPr>
        <w:t xml:space="preserve"> and to the Agency</w:t>
      </w:r>
      <w:r w:rsidR="00CC7564" w:rsidRPr="0064559C">
        <w:t>,</w:t>
      </w:r>
      <w:r w:rsidR="00040FB9" w:rsidRPr="0064559C">
        <w:rPr>
          <w:rFonts w:cstheme="minorHAnsi"/>
        </w:rPr>
        <w:t xml:space="preserve"> it is </w:t>
      </w:r>
      <w:r w:rsidR="00AB36E4">
        <w:rPr>
          <w:rFonts w:cstheme="minorHAnsi"/>
        </w:rPr>
        <w:t>quite possible</w:t>
      </w:r>
      <w:r w:rsidR="00040FB9" w:rsidRPr="0064559C">
        <w:rPr>
          <w:rFonts w:cstheme="minorHAnsi"/>
        </w:rPr>
        <w:t xml:space="preserve"> that much of the remuneration data will not be fit for purpose. </w:t>
      </w:r>
    </w:p>
    <w:p w:rsidR="00040FB9" w:rsidRDefault="00B6353C" w:rsidP="00040FB9">
      <w:pPr>
        <w:rPr>
          <w:rFonts w:cstheme="minorHAnsi"/>
        </w:rPr>
      </w:pPr>
      <w:r w:rsidRPr="0064559C">
        <w:rPr>
          <w:rFonts w:cstheme="minorHAnsi"/>
        </w:rPr>
        <w:t xml:space="preserve">There is a </w:t>
      </w:r>
      <w:r w:rsidR="00040FB9" w:rsidRPr="0064559C">
        <w:rPr>
          <w:rFonts w:cstheme="minorHAnsi"/>
        </w:rPr>
        <w:t>risk that if employers believe</w:t>
      </w:r>
      <w:r w:rsidR="00040FB9" w:rsidRPr="006D4988">
        <w:rPr>
          <w:rFonts w:cstheme="minorHAnsi"/>
        </w:rPr>
        <w:t xml:space="preserve"> their data is unreliable, they will question the usefulness of </w:t>
      </w:r>
      <w:r w:rsidR="00AB36E4">
        <w:rPr>
          <w:rFonts w:cstheme="minorHAnsi"/>
        </w:rPr>
        <w:t>reporting</w:t>
      </w:r>
      <w:r w:rsidR="00040FB9" w:rsidRPr="006D4988">
        <w:rPr>
          <w:rFonts w:cstheme="minorHAnsi"/>
        </w:rPr>
        <w:t xml:space="preserve"> and they </w:t>
      </w:r>
      <w:r w:rsidR="00393CB5">
        <w:rPr>
          <w:rFonts w:cstheme="minorHAnsi"/>
        </w:rPr>
        <w:t>might</w:t>
      </w:r>
      <w:r w:rsidR="00393CB5" w:rsidRPr="006D4988">
        <w:rPr>
          <w:rFonts w:cstheme="minorHAnsi"/>
        </w:rPr>
        <w:t xml:space="preserve"> </w:t>
      </w:r>
      <w:r w:rsidR="00040FB9" w:rsidRPr="006D4988">
        <w:rPr>
          <w:rFonts w:cstheme="minorHAnsi"/>
        </w:rPr>
        <w:t>disengage from the process and</w:t>
      </w:r>
      <w:r w:rsidR="00AB36E4">
        <w:rPr>
          <w:rFonts w:cstheme="minorHAnsi"/>
        </w:rPr>
        <w:t>/or</w:t>
      </w:r>
      <w:r w:rsidR="00040FB9" w:rsidRPr="006D4988">
        <w:rPr>
          <w:rFonts w:cstheme="minorHAnsi"/>
        </w:rPr>
        <w:t xml:space="preserve"> actively criticise it. That is, employers </w:t>
      </w:r>
      <w:r w:rsidR="00393CB5">
        <w:rPr>
          <w:rFonts w:cstheme="minorHAnsi"/>
        </w:rPr>
        <w:t>might</w:t>
      </w:r>
      <w:r w:rsidR="00393CB5" w:rsidRPr="006D4988">
        <w:rPr>
          <w:rFonts w:cstheme="minorHAnsi"/>
        </w:rPr>
        <w:t xml:space="preserve"> </w:t>
      </w:r>
      <w:r w:rsidR="00040FB9" w:rsidRPr="006D4988">
        <w:rPr>
          <w:rFonts w:cstheme="minorHAnsi"/>
        </w:rPr>
        <w:t>comply with the reporting requirement but not use any of the data to improve gender equality within their own organisations. Worse still, ongoing reporting that is not seen as beneficial could lead to a backlash of negativity against women employees, who may be seen as difficult or needing special treatment.</w:t>
      </w:r>
    </w:p>
    <w:p w:rsidR="00E47EDD" w:rsidRPr="006D4988" w:rsidRDefault="00040FB9" w:rsidP="009826B5">
      <w:pPr>
        <w:rPr>
          <w:rFonts w:cstheme="minorHAnsi"/>
        </w:rPr>
      </w:pPr>
      <w:r w:rsidRPr="006D4988">
        <w:rPr>
          <w:rFonts w:cstheme="minorHAnsi"/>
        </w:rPr>
        <w:t>Employers have reported that sourcing the remuneration data and manipulating the data to fit into the occupational categories is very onerous and time consuming.</w:t>
      </w:r>
      <w:r w:rsidR="00B6353C">
        <w:rPr>
          <w:rFonts w:cstheme="minorHAnsi"/>
        </w:rPr>
        <w:t xml:space="preserve"> T</w:t>
      </w:r>
      <w:r w:rsidR="009826B5" w:rsidRPr="006D4988">
        <w:rPr>
          <w:rFonts w:cstheme="minorHAnsi"/>
        </w:rPr>
        <w:t>h</w:t>
      </w:r>
      <w:r w:rsidR="004A0299" w:rsidRPr="006D4988">
        <w:rPr>
          <w:rFonts w:cstheme="minorHAnsi"/>
        </w:rPr>
        <w:t>is</w:t>
      </w:r>
      <w:r w:rsidR="009826B5" w:rsidRPr="006D4988">
        <w:rPr>
          <w:rFonts w:cstheme="minorHAnsi"/>
        </w:rPr>
        <w:t xml:space="preserve"> option places the greatest regulatory cost burden on employers. Feedback from the consultation process</w:t>
      </w:r>
      <w:r w:rsidR="00393CB5">
        <w:rPr>
          <w:rFonts w:cstheme="minorHAnsi"/>
        </w:rPr>
        <w:t>,</w:t>
      </w:r>
      <w:r w:rsidR="009826B5" w:rsidRPr="006D4988">
        <w:rPr>
          <w:rFonts w:cstheme="minorHAnsi"/>
        </w:rPr>
        <w:t xml:space="preserve"> through </w:t>
      </w:r>
      <w:r w:rsidR="006B56AF" w:rsidRPr="006D4988">
        <w:rPr>
          <w:rFonts w:cstheme="minorHAnsi"/>
        </w:rPr>
        <w:t>the Department’s</w:t>
      </w:r>
      <w:r w:rsidR="009826B5" w:rsidRPr="006D4988">
        <w:rPr>
          <w:rFonts w:cstheme="minorHAnsi"/>
        </w:rPr>
        <w:t xml:space="preserve"> online survey conversations with employers </w:t>
      </w:r>
      <w:r w:rsidR="00F21DF2" w:rsidRPr="006D4988">
        <w:rPr>
          <w:rFonts w:cstheme="minorHAnsi"/>
        </w:rPr>
        <w:t>and submissions</w:t>
      </w:r>
      <w:r w:rsidR="00393CB5">
        <w:rPr>
          <w:rFonts w:cstheme="minorHAnsi"/>
        </w:rPr>
        <w:t>,</w:t>
      </w:r>
      <w:r w:rsidR="00F21DF2" w:rsidRPr="006D4988">
        <w:rPr>
          <w:rFonts w:cstheme="minorHAnsi"/>
        </w:rPr>
        <w:t xml:space="preserve"> </w:t>
      </w:r>
      <w:r w:rsidR="009826B5" w:rsidRPr="006D4988">
        <w:rPr>
          <w:rFonts w:cstheme="minorHAnsi"/>
        </w:rPr>
        <w:t xml:space="preserve">shows that the impost of reporting varies considerably between businesses. </w:t>
      </w:r>
      <w:r w:rsidR="00BF4E20" w:rsidRPr="006D4988">
        <w:rPr>
          <w:rFonts w:cstheme="minorHAnsi"/>
        </w:rPr>
        <w:t>Some reporting organisations estimated the cost of reporting was less than $</w:t>
      </w:r>
      <w:r w:rsidR="00FB7155">
        <w:rPr>
          <w:rFonts w:cstheme="minorHAnsi"/>
        </w:rPr>
        <w:t>1</w:t>
      </w:r>
      <w:r w:rsidR="00FB7155" w:rsidRPr="006D4988">
        <w:rPr>
          <w:rFonts w:cstheme="minorHAnsi"/>
        </w:rPr>
        <w:t>00</w:t>
      </w:r>
      <w:r w:rsidR="00393CB5">
        <w:rPr>
          <w:rFonts w:cstheme="minorHAnsi"/>
        </w:rPr>
        <w:t>,</w:t>
      </w:r>
      <w:r w:rsidR="00FB7155" w:rsidRPr="006D4988">
        <w:rPr>
          <w:rFonts w:cstheme="minorHAnsi"/>
        </w:rPr>
        <w:t xml:space="preserve"> </w:t>
      </w:r>
      <w:r w:rsidR="00BF4E20" w:rsidRPr="006D4988">
        <w:rPr>
          <w:rFonts w:cstheme="minorHAnsi"/>
        </w:rPr>
        <w:t>while others estimated the cost to be $</w:t>
      </w:r>
      <w:r w:rsidR="00FB7155">
        <w:rPr>
          <w:rFonts w:cstheme="minorHAnsi"/>
        </w:rPr>
        <w:t>14</w:t>
      </w:r>
      <w:r w:rsidR="00107526" w:rsidRPr="006D4988">
        <w:rPr>
          <w:rFonts w:cstheme="minorHAnsi"/>
        </w:rPr>
        <w:t>0</w:t>
      </w:r>
      <w:r w:rsidR="00BD7A2A">
        <w:rPr>
          <w:rFonts w:cstheme="minorHAnsi"/>
        </w:rPr>
        <w:t xml:space="preserve"> </w:t>
      </w:r>
      <w:r w:rsidR="00BF4E20" w:rsidRPr="006D4988">
        <w:rPr>
          <w:rFonts w:cstheme="minorHAnsi"/>
        </w:rPr>
        <w:t xml:space="preserve">000. </w:t>
      </w:r>
      <w:r w:rsidR="00107526" w:rsidRPr="006D4988">
        <w:rPr>
          <w:rFonts w:cstheme="minorHAnsi"/>
        </w:rPr>
        <w:t xml:space="preserve">The median cost of reporting </w:t>
      </w:r>
      <w:r w:rsidR="00FB7155">
        <w:rPr>
          <w:rFonts w:cstheme="minorHAnsi"/>
        </w:rPr>
        <w:t xml:space="preserve">for the current requirements </w:t>
      </w:r>
      <w:r w:rsidR="00107526" w:rsidRPr="006D4988">
        <w:rPr>
          <w:rFonts w:cstheme="minorHAnsi"/>
        </w:rPr>
        <w:t xml:space="preserve">is </w:t>
      </w:r>
      <w:r w:rsidR="009017A2" w:rsidRPr="006D4988">
        <w:rPr>
          <w:rFonts w:cstheme="minorHAnsi"/>
        </w:rPr>
        <w:t>estimated by the Department</w:t>
      </w:r>
      <w:r w:rsidR="00107526" w:rsidRPr="006D4988">
        <w:rPr>
          <w:rFonts w:cstheme="minorHAnsi"/>
        </w:rPr>
        <w:t xml:space="preserve"> to be $</w:t>
      </w:r>
      <w:r w:rsidR="0052483A" w:rsidRPr="006D4988">
        <w:rPr>
          <w:rFonts w:cstheme="minorHAnsi"/>
        </w:rPr>
        <w:t>1500</w:t>
      </w:r>
      <w:r w:rsidR="00107526" w:rsidRPr="006D4988">
        <w:rPr>
          <w:rFonts w:cstheme="minorHAnsi"/>
        </w:rPr>
        <w:t>.</w:t>
      </w:r>
    </w:p>
    <w:p w:rsidR="00DF26CF" w:rsidRPr="006D4988" w:rsidRDefault="009826B5" w:rsidP="009826B5">
      <w:pPr>
        <w:rPr>
          <w:rFonts w:cstheme="minorHAnsi"/>
        </w:rPr>
      </w:pPr>
      <w:r w:rsidRPr="006D4988">
        <w:rPr>
          <w:rFonts w:cstheme="minorHAnsi"/>
        </w:rPr>
        <w:t xml:space="preserve">The </w:t>
      </w:r>
      <w:r w:rsidR="00107526" w:rsidRPr="006D4988">
        <w:rPr>
          <w:rFonts w:cstheme="minorHAnsi"/>
        </w:rPr>
        <w:t xml:space="preserve">cost estimates of reporting from the consultation are </w:t>
      </w:r>
      <w:r w:rsidRPr="006D4988">
        <w:rPr>
          <w:rFonts w:cstheme="minorHAnsi"/>
        </w:rPr>
        <w:t>based on reporting for the 2013</w:t>
      </w:r>
      <w:r w:rsidR="00F52F86">
        <w:rPr>
          <w:rFonts w:cstheme="minorHAnsi"/>
        </w:rPr>
        <w:t>–</w:t>
      </w:r>
      <w:r w:rsidRPr="006D4988">
        <w:rPr>
          <w:rFonts w:cstheme="minorHAnsi"/>
        </w:rPr>
        <w:t>14 reporting period and do not include the additional requirements outlined in Schedule 2 due to commence in the 2015</w:t>
      </w:r>
      <w:r w:rsidR="00F52F86">
        <w:rPr>
          <w:rFonts w:cstheme="minorHAnsi"/>
        </w:rPr>
        <w:t>–</w:t>
      </w:r>
      <w:r w:rsidRPr="006D4988">
        <w:rPr>
          <w:rFonts w:cstheme="minorHAnsi"/>
        </w:rPr>
        <w:t xml:space="preserve">16 reporting period. </w:t>
      </w:r>
      <w:r w:rsidR="00107526" w:rsidRPr="006D4988">
        <w:rPr>
          <w:rFonts w:cstheme="minorHAnsi"/>
        </w:rPr>
        <w:t>Based on advice from employers and internal analysis, t</w:t>
      </w:r>
      <w:r w:rsidRPr="006D4988">
        <w:rPr>
          <w:rFonts w:cstheme="minorHAnsi"/>
        </w:rPr>
        <w:t xml:space="preserve">he Department has estimated that the Schedule 2 </w:t>
      </w:r>
      <w:r w:rsidR="00C61FDC" w:rsidRPr="006D4988">
        <w:rPr>
          <w:rFonts w:cstheme="minorHAnsi"/>
        </w:rPr>
        <w:t>components will</w:t>
      </w:r>
      <w:r w:rsidRPr="006D4988">
        <w:rPr>
          <w:rFonts w:cstheme="minorHAnsi"/>
        </w:rPr>
        <w:t xml:space="preserve"> </w:t>
      </w:r>
      <w:r w:rsidR="00FB7155">
        <w:rPr>
          <w:rFonts w:cstheme="minorHAnsi"/>
        </w:rPr>
        <w:t>more than</w:t>
      </w:r>
      <w:r w:rsidR="00FB7155" w:rsidRPr="006D4988">
        <w:rPr>
          <w:rFonts w:cstheme="minorHAnsi"/>
        </w:rPr>
        <w:t xml:space="preserve"> </w:t>
      </w:r>
      <w:r w:rsidRPr="006D4988">
        <w:rPr>
          <w:rFonts w:cstheme="minorHAnsi"/>
        </w:rPr>
        <w:t xml:space="preserve">double the impost </w:t>
      </w:r>
      <w:r w:rsidR="00F52F86">
        <w:rPr>
          <w:rFonts w:cstheme="minorHAnsi"/>
        </w:rPr>
        <w:t xml:space="preserve">of reporting </w:t>
      </w:r>
      <w:r w:rsidRPr="006D4988">
        <w:rPr>
          <w:rFonts w:cstheme="minorHAnsi"/>
        </w:rPr>
        <w:t xml:space="preserve">on employers. </w:t>
      </w:r>
    </w:p>
    <w:p w:rsidR="009826B5" w:rsidRPr="00836B22" w:rsidRDefault="00E11D37" w:rsidP="009826B5">
      <w:pPr>
        <w:rPr>
          <w:rFonts w:cstheme="minorHAnsi"/>
        </w:rPr>
      </w:pPr>
      <w:r w:rsidRPr="006D4988">
        <w:rPr>
          <w:rFonts w:cstheme="minorHAnsi"/>
        </w:rPr>
        <w:t>Should reporting remain unchanged</w:t>
      </w:r>
      <w:r w:rsidR="0068415D">
        <w:rPr>
          <w:rFonts w:cstheme="minorHAnsi"/>
        </w:rPr>
        <w:t>,</w:t>
      </w:r>
      <w:r w:rsidRPr="006D4988">
        <w:rPr>
          <w:rFonts w:cstheme="minorHAnsi"/>
        </w:rPr>
        <w:t xml:space="preserve"> the average </w:t>
      </w:r>
      <w:r w:rsidR="00107526" w:rsidRPr="006D4988">
        <w:rPr>
          <w:rFonts w:cstheme="minorHAnsi"/>
        </w:rPr>
        <w:t xml:space="preserve">annual </w:t>
      </w:r>
      <w:r w:rsidRPr="006D4988">
        <w:rPr>
          <w:rFonts w:cstheme="minorHAnsi"/>
        </w:rPr>
        <w:t>cost for reporting (commencing in the 201</w:t>
      </w:r>
      <w:r w:rsidR="007C6288" w:rsidRPr="006D4988">
        <w:rPr>
          <w:rFonts w:cstheme="minorHAnsi"/>
        </w:rPr>
        <w:t>5</w:t>
      </w:r>
      <w:r w:rsidR="0068415D">
        <w:rPr>
          <w:rFonts w:cstheme="minorHAnsi"/>
        </w:rPr>
        <w:t>–</w:t>
      </w:r>
      <w:r w:rsidR="007C6288" w:rsidRPr="006D4988">
        <w:rPr>
          <w:rFonts w:cstheme="minorHAnsi"/>
        </w:rPr>
        <w:t xml:space="preserve">16 </w:t>
      </w:r>
      <w:r w:rsidR="007C6288" w:rsidRPr="00836B22">
        <w:rPr>
          <w:rFonts w:cstheme="minorHAnsi"/>
        </w:rPr>
        <w:t>reporting period) is $</w:t>
      </w:r>
      <w:r w:rsidR="004360C9" w:rsidRPr="00836B22">
        <w:rPr>
          <w:rFonts w:cstheme="minorHAnsi"/>
        </w:rPr>
        <w:t>19</w:t>
      </w:r>
      <w:r w:rsidR="00107526" w:rsidRPr="00836B22">
        <w:rPr>
          <w:rFonts w:cstheme="minorHAnsi"/>
        </w:rPr>
        <w:t xml:space="preserve"> </w:t>
      </w:r>
      <w:r w:rsidRPr="00836B22">
        <w:rPr>
          <w:rFonts w:cstheme="minorHAnsi"/>
        </w:rPr>
        <w:t>m</w:t>
      </w:r>
      <w:r w:rsidR="008E092E" w:rsidRPr="00836B22">
        <w:rPr>
          <w:rFonts w:cstheme="minorHAnsi"/>
        </w:rPr>
        <w:t>illion</w:t>
      </w:r>
      <w:r w:rsidRPr="00836B22">
        <w:rPr>
          <w:rFonts w:cstheme="minorHAnsi"/>
        </w:rPr>
        <w:t xml:space="preserve"> for </w:t>
      </w:r>
      <w:r w:rsidR="003C37FD" w:rsidRPr="00836B22">
        <w:rPr>
          <w:rFonts w:cstheme="minorHAnsi"/>
        </w:rPr>
        <w:t>the 4660 reporting employers</w:t>
      </w:r>
      <w:r w:rsidR="00DD4A25" w:rsidRPr="00836B22">
        <w:rPr>
          <w:rFonts w:cstheme="minorHAnsi"/>
        </w:rPr>
        <w:t>,</w:t>
      </w:r>
      <w:r w:rsidRPr="00836B22">
        <w:rPr>
          <w:rFonts w:cstheme="minorHAnsi"/>
        </w:rPr>
        <w:t xml:space="preserve"> with an average per business cost of $40</w:t>
      </w:r>
      <w:r w:rsidR="004360C9" w:rsidRPr="00836B22">
        <w:rPr>
          <w:rFonts w:cstheme="minorHAnsi"/>
        </w:rPr>
        <w:t>69</w:t>
      </w:r>
      <w:r w:rsidRPr="00836B22">
        <w:rPr>
          <w:rFonts w:cstheme="minorHAnsi"/>
        </w:rPr>
        <w:t>.</w:t>
      </w:r>
    </w:p>
    <w:p w:rsidR="00F11B4F" w:rsidRPr="00836B22" w:rsidRDefault="00F11B4F" w:rsidP="009826B5">
      <w:pPr>
        <w:rPr>
          <w:rFonts w:cstheme="minorHAnsi"/>
        </w:rPr>
      </w:pPr>
      <w:r w:rsidRPr="00836B22">
        <w:rPr>
          <w:rFonts w:cstheme="minorHAnsi"/>
        </w:rPr>
        <w:t>The full consideration of this option has to include whether this option benefits not only women and employers but also other stakeholders</w:t>
      </w:r>
      <w:r w:rsidR="0068415D">
        <w:rPr>
          <w:rFonts w:cstheme="minorHAnsi"/>
        </w:rPr>
        <w:t>,</w:t>
      </w:r>
      <w:r w:rsidRPr="00836B22">
        <w:rPr>
          <w:rFonts w:cstheme="minorHAnsi"/>
        </w:rPr>
        <w:t xml:space="preserve"> such as the business community, shareholders, the wider economic environment </w:t>
      </w:r>
      <w:r w:rsidR="0068415D">
        <w:rPr>
          <w:rFonts w:cstheme="minorHAnsi"/>
        </w:rPr>
        <w:t>and</w:t>
      </w:r>
      <w:r w:rsidRPr="00836B22">
        <w:rPr>
          <w:rFonts w:cstheme="minorHAnsi"/>
        </w:rPr>
        <w:t xml:space="preserve"> social </w:t>
      </w:r>
      <w:r w:rsidR="00B75A5A" w:rsidRPr="00836B22">
        <w:rPr>
          <w:rFonts w:cstheme="minorHAnsi"/>
        </w:rPr>
        <w:t>analysts</w:t>
      </w:r>
      <w:r w:rsidRPr="00836B22">
        <w:rPr>
          <w:rFonts w:cstheme="minorHAnsi"/>
        </w:rPr>
        <w:t xml:space="preserve">. On balance, retaining the full component of reporting when it is often the case that it impinges on an employer’s resources, while delivering information that is not entirely fit for purpose, is </w:t>
      </w:r>
      <w:r w:rsidR="000E2589" w:rsidRPr="00836B22">
        <w:rPr>
          <w:rFonts w:cstheme="minorHAnsi"/>
        </w:rPr>
        <w:t>not an</w:t>
      </w:r>
      <w:r w:rsidRPr="00836B22">
        <w:rPr>
          <w:rFonts w:cstheme="minorHAnsi"/>
        </w:rPr>
        <w:t xml:space="preserve"> efficient </w:t>
      </w:r>
      <w:r w:rsidR="000E2589" w:rsidRPr="00836B22">
        <w:rPr>
          <w:rFonts w:cstheme="minorHAnsi"/>
        </w:rPr>
        <w:t xml:space="preserve">or </w:t>
      </w:r>
      <w:r w:rsidRPr="00836B22">
        <w:rPr>
          <w:rFonts w:cstheme="minorHAnsi"/>
        </w:rPr>
        <w:t xml:space="preserve">effective way to improve </w:t>
      </w:r>
      <w:r w:rsidR="00AB36E4" w:rsidRPr="00836B22">
        <w:rPr>
          <w:rFonts w:cstheme="minorHAnsi"/>
        </w:rPr>
        <w:t xml:space="preserve">gender </w:t>
      </w:r>
      <w:r w:rsidR="00836B22" w:rsidRPr="00836B22">
        <w:rPr>
          <w:rFonts w:cstheme="minorHAnsi"/>
        </w:rPr>
        <w:t>equality</w:t>
      </w:r>
      <w:r w:rsidR="00AB36E4" w:rsidRPr="00836B22">
        <w:rPr>
          <w:rFonts w:cstheme="minorHAnsi"/>
        </w:rPr>
        <w:t xml:space="preserve"> in the workplace</w:t>
      </w:r>
      <w:r w:rsidRPr="00836B22">
        <w:rPr>
          <w:rFonts w:cstheme="minorHAnsi"/>
        </w:rPr>
        <w:t xml:space="preserve">. </w:t>
      </w:r>
      <w:r w:rsidR="00CC7564" w:rsidRPr="00836B22">
        <w:rPr>
          <w:rFonts w:cstheme="minorHAnsi"/>
        </w:rPr>
        <w:t>While women’s advocacy groups support the collection of all data, collecting and acting upon unreliable data is counterproductive. To engage in the process</w:t>
      </w:r>
      <w:r w:rsidR="0068415D">
        <w:rPr>
          <w:rFonts w:cstheme="minorHAnsi"/>
        </w:rPr>
        <w:t>,</w:t>
      </w:r>
      <w:r w:rsidR="00CC7564" w:rsidRPr="00836B22">
        <w:rPr>
          <w:rFonts w:cstheme="minorHAnsi"/>
        </w:rPr>
        <w:t xml:space="preserve"> employers must have confidence in the end product.</w:t>
      </w:r>
    </w:p>
    <w:p w:rsidR="006D2745" w:rsidRPr="006D4988" w:rsidRDefault="006D2745" w:rsidP="003461F5">
      <w:pPr>
        <w:rPr>
          <w:rFonts w:cstheme="minorHAnsi"/>
        </w:rPr>
      </w:pPr>
      <w:r w:rsidRPr="006D4988">
        <w:rPr>
          <w:rFonts w:cstheme="minorHAnsi"/>
        </w:rPr>
        <w:t>It is for these reasons that maintaining the status quo is not recommended.</w:t>
      </w:r>
    </w:p>
    <w:p w:rsidR="00442CA4" w:rsidRPr="0069298D" w:rsidRDefault="0011095F" w:rsidP="0069298D">
      <w:pPr>
        <w:pStyle w:val="Heading2"/>
        <w:rPr>
          <w:rFonts w:asciiTheme="minorHAnsi" w:hAnsiTheme="minorHAnsi" w:cstheme="minorHAnsi"/>
        </w:rPr>
      </w:pPr>
      <w:bookmarkStart w:id="32" w:name="_Toc404158261"/>
      <w:bookmarkStart w:id="33" w:name="_Toc405895163"/>
      <w:r w:rsidRPr="0069298D">
        <w:rPr>
          <w:rFonts w:asciiTheme="minorHAnsi" w:hAnsiTheme="minorHAnsi" w:cstheme="minorHAnsi"/>
        </w:rPr>
        <w:lastRenderedPageBreak/>
        <w:t>O</w:t>
      </w:r>
      <w:r w:rsidR="00BB578E" w:rsidRPr="0069298D">
        <w:rPr>
          <w:rFonts w:asciiTheme="minorHAnsi" w:hAnsiTheme="minorHAnsi" w:cstheme="minorHAnsi"/>
        </w:rPr>
        <w:t xml:space="preserve">ption 2: </w:t>
      </w:r>
      <w:r w:rsidR="00442CA4" w:rsidRPr="0069298D">
        <w:rPr>
          <w:rFonts w:asciiTheme="minorHAnsi" w:hAnsiTheme="minorHAnsi" w:cstheme="minorHAnsi"/>
        </w:rPr>
        <w:t xml:space="preserve">Streamline </w:t>
      </w:r>
      <w:r w:rsidR="00D932D3" w:rsidRPr="0069298D">
        <w:rPr>
          <w:rFonts w:asciiTheme="minorHAnsi" w:hAnsiTheme="minorHAnsi" w:cstheme="minorHAnsi"/>
        </w:rPr>
        <w:t>r</w:t>
      </w:r>
      <w:r w:rsidR="00442CA4" w:rsidRPr="0069298D">
        <w:rPr>
          <w:rFonts w:asciiTheme="minorHAnsi" w:hAnsiTheme="minorHAnsi" w:cstheme="minorHAnsi"/>
        </w:rPr>
        <w:t xml:space="preserve">eporting </w:t>
      </w:r>
      <w:r w:rsidR="00D932D3" w:rsidRPr="0069298D">
        <w:rPr>
          <w:rFonts w:asciiTheme="minorHAnsi" w:hAnsiTheme="minorHAnsi" w:cstheme="minorHAnsi"/>
        </w:rPr>
        <w:t>r</w:t>
      </w:r>
      <w:r w:rsidR="00442CA4" w:rsidRPr="0069298D">
        <w:rPr>
          <w:rFonts w:asciiTheme="minorHAnsi" w:hAnsiTheme="minorHAnsi" w:cstheme="minorHAnsi"/>
        </w:rPr>
        <w:t>equirements</w:t>
      </w:r>
      <w:r w:rsidR="00283637" w:rsidRPr="0069298D">
        <w:rPr>
          <w:rFonts w:asciiTheme="minorHAnsi" w:hAnsiTheme="minorHAnsi" w:cstheme="minorHAnsi"/>
        </w:rPr>
        <w:t xml:space="preserve"> </w:t>
      </w:r>
      <w:r w:rsidR="00582117" w:rsidRPr="0069298D">
        <w:rPr>
          <w:rFonts w:asciiTheme="minorHAnsi" w:hAnsiTheme="minorHAnsi" w:cstheme="minorHAnsi"/>
        </w:rPr>
        <w:t>(</w:t>
      </w:r>
      <w:r w:rsidR="00283637" w:rsidRPr="0069298D">
        <w:rPr>
          <w:rFonts w:asciiTheme="minorHAnsi" w:hAnsiTheme="minorHAnsi" w:cstheme="minorHAnsi"/>
        </w:rPr>
        <w:t xml:space="preserve">significant removal of remuneration </w:t>
      </w:r>
      <w:r w:rsidR="00E660A1" w:rsidRPr="0069298D">
        <w:rPr>
          <w:rFonts w:asciiTheme="minorHAnsi" w:hAnsiTheme="minorHAnsi" w:cstheme="minorHAnsi"/>
        </w:rPr>
        <w:t>data and reduced Schedule 2 components</w:t>
      </w:r>
      <w:r w:rsidR="00582117" w:rsidRPr="0069298D">
        <w:rPr>
          <w:rFonts w:asciiTheme="minorHAnsi" w:hAnsiTheme="minorHAnsi" w:cstheme="minorHAnsi"/>
        </w:rPr>
        <w:t>)</w:t>
      </w:r>
      <w:bookmarkEnd w:id="32"/>
      <w:bookmarkEnd w:id="33"/>
    </w:p>
    <w:p w:rsidR="001F0622" w:rsidRPr="006D4988" w:rsidRDefault="00710788" w:rsidP="001F0622">
      <w:pPr>
        <w:rPr>
          <w:rFonts w:cstheme="minorHAnsi"/>
        </w:rPr>
      </w:pPr>
      <w:r w:rsidRPr="006D4988">
        <w:rPr>
          <w:rFonts w:cstheme="minorHAnsi"/>
        </w:rPr>
        <w:t xml:space="preserve">This option includes maintaining </w:t>
      </w:r>
      <w:r w:rsidR="003E6BB4" w:rsidRPr="006D4988">
        <w:rPr>
          <w:rFonts w:cstheme="minorHAnsi"/>
        </w:rPr>
        <w:t>much</w:t>
      </w:r>
      <w:r w:rsidRPr="006D4988">
        <w:rPr>
          <w:rFonts w:cstheme="minorHAnsi"/>
        </w:rPr>
        <w:t xml:space="preserve"> of</w:t>
      </w:r>
      <w:r w:rsidR="003E6BB4" w:rsidRPr="006D4988">
        <w:rPr>
          <w:rFonts w:cstheme="minorHAnsi"/>
        </w:rPr>
        <w:t xml:space="preserve"> the</w:t>
      </w:r>
      <w:r w:rsidRPr="006D4988">
        <w:rPr>
          <w:rFonts w:cstheme="minorHAnsi"/>
        </w:rPr>
        <w:t xml:space="preserve"> existing reporting requirements, </w:t>
      </w:r>
      <w:r w:rsidR="00574B5C" w:rsidRPr="006D4988">
        <w:rPr>
          <w:rFonts w:cstheme="minorHAnsi"/>
        </w:rPr>
        <w:t>while</w:t>
      </w:r>
      <w:r w:rsidRPr="006D4988">
        <w:rPr>
          <w:rFonts w:cstheme="minorHAnsi"/>
        </w:rPr>
        <w:t xml:space="preserve"> s</w:t>
      </w:r>
      <w:r w:rsidR="004F188D" w:rsidRPr="006D4988">
        <w:rPr>
          <w:rFonts w:cstheme="minorHAnsi"/>
        </w:rPr>
        <w:t>treamlining</w:t>
      </w:r>
      <w:r w:rsidRPr="006D4988">
        <w:rPr>
          <w:rFonts w:cstheme="minorHAnsi"/>
        </w:rPr>
        <w:t xml:space="preserve"> some</w:t>
      </w:r>
      <w:r w:rsidR="004F188D" w:rsidRPr="006D4988">
        <w:rPr>
          <w:rFonts w:cstheme="minorHAnsi"/>
        </w:rPr>
        <w:t xml:space="preserve"> reporting requirements</w:t>
      </w:r>
      <w:r w:rsidR="003E6BB4" w:rsidRPr="006D4988">
        <w:rPr>
          <w:rFonts w:cstheme="minorHAnsi"/>
        </w:rPr>
        <w:t xml:space="preserve"> from the workplace profile and </w:t>
      </w:r>
      <w:r w:rsidR="00574B5C" w:rsidRPr="006D4988">
        <w:rPr>
          <w:rFonts w:cstheme="minorHAnsi"/>
        </w:rPr>
        <w:t xml:space="preserve">removing much of </w:t>
      </w:r>
      <w:r w:rsidR="003E6BB4" w:rsidRPr="006D4988">
        <w:rPr>
          <w:rFonts w:cstheme="minorHAnsi"/>
        </w:rPr>
        <w:t>the requirements from Schedule 2</w:t>
      </w:r>
      <w:r w:rsidR="008C21D0" w:rsidRPr="006D4988">
        <w:rPr>
          <w:rFonts w:cstheme="minorHAnsi"/>
        </w:rPr>
        <w:t xml:space="preserve">. </w:t>
      </w:r>
    </w:p>
    <w:p w:rsidR="00E13C11" w:rsidRPr="006D4988" w:rsidRDefault="00E13C11" w:rsidP="00C82462">
      <w:pPr>
        <w:rPr>
          <w:rFonts w:cstheme="minorHAnsi"/>
        </w:rPr>
      </w:pPr>
      <w:r w:rsidRPr="006D4988">
        <w:rPr>
          <w:rFonts w:cstheme="minorHAnsi"/>
        </w:rPr>
        <w:t xml:space="preserve">The proposed option seeks to reach a balance between ensuring the data collected is reliable and effective in driving gender equality change in the </w:t>
      </w:r>
      <w:r w:rsidRPr="00D441A5">
        <w:rPr>
          <w:rFonts w:cstheme="minorHAnsi"/>
        </w:rPr>
        <w:t>workplace, while being manag</w:t>
      </w:r>
      <w:r w:rsidR="00D441A5" w:rsidRPr="00D441A5">
        <w:rPr>
          <w:rFonts w:cstheme="minorHAnsi"/>
        </w:rPr>
        <w:t>eable for employers to report</w:t>
      </w:r>
      <w:r w:rsidRPr="00D441A5">
        <w:rPr>
          <w:rFonts w:cstheme="minorHAnsi"/>
        </w:rPr>
        <w:t>. In particular, this option retain</w:t>
      </w:r>
      <w:r w:rsidR="000E2589" w:rsidRPr="00D441A5">
        <w:rPr>
          <w:rFonts w:cstheme="minorHAnsi"/>
        </w:rPr>
        <w:t>s the</w:t>
      </w:r>
      <w:r w:rsidRPr="00D441A5">
        <w:rPr>
          <w:rFonts w:cstheme="minorHAnsi"/>
        </w:rPr>
        <w:t xml:space="preserve"> collection of the most important data </w:t>
      </w:r>
      <w:r w:rsidR="00C82462" w:rsidRPr="00D441A5">
        <w:rPr>
          <w:rFonts w:cstheme="minorHAnsi"/>
        </w:rPr>
        <w:t>(gender composition of the workforce by employment status, manager</w:t>
      </w:r>
      <w:r w:rsidR="0068415D">
        <w:rPr>
          <w:rFonts w:cstheme="minorHAnsi"/>
        </w:rPr>
        <w:t>s</w:t>
      </w:r>
      <w:r w:rsidR="00C82462" w:rsidRPr="00D441A5">
        <w:rPr>
          <w:rFonts w:cstheme="minorHAnsi"/>
        </w:rPr>
        <w:t xml:space="preserve"> and non-managers, gender composition of non-managers by occupational categories, base and total remuneration data of management staff, reporting distance from the </w:t>
      </w:r>
      <w:proofErr w:type="spellStart"/>
      <w:r w:rsidR="00C82462" w:rsidRPr="00D441A5">
        <w:rPr>
          <w:rFonts w:cstheme="minorHAnsi"/>
        </w:rPr>
        <w:t>CEO</w:t>
      </w:r>
      <w:proofErr w:type="spellEnd"/>
      <w:r w:rsidR="00C82462" w:rsidRPr="00D441A5">
        <w:rPr>
          <w:rFonts w:cstheme="minorHAnsi"/>
        </w:rPr>
        <w:t>, details of recruitment outcomes, availability and utilisation of flexible work arrangements, methods undertaken by employers to consult with employees on gender equality in the workplace and policies and practices to address sex</w:t>
      </w:r>
      <w:r w:rsidR="0068415D">
        <w:rPr>
          <w:rFonts w:cstheme="minorHAnsi"/>
        </w:rPr>
        <w:t>-</w:t>
      </w:r>
      <w:r w:rsidR="00C82462" w:rsidRPr="00D441A5">
        <w:rPr>
          <w:rFonts w:cstheme="minorHAnsi"/>
        </w:rPr>
        <w:t>based harassment and discrimination)</w:t>
      </w:r>
      <w:r w:rsidR="008025F8" w:rsidRPr="00D441A5">
        <w:t xml:space="preserve"> </w:t>
      </w:r>
      <w:r w:rsidRPr="00D441A5">
        <w:rPr>
          <w:rFonts w:cstheme="minorHAnsi"/>
        </w:rPr>
        <w:t>for supporting gender equity</w:t>
      </w:r>
      <w:r w:rsidR="0068415D">
        <w:rPr>
          <w:rFonts w:cstheme="minorHAnsi"/>
        </w:rPr>
        <w:t>,</w:t>
      </w:r>
      <w:r w:rsidRPr="00D441A5">
        <w:rPr>
          <w:rFonts w:cstheme="minorHAnsi"/>
        </w:rPr>
        <w:t xml:space="preserve"> which is also the least difficult for employers to obtain.</w:t>
      </w:r>
      <w:r w:rsidRPr="006D4988">
        <w:rPr>
          <w:rFonts w:cstheme="minorHAnsi"/>
        </w:rPr>
        <w:t xml:space="preserve"> </w:t>
      </w:r>
    </w:p>
    <w:p w:rsidR="000140C5" w:rsidRPr="006D4988" w:rsidRDefault="006D2745" w:rsidP="001F0622">
      <w:pPr>
        <w:rPr>
          <w:rFonts w:cstheme="minorHAnsi"/>
        </w:rPr>
      </w:pPr>
      <w:r w:rsidRPr="006D4988">
        <w:rPr>
          <w:rFonts w:cstheme="minorHAnsi"/>
        </w:rPr>
        <w:t xml:space="preserve">As discussed </w:t>
      </w:r>
      <w:r w:rsidR="008359C9">
        <w:rPr>
          <w:rFonts w:cstheme="minorHAnsi"/>
        </w:rPr>
        <w:t>in</w:t>
      </w:r>
      <w:r w:rsidR="00DF26CF" w:rsidRPr="006D4988">
        <w:rPr>
          <w:rFonts w:cstheme="minorHAnsi"/>
        </w:rPr>
        <w:t xml:space="preserve"> Option 1</w:t>
      </w:r>
      <w:r w:rsidRPr="006D4988">
        <w:rPr>
          <w:rFonts w:cstheme="minorHAnsi"/>
        </w:rPr>
        <w:t xml:space="preserve">, </w:t>
      </w:r>
      <w:r w:rsidR="006D4E6A" w:rsidRPr="006D4988">
        <w:rPr>
          <w:rFonts w:cstheme="minorHAnsi"/>
        </w:rPr>
        <w:t>employers and</w:t>
      </w:r>
      <w:r w:rsidR="000140C5" w:rsidRPr="006D4988">
        <w:rPr>
          <w:rFonts w:cstheme="minorHAnsi"/>
        </w:rPr>
        <w:t xml:space="preserve"> industry representatives </w:t>
      </w:r>
      <w:r w:rsidR="004D29BA">
        <w:rPr>
          <w:rFonts w:cstheme="minorHAnsi"/>
        </w:rPr>
        <w:t xml:space="preserve">who participated in the consultation process </w:t>
      </w:r>
      <w:r w:rsidR="008C21D0" w:rsidRPr="006D4988">
        <w:rPr>
          <w:rFonts w:cstheme="minorHAnsi"/>
        </w:rPr>
        <w:t xml:space="preserve">expressed </w:t>
      </w:r>
      <w:r w:rsidR="000140C5" w:rsidRPr="006D4988">
        <w:rPr>
          <w:rFonts w:cstheme="minorHAnsi"/>
        </w:rPr>
        <w:t xml:space="preserve">that </w:t>
      </w:r>
      <w:r w:rsidR="00F40A18" w:rsidRPr="006D4988">
        <w:rPr>
          <w:rFonts w:cstheme="minorHAnsi"/>
        </w:rPr>
        <w:t xml:space="preserve">much of </w:t>
      </w:r>
      <w:r w:rsidR="008C21D0" w:rsidRPr="006D4988">
        <w:rPr>
          <w:rFonts w:cstheme="minorHAnsi"/>
        </w:rPr>
        <w:t xml:space="preserve">the </w:t>
      </w:r>
      <w:r w:rsidR="00CB5FAE">
        <w:rPr>
          <w:rFonts w:cstheme="minorHAnsi"/>
        </w:rPr>
        <w:t xml:space="preserve">additional </w:t>
      </w:r>
      <w:r w:rsidR="008C21D0" w:rsidRPr="006D4988">
        <w:rPr>
          <w:rFonts w:cstheme="minorHAnsi"/>
        </w:rPr>
        <w:t>reporting requirements</w:t>
      </w:r>
      <w:r w:rsidR="000140C5" w:rsidRPr="006D4988">
        <w:rPr>
          <w:rFonts w:cstheme="minorHAnsi"/>
        </w:rPr>
        <w:t xml:space="preserve"> outlined in Schedule 2 and components of Schedule 1</w:t>
      </w:r>
      <w:r w:rsidR="00EC0AA4">
        <w:rPr>
          <w:rFonts w:cstheme="minorHAnsi"/>
        </w:rPr>
        <w:t xml:space="preserve">, </w:t>
      </w:r>
      <w:r w:rsidR="00DF26CF" w:rsidRPr="006D4988">
        <w:rPr>
          <w:rFonts w:cstheme="minorHAnsi"/>
        </w:rPr>
        <w:t>specifically the workplace profile</w:t>
      </w:r>
      <w:r w:rsidR="00EC0AA4">
        <w:rPr>
          <w:rFonts w:cstheme="minorHAnsi"/>
        </w:rPr>
        <w:t xml:space="preserve"> and the</w:t>
      </w:r>
      <w:r w:rsidR="00064D6B" w:rsidRPr="006D4988">
        <w:rPr>
          <w:rFonts w:cstheme="minorHAnsi"/>
        </w:rPr>
        <w:t xml:space="preserve"> remuneration</w:t>
      </w:r>
      <w:r w:rsidR="00384DBD" w:rsidRPr="006D4988">
        <w:rPr>
          <w:rFonts w:cstheme="minorHAnsi"/>
        </w:rPr>
        <w:t xml:space="preserve"> </w:t>
      </w:r>
      <w:r w:rsidR="00E20555" w:rsidRPr="006D4988">
        <w:rPr>
          <w:rFonts w:cstheme="minorHAnsi"/>
        </w:rPr>
        <w:t>data</w:t>
      </w:r>
      <w:r w:rsidR="00346876">
        <w:rPr>
          <w:rFonts w:cstheme="minorHAnsi"/>
        </w:rPr>
        <w:t>,</w:t>
      </w:r>
      <w:r w:rsidR="008359C9">
        <w:rPr>
          <w:rFonts w:cstheme="minorHAnsi"/>
        </w:rPr>
        <w:t xml:space="preserve"> were likely to </w:t>
      </w:r>
      <w:r w:rsidR="00347552" w:rsidRPr="006D4988">
        <w:rPr>
          <w:rFonts w:cstheme="minorHAnsi"/>
        </w:rPr>
        <w:t>produce unreliable data that is not robust enough for analysis and ultimately is of little assistance for individual businesses to use in working towards workplace gender equality</w:t>
      </w:r>
      <w:r w:rsidR="00347552">
        <w:rPr>
          <w:rFonts w:cstheme="minorHAnsi"/>
        </w:rPr>
        <w:t>. Employers have also indicated that these elements of reporting</w:t>
      </w:r>
      <w:r w:rsidR="00AD1AA8">
        <w:rPr>
          <w:rFonts w:cstheme="minorHAnsi"/>
        </w:rPr>
        <w:t xml:space="preserve"> </w:t>
      </w:r>
      <w:r w:rsidR="008C21D0" w:rsidRPr="006D4988">
        <w:rPr>
          <w:rFonts w:cstheme="minorHAnsi"/>
        </w:rPr>
        <w:t>are</w:t>
      </w:r>
      <w:r w:rsidR="000140C5" w:rsidRPr="006D4988">
        <w:rPr>
          <w:rFonts w:cstheme="minorHAnsi"/>
        </w:rPr>
        <w:t xml:space="preserve"> too onerous</w:t>
      </w:r>
      <w:r w:rsidR="008C21D0" w:rsidRPr="006D4988">
        <w:rPr>
          <w:rFonts w:cstheme="minorHAnsi"/>
        </w:rPr>
        <w:t xml:space="preserve"> to collect</w:t>
      </w:r>
      <w:r w:rsidR="00D441A5">
        <w:rPr>
          <w:rFonts w:cstheme="minorHAnsi"/>
        </w:rPr>
        <w:t xml:space="preserve"> and manipulate in accordance with the reporting format</w:t>
      </w:r>
      <w:r w:rsidR="00AD1AA8">
        <w:rPr>
          <w:rFonts w:cstheme="minorHAnsi"/>
        </w:rPr>
        <w:t>.</w:t>
      </w:r>
      <w:r w:rsidR="000140C5" w:rsidRPr="006D4988">
        <w:rPr>
          <w:rFonts w:cstheme="minorHAnsi"/>
        </w:rPr>
        <w:t xml:space="preserve"> </w:t>
      </w:r>
      <w:r w:rsidR="001F0622" w:rsidRPr="006D4988">
        <w:rPr>
          <w:rFonts w:cstheme="minorHAnsi"/>
        </w:rPr>
        <w:t xml:space="preserve"> </w:t>
      </w:r>
    </w:p>
    <w:p w:rsidR="0001149B" w:rsidRPr="006D4988" w:rsidRDefault="00582117" w:rsidP="0001149B">
      <w:pPr>
        <w:rPr>
          <w:rFonts w:cstheme="minorHAnsi"/>
        </w:rPr>
      </w:pPr>
      <w:r w:rsidRPr="006D4988">
        <w:rPr>
          <w:rFonts w:cstheme="minorHAnsi"/>
        </w:rPr>
        <w:t>This proposal will retain reporting on remuneration for managers only and remove reporting on remuneration for all non</w:t>
      </w:r>
      <w:r w:rsidRPr="006D4988">
        <w:rPr>
          <w:rFonts w:cstheme="minorHAnsi"/>
        </w:rPr>
        <w:noBreakHyphen/>
        <w:t>manager employees</w:t>
      </w:r>
      <w:r w:rsidRPr="00A51D75">
        <w:rPr>
          <w:rFonts w:cstheme="minorHAnsi"/>
        </w:rPr>
        <w:t xml:space="preserve">. </w:t>
      </w:r>
      <w:r w:rsidR="0001149B" w:rsidRPr="00A51D75">
        <w:rPr>
          <w:rFonts w:cstheme="minorHAnsi"/>
        </w:rPr>
        <w:t>Evidence from the consultation process</w:t>
      </w:r>
      <w:r w:rsidR="0068415D">
        <w:rPr>
          <w:rFonts w:cstheme="minorHAnsi"/>
        </w:rPr>
        <w:t>,</w:t>
      </w:r>
      <w:r w:rsidR="0001149B" w:rsidRPr="00A51D75">
        <w:rPr>
          <w:rFonts w:cstheme="minorHAnsi"/>
        </w:rPr>
        <w:t xml:space="preserve"> and from the Agency</w:t>
      </w:r>
      <w:r w:rsidR="0068415D">
        <w:rPr>
          <w:rFonts w:cstheme="minorHAnsi"/>
        </w:rPr>
        <w:t>,</w:t>
      </w:r>
      <w:r w:rsidR="0001149B" w:rsidRPr="00A51D75">
        <w:rPr>
          <w:rFonts w:cstheme="minorHAnsi"/>
        </w:rPr>
        <w:t xml:space="preserve"> suggests that</w:t>
      </w:r>
      <w:r w:rsidR="00574B5C" w:rsidRPr="00A51D75">
        <w:rPr>
          <w:rFonts w:cstheme="minorHAnsi"/>
        </w:rPr>
        <w:t xml:space="preserve"> </w:t>
      </w:r>
      <w:r w:rsidR="00EC0AA4" w:rsidRPr="00A51D75">
        <w:rPr>
          <w:rFonts w:cstheme="minorHAnsi"/>
        </w:rPr>
        <w:t>some</w:t>
      </w:r>
      <w:r w:rsidR="00574B5C" w:rsidRPr="00A51D75">
        <w:rPr>
          <w:rFonts w:cstheme="minorHAnsi"/>
        </w:rPr>
        <w:t xml:space="preserve"> of</w:t>
      </w:r>
      <w:r w:rsidR="0001149B" w:rsidRPr="00A51D75">
        <w:rPr>
          <w:rFonts w:cstheme="minorHAnsi"/>
        </w:rPr>
        <w:t xml:space="preserve"> the remuneration data being collected </w:t>
      </w:r>
      <w:r w:rsidR="0068415D">
        <w:rPr>
          <w:rFonts w:cstheme="minorHAnsi"/>
        </w:rPr>
        <w:t>might</w:t>
      </w:r>
      <w:r w:rsidR="0068415D" w:rsidRPr="00A51D75">
        <w:rPr>
          <w:rFonts w:cstheme="minorHAnsi"/>
        </w:rPr>
        <w:t xml:space="preserve"> </w:t>
      </w:r>
      <w:r w:rsidR="0001149B" w:rsidRPr="00A51D75">
        <w:rPr>
          <w:rFonts w:cstheme="minorHAnsi"/>
        </w:rPr>
        <w:t>be poor quality</w:t>
      </w:r>
      <w:r w:rsidR="00DB68D9" w:rsidRPr="00A51D75">
        <w:rPr>
          <w:rFonts w:cstheme="minorHAnsi"/>
        </w:rPr>
        <w:t>, when categorised by t</w:t>
      </w:r>
      <w:r w:rsidR="00EC0AA4" w:rsidRPr="00A51D75">
        <w:rPr>
          <w:rFonts w:cstheme="minorHAnsi"/>
        </w:rPr>
        <w:t xml:space="preserve">he </w:t>
      </w:r>
      <w:r w:rsidR="00DB68D9" w:rsidRPr="00A51D75">
        <w:rPr>
          <w:rFonts w:cstheme="minorHAnsi"/>
        </w:rPr>
        <w:t xml:space="preserve">non-manager </w:t>
      </w:r>
      <w:r w:rsidR="00EC0AA4" w:rsidRPr="00A51D75">
        <w:rPr>
          <w:rFonts w:cstheme="minorHAnsi"/>
        </w:rPr>
        <w:t>occupational categories</w:t>
      </w:r>
      <w:r w:rsidR="00DB68D9" w:rsidRPr="00A51D75">
        <w:rPr>
          <w:rFonts w:cstheme="minorHAnsi"/>
        </w:rPr>
        <w:t xml:space="preserve"> </w:t>
      </w:r>
      <w:r w:rsidR="008359C9" w:rsidRPr="00A51D75">
        <w:rPr>
          <w:rFonts w:cstheme="minorHAnsi"/>
        </w:rPr>
        <w:t xml:space="preserve">it is </w:t>
      </w:r>
      <w:r w:rsidR="00DB68D9" w:rsidRPr="00A51D75">
        <w:rPr>
          <w:rFonts w:cstheme="minorHAnsi"/>
        </w:rPr>
        <w:t>too broad</w:t>
      </w:r>
      <w:r w:rsidR="0001149B" w:rsidRPr="00A51D75">
        <w:rPr>
          <w:rFonts w:cstheme="minorHAnsi"/>
        </w:rPr>
        <w:t>, of limited value to employers and difficult to obtain.</w:t>
      </w:r>
      <w:r w:rsidR="0001149B" w:rsidRPr="006D4988">
        <w:rPr>
          <w:rFonts w:cstheme="minorHAnsi"/>
        </w:rPr>
        <w:t xml:space="preserve"> </w:t>
      </w:r>
      <w:r w:rsidR="00196591" w:rsidRPr="006D4988">
        <w:rPr>
          <w:rFonts w:cstheme="minorHAnsi"/>
        </w:rPr>
        <w:t xml:space="preserve">For many reporting employers, payroll data </w:t>
      </w:r>
      <w:r w:rsidR="0068415D">
        <w:rPr>
          <w:rFonts w:cstheme="minorHAnsi"/>
        </w:rPr>
        <w:t xml:space="preserve">must be </w:t>
      </w:r>
      <w:r w:rsidR="00275FA0" w:rsidRPr="006D4988">
        <w:rPr>
          <w:rFonts w:cstheme="minorHAnsi"/>
        </w:rPr>
        <w:t>extract</w:t>
      </w:r>
      <w:r w:rsidR="00575C9B">
        <w:rPr>
          <w:rFonts w:cstheme="minorHAnsi"/>
        </w:rPr>
        <w:t>ed</w:t>
      </w:r>
      <w:r w:rsidR="00196591" w:rsidRPr="006D4988">
        <w:rPr>
          <w:rFonts w:cstheme="minorHAnsi"/>
        </w:rPr>
        <w:t xml:space="preserve"> from multiple payroll systems that then </w:t>
      </w:r>
      <w:proofErr w:type="gramStart"/>
      <w:r w:rsidR="00196591" w:rsidRPr="006D4988">
        <w:rPr>
          <w:rFonts w:cstheme="minorHAnsi"/>
        </w:rPr>
        <w:t>requires</w:t>
      </w:r>
      <w:proofErr w:type="gramEnd"/>
      <w:r w:rsidR="00196591" w:rsidRPr="006D4988">
        <w:rPr>
          <w:rFonts w:cstheme="minorHAnsi"/>
        </w:rPr>
        <w:t xml:space="preserve"> </w:t>
      </w:r>
      <w:r w:rsidR="00275FA0" w:rsidRPr="006D4988">
        <w:rPr>
          <w:rFonts w:cstheme="minorHAnsi"/>
        </w:rPr>
        <w:t xml:space="preserve">significant </w:t>
      </w:r>
      <w:r w:rsidR="00196591" w:rsidRPr="006D4988">
        <w:rPr>
          <w:rFonts w:cstheme="minorHAnsi"/>
        </w:rPr>
        <w:t xml:space="preserve">manipulation to provide annualised full-time equivalent </w:t>
      </w:r>
      <w:r w:rsidR="00275FA0" w:rsidRPr="006D4988">
        <w:rPr>
          <w:rFonts w:cstheme="minorHAnsi"/>
        </w:rPr>
        <w:t xml:space="preserve">figures. This high level of manipulation is </w:t>
      </w:r>
      <w:r w:rsidR="00347552">
        <w:rPr>
          <w:rFonts w:cstheme="minorHAnsi"/>
        </w:rPr>
        <w:t xml:space="preserve">both time consuming and </w:t>
      </w:r>
      <w:r w:rsidR="00275FA0" w:rsidRPr="006D4988">
        <w:rPr>
          <w:rFonts w:cstheme="minorHAnsi"/>
        </w:rPr>
        <w:t xml:space="preserve">costly. </w:t>
      </w:r>
    </w:p>
    <w:p w:rsidR="00211E1B" w:rsidRDefault="00211E1B" w:rsidP="0001149B">
      <w:pPr>
        <w:rPr>
          <w:rFonts w:cstheme="minorHAnsi"/>
        </w:rPr>
      </w:pPr>
      <w:r w:rsidRPr="0064559C">
        <w:rPr>
          <w:rFonts w:cstheme="minorHAnsi"/>
        </w:rPr>
        <w:t>The alternative to removing the remuneration data is to increase the number of non-manager categories to make the data more accurate and meaningful, however this will impose an even greater reporting burden on employers.</w:t>
      </w:r>
      <w:r>
        <w:rPr>
          <w:rFonts w:cstheme="minorHAnsi"/>
        </w:rPr>
        <w:t xml:space="preserve"> </w:t>
      </w:r>
      <w:r w:rsidR="00D441A5">
        <w:rPr>
          <w:rFonts w:cstheme="minorHAnsi"/>
        </w:rPr>
        <w:t>Whether or not this would provide more effective data has not been tested.</w:t>
      </w:r>
    </w:p>
    <w:p w:rsidR="00E13C11" w:rsidRPr="006D4988" w:rsidRDefault="006B3855" w:rsidP="0001149B">
      <w:pPr>
        <w:rPr>
          <w:rFonts w:cstheme="minorHAnsi"/>
        </w:rPr>
      </w:pPr>
      <w:r w:rsidRPr="006D4988">
        <w:rPr>
          <w:rFonts w:cstheme="minorHAnsi"/>
        </w:rPr>
        <w:t>Requiring</w:t>
      </w:r>
      <w:r w:rsidR="00D96D03" w:rsidRPr="006D4988">
        <w:rPr>
          <w:rFonts w:cstheme="minorHAnsi"/>
        </w:rPr>
        <w:t xml:space="preserve"> employers to expend large amount</w:t>
      </w:r>
      <w:r w:rsidR="00347552">
        <w:rPr>
          <w:rFonts w:cstheme="minorHAnsi"/>
        </w:rPr>
        <w:t>s</w:t>
      </w:r>
      <w:r w:rsidR="00D96D03" w:rsidRPr="006D4988">
        <w:rPr>
          <w:rFonts w:cstheme="minorHAnsi"/>
        </w:rPr>
        <w:t xml:space="preserve"> of time and resources to collect data that </w:t>
      </w:r>
      <w:r w:rsidR="0068415D">
        <w:rPr>
          <w:rFonts w:cstheme="minorHAnsi"/>
        </w:rPr>
        <w:t>might</w:t>
      </w:r>
      <w:r w:rsidR="0068415D" w:rsidRPr="006D4988">
        <w:rPr>
          <w:rFonts w:cstheme="minorHAnsi"/>
        </w:rPr>
        <w:t xml:space="preserve"> </w:t>
      </w:r>
      <w:r w:rsidR="00D96D03" w:rsidRPr="006D4988">
        <w:rPr>
          <w:rFonts w:cstheme="minorHAnsi"/>
        </w:rPr>
        <w:t xml:space="preserve">not </w:t>
      </w:r>
      <w:r w:rsidR="00DB68D9">
        <w:rPr>
          <w:rFonts w:cstheme="minorHAnsi"/>
        </w:rPr>
        <w:t xml:space="preserve">be </w:t>
      </w:r>
      <w:r w:rsidR="00D96D03" w:rsidRPr="006D4988">
        <w:rPr>
          <w:rFonts w:cstheme="minorHAnsi"/>
        </w:rPr>
        <w:t xml:space="preserve">reliable or useful for their own </w:t>
      </w:r>
      <w:proofErr w:type="gramStart"/>
      <w:r w:rsidR="00D96D03" w:rsidRPr="006D4988">
        <w:rPr>
          <w:rFonts w:cstheme="minorHAnsi"/>
        </w:rPr>
        <w:t>analysis</w:t>
      </w:r>
      <w:r w:rsidR="0068415D">
        <w:rPr>
          <w:rFonts w:cstheme="minorHAnsi"/>
        </w:rPr>
        <w:t>,</w:t>
      </w:r>
      <w:proofErr w:type="gramEnd"/>
      <w:r w:rsidR="00D96D03" w:rsidRPr="006D4988">
        <w:rPr>
          <w:rFonts w:cstheme="minorHAnsi"/>
        </w:rPr>
        <w:t xml:space="preserve"> or </w:t>
      </w:r>
      <w:r w:rsidR="0068415D">
        <w:rPr>
          <w:rFonts w:cstheme="minorHAnsi"/>
        </w:rPr>
        <w:t xml:space="preserve">in </w:t>
      </w:r>
      <w:r w:rsidR="0068415D" w:rsidRPr="006D4988">
        <w:rPr>
          <w:rFonts w:cstheme="minorHAnsi"/>
        </w:rPr>
        <w:t>provid</w:t>
      </w:r>
      <w:r w:rsidR="0068415D">
        <w:rPr>
          <w:rFonts w:cstheme="minorHAnsi"/>
        </w:rPr>
        <w:t>ing</w:t>
      </w:r>
      <w:r w:rsidR="0068415D" w:rsidRPr="006D4988">
        <w:rPr>
          <w:rFonts w:cstheme="minorHAnsi"/>
        </w:rPr>
        <w:t xml:space="preserve"> </w:t>
      </w:r>
      <w:r w:rsidR="00D96D03" w:rsidRPr="006D4988">
        <w:rPr>
          <w:rFonts w:cstheme="minorHAnsi"/>
        </w:rPr>
        <w:t>comparisons with other organisations</w:t>
      </w:r>
      <w:r w:rsidR="0068415D">
        <w:rPr>
          <w:rFonts w:cstheme="minorHAnsi"/>
        </w:rPr>
        <w:t>,</w:t>
      </w:r>
      <w:r w:rsidR="00D96D03" w:rsidRPr="006D4988">
        <w:rPr>
          <w:rFonts w:cstheme="minorHAnsi"/>
        </w:rPr>
        <w:t xml:space="preserve"> is counterproductive and </w:t>
      </w:r>
      <w:r w:rsidR="00180D10">
        <w:rPr>
          <w:rFonts w:cstheme="minorHAnsi"/>
        </w:rPr>
        <w:t>could</w:t>
      </w:r>
      <w:r w:rsidR="0068415D" w:rsidRPr="006D4988">
        <w:rPr>
          <w:rFonts w:cstheme="minorHAnsi"/>
        </w:rPr>
        <w:t xml:space="preserve"> </w:t>
      </w:r>
      <w:r w:rsidR="00D96D03" w:rsidRPr="006D4988">
        <w:rPr>
          <w:rFonts w:cstheme="minorHAnsi"/>
        </w:rPr>
        <w:t>result in employers disengaging from the entire reporting process. In effect</w:t>
      </w:r>
      <w:r w:rsidR="0068415D">
        <w:rPr>
          <w:rFonts w:cstheme="minorHAnsi"/>
        </w:rPr>
        <w:t>,</w:t>
      </w:r>
      <w:r w:rsidR="00D96D03" w:rsidRPr="006D4988">
        <w:rPr>
          <w:rFonts w:cstheme="minorHAnsi"/>
        </w:rPr>
        <w:t xml:space="preserve"> it </w:t>
      </w:r>
      <w:r w:rsidR="000C43BE" w:rsidRPr="006D4988">
        <w:rPr>
          <w:rFonts w:cstheme="minorHAnsi"/>
        </w:rPr>
        <w:t>c</w:t>
      </w:r>
      <w:r w:rsidR="00D96D03" w:rsidRPr="006D4988">
        <w:rPr>
          <w:rFonts w:cstheme="minorHAnsi"/>
        </w:rPr>
        <w:t xml:space="preserve">ould undermine the goodwill many employers have expressed during the consultation that </w:t>
      </w:r>
      <w:r w:rsidR="00E13C11" w:rsidRPr="006D4988">
        <w:rPr>
          <w:rFonts w:cstheme="minorHAnsi"/>
        </w:rPr>
        <w:t xml:space="preserve">they are </w:t>
      </w:r>
      <w:r w:rsidR="00D96D03" w:rsidRPr="006D4988">
        <w:rPr>
          <w:rFonts w:cstheme="minorHAnsi"/>
        </w:rPr>
        <w:t>supportive of gender equality and see</w:t>
      </w:r>
      <w:r w:rsidR="00347552">
        <w:rPr>
          <w:rFonts w:cstheme="minorHAnsi"/>
        </w:rPr>
        <w:t xml:space="preserve"> well</w:t>
      </w:r>
      <w:r w:rsidR="0068415D">
        <w:rPr>
          <w:rFonts w:cstheme="minorHAnsi"/>
        </w:rPr>
        <w:t>-</w:t>
      </w:r>
      <w:r w:rsidR="00347552">
        <w:rPr>
          <w:rFonts w:cstheme="minorHAnsi"/>
        </w:rPr>
        <w:t>targeted</w:t>
      </w:r>
      <w:r w:rsidR="00D96D03" w:rsidRPr="006D4988">
        <w:rPr>
          <w:rFonts w:cstheme="minorHAnsi"/>
        </w:rPr>
        <w:t xml:space="preserve"> gender reporting as a worthwhile activity. </w:t>
      </w:r>
    </w:p>
    <w:p w:rsidR="00825DBF" w:rsidRPr="006D4988" w:rsidRDefault="00582117" w:rsidP="0001149B">
      <w:pPr>
        <w:rPr>
          <w:rFonts w:cstheme="minorHAnsi"/>
        </w:rPr>
      </w:pPr>
      <w:r w:rsidRPr="006D4988">
        <w:rPr>
          <w:rFonts w:cstheme="minorHAnsi"/>
        </w:rPr>
        <w:t>A</w:t>
      </w:r>
      <w:r w:rsidR="00825DBF" w:rsidRPr="006D4988">
        <w:rPr>
          <w:rFonts w:cstheme="minorHAnsi"/>
        </w:rPr>
        <w:t xml:space="preserve"> cost of this proposal is that removal of remuneration data for employees in non-manager categories will mean that gender pay gap data for the sector of the workforce in which </w:t>
      </w:r>
      <w:r w:rsidR="00574B5C" w:rsidRPr="006D4988">
        <w:rPr>
          <w:rFonts w:cstheme="minorHAnsi"/>
        </w:rPr>
        <w:t xml:space="preserve">many </w:t>
      </w:r>
      <w:r w:rsidR="00825DBF" w:rsidRPr="006D4988">
        <w:rPr>
          <w:rFonts w:cstheme="minorHAnsi"/>
        </w:rPr>
        <w:t xml:space="preserve">women </w:t>
      </w:r>
      <w:r w:rsidR="00825DBF" w:rsidRPr="006D4988">
        <w:rPr>
          <w:rFonts w:cstheme="minorHAnsi"/>
        </w:rPr>
        <w:lastRenderedPageBreak/>
        <w:t>are currently employed will no longer be collected</w:t>
      </w:r>
      <w:r w:rsidR="00347552">
        <w:rPr>
          <w:rFonts w:cstheme="minorHAnsi"/>
        </w:rPr>
        <w:t xml:space="preserve"> through this mechanism</w:t>
      </w:r>
      <w:r w:rsidR="00825DBF" w:rsidRPr="006D4988">
        <w:rPr>
          <w:rFonts w:cstheme="minorHAnsi"/>
        </w:rPr>
        <w:t xml:space="preserve">. </w:t>
      </w:r>
      <w:r w:rsidR="00A316DB" w:rsidRPr="006D4988">
        <w:rPr>
          <w:rFonts w:cstheme="minorHAnsi"/>
        </w:rPr>
        <w:t xml:space="preserve">Current data collected by the Australian Bureau of Statistics </w:t>
      </w:r>
      <w:r w:rsidR="00BD511E">
        <w:rPr>
          <w:rFonts w:cstheme="minorHAnsi"/>
        </w:rPr>
        <w:t xml:space="preserve">(ABS) </w:t>
      </w:r>
      <w:r w:rsidR="00A316DB" w:rsidRPr="006D4988">
        <w:rPr>
          <w:rFonts w:cstheme="minorHAnsi"/>
        </w:rPr>
        <w:t xml:space="preserve">will continue to provide analysis of </w:t>
      </w:r>
      <w:r w:rsidR="00BD511E">
        <w:rPr>
          <w:rFonts w:cstheme="minorHAnsi"/>
        </w:rPr>
        <w:t xml:space="preserve">the </w:t>
      </w:r>
      <w:r w:rsidR="00A316DB" w:rsidRPr="006D4988">
        <w:rPr>
          <w:rFonts w:cstheme="minorHAnsi"/>
        </w:rPr>
        <w:t xml:space="preserve">gender pay gap on an aggregate national scale but </w:t>
      </w:r>
      <w:r w:rsidR="00D96D03" w:rsidRPr="006D4988">
        <w:rPr>
          <w:rFonts w:cstheme="minorHAnsi"/>
        </w:rPr>
        <w:t>will</w:t>
      </w:r>
      <w:r w:rsidR="00A316DB" w:rsidRPr="006D4988">
        <w:rPr>
          <w:rFonts w:cstheme="minorHAnsi"/>
        </w:rPr>
        <w:t xml:space="preserve"> not provide </w:t>
      </w:r>
      <w:r w:rsidRPr="006D4988">
        <w:rPr>
          <w:rFonts w:cstheme="minorHAnsi"/>
        </w:rPr>
        <w:t>data on</w:t>
      </w:r>
      <w:r w:rsidR="00A316DB" w:rsidRPr="006D4988">
        <w:rPr>
          <w:rFonts w:cstheme="minorHAnsi"/>
        </w:rPr>
        <w:t xml:space="preserve"> individual businesses. </w:t>
      </w:r>
      <w:r w:rsidR="00E13C11" w:rsidRPr="006D4988">
        <w:rPr>
          <w:rFonts w:cstheme="minorHAnsi"/>
        </w:rPr>
        <w:t xml:space="preserve">This option recognises that improvements in pay equity </w:t>
      </w:r>
      <w:r w:rsidR="00151362" w:rsidRPr="006D4988">
        <w:rPr>
          <w:rFonts w:cstheme="minorHAnsi"/>
        </w:rPr>
        <w:t>in individual businesses will more likely occur when</w:t>
      </w:r>
      <w:r w:rsidR="00753653" w:rsidRPr="006D4988">
        <w:rPr>
          <w:rFonts w:cstheme="minorHAnsi"/>
        </w:rPr>
        <w:t xml:space="preserve"> </w:t>
      </w:r>
      <w:r w:rsidR="00275FA0" w:rsidRPr="006D4988">
        <w:rPr>
          <w:rFonts w:cstheme="minorHAnsi"/>
        </w:rPr>
        <w:t>emplo</w:t>
      </w:r>
      <w:r w:rsidR="00A316DB" w:rsidRPr="006D4988">
        <w:rPr>
          <w:rFonts w:cstheme="minorHAnsi"/>
        </w:rPr>
        <w:t>y</w:t>
      </w:r>
      <w:r w:rsidR="00275FA0" w:rsidRPr="006D4988">
        <w:rPr>
          <w:rFonts w:cstheme="minorHAnsi"/>
        </w:rPr>
        <w:t xml:space="preserve">ers </w:t>
      </w:r>
      <w:r w:rsidR="00825DBF" w:rsidRPr="006D4988">
        <w:rPr>
          <w:rFonts w:cstheme="minorHAnsi"/>
        </w:rPr>
        <w:t xml:space="preserve">actively undertake </w:t>
      </w:r>
      <w:r w:rsidR="00275FA0" w:rsidRPr="006D4988">
        <w:rPr>
          <w:rFonts w:cstheme="minorHAnsi"/>
        </w:rPr>
        <w:t xml:space="preserve">their own </w:t>
      </w:r>
      <w:r w:rsidR="00825DBF" w:rsidRPr="006D4988">
        <w:rPr>
          <w:rFonts w:cstheme="minorHAnsi"/>
        </w:rPr>
        <w:t>gender pay gap analysis</w:t>
      </w:r>
      <w:r w:rsidR="00E173E4" w:rsidRPr="006D4988">
        <w:rPr>
          <w:rFonts w:cstheme="minorHAnsi"/>
        </w:rPr>
        <w:t xml:space="preserve"> of non-manager employees</w:t>
      </w:r>
      <w:r w:rsidR="00825DBF" w:rsidRPr="006D4988">
        <w:rPr>
          <w:rFonts w:cstheme="minorHAnsi"/>
        </w:rPr>
        <w:t>.</w:t>
      </w:r>
      <w:r w:rsidR="00A316DB" w:rsidRPr="006D4988">
        <w:rPr>
          <w:rFonts w:cstheme="minorHAnsi"/>
        </w:rPr>
        <w:t xml:space="preserve"> U</w:t>
      </w:r>
      <w:r w:rsidR="00825DBF" w:rsidRPr="006D4988">
        <w:rPr>
          <w:rFonts w:cstheme="minorHAnsi"/>
        </w:rPr>
        <w:t xml:space="preserve">nder the educational role of the Agency an increased effort </w:t>
      </w:r>
      <w:r w:rsidR="00151362" w:rsidRPr="006D4988">
        <w:rPr>
          <w:rFonts w:cstheme="minorHAnsi"/>
        </w:rPr>
        <w:t>has</w:t>
      </w:r>
      <w:r w:rsidR="00825DBF" w:rsidRPr="006D4988">
        <w:rPr>
          <w:rFonts w:cstheme="minorHAnsi"/>
        </w:rPr>
        <w:t xml:space="preserve"> be</w:t>
      </w:r>
      <w:r w:rsidR="00151362" w:rsidRPr="006D4988">
        <w:rPr>
          <w:rFonts w:cstheme="minorHAnsi"/>
        </w:rPr>
        <w:t>en</w:t>
      </w:r>
      <w:r w:rsidR="00825DBF" w:rsidRPr="006D4988">
        <w:rPr>
          <w:rFonts w:cstheme="minorHAnsi"/>
        </w:rPr>
        <w:t xml:space="preserve"> made</w:t>
      </w:r>
      <w:r w:rsidR="00151362" w:rsidRPr="006D4988">
        <w:rPr>
          <w:rFonts w:cstheme="minorHAnsi"/>
        </w:rPr>
        <w:t xml:space="preserve"> recently</w:t>
      </w:r>
      <w:r w:rsidR="00825DBF" w:rsidRPr="006D4988">
        <w:rPr>
          <w:rFonts w:cstheme="minorHAnsi"/>
        </w:rPr>
        <w:t xml:space="preserve"> to provide employers with tools to undertake </w:t>
      </w:r>
      <w:r w:rsidR="00C01011">
        <w:rPr>
          <w:rFonts w:cstheme="minorHAnsi"/>
        </w:rPr>
        <w:t xml:space="preserve">their own </w:t>
      </w:r>
      <w:r w:rsidR="00825DBF" w:rsidRPr="006D4988">
        <w:rPr>
          <w:rFonts w:cstheme="minorHAnsi"/>
        </w:rPr>
        <w:t>pay gap analysis</w:t>
      </w:r>
      <w:r w:rsidR="00C01011">
        <w:rPr>
          <w:rFonts w:cstheme="minorHAnsi"/>
        </w:rPr>
        <w:t xml:space="preserve">. </w:t>
      </w:r>
      <w:r w:rsidR="000E2589">
        <w:rPr>
          <w:rFonts w:cstheme="minorHAnsi"/>
        </w:rPr>
        <w:t xml:space="preserve">The Agency’s pay gap </w:t>
      </w:r>
      <w:r w:rsidR="00166492">
        <w:rPr>
          <w:rFonts w:cstheme="minorHAnsi"/>
        </w:rPr>
        <w:t xml:space="preserve">resources will help employers </w:t>
      </w:r>
      <w:r w:rsidR="00C01011">
        <w:rPr>
          <w:rFonts w:cstheme="minorHAnsi"/>
        </w:rPr>
        <w:t xml:space="preserve">identify pay inequality </w:t>
      </w:r>
      <w:r w:rsidR="00166492">
        <w:rPr>
          <w:rFonts w:cstheme="minorHAnsi"/>
        </w:rPr>
        <w:t>and take practical steps for improvement</w:t>
      </w:r>
      <w:r w:rsidR="007A1F66">
        <w:rPr>
          <w:rFonts w:cstheme="minorHAnsi"/>
        </w:rPr>
        <w:t xml:space="preserve">, without the need to provide the remuneration data to the </w:t>
      </w:r>
      <w:r w:rsidR="00BD511E">
        <w:rPr>
          <w:rFonts w:cstheme="minorHAnsi"/>
        </w:rPr>
        <w:t>Agency</w:t>
      </w:r>
      <w:r w:rsidR="007A1F66">
        <w:rPr>
          <w:rFonts w:cstheme="minorHAnsi"/>
        </w:rPr>
        <w:t xml:space="preserve">. </w:t>
      </w:r>
      <w:r w:rsidR="00753653" w:rsidRPr="006D4988">
        <w:rPr>
          <w:rFonts w:cstheme="minorHAnsi"/>
        </w:rPr>
        <w:t xml:space="preserve"> </w:t>
      </w:r>
    </w:p>
    <w:p w:rsidR="0001149B" w:rsidRPr="006D4988" w:rsidRDefault="0001149B" w:rsidP="0001149B">
      <w:pPr>
        <w:rPr>
          <w:rFonts w:cstheme="minorHAnsi"/>
        </w:rPr>
      </w:pPr>
      <w:r w:rsidRPr="006D4988">
        <w:rPr>
          <w:rFonts w:cstheme="minorHAnsi"/>
        </w:rPr>
        <w:t xml:space="preserve">This </w:t>
      </w:r>
      <w:r w:rsidR="00151362" w:rsidRPr="006D4988">
        <w:rPr>
          <w:rFonts w:cstheme="minorHAnsi"/>
        </w:rPr>
        <w:t>option also</w:t>
      </w:r>
      <w:r w:rsidRPr="006D4988">
        <w:rPr>
          <w:rFonts w:cstheme="minorHAnsi"/>
        </w:rPr>
        <w:t xml:space="preserve"> recognises that the largest gender pay gaps </w:t>
      </w:r>
      <w:r w:rsidR="003649B4">
        <w:rPr>
          <w:rFonts w:cstheme="minorHAnsi"/>
        </w:rPr>
        <w:t>generally</w:t>
      </w:r>
      <w:r w:rsidR="003649B4" w:rsidRPr="006D4988">
        <w:rPr>
          <w:rFonts w:cstheme="minorHAnsi"/>
        </w:rPr>
        <w:t xml:space="preserve"> </w:t>
      </w:r>
      <w:r w:rsidRPr="006D4988">
        <w:rPr>
          <w:rFonts w:cstheme="minorHAnsi"/>
        </w:rPr>
        <w:t xml:space="preserve">occur at management levels and that looking </w:t>
      </w:r>
      <w:r w:rsidR="00DB68D9">
        <w:rPr>
          <w:rFonts w:cstheme="minorHAnsi"/>
        </w:rPr>
        <w:t xml:space="preserve">at </w:t>
      </w:r>
      <w:r w:rsidRPr="006D4988">
        <w:rPr>
          <w:rFonts w:cstheme="minorHAnsi"/>
        </w:rPr>
        <w:t>management remuneration is a good first step to a gender pay gap analysis.</w:t>
      </w:r>
      <w:r w:rsidR="001F0622" w:rsidRPr="006D4988">
        <w:rPr>
          <w:rFonts w:cstheme="minorHAnsi"/>
        </w:rPr>
        <w:t xml:space="preserve"> </w:t>
      </w:r>
      <w:r w:rsidR="00C81F47" w:rsidRPr="006D4988">
        <w:rPr>
          <w:rFonts w:cstheme="minorHAnsi"/>
        </w:rPr>
        <w:t xml:space="preserve">Reporting </w:t>
      </w:r>
      <w:r w:rsidR="003F3E49">
        <w:rPr>
          <w:rFonts w:cstheme="minorHAnsi"/>
        </w:rPr>
        <w:t xml:space="preserve">on the number of employees by </w:t>
      </w:r>
      <w:r w:rsidR="00C81F47" w:rsidRPr="006D4988">
        <w:rPr>
          <w:rFonts w:cstheme="minorHAnsi"/>
        </w:rPr>
        <w:t xml:space="preserve">manager and non-manager </w:t>
      </w:r>
      <w:r w:rsidR="00663909" w:rsidRPr="006D4988">
        <w:rPr>
          <w:rFonts w:cstheme="minorHAnsi"/>
        </w:rPr>
        <w:t xml:space="preserve">occupational </w:t>
      </w:r>
      <w:r w:rsidR="00C81F47" w:rsidRPr="006D4988">
        <w:rPr>
          <w:rFonts w:cstheme="minorHAnsi"/>
        </w:rPr>
        <w:t xml:space="preserve">categories remains largely the same under this option. </w:t>
      </w:r>
      <w:r w:rsidRPr="006D4988">
        <w:rPr>
          <w:rFonts w:cstheme="minorHAnsi"/>
        </w:rPr>
        <w:t>While employers provided feedback that reporting on occupational categories was difficult, much of this difficulty derived from the intersection between the remuneration data and occupational categories. If employers are no longer required to provide data on remuneration for non-managers, much of this difficulty is removed.</w:t>
      </w:r>
    </w:p>
    <w:p w:rsidR="00663909" w:rsidRPr="006D4988" w:rsidRDefault="00663909" w:rsidP="00663909">
      <w:pPr>
        <w:rPr>
          <w:rFonts w:cstheme="minorHAnsi"/>
        </w:rPr>
      </w:pPr>
      <w:r w:rsidRPr="006D4988">
        <w:rPr>
          <w:rFonts w:cstheme="minorHAnsi"/>
        </w:rPr>
        <w:t xml:space="preserve">Many of the submissions from the women’s groups and alliances emphasised the need to address the gender pay gap and linked the collection of the remuneration data and efforts to address the gender pay gap. </w:t>
      </w:r>
      <w:r w:rsidR="00A956CF" w:rsidRPr="006D4988">
        <w:rPr>
          <w:rFonts w:cstheme="minorHAnsi"/>
        </w:rPr>
        <w:t>A</w:t>
      </w:r>
      <w:r w:rsidR="00FD4F05" w:rsidRPr="006D4988">
        <w:rPr>
          <w:rFonts w:cstheme="minorHAnsi"/>
        </w:rPr>
        <w:t xml:space="preserve"> </w:t>
      </w:r>
      <w:r w:rsidR="00505851" w:rsidRPr="006D4988">
        <w:rPr>
          <w:rFonts w:cstheme="minorHAnsi"/>
        </w:rPr>
        <w:t>N</w:t>
      </w:r>
      <w:r w:rsidR="00A104C1">
        <w:rPr>
          <w:rFonts w:cstheme="minorHAnsi"/>
        </w:rPr>
        <w:t>ational Centre for Social and Economic Modelling (</w:t>
      </w:r>
      <w:proofErr w:type="spellStart"/>
      <w:r w:rsidR="00A104C1">
        <w:rPr>
          <w:rFonts w:cstheme="minorHAnsi"/>
        </w:rPr>
        <w:t>N</w:t>
      </w:r>
      <w:r w:rsidR="00505851" w:rsidRPr="006D4988">
        <w:rPr>
          <w:rFonts w:cstheme="minorHAnsi"/>
        </w:rPr>
        <w:t>ATSEM</w:t>
      </w:r>
      <w:proofErr w:type="spellEnd"/>
      <w:r w:rsidR="00A104C1">
        <w:rPr>
          <w:rFonts w:cstheme="minorHAnsi"/>
        </w:rPr>
        <w:t>)</w:t>
      </w:r>
      <w:r w:rsidR="00FD4F05" w:rsidRPr="006D4988">
        <w:rPr>
          <w:rFonts w:cstheme="minorHAnsi"/>
        </w:rPr>
        <w:t xml:space="preserve"> </w:t>
      </w:r>
      <w:r w:rsidR="00A956CF" w:rsidRPr="006D4988">
        <w:rPr>
          <w:rFonts w:cstheme="minorHAnsi"/>
        </w:rPr>
        <w:t>study</w:t>
      </w:r>
      <w:r w:rsidR="00FD4F05" w:rsidRPr="006D4988">
        <w:rPr>
          <w:rFonts w:cstheme="minorHAnsi"/>
        </w:rPr>
        <w:t xml:space="preserve"> estimates that the gender pay gap costs the Australian economy $93 billion each year</w:t>
      </w:r>
      <w:r w:rsidR="00EE769F">
        <w:rPr>
          <w:rFonts w:cstheme="minorHAnsi"/>
        </w:rPr>
        <w:t>.</w:t>
      </w:r>
      <w:r w:rsidR="00F47764">
        <w:rPr>
          <w:rStyle w:val="FootnoteReference"/>
          <w:rFonts w:cstheme="minorHAnsi"/>
        </w:rPr>
        <w:footnoteReference w:id="9"/>
      </w:r>
      <w:r w:rsidR="00D441A5">
        <w:rPr>
          <w:rFonts w:cstheme="minorHAnsi"/>
        </w:rPr>
        <w:t xml:space="preserve"> T</w:t>
      </w:r>
      <w:r w:rsidR="00FD4F05" w:rsidRPr="006D4988">
        <w:rPr>
          <w:rFonts w:cstheme="minorHAnsi"/>
        </w:rPr>
        <w:t xml:space="preserve">here is no </w:t>
      </w:r>
      <w:proofErr w:type="gramStart"/>
      <w:r w:rsidR="00505851" w:rsidRPr="006D4988">
        <w:rPr>
          <w:rFonts w:cstheme="minorHAnsi"/>
        </w:rPr>
        <w:t>evidence</w:t>
      </w:r>
      <w:r w:rsidR="00D441A5">
        <w:rPr>
          <w:rFonts w:cstheme="minorHAnsi"/>
        </w:rPr>
        <w:t>,</w:t>
      </w:r>
      <w:proofErr w:type="gramEnd"/>
      <w:r w:rsidR="00D441A5">
        <w:rPr>
          <w:rFonts w:cstheme="minorHAnsi"/>
        </w:rPr>
        <w:t xml:space="preserve"> however,</w:t>
      </w:r>
      <w:r w:rsidR="00B03257" w:rsidRPr="006D4988">
        <w:rPr>
          <w:rFonts w:cstheme="minorHAnsi"/>
        </w:rPr>
        <w:t xml:space="preserve"> that reporting on employee</w:t>
      </w:r>
      <w:r w:rsidR="00FD4F05" w:rsidRPr="006D4988">
        <w:rPr>
          <w:rFonts w:cstheme="minorHAnsi"/>
        </w:rPr>
        <w:t xml:space="preserve"> remuneration</w:t>
      </w:r>
      <w:r w:rsidR="00B03257" w:rsidRPr="006D4988">
        <w:rPr>
          <w:rFonts w:cstheme="minorHAnsi"/>
        </w:rPr>
        <w:t xml:space="preserve"> by the occupational categories</w:t>
      </w:r>
      <w:r w:rsidR="00FD4F05" w:rsidRPr="006D4988">
        <w:rPr>
          <w:rFonts w:cstheme="minorHAnsi"/>
        </w:rPr>
        <w:t xml:space="preserve"> will</w:t>
      </w:r>
      <w:r w:rsidR="00B03257" w:rsidRPr="006D4988">
        <w:rPr>
          <w:rFonts w:cstheme="minorHAnsi"/>
        </w:rPr>
        <w:t xml:space="preserve"> be effective in reducing</w:t>
      </w:r>
      <w:r w:rsidR="00FD4F05" w:rsidRPr="006D4988">
        <w:rPr>
          <w:rFonts w:cstheme="minorHAnsi"/>
        </w:rPr>
        <w:t xml:space="preserve"> the pay gap</w:t>
      </w:r>
      <w:r w:rsidR="00DD48B6" w:rsidRPr="006D4988">
        <w:rPr>
          <w:rFonts w:cstheme="minorHAnsi"/>
        </w:rPr>
        <w:t>, particularly if employers believe that the data provided is unreliable.</w:t>
      </w:r>
      <w:r w:rsidR="00FD4F05" w:rsidRPr="006D4988">
        <w:rPr>
          <w:rFonts w:cstheme="minorHAnsi"/>
        </w:rPr>
        <w:t xml:space="preserve"> </w:t>
      </w:r>
      <w:r w:rsidR="00B03257" w:rsidRPr="006D4988">
        <w:rPr>
          <w:rFonts w:cstheme="minorHAnsi"/>
        </w:rPr>
        <w:t xml:space="preserve">Again, </w:t>
      </w:r>
      <w:r w:rsidR="00FD4F05" w:rsidRPr="006D4988">
        <w:rPr>
          <w:rFonts w:cstheme="minorHAnsi"/>
        </w:rPr>
        <w:t>more ef</w:t>
      </w:r>
      <w:r w:rsidR="00B03257" w:rsidRPr="006D4988">
        <w:rPr>
          <w:rFonts w:cstheme="minorHAnsi"/>
        </w:rPr>
        <w:t>fective tools to reduce the pay equity in individual businesses are the gender pay gap tools provided on the Agency website.</w:t>
      </w:r>
    </w:p>
    <w:p w:rsidR="00C81F47" w:rsidRDefault="0001149B" w:rsidP="0001149B">
      <w:pPr>
        <w:rPr>
          <w:rFonts w:cstheme="minorHAnsi"/>
        </w:rPr>
      </w:pPr>
      <w:r w:rsidRPr="006D4988">
        <w:rPr>
          <w:rFonts w:cstheme="minorHAnsi"/>
        </w:rPr>
        <w:t xml:space="preserve">Additional reporting requirements </w:t>
      </w:r>
      <w:r w:rsidR="00D7084A" w:rsidRPr="006D4988">
        <w:rPr>
          <w:rFonts w:cstheme="minorHAnsi"/>
        </w:rPr>
        <w:t xml:space="preserve">as </w:t>
      </w:r>
      <w:r w:rsidRPr="006D4988">
        <w:rPr>
          <w:rFonts w:cstheme="minorHAnsi"/>
        </w:rPr>
        <w:t xml:space="preserve">outlined in Schedule 2 of the </w:t>
      </w:r>
      <w:r w:rsidR="00710788" w:rsidRPr="006D4988">
        <w:rPr>
          <w:rFonts w:cstheme="minorHAnsi"/>
        </w:rPr>
        <w:t>I</w:t>
      </w:r>
      <w:r w:rsidRPr="006D4988">
        <w:rPr>
          <w:rFonts w:cstheme="minorHAnsi"/>
        </w:rPr>
        <w:t>nstru</w:t>
      </w:r>
      <w:r w:rsidR="00D7084A" w:rsidRPr="006D4988">
        <w:rPr>
          <w:rFonts w:cstheme="minorHAnsi"/>
        </w:rPr>
        <w:t>ment</w:t>
      </w:r>
      <w:r w:rsidR="00A104C1">
        <w:rPr>
          <w:rFonts w:cstheme="minorHAnsi"/>
        </w:rPr>
        <w:t>,</w:t>
      </w:r>
      <w:r w:rsidR="00D7084A" w:rsidRPr="006D4988">
        <w:rPr>
          <w:rFonts w:cstheme="minorHAnsi"/>
        </w:rPr>
        <w:t xml:space="preserve"> which</w:t>
      </w:r>
      <w:r w:rsidRPr="006D4988">
        <w:rPr>
          <w:rFonts w:cstheme="minorHAnsi"/>
        </w:rPr>
        <w:t xml:space="preserve"> are due to take effect from 1 April 2015</w:t>
      </w:r>
      <w:r w:rsidR="00A104C1">
        <w:rPr>
          <w:rFonts w:cstheme="minorHAnsi"/>
        </w:rPr>
        <w:t>,</w:t>
      </w:r>
      <w:r w:rsidR="00D7084A" w:rsidRPr="006D4988">
        <w:rPr>
          <w:rFonts w:cstheme="minorHAnsi"/>
        </w:rPr>
        <w:t xml:space="preserve"> will </w:t>
      </w:r>
      <w:r w:rsidR="00574B5C" w:rsidRPr="006D4988">
        <w:rPr>
          <w:rFonts w:cstheme="minorHAnsi"/>
        </w:rPr>
        <w:t xml:space="preserve">also </w:t>
      </w:r>
      <w:r w:rsidR="00D7084A" w:rsidRPr="006D4988">
        <w:rPr>
          <w:rFonts w:cstheme="minorHAnsi"/>
        </w:rPr>
        <w:t>be reduced</w:t>
      </w:r>
      <w:r w:rsidRPr="006D4988">
        <w:rPr>
          <w:rFonts w:cstheme="minorHAnsi"/>
        </w:rPr>
        <w:t xml:space="preserve">. </w:t>
      </w:r>
      <w:r w:rsidR="003A75C7" w:rsidRPr="006D4988">
        <w:rPr>
          <w:rFonts w:cstheme="minorHAnsi"/>
        </w:rPr>
        <w:t>It is clear from the evidence provided by employers that many employers will have difficulty in meeting much of the delayed reporting requir</w:t>
      </w:r>
      <w:r w:rsidR="00FE4533" w:rsidRPr="006D4988">
        <w:rPr>
          <w:rFonts w:cstheme="minorHAnsi"/>
        </w:rPr>
        <w:t>e</w:t>
      </w:r>
      <w:r w:rsidR="003A75C7" w:rsidRPr="006D4988">
        <w:rPr>
          <w:rFonts w:cstheme="minorHAnsi"/>
        </w:rPr>
        <w:t>ments.</w:t>
      </w:r>
      <w:r w:rsidR="00C13103" w:rsidRPr="006D4988">
        <w:rPr>
          <w:rFonts w:cstheme="minorHAnsi"/>
        </w:rPr>
        <w:t xml:space="preserve"> Of particular concern was the information required on the components of</w:t>
      </w:r>
      <w:r w:rsidR="003F3E49">
        <w:rPr>
          <w:rFonts w:cstheme="minorHAnsi"/>
        </w:rPr>
        <w:t xml:space="preserve"> total</w:t>
      </w:r>
      <w:r w:rsidR="00C13103" w:rsidRPr="006D4988">
        <w:rPr>
          <w:rFonts w:cstheme="minorHAnsi"/>
        </w:rPr>
        <w:t xml:space="preserve"> remuneration and the recruitment (</w:t>
      </w:r>
      <w:r w:rsidR="003F3E49">
        <w:rPr>
          <w:rFonts w:cstheme="minorHAnsi"/>
        </w:rPr>
        <w:t xml:space="preserve">specifically </w:t>
      </w:r>
      <w:r w:rsidR="00C13103" w:rsidRPr="006D4988">
        <w:rPr>
          <w:rFonts w:cstheme="minorHAnsi"/>
        </w:rPr>
        <w:t xml:space="preserve">applications and interviews) data. This information would be particularly cumbersome to collect and report on while not necessarily being particularly robust. </w:t>
      </w:r>
    </w:p>
    <w:p w:rsidR="007A1F66" w:rsidRPr="006D4988" w:rsidRDefault="003B180C" w:rsidP="0001149B">
      <w:pPr>
        <w:rPr>
          <w:rFonts w:cstheme="minorHAnsi"/>
        </w:rPr>
      </w:pPr>
      <w:r>
        <w:rPr>
          <w:rFonts w:cstheme="minorHAnsi"/>
        </w:rPr>
        <w:t xml:space="preserve">The additional data on the components of salary are likely, as </w:t>
      </w:r>
      <w:r w:rsidR="00A104C1">
        <w:rPr>
          <w:rFonts w:cstheme="minorHAnsi"/>
        </w:rPr>
        <w:t xml:space="preserve">are </w:t>
      </w:r>
      <w:r w:rsidR="007417D0">
        <w:rPr>
          <w:rFonts w:cstheme="minorHAnsi"/>
        </w:rPr>
        <w:t>the non-manager</w:t>
      </w:r>
      <w:r>
        <w:rPr>
          <w:rFonts w:cstheme="minorHAnsi"/>
        </w:rPr>
        <w:t xml:space="preserve"> remuneration dat</w:t>
      </w:r>
      <w:r w:rsidR="007417D0">
        <w:rPr>
          <w:rFonts w:cstheme="minorHAnsi"/>
        </w:rPr>
        <w:t>a</w:t>
      </w:r>
      <w:r>
        <w:rPr>
          <w:rFonts w:cstheme="minorHAnsi"/>
        </w:rPr>
        <w:t xml:space="preserve">, to </w:t>
      </w:r>
      <w:r w:rsidR="00346876">
        <w:rPr>
          <w:rFonts w:cstheme="minorHAnsi"/>
        </w:rPr>
        <w:t xml:space="preserve">be of </w:t>
      </w:r>
      <w:r w:rsidR="007417D0">
        <w:rPr>
          <w:rFonts w:cstheme="minorHAnsi"/>
        </w:rPr>
        <w:t>poor quality and difficult to obtain</w:t>
      </w:r>
      <w:r>
        <w:rPr>
          <w:rFonts w:cstheme="minorHAnsi"/>
        </w:rPr>
        <w:t xml:space="preserve">. </w:t>
      </w:r>
      <w:r w:rsidR="00C32AA4">
        <w:rPr>
          <w:rFonts w:cstheme="minorHAnsi"/>
        </w:rPr>
        <w:t>As well, this requirement is redundant for non-manger</w:t>
      </w:r>
      <w:r w:rsidR="009654FE">
        <w:rPr>
          <w:rFonts w:cstheme="minorHAnsi"/>
        </w:rPr>
        <w:t>s</w:t>
      </w:r>
      <w:r w:rsidR="00C32AA4">
        <w:rPr>
          <w:rFonts w:cstheme="minorHAnsi"/>
        </w:rPr>
        <w:t xml:space="preserve"> if no remuneration data is collected.</w:t>
      </w:r>
    </w:p>
    <w:p w:rsidR="00C13103" w:rsidRPr="006D4988" w:rsidRDefault="00C36178" w:rsidP="0001149B">
      <w:pPr>
        <w:rPr>
          <w:rFonts w:cstheme="minorHAnsi"/>
        </w:rPr>
      </w:pPr>
      <w:r w:rsidRPr="006D4988">
        <w:rPr>
          <w:rFonts w:cstheme="minorHAnsi"/>
        </w:rPr>
        <w:t>As</w:t>
      </w:r>
      <w:r w:rsidR="00C13103" w:rsidRPr="006D4988">
        <w:rPr>
          <w:rFonts w:cstheme="minorHAnsi"/>
        </w:rPr>
        <w:t xml:space="preserve"> information on appointments, promotions and resignations </w:t>
      </w:r>
      <w:proofErr w:type="gramStart"/>
      <w:r w:rsidRPr="006D4988">
        <w:rPr>
          <w:rFonts w:cstheme="minorHAnsi"/>
        </w:rPr>
        <w:t>is</w:t>
      </w:r>
      <w:proofErr w:type="gramEnd"/>
      <w:r w:rsidRPr="006D4988">
        <w:rPr>
          <w:rFonts w:cstheme="minorHAnsi"/>
        </w:rPr>
        <w:t xml:space="preserve"> more easily accessible for employers and the data is highly comparable </w:t>
      </w:r>
      <w:r w:rsidR="00D441A5">
        <w:rPr>
          <w:rFonts w:cstheme="minorHAnsi"/>
        </w:rPr>
        <w:t>and</w:t>
      </w:r>
      <w:r w:rsidR="00A104C1">
        <w:rPr>
          <w:rFonts w:cstheme="minorHAnsi"/>
        </w:rPr>
        <w:t>,</w:t>
      </w:r>
      <w:r w:rsidR="00D441A5">
        <w:rPr>
          <w:rFonts w:cstheme="minorHAnsi"/>
        </w:rPr>
        <w:t xml:space="preserve"> therefore</w:t>
      </w:r>
      <w:r w:rsidR="00A104C1">
        <w:rPr>
          <w:rFonts w:cstheme="minorHAnsi"/>
        </w:rPr>
        <w:t>,</w:t>
      </w:r>
      <w:r w:rsidRPr="006D4988">
        <w:rPr>
          <w:rFonts w:cstheme="minorHAnsi"/>
        </w:rPr>
        <w:t xml:space="preserve"> quite robust, it is proposed that </w:t>
      </w:r>
      <w:r w:rsidR="003F3E49">
        <w:rPr>
          <w:rFonts w:cstheme="minorHAnsi"/>
        </w:rPr>
        <w:t xml:space="preserve">the collection of </w:t>
      </w:r>
      <w:r w:rsidRPr="006D4988">
        <w:rPr>
          <w:rFonts w:cstheme="minorHAnsi"/>
        </w:rPr>
        <w:t xml:space="preserve">this information be maintained. </w:t>
      </w:r>
    </w:p>
    <w:p w:rsidR="00E02F78" w:rsidRPr="006D4988" w:rsidRDefault="00E02F78" w:rsidP="0001149B">
      <w:pPr>
        <w:rPr>
          <w:rFonts w:cstheme="minorHAnsi"/>
        </w:rPr>
      </w:pPr>
      <w:r w:rsidRPr="006D4988">
        <w:rPr>
          <w:rFonts w:cstheme="minorHAnsi"/>
        </w:rPr>
        <w:t xml:space="preserve">In the case of reporting on the number of employees </w:t>
      </w:r>
      <w:r w:rsidR="00D05FE5" w:rsidRPr="006D4988">
        <w:rPr>
          <w:rFonts w:cstheme="minorHAnsi"/>
        </w:rPr>
        <w:t>wh</w:t>
      </w:r>
      <w:r w:rsidR="00D05FE5">
        <w:rPr>
          <w:rFonts w:cstheme="minorHAnsi"/>
        </w:rPr>
        <w:t>o</w:t>
      </w:r>
      <w:r w:rsidR="00D05FE5" w:rsidRPr="006D4988">
        <w:rPr>
          <w:rFonts w:cstheme="minorHAnsi"/>
        </w:rPr>
        <w:t xml:space="preserve"> </w:t>
      </w:r>
      <w:r w:rsidRPr="006D4988">
        <w:rPr>
          <w:rFonts w:cstheme="minorHAnsi"/>
        </w:rPr>
        <w:t>have returned to work from parental leave</w:t>
      </w:r>
      <w:r w:rsidR="00A104C1">
        <w:rPr>
          <w:rFonts w:cstheme="minorHAnsi"/>
        </w:rPr>
        <w:t>,</w:t>
      </w:r>
      <w:r w:rsidRPr="006D4988">
        <w:rPr>
          <w:rFonts w:cstheme="minorHAnsi"/>
        </w:rPr>
        <w:t xml:space="preserve"> and the number of requests and approvals for extended parental leave, there is support for </w:t>
      </w:r>
      <w:r w:rsidRPr="006D4988">
        <w:rPr>
          <w:rFonts w:cstheme="minorHAnsi"/>
        </w:rPr>
        <w:lastRenderedPageBreak/>
        <w:t xml:space="preserve">measuring </w:t>
      </w:r>
      <w:r w:rsidR="00703346" w:rsidRPr="006D4988">
        <w:rPr>
          <w:rFonts w:cstheme="minorHAnsi"/>
        </w:rPr>
        <w:t>return</w:t>
      </w:r>
      <w:r w:rsidR="00EC2ABB">
        <w:rPr>
          <w:rFonts w:cstheme="minorHAnsi"/>
        </w:rPr>
        <w:t xml:space="preserve"> </w:t>
      </w:r>
      <w:r w:rsidR="00703346" w:rsidRPr="006D4988">
        <w:rPr>
          <w:rFonts w:cstheme="minorHAnsi"/>
        </w:rPr>
        <w:t>to</w:t>
      </w:r>
      <w:r w:rsidR="00EC2ABB">
        <w:rPr>
          <w:rFonts w:cstheme="minorHAnsi"/>
        </w:rPr>
        <w:t xml:space="preserve"> </w:t>
      </w:r>
      <w:r w:rsidRPr="006D4988">
        <w:rPr>
          <w:rFonts w:cstheme="minorHAnsi"/>
        </w:rPr>
        <w:t>work rates for employees who have been on parental leave</w:t>
      </w:r>
      <w:r w:rsidR="009654FE">
        <w:rPr>
          <w:rFonts w:cstheme="minorHAnsi"/>
        </w:rPr>
        <w:t xml:space="preserve">. It is clear that the </w:t>
      </w:r>
      <w:r w:rsidRPr="006D4988">
        <w:rPr>
          <w:rFonts w:cstheme="minorHAnsi"/>
        </w:rPr>
        <w:t xml:space="preserve">question </w:t>
      </w:r>
      <w:r w:rsidR="009654FE">
        <w:rPr>
          <w:rFonts w:cstheme="minorHAnsi"/>
        </w:rPr>
        <w:t>on</w:t>
      </w:r>
      <w:r w:rsidR="00C55D5F">
        <w:rPr>
          <w:rFonts w:cstheme="minorHAnsi"/>
        </w:rPr>
        <w:t xml:space="preserve"> requests for</w:t>
      </w:r>
      <w:r w:rsidR="009654FE">
        <w:rPr>
          <w:rFonts w:cstheme="minorHAnsi"/>
        </w:rPr>
        <w:t>,</w:t>
      </w:r>
      <w:r w:rsidR="00C55D5F">
        <w:rPr>
          <w:rFonts w:cstheme="minorHAnsi"/>
        </w:rPr>
        <w:t xml:space="preserve"> and approvals of</w:t>
      </w:r>
      <w:r w:rsidR="009654FE">
        <w:rPr>
          <w:rFonts w:cstheme="minorHAnsi"/>
        </w:rPr>
        <w:t>,</w:t>
      </w:r>
      <w:r w:rsidR="00C55D5F">
        <w:rPr>
          <w:rFonts w:cstheme="minorHAnsi"/>
        </w:rPr>
        <w:t xml:space="preserve"> extensions to parental leave </w:t>
      </w:r>
      <w:r w:rsidR="009654FE">
        <w:rPr>
          <w:rFonts w:cstheme="minorHAnsi"/>
        </w:rPr>
        <w:t>is complicated and will</w:t>
      </w:r>
      <w:r w:rsidR="00C55D5F">
        <w:rPr>
          <w:rFonts w:cstheme="minorHAnsi"/>
        </w:rPr>
        <w:t xml:space="preserve"> not result in useful information</w:t>
      </w:r>
      <w:r w:rsidRPr="006D4988">
        <w:rPr>
          <w:rFonts w:cstheme="minorHAnsi"/>
        </w:rPr>
        <w:t xml:space="preserve">. </w:t>
      </w:r>
      <w:r w:rsidR="00E61F17" w:rsidRPr="002D77EE">
        <w:t xml:space="preserve">This is because </w:t>
      </w:r>
      <w:r w:rsidR="007C4371" w:rsidRPr="00F7102A">
        <w:t>many parents extend parental leave with other types of leave</w:t>
      </w:r>
      <w:r w:rsidR="00703346">
        <w:t>, making</w:t>
      </w:r>
      <w:r w:rsidR="00EC2ABB">
        <w:t xml:space="preserve"> </w:t>
      </w:r>
      <w:r w:rsidR="00703346">
        <w:t>it</w:t>
      </w:r>
      <w:r w:rsidR="00EE1479" w:rsidRPr="00F47764">
        <w:t xml:space="preserve"> </w:t>
      </w:r>
      <w:r w:rsidR="00E61F17" w:rsidRPr="00F47764">
        <w:t>difficult to track</w:t>
      </w:r>
      <w:r w:rsidR="007C4371" w:rsidRPr="00F47764">
        <w:t>.</w:t>
      </w:r>
      <w:r w:rsidR="007C4371" w:rsidRPr="00523013">
        <w:t xml:space="preserve"> </w:t>
      </w:r>
    </w:p>
    <w:p w:rsidR="00DA6C4C" w:rsidRPr="00DA6C4C" w:rsidRDefault="00F90259" w:rsidP="00DA6C4C">
      <w:pPr>
        <w:rPr>
          <w:rFonts w:cstheme="minorHAnsi"/>
        </w:rPr>
      </w:pPr>
      <w:r>
        <w:rPr>
          <w:rFonts w:cstheme="minorHAnsi"/>
        </w:rPr>
        <w:t xml:space="preserve">In addition, provisions for capturing data about requests for and extensions to parental leave are available through other mechanisms. </w:t>
      </w:r>
      <w:r w:rsidR="00DA6C4C" w:rsidRPr="00DA6C4C">
        <w:rPr>
          <w:rFonts w:cstheme="minorHAnsi"/>
        </w:rPr>
        <w:t xml:space="preserve">Under </w:t>
      </w:r>
      <w:proofErr w:type="spellStart"/>
      <w:r w:rsidR="00DA6C4C" w:rsidRPr="00DA6C4C">
        <w:rPr>
          <w:rFonts w:cstheme="minorHAnsi"/>
        </w:rPr>
        <w:t>s653</w:t>
      </w:r>
      <w:proofErr w:type="spellEnd"/>
      <w:r w:rsidR="00DA6C4C" w:rsidRPr="00DA6C4C">
        <w:rPr>
          <w:rFonts w:cstheme="minorHAnsi"/>
        </w:rPr>
        <w:t xml:space="preserve">(1) of the </w:t>
      </w:r>
      <w:r w:rsidR="00DA6C4C" w:rsidRPr="00DA6C4C">
        <w:rPr>
          <w:rFonts w:cstheme="minorHAnsi"/>
          <w:i/>
          <w:iCs/>
        </w:rPr>
        <w:t xml:space="preserve">Fair Work Act 2009 </w:t>
      </w:r>
      <w:r w:rsidR="00DA6C4C" w:rsidRPr="00DA6C4C">
        <w:rPr>
          <w:rFonts w:cstheme="minorHAnsi"/>
        </w:rPr>
        <w:t xml:space="preserve">(Fair Work Act), the General Manager of the Fair Work Commission must conduct research into the operation of the provisions relating to requests for extensions of unpaid parental leave under </w:t>
      </w:r>
      <w:proofErr w:type="spellStart"/>
      <w:r w:rsidR="00DA6C4C" w:rsidRPr="00DA6C4C">
        <w:rPr>
          <w:rFonts w:cstheme="minorHAnsi"/>
        </w:rPr>
        <w:t>s76</w:t>
      </w:r>
      <w:proofErr w:type="spellEnd"/>
      <w:r w:rsidR="00DA6C4C" w:rsidRPr="00DA6C4C">
        <w:rPr>
          <w:rFonts w:cstheme="minorHAnsi"/>
        </w:rPr>
        <w:t>(1) of the Fair Work Act. The research must examine the circumstances in which employees make such requests, the outcome of such requests and the circumstances in which such requests are refused. The review and research must be conducted every thr</w:t>
      </w:r>
      <w:r>
        <w:rPr>
          <w:rFonts w:cstheme="minorHAnsi"/>
        </w:rPr>
        <w:t>ee years. The inaugural report,</w:t>
      </w:r>
      <w:r w:rsidR="00DA6C4C" w:rsidRPr="00DA6C4C">
        <w:rPr>
          <w:rFonts w:cstheme="minorHAnsi"/>
        </w:rPr>
        <w:t> </w:t>
      </w:r>
      <w:r w:rsidR="00DA6C4C" w:rsidRPr="00DA6C4C">
        <w:rPr>
          <w:rFonts w:cstheme="minorHAnsi"/>
          <w:i/>
          <w:iCs/>
        </w:rPr>
        <w:t>General Manager’s report into the operation of the provisions of the National Employment Standards relating to requests for flexible working arrangements and extensions of unpaid parental leave 2009–2012</w:t>
      </w:r>
      <w:r w:rsidR="00DA6C4C" w:rsidRPr="00DA6C4C">
        <w:rPr>
          <w:rFonts w:cstheme="minorHAnsi"/>
        </w:rPr>
        <w:t xml:space="preserve"> was published by the Commission in November 2012 and deals with research relating to the period 1 January 2010 to 30 June 2012. </w:t>
      </w:r>
    </w:p>
    <w:p w:rsidR="00E02F78" w:rsidRPr="006D4988" w:rsidRDefault="00F90259" w:rsidP="0001149B">
      <w:pPr>
        <w:rPr>
          <w:rFonts w:cstheme="minorHAnsi"/>
        </w:rPr>
      </w:pPr>
      <w:r w:rsidRPr="00DA6C4C">
        <w:rPr>
          <w:rFonts w:cstheme="minorHAnsi"/>
        </w:rPr>
        <w:t>The current Paid Parental Leave scheme provides two payments: Parental Leave Pay and Dad and Partner Pay. Parental Leave Pay provides eligible working parents (usually birth mothers) with up to 18 weeks’ pay at the rate of the National Minimum Wage, currently $641</w:t>
      </w:r>
      <w:r w:rsidR="00346876">
        <w:rPr>
          <w:rFonts w:cstheme="minorHAnsi"/>
        </w:rPr>
        <w:t>.05</w:t>
      </w:r>
      <w:r w:rsidRPr="00DA6C4C">
        <w:rPr>
          <w:rFonts w:cstheme="minorHAnsi"/>
        </w:rPr>
        <w:t xml:space="preserve">/week (before tax; at 2014). Dad and Partner Pay provides eligible working </w:t>
      </w:r>
      <w:r w:rsidR="00703346">
        <w:rPr>
          <w:rFonts w:cstheme="minorHAnsi"/>
        </w:rPr>
        <w:t>fathers</w:t>
      </w:r>
      <w:r w:rsidR="00703346" w:rsidRPr="00DA6C4C">
        <w:rPr>
          <w:rFonts w:cstheme="minorHAnsi"/>
        </w:rPr>
        <w:t xml:space="preserve"> </w:t>
      </w:r>
      <w:r w:rsidRPr="00DA6C4C">
        <w:rPr>
          <w:rFonts w:cstheme="minorHAnsi"/>
        </w:rPr>
        <w:t>or partners with up to two weeks’ pay at the rate of the National Minimum Wage.</w:t>
      </w:r>
      <w:r>
        <w:rPr>
          <w:rFonts w:cstheme="minorHAnsi"/>
        </w:rPr>
        <w:t xml:space="preserve"> </w:t>
      </w:r>
      <w:r w:rsidR="00DA6C4C" w:rsidRPr="00DA6C4C">
        <w:rPr>
          <w:rFonts w:cstheme="minorHAnsi"/>
        </w:rPr>
        <w:t>The Government has committed to introducing a new, expanded Paid Parental Leave scheme from 1 July 2015. Eligible parents from that date will be able to receive 26 weeks of payment at a rate based on their wage or the national minimum wage (whichever is greater)</w:t>
      </w:r>
      <w:r w:rsidR="00346876">
        <w:rPr>
          <w:rFonts w:cstheme="minorHAnsi"/>
        </w:rPr>
        <w:t xml:space="preserve"> – up to an amount of $50,000 during the 26 week period</w:t>
      </w:r>
      <w:r w:rsidR="00703346">
        <w:rPr>
          <w:rFonts w:cstheme="minorHAnsi"/>
        </w:rPr>
        <w:t>,</w:t>
      </w:r>
      <w:r w:rsidR="00DA6C4C" w:rsidRPr="00DA6C4C">
        <w:rPr>
          <w:rFonts w:cstheme="minorHAnsi"/>
        </w:rPr>
        <w:t xml:space="preserve"> plus superannuation at the superannuation guarantee rate. This will provide women with even greater flexibility to combine work with family and continue their career and optimise retirement savings. Fathers </w:t>
      </w:r>
      <w:r w:rsidR="00346876">
        <w:rPr>
          <w:rFonts w:cstheme="minorHAnsi"/>
        </w:rPr>
        <w:t>and other partners</w:t>
      </w:r>
      <w:r w:rsidR="00DA6C4C" w:rsidRPr="00DA6C4C">
        <w:rPr>
          <w:rFonts w:cstheme="minorHAnsi"/>
        </w:rPr>
        <w:t xml:space="preserve"> may be eligible for two out of the 26 weeks for dedicated paterni</w:t>
      </w:r>
      <w:r w:rsidR="00691C53">
        <w:rPr>
          <w:rFonts w:cstheme="minorHAnsi"/>
        </w:rPr>
        <w:t xml:space="preserve">ty leave.  </w:t>
      </w:r>
    </w:p>
    <w:p w:rsidR="004E0978" w:rsidRPr="00D441A5" w:rsidRDefault="00D7084A" w:rsidP="0043048E">
      <w:pPr>
        <w:rPr>
          <w:rFonts w:cstheme="minorHAnsi"/>
        </w:rPr>
      </w:pPr>
      <w:r w:rsidRPr="006D4988">
        <w:rPr>
          <w:rFonts w:cstheme="minorHAnsi"/>
        </w:rPr>
        <w:t>This proposal acknowledges that gender reporting</w:t>
      </w:r>
      <w:r w:rsidR="00710788" w:rsidRPr="006D4988">
        <w:rPr>
          <w:rFonts w:cstheme="minorHAnsi"/>
        </w:rPr>
        <w:t xml:space="preserve"> supports </w:t>
      </w:r>
      <w:r w:rsidRPr="006D4988">
        <w:rPr>
          <w:rFonts w:cstheme="minorHAnsi"/>
        </w:rPr>
        <w:t>workplace gender equality</w:t>
      </w:r>
      <w:r w:rsidR="00825DBF" w:rsidRPr="006D4988">
        <w:rPr>
          <w:rFonts w:cstheme="minorHAnsi"/>
        </w:rPr>
        <w:t xml:space="preserve"> and </w:t>
      </w:r>
      <w:r w:rsidR="002D4F09" w:rsidRPr="006D4988">
        <w:rPr>
          <w:rFonts w:cstheme="minorHAnsi"/>
        </w:rPr>
        <w:t xml:space="preserve">aims to create a </w:t>
      </w:r>
      <w:r w:rsidR="00825DBF" w:rsidRPr="006D4988">
        <w:rPr>
          <w:rFonts w:cstheme="minorHAnsi"/>
        </w:rPr>
        <w:t>balance between the effort of employers reporting and the value that is gained for that effort</w:t>
      </w:r>
      <w:r w:rsidR="002D4F09" w:rsidRPr="006D4988">
        <w:rPr>
          <w:rFonts w:cstheme="minorHAnsi"/>
        </w:rPr>
        <w:t>.</w:t>
      </w:r>
      <w:r w:rsidR="00165377">
        <w:rPr>
          <w:rFonts w:cstheme="minorHAnsi"/>
        </w:rPr>
        <w:t xml:space="preserve"> Adopting this option is likely to be supported by the stakeholder groups most </w:t>
      </w:r>
      <w:r w:rsidR="00D441A5">
        <w:rPr>
          <w:rFonts w:cstheme="minorHAnsi"/>
        </w:rPr>
        <w:t xml:space="preserve">directly </w:t>
      </w:r>
      <w:r w:rsidR="00165377">
        <w:rPr>
          <w:rFonts w:cstheme="minorHAnsi"/>
        </w:rPr>
        <w:t>affected by the requirements of the Act and the Instrument.</w:t>
      </w:r>
      <w:r w:rsidRPr="006D4988">
        <w:rPr>
          <w:rFonts w:cstheme="minorHAnsi"/>
        </w:rPr>
        <w:t xml:space="preserve"> </w:t>
      </w:r>
      <w:r w:rsidR="004E0978">
        <w:rPr>
          <w:rFonts w:cstheme="minorHAnsi"/>
        </w:rPr>
        <w:t xml:space="preserve">Reporting employers and peak employer organisations will support the reduction of the elements of reporting that are not reliable and </w:t>
      </w:r>
      <w:r w:rsidR="0066280F">
        <w:rPr>
          <w:rFonts w:cstheme="minorHAnsi"/>
        </w:rPr>
        <w:t xml:space="preserve">that </w:t>
      </w:r>
      <w:r w:rsidR="004E0978">
        <w:rPr>
          <w:rFonts w:cstheme="minorHAnsi"/>
        </w:rPr>
        <w:t>are often time consuming to gather and report to the Agency. While the preference for many women’s advocacy groups is to not reduce reporting requirements, there is recognition by some groups that some components of reporting could be streamlined. Retention of remuneration data for managers will likely be supported by these stakeholders</w:t>
      </w:r>
      <w:r w:rsidR="0066280F">
        <w:rPr>
          <w:rFonts w:cstheme="minorHAnsi"/>
        </w:rPr>
        <w:t>.</w:t>
      </w:r>
      <w:r w:rsidR="004E0978">
        <w:rPr>
          <w:rFonts w:cstheme="minorHAnsi"/>
        </w:rPr>
        <w:t xml:space="preserve"> </w:t>
      </w:r>
      <w:r w:rsidR="0066280F">
        <w:rPr>
          <w:rFonts w:cstheme="minorHAnsi"/>
        </w:rPr>
        <w:t>T</w:t>
      </w:r>
      <w:r w:rsidR="004E0978">
        <w:rPr>
          <w:rFonts w:cstheme="minorHAnsi"/>
        </w:rPr>
        <w:t xml:space="preserve">hey are not likely to support </w:t>
      </w:r>
      <w:r w:rsidR="0066280F">
        <w:rPr>
          <w:rFonts w:cstheme="minorHAnsi"/>
        </w:rPr>
        <w:t xml:space="preserve">however </w:t>
      </w:r>
      <w:r w:rsidR="004E0978">
        <w:rPr>
          <w:rFonts w:cstheme="minorHAnsi"/>
        </w:rPr>
        <w:t xml:space="preserve">the removal of remuneration data for </w:t>
      </w:r>
      <w:r w:rsidR="00DE1BB2">
        <w:rPr>
          <w:rFonts w:cstheme="minorHAnsi"/>
        </w:rPr>
        <w:t xml:space="preserve">non-managers. Importantly, educational activities by the Agency focus on the importance of employers </w:t>
      </w:r>
      <w:r w:rsidR="00DE1BB2" w:rsidRPr="00D441A5">
        <w:rPr>
          <w:rFonts w:cstheme="minorHAnsi"/>
        </w:rPr>
        <w:t xml:space="preserve">undertaking a gender pay gap analysis. </w:t>
      </w:r>
      <w:r w:rsidR="00860349">
        <w:rPr>
          <w:rFonts w:cstheme="minorHAnsi"/>
        </w:rPr>
        <w:t>The changes to Schedule 2 were canvased with key stakeholders at roundtable meetings and generally received support from participants.</w:t>
      </w:r>
    </w:p>
    <w:p w:rsidR="00BA14B7" w:rsidRPr="006D4988" w:rsidRDefault="008A5B22" w:rsidP="0043048E">
      <w:pPr>
        <w:rPr>
          <w:rFonts w:cstheme="minorHAnsi"/>
        </w:rPr>
      </w:pPr>
      <w:r w:rsidRPr="00D441A5">
        <w:rPr>
          <w:rFonts w:cstheme="minorHAnsi"/>
        </w:rPr>
        <w:t xml:space="preserve">This option retains the collection of valuable, </w:t>
      </w:r>
      <w:r w:rsidR="0066280F" w:rsidRPr="00D441A5">
        <w:rPr>
          <w:rFonts w:cstheme="minorHAnsi"/>
        </w:rPr>
        <w:t>gender</w:t>
      </w:r>
      <w:r w:rsidR="0066280F">
        <w:rPr>
          <w:rFonts w:cstheme="minorHAnsi"/>
        </w:rPr>
        <w:t>-</w:t>
      </w:r>
      <w:r w:rsidRPr="00D441A5">
        <w:rPr>
          <w:rFonts w:cstheme="minorHAnsi"/>
        </w:rPr>
        <w:t>specific information to support businesses to address gender inequality where it exists. At the same time</w:t>
      </w:r>
      <w:r w:rsidR="0066280F">
        <w:rPr>
          <w:rFonts w:cstheme="minorHAnsi"/>
        </w:rPr>
        <w:t>,</w:t>
      </w:r>
      <w:r w:rsidRPr="00D441A5">
        <w:rPr>
          <w:rFonts w:cstheme="minorHAnsi"/>
        </w:rPr>
        <w:t xml:space="preserve"> this option removes the elements of reporting that are most likely to produce unreliable data</w:t>
      </w:r>
      <w:r w:rsidR="00D441A5" w:rsidRPr="00D441A5">
        <w:rPr>
          <w:rFonts w:cstheme="minorHAnsi"/>
        </w:rPr>
        <w:t>.</w:t>
      </w:r>
      <w:r w:rsidRPr="00D441A5">
        <w:rPr>
          <w:rFonts w:cstheme="minorHAnsi"/>
        </w:rPr>
        <w:t xml:space="preserve"> </w:t>
      </w:r>
      <w:r w:rsidR="004E0978" w:rsidRPr="00D441A5">
        <w:rPr>
          <w:rFonts w:cstheme="minorHAnsi"/>
        </w:rPr>
        <w:t>The</w:t>
      </w:r>
      <w:r w:rsidR="004E0978">
        <w:rPr>
          <w:rFonts w:cstheme="minorHAnsi"/>
        </w:rPr>
        <w:t xml:space="preserve"> evidence that formal reporting </w:t>
      </w:r>
      <w:r w:rsidR="004E0978">
        <w:rPr>
          <w:rFonts w:cstheme="minorHAnsi"/>
        </w:rPr>
        <w:lastRenderedPageBreak/>
        <w:t>requirements have a measurable effect is small</w:t>
      </w:r>
      <w:r w:rsidR="0066280F">
        <w:rPr>
          <w:rFonts w:cstheme="minorHAnsi"/>
        </w:rPr>
        <w:t xml:space="preserve">. </w:t>
      </w:r>
      <w:r w:rsidR="00D7258C">
        <w:rPr>
          <w:rFonts w:cstheme="minorHAnsi"/>
        </w:rPr>
        <w:t>R</w:t>
      </w:r>
      <w:r w:rsidR="0066280F">
        <w:rPr>
          <w:rFonts w:cstheme="minorHAnsi"/>
        </w:rPr>
        <w:t xml:space="preserve">eporting </w:t>
      </w:r>
      <w:r w:rsidR="004E0978">
        <w:rPr>
          <w:rFonts w:cstheme="minorHAnsi"/>
        </w:rPr>
        <w:t xml:space="preserve">does </w:t>
      </w:r>
      <w:r w:rsidR="00D7258C">
        <w:rPr>
          <w:rFonts w:cstheme="minorHAnsi"/>
        </w:rPr>
        <w:t xml:space="preserve">however </w:t>
      </w:r>
      <w:r w:rsidR="004E0978">
        <w:rPr>
          <w:rFonts w:cstheme="minorHAnsi"/>
        </w:rPr>
        <w:t xml:space="preserve">create an environment </w:t>
      </w:r>
      <w:r w:rsidR="0066280F">
        <w:rPr>
          <w:rFonts w:cstheme="minorHAnsi"/>
        </w:rPr>
        <w:t xml:space="preserve">in which </w:t>
      </w:r>
      <w:r w:rsidR="004E0978">
        <w:rPr>
          <w:rFonts w:cstheme="minorHAnsi"/>
        </w:rPr>
        <w:t>individual businesses can assess their own organisation</w:t>
      </w:r>
      <w:r w:rsidR="00D441A5">
        <w:rPr>
          <w:rFonts w:cstheme="minorHAnsi"/>
        </w:rPr>
        <w:t xml:space="preserve"> using data collected for that purpose</w:t>
      </w:r>
      <w:r w:rsidR="004E0978">
        <w:rPr>
          <w:rFonts w:cstheme="minorHAnsi"/>
        </w:rPr>
        <w:t>.</w:t>
      </w:r>
      <w:r w:rsidR="008B21DD">
        <w:rPr>
          <w:rFonts w:cstheme="minorHAnsi"/>
        </w:rPr>
        <w:t xml:space="preserve"> </w:t>
      </w:r>
      <w:r w:rsidR="00872A32">
        <w:rPr>
          <w:rFonts w:cstheme="minorHAnsi"/>
        </w:rPr>
        <w:t>To fully assess the impact</w:t>
      </w:r>
      <w:r w:rsidR="002E5646">
        <w:rPr>
          <w:rFonts w:cstheme="minorHAnsi"/>
        </w:rPr>
        <w:t xml:space="preserve"> on </w:t>
      </w:r>
      <w:r w:rsidR="00872A32">
        <w:rPr>
          <w:rFonts w:cstheme="minorHAnsi"/>
        </w:rPr>
        <w:t xml:space="preserve">workplace </w:t>
      </w:r>
      <w:r w:rsidR="002E5646">
        <w:rPr>
          <w:rFonts w:cstheme="minorHAnsi"/>
        </w:rPr>
        <w:t>gender equality</w:t>
      </w:r>
      <w:r w:rsidR="0066280F">
        <w:rPr>
          <w:rFonts w:cstheme="minorHAnsi"/>
        </w:rPr>
        <w:t>,</w:t>
      </w:r>
      <w:r w:rsidR="002E5646">
        <w:rPr>
          <w:rFonts w:cstheme="minorHAnsi"/>
        </w:rPr>
        <w:t xml:space="preserve"> it will be</w:t>
      </w:r>
      <w:r w:rsidR="004E0978">
        <w:rPr>
          <w:rFonts w:cstheme="minorHAnsi"/>
        </w:rPr>
        <w:t xml:space="preserve"> necessary </w:t>
      </w:r>
      <w:r w:rsidR="002E5646">
        <w:rPr>
          <w:rFonts w:cstheme="minorHAnsi"/>
        </w:rPr>
        <w:t xml:space="preserve">to track the effectiveness of the </w:t>
      </w:r>
      <w:r w:rsidR="004E0978">
        <w:rPr>
          <w:rFonts w:cstheme="minorHAnsi"/>
        </w:rPr>
        <w:t xml:space="preserve">reporting requirements </w:t>
      </w:r>
      <w:r w:rsidR="002E5646">
        <w:rPr>
          <w:rFonts w:cstheme="minorHAnsi"/>
        </w:rPr>
        <w:t xml:space="preserve">for a </w:t>
      </w:r>
      <w:r w:rsidR="00872A32">
        <w:rPr>
          <w:rFonts w:cstheme="minorHAnsi"/>
        </w:rPr>
        <w:t>period</w:t>
      </w:r>
      <w:r w:rsidR="004E0978">
        <w:rPr>
          <w:rFonts w:cstheme="minorHAnsi"/>
        </w:rPr>
        <w:t xml:space="preserve"> of time.</w:t>
      </w:r>
      <w:r w:rsidR="003C5FF2">
        <w:rPr>
          <w:rFonts w:cstheme="minorHAnsi"/>
        </w:rPr>
        <w:t xml:space="preserve"> </w:t>
      </w:r>
      <w:r w:rsidR="00165377" w:rsidRPr="006D4988">
        <w:rPr>
          <w:rFonts w:cstheme="minorHAnsi"/>
        </w:rPr>
        <w:t>This is the recommended option.</w:t>
      </w:r>
    </w:p>
    <w:p w:rsidR="00710788" w:rsidRDefault="00E11D37" w:rsidP="0043048E">
      <w:pPr>
        <w:rPr>
          <w:rFonts w:cstheme="minorHAnsi"/>
        </w:rPr>
      </w:pPr>
      <w:r w:rsidRPr="006D4988">
        <w:rPr>
          <w:rFonts w:cstheme="minorHAnsi"/>
        </w:rPr>
        <w:t>Overall</w:t>
      </w:r>
      <w:r w:rsidR="0066280F">
        <w:rPr>
          <w:rFonts w:cstheme="minorHAnsi"/>
        </w:rPr>
        <w:t>,</w:t>
      </w:r>
      <w:r w:rsidRPr="006D4988">
        <w:rPr>
          <w:rFonts w:cstheme="minorHAnsi"/>
        </w:rPr>
        <w:t xml:space="preserve"> the reduction in the cost of reporting is estimated to be </w:t>
      </w:r>
      <w:r w:rsidR="0066280F">
        <w:rPr>
          <w:rFonts w:cstheme="minorHAnsi"/>
        </w:rPr>
        <w:t>about</w:t>
      </w:r>
      <w:r w:rsidR="0066280F" w:rsidRPr="006D4988">
        <w:rPr>
          <w:rFonts w:cstheme="minorHAnsi"/>
        </w:rPr>
        <w:t xml:space="preserve"> </w:t>
      </w:r>
      <w:r w:rsidRPr="006D4988">
        <w:rPr>
          <w:rFonts w:cstheme="minorHAnsi"/>
        </w:rPr>
        <w:t>60 per cent</w:t>
      </w:r>
      <w:r w:rsidR="0066280F">
        <w:rPr>
          <w:rFonts w:cstheme="minorHAnsi"/>
        </w:rPr>
        <w:t>,</w:t>
      </w:r>
      <w:r w:rsidR="007C6288" w:rsidRPr="006D4988">
        <w:rPr>
          <w:rFonts w:cstheme="minorHAnsi"/>
        </w:rPr>
        <w:t xml:space="preserve"> </w:t>
      </w:r>
      <w:r w:rsidR="00574B5C" w:rsidRPr="006D4988">
        <w:rPr>
          <w:rFonts w:cstheme="minorHAnsi"/>
        </w:rPr>
        <w:t xml:space="preserve">with </w:t>
      </w:r>
      <w:r w:rsidR="008E092E" w:rsidRPr="006D4988">
        <w:rPr>
          <w:rFonts w:cstheme="minorHAnsi"/>
        </w:rPr>
        <w:t xml:space="preserve">the </w:t>
      </w:r>
      <w:r w:rsidR="00560A90" w:rsidRPr="006D4988">
        <w:rPr>
          <w:rFonts w:cstheme="minorHAnsi"/>
        </w:rPr>
        <w:t xml:space="preserve">estimated annual </w:t>
      </w:r>
      <w:r w:rsidR="00E839BC" w:rsidRPr="006D4988">
        <w:rPr>
          <w:rFonts w:cstheme="minorHAnsi"/>
        </w:rPr>
        <w:t>average</w:t>
      </w:r>
      <w:r w:rsidR="00560A90" w:rsidRPr="006D4988">
        <w:rPr>
          <w:rFonts w:cstheme="minorHAnsi"/>
        </w:rPr>
        <w:t xml:space="preserve"> </w:t>
      </w:r>
      <w:r w:rsidR="00E839BC" w:rsidRPr="006D4988">
        <w:rPr>
          <w:rFonts w:cstheme="minorHAnsi"/>
        </w:rPr>
        <w:t xml:space="preserve">cost to business </w:t>
      </w:r>
      <w:r w:rsidR="00574B5C" w:rsidRPr="006D4988">
        <w:rPr>
          <w:rFonts w:cstheme="minorHAnsi"/>
        </w:rPr>
        <w:t>being</w:t>
      </w:r>
      <w:r w:rsidR="00E839BC" w:rsidRPr="006D4988">
        <w:rPr>
          <w:rFonts w:cstheme="minorHAnsi"/>
        </w:rPr>
        <w:t xml:space="preserve"> $7.</w:t>
      </w:r>
      <w:r w:rsidR="004360C9" w:rsidRPr="006D4988">
        <w:rPr>
          <w:rFonts w:cstheme="minorHAnsi"/>
        </w:rPr>
        <w:t>5</w:t>
      </w:r>
      <w:r w:rsidR="00D41260" w:rsidRPr="006D4988">
        <w:rPr>
          <w:rFonts w:cstheme="minorHAnsi"/>
        </w:rPr>
        <w:t xml:space="preserve"> </w:t>
      </w:r>
      <w:r w:rsidR="00E839BC" w:rsidRPr="006D4988">
        <w:rPr>
          <w:rFonts w:cstheme="minorHAnsi"/>
        </w:rPr>
        <w:t>m</w:t>
      </w:r>
      <w:r w:rsidR="008E092E" w:rsidRPr="006D4988">
        <w:rPr>
          <w:rFonts w:cstheme="minorHAnsi"/>
        </w:rPr>
        <w:t>illion</w:t>
      </w:r>
      <w:r w:rsidR="00E839BC" w:rsidRPr="006D4988">
        <w:rPr>
          <w:rFonts w:cstheme="minorHAnsi"/>
        </w:rPr>
        <w:t xml:space="preserve"> </w:t>
      </w:r>
      <w:r w:rsidR="00046D73" w:rsidRPr="006D4988">
        <w:rPr>
          <w:rFonts w:cstheme="minorHAnsi"/>
        </w:rPr>
        <w:t>and a</w:t>
      </w:r>
      <w:r w:rsidR="008E092E" w:rsidRPr="006D4988">
        <w:rPr>
          <w:rFonts w:cstheme="minorHAnsi"/>
        </w:rPr>
        <w:t>n annual average</w:t>
      </w:r>
      <w:r w:rsidR="00046D73" w:rsidRPr="006D4988">
        <w:rPr>
          <w:rFonts w:cstheme="minorHAnsi"/>
        </w:rPr>
        <w:t xml:space="preserve"> per business cost of $15</w:t>
      </w:r>
      <w:r w:rsidR="004360C9" w:rsidRPr="006D4988">
        <w:rPr>
          <w:rFonts w:cstheme="minorHAnsi"/>
        </w:rPr>
        <w:t>99</w:t>
      </w:r>
      <w:r w:rsidRPr="006D4988">
        <w:rPr>
          <w:rFonts w:cstheme="minorHAnsi"/>
        </w:rPr>
        <w:t>.</w:t>
      </w:r>
      <w:r w:rsidR="00275FA0" w:rsidRPr="006D4988">
        <w:rPr>
          <w:rFonts w:cstheme="minorHAnsi"/>
        </w:rPr>
        <w:t xml:space="preserve"> </w:t>
      </w:r>
    </w:p>
    <w:p w:rsidR="00CF4255" w:rsidRPr="00145A45" w:rsidRDefault="00CF4255" w:rsidP="009E799B">
      <w:pPr>
        <w:pStyle w:val="Heading3"/>
      </w:pPr>
      <w:r w:rsidRPr="00145A45">
        <w:t>Regulatory Burden Estimate Table</w:t>
      </w:r>
    </w:p>
    <w:p w:rsidR="00142030" w:rsidRPr="00145A45" w:rsidRDefault="00142030" w:rsidP="009E799B">
      <w:pPr>
        <w:pStyle w:val="Heading4"/>
        <w:rPr>
          <w:rFonts w:eastAsiaTheme="minorHAnsi"/>
        </w:rPr>
      </w:pPr>
      <w:r w:rsidRPr="00145A45">
        <w:t xml:space="preserve">Average Annual Compliance Costs (from </w:t>
      </w:r>
      <w:r>
        <w:t>b</w:t>
      </w:r>
      <w:r w:rsidRPr="00145A45">
        <w:t>usiness as usual)</w:t>
      </w:r>
    </w:p>
    <w:tbl>
      <w:tblPr>
        <w:tblStyle w:val="TableGrid"/>
        <w:tblW w:w="9180" w:type="dxa"/>
        <w:tblLook w:val="0480" w:firstRow="0" w:lastRow="0" w:firstColumn="1" w:lastColumn="0" w:noHBand="0" w:noVBand="1"/>
        <w:tblCaption w:val="Option 2 Regulatory Burden Estimate Table"/>
        <w:tblDescription w:val="Average annual compliance cost for business of adopting Option 2 compared to Option 1."/>
      </w:tblPr>
      <w:tblGrid>
        <w:gridCol w:w="1883"/>
        <w:gridCol w:w="1679"/>
        <w:gridCol w:w="2215"/>
        <w:gridCol w:w="1986"/>
        <w:gridCol w:w="1417"/>
      </w:tblGrid>
      <w:tr w:rsidR="00CF4255" w:rsidRPr="00145A45" w:rsidTr="00142030">
        <w:trPr>
          <w:cantSplit/>
          <w:trHeight w:val="300"/>
          <w:tblHeader/>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Costs</w:t>
            </w:r>
            <w:r w:rsidRPr="00145A45">
              <w:rPr>
                <w:rFonts w:asciiTheme="minorHAnsi" w:hAnsiTheme="minorHAnsi" w:cstheme="minorHAnsi"/>
                <w:b/>
                <w:bCs/>
                <w:iCs/>
                <w:sz w:val="22"/>
                <w:szCs w:val="22"/>
              </w:rPr>
              <w:t xml:space="preserve"> ($m)</w:t>
            </w:r>
          </w:p>
        </w:tc>
        <w:tc>
          <w:tcPr>
            <w:tcW w:w="1679"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Business</w:t>
            </w:r>
          </w:p>
        </w:tc>
        <w:tc>
          <w:tcPr>
            <w:tcW w:w="2215"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Community Organisations</w:t>
            </w:r>
          </w:p>
        </w:tc>
        <w:tc>
          <w:tcPr>
            <w:tcW w:w="1986"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Individuals</w:t>
            </w:r>
          </w:p>
        </w:tc>
        <w:tc>
          <w:tcPr>
            <w:tcW w:w="1417"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Total Cost</w:t>
            </w:r>
          </w:p>
        </w:tc>
      </w:tr>
      <w:tr w:rsidR="00CF4255" w:rsidRPr="00145A45" w:rsidTr="00CF4255">
        <w:trPr>
          <w:trHeight w:val="300"/>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Total by Sector</w:t>
            </w:r>
          </w:p>
        </w:tc>
        <w:tc>
          <w:tcPr>
            <w:tcW w:w="1679"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-$9.4</w:t>
            </w:r>
          </w:p>
        </w:tc>
        <w:tc>
          <w:tcPr>
            <w:tcW w:w="2215" w:type="dxa"/>
            <w:noWrap/>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-$2.1</w:t>
            </w:r>
          </w:p>
        </w:tc>
        <w:tc>
          <w:tcPr>
            <w:tcW w:w="1986"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$0</w:t>
            </w:r>
          </w:p>
        </w:tc>
        <w:tc>
          <w:tcPr>
            <w:tcW w:w="1417" w:type="dxa"/>
            <w:noWrap/>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-$11.5*</w:t>
            </w:r>
          </w:p>
        </w:tc>
      </w:tr>
    </w:tbl>
    <w:p w:rsidR="00142030" w:rsidRPr="00145A45" w:rsidRDefault="00142030" w:rsidP="00CF4255">
      <w:pPr>
        <w:spacing w:line="240" w:lineRule="atLeast"/>
        <w:rPr>
          <w:rFonts w:cstheme="minorHAnsi"/>
          <w:b/>
          <w:bCs/>
        </w:rPr>
      </w:pPr>
    </w:p>
    <w:tbl>
      <w:tblPr>
        <w:tblStyle w:val="TableGrid"/>
        <w:tblW w:w="9180" w:type="dxa"/>
        <w:tblLook w:val="0480" w:firstRow="0" w:lastRow="0" w:firstColumn="1" w:lastColumn="0" w:noHBand="0" w:noVBand="1"/>
        <w:tblCaption w:val="Option 2 Regulatory Burden Estimate Table"/>
        <w:tblDescription w:val="Average annual compliance cost for business of adopting Option 2 compared to Option 1."/>
      </w:tblPr>
      <w:tblGrid>
        <w:gridCol w:w="1883"/>
        <w:gridCol w:w="1679"/>
        <w:gridCol w:w="2215"/>
        <w:gridCol w:w="1986"/>
        <w:gridCol w:w="1417"/>
      </w:tblGrid>
      <w:tr w:rsidR="00CF4255" w:rsidRPr="00145A45" w:rsidTr="00142030">
        <w:trPr>
          <w:cantSplit/>
          <w:trHeight w:val="300"/>
          <w:tblHeader/>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iCs/>
                <w:sz w:val="22"/>
                <w:szCs w:val="22"/>
              </w:rPr>
              <w:t>Cost offset ($m)</w:t>
            </w:r>
          </w:p>
        </w:tc>
        <w:tc>
          <w:tcPr>
            <w:tcW w:w="1679"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Business</w:t>
            </w:r>
          </w:p>
        </w:tc>
        <w:tc>
          <w:tcPr>
            <w:tcW w:w="2215"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Community Organisations</w:t>
            </w:r>
          </w:p>
        </w:tc>
        <w:tc>
          <w:tcPr>
            <w:tcW w:w="1986"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Individuals</w:t>
            </w:r>
          </w:p>
        </w:tc>
        <w:tc>
          <w:tcPr>
            <w:tcW w:w="1417"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 xml:space="preserve">Total by </w:t>
            </w:r>
            <w:r w:rsidRPr="00145A45">
              <w:rPr>
                <w:rFonts w:asciiTheme="minorHAnsi" w:hAnsiTheme="minorHAnsi" w:cstheme="minorHAnsi"/>
                <w:b/>
                <w:iCs/>
                <w:sz w:val="22"/>
                <w:szCs w:val="22"/>
              </w:rPr>
              <w:t>Source</w:t>
            </w:r>
            <w:r w:rsidRPr="00145A45">
              <w:rPr>
                <w:rFonts w:asciiTheme="minorHAnsi" w:hAnsiTheme="minorHAnsi" w:cstheme="minorHAnsi"/>
                <w:b/>
                <w:bCs/>
                <w:iCs/>
                <w:sz w:val="22"/>
                <w:szCs w:val="22"/>
              </w:rPr>
              <w:t xml:space="preserve"> </w:t>
            </w:r>
          </w:p>
        </w:tc>
      </w:tr>
      <w:tr w:rsidR="00CF4255" w:rsidRPr="00145A45" w:rsidTr="00CF4255">
        <w:trPr>
          <w:trHeight w:val="300"/>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 xml:space="preserve">Agency </w:t>
            </w:r>
          </w:p>
        </w:tc>
        <w:tc>
          <w:tcPr>
            <w:tcW w:w="1679"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CF4255" w:rsidRPr="00145A45" w:rsidTr="00CF4255">
        <w:trPr>
          <w:trHeight w:val="497"/>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Within portfolio</w:t>
            </w:r>
          </w:p>
        </w:tc>
        <w:tc>
          <w:tcPr>
            <w:tcW w:w="1679"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CF4255" w:rsidRPr="00145A45" w:rsidTr="00CF4255">
        <w:trPr>
          <w:trHeight w:val="418"/>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Outside portfolio</w:t>
            </w:r>
          </w:p>
        </w:tc>
        <w:tc>
          <w:tcPr>
            <w:tcW w:w="1679"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CF4255" w:rsidRPr="00145A45" w:rsidTr="00CF4255">
        <w:trPr>
          <w:trHeight w:val="300"/>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 xml:space="preserve">Total by </w:t>
            </w:r>
            <w:r w:rsidRPr="00145A45">
              <w:rPr>
                <w:rFonts w:asciiTheme="minorHAnsi" w:hAnsiTheme="minorHAnsi" w:cstheme="minorHAnsi"/>
                <w:b/>
                <w:bCs/>
                <w:iCs/>
                <w:sz w:val="22"/>
                <w:szCs w:val="22"/>
              </w:rPr>
              <w:t>Sector</w:t>
            </w:r>
          </w:p>
        </w:tc>
        <w:tc>
          <w:tcPr>
            <w:tcW w:w="1679"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CF4255" w:rsidRPr="00145A45" w:rsidRDefault="00CF4255" w:rsidP="0013210A">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bl>
    <w:p w:rsidR="00142030" w:rsidRPr="00142030" w:rsidRDefault="00142030" w:rsidP="00142030">
      <w:pPr>
        <w:tabs>
          <w:tab w:val="left" w:pos="2835"/>
          <w:tab w:val="left" w:pos="4253"/>
        </w:tabs>
        <w:spacing w:before="120" w:after="120"/>
        <w:contextualSpacing/>
      </w:pPr>
      <w:r w:rsidRPr="00142030">
        <w:t>Proposal is cost neutral?</w:t>
      </w:r>
      <w:r w:rsidRPr="00142030">
        <w:tab/>
      </w:r>
      <w:r w:rsidRPr="00142030">
        <w:sym w:font="Wingdings 2" w:char="F02A"/>
      </w:r>
      <w:r w:rsidRPr="00142030">
        <w:t xml:space="preserve"> </w:t>
      </w:r>
      <w:proofErr w:type="gramStart"/>
      <w:r w:rsidRPr="00142030">
        <w:t>yes</w:t>
      </w:r>
      <w:proofErr w:type="gramEnd"/>
      <w:r w:rsidRPr="00142030">
        <w:tab/>
      </w:r>
      <w:r w:rsidRPr="00142030">
        <w:sym w:font="Wingdings" w:char="F0FC"/>
      </w:r>
      <w:r w:rsidRPr="00142030">
        <w:t xml:space="preserve"> no </w:t>
      </w:r>
    </w:p>
    <w:p w:rsidR="00142030" w:rsidRPr="00142030" w:rsidRDefault="00142030" w:rsidP="00142030">
      <w:pPr>
        <w:tabs>
          <w:tab w:val="left" w:pos="2835"/>
          <w:tab w:val="left" w:pos="4253"/>
        </w:tabs>
        <w:spacing w:before="120" w:after="120"/>
        <w:contextualSpacing/>
      </w:pPr>
      <w:r w:rsidRPr="00142030">
        <w:t>Proposal is deregulatory</w:t>
      </w:r>
      <w:r>
        <w:tab/>
      </w:r>
      <w:r w:rsidRPr="00142030">
        <w:sym w:font="Wingdings" w:char="F0FC"/>
      </w:r>
      <w:r w:rsidRPr="00142030">
        <w:t xml:space="preserve"> yes</w:t>
      </w:r>
      <w:r>
        <w:tab/>
      </w:r>
      <w:r w:rsidRPr="00142030">
        <w:sym w:font="Wingdings 2" w:char="F02A"/>
      </w:r>
      <w:r w:rsidRPr="00142030">
        <w:t xml:space="preserve"> no</w:t>
      </w:r>
    </w:p>
    <w:p w:rsidR="00142030" w:rsidRPr="00145A45" w:rsidRDefault="00142030" w:rsidP="00142030">
      <w:pPr>
        <w:tabs>
          <w:tab w:val="left" w:pos="2835"/>
          <w:tab w:val="left" w:pos="4253"/>
        </w:tabs>
        <w:spacing w:before="120" w:after="120"/>
        <w:contextualSpacing/>
        <w:rPr>
          <w:rFonts w:cstheme="minorHAnsi"/>
          <w:b/>
          <w:bCs/>
        </w:rPr>
      </w:pPr>
      <w:r w:rsidRPr="00142030">
        <w:t>Balance of cost offsets</w:t>
      </w:r>
      <w:r>
        <w:tab/>
      </w:r>
      <w:r w:rsidRPr="00145A45">
        <w:rPr>
          <w:rFonts w:cstheme="minorHAnsi"/>
          <w:b/>
          <w:bCs/>
        </w:rPr>
        <w:t>-$11.5 m</w:t>
      </w:r>
    </w:p>
    <w:p w:rsidR="00142030" w:rsidRPr="00145A45" w:rsidRDefault="00142030" w:rsidP="00142030">
      <w:pPr>
        <w:pBdr>
          <w:top w:val="single" w:sz="4" w:space="1" w:color="auto"/>
          <w:left w:val="single" w:sz="4" w:space="4" w:color="auto"/>
          <w:bottom w:val="single" w:sz="4" w:space="1" w:color="auto"/>
          <w:right w:val="single" w:sz="4" w:space="4" w:color="auto"/>
        </w:pBdr>
        <w:spacing w:line="240" w:lineRule="atLeast"/>
        <w:rPr>
          <w:rFonts w:cstheme="minorHAnsi"/>
          <w:iCs/>
        </w:rPr>
      </w:pPr>
      <w:r w:rsidRPr="00145A45">
        <w:rPr>
          <w:rFonts w:cstheme="minorHAnsi"/>
          <w:i/>
          <w:iCs/>
        </w:rPr>
        <w:t xml:space="preserve">*This figure represents the estimated regulatory savings to businesses of adopting Option 2 compared to the status quo (Option 1). This means the difference between the cost of current requirements of </w:t>
      </w:r>
      <w:r>
        <w:rPr>
          <w:rFonts w:cstheme="minorHAnsi"/>
          <w:i/>
          <w:iCs/>
        </w:rPr>
        <w:t>$</w:t>
      </w:r>
      <w:r w:rsidRPr="00145A45">
        <w:rPr>
          <w:rFonts w:cstheme="minorHAnsi"/>
          <w:i/>
          <w:iCs/>
        </w:rPr>
        <w:t xml:space="preserve">19 million less the estimated $7.5 million cost of reporting under </w:t>
      </w:r>
      <w:r>
        <w:rPr>
          <w:rFonts w:cstheme="minorHAnsi"/>
          <w:i/>
          <w:iCs/>
        </w:rPr>
        <w:t>O</w:t>
      </w:r>
      <w:r w:rsidRPr="00145A45">
        <w:rPr>
          <w:rFonts w:cstheme="minorHAnsi"/>
          <w:i/>
          <w:iCs/>
        </w:rPr>
        <w:t xml:space="preserve">ption 2 </w:t>
      </w:r>
    </w:p>
    <w:p w:rsidR="00283637" w:rsidRPr="0069298D" w:rsidRDefault="00306897" w:rsidP="0069298D">
      <w:pPr>
        <w:pStyle w:val="Heading2"/>
        <w:rPr>
          <w:rFonts w:asciiTheme="minorHAnsi" w:hAnsiTheme="minorHAnsi" w:cstheme="minorHAnsi"/>
        </w:rPr>
      </w:pPr>
      <w:bookmarkStart w:id="34" w:name="_Toc404158262"/>
      <w:bookmarkStart w:id="35" w:name="_Toc405895164"/>
      <w:r w:rsidRPr="0069298D">
        <w:rPr>
          <w:rFonts w:asciiTheme="minorHAnsi" w:hAnsiTheme="minorHAnsi" w:cstheme="minorHAnsi"/>
        </w:rPr>
        <w:t>Option 3: Streamline reporting requirements (minimal salary data and removal of significant elements of Schedule 2)</w:t>
      </w:r>
      <w:bookmarkEnd w:id="34"/>
      <w:bookmarkEnd w:id="35"/>
    </w:p>
    <w:p w:rsidR="00B56065" w:rsidRPr="006D4988" w:rsidRDefault="00283637" w:rsidP="00B56065">
      <w:pPr>
        <w:rPr>
          <w:rFonts w:cstheme="minorHAnsi"/>
        </w:rPr>
      </w:pPr>
      <w:r w:rsidRPr="006D4988">
        <w:rPr>
          <w:rFonts w:cstheme="minorHAnsi"/>
        </w:rPr>
        <w:t>T</w:t>
      </w:r>
      <w:r w:rsidR="00E660A1" w:rsidRPr="006D4988">
        <w:rPr>
          <w:rFonts w:cstheme="minorHAnsi"/>
        </w:rPr>
        <w:t>his option</w:t>
      </w:r>
      <w:r w:rsidRPr="006D4988">
        <w:rPr>
          <w:rFonts w:cstheme="minorHAnsi"/>
        </w:rPr>
        <w:t xml:space="preserve"> is the ‘minimal change’ option</w:t>
      </w:r>
      <w:r w:rsidR="00B56065" w:rsidRPr="006D4988">
        <w:rPr>
          <w:rFonts w:cstheme="minorHAnsi"/>
        </w:rPr>
        <w:t xml:space="preserve">. </w:t>
      </w:r>
    </w:p>
    <w:p w:rsidR="00B56065" w:rsidRPr="006D4988" w:rsidRDefault="00B56065" w:rsidP="00B56065">
      <w:pPr>
        <w:spacing w:after="0"/>
        <w:rPr>
          <w:rFonts w:cstheme="minorHAnsi"/>
        </w:rPr>
      </w:pPr>
      <w:r w:rsidRPr="006D4988">
        <w:rPr>
          <w:rFonts w:cstheme="minorHAnsi"/>
        </w:rPr>
        <w:t>Specifically this option includes:</w:t>
      </w:r>
    </w:p>
    <w:p w:rsidR="00B56065" w:rsidRPr="009B51DF" w:rsidRDefault="0013210A" w:rsidP="003E6551">
      <w:pPr>
        <w:pStyle w:val="ListParagraph"/>
        <w:numPr>
          <w:ilvl w:val="0"/>
          <w:numId w:val="38"/>
        </w:numPr>
        <w:spacing w:before="120" w:after="120" w:line="276" w:lineRule="auto"/>
        <w:ind w:left="714" w:hanging="357"/>
        <w:contextualSpacing w:val="0"/>
        <w:rPr>
          <w:rFonts w:asciiTheme="minorHAnsi" w:hAnsiTheme="minorHAnsi"/>
          <w:sz w:val="22"/>
        </w:rPr>
      </w:pPr>
      <w:r>
        <w:rPr>
          <w:rFonts w:asciiTheme="minorHAnsi" w:hAnsiTheme="minorHAnsi"/>
          <w:sz w:val="22"/>
        </w:rPr>
        <w:t>r</w:t>
      </w:r>
      <w:r w:rsidRPr="009B51DF">
        <w:rPr>
          <w:rFonts w:asciiTheme="minorHAnsi" w:hAnsiTheme="minorHAnsi"/>
          <w:sz w:val="22"/>
        </w:rPr>
        <w:t xml:space="preserve">emoving </w:t>
      </w:r>
      <w:r w:rsidR="00B56065" w:rsidRPr="009B51DF">
        <w:rPr>
          <w:rFonts w:asciiTheme="minorHAnsi" w:hAnsiTheme="minorHAnsi"/>
          <w:sz w:val="22"/>
        </w:rPr>
        <w:t>the requirements to report only on:</w:t>
      </w:r>
    </w:p>
    <w:p w:rsidR="00B56065" w:rsidRPr="009B51DF" w:rsidRDefault="00B56065" w:rsidP="003E6551">
      <w:pPr>
        <w:pStyle w:val="ListParagraph"/>
        <w:numPr>
          <w:ilvl w:val="1"/>
          <w:numId w:val="38"/>
        </w:numPr>
        <w:spacing w:before="120" w:after="120" w:line="276" w:lineRule="auto"/>
        <w:contextualSpacing w:val="0"/>
        <w:rPr>
          <w:rFonts w:asciiTheme="minorHAnsi" w:hAnsiTheme="minorHAnsi"/>
          <w:sz w:val="22"/>
        </w:rPr>
      </w:pPr>
      <w:r w:rsidRPr="009B51DF">
        <w:rPr>
          <w:rFonts w:asciiTheme="minorHAnsi" w:hAnsiTheme="minorHAnsi"/>
          <w:sz w:val="22"/>
        </w:rPr>
        <w:t xml:space="preserve">remuneration data </w:t>
      </w:r>
      <w:r w:rsidR="00BA0BFB" w:rsidRPr="009B51DF">
        <w:rPr>
          <w:rFonts w:asciiTheme="minorHAnsi" w:hAnsiTheme="minorHAnsi"/>
          <w:sz w:val="22"/>
        </w:rPr>
        <w:t xml:space="preserve">for </w:t>
      </w:r>
      <w:proofErr w:type="spellStart"/>
      <w:r w:rsidR="00C8371E" w:rsidRPr="009B51DF">
        <w:rPr>
          <w:rFonts w:asciiTheme="minorHAnsi" w:hAnsiTheme="minorHAnsi"/>
          <w:sz w:val="22"/>
        </w:rPr>
        <w:t>CEOs</w:t>
      </w:r>
      <w:proofErr w:type="spellEnd"/>
      <w:r w:rsidRPr="009B51DF">
        <w:rPr>
          <w:rFonts w:asciiTheme="minorHAnsi" w:hAnsiTheme="minorHAnsi"/>
          <w:sz w:val="22"/>
        </w:rPr>
        <w:t xml:space="preserve">, and casual managers </w:t>
      </w:r>
    </w:p>
    <w:p w:rsidR="00B56065" w:rsidRPr="009B51DF" w:rsidRDefault="00BA0BFB" w:rsidP="003E6551">
      <w:pPr>
        <w:pStyle w:val="ListParagraph"/>
        <w:numPr>
          <w:ilvl w:val="1"/>
          <w:numId w:val="38"/>
        </w:numPr>
        <w:spacing w:before="120" w:after="120" w:line="276" w:lineRule="auto"/>
        <w:contextualSpacing w:val="0"/>
        <w:rPr>
          <w:rFonts w:asciiTheme="minorHAnsi" w:hAnsiTheme="minorHAnsi"/>
          <w:sz w:val="22"/>
        </w:rPr>
      </w:pPr>
      <w:proofErr w:type="gramStart"/>
      <w:r w:rsidRPr="009B51DF">
        <w:rPr>
          <w:rFonts w:asciiTheme="minorHAnsi" w:hAnsiTheme="minorHAnsi"/>
          <w:sz w:val="22"/>
        </w:rPr>
        <w:t>components</w:t>
      </w:r>
      <w:proofErr w:type="gramEnd"/>
      <w:r w:rsidR="00B56065" w:rsidRPr="009B51DF">
        <w:rPr>
          <w:rFonts w:asciiTheme="minorHAnsi" w:hAnsiTheme="minorHAnsi"/>
          <w:sz w:val="22"/>
        </w:rPr>
        <w:t xml:space="preserve"> of Schedule 2, including the additional components of total remuneration, the applications and interview data, and the number of requests and approvals for extended parental leave.</w:t>
      </w:r>
    </w:p>
    <w:p w:rsidR="00B56065" w:rsidRPr="009B51DF" w:rsidRDefault="0013210A" w:rsidP="003E6551">
      <w:pPr>
        <w:pStyle w:val="ListParagraph"/>
        <w:numPr>
          <w:ilvl w:val="0"/>
          <w:numId w:val="38"/>
        </w:numPr>
        <w:spacing w:before="120" w:after="120" w:line="276" w:lineRule="auto"/>
        <w:ind w:left="714" w:hanging="357"/>
        <w:contextualSpacing w:val="0"/>
        <w:rPr>
          <w:rFonts w:asciiTheme="minorHAnsi" w:hAnsiTheme="minorHAnsi"/>
          <w:sz w:val="22"/>
        </w:rPr>
      </w:pPr>
      <w:proofErr w:type="gramStart"/>
      <w:r>
        <w:rPr>
          <w:rFonts w:asciiTheme="minorHAnsi" w:hAnsiTheme="minorHAnsi"/>
          <w:sz w:val="22"/>
        </w:rPr>
        <w:t>r</w:t>
      </w:r>
      <w:r w:rsidRPr="009B51DF">
        <w:rPr>
          <w:rFonts w:asciiTheme="minorHAnsi" w:hAnsiTheme="minorHAnsi"/>
          <w:sz w:val="22"/>
        </w:rPr>
        <w:t>etaining</w:t>
      </w:r>
      <w:proofErr w:type="gramEnd"/>
      <w:r w:rsidRPr="009B51DF">
        <w:rPr>
          <w:rFonts w:asciiTheme="minorHAnsi" w:hAnsiTheme="minorHAnsi"/>
          <w:sz w:val="22"/>
        </w:rPr>
        <w:t xml:space="preserve"> </w:t>
      </w:r>
      <w:r w:rsidR="00B56065" w:rsidRPr="009B51DF">
        <w:rPr>
          <w:rFonts w:asciiTheme="minorHAnsi" w:hAnsiTheme="minorHAnsi"/>
          <w:sz w:val="22"/>
        </w:rPr>
        <w:t xml:space="preserve">reporting on remuneration for most manager categories (except for </w:t>
      </w:r>
      <w:proofErr w:type="spellStart"/>
      <w:r w:rsidR="00B56065" w:rsidRPr="009B51DF">
        <w:rPr>
          <w:rFonts w:asciiTheme="minorHAnsi" w:hAnsiTheme="minorHAnsi"/>
          <w:sz w:val="22"/>
        </w:rPr>
        <w:t>CEOs</w:t>
      </w:r>
      <w:proofErr w:type="spellEnd"/>
      <w:r w:rsidR="00B56065" w:rsidRPr="009B51DF">
        <w:rPr>
          <w:rFonts w:asciiTheme="minorHAnsi" w:hAnsiTheme="minorHAnsi"/>
          <w:sz w:val="22"/>
        </w:rPr>
        <w:t xml:space="preserve"> and casual managers) and all non-manager categories.</w:t>
      </w:r>
    </w:p>
    <w:p w:rsidR="00B56065" w:rsidRPr="009B51DF" w:rsidRDefault="0013210A" w:rsidP="003E6551">
      <w:pPr>
        <w:pStyle w:val="ListParagraph"/>
        <w:numPr>
          <w:ilvl w:val="0"/>
          <w:numId w:val="38"/>
        </w:numPr>
        <w:spacing w:before="120" w:after="120" w:line="276" w:lineRule="auto"/>
        <w:ind w:left="714" w:hanging="357"/>
        <w:contextualSpacing w:val="0"/>
        <w:rPr>
          <w:rFonts w:asciiTheme="minorHAnsi" w:hAnsiTheme="minorHAnsi"/>
          <w:sz w:val="22"/>
        </w:rPr>
      </w:pPr>
      <w:proofErr w:type="gramStart"/>
      <w:r>
        <w:rPr>
          <w:rFonts w:asciiTheme="minorHAnsi" w:hAnsiTheme="minorHAnsi"/>
          <w:sz w:val="22"/>
        </w:rPr>
        <w:t>r</w:t>
      </w:r>
      <w:r w:rsidRPr="009B51DF">
        <w:rPr>
          <w:rFonts w:asciiTheme="minorHAnsi" w:hAnsiTheme="minorHAnsi"/>
          <w:sz w:val="22"/>
        </w:rPr>
        <w:t>etaining</w:t>
      </w:r>
      <w:proofErr w:type="gramEnd"/>
      <w:r w:rsidRPr="009B51DF">
        <w:rPr>
          <w:rFonts w:asciiTheme="minorHAnsi" w:hAnsiTheme="minorHAnsi"/>
          <w:sz w:val="22"/>
        </w:rPr>
        <w:t xml:space="preserve"> </w:t>
      </w:r>
      <w:r w:rsidR="00EA194C" w:rsidRPr="009B51DF">
        <w:rPr>
          <w:rFonts w:asciiTheme="minorHAnsi" w:hAnsiTheme="minorHAnsi"/>
          <w:sz w:val="22"/>
        </w:rPr>
        <w:t>S</w:t>
      </w:r>
      <w:r w:rsidR="00B56065" w:rsidRPr="009B51DF">
        <w:rPr>
          <w:rFonts w:asciiTheme="minorHAnsi" w:hAnsiTheme="minorHAnsi"/>
          <w:sz w:val="22"/>
        </w:rPr>
        <w:t>chedule 2 reporting requirements on appointments, promotions and resignations and the number of employees who have returned to work from parental leave.</w:t>
      </w:r>
    </w:p>
    <w:p w:rsidR="00B56065" w:rsidRPr="006D4988" w:rsidRDefault="00FE1DE9" w:rsidP="00B56065">
      <w:pPr>
        <w:spacing w:after="240"/>
        <w:rPr>
          <w:rFonts w:cstheme="minorHAnsi"/>
        </w:rPr>
      </w:pPr>
      <w:r w:rsidRPr="006D4988">
        <w:rPr>
          <w:rFonts w:cstheme="minorHAnsi"/>
        </w:rPr>
        <w:lastRenderedPageBreak/>
        <w:t>It</w:t>
      </w:r>
      <w:r w:rsidR="00B56065" w:rsidRPr="006D4988">
        <w:rPr>
          <w:rFonts w:cstheme="minorHAnsi"/>
        </w:rPr>
        <w:t xml:space="preserve"> differs from </w:t>
      </w:r>
      <w:r w:rsidRPr="006D4988">
        <w:rPr>
          <w:rFonts w:cstheme="minorHAnsi"/>
        </w:rPr>
        <w:t>O</w:t>
      </w:r>
      <w:r w:rsidR="00B56065" w:rsidRPr="006D4988">
        <w:rPr>
          <w:rFonts w:cstheme="minorHAnsi"/>
        </w:rPr>
        <w:t xml:space="preserve">ption </w:t>
      </w:r>
      <w:r w:rsidRPr="006D4988">
        <w:rPr>
          <w:rFonts w:cstheme="minorHAnsi"/>
        </w:rPr>
        <w:t>2 above</w:t>
      </w:r>
      <w:r w:rsidR="00B56065" w:rsidRPr="006D4988">
        <w:rPr>
          <w:rFonts w:cstheme="minorHAnsi"/>
        </w:rPr>
        <w:t xml:space="preserve"> in that it retains reporting requirements for remuneration data for non-managers.</w:t>
      </w:r>
    </w:p>
    <w:p w:rsidR="00BA0BFB" w:rsidRPr="006D4988" w:rsidRDefault="00B56065" w:rsidP="00B56065">
      <w:pPr>
        <w:rPr>
          <w:rFonts w:cstheme="minorHAnsi"/>
        </w:rPr>
      </w:pPr>
      <w:r w:rsidRPr="006D4988">
        <w:rPr>
          <w:rFonts w:cstheme="minorHAnsi"/>
        </w:rPr>
        <w:t xml:space="preserve">While employers have been vocal about the difficulties they have had with reporting, submissions and feedback from women’s organisations </w:t>
      </w:r>
      <w:r w:rsidR="006B3855" w:rsidRPr="006D4988">
        <w:rPr>
          <w:rFonts w:cstheme="minorHAnsi"/>
        </w:rPr>
        <w:t xml:space="preserve">and the non-business sector </w:t>
      </w:r>
      <w:r w:rsidR="00BA0BFB" w:rsidRPr="006D4988">
        <w:rPr>
          <w:rFonts w:cstheme="minorHAnsi"/>
        </w:rPr>
        <w:t xml:space="preserve">strongly support the existing reporting regime and emphasise the economic gain associated with increased female workforce participation. As well, given the </w:t>
      </w:r>
      <w:r w:rsidR="00FE1DE9" w:rsidRPr="006D4988">
        <w:rPr>
          <w:rFonts w:cstheme="minorHAnsi"/>
        </w:rPr>
        <w:t>recent interest in</w:t>
      </w:r>
      <w:r w:rsidR="00BA0BFB" w:rsidRPr="006D4988">
        <w:rPr>
          <w:rFonts w:cstheme="minorHAnsi"/>
        </w:rPr>
        <w:t xml:space="preserve"> the pay gap, these stakeholders</w:t>
      </w:r>
      <w:r w:rsidR="00FC1956">
        <w:rPr>
          <w:rFonts w:cstheme="minorHAnsi"/>
        </w:rPr>
        <w:t xml:space="preserve"> generally</w:t>
      </w:r>
      <w:r w:rsidR="00BA0BFB" w:rsidRPr="006D4988">
        <w:rPr>
          <w:rFonts w:cstheme="minorHAnsi"/>
        </w:rPr>
        <w:t xml:space="preserve"> did not support the removal of any remuneration data, other than the </w:t>
      </w:r>
      <w:proofErr w:type="spellStart"/>
      <w:r w:rsidR="00DC6CAA">
        <w:rPr>
          <w:rFonts w:cstheme="minorHAnsi"/>
        </w:rPr>
        <w:t>CEO</w:t>
      </w:r>
      <w:proofErr w:type="spellEnd"/>
      <w:r w:rsidR="00DC6CAA">
        <w:rPr>
          <w:rFonts w:cstheme="minorHAnsi"/>
        </w:rPr>
        <w:t xml:space="preserve"> </w:t>
      </w:r>
      <w:r w:rsidR="00BA0BFB" w:rsidRPr="006D4988">
        <w:rPr>
          <w:rFonts w:cstheme="minorHAnsi"/>
        </w:rPr>
        <w:t>data</w:t>
      </w:r>
      <w:r w:rsidR="00BA0BFB" w:rsidRPr="003C5FF2">
        <w:t>.</w:t>
      </w:r>
      <w:r w:rsidR="00FE1DE9" w:rsidRPr="006D4988">
        <w:rPr>
          <w:rFonts w:cstheme="minorHAnsi"/>
        </w:rPr>
        <w:t xml:space="preserve"> </w:t>
      </w:r>
      <w:r w:rsidR="00A956CF" w:rsidRPr="006D4988">
        <w:rPr>
          <w:rFonts w:cstheme="minorHAnsi"/>
        </w:rPr>
        <w:t>As mentioned previously, m</w:t>
      </w:r>
      <w:r w:rsidR="00FE1DE9" w:rsidRPr="006D4988">
        <w:rPr>
          <w:rFonts w:cstheme="minorHAnsi"/>
        </w:rPr>
        <w:t xml:space="preserve">any of </w:t>
      </w:r>
      <w:r w:rsidR="00560BAA" w:rsidRPr="006D4988">
        <w:rPr>
          <w:rFonts w:cstheme="minorHAnsi"/>
        </w:rPr>
        <w:t>the submissions from women’s groups and alliances emphasised the need to address the gender pay gap</w:t>
      </w:r>
      <w:r w:rsidR="0013210A">
        <w:rPr>
          <w:rFonts w:cstheme="minorHAnsi"/>
        </w:rPr>
        <w:t>,</w:t>
      </w:r>
      <w:r w:rsidR="00560BAA" w:rsidRPr="006D4988">
        <w:rPr>
          <w:rFonts w:cstheme="minorHAnsi"/>
        </w:rPr>
        <w:t xml:space="preserve"> and linked the collection of the remuneration data and efforts to address the gender pay gap.</w:t>
      </w:r>
    </w:p>
    <w:p w:rsidR="004F60B1" w:rsidRPr="006D4988" w:rsidRDefault="00BA0BFB" w:rsidP="00B56065">
      <w:pPr>
        <w:rPr>
          <w:rFonts w:cstheme="minorHAnsi"/>
        </w:rPr>
      </w:pPr>
      <w:r w:rsidRPr="006D4988">
        <w:rPr>
          <w:rFonts w:cstheme="minorHAnsi"/>
        </w:rPr>
        <w:t xml:space="preserve">The </w:t>
      </w:r>
      <w:r w:rsidR="006B3855" w:rsidRPr="006D4988">
        <w:rPr>
          <w:rFonts w:cstheme="minorHAnsi"/>
        </w:rPr>
        <w:t xml:space="preserve">non-business sector </w:t>
      </w:r>
      <w:r w:rsidR="00834BB6" w:rsidRPr="006D4988">
        <w:rPr>
          <w:rFonts w:cstheme="minorHAnsi"/>
        </w:rPr>
        <w:t>claim</w:t>
      </w:r>
      <w:r w:rsidR="0013210A">
        <w:rPr>
          <w:rFonts w:cstheme="minorHAnsi"/>
        </w:rPr>
        <w:t>s</w:t>
      </w:r>
      <w:r w:rsidR="00E03B13" w:rsidRPr="006D4988">
        <w:rPr>
          <w:rFonts w:cstheme="minorHAnsi"/>
        </w:rPr>
        <w:t xml:space="preserve"> that</w:t>
      </w:r>
      <w:r w:rsidR="0013210A">
        <w:rPr>
          <w:rFonts w:cstheme="minorHAnsi"/>
        </w:rPr>
        <w:t>,</w:t>
      </w:r>
      <w:r w:rsidR="00E03B13" w:rsidRPr="006D4988">
        <w:rPr>
          <w:rFonts w:cstheme="minorHAnsi"/>
        </w:rPr>
        <w:t xml:space="preserve"> </w:t>
      </w:r>
      <w:r w:rsidR="004F60B1" w:rsidRPr="006D4988">
        <w:rPr>
          <w:rFonts w:cstheme="minorHAnsi"/>
        </w:rPr>
        <w:t xml:space="preserve">despite the difficulties experienced by employers in the first year of reporting, efficiencies will occur in subsequent years so that employers will have, with the help of the Agency, systems, practices and IT tools to extract remuneration data </w:t>
      </w:r>
      <w:r w:rsidR="00834BB6" w:rsidRPr="006D4988">
        <w:rPr>
          <w:rFonts w:cstheme="minorHAnsi"/>
        </w:rPr>
        <w:t xml:space="preserve">more easily and </w:t>
      </w:r>
      <w:r w:rsidR="004F60B1" w:rsidRPr="006D4988">
        <w:rPr>
          <w:rFonts w:cstheme="minorHAnsi"/>
        </w:rPr>
        <w:t>routinely.</w:t>
      </w:r>
    </w:p>
    <w:p w:rsidR="001E7795" w:rsidRPr="006D4988" w:rsidRDefault="00FB34C6" w:rsidP="00B56065">
      <w:pPr>
        <w:rPr>
          <w:rFonts w:cstheme="minorHAnsi"/>
        </w:rPr>
      </w:pPr>
      <w:r w:rsidRPr="006D4988">
        <w:rPr>
          <w:rFonts w:cstheme="minorHAnsi"/>
        </w:rPr>
        <w:t>Employers have said that p</w:t>
      </w:r>
      <w:r w:rsidR="001E7795" w:rsidRPr="006D4988">
        <w:rPr>
          <w:rFonts w:cstheme="minorHAnsi"/>
        </w:rPr>
        <w:t xml:space="preserve">roviding </w:t>
      </w:r>
      <w:proofErr w:type="spellStart"/>
      <w:r w:rsidR="001E7795" w:rsidRPr="006D4988">
        <w:rPr>
          <w:rFonts w:cstheme="minorHAnsi"/>
        </w:rPr>
        <w:t>CEO</w:t>
      </w:r>
      <w:proofErr w:type="spellEnd"/>
      <w:r w:rsidR="001E7795" w:rsidRPr="006D4988">
        <w:rPr>
          <w:rFonts w:cstheme="minorHAnsi"/>
        </w:rPr>
        <w:t xml:space="preserve"> </w:t>
      </w:r>
      <w:r w:rsidR="00BB578E" w:rsidRPr="006D4988">
        <w:rPr>
          <w:rFonts w:cstheme="minorHAnsi"/>
        </w:rPr>
        <w:t xml:space="preserve">remuneration </w:t>
      </w:r>
      <w:r w:rsidR="001E7795" w:rsidRPr="006D4988">
        <w:rPr>
          <w:rFonts w:cstheme="minorHAnsi"/>
        </w:rPr>
        <w:t xml:space="preserve">data </w:t>
      </w:r>
      <w:r w:rsidRPr="006D4988">
        <w:rPr>
          <w:rFonts w:cstheme="minorHAnsi"/>
        </w:rPr>
        <w:t>is</w:t>
      </w:r>
      <w:r w:rsidR="001E7795" w:rsidRPr="006D4988">
        <w:rPr>
          <w:rFonts w:cstheme="minorHAnsi"/>
        </w:rPr>
        <w:t xml:space="preserve"> not considered by employers to be onerous,</w:t>
      </w:r>
      <w:r w:rsidR="00BB578E" w:rsidRPr="006D4988">
        <w:rPr>
          <w:rFonts w:cstheme="minorHAnsi"/>
        </w:rPr>
        <w:t xml:space="preserve"> </w:t>
      </w:r>
      <w:r w:rsidR="0013210A">
        <w:rPr>
          <w:rFonts w:cstheme="minorHAnsi"/>
        </w:rPr>
        <w:t>though</w:t>
      </w:r>
      <w:r w:rsidR="0013210A" w:rsidRPr="006D4988">
        <w:rPr>
          <w:rFonts w:cstheme="minorHAnsi"/>
        </w:rPr>
        <w:t xml:space="preserve"> </w:t>
      </w:r>
      <w:r w:rsidRPr="006D4988">
        <w:rPr>
          <w:rFonts w:cstheme="minorHAnsi"/>
        </w:rPr>
        <w:t xml:space="preserve">they have raised </w:t>
      </w:r>
      <w:r w:rsidR="001E7795" w:rsidRPr="006D4988">
        <w:rPr>
          <w:rFonts w:cstheme="minorHAnsi"/>
        </w:rPr>
        <w:t xml:space="preserve">privacy concerns about disclosing this information within the organisation. </w:t>
      </w:r>
      <w:r w:rsidR="00BB578E" w:rsidRPr="006D4988">
        <w:rPr>
          <w:rFonts w:cstheme="minorHAnsi"/>
        </w:rPr>
        <w:t xml:space="preserve">Removing the requirement to report on </w:t>
      </w:r>
      <w:proofErr w:type="spellStart"/>
      <w:r w:rsidR="00BB578E" w:rsidRPr="006D4988">
        <w:rPr>
          <w:rFonts w:cstheme="minorHAnsi"/>
        </w:rPr>
        <w:t>CEO</w:t>
      </w:r>
      <w:proofErr w:type="spellEnd"/>
      <w:r w:rsidR="00BB578E" w:rsidRPr="006D4988">
        <w:rPr>
          <w:rFonts w:cstheme="minorHAnsi"/>
        </w:rPr>
        <w:t xml:space="preserve"> remuneration is almost universally supported by all stakeholders. </w:t>
      </w:r>
      <w:r w:rsidR="001E7795" w:rsidRPr="006D4988">
        <w:rPr>
          <w:rFonts w:cstheme="minorHAnsi"/>
        </w:rPr>
        <w:t>Removing the requirement to report on managers employed on a casual basis is expected to have minimal to no impact</w:t>
      </w:r>
      <w:r w:rsidR="0013210A">
        <w:rPr>
          <w:rFonts w:cstheme="minorHAnsi"/>
        </w:rPr>
        <w:t>,</w:t>
      </w:r>
      <w:r w:rsidR="001E7795" w:rsidRPr="006D4988">
        <w:rPr>
          <w:rFonts w:cstheme="minorHAnsi"/>
        </w:rPr>
        <w:t xml:space="preserve"> as it is unlikely that there are </w:t>
      </w:r>
      <w:r w:rsidR="00C62E91" w:rsidRPr="006D4988">
        <w:rPr>
          <w:rFonts w:cstheme="minorHAnsi"/>
        </w:rPr>
        <w:t xml:space="preserve">many </w:t>
      </w:r>
      <w:r w:rsidR="001E7795" w:rsidRPr="006D4988">
        <w:rPr>
          <w:rFonts w:cstheme="minorHAnsi"/>
        </w:rPr>
        <w:t xml:space="preserve">managers </w:t>
      </w:r>
      <w:r w:rsidR="00C62E91" w:rsidRPr="006D4988">
        <w:rPr>
          <w:rFonts w:cstheme="minorHAnsi"/>
        </w:rPr>
        <w:t>employed on a casual basis</w:t>
      </w:r>
      <w:r w:rsidR="001E7795" w:rsidRPr="006D4988">
        <w:rPr>
          <w:rFonts w:cstheme="minorHAnsi"/>
        </w:rPr>
        <w:t>.</w:t>
      </w:r>
    </w:p>
    <w:p w:rsidR="004F60B1" w:rsidRPr="006D4988" w:rsidRDefault="00BB578E" w:rsidP="00B56065">
      <w:pPr>
        <w:rPr>
          <w:rFonts w:cstheme="minorHAnsi"/>
        </w:rPr>
      </w:pPr>
      <w:r w:rsidRPr="006D4988">
        <w:rPr>
          <w:rFonts w:cstheme="minorHAnsi"/>
        </w:rPr>
        <w:t xml:space="preserve">Reducing much of the </w:t>
      </w:r>
      <w:r w:rsidR="0013210A">
        <w:rPr>
          <w:rFonts w:cstheme="minorHAnsi"/>
        </w:rPr>
        <w:t>S</w:t>
      </w:r>
      <w:r w:rsidR="0013210A" w:rsidRPr="006D4988">
        <w:rPr>
          <w:rFonts w:cstheme="minorHAnsi"/>
        </w:rPr>
        <w:t xml:space="preserve">chedule </w:t>
      </w:r>
      <w:r w:rsidRPr="006D4988">
        <w:rPr>
          <w:rFonts w:cstheme="minorHAnsi"/>
        </w:rPr>
        <w:t>2 requirements</w:t>
      </w:r>
      <w:r w:rsidR="00834BB6" w:rsidRPr="006D4988">
        <w:rPr>
          <w:rFonts w:cstheme="minorHAnsi"/>
        </w:rPr>
        <w:t xml:space="preserve"> address</w:t>
      </w:r>
      <w:r w:rsidRPr="006D4988">
        <w:rPr>
          <w:rFonts w:cstheme="minorHAnsi"/>
        </w:rPr>
        <w:t>es</w:t>
      </w:r>
      <w:r w:rsidR="00834BB6" w:rsidRPr="006D4988">
        <w:rPr>
          <w:rFonts w:cstheme="minorHAnsi"/>
        </w:rPr>
        <w:t xml:space="preserve"> c</w:t>
      </w:r>
      <w:r w:rsidR="001E7795" w:rsidRPr="006D4988">
        <w:rPr>
          <w:rFonts w:cstheme="minorHAnsi"/>
        </w:rPr>
        <w:t xml:space="preserve">oncerns raised by employers about the difficulties expected in reporting </w:t>
      </w:r>
      <w:r w:rsidRPr="006D4988">
        <w:rPr>
          <w:rFonts w:cstheme="minorHAnsi"/>
        </w:rPr>
        <w:t xml:space="preserve">on </w:t>
      </w:r>
      <w:r w:rsidR="001E7795" w:rsidRPr="006D4988">
        <w:rPr>
          <w:rFonts w:cstheme="minorHAnsi"/>
        </w:rPr>
        <w:t xml:space="preserve">Schedule 2 </w:t>
      </w:r>
      <w:r w:rsidRPr="006D4988">
        <w:rPr>
          <w:rFonts w:cstheme="minorHAnsi"/>
        </w:rPr>
        <w:t>as set out in Option 2</w:t>
      </w:r>
      <w:r w:rsidR="001E7795" w:rsidRPr="006D4988">
        <w:rPr>
          <w:rFonts w:cstheme="minorHAnsi"/>
        </w:rPr>
        <w:t xml:space="preserve">. </w:t>
      </w:r>
    </w:p>
    <w:p w:rsidR="00DC1803" w:rsidRPr="00FC1956" w:rsidRDefault="00DC1803" w:rsidP="00B56065">
      <w:pPr>
        <w:rPr>
          <w:rFonts w:cstheme="minorHAnsi"/>
        </w:rPr>
      </w:pPr>
      <w:r w:rsidRPr="006D4988">
        <w:rPr>
          <w:rFonts w:cstheme="minorHAnsi"/>
        </w:rPr>
        <w:t xml:space="preserve">This option retains </w:t>
      </w:r>
      <w:r w:rsidR="000B15FC">
        <w:rPr>
          <w:rFonts w:cstheme="minorHAnsi"/>
        </w:rPr>
        <w:t>the majority of</w:t>
      </w:r>
      <w:r w:rsidR="000B15FC" w:rsidRPr="006D4988">
        <w:rPr>
          <w:rFonts w:cstheme="minorHAnsi"/>
        </w:rPr>
        <w:t xml:space="preserve"> </w:t>
      </w:r>
      <w:r w:rsidRPr="006D4988">
        <w:rPr>
          <w:rFonts w:cstheme="minorHAnsi"/>
        </w:rPr>
        <w:t>remuneration data</w:t>
      </w:r>
      <w:r w:rsidR="00683EB6" w:rsidRPr="006D4988">
        <w:rPr>
          <w:rFonts w:cstheme="minorHAnsi"/>
        </w:rPr>
        <w:t xml:space="preserve"> </w:t>
      </w:r>
      <w:r w:rsidR="000B15FC">
        <w:rPr>
          <w:rFonts w:cstheme="minorHAnsi"/>
        </w:rPr>
        <w:t>required under Schedule 1</w:t>
      </w:r>
      <w:r w:rsidR="0013210A">
        <w:rPr>
          <w:rFonts w:cstheme="minorHAnsi"/>
        </w:rPr>
        <w:t>,</w:t>
      </w:r>
      <w:r w:rsidR="000B15FC">
        <w:rPr>
          <w:rFonts w:cstheme="minorHAnsi"/>
        </w:rPr>
        <w:t xml:space="preserve"> and</w:t>
      </w:r>
      <w:r w:rsidRPr="006D4988">
        <w:rPr>
          <w:rFonts w:cstheme="minorHAnsi"/>
        </w:rPr>
        <w:t xml:space="preserve"> </w:t>
      </w:r>
      <w:r w:rsidR="0013210A">
        <w:rPr>
          <w:rFonts w:cstheme="minorHAnsi"/>
        </w:rPr>
        <w:t xml:space="preserve">it </w:t>
      </w:r>
      <w:r w:rsidRPr="006D4988">
        <w:rPr>
          <w:rFonts w:cstheme="minorHAnsi"/>
        </w:rPr>
        <w:t xml:space="preserve">is likely to continue to </w:t>
      </w:r>
      <w:r w:rsidR="000B15FC">
        <w:rPr>
          <w:rFonts w:cstheme="minorHAnsi"/>
        </w:rPr>
        <w:t>cause</w:t>
      </w:r>
      <w:r w:rsidR="000B15FC" w:rsidRPr="006D4988">
        <w:rPr>
          <w:rFonts w:cstheme="minorHAnsi"/>
        </w:rPr>
        <w:t xml:space="preserve"> </w:t>
      </w:r>
      <w:r w:rsidRPr="006D4988">
        <w:rPr>
          <w:rFonts w:cstheme="minorHAnsi"/>
        </w:rPr>
        <w:t xml:space="preserve">concerns </w:t>
      </w:r>
      <w:r w:rsidR="000B15FC">
        <w:rPr>
          <w:rFonts w:cstheme="minorHAnsi"/>
        </w:rPr>
        <w:t>for</w:t>
      </w:r>
      <w:r w:rsidR="000B15FC" w:rsidRPr="006D4988">
        <w:rPr>
          <w:rFonts w:cstheme="minorHAnsi"/>
        </w:rPr>
        <w:t xml:space="preserve"> </w:t>
      </w:r>
      <w:r w:rsidRPr="006D4988">
        <w:rPr>
          <w:rFonts w:cstheme="minorHAnsi"/>
        </w:rPr>
        <w:t xml:space="preserve">employers </w:t>
      </w:r>
      <w:r w:rsidR="000B15FC">
        <w:rPr>
          <w:rFonts w:cstheme="minorHAnsi"/>
        </w:rPr>
        <w:t xml:space="preserve">due to the lack of reliability and effectiveness of the data as well as the </w:t>
      </w:r>
      <w:r w:rsidR="00FC1956">
        <w:rPr>
          <w:rFonts w:cstheme="minorHAnsi"/>
        </w:rPr>
        <w:t xml:space="preserve">ongoing </w:t>
      </w:r>
      <w:r w:rsidR="00FC1956" w:rsidRPr="006D4988">
        <w:rPr>
          <w:rFonts w:cstheme="minorHAnsi"/>
        </w:rPr>
        <w:t>difficulties</w:t>
      </w:r>
      <w:r w:rsidRPr="006D4988">
        <w:rPr>
          <w:rFonts w:cstheme="minorHAnsi"/>
        </w:rPr>
        <w:t xml:space="preserve"> and time imposts in providing the data annually.</w:t>
      </w:r>
      <w:r w:rsidR="00E703E7" w:rsidRPr="006D4988">
        <w:rPr>
          <w:rFonts w:cstheme="minorHAnsi"/>
        </w:rPr>
        <w:t xml:space="preserve"> The resources of the Agency will be </w:t>
      </w:r>
      <w:r w:rsidR="008F3FD1" w:rsidRPr="006D4988">
        <w:rPr>
          <w:rFonts w:cstheme="minorHAnsi"/>
        </w:rPr>
        <w:t xml:space="preserve">directed to </w:t>
      </w:r>
      <w:r w:rsidR="0013210A">
        <w:rPr>
          <w:rFonts w:cstheme="minorHAnsi"/>
        </w:rPr>
        <w:t>help</w:t>
      </w:r>
      <w:r w:rsidR="0013210A" w:rsidRPr="006D4988">
        <w:rPr>
          <w:rFonts w:cstheme="minorHAnsi"/>
        </w:rPr>
        <w:t xml:space="preserve"> </w:t>
      </w:r>
      <w:r w:rsidR="008F3FD1" w:rsidRPr="006D4988">
        <w:rPr>
          <w:rFonts w:cstheme="minorHAnsi"/>
        </w:rPr>
        <w:t>employers access this data more easily and consistently.</w:t>
      </w:r>
      <w:r w:rsidR="00CE6EA3" w:rsidRPr="006D4988">
        <w:rPr>
          <w:rFonts w:cstheme="minorHAnsi"/>
        </w:rPr>
        <w:t xml:space="preserve"> While this option provides some streamlining</w:t>
      </w:r>
      <w:r w:rsidR="0013210A">
        <w:rPr>
          <w:rFonts w:cstheme="minorHAnsi"/>
        </w:rPr>
        <w:t>,</w:t>
      </w:r>
      <w:r w:rsidR="00CE6EA3" w:rsidRPr="006D4988">
        <w:rPr>
          <w:rFonts w:cstheme="minorHAnsi"/>
        </w:rPr>
        <w:t xml:space="preserve"> it </w:t>
      </w:r>
      <w:r w:rsidR="00CE6EA3" w:rsidRPr="00FC1956">
        <w:rPr>
          <w:rFonts w:cstheme="minorHAnsi"/>
        </w:rPr>
        <w:t xml:space="preserve">retains a significant impost to reporting employers and </w:t>
      </w:r>
      <w:r w:rsidR="00AD75D6" w:rsidRPr="00FC1956">
        <w:rPr>
          <w:rFonts w:cstheme="minorHAnsi"/>
        </w:rPr>
        <w:t xml:space="preserve">retains the collection of unreliable </w:t>
      </w:r>
      <w:r w:rsidR="005558AF" w:rsidRPr="00FC1956">
        <w:rPr>
          <w:rFonts w:cstheme="minorHAnsi"/>
        </w:rPr>
        <w:t xml:space="preserve">remuneration data for non-managers. The collection of this unreliable data </w:t>
      </w:r>
      <w:r w:rsidR="00A36C50">
        <w:rPr>
          <w:rFonts w:cstheme="minorHAnsi"/>
        </w:rPr>
        <w:t>distract</w:t>
      </w:r>
      <w:r w:rsidR="0013210A">
        <w:rPr>
          <w:rFonts w:cstheme="minorHAnsi"/>
        </w:rPr>
        <w:t>s</w:t>
      </w:r>
      <w:r w:rsidR="00A36C50">
        <w:rPr>
          <w:rFonts w:cstheme="minorHAnsi"/>
        </w:rPr>
        <w:t xml:space="preserve"> employers from </w:t>
      </w:r>
      <w:r w:rsidR="00EC2D2A">
        <w:rPr>
          <w:rFonts w:cstheme="minorHAnsi"/>
        </w:rPr>
        <w:t>more effective</w:t>
      </w:r>
      <w:r w:rsidR="00A36C50">
        <w:rPr>
          <w:rFonts w:cstheme="minorHAnsi"/>
        </w:rPr>
        <w:t xml:space="preserve"> initiatives to improve</w:t>
      </w:r>
      <w:r w:rsidR="00AD75D6" w:rsidRPr="00FC1956">
        <w:rPr>
          <w:rFonts w:cstheme="minorHAnsi"/>
        </w:rPr>
        <w:t xml:space="preserve"> </w:t>
      </w:r>
      <w:r w:rsidR="00EC2D2A">
        <w:rPr>
          <w:rFonts w:cstheme="minorHAnsi"/>
        </w:rPr>
        <w:t>gender equality in their workplace which in turn supports the broader social and economic outcomes such as increasing women’s workforce participation</w:t>
      </w:r>
      <w:r w:rsidR="00AD75D6" w:rsidRPr="00FC1956">
        <w:rPr>
          <w:rFonts w:cstheme="minorHAnsi"/>
        </w:rPr>
        <w:t xml:space="preserve"> </w:t>
      </w:r>
      <w:r w:rsidR="00EC2D2A">
        <w:rPr>
          <w:rFonts w:cstheme="minorHAnsi"/>
        </w:rPr>
        <w:t xml:space="preserve">and </w:t>
      </w:r>
      <w:r w:rsidR="00AD75D6" w:rsidRPr="00FC1956">
        <w:rPr>
          <w:rFonts w:cstheme="minorHAnsi"/>
        </w:rPr>
        <w:t>reducing the gender pay gap. Th</w:t>
      </w:r>
      <w:r w:rsidR="00CE6EA3" w:rsidRPr="00FC1956">
        <w:rPr>
          <w:rFonts w:cstheme="minorHAnsi"/>
        </w:rPr>
        <w:t xml:space="preserve">is </w:t>
      </w:r>
      <w:r w:rsidR="00AD75D6" w:rsidRPr="00FC1956">
        <w:rPr>
          <w:rFonts w:cstheme="minorHAnsi"/>
        </w:rPr>
        <w:t xml:space="preserve">option </w:t>
      </w:r>
      <w:r w:rsidR="00DC6CAA" w:rsidRPr="00FC1956">
        <w:rPr>
          <w:rFonts w:cstheme="minorHAnsi"/>
        </w:rPr>
        <w:t>is</w:t>
      </w:r>
      <w:r w:rsidR="0013210A">
        <w:rPr>
          <w:rFonts w:cstheme="minorHAnsi"/>
        </w:rPr>
        <w:t>,</w:t>
      </w:r>
      <w:r w:rsidR="00AD75D6" w:rsidRPr="00FC1956">
        <w:rPr>
          <w:rFonts w:cstheme="minorHAnsi"/>
        </w:rPr>
        <w:t xml:space="preserve"> </w:t>
      </w:r>
      <w:r w:rsidR="00CE6EA3" w:rsidRPr="00FC1956">
        <w:rPr>
          <w:rFonts w:cstheme="minorHAnsi"/>
        </w:rPr>
        <w:t>therefore</w:t>
      </w:r>
      <w:r w:rsidR="0013210A">
        <w:rPr>
          <w:rFonts w:cstheme="minorHAnsi"/>
        </w:rPr>
        <w:t>,</w:t>
      </w:r>
      <w:r w:rsidR="00CE6EA3" w:rsidRPr="00FC1956">
        <w:rPr>
          <w:rFonts w:cstheme="minorHAnsi"/>
        </w:rPr>
        <w:t xml:space="preserve"> considered the third </w:t>
      </w:r>
      <w:r w:rsidR="00FC1956" w:rsidRPr="00FC1956">
        <w:rPr>
          <w:rFonts w:cstheme="minorHAnsi"/>
        </w:rPr>
        <w:t>most preferable</w:t>
      </w:r>
      <w:r w:rsidR="00CE6EA3" w:rsidRPr="00FC1956">
        <w:rPr>
          <w:rFonts w:cstheme="minorHAnsi"/>
        </w:rPr>
        <w:t xml:space="preserve"> option.</w:t>
      </w:r>
    </w:p>
    <w:p w:rsidR="00142030" w:rsidRDefault="008F3FD1" w:rsidP="008F6E0A">
      <w:pPr>
        <w:rPr>
          <w:rFonts w:cstheme="minorHAnsi"/>
        </w:rPr>
      </w:pPr>
      <w:r w:rsidRPr="00FC1956">
        <w:rPr>
          <w:rFonts w:cstheme="minorHAnsi"/>
        </w:rPr>
        <w:t xml:space="preserve">The </w:t>
      </w:r>
      <w:r w:rsidR="0013210A">
        <w:rPr>
          <w:rFonts w:cstheme="minorHAnsi"/>
        </w:rPr>
        <w:t>D</w:t>
      </w:r>
      <w:r w:rsidR="0013210A" w:rsidRPr="00FC1956">
        <w:rPr>
          <w:rFonts w:cstheme="minorHAnsi"/>
        </w:rPr>
        <w:t xml:space="preserve">epartment </w:t>
      </w:r>
      <w:r w:rsidRPr="00FC1956">
        <w:rPr>
          <w:rFonts w:cstheme="minorHAnsi"/>
        </w:rPr>
        <w:t>estimates that average annual cost to</w:t>
      </w:r>
      <w:r w:rsidRPr="006D4988">
        <w:rPr>
          <w:rFonts w:cstheme="minorHAnsi"/>
        </w:rPr>
        <w:t xml:space="preserve"> all businesses </w:t>
      </w:r>
      <w:r w:rsidR="00D94E83" w:rsidRPr="006D4988">
        <w:rPr>
          <w:rFonts w:cstheme="minorHAnsi"/>
        </w:rPr>
        <w:t xml:space="preserve">for this option will </w:t>
      </w:r>
      <w:r w:rsidRPr="006D4988">
        <w:rPr>
          <w:rFonts w:cstheme="minorHAnsi"/>
        </w:rPr>
        <w:t>be $1</w:t>
      </w:r>
      <w:r w:rsidR="004360C9" w:rsidRPr="006D4988">
        <w:rPr>
          <w:rFonts w:cstheme="minorHAnsi"/>
        </w:rPr>
        <w:t>2</w:t>
      </w:r>
      <w:r w:rsidRPr="006D4988">
        <w:rPr>
          <w:rFonts w:cstheme="minorHAnsi"/>
        </w:rPr>
        <w:t>.</w:t>
      </w:r>
      <w:r w:rsidR="004360C9" w:rsidRPr="006D4988">
        <w:rPr>
          <w:rFonts w:cstheme="minorHAnsi"/>
        </w:rPr>
        <w:t>1</w:t>
      </w:r>
      <w:r w:rsidR="000C103F" w:rsidRPr="006D4988">
        <w:rPr>
          <w:rFonts w:cstheme="minorHAnsi"/>
        </w:rPr>
        <w:t xml:space="preserve"> </w:t>
      </w:r>
      <w:r w:rsidRPr="006D4988">
        <w:rPr>
          <w:rFonts w:cstheme="minorHAnsi"/>
        </w:rPr>
        <w:t>m</w:t>
      </w:r>
      <w:r w:rsidR="008E092E" w:rsidRPr="006D4988">
        <w:rPr>
          <w:rFonts w:cstheme="minorHAnsi"/>
        </w:rPr>
        <w:t>illion</w:t>
      </w:r>
      <w:r w:rsidR="0013210A">
        <w:rPr>
          <w:rFonts w:cstheme="minorHAnsi"/>
        </w:rPr>
        <w:t>,</w:t>
      </w:r>
      <w:r w:rsidRPr="006D4988">
        <w:rPr>
          <w:rFonts w:cstheme="minorHAnsi"/>
        </w:rPr>
        <w:t xml:space="preserve"> </w:t>
      </w:r>
      <w:r w:rsidR="008E092E" w:rsidRPr="006D4988">
        <w:rPr>
          <w:rFonts w:cstheme="minorHAnsi"/>
        </w:rPr>
        <w:t xml:space="preserve">with an </w:t>
      </w:r>
      <w:r w:rsidRPr="006D4988">
        <w:rPr>
          <w:rFonts w:cstheme="minorHAnsi"/>
        </w:rPr>
        <w:t xml:space="preserve">annual per business cost </w:t>
      </w:r>
      <w:r w:rsidR="008E092E" w:rsidRPr="006D4988">
        <w:rPr>
          <w:rFonts w:cstheme="minorHAnsi"/>
        </w:rPr>
        <w:t>of</w:t>
      </w:r>
      <w:r w:rsidRPr="006D4988">
        <w:rPr>
          <w:rFonts w:cstheme="minorHAnsi"/>
        </w:rPr>
        <w:t xml:space="preserve"> $25</w:t>
      </w:r>
      <w:r w:rsidR="004360C9" w:rsidRPr="006D4988">
        <w:rPr>
          <w:rFonts w:cstheme="minorHAnsi"/>
        </w:rPr>
        <w:t>86</w:t>
      </w:r>
      <w:r w:rsidRPr="006D4988">
        <w:rPr>
          <w:rFonts w:cstheme="minorHAnsi"/>
        </w:rPr>
        <w:t xml:space="preserve">. </w:t>
      </w:r>
    </w:p>
    <w:p w:rsidR="00142030" w:rsidRDefault="00142030">
      <w:pPr>
        <w:rPr>
          <w:rFonts w:asciiTheme="majorHAnsi" w:eastAsiaTheme="majorEastAsia" w:hAnsiTheme="majorHAnsi" w:cstheme="majorBidi"/>
          <w:b/>
          <w:bCs/>
          <w:color w:val="4F81BD" w:themeColor="accent1"/>
        </w:rPr>
      </w:pPr>
      <w:r>
        <w:br w:type="page"/>
      </w:r>
    </w:p>
    <w:p w:rsidR="00CF4255" w:rsidRPr="00145A45" w:rsidRDefault="00CF4255" w:rsidP="00142030">
      <w:pPr>
        <w:pStyle w:val="Heading3"/>
      </w:pPr>
      <w:r w:rsidRPr="00145A45">
        <w:lastRenderedPageBreak/>
        <w:t>Regulatory Burden Estimate Table</w:t>
      </w:r>
    </w:p>
    <w:p w:rsidR="00142030" w:rsidRDefault="00142030" w:rsidP="009E799B">
      <w:pPr>
        <w:pStyle w:val="Heading4"/>
      </w:pPr>
      <w:r w:rsidRPr="002A72BC">
        <w:t>Average Annual Compliance Costs (from business as usual)</w:t>
      </w:r>
    </w:p>
    <w:tbl>
      <w:tblPr>
        <w:tblStyle w:val="TableGrid"/>
        <w:tblW w:w="9180" w:type="dxa"/>
        <w:tblLook w:val="0480" w:firstRow="0" w:lastRow="0" w:firstColumn="1" w:lastColumn="0" w:noHBand="0" w:noVBand="1"/>
        <w:tblCaption w:val="Option 3 Regulatory Burden Estimate Table"/>
        <w:tblDescription w:val="Average annual compliance cost of adopting Option 3 compared to Option 1."/>
      </w:tblPr>
      <w:tblGrid>
        <w:gridCol w:w="1883"/>
        <w:gridCol w:w="1679"/>
        <w:gridCol w:w="2215"/>
        <w:gridCol w:w="1986"/>
        <w:gridCol w:w="1417"/>
      </w:tblGrid>
      <w:tr w:rsidR="00CF4255" w:rsidRPr="00145A45" w:rsidTr="009E799B">
        <w:trPr>
          <w:cantSplit/>
          <w:trHeight w:val="300"/>
          <w:tblHeader/>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Costs</w:t>
            </w:r>
            <w:r w:rsidRPr="00145A45">
              <w:rPr>
                <w:rFonts w:asciiTheme="minorHAnsi" w:hAnsiTheme="minorHAnsi" w:cstheme="minorHAnsi"/>
                <w:b/>
                <w:bCs/>
                <w:iCs/>
                <w:sz w:val="22"/>
                <w:szCs w:val="22"/>
              </w:rPr>
              <w:t xml:space="preserve"> ($m)</w:t>
            </w:r>
          </w:p>
        </w:tc>
        <w:tc>
          <w:tcPr>
            <w:tcW w:w="1679"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Business</w:t>
            </w:r>
          </w:p>
        </w:tc>
        <w:tc>
          <w:tcPr>
            <w:tcW w:w="2215"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Community Organisations</w:t>
            </w:r>
          </w:p>
        </w:tc>
        <w:tc>
          <w:tcPr>
            <w:tcW w:w="1986"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Individuals</w:t>
            </w:r>
          </w:p>
        </w:tc>
        <w:tc>
          <w:tcPr>
            <w:tcW w:w="1417"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Total Cost</w:t>
            </w:r>
          </w:p>
        </w:tc>
      </w:tr>
      <w:tr w:rsidR="00CF4255" w:rsidRPr="00145A45" w:rsidTr="00CF4255">
        <w:trPr>
          <w:trHeight w:val="300"/>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Total by Sector</w:t>
            </w:r>
          </w:p>
        </w:tc>
        <w:tc>
          <w:tcPr>
            <w:tcW w:w="1679"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w:t>
            </w:r>
            <w:r w:rsidR="006D12A2">
              <w:rPr>
                <w:rFonts w:asciiTheme="minorHAnsi" w:hAnsiTheme="minorHAnsi" w:cstheme="minorHAnsi"/>
                <w:bCs/>
                <w:iCs/>
                <w:sz w:val="22"/>
                <w:szCs w:val="22"/>
              </w:rPr>
              <w:t>5.7</w:t>
            </w:r>
          </w:p>
        </w:tc>
        <w:tc>
          <w:tcPr>
            <w:tcW w:w="2215" w:type="dxa"/>
            <w:noWrap/>
          </w:tcPr>
          <w:p w:rsidR="00CF4255" w:rsidRPr="00145A45" w:rsidRDefault="00CF4255" w:rsidP="006D12A2">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w:t>
            </w:r>
            <w:r w:rsidR="006D12A2">
              <w:rPr>
                <w:rFonts w:asciiTheme="minorHAnsi" w:hAnsiTheme="minorHAnsi" w:cstheme="minorHAnsi"/>
                <w:bCs/>
                <w:iCs/>
                <w:sz w:val="22"/>
                <w:szCs w:val="22"/>
              </w:rPr>
              <w:t>1.2</w:t>
            </w:r>
          </w:p>
        </w:tc>
        <w:tc>
          <w:tcPr>
            <w:tcW w:w="1986"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$0</w:t>
            </w:r>
          </w:p>
        </w:tc>
        <w:tc>
          <w:tcPr>
            <w:tcW w:w="1417" w:type="dxa"/>
            <w:noWrap/>
          </w:tcPr>
          <w:p w:rsidR="00CF4255" w:rsidRPr="00145A45" w:rsidRDefault="00CF4255" w:rsidP="006D12A2">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w:t>
            </w:r>
            <w:r w:rsidR="006D12A2">
              <w:rPr>
                <w:rFonts w:asciiTheme="minorHAnsi" w:hAnsiTheme="minorHAnsi" w:cstheme="minorHAnsi"/>
                <w:bCs/>
                <w:iCs/>
                <w:sz w:val="22"/>
                <w:szCs w:val="22"/>
              </w:rPr>
              <w:t>6.9</w:t>
            </w:r>
            <w:r w:rsidRPr="00145A45">
              <w:rPr>
                <w:rFonts w:asciiTheme="minorHAnsi" w:hAnsiTheme="minorHAnsi" w:cstheme="minorHAnsi"/>
                <w:bCs/>
                <w:iCs/>
                <w:sz w:val="22"/>
                <w:szCs w:val="22"/>
              </w:rPr>
              <w:t>*</w:t>
            </w:r>
          </w:p>
        </w:tc>
      </w:tr>
    </w:tbl>
    <w:p w:rsidR="005715D0" w:rsidRPr="00145A45" w:rsidRDefault="005715D0" w:rsidP="00CF4255">
      <w:pPr>
        <w:spacing w:line="240" w:lineRule="atLeast"/>
        <w:rPr>
          <w:rFonts w:cstheme="minorHAnsi"/>
          <w:b/>
          <w:bCs/>
        </w:rPr>
      </w:pPr>
    </w:p>
    <w:tbl>
      <w:tblPr>
        <w:tblStyle w:val="TableGrid"/>
        <w:tblW w:w="9180" w:type="dxa"/>
        <w:tblLook w:val="0480" w:firstRow="0" w:lastRow="0" w:firstColumn="1" w:lastColumn="0" w:noHBand="0" w:noVBand="1"/>
        <w:tblCaption w:val="Option 3 Regulatory Burden Estimate Table"/>
        <w:tblDescription w:val="Average annual compliance cost of adopting Option 3 compared to Option 1."/>
      </w:tblPr>
      <w:tblGrid>
        <w:gridCol w:w="1883"/>
        <w:gridCol w:w="1679"/>
        <w:gridCol w:w="2215"/>
        <w:gridCol w:w="1986"/>
        <w:gridCol w:w="1417"/>
      </w:tblGrid>
      <w:tr w:rsidR="00CF4255" w:rsidRPr="00145A45" w:rsidTr="009E799B">
        <w:trPr>
          <w:cantSplit/>
          <w:trHeight w:val="300"/>
          <w:tblHeader/>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iCs/>
                <w:sz w:val="22"/>
                <w:szCs w:val="22"/>
              </w:rPr>
              <w:t>Cost offset ($m)</w:t>
            </w:r>
          </w:p>
        </w:tc>
        <w:tc>
          <w:tcPr>
            <w:tcW w:w="1679"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Business</w:t>
            </w:r>
          </w:p>
        </w:tc>
        <w:tc>
          <w:tcPr>
            <w:tcW w:w="2215"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Community Organisations</w:t>
            </w:r>
          </w:p>
        </w:tc>
        <w:tc>
          <w:tcPr>
            <w:tcW w:w="1986"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Individuals</w:t>
            </w:r>
          </w:p>
        </w:tc>
        <w:tc>
          <w:tcPr>
            <w:tcW w:w="1417" w:type="dxa"/>
            <w:noWrap/>
            <w:hideMark/>
          </w:tcPr>
          <w:p w:rsidR="00CF4255" w:rsidRPr="00145A45" w:rsidRDefault="00CF4255"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 xml:space="preserve">Total by </w:t>
            </w:r>
            <w:r w:rsidRPr="00145A45">
              <w:rPr>
                <w:rFonts w:asciiTheme="minorHAnsi" w:hAnsiTheme="minorHAnsi" w:cstheme="minorHAnsi"/>
                <w:b/>
                <w:iCs/>
                <w:sz w:val="22"/>
                <w:szCs w:val="22"/>
              </w:rPr>
              <w:t>Source</w:t>
            </w:r>
            <w:r w:rsidRPr="00145A45">
              <w:rPr>
                <w:rFonts w:asciiTheme="minorHAnsi" w:hAnsiTheme="minorHAnsi" w:cstheme="minorHAnsi"/>
                <w:b/>
                <w:bCs/>
                <w:iCs/>
                <w:sz w:val="22"/>
                <w:szCs w:val="22"/>
              </w:rPr>
              <w:t xml:space="preserve"> </w:t>
            </w:r>
          </w:p>
        </w:tc>
      </w:tr>
      <w:tr w:rsidR="00CF4255" w:rsidRPr="00145A45" w:rsidTr="00CF4255">
        <w:trPr>
          <w:trHeight w:val="300"/>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 xml:space="preserve">Agency </w:t>
            </w:r>
          </w:p>
        </w:tc>
        <w:tc>
          <w:tcPr>
            <w:tcW w:w="1679"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CF4255" w:rsidRPr="00145A45" w:rsidTr="00CF4255">
        <w:trPr>
          <w:trHeight w:val="497"/>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Within portfolio</w:t>
            </w:r>
          </w:p>
        </w:tc>
        <w:tc>
          <w:tcPr>
            <w:tcW w:w="1679"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CF4255" w:rsidRPr="00145A45" w:rsidTr="00CF4255">
        <w:trPr>
          <w:trHeight w:val="418"/>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Outside portfolio</w:t>
            </w:r>
          </w:p>
        </w:tc>
        <w:tc>
          <w:tcPr>
            <w:tcW w:w="1679"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CF4255" w:rsidRPr="00145A45" w:rsidTr="00CF4255">
        <w:trPr>
          <w:trHeight w:val="300"/>
        </w:trPr>
        <w:tc>
          <w:tcPr>
            <w:tcW w:w="1883" w:type="dxa"/>
            <w:noWrap/>
            <w:hideMark/>
          </w:tcPr>
          <w:p w:rsidR="00CF4255" w:rsidRPr="00145A45" w:rsidRDefault="00CF4255"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 xml:space="preserve">Total by </w:t>
            </w:r>
            <w:r w:rsidRPr="00145A45">
              <w:rPr>
                <w:rFonts w:asciiTheme="minorHAnsi" w:hAnsiTheme="minorHAnsi" w:cstheme="minorHAnsi"/>
                <w:b/>
                <w:bCs/>
                <w:iCs/>
                <w:sz w:val="22"/>
                <w:szCs w:val="22"/>
              </w:rPr>
              <w:t>Sector</w:t>
            </w:r>
          </w:p>
        </w:tc>
        <w:tc>
          <w:tcPr>
            <w:tcW w:w="1679"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CF4255" w:rsidRPr="00145A45" w:rsidRDefault="00CF4255" w:rsidP="0013210A">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CF4255" w:rsidRPr="00145A45" w:rsidRDefault="00CF4255"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bl>
    <w:p w:rsidR="00717343" w:rsidRPr="00142030" w:rsidRDefault="00717343" w:rsidP="00142030">
      <w:pPr>
        <w:tabs>
          <w:tab w:val="left" w:pos="2835"/>
          <w:tab w:val="left" w:pos="4253"/>
        </w:tabs>
        <w:spacing w:before="120" w:after="120"/>
        <w:contextualSpacing/>
      </w:pPr>
      <w:r w:rsidRPr="00142030">
        <w:t>Proposal is cost neutral?</w:t>
      </w:r>
      <w:r w:rsidRPr="00142030">
        <w:tab/>
      </w:r>
      <w:r w:rsidRPr="00142030">
        <w:sym w:font="Wingdings 2" w:char="F02A"/>
      </w:r>
      <w:r w:rsidRPr="00142030">
        <w:t xml:space="preserve"> </w:t>
      </w:r>
      <w:proofErr w:type="gramStart"/>
      <w:r w:rsidRPr="00142030">
        <w:t>yes</w:t>
      </w:r>
      <w:proofErr w:type="gramEnd"/>
      <w:r w:rsidRPr="00142030">
        <w:tab/>
      </w:r>
      <w:r w:rsidRPr="00142030">
        <w:sym w:font="Wingdings" w:char="F0FC"/>
      </w:r>
      <w:r w:rsidRPr="00142030">
        <w:t xml:space="preserve"> no </w:t>
      </w:r>
    </w:p>
    <w:p w:rsidR="00717343" w:rsidRPr="00142030" w:rsidRDefault="00717343" w:rsidP="00142030">
      <w:pPr>
        <w:tabs>
          <w:tab w:val="left" w:pos="2835"/>
          <w:tab w:val="left" w:pos="4253"/>
        </w:tabs>
        <w:spacing w:before="120" w:after="120"/>
        <w:contextualSpacing/>
      </w:pPr>
      <w:r w:rsidRPr="00142030">
        <w:t>Proposal is deregulatory</w:t>
      </w:r>
      <w:r w:rsidR="00142030">
        <w:tab/>
      </w:r>
      <w:r w:rsidRPr="00142030">
        <w:sym w:font="Wingdings" w:char="F0FC"/>
      </w:r>
      <w:r w:rsidRPr="00142030">
        <w:t xml:space="preserve"> yes</w:t>
      </w:r>
      <w:r w:rsidR="00142030">
        <w:tab/>
      </w:r>
      <w:r w:rsidRPr="00142030">
        <w:sym w:font="Wingdings 2" w:char="F02A"/>
      </w:r>
      <w:r w:rsidRPr="00142030">
        <w:t xml:space="preserve"> no</w:t>
      </w:r>
    </w:p>
    <w:p w:rsidR="00717343" w:rsidRPr="00142030" w:rsidRDefault="00717343" w:rsidP="00142030">
      <w:pPr>
        <w:tabs>
          <w:tab w:val="left" w:pos="2835"/>
          <w:tab w:val="left" w:pos="4253"/>
        </w:tabs>
        <w:spacing w:before="120" w:after="120"/>
        <w:contextualSpacing/>
      </w:pPr>
      <w:r w:rsidRPr="00142030">
        <w:t>Balance of cost offsets</w:t>
      </w:r>
      <w:r w:rsidR="00142030">
        <w:tab/>
      </w:r>
      <w:r w:rsidRPr="00142030">
        <w:t>-$6.9 m</w:t>
      </w:r>
    </w:p>
    <w:p w:rsidR="00717343" w:rsidRPr="00145A45" w:rsidRDefault="00717343" w:rsidP="005715D0">
      <w:pPr>
        <w:pBdr>
          <w:top w:val="single" w:sz="4" w:space="1" w:color="auto"/>
          <w:left w:val="single" w:sz="4" w:space="4" w:color="auto"/>
          <w:bottom w:val="single" w:sz="4" w:space="1" w:color="auto"/>
          <w:right w:val="single" w:sz="4" w:space="4" w:color="auto"/>
        </w:pBdr>
        <w:spacing w:line="240" w:lineRule="atLeast"/>
        <w:rPr>
          <w:rFonts w:cstheme="minorHAnsi"/>
          <w:iCs/>
        </w:rPr>
      </w:pPr>
      <w:r w:rsidRPr="00145A45">
        <w:rPr>
          <w:rFonts w:cstheme="minorHAnsi"/>
          <w:i/>
          <w:iCs/>
        </w:rPr>
        <w:t xml:space="preserve">*This figure represents the estimated regulatory savings to businesses of adopting Option </w:t>
      </w:r>
      <w:r>
        <w:rPr>
          <w:rFonts w:cstheme="minorHAnsi"/>
          <w:i/>
          <w:iCs/>
        </w:rPr>
        <w:t>3</w:t>
      </w:r>
      <w:r w:rsidRPr="00145A45">
        <w:rPr>
          <w:rFonts w:cstheme="minorHAnsi"/>
          <w:i/>
          <w:iCs/>
        </w:rPr>
        <w:t xml:space="preserve"> compared to the status quo (Option 1). This means the difference between the cost of current requirements of </w:t>
      </w:r>
      <w:r>
        <w:rPr>
          <w:rFonts w:cstheme="minorHAnsi"/>
          <w:i/>
          <w:iCs/>
        </w:rPr>
        <w:t>$</w:t>
      </w:r>
      <w:r w:rsidRPr="00145A45">
        <w:rPr>
          <w:rFonts w:cstheme="minorHAnsi"/>
          <w:i/>
          <w:iCs/>
        </w:rPr>
        <w:t>19 million less the estimated $</w:t>
      </w:r>
      <w:r>
        <w:rPr>
          <w:rFonts w:cstheme="minorHAnsi"/>
          <w:i/>
          <w:iCs/>
        </w:rPr>
        <w:t xml:space="preserve">12.1 </w:t>
      </w:r>
      <w:r w:rsidRPr="00145A45">
        <w:rPr>
          <w:rFonts w:cstheme="minorHAnsi"/>
          <w:i/>
          <w:iCs/>
        </w:rPr>
        <w:t xml:space="preserve">million cost of reporting under </w:t>
      </w:r>
      <w:r>
        <w:rPr>
          <w:rFonts w:cstheme="minorHAnsi"/>
          <w:i/>
          <w:iCs/>
        </w:rPr>
        <w:t>O</w:t>
      </w:r>
      <w:r w:rsidRPr="00145A45">
        <w:rPr>
          <w:rFonts w:cstheme="minorHAnsi"/>
          <w:i/>
          <w:iCs/>
        </w:rPr>
        <w:t xml:space="preserve">ption </w:t>
      </w:r>
      <w:r>
        <w:rPr>
          <w:rFonts w:cstheme="minorHAnsi"/>
          <w:i/>
          <w:iCs/>
        </w:rPr>
        <w:t>3</w:t>
      </w:r>
      <w:r w:rsidRPr="00145A45">
        <w:rPr>
          <w:rFonts w:cstheme="minorHAnsi"/>
          <w:i/>
          <w:iCs/>
        </w:rPr>
        <w:t xml:space="preserve"> </w:t>
      </w:r>
    </w:p>
    <w:p w:rsidR="00283637" w:rsidRPr="002666A4" w:rsidRDefault="00BB578E" w:rsidP="00ED51E2">
      <w:pPr>
        <w:pStyle w:val="Heading2"/>
        <w:rPr>
          <w:rFonts w:asciiTheme="minorHAnsi" w:hAnsiTheme="minorHAnsi" w:cstheme="minorHAnsi"/>
        </w:rPr>
      </w:pPr>
      <w:bookmarkStart w:id="36" w:name="_Toc404158263"/>
      <w:bookmarkStart w:id="37" w:name="_Toc405895165"/>
      <w:r w:rsidRPr="002666A4">
        <w:rPr>
          <w:rFonts w:asciiTheme="minorHAnsi" w:hAnsiTheme="minorHAnsi" w:cstheme="minorHAnsi"/>
        </w:rPr>
        <w:t xml:space="preserve">Option 4: </w:t>
      </w:r>
      <w:r w:rsidR="00283637" w:rsidRPr="002666A4">
        <w:rPr>
          <w:rFonts w:asciiTheme="minorHAnsi" w:hAnsiTheme="minorHAnsi" w:cstheme="minorHAnsi"/>
        </w:rPr>
        <w:t xml:space="preserve">Streamline </w:t>
      </w:r>
      <w:r w:rsidR="00A50B28" w:rsidRPr="002666A4">
        <w:rPr>
          <w:rFonts w:asciiTheme="minorHAnsi" w:hAnsiTheme="minorHAnsi" w:cstheme="minorHAnsi"/>
        </w:rPr>
        <w:t>r</w:t>
      </w:r>
      <w:r w:rsidR="00283637" w:rsidRPr="002666A4">
        <w:rPr>
          <w:rFonts w:asciiTheme="minorHAnsi" w:hAnsiTheme="minorHAnsi" w:cstheme="minorHAnsi"/>
        </w:rPr>
        <w:t xml:space="preserve">eporting </w:t>
      </w:r>
      <w:r w:rsidR="00A50B28" w:rsidRPr="002666A4">
        <w:rPr>
          <w:rFonts w:asciiTheme="minorHAnsi" w:hAnsiTheme="minorHAnsi" w:cstheme="minorHAnsi"/>
        </w:rPr>
        <w:t>r</w:t>
      </w:r>
      <w:r w:rsidR="00283637" w:rsidRPr="002666A4">
        <w:rPr>
          <w:rFonts w:asciiTheme="minorHAnsi" w:hAnsiTheme="minorHAnsi" w:cstheme="minorHAnsi"/>
        </w:rPr>
        <w:t xml:space="preserve">equirements </w:t>
      </w:r>
      <w:r w:rsidR="00A50B28" w:rsidRPr="002666A4">
        <w:rPr>
          <w:rFonts w:asciiTheme="minorHAnsi" w:hAnsiTheme="minorHAnsi" w:cstheme="minorHAnsi"/>
        </w:rPr>
        <w:t>(</w:t>
      </w:r>
      <w:r w:rsidR="00283637" w:rsidRPr="002666A4">
        <w:rPr>
          <w:rFonts w:asciiTheme="minorHAnsi" w:hAnsiTheme="minorHAnsi" w:cstheme="minorHAnsi"/>
        </w:rPr>
        <w:t xml:space="preserve">remove </w:t>
      </w:r>
      <w:r w:rsidR="00A50B28" w:rsidRPr="002666A4">
        <w:rPr>
          <w:rFonts w:asciiTheme="minorHAnsi" w:hAnsiTheme="minorHAnsi" w:cstheme="minorHAnsi"/>
        </w:rPr>
        <w:t xml:space="preserve">all </w:t>
      </w:r>
      <w:r w:rsidR="00283637" w:rsidRPr="002666A4">
        <w:rPr>
          <w:rFonts w:asciiTheme="minorHAnsi" w:hAnsiTheme="minorHAnsi" w:cstheme="minorHAnsi"/>
        </w:rPr>
        <w:t>Schedule 2 requirements</w:t>
      </w:r>
      <w:r w:rsidR="00A50B28" w:rsidRPr="002666A4">
        <w:rPr>
          <w:rFonts w:asciiTheme="minorHAnsi" w:hAnsiTheme="minorHAnsi" w:cstheme="minorHAnsi"/>
        </w:rPr>
        <w:t>)</w:t>
      </w:r>
      <w:bookmarkEnd w:id="36"/>
      <w:bookmarkEnd w:id="37"/>
      <w:r w:rsidR="00283637" w:rsidRPr="002666A4">
        <w:rPr>
          <w:rFonts w:asciiTheme="minorHAnsi" w:hAnsiTheme="minorHAnsi" w:cstheme="minorHAnsi"/>
        </w:rPr>
        <w:t xml:space="preserve"> </w:t>
      </w:r>
    </w:p>
    <w:p w:rsidR="00683EB6" w:rsidRPr="006D4988" w:rsidRDefault="00683EB6" w:rsidP="00683EB6">
      <w:pPr>
        <w:rPr>
          <w:rFonts w:cstheme="minorHAnsi"/>
        </w:rPr>
      </w:pPr>
      <w:r w:rsidRPr="00FC1956">
        <w:t xml:space="preserve">This option </w:t>
      </w:r>
      <w:r w:rsidR="005558AF" w:rsidRPr="00FC1956">
        <w:t>can be viewed as the least obtrusive option</w:t>
      </w:r>
      <w:r w:rsidR="0013210A">
        <w:t>,</w:t>
      </w:r>
      <w:r w:rsidR="005558AF" w:rsidRPr="00FC1956">
        <w:t xml:space="preserve"> as it proposes the removal of reporting requirements that </w:t>
      </w:r>
      <w:r w:rsidR="006E7FB6" w:rsidRPr="00FC1956">
        <w:t>have not yet been introduced.</w:t>
      </w:r>
    </w:p>
    <w:p w:rsidR="00683EB6" w:rsidRPr="006D4988" w:rsidRDefault="00683EB6" w:rsidP="00683EB6">
      <w:pPr>
        <w:spacing w:after="0"/>
        <w:rPr>
          <w:rFonts w:cstheme="minorHAnsi"/>
        </w:rPr>
      </w:pPr>
      <w:r w:rsidRPr="006D4988">
        <w:rPr>
          <w:rFonts w:cstheme="minorHAnsi"/>
        </w:rPr>
        <w:t>Specifically</w:t>
      </w:r>
      <w:r w:rsidR="0013210A">
        <w:rPr>
          <w:rFonts w:cstheme="minorHAnsi"/>
        </w:rPr>
        <w:t>,</w:t>
      </w:r>
      <w:r w:rsidRPr="006D4988">
        <w:rPr>
          <w:rFonts w:cstheme="minorHAnsi"/>
        </w:rPr>
        <w:t xml:space="preserve"> this option includes:</w:t>
      </w:r>
    </w:p>
    <w:p w:rsidR="00683EB6" w:rsidRPr="003E6551" w:rsidRDefault="0013210A" w:rsidP="003E6551">
      <w:pPr>
        <w:pStyle w:val="ListParagraph"/>
        <w:numPr>
          <w:ilvl w:val="0"/>
          <w:numId w:val="38"/>
        </w:numPr>
        <w:spacing w:before="120" w:after="120" w:line="276" w:lineRule="auto"/>
        <w:ind w:left="714" w:hanging="357"/>
        <w:contextualSpacing w:val="0"/>
        <w:rPr>
          <w:rFonts w:asciiTheme="minorHAnsi" w:hAnsiTheme="minorHAnsi"/>
          <w:sz w:val="22"/>
        </w:rPr>
      </w:pPr>
      <w:r>
        <w:rPr>
          <w:rFonts w:asciiTheme="minorHAnsi" w:hAnsiTheme="minorHAnsi"/>
          <w:sz w:val="22"/>
        </w:rPr>
        <w:t>r</w:t>
      </w:r>
      <w:r w:rsidRPr="003E6551">
        <w:rPr>
          <w:rFonts w:asciiTheme="minorHAnsi" w:hAnsiTheme="minorHAnsi"/>
          <w:sz w:val="22"/>
        </w:rPr>
        <w:t xml:space="preserve">emoving </w:t>
      </w:r>
      <w:r w:rsidR="00683EB6" w:rsidRPr="003E6551">
        <w:rPr>
          <w:rFonts w:asciiTheme="minorHAnsi" w:hAnsiTheme="minorHAnsi"/>
          <w:sz w:val="22"/>
        </w:rPr>
        <w:t xml:space="preserve">all the reporting requirements set out in </w:t>
      </w:r>
      <w:r>
        <w:rPr>
          <w:rFonts w:asciiTheme="minorHAnsi" w:hAnsiTheme="minorHAnsi"/>
          <w:sz w:val="22"/>
        </w:rPr>
        <w:t>S</w:t>
      </w:r>
      <w:r w:rsidRPr="003E6551">
        <w:rPr>
          <w:rFonts w:asciiTheme="minorHAnsi" w:hAnsiTheme="minorHAnsi"/>
          <w:sz w:val="22"/>
        </w:rPr>
        <w:t xml:space="preserve">chedule </w:t>
      </w:r>
      <w:r w:rsidR="00E436BA">
        <w:rPr>
          <w:rFonts w:asciiTheme="minorHAnsi" w:hAnsiTheme="minorHAnsi"/>
          <w:sz w:val="22"/>
        </w:rPr>
        <w:t>2</w:t>
      </w:r>
    </w:p>
    <w:p w:rsidR="00683EB6" w:rsidRPr="003E6551" w:rsidRDefault="0013210A" w:rsidP="003E6551">
      <w:pPr>
        <w:pStyle w:val="ListParagraph"/>
        <w:numPr>
          <w:ilvl w:val="0"/>
          <w:numId w:val="38"/>
        </w:numPr>
        <w:spacing w:before="120" w:after="120" w:line="276" w:lineRule="auto"/>
        <w:ind w:left="714" w:hanging="357"/>
        <w:contextualSpacing w:val="0"/>
        <w:rPr>
          <w:rFonts w:asciiTheme="minorHAnsi" w:hAnsiTheme="minorHAnsi"/>
          <w:sz w:val="22"/>
        </w:rPr>
      </w:pPr>
      <w:proofErr w:type="gramStart"/>
      <w:r>
        <w:rPr>
          <w:rFonts w:asciiTheme="minorHAnsi" w:hAnsiTheme="minorHAnsi"/>
          <w:sz w:val="22"/>
        </w:rPr>
        <w:t>r</w:t>
      </w:r>
      <w:r w:rsidRPr="003E6551">
        <w:rPr>
          <w:rFonts w:asciiTheme="minorHAnsi" w:hAnsiTheme="minorHAnsi"/>
          <w:sz w:val="22"/>
        </w:rPr>
        <w:t>etaining</w:t>
      </w:r>
      <w:proofErr w:type="gramEnd"/>
      <w:r w:rsidRPr="003E6551">
        <w:rPr>
          <w:rFonts w:asciiTheme="minorHAnsi" w:hAnsiTheme="minorHAnsi"/>
          <w:sz w:val="22"/>
        </w:rPr>
        <w:t xml:space="preserve"> </w:t>
      </w:r>
      <w:r w:rsidR="00683EB6" w:rsidRPr="003E6551">
        <w:rPr>
          <w:rFonts w:asciiTheme="minorHAnsi" w:hAnsiTheme="minorHAnsi"/>
          <w:sz w:val="22"/>
        </w:rPr>
        <w:t xml:space="preserve">all the current reporting requirements that are set out in </w:t>
      </w:r>
      <w:r>
        <w:rPr>
          <w:rFonts w:asciiTheme="minorHAnsi" w:hAnsiTheme="minorHAnsi"/>
          <w:sz w:val="22"/>
        </w:rPr>
        <w:t>S</w:t>
      </w:r>
      <w:r w:rsidRPr="003E6551">
        <w:rPr>
          <w:rFonts w:asciiTheme="minorHAnsi" w:hAnsiTheme="minorHAnsi"/>
          <w:sz w:val="22"/>
        </w:rPr>
        <w:t xml:space="preserve">chedule </w:t>
      </w:r>
      <w:r w:rsidR="00683EB6" w:rsidRPr="003E6551">
        <w:rPr>
          <w:rFonts w:asciiTheme="minorHAnsi" w:hAnsiTheme="minorHAnsi"/>
          <w:sz w:val="22"/>
        </w:rPr>
        <w:t>1.</w:t>
      </w:r>
    </w:p>
    <w:p w:rsidR="00417A1D" w:rsidRPr="006D4988" w:rsidRDefault="00DC1803" w:rsidP="00B56065">
      <w:pPr>
        <w:rPr>
          <w:rFonts w:cstheme="minorHAnsi"/>
        </w:rPr>
      </w:pPr>
      <w:r w:rsidRPr="006D4988">
        <w:rPr>
          <w:rFonts w:cstheme="minorHAnsi"/>
        </w:rPr>
        <w:t xml:space="preserve">The complete removal of Schedule 2 from reporting requirements is supported by </w:t>
      </w:r>
      <w:r w:rsidR="007D3CBE" w:rsidRPr="006D4988">
        <w:rPr>
          <w:rFonts w:cstheme="minorHAnsi"/>
        </w:rPr>
        <w:t xml:space="preserve">a large number of </w:t>
      </w:r>
      <w:r w:rsidRPr="006D4988">
        <w:rPr>
          <w:rFonts w:cstheme="minorHAnsi"/>
        </w:rPr>
        <w:t xml:space="preserve">stakeholders. As the requirements have not been </w:t>
      </w:r>
      <w:r w:rsidR="00417A1D" w:rsidRPr="006D4988">
        <w:rPr>
          <w:rFonts w:cstheme="minorHAnsi"/>
        </w:rPr>
        <w:t>introduced</w:t>
      </w:r>
      <w:r w:rsidR="0013210A">
        <w:rPr>
          <w:rFonts w:cstheme="minorHAnsi"/>
        </w:rPr>
        <w:t>,</w:t>
      </w:r>
      <w:r w:rsidR="00417A1D" w:rsidRPr="006D4988">
        <w:rPr>
          <w:rFonts w:cstheme="minorHAnsi"/>
        </w:rPr>
        <w:t xml:space="preserve"> these elements are the easiest to </w:t>
      </w:r>
      <w:r w:rsidR="00683EB6" w:rsidRPr="006D4988">
        <w:rPr>
          <w:rFonts w:cstheme="minorHAnsi"/>
        </w:rPr>
        <w:t>remove.</w:t>
      </w:r>
    </w:p>
    <w:p w:rsidR="00417A1D" w:rsidRPr="006D4988" w:rsidRDefault="00417A1D" w:rsidP="00B56065">
      <w:pPr>
        <w:rPr>
          <w:rFonts w:cstheme="minorHAnsi"/>
        </w:rPr>
      </w:pPr>
      <w:r w:rsidRPr="006D4988">
        <w:rPr>
          <w:rFonts w:cstheme="minorHAnsi"/>
        </w:rPr>
        <w:t>The benefit of the removal of Schedule 2 is that employers will not have to invest resources into collecting the data</w:t>
      </w:r>
      <w:r w:rsidR="0013210A">
        <w:rPr>
          <w:rFonts w:cstheme="minorHAnsi"/>
        </w:rPr>
        <w:t>,</w:t>
      </w:r>
      <w:r w:rsidRPr="006D4988">
        <w:rPr>
          <w:rFonts w:cstheme="minorHAnsi"/>
        </w:rPr>
        <w:t xml:space="preserve"> which </w:t>
      </w:r>
      <w:r w:rsidR="00B238A6">
        <w:rPr>
          <w:rFonts w:cstheme="minorHAnsi"/>
        </w:rPr>
        <w:t>is</w:t>
      </w:r>
      <w:r w:rsidRPr="006D4988">
        <w:rPr>
          <w:rFonts w:cstheme="minorHAnsi"/>
        </w:rPr>
        <w:t xml:space="preserve"> </w:t>
      </w:r>
      <w:r w:rsidR="0013210A">
        <w:rPr>
          <w:rFonts w:cstheme="minorHAnsi"/>
        </w:rPr>
        <w:t>expec</w:t>
      </w:r>
      <w:r w:rsidR="00B238A6">
        <w:rPr>
          <w:rFonts w:cstheme="minorHAnsi"/>
        </w:rPr>
        <w:t>ted</w:t>
      </w:r>
      <w:r w:rsidR="0013210A" w:rsidRPr="006D4988">
        <w:rPr>
          <w:rFonts w:cstheme="minorHAnsi"/>
        </w:rPr>
        <w:t xml:space="preserve"> </w:t>
      </w:r>
      <w:r w:rsidRPr="006D4988">
        <w:rPr>
          <w:rFonts w:cstheme="minorHAnsi"/>
        </w:rPr>
        <w:t>to be extremely onerous.</w:t>
      </w:r>
      <w:r w:rsidR="00E703E7" w:rsidRPr="006D4988">
        <w:rPr>
          <w:rFonts w:cstheme="minorHAnsi"/>
        </w:rPr>
        <w:t xml:space="preserve"> As outlined in </w:t>
      </w:r>
      <w:r w:rsidR="008F3FD1" w:rsidRPr="006D4988">
        <w:rPr>
          <w:rFonts w:cstheme="minorHAnsi"/>
        </w:rPr>
        <w:t>Option 3</w:t>
      </w:r>
      <w:r w:rsidR="00270456">
        <w:rPr>
          <w:rFonts w:cstheme="minorHAnsi"/>
        </w:rPr>
        <w:t>,</w:t>
      </w:r>
      <w:r w:rsidR="008F3FD1" w:rsidRPr="006D4988">
        <w:rPr>
          <w:rFonts w:cstheme="minorHAnsi"/>
        </w:rPr>
        <w:t xml:space="preserve"> the resources of the Agency will be directed towards assisting employers to complete the elements of reporting that had pr</w:t>
      </w:r>
      <w:r w:rsidR="003F3E49">
        <w:rPr>
          <w:rFonts w:cstheme="minorHAnsi"/>
        </w:rPr>
        <w:t>oven to be difficult in the 2013</w:t>
      </w:r>
      <w:r w:rsidR="00B238A6">
        <w:rPr>
          <w:rFonts w:cstheme="minorHAnsi"/>
        </w:rPr>
        <w:t>–</w:t>
      </w:r>
      <w:r w:rsidR="003F3E49">
        <w:rPr>
          <w:rFonts w:cstheme="minorHAnsi"/>
        </w:rPr>
        <w:t>14</w:t>
      </w:r>
      <w:r w:rsidR="008F3FD1" w:rsidRPr="006D4988">
        <w:rPr>
          <w:rFonts w:cstheme="minorHAnsi"/>
        </w:rPr>
        <w:t xml:space="preserve"> reporting period.</w:t>
      </w:r>
    </w:p>
    <w:p w:rsidR="00417A1D" w:rsidRPr="006D4988" w:rsidRDefault="00E703E7" w:rsidP="00B56065">
      <w:pPr>
        <w:rPr>
          <w:rFonts w:cstheme="minorHAnsi"/>
        </w:rPr>
      </w:pPr>
      <w:r w:rsidRPr="006D4988">
        <w:rPr>
          <w:rFonts w:cstheme="minorHAnsi"/>
        </w:rPr>
        <w:t>Under this option</w:t>
      </w:r>
      <w:r w:rsidR="00B238A6">
        <w:rPr>
          <w:rFonts w:cstheme="minorHAnsi"/>
        </w:rPr>
        <w:t>,</w:t>
      </w:r>
      <w:r w:rsidRPr="006D4988">
        <w:rPr>
          <w:rFonts w:cstheme="minorHAnsi"/>
        </w:rPr>
        <w:t xml:space="preserve"> significant data will continue to be collected through Schedule 1 to support organisations to consider </w:t>
      </w:r>
      <w:r w:rsidR="00270456">
        <w:rPr>
          <w:rFonts w:cstheme="minorHAnsi"/>
        </w:rPr>
        <w:t xml:space="preserve">and </w:t>
      </w:r>
      <w:r w:rsidR="00523013">
        <w:rPr>
          <w:rFonts w:cstheme="minorHAnsi"/>
        </w:rPr>
        <w:t xml:space="preserve">improve </w:t>
      </w:r>
      <w:r w:rsidRPr="006D4988">
        <w:rPr>
          <w:rFonts w:cstheme="minorHAnsi"/>
        </w:rPr>
        <w:t xml:space="preserve">gender equality. While data about recruitment processes and </w:t>
      </w:r>
      <w:proofErr w:type="gramStart"/>
      <w:r w:rsidRPr="006D4988">
        <w:rPr>
          <w:rFonts w:cstheme="minorHAnsi"/>
        </w:rPr>
        <w:t>outcomes</w:t>
      </w:r>
      <w:r w:rsidR="00B238A6">
        <w:rPr>
          <w:rFonts w:cstheme="minorHAnsi"/>
        </w:rPr>
        <w:t>,</w:t>
      </w:r>
      <w:proofErr w:type="gramEnd"/>
      <w:r w:rsidR="00B238A6" w:rsidRPr="006D4988">
        <w:rPr>
          <w:rFonts w:cstheme="minorHAnsi"/>
        </w:rPr>
        <w:t xml:space="preserve"> </w:t>
      </w:r>
      <w:r w:rsidRPr="006D4988">
        <w:rPr>
          <w:rFonts w:cstheme="minorHAnsi"/>
        </w:rPr>
        <w:t>return to work and requests for extensions for parental data will not be collected</w:t>
      </w:r>
      <w:r w:rsidR="006B3855" w:rsidRPr="006D4988">
        <w:rPr>
          <w:rFonts w:cstheme="minorHAnsi"/>
        </w:rPr>
        <w:t>,</w:t>
      </w:r>
      <w:r w:rsidRPr="006D4988">
        <w:rPr>
          <w:rFonts w:cstheme="minorHAnsi"/>
        </w:rPr>
        <w:t xml:space="preserve"> all six Indicators will continue to be reported against as set out in Schedule 1 of the Instrument. </w:t>
      </w:r>
      <w:r w:rsidR="008F3FD1" w:rsidRPr="006D4988">
        <w:rPr>
          <w:rFonts w:cstheme="minorHAnsi"/>
        </w:rPr>
        <w:t xml:space="preserve">The disadvantage of this option is that elements of unconscious bias in recruitment practices will not be as evident to organisations without the collection of recruitment data. </w:t>
      </w:r>
    </w:p>
    <w:p w:rsidR="008F3FD1" w:rsidRPr="006D4988" w:rsidRDefault="00E703E7" w:rsidP="00B56065">
      <w:pPr>
        <w:rPr>
          <w:rFonts w:cstheme="minorHAnsi"/>
        </w:rPr>
      </w:pPr>
      <w:r w:rsidRPr="006D4988">
        <w:rPr>
          <w:rFonts w:cstheme="minorHAnsi"/>
        </w:rPr>
        <w:t xml:space="preserve">This option retains the existence of a significant data set that will assist employers to </w:t>
      </w:r>
      <w:r w:rsidR="008F3FD1" w:rsidRPr="006D4988">
        <w:rPr>
          <w:rFonts w:cstheme="minorHAnsi"/>
        </w:rPr>
        <w:t>assess gender equality within their own organisation and that of peers</w:t>
      </w:r>
      <w:r w:rsidR="008B200D" w:rsidRPr="006D4988">
        <w:rPr>
          <w:rFonts w:cstheme="minorHAnsi"/>
        </w:rPr>
        <w:t xml:space="preserve"> while reducing the burden of reporting</w:t>
      </w:r>
      <w:r w:rsidR="00CE06B5" w:rsidRPr="006D4988">
        <w:rPr>
          <w:rFonts w:cstheme="minorHAnsi"/>
        </w:rPr>
        <w:t xml:space="preserve">. </w:t>
      </w:r>
      <w:r w:rsidR="006E7FB6">
        <w:rPr>
          <w:rFonts w:cstheme="minorHAnsi"/>
        </w:rPr>
        <w:t xml:space="preserve">In </w:t>
      </w:r>
      <w:r w:rsidR="006E7FB6">
        <w:rPr>
          <w:rFonts w:cstheme="minorHAnsi"/>
        </w:rPr>
        <w:lastRenderedPageBreak/>
        <w:t xml:space="preserve">addition, it is the easiest option to implement as it removes the need for employers to </w:t>
      </w:r>
      <w:r w:rsidR="00B238A6">
        <w:rPr>
          <w:rFonts w:cstheme="minorHAnsi"/>
        </w:rPr>
        <w:t xml:space="preserve">start </w:t>
      </w:r>
      <w:r w:rsidR="006E7FB6">
        <w:rPr>
          <w:rFonts w:cstheme="minorHAnsi"/>
        </w:rPr>
        <w:t xml:space="preserve">providing information they have not previously had to provide. </w:t>
      </w:r>
      <w:r w:rsidR="00B238A6">
        <w:rPr>
          <w:rFonts w:cstheme="minorHAnsi"/>
        </w:rPr>
        <w:t>It does, h</w:t>
      </w:r>
      <w:r w:rsidR="006E7FB6">
        <w:rPr>
          <w:rFonts w:cstheme="minorHAnsi"/>
        </w:rPr>
        <w:t xml:space="preserve">owever, retain the requirement for employers to collect remuneration data </w:t>
      </w:r>
      <w:r w:rsidR="005357DC">
        <w:rPr>
          <w:rFonts w:cstheme="minorHAnsi"/>
        </w:rPr>
        <w:t xml:space="preserve">for all </w:t>
      </w:r>
      <w:r w:rsidR="006E7FB6">
        <w:rPr>
          <w:rFonts w:cstheme="minorHAnsi"/>
        </w:rPr>
        <w:t>employees, including for non</w:t>
      </w:r>
      <w:r w:rsidR="007B1463">
        <w:rPr>
          <w:rFonts w:cstheme="minorHAnsi"/>
        </w:rPr>
        <w:noBreakHyphen/>
      </w:r>
      <w:r w:rsidR="006E7FB6">
        <w:rPr>
          <w:rFonts w:cstheme="minorHAnsi"/>
        </w:rPr>
        <w:t>managers</w:t>
      </w:r>
      <w:r w:rsidR="006913C6">
        <w:rPr>
          <w:rFonts w:cstheme="minorHAnsi"/>
        </w:rPr>
        <w:t>. This information however</w:t>
      </w:r>
      <w:r w:rsidR="006E7FB6">
        <w:rPr>
          <w:rFonts w:cstheme="minorHAnsi"/>
        </w:rPr>
        <w:t xml:space="preserve"> has been establishe</w:t>
      </w:r>
      <w:r w:rsidR="00AC6C8B">
        <w:rPr>
          <w:rFonts w:cstheme="minorHAnsi"/>
        </w:rPr>
        <w:t xml:space="preserve">d as being difficult to provide and </w:t>
      </w:r>
      <w:r w:rsidR="006E7FB6">
        <w:rPr>
          <w:rFonts w:cstheme="minorHAnsi"/>
        </w:rPr>
        <w:t>unreliable for analysis</w:t>
      </w:r>
      <w:r w:rsidR="00AC6C8B">
        <w:rPr>
          <w:rFonts w:cstheme="minorHAnsi"/>
        </w:rPr>
        <w:t xml:space="preserve"> and</w:t>
      </w:r>
      <w:r w:rsidR="00B238A6">
        <w:rPr>
          <w:rFonts w:cstheme="minorHAnsi"/>
        </w:rPr>
        <w:t>,</w:t>
      </w:r>
      <w:r w:rsidR="00AC6C8B">
        <w:rPr>
          <w:rFonts w:cstheme="minorHAnsi"/>
        </w:rPr>
        <w:t xml:space="preserve"> therefore</w:t>
      </w:r>
      <w:r w:rsidR="00B238A6">
        <w:rPr>
          <w:rFonts w:cstheme="minorHAnsi"/>
        </w:rPr>
        <w:t>,</w:t>
      </w:r>
      <w:r w:rsidR="00AC6C8B">
        <w:rPr>
          <w:rFonts w:cstheme="minorHAnsi"/>
        </w:rPr>
        <w:t xml:space="preserve"> not useful in improving gender equality in the workplace</w:t>
      </w:r>
      <w:r w:rsidR="00EC2D2A">
        <w:rPr>
          <w:rFonts w:cstheme="minorHAnsi"/>
        </w:rPr>
        <w:t xml:space="preserve"> and the broader social and economic outcomes</w:t>
      </w:r>
      <w:r w:rsidR="006913C6">
        <w:rPr>
          <w:rFonts w:cstheme="minorHAnsi"/>
        </w:rPr>
        <w:t>,</w:t>
      </w:r>
      <w:r w:rsidR="00EC2D2A">
        <w:rPr>
          <w:rFonts w:cstheme="minorHAnsi"/>
        </w:rPr>
        <w:t xml:space="preserve"> such as increasing women’s workforce participation</w:t>
      </w:r>
      <w:r w:rsidR="00EC2D2A" w:rsidRPr="00FC1956">
        <w:rPr>
          <w:rFonts w:cstheme="minorHAnsi"/>
        </w:rPr>
        <w:t xml:space="preserve"> </w:t>
      </w:r>
      <w:r w:rsidR="00EC2D2A">
        <w:rPr>
          <w:rFonts w:cstheme="minorHAnsi"/>
        </w:rPr>
        <w:t xml:space="preserve">and </w:t>
      </w:r>
      <w:r w:rsidR="00EC2D2A" w:rsidRPr="00FC1956">
        <w:rPr>
          <w:rFonts w:cstheme="minorHAnsi"/>
        </w:rPr>
        <w:t>reducing the gender pay gap</w:t>
      </w:r>
      <w:r w:rsidR="00EC2D2A">
        <w:rPr>
          <w:rFonts w:cstheme="minorHAnsi"/>
        </w:rPr>
        <w:t xml:space="preserve">. </w:t>
      </w:r>
      <w:r w:rsidR="00CE06B5" w:rsidRPr="006D4988">
        <w:rPr>
          <w:rFonts w:cstheme="minorHAnsi"/>
        </w:rPr>
        <w:t>I</w:t>
      </w:r>
      <w:r w:rsidR="008B200D" w:rsidRPr="006D4988">
        <w:rPr>
          <w:rFonts w:cstheme="minorHAnsi"/>
        </w:rPr>
        <w:t xml:space="preserve">t is </w:t>
      </w:r>
      <w:r w:rsidR="0074363F" w:rsidRPr="006D4988">
        <w:rPr>
          <w:rFonts w:cstheme="minorHAnsi"/>
        </w:rPr>
        <w:t>considered the</w:t>
      </w:r>
      <w:r w:rsidR="008B200D" w:rsidRPr="006D4988">
        <w:rPr>
          <w:rFonts w:cstheme="minorHAnsi"/>
        </w:rPr>
        <w:t xml:space="preserve"> second best option</w:t>
      </w:r>
      <w:r w:rsidR="008F3FD1" w:rsidRPr="006D4988">
        <w:rPr>
          <w:rFonts w:cstheme="minorHAnsi"/>
        </w:rPr>
        <w:t>.</w:t>
      </w:r>
    </w:p>
    <w:p w:rsidR="00283637" w:rsidRPr="006D4988" w:rsidRDefault="008F3FD1" w:rsidP="00B56065">
      <w:pPr>
        <w:rPr>
          <w:rFonts w:cstheme="minorHAnsi"/>
        </w:rPr>
      </w:pPr>
      <w:r w:rsidRPr="006D4988">
        <w:rPr>
          <w:rFonts w:cstheme="minorHAnsi"/>
        </w:rPr>
        <w:t xml:space="preserve">The Department </w:t>
      </w:r>
      <w:r w:rsidR="00D94E83" w:rsidRPr="006D4988">
        <w:rPr>
          <w:rFonts w:cstheme="minorHAnsi"/>
        </w:rPr>
        <w:t>estimates that the average cost of all business of this option to be $9.6 million</w:t>
      </w:r>
      <w:r w:rsidR="00B238A6">
        <w:rPr>
          <w:rFonts w:cstheme="minorHAnsi"/>
        </w:rPr>
        <w:t>,</w:t>
      </w:r>
      <w:r w:rsidR="00D94E83" w:rsidRPr="006D4988">
        <w:rPr>
          <w:rFonts w:cstheme="minorHAnsi"/>
        </w:rPr>
        <w:t xml:space="preserve"> with an average annual per business </w:t>
      </w:r>
      <w:r w:rsidR="006C167E">
        <w:rPr>
          <w:rFonts w:cstheme="minorHAnsi"/>
        </w:rPr>
        <w:t xml:space="preserve">cost </w:t>
      </w:r>
      <w:r w:rsidR="008E092E" w:rsidRPr="006D4988">
        <w:rPr>
          <w:rFonts w:cstheme="minorHAnsi"/>
        </w:rPr>
        <w:t>of</w:t>
      </w:r>
      <w:r w:rsidR="00D94E83" w:rsidRPr="006D4988">
        <w:rPr>
          <w:rFonts w:cstheme="minorHAnsi"/>
        </w:rPr>
        <w:t xml:space="preserve"> $205</w:t>
      </w:r>
      <w:r w:rsidR="00107DCF" w:rsidRPr="006D4988">
        <w:rPr>
          <w:rFonts w:cstheme="minorHAnsi"/>
        </w:rPr>
        <w:t>2</w:t>
      </w:r>
      <w:r w:rsidR="00D94E83" w:rsidRPr="006D4988">
        <w:rPr>
          <w:rFonts w:cstheme="minorHAnsi"/>
        </w:rPr>
        <w:t>.</w:t>
      </w:r>
    </w:p>
    <w:p w:rsidR="0044571C" w:rsidRPr="00145A45" w:rsidRDefault="0044571C" w:rsidP="009E799B">
      <w:pPr>
        <w:pStyle w:val="Heading3"/>
      </w:pPr>
      <w:r w:rsidRPr="00145A45">
        <w:t>Regulatory Burden Estimate Table</w:t>
      </w:r>
    </w:p>
    <w:p w:rsidR="009E799B" w:rsidRPr="00145A45" w:rsidRDefault="009E799B" w:rsidP="009E799B">
      <w:pPr>
        <w:pStyle w:val="Heading4"/>
        <w:rPr>
          <w:rFonts w:eastAsiaTheme="minorHAnsi"/>
        </w:rPr>
      </w:pPr>
      <w:r w:rsidRPr="00145A45">
        <w:t xml:space="preserve">Average Annual Compliance Costs (from </w:t>
      </w:r>
      <w:r>
        <w:t>b</w:t>
      </w:r>
      <w:r w:rsidRPr="00145A45">
        <w:t>usiness as usual)</w:t>
      </w:r>
    </w:p>
    <w:tbl>
      <w:tblPr>
        <w:tblStyle w:val="TableGrid"/>
        <w:tblW w:w="9180" w:type="dxa"/>
        <w:tblLook w:val="0480" w:firstRow="0" w:lastRow="0" w:firstColumn="1" w:lastColumn="0" w:noHBand="0" w:noVBand="1"/>
        <w:tblCaption w:val="Option 4 Regulatory Burden Estimate Table"/>
        <w:tblDescription w:val="Average annual compliance cost of adopting Option 4 compared to Option 1."/>
      </w:tblPr>
      <w:tblGrid>
        <w:gridCol w:w="1883"/>
        <w:gridCol w:w="1679"/>
        <w:gridCol w:w="2215"/>
        <w:gridCol w:w="1986"/>
        <w:gridCol w:w="1417"/>
      </w:tblGrid>
      <w:tr w:rsidR="0044571C" w:rsidRPr="00145A45" w:rsidTr="009E799B">
        <w:trPr>
          <w:cantSplit/>
          <w:trHeight w:val="300"/>
          <w:tblHeader/>
        </w:trPr>
        <w:tc>
          <w:tcPr>
            <w:tcW w:w="1883" w:type="dxa"/>
            <w:noWrap/>
            <w:hideMark/>
          </w:tcPr>
          <w:p w:rsidR="0044571C" w:rsidRPr="00145A45" w:rsidRDefault="0044571C"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Costs</w:t>
            </w:r>
            <w:r w:rsidRPr="00145A45">
              <w:rPr>
                <w:rFonts w:asciiTheme="minorHAnsi" w:hAnsiTheme="minorHAnsi" w:cstheme="minorHAnsi"/>
                <w:b/>
                <w:bCs/>
                <w:iCs/>
                <w:sz w:val="22"/>
                <w:szCs w:val="22"/>
              </w:rPr>
              <w:t xml:space="preserve"> ($m)</w:t>
            </w:r>
          </w:p>
        </w:tc>
        <w:tc>
          <w:tcPr>
            <w:tcW w:w="1679" w:type="dxa"/>
            <w:noWrap/>
            <w:hideMark/>
          </w:tcPr>
          <w:p w:rsidR="0044571C" w:rsidRPr="00145A45" w:rsidRDefault="0044571C"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Business</w:t>
            </w:r>
          </w:p>
        </w:tc>
        <w:tc>
          <w:tcPr>
            <w:tcW w:w="2215" w:type="dxa"/>
            <w:noWrap/>
            <w:hideMark/>
          </w:tcPr>
          <w:p w:rsidR="0044571C" w:rsidRPr="00145A45" w:rsidRDefault="0044571C" w:rsidP="00CF4255">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Community Organisations</w:t>
            </w:r>
          </w:p>
        </w:tc>
        <w:tc>
          <w:tcPr>
            <w:tcW w:w="1986" w:type="dxa"/>
            <w:noWrap/>
            <w:hideMark/>
          </w:tcPr>
          <w:p w:rsidR="0044571C" w:rsidRPr="00145A45" w:rsidRDefault="0044571C"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Individuals</w:t>
            </w:r>
          </w:p>
        </w:tc>
        <w:tc>
          <w:tcPr>
            <w:tcW w:w="1417" w:type="dxa"/>
            <w:noWrap/>
            <w:hideMark/>
          </w:tcPr>
          <w:p w:rsidR="0044571C" w:rsidRPr="00145A45" w:rsidRDefault="0044571C" w:rsidP="00CF4255">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Total Cost</w:t>
            </w:r>
          </w:p>
        </w:tc>
      </w:tr>
      <w:tr w:rsidR="0044571C" w:rsidRPr="00145A45" w:rsidTr="00CF4255">
        <w:trPr>
          <w:trHeight w:val="300"/>
        </w:trPr>
        <w:tc>
          <w:tcPr>
            <w:tcW w:w="1883" w:type="dxa"/>
            <w:noWrap/>
            <w:hideMark/>
          </w:tcPr>
          <w:p w:rsidR="0044571C" w:rsidRPr="00145A45" w:rsidRDefault="0044571C"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Total by Sector</w:t>
            </w:r>
          </w:p>
        </w:tc>
        <w:tc>
          <w:tcPr>
            <w:tcW w:w="1679" w:type="dxa"/>
            <w:noWrap/>
            <w:hideMark/>
          </w:tcPr>
          <w:p w:rsidR="0044571C" w:rsidRPr="00145A45" w:rsidRDefault="0044571C" w:rsidP="0044571C">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w:t>
            </w:r>
            <w:r w:rsidR="00BF65B6">
              <w:rPr>
                <w:rFonts w:asciiTheme="minorHAnsi" w:hAnsiTheme="minorHAnsi" w:cstheme="minorHAnsi"/>
                <w:bCs/>
                <w:iCs/>
                <w:sz w:val="22"/>
                <w:szCs w:val="22"/>
              </w:rPr>
              <w:t>7.7</w:t>
            </w:r>
          </w:p>
        </w:tc>
        <w:tc>
          <w:tcPr>
            <w:tcW w:w="2215" w:type="dxa"/>
            <w:noWrap/>
          </w:tcPr>
          <w:p w:rsidR="0044571C" w:rsidRPr="00145A45" w:rsidRDefault="0044571C" w:rsidP="0044571C">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w:t>
            </w:r>
            <w:r w:rsidR="00BF65B6">
              <w:rPr>
                <w:rFonts w:asciiTheme="minorHAnsi" w:hAnsiTheme="minorHAnsi" w:cstheme="minorHAnsi"/>
                <w:bCs/>
                <w:iCs/>
                <w:sz w:val="22"/>
                <w:szCs w:val="22"/>
              </w:rPr>
              <w:t>1.7</w:t>
            </w:r>
          </w:p>
        </w:tc>
        <w:tc>
          <w:tcPr>
            <w:tcW w:w="1986"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$0</w:t>
            </w:r>
          </w:p>
        </w:tc>
        <w:tc>
          <w:tcPr>
            <w:tcW w:w="1417" w:type="dxa"/>
            <w:noWrap/>
          </w:tcPr>
          <w:p w:rsidR="0044571C" w:rsidRPr="00145A45" w:rsidRDefault="0044571C" w:rsidP="0044571C">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w:t>
            </w:r>
            <w:r w:rsidR="00BF65B6">
              <w:rPr>
                <w:rFonts w:asciiTheme="minorHAnsi" w:hAnsiTheme="minorHAnsi" w:cstheme="minorHAnsi"/>
                <w:bCs/>
                <w:iCs/>
                <w:sz w:val="22"/>
                <w:szCs w:val="22"/>
              </w:rPr>
              <w:t>9.4</w:t>
            </w:r>
            <w:r w:rsidRPr="00145A45">
              <w:rPr>
                <w:rFonts w:asciiTheme="minorHAnsi" w:hAnsiTheme="minorHAnsi" w:cstheme="minorHAnsi"/>
                <w:bCs/>
                <w:iCs/>
                <w:sz w:val="22"/>
                <w:szCs w:val="22"/>
              </w:rPr>
              <w:t>*</w:t>
            </w:r>
          </w:p>
        </w:tc>
      </w:tr>
    </w:tbl>
    <w:p w:rsidR="009E799B" w:rsidRPr="00145A45" w:rsidRDefault="009E799B" w:rsidP="00CF4255">
      <w:pPr>
        <w:spacing w:line="240" w:lineRule="atLeast"/>
        <w:rPr>
          <w:rFonts w:cstheme="minorHAnsi"/>
          <w:b/>
          <w:bCs/>
        </w:rPr>
      </w:pPr>
    </w:p>
    <w:tbl>
      <w:tblPr>
        <w:tblStyle w:val="TableGrid"/>
        <w:tblW w:w="9180" w:type="dxa"/>
        <w:tblLook w:val="0480" w:firstRow="0" w:lastRow="0" w:firstColumn="1" w:lastColumn="0" w:noHBand="0" w:noVBand="1"/>
        <w:tblCaption w:val="Option 4 Regulatory Burden Estimate Table"/>
        <w:tblDescription w:val="Average annual compliance cost of adopting Option 4 compared to Option 1."/>
      </w:tblPr>
      <w:tblGrid>
        <w:gridCol w:w="1883"/>
        <w:gridCol w:w="1679"/>
        <w:gridCol w:w="2215"/>
        <w:gridCol w:w="1986"/>
        <w:gridCol w:w="1417"/>
      </w:tblGrid>
      <w:tr w:rsidR="0044571C" w:rsidRPr="00145A45" w:rsidTr="009E799B">
        <w:trPr>
          <w:cantSplit/>
          <w:trHeight w:val="300"/>
          <w:tblHeader/>
        </w:trPr>
        <w:tc>
          <w:tcPr>
            <w:tcW w:w="1883" w:type="dxa"/>
            <w:noWrap/>
            <w:hideMark/>
          </w:tcPr>
          <w:p w:rsidR="0044571C" w:rsidRPr="00145A45" w:rsidRDefault="0044571C" w:rsidP="00CF4255">
            <w:pPr>
              <w:spacing w:line="240" w:lineRule="atLeast"/>
              <w:rPr>
                <w:rFonts w:asciiTheme="minorHAnsi" w:hAnsiTheme="minorHAnsi" w:cstheme="minorHAnsi"/>
                <w:b/>
                <w:bCs/>
                <w:sz w:val="22"/>
                <w:szCs w:val="22"/>
              </w:rPr>
            </w:pPr>
            <w:r w:rsidRPr="00145A45">
              <w:rPr>
                <w:rFonts w:asciiTheme="minorHAnsi" w:hAnsiTheme="minorHAnsi" w:cstheme="minorHAnsi"/>
                <w:b/>
                <w:bCs/>
                <w:iCs/>
                <w:sz w:val="22"/>
                <w:szCs w:val="22"/>
              </w:rPr>
              <w:t>Cost offset ($m)</w:t>
            </w:r>
          </w:p>
        </w:tc>
        <w:tc>
          <w:tcPr>
            <w:tcW w:w="1679" w:type="dxa"/>
            <w:noWrap/>
            <w:hideMark/>
          </w:tcPr>
          <w:p w:rsidR="0044571C" w:rsidRPr="00145A45" w:rsidRDefault="0044571C"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Business</w:t>
            </w:r>
          </w:p>
        </w:tc>
        <w:tc>
          <w:tcPr>
            <w:tcW w:w="2215" w:type="dxa"/>
            <w:noWrap/>
            <w:hideMark/>
          </w:tcPr>
          <w:p w:rsidR="0044571C" w:rsidRPr="00145A45" w:rsidRDefault="0044571C" w:rsidP="00CF4255">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Community Organisations</w:t>
            </w:r>
          </w:p>
        </w:tc>
        <w:tc>
          <w:tcPr>
            <w:tcW w:w="1986" w:type="dxa"/>
            <w:noWrap/>
            <w:hideMark/>
          </w:tcPr>
          <w:p w:rsidR="0044571C" w:rsidRPr="00145A45" w:rsidRDefault="0044571C"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Individuals</w:t>
            </w:r>
          </w:p>
        </w:tc>
        <w:tc>
          <w:tcPr>
            <w:tcW w:w="1417" w:type="dxa"/>
            <w:noWrap/>
            <w:hideMark/>
          </w:tcPr>
          <w:p w:rsidR="0044571C" w:rsidRPr="00145A45" w:rsidRDefault="0044571C" w:rsidP="00CF4255">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 xml:space="preserve">Total by </w:t>
            </w:r>
            <w:r w:rsidRPr="00145A45">
              <w:rPr>
                <w:rFonts w:asciiTheme="minorHAnsi" w:hAnsiTheme="minorHAnsi" w:cstheme="minorHAnsi"/>
                <w:b/>
                <w:iCs/>
                <w:sz w:val="22"/>
                <w:szCs w:val="22"/>
              </w:rPr>
              <w:t>Source</w:t>
            </w:r>
            <w:r w:rsidRPr="00145A45">
              <w:rPr>
                <w:rFonts w:asciiTheme="minorHAnsi" w:hAnsiTheme="minorHAnsi" w:cstheme="minorHAnsi"/>
                <w:b/>
                <w:bCs/>
                <w:iCs/>
                <w:sz w:val="22"/>
                <w:szCs w:val="22"/>
              </w:rPr>
              <w:t xml:space="preserve"> </w:t>
            </w:r>
          </w:p>
        </w:tc>
      </w:tr>
      <w:tr w:rsidR="0044571C" w:rsidRPr="00145A45" w:rsidTr="00CF4255">
        <w:trPr>
          <w:trHeight w:val="300"/>
        </w:trPr>
        <w:tc>
          <w:tcPr>
            <w:tcW w:w="1883" w:type="dxa"/>
            <w:noWrap/>
            <w:hideMark/>
          </w:tcPr>
          <w:p w:rsidR="0044571C" w:rsidRPr="00145A45" w:rsidRDefault="0044571C"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 xml:space="preserve">Agency </w:t>
            </w:r>
          </w:p>
        </w:tc>
        <w:tc>
          <w:tcPr>
            <w:tcW w:w="1679"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44571C" w:rsidRPr="00145A45" w:rsidTr="00CF4255">
        <w:trPr>
          <w:trHeight w:val="497"/>
        </w:trPr>
        <w:tc>
          <w:tcPr>
            <w:tcW w:w="1883" w:type="dxa"/>
            <w:noWrap/>
            <w:hideMark/>
          </w:tcPr>
          <w:p w:rsidR="0044571C" w:rsidRPr="00145A45" w:rsidRDefault="0044571C"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Within portfolio</w:t>
            </w:r>
          </w:p>
        </w:tc>
        <w:tc>
          <w:tcPr>
            <w:tcW w:w="1679"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44571C" w:rsidRPr="00145A45" w:rsidTr="00CF4255">
        <w:trPr>
          <w:trHeight w:val="418"/>
        </w:trPr>
        <w:tc>
          <w:tcPr>
            <w:tcW w:w="1883" w:type="dxa"/>
            <w:noWrap/>
            <w:hideMark/>
          </w:tcPr>
          <w:p w:rsidR="0044571C" w:rsidRPr="00145A45" w:rsidRDefault="0044571C"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Outside portfolio</w:t>
            </w:r>
          </w:p>
        </w:tc>
        <w:tc>
          <w:tcPr>
            <w:tcW w:w="1679"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44571C" w:rsidRPr="00145A45" w:rsidTr="00CF4255">
        <w:trPr>
          <w:trHeight w:val="300"/>
        </w:trPr>
        <w:tc>
          <w:tcPr>
            <w:tcW w:w="1883" w:type="dxa"/>
            <w:noWrap/>
            <w:hideMark/>
          </w:tcPr>
          <w:p w:rsidR="0044571C" w:rsidRPr="00145A45" w:rsidRDefault="0044571C" w:rsidP="00CF4255">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 xml:space="preserve">Total by </w:t>
            </w:r>
            <w:r w:rsidRPr="00145A45">
              <w:rPr>
                <w:rFonts w:asciiTheme="minorHAnsi" w:hAnsiTheme="minorHAnsi" w:cstheme="minorHAnsi"/>
                <w:b/>
                <w:bCs/>
                <w:iCs/>
                <w:sz w:val="22"/>
                <w:szCs w:val="22"/>
              </w:rPr>
              <w:t>Sector</w:t>
            </w:r>
          </w:p>
        </w:tc>
        <w:tc>
          <w:tcPr>
            <w:tcW w:w="1679"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44571C" w:rsidRPr="00145A45" w:rsidRDefault="0044571C" w:rsidP="00B238A6">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44571C" w:rsidRPr="00145A45" w:rsidRDefault="0044571C" w:rsidP="00CF4255">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bl>
    <w:p w:rsidR="009E799B" w:rsidRPr="00142030" w:rsidRDefault="009E799B" w:rsidP="009E799B">
      <w:pPr>
        <w:tabs>
          <w:tab w:val="left" w:pos="2835"/>
          <w:tab w:val="left" w:pos="4253"/>
        </w:tabs>
        <w:spacing w:before="120" w:after="120"/>
        <w:contextualSpacing/>
      </w:pPr>
      <w:r w:rsidRPr="00142030">
        <w:t>Proposal is cost neutral?</w:t>
      </w:r>
      <w:r w:rsidRPr="00142030">
        <w:tab/>
      </w:r>
      <w:r w:rsidRPr="00142030">
        <w:sym w:font="Wingdings 2" w:char="F02A"/>
      </w:r>
      <w:r w:rsidRPr="00142030">
        <w:t xml:space="preserve"> </w:t>
      </w:r>
      <w:proofErr w:type="gramStart"/>
      <w:r w:rsidRPr="00142030">
        <w:t>yes</w:t>
      </w:r>
      <w:proofErr w:type="gramEnd"/>
      <w:r w:rsidRPr="00142030">
        <w:tab/>
      </w:r>
      <w:r w:rsidRPr="00142030">
        <w:sym w:font="Wingdings" w:char="F0FC"/>
      </w:r>
      <w:r w:rsidRPr="00142030">
        <w:t xml:space="preserve"> no </w:t>
      </w:r>
    </w:p>
    <w:p w:rsidR="009E799B" w:rsidRPr="00142030" w:rsidRDefault="009E799B" w:rsidP="009E799B">
      <w:pPr>
        <w:tabs>
          <w:tab w:val="left" w:pos="2835"/>
          <w:tab w:val="left" w:pos="4253"/>
        </w:tabs>
        <w:spacing w:before="120" w:after="120"/>
        <w:contextualSpacing/>
      </w:pPr>
      <w:r w:rsidRPr="00142030">
        <w:t>Proposal is deregulatory</w:t>
      </w:r>
      <w:r>
        <w:tab/>
      </w:r>
      <w:r w:rsidRPr="00142030">
        <w:sym w:font="Wingdings" w:char="F0FC"/>
      </w:r>
      <w:r w:rsidRPr="00142030">
        <w:t xml:space="preserve"> yes</w:t>
      </w:r>
      <w:r>
        <w:tab/>
      </w:r>
      <w:r w:rsidRPr="00142030">
        <w:sym w:font="Wingdings 2" w:char="F02A"/>
      </w:r>
      <w:r w:rsidRPr="00142030">
        <w:t xml:space="preserve"> no</w:t>
      </w:r>
    </w:p>
    <w:p w:rsidR="009E799B" w:rsidRPr="00145A45" w:rsidRDefault="009E799B" w:rsidP="009E799B">
      <w:pPr>
        <w:tabs>
          <w:tab w:val="left" w:pos="2835"/>
          <w:tab w:val="left" w:pos="4253"/>
        </w:tabs>
        <w:spacing w:before="120" w:after="120"/>
        <w:contextualSpacing/>
        <w:rPr>
          <w:rFonts w:cstheme="minorHAnsi"/>
          <w:b/>
          <w:bCs/>
        </w:rPr>
      </w:pPr>
      <w:r w:rsidRPr="00142030">
        <w:t>Balance of cost offsets</w:t>
      </w:r>
      <w:r>
        <w:tab/>
      </w:r>
      <w:r w:rsidRPr="00145A45">
        <w:rPr>
          <w:rFonts w:cstheme="minorHAnsi"/>
          <w:b/>
          <w:bCs/>
        </w:rPr>
        <w:t>-$</w:t>
      </w:r>
      <w:r>
        <w:rPr>
          <w:rFonts w:cstheme="minorHAnsi"/>
          <w:b/>
          <w:bCs/>
        </w:rPr>
        <w:t>9.4 m</w:t>
      </w:r>
    </w:p>
    <w:p w:rsidR="009E799B" w:rsidRPr="00145A45" w:rsidRDefault="009E799B" w:rsidP="009E799B">
      <w:pPr>
        <w:pBdr>
          <w:top w:val="single" w:sz="4" w:space="1" w:color="auto"/>
          <w:left w:val="single" w:sz="4" w:space="4" w:color="auto"/>
          <w:bottom w:val="single" w:sz="4" w:space="1" w:color="auto"/>
          <w:right w:val="single" w:sz="4" w:space="4" w:color="auto"/>
        </w:pBdr>
        <w:spacing w:line="240" w:lineRule="atLeast"/>
        <w:rPr>
          <w:rFonts w:cstheme="minorHAnsi"/>
          <w:iCs/>
        </w:rPr>
      </w:pPr>
      <w:r w:rsidRPr="00145A45">
        <w:rPr>
          <w:rFonts w:cstheme="minorHAnsi"/>
          <w:i/>
          <w:iCs/>
        </w:rPr>
        <w:t xml:space="preserve">*This figure represents the estimated regulatory savings to businesses of adopting Option </w:t>
      </w:r>
      <w:r>
        <w:rPr>
          <w:rFonts w:cstheme="minorHAnsi"/>
          <w:i/>
          <w:iCs/>
        </w:rPr>
        <w:t>4</w:t>
      </w:r>
      <w:r w:rsidRPr="00145A45">
        <w:rPr>
          <w:rFonts w:cstheme="minorHAnsi"/>
          <w:i/>
          <w:iCs/>
        </w:rPr>
        <w:t xml:space="preserve"> compared to the status quo (Option 1). This means the difference between the cost of current requirements of </w:t>
      </w:r>
      <w:r>
        <w:rPr>
          <w:rFonts w:cstheme="minorHAnsi"/>
          <w:i/>
          <w:iCs/>
        </w:rPr>
        <w:t>$</w:t>
      </w:r>
      <w:r w:rsidRPr="00145A45">
        <w:rPr>
          <w:rFonts w:cstheme="minorHAnsi"/>
          <w:i/>
          <w:iCs/>
        </w:rPr>
        <w:t>19 million less the estimated $</w:t>
      </w:r>
      <w:r>
        <w:rPr>
          <w:rFonts w:cstheme="minorHAnsi"/>
          <w:i/>
          <w:iCs/>
        </w:rPr>
        <w:t xml:space="preserve">9.6 </w:t>
      </w:r>
      <w:r w:rsidRPr="00145A45">
        <w:rPr>
          <w:rFonts w:cstheme="minorHAnsi"/>
          <w:i/>
          <w:iCs/>
        </w:rPr>
        <w:t xml:space="preserve">million cost of reporting under </w:t>
      </w:r>
      <w:r>
        <w:rPr>
          <w:rFonts w:cstheme="minorHAnsi"/>
          <w:i/>
          <w:iCs/>
        </w:rPr>
        <w:t>O</w:t>
      </w:r>
      <w:r w:rsidRPr="00145A45">
        <w:rPr>
          <w:rFonts w:cstheme="minorHAnsi"/>
          <w:i/>
          <w:iCs/>
        </w:rPr>
        <w:t xml:space="preserve">ption </w:t>
      </w:r>
      <w:r>
        <w:rPr>
          <w:rFonts w:cstheme="minorHAnsi"/>
          <w:i/>
          <w:iCs/>
        </w:rPr>
        <w:t>4</w:t>
      </w:r>
      <w:r w:rsidRPr="00145A45">
        <w:rPr>
          <w:rFonts w:cstheme="minorHAnsi"/>
          <w:i/>
          <w:iCs/>
        </w:rPr>
        <w:t xml:space="preserve"> </w:t>
      </w:r>
    </w:p>
    <w:p w:rsidR="00442CA4" w:rsidRPr="002666A4" w:rsidRDefault="0011095F" w:rsidP="002666A4">
      <w:pPr>
        <w:pStyle w:val="Heading2"/>
        <w:rPr>
          <w:rFonts w:asciiTheme="minorHAnsi" w:hAnsiTheme="minorHAnsi" w:cstheme="minorHAnsi"/>
        </w:rPr>
      </w:pPr>
      <w:bookmarkStart w:id="38" w:name="_Toc405895166"/>
      <w:bookmarkStart w:id="39" w:name="_Toc404158264"/>
      <w:r w:rsidRPr="002666A4">
        <w:rPr>
          <w:rFonts w:asciiTheme="minorHAnsi" w:hAnsiTheme="minorHAnsi" w:cstheme="minorHAnsi"/>
        </w:rPr>
        <w:t>O</w:t>
      </w:r>
      <w:r w:rsidR="00BB578E" w:rsidRPr="002666A4">
        <w:rPr>
          <w:rFonts w:asciiTheme="minorHAnsi" w:hAnsiTheme="minorHAnsi" w:cstheme="minorHAnsi"/>
        </w:rPr>
        <w:t xml:space="preserve">ption 5: </w:t>
      </w:r>
      <w:r w:rsidR="00613A65" w:rsidRPr="002666A4">
        <w:rPr>
          <w:rFonts w:asciiTheme="minorHAnsi" w:hAnsiTheme="minorHAnsi" w:cstheme="minorHAnsi"/>
        </w:rPr>
        <w:t xml:space="preserve">Remove </w:t>
      </w:r>
      <w:r w:rsidR="00CD6C93">
        <w:rPr>
          <w:rFonts w:asciiTheme="minorHAnsi" w:hAnsiTheme="minorHAnsi" w:cstheme="minorHAnsi"/>
        </w:rPr>
        <w:t xml:space="preserve">all reporting </w:t>
      </w:r>
      <w:r w:rsidR="00CE06B5" w:rsidRPr="002666A4">
        <w:rPr>
          <w:rFonts w:asciiTheme="minorHAnsi" w:hAnsiTheme="minorHAnsi" w:cstheme="minorHAnsi"/>
        </w:rPr>
        <w:t>r</w:t>
      </w:r>
      <w:r w:rsidR="00613A65" w:rsidRPr="002666A4">
        <w:rPr>
          <w:rFonts w:asciiTheme="minorHAnsi" w:hAnsiTheme="minorHAnsi" w:cstheme="minorHAnsi"/>
        </w:rPr>
        <w:t>equirements</w:t>
      </w:r>
      <w:bookmarkEnd w:id="38"/>
      <w:r w:rsidR="00613A65" w:rsidRPr="002666A4">
        <w:rPr>
          <w:rFonts w:asciiTheme="minorHAnsi" w:hAnsiTheme="minorHAnsi" w:cstheme="minorHAnsi"/>
        </w:rPr>
        <w:t xml:space="preserve"> </w:t>
      </w:r>
      <w:bookmarkEnd w:id="39"/>
    </w:p>
    <w:p w:rsidR="00683EB6" w:rsidRPr="006D4988" w:rsidRDefault="00683EB6" w:rsidP="00683EB6">
      <w:pPr>
        <w:rPr>
          <w:rFonts w:cstheme="minorHAnsi"/>
        </w:rPr>
      </w:pPr>
      <w:r w:rsidRPr="006D4988">
        <w:rPr>
          <w:rFonts w:cstheme="minorHAnsi"/>
        </w:rPr>
        <w:t xml:space="preserve">This option is </w:t>
      </w:r>
      <w:r w:rsidRPr="003C5FF2">
        <w:rPr>
          <w:rFonts w:cstheme="minorHAnsi"/>
        </w:rPr>
        <w:t xml:space="preserve">the </w:t>
      </w:r>
      <w:r w:rsidR="003C5FF2" w:rsidRPr="003C5FF2">
        <w:rPr>
          <w:rFonts w:cstheme="minorHAnsi"/>
        </w:rPr>
        <w:t>‘non-regulatory’</w:t>
      </w:r>
      <w:r w:rsidR="003C5FF2">
        <w:rPr>
          <w:rFonts w:cstheme="minorHAnsi"/>
        </w:rPr>
        <w:t xml:space="preserve"> </w:t>
      </w:r>
      <w:r w:rsidRPr="006D4988">
        <w:rPr>
          <w:rFonts w:cstheme="minorHAnsi"/>
        </w:rPr>
        <w:t xml:space="preserve">option. </w:t>
      </w:r>
    </w:p>
    <w:p w:rsidR="00E436BA" w:rsidRPr="009E799B" w:rsidRDefault="00683EB6" w:rsidP="009E799B">
      <w:r w:rsidRPr="009E799B">
        <w:t>Specifically</w:t>
      </w:r>
      <w:r w:rsidR="00CD6C93" w:rsidRPr="009E799B">
        <w:t>,</w:t>
      </w:r>
      <w:r w:rsidRPr="009E799B">
        <w:t xml:space="preserve"> this option includes</w:t>
      </w:r>
      <w:r w:rsidR="00E436BA" w:rsidRPr="009E799B">
        <w:t xml:space="preserve"> </w:t>
      </w:r>
      <w:r w:rsidR="00CD6C93" w:rsidRPr="009E799B">
        <w:t xml:space="preserve">removing </w:t>
      </w:r>
      <w:r w:rsidRPr="009E799B">
        <w:t>all the reporting requirements set out in the Instrument and the Act</w:t>
      </w:r>
      <w:r w:rsidR="00CD6C93" w:rsidRPr="009E799B">
        <w:t>.</w:t>
      </w:r>
      <w:r w:rsidR="00E436BA" w:rsidRPr="009E799B">
        <w:t xml:space="preserve"> </w:t>
      </w:r>
      <w:r w:rsidR="00D30D25" w:rsidRPr="009E799B">
        <w:t xml:space="preserve">This option </w:t>
      </w:r>
      <w:r w:rsidR="00C40D42" w:rsidRPr="009E799B">
        <w:t>removes the requirement for relevant employers to report to the Agency</w:t>
      </w:r>
      <w:r w:rsidR="00D30D25" w:rsidRPr="009E799B">
        <w:t xml:space="preserve">. </w:t>
      </w:r>
    </w:p>
    <w:p w:rsidR="00D30D25" w:rsidRPr="009E799B" w:rsidRDefault="00C40D42" w:rsidP="009E799B">
      <w:r w:rsidRPr="009E799B">
        <w:t xml:space="preserve">The Instrument would need to be repealed and the Act would need to be amended to remove reporting </w:t>
      </w:r>
      <w:r w:rsidR="00FC1956" w:rsidRPr="009E799B">
        <w:t>obligations</w:t>
      </w:r>
      <w:r w:rsidRPr="009E799B">
        <w:t xml:space="preserve">. </w:t>
      </w:r>
      <w:r w:rsidR="00D30D25" w:rsidRPr="009E799B">
        <w:t xml:space="preserve"> </w:t>
      </w:r>
      <w:r w:rsidR="005357DC" w:rsidRPr="009E799B">
        <w:t>The option</w:t>
      </w:r>
      <w:r w:rsidR="0030790F" w:rsidRPr="009E799B">
        <w:t xml:space="preserve"> will remove the impetus for employers to challenge practices based on unconscious bias. </w:t>
      </w:r>
      <w:r w:rsidR="002737C7" w:rsidRPr="009E799B">
        <w:t xml:space="preserve">The option does not support the social or economic goals </w:t>
      </w:r>
      <w:r w:rsidR="00CD6C93" w:rsidRPr="009E799B">
        <w:t xml:space="preserve">of </w:t>
      </w:r>
      <w:r w:rsidR="002737C7" w:rsidRPr="009E799B">
        <w:t>improving gender equality in the workplace, reducing the gender pay gap</w:t>
      </w:r>
      <w:r w:rsidR="00CD6C93" w:rsidRPr="009E799B">
        <w:t xml:space="preserve"> and</w:t>
      </w:r>
      <w:r w:rsidR="002737C7" w:rsidRPr="009E799B">
        <w:t xml:space="preserve"> increasing productivity for individual business or the economy more broadly. </w:t>
      </w:r>
      <w:r w:rsidR="00D30D25" w:rsidRPr="009E799B">
        <w:t xml:space="preserve">This option is </w:t>
      </w:r>
      <w:r w:rsidR="002737C7" w:rsidRPr="009E799B">
        <w:t xml:space="preserve">also </w:t>
      </w:r>
      <w:r w:rsidR="00D30D25" w:rsidRPr="009E799B">
        <w:t>contrary to stated Government policy</w:t>
      </w:r>
      <w:r w:rsidR="00A547D6" w:rsidRPr="009E799B">
        <w:t>.</w:t>
      </w:r>
      <w:r w:rsidR="00D30D25" w:rsidRPr="009E799B">
        <w:t xml:space="preserve"> </w:t>
      </w:r>
    </w:p>
    <w:p w:rsidR="00866744" w:rsidRPr="006D4988" w:rsidRDefault="00866744" w:rsidP="00866744">
      <w:pPr>
        <w:rPr>
          <w:rFonts w:cstheme="minorHAnsi"/>
        </w:rPr>
      </w:pPr>
      <w:r w:rsidRPr="006D4988">
        <w:rPr>
          <w:rFonts w:cstheme="minorHAnsi"/>
        </w:rPr>
        <w:lastRenderedPageBreak/>
        <w:t xml:space="preserve">By removing the </w:t>
      </w:r>
      <w:r w:rsidR="00F40A18" w:rsidRPr="006D4988">
        <w:rPr>
          <w:rFonts w:cstheme="minorHAnsi"/>
        </w:rPr>
        <w:t xml:space="preserve">reporting </w:t>
      </w:r>
      <w:r w:rsidRPr="006D4988">
        <w:rPr>
          <w:rFonts w:cstheme="minorHAnsi"/>
        </w:rPr>
        <w:t>requirement</w:t>
      </w:r>
      <w:r w:rsidR="00F40A18" w:rsidRPr="006D4988">
        <w:rPr>
          <w:rFonts w:cstheme="minorHAnsi"/>
        </w:rPr>
        <w:t>s</w:t>
      </w:r>
      <w:r w:rsidRPr="006D4988">
        <w:rPr>
          <w:rFonts w:cstheme="minorHAnsi"/>
        </w:rPr>
        <w:t xml:space="preserve"> altogether</w:t>
      </w:r>
      <w:r w:rsidR="00CD6C93">
        <w:rPr>
          <w:rFonts w:cstheme="minorHAnsi"/>
        </w:rPr>
        <w:t>,</w:t>
      </w:r>
      <w:r w:rsidRPr="006D4988">
        <w:rPr>
          <w:rFonts w:cstheme="minorHAnsi"/>
        </w:rPr>
        <w:t xml:space="preserve"> improvement on gender equality in the workplace </w:t>
      </w:r>
      <w:r w:rsidR="00CD6C93">
        <w:rPr>
          <w:rFonts w:cstheme="minorHAnsi"/>
        </w:rPr>
        <w:t>might</w:t>
      </w:r>
      <w:r w:rsidR="00CD6C93" w:rsidRPr="006D4988">
        <w:rPr>
          <w:rFonts w:cstheme="minorHAnsi"/>
        </w:rPr>
        <w:t xml:space="preserve"> </w:t>
      </w:r>
      <w:r w:rsidRPr="006D4988">
        <w:rPr>
          <w:rFonts w:cstheme="minorHAnsi"/>
        </w:rPr>
        <w:t>stall or decrease and any changes by individual business</w:t>
      </w:r>
      <w:r w:rsidR="003F3E49">
        <w:rPr>
          <w:rFonts w:cstheme="minorHAnsi"/>
        </w:rPr>
        <w:t>es</w:t>
      </w:r>
      <w:r w:rsidRPr="006D4988">
        <w:rPr>
          <w:rFonts w:cstheme="minorHAnsi"/>
        </w:rPr>
        <w:t xml:space="preserve"> or on an </w:t>
      </w:r>
      <w:r w:rsidR="00CD6C93" w:rsidRPr="006D4988">
        <w:rPr>
          <w:rFonts w:cstheme="minorHAnsi"/>
        </w:rPr>
        <w:t>organisation</w:t>
      </w:r>
      <w:r w:rsidR="007B1463">
        <w:rPr>
          <w:rFonts w:cstheme="minorHAnsi"/>
        </w:rPr>
        <w:noBreakHyphen/>
      </w:r>
      <w:r w:rsidRPr="006D4988">
        <w:rPr>
          <w:rFonts w:cstheme="minorHAnsi"/>
        </w:rPr>
        <w:t>wide level will be difficult to measure.</w:t>
      </w:r>
    </w:p>
    <w:p w:rsidR="0018793D" w:rsidRPr="006D4988" w:rsidRDefault="008C21D0" w:rsidP="000E620E">
      <w:pPr>
        <w:rPr>
          <w:rFonts w:cstheme="minorHAnsi"/>
        </w:rPr>
      </w:pPr>
      <w:r w:rsidRPr="006D4988">
        <w:rPr>
          <w:rFonts w:cstheme="minorHAnsi"/>
        </w:rPr>
        <w:t>This</w:t>
      </w:r>
      <w:r w:rsidR="00A14472" w:rsidRPr="006D4988">
        <w:rPr>
          <w:rFonts w:cstheme="minorHAnsi"/>
        </w:rPr>
        <w:t xml:space="preserve"> i</w:t>
      </w:r>
      <w:r w:rsidR="00BF580E" w:rsidRPr="006D4988">
        <w:rPr>
          <w:rFonts w:cstheme="minorHAnsi"/>
        </w:rPr>
        <w:t xml:space="preserve">s </w:t>
      </w:r>
      <w:r w:rsidR="00BF580E" w:rsidRPr="003C5FF2">
        <w:rPr>
          <w:rFonts w:cstheme="minorHAnsi"/>
        </w:rPr>
        <w:t>regarded as a ‘non-regulatory’</w:t>
      </w:r>
      <w:r w:rsidR="00A14472" w:rsidRPr="003C5FF2">
        <w:rPr>
          <w:rFonts w:cstheme="minorHAnsi"/>
        </w:rPr>
        <w:t xml:space="preserve"> option</w:t>
      </w:r>
      <w:r w:rsidR="00A14472" w:rsidRPr="006D4988">
        <w:rPr>
          <w:rFonts w:cstheme="minorHAnsi"/>
        </w:rPr>
        <w:t xml:space="preserve"> as it removes </w:t>
      </w:r>
      <w:r w:rsidR="006F3BEF" w:rsidRPr="006D4988">
        <w:rPr>
          <w:rFonts w:cstheme="minorHAnsi"/>
        </w:rPr>
        <w:t>all</w:t>
      </w:r>
      <w:r w:rsidR="00A14472" w:rsidRPr="006D4988">
        <w:rPr>
          <w:rFonts w:cstheme="minorHAnsi"/>
        </w:rPr>
        <w:t xml:space="preserve"> regulation </w:t>
      </w:r>
      <w:r w:rsidR="006F3BEF" w:rsidRPr="006D4988">
        <w:rPr>
          <w:rFonts w:cstheme="minorHAnsi"/>
        </w:rPr>
        <w:t>in relation to gender reporting</w:t>
      </w:r>
      <w:r w:rsidR="00A14472" w:rsidRPr="006D4988">
        <w:rPr>
          <w:rFonts w:cstheme="minorHAnsi"/>
        </w:rPr>
        <w:t xml:space="preserve">. </w:t>
      </w:r>
      <w:r w:rsidR="00CD6C93">
        <w:rPr>
          <w:rFonts w:cstheme="minorHAnsi"/>
        </w:rPr>
        <w:t>D</w:t>
      </w:r>
      <w:r w:rsidR="0018793D" w:rsidRPr="006D4988">
        <w:rPr>
          <w:rFonts w:cstheme="minorHAnsi"/>
        </w:rPr>
        <w:t>ue to the requirement to amend th</w:t>
      </w:r>
      <w:r w:rsidR="006B3855" w:rsidRPr="006D4988">
        <w:rPr>
          <w:rFonts w:cstheme="minorHAnsi"/>
        </w:rPr>
        <w:t>e</w:t>
      </w:r>
      <w:r w:rsidR="00922E3D" w:rsidRPr="006D4988">
        <w:rPr>
          <w:rFonts w:cstheme="minorHAnsi"/>
        </w:rPr>
        <w:t xml:space="preserve"> Act</w:t>
      </w:r>
      <w:r w:rsidR="0018793D" w:rsidRPr="006D4988">
        <w:rPr>
          <w:rFonts w:cstheme="minorHAnsi"/>
        </w:rPr>
        <w:t xml:space="preserve"> </w:t>
      </w:r>
      <w:r w:rsidR="00A547D6" w:rsidRPr="006D4988">
        <w:rPr>
          <w:rFonts w:cstheme="minorHAnsi"/>
          <w:bCs/>
          <w:iCs/>
        </w:rPr>
        <w:t>and repeal the Instrument</w:t>
      </w:r>
      <w:r w:rsidR="00CD6C93">
        <w:rPr>
          <w:rFonts w:cstheme="minorHAnsi"/>
          <w:bCs/>
          <w:iCs/>
        </w:rPr>
        <w:t xml:space="preserve"> however</w:t>
      </w:r>
      <w:r w:rsidR="00A547D6" w:rsidRPr="006D4988">
        <w:rPr>
          <w:rFonts w:cstheme="minorHAnsi"/>
          <w:iCs/>
        </w:rPr>
        <w:t xml:space="preserve">, </w:t>
      </w:r>
      <w:r w:rsidR="00E20555" w:rsidRPr="006D4988">
        <w:rPr>
          <w:rFonts w:cstheme="minorHAnsi"/>
        </w:rPr>
        <w:t xml:space="preserve">it </w:t>
      </w:r>
      <w:r w:rsidR="00CD6C93">
        <w:rPr>
          <w:rFonts w:cstheme="minorHAnsi"/>
          <w:bCs/>
          <w:iCs/>
        </w:rPr>
        <w:t>might</w:t>
      </w:r>
      <w:r w:rsidR="00CD6C93" w:rsidRPr="006D4988">
        <w:rPr>
          <w:rFonts w:cstheme="minorHAnsi"/>
        </w:rPr>
        <w:t xml:space="preserve"> </w:t>
      </w:r>
      <w:r w:rsidR="00A14472" w:rsidRPr="006D4988">
        <w:rPr>
          <w:rFonts w:cstheme="minorHAnsi"/>
        </w:rPr>
        <w:t xml:space="preserve">not be </w:t>
      </w:r>
      <w:r w:rsidR="000916F4">
        <w:rPr>
          <w:rFonts w:cstheme="minorHAnsi"/>
          <w:bCs/>
          <w:iCs/>
        </w:rPr>
        <w:t>possible</w:t>
      </w:r>
      <w:r w:rsidR="00A14472" w:rsidRPr="006D4988">
        <w:rPr>
          <w:rFonts w:cstheme="minorHAnsi"/>
        </w:rPr>
        <w:t xml:space="preserve"> to </w:t>
      </w:r>
      <w:r w:rsidR="00A547D6" w:rsidRPr="006D4988">
        <w:rPr>
          <w:rFonts w:cstheme="minorHAnsi"/>
          <w:bCs/>
          <w:iCs/>
        </w:rPr>
        <w:t>fully</w:t>
      </w:r>
      <w:r w:rsidR="00A547D6" w:rsidRPr="006D4988">
        <w:rPr>
          <w:rFonts w:cstheme="minorHAnsi"/>
          <w:bCs/>
          <w:iCs/>
          <w:color w:val="1F497D"/>
        </w:rPr>
        <w:t xml:space="preserve"> </w:t>
      </w:r>
      <w:r w:rsidR="00A547D6" w:rsidRPr="006D4988">
        <w:rPr>
          <w:rFonts w:cstheme="minorHAnsi"/>
          <w:bCs/>
          <w:iCs/>
        </w:rPr>
        <w:t xml:space="preserve">remove the reporting burden </w:t>
      </w:r>
      <w:r w:rsidR="00A14472" w:rsidRPr="006D4988">
        <w:rPr>
          <w:rFonts w:cstheme="minorHAnsi"/>
        </w:rPr>
        <w:t xml:space="preserve">for relevant employers </w:t>
      </w:r>
      <w:r w:rsidR="00A547D6" w:rsidRPr="006D4988">
        <w:rPr>
          <w:rFonts w:cstheme="minorHAnsi"/>
        </w:rPr>
        <w:t>for</w:t>
      </w:r>
      <w:r w:rsidR="00A14472" w:rsidRPr="006D4988">
        <w:rPr>
          <w:rFonts w:cstheme="minorHAnsi"/>
        </w:rPr>
        <w:t xml:space="preserve"> the </w:t>
      </w:r>
      <w:r w:rsidR="00E20555" w:rsidRPr="006D4988">
        <w:rPr>
          <w:rFonts w:cstheme="minorHAnsi"/>
        </w:rPr>
        <w:t>201</w:t>
      </w:r>
      <w:r w:rsidR="009826B5" w:rsidRPr="006D4988">
        <w:rPr>
          <w:rFonts w:cstheme="minorHAnsi"/>
        </w:rPr>
        <w:t>4</w:t>
      </w:r>
      <w:r w:rsidR="00CD6C93">
        <w:rPr>
          <w:rFonts w:cstheme="minorHAnsi"/>
        </w:rPr>
        <w:t>–</w:t>
      </w:r>
      <w:r w:rsidR="00E20555" w:rsidRPr="006D4988">
        <w:rPr>
          <w:rFonts w:cstheme="minorHAnsi"/>
        </w:rPr>
        <w:t>1</w:t>
      </w:r>
      <w:r w:rsidR="009826B5" w:rsidRPr="006D4988">
        <w:rPr>
          <w:rFonts w:cstheme="minorHAnsi"/>
        </w:rPr>
        <w:t>5</w:t>
      </w:r>
      <w:r w:rsidR="00E20555" w:rsidRPr="006D4988">
        <w:rPr>
          <w:rFonts w:cstheme="minorHAnsi"/>
        </w:rPr>
        <w:t xml:space="preserve"> </w:t>
      </w:r>
      <w:r w:rsidR="00A14472" w:rsidRPr="006D4988">
        <w:rPr>
          <w:rFonts w:cstheme="minorHAnsi"/>
        </w:rPr>
        <w:t xml:space="preserve">reporting period. </w:t>
      </w:r>
      <w:r w:rsidR="00A547D6" w:rsidRPr="006D4988">
        <w:rPr>
          <w:rFonts w:cstheme="minorHAnsi"/>
        </w:rPr>
        <w:t>If this scenario occurs</w:t>
      </w:r>
      <w:r w:rsidR="00CD6C93">
        <w:rPr>
          <w:rFonts w:cstheme="minorHAnsi"/>
        </w:rPr>
        <w:t>,</w:t>
      </w:r>
      <w:r w:rsidR="00A547D6" w:rsidRPr="006D4988">
        <w:rPr>
          <w:rFonts w:cstheme="minorHAnsi"/>
        </w:rPr>
        <w:t xml:space="preserve"> then</w:t>
      </w:r>
      <w:r w:rsidR="00A14472" w:rsidRPr="006D4988">
        <w:rPr>
          <w:rFonts w:cstheme="minorHAnsi"/>
        </w:rPr>
        <w:t xml:space="preserve"> the reporting </w:t>
      </w:r>
      <w:r w:rsidR="000916F4">
        <w:rPr>
          <w:rFonts w:cstheme="minorHAnsi"/>
        </w:rPr>
        <w:t>requirements would</w:t>
      </w:r>
      <w:r w:rsidR="00A14472" w:rsidRPr="006D4988">
        <w:rPr>
          <w:rFonts w:cstheme="minorHAnsi"/>
        </w:rPr>
        <w:t xml:space="preserve"> remain </w:t>
      </w:r>
      <w:r w:rsidR="000916F4">
        <w:rPr>
          <w:rFonts w:cstheme="minorHAnsi"/>
        </w:rPr>
        <w:t>in place for the</w:t>
      </w:r>
      <w:r w:rsidR="00A14472" w:rsidRPr="006D4988">
        <w:rPr>
          <w:rFonts w:cstheme="minorHAnsi"/>
        </w:rPr>
        <w:t xml:space="preserve"> </w:t>
      </w:r>
      <w:r w:rsidR="001C2C11" w:rsidRPr="006D4988">
        <w:rPr>
          <w:rFonts w:cstheme="minorHAnsi"/>
        </w:rPr>
        <w:t>201</w:t>
      </w:r>
      <w:r w:rsidR="009826B5" w:rsidRPr="006D4988">
        <w:rPr>
          <w:rFonts w:cstheme="minorHAnsi"/>
        </w:rPr>
        <w:t>4</w:t>
      </w:r>
      <w:r w:rsidR="007D2327" w:rsidRPr="006D4988">
        <w:rPr>
          <w:rFonts w:cstheme="minorHAnsi"/>
        </w:rPr>
        <w:t>–</w:t>
      </w:r>
      <w:r w:rsidR="001C2C11" w:rsidRPr="006D4988">
        <w:rPr>
          <w:rFonts w:cstheme="minorHAnsi"/>
        </w:rPr>
        <w:t>1</w:t>
      </w:r>
      <w:r w:rsidR="009826B5" w:rsidRPr="006D4988">
        <w:rPr>
          <w:rFonts w:cstheme="minorHAnsi"/>
        </w:rPr>
        <w:t>5</w:t>
      </w:r>
      <w:r w:rsidR="001C2C11" w:rsidRPr="006D4988">
        <w:rPr>
          <w:rFonts w:cstheme="minorHAnsi"/>
        </w:rPr>
        <w:t xml:space="preserve"> </w:t>
      </w:r>
      <w:proofErr w:type="gramStart"/>
      <w:r w:rsidR="001C2C11" w:rsidRPr="006D4988">
        <w:rPr>
          <w:rFonts w:cstheme="minorHAnsi"/>
        </w:rPr>
        <w:t>period</w:t>
      </w:r>
      <w:proofErr w:type="gramEnd"/>
      <w:r w:rsidR="00A547D6" w:rsidRPr="006D4988">
        <w:rPr>
          <w:rFonts w:cstheme="minorHAnsi"/>
        </w:rPr>
        <w:t>. If repeal of the Instrument and amendments to the Act are in place for</w:t>
      </w:r>
      <w:r w:rsidR="00C2014C" w:rsidRPr="006D4988">
        <w:rPr>
          <w:rFonts w:cstheme="minorHAnsi"/>
        </w:rPr>
        <w:t xml:space="preserve"> the 2015</w:t>
      </w:r>
      <w:r w:rsidR="00CD6C93">
        <w:rPr>
          <w:rFonts w:cstheme="minorHAnsi"/>
        </w:rPr>
        <w:t>–</w:t>
      </w:r>
      <w:r w:rsidR="00C2014C" w:rsidRPr="006D4988">
        <w:rPr>
          <w:rFonts w:cstheme="minorHAnsi"/>
        </w:rPr>
        <w:t xml:space="preserve">16 </w:t>
      </w:r>
      <w:r w:rsidR="00A316DB" w:rsidRPr="006D4988">
        <w:rPr>
          <w:rFonts w:cstheme="minorHAnsi"/>
        </w:rPr>
        <w:t>reporting period</w:t>
      </w:r>
      <w:r w:rsidR="00A547D6" w:rsidRPr="006D4988">
        <w:rPr>
          <w:rFonts w:cstheme="minorHAnsi"/>
        </w:rPr>
        <w:t>, the</w:t>
      </w:r>
      <w:r w:rsidR="00DE3FA5" w:rsidRPr="006D4988">
        <w:rPr>
          <w:rFonts w:cstheme="minorHAnsi"/>
        </w:rPr>
        <w:t xml:space="preserve"> </w:t>
      </w:r>
      <w:r w:rsidR="0018793D" w:rsidRPr="006D4988">
        <w:rPr>
          <w:rFonts w:cstheme="minorHAnsi"/>
        </w:rPr>
        <w:t xml:space="preserve">compliance </w:t>
      </w:r>
      <w:r w:rsidR="00DE3FA5" w:rsidRPr="006D4988">
        <w:rPr>
          <w:rFonts w:cstheme="minorHAnsi"/>
        </w:rPr>
        <w:t xml:space="preserve">cost to all businesses </w:t>
      </w:r>
      <w:r w:rsidR="00C2014C" w:rsidRPr="006D4988">
        <w:rPr>
          <w:rFonts w:cstheme="minorHAnsi"/>
        </w:rPr>
        <w:t xml:space="preserve">from the year </w:t>
      </w:r>
      <w:r w:rsidR="00DE3FA5" w:rsidRPr="006D4988">
        <w:rPr>
          <w:rFonts w:cstheme="minorHAnsi"/>
        </w:rPr>
        <w:t xml:space="preserve">of adopting </w:t>
      </w:r>
      <w:r w:rsidR="000140C5" w:rsidRPr="006D4988">
        <w:rPr>
          <w:rFonts w:cstheme="minorHAnsi"/>
        </w:rPr>
        <w:t>this o</w:t>
      </w:r>
      <w:r w:rsidR="00DE3FA5" w:rsidRPr="006D4988">
        <w:rPr>
          <w:rFonts w:cstheme="minorHAnsi"/>
        </w:rPr>
        <w:t>ption</w:t>
      </w:r>
      <w:r w:rsidR="00C2014C" w:rsidRPr="006D4988">
        <w:rPr>
          <w:rFonts w:cstheme="minorHAnsi"/>
        </w:rPr>
        <w:t xml:space="preserve"> and each subsequent </w:t>
      </w:r>
      <w:r w:rsidR="00A547D6" w:rsidRPr="006D4988">
        <w:rPr>
          <w:rFonts w:cstheme="minorHAnsi"/>
        </w:rPr>
        <w:t>reporting period</w:t>
      </w:r>
      <w:r w:rsidR="00C2014C" w:rsidRPr="006D4988">
        <w:rPr>
          <w:rFonts w:cstheme="minorHAnsi"/>
        </w:rPr>
        <w:t xml:space="preserve"> is $0.</w:t>
      </w:r>
    </w:p>
    <w:p w:rsidR="00A5770B" w:rsidRPr="006D4988" w:rsidRDefault="00A5770B" w:rsidP="00A5770B">
      <w:pPr>
        <w:rPr>
          <w:rFonts w:cstheme="minorHAnsi"/>
        </w:rPr>
      </w:pPr>
      <w:r w:rsidRPr="006D4988">
        <w:rPr>
          <w:rFonts w:cstheme="minorHAnsi"/>
        </w:rPr>
        <w:t>This option was tested during the first consultation the Department conducted with key stakeholders in early 2014 on the reporting requirement</w:t>
      </w:r>
      <w:r w:rsidR="000916F4">
        <w:rPr>
          <w:rFonts w:cstheme="minorHAnsi"/>
        </w:rPr>
        <w:t>s</w:t>
      </w:r>
      <w:r w:rsidRPr="006D4988">
        <w:rPr>
          <w:rFonts w:cstheme="minorHAnsi"/>
        </w:rPr>
        <w:t>. The outcome from that process was that the Government announced a public consultation that would look at opportunities to streamline and improve the reporting requirements</w:t>
      </w:r>
      <w:r w:rsidR="00E608D6" w:rsidRPr="006D4988">
        <w:rPr>
          <w:rFonts w:cstheme="minorHAnsi"/>
        </w:rPr>
        <w:t xml:space="preserve">. </w:t>
      </w:r>
      <w:r w:rsidRPr="006D4988">
        <w:rPr>
          <w:rFonts w:cstheme="minorHAnsi"/>
        </w:rPr>
        <w:t xml:space="preserve">The Government </w:t>
      </w:r>
      <w:r w:rsidR="00E608D6" w:rsidRPr="006D4988">
        <w:rPr>
          <w:rFonts w:cstheme="minorHAnsi"/>
        </w:rPr>
        <w:t>also</w:t>
      </w:r>
      <w:r w:rsidRPr="006D4988">
        <w:rPr>
          <w:rFonts w:cstheme="minorHAnsi"/>
        </w:rPr>
        <w:t xml:space="preserve"> publicly committed to retaining the current gender reporting framework set out in the Act</w:t>
      </w:r>
      <w:r w:rsidR="00E608D6" w:rsidRPr="006D4988">
        <w:rPr>
          <w:rFonts w:cstheme="minorHAnsi"/>
        </w:rPr>
        <w:t xml:space="preserve"> and that employers with more than 100 or more employees </w:t>
      </w:r>
      <w:r w:rsidR="00CD6C93">
        <w:rPr>
          <w:rFonts w:cstheme="minorHAnsi"/>
        </w:rPr>
        <w:t xml:space="preserve">would </w:t>
      </w:r>
      <w:r w:rsidR="00654C80" w:rsidRPr="006D4988">
        <w:rPr>
          <w:rFonts w:cstheme="minorHAnsi"/>
        </w:rPr>
        <w:t>continue to be required to report annually</w:t>
      </w:r>
      <w:r w:rsidRPr="006D4988">
        <w:rPr>
          <w:rFonts w:cstheme="minorHAnsi"/>
        </w:rPr>
        <w:t>.</w:t>
      </w:r>
    </w:p>
    <w:p w:rsidR="00654C80" w:rsidRPr="006D4988" w:rsidRDefault="00654C80" w:rsidP="000E620E">
      <w:pPr>
        <w:rPr>
          <w:rFonts w:cstheme="minorHAnsi"/>
        </w:rPr>
      </w:pPr>
      <w:r w:rsidRPr="006D4988">
        <w:rPr>
          <w:rFonts w:cstheme="minorHAnsi"/>
        </w:rPr>
        <w:t xml:space="preserve">Given </w:t>
      </w:r>
      <w:r w:rsidR="00922E3D" w:rsidRPr="006D4988">
        <w:rPr>
          <w:rFonts w:cstheme="minorHAnsi"/>
        </w:rPr>
        <w:t>that the Government commit</w:t>
      </w:r>
      <w:r w:rsidRPr="006D4988">
        <w:rPr>
          <w:rFonts w:cstheme="minorHAnsi"/>
        </w:rPr>
        <w:t>t</w:t>
      </w:r>
      <w:r w:rsidR="00922E3D" w:rsidRPr="006D4988">
        <w:rPr>
          <w:rFonts w:cstheme="minorHAnsi"/>
        </w:rPr>
        <w:t>ed</w:t>
      </w:r>
      <w:r w:rsidRPr="006D4988">
        <w:rPr>
          <w:rFonts w:cstheme="minorHAnsi"/>
        </w:rPr>
        <w:t xml:space="preserve"> to retaining gender reporting</w:t>
      </w:r>
      <w:r w:rsidR="00D92F1F">
        <w:rPr>
          <w:rFonts w:cstheme="minorHAnsi"/>
        </w:rPr>
        <w:t>,</w:t>
      </w:r>
      <w:r w:rsidRPr="006D4988">
        <w:rPr>
          <w:rFonts w:cstheme="minorHAnsi"/>
        </w:rPr>
        <w:t xml:space="preserve"> this option is not viable. </w:t>
      </w:r>
    </w:p>
    <w:p w:rsidR="00A14472" w:rsidRPr="00145A45" w:rsidRDefault="00A14472" w:rsidP="009E799B">
      <w:pPr>
        <w:pStyle w:val="Heading3"/>
      </w:pPr>
      <w:r w:rsidRPr="00145A45">
        <w:t>Regulatory Burden Es</w:t>
      </w:r>
      <w:r w:rsidR="00B02965" w:rsidRPr="00145A45">
        <w:t>timate Table</w:t>
      </w:r>
    </w:p>
    <w:p w:rsidR="009E799B" w:rsidRPr="00145A45" w:rsidRDefault="009E799B" w:rsidP="009E799B">
      <w:pPr>
        <w:pStyle w:val="Heading4"/>
        <w:rPr>
          <w:rFonts w:eastAsiaTheme="minorHAnsi"/>
        </w:rPr>
      </w:pPr>
      <w:r w:rsidRPr="00145A45">
        <w:t xml:space="preserve">Average Annual Compliance Costs (from </w:t>
      </w:r>
      <w:r>
        <w:t>b</w:t>
      </w:r>
      <w:r w:rsidRPr="00145A45">
        <w:t>usiness as usual)</w:t>
      </w:r>
    </w:p>
    <w:tbl>
      <w:tblPr>
        <w:tblStyle w:val="TableGrid"/>
        <w:tblW w:w="9180" w:type="dxa"/>
        <w:tblLook w:val="0480" w:firstRow="0" w:lastRow="0" w:firstColumn="1" w:lastColumn="0" w:noHBand="0" w:noVBand="1"/>
        <w:tblCaption w:val="Option 5 Regulatory Burden Estimate Table"/>
        <w:tblDescription w:val="Average annual compliance cost of adoptiong Option 5 compared to Option 1."/>
      </w:tblPr>
      <w:tblGrid>
        <w:gridCol w:w="1883"/>
        <w:gridCol w:w="1679"/>
        <w:gridCol w:w="2215"/>
        <w:gridCol w:w="1986"/>
        <w:gridCol w:w="1417"/>
      </w:tblGrid>
      <w:tr w:rsidR="00A14472" w:rsidRPr="00145A45" w:rsidTr="009E799B">
        <w:trPr>
          <w:cantSplit/>
          <w:trHeight w:val="300"/>
          <w:tblHeader/>
        </w:trPr>
        <w:tc>
          <w:tcPr>
            <w:tcW w:w="1883" w:type="dxa"/>
            <w:noWrap/>
            <w:hideMark/>
          </w:tcPr>
          <w:p w:rsidR="00A14472" w:rsidRPr="00145A45" w:rsidRDefault="00A14472" w:rsidP="00A14472">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Costs</w:t>
            </w:r>
            <w:r w:rsidRPr="00145A45">
              <w:rPr>
                <w:rFonts w:asciiTheme="minorHAnsi" w:hAnsiTheme="minorHAnsi" w:cstheme="minorHAnsi"/>
                <w:b/>
                <w:bCs/>
                <w:iCs/>
                <w:sz w:val="22"/>
                <w:szCs w:val="22"/>
              </w:rPr>
              <w:t xml:space="preserve"> ($m)</w:t>
            </w:r>
          </w:p>
        </w:tc>
        <w:tc>
          <w:tcPr>
            <w:tcW w:w="1679" w:type="dxa"/>
            <w:noWrap/>
            <w:hideMark/>
          </w:tcPr>
          <w:p w:rsidR="00A14472" w:rsidRPr="00145A45" w:rsidRDefault="00A14472" w:rsidP="00A14472">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Business</w:t>
            </w:r>
          </w:p>
        </w:tc>
        <w:tc>
          <w:tcPr>
            <w:tcW w:w="2215" w:type="dxa"/>
            <w:noWrap/>
            <w:hideMark/>
          </w:tcPr>
          <w:p w:rsidR="00A14472" w:rsidRPr="00145A45" w:rsidRDefault="00A14472" w:rsidP="00A14472">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Community Organisations</w:t>
            </w:r>
          </w:p>
        </w:tc>
        <w:tc>
          <w:tcPr>
            <w:tcW w:w="1986" w:type="dxa"/>
            <w:noWrap/>
            <w:hideMark/>
          </w:tcPr>
          <w:p w:rsidR="00A14472" w:rsidRPr="00145A45" w:rsidRDefault="00A14472" w:rsidP="00A14472">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Individuals</w:t>
            </w:r>
          </w:p>
        </w:tc>
        <w:tc>
          <w:tcPr>
            <w:tcW w:w="1417" w:type="dxa"/>
            <w:noWrap/>
            <w:hideMark/>
          </w:tcPr>
          <w:p w:rsidR="00A14472" w:rsidRPr="00145A45" w:rsidRDefault="00A14472" w:rsidP="00A14472">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Total Cost</w:t>
            </w:r>
          </w:p>
        </w:tc>
      </w:tr>
      <w:tr w:rsidR="00A14472" w:rsidRPr="00145A45" w:rsidTr="005F050D">
        <w:trPr>
          <w:trHeight w:val="300"/>
        </w:trPr>
        <w:tc>
          <w:tcPr>
            <w:tcW w:w="1883" w:type="dxa"/>
            <w:noWrap/>
            <w:hideMark/>
          </w:tcPr>
          <w:p w:rsidR="00A14472" w:rsidRPr="00145A45" w:rsidRDefault="00A14472" w:rsidP="00A14472">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Total by Sector</w:t>
            </w:r>
          </w:p>
        </w:tc>
        <w:tc>
          <w:tcPr>
            <w:tcW w:w="1679" w:type="dxa"/>
            <w:noWrap/>
            <w:hideMark/>
          </w:tcPr>
          <w:p w:rsidR="00A14472" w:rsidRPr="00145A45" w:rsidRDefault="00033D9B" w:rsidP="00033D9B">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w:t>
            </w:r>
            <w:r w:rsidR="00AC4B59">
              <w:rPr>
                <w:rFonts w:asciiTheme="minorHAnsi" w:hAnsiTheme="minorHAnsi" w:cstheme="minorHAnsi"/>
                <w:bCs/>
                <w:iCs/>
                <w:sz w:val="22"/>
                <w:szCs w:val="22"/>
              </w:rPr>
              <w:t>$15.6</w:t>
            </w:r>
          </w:p>
        </w:tc>
        <w:tc>
          <w:tcPr>
            <w:tcW w:w="2215" w:type="dxa"/>
            <w:noWrap/>
          </w:tcPr>
          <w:p w:rsidR="00A14472" w:rsidRPr="00145A45" w:rsidRDefault="00033D9B" w:rsidP="00033D9B">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w:t>
            </w:r>
            <w:r w:rsidR="00046D73" w:rsidRPr="00145A45">
              <w:rPr>
                <w:rFonts w:asciiTheme="minorHAnsi" w:hAnsiTheme="minorHAnsi" w:cstheme="minorHAnsi"/>
                <w:bCs/>
                <w:iCs/>
                <w:sz w:val="22"/>
                <w:szCs w:val="22"/>
              </w:rPr>
              <w:t>$</w:t>
            </w:r>
            <w:r w:rsidR="00AC4B59">
              <w:rPr>
                <w:rFonts w:asciiTheme="minorHAnsi" w:hAnsiTheme="minorHAnsi" w:cstheme="minorHAnsi"/>
                <w:bCs/>
                <w:iCs/>
                <w:sz w:val="22"/>
                <w:szCs w:val="22"/>
              </w:rPr>
              <w:t>3.4</w:t>
            </w:r>
          </w:p>
        </w:tc>
        <w:tc>
          <w:tcPr>
            <w:tcW w:w="1986" w:type="dxa"/>
            <w:noWrap/>
            <w:hideMark/>
          </w:tcPr>
          <w:p w:rsidR="00A14472" w:rsidRPr="00145A45" w:rsidRDefault="00BC5BD6"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r w:rsidR="00A14472" w:rsidRPr="00145A45">
              <w:rPr>
                <w:rFonts w:asciiTheme="minorHAnsi" w:hAnsiTheme="minorHAnsi" w:cstheme="minorHAnsi"/>
                <w:sz w:val="22"/>
                <w:szCs w:val="22"/>
              </w:rPr>
              <w:t>0</w:t>
            </w:r>
          </w:p>
        </w:tc>
        <w:tc>
          <w:tcPr>
            <w:tcW w:w="1417" w:type="dxa"/>
            <w:noWrap/>
          </w:tcPr>
          <w:p w:rsidR="00A14472" w:rsidRPr="00145A45" w:rsidRDefault="00033D9B" w:rsidP="00033D9B">
            <w:pPr>
              <w:spacing w:line="240" w:lineRule="atLeast"/>
              <w:rPr>
                <w:rFonts w:asciiTheme="minorHAnsi" w:hAnsiTheme="minorHAnsi" w:cstheme="minorHAnsi"/>
                <w:bCs/>
                <w:iCs/>
                <w:sz w:val="22"/>
                <w:szCs w:val="22"/>
              </w:rPr>
            </w:pPr>
            <w:r w:rsidRPr="00145A45">
              <w:rPr>
                <w:rFonts w:asciiTheme="minorHAnsi" w:hAnsiTheme="minorHAnsi" w:cstheme="minorHAnsi"/>
                <w:bCs/>
                <w:iCs/>
                <w:sz w:val="22"/>
                <w:szCs w:val="22"/>
              </w:rPr>
              <w:t>-</w:t>
            </w:r>
            <w:r w:rsidR="00BC5BD6" w:rsidRPr="00145A45">
              <w:rPr>
                <w:rFonts w:asciiTheme="minorHAnsi" w:hAnsiTheme="minorHAnsi" w:cstheme="minorHAnsi"/>
                <w:bCs/>
                <w:iCs/>
                <w:sz w:val="22"/>
                <w:szCs w:val="22"/>
              </w:rPr>
              <w:t>$</w:t>
            </w:r>
            <w:r w:rsidR="00AC4B59">
              <w:rPr>
                <w:rFonts w:asciiTheme="minorHAnsi" w:hAnsiTheme="minorHAnsi" w:cstheme="minorHAnsi"/>
                <w:bCs/>
                <w:iCs/>
                <w:sz w:val="22"/>
                <w:szCs w:val="22"/>
              </w:rPr>
              <w:t>19</w:t>
            </w:r>
            <w:r w:rsidR="008165C6" w:rsidRPr="00145A45">
              <w:rPr>
                <w:rFonts w:asciiTheme="minorHAnsi" w:hAnsiTheme="minorHAnsi" w:cstheme="minorHAnsi"/>
                <w:bCs/>
                <w:iCs/>
                <w:sz w:val="22"/>
                <w:szCs w:val="22"/>
              </w:rPr>
              <w:t>*</w:t>
            </w:r>
          </w:p>
        </w:tc>
      </w:tr>
    </w:tbl>
    <w:p w:rsidR="009E799B" w:rsidRPr="00145A45" w:rsidRDefault="009E799B" w:rsidP="00A14472">
      <w:pPr>
        <w:spacing w:line="240" w:lineRule="atLeast"/>
        <w:rPr>
          <w:rFonts w:cstheme="minorHAnsi"/>
          <w:b/>
          <w:bCs/>
        </w:rPr>
      </w:pPr>
    </w:p>
    <w:tbl>
      <w:tblPr>
        <w:tblStyle w:val="TableGrid"/>
        <w:tblW w:w="9180" w:type="dxa"/>
        <w:tblLook w:val="0480" w:firstRow="0" w:lastRow="0" w:firstColumn="1" w:lastColumn="0" w:noHBand="0" w:noVBand="1"/>
        <w:tblCaption w:val="Option 5 Regulatory Burden Estimate Table"/>
        <w:tblDescription w:val="Average annual compliance cost of adoptiong Option 5 compared to Option 1."/>
      </w:tblPr>
      <w:tblGrid>
        <w:gridCol w:w="1883"/>
        <w:gridCol w:w="1679"/>
        <w:gridCol w:w="2215"/>
        <w:gridCol w:w="1986"/>
        <w:gridCol w:w="1417"/>
      </w:tblGrid>
      <w:tr w:rsidR="00A14472" w:rsidRPr="00145A45" w:rsidTr="009E799B">
        <w:trPr>
          <w:cantSplit/>
          <w:trHeight w:val="300"/>
          <w:tblHeader/>
        </w:trPr>
        <w:tc>
          <w:tcPr>
            <w:tcW w:w="1883" w:type="dxa"/>
            <w:noWrap/>
            <w:hideMark/>
          </w:tcPr>
          <w:p w:rsidR="00A14472" w:rsidRPr="00145A45" w:rsidRDefault="00A14472" w:rsidP="00A14472">
            <w:pPr>
              <w:spacing w:line="240" w:lineRule="atLeast"/>
              <w:rPr>
                <w:rFonts w:asciiTheme="minorHAnsi" w:hAnsiTheme="minorHAnsi" w:cstheme="minorHAnsi"/>
                <w:b/>
                <w:bCs/>
                <w:sz w:val="22"/>
                <w:szCs w:val="22"/>
              </w:rPr>
            </w:pPr>
            <w:r w:rsidRPr="00145A45">
              <w:rPr>
                <w:rFonts w:asciiTheme="minorHAnsi" w:hAnsiTheme="minorHAnsi" w:cstheme="minorHAnsi"/>
                <w:b/>
                <w:bCs/>
                <w:iCs/>
                <w:sz w:val="22"/>
                <w:szCs w:val="22"/>
              </w:rPr>
              <w:t>Cost offset ($m)</w:t>
            </w:r>
          </w:p>
        </w:tc>
        <w:tc>
          <w:tcPr>
            <w:tcW w:w="1679" w:type="dxa"/>
            <w:noWrap/>
            <w:hideMark/>
          </w:tcPr>
          <w:p w:rsidR="00A14472" w:rsidRPr="00145A45" w:rsidRDefault="00A14472" w:rsidP="00A14472">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Business</w:t>
            </w:r>
          </w:p>
        </w:tc>
        <w:tc>
          <w:tcPr>
            <w:tcW w:w="2215" w:type="dxa"/>
            <w:noWrap/>
            <w:hideMark/>
          </w:tcPr>
          <w:p w:rsidR="00A14472" w:rsidRPr="00145A45" w:rsidRDefault="00A14472" w:rsidP="00A14472">
            <w:pPr>
              <w:spacing w:line="240" w:lineRule="atLeast"/>
              <w:rPr>
                <w:rFonts w:asciiTheme="minorHAnsi" w:hAnsiTheme="minorHAnsi" w:cstheme="minorHAnsi"/>
                <w:b/>
                <w:sz w:val="22"/>
                <w:szCs w:val="22"/>
              </w:rPr>
            </w:pPr>
            <w:r w:rsidRPr="00145A45">
              <w:rPr>
                <w:rFonts w:asciiTheme="minorHAnsi" w:hAnsiTheme="minorHAnsi" w:cstheme="minorHAnsi"/>
                <w:b/>
                <w:bCs/>
                <w:iCs/>
                <w:sz w:val="22"/>
                <w:szCs w:val="22"/>
              </w:rPr>
              <w:t>Community Organisations</w:t>
            </w:r>
          </w:p>
        </w:tc>
        <w:tc>
          <w:tcPr>
            <w:tcW w:w="1986" w:type="dxa"/>
            <w:noWrap/>
            <w:hideMark/>
          </w:tcPr>
          <w:p w:rsidR="00A14472" w:rsidRPr="00145A45" w:rsidRDefault="00A14472" w:rsidP="00A14472">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Individuals</w:t>
            </w:r>
          </w:p>
        </w:tc>
        <w:tc>
          <w:tcPr>
            <w:tcW w:w="1417" w:type="dxa"/>
            <w:noWrap/>
            <w:hideMark/>
          </w:tcPr>
          <w:p w:rsidR="00A14472" w:rsidRPr="00145A45" w:rsidRDefault="00A14472" w:rsidP="00A14472">
            <w:pPr>
              <w:spacing w:line="240" w:lineRule="atLeast"/>
              <w:rPr>
                <w:rFonts w:asciiTheme="minorHAnsi" w:hAnsiTheme="minorHAnsi" w:cstheme="minorHAnsi"/>
                <w:b/>
                <w:sz w:val="22"/>
                <w:szCs w:val="22"/>
              </w:rPr>
            </w:pPr>
            <w:r w:rsidRPr="00145A45">
              <w:rPr>
                <w:rFonts w:asciiTheme="minorHAnsi" w:hAnsiTheme="minorHAnsi" w:cstheme="minorHAnsi"/>
                <w:b/>
                <w:sz w:val="22"/>
                <w:szCs w:val="22"/>
              </w:rPr>
              <w:t xml:space="preserve">Total by </w:t>
            </w:r>
            <w:r w:rsidRPr="00145A45">
              <w:rPr>
                <w:rFonts w:asciiTheme="minorHAnsi" w:hAnsiTheme="minorHAnsi" w:cstheme="minorHAnsi"/>
                <w:b/>
                <w:iCs/>
                <w:sz w:val="22"/>
                <w:szCs w:val="22"/>
              </w:rPr>
              <w:t>Source</w:t>
            </w:r>
            <w:r w:rsidRPr="00145A45">
              <w:rPr>
                <w:rFonts w:asciiTheme="minorHAnsi" w:hAnsiTheme="minorHAnsi" w:cstheme="minorHAnsi"/>
                <w:b/>
                <w:bCs/>
                <w:iCs/>
                <w:sz w:val="22"/>
                <w:szCs w:val="22"/>
              </w:rPr>
              <w:t xml:space="preserve"> </w:t>
            </w:r>
          </w:p>
        </w:tc>
      </w:tr>
      <w:tr w:rsidR="00A14472" w:rsidRPr="00145A45" w:rsidTr="005F050D">
        <w:trPr>
          <w:trHeight w:val="300"/>
        </w:trPr>
        <w:tc>
          <w:tcPr>
            <w:tcW w:w="1883" w:type="dxa"/>
            <w:noWrap/>
            <w:hideMark/>
          </w:tcPr>
          <w:p w:rsidR="00A14472" w:rsidRPr="00145A45" w:rsidRDefault="00A14472" w:rsidP="00A14472">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 xml:space="preserve">Agency </w:t>
            </w:r>
          </w:p>
        </w:tc>
        <w:tc>
          <w:tcPr>
            <w:tcW w:w="1679"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A14472" w:rsidRPr="00145A45" w:rsidTr="005F050D">
        <w:trPr>
          <w:trHeight w:val="497"/>
        </w:trPr>
        <w:tc>
          <w:tcPr>
            <w:tcW w:w="1883" w:type="dxa"/>
            <w:noWrap/>
            <w:hideMark/>
          </w:tcPr>
          <w:p w:rsidR="00A14472" w:rsidRPr="00145A45" w:rsidRDefault="00A14472" w:rsidP="00A14472">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Within portfolio</w:t>
            </w:r>
          </w:p>
        </w:tc>
        <w:tc>
          <w:tcPr>
            <w:tcW w:w="1679"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A14472" w:rsidRPr="00145A45" w:rsidTr="005F050D">
        <w:trPr>
          <w:trHeight w:val="418"/>
        </w:trPr>
        <w:tc>
          <w:tcPr>
            <w:tcW w:w="1883" w:type="dxa"/>
            <w:noWrap/>
            <w:hideMark/>
          </w:tcPr>
          <w:p w:rsidR="00A14472" w:rsidRPr="00145A45" w:rsidRDefault="00A14472" w:rsidP="00A14472">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Outside portfolio</w:t>
            </w:r>
          </w:p>
        </w:tc>
        <w:tc>
          <w:tcPr>
            <w:tcW w:w="1679"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A14472" w:rsidRPr="00145A45" w:rsidRDefault="00A14472" w:rsidP="00A14472">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r w:rsidR="00A14472" w:rsidRPr="00145A45" w:rsidTr="005F050D">
        <w:trPr>
          <w:trHeight w:val="300"/>
        </w:trPr>
        <w:tc>
          <w:tcPr>
            <w:tcW w:w="1883" w:type="dxa"/>
            <w:noWrap/>
            <w:hideMark/>
          </w:tcPr>
          <w:p w:rsidR="00A14472" w:rsidRPr="00145A45" w:rsidRDefault="00A14472" w:rsidP="00A14472">
            <w:pPr>
              <w:spacing w:line="240" w:lineRule="atLeast"/>
              <w:rPr>
                <w:rFonts w:asciiTheme="minorHAnsi" w:hAnsiTheme="minorHAnsi" w:cstheme="minorHAnsi"/>
                <w:b/>
                <w:bCs/>
                <w:sz w:val="22"/>
                <w:szCs w:val="22"/>
              </w:rPr>
            </w:pPr>
            <w:r w:rsidRPr="00145A45">
              <w:rPr>
                <w:rFonts w:asciiTheme="minorHAnsi" w:hAnsiTheme="minorHAnsi" w:cstheme="minorHAnsi"/>
                <w:b/>
                <w:bCs/>
                <w:sz w:val="22"/>
                <w:szCs w:val="22"/>
              </w:rPr>
              <w:t xml:space="preserve">Total by </w:t>
            </w:r>
            <w:r w:rsidRPr="00145A45">
              <w:rPr>
                <w:rFonts w:asciiTheme="minorHAnsi" w:hAnsiTheme="minorHAnsi" w:cstheme="minorHAnsi"/>
                <w:b/>
                <w:bCs/>
                <w:iCs/>
                <w:sz w:val="22"/>
                <w:szCs w:val="22"/>
              </w:rPr>
              <w:t>Sector</w:t>
            </w:r>
          </w:p>
        </w:tc>
        <w:tc>
          <w:tcPr>
            <w:tcW w:w="1679" w:type="dxa"/>
            <w:noWrap/>
            <w:hideMark/>
          </w:tcPr>
          <w:p w:rsidR="00A14472" w:rsidRPr="00145A45" w:rsidRDefault="00A14472" w:rsidP="002511A4">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2215" w:type="dxa"/>
            <w:noWrap/>
            <w:hideMark/>
          </w:tcPr>
          <w:p w:rsidR="00A14472" w:rsidRPr="00145A45" w:rsidRDefault="00A14472" w:rsidP="002511A4">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986" w:type="dxa"/>
            <w:noWrap/>
            <w:hideMark/>
          </w:tcPr>
          <w:p w:rsidR="00A14472" w:rsidRPr="00145A45" w:rsidRDefault="00A14472" w:rsidP="00D92F1F">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c>
          <w:tcPr>
            <w:tcW w:w="1417" w:type="dxa"/>
            <w:noWrap/>
            <w:hideMark/>
          </w:tcPr>
          <w:p w:rsidR="00A14472" w:rsidRPr="00145A45" w:rsidRDefault="00A14472" w:rsidP="002511A4">
            <w:pPr>
              <w:spacing w:line="240" w:lineRule="atLeast"/>
              <w:rPr>
                <w:rFonts w:asciiTheme="minorHAnsi" w:hAnsiTheme="minorHAnsi" w:cstheme="minorHAnsi"/>
                <w:bCs/>
                <w:iCs/>
                <w:sz w:val="22"/>
                <w:szCs w:val="22"/>
              </w:rPr>
            </w:pPr>
            <w:r w:rsidRPr="00145A45">
              <w:rPr>
                <w:rFonts w:asciiTheme="minorHAnsi" w:hAnsiTheme="minorHAnsi" w:cstheme="minorHAnsi"/>
                <w:sz w:val="22"/>
                <w:szCs w:val="22"/>
              </w:rPr>
              <w:t>$</w:t>
            </w:r>
          </w:p>
        </w:tc>
      </w:tr>
    </w:tbl>
    <w:p w:rsidR="009E799B" w:rsidRPr="00142030" w:rsidRDefault="009E799B" w:rsidP="009E799B">
      <w:pPr>
        <w:tabs>
          <w:tab w:val="left" w:pos="2835"/>
          <w:tab w:val="left" w:pos="4253"/>
        </w:tabs>
        <w:spacing w:before="120" w:after="120"/>
        <w:contextualSpacing/>
      </w:pPr>
      <w:r w:rsidRPr="00142030">
        <w:t>Proposal is cost neutral?</w:t>
      </w:r>
      <w:r w:rsidRPr="00142030">
        <w:tab/>
      </w:r>
      <w:r w:rsidRPr="00142030">
        <w:sym w:font="Wingdings 2" w:char="F02A"/>
      </w:r>
      <w:r w:rsidRPr="00142030">
        <w:t xml:space="preserve"> </w:t>
      </w:r>
      <w:proofErr w:type="gramStart"/>
      <w:r w:rsidRPr="00142030">
        <w:t>yes</w:t>
      </w:r>
      <w:proofErr w:type="gramEnd"/>
      <w:r w:rsidRPr="00142030">
        <w:tab/>
      </w:r>
      <w:r w:rsidRPr="00142030">
        <w:sym w:font="Wingdings" w:char="F0FC"/>
      </w:r>
      <w:r w:rsidRPr="00142030">
        <w:t xml:space="preserve"> no </w:t>
      </w:r>
    </w:p>
    <w:p w:rsidR="009E799B" w:rsidRPr="00142030" w:rsidRDefault="009E799B" w:rsidP="009E799B">
      <w:pPr>
        <w:tabs>
          <w:tab w:val="left" w:pos="2835"/>
          <w:tab w:val="left" w:pos="4253"/>
        </w:tabs>
        <w:spacing w:before="120" w:after="120"/>
        <w:contextualSpacing/>
      </w:pPr>
      <w:r w:rsidRPr="00142030">
        <w:t>Proposal is deregulatory</w:t>
      </w:r>
      <w:r>
        <w:tab/>
      </w:r>
      <w:r w:rsidRPr="00142030">
        <w:sym w:font="Wingdings" w:char="F0FC"/>
      </w:r>
      <w:r w:rsidRPr="00142030">
        <w:t xml:space="preserve"> yes</w:t>
      </w:r>
      <w:r>
        <w:tab/>
      </w:r>
      <w:r w:rsidRPr="00142030">
        <w:sym w:font="Wingdings 2" w:char="F02A"/>
      </w:r>
      <w:r w:rsidRPr="00142030">
        <w:t xml:space="preserve"> no</w:t>
      </w:r>
    </w:p>
    <w:p w:rsidR="009E799B" w:rsidRPr="00145A45" w:rsidRDefault="009E799B" w:rsidP="009E799B">
      <w:pPr>
        <w:tabs>
          <w:tab w:val="left" w:pos="2835"/>
          <w:tab w:val="left" w:pos="4253"/>
        </w:tabs>
        <w:spacing w:before="120" w:after="120"/>
        <w:contextualSpacing/>
        <w:rPr>
          <w:rFonts w:cstheme="minorHAnsi"/>
          <w:b/>
          <w:bCs/>
        </w:rPr>
      </w:pPr>
      <w:r w:rsidRPr="00142030">
        <w:t>Balance of cost offsets</w:t>
      </w:r>
      <w:r>
        <w:tab/>
      </w:r>
      <w:r w:rsidRPr="00145A45">
        <w:rPr>
          <w:rFonts w:cstheme="minorHAnsi"/>
          <w:b/>
          <w:bCs/>
        </w:rPr>
        <w:t>-$</w:t>
      </w:r>
      <w:r>
        <w:rPr>
          <w:rFonts w:cstheme="minorHAnsi"/>
          <w:b/>
          <w:bCs/>
        </w:rPr>
        <w:t xml:space="preserve">19 </w:t>
      </w:r>
      <w:r w:rsidRPr="00145A45">
        <w:rPr>
          <w:rFonts w:cstheme="minorHAnsi"/>
          <w:b/>
          <w:bCs/>
        </w:rPr>
        <w:t>m</w:t>
      </w:r>
    </w:p>
    <w:p w:rsidR="009E799B" w:rsidRPr="00145A45" w:rsidRDefault="009E799B" w:rsidP="009E799B">
      <w:pPr>
        <w:pBdr>
          <w:top w:val="single" w:sz="4" w:space="1" w:color="auto"/>
          <w:left w:val="single" w:sz="4" w:space="4" w:color="auto"/>
          <w:bottom w:val="single" w:sz="4" w:space="1" w:color="auto"/>
          <w:right w:val="single" w:sz="4" w:space="4" w:color="auto"/>
        </w:pBdr>
        <w:spacing w:line="240" w:lineRule="atLeast"/>
        <w:rPr>
          <w:rFonts w:cstheme="minorHAnsi"/>
          <w:iCs/>
        </w:rPr>
      </w:pPr>
      <w:r w:rsidRPr="00145A45">
        <w:rPr>
          <w:rFonts w:cstheme="minorHAnsi"/>
          <w:i/>
          <w:iCs/>
        </w:rPr>
        <w:t xml:space="preserve">*This figure represents the estimated regulatory savings to businesses of adopting Option </w:t>
      </w:r>
      <w:r>
        <w:rPr>
          <w:rFonts w:cstheme="minorHAnsi"/>
          <w:i/>
          <w:iCs/>
        </w:rPr>
        <w:t>5</w:t>
      </w:r>
      <w:r w:rsidRPr="00145A45">
        <w:rPr>
          <w:rFonts w:cstheme="minorHAnsi"/>
          <w:i/>
          <w:iCs/>
        </w:rPr>
        <w:t xml:space="preserve"> compared to the status quo (Option 1). This means the difference between the </w:t>
      </w:r>
      <w:proofErr w:type="gramStart"/>
      <w:r w:rsidRPr="00145A45">
        <w:rPr>
          <w:rFonts w:cstheme="minorHAnsi"/>
          <w:i/>
          <w:iCs/>
        </w:rPr>
        <w:t>cost</w:t>
      </w:r>
      <w:proofErr w:type="gramEnd"/>
      <w:r w:rsidRPr="00145A45">
        <w:rPr>
          <w:rFonts w:cstheme="minorHAnsi"/>
          <w:i/>
          <w:iCs/>
        </w:rPr>
        <w:t xml:space="preserve"> of current requirements of </w:t>
      </w:r>
      <w:r>
        <w:rPr>
          <w:rFonts w:cstheme="minorHAnsi"/>
          <w:i/>
          <w:iCs/>
        </w:rPr>
        <w:t>$</w:t>
      </w:r>
      <w:r w:rsidRPr="00145A45">
        <w:rPr>
          <w:rFonts w:cstheme="minorHAnsi"/>
          <w:i/>
          <w:iCs/>
        </w:rPr>
        <w:t>19 million less the estimated $</w:t>
      </w:r>
      <w:r>
        <w:rPr>
          <w:rFonts w:cstheme="minorHAnsi"/>
          <w:i/>
          <w:iCs/>
        </w:rPr>
        <w:t>0</w:t>
      </w:r>
      <w:r w:rsidRPr="00145A45">
        <w:rPr>
          <w:rFonts w:cstheme="minorHAnsi"/>
          <w:i/>
          <w:iCs/>
        </w:rPr>
        <w:t xml:space="preserve"> cost of reporting under </w:t>
      </w:r>
      <w:r>
        <w:rPr>
          <w:rFonts w:cstheme="minorHAnsi"/>
          <w:i/>
          <w:iCs/>
        </w:rPr>
        <w:t>O</w:t>
      </w:r>
      <w:r w:rsidRPr="00145A45">
        <w:rPr>
          <w:rFonts w:cstheme="minorHAnsi"/>
          <w:i/>
          <w:iCs/>
        </w:rPr>
        <w:t xml:space="preserve">ption </w:t>
      </w:r>
      <w:r>
        <w:rPr>
          <w:rFonts w:cstheme="minorHAnsi"/>
          <w:i/>
          <w:iCs/>
        </w:rPr>
        <w:t>5</w:t>
      </w:r>
    </w:p>
    <w:p w:rsidR="00700B4E" w:rsidRPr="009E799B" w:rsidRDefault="00700B4E" w:rsidP="009E799B">
      <w:bookmarkStart w:id="40" w:name="_Toc404158265"/>
      <w:bookmarkStart w:id="41" w:name="_Toc405895167"/>
      <w:r>
        <w:br w:type="page"/>
      </w:r>
    </w:p>
    <w:p w:rsidR="00A14472" w:rsidRPr="002666A4" w:rsidRDefault="00A14472" w:rsidP="000404B7">
      <w:pPr>
        <w:pStyle w:val="Heading1"/>
        <w:spacing w:before="240"/>
        <w:rPr>
          <w:rFonts w:asciiTheme="minorHAnsi" w:hAnsiTheme="minorHAnsi" w:cstheme="minorHAnsi"/>
        </w:rPr>
      </w:pPr>
      <w:r w:rsidRPr="002666A4">
        <w:rPr>
          <w:rFonts w:asciiTheme="minorHAnsi" w:hAnsiTheme="minorHAnsi" w:cstheme="minorHAnsi"/>
        </w:rPr>
        <w:lastRenderedPageBreak/>
        <w:t>C</w:t>
      </w:r>
      <w:r w:rsidR="00C434A8" w:rsidRPr="002666A4">
        <w:rPr>
          <w:rFonts w:asciiTheme="minorHAnsi" w:hAnsiTheme="minorHAnsi" w:cstheme="minorHAnsi"/>
        </w:rPr>
        <w:t>onsultation</w:t>
      </w:r>
      <w:bookmarkEnd w:id="40"/>
      <w:bookmarkEnd w:id="41"/>
    </w:p>
    <w:p w:rsidR="005C3D7E" w:rsidRPr="006D4988" w:rsidRDefault="005C3D7E" w:rsidP="005C3D7E">
      <w:pPr>
        <w:rPr>
          <w:rFonts w:cstheme="minorHAnsi"/>
          <w:bCs/>
        </w:rPr>
      </w:pPr>
      <w:r w:rsidRPr="006D4988">
        <w:rPr>
          <w:rFonts w:cstheme="minorHAnsi"/>
          <w:bCs/>
        </w:rPr>
        <w:t>On 25 March 2014, Senator the Hon. Eric </w:t>
      </w:r>
      <w:proofErr w:type="spellStart"/>
      <w:r w:rsidRPr="006D4988">
        <w:rPr>
          <w:rFonts w:cstheme="minorHAnsi"/>
          <w:bCs/>
        </w:rPr>
        <w:t>Abetz</w:t>
      </w:r>
      <w:proofErr w:type="spellEnd"/>
      <w:r w:rsidRPr="006D4988">
        <w:rPr>
          <w:rFonts w:cstheme="minorHAnsi"/>
          <w:bCs/>
        </w:rPr>
        <w:t>, Minister for Employment</w:t>
      </w:r>
      <w:r w:rsidR="00D92F1F">
        <w:rPr>
          <w:rFonts w:cstheme="minorHAnsi"/>
          <w:bCs/>
        </w:rPr>
        <w:t>,</w:t>
      </w:r>
      <w:r w:rsidRPr="006D4988">
        <w:rPr>
          <w:rFonts w:cstheme="minorHAnsi"/>
          <w:bCs/>
        </w:rPr>
        <w:t xml:space="preserve"> and Senator the Hon. </w:t>
      </w:r>
      <w:proofErr w:type="spellStart"/>
      <w:r w:rsidRPr="006D4988">
        <w:rPr>
          <w:rFonts w:cstheme="minorHAnsi"/>
          <w:bCs/>
        </w:rPr>
        <w:t>Michaelia</w:t>
      </w:r>
      <w:proofErr w:type="spellEnd"/>
      <w:r w:rsidRPr="006D4988">
        <w:rPr>
          <w:rFonts w:cstheme="minorHAnsi"/>
          <w:bCs/>
        </w:rPr>
        <w:t xml:space="preserve"> Cash, Minister Assisting the Prime Minister for Women, announced a public consultation process on reporting requirements. </w:t>
      </w:r>
    </w:p>
    <w:p w:rsidR="005C3D7E" w:rsidRPr="006D4988" w:rsidRDefault="005C3D7E" w:rsidP="005C3D7E">
      <w:pPr>
        <w:rPr>
          <w:rFonts w:cstheme="minorHAnsi"/>
        </w:rPr>
      </w:pPr>
      <w:r w:rsidRPr="006D4988">
        <w:rPr>
          <w:rFonts w:cstheme="minorHAnsi"/>
          <w:bCs/>
        </w:rPr>
        <w:t xml:space="preserve">Since </w:t>
      </w:r>
      <w:r w:rsidR="006F28C5" w:rsidRPr="006D4988">
        <w:rPr>
          <w:rFonts w:cstheme="minorHAnsi"/>
          <w:bCs/>
        </w:rPr>
        <w:t>May 2014</w:t>
      </w:r>
      <w:r w:rsidRPr="006D4988">
        <w:rPr>
          <w:rFonts w:cstheme="minorHAnsi"/>
          <w:bCs/>
        </w:rPr>
        <w:t xml:space="preserve">, the Department has led </w:t>
      </w:r>
      <w:r w:rsidR="00E12B6B" w:rsidRPr="006D4988">
        <w:rPr>
          <w:rFonts w:cstheme="minorHAnsi"/>
          <w:bCs/>
        </w:rPr>
        <w:t>the</w:t>
      </w:r>
      <w:r w:rsidRPr="006D4988">
        <w:rPr>
          <w:rFonts w:cstheme="minorHAnsi"/>
          <w:bCs/>
        </w:rPr>
        <w:t xml:space="preserve"> public consultation process, in </w:t>
      </w:r>
      <w:r w:rsidR="00D92F1F" w:rsidRPr="006D4988">
        <w:rPr>
          <w:rFonts w:cstheme="minorHAnsi"/>
          <w:bCs/>
        </w:rPr>
        <w:t>c</w:t>
      </w:r>
      <w:r w:rsidR="00D92F1F">
        <w:rPr>
          <w:rFonts w:cstheme="minorHAnsi"/>
          <w:bCs/>
        </w:rPr>
        <w:t>ollaboration</w:t>
      </w:r>
      <w:r w:rsidR="00D92F1F" w:rsidRPr="006D4988">
        <w:rPr>
          <w:rFonts w:cstheme="minorHAnsi"/>
          <w:bCs/>
        </w:rPr>
        <w:t xml:space="preserve"> </w:t>
      </w:r>
      <w:r w:rsidRPr="006D4988">
        <w:rPr>
          <w:rFonts w:cstheme="minorHAnsi"/>
          <w:bCs/>
        </w:rPr>
        <w:t xml:space="preserve">with </w:t>
      </w:r>
      <w:r w:rsidR="00C92477">
        <w:rPr>
          <w:rFonts w:cstheme="minorHAnsi"/>
          <w:bCs/>
        </w:rPr>
        <w:t xml:space="preserve">the </w:t>
      </w:r>
      <w:r w:rsidRPr="006D4988">
        <w:rPr>
          <w:rFonts w:cstheme="minorHAnsi"/>
        </w:rPr>
        <w:t xml:space="preserve">Office for Women within the Department of </w:t>
      </w:r>
      <w:r w:rsidR="0078276E" w:rsidRPr="006D4988">
        <w:rPr>
          <w:rFonts w:cstheme="minorHAnsi"/>
        </w:rPr>
        <w:t xml:space="preserve">the </w:t>
      </w:r>
      <w:r w:rsidRPr="006D4988">
        <w:rPr>
          <w:rFonts w:cstheme="minorHAnsi"/>
        </w:rPr>
        <w:t xml:space="preserve">Prime Minister and Cabinet. The purpose of the consultation </w:t>
      </w:r>
      <w:r w:rsidR="007A0898" w:rsidRPr="006D4988">
        <w:rPr>
          <w:rFonts w:cstheme="minorHAnsi"/>
        </w:rPr>
        <w:t>was</w:t>
      </w:r>
      <w:r w:rsidRPr="006D4988">
        <w:rPr>
          <w:rFonts w:cstheme="minorHAnsi"/>
        </w:rPr>
        <w:t xml:space="preserve"> to identify opportunities to streamline reporting requirements to ensure gender reporting </w:t>
      </w:r>
      <w:r w:rsidR="00E436BA">
        <w:rPr>
          <w:rFonts w:cstheme="minorHAnsi"/>
        </w:rPr>
        <w:t>drives results in the workplace</w:t>
      </w:r>
      <w:r w:rsidRPr="006D4988">
        <w:rPr>
          <w:rFonts w:cstheme="minorHAnsi"/>
        </w:rPr>
        <w:t xml:space="preserve"> and represents value for effort. </w:t>
      </w:r>
    </w:p>
    <w:p w:rsidR="005C3D7E" w:rsidRPr="006D4988" w:rsidRDefault="009814AF" w:rsidP="005C3D7E">
      <w:pPr>
        <w:rPr>
          <w:rFonts w:cstheme="minorHAnsi"/>
        </w:rPr>
      </w:pPr>
      <w:r w:rsidRPr="006D4988">
        <w:rPr>
          <w:rFonts w:cstheme="minorHAnsi"/>
        </w:rPr>
        <w:t>While</w:t>
      </w:r>
      <w:r w:rsidR="00F2148A" w:rsidRPr="006D4988">
        <w:rPr>
          <w:rFonts w:cstheme="minorHAnsi"/>
        </w:rPr>
        <w:t xml:space="preserve"> all stakeholders were encouraged to provide input to the </w:t>
      </w:r>
      <w:r w:rsidRPr="006D4988">
        <w:rPr>
          <w:rFonts w:cstheme="minorHAnsi"/>
        </w:rPr>
        <w:t>consultation process</w:t>
      </w:r>
      <w:r w:rsidR="00F2148A" w:rsidRPr="006D4988">
        <w:rPr>
          <w:rFonts w:cstheme="minorHAnsi"/>
        </w:rPr>
        <w:t>, the Department wanted to hear from reporting organisations</w:t>
      </w:r>
      <w:r w:rsidR="00E61EC8">
        <w:rPr>
          <w:rFonts w:cstheme="minorHAnsi"/>
        </w:rPr>
        <w:t xml:space="preserve"> about their experiences of reporting</w:t>
      </w:r>
      <w:r w:rsidR="00F2148A" w:rsidRPr="006D4988">
        <w:rPr>
          <w:rFonts w:cstheme="minorHAnsi"/>
        </w:rPr>
        <w:t>.</w:t>
      </w:r>
      <w:r w:rsidR="008F5387">
        <w:rPr>
          <w:rFonts w:cstheme="minorHAnsi"/>
        </w:rPr>
        <w:t xml:space="preserve"> Understanding how employers directly experienced requirements under the Act was also critical to inform the broader consultation process. </w:t>
      </w:r>
      <w:r w:rsidR="00CA797E" w:rsidRPr="006D4988">
        <w:rPr>
          <w:rFonts w:cstheme="minorHAnsi"/>
        </w:rPr>
        <w:t>T</w:t>
      </w:r>
      <w:r w:rsidR="005C3D7E" w:rsidRPr="006D4988">
        <w:rPr>
          <w:rFonts w:cstheme="minorHAnsi"/>
        </w:rPr>
        <w:t xml:space="preserve">he consultation process </w:t>
      </w:r>
      <w:r w:rsidR="00F2148A" w:rsidRPr="006D4988">
        <w:rPr>
          <w:rFonts w:cstheme="minorHAnsi"/>
        </w:rPr>
        <w:t>included a specific focus</w:t>
      </w:r>
      <w:r w:rsidR="005C3D7E" w:rsidRPr="006D4988">
        <w:rPr>
          <w:rFonts w:cstheme="minorHAnsi"/>
        </w:rPr>
        <w:t xml:space="preserve"> on seeking feedback from employers regarding their </w:t>
      </w:r>
      <w:r w:rsidR="00F2148A" w:rsidRPr="006D4988">
        <w:rPr>
          <w:rFonts w:cstheme="minorHAnsi"/>
        </w:rPr>
        <w:t xml:space="preserve">recent </w:t>
      </w:r>
      <w:r w:rsidR="005C3D7E" w:rsidRPr="006D4988">
        <w:rPr>
          <w:rFonts w:cstheme="minorHAnsi"/>
        </w:rPr>
        <w:t xml:space="preserve">experiences of reporting, as well as analysis of the reporting requirements and data to ensure that the end data is relevant and meaningful for employers. To </w:t>
      </w:r>
      <w:r w:rsidR="00A665CE">
        <w:rPr>
          <w:rFonts w:cstheme="minorHAnsi"/>
        </w:rPr>
        <w:t>gather this information,</w:t>
      </w:r>
      <w:r w:rsidR="005C3D7E" w:rsidRPr="006D4988">
        <w:rPr>
          <w:rFonts w:cstheme="minorHAnsi"/>
        </w:rPr>
        <w:t xml:space="preserve"> the Department invited </w:t>
      </w:r>
      <w:r w:rsidR="00A665CE">
        <w:rPr>
          <w:rFonts w:cstheme="minorHAnsi"/>
        </w:rPr>
        <w:t>stakeholders</w:t>
      </w:r>
      <w:r w:rsidR="005C3D7E" w:rsidRPr="006D4988">
        <w:rPr>
          <w:rFonts w:cstheme="minorHAnsi"/>
        </w:rPr>
        <w:t xml:space="preserve"> to provide feedback or make a formal submission</w:t>
      </w:r>
      <w:r w:rsidR="00E12B6B" w:rsidRPr="006D4988">
        <w:rPr>
          <w:rFonts w:cstheme="minorHAnsi"/>
        </w:rPr>
        <w:t>. F</w:t>
      </w:r>
      <w:r w:rsidR="005C3D7E" w:rsidRPr="006D4988">
        <w:rPr>
          <w:rFonts w:cstheme="minorHAnsi"/>
        </w:rPr>
        <w:t xml:space="preserve">ormal submissions </w:t>
      </w:r>
      <w:r w:rsidR="00E12B6B" w:rsidRPr="006D4988">
        <w:rPr>
          <w:rFonts w:cstheme="minorHAnsi"/>
        </w:rPr>
        <w:t>were</w:t>
      </w:r>
      <w:r w:rsidR="005C3D7E" w:rsidRPr="006D4988">
        <w:rPr>
          <w:rFonts w:cstheme="minorHAnsi"/>
        </w:rPr>
        <w:t xml:space="preserve"> to be lodged with the Department by 30</w:t>
      </w:r>
      <w:r w:rsidR="007B1463">
        <w:rPr>
          <w:rFonts w:cstheme="minorHAnsi"/>
        </w:rPr>
        <w:t> </w:t>
      </w:r>
      <w:r w:rsidR="005C3D7E" w:rsidRPr="006D4988">
        <w:rPr>
          <w:rFonts w:cstheme="minorHAnsi"/>
        </w:rPr>
        <w:t xml:space="preserve">September 2014. The Department also created a short survey </w:t>
      </w:r>
      <w:r w:rsidR="00F2148A" w:rsidRPr="006D4988">
        <w:rPr>
          <w:rFonts w:cstheme="minorHAnsi"/>
        </w:rPr>
        <w:t>designed for employers w</w:t>
      </w:r>
      <w:r w:rsidR="00A665CE">
        <w:rPr>
          <w:rFonts w:cstheme="minorHAnsi"/>
        </w:rPr>
        <w:t xml:space="preserve">ho had valuable feedback but </w:t>
      </w:r>
      <w:r w:rsidR="00D92F1F">
        <w:rPr>
          <w:rFonts w:cstheme="minorHAnsi"/>
        </w:rPr>
        <w:t>might not have had capacity to provide</w:t>
      </w:r>
      <w:r w:rsidR="00A665CE">
        <w:rPr>
          <w:rFonts w:cstheme="minorHAnsi"/>
        </w:rPr>
        <w:t xml:space="preserve"> a</w:t>
      </w:r>
      <w:r w:rsidR="00AC6C8B">
        <w:rPr>
          <w:rFonts w:cstheme="minorHAnsi"/>
        </w:rPr>
        <w:t xml:space="preserve"> written submission. The survey</w:t>
      </w:r>
      <w:r w:rsidR="005C3D7E" w:rsidRPr="006D4988">
        <w:rPr>
          <w:rFonts w:cstheme="minorHAnsi"/>
        </w:rPr>
        <w:t xml:space="preserve"> was open from 15 May 2014 to 31 July 2014. In addition, Departmental </w:t>
      </w:r>
      <w:r w:rsidR="00E12B6B" w:rsidRPr="006D4988">
        <w:rPr>
          <w:rFonts w:cstheme="minorHAnsi"/>
        </w:rPr>
        <w:t xml:space="preserve">and the Agency </w:t>
      </w:r>
      <w:r w:rsidR="005C3D7E" w:rsidRPr="006D4988">
        <w:rPr>
          <w:rFonts w:cstheme="minorHAnsi"/>
        </w:rPr>
        <w:t xml:space="preserve">officers met with </w:t>
      </w:r>
      <w:r w:rsidR="00A665CE">
        <w:rPr>
          <w:rFonts w:cstheme="minorHAnsi"/>
        </w:rPr>
        <w:t>18</w:t>
      </w:r>
      <w:r w:rsidR="00EA7A93" w:rsidRPr="006D4988">
        <w:rPr>
          <w:rFonts w:cstheme="minorHAnsi"/>
        </w:rPr>
        <w:t xml:space="preserve"> </w:t>
      </w:r>
      <w:r w:rsidR="005C3D7E" w:rsidRPr="006D4988">
        <w:rPr>
          <w:rFonts w:cstheme="minorHAnsi"/>
        </w:rPr>
        <w:t xml:space="preserve">reporting organisations to discuss their individual feedback in relation to the reporting requirements. </w:t>
      </w:r>
    </w:p>
    <w:p w:rsidR="006D6747" w:rsidRPr="002666A4" w:rsidRDefault="007A0898" w:rsidP="002666A4">
      <w:pPr>
        <w:pStyle w:val="Heading2"/>
        <w:rPr>
          <w:rFonts w:asciiTheme="minorHAnsi" w:hAnsiTheme="minorHAnsi" w:cstheme="minorHAnsi"/>
        </w:rPr>
      </w:pPr>
      <w:bookmarkStart w:id="42" w:name="_Toc404158266"/>
      <w:bookmarkStart w:id="43" w:name="_Toc405895168"/>
      <w:r w:rsidRPr="002666A4">
        <w:rPr>
          <w:rFonts w:asciiTheme="minorHAnsi" w:hAnsiTheme="minorHAnsi" w:cstheme="minorHAnsi"/>
        </w:rPr>
        <w:t>Consultation learnings</w:t>
      </w:r>
      <w:bookmarkEnd w:id="42"/>
      <w:bookmarkEnd w:id="43"/>
    </w:p>
    <w:p w:rsidR="00755D9C" w:rsidRPr="006D4988" w:rsidRDefault="006D6747" w:rsidP="00192F1F">
      <w:pPr>
        <w:rPr>
          <w:rFonts w:cstheme="minorHAnsi"/>
        </w:rPr>
      </w:pPr>
      <w:r w:rsidRPr="006D4988">
        <w:rPr>
          <w:rFonts w:cstheme="minorHAnsi"/>
        </w:rPr>
        <w:t xml:space="preserve">The </w:t>
      </w:r>
      <w:r w:rsidR="009616CE" w:rsidRPr="006D4988">
        <w:rPr>
          <w:rFonts w:cstheme="minorHAnsi"/>
        </w:rPr>
        <w:t>D</w:t>
      </w:r>
      <w:r w:rsidRPr="006D4988">
        <w:rPr>
          <w:rFonts w:cstheme="minorHAnsi"/>
        </w:rPr>
        <w:t>epartment create</w:t>
      </w:r>
      <w:r w:rsidR="003C4B42" w:rsidRPr="006D4988">
        <w:rPr>
          <w:rFonts w:cstheme="minorHAnsi"/>
        </w:rPr>
        <w:t>d</w:t>
      </w:r>
      <w:r w:rsidRPr="006D4988">
        <w:rPr>
          <w:rFonts w:cstheme="minorHAnsi"/>
        </w:rPr>
        <w:t xml:space="preserve"> a web presence on the </w:t>
      </w:r>
      <w:r w:rsidR="008C21D0" w:rsidRPr="00AC6C8B">
        <w:rPr>
          <w:rFonts w:cstheme="minorHAnsi"/>
          <w:i/>
        </w:rPr>
        <w:t>employment.gov.au/</w:t>
      </w:r>
      <w:proofErr w:type="spellStart"/>
      <w:r w:rsidR="008C21D0" w:rsidRPr="00AC6C8B">
        <w:rPr>
          <w:rFonts w:cstheme="minorHAnsi"/>
          <w:i/>
        </w:rPr>
        <w:t>genderreportin</w:t>
      </w:r>
      <w:r w:rsidR="008C21D0" w:rsidRPr="00AC6C8B">
        <w:rPr>
          <w:rFonts w:cstheme="minorHAnsi"/>
        </w:rPr>
        <w:t>g</w:t>
      </w:r>
      <w:proofErr w:type="spellEnd"/>
      <w:r w:rsidR="00B83F91" w:rsidRPr="006D4988">
        <w:rPr>
          <w:rFonts w:cstheme="minorHAnsi"/>
        </w:rPr>
        <w:t xml:space="preserve"> </w:t>
      </w:r>
      <w:r w:rsidRPr="006D4988">
        <w:rPr>
          <w:rFonts w:cstheme="minorHAnsi"/>
        </w:rPr>
        <w:t xml:space="preserve">website for </w:t>
      </w:r>
      <w:r w:rsidR="005C3D7E" w:rsidRPr="006D4988">
        <w:rPr>
          <w:rFonts w:cstheme="minorHAnsi"/>
        </w:rPr>
        <w:t>the</w:t>
      </w:r>
      <w:r w:rsidRPr="006D4988">
        <w:rPr>
          <w:rFonts w:cstheme="minorHAnsi"/>
        </w:rPr>
        <w:t xml:space="preserve"> public consultation process. The webpage </w:t>
      </w:r>
      <w:r w:rsidR="00CA797E" w:rsidRPr="006D4988">
        <w:rPr>
          <w:rFonts w:cstheme="minorHAnsi"/>
        </w:rPr>
        <w:t xml:space="preserve">provided </w:t>
      </w:r>
      <w:r w:rsidRPr="006D4988">
        <w:rPr>
          <w:rFonts w:cstheme="minorHAnsi"/>
        </w:rPr>
        <w:t>an opportunity for interested parties to provide feedba</w:t>
      </w:r>
      <w:r w:rsidR="00B27EB0" w:rsidRPr="006D4988">
        <w:rPr>
          <w:rFonts w:cstheme="minorHAnsi"/>
        </w:rPr>
        <w:t>ck to the consultation process</w:t>
      </w:r>
      <w:r w:rsidR="00F25D80" w:rsidRPr="006D4988">
        <w:rPr>
          <w:rFonts w:cstheme="minorHAnsi"/>
        </w:rPr>
        <w:t xml:space="preserve"> through guided questions</w:t>
      </w:r>
      <w:r w:rsidR="008C3767" w:rsidRPr="006D4988">
        <w:rPr>
          <w:rFonts w:cstheme="minorHAnsi"/>
        </w:rPr>
        <w:t xml:space="preserve"> on their experience of collecting data for reporting purposes</w:t>
      </w:r>
      <w:r w:rsidR="00755D9C" w:rsidRPr="006D4988">
        <w:rPr>
          <w:rFonts w:cstheme="minorHAnsi"/>
        </w:rPr>
        <w:t>.</w:t>
      </w:r>
    </w:p>
    <w:p w:rsidR="006D6747" w:rsidRPr="006D4988" w:rsidRDefault="006D6747" w:rsidP="00192F1F">
      <w:pPr>
        <w:rPr>
          <w:rFonts w:cstheme="minorHAnsi"/>
          <w:lang w:eastAsia="en-AU"/>
        </w:rPr>
      </w:pPr>
      <w:r w:rsidRPr="006D4988">
        <w:rPr>
          <w:rFonts w:cstheme="minorHAnsi"/>
          <w:lang w:eastAsia="en-AU"/>
        </w:rPr>
        <w:t xml:space="preserve">The </w:t>
      </w:r>
      <w:r w:rsidR="009616CE" w:rsidRPr="006D4988">
        <w:rPr>
          <w:rFonts w:cstheme="minorHAnsi"/>
          <w:lang w:eastAsia="en-AU"/>
        </w:rPr>
        <w:t>D</w:t>
      </w:r>
      <w:r w:rsidRPr="006D4988">
        <w:rPr>
          <w:rFonts w:cstheme="minorHAnsi"/>
          <w:lang w:eastAsia="en-AU"/>
        </w:rPr>
        <w:t xml:space="preserve">epartment </w:t>
      </w:r>
      <w:r w:rsidR="00574B5C" w:rsidRPr="006D4988">
        <w:rPr>
          <w:rFonts w:cstheme="minorHAnsi"/>
          <w:lang w:eastAsia="en-AU"/>
        </w:rPr>
        <w:t>wrote</w:t>
      </w:r>
      <w:r w:rsidRPr="006D4988">
        <w:rPr>
          <w:rFonts w:cstheme="minorHAnsi"/>
          <w:lang w:eastAsia="en-AU"/>
        </w:rPr>
        <w:t xml:space="preserve"> to all stakeholders (including reporting organisations, academics, industry peak</w:t>
      </w:r>
      <w:r w:rsidR="00270456">
        <w:rPr>
          <w:rFonts w:cstheme="minorHAnsi"/>
          <w:lang w:eastAsia="en-AU"/>
        </w:rPr>
        <w:t xml:space="preserve"> bodies</w:t>
      </w:r>
      <w:r w:rsidRPr="006D4988">
        <w:rPr>
          <w:rFonts w:cstheme="minorHAnsi"/>
          <w:lang w:eastAsia="en-AU"/>
        </w:rPr>
        <w:t xml:space="preserve">, women’s groups and other relevant peak bodies) with information on the consultation process, how they </w:t>
      </w:r>
      <w:r w:rsidR="00574B5C" w:rsidRPr="006D4988">
        <w:rPr>
          <w:rFonts w:cstheme="minorHAnsi"/>
          <w:lang w:eastAsia="en-AU"/>
        </w:rPr>
        <w:t>could</w:t>
      </w:r>
      <w:r w:rsidRPr="006D4988">
        <w:rPr>
          <w:rFonts w:cstheme="minorHAnsi"/>
          <w:lang w:eastAsia="en-AU"/>
        </w:rPr>
        <w:t xml:space="preserve"> be involved (including information on the web page) and </w:t>
      </w:r>
      <w:r w:rsidR="00CA797E" w:rsidRPr="006D4988">
        <w:rPr>
          <w:rFonts w:cstheme="minorHAnsi"/>
          <w:lang w:eastAsia="en-AU"/>
        </w:rPr>
        <w:t xml:space="preserve">the </w:t>
      </w:r>
      <w:r w:rsidRPr="006D4988">
        <w:rPr>
          <w:rFonts w:cstheme="minorHAnsi"/>
          <w:lang w:eastAsia="en-AU"/>
        </w:rPr>
        <w:t xml:space="preserve">information </w:t>
      </w:r>
      <w:r w:rsidR="008E136E" w:rsidRPr="006D4988">
        <w:rPr>
          <w:rFonts w:cstheme="minorHAnsi"/>
          <w:lang w:eastAsia="en-AU"/>
        </w:rPr>
        <w:t>being sought</w:t>
      </w:r>
      <w:r w:rsidRPr="006D4988">
        <w:rPr>
          <w:rFonts w:cstheme="minorHAnsi"/>
          <w:lang w:eastAsia="en-AU"/>
        </w:rPr>
        <w:t>.</w:t>
      </w:r>
    </w:p>
    <w:p w:rsidR="006D6747" w:rsidRPr="006D4988" w:rsidRDefault="006D6747" w:rsidP="00192F1F">
      <w:pPr>
        <w:rPr>
          <w:rFonts w:cstheme="minorHAnsi"/>
          <w:lang w:eastAsia="en-AU"/>
        </w:rPr>
      </w:pPr>
      <w:r w:rsidRPr="006D4988">
        <w:rPr>
          <w:rFonts w:cstheme="minorHAnsi"/>
          <w:lang w:eastAsia="en-AU"/>
        </w:rPr>
        <w:t>Links to the</w:t>
      </w:r>
      <w:r w:rsidR="007B1463">
        <w:rPr>
          <w:rFonts w:cstheme="minorHAnsi"/>
          <w:lang w:eastAsia="en-AU"/>
        </w:rPr>
        <w:t xml:space="preserve"> </w:t>
      </w:r>
      <w:r w:rsidRPr="006D4988">
        <w:rPr>
          <w:rFonts w:cstheme="minorHAnsi"/>
          <w:lang w:eastAsia="en-AU"/>
        </w:rPr>
        <w:t xml:space="preserve">webpage </w:t>
      </w:r>
      <w:r w:rsidR="00E12B6B" w:rsidRPr="006D4988">
        <w:rPr>
          <w:rFonts w:cstheme="minorHAnsi"/>
          <w:lang w:eastAsia="en-AU"/>
        </w:rPr>
        <w:t>were</w:t>
      </w:r>
      <w:r w:rsidRPr="006D4988">
        <w:rPr>
          <w:rFonts w:cstheme="minorHAnsi"/>
          <w:lang w:eastAsia="en-AU"/>
        </w:rPr>
        <w:t xml:space="preserve"> provided </w:t>
      </w:r>
      <w:r w:rsidR="00F40A18" w:rsidRPr="006D4988">
        <w:rPr>
          <w:rFonts w:cstheme="minorHAnsi"/>
          <w:lang w:eastAsia="en-AU"/>
        </w:rPr>
        <w:t xml:space="preserve">on </w:t>
      </w:r>
      <w:r w:rsidRPr="006D4988">
        <w:rPr>
          <w:rFonts w:cstheme="minorHAnsi"/>
          <w:lang w:eastAsia="en-AU"/>
        </w:rPr>
        <w:t xml:space="preserve">Business.gov.au; the Office for Women page on the Department of Prime Minister and Cabinet website; </w:t>
      </w:r>
      <w:r w:rsidR="00F40A18" w:rsidRPr="006D4988">
        <w:rPr>
          <w:rFonts w:cstheme="minorHAnsi"/>
          <w:lang w:eastAsia="en-AU"/>
        </w:rPr>
        <w:t xml:space="preserve">and </w:t>
      </w:r>
      <w:r w:rsidRPr="006D4988">
        <w:rPr>
          <w:rFonts w:cstheme="minorHAnsi"/>
          <w:lang w:eastAsia="en-AU"/>
        </w:rPr>
        <w:t xml:space="preserve">the Agency </w:t>
      </w:r>
      <w:r w:rsidR="00B27EB0" w:rsidRPr="006D4988">
        <w:rPr>
          <w:rFonts w:cstheme="minorHAnsi"/>
          <w:lang w:eastAsia="en-AU"/>
        </w:rPr>
        <w:t>website.</w:t>
      </w:r>
      <w:r w:rsidRPr="006D4988">
        <w:rPr>
          <w:rFonts w:cstheme="minorHAnsi"/>
          <w:lang w:eastAsia="en-AU"/>
        </w:rPr>
        <w:t xml:space="preserve"> The webpage </w:t>
      </w:r>
      <w:r w:rsidR="00E12B6B" w:rsidRPr="006D4988">
        <w:rPr>
          <w:rFonts w:cstheme="minorHAnsi"/>
          <w:lang w:eastAsia="en-AU"/>
        </w:rPr>
        <w:t>was</w:t>
      </w:r>
      <w:r w:rsidRPr="006D4988">
        <w:rPr>
          <w:rFonts w:cstheme="minorHAnsi"/>
          <w:lang w:eastAsia="en-AU"/>
        </w:rPr>
        <w:t xml:space="preserve"> in operation from May 2014</w:t>
      </w:r>
      <w:r w:rsidR="00D92F1F">
        <w:rPr>
          <w:rFonts w:cstheme="minorHAnsi"/>
          <w:lang w:eastAsia="en-AU"/>
        </w:rPr>
        <w:t>,</w:t>
      </w:r>
      <w:r w:rsidRPr="006D4988">
        <w:rPr>
          <w:rFonts w:cstheme="minorHAnsi"/>
          <w:lang w:eastAsia="en-AU"/>
        </w:rPr>
        <w:t xml:space="preserve"> with submissions accep</w:t>
      </w:r>
      <w:r w:rsidR="00B27EB0" w:rsidRPr="006D4988">
        <w:rPr>
          <w:rFonts w:cstheme="minorHAnsi"/>
          <w:lang w:eastAsia="en-AU"/>
        </w:rPr>
        <w:t xml:space="preserve">ted until the end of </w:t>
      </w:r>
      <w:r w:rsidR="007C301E" w:rsidRPr="006D4988">
        <w:rPr>
          <w:rFonts w:cstheme="minorHAnsi"/>
          <w:lang w:eastAsia="en-AU"/>
        </w:rPr>
        <w:t>September</w:t>
      </w:r>
      <w:r w:rsidR="00B27EB0" w:rsidRPr="006D4988">
        <w:rPr>
          <w:rFonts w:cstheme="minorHAnsi"/>
          <w:lang w:eastAsia="en-AU"/>
        </w:rPr>
        <w:t> 2014.</w:t>
      </w:r>
      <w:r w:rsidR="00E12B6B" w:rsidRPr="006D4988">
        <w:rPr>
          <w:rFonts w:cstheme="minorHAnsi"/>
          <w:lang w:eastAsia="en-AU"/>
        </w:rPr>
        <w:t xml:space="preserve"> The Department also accepted some late submissions</w:t>
      </w:r>
      <w:r w:rsidR="00270456">
        <w:rPr>
          <w:rFonts w:cstheme="minorHAnsi"/>
          <w:lang w:eastAsia="en-AU"/>
        </w:rPr>
        <w:t>.</w:t>
      </w:r>
    </w:p>
    <w:p w:rsidR="0053126C" w:rsidRPr="006D4988" w:rsidRDefault="0053126C" w:rsidP="0053126C">
      <w:pPr>
        <w:rPr>
          <w:rFonts w:cstheme="minorHAnsi"/>
        </w:rPr>
      </w:pPr>
      <w:r w:rsidRPr="006D4988">
        <w:rPr>
          <w:rFonts w:cstheme="minorHAnsi"/>
        </w:rPr>
        <w:t>Throughout the consultation process</w:t>
      </w:r>
      <w:r w:rsidR="00D92F1F">
        <w:rPr>
          <w:rFonts w:cstheme="minorHAnsi"/>
        </w:rPr>
        <w:t>,</w:t>
      </w:r>
      <w:r w:rsidRPr="006D4988">
        <w:rPr>
          <w:rFonts w:cstheme="minorHAnsi"/>
        </w:rPr>
        <w:t xml:space="preserve"> the Department liaised with the Agency to determine the feedback the Agency was receiving from employers about reporting, the integrity of the data received and the implications for implementation of the policy options being considered. In addition, the Department consulted research and data experts within government, including the Australian Bureau of Statistics and the Australian Tax Office</w:t>
      </w:r>
      <w:r w:rsidR="00D92F1F">
        <w:rPr>
          <w:rFonts w:cstheme="minorHAnsi"/>
        </w:rPr>
        <w:t>,</w:t>
      </w:r>
      <w:r w:rsidRPr="006D4988">
        <w:rPr>
          <w:rFonts w:cstheme="minorHAnsi"/>
        </w:rPr>
        <w:t xml:space="preserve"> to explore opportunities for utilising </w:t>
      </w:r>
      <w:r w:rsidRPr="006D4988">
        <w:rPr>
          <w:rFonts w:cstheme="minorHAnsi"/>
        </w:rPr>
        <w:lastRenderedPageBreak/>
        <w:t>gender</w:t>
      </w:r>
      <w:r w:rsidR="007B1463">
        <w:rPr>
          <w:rFonts w:cstheme="minorHAnsi"/>
        </w:rPr>
        <w:noBreakHyphen/>
      </w:r>
      <w:r w:rsidRPr="006D4988">
        <w:rPr>
          <w:rFonts w:cstheme="minorHAnsi"/>
        </w:rPr>
        <w:t>related data already collected by government agencies and possible options for streamlining the data collection.</w:t>
      </w:r>
    </w:p>
    <w:p w:rsidR="0053126C" w:rsidRPr="006D4988" w:rsidRDefault="0053126C" w:rsidP="0053126C">
      <w:pPr>
        <w:rPr>
          <w:rFonts w:cstheme="minorHAnsi"/>
        </w:rPr>
      </w:pPr>
      <w:r w:rsidRPr="006D4988">
        <w:rPr>
          <w:rFonts w:cstheme="minorHAnsi"/>
        </w:rPr>
        <w:t>From late September 2014</w:t>
      </w:r>
      <w:r w:rsidR="00D92F1F">
        <w:rPr>
          <w:rFonts w:cstheme="minorHAnsi"/>
        </w:rPr>
        <w:t>,</w:t>
      </w:r>
      <w:r w:rsidRPr="006D4988">
        <w:rPr>
          <w:rFonts w:cstheme="minorHAnsi"/>
        </w:rPr>
        <w:t xml:space="preserve"> the Department engaged with stakeholders on possible options for improving the reporting requirements as set out in the </w:t>
      </w:r>
      <w:r w:rsidR="00D92F1F">
        <w:rPr>
          <w:rFonts w:cstheme="minorHAnsi"/>
        </w:rPr>
        <w:t>I</w:t>
      </w:r>
      <w:r w:rsidR="00D92F1F" w:rsidRPr="006D4988">
        <w:rPr>
          <w:rFonts w:cstheme="minorHAnsi"/>
        </w:rPr>
        <w:t>nstrument</w:t>
      </w:r>
      <w:r w:rsidRPr="006D4988">
        <w:rPr>
          <w:rFonts w:cstheme="minorHAnsi"/>
        </w:rPr>
        <w:t xml:space="preserve">, and derived from analysis of the feedback received through the consultation process. </w:t>
      </w:r>
    </w:p>
    <w:p w:rsidR="001D4E5E" w:rsidRPr="002666A4" w:rsidRDefault="00E12B6B" w:rsidP="002666A4">
      <w:pPr>
        <w:pStyle w:val="Heading3"/>
        <w:rPr>
          <w:rFonts w:asciiTheme="minorHAnsi" w:hAnsiTheme="minorHAnsi" w:cstheme="minorHAnsi"/>
        </w:rPr>
      </w:pPr>
      <w:bookmarkStart w:id="44" w:name="_Toc404158267"/>
      <w:bookmarkStart w:id="45" w:name="_Toc405895169"/>
      <w:r w:rsidRPr="002666A4">
        <w:rPr>
          <w:rFonts w:asciiTheme="minorHAnsi" w:hAnsiTheme="minorHAnsi" w:cstheme="minorHAnsi"/>
        </w:rPr>
        <w:t xml:space="preserve">Employer </w:t>
      </w:r>
      <w:bookmarkEnd w:id="44"/>
      <w:r w:rsidR="00D92F1F">
        <w:rPr>
          <w:rFonts w:asciiTheme="minorHAnsi" w:hAnsiTheme="minorHAnsi" w:cstheme="minorHAnsi"/>
        </w:rPr>
        <w:t>s</w:t>
      </w:r>
      <w:r w:rsidR="00D92F1F" w:rsidRPr="002666A4">
        <w:rPr>
          <w:rFonts w:asciiTheme="minorHAnsi" w:hAnsiTheme="minorHAnsi" w:cstheme="minorHAnsi"/>
        </w:rPr>
        <w:t>urvey</w:t>
      </w:r>
      <w:bookmarkEnd w:id="45"/>
      <w:r w:rsidR="00D92F1F" w:rsidRPr="002666A4">
        <w:rPr>
          <w:rFonts w:asciiTheme="minorHAnsi" w:hAnsiTheme="minorHAnsi" w:cstheme="minorHAnsi"/>
        </w:rPr>
        <w:t xml:space="preserve"> </w:t>
      </w:r>
    </w:p>
    <w:p w:rsidR="00E12B6B" w:rsidRPr="006D4988" w:rsidRDefault="002501E1" w:rsidP="00180504">
      <w:pPr>
        <w:spacing w:after="0"/>
        <w:contextualSpacing/>
        <w:rPr>
          <w:rFonts w:cstheme="minorHAnsi"/>
          <w:lang w:eastAsia="en-AU"/>
        </w:rPr>
      </w:pPr>
      <w:r w:rsidRPr="006D4988">
        <w:rPr>
          <w:rFonts w:cstheme="minorHAnsi"/>
          <w:lang w:eastAsia="en-AU"/>
        </w:rPr>
        <w:t>As mentioned above</w:t>
      </w:r>
      <w:r w:rsidR="00030B7D">
        <w:rPr>
          <w:rFonts w:cstheme="minorHAnsi"/>
          <w:lang w:eastAsia="en-AU"/>
        </w:rPr>
        <w:t>,</w:t>
      </w:r>
      <w:r w:rsidR="00E12B6B" w:rsidRPr="006D4988">
        <w:rPr>
          <w:rFonts w:cstheme="minorHAnsi"/>
          <w:lang w:eastAsia="en-AU"/>
        </w:rPr>
        <w:t xml:space="preserve"> </w:t>
      </w:r>
      <w:r w:rsidR="00B6230A" w:rsidRPr="006D4988">
        <w:rPr>
          <w:rFonts w:cstheme="minorHAnsi"/>
          <w:lang w:eastAsia="en-AU"/>
        </w:rPr>
        <w:t xml:space="preserve">the </w:t>
      </w:r>
      <w:r w:rsidR="00E12B6B" w:rsidRPr="006D4988">
        <w:rPr>
          <w:rFonts w:cstheme="minorHAnsi"/>
          <w:lang w:eastAsia="en-AU"/>
        </w:rPr>
        <w:t xml:space="preserve">short survey was made available </w:t>
      </w:r>
      <w:r w:rsidRPr="006D4988">
        <w:rPr>
          <w:rFonts w:cstheme="minorHAnsi"/>
          <w:lang w:eastAsia="en-AU"/>
        </w:rPr>
        <w:t xml:space="preserve">for </w:t>
      </w:r>
      <w:r w:rsidRPr="006D4988">
        <w:rPr>
          <w:rFonts w:cstheme="minorHAnsi"/>
        </w:rPr>
        <w:t xml:space="preserve">organisations that did not have the capacity to make a full submission. The survey was open between 15 May and 31 July 2014. </w:t>
      </w:r>
      <w:r w:rsidRPr="006D4988">
        <w:rPr>
          <w:rFonts w:cstheme="minorHAnsi"/>
          <w:lang w:eastAsia="en-AU"/>
        </w:rPr>
        <w:t xml:space="preserve"> </w:t>
      </w:r>
    </w:p>
    <w:p w:rsidR="001D4E5E" w:rsidRPr="003E6551" w:rsidRDefault="001D4E5E" w:rsidP="003E6551">
      <w:pPr>
        <w:pStyle w:val="ListParagraph"/>
        <w:numPr>
          <w:ilvl w:val="0"/>
          <w:numId w:val="38"/>
        </w:numPr>
        <w:spacing w:before="120" w:after="120" w:line="276" w:lineRule="auto"/>
        <w:ind w:left="714" w:hanging="357"/>
        <w:contextualSpacing w:val="0"/>
        <w:rPr>
          <w:rFonts w:asciiTheme="minorHAnsi" w:hAnsiTheme="minorHAnsi"/>
          <w:sz w:val="22"/>
        </w:rPr>
      </w:pPr>
      <w:r w:rsidRPr="003E6551">
        <w:rPr>
          <w:rFonts w:asciiTheme="minorHAnsi" w:hAnsiTheme="minorHAnsi"/>
          <w:sz w:val="22"/>
        </w:rPr>
        <w:t>Five hundred and twenty</w:t>
      </w:r>
      <w:r w:rsidR="00AC2057">
        <w:rPr>
          <w:rFonts w:asciiTheme="minorHAnsi" w:hAnsiTheme="minorHAnsi"/>
          <w:sz w:val="22"/>
        </w:rPr>
        <w:t>-</w:t>
      </w:r>
      <w:r w:rsidRPr="003E6551">
        <w:rPr>
          <w:rFonts w:asciiTheme="minorHAnsi" w:hAnsiTheme="minorHAnsi"/>
          <w:sz w:val="22"/>
        </w:rPr>
        <w:t>three valid responses were received. Employers with 101</w:t>
      </w:r>
      <w:r w:rsidR="007B1463">
        <w:rPr>
          <w:rFonts w:asciiTheme="minorHAnsi" w:hAnsiTheme="minorHAnsi"/>
          <w:sz w:val="22"/>
        </w:rPr>
        <w:noBreakHyphen/>
      </w:r>
      <w:r w:rsidRPr="003E6551">
        <w:rPr>
          <w:rFonts w:asciiTheme="minorHAnsi" w:hAnsiTheme="minorHAnsi"/>
          <w:sz w:val="22"/>
        </w:rPr>
        <w:t>300 employees made up 38 per cent (the highest proportion) of survey respondents.</w:t>
      </w:r>
    </w:p>
    <w:p w:rsidR="001D4E5E" w:rsidRPr="003E6551" w:rsidRDefault="001D4E5E" w:rsidP="003E6551">
      <w:pPr>
        <w:pStyle w:val="ListParagraph"/>
        <w:numPr>
          <w:ilvl w:val="0"/>
          <w:numId w:val="38"/>
        </w:numPr>
        <w:spacing w:before="120" w:after="120" w:line="276" w:lineRule="auto"/>
        <w:ind w:left="714" w:hanging="357"/>
        <w:contextualSpacing w:val="0"/>
        <w:rPr>
          <w:rFonts w:asciiTheme="minorHAnsi" w:hAnsiTheme="minorHAnsi"/>
          <w:sz w:val="22"/>
        </w:rPr>
      </w:pPr>
      <w:r w:rsidRPr="003E6551">
        <w:rPr>
          <w:rFonts w:asciiTheme="minorHAnsi" w:hAnsiTheme="minorHAnsi"/>
          <w:sz w:val="22"/>
        </w:rPr>
        <w:t>Employers identified total remuneration, manager occupational categories and non-manager occupational categories as the hardest questions to answer</w:t>
      </w:r>
      <w:r w:rsidR="008A3048" w:rsidRPr="003E6551">
        <w:rPr>
          <w:rFonts w:asciiTheme="minorHAnsi" w:hAnsiTheme="minorHAnsi"/>
          <w:sz w:val="22"/>
        </w:rPr>
        <w:t>. This was</w:t>
      </w:r>
      <w:r w:rsidRPr="003E6551">
        <w:rPr>
          <w:rFonts w:asciiTheme="minorHAnsi" w:hAnsiTheme="minorHAnsi"/>
          <w:sz w:val="22"/>
        </w:rPr>
        <w:t xml:space="preserve"> due to the manual process of classifying the entire workforce into categories, definitions that were not clear or subjective, complex reporting lines, and that the report was not tailored to suit organisations with multiple business units.</w:t>
      </w:r>
      <w:r w:rsidR="008A3048" w:rsidRPr="003E6551">
        <w:rPr>
          <w:rFonts w:asciiTheme="minorHAnsi" w:hAnsiTheme="minorHAnsi"/>
          <w:sz w:val="22"/>
        </w:rPr>
        <w:t xml:space="preserve"> These issues are all related to the workplace profile.</w:t>
      </w:r>
    </w:p>
    <w:p w:rsidR="008A3048" w:rsidRPr="003E6551" w:rsidRDefault="008A3048" w:rsidP="003E6551">
      <w:pPr>
        <w:pStyle w:val="ListParagraph"/>
        <w:numPr>
          <w:ilvl w:val="0"/>
          <w:numId w:val="38"/>
        </w:numPr>
        <w:spacing w:before="120" w:after="120" w:line="276" w:lineRule="auto"/>
        <w:ind w:left="714" w:hanging="357"/>
        <w:contextualSpacing w:val="0"/>
        <w:rPr>
          <w:rFonts w:asciiTheme="minorHAnsi" w:hAnsiTheme="minorHAnsi"/>
          <w:sz w:val="22"/>
        </w:rPr>
      </w:pPr>
      <w:r w:rsidRPr="003E6551">
        <w:rPr>
          <w:rFonts w:asciiTheme="minorHAnsi" w:hAnsiTheme="minorHAnsi"/>
          <w:sz w:val="22"/>
        </w:rPr>
        <w:t xml:space="preserve">Employers found the </w:t>
      </w:r>
      <w:r w:rsidR="00A00A7B" w:rsidRPr="003E6551">
        <w:rPr>
          <w:rFonts w:asciiTheme="minorHAnsi" w:hAnsiTheme="minorHAnsi"/>
          <w:sz w:val="22"/>
        </w:rPr>
        <w:t>questionnaire</w:t>
      </w:r>
      <w:r w:rsidRPr="003E6551">
        <w:rPr>
          <w:rFonts w:asciiTheme="minorHAnsi" w:hAnsiTheme="minorHAnsi"/>
          <w:sz w:val="22"/>
        </w:rPr>
        <w:t xml:space="preserve"> easier to comple</w:t>
      </w:r>
      <w:r w:rsidR="008F5387" w:rsidRPr="003E6551">
        <w:rPr>
          <w:rFonts w:asciiTheme="minorHAnsi" w:hAnsiTheme="minorHAnsi"/>
          <w:sz w:val="22"/>
        </w:rPr>
        <w:t>te, including the questions on f</w:t>
      </w:r>
      <w:r w:rsidRPr="003E6551">
        <w:rPr>
          <w:rFonts w:asciiTheme="minorHAnsi" w:hAnsiTheme="minorHAnsi"/>
          <w:sz w:val="22"/>
        </w:rPr>
        <w:t>lexible working arrangements and the gender composition of the workforce (questions on policies that support gender equality) and paid parental leave. This is because the multi-choice format</w:t>
      </w:r>
      <w:r w:rsidR="00AC2057">
        <w:rPr>
          <w:rFonts w:asciiTheme="minorHAnsi" w:hAnsiTheme="minorHAnsi"/>
          <w:sz w:val="22"/>
        </w:rPr>
        <w:t xml:space="preserve"> was </w:t>
      </w:r>
      <w:proofErr w:type="spellStart"/>
      <w:r w:rsidR="00AC2057">
        <w:rPr>
          <w:rFonts w:asciiTheme="minorHAnsi" w:hAnsiTheme="minorHAnsi"/>
          <w:sz w:val="22"/>
        </w:rPr>
        <w:t>simplier</w:t>
      </w:r>
      <w:proofErr w:type="spellEnd"/>
      <w:r w:rsidRPr="003E6551">
        <w:rPr>
          <w:rFonts w:asciiTheme="minorHAnsi" w:hAnsiTheme="minorHAnsi"/>
          <w:sz w:val="22"/>
        </w:rPr>
        <w:t xml:space="preserve">, the data was easily accessible, </w:t>
      </w:r>
      <w:r w:rsidR="00AC2057">
        <w:rPr>
          <w:rFonts w:asciiTheme="minorHAnsi" w:hAnsiTheme="minorHAnsi"/>
          <w:sz w:val="22"/>
        </w:rPr>
        <w:t xml:space="preserve">and </w:t>
      </w:r>
      <w:r w:rsidRPr="003E6551">
        <w:rPr>
          <w:rFonts w:asciiTheme="minorHAnsi" w:hAnsiTheme="minorHAnsi"/>
          <w:sz w:val="22"/>
        </w:rPr>
        <w:t xml:space="preserve">the questions were straightforward and aligned with the National Employment Standards. </w:t>
      </w:r>
    </w:p>
    <w:p w:rsidR="00E859B4" w:rsidRPr="003E6551" w:rsidRDefault="00E859B4" w:rsidP="003E6551">
      <w:pPr>
        <w:pStyle w:val="ListParagraph"/>
        <w:numPr>
          <w:ilvl w:val="0"/>
          <w:numId w:val="38"/>
        </w:numPr>
        <w:spacing w:before="120" w:after="120" w:line="276" w:lineRule="auto"/>
        <w:ind w:left="714" w:hanging="357"/>
        <w:contextualSpacing w:val="0"/>
        <w:rPr>
          <w:rFonts w:asciiTheme="minorHAnsi" w:eastAsiaTheme="minorHAnsi" w:hAnsiTheme="minorHAnsi"/>
          <w:sz w:val="22"/>
        </w:rPr>
      </w:pPr>
      <w:r w:rsidRPr="003E6551">
        <w:rPr>
          <w:rFonts w:asciiTheme="minorHAnsi" w:eastAsiaTheme="minorHAnsi" w:hAnsiTheme="minorHAnsi"/>
          <w:sz w:val="22"/>
        </w:rPr>
        <w:t xml:space="preserve">Employers were asked about the cost of reporting and responses </w:t>
      </w:r>
      <w:r w:rsidR="00B6230A" w:rsidRPr="003E6551">
        <w:rPr>
          <w:rFonts w:asciiTheme="minorHAnsi" w:eastAsiaTheme="minorHAnsi" w:hAnsiTheme="minorHAnsi"/>
          <w:sz w:val="22"/>
        </w:rPr>
        <w:t>ranged</w:t>
      </w:r>
      <w:r w:rsidRPr="003E6551">
        <w:rPr>
          <w:rFonts w:asciiTheme="minorHAnsi" w:eastAsiaTheme="minorHAnsi" w:hAnsiTheme="minorHAnsi"/>
          <w:sz w:val="22"/>
        </w:rPr>
        <w:t xml:space="preserve"> from less than $</w:t>
      </w:r>
      <w:r w:rsidR="00C576B9">
        <w:rPr>
          <w:rFonts w:asciiTheme="minorHAnsi" w:eastAsiaTheme="minorHAnsi" w:hAnsiTheme="minorHAnsi"/>
          <w:sz w:val="22"/>
        </w:rPr>
        <w:t>1</w:t>
      </w:r>
      <w:r w:rsidRPr="003E6551">
        <w:rPr>
          <w:rFonts w:asciiTheme="minorHAnsi" w:eastAsiaTheme="minorHAnsi" w:hAnsiTheme="minorHAnsi"/>
          <w:sz w:val="22"/>
        </w:rPr>
        <w:t>00 to $</w:t>
      </w:r>
      <w:r w:rsidR="00C576B9">
        <w:rPr>
          <w:rFonts w:asciiTheme="minorHAnsi" w:eastAsiaTheme="minorHAnsi" w:hAnsiTheme="minorHAnsi"/>
          <w:sz w:val="22"/>
        </w:rPr>
        <w:t>14</w:t>
      </w:r>
      <w:r w:rsidRPr="003E6551">
        <w:rPr>
          <w:rFonts w:asciiTheme="minorHAnsi" w:eastAsiaTheme="minorHAnsi" w:hAnsiTheme="minorHAnsi"/>
          <w:sz w:val="22"/>
        </w:rPr>
        <w:t>0</w:t>
      </w:r>
      <w:r w:rsidR="00BD7A2A">
        <w:rPr>
          <w:rFonts w:asciiTheme="minorHAnsi" w:eastAsiaTheme="minorHAnsi" w:hAnsiTheme="minorHAnsi"/>
          <w:sz w:val="22"/>
        </w:rPr>
        <w:t xml:space="preserve"> </w:t>
      </w:r>
      <w:r w:rsidRPr="003E6551">
        <w:rPr>
          <w:rFonts w:asciiTheme="minorHAnsi" w:eastAsiaTheme="minorHAnsi" w:hAnsiTheme="minorHAnsi"/>
          <w:sz w:val="22"/>
        </w:rPr>
        <w:t xml:space="preserve">000. </w:t>
      </w:r>
      <w:r w:rsidR="003E6D8B">
        <w:rPr>
          <w:rFonts w:asciiTheme="minorHAnsi" w:eastAsiaTheme="minorHAnsi" w:hAnsiTheme="minorHAnsi"/>
          <w:sz w:val="22"/>
        </w:rPr>
        <w:t>The median cost of reporting of the current requirements is estimated by the Department to be $</w:t>
      </w:r>
      <w:r w:rsidRPr="003E6551">
        <w:rPr>
          <w:rFonts w:asciiTheme="minorHAnsi" w:eastAsiaTheme="minorHAnsi" w:hAnsiTheme="minorHAnsi"/>
          <w:sz w:val="22"/>
        </w:rPr>
        <w:t>1500.</w:t>
      </w:r>
    </w:p>
    <w:p w:rsidR="00840A73" w:rsidRPr="003E6551" w:rsidRDefault="001D4E5E" w:rsidP="003E6551">
      <w:pPr>
        <w:pStyle w:val="ListParagraph"/>
        <w:numPr>
          <w:ilvl w:val="0"/>
          <w:numId w:val="38"/>
        </w:numPr>
        <w:spacing w:before="120" w:after="120" w:line="276" w:lineRule="auto"/>
        <w:ind w:left="714" w:hanging="357"/>
        <w:contextualSpacing w:val="0"/>
        <w:rPr>
          <w:rFonts w:asciiTheme="minorHAnsi" w:hAnsiTheme="minorHAnsi"/>
          <w:sz w:val="22"/>
        </w:rPr>
      </w:pPr>
      <w:r w:rsidRPr="003E6551">
        <w:rPr>
          <w:rFonts w:asciiTheme="minorHAnsi" w:hAnsiTheme="minorHAnsi"/>
          <w:sz w:val="22"/>
        </w:rPr>
        <w:t xml:space="preserve">Many employers (78 per cent of employers that answered the question) reported that they were unhappy with some part of the additional </w:t>
      </w:r>
      <w:r w:rsidR="003E6D8B">
        <w:rPr>
          <w:rFonts w:asciiTheme="minorHAnsi" w:hAnsiTheme="minorHAnsi"/>
          <w:sz w:val="22"/>
        </w:rPr>
        <w:t>S</w:t>
      </w:r>
      <w:r w:rsidR="00E859B4" w:rsidRPr="003E6551">
        <w:rPr>
          <w:rFonts w:asciiTheme="minorHAnsi" w:hAnsiTheme="minorHAnsi"/>
          <w:sz w:val="22"/>
        </w:rPr>
        <w:t xml:space="preserve">chedule 2 </w:t>
      </w:r>
      <w:r w:rsidRPr="003E6551">
        <w:rPr>
          <w:rFonts w:asciiTheme="minorHAnsi" w:hAnsiTheme="minorHAnsi"/>
          <w:sz w:val="22"/>
        </w:rPr>
        <w:t xml:space="preserve">reporting requirements, and </w:t>
      </w:r>
      <w:r w:rsidR="00AC2057">
        <w:rPr>
          <w:rFonts w:asciiTheme="minorHAnsi" w:hAnsiTheme="minorHAnsi"/>
          <w:sz w:val="22"/>
        </w:rPr>
        <w:t>more than</w:t>
      </w:r>
      <w:r w:rsidR="00AC2057" w:rsidRPr="003E6551">
        <w:rPr>
          <w:rFonts w:asciiTheme="minorHAnsi" w:hAnsiTheme="minorHAnsi"/>
          <w:sz w:val="22"/>
        </w:rPr>
        <w:t xml:space="preserve"> </w:t>
      </w:r>
      <w:r w:rsidRPr="003E6551">
        <w:rPr>
          <w:rFonts w:asciiTheme="minorHAnsi" w:hAnsiTheme="minorHAnsi"/>
          <w:sz w:val="22"/>
        </w:rPr>
        <w:t>half (54 per cent) indicated it would be difficult or very difficult to report on the additional Schedule 2 reporting requirements. Only a few employers (9 per cent) advised that it would be relatively easy to provide the additional information.</w:t>
      </w:r>
    </w:p>
    <w:p w:rsidR="0070732E" w:rsidRPr="002666A4" w:rsidRDefault="0070732E" w:rsidP="002666A4">
      <w:pPr>
        <w:pStyle w:val="Heading3"/>
        <w:rPr>
          <w:rFonts w:asciiTheme="minorHAnsi" w:hAnsiTheme="minorHAnsi" w:cstheme="minorHAnsi"/>
        </w:rPr>
      </w:pPr>
      <w:bookmarkStart w:id="46" w:name="_Toc404158268"/>
      <w:bookmarkStart w:id="47" w:name="_Toc405895170"/>
      <w:r w:rsidRPr="002666A4">
        <w:rPr>
          <w:rFonts w:asciiTheme="minorHAnsi" w:hAnsiTheme="minorHAnsi" w:cstheme="minorHAnsi"/>
        </w:rPr>
        <w:t>Submissions</w:t>
      </w:r>
      <w:bookmarkEnd w:id="46"/>
      <w:bookmarkEnd w:id="47"/>
    </w:p>
    <w:p w:rsidR="00B8385F" w:rsidRPr="006D4988" w:rsidRDefault="00B8385F" w:rsidP="008A3048">
      <w:pPr>
        <w:rPr>
          <w:rFonts w:cstheme="minorHAnsi"/>
        </w:rPr>
      </w:pPr>
      <w:r w:rsidRPr="006D4988">
        <w:rPr>
          <w:rFonts w:cstheme="minorHAnsi"/>
        </w:rPr>
        <w:t>Submissions close</w:t>
      </w:r>
      <w:r w:rsidR="003765DD" w:rsidRPr="006D4988">
        <w:rPr>
          <w:rFonts w:cstheme="minorHAnsi"/>
        </w:rPr>
        <w:t>d</w:t>
      </w:r>
      <w:r w:rsidRPr="006D4988">
        <w:rPr>
          <w:rFonts w:cstheme="minorHAnsi"/>
        </w:rPr>
        <w:t xml:space="preserve"> on 30 September 2014, </w:t>
      </w:r>
      <w:r w:rsidR="006416C1">
        <w:rPr>
          <w:rFonts w:cstheme="minorHAnsi"/>
        </w:rPr>
        <w:t xml:space="preserve">and </w:t>
      </w:r>
      <w:r w:rsidR="000736E7" w:rsidRPr="006D4988">
        <w:rPr>
          <w:rFonts w:cstheme="minorHAnsi"/>
        </w:rPr>
        <w:t>42</w:t>
      </w:r>
      <w:r w:rsidR="003765DD" w:rsidRPr="006D4988">
        <w:rPr>
          <w:rFonts w:cstheme="minorHAnsi"/>
        </w:rPr>
        <w:t xml:space="preserve"> </w:t>
      </w:r>
      <w:r w:rsidR="000736E7" w:rsidRPr="006D4988">
        <w:rPr>
          <w:rFonts w:cstheme="minorHAnsi"/>
        </w:rPr>
        <w:t>s</w:t>
      </w:r>
      <w:r w:rsidR="00B82A45" w:rsidRPr="006D4988">
        <w:rPr>
          <w:rFonts w:cstheme="minorHAnsi"/>
        </w:rPr>
        <w:t xml:space="preserve">ubmissions </w:t>
      </w:r>
      <w:r w:rsidR="008A3048" w:rsidRPr="006D4988">
        <w:rPr>
          <w:rFonts w:cstheme="minorHAnsi"/>
        </w:rPr>
        <w:t>were</w:t>
      </w:r>
      <w:r w:rsidR="00B82A45" w:rsidRPr="006D4988">
        <w:rPr>
          <w:rFonts w:cstheme="minorHAnsi"/>
        </w:rPr>
        <w:t xml:space="preserve"> received</w:t>
      </w:r>
      <w:r w:rsidR="001D70E8" w:rsidRPr="006D4988">
        <w:rPr>
          <w:rFonts w:cstheme="minorHAnsi"/>
        </w:rPr>
        <w:t>, of these 2</w:t>
      </w:r>
      <w:r w:rsidR="003E6D8B">
        <w:rPr>
          <w:rFonts w:cstheme="minorHAnsi"/>
        </w:rPr>
        <w:t>8</w:t>
      </w:r>
      <w:r w:rsidR="001D70E8" w:rsidRPr="006D4988">
        <w:rPr>
          <w:rFonts w:cstheme="minorHAnsi"/>
        </w:rPr>
        <w:t xml:space="preserve"> organisations agreed to their submission being published on the Department’s website</w:t>
      </w:r>
      <w:r w:rsidR="003A053F" w:rsidRPr="006D4988">
        <w:rPr>
          <w:rFonts w:cstheme="minorHAnsi"/>
        </w:rPr>
        <w:t xml:space="preserve"> (2</w:t>
      </w:r>
      <w:r w:rsidR="003E6D8B">
        <w:rPr>
          <w:rFonts w:cstheme="minorHAnsi"/>
        </w:rPr>
        <w:t>5</w:t>
      </w:r>
      <w:r w:rsidR="003A053F" w:rsidRPr="006D4988">
        <w:rPr>
          <w:rFonts w:cstheme="minorHAnsi"/>
        </w:rPr>
        <w:t xml:space="preserve"> public and </w:t>
      </w:r>
      <w:r w:rsidR="006416C1">
        <w:rPr>
          <w:rFonts w:cstheme="minorHAnsi"/>
        </w:rPr>
        <w:t>three</w:t>
      </w:r>
      <w:r w:rsidR="006416C1" w:rsidRPr="006D4988">
        <w:rPr>
          <w:rFonts w:cstheme="minorHAnsi"/>
        </w:rPr>
        <w:t xml:space="preserve"> </w:t>
      </w:r>
      <w:r w:rsidR="003A053F" w:rsidRPr="006D4988">
        <w:rPr>
          <w:rFonts w:cstheme="minorHAnsi"/>
        </w:rPr>
        <w:t>anonymous)</w:t>
      </w:r>
      <w:r w:rsidR="001D70E8" w:rsidRPr="006D4988">
        <w:rPr>
          <w:rFonts w:cstheme="minorHAnsi"/>
        </w:rPr>
        <w:t xml:space="preserve">. These public submissions have been lodged </w:t>
      </w:r>
      <w:r w:rsidR="006416C1">
        <w:rPr>
          <w:rFonts w:cstheme="minorHAnsi"/>
        </w:rPr>
        <w:t>by</w:t>
      </w:r>
      <w:r w:rsidR="006416C1" w:rsidRPr="006D4988">
        <w:rPr>
          <w:rFonts w:cstheme="minorHAnsi"/>
        </w:rPr>
        <w:t xml:space="preserve"> </w:t>
      </w:r>
      <w:r w:rsidR="000736E7" w:rsidRPr="006D4988">
        <w:rPr>
          <w:rFonts w:cstheme="minorHAnsi"/>
        </w:rPr>
        <w:t xml:space="preserve">a range of stakeholders including </w:t>
      </w:r>
      <w:r w:rsidR="001D70E8" w:rsidRPr="006D4988">
        <w:rPr>
          <w:rFonts w:cstheme="minorHAnsi"/>
        </w:rPr>
        <w:t xml:space="preserve">reporting employers, industry groups, </w:t>
      </w:r>
      <w:r w:rsidR="00B82A45" w:rsidRPr="006D4988">
        <w:rPr>
          <w:rFonts w:cstheme="minorHAnsi"/>
        </w:rPr>
        <w:t xml:space="preserve">women’s </w:t>
      </w:r>
      <w:r w:rsidR="001D70E8" w:rsidRPr="006D4988">
        <w:rPr>
          <w:rFonts w:cstheme="minorHAnsi"/>
        </w:rPr>
        <w:t>organisations and gender equality advocates, unions and academics.</w:t>
      </w:r>
      <w:r w:rsidR="00B82A45" w:rsidRPr="006D4988">
        <w:rPr>
          <w:rFonts w:cstheme="minorHAnsi"/>
        </w:rPr>
        <w:t xml:space="preserve"> An</w:t>
      </w:r>
      <w:r w:rsidR="00C2014C" w:rsidRPr="006D4988">
        <w:rPr>
          <w:rFonts w:cstheme="minorHAnsi"/>
        </w:rPr>
        <w:t xml:space="preserve"> </w:t>
      </w:r>
      <w:r w:rsidRPr="006D4988">
        <w:rPr>
          <w:rFonts w:cstheme="minorHAnsi"/>
        </w:rPr>
        <w:t xml:space="preserve">overview of the issues raised </w:t>
      </w:r>
      <w:r w:rsidR="000736E7" w:rsidRPr="006D4988">
        <w:rPr>
          <w:rFonts w:cstheme="minorHAnsi"/>
        </w:rPr>
        <w:t>is below:</w:t>
      </w:r>
    </w:p>
    <w:p w:rsidR="003D2531" w:rsidRPr="003E6551" w:rsidRDefault="00347EC3" w:rsidP="003E6551">
      <w:pPr>
        <w:pStyle w:val="ListParagraph"/>
        <w:numPr>
          <w:ilvl w:val="0"/>
          <w:numId w:val="38"/>
        </w:numPr>
        <w:spacing w:before="120" w:after="120" w:line="276" w:lineRule="auto"/>
        <w:ind w:left="714" w:hanging="357"/>
        <w:contextualSpacing w:val="0"/>
        <w:rPr>
          <w:rFonts w:asciiTheme="minorHAnsi" w:hAnsiTheme="minorHAnsi"/>
          <w:sz w:val="22"/>
        </w:rPr>
      </w:pPr>
      <w:r w:rsidRPr="003E6551">
        <w:rPr>
          <w:rFonts w:asciiTheme="minorHAnsi" w:hAnsiTheme="minorHAnsi"/>
          <w:sz w:val="22"/>
        </w:rPr>
        <w:t xml:space="preserve">The majority </w:t>
      </w:r>
      <w:r w:rsidR="003D2531" w:rsidRPr="003E6551">
        <w:rPr>
          <w:rFonts w:asciiTheme="minorHAnsi" w:hAnsiTheme="minorHAnsi"/>
          <w:sz w:val="22"/>
        </w:rPr>
        <w:t>of the submissions indicated that</w:t>
      </w:r>
      <w:r w:rsidR="006416C1">
        <w:rPr>
          <w:rFonts w:asciiTheme="minorHAnsi" w:hAnsiTheme="minorHAnsi"/>
          <w:sz w:val="22"/>
        </w:rPr>
        <w:t>,</w:t>
      </w:r>
      <w:r w:rsidR="003D2531" w:rsidRPr="003E6551">
        <w:rPr>
          <w:rFonts w:asciiTheme="minorHAnsi" w:hAnsiTheme="minorHAnsi"/>
          <w:sz w:val="22"/>
        </w:rPr>
        <w:t xml:space="preserve"> while they were generally supportive of gender equality initiatives, the current reporting requirements require revision.</w:t>
      </w:r>
    </w:p>
    <w:p w:rsidR="003D2531" w:rsidRPr="003E6551" w:rsidRDefault="003D2531" w:rsidP="003E6551">
      <w:pPr>
        <w:pStyle w:val="ListParagraph"/>
        <w:numPr>
          <w:ilvl w:val="0"/>
          <w:numId w:val="38"/>
        </w:numPr>
        <w:spacing w:before="120" w:after="120" w:line="276" w:lineRule="auto"/>
        <w:ind w:left="714" w:hanging="357"/>
        <w:contextualSpacing w:val="0"/>
        <w:rPr>
          <w:rFonts w:asciiTheme="minorHAnsi" w:hAnsiTheme="minorHAnsi"/>
          <w:sz w:val="22"/>
        </w:rPr>
      </w:pPr>
      <w:r w:rsidRPr="003E6551">
        <w:rPr>
          <w:rFonts w:asciiTheme="minorHAnsi" w:hAnsiTheme="minorHAnsi"/>
          <w:sz w:val="22"/>
        </w:rPr>
        <w:t>A small number of submissions contend that</w:t>
      </w:r>
      <w:r w:rsidR="006416C1">
        <w:rPr>
          <w:rFonts w:asciiTheme="minorHAnsi" w:hAnsiTheme="minorHAnsi"/>
          <w:sz w:val="22"/>
        </w:rPr>
        <w:t>,</w:t>
      </w:r>
      <w:r w:rsidRPr="003E6551">
        <w:rPr>
          <w:rFonts w:asciiTheme="minorHAnsi" w:hAnsiTheme="minorHAnsi"/>
          <w:sz w:val="22"/>
        </w:rPr>
        <w:t xml:space="preserve"> in its current form, gender reporting is not onerous for business.</w:t>
      </w:r>
    </w:p>
    <w:p w:rsidR="008A3048" w:rsidRPr="003E6551" w:rsidRDefault="003D2531" w:rsidP="003E6551">
      <w:pPr>
        <w:pStyle w:val="ListParagraph"/>
        <w:numPr>
          <w:ilvl w:val="0"/>
          <w:numId w:val="38"/>
        </w:numPr>
        <w:spacing w:before="120" w:after="120" w:line="276" w:lineRule="auto"/>
        <w:ind w:left="714" w:hanging="357"/>
        <w:contextualSpacing w:val="0"/>
        <w:rPr>
          <w:rFonts w:asciiTheme="minorHAnsi" w:hAnsiTheme="minorHAnsi"/>
          <w:sz w:val="22"/>
        </w:rPr>
      </w:pPr>
      <w:r w:rsidRPr="003E6551">
        <w:rPr>
          <w:rFonts w:asciiTheme="minorHAnsi" w:hAnsiTheme="minorHAnsi"/>
          <w:sz w:val="22"/>
        </w:rPr>
        <w:lastRenderedPageBreak/>
        <w:t xml:space="preserve">The most frequently reported concerns raised by reporting organisations and employer representatives relate to difficulties in extracting annualised, </w:t>
      </w:r>
      <w:r w:rsidR="007B1463">
        <w:rPr>
          <w:rFonts w:asciiTheme="minorHAnsi" w:hAnsiTheme="minorHAnsi"/>
          <w:sz w:val="22"/>
        </w:rPr>
        <w:t>f</w:t>
      </w:r>
      <w:r w:rsidR="006416C1" w:rsidRPr="003E6551">
        <w:rPr>
          <w:rFonts w:asciiTheme="minorHAnsi" w:hAnsiTheme="minorHAnsi"/>
          <w:sz w:val="22"/>
        </w:rPr>
        <w:t>ull</w:t>
      </w:r>
      <w:r w:rsidR="006416C1">
        <w:rPr>
          <w:rFonts w:asciiTheme="minorHAnsi" w:hAnsiTheme="minorHAnsi"/>
          <w:sz w:val="22"/>
        </w:rPr>
        <w:t>-</w:t>
      </w:r>
      <w:r w:rsidR="007B1463">
        <w:rPr>
          <w:rFonts w:asciiTheme="minorHAnsi" w:hAnsiTheme="minorHAnsi"/>
          <w:sz w:val="22"/>
        </w:rPr>
        <w:t>t</w:t>
      </w:r>
      <w:r w:rsidR="007B1463" w:rsidRPr="003E6551">
        <w:rPr>
          <w:rFonts w:asciiTheme="minorHAnsi" w:hAnsiTheme="minorHAnsi"/>
          <w:sz w:val="22"/>
        </w:rPr>
        <w:t xml:space="preserve">ime </w:t>
      </w:r>
      <w:r w:rsidR="007B1463">
        <w:rPr>
          <w:rFonts w:asciiTheme="minorHAnsi" w:hAnsiTheme="minorHAnsi"/>
          <w:sz w:val="22"/>
        </w:rPr>
        <w:t>e</w:t>
      </w:r>
      <w:r w:rsidR="007B1463" w:rsidRPr="003E6551">
        <w:rPr>
          <w:rFonts w:asciiTheme="minorHAnsi" w:hAnsiTheme="minorHAnsi"/>
          <w:sz w:val="22"/>
        </w:rPr>
        <w:t xml:space="preserve">quivalent </w:t>
      </w:r>
      <w:r w:rsidRPr="003E6551">
        <w:rPr>
          <w:rFonts w:asciiTheme="minorHAnsi" w:hAnsiTheme="minorHAnsi"/>
          <w:sz w:val="22"/>
        </w:rPr>
        <w:t>remuneration data, reporting against the manager and non</w:t>
      </w:r>
      <w:r w:rsidRPr="003E6551">
        <w:rPr>
          <w:rFonts w:asciiTheme="minorHAnsi" w:hAnsiTheme="minorHAnsi"/>
          <w:sz w:val="22"/>
        </w:rPr>
        <w:noBreakHyphen/>
        <w:t xml:space="preserve">manager categories, technical problems relating to the </w:t>
      </w:r>
      <w:proofErr w:type="spellStart"/>
      <w:r w:rsidRPr="003E6551">
        <w:rPr>
          <w:rFonts w:asciiTheme="minorHAnsi" w:hAnsiTheme="minorHAnsi"/>
          <w:sz w:val="22"/>
        </w:rPr>
        <w:t>AUSKey</w:t>
      </w:r>
      <w:proofErr w:type="spellEnd"/>
      <w:r w:rsidRPr="003E6551">
        <w:rPr>
          <w:rFonts w:asciiTheme="minorHAnsi" w:hAnsiTheme="minorHAnsi"/>
          <w:sz w:val="22"/>
        </w:rPr>
        <w:t xml:space="preserve"> or online reporting, and the additional impost of Schedule 2 requirements </w:t>
      </w:r>
      <w:r w:rsidR="006416C1">
        <w:rPr>
          <w:rFonts w:asciiTheme="minorHAnsi" w:hAnsiTheme="minorHAnsi"/>
          <w:sz w:val="22"/>
        </w:rPr>
        <w:t>that</w:t>
      </w:r>
      <w:r w:rsidR="006416C1" w:rsidRPr="003E6551">
        <w:rPr>
          <w:rFonts w:asciiTheme="minorHAnsi" w:hAnsiTheme="minorHAnsi"/>
          <w:sz w:val="22"/>
        </w:rPr>
        <w:t xml:space="preserve"> </w:t>
      </w:r>
      <w:r w:rsidRPr="003E6551">
        <w:rPr>
          <w:rFonts w:asciiTheme="minorHAnsi" w:hAnsiTheme="minorHAnsi"/>
          <w:sz w:val="22"/>
        </w:rPr>
        <w:t xml:space="preserve">are currently due to commence in </w:t>
      </w:r>
      <w:r w:rsidR="0053126C" w:rsidRPr="003E6551">
        <w:rPr>
          <w:rFonts w:asciiTheme="minorHAnsi" w:hAnsiTheme="minorHAnsi"/>
          <w:sz w:val="22"/>
        </w:rPr>
        <w:t xml:space="preserve">the </w:t>
      </w:r>
      <w:r w:rsidRPr="003E6551">
        <w:rPr>
          <w:rFonts w:asciiTheme="minorHAnsi" w:hAnsiTheme="minorHAnsi"/>
          <w:sz w:val="22"/>
        </w:rPr>
        <w:t>2015</w:t>
      </w:r>
      <w:r w:rsidR="006416C1">
        <w:rPr>
          <w:rFonts w:cstheme="minorHAnsi"/>
        </w:rPr>
        <w:t>–</w:t>
      </w:r>
      <w:r w:rsidR="0053126C" w:rsidRPr="003E6551">
        <w:rPr>
          <w:rFonts w:asciiTheme="minorHAnsi" w:hAnsiTheme="minorHAnsi"/>
          <w:sz w:val="22"/>
        </w:rPr>
        <w:t>16 reporting period (commencing 1 April 2015)</w:t>
      </w:r>
      <w:r w:rsidRPr="003E6551">
        <w:rPr>
          <w:rFonts w:asciiTheme="minorHAnsi" w:hAnsiTheme="minorHAnsi"/>
          <w:sz w:val="22"/>
        </w:rPr>
        <w:t>.</w:t>
      </w:r>
    </w:p>
    <w:p w:rsidR="009B69BB" w:rsidRDefault="009B69BB" w:rsidP="00E13CF1">
      <w:pPr>
        <w:keepLines/>
        <w:spacing w:after="120"/>
        <w:contextualSpacing/>
        <w:rPr>
          <w:b/>
          <w:u w:val="single"/>
          <w:lang w:eastAsia="en-AU"/>
        </w:rPr>
      </w:pPr>
      <w:r w:rsidRPr="006D4988">
        <w:rPr>
          <w:rFonts w:cstheme="minorHAnsi"/>
          <w:lang w:eastAsia="en-AU"/>
        </w:rPr>
        <w:t>A full summary of the 2</w:t>
      </w:r>
      <w:r w:rsidR="003E6D8B">
        <w:rPr>
          <w:rFonts w:cstheme="minorHAnsi"/>
          <w:lang w:eastAsia="en-AU"/>
        </w:rPr>
        <w:t>8</w:t>
      </w:r>
      <w:r w:rsidRPr="006D4988">
        <w:rPr>
          <w:rFonts w:cstheme="minorHAnsi"/>
          <w:lang w:eastAsia="en-AU"/>
        </w:rPr>
        <w:t xml:space="preserve"> public submissions </w:t>
      </w:r>
      <w:r w:rsidR="00E91C0D">
        <w:rPr>
          <w:rFonts w:cstheme="minorHAnsi"/>
          <w:lang w:eastAsia="en-AU"/>
        </w:rPr>
        <w:t xml:space="preserve">and an overview of additional issues raised in private submissions </w:t>
      </w:r>
      <w:proofErr w:type="gramStart"/>
      <w:r w:rsidRPr="006D4988">
        <w:rPr>
          <w:rFonts w:cstheme="minorHAnsi"/>
          <w:lang w:eastAsia="en-AU"/>
        </w:rPr>
        <w:t>is</w:t>
      </w:r>
      <w:proofErr w:type="gramEnd"/>
      <w:r w:rsidRPr="006D4988">
        <w:rPr>
          <w:rFonts w:cstheme="minorHAnsi"/>
          <w:lang w:eastAsia="en-AU"/>
        </w:rPr>
        <w:t xml:space="preserve"> at </w:t>
      </w:r>
      <w:r w:rsidRPr="006416C1">
        <w:rPr>
          <w:rFonts w:cstheme="minorHAnsi"/>
          <w:b/>
          <w:lang w:eastAsia="en-AU"/>
        </w:rPr>
        <w:t xml:space="preserve">APPENDIX </w:t>
      </w:r>
      <w:r w:rsidR="00712180" w:rsidRPr="006416C1">
        <w:rPr>
          <w:rFonts w:cstheme="minorHAnsi"/>
          <w:b/>
          <w:lang w:eastAsia="en-AU"/>
        </w:rPr>
        <w:t>D</w:t>
      </w:r>
      <w:r w:rsidR="00BF6614" w:rsidRPr="006416C1">
        <w:rPr>
          <w:rFonts w:cstheme="minorHAnsi"/>
          <w:lang w:eastAsia="en-AU"/>
        </w:rPr>
        <w:t>.</w:t>
      </w:r>
    </w:p>
    <w:p w:rsidR="008A3048" w:rsidRPr="002666A4" w:rsidRDefault="008A3048" w:rsidP="002666A4">
      <w:pPr>
        <w:pStyle w:val="Heading3"/>
        <w:rPr>
          <w:rFonts w:asciiTheme="minorHAnsi" w:hAnsiTheme="minorHAnsi" w:cstheme="minorHAnsi"/>
        </w:rPr>
      </w:pPr>
      <w:bookmarkStart w:id="48" w:name="_Toc404158269"/>
      <w:bookmarkStart w:id="49" w:name="_Toc405895171"/>
      <w:r w:rsidRPr="002666A4">
        <w:rPr>
          <w:rFonts w:asciiTheme="minorHAnsi" w:hAnsiTheme="minorHAnsi" w:cstheme="minorHAnsi"/>
        </w:rPr>
        <w:t xml:space="preserve">Email </w:t>
      </w:r>
      <w:bookmarkEnd w:id="48"/>
      <w:r w:rsidR="006416C1">
        <w:rPr>
          <w:rFonts w:asciiTheme="minorHAnsi" w:hAnsiTheme="minorHAnsi" w:cstheme="minorHAnsi"/>
        </w:rPr>
        <w:t>f</w:t>
      </w:r>
      <w:r w:rsidR="006416C1" w:rsidRPr="002666A4">
        <w:rPr>
          <w:rFonts w:asciiTheme="minorHAnsi" w:hAnsiTheme="minorHAnsi" w:cstheme="minorHAnsi"/>
        </w:rPr>
        <w:t>eedback</w:t>
      </w:r>
      <w:bookmarkEnd w:id="49"/>
      <w:r w:rsidR="006416C1" w:rsidRPr="002666A4">
        <w:rPr>
          <w:rFonts w:asciiTheme="minorHAnsi" w:hAnsiTheme="minorHAnsi" w:cstheme="minorHAnsi"/>
        </w:rPr>
        <w:t xml:space="preserve"> </w:t>
      </w:r>
    </w:p>
    <w:p w:rsidR="00BC700E" w:rsidRDefault="00BC700E" w:rsidP="00BC700E">
      <w:r>
        <w:t>Eleven emails were received by the gender reporting consultation team providing feedback on issues consistent with those raised in both the survey and the submissions.</w:t>
      </w:r>
    </w:p>
    <w:p w:rsidR="006D6747" w:rsidRPr="002666A4" w:rsidRDefault="00691C53" w:rsidP="002666A4">
      <w:pPr>
        <w:pStyle w:val="Heading3"/>
        <w:rPr>
          <w:rFonts w:asciiTheme="minorHAnsi" w:hAnsiTheme="minorHAnsi" w:cstheme="minorHAnsi"/>
        </w:rPr>
      </w:pPr>
      <w:bookmarkStart w:id="50" w:name="_Toc404158270"/>
      <w:bookmarkStart w:id="51" w:name="_Toc405895172"/>
      <w:r>
        <w:rPr>
          <w:rFonts w:asciiTheme="minorHAnsi" w:hAnsiTheme="minorHAnsi" w:cstheme="minorHAnsi"/>
        </w:rPr>
        <w:t xml:space="preserve">Employer conversations </w:t>
      </w:r>
      <w:r w:rsidR="006D6747" w:rsidRPr="002666A4">
        <w:rPr>
          <w:rFonts w:asciiTheme="minorHAnsi" w:hAnsiTheme="minorHAnsi" w:cstheme="minorHAnsi"/>
        </w:rPr>
        <w:t>conducted by the Department</w:t>
      </w:r>
      <w:bookmarkEnd w:id="50"/>
      <w:bookmarkEnd w:id="51"/>
    </w:p>
    <w:p w:rsidR="003D2531" w:rsidRPr="006D4988" w:rsidRDefault="006D6747" w:rsidP="00891CCB">
      <w:pPr>
        <w:keepLines/>
        <w:rPr>
          <w:rFonts w:cstheme="minorHAnsi"/>
        </w:rPr>
      </w:pPr>
      <w:r w:rsidRPr="006D4988">
        <w:rPr>
          <w:rFonts w:cstheme="minorHAnsi"/>
          <w:lang w:eastAsia="en-AU"/>
        </w:rPr>
        <w:t xml:space="preserve">The </w:t>
      </w:r>
      <w:r w:rsidR="004E422A" w:rsidRPr="006D4988">
        <w:rPr>
          <w:rFonts w:cstheme="minorHAnsi"/>
          <w:lang w:eastAsia="en-AU"/>
        </w:rPr>
        <w:t xml:space="preserve">Department </w:t>
      </w:r>
      <w:r w:rsidR="000E5ABC" w:rsidRPr="006D4988">
        <w:rPr>
          <w:rFonts w:cstheme="minorHAnsi"/>
          <w:lang w:eastAsia="en-AU"/>
        </w:rPr>
        <w:t xml:space="preserve">conducted </w:t>
      </w:r>
      <w:r w:rsidR="00E859B4" w:rsidRPr="006D4988">
        <w:rPr>
          <w:rFonts w:cstheme="minorHAnsi"/>
          <w:lang w:eastAsia="en-AU"/>
        </w:rPr>
        <w:t>18</w:t>
      </w:r>
      <w:r w:rsidRPr="006D4988">
        <w:rPr>
          <w:rFonts w:cstheme="minorHAnsi"/>
          <w:lang w:eastAsia="en-AU"/>
        </w:rPr>
        <w:t xml:space="preserve"> direct conversations with a number of reporting organisations to hear</w:t>
      </w:r>
      <w:r w:rsidR="005C3D7E" w:rsidRPr="006D4988">
        <w:rPr>
          <w:rFonts w:cstheme="minorHAnsi"/>
          <w:lang w:eastAsia="en-AU"/>
        </w:rPr>
        <w:t xml:space="preserve"> about</w:t>
      </w:r>
      <w:r w:rsidRPr="006D4988">
        <w:rPr>
          <w:rFonts w:cstheme="minorHAnsi"/>
          <w:lang w:eastAsia="en-AU"/>
        </w:rPr>
        <w:t xml:space="preserve"> </w:t>
      </w:r>
      <w:r w:rsidR="004C24E5" w:rsidRPr="006D4988">
        <w:rPr>
          <w:rFonts w:cstheme="minorHAnsi"/>
          <w:lang w:eastAsia="en-AU"/>
        </w:rPr>
        <w:t>their reporting experiences in detail</w:t>
      </w:r>
      <w:r w:rsidR="005C3D7E" w:rsidRPr="006D4988">
        <w:rPr>
          <w:rFonts w:cstheme="minorHAnsi"/>
          <w:lang w:eastAsia="en-AU"/>
        </w:rPr>
        <w:t>.</w:t>
      </w:r>
      <w:r w:rsidR="00E859B4" w:rsidRPr="006D4988">
        <w:rPr>
          <w:rFonts w:cstheme="minorHAnsi"/>
          <w:lang w:eastAsia="en-AU"/>
        </w:rPr>
        <w:t xml:space="preserve"> </w:t>
      </w:r>
      <w:r w:rsidR="00FC6E40" w:rsidRPr="006D4988">
        <w:rPr>
          <w:rFonts w:cstheme="minorHAnsi"/>
          <w:lang w:eastAsia="en-AU"/>
        </w:rPr>
        <w:t xml:space="preserve">The employers were selected for their diversity in size, structure and industry. </w:t>
      </w:r>
      <w:r w:rsidR="00E859B4" w:rsidRPr="006D4988">
        <w:rPr>
          <w:rFonts w:cstheme="minorHAnsi"/>
          <w:lang w:eastAsia="en-AU"/>
        </w:rPr>
        <w:t>The Agency also attended most of the meetings.</w:t>
      </w:r>
      <w:r w:rsidR="003D2531" w:rsidRPr="006D4988">
        <w:rPr>
          <w:rFonts w:cstheme="minorHAnsi"/>
        </w:rPr>
        <w:t xml:space="preserve"> </w:t>
      </w:r>
    </w:p>
    <w:p w:rsidR="003D2531" w:rsidRPr="006D4988" w:rsidRDefault="003D2531" w:rsidP="003D2531">
      <w:pPr>
        <w:keepLines/>
        <w:rPr>
          <w:rFonts w:cstheme="minorHAnsi"/>
          <w:sz w:val="24"/>
          <w:szCs w:val="24"/>
        </w:rPr>
      </w:pPr>
      <w:r w:rsidRPr="006D4988">
        <w:rPr>
          <w:rFonts w:cstheme="minorHAnsi"/>
          <w:lang w:eastAsia="en-AU"/>
        </w:rPr>
        <w:t>The majority of employers supported workplace gender equality objectives and wanted to improve their workplace gender equality performance. While they expressed broad support for gender equality objectives, many were not convinced that the current reporting requirements were the best way to meet those objectives.</w:t>
      </w:r>
    </w:p>
    <w:p w:rsidR="0070732E" w:rsidRPr="006D4988" w:rsidRDefault="0070732E" w:rsidP="003E6551">
      <w:pPr>
        <w:pStyle w:val="ListParagraph"/>
        <w:numPr>
          <w:ilvl w:val="0"/>
          <w:numId w:val="38"/>
        </w:numPr>
        <w:spacing w:before="120" w:after="120" w:line="276" w:lineRule="auto"/>
        <w:ind w:left="714" w:hanging="357"/>
        <w:contextualSpacing w:val="0"/>
        <w:rPr>
          <w:rFonts w:asciiTheme="minorHAnsi" w:eastAsiaTheme="minorHAnsi" w:hAnsiTheme="minorHAnsi" w:cstheme="minorHAnsi"/>
          <w:sz w:val="22"/>
          <w:szCs w:val="22"/>
          <w:lang w:eastAsia="en-US"/>
        </w:rPr>
      </w:pPr>
      <w:r w:rsidRPr="006D4988">
        <w:rPr>
          <w:rFonts w:asciiTheme="minorHAnsi" w:eastAsiaTheme="minorHAnsi" w:hAnsiTheme="minorHAnsi" w:cstheme="minorHAnsi"/>
          <w:sz w:val="22"/>
          <w:szCs w:val="22"/>
          <w:lang w:eastAsia="en-US"/>
        </w:rPr>
        <w:t xml:space="preserve">In general, the issues raised are consistent with those already identified through </w:t>
      </w:r>
      <w:r w:rsidR="000A2E90" w:rsidRPr="006D4988">
        <w:rPr>
          <w:rFonts w:asciiTheme="minorHAnsi" w:eastAsiaTheme="minorHAnsi" w:hAnsiTheme="minorHAnsi" w:cstheme="minorHAnsi"/>
          <w:sz w:val="22"/>
          <w:szCs w:val="22"/>
          <w:lang w:eastAsia="en-US"/>
        </w:rPr>
        <w:t xml:space="preserve">the </w:t>
      </w:r>
      <w:r w:rsidRPr="006D4988">
        <w:rPr>
          <w:rFonts w:asciiTheme="minorHAnsi" w:eastAsiaTheme="minorHAnsi" w:hAnsiTheme="minorHAnsi" w:cstheme="minorHAnsi"/>
          <w:sz w:val="22"/>
          <w:szCs w:val="22"/>
          <w:lang w:eastAsia="en-US"/>
        </w:rPr>
        <w:t xml:space="preserve">surveys, </w:t>
      </w:r>
      <w:r w:rsidR="000A2E90" w:rsidRPr="006D4988">
        <w:rPr>
          <w:rFonts w:asciiTheme="minorHAnsi" w:eastAsiaTheme="minorHAnsi" w:hAnsiTheme="minorHAnsi" w:cstheme="minorHAnsi"/>
          <w:sz w:val="22"/>
          <w:szCs w:val="22"/>
          <w:lang w:eastAsia="en-US"/>
        </w:rPr>
        <w:t xml:space="preserve">and </w:t>
      </w:r>
      <w:r w:rsidRPr="006D4988">
        <w:rPr>
          <w:rFonts w:asciiTheme="minorHAnsi" w:eastAsiaTheme="minorHAnsi" w:hAnsiTheme="minorHAnsi" w:cstheme="minorHAnsi"/>
          <w:sz w:val="22"/>
          <w:szCs w:val="22"/>
          <w:lang w:eastAsia="en-US"/>
        </w:rPr>
        <w:t>submissions feedback.</w:t>
      </w:r>
    </w:p>
    <w:p w:rsidR="003D2531" w:rsidRPr="006D4988" w:rsidRDefault="003D2531" w:rsidP="003E6551">
      <w:pPr>
        <w:pStyle w:val="ListParagraph"/>
        <w:numPr>
          <w:ilvl w:val="0"/>
          <w:numId w:val="38"/>
        </w:numPr>
        <w:spacing w:before="120" w:after="120" w:line="276" w:lineRule="auto"/>
        <w:ind w:left="714" w:hanging="357"/>
        <w:contextualSpacing w:val="0"/>
        <w:rPr>
          <w:rFonts w:asciiTheme="minorHAnsi" w:eastAsiaTheme="minorHAnsi" w:hAnsiTheme="minorHAnsi" w:cstheme="minorHAnsi"/>
          <w:sz w:val="22"/>
          <w:szCs w:val="22"/>
          <w:lang w:eastAsia="en-US"/>
        </w:rPr>
      </w:pPr>
      <w:r w:rsidRPr="006D4988">
        <w:rPr>
          <w:rFonts w:asciiTheme="minorHAnsi" w:eastAsiaTheme="minorHAnsi" w:hAnsiTheme="minorHAnsi" w:cstheme="minorHAnsi"/>
          <w:sz w:val="22"/>
          <w:szCs w:val="22"/>
          <w:lang w:eastAsia="en-US"/>
        </w:rPr>
        <w:t xml:space="preserve">Key concerns included classifying managers and non-managers into the categories provided. </w:t>
      </w:r>
    </w:p>
    <w:p w:rsidR="00E859B4" w:rsidRPr="006D4988" w:rsidRDefault="003D2531" w:rsidP="003E6551">
      <w:pPr>
        <w:pStyle w:val="ListParagraph"/>
        <w:numPr>
          <w:ilvl w:val="0"/>
          <w:numId w:val="38"/>
        </w:numPr>
        <w:spacing w:before="120" w:after="120" w:line="276" w:lineRule="auto"/>
        <w:ind w:left="714" w:hanging="357"/>
        <w:contextualSpacing w:val="0"/>
        <w:rPr>
          <w:rFonts w:asciiTheme="minorHAnsi" w:eastAsiaTheme="minorHAnsi" w:hAnsiTheme="minorHAnsi" w:cstheme="minorHAnsi"/>
          <w:sz w:val="22"/>
          <w:szCs w:val="22"/>
          <w:lang w:eastAsia="en-US"/>
        </w:rPr>
      </w:pPr>
      <w:r w:rsidRPr="006D4988">
        <w:rPr>
          <w:rFonts w:asciiTheme="minorHAnsi" w:eastAsiaTheme="minorHAnsi" w:hAnsiTheme="minorHAnsi" w:cstheme="minorHAnsi"/>
          <w:sz w:val="22"/>
          <w:szCs w:val="22"/>
          <w:lang w:eastAsia="en-US"/>
        </w:rPr>
        <w:t xml:space="preserve">Employers also reported difficulties in annualising base salary and total remuneration, particularly if there were high numbers of casual or part-time staff, or if staff worked irregular hours. Employers indicated that reporting on base salary alone was easier than reporting on total remuneration. </w:t>
      </w:r>
    </w:p>
    <w:p w:rsidR="003D2531" w:rsidRPr="006D4988" w:rsidRDefault="0070732E" w:rsidP="003E6551">
      <w:pPr>
        <w:pStyle w:val="ListParagraph"/>
        <w:numPr>
          <w:ilvl w:val="0"/>
          <w:numId w:val="38"/>
        </w:numPr>
        <w:spacing w:before="120" w:after="120" w:line="276" w:lineRule="auto"/>
        <w:ind w:left="714" w:hanging="357"/>
        <w:contextualSpacing w:val="0"/>
        <w:rPr>
          <w:rFonts w:asciiTheme="minorHAnsi" w:eastAsiaTheme="minorHAnsi" w:hAnsiTheme="minorHAnsi" w:cstheme="minorHAnsi"/>
          <w:sz w:val="22"/>
          <w:szCs w:val="22"/>
          <w:lang w:eastAsia="en-US"/>
        </w:rPr>
      </w:pPr>
      <w:r w:rsidRPr="006D4988">
        <w:rPr>
          <w:rFonts w:asciiTheme="minorHAnsi" w:eastAsiaTheme="minorHAnsi" w:hAnsiTheme="minorHAnsi" w:cstheme="minorHAnsi"/>
          <w:sz w:val="22"/>
          <w:szCs w:val="22"/>
          <w:lang w:eastAsia="en-US"/>
        </w:rPr>
        <w:t>During the employer meetings</w:t>
      </w:r>
      <w:r w:rsidR="006416C1">
        <w:rPr>
          <w:rFonts w:asciiTheme="minorHAnsi" w:eastAsiaTheme="minorHAnsi" w:hAnsiTheme="minorHAnsi" w:cstheme="minorHAnsi"/>
          <w:sz w:val="22"/>
          <w:szCs w:val="22"/>
          <w:lang w:eastAsia="en-US"/>
        </w:rPr>
        <w:t>,</w:t>
      </w:r>
      <w:r w:rsidRPr="006D4988">
        <w:rPr>
          <w:rFonts w:asciiTheme="minorHAnsi" w:eastAsiaTheme="minorHAnsi" w:hAnsiTheme="minorHAnsi" w:cstheme="minorHAnsi"/>
          <w:sz w:val="22"/>
          <w:szCs w:val="22"/>
          <w:lang w:eastAsia="en-US"/>
        </w:rPr>
        <w:t xml:space="preserve"> most employers believed that the benchmark reports would be useful. Those who did not</w:t>
      </w:r>
      <w:r w:rsidR="007B1463">
        <w:rPr>
          <w:rFonts w:asciiTheme="minorHAnsi" w:eastAsiaTheme="minorHAnsi" w:hAnsiTheme="minorHAnsi" w:cstheme="minorHAnsi"/>
          <w:sz w:val="22"/>
          <w:szCs w:val="22"/>
          <w:lang w:eastAsia="en-US"/>
        </w:rPr>
        <w:t xml:space="preserve"> </w:t>
      </w:r>
      <w:r w:rsidRPr="006D4988">
        <w:rPr>
          <w:rFonts w:asciiTheme="minorHAnsi" w:eastAsiaTheme="minorHAnsi" w:hAnsiTheme="minorHAnsi" w:cstheme="minorHAnsi"/>
          <w:sz w:val="22"/>
          <w:szCs w:val="22"/>
          <w:lang w:eastAsia="en-US"/>
        </w:rPr>
        <w:t>held this view because of their concerns regarding the reliability and validity of remuneration and occupational category data, as they felt the data they provided did not really reflect their organisation</w:t>
      </w:r>
      <w:r w:rsidR="006416C1">
        <w:rPr>
          <w:rFonts w:asciiTheme="minorHAnsi" w:eastAsiaTheme="minorHAnsi" w:hAnsiTheme="minorHAnsi" w:cstheme="minorHAnsi"/>
          <w:sz w:val="22"/>
          <w:szCs w:val="22"/>
          <w:lang w:eastAsia="en-US"/>
        </w:rPr>
        <w:t>.</w:t>
      </w:r>
      <w:r w:rsidR="003D2531" w:rsidRPr="003E6551">
        <w:rPr>
          <w:rFonts w:asciiTheme="minorHAnsi" w:hAnsiTheme="minorHAnsi"/>
          <w:sz w:val="22"/>
        </w:rPr>
        <w:t xml:space="preserve"> </w:t>
      </w:r>
    </w:p>
    <w:p w:rsidR="0070732E" w:rsidRPr="006D4988" w:rsidRDefault="003D2531" w:rsidP="003E6551">
      <w:pPr>
        <w:pStyle w:val="ListParagraph"/>
        <w:numPr>
          <w:ilvl w:val="0"/>
          <w:numId w:val="38"/>
        </w:numPr>
        <w:spacing w:before="120" w:after="120" w:line="276" w:lineRule="auto"/>
        <w:ind w:left="714" w:hanging="357"/>
        <w:contextualSpacing w:val="0"/>
        <w:rPr>
          <w:rFonts w:asciiTheme="minorHAnsi" w:eastAsiaTheme="minorHAnsi" w:hAnsiTheme="minorHAnsi" w:cstheme="minorHAnsi"/>
          <w:sz w:val="22"/>
          <w:szCs w:val="22"/>
          <w:lang w:eastAsia="en-US"/>
        </w:rPr>
      </w:pPr>
      <w:r w:rsidRPr="006D4988">
        <w:rPr>
          <w:rFonts w:asciiTheme="minorHAnsi" w:eastAsiaTheme="minorHAnsi" w:hAnsiTheme="minorHAnsi" w:cstheme="minorHAnsi"/>
          <w:sz w:val="22"/>
          <w:szCs w:val="22"/>
          <w:lang w:eastAsia="en-US"/>
        </w:rPr>
        <w:t xml:space="preserve">Employers also commented on the time taken to prepare the report, which ranged from four hours to </w:t>
      </w:r>
      <w:r w:rsidR="005414F5">
        <w:rPr>
          <w:rFonts w:asciiTheme="minorHAnsi" w:eastAsiaTheme="minorHAnsi" w:hAnsiTheme="minorHAnsi" w:cstheme="minorHAnsi"/>
          <w:sz w:val="22"/>
          <w:szCs w:val="22"/>
          <w:lang w:eastAsia="en-US"/>
        </w:rPr>
        <w:t>over six</w:t>
      </w:r>
      <w:r w:rsidRPr="006D4988">
        <w:rPr>
          <w:rFonts w:asciiTheme="minorHAnsi" w:eastAsiaTheme="minorHAnsi" w:hAnsiTheme="minorHAnsi" w:cstheme="minorHAnsi"/>
          <w:sz w:val="22"/>
          <w:szCs w:val="22"/>
          <w:lang w:eastAsia="en-US"/>
        </w:rPr>
        <w:t xml:space="preserve"> weeks. </w:t>
      </w:r>
    </w:p>
    <w:p w:rsidR="006D6747" w:rsidRPr="002666A4" w:rsidRDefault="006D6747" w:rsidP="002666A4">
      <w:pPr>
        <w:pStyle w:val="Heading3"/>
        <w:rPr>
          <w:rFonts w:asciiTheme="minorHAnsi" w:hAnsiTheme="minorHAnsi" w:cstheme="minorHAnsi"/>
        </w:rPr>
      </w:pPr>
      <w:bookmarkStart w:id="52" w:name="_Toc404158271"/>
      <w:bookmarkStart w:id="53" w:name="_Toc405895173"/>
      <w:r w:rsidRPr="002666A4">
        <w:rPr>
          <w:rFonts w:asciiTheme="minorHAnsi" w:hAnsiTheme="minorHAnsi" w:cstheme="minorHAnsi"/>
        </w:rPr>
        <w:t>Stakeholder consultation sessions</w:t>
      </w:r>
      <w:bookmarkEnd w:id="52"/>
      <w:bookmarkEnd w:id="53"/>
    </w:p>
    <w:p w:rsidR="007C301E" w:rsidRPr="006D4988" w:rsidRDefault="006416C1" w:rsidP="007C301E">
      <w:pPr>
        <w:rPr>
          <w:rFonts w:cstheme="minorHAnsi"/>
          <w:iCs/>
        </w:rPr>
      </w:pPr>
      <w:r>
        <w:rPr>
          <w:rFonts w:cstheme="minorHAnsi"/>
          <w:iCs/>
        </w:rPr>
        <w:t>In</w:t>
      </w:r>
      <w:r w:rsidRPr="006D4988">
        <w:rPr>
          <w:rFonts w:cstheme="minorHAnsi"/>
          <w:iCs/>
        </w:rPr>
        <w:t xml:space="preserve"> </w:t>
      </w:r>
      <w:r w:rsidR="004C24E5" w:rsidRPr="006D4988">
        <w:rPr>
          <w:rFonts w:cstheme="minorHAnsi"/>
          <w:iCs/>
        </w:rPr>
        <w:t>late September 2014</w:t>
      </w:r>
      <w:r>
        <w:rPr>
          <w:rFonts w:cstheme="minorHAnsi"/>
          <w:iCs/>
        </w:rPr>
        <w:t>,</w:t>
      </w:r>
      <w:r w:rsidR="004C24E5" w:rsidRPr="006D4988">
        <w:rPr>
          <w:rFonts w:cstheme="minorHAnsi"/>
          <w:iCs/>
        </w:rPr>
        <w:t xml:space="preserve"> </w:t>
      </w:r>
      <w:r w:rsidR="007C301E" w:rsidRPr="006D4988">
        <w:rPr>
          <w:rFonts w:cstheme="minorHAnsi"/>
          <w:iCs/>
        </w:rPr>
        <w:t>roundtable</w:t>
      </w:r>
      <w:r w:rsidR="000E5ABC" w:rsidRPr="006D4988">
        <w:rPr>
          <w:rFonts w:cstheme="minorHAnsi"/>
          <w:iCs/>
        </w:rPr>
        <w:t xml:space="preserve"> </w:t>
      </w:r>
      <w:r w:rsidR="0032753B" w:rsidRPr="006D4988">
        <w:rPr>
          <w:rFonts w:cstheme="minorHAnsi"/>
          <w:iCs/>
        </w:rPr>
        <w:t>meetings were held</w:t>
      </w:r>
      <w:r w:rsidR="000E5ABC" w:rsidRPr="006D4988">
        <w:rPr>
          <w:rFonts w:cstheme="minorHAnsi"/>
          <w:iCs/>
        </w:rPr>
        <w:t xml:space="preserve"> with </w:t>
      </w:r>
      <w:r w:rsidR="007C301E" w:rsidRPr="006D4988">
        <w:rPr>
          <w:rFonts w:cstheme="minorHAnsi"/>
          <w:iCs/>
        </w:rPr>
        <w:t>gender equality advocates and industry representatives</w:t>
      </w:r>
      <w:r w:rsidR="0032753B" w:rsidRPr="006D4988">
        <w:rPr>
          <w:rFonts w:cstheme="minorHAnsi"/>
          <w:iCs/>
        </w:rPr>
        <w:t>.</w:t>
      </w:r>
      <w:r w:rsidR="007C301E" w:rsidRPr="006D4988">
        <w:rPr>
          <w:rFonts w:cstheme="minorHAnsi"/>
          <w:iCs/>
        </w:rPr>
        <w:t xml:space="preserve"> The discussions </w:t>
      </w:r>
      <w:r w:rsidR="00BC72DD" w:rsidRPr="006D4988">
        <w:rPr>
          <w:rFonts w:cstheme="minorHAnsi"/>
          <w:iCs/>
        </w:rPr>
        <w:t>included</w:t>
      </w:r>
      <w:r w:rsidR="007C301E" w:rsidRPr="006D4988">
        <w:rPr>
          <w:rFonts w:cstheme="minorHAnsi"/>
          <w:iCs/>
        </w:rPr>
        <w:t xml:space="preserve"> the feedback collected from the consultations to date and potential options</w:t>
      </w:r>
      <w:r w:rsidR="004C24E5" w:rsidRPr="006D4988">
        <w:rPr>
          <w:rFonts w:cstheme="minorHAnsi"/>
          <w:iCs/>
        </w:rPr>
        <w:t xml:space="preserve"> </w:t>
      </w:r>
      <w:r w:rsidR="007C301E" w:rsidRPr="006D4988">
        <w:rPr>
          <w:rFonts w:cstheme="minorHAnsi"/>
          <w:iCs/>
        </w:rPr>
        <w:t>to improve the effectiveness of reporting requirements.</w:t>
      </w:r>
    </w:p>
    <w:p w:rsidR="00B8385F" w:rsidRDefault="0060508E" w:rsidP="007C301E">
      <w:pPr>
        <w:rPr>
          <w:rFonts w:cstheme="minorHAnsi"/>
          <w:iCs/>
        </w:rPr>
      </w:pPr>
      <w:r w:rsidRPr="006D4988">
        <w:rPr>
          <w:rFonts w:cstheme="minorHAnsi"/>
          <w:iCs/>
        </w:rPr>
        <w:t>At these meetings</w:t>
      </w:r>
      <w:r w:rsidR="006416C1">
        <w:rPr>
          <w:rFonts w:cstheme="minorHAnsi"/>
          <w:iCs/>
        </w:rPr>
        <w:t>,</w:t>
      </w:r>
      <w:r w:rsidRPr="006D4988">
        <w:rPr>
          <w:rFonts w:cstheme="minorHAnsi"/>
          <w:iCs/>
        </w:rPr>
        <w:t xml:space="preserve"> representatives were </w:t>
      </w:r>
      <w:r w:rsidR="00BC72DD" w:rsidRPr="006D4988">
        <w:rPr>
          <w:rFonts w:cstheme="minorHAnsi"/>
          <w:iCs/>
        </w:rPr>
        <w:t xml:space="preserve">presented </w:t>
      </w:r>
      <w:r w:rsidRPr="006D4988">
        <w:rPr>
          <w:rFonts w:cstheme="minorHAnsi"/>
          <w:iCs/>
        </w:rPr>
        <w:t xml:space="preserve">with possible options to change reporting requirements. </w:t>
      </w:r>
      <w:r w:rsidR="0032753B" w:rsidRPr="006D4988">
        <w:rPr>
          <w:rFonts w:cstheme="minorHAnsi"/>
          <w:iCs/>
        </w:rPr>
        <w:t>The meeting representatives</w:t>
      </w:r>
      <w:r w:rsidRPr="006D4988">
        <w:rPr>
          <w:rFonts w:cstheme="minorHAnsi"/>
          <w:iCs/>
        </w:rPr>
        <w:t xml:space="preserve"> were </w:t>
      </w:r>
      <w:r w:rsidR="0032753B" w:rsidRPr="006D4988">
        <w:rPr>
          <w:rFonts w:cstheme="minorHAnsi"/>
          <w:iCs/>
        </w:rPr>
        <w:t>able</w:t>
      </w:r>
      <w:r w:rsidRPr="006D4988">
        <w:rPr>
          <w:rFonts w:cstheme="minorHAnsi"/>
          <w:iCs/>
        </w:rPr>
        <w:t xml:space="preserve"> to confer with their member</w:t>
      </w:r>
      <w:r w:rsidR="0032753B" w:rsidRPr="006D4988">
        <w:rPr>
          <w:rFonts w:cstheme="minorHAnsi"/>
          <w:iCs/>
        </w:rPr>
        <w:t>s</w:t>
      </w:r>
      <w:r w:rsidRPr="006D4988">
        <w:rPr>
          <w:rFonts w:cstheme="minorHAnsi"/>
          <w:iCs/>
        </w:rPr>
        <w:t xml:space="preserve"> and provide </w:t>
      </w:r>
      <w:r w:rsidR="0032753B" w:rsidRPr="006D4988">
        <w:rPr>
          <w:rFonts w:cstheme="minorHAnsi"/>
          <w:iCs/>
        </w:rPr>
        <w:lastRenderedPageBreak/>
        <w:t xml:space="preserve">further </w:t>
      </w:r>
      <w:r w:rsidRPr="006D4988">
        <w:rPr>
          <w:rFonts w:cstheme="minorHAnsi"/>
          <w:iCs/>
        </w:rPr>
        <w:t xml:space="preserve">feedback to the Department </w:t>
      </w:r>
      <w:r w:rsidR="0032753B" w:rsidRPr="006D4988">
        <w:rPr>
          <w:rFonts w:cstheme="minorHAnsi"/>
          <w:iCs/>
        </w:rPr>
        <w:t>if they chose</w:t>
      </w:r>
      <w:r w:rsidRPr="006D4988">
        <w:rPr>
          <w:rFonts w:cstheme="minorHAnsi"/>
          <w:iCs/>
        </w:rPr>
        <w:t>.</w:t>
      </w:r>
      <w:r w:rsidR="0032753B" w:rsidRPr="006D4988">
        <w:rPr>
          <w:rFonts w:cstheme="minorHAnsi"/>
          <w:iCs/>
        </w:rPr>
        <w:t xml:space="preserve"> Some of the submissions submitted to the Department specifically address</w:t>
      </w:r>
      <w:r w:rsidR="00E50629">
        <w:rPr>
          <w:rFonts w:cstheme="minorHAnsi"/>
          <w:iCs/>
        </w:rPr>
        <w:t>ed</w:t>
      </w:r>
      <w:r w:rsidR="0032753B" w:rsidRPr="006D4988">
        <w:rPr>
          <w:rFonts w:cstheme="minorHAnsi"/>
          <w:iCs/>
        </w:rPr>
        <w:t xml:space="preserve"> issues discussed during</w:t>
      </w:r>
      <w:r w:rsidRPr="006D4988">
        <w:rPr>
          <w:rFonts w:cstheme="minorHAnsi"/>
          <w:iCs/>
        </w:rPr>
        <w:t xml:space="preserve"> these </w:t>
      </w:r>
      <w:r w:rsidR="003B2907">
        <w:rPr>
          <w:rFonts w:cstheme="minorHAnsi"/>
          <w:iCs/>
        </w:rPr>
        <w:t>meetings.</w:t>
      </w:r>
    </w:p>
    <w:p w:rsidR="008F5387" w:rsidRDefault="008F5387" w:rsidP="000404B7">
      <w:pPr>
        <w:spacing w:before="200" w:after="0"/>
        <w:rPr>
          <w:rFonts w:eastAsiaTheme="majorEastAsia" w:cstheme="minorHAnsi"/>
          <w:b/>
          <w:bCs/>
          <w:color w:val="4F81BD" w:themeColor="accent1"/>
        </w:rPr>
      </w:pPr>
      <w:r>
        <w:rPr>
          <w:rFonts w:eastAsiaTheme="majorEastAsia" w:cstheme="minorHAnsi"/>
          <w:b/>
          <w:bCs/>
          <w:color w:val="4F81BD" w:themeColor="accent1"/>
        </w:rPr>
        <w:t>Other Government agencies</w:t>
      </w:r>
    </w:p>
    <w:p w:rsidR="00085EFE" w:rsidRDefault="00396897" w:rsidP="00085EFE">
      <w:pPr>
        <w:rPr>
          <w:rFonts w:cstheme="minorHAnsi"/>
        </w:rPr>
      </w:pPr>
      <w:r w:rsidRPr="006D4988">
        <w:rPr>
          <w:rFonts w:cstheme="minorHAnsi"/>
        </w:rPr>
        <w:t xml:space="preserve">Throughout the consultation process the Department liaised with the Agency to </w:t>
      </w:r>
      <w:r w:rsidR="006416C1">
        <w:rPr>
          <w:rFonts w:cstheme="minorHAnsi"/>
        </w:rPr>
        <w:t>capture</w:t>
      </w:r>
      <w:r w:rsidRPr="006D4988">
        <w:rPr>
          <w:rFonts w:cstheme="minorHAnsi"/>
        </w:rPr>
        <w:t xml:space="preserve"> the feedback the Agency was receiving from employers about reporting, the integrity of the data received and the implications for implementation of the policy options being considered.</w:t>
      </w:r>
      <w:r>
        <w:rPr>
          <w:rFonts w:cstheme="minorHAnsi"/>
        </w:rPr>
        <w:t xml:space="preserve"> The Agency also participated in most of the employer meetings and the stakeholder consultation meetings.</w:t>
      </w:r>
    </w:p>
    <w:p w:rsidR="00396897" w:rsidRPr="006D4988" w:rsidRDefault="00396897" w:rsidP="00085EFE">
      <w:pPr>
        <w:spacing w:before="240"/>
        <w:rPr>
          <w:rFonts w:cstheme="minorHAnsi"/>
        </w:rPr>
      </w:pPr>
      <w:r w:rsidRPr="006D4988">
        <w:rPr>
          <w:rFonts w:cstheme="minorHAnsi"/>
        </w:rPr>
        <w:t>In addition, the Department consulted research and data experts within government, including the Australian Bureau of Statistics and the Australian Tax Office</w:t>
      </w:r>
      <w:r w:rsidR="006416C1">
        <w:rPr>
          <w:rFonts w:cstheme="minorHAnsi"/>
        </w:rPr>
        <w:t>,</w:t>
      </w:r>
      <w:r w:rsidRPr="006D4988">
        <w:rPr>
          <w:rFonts w:cstheme="minorHAnsi"/>
        </w:rPr>
        <w:t xml:space="preserve"> to explore opportunities for utilising </w:t>
      </w:r>
      <w:r w:rsidR="006416C1" w:rsidRPr="006D4988">
        <w:rPr>
          <w:rFonts w:cstheme="minorHAnsi"/>
        </w:rPr>
        <w:t>gender</w:t>
      </w:r>
      <w:r w:rsidR="003B2907">
        <w:rPr>
          <w:rFonts w:cstheme="minorHAnsi"/>
        </w:rPr>
        <w:noBreakHyphen/>
      </w:r>
      <w:r w:rsidRPr="006D4988">
        <w:rPr>
          <w:rFonts w:cstheme="minorHAnsi"/>
        </w:rPr>
        <w:t>related data already collected by government agencies and possible options for streamlining the data collection.</w:t>
      </w:r>
    </w:p>
    <w:p w:rsidR="008F5387" w:rsidRPr="002420A1" w:rsidRDefault="008F5387" w:rsidP="002420A1">
      <w:pPr>
        <w:spacing w:after="0"/>
        <w:rPr>
          <w:rFonts w:cstheme="minorHAnsi"/>
          <w:iCs/>
        </w:rPr>
      </w:pPr>
      <w:r w:rsidRPr="002420A1">
        <w:rPr>
          <w:rFonts w:cstheme="minorHAnsi"/>
          <w:iCs/>
        </w:rPr>
        <w:t xml:space="preserve">The Department </w:t>
      </w:r>
      <w:r w:rsidR="002420A1" w:rsidRPr="002420A1">
        <w:rPr>
          <w:rFonts w:cstheme="minorHAnsi"/>
          <w:iCs/>
        </w:rPr>
        <w:t xml:space="preserve">also </w:t>
      </w:r>
      <w:r w:rsidRPr="002420A1">
        <w:rPr>
          <w:rFonts w:cstheme="minorHAnsi"/>
          <w:iCs/>
        </w:rPr>
        <w:t>consulted regular</w:t>
      </w:r>
      <w:r w:rsidR="002420A1" w:rsidRPr="002420A1">
        <w:rPr>
          <w:rFonts w:cstheme="minorHAnsi"/>
          <w:iCs/>
        </w:rPr>
        <w:t>ly with the Office for Women</w:t>
      </w:r>
      <w:r w:rsidR="007B4940">
        <w:rPr>
          <w:rFonts w:cstheme="minorHAnsi"/>
          <w:iCs/>
        </w:rPr>
        <w:t>. T</w:t>
      </w:r>
      <w:r w:rsidR="002420A1" w:rsidRPr="002420A1">
        <w:rPr>
          <w:rFonts w:cstheme="minorHAnsi"/>
          <w:iCs/>
        </w:rPr>
        <w:t xml:space="preserve">he consultation process </w:t>
      </w:r>
      <w:r w:rsidR="007B4940">
        <w:rPr>
          <w:rFonts w:cstheme="minorHAnsi"/>
          <w:iCs/>
        </w:rPr>
        <w:t xml:space="preserve">was </w:t>
      </w:r>
      <w:r w:rsidR="002A1E97">
        <w:rPr>
          <w:rFonts w:cstheme="minorHAnsi"/>
          <w:iCs/>
        </w:rPr>
        <w:t>prepared</w:t>
      </w:r>
      <w:r w:rsidR="002A1E97" w:rsidRPr="002420A1">
        <w:rPr>
          <w:rFonts w:cstheme="minorHAnsi"/>
          <w:iCs/>
        </w:rPr>
        <w:t xml:space="preserve"> </w:t>
      </w:r>
      <w:r w:rsidR="002420A1" w:rsidRPr="002420A1">
        <w:rPr>
          <w:rFonts w:cstheme="minorHAnsi"/>
          <w:iCs/>
        </w:rPr>
        <w:t>in collabor</w:t>
      </w:r>
      <w:r w:rsidR="002420A1">
        <w:rPr>
          <w:rFonts w:cstheme="minorHAnsi"/>
          <w:iCs/>
        </w:rPr>
        <w:t>ation with the Office for Women</w:t>
      </w:r>
      <w:r w:rsidR="007B4940">
        <w:rPr>
          <w:rFonts w:cstheme="minorHAnsi"/>
          <w:iCs/>
        </w:rPr>
        <w:t xml:space="preserve"> and </w:t>
      </w:r>
      <w:r w:rsidR="00085EFE">
        <w:rPr>
          <w:rFonts w:cstheme="minorHAnsi"/>
          <w:iCs/>
        </w:rPr>
        <w:t xml:space="preserve">a representative </w:t>
      </w:r>
      <w:r w:rsidR="002420A1" w:rsidRPr="002420A1">
        <w:rPr>
          <w:rFonts w:cstheme="minorHAnsi"/>
          <w:iCs/>
        </w:rPr>
        <w:t xml:space="preserve">participated in the roundtable </w:t>
      </w:r>
      <w:r w:rsidR="002420A1">
        <w:rPr>
          <w:rFonts w:cstheme="minorHAnsi"/>
          <w:iCs/>
        </w:rPr>
        <w:t>meetings</w:t>
      </w:r>
      <w:r w:rsidR="002420A1" w:rsidRPr="002420A1">
        <w:rPr>
          <w:rFonts w:cstheme="minorHAnsi"/>
          <w:iCs/>
        </w:rPr>
        <w:t xml:space="preserve"> with the </w:t>
      </w:r>
      <w:r w:rsidR="002420A1" w:rsidRPr="006D4988">
        <w:rPr>
          <w:rFonts w:cstheme="minorHAnsi"/>
          <w:iCs/>
        </w:rPr>
        <w:t xml:space="preserve">gender equality advocates </w:t>
      </w:r>
      <w:r w:rsidR="002420A1" w:rsidRPr="002420A1">
        <w:rPr>
          <w:rFonts w:cstheme="minorHAnsi"/>
          <w:iCs/>
        </w:rPr>
        <w:t xml:space="preserve">and some of the </w:t>
      </w:r>
      <w:r w:rsidR="007B4940" w:rsidRPr="006D4988">
        <w:rPr>
          <w:rFonts w:cstheme="minorHAnsi"/>
          <w:iCs/>
        </w:rPr>
        <w:t>industry representatives</w:t>
      </w:r>
      <w:r w:rsidR="002420A1" w:rsidRPr="002420A1">
        <w:rPr>
          <w:rFonts w:cstheme="minorHAnsi"/>
          <w:iCs/>
        </w:rPr>
        <w:t xml:space="preserve">. </w:t>
      </w:r>
    </w:p>
    <w:p w:rsidR="00A14472" w:rsidRPr="002666A4" w:rsidRDefault="00B73EEF" w:rsidP="000404B7">
      <w:pPr>
        <w:pStyle w:val="Heading1"/>
        <w:spacing w:before="240"/>
        <w:rPr>
          <w:rFonts w:asciiTheme="minorHAnsi" w:hAnsiTheme="minorHAnsi" w:cstheme="minorHAnsi"/>
        </w:rPr>
      </w:pPr>
      <w:bookmarkStart w:id="54" w:name="_Toc404158272"/>
      <w:bookmarkStart w:id="55" w:name="_Toc405895174"/>
      <w:r w:rsidRPr="002666A4">
        <w:rPr>
          <w:rFonts w:asciiTheme="minorHAnsi" w:hAnsiTheme="minorHAnsi" w:cstheme="minorHAnsi"/>
        </w:rPr>
        <w:t>R</w:t>
      </w:r>
      <w:r w:rsidR="00A14472" w:rsidRPr="002666A4">
        <w:rPr>
          <w:rFonts w:asciiTheme="minorHAnsi" w:hAnsiTheme="minorHAnsi" w:cstheme="minorHAnsi"/>
        </w:rPr>
        <w:t>ecommend</w:t>
      </w:r>
      <w:r w:rsidRPr="002666A4">
        <w:rPr>
          <w:rFonts w:asciiTheme="minorHAnsi" w:hAnsiTheme="minorHAnsi" w:cstheme="minorHAnsi"/>
        </w:rPr>
        <w:t>ed Option</w:t>
      </w:r>
      <w:bookmarkEnd w:id="54"/>
      <w:bookmarkEnd w:id="55"/>
      <w:r w:rsidR="007C2928" w:rsidRPr="002666A4">
        <w:rPr>
          <w:rFonts w:asciiTheme="minorHAnsi" w:hAnsiTheme="minorHAnsi" w:cstheme="minorHAnsi"/>
        </w:rPr>
        <w:tab/>
      </w:r>
    </w:p>
    <w:p w:rsidR="00D73AA3" w:rsidRPr="006D4988" w:rsidRDefault="00D73AA3" w:rsidP="00100B0F">
      <w:bookmarkStart w:id="56" w:name="_Toc402873936"/>
      <w:r w:rsidRPr="006D4988">
        <w:t xml:space="preserve">Option 2: Streamline Reporting Requirements (significant removal of remuneration data and reduced Schedule 2 components) is the best option for ensuring the reporting </w:t>
      </w:r>
      <w:r w:rsidR="00ED14F4" w:rsidRPr="006D4988">
        <w:t xml:space="preserve">requirements represent best value for effort, obtains robust data and drives change. This decision is based on the evidence from employers on their experience and the recommended option addresses many of the major concerns raised by employers. </w:t>
      </w:r>
      <w:r w:rsidR="00632BB2" w:rsidRPr="006D4988">
        <w:t>It also meets all the identified objectives of reporting</w:t>
      </w:r>
      <w:r w:rsidR="00860349">
        <w:t xml:space="preserve"> in that it</w:t>
      </w:r>
      <w:r w:rsidR="00632BB2" w:rsidRPr="006D4988">
        <w:t>:</w:t>
      </w:r>
      <w:bookmarkEnd w:id="56"/>
    </w:p>
    <w:p w:rsidR="00632BB2" w:rsidRPr="006D4988" w:rsidRDefault="00632BB2" w:rsidP="003E6551">
      <w:pPr>
        <w:pStyle w:val="ListParagraph"/>
        <w:numPr>
          <w:ilvl w:val="0"/>
          <w:numId w:val="38"/>
        </w:numPr>
        <w:spacing w:before="120" w:after="120" w:line="276" w:lineRule="auto"/>
        <w:ind w:left="714" w:hanging="357"/>
        <w:contextualSpacing w:val="0"/>
        <w:rPr>
          <w:rFonts w:asciiTheme="minorHAnsi" w:eastAsiaTheme="minorHAnsi" w:hAnsiTheme="minorHAnsi" w:cstheme="minorHAnsi"/>
          <w:sz w:val="22"/>
          <w:szCs w:val="22"/>
          <w:lang w:eastAsia="en-US"/>
        </w:rPr>
      </w:pPr>
      <w:r w:rsidRPr="006D4988">
        <w:rPr>
          <w:rFonts w:asciiTheme="minorHAnsi" w:eastAsiaTheme="minorHAnsi" w:hAnsiTheme="minorHAnsi" w:cstheme="minorHAnsi"/>
          <w:sz w:val="22"/>
          <w:szCs w:val="22"/>
          <w:lang w:eastAsia="en-US"/>
        </w:rPr>
        <w:t>strike</w:t>
      </w:r>
      <w:r w:rsidR="00E50629">
        <w:rPr>
          <w:rFonts w:asciiTheme="minorHAnsi" w:eastAsiaTheme="minorHAnsi" w:hAnsiTheme="minorHAnsi" w:cstheme="minorHAnsi"/>
          <w:sz w:val="22"/>
          <w:szCs w:val="22"/>
          <w:lang w:eastAsia="en-US"/>
        </w:rPr>
        <w:t>s</w:t>
      </w:r>
      <w:r w:rsidRPr="006D4988">
        <w:rPr>
          <w:rFonts w:asciiTheme="minorHAnsi" w:eastAsiaTheme="minorHAnsi" w:hAnsiTheme="minorHAnsi" w:cstheme="minorHAnsi"/>
          <w:sz w:val="22"/>
          <w:szCs w:val="22"/>
          <w:lang w:eastAsia="en-US"/>
        </w:rPr>
        <w:t xml:space="preserve"> a balance between the effort of reporting and the benefits gained for organisations</w:t>
      </w:r>
    </w:p>
    <w:p w:rsidR="00632BB2" w:rsidRPr="006D4988" w:rsidRDefault="00632BB2" w:rsidP="003E6551">
      <w:pPr>
        <w:pStyle w:val="ListParagraph"/>
        <w:numPr>
          <w:ilvl w:val="0"/>
          <w:numId w:val="38"/>
        </w:numPr>
        <w:spacing w:before="120" w:after="120" w:line="276" w:lineRule="auto"/>
        <w:ind w:left="714" w:hanging="357"/>
        <w:contextualSpacing w:val="0"/>
        <w:rPr>
          <w:rFonts w:asciiTheme="minorHAnsi" w:eastAsiaTheme="minorHAnsi" w:hAnsiTheme="minorHAnsi" w:cstheme="minorHAnsi"/>
          <w:sz w:val="22"/>
          <w:szCs w:val="22"/>
          <w:lang w:eastAsia="en-US"/>
        </w:rPr>
      </w:pPr>
      <w:r w:rsidRPr="006D4988">
        <w:rPr>
          <w:rFonts w:asciiTheme="minorHAnsi" w:eastAsiaTheme="minorHAnsi" w:hAnsiTheme="minorHAnsi" w:cstheme="minorHAnsi"/>
          <w:sz w:val="22"/>
          <w:szCs w:val="22"/>
          <w:lang w:eastAsia="en-US"/>
        </w:rPr>
        <w:t>provide</w:t>
      </w:r>
      <w:r w:rsidR="00E50629">
        <w:rPr>
          <w:rFonts w:asciiTheme="minorHAnsi" w:eastAsiaTheme="minorHAnsi" w:hAnsiTheme="minorHAnsi" w:cstheme="minorHAnsi"/>
          <w:sz w:val="22"/>
          <w:szCs w:val="22"/>
          <w:lang w:eastAsia="en-US"/>
        </w:rPr>
        <w:t>s</w:t>
      </w:r>
      <w:r w:rsidRPr="006D4988">
        <w:rPr>
          <w:rFonts w:asciiTheme="minorHAnsi" w:eastAsiaTheme="minorHAnsi" w:hAnsiTheme="minorHAnsi" w:cstheme="minorHAnsi"/>
          <w:sz w:val="22"/>
          <w:szCs w:val="22"/>
          <w:lang w:eastAsia="en-US"/>
        </w:rPr>
        <w:t xml:space="preserve"> individual organisations with information to assist in analysing gender equality in their organisations</w:t>
      </w:r>
    </w:p>
    <w:p w:rsidR="00632BB2" w:rsidRPr="006D4988" w:rsidRDefault="00632BB2" w:rsidP="003E6551">
      <w:pPr>
        <w:pStyle w:val="ListParagraph"/>
        <w:numPr>
          <w:ilvl w:val="0"/>
          <w:numId w:val="38"/>
        </w:numPr>
        <w:spacing w:before="120" w:after="120" w:line="276" w:lineRule="auto"/>
        <w:ind w:left="714" w:hanging="357"/>
        <w:contextualSpacing w:val="0"/>
        <w:rPr>
          <w:rFonts w:asciiTheme="minorHAnsi" w:eastAsiaTheme="minorHAnsi" w:hAnsiTheme="minorHAnsi" w:cstheme="minorHAnsi"/>
          <w:sz w:val="22"/>
          <w:szCs w:val="22"/>
          <w:lang w:eastAsia="en-US"/>
        </w:rPr>
      </w:pPr>
      <w:r w:rsidRPr="006D4988">
        <w:rPr>
          <w:rFonts w:asciiTheme="minorHAnsi" w:eastAsiaTheme="minorHAnsi" w:hAnsiTheme="minorHAnsi" w:cstheme="minorHAnsi"/>
          <w:sz w:val="22"/>
          <w:szCs w:val="22"/>
          <w:lang w:eastAsia="en-US"/>
        </w:rPr>
        <w:t>provide</w:t>
      </w:r>
      <w:r w:rsidR="00E50629">
        <w:rPr>
          <w:rFonts w:asciiTheme="minorHAnsi" w:eastAsiaTheme="minorHAnsi" w:hAnsiTheme="minorHAnsi" w:cstheme="minorHAnsi"/>
          <w:sz w:val="22"/>
          <w:szCs w:val="22"/>
          <w:lang w:eastAsia="en-US"/>
        </w:rPr>
        <w:t>s</w:t>
      </w:r>
      <w:r w:rsidRPr="006D4988">
        <w:rPr>
          <w:rFonts w:asciiTheme="minorHAnsi" w:eastAsiaTheme="minorHAnsi" w:hAnsiTheme="minorHAnsi" w:cstheme="minorHAnsi"/>
          <w:sz w:val="22"/>
          <w:szCs w:val="22"/>
          <w:lang w:eastAsia="en-US"/>
        </w:rPr>
        <w:t xml:space="preserve"> data that enables organisations to reliably compare their gender equality performance with other like organisations</w:t>
      </w:r>
    </w:p>
    <w:p w:rsidR="00D73AA3" w:rsidRPr="006D4988" w:rsidRDefault="00632BB2" w:rsidP="003E6551">
      <w:pPr>
        <w:pStyle w:val="ListParagraph"/>
        <w:numPr>
          <w:ilvl w:val="0"/>
          <w:numId w:val="38"/>
        </w:numPr>
        <w:spacing w:before="120" w:after="120" w:line="276" w:lineRule="auto"/>
        <w:ind w:left="714" w:hanging="357"/>
        <w:contextualSpacing w:val="0"/>
        <w:rPr>
          <w:rFonts w:asciiTheme="minorHAnsi" w:eastAsiaTheme="minorHAnsi" w:hAnsiTheme="minorHAnsi" w:cstheme="minorHAnsi"/>
          <w:sz w:val="22"/>
          <w:szCs w:val="22"/>
        </w:rPr>
      </w:pPr>
      <w:proofErr w:type="gramStart"/>
      <w:r w:rsidRPr="006D4988">
        <w:rPr>
          <w:rFonts w:asciiTheme="minorHAnsi" w:eastAsiaTheme="minorHAnsi" w:hAnsiTheme="minorHAnsi" w:cstheme="minorHAnsi"/>
          <w:sz w:val="22"/>
          <w:szCs w:val="22"/>
          <w:lang w:eastAsia="en-US"/>
        </w:rPr>
        <w:t>collect</w:t>
      </w:r>
      <w:r w:rsidR="00E50629">
        <w:rPr>
          <w:rFonts w:asciiTheme="minorHAnsi" w:eastAsiaTheme="minorHAnsi" w:hAnsiTheme="minorHAnsi" w:cstheme="minorHAnsi"/>
          <w:sz w:val="22"/>
          <w:szCs w:val="22"/>
          <w:lang w:eastAsia="en-US"/>
        </w:rPr>
        <w:t>s</w:t>
      </w:r>
      <w:proofErr w:type="gramEnd"/>
      <w:r w:rsidRPr="006D4988">
        <w:rPr>
          <w:rFonts w:asciiTheme="minorHAnsi" w:eastAsiaTheme="minorHAnsi" w:hAnsiTheme="minorHAnsi" w:cstheme="minorHAnsi"/>
          <w:sz w:val="22"/>
          <w:szCs w:val="22"/>
          <w:lang w:eastAsia="en-US"/>
        </w:rPr>
        <w:t xml:space="preserve"> core elements of workplace gender data to inform individual organisations, benchmark reports and helps identify where educational priorities of the Agency should be focused.</w:t>
      </w:r>
    </w:p>
    <w:p w:rsidR="002A294D" w:rsidRPr="006D4988" w:rsidRDefault="002A294D" w:rsidP="002A294D">
      <w:pPr>
        <w:spacing w:after="240"/>
        <w:rPr>
          <w:rFonts w:cstheme="minorHAnsi"/>
        </w:rPr>
      </w:pPr>
      <w:r w:rsidRPr="006D4988">
        <w:rPr>
          <w:rFonts w:cstheme="minorHAnsi"/>
        </w:rPr>
        <w:t>This option also strikes a balance between employer concerns and the non-business sector’s call for even more reporting.</w:t>
      </w:r>
    </w:p>
    <w:p w:rsidR="002666A4" w:rsidRPr="002666A4" w:rsidRDefault="00A14472" w:rsidP="000404B7">
      <w:pPr>
        <w:pStyle w:val="Heading1"/>
        <w:spacing w:before="240"/>
        <w:rPr>
          <w:rFonts w:asciiTheme="minorHAnsi" w:hAnsiTheme="minorHAnsi" w:cstheme="minorHAnsi"/>
        </w:rPr>
      </w:pPr>
      <w:bookmarkStart w:id="57" w:name="_Toc404158273"/>
      <w:bookmarkStart w:id="58" w:name="_Toc405895175"/>
      <w:r w:rsidRPr="002666A4">
        <w:rPr>
          <w:rFonts w:asciiTheme="minorHAnsi" w:hAnsiTheme="minorHAnsi" w:cstheme="minorHAnsi"/>
        </w:rPr>
        <w:t xml:space="preserve">Implementation and </w:t>
      </w:r>
      <w:r w:rsidR="00EA2450" w:rsidRPr="002666A4">
        <w:rPr>
          <w:rFonts w:asciiTheme="minorHAnsi" w:hAnsiTheme="minorHAnsi" w:cstheme="minorHAnsi"/>
        </w:rPr>
        <w:t>R</w:t>
      </w:r>
      <w:r w:rsidRPr="002666A4">
        <w:rPr>
          <w:rFonts w:asciiTheme="minorHAnsi" w:hAnsiTheme="minorHAnsi" w:cstheme="minorHAnsi"/>
        </w:rPr>
        <w:t>eview</w:t>
      </w:r>
      <w:bookmarkEnd w:id="57"/>
      <w:bookmarkEnd w:id="58"/>
    </w:p>
    <w:p w:rsidR="00226E3F" w:rsidRPr="002666A4" w:rsidRDefault="00226E3F" w:rsidP="002666A4">
      <w:pPr>
        <w:rPr>
          <w:rFonts w:cstheme="majorBidi"/>
        </w:rPr>
      </w:pPr>
      <w:r w:rsidRPr="006D4988">
        <w:t>The recommend</w:t>
      </w:r>
      <w:r w:rsidR="00270456">
        <w:t>ed</w:t>
      </w:r>
      <w:r w:rsidRPr="006D4988">
        <w:t xml:space="preserve"> option requires legislative changes to the Instrument. For the changes to take effect, an amend</w:t>
      </w:r>
      <w:r w:rsidR="00270456">
        <w:t xml:space="preserve">ment to the Instrument (which would be a </w:t>
      </w:r>
      <w:r w:rsidRPr="006D4988">
        <w:t xml:space="preserve">disallowable </w:t>
      </w:r>
      <w:r w:rsidR="00270456">
        <w:t>legislative i</w:t>
      </w:r>
      <w:r w:rsidRPr="006D4988">
        <w:t>nstrument</w:t>
      </w:r>
      <w:r w:rsidR="00270456">
        <w:t>)</w:t>
      </w:r>
      <w:r w:rsidRPr="006D4988">
        <w:t xml:space="preserve"> must be signed by the Minister for Employment</w:t>
      </w:r>
      <w:r w:rsidR="00270456">
        <w:t xml:space="preserve"> and</w:t>
      </w:r>
      <w:r w:rsidRPr="006D4988" w:rsidDel="00EC21CC">
        <w:t xml:space="preserve"> </w:t>
      </w:r>
      <w:r w:rsidRPr="006D4988">
        <w:t xml:space="preserve">registered on the Federal Register of Legislative Instruments before 1 April 2015. While a disallowable period will be in place until 15 sitting days (for both houses) has elapsed, the effect of the amended Instrument will be to change the reporting requirements for </w:t>
      </w:r>
      <w:r w:rsidR="00C93FD1" w:rsidRPr="006D4988">
        <w:t xml:space="preserve">the </w:t>
      </w:r>
      <w:r w:rsidRPr="006D4988">
        <w:t>2015–16 reporting period. The reports for this period would be due to the Agency following the completion of the reporting period on 31 March 2016.</w:t>
      </w:r>
    </w:p>
    <w:p w:rsidR="00226E3F" w:rsidRPr="006D4988" w:rsidRDefault="00226E3F" w:rsidP="00226E3F">
      <w:pPr>
        <w:rPr>
          <w:rFonts w:cstheme="minorHAnsi"/>
        </w:rPr>
      </w:pPr>
      <w:r w:rsidRPr="006D4988">
        <w:rPr>
          <w:rFonts w:cstheme="minorHAnsi"/>
        </w:rPr>
        <w:lastRenderedPageBreak/>
        <w:t xml:space="preserve">The Agency is responsible for administering the Act and Instrument and </w:t>
      </w:r>
      <w:r w:rsidR="00860349">
        <w:rPr>
          <w:rFonts w:cstheme="minorHAnsi"/>
        </w:rPr>
        <w:t xml:space="preserve">it </w:t>
      </w:r>
      <w:r w:rsidRPr="006D4988">
        <w:rPr>
          <w:rFonts w:cstheme="minorHAnsi"/>
        </w:rPr>
        <w:t xml:space="preserve">will </w:t>
      </w:r>
      <w:r w:rsidRPr="006D4988" w:rsidDel="00EC21CC">
        <w:rPr>
          <w:rFonts w:cstheme="minorHAnsi"/>
        </w:rPr>
        <w:t xml:space="preserve">be </w:t>
      </w:r>
      <w:r w:rsidRPr="006D4988" w:rsidDel="00E42559">
        <w:rPr>
          <w:rFonts w:cstheme="minorHAnsi"/>
        </w:rPr>
        <w:t xml:space="preserve">required </w:t>
      </w:r>
      <w:r w:rsidRPr="006D4988">
        <w:rPr>
          <w:rFonts w:cstheme="minorHAnsi"/>
        </w:rPr>
        <w:t xml:space="preserve">to make changes to reporting templates and systems to ensure that the amendments are implemented as well as informing relevant employers of the revised requirements. </w:t>
      </w:r>
    </w:p>
    <w:p w:rsidR="00C93FD1" w:rsidRPr="006D4988" w:rsidRDefault="00C93FD1" w:rsidP="00226E3F">
      <w:pPr>
        <w:rPr>
          <w:rFonts w:cstheme="minorHAnsi"/>
        </w:rPr>
      </w:pPr>
      <w:r w:rsidRPr="006D4988">
        <w:rPr>
          <w:rFonts w:cstheme="minorHAnsi"/>
        </w:rPr>
        <w:t xml:space="preserve">In addition, the Agency will review processes and educational material to assist employers to report against the requirements with as much ease as possible. </w:t>
      </w:r>
    </w:p>
    <w:p w:rsidR="00226E3F" w:rsidRPr="000404B7" w:rsidRDefault="00226E3F" w:rsidP="000404B7">
      <w:pPr>
        <w:spacing w:before="200" w:after="0"/>
        <w:rPr>
          <w:rFonts w:eastAsiaTheme="majorEastAsia" w:cstheme="minorHAnsi"/>
          <w:b/>
          <w:bCs/>
          <w:color w:val="4F81BD" w:themeColor="accent1"/>
        </w:rPr>
      </w:pPr>
      <w:r w:rsidRPr="000404B7">
        <w:rPr>
          <w:rFonts w:eastAsiaTheme="majorEastAsia" w:cstheme="minorHAnsi"/>
          <w:b/>
          <w:bCs/>
          <w:color w:val="4F81BD" w:themeColor="accent1"/>
        </w:rPr>
        <w:t>Review</w:t>
      </w:r>
    </w:p>
    <w:p w:rsidR="00226E3F" w:rsidRPr="006D4988" w:rsidRDefault="00226E3F" w:rsidP="00226E3F">
      <w:pPr>
        <w:rPr>
          <w:rFonts w:cstheme="minorHAnsi"/>
        </w:rPr>
      </w:pPr>
      <w:r w:rsidRPr="006D4988">
        <w:rPr>
          <w:rFonts w:cstheme="minorHAnsi"/>
        </w:rPr>
        <w:t xml:space="preserve">The 2011 </w:t>
      </w:r>
      <w:proofErr w:type="spellStart"/>
      <w:r w:rsidRPr="006D4988">
        <w:rPr>
          <w:rFonts w:cstheme="minorHAnsi"/>
        </w:rPr>
        <w:t>RIS</w:t>
      </w:r>
      <w:proofErr w:type="spellEnd"/>
      <w:r w:rsidRPr="006D4988">
        <w:rPr>
          <w:rFonts w:cstheme="minorHAnsi"/>
        </w:rPr>
        <w:t xml:space="preserve"> for the ‘Reform of the </w:t>
      </w:r>
      <w:r w:rsidRPr="006D4988">
        <w:rPr>
          <w:rFonts w:cstheme="minorHAnsi"/>
          <w:i/>
        </w:rPr>
        <w:t>Equal Opportunity for Women in the Workplace Act 1999’</w:t>
      </w:r>
      <w:r w:rsidRPr="006D4988">
        <w:rPr>
          <w:rFonts w:cstheme="minorHAnsi"/>
        </w:rPr>
        <w:t xml:space="preserve"> set a review of the legislation for 2015–16 to examine</w:t>
      </w:r>
      <w:r w:rsidR="00860349">
        <w:rPr>
          <w:rFonts w:cstheme="minorHAnsi"/>
        </w:rPr>
        <w:t>:</w:t>
      </w:r>
      <w:r w:rsidRPr="006D4988">
        <w:rPr>
          <w:rFonts w:cstheme="minorHAnsi"/>
        </w:rPr>
        <w:t xml:space="preserve"> whether the problem of gender inequality in the workplace was adequately identified and estimated in the original assessment; the impact that government intervention has had on increasing gender equality</w:t>
      </w:r>
      <w:r w:rsidR="00860349">
        <w:rPr>
          <w:rFonts w:cstheme="minorHAnsi"/>
        </w:rPr>
        <w:t>;</w:t>
      </w:r>
      <w:r w:rsidRPr="006D4988">
        <w:rPr>
          <w:rFonts w:cstheme="minorHAnsi"/>
        </w:rPr>
        <w:t xml:space="preserve"> and whether intervention is still appropriate</w:t>
      </w:r>
      <w:r w:rsidR="00EE769F">
        <w:rPr>
          <w:rFonts w:cstheme="minorHAnsi"/>
        </w:rPr>
        <w:t>.</w:t>
      </w:r>
      <w:r w:rsidR="00AF56BC" w:rsidRPr="006D4988">
        <w:rPr>
          <w:rFonts w:cstheme="minorHAnsi"/>
          <w:i/>
          <w:vertAlign w:val="superscript"/>
        </w:rPr>
        <w:footnoteReference w:id="10"/>
      </w:r>
      <w:r w:rsidRPr="006D4988">
        <w:rPr>
          <w:rFonts w:cstheme="minorHAnsi"/>
          <w:i/>
          <w:vertAlign w:val="superscript"/>
        </w:rPr>
        <w:t xml:space="preserve"> </w:t>
      </w:r>
    </w:p>
    <w:p w:rsidR="002736FC" w:rsidRDefault="00226E3F" w:rsidP="00226E3F">
      <w:pPr>
        <w:rPr>
          <w:rFonts w:cstheme="minorHAnsi"/>
        </w:rPr>
        <w:sectPr w:rsidR="002736FC" w:rsidSect="006C2DD3">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567" w:footer="567" w:gutter="0"/>
          <w:cols w:space="720"/>
          <w:docGrid w:linePitch="299"/>
        </w:sectPr>
      </w:pPr>
      <w:r w:rsidRPr="006D4988">
        <w:rPr>
          <w:rFonts w:cstheme="minorHAnsi"/>
        </w:rPr>
        <w:t>Since the legislation is under review before 2015–16, it is proposed that a post</w:t>
      </w:r>
      <w:r w:rsidR="00860349">
        <w:rPr>
          <w:rFonts w:cstheme="minorHAnsi"/>
        </w:rPr>
        <w:t>-</w:t>
      </w:r>
      <w:r w:rsidRPr="006D4988">
        <w:rPr>
          <w:rFonts w:cstheme="minorHAnsi"/>
        </w:rPr>
        <w:t>implementation review be conducted in 2018–19, or within three years of the proposed changes being implemented.</w:t>
      </w:r>
    </w:p>
    <w:p w:rsidR="006F723F" w:rsidRPr="0081016D" w:rsidRDefault="0081016D" w:rsidP="006341FB">
      <w:pPr>
        <w:rPr>
          <w:rFonts w:cstheme="minorHAnsi"/>
          <w:lang w:eastAsia="en-AU"/>
        </w:rPr>
      </w:pPr>
      <w:bookmarkStart w:id="59" w:name="_Toc404158274"/>
      <w:bookmarkStart w:id="60" w:name="_Toc405895176"/>
      <w:r w:rsidRPr="006341FB">
        <w:rPr>
          <w:rStyle w:val="Heading1Char"/>
          <w:rFonts w:asciiTheme="minorHAnsi" w:hAnsiTheme="minorHAnsi"/>
        </w:rPr>
        <w:lastRenderedPageBreak/>
        <w:t xml:space="preserve">Appendix </w:t>
      </w:r>
      <w:proofErr w:type="gramStart"/>
      <w:r w:rsidRPr="006341FB">
        <w:rPr>
          <w:rStyle w:val="Heading1Char"/>
          <w:rFonts w:asciiTheme="minorHAnsi" w:hAnsiTheme="minorHAnsi"/>
        </w:rPr>
        <w:t>A</w:t>
      </w:r>
      <w:proofErr w:type="gramEnd"/>
      <w:r w:rsidRPr="006341FB">
        <w:rPr>
          <w:rStyle w:val="Heading1Char"/>
          <w:rFonts w:asciiTheme="minorHAnsi" w:hAnsiTheme="minorHAnsi"/>
        </w:rPr>
        <w:t xml:space="preserve"> – Schedule 1 and 2 Reporting Requirements</w:t>
      </w:r>
      <w:bookmarkEnd w:id="59"/>
      <w:bookmarkEnd w:id="60"/>
    </w:p>
    <w:tbl>
      <w:tblPr>
        <w:tblStyle w:val="TableGrid"/>
        <w:tblW w:w="0" w:type="auto"/>
        <w:tblLook w:val="04A0" w:firstRow="1" w:lastRow="0" w:firstColumn="1" w:lastColumn="0" w:noHBand="0" w:noVBand="1"/>
        <w:tblCaption w:val="Appendix A Schedule 1 and 2 Reporting Requirements"/>
        <w:tblDescription w:val="Outlines the reporting requirements under each of the six Gender Equality Indicators for both Schedule 1 and Schedule 2 of the current Legislative Instrument."/>
      </w:tblPr>
      <w:tblGrid>
        <w:gridCol w:w="4013"/>
        <w:gridCol w:w="6364"/>
        <w:gridCol w:w="3841"/>
      </w:tblGrid>
      <w:tr w:rsidR="0081016D" w:rsidRPr="00145A45" w:rsidTr="00EF7BF2">
        <w:trPr>
          <w:cantSplit/>
          <w:tblHeader/>
        </w:trPr>
        <w:tc>
          <w:tcPr>
            <w:tcW w:w="0" w:type="auto"/>
          </w:tcPr>
          <w:p w:rsidR="0081016D" w:rsidRPr="00145A45" w:rsidRDefault="009E799B" w:rsidP="00A24692">
            <w:pPr>
              <w:rPr>
                <w:rFonts w:asciiTheme="minorHAnsi" w:eastAsia="Calibri" w:hAnsiTheme="minorHAnsi" w:cstheme="minorHAnsi"/>
                <w:b/>
                <w:sz w:val="22"/>
                <w:szCs w:val="22"/>
                <w:lang w:val="en-US"/>
              </w:rPr>
            </w:pPr>
            <w:r w:rsidRPr="00145A45">
              <w:rPr>
                <w:rFonts w:asciiTheme="minorHAnsi" w:eastAsia="Calibri" w:hAnsiTheme="minorHAnsi" w:cstheme="minorHAnsi"/>
                <w:b/>
                <w:sz w:val="22"/>
                <w:szCs w:val="22"/>
              </w:rPr>
              <w:t xml:space="preserve">Gender Equality Indicators </w:t>
            </w:r>
          </w:p>
        </w:tc>
        <w:tc>
          <w:tcPr>
            <w:tcW w:w="0" w:type="auto"/>
          </w:tcPr>
          <w:p w:rsidR="0081016D" w:rsidRPr="00145A45" w:rsidRDefault="0081016D" w:rsidP="00860349">
            <w:pPr>
              <w:rPr>
                <w:rFonts w:asciiTheme="minorHAnsi" w:eastAsia="Calibri" w:hAnsiTheme="minorHAnsi" w:cstheme="minorHAnsi"/>
                <w:b/>
                <w:sz w:val="22"/>
                <w:szCs w:val="22"/>
                <w:lang w:val="en-US"/>
              </w:rPr>
            </w:pPr>
            <w:r w:rsidRPr="00145A45">
              <w:rPr>
                <w:rFonts w:asciiTheme="minorHAnsi" w:eastAsia="Calibri" w:hAnsiTheme="minorHAnsi" w:cstheme="minorHAnsi"/>
                <w:b/>
                <w:sz w:val="22"/>
                <w:szCs w:val="22"/>
              </w:rPr>
              <w:t>Schedule 1</w:t>
            </w:r>
            <w:r w:rsidR="00860349">
              <w:rPr>
                <w:rFonts w:asciiTheme="minorHAnsi" w:eastAsia="Calibri" w:hAnsiTheme="minorHAnsi" w:cstheme="minorHAnsi"/>
                <w:b/>
                <w:sz w:val="22"/>
                <w:szCs w:val="22"/>
              </w:rPr>
              <w:t>–</w:t>
            </w:r>
            <w:r w:rsidRPr="00145A45">
              <w:rPr>
                <w:rFonts w:asciiTheme="minorHAnsi" w:eastAsia="Calibri" w:hAnsiTheme="minorHAnsi" w:cstheme="minorHAnsi"/>
                <w:b/>
                <w:sz w:val="22"/>
                <w:szCs w:val="22"/>
              </w:rPr>
              <w:t xml:space="preserve"> reporting requirements</w:t>
            </w:r>
          </w:p>
        </w:tc>
        <w:tc>
          <w:tcPr>
            <w:tcW w:w="0" w:type="auto"/>
          </w:tcPr>
          <w:p w:rsidR="0081016D" w:rsidRPr="00145A45" w:rsidRDefault="0081016D" w:rsidP="00860349">
            <w:pPr>
              <w:rPr>
                <w:rFonts w:asciiTheme="minorHAnsi" w:eastAsia="Calibri" w:hAnsiTheme="minorHAnsi" w:cstheme="minorHAnsi"/>
                <w:b/>
                <w:sz w:val="22"/>
                <w:szCs w:val="22"/>
                <w:lang w:val="en-US"/>
              </w:rPr>
            </w:pPr>
            <w:r w:rsidRPr="00145A45">
              <w:rPr>
                <w:rFonts w:asciiTheme="minorHAnsi" w:eastAsia="Calibri" w:hAnsiTheme="minorHAnsi" w:cstheme="minorHAnsi"/>
                <w:b/>
                <w:sz w:val="22"/>
                <w:szCs w:val="22"/>
              </w:rPr>
              <w:t>Schedule 2 – additional reporting requirements</w:t>
            </w:r>
          </w:p>
        </w:tc>
      </w:tr>
      <w:tr w:rsidR="0081016D" w:rsidRPr="00145A45" w:rsidTr="00EF7BF2">
        <w:trPr>
          <w:cantSplit/>
        </w:trPr>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 xml:space="preserve">Indicator One: </w:t>
            </w:r>
          </w:p>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 xml:space="preserve">Gender </w:t>
            </w:r>
            <w:r w:rsidR="00860349">
              <w:rPr>
                <w:rFonts w:asciiTheme="minorHAnsi" w:hAnsiTheme="minorHAnsi" w:cstheme="minorHAnsi"/>
                <w:sz w:val="22"/>
                <w:szCs w:val="22"/>
              </w:rPr>
              <w:t>c</w:t>
            </w:r>
            <w:r w:rsidR="00860349" w:rsidRPr="00145A45">
              <w:rPr>
                <w:rFonts w:asciiTheme="minorHAnsi" w:hAnsiTheme="minorHAnsi" w:cstheme="minorHAnsi"/>
                <w:sz w:val="22"/>
                <w:szCs w:val="22"/>
              </w:rPr>
              <w:t xml:space="preserve">omposition </w:t>
            </w:r>
            <w:r w:rsidRPr="00145A45">
              <w:rPr>
                <w:rFonts w:asciiTheme="minorHAnsi" w:hAnsiTheme="minorHAnsi" w:cstheme="minorHAnsi"/>
                <w:sz w:val="22"/>
                <w:szCs w:val="22"/>
              </w:rPr>
              <w:t xml:space="preserve">of the </w:t>
            </w:r>
            <w:r w:rsidR="00860349">
              <w:rPr>
                <w:rFonts w:asciiTheme="minorHAnsi" w:hAnsiTheme="minorHAnsi" w:cstheme="minorHAnsi"/>
                <w:sz w:val="22"/>
                <w:szCs w:val="22"/>
              </w:rPr>
              <w:t>w</w:t>
            </w:r>
            <w:r w:rsidR="00860349" w:rsidRPr="00145A45">
              <w:rPr>
                <w:rFonts w:asciiTheme="minorHAnsi" w:hAnsiTheme="minorHAnsi" w:cstheme="minorHAnsi"/>
                <w:sz w:val="22"/>
                <w:szCs w:val="22"/>
              </w:rPr>
              <w:t>orkforce</w:t>
            </w:r>
          </w:p>
          <w:p w:rsidR="0081016D" w:rsidRPr="00145A45" w:rsidRDefault="0081016D" w:rsidP="00A24692">
            <w:pPr>
              <w:rPr>
                <w:rFonts w:asciiTheme="minorHAnsi" w:hAnsiTheme="minorHAnsi" w:cstheme="minorHAnsi"/>
                <w:sz w:val="22"/>
                <w:szCs w:val="22"/>
              </w:rPr>
            </w:pPr>
          </w:p>
        </w:tc>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Provide data by gender:</w:t>
            </w:r>
          </w:p>
          <w:p w:rsidR="0081016D" w:rsidRPr="00145A45" w:rsidRDefault="0081016D" w:rsidP="00A24692">
            <w:pPr>
              <w:numPr>
                <w:ilvl w:val="0"/>
                <w:numId w:val="3"/>
              </w:numPr>
              <w:contextualSpacing/>
              <w:rPr>
                <w:rFonts w:asciiTheme="minorHAnsi" w:hAnsiTheme="minorHAnsi" w:cstheme="minorHAnsi"/>
                <w:sz w:val="22"/>
                <w:szCs w:val="22"/>
              </w:rPr>
            </w:pPr>
            <w:r w:rsidRPr="00145A45">
              <w:rPr>
                <w:rFonts w:asciiTheme="minorHAnsi" w:hAnsiTheme="minorHAnsi" w:cstheme="minorHAnsi"/>
                <w:sz w:val="22"/>
                <w:szCs w:val="22"/>
              </w:rPr>
              <w:t>on the employment status of part-time, full-time, permanent,</w:t>
            </w:r>
            <w:r w:rsidR="00614361">
              <w:rPr>
                <w:rFonts w:asciiTheme="minorHAnsi" w:hAnsiTheme="minorHAnsi" w:cstheme="minorHAnsi"/>
                <w:sz w:val="22"/>
                <w:szCs w:val="22"/>
              </w:rPr>
              <w:t xml:space="preserve"> casual, and contract employees</w:t>
            </w:r>
            <w:r w:rsidRPr="00145A45">
              <w:rPr>
                <w:rFonts w:asciiTheme="minorHAnsi" w:hAnsiTheme="minorHAnsi" w:cstheme="minorHAnsi"/>
                <w:sz w:val="22"/>
                <w:szCs w:val="22"/>
              </w:rPr>
              <w:t xml:space="preserve"> </w:t>
            </w:r>
          </w:p>
          <w:p w:rsidR="0081016D" w:rsidRPr="00145A45" w:rsidRDefault="0081016D" w:rsidP="00A24692">
            <w:pPr>
              <w:numPr>
                <w:ilvl w:val="0"/>
                <w:numId w:val="3"/>
              </w:numPr>
              <w:contextualSpacing/>
              <w:rPr>
                <w:rFonts w:asciiTheme="minorHAnsi" w:hAnsiTheme="minorHAnsi" w:cstheme="minorHAnsi"/>
                <w:sz w:val="22"/>
                <w:szCs w:val="22"/>
              </w:rPr>
            </w:pPr>
            <w:proofErr w:type="gramStart"/>
            <w:r w:rsidRPr="00145A45">
              <w:rPr>
                <w:rFonts w:asciiTheme="minorHAnsi" w:hAnsiTheme="minorHAnsi" w:cstheme="minorHAnsi"/>
                <w:sz w:val="22"/>
                <w:szCs w:val="22"/>
              </w:rPr>
              <w:t>on</w:t>
            </w:r>
            <w:proofErr w:type="gramEnd"/>
            <w:r w:rsidRPr="00145A45">
              <w:rPr>
                <w:rFonts w:asciiTheme="minorHAnsi" w:hAnsiTheme="minorHAnsi" w:cstheme="minorHAnsi"/>
                <w:sz w:val="22"/>
                <w:szCs w:val="22"/>
              </w:rPr>
              <w:t xml:space="preserve"> the occupational categories of manager and non-manager in the workplace.</w:t>
            </w:r>
          </w:p>
          <w:p w:rsidR="0081016D" w:rsidRPr="00145A45" w:rsidRDefault="0081016D" w:rsidP="00860349">
            <w:pPr>
              <w:rPr>
                <w:rFonts w:asciiTheme="minorHAnsi" w:hAnsiTheme="minorHAnsi" w:cstheme="minorHAnsi"/>
                <w:sz w:val="22"/>
                <w:szCs w:val="22"/>
              </w:rPr>
            </w:pPr>
            <w:r w:rsidRPr="00145A45">
              <w:rPr>
                <w:rFonts w:asciiTheme="minorHAnsi" w:hAnsiTheme="minorHAnsi" w:cstheme="minorHAnsi"/>
                <w:sz w:val="22"/>
                <w:szCs w:val="22"/>
              </w:rPr>
              <w:t>Report on whether the organisation has strategies or policies in place that support gender equality including, for example: gender</w:t>
            </w:r>
            <w:r w:rsidR="00860349">
              <w:rPr>
                <w:rFonts w:asciiTheme="minorHAnsi" w:hAnsiTheme="minorHAnsi" w:cstheme="minorHAnsi"/>
                <w:sz w:val="22"/>
                <w:szCs w:val="22"/>
              </w:rPr>
              <w:noBreakHyphen/>
            </w:r>
            <w:r w:rsidRPr="00145A45">
              <w:rPr>
                <w:rFonts w:asciiTheme="minorHAnsi" w:hAnsiTheme="minorHAnsi" w:cstheme="minorHAnsi"/>
                <w:sz w:val="22"/>
                <w:szCs w:val="22"/>
              </w:rPr>
              <w:t>based employee networks; targeted gender-based program</w:t>
            </w:r>
            <w:r w:rsidR="00860349">
              <w:rPr>
                <w:rFonts w:asciiTheme="minorHAnsi" w:hAnsiTheme="minorHAnsi" w:cstheme="minorHAnsi"/>
                <w:sz w:val="22"/>
                <w:szCs w:val="22"/>
              </w:rPr>
              <w:t>me</w:t>
            </w:r>
            <w:r w:rsidRPr="00145A45">
              <w:rPr>
                <w:rFonts w:asciiTheme="minorHAnsi" w:hAnsiTheme="minorHAnsi" w:cstheme="minorHAnsi"/>
                <w:sz w:val="22"/>
                <w:szCs w:val="22"/>
              </w:rPr>
              <w:t>s relating to recruitment, retention or development; key performance indicators for managers relating to gender equality; or special measures to support women or men working in a non-traditional occupation or industry.</w:t>
            </w:r>
          </w:p>
        </w:tc>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Provide data by gender:</w:t>
            </w:r>
          </w:p>
          <w:p w:rsidR="0081016D" w:rsidRPr="00145A45" w:rsidRDefault="0081016D" w:rsidP="00A24692">
            <w:pPr>
              <w:numPr>
                <w:ilvl w:val="0"/>
                <w:numId w:val="3"/>
              </w:numPr>
              <w:contextualSpacing/>
              <w:rPr>
                <w:rFonts w:asciiTheme="minorHAnsi" w:hAnsiTheme="minorHAnsi" w:cstheme="minorHAnsi"/>
                <w:sz w:val="22"/>
                <w:szCs w:val="22"/>
              </w:rPr>
            </w:pPr>
            <w:r w:rsidRPr="00145A45">
              <w:rPr>
                <w:rFonts w:asciiTheme="minorHAnsi" w:hAnsiTheme="minorHAnsi" w:cstheme="minorHAnsi"/>
                <w:sz w:val="22"/>
                <w:szCs w:val="22"/>
              </w:rPr>
              <w:t xml:space="preserve">on the composition of applications for recruitment exercises, interviewees and successful applicants appointed to positions by manager/non-manager status </w:t>
            </w:r>
          </w:p>
          <w:p w:rsidR="0081016D" w:rsidRPr="00145A45" w:rsidRDefault="0081016D" w:rsidP="00A24692">
            <w:pPr>
              <w:numPr>
                <w:ilvl w:val="0"/>
                <w:numId w:val="3"/>
              </w:numPr>
              <w:contextualSpacing/>
              <w:rPr>
                <w:rFonts w:asciiTheme="minorHAnsi" w:hAnsiTheme="minorHAnsi" w:cstheme="minorHAnsi"/>
                <w:sz w:val="22"/>
                <w:szCs w:val="22"/>
              </w:rPr>
            </w:pPr>
            <w:r w:rsidRPr="00145A45">
              <w:rPr>
                <w:rFonts w:asciiTheme="minorHAnsi" w:hAnsiTheme="minorHAnsi" w:cstheme="minorHAnsi"/>
                <w:sz w:val="22"/>
                <w:szCs w:val="22"/>
              </w:rPr>
              <w:t>on the number and proportion of employees awarded promotions by employment status, and by manager/non-manager status</w:t>
            </w:r>
          </w:p>
          <w:p w:rsidR="0081016D" w:rsidRPr="00145A45" w:rsidRDefault="0081016D" w:rsidP="00614361">
            <w:pPr>
              <w:numPr>
                <w:ilvl w:val="0"/>
                <w:numId w:val="3"/>
              </w:numPr>
              <w:contextualSpacing/>
              <w:rPr>
                <w:rFonts w:asciiTheme="minorHAnsi" w:hAnsiTheme="minorHAnsi" w:cstheme="minorHAnsi"/>
                <w:sz w:val="22"/>
                <w:szCs w:val="22"/>
              </w:rPr>
            </w:pPr>
            <w:proofErr w:type="gramStart"/>
            <w:r w:rsidRPr="00145A45">
              <w:rPr>
                <w:rFonts w:asciiTheme="minorHAnsi" w:hAnsiTheme="minorHAnsi" w:cstheme="minorHAnsi"/>
                <w:sz w:val="22"/>
                <w:szCs w:val="22"/>
              </w:rPr>
              <w:t>on</w:t>
            </w:r>
            <w:proofErr w:type="gramEnd"/>
            <w:r w:rsidRPr="00145A45">
              <w:rPr>
                <w:rFonts w:asciiTheme="minorHAnsi" w:hAnsiTheme="minorHAnsi" w:cstheme="minorHAnsi"/>
                <w:sz w:val="22"/>
                <w:szCs w:val="22"/>
              </w:rPr>
              <w:t xml:space="preserve"> the number and proportion of employees who have resigned by employment status and by manager/non-manager status.</w:t>
            </w:r>
          </w:p>
        </w:tc>
      </w:tr>
      <w:tr w:rsidR="0081016D" w:rsidRPr="00145A45" w:rsidTr="00EF7BF2">
        <w:trPr>
          <w:cantSplit/>
        </w:trPr>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 xml:space="preserve">Indicator Two: </w:t>
            </w:r>
          </w:p>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Gender composition of governing bodies of relevant employers</w:t>
            </w:r>
          </w:p>
          <w:p w:rsidR="0081016D" w:rsidRPr="00145A45" w:rsidRDefault="0081016D" w:rsidP="00A24692">
            <w:pPr>
              <w:rPr>
                <w:rFonts w:asciiTheme="minorHAnsi" w:hAnsiTheme="minorHAnsi" w:cstheme="minorHAnsi"/>
                <w:sz w:val="22"/>
                <w:szCs w:val="22"/>
              </w:rPr>
            </w:pPr>
          </w:p>
        </w:tc>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Report on:</w:t>
            </w:r>
          </w:p>
          <w:p w:rsidR="0081016D" w:rsidRPr="00145A45" w:rsidRDefault="0081016D" w:rsidP="00A24692">
            <w:pPr>
              <w:numPr>
                <w:ilvl w:val="0"/>
                <w:numId w:val="8"/>
              </w:numPr>
              <w:contextualSpacing/>
              <w:rPr>
                <w:rFonts w:asciiTheme="minorHAnsi" w:hAnsiTheme="minorHAnsi" w:cstheme="minorHAnsi"/>
                <w:sz w:val="22"/>
                <w:szCs w:val="22"/>
              </w:rPr>
            </w:pPr>
            <w:proofErr w:type="gramStart"/>
            <w:r w:rsidRPr="00145A45">
              <w:rPr>
                <w:rFonts w:asciiTheme="minorHAnsi" w:hAnsiTheme="minorHAnsi" w:cstheme="minorHAnsi"/>
                <w:sz w:val="22"/>
                <w:szCs w:val="22"/>
              </w:rPr>
              <w:t>whether</w:t>
            </w:r>
            <w:proofErr w:type="gramEnd"/>
            <w:r w:rsidRPr="00145A45">
              <w:rPr>
                <w:rFonts w:asciiTheme="minorHAnsi" w:hAnsiTheme="minorHAnsi" w:cstheme="minorHAnsi"/>
                <w:sz w:val="22"/>
                <w:szCs w:val="22"/>
              </w:rPr>
              <w:t xml:space="preserve"> the organisation has a governing body and</w:t>
            </w:r>
            <w:r w:rsidR="00860349">
              <w:rPr>
                <w:rFonts w:asciiTheme="minorHAnsi" w:hAnsiTheme="minorHAnsi" w:cstheme="minorHAnsi"/>
                <w:sz w:val="22"/>
                <w:szCs w:val="22"/>
              </w:rPr>
              <w:t>,</w:t>
            </w:r>
            <w:r w:rsidRPr="00145A45">
              <w:rPr>
                <w:rFonts w:asciiTheme="minorHAnsi" w:hAnsiTheme="minorHAnsi" w:cstheme="minorHAnsi"/>
                <w:sz w:val="22"/>
                <w:szCs w:val="22"/>
              </w:rPr>
              <w:t xml:space="preserve"> if so, provide information about the gender profile of the governing body.</w:t>
            </w:r>
          </w:p>
          <w:p w:rsidR="0081016D" w:rsidRPr="00145A45" w:rsidRDefault="0081016D" w:rsidP="00860349">
            <w:pPr>
              <w:numPr>
                <w:ilvl w:val="0"/>
                <w:numId w:val="4"/>
              </w:numPr>
              <w:contextualSpacing/>
              <w:rPr>
                <w:rFonts w:asciiTheme="minorHAnsi" w:hAnsiTheme="minorHAnsi" w:cstheme="minorHAnsi"/>
                <w:sz w:val="22"/>
                <w:szCs w:val="22"/>
              </w:rPr>
            </w:pPr>
            <w:proofErr w:type="gramStart"/>
            <w:r w:rsidRPr="00145A45">
              <w:rPr>
                <w:rFonts w:asciiTheme="minorHAnsi" w:hAnsiTheme="minorHAnsi" w:cstheme="minorHAnsi"/>
                <w:sz w:val="22"/>
                <w:szCs w:val="22"/>
              </w:rPr>
              <w:t>whether</w:t>
            </w:r>
            <w:proofErr w:type="gramEnd"/>
            <w:r w:rsidRPr="00145A45">
              <w:rPr>
                <w:rFonts w:asciiTheme="minorHAnsi" w:hAnsiTheme="minorHAnsi" w:cstheme="minorHAnsi"/>
                <w:sz w:val="22"/>
                <w:szCs w:val="22"/>
              </w:rPr>
              <w:t xml:space="preserve"> the organisation has any targets in place in relation to the gender composition of its governing bodies and whether there is a formal, merit</w:t>
            </w:r>
            <w:r w:rsidR="00860349">
              <w:rPr>
                <w:rFonts w:asciiTheme="minorHAnsi" w:hAnsiTheme="minorHAnsi" w:cstheme="minorHAnsi"/>
                <w:sz w:val="22"/>
                <w:szCs w:val="22"/>
              </w:rPr>
              <w:t>-</w:t>
            </w:r>
            <w:r w:rsidRPr="00145A45">
              <w:rPr>
                <w:rFonts w:asciiTheme="minorHAnsi" w:hAnsiTheme="minorHAnsi" w:cstheme="minorHAnsi"/>
                <w:sz w:val="22"/>
                <w:szCs w:val="22"/>
              </w:rPr>
              <w:t>based plan or strategy for selecting members.</w:t>
            </w:r>
          </w:p>
        </w:tc>
        <w:tc>
          <w:tcPr>
            <w:tcW w:w="0" w:type="auto"/>
          </w:tcPr>
          <w:p w:rsidR="0081016D" w:rsidRPr="00145A45" w:rsidRDefault="0081016D" w:rsidP="00614361">
            <w:pPr>
              <w:contextualSpacing/>
              <w:rPr>
                <w:rFonts w:asciiTheme="minorHAnsi" w:hAnsiTheme="minorHAnsi" w:cstheme="minorHAnsi"/>
                <w:sz w:val="22"/>
                <w:szCs w:val="22"/>
              </w:rPr>
            </w:pPr>
            <w:r w:rsidRPr="00145A45">
              <w:rPr>
                <w:rFonts w:asciiTheme="minorHAnsi" w:hAnsiTheme="minorHAnsi" w:cstheme="minorHAnsi"/>
                <w:sz w:val="22"/>
                <w:szCs w:val="22"/>
              </w:rPr>
              <w:t>No additional reporting requirements apply.</w:t>
            </w:r>
          </w:p>
          <w:p w:rsidR="0081016D" w:rsidRPr="00145A45" w:rsidRDefault="0081016D" w:rsidP="00A24692">
            <w:pPr>
              <w:rPr>
                <w:rFonts w:asciiTheme="minorHAnsi" w:hAnsiTheme="minorHAnsi" w:cstheme="minorHAnsi"/>
                <w:sz w:val="22"/>
                <w:szCs w:val="22"/>
              </w:rPr>
            </w:pPr>
          </w:p>
          <w:p w:rsidR="0081016D" w:rsidRPr="00145A45" w:rsidRDefault="0081016D" w:rsidP="00A24692">
            <w:pPr>
              <w:jc w:val="center"/>
              <w:rPr>
                <w:rFonts w:asciiTheme="minorHAnsi" w:hAnsiTheme="minorHAnsi" w:cstheme="minorHAnsi"/>
                <w:sz w:val="22"/>
                <w:szCs w:val="22"/>
              </w:rPr>
            </w:pPr>
          </w:p>
        </w:tc>
      </w:tr>
      <w:tr w:rsidR="0081016D" w:rsidRPr="00145A45" w:rsidTr="00EF7BF2">
        <w:trPr>
          <w:cantSplit/>
        </w:trPr>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lastRenderedPageBreak/>
              <w:t xml:space="preserve">Indicator Three: </w:t>
            </w:r>
          </w:p>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Equal remuneration between women and men</w:t>
            </w:r>
          </w:p>
          <w:p w:rsidR="0081016D" w:rsidRPr="00145A45" w:rsidRDefault="0081016D" w:rsidP="00A24692">
            <w:pPr>
              <w:rPr>
                <w:rFonts w:asciiTheme="minorHAnsi" w:hAnsiTheme="minorHAnsi" w:cstheme="minorHAnsi"/>
                <w:sz w:val="22"/>
                <w:szCs w:val="22"/>
              </w:rPr>
            </w:pPr>
          </w:p>
        </w:tc>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 xml:space="preserve">Report on the following disaggregated remuneration data by gender and occupational category: </w:t>
            </w:r>
          </w:p>
          <w:p w:rsidR="0081016D" w:rsidRPr="00145A45" w:rsidRDefault="0081016D" w:rsidP="00A24692">
            <w:pPr>
              <w:numPr>
                <w:ilvl w:val="0"/>
                <w:numId w:val="5"/>
              </w:numPr>
              <w:contextualSpacing/>
              <w:rPr>
                <w:rFonts w:asciiTheme="minorHAnsi" w:hAnsiTheme="minorHAnsi" w:cstheme="minorHAnsi"/>
                <w:sz w:val="22"/>
                <w:szCs w:val="22"/>
              </w:rPr>
            </w:pPr>
            <w:r w:rsidRPr="00145A45">
              <w:rPr>
                <w:rFonts w:asciiTheme="minorHAnsi" w:hAnsiTheme="minorHAnsi" w:cstheme="minorHAnsi"/>
                <w:sz w:val="22"/>
                <w:szCs w:val="22"/>
              </w:rPr>
              <w:t xml:space="preserve">annualised average full-time equivalent base salary </w:t>
            </w:r>
          </w:p>
          <w:p w:rsidR="0081016D" w:rsidRPr="00085EFE" w:rsidRDefault="0081016D" w:rsidP="00085EFE">
            <w:pPr>
              <w:numPr>
                <w:ilvl w:val="0"/>
                <w:numId w:val="5"/>
              </w:numPr>
              <w:contextualSpacing/>
              <w:rPr>
                <w:rFonts w:asciiTheme="minorHAnsi" w:hAnsiTheme="minorHAnsi" w:cstheme="minorHAnsi"/>
                <w:sz w:val="22"/>
                <w:szCs w:val="22"/>
              </w:rPr>
            </w:pPr>
            <w:proofErr w:type="gramStart"/>
            <w:r w:rsidRPr="00145A45">
              <w:rPr>
                <w:rFonts w:asciiTheme="minorHAnsi" w:hAnsiTheme="minorHAnsi" w:cstheme="minorHAnsi"/>
                <w:sz w:val="22"/>
                <w:szCs w:val="22"/>
              </w:rPr>
              <w:t>annualised</w:t>
            </w:r>
            <w:proofErr w:type="gramEnd"/>
            <w:r w:rsidRPr="00145A45">
              <w:rPr>
                <w:rFonts w:asciiTheme="minorHAnsi" w:hAnsiTheme="minorHAnsi" w:cstheme="minorHAnsi"/>
                <w:sz w:val="22"/>
                <w:szCs w:val="22"/>
              </w:rPr>
              <w:t xml:space="preserve"> average full-time</w:t>
            </w:r>
            <w:r w:rsidR="00085EFE">
              <w:rPr>
                <w:rFonts w:asciiTheme="minorHAnsi" w:hAnsiTheme="minorHAnsi" w:cstheme="minorHAnsi"/>
                <w:sz w:val="22"/>
                <w:szCs w:val="22"/>
              </w:rPr>
              <w:t xml:space="preserve"> equivalent total remuneration (t</w:t>
            </w:r>
            <w:r w:rsidRPr="00085EFE">
              <w:rPr>
                <w:rFonts w:asciiTheme="minorHAnsi" w:hAnsiTheme="minorHAnsi" w:cstheme="minorHAnsi"/>
                <w:sz w:val="22"/>
                <w:szCs w:val="22"/>
              </w:rPr>
              <w:t>otal remuneration includes: base pay; discretionary pay; bonus payments; performance pay; overtime; and other allowances</w:t>
            </w:r>
            <w:r w:rsidR="00085EFE">
              <w:rPr>
                <w:rFonts w:asciiTheme="minorHAnsi" w:hAnsiTheme="minorHAnsi" w:cstheme="minorHAnsi"/>
                <w:sz w:val="22"/>
                <w:szCs w:val="22"/>
              </w:rPr>
              <w:t>)</w:t>
            </w:r>
            <w:r w:rsidRPr="00085EFE">
              <w:rPr>
                <w:rFonts w:asciiTheme="minorHAnsi" w:hAnsiTheme="minorHAnsi" w:cstheme="minorHAnsi"/>
                <w:sz w:val="22"/>
                <w:szCs w:val="22"/>
              </w:rPr>
              <w:t xml:space="preserve">. </w:t>
            </w:r>
          </w:p>
          <w:p w:rsidR="0081016D" w:rsidRPr="00145A45" w:rsidRDefault="0081016D" w:rsidP="00614361">
            <w:pPr>
              <w:rPr>
                <w:rFonts w:asciiTheme="minorHAnsi" w:hAnsiTheme="minorHAnsi" w:cstheme="minorHAnsi"/>
                <w:sz w:val="22"/>
                <w:szCs w:val="22"/>
              </w:rPr>
            </w:pPr>
            <w:r w:rsidRPr="00145A45">
              <w:rPr>
                <w:rFonts w:asciiTheme="minorHAnsi" w:hAnsiTheme="minorHAnsi" w:cstheme="minorHAnsi"/>
                <w:sz w:val="22"/>
                <w:szCs w:val="22"/>
              </w:rPr>
              <w:t>Provide information as to whether a remuneration policy or strategy is in place and</w:t>
            </w:r>
            <w:r w:rsidR="00C64545">
              <w:rPr>
                <w:rFonts w:asciiTheme="minorHAnsi" w:hAnsiTheme="minorHAnsi" w:cstheme="minorHAnsi"/>
                <w:sz w:val="22"/>
                <w:szCs w:val="22"/>
              </w:rPr>
              <w:t>,</w:t>
            </w:r>
            <w:r w:rsidRPr="00145A45">
              <w:rPr>
                <w:rFonts w:asciiTheme="minorHAnsi" w:hAnsiTheme="minorHAnsi" w:cstheme="minorHAnsi"/>
                <w:sz w:val="22"/>
                <w:szCs w:val="22"/>
              </w:rPr>
              <w:t xml:space="preserve"> if so, whether this policy or strategy includes any gender pay equity objectives. Indicate whether an analysis of any gender remuneration gap has been undertaken, when the analysis was undertaken and the actions taken as a result of any such analysis.</w:t>
            </w:r>
          </w:p>
        </w:tc>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Provide disaggregated data by gender on:</w:t>
            </w:r>
          </w:p>
          <w:p w:rsidR="0081016D" w:rsidRPr="00085EFE" w:rsidRDefault="0081016D" w:rsidP="00A24692">
            <w:pPr>
              <w:numPr>
                <w:ilvl w:val="0"/>
                <w:numId w:val="5"/>
              </w:numPr>
              <w:contextualSpacing/>
              <w:rPr>
                <w:rFonts w:asciiTheme="minorHAnsi" w:hAnsiTheme="minorHAnsi" w:cstheme="minorHAnsi"/>
                <w:sz w:val="22"/>
                <w:szCs w:val="22"/>
              </w:rPr>
            </w:pPr>
            <w:proofErr w:type="gramStart"/>
            <w:r w:rsidRPr="00145A45">
              <w:rPr>
                <w:rFonts w:asciiTheme="minorHAnsi" w:hAnsiTheme="minorHAnsi" w:cstheme="minorHAnsi"/>
                <w:sz w:val="22"/>
                <w:szCs w:val="22"/>
              </w:rPr>
              <w:t>annualised</w:t>
            </w:r>
            <w:proofErr w:type="gramEnd"/>
            <w:r w:rsidRPr="00145A45">
              <w:rPr>
                <w:rFonts w:asciiTheme="minorHAnsi" w:hAnsiTheme="minorHAnsi" w:cstheme="minorHAnsi"/>
                <w:sz w:val="22"/>
                <w:szCs w:val="22"/>
              </w:rPr>
              <w:t xml:space="preserve"> average full-time equivalent compo</w:t>
            </w:r>
            <w:r w:rsidR="00085EFE">
              <w:rPr>
                <w:rFonts w:asciiTheme="minorHAnsi" w:hAnsiTheme="minorHAnsi" w:cstheme="minorHAnsi"/>
                <w:sz w:val="22"/>
                <w:szCs w:val="22"/>
              </w:rPr>
              <w:t>nents of total remuneration (the components include</w:t>
            </w:r>
            <w:r w:rsidRPr="00085EFE">
              <w:rPr>
                <w:rFonts w:asciiTheme="minorHAnsi" w:hAnsiTheme="minorHAnsi" w:cstheme="minorHAnsi"/>
                <w:sz w:val="22"/>
                <w:szCs w:val="22"/>
              </w:rPr>
              <w:t>: base pay; discretionary pay; bonus payments; performance pay; overtime and other allowances</w:t>
            </w:r>
            <w:r w:rsidR="00085EFE">
              <w:rPr>
                <w:rFonts w:asciiTheme="minorHAnsi" w:hAnsiTheme="minorHAnsi" w:cstheme="minorHAnsi"/>
                <w:sz w:val="22"/>
                <w:szCs w:val="22"/>
              </w:rPr>
              <w:t>)</w:t>
            </w:r>
            <w:r w:rsidRPr="00085EFE">
              <w:rPr>
                <w:rFonts w:asciiTheme="minorHAnsi" w:hAnsiTheme="minorHAnsi" w:cstheme="minorHAnsi"/>
                <w:sz w:val="22"/>
                <w:szCs w:val="22"/>
              </w:rPr>
              <w:t xml:space="preserve">. </w:t>
            </w:r>
          </w:p>
          <w:p w:rsidR="0081016D" w:rsidRPr="00145A45" w:rsidRDefault="0081016D" w:rsidP="00A24692">
            <w:pPr>
              <w:ind w:left="360"/>
              <w:contextualSpacing/>
              <w:rPr>
                <w:rFonts w:asciiTheme="minorHAnsi" w:hAnsiTheme="minorHAnsi" w:cstheme="minorHAnsi"/>
                <w:sz w:val="22"/>
                <w:szCs w:val="22"/>
              </w:rPr>
            </w:pPr>
          </w:p>
        </w:tc>
      </w:tr>
      <w:tr w:rsidR="0081016D" w:rsidRPr="00145A45" w:rsidTr="00EF7BF2">
        <w:trPr>
          <w:cantSplit/>
        </w:trPr>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Indicator Four:</w:t>
            </w:r>
          </w:p>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Availability and utility of employment terms, conditions and practices relating to flexible working arrangements for employees and to working arrangements supporting employees with family or caring responsibilities</w:t>
            </w:r>
          </w:p>
        </w:tc>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Report on:</w:t>
            </w:r>
          </w:p>
          <w:p w:rsidR="0081016D" w:rsidRPr="00145A45" w:rsidRDefault="0081016D" w:rsidP="00A24692">
            <w:pPr>
              <w:numPr>
                <w:ilvl w:val="0"/>
                <w:numId w:val="7"/>
              </w:numPr>
              <w:contextualSpacing/>
              <w:rPr>
                <w:rFonts w:asciiTheme="minorHAnsi" w:hAnsiTheme="minorHAnsi" w:cstheme="minorHAnsi"/>
                <w:sz w:val="22"/>
                <w:szCs w:val="22"/>
              </w:rPr>
            </w:pPr>
            <w:r w:rsidRPr="00145A45">
              <w:rPr>
                <w:rFonts w:asciiTheme="minorHAnsi" w:hAnsiTheme="minorHAnsi" w:cstheme="minorHAnsi"/>
                <w:sz w:val="22"/>
                <w:szCs w:val="22"/>
              </w:rPr>
              <w:t>whether employer-funded paid parental leave is available for primary and secondary carers, in addition to any government</w:t>
            </w:r>
            <w:r w:rsidR="00614361">
              <w:rPr>
                <w:rFonts w:asciiTheme="minorHAnsi" w:hAnsiTheme="minorHAnsi" w:cstheme="minorHAnsi"/>
                <w:sz w:val="22"/>
                <w:szCs w:val="22"/>
              </w:rPr>
              <w:noBreakHyphen/>
            </w:r>
            <w:r w:rsidRPr="00145A45">
              <w:rPr>
                <w:rFonts w:asciiTheme="minorHAnsi" w:hAnsiTheme="minorHAnsi" w:cstheme="minorHAnsi"/>
                <w:sz w:val="22"/>
                <w:szCs w:val="22"/>
              </w:rPr>
              <w:t xml:space="preserve">funded paid parental leave </w:t>
            </w:r>
          </w:p>
          <w:p w:rsidR="0081016D" w:rsidRPr="00145A45" w:rsidRDefault="0081016D" w:rsidP="00A24692">
            <w:pPr>
              <w:numPr>
                <w:ilvl w:val="0"/>
                <w:numId w:val="6"/>
              </w:numPr>
              <w:contextualSpacing/>
              <w:rPr>
                <w:rFonts w:asciiTheme="minorHAnsi" w:hAnsiTheme="minorHAnsi" w:cstheme="minorHAnsi"/>
                <w:sz w:val="22"/>
                <w:szCs w:val="22"/>
              </w:rPr>
            </w:pPr>
            <w:r w:rsidRPr="00145A45">
              <w:rPr>
                <w:rFonts w:asciiTheme="minorHAnsi" w:hAnsiTheme="minorHAnsi" w:cstheme="minorHAnsi"/>
                <w:sz w:val="22"/>
                <w:szCs w:val="22"/>
              </w:rPr>
              <w:t>the number of employees, by gender and manager/non</w:t>
            </w:r>
            <w:r w:rsidR="00614361">
              <w:rPr>
                <w:rFonts w:asciiTheme="minorHAnsi" w:hAnsiTheme="minorHAnsi" w:cstheme="minorHAnsi"/>
                <w:sz w:val="22"/>
                <w:szCs w:val="22"/>
              </w:rPr>
              <w:noBreakHyphen/>
            </w:r>
            <w:r w:rsidRPr="00145A45">
              <w:rPr>
                <w:rFonts w:asciiTheme="minorHAnsi" w:hAnsiTheme="minorHAnsi" w:cstheme="minorHAnsi"/>
                <w:sz w:val="22"/>
                <w:szCs w:val="22"/>
              </w:rPr>
              <w:t>manager, who have utilised parental leave arrangements</w:t>
            </w:r>
          </w:p>
          <w:p w:rsidR="0081016D" w:rsidRPr="00145A45" w:rsidRDefault="00C64545" w:rsidP="00A24692">
            <w:pPr>
              <w:numPr>
                <w:ilvl w:val="0"/>
                <w:numId w:val="7"/>
              </w:numPr>
              <w:contextualSpacing/>
              <w:rPr>
                <w:rFonts w:asciiTheme="minorHAnsi" w:hAnsiTheme="minorHAnsi" w:cstheme="minorHAnsi"/>
                <w:sz w:val="22"/>
                <w:szCs w:val="22"/>
              </w:rPr>
            </w:pPr>
            <w:r>
              <w:rPr>
                <w:rFonts w:asciiTheme="minorHAnsi" w:hAnsiTheme="minorHAnsi" w:cstheme="minorHAnsi"/>
                <w:sz w:val="22"/>
                <w:szCs w:val="22"/>
              </w:rPr>
              <w:t>t</w:t>
            </w:r>
            <w:r w:rsidRPr="00145A45">
              <w:rPr>
                <w:rFonts w:asciiTheme="minorHAnsi" w:hAnsiTheme="minorHAnsi" w:cstheme="minorHAnsi"/>
                <w:sz w:val="22"/>
                <w:szCs w:val="22"/>
              </w:rPr>
              <w:t xml:space="preserve">he </w:t>
            </w:r>
            <w:r w:rsidR="0081016D" w:rsidRPr="00145A45">
              <w:rPr>
                <w:rFonts w:asciiTheme="minorHAnsi" w:hAnsiTheme="minorHAnsi" w:cstheme="minorHAnsi"/>
                <w:sz w:val="22"/>
                <w:szCs w:val="22"/>
              </w:rPr>
              <w:t>proportion of the workforce who has access to employer</w:t>
            </w:r>
            <w:r w:rsidR="006A3AEA">
              <w:rPr>
                <w:rFonts w:asciiTheme="minorHAnsi" w:hAnsiTheme="minorHAnsi" w:cstheme="minorHAnsi"/>
                <w:sz w:val="22"/>
                <w:szCs w:val="22"/>
              </w:rPr>
              <w:noBreakHyphen/>
            </w:r>
            <w:r w:rsidR="0081016D" w:rsidRPr="00145A45">
              <w:rPr>
                <w:rFonts w:asciiTheme="minorHAnsi" w:hAnsiTheme="minorHAnsi" w:cstheme="minorHAnsi"/>
                <w:sz w:val="22"/>
                <w:szCs w:val="22"/>
              </w:rPr>
              <w:t>funded paid parental leave for primary and secondary carers</w:t>
            </w:r>
          </w:p>
          <w:p w:rsidR="0081016D" w:rsidRDefault="0081016D" w:rsidP="00A24692">
            <w:pPr>
              <w:numPr>
                <w:ilvl w:val="0"/>
                <w:numId w:val="7"/>
              </w:numPr>
              <w:contextualSpacing/>
              <w:rPr>
                <w:rFonts w:asciiTheme="minorHAnsi" w:hAnsiTheme="minorHAnsi" w:cstheme="minorHAnsi"/>
                <w:sz w:val="22"/>
                <w:szCs w:val="22"/>
              </w:rPr>
            </w:pPr>
            <w:r w:rsidRPr="00145A45">
              <w:rPr>
                <w:rFonts w:asciiTheme="minorHAnsi" w:hAnsiTheme="minorHAnsi" w:cstheme="minorHAnsi"/>
                <w:sz w:val="22"/>
                <w:szCs w:val="22"/>
              </w:rPr>
              <w:t>the method and quantum of the provision of paid parental leave for primary carers and secondary carers (for example, paying the gap between government</w:t>
            </w:r>
            <w:r w:rsidR="006A3AEA">
              <w:rPr>
                <w:rFonts w:asciiTheme="minorHAnsi" w:hAnsiTheme="minorHAnsi" w:cstheme="minorHAnsi"/>
                <w:sz w:val="22"/>
                <w:szCs w:val="22"/>
              </w:rPr>
              <w:noBreakHyphen/>
            </w:r>
            <w:r w:rsidRPr="00145A45">
              <w:rPr>
                <w:rFonts w:asciiTheme="minorHAnsi" w:hAnsiTheme="minorHAnsi" w:cstheme="minorHAnsi"/>
                <w:sz w:val="22"/>
                <w:szCs w:val="22"/>
              </w:rPr>
              <w:t>funded leave and salary, paying full salary, or making a lump sum payment)</w:t>
            </w:r>
          </w:p>
          <w:p w:rsidR="00D94A62" w:rsidRPr="00D94A62" w:rsidRDefault="00C64545" w:rsidP="00D94A62">
            <w:pPr>
              <w:numPr>
                <w:ilvl w:val="0"/>
                <w:numId w:val="7"/>
              </w:numPr>
              <w:contextualSpacing/>
              <w:rPr>
                <w:rFonts w:asciiTheme="minorHAnsi" w:hAnsiTheme="minorHAnsi" w:cstheme="minorHAnsi"/>
                <w:sz w:val="22"/>
                <w:szCs w:val="22"/>
              </w:rPr>
            </w:pPr>
            <w:r>
              <w:rPr>
                <w:rFonts w:asciiTheme="minorHAnsi" w:hAnsiTheme="minorHAnsi" w:cstheme="minorHAnsi"/>
                <w:sz w:val="22"/>
                <w:szCs w:val="22"/>
              </w:rPr>
              <w:t>p</w:t>
            </w:r>
            <w:r w:rsidRPr="00D94A62">
              <w:rPr>
                <w:rFonts w:asciiTheme="minorHAnsi" w:hAnsiTheme="minorHAnsi" w:cstheme="minorHAnsi"/>
                <w:sz w:val="22"/>
                <w:szCs w:val="22"/>
              </w:rPr>
              <w:t xml:space="preserve">rovide </w:t>
            </w:r>
            <w:r w:rsidR="00D94A62" w:rsidRPr="00D94A62">
              <w:rPr>
                <w:rFonts w:asciiTheme="minorHAnsi" w:hAnsiTheme="minorHAnsi" w:cstheme="minorHAnsi"/>
                <w:sz w:val="22"/>
                <w:szCs w:val="22"/>
              </w:rPr>
              <w:t xml:space="preserve">information as to whether formal policies or strategies are in place for flexible working arrangements as well as identifying those arrangements </w:t>
            </w:r>
          </w:p>
          <w:p w:rsidR="00D94A62" w:rsidRPr="00145A45" w:rsidRDefault="00C64545" w:rsidP="00614361">
            <w:pPr>
              <w:numPr>
                <w:ilvl w:val="0"/>
                <w:numId w:val="7"/>
              </w:numPr>
              <w:contextualSpacing/>
              <w:rPr>
                <w:rFonts w:asciiTheme="minorHAnsi" w:hAnsiTheme="minorHAnsi" w:cstheme="minorHAnsi"/>
                <w:sz w:val="22"/>
                <w:szCs w:val="22"/>
              </w:rPr>
            </w:pPr>
            <w:proofErr w:type="gramStart"/>
            <w:r>
              <w:rPr>
                <w:rFonts w:asciiTheme="minorHAnsi" w:hAnsiTheme="minorHAnsi" w:cstheme="minorHAnsi"/>
                <w:sz w:val="22"/>
                <w:szCs w:val="22"/>
              </w:rPr>
              <w:t>p</w:t>
            </w:r>
            <w:r w:rsidRPr="00D94A62">
              <w:rPr>
                <w:rFonts w:asciiTheme="minorHAnsi" w:hAnsiTheme="minorHAnsi" w:cstheme="minorHAnsi"/>
                <w:sz w:val="22"/>
                <w:szCs w:val="22"/>
              </w:rPr>
              <w:t>rovide</w:t>
            </w:r>
            <w:proofErr w:type="gramEnd"/>
            <w:r w:rsidRPr="00D94A62">
              <w:rPr>
                <w:rFonts w:asciiTheme="minorHAnsi" w:hAnsiTheme="minorHAnsi" w:cstheme="minorHAnsi"/>
                <w:sz w:val="22"/>
                <w:szCs w:val="22"/>
              </w:rPr>
              <w:t xml:space="preserve"> </w:t>
            </w:r>
            <w:r w:rsidR="00D94A62" w:rsidRPr="00D94A62">
              <w:rPr>
                <w:rFonts w:asciiTheme="minorHAnsi" w:hAnsiTheme="minorHAnsi" w:cstheme="minorHAnsi"/>
                <w:sz w:val="22"/>
                <w:szCs w:val="22"/>
              </w:rPr>
              <w:t>information as to whether formal policies or strategies are in place to support employees experiencing domestic violence</w:t>
            </w:r>
            <w:r w:rsidR="00614361">
              <w:rPr>
                <w:rFonts w:asciiTheme="minorHAnsi" w:hAnsiTheme="minorHAnsi" w:cstheme="minorHAnsi"/>
                <w:sz w:val="22"/>
                <w:szCs w:val="22"/>
              </w:rPr>
              <w:t>.</w:t>
            </w:r>
          </w:p>
        </w:tc>
        <w:tc>
          <w:tcPr>
            <w:tcW w:w="0" w:type="auto"/>
          </w:tcPr>
          <w:p w:rsidR="0081016D" w:rsidRPr="00145A45" w:rsidRDefault="00C64545" w:rsidP="00A24692">
            <w:pPr>
              <w:numPr>
                <w:ilvl w:val="0"/>
                <w:numId w:val="6"/>
              </w:numPr>
              <w:contextualSpacing/>
              <w:rPr>
                <w:rFonts w:asciiTheme="minorHAnsi" w:hAnsiTheme="minorHAnsi" w:cstheme="minorHAnsi"/>
                <w:sz w:val="22"/>
                <w:szCs w:val="22"/>
              </w:rPr>
            </w:pPr>
            <w:r>
              <w:rPr>
                <w:rFonts w:asciiTheme="minorHAnsi" w:hAnsiTheme="minorHAnsi" w:cstheme="minorHAnsi"/>
                <w:sz w:val="22"/>
                <w:szCs w:val="22"/>
              </w:rPr>
              <w:t>p</w:t>
            </w:r>
            <w:r w:rsidRPr="00145A45">
              <w:rPr>
                <w:rFonts w:asciiTheme="minorHAnsi" w:hAnsiTheme="minorHAnsi" w:cstheme="minorHAnsi"/>
                <w:sz w:val="22"/>
                <w:szCs w:val="22"/>
              </w:rPr>
              <w:t xml:space="preserve">rovide </w:t>
            </w:r>
            <w:r w:rsidR="00E50629">
              <w:rPr>
                <w:rFonts w:asciiTheme="minorHAnsi" w:hAnsiTheme="minorHAnsi" w:cstheme="minorHAnsi"/>
                <w:sz w:val="22"/>
                <w:szCs w:val="22"/>
              </w:rPr>
              <w:t>data</w:t>
            </w:r>
            <w:r w:rsidR="0081016D" w:rsidRPr="00145A45">
              <w:rPr>
                <w:rFonts w:asciiTheme="minorHAnsi" w:hAnsiTheme="minorHAnsi" w:cstheme="minorHAnsi"/>
                <w:sz w:val="22"/>
                <w:szCs w:val="22"/>
              </w:rPr>
              <w:t xml:space="preserve"> </w:t>
            </w:r>
            <w:r w:rsidR="00E50629">
              <w:rPr>
                <w:rFonts w:asciiTheme="minorHAnsi" w:hAnsiTheme="minorHAnsi" w:cstheme="minorHAnsi"/>
                <w:sz w:val="22"/>
                <w:szCs w:val="22"/>
              </w:rPr>
              <w:t>on</w:t>
            </w:r>
            <w:r w:rsidR="0081016D" w:rsidRPr="00145A45">
              <w:rPr>
                <w:rFonts w:asciiTheme="minorHAnsi" w:hAnsiTheme="minorHAnsi" w:cstheme="minorHAnsi"/>
                <w:sz w:val="22"/>
                <w:szCs w:val="22"/>
              </w:rPr>
              <w:t xml:space="preserve"> the number of employees returning to work from parental leave by gender and by manager/non-manager </w:t>
            </w:r>
          </w:p>
          <w:p w:rsidR="0081016D" w:rsidRPr="00145A45" w:rsidRDefault="00C64545" w:rsidP="00A24692">
            <w:pPr>
              <w:numPr>
                <w:ilvl w:val="0"/>
                <w:numId w:val="6"/>
              </w:numPr>
              <w:contextualSpacing/>
              <w:rPr>
                <w:rFonts w:asciiTheme="minorHAnsi" w:hAnsiTheme="minorHAnsi" w:cstheme="minorHAnsi"/>
                <w:sz w:val="22"/>
                <w:szCs w:val="22"/>
              </w:rPr>
            </w:pPr>
            <w:proofErr w:type="gramStart"/>
            <w:r>
              <w:rPr>
                <w:rFonts w:asciiTheme="minorHAnsi" w:hAnsiTheme="minorHAnsi" w:cstheme="minorHAnsi"/>
                <w:sz w:val="22"/>
                <w:szCs w:val="22"/>
              </w:rPr>
              <w:t>p</w:t>
            </w:r>
            <w:r w:rsidRPr="00145A45">
              <w:rPr>
                <w:rFonts w:asciiTheme="minorHAnsi" w:hAnsiTheme="minorHAnsi" w:cstheme="minorHAnsi"/>
                <w:sz w:val="22"/>
                <w:szCs w:val="22"/>
              </w:rPr>
              <w:t>rovide</w:t>
            </w:r>
            <w:proofErr w:type="gramEnd"/>
            <w:r w:rsidRPr="00145A45">
              <w:rPr>
                <w:rFonts w:asciiTheme="minorHAnsi" w:hAnsiTheme="minorHAnsi" w:cstheme="minorHAnsi"/>
                <w:sz w:val="22"/>
                <w:szCs w:val="22"/>
              </w:rPr>
              <w:t xml:space="preserve"> </w:t>
            </w:r>
            <w:r w:rsidR="0081016D" w:rsidRPr="00145A45">
              <w:rPr>
                <w:rFonts w:asciiTheme="minorHAnsi" w:hAnsiTheme="minorHAnsi" w:cstheme="minorHAnsi"/>
                <w:sz w:val="22"/>
                <w:szCs w:val="22"/>
              </w:rPr>
              <w:t>data on the number of requests and approvals for extended parental leave by gender and by manager/non-manager status.</w:t>
            </w:r>
          </w:p>
          <w:p w:rsidR="0081016D" w:rsidRPr="00145A45" w:rsidRDefault="0081016D" w:rsidP="00A24692">
            <w:pPr>
              <w:rPr>
                <w:rFonts w:asciiTheme="minorHAnsi" w:hAnsiTheme="minorHAnsi" w:cstheme="minorHAnsi"/>
                <w:sz w:val="22"/>
                <w:szCs w:val="22"/>
              </w:rPr>
            </w:pPr>
          </w:p>
        </w:tc>
      </w:tr>
      <w:tr w:rsidR="0081016D" w:rsidRPr="00145A45" w:rsidTr="00EF7BF2">
        <w:trPr>
          <w:cantSplit/>
        </w:trPr>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lastRenderedPageBreak/>
              <w:t xml:space="preserve">Indicator Five: </w:t>
            </w:r>
          </w:p>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Consultation with employees on issues concerning gender equality in the workplace</w:t>
            </w:r>
          </w:p>
        </w:tc>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Report on:</w:t>
            </w:r>
          </w:p>
          <w:p w:rsidR="0081016D" w:rsidRPr="00145A45" w:rsidRDefault="0081016D" w:rsidP="00A24692">
            <w:pPr>
              <w:numPr>
                <w:ilvl w:val="0"/>
                <w:numId w:val="9"/>
              </w:numPr>
              <w:contextualSpacing/>
              <w:rPr>
                <w:rFonts w:asciiTheme="minorHAnsi" w:hAnsiTheme="minorHAnsi" w:cstheme="minorHAnsi"/>
                <w:sz w:val="22"/>
                <w:szCs w:val="22"/>
              </w:rPr>
            </w:pPr>
            <w:r w:rsidRPr="00145A45">
              <w:rPr>
                <w:rFonts w:asciiTheme="minorHAnsi" w:hAnsiTheme="minorHAnsi" w:cstheme="minorHAnsi"/>
                <w:sz w:val="22"/>
                <w:szCs w:val="22"/>
              </w:rPr>
              <w:t xml:space="preserve">whether consultation with employees on matters relating to gender equality has been undertaken </w:t>
            </w:r>
          </w:p>
          <w:p w:rsidR="0081016D" w:rsidRPr="00145A45" w:rsidRDefault="0081016D" w:rsidP="00A24692">
            <w:pPr>
              <w:numPr>
                <w:ilvl w:val="0"/>
                <w:numId w:val="9"/>
              </w:numPr>
              <w:contextualSpacing/>
              <w:rPr>
                <w:rFonts w:asciiTheme="minorHAnsi" w:hAnsiTheme="minorHAnsi" w:cstheme="minorHAnsi"/>
                <w:sz w:val="22"/>
                <w:szCs w:val="22"/>
              </w:rPr>
            </w:pPr>
            <w:r w:rsidRPr="00145A45">
              <w:rPr>
                <w:rFonts w:asciiTheme="minorHAnsi" w:hAnsiTheme="minorHAnsi" w:cstheme="minorHAnsi"/>
                <w:sz w:val="22"/>
                <w:szCs w:val="22"/>
              </w:rPr>
              <w:t>the mode of that consultation</w:t>
            </w:r>
          </w:p>
          <w:p w:rsidR="0081016D" w:rsidRPr="00145A45" w:rsidRDefault="0081016D" w:rsidP="00A24692">
            <w:pPr>
              <w:numPr>
                <w:ilvl w:val="0"/>
                <w:numId w:val="9"/>
              </w:numPr>
              <w:contextualSpacing/>
              <w:rPr>
                <w:rFonts w:asciiTheme="minorHAnsi" w:hAnsiTheme="minorHAnsi" w:cstheme="minorHAnsi"/>
                <w:sz w:val="22"/>
                <w:szCs w:val="22"/>
              </w:rPr>
            </w:pPr>
            <w:proofErr w:type="gramStart"/>
            <w:r w:rsidRPr="00145A45">
              <w:rPr>
                <w:rFonts w:asciiTheme="minorHAnsi" w:hAnsiTheme="minorHAnsi" w:cstheme="minorHAnsi"/>
                <w:sz w:val="22"/>
                <w:szCs w:val="22"/>
              </w:rPr>
              <w:t>the</w:t>
            </w:r>
            <w:proofErr w:type="gramEnd"/>
            <w:r w:rsidRPr="00145A45">
              <w:rPr>
                <w:rFonts w:asciiTheme="minorHAnsi" w:hAnsiTheme="minorHAnsi" w:cstheme="minorHAnsi"/>
                <w:sz w:val="22"/>
                <w:szCs w:val="22"/>
              </w:rPr>
              <w:t xml:space="preserve"> categories of employees consulted.</w:t>
            </w:r>
          </w:p>
        </w:tc>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No additional reporting requirements apply</w:t>
            </w:r>
            <w:r w:rsidR="00614361">
              <w:rPr>
                <w:rFonts w:asciiTheme="minorHAnsi" w:hAnsiTheme="minorHAnsi" w:cstheme="minorHAnsi"/>
                <w:sz w:val="22"/>
                <w:szCs w:val="22"/>
              </w:rPr>
              <w:t>.</w:t>
            </w:r>
          </w:p>
        </w:tc>
      </w:tr>
      <w:tr w:rsidR="0081016D" w:rsidRPr="00145A45" w:rsidTr="00EF7BF2">
        <w:trPr>
          <w:cantSplit/>
        </w:trPr>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 xml:space="preserve">Indicator Six: </w:t>
            </w:r>
          </w:p>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Sex-based harassment and discrimination</w:t>
            </w:r>
          </w:p>
        </w:tc>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Report on:</w:t>
            </w:r>
          </w:p>
          <w:p w:rsidR="0081016D" w:rsidRPr="00145A45" w:rsidRDefault="0081016D" w:rsidP="00A24692">
            <w:pPr>
              <w:numPr>
                <w:ilvl w:val="0"/>
                <w:numId w:val="10"/>
              </w:numPr>
              <w:contextualSpacing/>
              <w:rPr>
                <w:rFonts w:asciiTheme="minorHAnsi" w:hAnsiTheme="minorHAnsi" w:cstheme="minorHAnsi"/>
                <w:sz w:val="22"/>
                <w:szCs w:val="22"/>
              </w:rPr>
            </w:pPr>
            <w:r w:rsidRPr="00145A45">
              <w:rPr>
                <w:rFonts w:asciiTheme="minorHAnsi" w:hAnsiTheme="minorHAnsi" w:cstheme="minorHAnsi"/>
                <w:sz w:val="22"/>
                <w:szCs w:val="22"/>
              </w:rPr>
              <w:t>any sex-based harassment and discrimination prevention strategy or policy in place and</w:t>
            </w:r>
            <w:r w:rsidR="00C64545">
              <w:rPr>
                <w:rFonts w:asciiTheme="minorHAnsi" w:hAnsiTheme="minorHAnsi" w:cstheme="minorHAnsi"/>
                <w:sz w:val="22"/>
                <w:szCs w:val="22"/>
              </w:rPr>
              <w:t>,</w:t>
            </w:r>
            <w:r w:rsidRPr="00145A45">
              <w:rPr>
                <w:rFonts w:asciiTheme="minorHAnsi" w:hAnsiTheme="minorHAnsi" w:cstheme="minorHAnsi"/>
                <w:sz w:val="22"/>
                <w:szCs w:val="22"/>
              </w:rPr>
              <w:t xml:space="preserve"> if so, whether it includes a grievance process</w:t>
            </w:r>
          </w:p>
          <w:p w:rsidR="0081016D" w:rsidRPr="00145A45" w:rsidRDefault="0081016D" w:rsidP="00C64545">
            <w:pPr>
              <w:numPr>
                <w:ilvl w:val="0"/>
                <w:numId w:val="10"/>
              </w:numPr>
              <w:contextualSpacing/>
              <w:rPr>
                <w:rFonts w:asciiTheme="minorHAnsi" w:hAnsiTheme="minorHAnsi" w:cstheme="minorHAnsi"/>
                <w:sz w:val="22"/>
                <w:szCs w:val="22"/>
              </w:rPr>
            </w:pPr>
            <w:proofErr w:type="gramStart"/>
            <w:r w:rsidRPr="00145A45">
              <w:rPr>
                <w:rFonts w:asciiTheme="minorHAnsi" w:hAnsiTheme="minorHAnsi" w:cstheme="minorHAnsi"/>
                <w:sz w:val="22"/>
                <w:szCs w:val="22"/>
              </w:rPr>
              <w:t>whether</w:t>
            </w:r>
            <w:proofErr w:type="gramEnd"/>
            <w:r w:rsidRPr="00145A45">
              <w:rPr>
                <w:rFonts w:asciiTheme="minorHAnsi" w:hAnsiTheme="minorHAnsi" w:cstheme="minorHAnsi"/>
                <w:sz w:val="22"/>
                <w:szCs w:val="22"/>
              </w:rPr>
              <w:t xml:space="preserve"> the organisation conducts training for managers on sex-based harassment and discrimination and</w:t>
            </w:r>
            <w:r w:rsidR="00C64545">
              <w:rPr>
                <w:rFonts w:asciiTheme="minorHAnsi" w:hAnsiTheme="minorHAnsi" w:cstheme="minorHAnsi"/>
                <w:sz w:val="22"/>
                <w:szCs w:val="22"/>
              </w:rPr>
              <w:t>,</w:t>
            </w:r>
            <w:r w:rsidRPr="00145A45">
              <w:rPr>
                <w:rFonts w:asciiTheme="minorHAnsi" w:hAnsiTheme="minorHAnsi" w:cstheme="minorHAnsi"/>
                <w:sz w:val="22"/>
                <w:szCs w:val="22"/>
              </w:rPr>
              <w:t xml:space="preserve"> if so, the frequency with which training is offered to managers</w:t>
            </w:r>
            <w:r w:rsidR="00C64545">
              <w:rPr>
                <w:rFonts w:asciiTheme="minorHAnsi" w:hAnsiTheme="minorHAnsi" w:cstheme="minorHAnsi"/>
                <w:sz w:val="22"/>
                <w:szCs w:val="22"/>
              </w:rPr>
              <w:t>.</w:t>
            </w:r>
          </w:p>
        </w:tc>
        <w:tc>
          <w:tcPr>
            <w:tcW w:w="0" w:type="auto"/>
          </w:tcPr>
          <w:p w:rsidR="0081016D" w:rsidRPr="00145A45" w:rsidRDefault="0081016D" w:rsidP="00A24692">
            <w:pPr>
              <w:rPr>
                <w:rFonts w:asciiTheme="minorHAnsi" w:hAnsiTheme="minorHAnsi" w:cstheme="minorHAnsi"/>
                <w:sz w:val="22"/>
                <w:szCs w:val="22"/>
              </w:rPr>
            </w:pPr>
            <w:r w:rsidRPr="00145A45">
              <w:rPr>
                <w:rFonts w:asciiTheme="minorHAnsi" w:hAnsiTheme="minorHAnsi" w:cstheme="minorHAnsi"/>
                <w:sz w:val="22"/>
                <w:szCs w:val="22"/>
              </w:rPr>
              <w:t>No additional reporting requirements apply</w:t>
            </w:r>
            <w:r w:rsidR="00614361">
              <w:rPr>
                <w:rFonts w:asciiTheme="minorHAnsi" w:hAnsiTheme="minorHAnsi" w:cstheme="minorHAnsi"/>
                <w:sz w:val="22"/>
                <w:szCs w:val="22"/>
              </w:rPr>
              <w:t>.</w:t>
            </w:r>
          </w:p>
        </w:tc>
      </w:tr>
    </w:tbl>
    <w:p w:rsidR="002736FC" w:rsidRDefault="002736FC" w:rsidP="00845EE1">
      <w:pPr>
        <w:rPr>
          <w:rStyle w:val="Heading1Char"/>
          <w:rFonts w:asciiTheme="minorHAnsi" w:hAnsiTheme="minorHAnsi" w:cstheme="minorHAnsi"/>
        </w:rPr>
        <w:sectPr w:rsidR="002736FC" w:rsidSect="00845EE1">
          <w:pgSz w:w="16838" w:h="11906" w:orient="landscape" w:code="9"/>
          <w:pgMar w:top="1418" w:right="1418" w:bottom="1134" w:left="1418" w:header="567" w:footer="567" w:gutter="0"/>
          <w:cols w:space="720"/>
          <w:docGrid w:linePitch="299"/>
        </w:sectPr>
      </w:pPr>
    </w:p>
    <w:p w:rsidR="00E9272D" w:rsidRDefault="00E9272D" w:rsidP="00E9272D">
      <w:pPr>
        <w:pStyle w:val="Heading1"/>
        <w:rPr>
          <w:rFonts w:asciiTheme="minorHAnsi" w:hAnsiTheme="minorHAnsi" w:cstheme="minorHAnsi"/>
        </w:rPr>
      </w:pPr>
      <w:bookmarkStart w:id="61" w:name="_Toc404158275"/>
      <w:bookmarkStart w:id="62" w:name="_Toc405895177"/>
      <w:r w:rsidRPr="006C767D">
        <w:rPr>
          <w:rStyle w:val="Heading1Char"/>
          <w:rFonts w:asciiTheme="minorHAnsi" w:hAnsiTheme="minorHAnsi" w:cstheme="minorHAnsi"/>
          <w:b/>
        </w:rPr>
        <w:lastRenderedPageBreak/>
        <w:t>Appendix B –</w:t>
      </w:r>
      <w:r>
        <w:rPr>
          <w:rStyle w:val="Heading1Char"/>
          <w:rFonts w:asciiTheme="minorHAnsi" w:hAnsiTheme="minorHAnsi" w:cstheme="minorHAnsi"/>
        </w:rPr>
        <w:t xml:space="preserve"> </w:t>
      </w:r>
      <w:r w:rsidRPr="00C87A65">
        <w:rPr>
          <w:rFonts w:asciiTheme="minorHAnsi" w:hAnsiTheme="minorHAnsi" w:cstheme="minorHAnsi"/>
        </w:rPr>
        <w:t>The Economic and Business Case for Improving Gender Equality in the Workplace</w:t>
      </w:r>
      <w:bookmarkEnd w:id="61"/>
      <w:bookmarkEnd w:id="62"/>
    </w:p>
    <w:p w:rsidR="00E9272D" w:rsidRDefault="00E9272D" w:rsidP="00E9272D">
      <w:pPr>
        <w:rPr>
          <w:rFonts w:cstheme="minorHAnsi"/>
        </w:rPr>
      </w:pPr>
      <w:r w:rsidRPr="006D4988">
        <w:rPr>
          <w:rFonts w:cstheme="minorHAnsi"/>
        </w:rPr>
        <w:t>Gender equality is achieved when people are able to access and enjoy the same rewards, resources and opportunities regardless of whether they are a woman or a man.</w:t>
      </w:r>
      <w:r>
        <w:rPr>
          <w:rFonts w:cstheme="minorHAnsi"/>
        </w:rPr>
        <w:t xml:space="preserve"> </w:t>
      </w:r>
      <w:r w:rsidR="0041737C">
        <w:rPr>
          <w:rFonts w:cstheme="minorHAnsi"/>
        </w:rPr>
        <w:t xml:space="preserve">As the </w:t>
      </w:r>
      <w:proofErr w:type="spellStart"/>
      <w:r w:rsidR="0041737C">
        <w:rPr>
          <w:rFonts w:cstheme="minorHAnsi"/>
        </w:rPr>
        <w:t>OCED</w:t>
      </w:r>
      <w:proofErr w:type="spellEnd"/>
      <w:r w:rsidR="0041737C">
        <w:rPr>
          <w:rFonts w:cstheme="minorHAnsi"/>
        </w:rPr>
        <w:t xml:space="preserve"> states i</w:t>
      </w:r>
      <w:r>
        <w:rPr>
          <w:rFonts w:cstheme="minorHAnsi"/>
        </w:rPr>
        <w:t xml:space="preserve">t is </w:t>
      </w:r>
      <w:r w:rsidR="0041737C">
        <w:rPr>
          <w:rFonts w:cstheme="minorHAnsi"/>
        </w:rPr>
        <w:t>‘</w:t>
      </w:r>
      <w:r>
        <w:rPr>
          <w:rFonts w:cstheme="minorHAnsi"/>
        </w:rPr>
        <w:t>about fairness and equity and includes many political, social and cultural dimensions</w:t>
      </w:r>
      <w:r w:rsidR="0041737C">
        <w:rPr>
          <w:rFonts w:cstheme="minorHAnsi"/>
        </w:rPr>
        <w:t>’</w:t>
      </w:r>
      <w:r>
        <w:rPr>
          <w:rStyle w:val="FootnoteReference"/>
          <w:rFonts w:cstheme="minorHAnsi"/>
        </w:rPr>
        <w:footnoteReference w:id="11"/>
      </w:r>
      <w:r>
        <w:rPr>
          <w:rFonts w:cstheme="minorHAnsi"/>
        </w:rPr>
        <w:t>.</w:t>
      </w:r>
      <w:r w:rsidRPr="006D4988">
        <w:rPr>
          <w:rFonts w:cstheme="minorHAnsi"/>
        </w:rPr>
        <w:t xml:space="preserve"> The aim of gender equality in the workplace is to achieve broadly equal outcomes for women and men. </w:t>
      </w:r>
    </w:p>
    <w:p w:rsidR="00E9272D" w:rsidRPr="006D4988" w:rsidRDefault="00E9272D" w:rsidP="00E9272D">
      <w:pPr>
        <w:rPr>
          <w:rFonts w:cstheme="minorHAnsi"/>
        </w:rPr>
      </w:pPr>
      <w:r>
        <w:rPr>
          <w:rFonts w:cstheme="minorHAnsi"/>
        </w:rPr>
        <w:t>Gender equality within the workplace not only benefits women but also benefits stakeholders, corporations, investors, society and the economy. In short, there is a social, business and investment case that supports efforts to achieve gender equality in the workplace.</w:t>
      </w:r>
    </w:p>
    <w:p w:rsidR="00E9272D" w:rsidRPr="006D4988" w:rsidRDefault="00E9272D" w:rsidP="00E9272D">
      <w:pPr>
        <w:rPr>
          <w:rFonts w:cstheme="minorHAnsi"/>
        </w:rPr>
      </w:pPr>
      <w:r w:rsidRPr="006D4988">
        <w:rPr>
          <w:rFonts w:cstheme="minorHAnsi"/>
        </w:rPr>
        <w:t xml:space="preserve">There are two main areas for improvement when looking at gender equality in the workplace – increasing the workforce participation of women (in terms of engagement, hours worked and career progression) and closing the gender pay gap. </w:t>
      </w:r>
    </w:p>
    <w:p w:rsidR="00E9272D" w:rsidRPr="0071733D" w:rsidRDefault="00E9272D" w:rsidP="00F50843">
      <w:pPr>
        <w:pStyle w:val="Heading2"/>
      </w:pPr>
      <w:r w:rsidRPr="0071733D">
        <w:t>Increasing women’s workforce participation</w:t>
      </w:r>
    </w:p>
    <w:p w:rsidR="00E9272D" w:rsidRPr="006D4988" w:rsidRDefault="00E9272D" w:rsidP="00E9272D">
      <w:pPr>
        <w:rPr>
          <w:rFonts w:cstheme="minorHAnsi"/>
        </w:rPr>
      </w:pPr>
      <w:r w:rsidRPr="006D4988">
        <w:rPr>
          <w:rFonts w:cstheme="minorHAnsi"/>
        </w:rPr>
        <w:t xml:space="preserve">Women’s workforce participation in Australia has grown significantly over the </w:t>
      </w:r>
      <w:r w:rsidR="009544C2">
        <w:rPr>
          <w:rFonts w:cstheme="minorHAnsi"/>
        </w:rPr>
        <w:t>p</w:t>
      </w:r>
      <w:r w:rsidR="009544C2" w:rsidRPr="006D4988">
        <w:rPr>
          <w:rFonts w:cstheme="minorHAnsi"/>
        </w:rPr>
        <w:t xml:space="preserve">ast </w:t>
      </w:r>
      <w:r w:rsidRPr="006D4988">
        <w:rPr>
          <w:rFonts w:cstheme="minorHAnsi"/>
        </w:rPr>
        <w:t xml:space="preserve">few decades. </w:t>
      </w:r>
      <w:r w:rsidR="00AC6C49">
        <w:rPr>
          <w:rFonts w:cstheme="minorHAnsi"/>
        </w:rPr>
        <w:t>I</w:t>
      </w:r>
      <w:r w:rsidR="00AC6C49" w:rsidRPr="006D4988">
        <w:rPr>
          <w:rFonts w:cstheme="minorHAnsi"/>
        </w:rPr>
        <w:t xml:space="preserve">n </w:t>
      </w:r>
      <w:r w:rsidRPr="006D4988">
        <w:rPr>
          <w:rFonts w:cstheme="minorHAnsi"/>
        </w:rPr>
        <w:t xml:space="preserve">the </w:t>
      </w:r>
      <w:r w:rsidR="009544C2">
        <w:rPr>
          <w:rFonts w:cstheme="minorHAnsi"/>
        </w:rPr>
        <w:t>p</w:t>
      </w:r>
      <w:r w:rsidR="009544C2" w:rsidRPr="006D4988">
        <w:rPr>
          <w:rFonts w:cstheme="minorHAnsi"/>
        </w:rPr>
        <w:t xml:space="preserve">ast </w:t>
      </w:r>
      <w:r w:rsidRPr="006D4988">
        <w:rPr>
          <w:rFonts w:cstheme="minorHAnsi"/>
        </w:rPr>
        <w:t>decade</w:t>
      </w:r>
      <w:r w:rsidR="00AC6C49">
        <w:rPr>
          <w:rFonts w:cstheme="minorHAnsi"/>
        </w:rPr>
        <w:t>, however,</w:t>
      </w:r>
      <w:r w:rsidRPr="006D4988">
        <w:rPr>
          <w:rFonts w:cstheme="minorHAnsi"/>
        </w:rPr>
        <w:t xml:space="preserve"> growth in women’s participation has slowed (Figure 1). </w:t>
      </w:r>
    </w:p>
    <w:p w:rsidR="00E9272D" w:rsidRPr="006D4988" w:rsidRDefault="00E9272D" w:rsidP="00E9272D">
      <w:pPr>
        <w:spacing w:after="0"/>
        <w:rPr>
          <w:rFonts w:cstheme="minorHAnsi"/>
        </w:rPr>
      </w:pPr>
      <w:r w:rsidRPr="006D4988">
        <w:rPr>
          <w:rFonts w:cstheme="minorHAnsi"/>
          <w:noProof/>
          <w:lang w:eastAsia="en-AU"/>
        </w:rPr>
        <w:drawing>
          <wp:inline distT="0" distB="0" distL="0" distR="0" wp14:anchorId="2B0EAA0A" wp14:editId="2B0EAA0B">
            <wp:extent cx="5613621" cy="3339390"/>
            <wp:effectExtent l="0" t="0" r="6350" b="0"/>
            <wp:docPr id="2" name="Picture 2" descr="This graphical representation shows a steady decline in the male participation rate from just below 80 per cent in 1978 to just over 70 per cent in 2013. in contrast, the female participation rate is shown increasing from around 44 per cent in 1978 to just under 60 per cent i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8065" cy="3342034"/>
                    </a:xfrm>
                    <a:prstGeom prst="rect">
                      <a:avLst/>
                    </a:prstGeom>
                    <a:noFill/>
                    <a:ln>
                      <a:noFill/>
                    </a:ln>
                  </pic:spPr>
                </pic:pic>
              </a:graphicData>
            </a:graphic>
          </wp:inline>
        </w:drawing>
      </w:r>
    </w:p>
    <w:p w:rsidR="00E9272D" w:rsidRPr="00101A78" w:rsidRDefault="00E9272D" w:rsidP="00E9272D">
      <w:pPr>
        <w:rPr>
          <w:sz w:val="18"/>
        </w:rPr>
      </w:pPr>
      <w:r w:rsidRPr="00101A78">
        <w:rPr>
          <w:sz w:val="18"/>
        </w:rPr>
        <w:t>Source: ABS Cat 6202.0 Labour Force, Australia, April 2014</w:t>
      </w:r>
    </w:p>
    <w:p w:rsidR="00F50843" w:rsidRDefault="00F50843">
      <w:r>
        <w:br w:type="page"/>
      </w:r>
    </w:p>
    <w:p w:rsidR="00E9272D" w:rsidRPr="006D4988" w:rsidRDefault="00E9272D" w:rsidP="00E9272D">
      <w:r w:rsidRPr="006D4988">
        <w:lastRenderedPageBreak/>
        <w:t>Women’s workforce participation rates are also consistently lower than rates for men</w:t>
      </w:r>
      <w:r w:rsidR="009544C2">
        <w:t>,</w:t>
      </w:r>
      <w:r w:rsidRPr="006D4988">
        <w:t xml:space="preserve"> and </w:t>
      </w:r>
      <w:r w:rsidR="009544C2">
        <w:t>are</w:t>
      </w:r>
      <w:r w:rsidR="009544C2" w:rsidRPr="006D4988">
        <w:t xml:space="preserve"> </w:t>
      </w:r>
      <w:r w:rsidRPr="006D4988">
        <w:t xml:space="preserve">lower compared </w:t>
      </w:r>
      <w:r w:rsidR="009544C2">
        <w:t>with</w:t>
      </w:r>
      <w:r w:rsidR="009544C2" w:rsidRPr="006D4988">
        <w:t xml:space="preserve"> </w:t>
      </w:r>
      <w:r w:rsidRPr="006D4988">
        <w:t xml:space="preserve">similar OECD countries (Table 1). </w:t>
      </w:r>
    </w:p>
    <w:p w:rsidR="00E9272D" w:rsidRPr="0052673D" w:rsidRDefault="00E9272D" w:rsidP="00E9272D">
      <w:pPr>
        <w:rPr>
          <w:b/>
        </w:rPr>
      </w:pPr>
      <w:r w:rsidRPr="0052673D">
        <w:rPr>
          <w:b/>
        </w:rPr>
        <w:t xml:space="preserve">Table 1: International comparison – Australia and OECD </w:t>
      </w:r>
      <w:r w:rsidR="00CB4E8D">
        <w:rPr>
          <w:b/>
        </w:rPr>
        <w:t xml:space="preserve">female </w:t>
      </w:r>
      <w:r w:rsidRPr="0052673D">
        <w:rPr>
          <w:b/>
        </w:rPr>
        <w:t xml:space="preserve">labour force participation rates 2013 </w:t>
      </w:r>
    </w:p>
    <w:tbl>
      <w:tblPr>
        <w:tblStyle w:val="TableGrid"/>
        <w:tblW w:w="0" w:type="auto"/>
        <w:jc w:val="center"/>
        <w:tblLook w:val="01E0" w:firstRow="1" w:lastRow="1" w:firstColumn="1" w:lastColumn="1" w:noHBand="0" w:noVBand="0"/>
        <w:tblCaption w:val="Table 1 International comparison 2013 Australia and OECD female labour force rates"/>
        <w:tblDescription w:val="Australian female labour force participation rates and ranking out of 34 OECD countries broken down by four age groups."/>
      </w:tblPr>
      <w:tblGrid>
        <w:gridCol w:w="1526"/>
        <w:gridCol w:w="3461"/>
        <w:gridCol w:w="4583"/>
      </w:tblGrid>
      <w:tr w:rsidR="00E9272D" w:rsidRPr="0052673D" w:rsidTr="00EF7BF2">
        <w:trPr>
          <w:trHeight w:val="285"/>
          <w:tblHeader/>
          <w:jc w:val="center"/>
        </w:trPr>
        <w:tc>
          <w:tcPr>
            <w:tcW w:w="1526" w:type="dxa"/>
          </w:tcPr>
          <w:p w:rsidR="00E9272D" w:rsidRPr="0052673D" w:rsidRDefault="00EF7BF2" w:rsidP="004A3F8C">
            <w:pPr>
              <w:rPr>
                <w:rFonts w:asciiTheme="minorHAnsi" w:hAnsiTheme="minorHAnsi" w:cstheme="minorHAnsi"/>
                <w:sz w:val="22"/>
                <w:szCs w:val="22"/>
              </w:rPr>
            </w:pPr>
            <w:r>
              <w:rPr>
                <w:rFonts w:asciiTheme="minorHAnsi" w:hAnsiTheme="minorHAnsi" w:cstheme="minorHAnsi"/>
                <w:sz w:val="22"/>
                <w:szCs w:val="22"/>
              </w:rPr>
              <w:t>Age group</w:t>
            </w:r>
          </w:p>
        </w:tc>
        <w:tc>
          <w:tcPr>
            <w:tcW w:w="3461" w:type="dxa"/>
          </w:tcPr>
          <w:p w:rsidR="00E9272D" w:rsidRPr="0052673D" w:rsidRDefault="00E9272D" w:rsidP="004A3F8C">
            <w:pPr>
              <w:rPr>
                <w:rFonts w:asciiTheme="minorHAnsi" w:hAnsiTheme="minorHAnsi" w:cstheme="minorHAnsi"/>
                <w:sz w:val="22"/>
                <w:szCs w:val="22"/>
              </w:rPr>
            </w:pPr>
            <w:r w:rsidRPr="0052673D">
              <w:rPr>
                <w:rFonts w:asciiTheme="minorHAnsi" w:hAnsiTheme="minorHAnsi" w:cstheme="minorHAnsi"/>
                <w:sz w:val="22"/>
                <w:szCs w:val="22"/>
              </w:rPr>
              <w:t>%</w:t>
            </w:r>
            <w:r w:rsidR="00CB4E8D">
              <w:rPr>
                <w:rFonts w:asciiTheme="minorHAnsi" w:hAnsiTheme="minorHAnsi" w:cstheme="minorHAnsi"/>
                <w:sz w:val="22"/>
                <w:szCs w:val="22"/>
              </w:rPr>
              <w:t xml:space="preserve"> of women </w:t>
            </w:r>
            <w:r w:rsidR="00055237">
              <w:rPr>
                <w:rFonts w:asciiTheme="minorHAnsi" w:hAnsiTheme="minorHAnsi" w:cstheme="minorHAnsi"/>
                <w:sz w:val="22"/>
                <w:szCs w:val="22"/>
              </w:rPr>
              <w:t xml:space="preserve"> in this age range </w:t>
            </w:r>
            <w:r w:rsidR="00CB4E8D">
              <w:rPr>
                <w:rFonts w:asciiTheme="minorHAnsi" w:hAnsiTheme="minorHAnsi" w:cstheme="minorHAnsi"/>
                <w:sz w:val="22"/>
                <w:szCs w:val="22"/>
              </w:rPr>
              <w:t>participating in the labour market</w:t>
            </w:r>
          </w:p>
        </w:tc>
        <w:tc>
          <w:tcPr>
            <w:tcW w:w="0" w:type="auto"/>
          </w:tcPr>
          <w:p w:rsidR="00E9272D" w:rsidRPr="0052673D" w:rsidRDefault="00E9272D" w:rsidP="004A3F8C">
            <w:pPr>
              <w:rPr>
                <w:rFonts w:asciiTheme="minorHAnsi" w:hAnsiTheme="minorHAnsi" w:cstheme="minorHAnsi"/>
                <w:sz w:val="22"/>
                <w:szCs w:val="22"/>
              </w:rPr>
            </w:pPr>
            <w:r w:rsidRPr="0052673D">
              <w:rPr>
                <w:rFonts w:asciiTheme="minorHAnsi" w:hAnsiTheme="minorHAnsi" w:cstheme="minorHAnsi"/>
                <w:sz w:val="22"/>
                <w:szCs w:val="22"/>
              </w:rPr>
              <w:t>Rank*</w:t>
            </w:r>
            <w:r w:rsidR="00CB4E8D">
              <w:rPr>
                <w:rFonts w:asciiTheme="minorHAnsi" w:hAnsiTheme="minorHAnsi" w:cstheme="minorHAnsi"/>
                <w:sz w:val="22"/>
                <w:szCs w:val="22"/>
              </w:rPr>
              <w:t xml:space="preserve">- relevant ranking of female participation compared to </w:t>
            </w:r>
            <w:r w:rsidR="00055237">
              <w:rPr>
                <w:rFonts w:asciiTheme="minorHAnsi" w:hAnsiTheme="minorHAnsi" w:cstheme="minorHAnsi"/>
                <w:sz w:val="22"/>
                <w:szCs w:val="22"/>
              </w:rPr>
              <w:t>OECD countries</w:t>
            </w:r>
          </w:p>
        </w:tc>
      </w:tr>
      <w:tr w:rsidR="00E9272D" w:rsidRPr="0052673D" w:rsidTr="00EF7BF2">
        <w:trPr>
          <w:trHeight w:val="335"/>
          <w:jc w:val="center"/>
        </w:trPr>
        <w:tc>
          <w:tcPr>
            <w:tcW w:w="1526" w:type="dxa"/>
          </w:tcPr>
          <w:p w:rsidR="00E9272D" w:rsidRPr="0052673D" w:rsidRDefault="00E9272D" w:rsidP="004A3F8C">
            <w:pPr>
              <w:rPr>
                <w:rFonts w:asciiTheme="minorHAnsi" w:hAnsiTheme="minorHAnsi" w:cstheme="minorHAnsi"/>
                <w:sz w:val="22"/>
                <w:szCs w:val="22"/>
              </w:rPr>
            </w:pPr>
            <w:r w:rsidRPr="0052673D">
              <w:rPr>
                <w:rFonts w:asciiTheme="minorHAnsi" w:hAnsiTheme="minorHAnsi" w:cstheme="minorHAnsi"/>
                <w:sz w:val="22"/>
                <w:szCs w:val="22"/>
              </w:rPr>
              <w:t>15-64 years</w:t>
            </w:r>
          </w:p>
        </w:tc>
        <w:tc>
          <w:tcPr>
            <w:tcW w:w="3461" w:type="dxa"/>
          </w:tcPr>
          <w:p w:rsidR="00E9272D" w:rsidRPr="0052673D" w:rsidRDefault="00E9272D" w:rsidP="00EF7BF2">
            <w:pPr>
              <w:jc w:val="right"/>
              <w:rPr>
                <w:rFonts w:asciiTheme="minorHAnsi" w:hAnsiTheme="minorHAnsi" w:cstheme="minorHAnsi"/>
                <w:color w:val="000000"/>
                <w:sz w:val="22"/>
                <w:szCs w:val="22"/>
              </w:rPr>
            </w:pPr>
            <w:r w:rsidRPr="0052673D">
              <w:rPr>
                <w:rFonts w:asciiTheme="minorHAnsi" w:hAnsiTheme="minorHAnsi" w:cstheme="minorHAnsi"/>
                <w:color w:val="000000"/>
                <w:sz w:val="22"/>
                <w:szCs w:val="22"/>
              </w:rPr>
              <w:t>70.5</w:t>
            </w:r>
          </w:p>
        </w:tc>
        <w:tc>
          <w:tcPr>
            <w:tcW w:w="0" w:type="auto"/>
          </w:tcPr>
          <w:p w:rsidR="00E9272D" w:rsidRPr="0052673D" w:rsidRDefault="00E9272D" w:rsidP="00EF7BF2">
            <w:pPr>
              <w:jc w:val="right"/>
              <w:rPr>
                <w:rFonts w:asciiTheme="minorHAnsi" w:hAnsiTheme="minorHAnsi" w:cstheme="minorHAnsi"/>
                <w:color w:val="000000"/>
                <w:sz w:val="22"/>
                <w:szCs w:val="22"/>
              </w:rPr>
            </w:pPr>
            <w:r w:rsidRPr="0052673D">
              <w:rPr>
                <w:rFonts w:asciiTheme="minorHAnsi" w:hAnsiTheme="minorHAnsi" w:cstheme="minorHAnsi"/>
                <w:color w:val="000000"/>
                <w:sz w:val="22"/>
                <w:szCs w:val="22"/>
              </w:rPr>
              <w:t>13</w:t>
            </w:r>
          </w:p>
        </w:tc>
      </w:tr>
      <w:tr w:rsidR="00E9272D" w:rsidRPr="0052673D" w:rsidTr="00EF7BF2">
        <w:trPr>
          <w:jc w:val="center"/>
        </w:trPr>
        <w:tc>
          <w:tcPr>
            <w:tcW w:w="1526" w:type="dxa"/>
          </w:tcPr>
          <w:p w:rsidR="00E9272D" w:rsidRPr="0052673D" w:rsidRDefault="00E9272D" w:rsidP="004A3F8C">
            <w:pPr>
              <w:rPr>
                <w:rFonts w:asciiTheme="minorHAnsi" w:hAnsiTheme="minorHAnsi" w:cstheme="minorHAnsi"/>
                <w:sz w:val="22"/>
                <w:szCs w:val="22"/>
              </w:rPr>
            </w:pPr>
            <w:r w:rsidRPr="0052673D">
              <w:rPr>
                <w:rFonts w:asciiTheme="minorHAnsi" w:hAnsiTheme="minorHAnsi" w:cstheme="minorHAnsi"/>
                <w:sz w:val="22"/>
                <w:szCs w:val="22"/>
              </w:rPr>
              <w:t>15-24 years</w:t>
            </w:r>
          </w:p>
        </w:tc>
        <w:tc>
          <w:tcPr>
            <w:tcW w:w="3461" w:type="dxa"/>
          </w:tcPr>
          <w:p w:rsidR="00E9272D" w:rsidRPr="0052673D" w:rsidRDefault="00E9272D" w:rsidP="00EF7BF2">
            <w:pPr>
              <w:jc w:val="right"/>
              <w:rPr>
                <w:rFonts w:asciiTheme="minorHAnsi" w:hAnsiTheme="minorHAnsi" w:cstheme="minorHAnsi"/>
                <w:color w:val="000000"/>
                <w:sz w:val="22"/>
                <w:szCs w:val="22"/>
              </w:rPr>
            </w:pPr>
            <w:r w:rsidRPr="0052673D">
              <w:rPr>
                <w:rFonts w:asciiTheme="minorHAnsi" w:hAnsiTheme="minorHAnsi" w:cstheme="minorHAnsi"/>
                <w:color w:val="000000"/>
                <w:sz w:val="22"/>
                <w:szCs w:val="22"/>
              </w:rPr>
              <w:t>66.3</w:t>
            </w:r>
          </w:p>
        </w:tc>
        <w:tc>
          <w:tcPr>
            <w:tcW w:w="0" w:type="auto"/>
          </w:tcPr>
          <w:p w:rsidR="00E9272D" w:rsidRPr="0052673D" w:rsidRDefault="00E9272D" w:rsidP="00EF7BF2">
            <w:pPr>
              <w:jc w:val="right"/>
              <w:rPr>
                <w:rFonts w:asciiTheme="minorHAnsi" w:hAnsiTheme="minorHAnsi" w:cstheme="minorHAnsi"/>
                <w:color w:val="000000"/>
                <w:sz w:val="22"/>
                <w:szCs w:val="22"/>
              </w:rPr>
            </w:pPr>
            <w:r w:rsidRPr="0052673D">
              <w:rPr>
                <w:rFonts w:asciiTheme="minorHAnsi" w:hAnsiTheme="minorHAnsi" w:cstheme="minorHAnsi"/>
                <w:color w:val="000000"/>
                <w:sz w:val="22"/>
                <w:szCs w:val="22"/>
              </w:rPr>
              <w:t>4</w:t>
            </w:r>
          </w:p>
        </w:tc>
      </w:tr>
      <w:tr w:rsidR="00E9272D" w:rsidRPr="0052673D" w:rsidTr="00EF7BF2">
        <w:trPr>
          <w:jc w:val="center"/>
        </w:trPr>
        <w:tc>
          <w:tcPr>
            <w:tcW w:w="1526" w:type="dxa"/>
          </w:tcPr>
          <w:p w:rsidR="00E9272D" w:rsidRPr="0052673D" w:rsidRDefault="00E9272D" w:rsidP="004A3F8C">
            <w:pPr>
              <w:rPr>
                <w:rFonts w:asciiTheme="minorHAnsi" w:hAnsiTheme="minorHAnsi" w:cstheme="minorHAnsi"/>
                <w:sz w:val="22"/>
                <w:szCs w:val="22"/>
              </w:rPr>
            </w:pPr>
            <w:r w:rsidRPr="0052673D">
              <w:rPr>
                <w:rFonts w:asciiTheme="minorHAnsi" w:hAnsiTheme="minorHAnsi" w:cstheme="minorHAnsi"/>
                <w:sz w:val="22"/>
                <w:szCs w:val="22"/>
              </w:rPr>
              <w:t>25-54 years</w:t>
            </w:r>
          </w:p>
        </w:tc>
        <w:tc>
          <w:tcPr>
            <w:tcW w:w="3461" w:type="dxa"/>
          </w:tcPr>
          <w:p w:rsidR="00E9272D" w:rsidRPr="0052673D" w:rsidRDefault="00E9272D" w:rsidP="00EF7BF2">
            <w:pPr>
              <w:jc w:val="right"/>
              <w:rPr>
                <w:rFonts w:asciiTheme="minorHAnsi" w:hAnsiTheme="minorHAnsi" w:cstheme="minorHAnsi"/>
                <w:color w:val="000000"/>
                <w:sz w:val="22"/>
                <w:szCs w:val="22"/>
              </w:rPr>
            </w:pPr>
            <w:r w:rsidRPr="0052673D">
              <w:rPr>
                <w:rFonts w:asciiTheme="minorHAnsi" w:hAnsiTheme="minorHAnsi" w:cstheme="minorHAnsi"/>
                <w:color w:val="000000"/>
                <w:sz w:val="22"/>
                <w:szCs w:val="22"/>
              </w:rPr>
              <w:t>75.8</w:t>
            </w:r>
          </w:p>
        </w:tc>
        <w:tc>
          <w:tcPr>
            <w:tcW w:w="0" w:type="auto"/>
          </w:tcPr>
          <w:p w:rsidR="00E9272D" w:rsidRPr="0052673D" w:rsidRDefault="00E9272D" w:rsidP="00EF7BF2">
            <w:pPr>
              <w:jc w:val="right"/>
              <w:rPr>
                <w:rFonts w:asciiTheme="minorHAnsi" w:hAnsiTheme="minorHAnsi" w:cstheme="minorHAnsi"/>
                <w:color w:val="000000"/>
                <w:sz w:val="22"/>
                <w:szCs w:val="22"/>
              </w:rPr>
            </w:pPr>
            <w:r w:rsidRPr="0052673D">
              <w:rPr>
                <w:rFonts w:asciiTheme="minorHAnsi" w:hAnsiTheme="minorHAnsi" w:cstheme="minorHAnsi"/>
                <w:color w:val="000000"/>
                <w:sz w:val="22"/>
                <w:szCs w:val="22"/>
              </w:rPr>
              <w:t>25</w:t>
            </w:r>
          </w:p>
        </w:tc>
      </w:tr>
      <w:tr w:rsidR="00E9272D" w:rsidRPr="0052673D" w:rsidTr="00EF7BF2">
        <w:trPr>
          <w:jc w:val="center"/>
        </w:trPr>
        <w:tc>
          <w:tcPr>
            <w:tcW w:w="1526" w:type="dxa"/>
          </w:tcPr>
          <w:p w:rsidR="00E9272D" w:rsidRPr="0052673D" w:rsidRDefault="00E9272D" w:rsidP="004A3F8C">
            <w:pPr>
              <w:rPr>
                <w:rFonts w:asciiTheme="minorHAnsi" w:hAnsiTheme="minorHAnsi" w:cstheme="minorHAnsi"/>
                <w:sz w:val="22"/>
                <w:szCs w:val="22"/>
              </w:rPr>
            </w:pPr>
            <w:r w:rsidRPr="0052673D">
              <w:rPr>
                <w:rFonts w:asciiTheme="minorHAnsi" w:hAnsiTheme="minorHAnsi" w:cstheme="minorHAnsi"/>
                <w:sz w:val="22"/>
                <w:szCs w:val="22"/>
              </w:rPr>
              <w:t>55-64 years</w:t>
            </w:r>
          </w:p>
        </w:tc>
        <w:tc>
          <w:tcPr>
            <w:tcW w:w="3461" w:type="dxa"/>
          </w:tcPr>
          <w:p w:rsidR="00E9272D" w:rsidRPr="0052673D" w:rsidRDefault="00E9272D" w:rsidP="00EF7BF2">
            <w:pPr>
              <w:jc w:val="right"/>
              <w:rPr>
                <w:rFonts w:asciiTheme="minorHAnsi" w:hAnsiTheme="minorHAnsi" w:cstheme="minorHAnsi"/>
                <w:color w:val="000000"/>
                <w:sz w:val="22"/>
                <w:szCs w:val="22"/>
              </w:rPr>
            </w:pPr>
            <w:r w:rsidRPr="0052673D">
              <w:rPr>
                <w:rFonts w:asciiTheme="minorHAnsi" w:hAnsiTheme="minorHAnsi" w:cstheme="minorHAnsi"/>
                <w:color w:val="000000"/>
                <w:sz w:val="22"/>
                <w:szCs w:val="22"/>
              </w:rPr>
              <w:t>55.8</w:t>
            </w:r>
          </w:p>
        </w:tc>
        <w:tc>
          <w:tcPr>
            <w:tcW w:w="0" w:type="auto"/>
          </w:tcPr>
          <w:p w:rsidR="00E9272D" w:rsidRPr="0052673D" w:rsidRDefault="00E9272D" w:rsidP="00EF7BF2">
            <w:pPr>
              <w:jc w:val="right"/>
              <w:rPr>
                <w:rFonts w:asciiTheme="minorHAnsi" w:hAnsiTheme="minorHAnsi" w:cstheme="minorHAnsi"/>
                <w:color w:val="000000"/>
                <w:sz w:val="22"/>
                <w:szCs w:val="22"/>
              </w:rPr>
            </w:pPr>
            <w:r w:rsidRPr="0052673D">
              <w:rPr>
                <w:rFonts w:asciiTheme="minorHAnsi" w:hAnsiTheme="minorHAnsi" w:cstheme="minorHAnsi"/>
                <w:color w:val="000000"/>
                <w:sz w:val="22"/>
                <w:szCs w:val="22"/>
              </w:rPr>
              <w:t>14</w:t>
            </w:r>
          </w:p>
        </w:tc>
      </w:tr>
    </w:tbl>
    <w:p w:rsidR="00E9272D" w:rsidRPr="00101A78" w:rsidRDefault="00E9272D" w:rsidP="00EF7BF2">
      <w:pPr>
        <w:jc w:val="right"/>
        <w:rPr>
          <w:i/>
          <w:sz w:val="16"/>
        </w:rPr>
      </w:pPr>
      <w:r w:rsidRPr="00101A78">
        <w:rPr>
          <w:i/>
          <w:sz w:val="16"/>
        </w:rPr>
        <w:t xml:space="preserve">*Out of 34 OECD Countries. Source: OECD Employment Outlook, Paris, 2014. </w:t>
      </w:r>
    </w:p>
    <w:p w:rsidR="00E9272D" w:rsidRPr="0071733D" w:rsidRDefault="00E9272D" w:rsidP="00EF7BF2">
      <w:pPr>
        <w:pStyle w:val="Heading3"/>
      </w:pPr>
      <w:r w:rsidRPr="0071733D">
        <w:t>Economic benefits of increasing women’s workforce participation</w:t>
      </w:r>
    </w:p>
    <w:p w:rsidR="00E9272D" w:rsidRDefault="00E9272D" w:rsidP="00E9272D">
      <w:pPr>
        <w:rPr>
          <w:rFonts w:cstheme="minorHAnsi"/>
        </w:rPr>
      </w:pPr>
      <w:r w:rsidRPr="006D4988">
        <w:rPr>
          <w:rFonts w:cstheme="minorHAnsi"/>
        </w:rPr>
        <w:t xml:space="preserve">Increasing the rate of participation for women </w:t>
      </w:r>
      <w:r>
        <w:rPr>
          <w:rFonts w:cstheme="minorHAnsi"/>
        </w:rPr>
        <w:t>is good for</w:t>
      </w:r>
      <w:r w:rsidRPr="006D4988">
        <w:rPr>
          <w:rFonts w:cstheme="minorHAnsi"/>
        </w:rPr>
        <w:t xml:space="preserve"> the Australian economy. The Grattan Institute has estimated that if 6 per cent more women entered the paid workforce, this would increase the size of the Australian economy by about $25 billion per year</w:t>
      </w:r>
      <w:r w:rsidR="00EE769F">
        <w:rPr>
          <w:rFonts w:cstheme="minorHAnsi"/>
        </w:rPr>
        <w:t>.</w:t>
      </w:r>
      <w:r>
        <w:rPr>
          <w:rStyle w:val="FootnoteReference"/>
          <w:rFonts w:cstheme="minorHAnsi"/>
        </w:rPr>
        <w:footnoteReference w:id="12"/>
      </w:r>
      <w:r w:rsidRPr="006D4988">
        <w:rPr>
          <w:rFonts w:cstheme="minorHAnsi"/>
        </w:rPr>
        <w:t xml:space="preserve"> The OECD also recently estimated that Australia could increase its average annual growth in GDP per capita from 2.0 per cent to 2.4 per cent if the labour participation gap between men and women was reduced by 75 per cent</w:t>
      </w:r>
      <w:r w:rsidR="00427132">
        <w:rPr>
          <w:rFonts w:cstheme="minorHAnsi"/>
        </w:rPr>
        <w:t>.</w:t>
      </w:r>
      <w:r>
        <w:rPr>
          <w:rStyle w:val="FootnoteReference"/>
          <w:rFonts w:cstheme="minorHAnsi"/>
        </w:rPr>
        <w:footnoteReference w:id="13"/>
      </w:r>
    </w:p>
    <w:p w:rsidR="00E9272D" w:rsidRDefault="00E9272D" w:rsidP="00E9272D">
      <w:pPr>
        <w:rPr>
          <w:rFonts w:cstheme="minorHAnsi"/>
        </w:rPr>
      </w:pPr>
      <w:r>
        <w:rPr>
          <w:rFonts w:cstheme="minorHAnsi"/>
        </w:rPr>
        <w:t>A recent report by Credit Suisse Research Institute finds that gender diversity within corporations coincides with greater financial performance and higher stock market valuations. The research is unable to determine the cause of this relationship</w:t>
      </w:r>
      <w:r w:rsidR="009544C2">
        <w:rPr>
          <w:rFonts w:cstheme="minorHAnsi"/>
        </w:rPr>
        <w:t>. F</w:t>
      </w:r>
      <w:r>
        <w:rPr>
          <w:rFonts w:cstheme="minorHAnsi"/>
        </w:rPr>
        <w:t>or example</w:t>
      </w:r>
      <w:r w:rsidR="009544C2">
        <w:rPr>
          <w:rFonts w:cstheme="minorHAnsi"/>
        </w:rPr>
        <w:t>,</w:t>
      </w:r>
      <w:r>
        <w:rPr>
          <w:rFonts w:cstheme="minorHAnsi"/>
        </w:rPr>
        <w:t xml:space="preserve"> do high performing companies employ more women, do women choose to work for more successful companies or do women themselves help improve companies’ performance? </w:t>
      </w:r>
      <w:r w:rsidR="009544C2">
        <w:rPr>
          <w:rFonts w:cstheme="minorHAnsi"/>
        </w:rPr>
        <w:t>T</w:t>
      </w:r>
      <w:r>
        <w:rPr>
          <w:rFonts w:cstheme="minorHAnsi"/>
        </w:rPr>
        <w:t xml:space="preserve">he research is able to show </w:t>
      </w:r>
      <w:r w:rsidR="009544C2">
        <w:rPr>
          <w:rFonts w:cstheme="minorHAnsi"/>
        </w:rPr>
        <w:t xml:space="preserve">however </w:t>
      </w:r>
      <w:r>
        <w:rPr>
          <w:rFonts w:cstheme="minorHAnsi"/>
        </w:rPr>
        <w:t>that diversity in decision making, particularly at management level, has an influence on corporate performance. Further,</w:t>
      </w:r>
      <w:r w:rsidR="009544C2">
        <w:rPr>
          <w:rFonts w:cstheme="minorHAnsi"/>
        </w:rPr>
        <w:t xml:space="preserve"> the research shows </w:t>
      </w:r>
      <w:r>
        <w:rPr>
          <w:rFonts w:cstheme="minorHAnsi"/>
        </w:rPr>
        <w:t>that companies with higher levels of gender diversity within the board have better stock market returns as well has higher returns on equity, higher valuations and higher payout ratios</w:t>
      </w:r>
      <w:r w:rsidR="003E6B03">
        <w:rPr>
          <w:rFonts w:cstheme="minorHAnsi"/>
        </w:rPr>
        <w:t>.</w:t>
      </w:r>
      <w:r>
        <w:rPr>
          <w:rFonts w:cstheme="minorHAnsi"/>
        </w:rPr>
        <w:t xml:space="preserve"> The researchers </w:t>
      </w:r>
      <w:r w:rsidR="009544C2">
        <w:rPr>
          <w:rFonts w:cstheme="minorHAnsi"/>
        </w:rPr>
        <w:t xml:space="preserve">identify </w:t>
      </w:r>
      <w:r>
        <w:rPr>
          <w:rFonts w:cstheme="minorHAnsi"/>
        </w:rPr>
        <w:t xml:space="preserve">that </w:t>
      </w:r>
      <w:r w:rsidR="009544C2">
        <w:rPr>
          <w:rFonts w:cstheme="minorHAnsi"/>
        </w:rPr>
        <w:t xml:space="preserve">the </w:t>
      </w:r>
      <w:r>
        <w:rPr>
          <w:rFonts w:cstheme="minorHAnsi"/>
        </w:rPr>
        <w:t xml:space="preserve">three main impediments to gender diversity in the workplace </w:t>
      </w:r>
      <w:r w:rsidR="009544C2">
        <w:rPr>
          <w:rFonts w:cstheme="minorHAnsi"/>
        </w:rPr>
        <w:t>are</w:t>
      </w:r>
      <w:r>
        <w:rPr>
          <w:rFonts w:cstheme="minorHAnsi"/>
        </w:rPr>
        <w:t xml:space="preserve">: cultural bias, workplace related biases </w:t>
      </w:r>
      <w:r w:rsidR="009544C2">
        <w:rPr>
          <w:rFonts w:cstheme="minorHAnsi"/>
        </w:rPr>
        <w:t>and</w:t>
      </w:r>
      <w:r>
        <w:rPr>
          <w:rFonts w:cstheme="minorHAnsi"/>
        </w:rPr>
        <w:t xml:space="preserve"> structural and policy issues</w:t>
      </w:r>
      <w:r w:rsidR="00427132">
        <w:rPr>
          <w:rFonts w:cstheme="minorHAnsi"/>
        </w:rPr>
        <w:t>.</w:t>
      </w:r>
      <w:r w:rsidR="009544C2">
        <w:rPr>
          <w:rStyle w:val="FootnoteReference"/>
          <w:rFonts w:cstheme="minorHAnsi"/>
        </w:rPr>
        <w:footnoteReference w:id="14"/>
      </w:r>
      <w:r>
        <w:rPr>
          <w:rFonts w:cstheme="minorHAnsi"/>
        </w:rPr>
        <w:t xml:space="preserve"> </w:t>
      </w:r>
    </w:p>
    <w:p w:rsidR="00E9272D" w:rsidRPr="006D4988" w:rsidRDefault="00E9272D" w:rsidP="00E9272D">
      <w:pPr>
        <w:rPr>
          <w:rFonts w:cstheme="minorHAnsi"/>
        </w:rPr>
      </w:pPr>
      <w:r>
        <w:rPr>
          <w:rFonts w:cstheme="minorHAnsi"/>
        </w:rPr>
        <w:t>Gender equality in the workplace also</w:t>
      </w:r>
      <w:r w:rsidRPr="006D4988">
        <w:rPr>
          <w:rFonts w:cstheme="minorHAnsi"/>
        </w:rPr>
        <w:t xml:space="preserve"> impacts on Australia’s productivity. In a 2009 report, Goldman Sachs note</w:t>
      </w:r>
      <w:r>
        <w:rPr>
          <w:rFonts w:cstheme="minorHAnsi"/>
        </w:rPr>
        <w:t>d</w:t>
      </w:r>
      <w:r w:rsidRPr="006D4988">
        <w:rPr>
          <w:rFonts w:cstheme="minorHAnsi"/>
        </w:rPr>
        <w:t xml:space="preserve"> that the traditionally higher levels of productivity for men compared to women is due to women being more likely to work in low</w:t>
      </w:r>
      <w:r w:rsidR="009544C2">
        <w:rPr>
          <w:rFonts w:cstheme="minorHAnsi"/>
        </w:rPr>
        <w:t>-</w:t>
      </w:r>
      <w:r w:rsidRPr="006D4988">
        <w:rPr>
          <w:rFonts w:cstheme="minorHAnsi"/>
        </w:rPr>
        <w:t>productivity sectors</w:t>
      </w:r>
      <w:r w:rsidR="009544C2">
        <w:rPr>
          <w:rFonts w:cstheme="minorHAnsi"/>
        </w:rPr>
        <w:t>,</w:t>
      </w:r>
      <w:r w:rsidRPr="006D4988">
        <w:rPr>
          <w:rFonts w:cstheme="minorHAnsi"/>
        </w:rPr>
        <w:t xml:space="preserve"> such as health care and clerical roles</w:t>
      </w:r>
      <w:r w:rsidR="009544C2">
        <w:rPr>
          <w:rFonts w:cstheme="minorHAnsi"/>
        </w:rPr>
        <w:t>,</w:t>
      </w:r>
      <w:r w:rsidRPr="006D4988">
        <w:rPr>
          <w:rFonts w:cstheme="minorHAnsi"/>
        </w:rPr>
        <w:t xml:space="preserve"> and a tendency to work in part-time roles. </w:t>
      </w:r>
      <w:r w:rsidR="00F74D08">
        <w:rPr>
          <w:rFonts w:cstheme="minorHAnsi"/>
        </w:rPr>
        <w:t>T</w:t>
      </w:r>
      <w:r w:rsidRPr="006D4988">
        <w:rPr>
          <w:rFonts w:cstheme="minorHAnsi"/>
        </w:rPr>
        <w:t>his is not consistent</w:t>
      </w:r>
      <w:r w:rsidR="00F74D08">
        <w:rPr>
          <w:rFonts w:cstheme="minorHAnsi"/>
        </w:rPr>
        <w:t xml:space="preserve"> however</w:t>
      </w:r>
      <w:r w:rsidRPr="006D4988">
        <w:rPr>
          <w:rFonts w:cstheme="minorHAnsi"/>
        </w:rPr>
        <w:t xml:space="preserve"> with women’s higher educational attainment</w:t>
      </w:r>
      <w:r w:rsidR="009544C2">
        <w:rPr>
          <w:rFonts w:cstheme="minorHAnsi"/>
        </w:rPr>
        <w:t>,</w:t>
      </w:r>
      <w:r w:rsidRPr="006D4988">
        <w:rPr>
          <w:rFonts w:cstheme="minorHAnsi"/>
        </w:rPr>
        <w:t xml:space="preserve"> Goldman Sachs conclude</w:t>
      </w:r>
      <w:r>
        <w:rPr>
          <w:rFonts w:cstheme="minorHAnsi"/>
        </w:rPr>
        <w:t>d</w:t>
      </w:r>
      <w:r w:rsidRPr="006D4988">
        <w:rPr>
          <w:rFonts w:cstheme="minorHAnsi"/>
        </w:rPr>
        <w:t xml:space="preserve"> that policies aimed at directing women to join more productive sectors would significantly reduce any differences in productivity by gender</w:t>
      </w:r>
      <w:r w:rsidR="009544C2">
        <w:rPr>
          <w:rFonts w:cstheme="minorHAnsi"/>
        </w:rPr>
        <w:t>,</w:t>
      </w:r>
      <w:r w:rsidRPr="006D4988">
        <w:rPr>
          <w:rFonts w:cstheme="minorHAnsi"/>
        </w:rPr>
        <w:t xml:space="preserve"> as well as </w:t>
      </w:r>
      <w:r>
        <w:rPr>
          <w:rFonts w:cstheme="minorHAnsi"/>
        </w:rPr>
        <w:t>having an</w:t>
      </w:r>
      <w:r w:rsidRPr="006D4988">
        <w:rPr>
          <w:rFonts w:cstheme="minorHAnsi"/>
        </w:rPr>
        <w:t xml:space="preserve"> impact on national economic activity</w:t>
      </w:r>
      <w:r w:rsidR="00427132">
        <w:rPr>
          <w:rFonts w:cstheme="minorHAnsi"/>
        </w:rPr>
        <w:t>.</w:t>
      </w:r>
      <w:r w:rsidRPr="006D4988">
        <w:rPr>
          <w:rStyle w:val="FootnoteReference"/>
          <w:rFonts w:cstheme="minorHAnsi"/>
        </w:rPr>
        <w:footnoteReference w:id="15"/>
      </w:r>
      <w:r w:rsidRPr="006D4988">
        <w:rPr>
          <w:rFonts w:cstheme="minorHAnsi"/>
        </w:rPr>
        <w:t xml:space="preserve"> </w:t>
      </w:r>
    </w:p>
    <w:p w:rsidR="00EF7BF2" w:rsidRDefault="00EF7BF2">
      <w:pPr>
        <w:rPr>
          <w:b/>
        </w:rPr>
      </w:pPr>
      <w:r>
        <w:rPr>
          <w:b/>
        </w:rPr>
        <w:br w:type="page"/>
      </w:r>
    </w:p>
    <w:p w:rsidR="00E9272D" w:rsidRPr="0071733D" w:rsidRDefault="00E9272D" w:rsidP="00EF7BF2">
      <w:pPr>
        <w:pStyle w:val="Heading3"/>
      </w:pPr>
      <w:r w:rsidRPr="0071733D">
        <w:lastRenderedPageBreak/>
        <w:t>Closing the gender pay gap</w:t>
      </w:r>
    </w:p>
    <w:p w:rsidR="00E9272D" w:rsidRDefault="00E9272D" w:rsidP="00E9272D">
      <w:pPr>
        <w:rPr>
          <w:rFonts w:eastAsia="Times New Roman" w:cstheme="minorHAnsi"/>
          <w:b/>
          <w:sz w:val="20"/>
          <w:szCs w:val="20"/>
          <w:lang w:eastAsia="en-AU"/>
        </w:rPr>
      </w:pPr>
      <w:r w:rsidRPr="006D4988">
        <w:rPr>
          <w:rFonts w:cstheme="minorHAnsi"/>
        </w:rPr>
        <w:t xml:space="preserve">In Australia, the gender pay gap has persistently remained at </w:t>
      </w:r>
      <w:r w:rsidR="009544C2">
        <w:rPr>
          <w:rFonts w:cstheme="minorHAnsi"/>
        </w:rPr>
        <w:t>about</w:t>
      </w:r>
      <w:r w:rsidR="009544C2" w:rsidRPr="006D4988">
        <w:rPr>
          <w:rFonts w:cstheme="minorHAnsi"/>
        </w:rPr>
        <w:t xml:space="preserve"> </w:t>
      </w:r>
      <w:r w:rsidRPr="006D4988">
        <w:rPr>
          <w:rFonts w:cstheme="minorHAnsi"/>
        </w:rPr>
        <w:t xml:space="preserve">17 per cent. </w:t>
      </w:r>
      <w:r w:rsidR="00FC3828">
        <w:rPr>
          <w:rFonts w:cstheme="minorHAnsi"/>
        </w:rPr>
        <w:t>R</w:t>
      </w:r>
      <w:r w:rsidRPr="006D4988">
        <w:rPr>
          <w:rFonts w:cstheme="minorHAnsi"/>
        </w:rPr>
        <w:t>ecent years</w:t>
      </w:r>
      <w:r w:rsidR="00FC3828">
        <w:rPr>
          <w:rFonts w:cstheme="minorHAnsi"/>
        </w:rPr>
        <w:t>, however,</w:t>
      </w:r>
      <w:r w:rsidRPr="006D4988">
        <w:rPr>
          <w:rFonts w:cstheme="minorHAnsi"/>
        </w:rPr>
        <w:t xml:space="preserve"> have been marked by a noticeable trend upwards and the current gap sits at 18.2 per cent</w:t>
      </w:r>
      <w:r w:rsidR="00427132">
        <w:rPr>
          <w:rFonts w:cstheme="minorHAnsi"/>
        </w:rPr>
        <w:t xml:space="preserve"> (Figure 2).</w:t>
      </w:r>
      <w:r w:rsidRPr="006D4988">
        <w:rPr>
          <w:rStyle w:val="FootnoteReference"/>
          <w:rFonts w:cstheme="minorHAnsi"/>
        </w:rPr>
        <w:footnoteReference w:id="16"/>
      </w:r>
    </w:p>
    <w:p w:rsidR="00EF7BF2" w:rsidRDefault="00EF7BF2" w:rsidP="00EF7BF2">
      <w:pPr>
        <w:pStyle w:val="Caption"/>
        <w:keepNext/>
      </w:pPr>
      <w:r w:rsidRPr="00DB45DF">
        <w:t>Figure 2 Weekly and Hourly Gender Pay Gap</w:t>
      </w:r>
    </w:p>
    <w:p w:rsidR="00E9272D" w:rsidRPr="006D4988" w:rsidRDefault="00E9272D" w:rsidP="00E9272D">
      <w:pPr>
        <w:rPr>
          <w:rFonts w:eastAsia="Times New Roman" w:cstheme="minorHAnsi"/>
          <w:b/>
          <w:sz w:val="20"/>
          <w:szCs w:val="20"/>
          <w:lang w:eastAsia="en-AU"/>
        </w:rPr>
      </w:pPr>
      <w:r>
        <w:rPr>
          <w:noProof/>
          <w:lang w:eastAsia="en-AU"/>
        </w:rPr>
        <w:drawing>
          <wp:inline distT="0" distB="0" distL="0" distR="0" wp14:anchorId="2B0EAA0C" wp14:editId="2B0EAA0D">
            <wp:extent cx="5939790" cy="3327171"/>
            <wp:effectExtent l="0" t="0" r="3810" b="6985"/>
            <wp:docPr id="5" name="Picture 5" descr="This graphical representation shows the weekly and hourly gender pay gap declining from 1994 to 2004, then steadily increasing to 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939790" cy="3327171"/>
                    </a:xfrm>
                    <a:prstGeom prst="rect">
                      <a:avLst/>
                    </a:prstGeom>
                  </pic:spPr>
                </pic:pic>
              </a:graphicData>
            </a:graphic>
          </wp:inline>
        </w:drawing>
      </w:r>
    </w:p>
    <w:p w:rsidR="00E9272D" w:rsidRPr="00EF7BF2" w:rsidRDefault="00E9272D" w:rsidP="00CC13B2">
      <w:pPr>
        <w:pBdr>
          <w:top w:val="single" w:sz="4" w:space="1" w:color="auto"/>
          <w:left w:val="single" w:sz="4" w:space="4" w:color="auto"/>
          <w:bottom w:val="single" w:sz="4" w:space="1" w:color="auto"/>
          <w:right w:val="single" w:sz="4" w:space="4" w:color="auto"/>
        </w:pBdr>
      </w:pPr>
      <w:r w:rsidRPr="00EF7BF2">
        <w:t xml:space="preserve">Weekly Gender Pay Gap is based on Average Weekly Ordinary Time Earnings for full-time adults, trend data sourced from ABS </w:t>
      </w:r>
      <w:r w:rsidRPr="00EF7BF2">
        <w:rPr>
          <w:i/>
        </w:rPr>
        <w:t>Average Weekly Earnings</w:t>
      </w:r>
      <w:r w:rsidRPr="00EF7BF2">
        <w:t xml:space="preserve"> publication (Cat No 6302.0), </w:t>
      </w:r>
      <w:proofErr w:type="gramStart"/>
      <w:r w:rsidRPr="00EF7BF2">
        <w:t>latest</w:t>
      </w:r>
      <w:proofErr w:type="gramEnd"/>
      <w:r w:rsidRPr="00EF7BF2">
        <w:t xml:space="preserve"> data available. Hourly pay gap is calculated (by Department of Employment) by dividing full-time adult average total weekly earnings, sourced from ABS </w:t>
      </w:r>
      <w:r w:rsidRPr="00EF7BF2">
        <w:rPr>
          <w:i/>
        </w:rPr>
        <w:t>Average Weekly Earnings</w:t>
      </w:r>
      <w:r w:rsidRPr="00EF7BF2">
        <w:t xml:space="preserve"> publication (Cat No 6302.0), by the number of hours worked by full-time employees, aged 20 years and over in all industries except Agriculture, forestry and fishing for the relevant quarter. The hourly gender earnings ratio is the percentage of female average hourly earnings to male average hourly earnings.</w:t>
      </w:r>
    </w:p>
    <w:p w:rsidR="00E9272D" w:rsidRPr="006D4988" w:rsidRDefault="00E9272D" w:rsidP="00E9272D">
      <w:pPr>
        <w:pStyle w:val="FootnoteText"/>
        <w:spacing w:after="120"/>
        <w:rPr>
          <w:rFonts w:asciiTheme="minorHAnsi" w:eastAsiaTheme="minorHAnsi" w:hAnsiTheme="minorHAnsi" w:cstheme="minorHAnsi"/>
          <w:sz w:val="22"/>
          <w:szCs w:val="22"/>
        </w:rPr>
      </w:pPr>
      <w:r w:rsidRPr="006D4988">
        <w:rPr>
          <w:rFonts w:asciiTheme="minorHAnsi" w:eastAsiaTheme="minorHAnsi" w:hAnsiTheme="minorHAnsi" w:cstheme="minorHAnsi"/>
          <w:sz w:val="22"/>
          <w:szCs w:val="22"/>
        </w:rPr>
        <w:t>The gender pay gap is a complicated issue and has many contributing factors</w:t>
      </w:r>
      <w:r>
        <w:rPr>
          <w:rFonts w:asciiTheme="minorHAnsi" w:eastAsiaTheme="minorHAnsi" w:hAnsiTheme="minorHAnsi" w:cstheme="minorHAnsi"/>
          <w:sz w:val="22"/>
          <w:szCs w:val="22"/>
        </w:rPr>
        <w:t>.</w:t>
      </w:r>
      <w:r w:rsidRPr="006D4988">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Research by </w:t>
      </w:r>
      <w:proofErr w:type="spellStart"/>
      <w:r>
        <w:rPr>
          <w:rFonts w:asciiTheme="minorHAnsi" w:eastAsiaTheme="minorHAnsi" w:hAnsiTheme="minorHAnsi" w:cstheme="minorHAnsi"/>
          <w:sz w:val="22"/>
          <w:szCs w:val="22"/>
        </w:rPr>
        <w:t>NATSEM</w:t>
      </w:r>
      <w:proofErr w:type="spellEnd"/>
      <w:r>
        <w:rPr>
          <w:rFonts w:asciiTheme="minorHAnsi" w:eastAsiaTheme="minorHAnsi" w:hAnsiTheme="minorHAnsi" w:cstheme="minorHAnsi"/>
          <w:sz w:val="22"/>
          <w:szCs w:val="22"/>
        </w:rPr>
        <w:t xml:space="preserve"> </w:t>
      </w:r>
      <w:r w:rsidRPr="007C28A1">
        <w:rPr>
          <w:rFonts w:asciiTheme="minorHAnsi" w:eastAsiaTheme="minorHAnsi" w:hAnsiTheme="minorHAnsi" w:cstheme="minorHAnsi"/>
          <w:sz w:val="22"/>
          <w:szCs w:val="22"/>
        </w:rPr>
        <w:t>analysed the key determinants of the pay gap and found that significant contributors were</w:t>
      </w:r>
      <w:r w:rsidRPr="007C28A1" w:rsidDel="007C28A1">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i</w:t>
      </w:r>
      <w:r w:rsidRPr="006D4988">
        <w:rPr>
          <w:rFonts w:asciiTheme="minorHAnsi" w:eastAsiaTheme="minorHAnsi" w:hAnsiTheme="minorHAnsi" w:cstheme="minorHAnsi"/>
          <w:sz w:val="22"/>
          <w:szCs w:val="22"/>
        </w:rPr>
        <w:t xml:space="preserve">ndustrial and occupational segregation </w:t>
      </w:r>
      <w:r>
        <w:rPr>
          <w:rFonts w:asciiTheme="minorHAnsi" w:eastAsiaTheme="minorHAnsi" w:hAnsiTheme="minorHAnsi" w:cstheme="minorHAnsi"/>
          <w:sz w:val="22"/>
          <w:szCs w:val="22"/>
        </w:rPr>
        <w:t>(about 25 per cent) labour force history (7 per cent), under-representation of women with vocational qualifications (5 per cent) and under-representation of women in large firms (3 per cent)</w:t>
      </w:r>
      <w:r w:rsidR="00427132">
        <w:rPr>
          <w:rFonts w:asciiTheme="minorHAnsi" w:eastAsiaTheme="minorHAnsi" w:hAnsiTheme="minorHAnsi" w:cstheme="minorHAnsi"/>
          <w:sz w:val="22"/>
          <w:szCs w:val="22"/>
        </w:rPr>
        <w:t>.</w:t>
      </w:r>
      <w:r w:rsidRPr="006D4988">
        <w:rPr>
          <w:rStyle w:val="FootnoteReference"/>
          <w:rFonts w:asciiTheme="minorHAnsi" w:eastAsiaTheme="minorHAnsi" w:hAnsiTheme="minorHAnsi" w:cstheme="minorHAnsi"/>
          <w:sz w:val="22"/>
          <w:szCs w:val="22"/>
        </w:rPr>
        <w:footnoteReference w:id="17"/>
      </w:r>
      <w:r w:rsidRPr="006D4988">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T</w:t>
      </w:r>
      <w:r w:rsidRPr="006D4988">
        <w:rPr>
          <w:rFonts w:asciiTheme="minorHAnsi" w:eastAsiaTheme="minorHAnsi" w:hAnsiTheme="minorHAnsi" w:cstheme="minorHAnsi"/>
          <w:sz w:val="22"/>
          <w:szCs w:val="22"/>
        </w:rPr>
        <w:t xml:space="preserve">ables </w:t>
      </w:r>
      <w:r>
        <w:rPr>
          <w:rFonts w:asciiTheme="minorHAnsi" w:eastAsiaTheme="minorHAnsi" w:hAnsiTheme="minorHAnsi" w:cstheme="minorHAnsi"/>
          <w:sz w:val="22"/>
          <w:szCs w:val="22"/>
        </w:rPr>
        <w:t>2 and 3</w:t>
      </w:r>
      <w:r w:rsidRPr="006D4988">
        <w:rPr>
          <w:rFonts w:asciiTheme="minorHAnsi" w:eastAsiaTheme="minorHAnsi" w:hAnsiTheme="minorHAnsi" w:cstheme="minorHAnsi"/>
          <w:sz w:val="22"/>
          <w:szCs w:val="22"/>
        </w:rPr>
        <w:t xml:space="preserve"> below indicate the wage difference between women and men in different occupations and industries. </w:t>
      </w:r>
    </w:p>
    <w:p w:rsidR="00CC13B2" w:rsidRDefault="00CC13B2">
      <w:pPr>
        <w:rPr>
          <w:b/>
        </w:rPr>
      </w:pPr>
      <w:r>
        <w:rPr>
          <w:b/>
        </w:rPr>
        <w:br w:type="page"/>
      </w:r>
    </w:p>
    <w:p w:rsidR="00E9272D" w:rsidRPr="00670A05" w:rsidRDefault="00E9272D" w:rsidP="00E9272D">
      <w:pPr>
        <w:rPr>
          <w:b/>
        </w:rPr>
      </w:pPr>
      <w:r w:rsidRPr="00670A05">
        <w:rPr>
          <w:b/>
        </w:rPr>
        <w:lastRenderedPageBreak/>
        <w:t>Table 2: Australian industry employment by gender, February 2014</w:t>
      </w:r>
    </w:p>
    <w:tbl>
      <w:tblPr>
        <w:tblStyle w:val="TableGrid"/>
        <w:tblW w:w="9640" w:type="dxa"/>
        <w:tblLook w:val="04A0" w:firstRow="1" w:lastRow="0" w:firstColumn="1" w:lastColumn="0" w:noHBand="0" w:noVBand="1"/>
        <w:tblCaption w:val="Table 2 Australian Employment for Industries by Gender, February 2014"/>
        <w:tblDescription w:val="Percentage of males and females employed in 19 industries."/>
      </w:tblPr>
      <w:tblGrid>
        <w:gridCol w:w="4049"/>
        <w:gridCol w:w="2756"/>
        <w:gridCol w:w="2835"/>
      </w:tblGrid>
      <w:tr w:rsidR="00E9272D" w:rsidRPr="00145A45" w:rsidTr="004A3F8C">
        <w:trPr>
          <w:trHeight w:val="300"/>
          <w:tblHeader/>
        </w:trPr>
        <w:tc>
          <w:tcPr>
            <w:tcW w:w="4049" w:type="dxa"/>
            <w:noWrap/>
            <w:hideMark/>
          </w:tcPr>
          <w:p w:rsidR="00E9272D" w:rsidRPr="00145A45" w:rsidRDefault="00E9272D" w:rsidP="004A3F8C">
            <w:pPr>
              <w:rPr>
                <w:rFonts w:asciiTheme="minorHAnsi" w:hAnsiTheme="minorHAnsi" w:cstheme="minorHAnsi"/>
                <w:color w:val="000000"/>
                <w:sz w:val="22"/>
                <w:szCs w:val="22"/>
              </w:rPr>
            </w:pPr>
          </w:p>
        </w:tc>
        <w:tc>
          <w:tcPr>
            <w:tcW w:w="2756"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b/>
                <w:bCs/>
                <w:color w:val="000000"/>
                <w:sz w:val="22"/>
                <w:szCs w:val="22"/>
              </w:rPr>
              <w:t>Males</w:t>
            </w:r>
            <w:r w:rsidRPr="00145A45">
              <w:rPr>
                <w:rFonts w:asciiTheme="minorHAnsi" w:hAnsiTheme="minorHAnsi" w:cstheme="minorHAnsi"/>
                <w:color w:val="000000"/>
                <w:sz w:val="22"/>
                <w:szCs w:val="22"/>
              </w:rPr>
              <w:t xml:space="preserve"> (% of Industry Total)</w:t>
            </w:r>
          </w:p>
        </w:tc>
        <w:tc>
          <w:tcPr>
            <w:tcW w:w="2835"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b/>
                <w:bCs/>
                <w:color w:val="000000"/>
                <w:sz w:val="22"/>
                <w:szCs w:val="22"/>
              </w:rPr>
              <w:t>Females</w:t>
            </w:r>
            <w:r w:rsidRPr="00145A45">
              <w:rPr>
                <w:rFonts w:asciiTheme="minorHAnsi" w:hAnsiTheme="minorHAnsi" w:cstheme="minorHAnsi"/>
                <w:color w:val="000000"/>
                <w:sz w:val="22"/>
                <w:szCs w:val="22"/>
              </w:rPr>
              <w:t xml:space="preserve"> (% of Industry Total)</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Agriculture, Forestry and Fishing</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70.9</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29.1</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b/>
                <w:bCs/>
                <w:color w:val="000000"/>
                <w:sz w:val="22"/>
                <w:szCs w:val="22"/>
              </w:rPr>
            </w:pPr>
            <w:r w:rsidRPr="00145A45">
              <w:rPr>
                <w:rFonts w:asciiTheme="minorHAnsi" w:hAnsiTheme="minorHAnsi" w:cstheme="minorHAnsi"/>
                <w:b/>
                <w:bCs/>
                <w:color w:val="000000"/>
                <w:sz w:val="22"/>
                <w:szCs w:val="22"/>
              </w:rPr>
              <w:t>Mining</w:t>
            </w:r>
          </w:p>
        </w:tc>
        <w:tc>
          <w:tcPr>
            <w:tcW w:w="2756" w:type="dxa"/>
            <w:noWrap/>
          </w:tcPr>
          <w:p w:rsidR="00E9272D" w:rsidRPr="00145A45" w:rsidRDefault="00E9272D" w:rsidP="004A3F8C">
            <w:pPr>
              <w:jc w:val="right"/>
              <w:rPr>
                <w:rFonts w:asciiTheme="minorHAnsi" w:hAnsiTheme="minorHAnsi" w:cstheme="minorHAnsi"/>
                <w:b/>
                <w:color w:val="000000"/>
                <w:sz w:val="22"/>
                <w:szCs w:val="22"/>
              </w:rPr>
            </w:pPr>
            <w:r w:rsidRPr="00145A45">
              <w:rPr>
                <w:rFonts w:asciiTheme="minorHAnsi" w:hAnsiTheme="minorHAnsi" w:cstheme="minorHAnsi"/>
                <w:b/>
                <w:color w:val="000000"/>
                <w:sz w:val="22"/>
                <w:szCs w:val="22"/>
              </w:rPr>
              <w:t>85.2</w:t>
            </w:r>
          </w:p>
        </w:tc>
        <w:tc>
          <w:tcPr>
            <w:tcW w:w="2835" w:type="dxa"/>
            <w:noWrap/>
          </w:tcPr>
          <w:p w:rsidR="00E9272D" w:rsidRPr="00145A45" w:rsidRDefault="00E9272D" w:rsidP="004A3F8C">
            <w:pPr>
              <w:jc w:val="right"/>
              <w:rPr>
                <w:rFonts w:asciiTheme="minorHAnsi" w:hAnsiTheme="minorHAnsi" w:cstheme="minorHAnsi"/>
                <w:b/>
                <w:color w:val="000000"/>
                <w:sz w:val="22"/>
                <w:szCs w:val="22"/>
              </w:rPr>
            </w:pPr>
            <w:r w:rsidRPr="00145A45">
              <w:rPr>
                <w:rFonts w:asciiTheme="minorHAnsi" w:hAnsiTheme="minorHAnsi" w:cstheme="minorHAnsi"/>
                <w:b/>
                <w:color w:val="000000"/>
                <w:sz w:val="22"/>
                <w:szCs w:val="22"/>
              </w:rPr>
              <w:t>14.8</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Manufacturing</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73.0</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27.0</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Electricity, Gas, Water and Waste Services</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75.6</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24.4</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b/>
                <w:bCs/>
                <w:color w:val="000000"/>
                <w:sz w:val="22"/>
                <w:szCs w:val="22"/>
              </w:rPr>
            </w:pPr>
            <w:r w:rsidRPr="00145A45">
              <w:rPr>
                <w:rFonts w:asciiTheme="minorHAnsi" w:hAnsiTheme="minorHAnsi" w:cstheme="minorHAnsi"/>
                <w:b/>
                <w:bCs/>
                <w:color w:val="000000"/>
                <w:sz w:val="22"/>
                <w:szCs w:val="22"/>
              </w:rPr>
              <w:t>Construction</w:t>
            </w:r>
          </w:p>
        </w:tc>
        <w:tc>
          <w:tcPr>
            <w:tcW w:w="2756" w:type="dxa"/>
            <w:noWrap/>
          </w:tcPr>
          <w:p w:rsidR="00E9272D" w:rsidRPr="00145A45" w:rsidRDefault="00E9272D" w:rsidP="004A3F8C">
            <w:pPr>
              <w:jc w:val="right"/>
              <w:rPr>
                <w:rFonts w:asciiTheme="minorHAnsi" w:hAnsiTheme="minorHAnsi" w:cstheme="minorHAnsi"/>
                <w:b/>
                <w:color w:val="000000"/>
                <w:sz w:val="22"/>
                <w:szCs w:val="22"/>
              </w:rPr>
            </w:pPr>
            <w:r w:rsidRPr="00145A45">
              <w:rPr>
                <w:rFonts w:asciiTheme="minorHAnsi" w:hAnsiTheme="minorHAnsi" w:cstheme="minorHAnsi"/>
                <w:b/>
                <w:color w:val="000000"/>
                <w:sz w:val="22"/>
                <w:szCs w:val="22"/>
              </w:rPr>
              <w:t>87.9</w:t>
            </w:r>
          </w:p>
        </w:tc>
        <w:tc>
          <w:tcPr>
            <w:tcW w:w="2835" w:type="dxa"/>
            <w:noWrap/>
          </w:tcPr>
          <w:p w:rsidR="00E9272D" w:rsidRPr="00145A45" w:rsidRDefault="00E9272D" w:rsidP="004A3F8C">
            <w:pPr>
              <w:jc w:val="right"/>
              <w:rPr>
                <w:rFonts w:asciiTheme="minorHAnsi" w:hAnsiTheme="minorHAnsi" w:cstheme="minorHAnsi"/>
                <w:b/>
                <w:color w:val="000000"/>
                <w:sz w:val="22"/>
                <w:szCs w:val="22"/>
              </w:rPr>
            </w:pPr>
            <w:r w:rsidRPr="00145A45">
              <w:rPr>
                <w:rFonts w:asciiTheme="minorHAnsi" w:hAnsiTheme="minorHAnsi" w:cstheme="minorHAnsi"/>
                <w:b/>
                <w:color w:val="000000"/>
                <w:sz w:val="22"/>
                <w:szCs w:val="22"/>
              </w:rPr>
              <w:t>12.1</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Wholesale Trade</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65.0</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35.0</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Retail Trade</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44.0</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56.0</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Accommodation and Food Services</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45.7</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54.3</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b/>
                <w:bCs/>
                <w:color w:val="000000"/>
                <w:sz w:val="22"/>
                <w:szCs w:val="22"/>
              </w:rPr>
            </w:pPr>
            <w:r w:rsidRPr="00145A45">
              <w:rPr>
                <w:rFonts w:asciiTheme="minorHAnsi" w:hAnsiTheme="minorHAnsi" w:cstheme="minorHAnsi"/>
                <w:b/>
                <w:bCs/>
                <w:color w:val="000000"/>
                <w:sz w:val="22"/>
                <w:szCs w:val="22"/>
              </w:rPr>
              <w:t>Transport, Postal and Warehousing</w:t>
            </w:r>
          </w:p>
        </w:tc>
        <w:tc>
          <w:tcPr>
            <w:tcW w:w="2756" w:type="dxa"/>
            <w:noWrap/>
          </w:tcPr>
          <w:p w:rsidR="00E9272D" w:rsidRPr="00145A45" w:rsidRDefault="00E9272D" w:rsidP="004A3F8C">
            <w:pPr>
              <w:jc w:val="right"/>
              <w:rPr>
                <w:rFonts w:asciiTheme="minorHAnsi" w:hAnsiTheme="minorHAnsi" w:cstheme="minorHAnsi"/>
                <w:b/>
                <w:color w:val="000000"/>
                <w:sz w:val="22"/>
                <w:szCs w:val="22"/>
              </w:rPr>
            </w:pPr>
            <w:r w:rsidRPr="00145A45">
              <w:rPr>
                <w:rFonts w:asciiTheme="minorHAnsi" w:hAnsiTheme="minorHAnsi" w:cstheme="minorHAnsi"/>
                <w:b/>
                <w:color w:val="000000"/>
                <w:sz w:val="22"/>
                <w:szCs w:val="22"/>
              </w:rPr>
              <w:t>77.1</w:t>
            </w:r>
          </w:p>
        </w:tc>
        <w:tc>
          <w:tcPr>
            <w:tcW w:w="2835" w:type="dxa"/>
            <w:noWrap/>
          </w:tcPr>
          <w:p w:rsidR="00E9272D" w:rsidRPr="00145A45" w:rsidRDefault="00E9272D" w:rsidP="004A3F8C">
            <w:pPr>
              <w:jc w:val="right"/>
              <w:rPr>
                <w:rFonts w:asciiTheme="minorHAnsi" w:hAnsiTheme="minorHAnsi" w:cstheme="minorHAnsi"/>
                <w:b/>
                <w:color w:val="000000"/>
                <w:sz w:val="22"/>
                <w:szCs w:val="22"/>
              </w:rPr>
            </w:pPr>
            <w:r w:rsidRPr="00145A45">
              <w:rPr>
                <w:rFonts w:asciiTheme="minorHAnsi" w:hAnsiTheme="minorHAnsi" w:cstheme="minorHAnsi"/>
                <w:b/>
                <w:color w:val="000000"/>
                <w:sz w:val="22"/>
                <w:szCs w:val="22"/>
              </w:rPr>
              <w:t>22.9</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Information Media and Telecommunications</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61.4</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38.6</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Financial and Insurance Services</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46.9</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53.1</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Rental, Hiring and Real Estate Services</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53.8</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46.2</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Professional, Scientific and Technical Services</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57.1</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42.9</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Administrative and Support Services</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48.0</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52.0</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Public Administration and Safety</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53.1</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46.9</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b/>
                <w:bCs/>
                <w:color w:val="000000"/>
                <w:sz w:val="22"/>
                <w:szCs w:val="22"/>
              </w:rPr>
            </w:pPr>
            <w:r w:rsidRPr="00145A45">
              <w:rPr>
                <w:rFonts w:asciiTheme="minorHAnsi" w:hAnsiTheme="minorHAnsi" w:cstheme="minorHAnsi"/>
                <w:b/>
                <w:bCs/>
                <w:color w:val="000000"/>
                <w:sz w:val="22"/>
                <w:szCs w:val="22"/>
              </w:rPr>
              <w:t>Education and Training</w:t>
            </w:r>
          </w:p>
        </w:tc>
        <w:tc>
          <w:tcPr>
            <w:tcW w:w="2756" w:type="dxa"/>
            <w:noWrap/>
          </w:tcPr>
          <w:p w:rsidR="00E9272D" w:rsidRPr="00145A45" w:rsidRDefault="00E9272D" w:rsidP="004A3F8C">
            <w:pPr>
              <w:jc w:val="right"/>
              <w:rPr>
                <w:rFonts w:asciiTheme="minorHAnsi" w:hAnsiTheme="minorHAnsi" w:cstheme="minorHAnsi"/>
                <w:b/>
                <w:color w:val="000000"/>
                <w:sz w:val="22"/>
                <w:szCs w:val="22"/>
              </w:rPr>
            </w:pPr>
            <w:r w:rsidRPr="00145A45">
              <w:rPr>
                <w:rFonts w:asciiTheme="minorHAnsi" w:hAnsiTheme="minorHAnsi" w:cstheme="minorHAnsi"/>
                <w:b/>
                <w:color w:val="000000"/>
                <w:sz w:val="22"/>
                <w:szCs w:val="22"/>
              </w:rPr>
              <w:t>30.6</w:t>
            </w:r>
          </w:p>
        </w:tc>
        <w:tc>
          <w:tcPr>
            <w:tcW w:w="2835" w:type="dxa"/>
            <w:noWrap/>
          </w:tcPr>
          <w:p w:rsidR="00E9272D" w:rsidRPr="00145A45" w:rsidRDefault="00E9272D" w:rsidP="004A3F8C">
            <w:pPr>
              <w:jc w:val="right"/>
              <w:rPr>
                <w:rFonts w:asciiTheme="minorHAnsi" w:hAnsiTheme="minorHAnsi" w:cstheme="minorHAnsi"/>
                <w:b/>
                <w:color w:val="000000"/>
                <w:sz w:val="22"/>
                <w:szCs w:val="22"/>
              </w:rPr>
            </w:pPr>
            <w:r w:rsidRPr="00145A45">
              <w:rPr>
                <w:rFonts w:asciiTheme="minorHAnsi" w:hAnsiTheme="minorHAnsi" w:cstheme="minorHAnsi"/>
                <w:b/>
                <w:color w:val="000000"/>
                <w:sz w:val="22"/>
                <w:szCs w:val="22"/>
              </w:rPr>
              <w:t>69.4</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b/>
                <w:bCs/>
                <w:color w:val="000000"/>
                <w:sz w:val="22"/>
                <w:szCs w:val="22"/>
              </w:rPr>
            </w:pPr>
            <w:r w:rsidRPr="00145A45">
              <w:rPr>
                <w:rFonts w:asciiTheme="minorHAnsi" w:hAnsiTheme="minorHAnsi" w:cstheme="minorHAnsi"/>
                <w:b/>
                <w:bCs/>
                <w:color w:val="000000"/>
                <w:sz w:val="22"/>
                <w:szCs w:val="22"/>
              </w:rPr>
              <w:t>Health Care and Social Assistance</w:t>
            </w:r>
          </w:p>
        </w:tc>
        <w:tc>
          <w:tcPr>
            <w:tcW w:w="2756" w:type="dxa"/>
            <w:noWrap/>
          </w:tcPr>
          <w:p w:rsidR="00E9272D" w:rsidRPr="00145A45" w:rsidRDefault="00E9272D" w:rsidP="004A3F8C">
            <w:pPr>
              <w:jc w:val="right"/>
              <w:rPr>
                <w:rFonts w:asciiTheme="minorHAnsi" w:hAnsiTheme="minorHAnsi" w:cstheme="minorHAnsi"/>
                <w:b/>
                <w:color w:val="000000"/>
                <w:sz w:val="22"/>
                <w:szCs w:val="22"/>
              </w:rPr>
            </w:pPr>
            <w:r w:rsidRPr="00145A45">
              <w:rPr>
                <w:rFonts w:asciiTheme="minorHAnsi" w:hAnsiTheme="minorHAnsi" w:cstheme="minorHAnsi"/>
                <w:b/>
                <w:color w:val="000000"/>
                <w:sz w:val="22"/>
                <w:szCs w:val="22"/>
              </w:rPr>
              <w:t>22.4</w:t>
            </w:r>
          </w:p>
        </w:tc>
        <w:tc>
          <w:tcPr>
            <w:tcW w:w="2835" w:type="dxa"/>
            <w:noWrap/>
          </w:tcPr>
          <w:p w:rsidR="00E9272D" w:rsidRPr="00145A45" w:rsidRDefault="00E9272D" w:rsidP="004A3F8C">
            <w:pPr>
              <w:jc w:val="right"/>
              <w:rPr>
                <w:rFonts w:asciiTheme="minorHAnsi" w:hAnsiTheme="minorHAnsi" w:cstheme="minorHAnsi"/>
                <w:b/>
                <w:color w:val="000000"/>
                <w:sz w:val="22"/>
                <w:szCs w:val="22"/>
              </w:rPr>
            </w:pPr>
            <w:r w:rsidRPr="00145A45">
              <w:rPr>
                <w:rFonts w:asciiTheme="minorHAnsi" w:hAnsiTheme="minorHAnsi" w:cstheme="minorHAnsi"/>
                <w:b/>
                <w:color w:val="000000"/>
                <w:sz w:val="22"/>
                <w:szCs w:val="22"/>
              </w:rPr>
              <w:t>77.6</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Arts and Recreation Services</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54.3</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45.7</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Other Services</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58.6</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41.4</w:t>
            </w:r>
          </w:p>
        </w:tc>
      </w:tr>
      <w:tr w:rsidR="00E9272D" w:rsidRPr="00145A45" w:rsidTr="004A3F8C">
        <w:trPr>
          <w:trHeight w:val="300"/>
        </w:trPr>
        <w:tc>
          <w:tcPr>
            <w:tcW w:w="4049" w:type="dxa"/>
            <w:noWrap/>
            <w:hideMark/>
          </w:tcPr>
          <w:p w:rsidR="00E9272D" w:rsidRPr="00145A45" w:rsidRDefault="00E9272D" w:rsidP="004A3F8C">
            <w:pPr>
              <w:rPr>
                <w:rFonts w:asciiTheme="minorHAnsi" w:hAnsiTheme="minorHAnsi" w:cstheme="minorHAnsi"/>
                <w:color w:val="000000"/>
                <w:sz w:val="22"/>
                <w:szCs w:val="22"/>
              </w:rPr>
            </w:pPr>
            <w:r w:rsidRPr="00145A45">
              <w:rPr>
                <w:rFonts w:asciiTheme="minorHAnsi" w:hAnsiTheme="minorHAnsi" w:cstheme="minorHAnsi"/>
                <w:color w:val="000000"/>
                <w:sz w:val="22"/>
                <w:szCs w:val="22"/>
              </w:rPr>
              <w:t>Total</w:t>
            </w:r>
          </w:p>
        </w:tc>
        <w:tc>
          <w:tcPr>
            <w:tcW w:w="2756"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54.4</w:t>
            </w:r>
          </w:p>
        </w:tc>
        <w:tc>
          <w:tcPr>
            <w:tcW w:w="2835" w:type="dxa"/>
            <w:noWrap/>
          </w:tcPr>
          <w:p w:rsidR="00E9272D" w:rsidRPr="00145A45" w:rsidRDefault="00E9272D" w:rsidP="004A3F8C">
            <w:pPr>
              <w:jc w:val="right"/>
              <w:rPr>
                <w:rFonts w:asciiTheme="minorHAnsi" w:hAnsiTheme="minorHAnsi" w:cstheme="minorHAnsi"/>
                <w:color w:val="000000"/>
                <w:sz w:val="22"/>
                <w:szCs w:val="22"/>
              </w:rPr>
            </w:pPr>
            <w:r w:rsidRPr="00145A45">
              <w:rPr>
                <w:rFonts w:asciiTheme="minorHAnsi" w:hAnsiTheme="minorHAnsi" w:cstheme="minorHAnsi"/>
                <w:color w:val="000000"/>
                <w:sz w:val="22"/>
                <w:szCs w:val="22"/>
              </w:rPr>
              <w:t>45.6</w:t>
            </w:r>
          </w:p>
        </w:tc>
      </w:tr>
    </w:tbl>
    <w:p w:rsidR="00E9272D" w:rsidRPr="00100B0F" w:rsidRDefault="00E9272D" w:rsidP="00E9272D">
      <w:pPr>
        <w:rPr>
          <w:i/>
          <w:sz w:val="16"/>
          <w:szCs w:val="16"/>
        </w:rPr>
      </w:pPr>
      <w:r w:rsidRPr="00100B0F">
        <w:rPr>
          <w:i/>
          <w:sz w:val="16"/>
          <w:szCs w:val="16"/>
        </w:rPr>
        <w:t>Source: ABS Labour Force, Australia Detailed, Quarterly, August 2014 (Cat No: 6291.0.55.003), original data.</w:t>
      </w:r>
    </w:p>
    <w:p w:rsidR="00E9272D" w:rsidRPr="00670A05" w:rsidRDefault="00E9272D" w:rsidP="00E9272D">
      <w:pPr>
        <w:rPr>
          <w:b/>
        </w:rPr>
      </w:pPr>
      <w:r w:rsidRPr="00670A05">
        <w:rPr>
          <w:b/>
        </w:rPr>
        <w:t>Table 3 Gender pay gap by industry, full time ordinary earnings, May 2014</w:t>
      </w:r>
    </w:p>
    <w:tbl>
      <w:tblPr>
        <w:tblStyle w:val="TableGrid"/>
        <w:tblW w:w="9606" w:type="dxa"/>
        <w:tblLook w:val="04A0" w:firstRow="1" w:lastRow="0" w:firstColumn="1" w:lastColumn="0" w:noHBand="0" w:noVBand="1"/>
        <w:tblCaption w:val="Table 3 Gender Pay Gap by Industry, Full-time Ordinary Earnings, May 2014"/>
        <w:tblDescription w:val="Average weekley full-time ordinary earning for men and women in 12 industries and corresponding gender pay gap."/>
      </w:tblPr>
      <w:tblGrid>
        <w:gridCol w:w="5308"/>
        <w:gridCol w:w="1300"/>
        <w:gridCol w:w="1302"/>
        <w:gridCol w:w="1696"/>
      </w:tblGrid>
      <w:tr w:rsidR="00E9272D" w:rsidRPr="006D4988" w:rsidTr="004A3F8C">
        <w:trPr>
          <w:trHeight w:val="397"/>
          <w:tblHeader/>
        </w:trPr>
        <w:tc>
          <w:tcPr>
            <w:tcW w:w="5308" w:type="dxa"/>
            <w:vAlign w:val="center"/>
          </w:tcPr>
          <w:p w:rsidR="00E9272D" w:rsidRPr="006D4988" w:rsidRDefault="00E9272D" w:rsidP="004A3F8C">
            <w:pPr>
              <w:rPr>
                <w:rFonts w:asciiTheme="minorHAnsi" w:hAnsiTheme="minorHAnsi" w:cstheme="minorHAnsi"/>
                <w:b/>
              </w:rPr>
            </w:pPr>
            <w:r w:rsidRPr="00345B5D">
              <w:rPr>
                <w:rFonts w:asciiTheme="minorHAnsi" w:hAnsiTheme="minorHAnsi" w:cstheme="minorHAnsi"/>
                <w:b/>
              </w:rPr>
              <w:t>Industry</w:t>
            </w:r>
          </w:p>
        </w:tc>
        <w:tc>
          <w:tcPr>
            <w:tcW w:w="1300" w:type="dxa"/>
            <w:vAlign w:val="center"/>
          </w:tcPr>
          <w:p w:rsidR="00E9272D" w:rsidRPr="006D4988" w:rsidRDefault="00E9272D" w:rsidP="004A3F8C">
            <w:pPr>
              <w:jc w:val="right"/>
              <w:rPr>
                <w:rFonts w:asciiTheme="minorHAnsi" w:hAnsiTheme="minorHAnsi" w:cstheme="minorHAnsi"/>
                <w:b/>
              </w:rPr>
            </w:pPr>
            <w:r>
              <w:rPr>
                <w:rFonts w:asciiTheme="minorHAnsi" w:hAnsiTheme="minorHAnsi" w:cstheme="minorHAnsi"/>
                <w:b/>
              </w:rPr>
              <w:t>Men</w:t>
            </w:r>
          </w:p>
        </w:tc>
        <w:tc>
          <w:tcPr>
            <w:tcW w:w="1302" w:type="dxa"/>
            <w:vAlign w:val="center"/>
          </w:tcPr>
          <w:p w:rsidR="00E9272D" w:rsidRPr="006D4988" w:rsidRDefault="00E9272D" w:rsidP="004A3F8C">
            <w:pPr>
              <w:jc w:val="right"/>
              <w:rPr>
                <w:rFonts w:asciiTheme="minorHAnsi" w:hAnsiTheme="minorHAnsi" w:cstheme="minorHAnsi"/>
                <w:b/>
              </w:rPr>
            </w:pPr>
            <w:r>
              <w:rPr>
                <w:rFonts w:asciiTheme="minorHAnsi" w:hAnsiTheme="minorHAnsi" w:cstheme="minorHAnsi"/>
                <w:b/>
              </w:rPr>
              <w:t>Women</w:t>
            </w:r>
          </w:p>
        </w:tc>
        <w:tc>
          <w:tcPr>
            <w:tcW w:w="1696" w:type="dxa"/>
            <w:vAlign w:val="center"/>
          </w:tcPr>
          <w:p w:rsidR="00E9272D" w:rsidRPr="006D4988" w:rsidRDefault="00E9272D" w:rsidP="004A3F8C">
            <w:pPr>
              <w:jc w:val="right"/>
              <w:rPr>
                <w:rFonts w:asciiTheme="minorHAnsi" w:hAnsiTheme="minorHAnsi" w:cstheme="minorHAnsi"/>
                <w:b/>
              </w:rPr>
            </w:pPr>
            <w:r w:rsidRPr="00345B5D">
              <w:rPr>
                <w:rFonts w:asciiTheme="minorHAnsi" w:hAnsiTheme="minorHAnsi" w:cstheme="minorHAnsi"/>
                <w:b/>
              </w:rPr>
              <w:t>Gap (%)</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Health care and social assistance</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$1748.30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$1211.00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30.7</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Financial and insurance services</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$1943.40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$1360.20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30.0</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Rental, hiring and real estate services</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$1484.90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$1054.10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29.0</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 xml:space="preserve">Professional, scientific and technical services </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$1893.60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$1414.30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25.3</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Mining</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$2585.20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$1970.20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23.8</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Information, media and telecommunications</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$1795.60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$1445.90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19.5</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Construction</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$1485.50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$1206.20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18.8</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Administration and support services</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$1388.70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$1139.00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17.9</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Manufacturing</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$1338.70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$1110.20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17.1</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Transport, postal and warehousing</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$1487.30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$1248.40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16.1</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Wholesale trade</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$1516.30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$1289.90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14.9</w:t>
            </w:r>
          </w:p>
        </w:tc>
      </w:tr>
      <w:tr w:rsidR="00E9272D" w:rsidRPr="006D4988" w:rsidTr="004A3F8C">
        <w:trPr>
          <w:trHeight w:val="397"/>
        </w:trPr>
        <w:tc>
          <w:tcPr>
            <w:tcW w:w="5308" w:type="dxa"/>
            <w:vAlign w:val="center"/>
          </w:tcPr>
          <w:p w:rsidR="00E9272D" w:rsidRPr="00761F4E" w:rsidRDefault="00E9272D" w:rsidP="004A3F8C">
            <w:pPr>
              <w:rPr>
                <w:rFonts w:asciiTheme="minorHAnsi" w:hAnsiTheme="minorHAnsi"/>
                <w:color w:val="000000"/>
                <w:sz w:val="22"/>
              </w:rPr>
            </w:pPr>
            <w:r w:rsidRPr="00761F4E">
              <w:rPr>
                <w:rFonts w:asciiTheme="minorHAnsi" w:hAnsiTheme="minorHAnsi"/>
                <w:color w:val="000000"/>
                <w:sz w:val="22"/>
              </w:rPr>
              <w:t>Arts and recreation services</w:t>
            </w:r>
          </w:p>
        </w:tc>
        <w:tc>
          <w:tcPr>
            <w:tcW w:w="1300"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$1385.00</w:t>
            </w:r>
          </w:p>
        </w:tc>
        <w:tc>
          <w:tcPr>
            <w:tcW w:w="1302"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$1178.90</w:t>
            </w:r>
          </w:p>
        </w:tc>
        <w:tc>
          <w:tcPr>
            <w:tcW w:w="1696" w:type="dxa"/>
            <w:vAlign w:val="center"/>
          </w:tcPr>
          <w:p w:rsidR="00E9272D" w:rsidRPr="00761F4E" w:rsidRDefault="00E9272D" w:rsidP="004A3F8C">
            <w:pPr>
              <w:jc w:val="right"/>
              <w:rPr>
                <w:rFonts w:asciiTheme="minorHAnsi" w:hAnsiTheme="minorHAnsi"/>
                <w:color w:val="000000"/>
                <w:sz w:val="22"/>
              </w:rPr>
            </w:pPr>
            <w:r w:rsidRPr="00761F4E">
              <w:rPr>
                <w:rFonts w:asciiTheme="minorHAnsi" w:hAnsiTheme="minorHAnsi"/>
                <w:color w:val="000000"/>
                <w:sz w:val="22"/>
              </w:rPr>
              <w:t>14.9</w:t>
            </w:r>
          </w:p>
        </w:tc>
      </w:tr>
    </w:tbl>
    <w:p w:rsidR="00E9272D" w:rsidRPr="006D4988" w:rsidRDefault="00E9272D" w:rsidP="00E9272D">
      <w:pPr>
        <w:rPr>
          <w:rFonts w:eastAsia="Times New Roman" w:cstheme="minorHAnsi"/>
          <w:b/>
          <w:sz w:val="20"/>
          <w:szCs w:val="20"/>
          <w:lang w:eastAsia="en-AU"/>
        </w:rPr>
      </w:pPr>
      <w:r w:rsidRPr="006D4988">
        <w:rPr>
          <w:rFonts w:cstheme="minorHAnsi"/>
          <w:sz w:val="16"/>
          <w:szCs w:val="16"/>
        </w:rPr>
        <w:t xml:space="preserve">ABS </w:t>
      </w:r>
      <w:r w:rsidRPr="006D4988">
        <w:rPr>
          <w:rFonts w:cstheme="minorHAnsi"/>
          <w:i/>
          <w:sz w:val="16"/>
          <w:szCs w:val="16"/>
        </w:rPr>
        <w:t>Average Weekly Earnings</w:t>
      </w:r>
      <w:r w:rsidRPr="006D4988">
        <w:rPr>
          <w:rFonts w:cstheme="minorHAnsi"/>
          <w:sz w:val="16"/>
          <w:szCs w:val="16"/>
        </w:rPr>
        <w:t>, May 2014, cat. No. 6302.0</w:t>
      </w:r>
    </w:p>
    <w:p w:rsidR="00E9272D" w:rsidRPr="006D4988" w:rsidRDefault="00E9272D" w:rsidP="00E9272D">
      <w:pPr>
        <w:pStyle w:val="FootnoteText"/>
        <w:spacing w:after="120" w:line="276" w:lineRule="auto"/>
        <w:rPr>
          <w:rFonts w:asciiTheme="minorHAnsi" w:eastAsiaTheme="minorHAnsi" w:hAnsiTheme="minorHAnsi" w:cstheme="minorHAnsi"/>
          <w:sz w:val="22"/>
          <w:szCs w:val="22"/>
        </w:rPr>
      </w:pPr>
      <w:r w:rsidRPr="006D4988">
        <w:rPr>
          <w:rFonts w:asciiTheme="minorHAnsi" w:eastAsiaTheme="minorHAnsi" w:hAnsiTheme="minorHAnsi" w:cstheme="minorHAnsi"/>
          <w:sz w:val="22"/>
          <w:szCs w:val="22"/>
        </w:rPr>
        <w:lastRenderedPageBreak/>
        <w:t>A lack of women in leadership and high</w:t>
      </w:r>
      <w:r w:rsidR="009544C2">
        <w:rPr>
          <w:rFonts w:asciiTheme="minorHAnsi" w:eastAsiaTheme="minorHAnsi" w:hAnsiTheme="minorHAnsi" w:cstheme="minorHAnsi"/>
          <w:sz w:val="22"/>
          <w:szCs w:val="22"/>
        </w:rPr>
        <w:t>-</w:t>
      </w:r>
      <w:r w:rsidRPr="006D4988">
        <w:rPr>
          <w:rFonts w:asciiTheme="minorHAnsi" w:eastAsiaTheme="minorHAnsi" w:hAnsiTheme="minorHAnsi" w:cstheme="minorHAnsi"/>
          <w:sz w:val="22"/>
          <w:szCs w:val="22"/>
        </w:rPr>
        <w:t>paying roles is also a contributing factor to the disparity in pay rates for women and men. In 2012</w:t>
      </w:r>
      <w:r w:rsidR="009544C2">
        <w:rPr>
          <w:rFonts w:asciiTheme="minorHAnsi" w:eastAsiaTheme="minorHAnsi" w:hAnsiTheme="minorHAnsi" w:cstheme="minorHAnsi"/>
          <w:sz w:val="22"/>
          <w:szCs w:val="22"/>
        </w:rPr>
        <w:t>,</w:t>
      </w:r>
      <w:r w:rsidRPr="006D4988">
        <w:rPr>
          <w:rFonts w:asciiTheme="minorHAnsi" w:eastAsiaTheme="minorHAnsi" w:hAnsiTheme="minorHAnsi" w:cstheme="minorHAnsi"/>
          <w:sz w:val="22"/>
          <w:szCs w:val="22"/>
        </w:rPr>
        <w:t xml:space="preserve"> Australian women held only 9.7 per cent of the executive key management personnel positions in the </w:t>
      </w:r>
      <w:proofErr w:type="spellStart"/>
      <w:r w:rsidRPr="006D4988">
        <w:rPr>
          <w:rFonts w:asciiTheme="minorHAnsi" w:eastAsiaTheme="minorHAnsi" w:hAnsiTheme="minorHAnsi" w:cstheme="minorHAnsi"/>
          <w:sz w:val="22"/>
          <w:szCs w:val="22"/>
        </w:rPr>
        <w:t>ASX</w:t>
      </w:r>
      <w:proofErr w:type="spellEnd"/>
      <w:r w:rsidRPr="006D4988">
        <w:rPr>
          <w:rFonts w:asciiTheme="minorHAnsi" w:eastAsiaTheme="minorHAnsi" w:hAnsiTheme="minorHAnsi" w:cstheme="minorHAnsi"/>
          <w:sz w:val="22"/>
          <w:szCs w:val="22"/>
        </w:rPr>
        <w:t xml:space="preserve"> 200, and 9.2 per cent in the </w:t>
      </w:r>
      <w:proofErr w:type="spellStart"/>
      <w:r w:rsidRPr="006D4988">
        <w:rPr>
          <w:rFonts w:asciiTheme="minorHAnsi" w:eastAsiaTheme="minorHAnsi" w:hAnsiTheme="minorHAnsi" w:cstheme="minorHAnsi"/>
          <w:sz w:val="22"/>
          <w:szCs w:val="22"/>
        </w:rPr>
        <w:t>ASX</w:t>
      </w:r>
      <w:proofErr w:type="spellEnd"/>
      <w:r w:rsidRPr="006D4988">
        <w:rPr>
          <w:rFonts w:asciiTheme="minorHAnsi" w:eastAsiaTheme="minorHAnsi" w:hAnsiTheme="minorHAnsi" w:cstheme="minorHAnsi"/>
          <w:sz w:val="22"/>
          <w:szCs w:val="22"/>
        </w:rPr>
        <w:t xml:space="preserve"> 500. Six out of 10 </w:t>
      </w:r>
      <w:proofErr w:type="spellStart"/>
      <w:r w:rsidRPr="006D4988">
        <w:rPr>
          <w:rFonts w:asciiTheme="minorHAnsi" w:eastAsiaTheme="minorHAnsi" w:hAnsiTheme="minorHAnsi" w:cstheme="minorHAnsi"/>
          <w:sz w:val="22"/>
          <w:szCs w:val="22"/>
        </w:rPr>
        <w:t>ASX</w:t>
      </w:r>
      <w:proofErr w:type="spellEnd"/>
      <w:r w:rsidRPr="006D4988">
        <w:rPr>
          <w:rFonts w:asciiTheme="minorHAnsi" w:eastAsiaTheme="minorHAnsi" w:hAnsiTheme="minorHAnsi" w:cstheme="minorHAnsi"/>
          <w:sz w:val="22"/>
          <w:szCs w:val="22"/>
        </w:rPr>
        <w:t xml:space="preserve"> 200 companies did not have any female executive key management personnel</w:t>
      </w:r>
      <w:r w:rsidR="00427132">
        <w:rPr>
          <w:rFonts w:asciiTheme="minorHAnsi" w:eastAsiaTheme="minorHAnsi" w:hAnsiTheme="minorHAnsi" w:cstheme="minorHAnsi"/>
          <w:sz w:val="22"/>
          <w:szCs w:val="22"/>
        </w:rPr>
        <w:t>.</w:t>
      </w:r>
      <w:r w:rsidRPr="006D4988">
        <w:rPr>
          <w:rStyle w:val="FootnoteReference"/>
          <w:rFonts w:asciiTheme="minorHAnsi" w:eastAsiaTheme="minorHAnsi" w:hAnsiTheme="minorHAnsi" w:cstheme="minorHAnsi"/>
          <w:sz w:val="22"/>
          <w:szCs w:val="22"/>
        </w:rPr>
        <w:footnoteReference w:id="18"/>
      </w:r>
    </w:p>
    <w:p w:rsidR="00E9272D" w:rsidRPr="006D4988" w:rsidDel="00D070DF" w:rsidRDefault="00E9272D" w:rsidP="00E9272D">
      <w:pPr>
        <w:pStyle w:val="FootnoteText"/>
        <w:spacing w:after="120" w:line="276" w:lineRule="auto"/>
        <w:rPr>
          <w:rFonts w:asciiTheme="minorHAnsi" w:eastAsiaTheme="minorHAnsi" w:hAnsiTheme="minorHAnsi" w:cstheme="minorHAnsi"/>
          <w:sz w:val="22"/>
          <w:szCs w:val="22"/>
        </w:rPr>
      </w:pPr>
      <w:r w:rsidRPr="00060931">
        <w:rPr>
          <w:rFonts w:asciiTheme="minorHAnsi" w:eastAsiaTheme="minorHAnsi" w:hAnsiTheme="minorHAnsi" w:cstheme="minorHAnsi"/>
          <w:sz w:val="22"/>
          <w:szCs w:val="22"/>
        </w:rPr>
        <w:t xml:space="preserve">The </w:t>
      </w:r>
      <w:proofErr w:type="spellStart"/>
      <w:r w:rsidRPr="00060931">
        <w:rPr>
          <w:rFonts w:asciiTheme="minorHAnsi" w:eastAsiaTheme="minorHAnsi" w:hAnsiTheme="minorHAnsi" w:cstheme="minorHAnsi"/>
          <w:sz w:val="22"/>
          <w:szCs w:val="22"/>
        </w:rPr>
        <w:t>NATSEM</w:t>
      </w:r>
      <w:proofErr w:type="spellEnd"/>
      <w:r w:rsidRPr="00060931">
        <w:rPr>
          <w:rFonts w:asciiTheme="minorHAnsi" w:eastAsiaTheme="minorHAnsi" w:hAnsiTheme="minorHAnsi" w:cstheme="minorHAnsi"/>
          <w:sz w:val="22"/>
          <w:szCs w:val="22"/>
        </w:rPr>
        <w:t xml:space="preserve"> report further shows that being a woman accounts for 60 per cent of the wage gap. Elements that are consistent with being a </w:t>
      </w:r>
      <w:r w:rsidRPr="00060931">
        <w:rPr>
          <w:rFonts w:asciiTheme="minorHAnsi" w:eastAsiaTheme="minorHAnsi" w:hAnsiTheme="minorHAnsi"/>
          <w:sz w:val="22"/>
        </w:rPr>
        <w:t>woman</w:t>
      </w:r>
      <w:r w:rsidRPr="00060931">
        <w:rPr>
          <w:rFonts w:asciiTheme="minorHAnsi" w:eastAsiaTheme="minorHAnsi" w:hAnsiTheme="minorHAnsi" w:cstheme="minorHAnsi"/>
          <w:sz w:val="22"/>
          <w:szCs w:val="22"/>
        </w:rPr>
        <w:t xml:space="preserve"> and contribute to the wage gap include workplace discrimination (through conscious or unconscious bias) and other differences between men and women (such as work preferences and</w:t>
      </w:r>
      <w:r>
        <w:rPr>
          <w:rFonts w:asciiTheme="minorHAnsi" w:eastAsiaTheme="minorHAnsi" w:hAnsiTheme="minorHAnsi" w:cstheme="minorHAnsi"/>
          <w:sz w:val="22"/>
          <w:szCs w:val="22"/>
        </w:rPr>
        <w:t xml:space="preserve"> </w:t>
      </w:r>
      <w:r w:rsidRPr="00060931">
        <w:rPr>
          <w:rFonts w:asciiTheme="minorHAnsi" w:eastAsiaTheme="minorHAnsi" w:hAnsiTheme="minorHAnsi" w:cstheme="minorHAnsi"/>
          <w:sz w:val="22"/>
          <w:szCs w:val="22"/>
        </w:rPr>
        <w:t>women undertaking the greater share of unpaid work)</w:t>
      </w:r>
      <w:r w:rsidR="00427132">
        <w:rPr>
          <w:rFonts w:asciiTheme="minorHAnsi" w:eastAsiaTheme="minorHAnsi" w:hAnsiTheme="minorHAnsi" w:cstheme="minorHAnsi"/>
          <w:sz w:val="22"/>
          <w:szCs w:val="22"/>
        </w:rPr>
        <w:t>.</w:t>
      </w:r>
      <w:r w:rsidR="003546F8">
        <w:rPr>
          <w:rStyle w:val="FootnoteReference"/>
          <w:rFonts w:asciiTheme="minorHAnsi" w:eastAsiaTheme="minorHAnsi" w:hAnsiTheme="minorHAnsi" w:cstheme="minorHAnsi"/>
          <w:sz w:val="22"/>
          <w:szCs w:val="22"/>
        </w:rPr>
        <w:footnoteReference w:id="19"/>
      </w:r>
      <w:r w:rsidRPr="00060931">
        <w:rPr>
          <w:rFonts w:asciiTheme="minorHAnsi" w:eastAsiaTheme="minorHAnsi" w:hAnsiTheme="minorHAnsi" w:cstheme="minorHAnsi"/>
          <w:sz w:val="22"/>
          <w:szCs w:val="22"/>
        </w:rPr>
        <w:t xml:space="preserve"> </w:t>
      </w:r>
    </w:p>
    <w:p w:rsidR="00E9272D" w:rsidRDefault="00E9272D" w:rsidP="00E9272D">
      <w:pPr>
        <w:pStyle w:val="FootnoteText"/>
        <w:spacing w:after="120" w:line="276" w:lineRule="auto"/>
        <w:rPr>
          <w:rFonts w:asciiTheme="minorHAnsi" w:eastAsiaTheme="minorHAnsi" w:hAnsiTheme="minorHAnsi" w:cstheme="minorHAnsi"/>
          <w:sz w:val="22"/>
          <w:szCs w:val="22"/>
        </w:rPr>
      </w:pPr>
      <w:r w:rsidRPr="003964C9">
        <w:rPr>
          <w:rFonts w:asciiTheme="minorHAnsi" w:eastAsiaTheme="minorHAnsi" w:hAnsiTheme="minorHAnsi" w:cstheme="minorHAnsi"/>
          <w:sz w:val="22"/>
          <w:szCs w:val="22"/>
        </w:rPr>
        <w:t xml:space="preserve">Unconscious bias can be one of the most intractable elements to address, simply because </w:t>
      </w:r>
      <w:r>
        <w:rPr>
          <w:rFonts w:asciiTheme="minorHAnsi" w:eastAsiaTheme="minorHAnsi" w:hAnsiTheme="minorHAnsi" w:cstheme="minorHAnsi"/>
          <w:sz w:val="22"/>
          <w:szCs w:val="22"/>
        </w:rPr>
        <w:t>it is difficult for organisations to identify that a problem exists</w:t>
      </w:r>
      <w:r w:rsidRPr="003964C9">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The pervasive nature of unconscious bias was highlighted in recent</w:t>
      </w:r>
      <w:r w:rsidRPr="003964C9">
        <w:rPr>
          <w:rFonts w:asciiTheme="minorHAnsi" w:eastAsiaTheme="minorHAnsi" w:hAnsiTheme="minorHAnsi" w:cstheme="minorHAnsi"/>
          <w:sz w:val="22"/>
          <w:szCs w:val="22"/>
        </w:rPr>
        <w:t xml:space="preserve"> comments by the </w:t>
      </w:r>
      <w:proofErr w:type="spellStart"/>
      <w:r w:rsidRPr="003964C9">
        <w:rPr>
          <w:rFonts w:asciiTheme="minorHAnsi" w:eastAsiaTheme="minorHAnsi" w:hAnsiTheme="minorHAnsi" w:cstheme="minorHAnsi"/>
          <w:sz w:val="22"/>
          <w:szCs w:val="22"/>
        </w:rPr>
        <w:t>CEO</w:t>
      </w:r>
      <w:proofErr w:type="spellEnd"/>
      <w:r w:rsidRPr="003964C9">
        <w:rPr>
          <w:rFonts w:asciiTheme="minorHAnsi" w:eastAsiaTheme="minorHAnsi" w:hAnsiTheme="minorHAnsi" w:cstheme="minorHAnsi"/>
          <w:sz w:val="22"/>
          <w:szCs w:val="22"/>
        </w:rPr>
        <w:t xml:space="preserve"> of Microsoft</w:t>
      </w:r>
      <w:r>
        <w:rPr>
          <w:rFonts w:asciiTheme="minorHAnsi" w:eastAsiaTheme="minorHAnsi" w:hAnsiTheme="minorHAnsi" w:cstheme="minorHAnsi"/>
          <w:sz w:val="22"/>
          <w:szCs w:val="22"/>
        </w:rPr>
        <w:t xml:space="preserve">, Mr </w:t>
      </w:r>
      <w:proofErr w:type="spellStart"/>
      <w:r>
        <w:rPr>
          <w:rFonts w:asciiTheme="minorHAnsi" w:eastAsiaTheme="minorHAnsi" w:hAnsiTheme="minorHAnsi" w:cstheme="minorHAnsi"/>
          <w:sz w:val="22"/>
          <w:szCs w:val="22"/>
        </w:rPr>
        <w:t>Satya</w:t>
      </w:r>
      <w:proofErr w:type="spellEnd"/>
      <w:r>
        <w:rPr>
          <w:rFonts w:asciiTheme="minorHAnsi" w:eastAsiaTheme="minorHAnsi" w:hAnsiTheme="minorHAnsi" w:cstheme="minorHAnsi"/>
          <w:sz w:val="22"/>
          <w:szCs w:val="22"/>
        </w:rPr>
        <w:t xml:space="preserve"> </w:t>
      </w:r>
      <w:proofErr w:type="spellStart"/>
      <w:r>
        <w:rPr>
          <w:rFonts w:asciiTheme="minorHAnsi" w:eastAsiaTheme="minorHAnsi" w:hAnsiTheme="minorHAnsi" w:cstheme="minorHAnsi"/>
          <w:sz w:val="22"/>
          <w:szCs w:val="22"/>
        </w:rPr>
        <w:t>Nadella</w:t>
      </w:r>
      <w:proofErr w:type="spellEnd"/>
      <w:r>
        <w:rPr>
          <w:rFonts w:asciiTheme="minorHAnsi" w:eastAsiaTheme="minorHAnsi" w:hAnsiTheme="minorHAnsi" w:cstheme="minorHAnsi"/>
          <w:sz w:val="22"/>
          <w:szCs w:val="22"/>
        </w:rPr>
        <w:t>,</w:t>
      </w:r>
      <w:r w:rsidRPr="003964C9">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whereby Mr </w:t>
      </w:r>
      <w:proofErr w:type="spellStart"/>
      <w:r>
        <w:rPr>
          <w:rFonts w:asciiTheme="minorHAnsi" w:eastAsiaTheme="minorHAnsi" w:hAnsiTheme="minorHAnsi" w:cstheme="minorHAnsi"/>
          <w:sz w:val="22"/>
          <w:szCs w:val="22"/>
        </w:rPr>
        <w:t>Nadella</w:t>
      </w:r>
      <w:proofErr w:type="spellEnd"/>
      <w:r>
        <w:rPr>
          <w:rFonts w:asciiTheme="minorHAnsi" w:eastAsiaTheme="minorHAnsi" w:hAnsiTheme="minorHAnsi" w:cstheme="minorHAnsi"/>
          <w:sz w:val="22"/>
          <w:szCs w:val="22"/>
        </w:rPr>
        <w:t xml:space="preserve"> indicated that women who do not request salary advances have ‘good karma’ and that they should have ‘faith that the system will actually give you the right raises as you go along’</w:t>
      </w:r>
      <w:r w:rsidRPr="00723605">
        <w:rPr>
          <w:rFonts w:eastAsiaTheme="minorHAnsi"/>
          <w:vertAlign w:val="superscript"/>
        </w:rPr>
        <w:footnoteReference w:id="20"/>
      </w:r>
      <w:r>
        <w:rPr>
          <w:rFonts w:asciiTheme="minorHAnsi" w:eastAsiaTheme="minorHAnsi" w:hAnsiTheme="minorHAnsi" w:cstheme="minorHAnsi"/>
          <w:sz w:val="22"/>
          <w:szCs w:val="22"/>
        </w:rPr>
        <w:t>.</w:t>
      </w:r>
    </w:p>
    <w:p w:rsidR="00E9272D" w:rsidRPr="006D4988" w:rsidRDefault="00E9272D" w:rsidP="00E9272D">
      <w:pPr>
        <w:pStyle w:val="FootnoteText"/>
        <w:spacing w:after="120" w:line="276" w:lineRule="auto"/>
        <w:rPr>
          <w:rFonts w:asciiTheme="minorHAnsi" w:eastAsiaTheme="minorHAnsi" w:hAnsiTheme="minorHAnsi" w:cstheme="minorHAnsi"/>
          <w:sz w:val="22"/>
          <w:szCs w:val="22"/>
        </w:rPr>
      </w:pPr>
      <w:r w:rsidRPr="006D4988">
        <w:rPr>
          <w:rFonts w:asciiTheme="minorHAnsi" w:eastAsiaTheme="minorHAnsi" w:hAnsiTheme="minorHAnsi" w:cstheme="minorHAnsi"/>
          <w:sz w:val="22"/>
          <w:szCs w:val="22"/>
        </w:rPr>
        <w:t>Another</w:t>
      </w:r>
      <w:r w:rsidRPr="006D4988" w:rsidDel="00D070DF">
        <w:rPr>
          <w:rFonts w:asciiTheme="minorHAnsi" w:eastAsiaTheme="minorHAnsi" w:hAnsiTheme="minorHAnsi" w:cstheme="minorHAnsi"/>
          <w:sz w:val="22"/>
          <w:szCs w:val="22"/>
        </w:rPr>
        <w:t xml:space="preserve"> </w:t>
      </w:r>
      <w:r w:rsidRPr="006D4988">
        <w:rPr>
          <w:rFonts w:asciiTheme="minorHAnsi" w:eastAsiaTheme="minorHAnsi" w:hAnsiTheme="minorHAnsi" w:cstheme="minorHAnsi"/>
          <w:sz w:val="22"/>
          <w:szCs w:val="22"/>
        </w:rPr>
        <w:t xml:space="preserve">key factor </w:t>
      </w:r>
      <w:r>
        <w:rPr>
          <w:rFonts w:asciiTheme="minorHAnsi" w:eastAsiaTheme="minorHAnsi" w:hAnsiTheme="minorHAnsi" w:cstheme="minorHAnsi"/>
          <w:sz w:val="22"/>
          <w:szCs w:val="22"/>
        </w:rPr>
        <w:t>to the gender wage gap</w:t>
      </w:r>
      <w:r w:rsidRPr="006D4988">
        <w:rPr>
          <w:rFonts w:asciiTheme="minorHAnsi" w:eastAsiaTheme="minorHAnsi" w:hAnsiTheme="minorHAnsi" w:cstheme="minorHAnsi"/>
          <w:sz w:val="22"/>
          <w:szCs w:val="22"/>
        </w:rPr>
        <w:t xml:space="preserve"> is that it is often women who take time out of the workforce to fulfil caring responsibilities. There is a wage penalty effect with each year taken out of the workforce, which is compounded by the tendency to return to work part</w:t>
      </w:r>
      <w:r>
        <w:rPr>
          <w:rFonts w:asciiTheme="minorHAnsi" w:eastAsiaTheme="minorHAnsi" w:hAnsiTheme="minorHAnsi" w:cstheme="minorHAnsi"/>
          <w:sz w:val="22"/>
          <w:szCs w:val="22"/>
        </w:rPr>
        <w:t>-</w:t>
      </w:r>
      <w:r w:rsidRPr="006D4988">
        <w:rPr>
          <w:rFonts w:asciiTheme="minorHAnsi" w:eastAsiaTheme="minorHAnsi" w:hAnsiTheme="minorHAnsi" w:cstheme="minorHAnsi"/>
          <w:sz w:val="22"/>
          <w:szCs w:val="22"/>
        </w:rPr>
        <w:t xml:space="preserve">time. In Australia, the wage penalty has been estimated to be </w:t>
      </w:r>
      <w:r w:rsidR="00ED5B73">
        <w:rPr>
          <w:rFonts w:asciiTheme="minorHAnsi" w:eastAsiaTheme="minorHAnsi" w:hAnsiTheme="minorHAnsi" w:cstheme="minorHAnsi"/>
          <w:sz w:val="22"/>
          <w:szCs w:val="22"/>
        </w:rPr>
        <w:t>about</w:t>
      </w:r>
      <w:r w:rsidR="00ED5B73" w:rsidRPr="006D4988">
        <w:rPr>
          <w:rFonts w:asciiTheme="minorHAnsi" w:eastAsiaTheme="minorHAnsi" w:hAnsiTheme="minorHAnsi" w:cstheme="minorHAnsi"/>
          <w:sz w:val="22"/>
          <w:szCs w:val="22"/>
        </w:rPr>
        <w:t xml:space="preserve"> </w:t>
      </w:r>
      <w:r w:rsidRPr="006D4988">
        <w:rPr>
          <w:rFonts w:asciiTheme="minorHAnsi" w:eastAsiaTheme="minorHAnsi" w:hAnsiTheme="minorHAnsi" w:cstheme="minorHAnsi"/>
          <w:sz w:val="22"/>
          <w:szCs w:val="22"/>
        </w:rPr>
        <w:t>4</w:t>
      </w:r>
      <w:r>
        <w:rPr>
          <w:rFonts w:asciiTheme="minorHAnsi" w:eastAsiaTheme="minorHAnsi" w:hAnsiTheme="minorHAnsi" w:cstheme="minorHAnsi"/>
          <w:sz w:val="22"/>
          <w:szCs w:val="22"/>
        </w:rPr>
        <w:t xml:space="preserve"> per cent</w:t>
      </w:r>
      <w:r w:rsidRPr="006D4988">
        <w:rPr>
          <w:rFonts w:asciiTheme="minorHAnsi" w:eastAsiaTheme="minorHAnsi" w:hAnsiTheme="minorHAnsi" w:cstheme="minorHAnsi"/>
          <w:sz w:val="22"/>
          <w:szCs w:val="22"/>
        </w:rPr>
        <w:t xml:space="preserve"> in the year a woman returns to work, growing to 9</w:t>
      </w:r>
      <w:r>
        <w:rPr>
          <w:rFonts w:asciiTheme="minorHAnsi" w:eastAsiaTheme="minorHAnsi" w:hAnsiTheme="minorHAnsi" w:cstheme="minorHAnsi"/>
          <w:sz w:val="22"/>
          <w:szCs w:val="22"/>
        </w:rPr>
        <w:t xml:space="preserve"> per cent</w:t>
      </w:r>
      <w:r w:rsidRPr="006D4988">
        <w:rPr>
          <w:rFonts w:asciiTheme="minorHAnsi" w:eastAsiaTheme="minorHAnsi" w:hAnsiTheme="minorHAnsi" w:cstheme="minorHAnsi"/>
          <w:sz w:val="22"/>
          <w:szCs w:val="22"/>
        </w:rPr>
        <w:t xml:space="preserve"> the following year and 12</w:t>
      </w:r>
      <w:r>
        <w:rPr>
          <w:rFonts w:asciiTheme="minorHAnsi" w:eastAsiaTheme="minorHAnsi" w:hAnsiTheme="minorHAnsi" w:cstheme="minorHAnsi"/>
          <w:sz w:val="22"/>
          <w:szCs w:val="22"/>
        </w:rPr>
        <w:t xml:space="preserve"> per cent for the third year</w:t>
      </w:r>
      <w:r w:rsidR="00427132">
        <w:rPr>
          <w:rFonts w:asciiTheme="minorHAnsi" w:eastAsiaTheme="minorHAnsi" w:hAnsiTheme="minorHAnsi" w:cstheme="minorHAnsi"/>
          <w:sz w:val="22"/>
          <w:szCs w:val="22"/>
        </w:rPr>
        <w:t>.</w:t>
      </w:r>
      <w:r w:rsidRPr="00723605">
        <w:rPr>
          <w:rFonts w:eastAsiaTheme="minorHAnsi"/>
          <w:vertAlign w:val="superscript"/>
        </w:rPr>
        <w:footnoteReference w:id="21"/>
      </w:r>
      <w:r w:rsidRPr="00E81D31" w:rsidDel="00D070DF">
        <w:rPr>
          <w:rFonts w:eastAsiaTheme="minorHAnsi"/>
        </w:rPr>
        <w:t xml:space="preserve"> </w:t>
      </w:r>
    </w:p>
    <w:p w:rsidR="00E9272D" w:rsidRPr="006D4988" w:rsidRDefault="00E9272D" w:rsidP="00E9272D">
      <w:pPr>
        <w:rPr>
          <w:rFonts w:cstheme="minorHAnsi"/>
        </w:rPr>
      </w:pPr>
      <w:r w:rsidRPr="006D4988">
        <w:rPr>
          <w:rFonts w:cstheme="minorHAnsi"/>
        </w:rPr>
        <w:t xml:space="preserve">Closing the gender wage gap would have similar economic benefits to increasing women’s workforce participation. </w:t>
      </w:r>
      <w:r>
        <w:rPr>
          <w:rFonts w:cstheme="minorHAnsi"/>
        </w:rPr>
        <w:t xml:space="preserve">The </w:t>
      </w:r>
      <w:proofErr w:type="spellStart"/>
      <w:r>
        <w:rPr>
          <w:rFonts w:cstheme="minorHAnsi"/>
        </w:rPr>
        <w:t>NATSEM</w:t>
      </w:r>
      <w:proofErr w:type="spellEnd"/>
      <w:r>
        <w:rPr>
          <w:rFonts w:cstheme="minorHAnsi"/>
        </w:rPr>
        <w:t xml:space="preserve"> report found that i</w:t>
      </w:r>
      <w:r w:rsidRPr="006D4988">
        <w:rPr>
          <w:rFonts w:cstheme="minorHAnsi"/>
        </w:rPr>
        <w:t>f the gender wage gap was reduced by just 1 per cent</w:t>
      </w:r>
      <w:r w:rsidR="00ED5B73">
        <w:rPr>
          <w:rFonts w:cstheme="minorHAnsi"/>
        </w:rPr>
        <w:t>,</w:t>
      </w:r>
      <w:r w:rsidRPr="006D4988">
        <w:rPr>
          <w:rFonts w:cstheme="minorHAnsi"/>
        </w:rPr>
        <w:t xml:space="preserve"> the economy would grow by 0.5 per cent</w:t>
      </w:r>
      <w:r w:rsidR="00172903">
        <w:rPr>
          <w:rFonts w:cstheme="minorHAnsi"/>
        </w:rPr>
        <w:t>.</w:t>
      </w:r>
      <w:r w:rsidRPr="00101A78">
        <w:rPr>
          <w:rStyle w:val="FootnoteReference"/>
          <w:rFonts w:cstheme="minorHAnsi"/>
        </w:rPr>
        <w:t xml:space="preserve"> </w:t>
      </w:r>
      <w:r w:rsidRPr="006D4988">
        <w:rPr>
          <w:rFonts w:cstheme="minorHAnsi"/>
        </w:rPr>
        <w:t>The gender pay gap of 17</w:t>
      </w:r>
      <w:r>
        <w:rPr>
          <w:rFonts w:cstheme="minorHAnsi"/>
        </w:rPr>
        <w:t xml:space="preserve"> per cent</w:t>
      </w:r>
      <w:r w:rsidRPr="006D4988">
        <w:rPr>
          <w:rFonts w:cstheme="minorHAnsi"/>
        </w:rPr>
        <w:t xml:space="preserve"> between working women and men costs the Australian economy $93 billion each year, equivalent to 8.5</w:t>
      </w:r>
      <w:r>
        <w:rPr>
          <w:rFonts w:cstheme="minorHAnsi"/>
        </w:rPr>
        <w:t xml:space="preserve"> per cent</w:t>
      </w:r>
      <w:r w:rsidRPr="006D4988">
        <w:rPr>
          <w:rFonts w:cstheme="minorHAnsi"/>
        </w:rPr>
        <w:t xml:space="preserve"> of GDP</w:t>
      </w:r>
      <w:r w:rsidR="00427132">
        <w:rPr>
          <w:rFonts w:cstheme="minorHAnsi"/>
        </w:rPr>
        <w:t>.</w:t>
      </w:r>
      <w:r w:rsidR="00172903" w:rsidRPr="006D4988">
        <w:rPr>
          <w:rStyle w:val="FootnoteReference"/>
          <w:rFonts w:cstheme="minorHAnsi"/>
        </w:rPr>
        <w:footnoteReference w:id="22"/>
      </w:r>
    </w:p>
    <w:p w:rsidR="00E9272D" w:rsidRPr="0071733D" w:rsidRDefault="00E9272D" w:rsidP="00CC13B2">
      <w:pPr>
        <w:pStyle w:val="Heading3"/>
      </w:pPr>
      <w:r w:rsidRPr="0071733D">
        <w:t xml:space="preserve">Benefits to business of greater gender equality in the workplace </w:t>
      </w:r>
    </w:p>
    <w:p w:rsidR="00E9272D" w:rsidRPr="006D4988" w:rsidRDefault="00E9272D" w:rsidP="00E9272D">
      <w:pPr>
        <w:rPr>
          <w:rFonts w:cstheme="minorHAnsi"/>
        </w:rPr>
      </w:pPr>
      <w:r w:rsidRPr="006D4988">
        <w:rPr>
          <w:rFonts w:cstheme="minorHAnsi"/>
        </w:rPr>
        <w:t>Creating workplaces that are more likely to attract and retain women is good for business. Fostering a workplace that promotes gender equality can</w:t>
      </w:r>
      <w:r w:rsidR="0063588E">
        <w:rPr>
          <w:rFonts w:cstheme="minorHAnsi"/>
        </w:rPr>
        <w:t xml:space="preserve"> do the following things</w:t>
      </w:r>
      <w:r w:rsidRPr="006D4988">
        <w:rPr>
          <w:rFonts w:cstheme="minorHAnsi"/>
        </w:rPr>
        <w:t>:</w:t>
      </w:r>
    </w:p>
    <w:p w:rsidR="00E9272D" w:rsidRPr="00CC13B2" w:rsidRDefault="00E9272D" w:rsidP="00CC13B2">
      <w:pPr>
        <w:pStyle w:val="Heading3"/>
      </w:pPr>
      <w:r w:rsidRPr="00CC13B2">
        <w:t>Attract the best employees</w:t>
      </w:r>
    </w:p>
    <w:p w:rsidR="00E9272D" w:rsidRPr="006D4988" w:rsidRDefault="00E9272D" w:rsidP="00E9272D">
      <w:pPr>
        <w:rPr>
          <w:rFonts w:cstheme="minorHAnsi"/>
        </w:rPr>
      </w:pPr>
      <w:r w:rsidRPr="006D4988">
        <w:rPr>
          <w:rFonts w:cstheme="minorHAnsi"/>
        </w:rPr>
        <w:t xml:space="preserve">A workplace that is equally appealing for women and men will provide businesses </w:t>
      </w:r>
      <w:r w:rsidR="0063588E">
        <w:rPr>
          <w:rFonts w:cstheme="minorHAnsi"/>
        </w:rPr>
        <w:t xml:space="preserve">with </w:t>
      </w:r>
      <w:r w:rsidRPr="006D4988">
        <w:rPr>
          <w:rFonts w:cstheme="minorHAnsi"/>
        </w:rPr>
        <w:t xml:space="preserve">access to the entire talent pool. An organisation </w:t>
      </w:r>
      <w:r w:rsidR="0063588E">
        <w:rPr>
          <w:rFonts w:cstheme="minorHAnsi"/>
        </w:rPr>
        <w:t>that</w:t>
      </w:r>
      <w:r w:rsidR="0063588E" w:rsidRPr="006D4988">
        <w:rPr>
          <w:rFonts w:cstheme="minorHAnsi"/>
        </w:rPr>
        <w:t xml:space="preserve"> </w:t>
      </w:r>
      <w:r w:rsidRPr="006D4988">
        <w:rPr>
          <w:rFonts w:cstheme="minorHAnsi"/>
        </w:rPr>
        <w:t xml:space="preserve">is as attractive to women as it is to men will </w:t>
      </w:r>
      <w:r>
        <w:rPr>
          <w:rFonts w:cstheme="minorHAnsi"/>
        </w:rPr>
        <w:t xml:space="preserve">have </w:t>
      </w:r>
      <w:r w:rsidRPr="006D4988">
        <w:rPr>
          <w:rFonts w:cstheme="minorHAnsi"/>
        </w:rPr>
        <w:t>a competitive advantage in attracting the best talent available. As women are increasingly more highly educated than men</w:t>
      </w:r>
      <w:r w:rsidRPr="006D4988">
        <w:rPr>
          <w:rStyle w:val="FootnoteReference"/>
          <w:rFonts w:cstheme="minorHAnsi"/>
        </w:rPr>
        <w:footnoteReference w:id="23"/>
      </w:r>
      <w:r w:rsidR="00427132">
        <w:rPr>
          <w:rFonts w:cstheme="minorHAnsi"/>
        </w:rPr>
        <w:t>,</w:t>
      </w:r>
      <w:r w:rsidRPr="006D4988">
        <w:rPr>
          <w:rFonts w:cstheme="minorHAnsi"/>
        </w:rPr>
        <w:t xml:space="preserve"> a workplace that is not attractive to women risks losing the best talent to </w:t>
      </w:r>
      <w:proofErr w:type="gramStart"/>
      <w:r w:rsidRPr="006D4988">
        <w:rPr>
          <w:rFonts w:cstheme="minorHAnsi"/>
        </w:rPr>
        <w:t>competitors.</w:t>
      </w:r>
      <w:proofErr w:type="gramEnd"/>
    </w:p>
    <w:p w:rsidR="00E9272D" w:rsidRPr="00CC13B2" w:rsidRDefault="00E9272D" w:rsidP="00CC13B2">
      <w:pPr>
        <w:pStyle w:val="Heading3"/>
      </w:pPr>
      <w:r w:rsidRPr="00CC13B2">
        <w:lastRenderedPageBreak/>
        <w:t xml:space="preserve">Reduce the costs associated with staff turnover </w:t>
      </w:r>
    </w:p>
    <w:p w:rsidR="00E9272D" w:rsidRPr="006D4988" w:rsidRDefault="00E9272D" w:rsidP="00E9272D">
      <w:pPr>
        <w:rPr>
          <w:rFonts w:cstheme="minorHAnsi"/>
        </w:rPr>
      </w:pPr>
      <w:r w:rsidRPr="006D4988">
        <w:rPr>
          <w:rFonts w:cstheme="minorHAnsi"/>
        </w:rPr>
        <w:t>Replacing a departing employee can cost up to 75</w:t>
      </w:r>
      <w:r>
        <w:rPr>
          <w:rFonts w:cstheme="minorHAnsi"/>
        </w:rPr>
        <w:t xml:space="preserve"> per cent</w:t>
      </w:r>
      <w:r w:rsidRPr="006D4988">
        <w:rPr>
          <w:rFonts w:cstheme="minorHAnsi"/>
        </w:rPr>
        <w:t xml:space="preserve"> or more of </w:t>
      </w:r>
      <w:r w:rsidR="0063588E" w:rsidRPr="006D4988">
        <w:rPr>
          <w:rFonts w:cstheme="minorHAnsi"/>
        </w:rPr>
        <w:t>th</w:t>
      </w:r>
      <w:r w:rsidR="0063588E">
        <w:rPr>
          <w:rFonts w:cstheme="minorHAnsi"/>
        </w:rPr>
        <w:t>at person’s</w:t>
      </w:r>
      <w:r w:rsidR="0063588E" w:rsidRPr="006D4988">
        <w:rPr>
          <w:rFonts w:cstheme="minorHAnsi"/>
        </w:rPr>
        <w:t xml:space="preserve"> </w:t>
      </w:r>
      <w:r w:rsidRPr="006D4988">
        <w:rPr>
          <w:rFonts w:cstheme="minorHAnsi"/>
        </w:rPr>
        <w:t>annual wage</w:t>
      </w:r>
      <w:r w:rsidR="00427132">
        <w:rPr>
          <w:rFonts w:cstheme="minorHAnsi"/>
        </w:rPr>
        <w:t>.</w:t>
      </w:r>
      <w:r w:rsidRPr="006D4988">
        <w:rPr>
          <w:rStyle w:val="FootnoteReference"/>
          <w:rFonts w:cstheme="minorHAnsi"/>
        </w:rPr>
        <w:footnoteReference w:id="24"/>
      </w:r>
      <w:r w:rsidRPr="006D4988">
        <w:rPr>
          <w:rFonts w:cstheme="minorHAnsi"/>
        </w:rPr>
        <w:t xml:space="preserve"> Evidence suggests that organisations </w:t>
      </w:r>
      <w:r w:rsidR="0063588E">
        <w:rPr>
          <w:rFonts w:cstheme="minorHAnsi"/>
        </w:rPr>
        <w:t>that</w:t>
      </w:r>
      <w:r w:rsidR="0063588E" w:rsidRPr="006D4988">
        <w:rPr>
          <w:rFonts w:cstheme="minorHAnsi"/>
        </w:rPr>
        <w:t xml:space="preserve"> </w:t>
      </w:r>
      <w:r w:rsidRPr="006D4988">
        <w:rPr>
          <w:rFonts w:cstheme="minorHAnsi"/>
        </w:rPr>
        <w:t>foster gender diversity will support retention of staff</w:t>
      </w:r>
      <w:r w:rsidR="00427132">
        <w:rPr>
          <w:rFonts w:cstheme="minorHAnsi"/>
        </w:rPr>
        <w:t>.</w:t>
      </w:r>
      <w:r w:rsidRPr="006D4988">
        <w:rPr>
          <w:rStyle w:val="FootnoteReference"/>
          <w:rFonts w:cstheme="minorHAnsi"/>
        </w:rPr>
        <w:footnoteReference w:id="25"/>
      </w:r>
      <w:r w:rsidRPr="006D4988">
        <w:rPr>
          <w:rFonts w:cstheme="minorHAnsi"/>
        </w:rPr>
        <w:t xml:space="preserve"> As both women and men are more likely to remain with an organisation they view as fair, employee turnover for an organisation offering gender equality can be reduced, thereby decreasing the high expense of recruitment.</w:t>
      </w:r>
    </w:p>
    <w:p w:rsidR="00E9272D" w:rsidRPr="00CC13B2" w:rsidRDefault="00E9272D" w:rsidP="00CC13B2">
      <w:pPr>
        <w:pStyle w:val="Heading3"/>
      </w:pPr>
      <w:r w:rsidRPr="00CC13B2">
        <w:t>Enhance organisational performance</w:t>
      </w:r>
    </w:p>
    <w:p w:rsidR="00E9272D" w:rsidRDefault="00E9272D" w:rsidP="00E9272D">
      <w:pPr>
        <w:rPr>
          <w:rFonts w:cstheme="minorHAnsi"/>
        </w:rPr>
      </w:pPr>
      <w:r w:rsidRPr="006D4988">
        <w:rPr>
          <w:rFonts w:cstheme="minorHAnsi"/>
        </w:rPr>
        <w:t>A considerable body of research suggests</w:t>
      </w:r>
      <w:r>
        <w:rPr>
          <w:rFonts w:cstheme="minorHAnsi"/>
        </w:rPr>
        <w:t>, and as discussed earlier, there is a clear</w:t>
      </w:r>
      <w:r w:rsidRPr="006D4988">
        <w:rPr>
          <w:rFonts w:cstheme="minorHAnsi"/>
        </w:rPr>
        <w:t xml:space="preserve"> link between gender equality and bett</w:t>
      </w:r>
      <w:r w:rsidR="00AF69AE">
        <w:rPr>
          <w:rFonts w:cstheme="minorHAnsi"/>
        </w:rPr>
        <w:t xml:space="preserve">er organisational performance. </w:t>
      </w:r>
      <w:r w:rsidRPr="006D4988">
        <w:rPr>
          <w:rFonts w:cstheme="minorHAnsi"/>
        </w:rPr>
        <w:t xml:space="preserve">While there </w:t>
      </w:r>
      <w:r w:rsidR="0063588E">
        <w:rPr>
          <w:rFonts w:cstheme="minorHAnsi"/>
        </w:rPr>
        <w:t>is</w:t>
      </w:r>
      <w:r w:rsidR="0063588E" w:rsidRPr="006D4988">
        <w:rPr>
          <w:rFonts w:cstheme="minorHAnsi"/>
        </w:rPr>
        <w:t xml:space="preserve"> </w:t>
      </w:r>
      <w:r w:rsidRPr="006D4988">
        <w:rPr>
          <w:rFonts w:cstheme="minorHAnsi"/>
        </w:rPr>
        <w:t>a range of reasons to explain this link, one factor is that diversity brings together varied perspectives, produces a more holistic analysis of the issues an organisation faces and spurs greater effort, leading to improved decision</w:t>
      </w:r>
      <w:r w:rsidR="0063588E">
        <w:rPr>
          <w:rFonts w:cstheme="minorHAnsi"/>
        </w:rPr>
        <w:t xml:space="preserve"> </w:t>
      </w:r>
      <w:r w:rsidRPr="006D4988">
        <w:rPr>
          <w:rFonts w:cstheme="minorHAnsi"/>
        </w:rPr>
        <w:t>making</w:t>
      </w:r>
      <w:r w:rsidR="00427132">
        <w:rPr>
          <w:rFonts w:cstheme="minorHAnsi"/>
        </w:rPr>
        <w:t>.</w:t>
      </w:r>
      <w:r w:rsidRPr="006D4988">
        <w:rPr>
          <w:rStyle w:val="FootnoteReference"/>
          <w:rFonts w:cstheme="minorHAnsi"/>
        </w:rPr>
        <w:footnoteReference w:id="26"/>
      </w:r>
      <w:r w:rsidRPr="006D4988">
        <w:rPr>
          <w:rFonts w:cstheme="minorHAnsi"/>
        </w:rPr>
        <w:t xml:space="preserve"> Diversity has been shown to improve performance at the board, executive and workplace level</w:t>
      </w:r>
      <w:r w:rsidR="00427132">
        <w:rPr>
          <w:rFonts w:cstheme="minorHAnsi"/>
        </w:rPr>
        <w:t>.</w:t>
      </w:r>
      <w:r w:rsidRPr="006D4988">
        <w:rPr>
          <w:rStyle w:val="FootnoteReference"/>
          <w:rFonts w:cstheme="minorHAnsi"/>
        </w:rPr>
        <w:footnoteReference w:id="27"/>
      </w:r>
    </w:p>
    <w:p w:rsidR="00E9272D" w:rsidRPr="006340F3" w:rsidRDefault="00E9272D" w:rsidP="00CC13B2">
      <w:pPr>
        <w:pStyle w:val="Heading3"/>
      </w:pPr>
      <w:r w:rsidRPr="006340F3">
        <w:t>Conclusion</w:t>
      </w:r>
    </w:p>
    <w:p w:rsidR="00E9272D" w:rsidRPr="00CC13B2" w:rsidRDefault="00E9272D" w:rsidP="00CC13B2">
      <w:r w:rsidRPr="006D4988">
        <w:rPr>
          <w:rFonts w:cstheme="minorHAnsi"/>
        </w:rPr>
        <w:t xml:space="preserve">In Australia, women are less likely to participate in the workforce </w:t>
      </w:r>
      <w:r w:rsidR="0063588E">
        <w:rPr>
          <w:rFonts w:cstheme="minorHAnsi"/>
        </w:rPr>
        <w:t>than</w:t>
      </w:r>
      <w:r w:rsidR="0063588E" w:rsidRPr="006D4988">
        <w:rPr>
          <w:rFonts w:cstheme="minorHAnsi"/>
        </w:rPr>
        <w:t xml:space="preserve"> </w:t>
      </w:r>
      <w:r w:rsidRPr="006D4988">
        <w:rPr>
          <w:rFonts w:cstheme="minorHAnsi"/>
        </w:rPr>
        <w:t xml:space="preserve">men, and when they do, </w:t>
      </w:r>
      <w:r>
        <w:rPr>
          <w:rFonts w:cstheme="minorHAnsi"/>
        </w:rPr>
        <w:t>they</w:t>
      </w:r>
      <w:r w:rsidRPr="006D4988">
        <w:rPr>
          <w:rFonts w:cstheme="minorHAnsi"/>
        </w:rPr>
        <w:t xml:space="preserve"> </w:t>
      </w:r>
      <w:r w:rsidR="0063588E">
        <w:rPr>
          <w:rFonts w:cstheme="minorHAnsi"/>
        </w:rPr>
        <w:t xml:space="preserve">continue to </w:t>
      </w:r>
      <w:r w:rsidRPr="006D4988">
        <w:rPr>
          <w:rFonts w:cstheme="minorHAnsi"/>
        </w:rPr>
        <w:t>earn less than men and are less likely to advance their careers as far as men. However, reducing gender inequality in the workplace is good for women, good for business and good for the economy overall. Taking steps towards achieving gender equality will mean that workplaces provide equal remuneration for women and men for work of equal or comparable value, that barriers to full and equal participation are removed, that women and men have full and genuine access to all occupations and industries including to leadership roles, and discrimination on the basis of gender in relation to family and caring responsibilities for both women and men</w:t>
      </w:r>
      <w:r w:rsidR="0063588E">
        <w:rPr>
          <w:rFonts w:cstheme="minorHAnsi"/>
        </w:rPr>
        <w:t xml:space="preserve"> will be eliminated</w:t>
      </w:r>
      <w:r w:rsidRPr="006D4988">
        <w:rPr>
          <w:rFonts w:cstheme="minorHAnsi"/>
        </w:rPr>
        <w:t>. These are all possible</w:t>
      </w:r>
      <w:r w:rsidR="0063588E">
        <w:rPr>
          <w:rFonts w:cstheme="minorHAnsi"/>
        </w:rPr>
        <w:t>,</w:t>
      </w:r>
      <w:r w:rsidRPr="006D4988">
        <w:rPr>
          <w:rFonts w:cstheme="minorHAnsi"/>
        </w:rPr>
        <w:t xml:space="preserve"> but the persistence of a gender pay gap and the proportionally lower levels of women in the workforce mean that employers and government both have a role to play in </w:t>
      </w:r>
      <w:r>
        <w:rPr>
          <w:rFonts w:cstheme="minorHAnsi"/>
        </w:rPr>
        <w:t>ensure barriers to working are removed for women</w:t>
      </w:r>
      <w:r w:rsidRPr="006D4988">
        <w:rPr>
          <w:rFonts w:cstheme="minorHAnsi"/>
        </w:rPr>
        <w:t>.</w:t>
      </w:r>
    </w:p>
    <w:p w:rsidR="00AF4B41" w:rsidRPr="00CC13B2" w:rsidRDefault="00AF4B41" w:rsidP="00CC13B2">
      <w:pPr>
        <w:sectPr w:rsidR="00AF4B41" w:rsidRPr="00CC13B2" w:rsidSect="00E9272D">
          <w:pgSz w:w="11906" w:h="16838" w:code="9"/>
          <w:pgMar w:top="1418" w:right="1134" w:bottom="1418" w:left="1418" w:header="567" w:footer="567" w:gutter="0"/>
          <w:cols w:space="720"/>
          <w:docGrid w:linePitch="299"/>
        </w:sectPr>
      </w:pPr>
    </w:p>
    <w:p w:rsidR="0065293F" w:rsidRPr="006D4988" w:rsidRDefault="00C87A65" w:rsidP="00845EE1">
      <w:pPr>
        <w:rPr>
          <w:rFonts w:cstheme="minorHAnsi"/>
        </w:rPr>
      </w:pPr>
      <w:bookmarkStart w:id="63" w:name="_Toc404158276"/>
      <w:bookmarkStart w:id="64" w:name="_Toc405895178"/>
      <w:r w:rsidRPr="00415DE7">
        <w:rPr>
          <w:rStyle w:val="Heading1Char"/>
          <w:rFonts w:asciiTheme="minorHAnsi" w:hAnsiTheme="minorHAnsi" w:cstheme="minorHAnsi"/>
        </w:rPr>
        <w:lastRenderedPageBreak/>
        <w:t xml:space="preserve">Appendix </w:t>
      </w:r>
      <w:r w:rsidR="00E9272D" w:rsidRPr="00415DE7">
        <w:rPr>
          <w:rStyle w:val="Heading1Char"/>
          <w:rFonts w:asciiTheme="minorHAnsi" w:hAnsiTheme="minorHAnsi" w:cstheme="minorHAnsi"/>
        </w:rPr>
        <w:t>C</w:t>
      </w:r>
      <w:r w:rsidRPr="00415DE7">
        <w:rPr>
          <w:rStyle w:val="Heading1Char"/>
          <w:rFonts w:asciiTheme="minorHAnsi" w:hAnsiTheme="minorHAnsi" w:cstheme="minorHAnsi"/>
        </w:rPr>
        <w:t xml:space="preserve"> – Workplace Profile</w:t>
      </w:r>
      <w:bookmarkEnd w:id="63"/>
      <w:bookmarkEnd w:id="64"/>
      <w:r w:rsidRPr="00C87A65">
        <w:rPr>
          <w:rStyle w:val="Heading1Char"/>
          <w:rFonts w:asciiTheme="minorHAnsi" w:hAnsiTheme="minorHAnsi" w:cstheme="minorHAnsi"/>
        </w:rPr>
        <w:t xml:space="preserve"> </w:t>
      </w:r>
      <w:r w:rsidR="0065293F" w:rsidRPr="006D4988">
        <w:rPr>
          <w:rFonts w:cstheme="minorHAnsi"/>
          <w:noProof/>
          <w:lang w:eastAsia="en-AU"/>
        </w:rPr>
        <w:drawing>
          <wp:inline distT="0" distB="0" distL="0" distR="0" wp14:anchorId="2B0EAA0E" wp14:editId="2B0EAA0F">
            <wp:extent cx="9031605" cy="5582285"/>
            <wp:effectExtent l="0" t="0" r="0" b="0"/>
            <wp:docPr id="1" name="Picture 1" descr="This table shows what organisations have to complete for renumeration data on all managers within thier organisation. It distinguishes between current reporting requirements and the proposed requirements for Schedule 2.  Manager categories include CEO, key management personnel, general and senior managers.,These categories are broken down by the number of managers in full time, part time, casual, permanent and contract employment. It then requires the managers annualised base and total salary. The Schedule 2 requirements are also shown, including bonus payments, superannuation, discretionary pay, overtime and other allow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31605" cy="5582285"/>
                    </a:xfrm>
                    <a:prstGeom prst="rect">
                      <a:avLst/>
                    </a:prstGeom>
                    <a:noFill/>
                    <a:ln>
                      <a:noFill/>
                    </a:ln>
                  </pic:spPr>
                </pic:pic>
              </a:graphicData>
            </a:graphic>
          </wp:inline>
        </w:drawing>
      </w:r>
    </w:p>
    <w:p w:rsidR="005F221C" w:rsidRPr="006D4988" w:rsidRDefault="00602C84">
      <w:pPr>
        <w:rPr>
          <w:rFonts w:cstheme="minorHAnsi"/>
        </w:rPr>
        <w:sectPr w:rsidR="005F221C" w:rsidRPr="006D4988" w:rsidSect="00E9272D">
          <w:headerReference w:type="default" r:id="rId24"/>
          <w:pgSz w:w="16838" w:h="11906" w:orient="landscape" w:code="9"/>
          <w:pgMar w:top="1418" w:right="1418" w:bottom="1134" w:left="1418" w:header="567" w:footer="567" w:gutter="0"/>
          <w:cols w:space="720"/>
          <w:docGrid w:linePitch="299"/>
        </w:sectPr>
      </w:pPr>
      <w:r w:rsidRPr="006D4988">
        <w:rPr>
          <w:rFonts w:cstheme="minorHAnsi"/>
          <w:noProof/>
          <w:lang w:eastAsia="en-AU"/>
        </w:rPr>
        <w:lastRenderedPageBreak/>
        <w:drawing>
          <wp:inline distT="0" distB="0" distL="0" distR="0" wp14:anchorId="2B0EAA10" wp14:editId="2B0EAA11">
            <wp:extent cx="8963025" cy="5696090"/>
            <wp:effectExtent l="0" t="0" r="0" b="0"/>
            <wp:docPr id="3" name="Picture 3" descr="This table shows what organisations have to complete for renumeration data on all non-managers within thier organisation.  It distinguishes between current reporting requirements and the proposed requirements for Schedule 2. Non manager occupational categories, such as professionals, technicians and trades and clerical and administrative are broken down by the number of employees in full time, part time, casual, permanent and contract employment. It then requires the employees annualised base and total salary. The Schedule 2 requirements are also shown, including bonus payments, superannuation, discretionary pay, overtime and other allow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63351" cy="5696297"/>
                    </a:xfrm>
                    <a:prstGeom prst="rect">
                      <a:avLst/>
                    </a:prstGeom>
                    <a:noFill/>
                    <a:ln>
                      <a:noFill/>
                    </a:ln>
                  </pic:spPr>
                </pic:pic>
              </a:graphicData>
            </a:graphic>
          </wp:inline>
        </w:drawing>
      </w:r>
    </w:p>
    <w:p w:rsidR="00E04726" w:rsidRDefault="00747D4F" w:rsidP="00415DE7">
      <w:pPr>
        <w:pStyle w:val="Heading1"/>
        <w:rPr>
          <w:rFonts w:asciiTheme="minorHAnsi" w:hAnsiTheme="minorHAnsi" w:cstheme="minorHAnsi"/>
        </w:rPr>
      </w:pPr>
      <w:bookmarkStart w:id="65" w:name="_Toc404158277"/>
      <w:bookmarkStart w:id="66" w:name="_Toc405895179"/>
      <w:r w:rsidRPr="00415DE7">
        <w:rPr>
          <w:rFonts w:asciiTheme="minorHAnsi" w:hAnsiTheme="minorHAnsi" w:cstheme="minorHAnsi"/>
        </w:rPr>
        <w:lastRenderedPageBreak/>
        <w:t xml:space="preserve">Appendix D </w:t>
      </w:r>
      <w:r w:rsidR="00415DE7" w:rsidRPr="00415DE7">
        <w:rPr>
          <w:rStyle w:val="Heading1Char"/>
          <w:rFonts w:asciiTheme="minorHAnsi" w:hAnsiTheme="minorHAnsi" w:cstheme="minorHAnsi"/>
          <w:b/>
          <w:bCs/>
        </w:rPr>
        <w:t>–</w:t>
      </w:r>
      <w:r w:rsidRPr="00415DE7">
        <w:rPr>
          <w:rFonts w:asciiTheme="minorHAnsi" w:hAnsiTheme="minorHAnsi" w:cstheme="minorHAnsi"/>
        </w:rPr>
        <w:t xml:space="preserve"> </w:t>
      </w:r>
      <w:r w:rsidR="00DC302A" w:rsidRPr="00415DE7">
        <w:rPr>
          <w:rFonts w:asciiTheme="minorHAnsi" w:hAnsiTheme="minorHAnsi" w:cstheme="minorHAnsi"/>
        </w:rPr>
        <w:t>Summary of Submissions</w:t>
      </w:r>
      <w:bookmarkEnd w:id="65"/>
      <w:bookmarkEnd w:id="66"/>
    </w:p>
    <w:tbl>
      <w:tblPr>
        <w:tblStyle w:val="TableGrid"/>
        <w:tblW w:w="0" w:type="auto"/>
        <w:tblLook w:val="04A0" w:firstRow="1" w:lastRow="0" w:firstColumn="1" w:lastColumn="0" w:noHBand="0" w:noVBand="1"/>
        <w:tblCaption w:val="Appendix D Summary of Submissions"/>
        <w:tblDescription w:val="Overview of organisations that provided a submission and the issues raised."/>
      </w:tblPr>
      <w:tblGrid>
        <w:gridCol w:w="2812"/>
        <w:gridCol w:w="6758"/>
      </w:tblGrid>
      <w:tr w:rsidR="006E1965" w:rsidRPr="006D4988" w:rsidTr="00F50843">
        <w:trPr>
          <w:cantSplit/>
          <w:tblHeader/>
        </w:trPr>
        <w:tc>
          <w:tcPr>
            <w:tcW w:w="0" w:type="auto"/>
            <w:shd w:val="clear" w:color="auto" w:fill="BFBFBF" w:themeFill="background1" w:themeFillShade="BF"/>
          </w:tcPr>
          <w:p w:rsidR="006E1965" w:rsidRPr="006D4988" w:rsidRDefault="006E1965" w:rsidP="00FC3DB8">
            <w:pPr>
              <w:keepLines/>
              <w:rPr>
                <w:rFonts w:asciiTheme="minorHAnsi" w:hAnsiTheme="minorHAnsi" w:cstheme="minorHAnsi"/>
                <w:sz w:val="24"/>
                <w:szCs w:val="24"/>
              </w:rPr>
            </w:pPr>
            <w:r w:rsidRPr="006D4988">
              <w:rPr>
                <w:rFonts w:asciiTheme="minorHAnsi" w:hAnsiTheme="minorHAnsi" w:cstheme="minorHAnsi"/>
                <w:sz w:val="24"/>
                <w:szCs w:val="24"/>
              </w:rPr>
              <w:t>Organisation</w:t>
            </w:r>
          </w:p>
        </w:tc>
        <w:tc>
          <w:tcPr>
            <w:tcW w:w="0" w:type="auto"/>
            <w:shd w:val="clear" w:color="auto" w:fill="BFBFBF" w:themeFill="background1" w:themeFillShade="BF"/>
          </w:tcPr>
          <w:p w:rsidR="006E1965" w:rsidRPr="006D4988" w:rsidRDefault="006E1965" w:rsidP="00FC3DB8">
            <w:pPr>
              <w:keepLines/>
              <w:rPr>
                <w:rFonts w:asciiTheme="minorHAnsi" w:hAnsiTheme="minorHAnsi" w:cstheme="minorHAnsi"/>
                <w:sz w:val="24"/>
                <w:szCs w:val="24"/>
              </w:rPr>
            </w:pPr>
            <w:r w:rsidRPr="006D4988">
              <w:rPr>
                <w:rFonts w:asciiTheme="minorHAnsi" w:hAnsiTheme="minorHAnsi" w:cstheme="minorHAnsi"/>
                <w:sz w:val="24"/>
                <w:szCs w:val="24"/>
              </w:rPr>
              <w:t>Issues raised in submission</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Australian Chamber of Commerce and Industry</w:t>
            </w:r>
          </w:p>
        </w:tc>
        <w:tc>
          <w:tcPr>
            <w:tcW w:w="0" w:type="auto"/>
            <w:shd w:val="clear" w:color="auto" w:fill="FFFFFF" w:themeFill="background1"/>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Recognises the importance of promoting gender equality in the workplace and that gender reporting plays a role in measuring progress on this issue.</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Supports streamlining of the current requirements due to the increased regulatory burden.</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 xml:space="preserve">Many employers do not have sophisticated human resource information systems or a coordinated approach to collect data, </w:t>
            </w:r>
            <w:r>
              <w:rPr>
                <w:rFonts w:asciiTheme="minorHAnsi" w:hAnsiTheme="minorHAnsi" w:cstheme="minorHAnsi"/>
                <w:sz w:val="20"/>
                <w:szCs w:val="20"/>
              </w:rPr>
              <w:t xml:space="preserve">so </w:t>
            </w:r>
            <w:r w:rsidRPr="006D4988">
              <w:rPr>
                <w:rFonts w:asciiTheme="minorHAnsi" w:hAnsiTheme="minorHAnsi" w:cstheme="minorHAnsi"/>
                <w:sz w:val="20"/>
                <w:szCs w:val="20"/>
              </w:rPr>
              <w:t>a manual process is required.</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w:t>
            </w:r>
            <w:r>
              <w:rPr>
                <w:rFonts w:asciiTheme="minorHAnsi" w:hAnsiTheme="minorHAnsi" w:cstheme="minorHAnsi"/>
                <w:sz w:val="20"/>
                <w:szCs w:val="20"/>
              </w:rPr>
              <w:t>s</w:t>
            </w:r>
            <w:r w:rsidRPr="006D4988">
              <w:rPr>
                <w:rFonts w:asciiTheme="minorHAnsi" w:hAnsiTheme="minorHAnsi" w:cstheme="minorHAnsi"/>
                <w:sz w:val="20"/>
                <w:szCs w:val="20"/>
              </w:rPr>
              <w:t xml:space="preserve"> streamlining of the management categories.</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w:t>
            </w:r>
            <w:r>
              <w:rPr>
                <w:rFonts w:asciiTheme="minorHAnsi" w:hAnsiTheme="minorHAnsi" w:cstheme="minorHAnsi"/>
                <w:sz w:val="20"/>
                <w:szCs w:val="20"/>
              </w:rPr>
              <w:t>s</w:t>
            </w:r>
            <w:r w:rsidRPr="006D4988">
              <w:rPr>
                <w:rFonts w:asciiTheme="minorHAnsi" w:hAnsiTheme="minorHAnsi" w:cstheme="minorHAnsi"/>
                <w:sz w:val="20"/>
                <w:szCs w:val="20"/>
              </w:rPr>
              <w:t xml:space="preserve"> simplification and clarification of annualised full</w:t>
            </w:r>
            <w:r>
              <w:rPr>
                <w:rFonts w:asciiTheme="minorHAnsi" w:hAnsiTheme="minorHAnsi" w:cstheme="minorHAnsi"/>
                <w:sz w:val="20"/>
                <w:szCs w:val="20"/>
              </w:rPr>
              <w:noBreakHyphen/>
            </w:r>
            <w:r w:rsidRPr="006D4988">
              <w:rPr>
                <w:rFonts w:asciiTheme="minorHAnsi" w:hAnsiTheme="minorHAnsi" w:cstheme="minorHAnsi"/>
                <w:sz w:val="20"/>
                <w:szCs w:val="20"/>
              </w:rPr>
              <w:t>time equivalent total remuneration.</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 xml:space="preserve">Supports </w:t>
            </w:r>
            <w:r>
              <w:rPr>
                <w:rFonts w:asciiTheme="minorHAnsi" w:hAnsiTheme="minorHAnsi" w:cstheme="minorHAnsi"/>
                <w:sz w:val="20"/>
                <w:szCs w:val="20"/>
              </w:rPr>
              <w:t>further</w:t>
            </w:r>
            <w:r w:rsidRPr="006D4988">
              <w:rPr>
                <w:rFonts w:asciiTheme="minorHAnsi" w:hAnsiTheme="minorHAnsi" w:cstheme="minorHAnsi"/>
                <w:sz w:val="20"/>
                <w:szCs w:val="20"/>
              </w:rPr>
              <w:t xml:space="preserve"> deferral of the reporting requirements to allow for analysis of 2013</w:t>
            </w:r>
            <w:r>
              <w:rPr>
                <w:rFonts w:asciiTheme="minorHAnsi" w:hAnsiTheme="minorHAnsi" w:cstheme="minorHAnsi"/>
                <w:sz w:val="20"/>
                <w:szCs w:val="20"/>
              </w:rPr>
              <w:t>–</w:t>
            </w:r>
            <w:r w:rsidRPr="006D4988">
              <w:rPr>
                <w:rFonts w:asciiTheme="minorHAnsi" w:hAnsiTheme="minorHAnsi" w:cstheme="minorHAnsi"/>
                <w:sz w:val="20"/>
                <w:szCs w:val="20"/>
              </w:rPr>
              <w:t>14 reporting data.</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Australian Federation of Employers and Industries</w:t>
            </w:r>
          </w:p>
        </w:tc>
        <w:tc>
          <w:tcPr>
            <w:tcW w:w="0" w:type="auto"/>
            <w:shd w:val="clear" w:color="auto" w:fill="FFFFFF" w:themeFill="background1"/>
          </w:tcPr>
          <w:p w:rsidR="006E1965" w:rsidRPr="006D4988" w:rsidRDefault="006E1965" w:rsidP="006E1965">
            <w:pPr>
              <w:pStyle w:val="ListParagraph"/>
              <w:keepLines/>
              <w:numPr>
                <w:ilvl w:val="0"/>
                <w:numId w:val="20"/>
              </w:numPr>
              <w:rPr>
                <w:rFonts w:asciiTheme="minorHAnsi" w:hAnsiTheme="minorHAnsi" w:cstheme="minorHAnsi"/>
                <w:sz w:val="20"/>
                <w:szCs w:val="20"/>
              </w:rPr>
            </w:pPr>
            <w:r w:rsidRPr="006D4988">
              <w:rPr>
                <w:rFonts w:asciiTheme="minorHAnsi" w:hAnsiTheme="minorHAnsi" w:cstheme="minorHAnsi"/>
                <w:sz w:val="20"/>
                <w:szCs w:val="20"/>
              </w:rPr>
              <w:t>Considers the current reporting framework to impose an unacceptable regulatory burden on employers.</w:t>
            </w:r>
          </w:p>
          <w:p w:rsidR="006E1965" w:rsidRPr="006D4988" w:rsidRDefault="006E1965" w:rsidP="006E1965">
            <w:pPr>
              <w:pStyle w:val="ListParagraph"/>
              <w:keepLines/>
              <w:numPr>
                <w:ilvl w:val="0"/>
                <w:numId w:val="20"/>
              </w:numPr>
              <w:rPr>
                <w:rFonts w:asciiTheme="minorHAnsi" w:hAnsiTheme="minorHAnsi" w:cstheme="minorHAnsi"/>
                <w:sz w:val="20"/>
                <w:szCs w:val="20"/>
              </w:rPr>
            </w:pPr>
            <w:r w:rsidRPr="006D4988">
              <w:rPr>
                <w:rFonts w:asciiTheme="minorHAnsi" w:hAnsiTheme="minorHAnsi" w:cstheme="minorHAnsi"/>
                <w:sz w:val="20"/>
                <w:szCs w:val="20"/>
              </w:rPr>
              <w:t>Manually collating remuneration data took considerable time and effort.</w:t>
            </w:r>
          </w:p>
          <w:p w:rsidR="006E1965" w:rsidRPr="006D4988" w:rsidRDefault="006E1965" w:rsidP="006E1965">
            <w:pPr>
              <w:pStyle w:val="ListParagraph"/>
              <w:keepLines/>
              <w:numPr>
                <w:ilvl w:val="0"/>
                <w:numId w:val="20"/>
              </w:numPr>
              <w:rPr>
                <w:rFonts w:asciiTheme="minorHAnsi" w:hAnsiTheme="minorHAnsi" w:cstheme="minorHAnsi"/>
                <w:sz w:val="20"/>
                <w:szCs w:val="20"/>
              </w:rPr>
            </w:pPr>
            <w:r w:rsidRPr="006D4988">
              <w:rPr>
                <w:rFonts w:asciiTheme="minorHAnsi" w:hAnsiTheme="minorHAnsi" w:cstheme="minorHAnsi"/>
                <w:sz w:val="20"/>
                <w:szCs w:val="20"/>
              </w:rPr>
              <w:t>Support</w:t>
            </w:r>
            <w:r>
              <w:rPr>
                <w:rFonts w:asciiTheme="minorHAnsi" w:hAnsiTheme="minorHAnsi" w:cstheme="minorHAnsi"/>
                <w:sz w:val="20"/>
                <w:szCs w:val="20"/>
              </w:rPr>
              <w:t>s</w:t>
            </w:r>
            <w:r w:rsidRPr="006D4988">
              <w:rPr>
                <w:rFonts w:asciiTheme="minorHAnsi" w:hAnsiTheme="minorHAnsi" w:cstheme="minorHAnsi"/>
                <w:sz w:val="20"/>
                <w:szCs w:val="20"/>
              </w:rPr>
              <w:t xml:space="preserve"> the removal of Schedule 2 requirements.</w:t>
            </w:r>
          </w:p>
          <w:p w:rsidR="006E1965" w:rsidRPr="006D4988" w:rsidRDefault="006E1965" w:rsidP="006E1965">
            <w:pPr>
              <w:pStyle w:val="ListParagraph"/>
              <w:keepLines/>
              <w:numPr>
                <w:ilvl w:val="0"/>
                <w:numId w:val="20"/>
              </w:numPr>
              <w:rPr>
                <w:rFonts w:asciiTheme="minorHAnsi" w:hAnsiTheme="minorHAnsi" w:cstheme="minorHAnsi"/>
                <w:sz w:val="20"/>
                <w:szCs w:val="20"/>
              </w:rPr>
            </w:pPr>
            <w:r w:rsidRPr="006D4988">
              <w:rPr>
                <w:rFonts w:asciiTheme="minorHAnsi" w:hAnsiTheme="minorHAnsi" w:cstheme="minorHAnsi"/>
                <w:sz w:val="20"/>
                <w:szCs w:val="20"/>
              </w:rPr>
              <w:t>Expressed disappointment that</w:t>
            </w:r>
            <w:r w:rsidRPr="006D4988">
              <w:rPr>
                <w:rFonts w:asciiTheme="minorHAnsi" w:eastAsiaTheme="minorHAnsi" w:hAnsiTheme="minorHAnsi" w:cstheme="minorHAnsi"/>
                <w:sz w:val="22"/>
                <w:szCs w:val="22"/>
                <w:lang w:eastAsia="en-US"/>
              </w:rPr>
              <w:t xml:space="preserve"> </w:t>
            </w:r>
            <w:r w:rsidRPr="006D4988">
              <w:rPr>
                <w:rFonts w:asciiTheme="minorHAnsi" w:hAnsiTheme="minorHAnsi" w:cstheme="minorHAnsi"/>
                <w:sz w:val="20"/>
                <w:szCs w:val="20"/>
              </w:rPr>
              <w:t>previous attempts to streamline gender reporting were unsuccessful.</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Australian Financial Markets A</w:t>
            </w:r>
            <w:r>
              <w:rPr>
                <w:rFonts w:asciiTheme="minorHAnsi" w:hAnsiTheme="minorHAnsi" w:cstheme="minorHAnsi"/>
              </w:rPr>
              <w:t>ssociation</w:t>
            </w:r>
          </w:p>
        </w:tc>
        <w:tc>
          <w:tcPr>
            <w:tcW w:w="0" w:type="auto"/>
            <w:shd w:val="clear" w:color="auto" w:fill="FFFFFF" w:themeFill="background1"/>
          </w:tcPr>
          <w:p w:rsidR="006E1965" w:rsidRPr="006D4988" w:rsidRDefault="006E1965" w:rsidP="006E1965">
            <w:pPr>
              <w:pStyle w:val="ListParagraph"/>
              <w:keepLines/>
              <w:numPr>
                <w:ilvl w:val="0"/>
                <w:numId w:val="22"/>
              </w:numPr>
              <w:rPr>
                <w:rFonts w:asciiTheme="minorHAnsi" w:hAnsiTheme="minorHAnsi" w:cstheme="minorHAnsi"/>
                <w:sz w:val="20"/>
                <w:szCs w:val="20"/>
              </w:rPr>
            </w:pPr>
            <w:r w:rsidRPr="006D4988">
              <w:rPr>
                <w:rFonts w:asciiTheme="minorHAnsi" w:hAnsiTheme="minorHAnsi" w:cstheme="minorHAnsi"/>
                <w:sz w:val="20"/>
                <w:szCs w:val="20"/>
              </w:rPr>
              <w:t>Generally supportive of the functions of the Agency.</w:t>
            </w:r>
          </w:p>
          <w:p w:rsidR="006E1965" w:rsidRPr="006D4988" w:rsidRDefault="006E1965" w:rsidP="006E1965">
            <w:pPr>
              <w:pStyle w:val="ListParagraph"/>
              <w:keepLines/>
              <w:numPr>
                <w:ilvl w:val="0"/>
                <w:numId w:val="22"/>
              </w:numPr>
              <w:rPr>
                <w:rFonts w:asciiTheme="minorHAnsi" w:hAnsiTheme="minorHAnsi" w:cstheme="minorHAnsi"/>
                <w:sz w:val="20"/>
                <w:szCs w:val="20"/>
              </w:rPr>
            </w:pPr>
            <w:r w:rsidRPr="006D4988">
              <w:rPr>
                <w:rFonts w:asciiTheme="minorHAnsi" w:hAnsiTheme="minorHAnsi" w:cstheme="minorHAnsi"/>
                <w:sz w:val="20"/>
                <w:szCs w:val="20"/>
              </w:rPr>
              <w:t>Raises a concern about the lack of opportunity to explain differences in pay on the basis of different work (e</w:t>
            </w:r>
            <w:r>
              <w:rPr>
                <w:rFonts w:asciiTheme="minorHAnsi" w:hAnsiTheme="minorHAnsi" w:cstheme="minorHAnsi"/>
                <w:sz w:val="20"/>
                <w:szCs w:val="20"/>
              </w:rPr>
              <w:t>.</w:t>
            </w:r>
            <w:r w:rsidRPr="006D4988">
              <w:rPr>
                <w:rFonts w:asciiTheme="minorHAnsi" w:hAnsiTheme="minorHAnsi" w:cstheme="minorHAnsi"/>
                <w:sz w:val="20"/>
                <w:szCs w:val="20"/>
              </w:rPr>
              <w:t>g</w:t>
            </w:r>
            <w:r>
              <w:rPr>
                <w:rFonts w:asciiTheme="minorHAnsi" w:hAnsiTheme="minorHAnsi" w:cstheme="minorHAnsi"/>
                <w:sz w:val="20"/>
                <w:szCs w:val="20"/>
              </w:rPr>
              <w:t>.</w:t>
            </w:r>
            <w:r w:rsidRPr="006D4988">
              <w:rPr>
                <w:rFonts w:asciiTheme="minorHAnsi" w:hAnsiTheme="minorHAnsi" w:cstheme="minorHAnsi"/>
                <w:sz w:val="20"/>
                <w:szCs w:val="20"/>
              </w:rPr>
              <w:t xml:space="preserve"> staff that undertake support roles and those that generate revenue).</w:t>
            </w:r>
          </w:p>
          <w:p w:rsidR="006E1965" w:rsidRPr="006D4988" w:rsidRDefault="006E1965" w:rsidP="006E1965">
            <w:pPr>
              <w:pStyle w:val="ListParagraph"/>
              <w:keepLines/>
              <w:numPr>
                <w:ilvl w:val="0"/>
                <w:numId w:val="22"/>
              </w:numPr>
              <w:rPr>
                <w:rFonts w:asciiTheme="minorHAnsi" w:hAnsiTheme="minorHAnsi" w:cstheme="minorHAnsi"/>
                <w:sz w:val="20"/>
                <w:szCs w:val="20"/>
              </w:rPr>
            </w:pPr>
            <w:r w:rsidRPr="006D4988">
              <w:rPr>
                <w:rFonts w:asciiTheme="minorHAnsi" w:hAnsiTheme="minorHAnsi" w:cstheme="minorHAnsi"/>
                <w:sz w:val="20"/>
                <w:szCs w:val="20"/>
              </w:rPr>
              <w:t xml:space="preserve">Raises concerns about </w:t>
            </w:r>
            <w:r>
              <w:rPr>
                <w:rFonts w:asciiTheme="minorHAnsi" w:hAnsiTheme="minorHAnsi" w:cstheme="minorHAnsi"/>
                <w:sz w:val="20"/>
                <w:szCs w:val="20"/>
              </w:rPr>
              <w:t xml:space="preserve">inconsistencies in the data by </w:t>
            </w:r>
            <w:r w:rsidRPr="006D4988">
              <w:rPr>
                <w:rFonts w:asciiTheme="minorHAnsi" w:hAnsiTheme="minorHAnsi" w:cstheme="minorHAnsi"/>
                <w:sz w:val="20"/>
                <w:szCs w:val="20"/>
              </w:rPr>
              <w:t>annualising casual staff rates or</w:t>
            </w:r>
            <w:r>
              <w:rPr>
                <w:rFonts w:asciiTheme="minorHAnsi" w:hAnsiTheme="minorHAnsi" w:cstheme="minorHAnsi"/>
                <w:sz w:val="20"/>
                <w:szCs w:val="20"/>
              </w:rPr>
              <w:t xml:space="preserve"> that of</w:t>
            </w:r>
            <w:r w:rsidRPr="006D4988">
              <w:rPr>
                <w:rFonts w:asciiTheme="minorHAnsi" w:hAnsiTheme="minorHAnsi" w:cstheme="minorHAnsi"/>
                <w:sz w:val="20"/>
                <w:szCs w:val="20"/>
              </w:rPr>
              <w:t xml:space="preserve"> staff that are located overseas </w:t>
            </w:r>
            <w:r>
              <w:rPr>
                <w:rFonts w:asciiTheme="minorHAnsi" w:hAnsiTheme="minorHAnsi" w:cstheme="minorHAnsi"/>
                <w:sz w:val="20"/>
                <w:szCs w:val="20"/>
              </w:rPr>
              <w:t xml:space="preserve">for </w:t>
            </w:r>
            <w:r w:rsidRPr="006D4988">
              <w:rPr>
                <w:rFonts w:asciiTheme="minorHAnsi" w:hAnsiTheme="minorHAnsi" w:cstheme="minorHAnsi"/>
                <w:sz w:val="20"/>
                <w:szCs w:val="20"/>
              </w:rPr>
              <w:t>some period in the reporting period.</w:t>
            </w:r>
          </w:p>
          <w:p w:rsidR="006E1965" w:rsidRPr="006D4988" w:rsidRDefault="006E1965" w:rsidP="006E1965">
            <w:pPr>
              <w:pStyle w:val="ListParagraph"/>
              <w:keepLines/>
              <w:numPr>
                <w:ilvl w:val="0"/>
                <w:numId w:val="22"/>
              </w:numPr>
              <w:rPr>
                <w:rFonts w:asciiTheme="minorHAnsi" w:hAnsiTheme="minorHAnsi" w:cstheme="minorHAnsi"/>
                <w:sz w:val="20"/>
                <w:szCs w:val="20"/>
              </w:rPr>
            </w:pPr>
            <w:r w:rsidRPr="006D4988">
              <w:rPr>
                <w:rFonts w:asciiTheme="minorHAnsi" w:hAnsiTheme="minorHAnsi" w:cstheme="minorHAnsi"/>
                <w:sz w:val="20"/>
                <w:szCs w:val="20"/>
              </w:rPr>
              <w:t>Raises concerns about the difficulties in obtaining the additional Schedule 2 data requirements.</w:t>
            </w:r>
          </w:p>
          <w:p w:rsidR="006E1965" w:rsidRPr="006D4988" w:rsidRDefault="006E1965" w:rsidP="006E1965">
            <w:pPr>
              <w:pStyle w:val="ListParagraph"/>
              <w:keepLines/>
              <w:numPr>
                <w:ilvl w:val="0"/>
                <w:numId w:val="22"/>
              </w:numPr>
              <w:rPr>
                <w:rFonts w:asciiTheme="minorHAnsi" w:hAnsiTheme="minorHAnsi" w:cstheme="minorHAnsi"/>
                <w:sz w:val="20"/>
                <w:szCs w:val="20"/>
              </w:rPr>
            </w:pPr>
            <w:r w:rsidRPr="006D4988">
              <w:rPr>
                <w:rFonts w:asciiTheme="minorHAnsi" w:hAnsiTheme="minorHAnsi" w:cstheme="minorHAnsi"/>
                <w:sz w:val="20"/>
                <w:szCs w:val="20"/>
              </w:rPr>
              <w:t>Mapping staff to occupation</w:t>
            </w:r>
            <w:r>
              <w:rPr>
                <w:rFonts w:asciiTheme="minorHAnsi" w:hAnsiTheme="minorHAnsi" w:cstheme="minorHAnsi"/>
                <w:sz w:val="20"/>
                <w:szCs w:val="20"/>
              </w:rPr>
              <w:t>al</w:t>
            </w:r>
            <w:r w:rsidRPr="006D4988">
              <w:rPr>
                <w:rFonts w:asciiTheme="minorHAnsi" w:hAnsiTheme="minorHAnsi" w:cstheme="minorHAnsi"/>
                <w:sz w:val="20"/>
                <w:szCs w:val="20"/>
              </w:rPr>
              <w:t xml:space="preserve"> categories was complex and time consuming</w:t>
            </w:r>
            <w:r>
              <w:rPr>
                <w:rFonts w:asciiTheme="minorHAnsi" w:hAnsiTheme="minorHAnsi" w:cstheme="minorHAnsi"/>
                <w:sz w:val="20"/>
                <w:szCs w:val="20"/>
              </w:rPr>
              <w:t>.</w:t>
            </w:r>
          </w:p>
          <w:p w:rsidR="006E1965" w:rsidRPr="006D4988" w:rsidRDefault="006E1965" w:rsidP="006E1965">
            <w:pPr>
              <w:pStyle w:val="ListParagraph"/>
              <w:keepLines/>
              <w:numPr>
                <w:ilvl w:val="0"/>
                <w:numId w:val="22"/>
              </w:numPr>
              <w:rPr>
                <w:rFonts w:asciiTheme="minorHAnsi" w:hAnsiTheme="minorHAnsi" w:cstheme="minorHAnsi"/>
                <w:sz w:val="20"/>
                <w:szCs w:val="20"/>
              </w:rPr>
            </w:pPr>
            <w:r w:rsidRPr="006D4988">
              <w:rPr>
                <w:rFonts w:asciiTheme="minorHAnsi" w:hAnsiTheme="minorHAnsi" w:cstheme="minorHAnsi"/>
                <w:sz w:val="20"/>
                <w:szCs w:val="20"/>
              </w:rPr>
              <w:t xml:space="preserve">Raises a concern about the limitations of the </w:t>
            </w:r>
            <w:proofErr w:type="spellStart"/>
            <w:r w:rsidRPr="006D4988">
              <w:rPr>
                <w:rFonts w:asciiTheme="minorHAnsi" w:hAnsiTheme="minorHAnsi" w:cstheme="minorHAnsi"/>
                <w:sz w:val="20"/>
                <w:szCs w:val="20"/>
              </w:rPr>
              <w:t>ANZSIC</w:t>
            </w:r>
            <w:proofErr w:type="spellEnd"/>
            <w:r w:rsidRPr="006D4988">
              <w:rPr>
                <w:rFonts w:asciiTheme="minorHAnsi" w:hAnsiTheme="minorHAnsi" w:cstheme="minorHAnsi"/>
                <w:sz w:val="20"/>
                <w:szCs w:val="20"/>
              </w:rPr>
              <w:t xml:space="preserve"> codes and questions the consistency of the benchmark reports using these industry codes.</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Australian Higher Education Industrial Association</w:t>
            </w:r>
          </w:p>
        </w:tc>
        <w:tc>
          <w:tcPr>
            <w:tcW w:w="0" w:type="auto"/>
            <w:shd w:val="clear" w:color="auto" w:fill="FFFFFF" w:themeFill="background1"/>
          </w:tcPr>
          <w:p w:rsidR="006E1965" w:rsidRPr="006D4988" w:rsidRDefault="006E1965" w:rsidP="006E1965">
            <w:pPr>
              <w:pStyle w:val="ListParagraph"/>
              <w:keepLines/>
              <w:numPr>
                <w:ilvl w:val="0"/>
                <w:numId w:val="23"/>
              </w:numPr>
              <w:rPr>
                <w:rFonts w:asciiTheme="minorHAnsi" w:hAnsiTheme="minorHAnsi" w:cstheme="minorHAnsi"/>
                <w:sz w:val="20"/>
                <w:szCs w:val="20"/>
              </w:rPr>
            </w:pPr>
            <w:r w:rsidRPr="006D4988">
              <w:rPr>
                <w:rFonts w:asciiTheme="minorHAnsi" w:hAnsiTheme="minorHAnsi" w:cstheme="minorHAnsi"/>
                <w:sz w:val="20"/>
                <w:szCs w:val="20"/>
              </w:rPr>
              <w:t>Supportive of nationwide data and benchmarking</w:t>
            </w:r>
            <w:r>
              <w:rPr>
                <w:rFonts w:asciiTheme="minorHAnsi" w:hAnsiTheme="minorHAnsi" w:cstheme="minorHAnsi"/>
                <w:sz w:val="20"/>
                <w:szCs w:val="20"/>
              </w:rPr>
              <w:t>,</w:t>
            </w:r>
            <w:r w:rsidRPr="006D4988">
              <w:rPr>
                <w:rFonts w:asciiTheme="minorHAnsi" w:hAnsiTheme="minorHAnsi" w:cstheme="minorHAnsi"/>
                <w:sz w:val="20"/>
                <w:szCs w:val="20"/>
              </w:rPr>
              <w:t xml:space="preserve"> but reporting is time consuming and done in addition to internal gender equality reporting.</w:t>
            </w:r>
          </w:p>
          <w:p w:rsidR="006E1965" w:rsidRPr="006D4988" w:rsidRDefault="006E1965" w:rsidP="006E1965">
            <w:pPr>
              <w:pStyle w:val="ListParagraph"/>
              <w:keepLines/>
              <w:numPr>
                <w:ilvl w:val="0"/>
                <w:numId w:val="23"/>
              </w:numPr>
              <w:rPr>
                <w:rFonts w:asciiTheme="minorHAnsi" w:hAnsiTheme="minorHAnsi" w:cstheme="minorHAnsi"/>
                <w:sz w:val="20"/>
                <w:szCs w:val="20"/>
              </w:rPr>
            </w:pPr>
            <w:r w:rsidRPr="006D4988">
              <w:rPr>
                <w:rFonts w:asciiTheme="minorHAnsi" w:hAnsiTheme="minorHAnsi" w:cstheme="minorHAnsi"/>
                <w:sz w:val="20"/>
                <w:szCs w:val="20"/>
              </w:rPr>
              <w:t>Total remuneration data was difficult and time consuming to compile.</w:t>
            </w:r>
          </w:p>
          <w:p w:rsidR="006E1965" w:rsidRPr="006D4988" w:rsidRDefault="006E1965" w:rsidP="006E1965">
            <w:pPr>
              <w:pStyle w:val="ListParagraph"/>
              <w:keepLines/>
              <w:numPr>
                <w:ilvl w:val="0"/>
                <w:numId w:val="23"/>
              </w:numPr>
              <w:rPr>
                <w:rFonts w:asciiTheme="minorHAnsi" w:hAnsiTheme="minorHAnsi" w:cstheme="minorHAnsi"/>
                <w:sz w:val="20"/>
                <w:szCs w:val="20"/>
              </w:rPr>
            </w:pPr>
            <w:r w:rsidRPr="006D4988">
              <w:rPr>
                <w:rFonts w:asciiTheme="minorHAnsi" w:hAnsiTheme="minorHAnsi" w:cstheme="minorHAnsi"/>
                <w:sz w:val="20"/>
                <w:szCs w:val="20"/>
              </w:rPr>
              <w:t xml:space="preserve">Highlighted difficulties with </w:t>
            </w:r>
            <w:proofErr w:type="spellStart"/>
            <w:r w:rsidRPr="006D4988">
              <w:rPr>
                <w:rFonts w:asciiTheme="minorHAnsi" w:hAnsiTheme="minorHAnsi" w:cstheme="minorHAnsi"/>
                <w:sz w:val="20"/>
                <w:szCs w:val="20"/>
              </w:rPr>
              <w:t>AUSkey</w:t>
            </w:r>
            <w:proofErr w:type="spellEnd"/>
            <w:r w:rsidRPr="006D4988">
              <w:rPr>
                <w:rFonts w:asciiTheme="minorHAnsi" w:hAnsiTheme="minorHAnsi" w:cstheme="minorHAnsi"/>
                <w:sz w:val="20"/>
                <w:szCs w:val="20"/>
              </w:rPr>
              <w:t>.</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Australian Industry Group</w:t>
            </w:r>
          </w:p>
        </w:tc>
        <w:tc>
          <w:tcPr>
            <w:tcW w:w="0" w:type="auto"/>
            <w:shd w:val="clear" w:color="auto" w:fill="FFFFFF" w:themeFill="background1"/>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Supports workplace gender equality and maintenance of an appropriate reporting system.</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 xml:space="preserve">Members state that the reporting requirements are very onerous and take a long time to complete (usually more than </w:t>
            </w:r>
            <w:r>
              <w:rPr>
                <w:rFonts w:asciiTheme="minorHAnsi" w:hAnsiTheme="minorHAnsi" w:cstheme="minorHAnsi"/>
                <w:sz w:val="20"/>
                <w:szCs w:val="20"/>
              </w:rPr>
              <w:t>three</w:t>
            </w:r>
            <w:r w:rsidRPr="006D4988">
              <w:rPr>
                <w:rFonts w:asciiTheme="minorHAnsi" w:hAnsiTheme="minorHAnsi" w:cstheme="minorHAnsi"/>
                <w:sz w:val="20"/>
                <w:szCs w:val="20"/>
              </w:rPr>
              <w:t xml:space="preserve"> days).</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Reporting burden would be reduced if remuneration data w</w:t>
            </w:r>
            <w:r>
              <w:rPr>
                <w:rFonts w:asciiTheme="minorHAnsi" w:hAnsiTheme="minorHAnsi" w:cstheme="minorHAnsi"/>
                <w:sz w:val="20"/>
                <w:szCs w:val="20"/>
              </w:rPr>
              <w:t>ere</w:t>
            </w:r>
            <w:r w:rsidRPr="006D4988">
              <w:rPr>
                <w:rFonts w:asciiTheme="minorHAnsi" w:hAnsiTheme="minorHAnsi" w:cstheme="minorHAnsi"/>
                <w:sz w:val="20"/>
                <w:szCs w:val="20"/>
              </w:rPr>
              <w:t xml:space="preserve"> required for </w:t>
            </w:r>
            <w:r>
              <w:rPr>
                <w:rFonts w:asciiTheme="minorHAnsi" w:hAnsiTheme="minorHAnsi" w:cstheme="minorHAnsi"/>
                <w:sz w:val="20"/>
                <w:szCs w:val="20"/>
              </w:rPr>
              <w:t xml:space="preserve">only </w:t>
            </w:r>
            <w:r w:rsidRPr="006D4988">
              <w:rPr>
                <w:rFonts w:asciiTheme="minorHAnsi" w:hAnsiTheme="minorHAnsi" w:cstheme="minorHAnsi"/>
                <w:sz w:val="20"/>
                <w:szCs w:val="20"/>
              </w:rPr>
              <w:t xml:space="preserve">managers and either base or total </w:t>
            </w:r>
            <w:proofErr w:type="gramStart"/>
            <w:r w:rsidRPr="006D4988">
              <w:rPr>
                <w:rFonts w:asciiTheme="minorHAnsi" w:hAnsiTheme="minorHAnsi" w:cstheme="minorHAnsi"/>
                <w:sz w:val="20"/>
                <w:szCs w:val="20"/>
              </w:rPr>
              <w:t>salary were</w:t>
            </w:r>
            <w:proofErr w:type="gramEnd"/>
            <w:r w:rsidRPr="006D4988">
              <w:rPr>
                <w:rFonts w:asciiTheme="minorHAnsi" w:hAnsiTheme="minorHAnsi" w:cstheme="minorHAnsi"/>
                <w:sz w:val="20"/>
                <w:szCs w:val="20"/>
              </w:rPr>
              <w:t xml:space="preserve"> reported on, not both.</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Supports further referral of Schedule 2 requirements.</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Australian Private Hospitals Association</w:t>
            </w:r>
          </w:p>
        </w:tc>
        <w:tc>
          <w:tcPr>
            <w:tcW w:w="0" w:type="auto"/>
            <w:shd w:val="clear" w:color="auto" w:fill="FFFFFF" w:themeFill="background1"/>
          </w:tcPr>
          <w:p w:rsidR="006E1965" w:rsidRPr="006D4988" w:rsidRDefault="006E1965" w:rsidP="006E1965">
            <w:pPr>
              <w:pStyle w:val="ListParagraph"/>
              <w:keepLines/>
              <w:numPr>
                <w:ilvl w:val="0"/>
                <w:numId w:val="24"/>
              </w:numPr>
              <w:rPr>
                <w:rFonts w:asciiTheme="minorHAnsi" w:hAnsiTheme="minorHAnsi" w:cstheme="minorHAnsi"/>
                <w:sz w:val="20"/>
                <w:szCs w:val="20"/>
              </w:rPr>
            </w:pPr>
            <w:r w:rsidRPr="006D4988">
              <w:rPr>
                <w:rFonts w:asciiTheme="minorHAnsi" w:hAnsiTheme="minorHAnsi" w:cstheme="minorHAnsi"/>
                <w:sz w:val="20"/>
                <w:szCs w:val="20"/>
              </w:rPr>
              <w:t>Supportive of gender equality but reporting is extensive and onerous.</w:t>
            </w:r>
          </w:p>
          <w:p w:rsidR="006E1965" w:rsidRPr="006D4988" w:rsidRDefault="006E1965" w:rsidP="006E1965">
            <w:pPr>
              <w:pStyle w:val="ListParagraph"/>
              <w:keepLines/>
              <w:numPr>
                <w:ilvl w:val="0"/>
                <w:numId w:val="24"/>
              </w:numPr>
              <w:rPr>
                <w:rFonts w:asciiTheme="minorHAnsi" w:hAnsiTheme="minorHAnsi" w:cstheme="minorHAnsi"/>
                <w:sz w:val="20"/>
                <w:szCs w:val="20"/>
              </w:rPr>
            </w:pPr>
            <w:r w:rsidRPr="006D4988">
              <w:rPr>
                <w:rFonts w:asciiTheme="minorHAnsi" w:hAnsiTheme="minorHAnsi" w:cstheme="minorHAnsi"/>
                <w:sz w:val="20"/>
                <w:szCs w:val="20"/>
              </w:rPr>
              <w:t>Prefer</w:t>
            </w:r>
            <w:r>
              <w:rPr>
                <w:rFonts w:asciiTheme="minorHAnsi" w:hAnsiTheme="minorHAnsi" w:cstheme="minorHAnsi"/>
                <w:sz w:val="20"/>
                <w:szCs w:val="20"/>
              </w:rPr>
              <w:t>s</w:t>
            </w:r>
            <w:r w:rsidRPr="006D4988">
              <w:rPr>
                <w:rFonts w:asciiTheme="minorHAnsi" w:hAnsiTheme="minorHAnsi" w:cstheme="minorHAnsi"/>
                <w:sz w:val="20"/>
                <w:szCs w:val="20"/>
              </w:rPr>
              <w:t xml:space="preserve"> reporting is reduced to every </w:t>
            </w:r>
            <w:r>
              <w:rPr>
                <w:rFonts w:asciiTheme="minorHAnsi" w:hAnsiTheme="minorHAnsi" w:cstheme="minorHAnsi"/>
                <w:sz w:val="20"/>
                <w:szCs w:val="20"/>
              </w:rPr>
              <w:t>two to four</w:t>
            </w:r>
            <w:r w:rsidRPr="006D4988">
              <w:rPr>
                <w:rFonts w:asciiTheme="minorHAnsi" w:hAnsiTheme="minorHAnsi" w:cstheme="minorHAnsi"/>
                <w:sz w:val="20"/>
                <w:szCs w:val="20"/>
              </w:rPr>
              <w:t xml:space="preserve"> years.</w:t>
            </w:r>
          </w:p>
          <w:p w:rsidR="006E1965" w:rsidRPr="006D4988" w:rsidRDefault="006E1965" w:rsidP="006E1965">
            <w:pPr>
              <w:pStyle w:val="ListParagraph"/>
              <w:keepLines/>
              <w:numPr>
                <w:ilvl w:val="0"/>
                <w:numId w:val="24"/>
              </w:numPr>
              <w:rPr>
                <w:rFonts w:asciiTheme="minorHAnsi" w:hAnsiTheme="minorHAnsi" w:cstheme="minorHAnsi"/>
                <w:sz w:val="20"/>
                <w:szCs w:val="20"/>
              </w:rPr>
            </w:pPr>
            <w:r w:rsidRPr="006D4988">
              <w:rPr>
                <w:rFonts w:asciiTheme="minorHAnsi" w:hAnsiTheme="minorHAnsi" w:cstheme="minorHAnsi"/>
                <w:sz w:val="20"/>
                <w:szCs w:val="20"/>
              </w:rPr>
              <w:t>Suggest a greater emphasis is made to report by industry so outcomes are more useful for comparison and analysis.</w:t>
            </w:r>
          </w:p>
          <w:p w:rsidR="006E1965" w:rsidRPr="006D4988" w:rsidRDefault="006E1965" w:rsidP="006E1965">
            <w:pPr>
              <w:pStyle w:val="ListParagraph"/>
              <w:keepLines/>
              <w:numPr>
                <w:ilvl w:val="0"/>
                <w:numId w:val="24"/>
              </w:numPr>
              <w:rPr>
                <w:rFonts w:asciiTheme="minorHAnsi" w:hAnsiTheme="minorHAnsi" w:cstheme="minorHAnsi"/>
                <w:sz w:val="20"/>
                <w:szCs w:val="20"/>
              </w:rPr>
            </w:pPr>
            <w:r w:rsidRPr="006D4988">
              <w:rPr>
                <w:rFonts w:asciiTheme="minorHAnsi" w:hAnsiTheme="minorHAnsi" w:cstheme="minorHAnsi"/>
                <w:sz w:val="20"/>
                <w:szCs w:val="20"/>
              </w:rPr>
              <w:t>Schedule 2 components will be more onerous and time consuming</w:t>
            </w:r>
            <w:r>
              <w:rPr>
                <w:rFonts w:asciiTheme="minorHAnsi" w:hAnsiTheme="minorHAnsi" w:cstheme="minorHAnsi"/>
                <w:sz w:val="20"/>
                <w:szCs w:val="20"/>
              </w:rPr>
              <w:t>,</w:t>
            </w:r>
            <w:r w:rsidRPr="006D4988">
              <w:rPr>
                <w:rFonts w:asciiTheme="minorHAnsi" w:hAnsiTheme="minorHAnsi" w:cstheme="minorHAnsi"/>
                <w:sz w:val="20"/>
                <w:szCs w:val="20"/>
              </w:rPr>
              <w:t xml:space="preserve"> especially with regards to recruitment data.</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Australian Public Transport Industrial Association</w:t>
            </w:r>
          </w:p>
        </w:tc>
        <w:tc>
          <w:tcPr>
            <w:tcW w:w="0" w:type="auto"/>
            <w:shd w:val="clear" w:color="auto" w:fill="FFFFFF" w:themeFill="background1"/>
          </w:tcPr>
          <w:p w:rsidR="006E1965" w:rsidRPr="006D4988" w:rsidRDefault="006E1965" w:rsidP="006E1965">
            <w:pPr>
              <w:pStyle w:val="ListParagraph"/>
              <w:keepLines/>
              <w:numPr>
                <w:ilvl w:val="0"/>
                <w:numId w:val="19"/>
              </w:numPr>
              <w:rPr>
                <w:rFonts w:asciiTheme="minorHAnsi" w:hAnsiTheme="minorHAnsi" w:cstheme="minorHAnsi"/>
                <w:sz w:val="20"/>
                <w:szCs w:val="20"/>
              </w:rPr>
            </w:pPr>
            <w:r w:rsidRPr="006D4988">
              <w:rPr>
                <w:rFonts w:asciiTheme="minorHAnsi" w:hAnsiTheme="minorHAnsi" w:cstheme="minorHAnsi"/>
                <w:sz w:val="20"/>
                <w:szCs w:val="20"/>
              </w:rPr>
              <w:t>Raises concerns that the time impost is high</w:t>
            </w:r>
            <w:r>
              <w:rPr>
                <w:rFonts w:asciiTheme="minorHAnsi" w:hAnsiTheme="minorHAnsi" w:cstheme="minorHAnsi"/>
                <w:sz w:val="20"/>
                <w:szCs w:val="20"/>
              </w:rPr>
              <w:t>,</w:t>
            </w:r>
            <w:r w:rsidRPr="006D4988">
              <w:rPr>
                <w:rFonts w:asciiTheme="minorHAnsi" w:hAnsiTheme="minorHAnsi" w:cstheme="minorHAnsi"/>
                <w:sz w:val="20"/>
                <w:szCs w:val="20"/>
              </w:rPr>
              <w:t xml:space="preserve"> particularly due to gathering the remuneration data.</w:t>
            </w:r>
          </w:p>
          <w:p w:rsidR="006E1965" w:rsidRPr="006D4988" w:rsidRDefault="006E1965" w:rsidP="006E1965">
            <w:pPr>
              <w:pStyle w:val="ListParagraph"/>
              <w:keepLines/>
              <w:numPr>
                <w:ilvl w:val="0"/>
                <w:numId w:val="19"/>
              </w:numPr>
              <w:rPr>
                <w:rFonts w:asciiTheme="minorHAnsi" w:hAnsiTheme="minorHAnsi" w:cstheme="minorHAnsi"/>
                <w:sz w:val="20"/>
                <w:szCs w:val="20"/>
              </w:rPr>
            </w:pPr>
            <w:r w:rsidRPr="006D4988">
              <w:rPr>
                <w:rFonts w:asciiTheme="minorHAnsi" w:hAnsiTheme="minorHAnsi" w:cstheme="minorHAnsi"/>
                <w:sz w:val="20"/>
                <w:szCs w:val="20"/>
              </w:rPr>
              <w:t xml:space="preserve">Raises difficulties with </w:t>
            </w:r>
            <w:proofErr w:type="spellStart"/>
            <w:r w:rsidRPr="006D4988">
              <w:rPr>
                <w:rFonts w:asciiTheme="minorHAnsi" w:hAnsiTheme="minorHAnsi" w:cstheme="minorHAnsi"/>
                <w:sz w:val="20"/>
                <w:szCs w:val="20"/>
              </w:rPr>
              <w:t>AUSkey</w:t>
            </w:r>
            <w:proofErr w:type="spellEnd"/>
            <w:r w:rsidRPr="006D4988">
              <w:rPr>
                <w:rFonts w:asciiTheme="minorHAnsi" w:hAnsiTheme="minorHAnsi" w:cstheme="minorHAnsi"/>
                <w:sz w:val="20"/>
                <w:szCs w:val="20"/>
              </w:rPr>
              <w:t>.</w:t>
            </w:r>
          </w:p>
          <w:p w:rsidR="006E1965" w:rsidRPr="006D4988" w:rsidRDefault="006E1965" w:rsidP="006E1965">
            <w:pPr>
              <w:pStyle w:val="ListParagraph"/>
              <w:keepLines/>
              <w:numPr>
                <w:ilvl w:val="0"/>
                <w:numId w:val="19"/>
              </w:numPr>
              <w:rPr>
                <w:rFonts w:asciiTheme="minorHAnsi" w:hAnsiTheme="minorHAnsi" w:cstheme="minorHAnsi"/>
                <w:sz w:val="20"/>
                <w:szCs w:val="20"/>
              </w:rPr>
            </w:pPr>
            <w:r>
              <w:rPr>
                <w:rFonts w:asciiTheme="minorHAnsi" w:hAnsiTheme="minorHAnsi" w:cstheme="minorHAnsi"/>
                <w:sz w:val="20"/>
                <w:szCs w:val="20"/>
              </w:rPr>
              <w:t>Notes that o</w:t>
            </w:r>
            <w:r w:rsidRPr="006D4988">
              <w:rPr>
                <w:rFonts w:asciiTheme="minorHAnsi" w:hAnsiTheme="minorHAnsi" w:cstheme="minorHAnsi"/>
                <w:sz w:val="20"/>
                <w:szCs w:val="20"/>
              </w:rPr>
              <w:t>ccupational categories are restrictive.</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lastRenderedPageBreak/>
              <w:t>Calvary Christian College</w:t>
            </w:r>
          </w:p>
        </w:tc>
        <w:tc>
          <w:tcPr>
            <w:tcW w:w="0" w:type="auto"/>
            <w:shd w:val="clear" w:color="auto" w:fill="FFFFFF" w:themeFill="background1"/>
          </w:tcPr>
          <w:p w:rsidR="006E1965" w:rsidRPr="006D4988" w:rsidRDefault="006E1965" w:rsidP="006E1965">
            <w:pPr>
              <w:pStyle w:val="ListParagraph"/>
              <w:keepLines/>
              <w:numPr>
                <w:ilvl w:val="0"/>
                <w:numId w:val="26"/>
              </w:numPr>
              <w:rPr>
                <w:rFonts w:asciiTheme="minorHAnsi" w:hAnsiTheme="minorHAnsi" w:cstheme="minorHAnsi"/>
                <w:sz w:val="20"/>
                <w:szCs w:val="20"/>
              </w:rPr>
            </w:pPr>
            <w:r w:rsidRPr="006D4988">
              <w:rPr>
                <w:rFonts w:asciiTheme="minorHAnsi" w:hAnsiTheme="minorHAnsi" w:cstheme="minorHAnsi"/>
                <w:sz w:val="20"/>
                <w:szCs w:val="20"/>
              </w:rPr>
              <w:t>Data was easy to collect</w:t>
            </w:r>
            <w:r>
              <w:rPr>
                <w:rFonts w:asciiTheme="minorHAnsi" w:hAnsiTheme="minorHAnsi" w:cstheme="minorHAnsi"/>
                <w:sz w:val="20"/>
                <w:szCs w:val="20"/>
              </w:rPr>
              <w:t>,</w:t>
            </w:r>
            <w:r w:rsidRPr="006D4988">
              <w:rPr>
                <w:rFonts w:asciiTheme="minorHAnsi" w:hAnsiTheme="minorHAnsi" w:cstheme="minorHAnsi"/>
                <w:sz w:val="20"/>
                <w:szCs w:val="20"/>
              </w:rPr>
              <w:t xml:space="preserve"> although </w:t>
            </w:r>
            <w:r>
              <w:rPr>
                <w:rFonts w:asciiTheme="minorHAnsi" w:hAnsiTheme="minorHAnsi" w:cstheme="minorHAnsi"/>
                <w:sz w:val="20"/>
                <w:szCs w:val="20"/>
              </w:rPr>
              <w:t xml:space="preserve">it </w:t>
            </w:r>
            <w:r w:rsidRPr="006D4988">
              <w:rPr>
                <w:rFonts w:asciiTheme="minorHAnsi" w:hAnsiTheme="minorHAnsi" w:cstheme="minorHAnsi"/>
                <w:sz w:val="20"/>
                <w:szCs w:val="20"/>
              </w:rPr>
              <w:t xml:space="preserve">took about </w:t>
            </w:r>
            <w:r>
              <w:rPr>
                <w:rFonts w:asciiTheme="minorHAnsi" w:hAnsiTheme="minorHAnsi" w:cstheme="minorHAnsi"/>
                <w:sz w:val="20"/>
                <w:szCs w:val="20"/>
              </w:rPr>
              <w:t>three</w:t>
            </w:r>
            <w:r w:rsidRPr="006D4988">
              <w:rPr>
                <w:rFonts w:asciiTheme="minorHAnsi" w:hAnsiTheme="minorHAnsi" w:cstheme="minorHAnsi"/>
                <w:sz w:val="20"/>
                <w:szCs w:val="20"/>
              </w:rPr>
              <w:t xml:space="preserve"> days to report.</w:t>
            </w:r>
          </w:p>
          <w:p w:rsidR="006E1965" w:rsidRPr="006D4988" w:rsidRDefault="006E1965" w:rsidP="006E1965">
            <w:pPr>
              <w:pStyle w:val="ListParagraph"/>
              <w:keepLines/>
              <w:numPr>
                <w:ilvl w:val="0"/>
                <w:numId w:val="26"/>
              </w:numPr>
              <w:rPr>
                <w:rFonts w:asciiTheme="minorHAnsi" w:hAnsiTheme="minorHAnsi" w:cstheme="minorHAnsi"/>
                <w:sz w:val="20"/>
                <w:szCs w:val="20"/>
              </w:rPr>
            </w:pPr>
            <w:r w:rsidRPr="006D4988">
              <w:rPr>
                <w:rFonts w:asciiTheme="minorHAnsi" w:hAnsiTheme="minorHAnsi" w:cstheme="minorHAnsi"/>
                <w:sz w:val="20"/>
                <w:szCs w:val="20"/>
              </w:rPr>
              <w:t>Would like to see the process simplified.</w:t>
            </w:r>
          </w:p>
          <w:p w:rsidR="006E1965" w:rsidRPr="006D4988" w:rsidRDefault="006E1965" w:rsidP="006E1965">
            <w:pPr>
              <w:pStyle w:val="ListParagraph"/>
              <w:keepLines/>
              <w:numPr>
                <w:ilvl w:val="0"/>
                <w:numId w:val="26"/>
              </w:numPr>
              <w:rPr>
                <w:rFonts w:asciiTheme="minorHAnsi" w:hAnsiTheme="minorHAnsi" w:cstheme="minorHAnsi"/>
                <w:sz w:val="20"/>
                <w:szCs w:val="20"/>
              </w:rPr>
            </w:pPr>
            <w:r w:rsidRPr="006D4988">
              <w:rPr>
                <w:rFonts w:asciiTheme="minorHAnsi" w:hAnsiTheme="minorHAnsi" w:cstheme="minorHAnsi"/>
                <w:sz w:val="20"/>
                <w:szCs w:val="20"/>
              </w:rPr>
              <w:t>Online reporting was easier than previous years.</w:t>
            </w:r>
          </w:p>
          <w:p w:rsidR="006E1965" w:rsidRPr="006D4988" w:rsidRDefault="006E1965" w:rsidP="006E1965">
            <w:pPr>
              <w:pStyle w:val="ListParagraph"/>
              <w:keepLines/>
              <w:numPr>
                <w:ilvl w:val="0"/>
                <w:numId w:val="26"/>
              </w:numPr>
              <w:rPr>
                <w:rFonts w:asciiTheme="minorHAnsi" w:hAnsiTheme="minorHAnsi" w:cstheme="minorHAnsi"/>
                <w:sz w:val="20"/>
                <w:szCs w:val="20"/>
              </w:rPr>
            </w:pPr>
            <w:r w:rsidRPr="006D4988">
              <w:rPr>
                <w:rFonts w:asciiTheme="minorHAnsi" w:hAnsiTheme="minorHAnsi" w:cstheme="minorHAnsi"/>
                <w:sz w:val="20"/>
                <w:szCs w:val="20"/>
              </w:rPr>
              <w:t xml:space="preserve">Noted difficulties in using the </w:t>
            </w:r>
            <w:proofErr w:type="spellStart"/>
            <w:r w:rsidRPr="006D4988">
              <w:rPr>
                <w:rFonts w:asciiTheme="minorHAnsi" w:hAnsiTheme="minorHAnsi" w:cstheme="minorHAnsi"/>
                <w:sz w:val="20"/>
                <w:szCs w:val="20"/>
              </w:rPr>
              <w:t>AUSkey</w:t>
            </w:r>
            <w:proofErr w:type="spellEnd"/>
            <w:r w:rsidRPr="006D4988">
              <w:rPr>
                <w:rFonts w:asciiTheme="minorHAnsi" w:hAnsiTheme="minorHAnsi" w:cstheme="minorHAnsi"/>
                <w:sz w:val="20"/>
                <w:szCs w:val="20"/>
              </w:rPr>
              <w:t>.</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Chamber of Commerce and Industry of Western Australia</w:t>
            </w:r>
          </w:p>
        </w:tc>
        <w:tc>
          <w:tcPr>
            <w:tcW w:w="0" w:type="auto"/>
            <w:shd w:val="clear" w:color="auto" w:fill="FFFFFF" w:themeFill="background1"/>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Supports the submission filed by the Australian Chamber of Commerce and Industry.</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 xml:space="preserve">Chamber of Commerce and Industry Queensland </w:t>
            </w:r>
            <w:r>
              <w:rPr>
                <w:rFonts w:asciiTheme="minorHAnsi" w:hAnsiTheme="minorHAnsi" w:cstheme="minorHAnsi"/>
              </w:rPr>
              <w:t>(</w:t>
            </w:r>
            <w:proofErr w:type="spellStart"/>
            <w:r>
              <w:rPr>
                <w:rFonts w:asciiTheme="minorHAnsi" w:hAnsiTheme="minorHAnsi" w:cstheme="minorHAnsi"/>
              </w:rPr>
              <w:t>CCIQ</w:t>
            </w:r>
            <w:proofErr w:type="spellEnd"/>
            <w:r>
              <w:rPr>
                <w:rFonts w:asciiTheme="minorHAnsi" w:hAnsiTheme="minorHAnsi" w:cstheme="minorHAnsi"/>
              </w:rPr>
              <w:t>)</w:t>
            </w:r>
          </w:p>
        </w:tc>
        <w:tc>
          <w:tcPr>
            <w:tcW w:w="0" w:type="auto"/>
            <w:shd w:val="clear" w:color="auto" w:fill="FFFFFF" w:themeFill="background1"/>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Supports objectives of the Act</w:t>
            </w:r>
            <w:r>
              <w:rPr>
                <w:rFonts w:asciiTheme="minorHAnsi" w:hAnsiTheme="minorHAnsi" w:cstheme="minorHAnsi"/>
                <w:sz w:val="20"/>
                <w:szCs w:val="20"/>
              </w:rPr>
              <w:t>,</w:t>
            </w:r>
            <w:r w:rsidRPr="006D4988">
              <w:rPr>
                <w:rFonts w:asciiTheme="minorHAnsi" w:hAnsiTheme="minorHAnsi" w:cstheme="minorHAnsi"/>
                <w:sz w:val="20"/>
                <w:szCs w:val="20"/>
              </w:rPr>
              <w:t xml:space="preserve"> but strongly opposes reporting obligations for businesses.</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Recommends reporting requirements be removed entirely or significantly reduced.</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 xml:space="preserve">Business told </w:t>
            </w:r>
            <w:proofErr w:type="spellStart"/>
            <w:r w:rsidRPr="006D4988">
              <w:rPr>
                <w:rFonts w:asciiTheme="minorHAnsi" w:hAnsiTheme="minorHAnsi" w:cstheme="minorHAnsi"/>
                <w:sz w:val="20"/>
                <w:szCs w:val="20"/>
              </w:rPr>
              <w:t>CCIQ</w:t>
            </w:r>
            <w:proofErr w:type="spellEnd"/>
            <w:r w:rsidRPr="006D4988">
              <w:rPr>
                <w:rFonts w:asciiTheme="minorHAnsi" w:hAnsiTheme="minorHAnsi" w:cstheme="minorHAnsi"/>
                <w:sz w:val="20"/>
                <w:szCs w:val="20"/>
              </w:rPr>
              <w:t xml:space="preserve"> that they often have to dedicate full-time resources to manually complete reports, directing employees away from core functions.</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w:t>
            </w:r>
            <w:r>
              <w:rPr>
                <w:rFonts w:asciiTheme="minorHAnsi" w:hAnsiTheme="minorHAnsi" w:cstheme="minorHAnsi"/>
                <w:sz w:val="20"/>
                <w:szCs w:val="20"/>
              </w:rPr>
              <w:t>s</w:t>
            </w:r>
            <w:r w:rsidRPr="006D4988">
              <w:rPr>
                <w:rFonts w:asciiTheme="minorHAnsi" w:hAnsiTheme="minorHAnsi" w:cstheme="minorHAnsi"/>
                <w:sz w:val="20"/>
                <w:szCs w:val="20"/>
              </w:rPr>
              <w:t xml:space="preserve"> streamlining of management categories.</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w:t>
            </w:r>
            <w:r>
              <w:rPr>
                <w:rFonts w:asciiTheme="minorHAnsi" w:hAnsiTheme="minorHAnsi" w:cstheme="minorHAnsi"/>
                <w:sz w:val="20"/>
                <w:szCs w:val="20"/>
              </w:rPr>
              <w:t>s</w:t>
            </w:r>
            <w:r w:rsidRPr="006D4988">
              <w:rPr>
                <w:rFonts w:asciiTheme="minorHAnsi" w:hAnsiTheme="minorHAnsi" w:cstheme="minorHAnsi"/>
                <w:sz w:val="20"/>
                <w:szCs w:val="20"/>
              </w:rPr>
              <w:t xml:space="preserve"> removal of reporting on </w:t>
            </w:r>
            <w:proofErr w:type="spellStart"/>
            <w:r w:rsidRPr="006D4988">
              <w:rPr>
                <w:rFonts w:asciiTheme="minorHAnsi" w:hAnsiTheme="minorHAnsi" w:cstheme="minorHAnsi"/>
                <w:sz w:val="20"/>
                <w:szCs w:val="20"/>
              </w:rPr>
              <w:t>CEO</w:t>
            </w:r>
            <w:proofErr w:type="spellEnd"/>
            <w:r w:rsidRPr="006D4988">
              <w:rPr>
                <w:rFonts w:asciiTheme="minorHAnsi" w:hAnsiTheme="minorHAnsi" w:cstheme="minorHAnsi"/>
                <w:sz w:val="20"/>
                <w:szCs w:val="20"/>
              </w:rPr>
              <w:t xml:space="preserve"> and senior management salaries.</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Concerned about requirement to provide remuneration data due to its commercially sensitive nature.</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Supports further deferral of Schedule 2 components.</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 xml:space="preserve">Coalition for Working Women </w:t>
            </w:r>
          </w:p>
        </w:tc>
        <w:tc>
          <w:tcPr>
            <w:tcW w:w="0" w:type="auto"/>
            <w:shd w:val="clear" w:color="auto" w:fill="FFFFFF" w:themeFill="background1"/>
          </w:tcPr>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Supports removing salary of the C</w:t>
            </w:r>
            <w:r>
              <w:rPr>
                <w:rFonts w:asciiTheme="minorHAnsi" w:hAnsiTheme="minorHAnsi" w:cstheme="minorHAnsi"/>
                <w:sz w:val="20"/>
                <w:szCs w:val="20"/>
              </w:rPr>
              <w:t xml:space="preserve">hief </w:t>
            </w:r>
            <w:r w:rsidRPr="006D4988">
              <w:rPr>
                <w:rFonts w:asciiTheme="minorHAnsi" w:hAnsiTheme="minorHAnsi" w:cstheme="minorHAnsi"/>
                <w:sz w:val="20"/>
                <w:szCs w:val="20"/>
              </w:rPr>
              <w:t>E</w:t>
            </w:r>
            <w:r>
              <w:rPr>
                <w:rFonts w:asciiTheme="minorHAnsi" w:hAnsiTheme="minorHAnsi" w:cstheme="minorHAnsi"/>
                <w:sz w:val="20"/>
                <w:szCs w:val="20"/>
              </w:rPr>
              <w:t xml:space="preserve">xecutive </w:t>
            </w:r>
            <w:r w:rsidRPr="006D4988">
              <w:rPr>
                <w:rFonts w:asciiTheme="minorHAnsi" w:hAnsiTheme="minorHAnsi" w:cstheme="minorHAnsi"/>
                <w:sz w:val="20"/>
                <w:szCs w:val="20"/>
              </w:rPr>
              <w:t>O</w:t>
            </w:r>
            <w:r>
              <w:rPr>
                <w:rFonts w:asciiTheme="minorHAnsi" w:hAnsiTheme="minorHAnsi" w:cstheme="minorHAnsi"/>
                <w:sz w:val="20"/>
                <w:szCs w:val="20"/>
              </w:rPr>
              <w:t>fficer (</w:t>
            </w:r>
            <w:proofErr w:type="spellStart"/>
            <w:r w:rsidRPr="006D4988">
              <w:rPr>
                <w:rFonts w:asciiTheme="minorHAnsi" w:hAnsiTheme="minorHAnsi" w:cstheme="minorHAnsi"/>
                <w:sz w:val="20"/>
                <w:szCs w:val="20"/>
              </w:rPr>
              <w:t>CEO</w:t>
            </w:r>
            <w:proofErr w:type="spellEnd"/>
            <w:r>
              <w:rPr>
                <w:rFonts w:asciiTheme="minorHAnsi" w:hAnsiTheme="minorHAnsi" w:cstheme="minorHAnsi"/>
                <w:sz w:val="20"/>
                <w:szCs w:val="20"/>
              </w:rPr>
              <w:t>)</w:t>
            </w:r>
            <w:r w:rsidRPr="006D4988">
              <w:rPr>
                <w:rFonts w:asciiTheme="minorHAnsi" w:hAnsiTheme="minorHAnsi" w:cstheme="minorHAnsi"/>
                <w:sz w:val="20"/>
                <w:szCs w:val="20"/>
              </w:rPr>
              <w:t xml:space="preserve"> and reporting on graduates.</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 xml:space="preserve">Supports amendments to reporting on the proportion of the workforce who have access to </w:t>
            </w:r>
            <w:r>
              <w:rPr>
                <w:rFonts w:asciiTheme="minorHAnsi" w:hAnsiTheme="minorHAnsi" w:cstheme="minorHAnsi"/>
                <w:sz w:val="20"/>
                <w:szCs w:val="20"/>
              </w:rPr>
              <w:t>paid parental leave (</w:t>
            </w:r>
            <w:proofErr w:type="spellStart"/>
            <w:r>
              <w:rPr>
                <w:rFonts w:asciiTheme="minorHAnsi" w:hAnsiTheme="minorHAnsi" w:cstheme="minorHAnsi"/>
                <w:sz w:val="20"/>
                <w:szCs w:val="20"/>
              </w:rPr>
              <w:t>PPL</w:t>
            </w:r>
            <w:proofErr w:type="spellEnd"/>
            <w:r>
              <w:rPr>
                <w:rFonts w:asciiTheme="minorHAnsi" w:hAnsiTheme="minorHAnsi" w:cstheme="minorHAnsi"/>
                <w:sz w:val="20"/>
                <w:szCs w:val="20"/>
              </w:rPr>
              <w:t>)</w:t>
            </w:r>
            <w:r w:rsidRPr="006D4988">
              <w:rPr>
                <w:rFonts w:asciiTheme="minorHAnsi" w:hAnsiTheme="minorHAnsi" w:cstheme="minorHAnsi"/>
                <w:sz w:val="20"/>
                <w:szCs w:val="20"/>
              </w:rPr>
              <w:t>.</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Supports removing applications, interviews and appointments by gender.</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Seeks the retention of promotions and resignation information.</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 xml:space="preserve">Suggests simplification of disaggregated annualised </w:t>
            </w:r>
            <w:r>
              <w:rPr>
                <w:rFonts w:asciiTheme="minorHAnsi" w:hAnsiTheme="minorHAnsi" w:cstheme="minorHAnsi"/>
                <w:sz w:val="20"/>
                <w:szCs w:val="20"/>
              </w:rPr>
              <w:t>full-time equivalent (</w:t>
            </w:r>
            <w:r w:rsidRPr="006D4988">
              <w:rPr>
                <w:rFonts w:asciiTheme="minorHAnsi" w:hAnsiTheme="minorHAnsi" w:cstheme="minorHAnsi"/>
                <w:sz w:val="20"/>
                <w:szCs w:val="20"/>
              </w:rPr>
              <w:t>FTE</w:t>
            </w:r>
            <w:r>
              <w:rPr>
                <w:rFonts w:asciiTheme="minorHAnsi" w:hAnsiTheme="minorHAnsi" w:cstheme="minorHAnsi"/>
                <w:sz w:val="20"/>
                <w:szCs w:val="20"/>
              </w:rPr>
              <w:t>)</w:t>
            </w:r>
            <w:r w:rsidRPr="006D4988">
              <w:rPr>
                <w:rFonts w:asciiTheme="minorHAnsi" w:hAnsiTheme="minorHAnsi" w:cstheme="minorHAnsi"/>
                <w:sz w:val="20"/>
                <w:szCs w:val="20"/>
              </w:rPr>
              <w:t xml:space="preserve"> data.</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Strongly disagrees with removing reporting of total remuneration for non-man</w:t>
            </w:r>
            <w:r>
              <w:rPr>
                <w:rFonts w:asciiTheme="minorHAnsi" w:hAnsiTheme="minorHAnsi" w:cstheme="minorHAnsi"/>
                <w:sz w:val="20"/>
                <w:szCs w:val="20"/>
              </w:rPr>
              <w:t>a</w:t>
            </w:r>
            <w:r w:rsidRPr="006D4988">
              <w:rPr>
                <w:rFonts w:asciiTheme="minorHAnsi" w:hAnsiTheme="minorHAnsi" w:cstheme="minorHAnsi"/>
                <w:sz w:val="20"/>
                <w:szCs w:val="20"/>
              </w:rPr>
              <w:t xml:space="preserve">gers. </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Diversity Council Australia (</w:t>
            </w:r>
            <w:proofErr w:type="spellStart"/>
            <w:r w:rsidRPr="006D4988">
              <w:rPr>
                <w:rFonts w:asciiTheme="minorHAnsi" w:hAnsiTheme="minorHAnsi" w:cstheme="minorHAnsi"/>
              </w:rPr>
              <w:t>DCA</w:t>
            </w:r>
            <w:proofErr w:type="spellEnd"/>
            <w:r w:rsidRPr="006D4988">
              <w:rPr>
                <w:rFonts w:asciiTheme="minorHAnsi" w:hAnsiTheme="minorHAnsi" w:cstheme="minorHAnsi"/>
              </w:rPr>
              <w:t>)</w:t>
            </w:r>
          </w:p>
        </w:tc>
        <w:tc>
          <w:tcPr>
            <w:tcW w:w="0" w:type="auto"/>
            <w:shd w:val="clear" w:color="auto" w:fill="FFFFFF" w:themeFill="background1"/>
          </w:tcPr>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 xml:space="preserve">Supportive of the Act and the reporting requirements </w:t>
            </w:r>
            <w:r>
              <w:rPr>
                <w:rFonts w:asciiTheme="minorHAnsi" w:hAnsiTheme="minorHAnsi" w:cstheme="minorHAnsi"/>
                <w:sz w:val="20"/>
                <w:szCs w:val="20"/>
              </w:rPr>
              <w:t>as a tool to</w:t>
            </w:r>
            <w:r w:rsidRPr="006D4988">
              <w:rPr>
                <w:rFonts w:asciiTheme="minorHAnsi" w:hAnsiTheme="minorHAnsi" w:cstheme="minorHAnsi"/>
                <w:sz w:val="20"/>
                <w:szCs w:val="20"/>
              </w:rPr>
              <w:t xml:space="preserve"> improve women’s labour market participation.</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Considers that reporting helps keep businesses focussed on gender equality.</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 xml:space="preserve">Industry should continue to receive a high degree of assistance from </w:t>
            </w:r>
            <w:r>
              <w:rPr>
                <w:rFonts w:asciiTheme="minorHAnsi" w:hAnsiTheme="minorHAnsi" w:cstheme="minorHAnsi"/>
                <w:sz w:val="20"/>
                <w:szCs w:val="20"/>
              </w:rPr>
              <w:t>Workplace Gender Equality Agency (</w:t>
            </w:r>
            <w:r w:rsidRPr="006D4988">
              <w:rPr>
                <w:rFonts w:asciiTheme="minorHAnsi" w:hAnsiTheme="minorHAnsi" w:cstheme="minorHAnsi"/>
                <w:sz w:val="20"/>
                <w:szCs w:val="20"/>
              </w:rPr>
              <w:t>the Agency</w:t>
            </w:r>
            <w:r>
              <w:rPr>
                <w:rFonts w:asciiTheme="minorHAnsi" w:hAnsiTheme="minorHAnsi" w:cstheme="minorHAnsi"/>
                <w:sz w:val="20"/>
                <w:szCs w:val="20"/>
              </w:rPr>
              <w:t>)</w:t>
            </w:r>
            <w:r w:rsidRPr="006D4988">
              <w:rPr>
                <w:rFonts w:asciiTheme="minorHAnsi" w:hAnsiTheme="minorHAnsi" w:cstheme="minorHAnsi"/>
                <w:sz w:val="20"/>
                <w:szCs w:val="20"/>
              </w:rPr>
              <w:t xml:space="preserve"> to complete reporting, noting that this should reduce in subsequent years.</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Pr>
                <w:rFonts w:asciiTheme="minorHAnsi" w:hAnsiTheme="minorHAnsi" w:cstheme="minorHAnsi"/>
                <w:sz w:val="20"/>
                <w:szCs w:val="20"/>
              </w:rPr>
              <w:t>Members</w:t>
            </w:r>
            <w:r w:rsidRPr="006D4988">
              <w:rPr>
                <w:rFonts w:asciiTheme="minorHAnsi" w:hAnsiTheme="minorHAnsi" w:cstheme="minorHAnsi"/>
                <w:sz w:val="20"/>
                <w:szCs w:val="20"/>
              </w:rPr>
              <w:t xml:space="preserve"> noted that preparing for the workplace profile was complex and time consuming; </w:t>
            </w:r>
            <w:r>
              <w:rPr>
                <w:rFonts w:asciiTheme="minorHAnsi" w:hAnsiTheme="minorHAnsi" w:cstheme="minorHAnsi"/>
                <w:sz w:val="20"/>
                <w:szCs w:val="20"/>
              </w:rPr>
              <w:t xml:space="preserve">and that </w:t>
            </w:r>
            <w:r w:rsidRPr="006D4988">
              <w:rPr>
                <w:rFonts w:asciiTheme="minorHAnsi" w:hAnsiTheme="minorHAnsi" w:cstheme="minorHAnsi"/>
                <w:sz w:val="20"/>
                <w:szCs w:val="20"/>
              </w:rPr>
              <w:t xml:space="preserve">completing the ‘Distance from </w:t>
            </w:r>
            <w:proofErr w:type="spellStart"/>
            <w:r w:rsidRPr="006D4988">
              <w:rPr>
                <w:rFonts w:asciiTheme="minorHAnsi" w:hAnsiTheme="minorHAnsi" w:cstheme="minorHAnsi"/>
                <w:sz w:val="20"/>
                <w:szCs w:val="20"/>
              </w:rPr>
              <w:t>CEO</w:t>
            </w:r>
            <w:proofErr w:type="spellEnd"/>
            <w:r w:rsidRPr="006D4988">
              <w:rPr>
                <w:rFonts w:asciiTheme="minorHAnsi" w:hAnsiTheme="minorHAnsi" w:cstheme="minorHAnsi"/>
                <w:sz w:val="20"/>
                <w:szCs w:val="20"/>
              </w:rPr>
              <w:t xml:space="preserve"> or equivalent’</w:t>
            </w:r>
            <w:r>
              <w:rPr>
                <w:rFonts w:asciiTheme="minorHAnsi" w:hAnsiTheme="minorHAnsi" w:cstheme="minorHAnsi"/>
                <w:sz w:val="20"/>
                <w:szCs w:val="20"/>
              </w:rPr>
              <w:t>,</w:t>
            </w:r>
            <w:r w:rsidRPr="006D4988">
              <w:rPr>
                <w:rFonts w:asciiTheme="minorHAnsi" w:hAnsiTheme="minorHAnsi" w:cstheme="minorHAnsi"/>
                <w:sz w:val="20"/>
                <w:szCs w:val="20"/>
              </w:rPr>
              <w:t xml:space="preserve"> the non-managerial occupational categories </w:t>
            </w:r>
            <w:r>
              <w:rPr>
                <w:rFonts w:asciiTheme="minorHAnsi" w:hAnsiTheme="minorHAnsi" w:cstheme="minorHAnsi"/>
                <w:sz w:val="20"/>
                <w:szCs w:val="20"/>
              </w:rPr>
              <w:t>and r</w:t>
            </w:r>
            <w:r w:rsidRPr="006D4988">
              <w:rPr>
                <w:rFonts w:asciiTheme="minorHAnsi" w:hAnsiTheme="minorHAnsi" w:cstheme="minorHAnsi"/>
                <w:sz w:val="20"/>
                <w:szCs w:val="20"/>
              </w:rPr>
              <w:t>eporting on independent contracto</w:t>
            </w:r>
            <w:r>
              <w:rPr>
                <w:rFonts w:asciiTheme="minorHAnsi" w:hAnsiTheme="minorHAnsi" w:cstheme="minorHAnsi"/>
                <w:sz w:val="20"/>
                <w:szCs w:val="20"/>
              </w:rPr>
              <w:t xml:space="preserve">rs </w:t>
            </w:r>
            <w:r w:rsidRPr="006D4988">
              <w:rPr>
                <w:rFonts w:asciiTheme="minorHAnsi" w:hAnsiTheme="minorHAnsi" w:cstheme="minorHAnsi"/>
                <w:sz w:val="20"/>
                <w:szCs w:val="20"/>
              </w:rPr>
              <w:t>created difficulties.</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 xml:space="preserve">The limits of the </w:t>
            </w:r>
            <w:r w:rsidRPr="006A6F5E">
              <w:rPr>
                <w:rFonts w:asciiTheme="minorHAnsi" w:hAnsiTheme="minorHAnsi" w:cstheme="minorHAnsi"/>
                <w:sz w:val="20"/>
                <w:szCs w:val="20"/>
              </w:rPr>
              <w:t>Australian and New Zealand Standard Industrial Classification</w:t>
            </w:r>
            <w:r>
              <w:rPr>
                <w:rFonts w:asciiTheme="minorHAnsi" w:hAnsiTheme="minorHAnsi" w:cstheme="minorHAnsi"/>
                <w:sz w:val="20"/>
                <w:szCs w:val="20"/>
              </w:rPr>
              <w:t xml:space="preserve"> </w:t>
            </w:r>
            <w:r w:rsidRPr="006D4988">
              <w:rPr>
                <w:rFonts w:asciiTheme="minorHAnsi" w:hAnsiTheme="minorHAnsi" w:cstheme="minorHAnsi"/>
                <w:sz w:val="20"/>
                <w:szCs w:val="20"/>
              </w:rPr>
              <w:t>(</w:t>
            </w:r>
            <w:proofErr w:type="spellStart"/>
            <w:r w:rsidRPr="006D4988">
              <w:rPr>
                <w:rFonts w:asciiTheme="minorHAnsi" w:hAnsiTheme="minorHAnsi" w:cstheme="minorHAnsi"/>
                <w:sz w:val="20"/>
                <w:szCs w:val="20"/>
              </w:rPr>
              <w:t>ANZSIC</w:t>
            </w:r>
            <w:proofErr w:type="spellEnd"/>
            <w:r w:rsidRPr="006D4988">
              <w:rPr>
                <w:rFonts w:asciiTheme="minorHAnsi" w:hAnsiTheme="minorHAnsi" w:cstheme="minorHAnsi"/>
                <w:sz w:val="20"/>
                <w:szCs w:val="20"/>
              </w:rPr>
              <w:t>) codes created concern as the classifications are considered too broad to provide comparison for the benchmark reports.</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 xml:space="preserve">While the </w:t>
            </w:r>
            <w:proofErr w:type="spellStart"/>
            <w:r w:rsidRPr="006D4988">
              <w:rPr>
                <w:rFonts w:asciiTheme="minorHAnsi" w:hAnsiTheme="minorHAnsi" w:cstheme="minorHAnsi"/>
                <w:sz w:val="20"/>
                <w:szCs w:val="20"/>
              </w:rPr>
              <w:t>DCA</w:t>
            </w:r>
            <w:proofErr w:type="spellEnd"/>
            <w:r w:rsidRPr="006D4988">
              <w:rPr>
                <w:rFonts w:asciiTheme="minorHAnsi" w:hAnsiTheme="minorHAnsi" w:cstheme="minorHAnsi"/>
                <w:sz w:val="20"/>
                <w:szCs w:val="20"/>
              </w:rPr>
              <w:t xml:space="preserve"> supports data to analyse the gender pay gap, remuneration data was very difficult for some members to provide, particularly calculating </w:t>
            </w:r>
            <w:r>
              <w:rPr>
                <w:rFonts w:asciiTheme="minorHAnsi" w:hAnsiTheme="minorHAnsi" w:cstheme="minorHAnsi"/>
                <w:sz w:val="20"/>
                <w:szCs w:val="20"/>
              </w:rPr>
              <w:t>FTE</w:t>
            </w:r>
            <w:r w:rsidRPr="006D4988">
              <w:rPr>
                <w:rFonts w:asciiTheme="minorHAnsi" w:hAnsiTheme="minorHAnsi" w:cstheme="minorHAnsi"/>
                <w:sz w:val="20"/>
                <w:szCs w:val="20"/>
              </w:rPr>
              <w:t xml:space="preserve"> and annualised data. </w:t>
            </w:r>
          </w:p>
          <w:p w:rsidR="006E1965" w:rsidRPr="006D4988" w:rsidRDefault="006E1965" w:rsidP="006E1965">
            <w:pPr>
              <w:pStyle w:val="ListParagraph"/>
              <w:keepLines/>
              <w:numPr>
                <w:ilvl w:val="0"/>
                <w:numId w:val="15"/>
              </w:numPr>
              <w:ind w:left="317"/>
              <w:rPr>
                <w:rFonts w:asciiTheme="minorHAnsi" w:hAnsiTheme="minorHAnsi" w:cstheme="minorHAnsi"/>
              </w:rPr>
            </w:pPr>
            <w:proofErr w:type="spellStart"/>
            <w:proofErr w:type="gramStart"/>
            <w:r w:rsidRPr="006D4988">
              <w:rPr>
                <w:rFonts w:asciiTheme="minorHAnsi" w:hAnsiTheme="minorHAnsi" w:cstheme="minorHAnsi"/>
                <w:sz w:val="20"/>
                <w:szCs w:val="20"/>
              </w:rPr>
              <w:t>DCA</w:t>
            </w:r>
            <w:proofErr w:type="spellEnd"/>
            <w:r w:rsidRPr="006D4988">
              <w:rPr>
                <w:rFonts w:asciiTheme="minorHAnsi" w:hAnsiTheme="minorHAnsi" w:cstheme="minorHAnsi"/>
                <w:sz w:val="20"/>
                <w:szCs w:val="20"/>
              </w:rPr>
              <w:t xml:space="preserve"> support</w:t>
            </w:r>
            <w:r>
              <w:rPr>
                <w:rFonts w:asciiTheme="minorHAnsi" w:hAnsiTheme="minorHAnsi" w:cstheme="minorHAnsi"/>
                <w:sz w:val="20"/>
                <w:szCs w:val="20"/>
              </w:rPr>
              <w:t>s</w:t>
            </w:r>
            <w:proofErr w:type="gramEnd"/>
            <w:r w:rsidRPr="006D4988">
              <w:rPr>
                <w:rFonts w:asciiTheme="minorHAnsi" w:hAnsiTheme="minorHAnsi" w:cstheme="minorHAnsi"/>
                <w:sz w:val="20"/>
                <w:szCs w:val="20"/>
              </w:rPr>
              <w:t xml:space="preserve"> the collection of data regarding </w:t>
            </w:r>
            <w:proofErr w:type="spellStart"/>
            <w:r>
              <w:rPr>
                <w:rFonts w:asciiTheme="minorHAnsi" w:hAnsiTheme="minorHAnsi" w:cstheme="minorHAnsi"/>
                <w:sz w:val="20"/>
                <w:szCs w:val="20"/>
              </w:rPr>
              <w:t>PPL</w:t>
            </w:r>
            <w:proofErr w:type="spellEnd"/>
            <w:r w:rsidRPr="006D4988">
              <w:rPr>
                <w:rFonts w:asciiTheme="minorHAnsi" w:hAnsiTheme="minorHAnsi" w:cstheme="minorHAnsi"/>
                <w:sz w:val="20"/>
                <w:szCs w:val="20"/>
              </w:rPr>
              <w:t xml:space="preserve"> provisions but consider that the current questions </w:t>
            </w:r>
            <w:r>
              <w:rPr>
                <w:rFonts w:asciiTheme="minorHAnsi" w:hAnsiTheme="minorHAnsi" w:cstheme="minorHAnsi"/>
                <w:sz w:val="20"/>
                <w:szCs w:val="20"/>
              </w:rPr>
              <w:t>require</w:t>
            </w:r>
            <w:r w:rsidRPr="006D4988">
              <w:rPr>
                <w:rFonts w:asciiTheme="minorHAnsi" w:hAnsiTheme="minorHAnsi" w:cstheme="minorHAnsi"/>
                <w:sz w:val="20"/>
                <w:szCs w:val="20"/>
              </w:rPr>
              <w:t xml:space="preserve"> data that is not easy for organisations to provide nor is useful in determining access to </w:t>
            </w:r>
            <w:proofErr w:type="spellStart"/>
            <w:r w:rsidRPr="006D4988">
              <w:rPr>
                <w:rFonts w:asciiTheme="minorHAnsi" w:hAnsiTheme="minorHAnsi" w:cstheme="minorHAnsi"/>
                <w:sz w:val="20"/>
                <w:szCs w:val="20"/>
              </w:rPr>
              <w:t>PPL</w:t>
            </w:r>
            <w:proofErr w:type="spellEnd"/>
            <w:r w:rsidRPr="006D4988">
              <w:rPr>
                <w:rFonts w:asciiTheme="minorHAnsi" w:hAnsiTheme="minorHAnsi" w:cstheme="minorHAnsi"/>
                <w:sz w:val="20"/>
                <w:szCs w:val="20"/>
              </w:rPr>
              <w:t xml:space="preserve"> within an organisation. </w:t>
            </w:r>
          </w:p>
          <w:p w:rsidR="006E1965" w:rsidRPr="006D4988" w:rsidRDefault="006E1965" w:rsidP="006E1965">
            <w:pPr>
              <w:pStyle w:val="ListParagraph"/>
              <w:keepLines/>
              <w:numPr>
                <w:ilvl w:val="0"/>
                <w:numId w:val="15"/>
              </w:numPr>
              <w:ind w:left="317"/>
              <w:rPr>
                <w:rFonts w:asciiTheme="minorHAnsi" w:hAnsiTheme="minorHAnsi" w:cstheme="minorHAnsi"/>
              </w:rPr>
            </w:pPr>
            <w:r w:rsidRPr="006D4988">
              <w:rPr>
                <w:rFonts w:asciiTheme="minorHAnsi" w:hAnsiTheme="minorHAnsi" w:cstheme="minorHAnsi"/>
                <w:sz w:val="20"/>
                <w:szCs w:val="20"/>
              </w:rPr>
              <w:t xml:space="preserve">Overwhelmingly members were supportive of the online portal but raised concerns about accessing and using the </w:t>
            </w:r>
            <w:proofErr w:type="spellStart"/>
            <w:r w:rsidRPr="006D4988">
              <w:rPr>
                <w:rFonts w:asciiTheme="minorHAnsi" w:hAnsiTheme="minorHAnsi" w:cstheme="minorHAnsi"/>
                <w:sz w:val="20"/>
                <w:szCs w:val="20"/>
              </w:rPr>
              <w:t>AUSkey</w:t>
            </w:r>
            <w:proofErr w:type="spellEnd"/>
            <w:r w:rsidRPr="006D4988">
              <w:rPr>
                <w:rFonts w:asciiTheme="minorHAnsi" w:hAnsiTheme="minorHAnsi" w:cstheme="minorHAnsi"/>
                <w:sz w:val="20"/>
                <w:szCs w:val="20"/>
              </w:rPr>
              <w:t>.</w:t>
            </w:r>
          </w:p>
          <w:p w:rsidR="006E1965" w:rsidRPr="006D4988" w:rsidRDefault="006E1965" w:rsidP="006E1965">
            <w:pPr>
              <w:pStyle w:val="ListParagraph"/>
              <w:keepLines/>
              <w:numPr>
                <w:ilvl w:val="0"/>
                <w:numId w:val="15"/>
              </w:numPr>
              <w:ind w:left="317"/>
              <w:rPr>
                <w:rFonts w:asciiTheme="minorHAnsi" w:hAnsiTheme="minorHAnsi" w:cstheme="minorHAnsi"/>
              </w:rPr>
            </w:pPr>
            <w:r w:rsidRPr="006D4988">
              <w:rPr>
                <w:rFonts w:asciiTheme="minorHAnsi" w:hAnsiTheme="minorHAnsi" w:cstheme="minorHAnsi"/>
                <w:sz w:val="20"/>
                <w:szCs w:val="20"/>
              </w:rPr>
              <w:t xml:space="preserve">A large proportion of </w:t>
            </w:r>
            <w:proofErr w:type="spellStart"/>
            <w:r w:rsidRPr="006D4988">
              <w:rPr>
                <w:rFonts w:asciiTheme="minorHAnsi" w:hAnsiTheme="minorHAnsi" w:cstheme="minorHAnsi"/>
                <w:sz w:val="20"/>
                <w:szCs w:val="20"/>
              </w:rPr>
              <w:t>DCA</w:t>
            </w:r>
            <w:proofErr w:type="spellEnd"/>
            <w:r w:rsidRPr="006D4988">
              <w:rPr>
                <w:rFonts w:asciiTheme="minorHAnsi" w:hAnsiTheme="minorHAnsi" w:cstheme="minorHAnsi"/>
                <w:sz w:val="20"/>
                <w:szCs w:val="20"/>
              </w:rPr>
              <w:t xml:space="preserve"> members surveyed indicated that completing the report took more than 40 hours.</w:t>
            </w:r>
          </w:p>
          <w:p w:rsidR="006E1965" w:rsidRPr="006D4988" w:rsidRDefault="006E1965" w:rsidP="006E1965">
            <w:pPr>
              <w:pStyle w:val="ListParagraph"/>
              <w:keepLines/>
              <w:numPr>
                <w:ilvl w:val="0"/>
                <w:numId w:val="15"/>
              </w:numPr>
              <w:ind w:left="317"/>
              <w:rPr>
                <w:rFonts w:asciiTheme="minorHAnsi" w:hAnsiTheme="minorHAnsi" w:cstheme="minorHAnsi"/>
              </w:rPr>
            </w:pPr>
            <w:r w:rsidRPr="006D4988">
              <w:rPr>
                <w:rFonts w:asciiTheme="minorHAnsi" w:hAnsiTheme="minorHAnsi" w:cstheme="minorHAnsi"/>
                <w:sz w:val="20"/>
                <w:szCs w:val="20"/>
              </w:rPr>
              <w:t>Members indicated that the additional Schedule 2 requirements relating to remuneration components and recruitment data will be difficult to obtain.</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lastRenderedPageBreak/>
              <w:t>Equity Practitioners in Higher Education Australasia</w:t>
            </w:r>
          </w:p>
        </w:tc>
        <w:tc>
          <w:tcPr>
            <w:tcW w:w="0" w:type="auto"/>
            <w:shd w:val="clear" w:color="auto" w:fill="FFFFFF" w:themeFill="background1"/>
          </w:tcPr>
          <w:p w:rsidR="006E1965" w:rsidRPr="006D4988" w:rsidRDefault="006E1965" w:rsidP="006E1965">
            <w:pPr>
              <w:pStyle w:val="ListParagraph"/>
              <w:keepLines/>
              <w:numPr>
                <w:ilvl w:val="0"/>
                <w:numId w:val="25"/>
              </w:numPr>
              <w:rPr>
                <w:rFonts w:asciiTheme="minorHAnsi" w:hAnsiTheme="minorHAnsi" w:cstheme="minorHAnsi"/>
                <w:sz w:val="20"/>
                <w:szCs w:val="20"/>
              </w:rPr>
            </w:pPr>
            <w:r w:rsidRPr="006D4988">
              <w:rPr>
                <w:rFonts w:asciiTheme="minorHAnsi" w:hAnsiTheme="minorHAnsi" w:cstheme="minorHAnsi"/>
                <w:sz w:val="20"/>
                <w:szCs w:val="20"/>
              </w:rPr>
              <w:t xml:space="preserve">Supportive of the change in focus of the new Act from outputs to outcomes. </w:t>
            </w:r>
          </w:p>
          <w:p w:rsidR="006E1965" w:rsidRPr="006D4988" w:rsidRDefault="006E1965" w:rsidP="006E1965">
            <w:pPr>
              <w:pStyle w:val="ListParagraph"/>
              <w:keepLines/>
              <w:numPr>
                <w:ilvl w:val="0"/>
                <w:numId w:val="25"/>
              </w:numPr>
              <w:rPr>
                <w:rFonts w:asciiTheme="minorHAnsi" w:hAnsiTheme="minorHAnsi" w:cstheme="minorHAnsi"/>
                <w:sz w:val="20"/>
                <w:szCs w:val="20"/>
              </w:rPr>
            </w:pPr>
            <w:r w:rsidRPr="006D4988">
              <w:rPr>
                <w:rFonts w:asciiTheme="minorHAnsi" w:hAnsiTheme="minorHAnsi" w:cstheme="minorHAnsi"/>
                <w:sz w:val="20"/>
                <w:szCs w:val="20"/>
              </w:rPr>
              <w:t>Raise</w:t>
            </w:r>
            <w:r>
              <w:rPr>
                <w:rFonts w:asciiTheme="minorHAnsi" w:hAnsiTheme="minorHAnsi" w:cstheme="minorHAnsi"/>
                <w:sz w:val="20"/>
                <w:szCs w:val="20"/>
              </w:rPr>
              <w:t>s</w:t>
            </w:r>
            <w:r w:rsidRPr="006D4988">
              <w:rPr>
                <w:rFonts w:asciiTheme="minorHAnsi" w:hAnsiTheme="minorHAnsi" w:cstheme="minorHAnsi"/>
                <w:sz w:val="20"/>
                <w:szCs w:val="20"/>
              </w:rPr>
              <w:t xml:space="preserve"> concerns about usefulness of benchmark reports for comparisons with other higher education institutions as occupational categories vary between institutions.</w:t>
            </w:r>
          </w:p>
          <w:p w:rsidR="006E1965" w:rsidRPr="006D4988" w:rsidRDefault="006E1965" w:rsidP="006E1965">
            <w:pPr>
              <w:pStyle w:val="ListParagraph"/>
              <w:keepLines/>
              <w:numPr>
                <w:ilvl w:val="0"/>
                <w:numId w:val="25"/>
              </w:numPr>
              <w:rPr>
                <w:rFonts w:asciiTheme="minorHAnsi" w:hAnsiTheme="minorHAnsi" w:cstheme="minorHAnsi"/>
                <w:sz w:val="20"/>
                <w:szCs w:val="20"/>
              </w:rPr>
            </w:pPr>
            <w:r w:rsidRPr="006D4988">
              <w:rPr>
                <w:rFonts w:asciiTheme="minorHAnsi" w:hAnsiTheme="minorHAnsi" w:cstheme="minorHAnsi"/>
                <w:sz w:val="20"/>
                <w:szCs w:val="20"/>
              </w:rPr>
              <w:t>Additional recruitment requirements under Schedule 2 will create a significant reporting burden.</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proofErr w:type="spellStart"/>
            <w:r w:rsidRPr="006D4988">
              <w:rPr>
                <w:rFonts w:asciiTheme="minorHAnsi" w:hAnsiTheme="minorHAnsi" w:cstheme="minorHAnsi"/>
              </w:rPr>
              <w:t>Es4w</w:t>
            </w:r>
            <w:proofErr w:type="spellEnd"/>
            <w:r w:rsidRPr="006D4988">
              <w:rPr>
                <w:rFonts w:asciiTheme="minorHAnsi" w:hAnsiTheme="minorHAnsi" w:cstheme="minorHAnsi"/>
              </w:rPr>
              <w:t xml:space="preserve"> (Economic Security for Women)</w:t>
            </w:r>
          </w:p>
        </w:tc>
        <w:tc>
          <w:tcPr>
            <w:tcW w:w="0" w:type="auto"/>
            <w:shd w:val="clear" w:color="auto" w:fill="FFFFFF" w:themeFill="background1"/>
          </w:tcPr>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Strongly supports current reporting requirements and introduction of Schedule 2 requirements.</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Suggests the introduction of some additional requirements.</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Highlights the importance of reporting against employment status as many women are in insecure casual employment.</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Jacobs Group (Australia) Pty Ltd</w:t>
            </w:r>
          </w:p>
        </w:tc>
        <w:tc>
          <w:tcPr>
            <w:tcW w:w="0" w:type="auto"/>
            <w:shd w:val="clear" w:color="auto" w:fill="FFFFFF" w:themeFill="background1"/>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Reporting was not burdensome</w:t>
            </w:r>
            <w:r>
              <w:rPr>
                <w:rFonts w:asciiTheme="minorHAnsi" w:hAnsiTheme="minorHAnsi" w:cstheme="minorHAnsi"/>
                <w:sz w:val="20"/>
                <w:szCs w:val="20"/>
              </w:rPr>
              <w:t>,</w:t>
            </w:r>
            <w:r w:rsidRPr="006D4988">
              <w:rPr>
                <w:rFonts w:asciiTheme="minorHAnsi" w:hAnsiTheme="minorHAnsi" w:cstheme="minorHAnsi"/>
                <w:sz w:val="20"/>
                <w:szCs w:val="20"/>
              </w:rPr>
              <w:t xml:space="preserve"> as most of the information was already collected and accessible (albeit from a number of sources).</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Online reporting was easy to navigate and use.</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Occupational categories created some difficulties in mapping employees</w:t>
            </w:r>
            <w:r>
              <w:rPr>
                <w:rFonts w:asciiTheme="minorHAnsi" w:hAnsiTheme="minorHAnsi" w:cstheme="minorHAnsi"/>
                <w:sz w:val="20"/>
                <w:szCs w:val="20"/>
              </w:rPr>
              <w:t>—</w:t>
            </w:r>
            <w:r w:rsidRPr="006D4988">
              <w:rPr>
                <w:rFonts w:asciiTheme="minorHAnsi" w:hAnsiTheme="minorHAnsi" w:cstheme="minorHAnsi"/>
                <w:sz w:val="20"/>
                <w:szCs w:val="20"/>
              </w:rPr>
              <w:t xml:space="preserve"> a problem </w:t>
            </w:r>
            <w:r>
              <w:rPr>
                <w:rFonts w:asciiTheme="minorHAnsi" w:hAnsiTheme="minorHAnsi" w:cstheme="minorHAnsi"/>
                <w:sz w:val="20"/>
                <w:szCs w:val="20"/>
              </w:rPr>
              <w:t>for</w:t>
            </w:r>
            <w:r w:rsidRPr="006D4988">
              <w:rPr>
                <w:rFonts w:asciiTheme="minorHAnsi" w:hAnsiTheme="minorHAnsi" w:cstheme="minorHAnsi"/>
                <w:sz w:val="20"/>
                <w:szCs w:val="20"/>
              </w:rPr>
              <w:t xml:space="preserve"> all sectors and industries.</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Master Builders Australia</w:t>
            </w:r>
          </w:p>
          <w:p w:rsidR="006E1965" w:rsidRPr="006D4988" w:rsidRDefault="006E1965" w:rsidP="00FC3DB8">
            <w:pPr>
              <w:keepLines/>
              <w:rPr>
                <w:rFonts w:asciiTheme="minorHAnsi" w:hAnsiTheme="minorHAnsi" w:cstheme="minorHAnsi"/>
              </w:rPr>
            </w:pPr>
          </w:p>
        </w:tc>
        <w:tc>
          <w:tcPr>
            <w:tcW w:w="0" w:type="auto"/>
            <w:shd w:val="clear" w:color="auto" w:fill="FFFFFF" w:themeFill="background1"/>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 xml:space="preserve">Supports gender equality in the workplace but is concerned that the </w:t>
            </w:r>
            <w:r w:rsidRPr="008A313C">
              <w:rPr>
                <w:rFonts w:asciiTheme="minorHAnsi" w:hAnsiTheme="minorHAnsi" w:cstheme="minorHAnsi"/>
                <w:sz w:val="20"/>
                <w:szCs w:val="20"/>
              </w:rPr>
              <w:t>Act</w:t>
            </w:r>
            <w:r w:rsidRPr="006D4988">
              <w:rPr>
                <w:rFonts w:asciiTheme="minorHAnsi" w:hAnsiTheme="minorHAnsi" w:cstheme="minorHAnsi"/>
                <w:i/>
                <w:sz w:val="20"/>
                <w:szCs w:val="20"/>
              </w:rPr>
              <w:t xml:space="preserve"> </w:t>
            </w:r>
            <w:r w:rsidRPr="006D4988">
              <w:rPr>
                <w:rFonts w:asciiTheme="minorHAnsi" w:hAnsiTheme="minorHAnsi" w:cstheme="minorHAnsi"/>
                <w:sz w:val="20"/>
                <w:szCs w:val="20"/>
              </w:rPr>
              <w:t>has increased the regulatory burden on business without improving gender equality in the workplace.</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 xml:space="preserve">Believes that the Act and associated instruments are unworkable in their current form. They are particularly concerned about the definition of ‘relevant employer’ in the Act and that </w:t>
            </w:r>
            <w:r>
              <w:rPr>
                <w:rFonts w:asciiTheme="minorHAnsi" w:hAnsiTheme="minorHAnsi" w:cstheme="minorHAnsi"/>
                <w:sz w:val="20"/>
                <w:szCs w:val="20"/>
              </w:rPr>
              <w:t>‘</w:t>
            </w:r>
            <w:r w:rsidRPr="006D4988">
              <w:rPr>
                <w:rFonts w:asciiTheme="minorHAnsi" w:hAnsiTheme="minorHAnsi" w:cstheme="minorHAnsi"/>
                <w:sz w:val="20"/>
                <w:szCs w:val="20"/>
              </w:rPr>
              <w:t>employee</w:t>
            </w:r>
            <w:r>
              <w:rPr>
                <w:rFonts w:asciiTheme="minorHAnsi" w:hAnsiTheme="minorHAnsi" w:cstheme="minorHAnsi"/>
                <w:sz w:val="20"/>
                <w:szCs w:val="20"/>
              </w:rPr>
              <w:t>’</w:t>
            </w:r>
            <w:r w:rsidRPr="006D4988">
              <w:rPr>
                <w:rFonts w:asciiTheme="minorHAnsi" w:hAnsiTheme="minorHAnsi" w:cstheme="minorHAnsi"/>
                <w:sz w:val="20"/>
                <w:szCs w:val="20"/>
              </w:rPr>
              <w:t xml:space="preserve"> is not defined within the legislative instrument</w:t>
            </w:r>
            <w:r>
              <w:rPr>
                <w:rFonts w:asciiTheme="minorHAnsi" w:hAnsiTheme="minorHAnsi" w:cstheme="minorHAnsi"/>
                <w:sz w:val="20"/>
                <w:szCs w:val="20"/>
              </w:rPr>
              <w:t xml:space="preserve"> or Act</w:t>
            </w:r>
            <w:r w:rsidRPr="006D4988">
              <w:rPr>
                <w:rFonts w:asciiTheme="minorHAnsi" w:hAnsiTheme="minorHAnsi" w:cstheme="minorHAnsi"/>
                <w:sz w:val="20"/>
                <w:szCs w:val="20"/>
              </w:rPr>
              <w:t>.</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Raises concerns about requirements to collect data on applicants as most members do not have systems in place to collect this data.</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Master Electricians Australia</w:t>
            </w:r>
          </w:p>
        </w:tc>
        <w:tc>
          <w:tcPr>
            <w:tcW w:w="0" w:type="auto"/>
            <w:shd w:val="clear" w:color="auto" w:fill="FFFFFF" w:themeFill="background1"/>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Generally supportive of attempts to improve gender diversity</w:t>
            </w:r>
            <w:r>
              <w:rPr>
                <w:rFonts w:asciiTheme="minorHAnsi" w:hAnsiTheme="minorHAnsi" w:cstheme="minorHAnsi"/>
                <w:sz w:val="20"/>
                <w:szCs w:val="20"/>
              </w:rPr>
              <w:t>,</w:t>
            </w:r>
            <w:r w:rsidRPr="006D4988">
              <w:rPr>
                <w:rFonts w:asciiTheme="minorHAnsi" w:hAnsiTheme="minorHAnsi" w:cstheme="minorHAnsi"/>
                <w:sz w:val="20"/>
                <w:szCs w:val="20"/>
              </w:rPr>
              <w:t xml:space="preserve"> </w:t>
            </w:r>
            <w:r>
              <w:rPr>
                <w:rFonts w:asciiTheme="minorHAnsi" w:hAnsiTheme="minorHAnsi" w:cstheme="minorHAnsi"/>
                <w:sz w:val="20"/>
                <w:szCs w:val="20"/>
              </w:rPr>
              <w:t>but</w:t>
            </w:r>
            <w:r w:rsidRPr="006D4988">
              <w:rPr>
                <w:rFonts w:asciiTheme="minorHAnsi" w:hAnsiTheme="minorHAnsi" w:cstheme="minorHAnsi"/>
                <w:sz w:val="20"/>
                <w:szCs w:val="20"/>
              </w:rPr>
              <w:t xml:space="preserve"> consider</w:t>
            </w:r>
            <w:r>
              <w:rPr>
                <w:rFonts w:asciiTheme="minorHAnsi" w:hAnsiTheme="minorHAnsi" w:cstheme="minorHAnsi"/>
                <w:sz w:val="20"/>
                <w:szCs w:val="20"/>
              </w:rPr>
              <w:t>s</w:t>
            </w:r>
            <w:r w:rsidRPr="006D4988">
              <w:rPr>
                <w:rFonts w:asciiTheme="minorHAnsi" w:hAnsiTheme="minorHAnsi" w:cstheme="minorHAnsi"/>
                <w:sz w:val="20"/>
                <w:szCs w:val="20"/>
              </w:rPr>
              <w:t xml:space="preserve"> that the electrical industry is male dominated and the reporting requirements should be reassessed for this industry.</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Members have reported that collecting and providing the required data takes a significant amount of time.</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Consider</w:t>
            </w:r>
            <w:r>
              <w:rPr>
                <w:rFonts w:asciiTheme="minorHAnsi" w:hAnsiTheme="minorHAnsi" w:cstheme="minorHAnsi"/>
                <w:sz w:val="20"/>
                <w:szCs w:val="20"/>
              </w:rPr>
              <w:t>s</w:t>
            </w:r>
            <w:r w:rsidRPr="006D4988">
              <w:rPr>
                <w:rFonts w:asciiTheme="minorHAnsi" w:hAnsiTheme="minorHAnsi" w:cstheme="minorHAnsi"/>
                <w:sz w:val="20"/>
                <w:szCs w:val="20"/>
              </w:rPr>
              <w:t xml:space="preserve"> it essential that the benchmark reports use comparisons of the same industry and size</w:t>
            </w:r>
            <w:r>
              <w:rPr>
                <w:rFonts w:asciiTheme="minorHAnsi" w:hAnsiTheme="minorHAnsi" w:cstheme="minorHAnsi"/>
                <w:sz w:val="20"/>
                <w:szCs w:val="20"/>
              </w:rPr>
              <w:t xml:space="preserve"> (</w:t>
            </w:r>
            <w:r w:rsidRPr="006D4988">
              <w:rPr>
                <w:rFonts w:asciiTheme="minorHAnsi" w:hAnsiTheme="minorHAnsi" w:cstheme="minorHAnsi"/>
                <w:sz w:val="20"/>
                <w:szCs w:val="20"/>
              </w:rPr>
              <w:t xml:space="preserve">for the electrical industry this </w:t>
            </w:r>
            <w:r>
              <w:rPr>
                <w:rFonts w:asciiTheme="minorHAnsi" w:hAnsiTheme="minorHAnsi" w:cstheme="minorHAnsi"/>
                <w:sz w:val="20"/>
                <w:szCs w:val="20"/>
              </w:rPr>
              <w:t>might</w:t>
            </w:r>
            <w:r w:rsidRPr="006D4988">
              <w:rPr>
                <w:rFonts w:asciiTheme="minorHAnsi" w:hAnsiTheme="minorHAnsi" w:cstheme="minorHAnsi"/>
                <w:sz w:val="20"/>
                <w:szCs w:val="20"/>
              </w:rPr>
              <w:t xml:space="preserve"> not be the case as there are few employers with 100 or more employees</w:t>
            </w:r>
            <w:r>
              <w:rPr>
                <w:rFonts w:asciiTheme="minorHAnsi" w:hAnsiTheme="minorHAnsi" w:cstheme="minorHAnsi"/>
                <w:sz w:val="20"/>
                <w:szCs w:val="20"/>
              </w:rPr>
              <w:t>)</w:t>
            </w:r>
            <w:r w:rsidRPr="006D4988">
              <w:rPr>
                <w:rFonts w:asciiTheme="minorHAnsi" w:hAnsiTheme="minorHAnsi" w:cstheme="minorHAnsi"/>
                <w:sz w:val="20"/>
                <w:szCs w:val="20"/>
              </w:rPr>
              <w:t>.</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Consider</w:t>
            </w:r>
            <w:r>
              <w:rPr>
                <w:rFonts w:asciiTheme="minorHAnsi" w:hAnsiTheme="minorHAnsi" w:cstheme="minorHAnsi"/>
                <w:sz w:val="20"/>
                <w:szCs w:val="20"/>
              </w:rPr>
              <w:t>s</w:t>
            </w:r>
            <w:r w:rsidRPr="006D4988">
              <w:rPr>
                <w:rFonts w:asciiTheme="minorHAnsi" w:hAnsiTheme="minorHAnsi" w:cstheme="minorHAnsi"/>
                <w:sz w:val="20"/>
                <w:szCs w:val="20"/>
              </w:rPr>
              <w:t xml:space="preserve"> that members will have difficulties in reporting on the additional requirements</w:t>
            </w:r>
            <w:r>
              <w:rPr>
                <w:rFonts w:asciiTheme="minorHAnsi" w:hAnsiTheme="minorHAnsi" w:cstheme="minorHAnsi"/>
                <w:sz w:val="20"/>
                <w:szCs w:val="20"/>
              </w:rPr>
              <w:t xml:space="preserve"> under Schedule 2</w:t>
            </w:r>
            <w:r w:rsidRPr="006D4988">
              <w:rPr>
                <w:rFonts w:asciiTheme="minorHAnsi" w:hAnsiTheme="minorHAnsi" w:cstheme="minorHAnsi"/>
                <w:sz w:val="20"/>
                <w:szCs w:val="20"/>
              </w:rPr>
              <w:t>.</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Broadly agree</w:t>
            </w:r>
            <w:r>
              <w:rPr>
                <w:rFonts w:asciiTheme="minorHAnsi" w:hAnsiTheme="minorHAnsi" w:cstheme="minorHAnsi"/>
                <w:sz w:val="20"/>
                <w:szCs w:val="20"/>
              </w:rPr>
              <w:t>s</w:t>
            </w:r>
            <w:r w:rsidRPr="006D4988">
              <w:rPr>
                <w:rFonts w:asciiTheme="minorHAnsi" w:hAnsiTheme="minorHAnsi" w:cstheme="minorHAnsi"/>
                <w:sz w:val="20"/>
                <w:szCs w:val="20"/>
              </w:rPr>
              <w:t xml:space="preserve"> that reporting requirements will contribute to improving gender equality in the workplace.</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Minerals Council of Australia</w:t>
            </w:r>
          </w:p>
        </w:tc>
        <w:tc>
          <w:tcPr>
            <w:tcW w:w="0" w:type="auto"/>
            <w:shd w:val="clear" w:color="auto" w:fill="FFFFFF" w:themeFill="background1"/>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 xml:space="preserve">Supports overall aims of the Act in general, but </w:t>
            </w:r>
            <w:r>
              <w:rPr>
                <w:rFonts w:asciiTheme="minorHAnsi" w:hAnsiTheme="minorHAnsi" w:cstheme="minorHAnsi"/>
                <w:sz w:val="20"/>
                <w:szCs w:val="20"/>
              </w:rPr>
              <w:t>has</w:t>
            </w:r>
            <w:r w:rsidRPr="006D4988">
              <w:rPr>
                <w:rFonts w:asciiTheme="minorHAnsi" w:hAnsiTheme="minorHAnsi" w:cstheme="minorHAnsi"/>
                <w:sz w:val="20"/>
                <w:szCs w:val="20"/>
              </w:rPr>
              <w:t xml:space="preserve"> a number of concerns about the operation and reach of the legislation.</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While the new online system is preferred, concerns about technical issues and reliability of data for comparison were raised.</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Suggests omitting reporting on contractors and casuals as they are likely employed by another entity.</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Classifying job roles was one of the most difficult things to do due to the amount of manual manipulation required</w:t>
            </w:r>
            <w:r>
              <w:rPr>
                <w:rFonts w:asciiTheme="minorHAnsi" w:hAnsiTheme="minorHAnsi" w:cstheme="minorHAnsi"/>
                <w:sz w:val="20"/>
                <w:szCs w:val="20"/>
              </w:rPr>
              <w:t>, and i</w:t>
            </w:r>
            <w:r w:rsidRPr="006D4988">
              <w:rPr>
                <w:rFonts w:asciiTheme="minorHAnsi" w:hAnsiTheme="minorHAnsi" w:cstheme="minorHAnsi"/>
                <w:sz w:val="20"/>
                <w:szCs w:val="20"/>
              </w:rPr>
              <w:t>t also creates the likelihood of human error.</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 xml:space="preserve">Supports abolishing Schedule 2 requirements as it is considered that members do not have systems to extract the data and the benefits of the data will not match efforts in obtaining it. </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Concerned that the Act imposes a number of compliance burdens that fall disproportionately on smaller operators.</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lastRenderedPageBreak/>
              <w:t>PricewaterhouseCoopers</w:t>
            </w:r>
          </w:p>
        </w:tc>
        <w:tc>
          <w:tcPr>
            <w:tcW w:w="0" w:type="auto"/>
            <w:shd w:val="clear" w:color="auto" w:fill="FFFFFF" w:themeFill="background1"/>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Considers that data is essential to drive change</w:t>
            </w:r>
            <w:r>
              <w:rPr>
                <w:rFonts w:asciiTheme="minorHAnsi" w:hAnsiTheme="minorHAnsi" w:cstheme="minorHAnsi"/>
                <w:sz w:val="20"/>
                <w:szCs w:val="20"/>
              </w:rPr>
              <w:t>,</w:t>
            </w:r>
            <w:r w:rsidRPr="006D4988">
              <w:rPr>
                <w:rFonts w:asciiTheme="minorHAnsi" w:hAnsiTheme="minorHAnsi" w:cstheme="minorHAnsi"/>
                <w:sz w:val="20"/>
                <w:szCs w:val="20"/>
              </w:rPr>
              <w:t xml:space="preserve"> but recommends some refinement to streamline the current reporting requirements.</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Supports an industry standard workplace profile.</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Companies require guidance in providing the remuneration data to ensure interpretation of terms such as ‘bonus payments’ is consistent.</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Suggest that the reporting portal is ‘open’ longer.</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Recruitment and Consulting Services Association</w:t>
            </w:r>
          </w:p>
        </w:tc>
        <w:tc>
          <w:tcPr>
            <w:tcW w:w="0" w:type="auto"/>
            <w:shd w:val="clear" w:color="auto" w:fill="FFFFFF" w:themeFill="background1"/>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Supports the principle of workplace gender reporting</w:t>
            </w:r>
            <w:r>
              <w:rPr>
                <w:rFonts w:asciiTheme="minorHAnsi" w:hAnsiTheme="minorHAnsi" w:cstheme="minorHAnsi"/>
                <w:sz w:val="20"/>
                <w:szCs w:val="20"/>
              </w:rPr>
              <w:t>,</w:t>
            </w:r>
            <w:r w:rsidRPr="006D4988">
              <w:rPr>
                <w:rFonts w:asciiTheme="minorHAnsi" w:hAnsiTheme="minorHAnsi" w:cstheme="minorHAnsi"/>
                <w:sz w:val="20"/>
                <w:szCs w:val="20"/>
              </w:rPr>
              <w:t xml:space="preserve"> but concerned that </w:t>
            </w:r>
            <w:r>
              <w:rPr>
                <w:rFonts w:asciiTheme="minorHAnsi" w:hAnsiTheme="minorHAnsi" w:cstheme="minorHAnsi"/>
                <w:sz w:val="20"/>
                <w:szCs w:val="20"/>
              </w:rPr>
              <w:t xml:space="preserve">the </w:t>
            </w:r>
            <w:r w:rsidRPr="006D4988">
              <w:rPr>
                <w:rFonts w:asciiTheme="minorHAnsi" w:hAnsiTheme="minorHAnsi" w:cstheme="minorHAnsi"/>
                <w:sz w:val="20"/>
                <w:szCs w:val="20"/>
              </w:rPr>
              <w:t>current framework does not suit the recruitment and consulting services sector due to the large number of ‘on</w:t>
            </w:r>
            <w:r w:rsidRPr="006D4988">
              <w:rPr>
                <w:rFonts w:asciiTheme="minorHAnsi" w:hAnsiTheme="minorHAnsi" w:cstheme="minorHAnsi"/>
                <w:sz w:val="20"/>
                <w:szCs w:val="20"/>
              </w:rPr>
              <w:noBreakHyphen/>
              <w:t>hire’ employees.</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Would like to see the definition of contract employee clarified to stipulate if independent contractors or on-hire employees are include</w:t>
            </w:r>
            <w:r>
              <w:rPr>
                <w:rFonts w:asciiTheme="minorHAnsi" w:hAnsiTheme="minorHAnsi" w:cstheme="minorHAnsi"/>
                <w:sz w:val="20"/>
                <w:szCs w:val="20"/>
              </w:rPr>
              <w:t>d</w:t>
            </w:r>
            <w:r w:rsidRPr="006D4988">
              <w:rPr>
                <w:rFonts w:asciiTheme="minorHAnsi" w:hAnsiTheme="minorHAnsi" w:cstheme="minorHAnsi"/>
                <w:sz w:val="20"/>
                <w:szCs w:val="20"/>
              </w:rPr>
              <w:t>.</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 xml:space="preserve">Restaurant and Catering </w:t>
            </w:r>
            <w:r>
              <w:rPr>
                <w:rFonts w:asciiTheme="minorHAnsi" w:hAnsiTheme="minorHAnsi" w:cstheme="minorHAnsi"/>
              </w:rPr>
              <w:t xml:space="preserve">Industry Association </w:t>
            </w:r>
          </w:p>
        </w:tc>
        <w:tc>
          <w:tcPr>
            <w:tcW w:w="0" w:type="auto"/>
            <w:shd w:val="clear" w:color="auto" w:fill="FFFFFF" w:themeFill="background1"/>
          </w:tcPr>
          <w:p w:rsidR="006E1965" w:rsidRPr="006D4988" w:rsidRDefault="006E1965" w:rsidP="006E1965">
            <w:pPr>
              <w:pStyle w:val="ListParagraph"/>
              <w:keepLines/>
              <w:numPr>
                <w:ilvl w:val="0"/>
                <w:numId w:val="21"/>
              </w:numPr>
              <w:rPr>
                <w:rFonts w:asciiTheme="minorHAnsi" w:hAnsiTheme="minorHAnsi" w:cstheme="minorHAnsi"/>
                <w:sz w:val="20"/>
                <w:szCs w:val="20"/>
              </w:rPr>
            </w:pPr>
            <w:r w:rsidRPr="006D4988">
              <w:rPr>
                <w:rFonts w:asciiTheme="minorHAnsi" w:hAnsiTheme="minorHAnsi" w:cstheme="minorHAnsi"/>
                <w:sz w:val="20"/>
                <w:szCs w:val="20"/>
              </w:rPr>
              <w:t>Supports mechanisms that promote workplace gender equality, is concerned that proposed changes to gender reporting will be onerous and time consuming for business.</w:t>
            </w:r>
          </w:p>
          <w:p w:rsidR="006E1965" w:rsidRPr="006D4988" w:rsidRDefault="006E1965" w:rsidP="006E1965">
            <w:pPr>
              <w:pStyle w:val="ListParagraph"/>
              <w:keepLines/>
              <w:numPr>
                <w:ilvl w:val="0"/>
                <w:numId w:val="21"/>
              </w:numPr>
              <w:rPr>
                <w:rFonts w:asciiTheme="minorHAnsi" w:hAnsiTheme="minorHAnsi" w:cstheme="minorHAnsi"/>
                <w:sz w:val="20"/>
                <w:szCs w:val="20"/>
              </w:rPr>
            </w:pPr>
            <w:r w:rsidRPr="006D4988">
              <w:rPr>
                <w:rFonts w:asciiTheme="minorHAnsi" w:hAnsiTheme="minorHAnsi" w:cstheme="minorHAnsi"/>
                <w:sz w:val="20"/>
                <w:szCs w:val="20"/>
              </w:rPr>
              <w:t>Raises concerns about the Schedule 2 reporting with regard to recruitment data</w:t>
            </w:r>
            <w:r>
              <w:rPr>
                <w:rFonts w:asciiTheme="minorHAnsi" w:hAnsiTheme="minorHAnsi" w:cstheme="minorHAnsi"/>
                <w:sz w:val="20"/>
                <w:szCs w:val="20"/>
              </w:rPr>
              <w:t>,</w:t>
            </w:r>
            <w:r w:rsidRPr="006D4988">
              <w:rPr>
                <w:rFonts w:asciiTheme="minorHAnsi" w:hAnsiTheme="minorHAnsi" w:cstheme="minorHAnsi"/>
                <w:sz w:val="20"/>
                <w:szCs w:val="20"/>
              </w:rPr>
              <w:t xml:space="preserve"> as it is possible for restaurants with no advertised vacancies </w:t>
            </w:r>
            <w:r>
              <w:rPr>
                <w:rFonts w:asciiTheme="minorHAnsi" w:hAnsiTheme="minorHAnsi" w:cstheme="minorHAnsi"/>
                <w:sz w:val="20"/>
                <w:szCs w:val="20"/>
              </w:rPr>
              <w:t>to</w:t>
            </w:r>
            <w:r w:rsidRPr="006D4988">
              <w:rPr>
                <w:rFonts w:asciiTheme="minorHAnsi" w:hAnsiTheme="minorHAnsi" w:cstheme="minorHAnsi"/>
                <w:sz w:val="20"/>
                <w:szCs w:val="20"/>
              </w:rPr>
              <w:t xml:space="preserve"> receive </w:t>
            </w:r>
            <w:r>
              <w:rPr>
                <w:rFonts w:asciiTheme="minorHAnsi" w:hAnsiTheme="minorHAnsi" w:cstheme="minorHAnsi"/>
                <w:sz w:val="20"/>
                <w:szCs w:val="20"/>
              </w:rPr>
              <w:t>more than</w:t>
            </w:r>
            <w:r w:rsidRPr="006D4988">
              <w:rPr>
                <w:rFonts w:asciiTheme="minorHAnsi" w:hAnsiTheme="minorHAnsi" w:cstheme="minorHAnsi"/>
                <w:sz w:val="20"/>
                <w:szCs w:val="20"/>
              </w:rPr>
              <w:t xml:space="preserve"> 1000 applications per month.</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Shop, Distributive and Allied Employees</w:t>
            </w:r>
            <w:r>
              <w:rPr>
                <w:rFonts w:asciiTheme="minorHAnsi" w:hAnsiTheme="minorHAnsi" w:cstheme="minorHAnsi"/>
              </w:rPr>
              <w:t>’</w:t>
            </w:r>
            <w:r w:rsidRPr="006D4988">
              <w:rPr>
                <w:rFonts w:asciiTheme="minorHAnsi" w:hAnsiTheme="minorHAnsi" w:cstheme="minorHAnsi"/>
              </w:rPr>
              <w:t xml:space="preserve"> Association</w:t>
            </w:r>
          </w:p>
        </w:tc>
        <w:tc>
          <w:tcPr>
            <w:tcW w:w="0" w:type="auto"/>
            <w:shd w:val="clear" w:color="auto" w:fill="FFFFFF" w:themeFill="background1"/>
          </w:tcPr>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 xml:space="preserve">Strongly supports the </w:t>
            </w:r>
            <w:r w:rsidRPr="0052396D">
              <w:rPr>
                <w:rFonts w:asciiTheme="minorHAnsi" w:hAnsiTheme="minorHAnsi" w:cstheme="minorHAnsi"/>
                <w:i/>
                <w:sz w:val="20"/>
                <w:szCs w:val="20"/>
              </w:rPr>
              <w:t>Workplace Gender Equality Act 2012</w:t>
            </w:r>
            <w:r>
              <w:rPr>
                <w:rFonts w:asciiTheme="minorHAnsi" w:hAnsiTheme="minorHAnsi" w:cstheme="minorHAnsi"/>
                <w:sz w:val="20"/>
                <w:szCs w:val="20"/>
              </w:rPr>
              <w:t xml:space="preserve"> (the </w:t>
            </w:r>
            <w:r w:rsidRPr="006D4988">
              <w:rPr>
                <w:rFonts w:asciiTheme="minorHAnsi" w:hAnsiTheme="minorHAnsi" w:cstheme="minorHAnsi"/>
                <w:sz w:val="20"/>
                <w:szCs w:val="20"/>
              </w:rPr>
              <w:t>Act</w:t>
            </w:r>
            <w:r>
              <w:rPr>
                <w:rFonts w:asciiTheme="minorHAnsi" w:hAnsiTheme="minorHAnsi" w:cstheme="minorHAnsi"/>
                <w:sz w:val="20"/>
                <w:szCs w:val="20"/>
              </w:rPr>
              <w:t>)</w:t>
            </w:r>
            <w:r w:rsidRPr="006D4988">
              <w:rPr>
                <w:rFonts w:asciiTheme="minorHAnsi" w:hAnsiTheme="minorHAnsi" w:cstheme="minorHAnsi"/>
                <w:sz w:val="20"/>
                <w:szCs w:val="20"/>
              </w:rPr>
              <w:t xml:space="preserve">. </w:t>
            </w:r>
          </w:p>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Suggests more detail in the occupational categories for non</w:t>
            </w:r>
            <w:r>
              <w:rPr>
                <w:rFonts w:asciiTheme="minorHAnsi" w:hAnsiTheme="minorHAnsi" w:cstheme="minorHAnsi"/>
                <w:sz w:val="20"/>
                <w:szCs w:val="20"/>
              </w:rPr>
              <w:noBreakHyphen/>
            </w:r>
            <w:r w:rsidRPr="006D4988">
              <w:rPr>
                <w:rFonts w:asciiTheme="minorHAnsi" w:hAnsiTheme="minorHAnsi" w:cstheme="minorHAnsi"/>
                <w:sz w:val="20"/>
                <w:szCs w:val="20"/>
              </w:rPr>
              <w:t>managers, particularly the ‘professional’ category to determine occupational segregation by gender.</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The Women and Work Research Group, The University of Sydney</w:t>
            </w:r>
          </w:p>
        </w:tc>
        <w:tc>
          <w:tcPr>
            <w:tcW w:w="0" w:type="auto"/>
            <w:shd w:val="clear" w:color="auto" w:fill="FFFFFF" w:themeFill="background1"/>
          </w:tcPr>
          <w:p w:rsidR="006E1965" w:rsidRPr="006D4988" w:rsidRDefault="006E1965" w:rsidP="006E1965">
            <w:pPr>
              <w:pStyle w:val="ListParagraph"/>
              <w:keepLines/>
              <w:numPr>
                <w:ilvl w:val="0"/>
                <w:numId w:val="15"/>
              </w:numPr>
              <w:ind w:left="317"/>
              <w:rPr>
                <w:rFonts w:asciiTheme="minorHAnsi" w:hAnsiTheme="minorHAnsi" w:cstheme="minorHAnsi"/>
                <w:sz w:val="20"/>
                <w:szCs w:val="20"/>
              </w:rPr>
            </w:pPr>
            <w:r w:rsidRPr="006D4988">
              <w:rPr>
                <w:rFonts w:asciiTheme="minorHAnsi" w:hAnsiTheme="minorHAnsi" w:cstheme="minorHAnsi"/>
                <w:sz w:val="20"/>
                <w:szCs w:val="20"/>
              </w:rPr>
              <w:t>Supports the retention of the current requirements.</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Women in Super</w:t>
            </w:r>
          </w:p>
        </w:tc>
        <w:tc>
          <w:tcPr>
            <w:tcW w:w="0" w:type="auto"/>
            <w:shd w:val="clear" w:color="auto" w:fill="FFFFFF" w:themeFill="background1"/>
          </w:tcPr>
          <w:p w:rsidR="006E1965" w:rsidRPr="006D4988" w:rsidRDefault="006E1965" w:rsidP="006E1965">
            <w:pPr>
              <w:pStyle w:val="ListParagraph"/>
              <w:keepLines/>
              <w:numPr>
                <w:ilvl w:val="0"/>
                <w:numId w:val="19"/>
              </w:numPr>
              <w:rPr>
                <w:rFonts w:asciiTheme="minorHAnsi" w:hAnsiTheme="minorHAnsi" w:cstheme="minorHAnsi"/>
                <w:sz w:val="20"/>
                <w:szCs w:val="20"/>
              </w:rPr>
            </w:pPr>
            <w:r w:rsidRPr="006D4988">
              <w:rPr>
                <w:rFonts w:asciiTheme="minorHAnsi" w:hAnsiTheme="minorHAnsi" w:cstheme="minorHAnsi"/>
                <w:sz w:val="20"/>
                <w:szCs w:val="20"/>
              </w:rPr>
              <w:t>Supportive of gender reporting, the workplace profile and questionnaire in its entirety.</w:t>
            </w:r>
          </w:p>
          <w:p w:rsidR="006E1965" w:rsidRPr="006D4988" w:rsidRDefault="006E1965" w:rsidP="006E1965">
            <w:pPr>
              <w:pStyle w:val="ListParagraph"/>
              <w:keepLines/>
              <w:numPr>
                <w:ilvl w:val="0"/>
                <w:numId w:val="19"/>
              </w:numPr>
              <w:rPr>
                <w:rFonts w:asciiTheme="minorHAnsi" w:hAnsiTheme="minorHAnsi" w:cstheme="minorHAnsi"/>
                <w:sz w:val="20"/>
                <w:szCs w:val="20"/>
              </w:rPr>
            </w:pPr>
            <w:r w:rsidRPr="006D4988">
              <w:rPr>
                <w:rFonts w:asciiTheme="minorHAnsi" w:hAnsiTheme="minorHAnsi" w:cstheme="minorHAnsi"/>
                <w:sz w:val="20"/>
                <w:szCs w:val="20"/>
              </w:rPr>
              <w:t>Supports current reporting framework and suggests some additional information be collected.</w:t>
            </w:r>
          </w:p>
        </w:tc>
      </w:tr>
      <w:tr w:rsidR="006E1965" w:rsidRPr="006D4988" w:rsidTr="00F50843">
        <w:trPr>
          <w:cantSplit/>
        </w:trPr>
        <w:tc>
          <w:tcPr>
            <w:tcW w:w="0" w:type="auto"/>
            <w:shd w:val="clear" w:color="auto" w:fill="FFFFFF" w:themeFill="background1"/>
          </w:tcPr>
          <w:p w:rsidR="006E1965" w:rsidRPr="006D4988" w:rsidRDefault="006E1965" w:rsidP="00FC3DB8">
            <w:pPr>
              <w:keepLines/>
              <w:rPr>
                <w:rFonts w:cstheme="minorHAnsi"/>
              </w:rPr>
            </w:pPr>
            <w:r w:rsidRPr="00A87295">
              <w:rPr>
                <w:rFonts w:asciiTheme="minorHAnsi" w:hAnsiTheme="minorHAnsi" w:cstheme="minorHAnsi"/>
              </w:rPr>
              <w:t>Women Lawyers Association of New South Wales</w:t>
            </w:r>
            <w:r>
              <w:rPr>
                <w:rFonts w:asciiTheme="minorHAnsi" w:hAnsiTheme="minorHAnsi" w:cstheme="minorHAnsi"/>
              </w:rPr>
              <w:t xml:space="preserve"> (</w:t>
            </w:r>
            <w:proofErr w:type="spellStart"/>
            <w:r>
              <w:rPr>
                <w:rFonts w:asciiTheme="minorHAnsi" w:hAnsiTheme="minorHAnsi" w:cstheme="minorHAnsi"/>
              </w:rPr>
              <w:t>WLANSW</w:t>
            </w:r>
            <w:proofErr w:type="spellEnd"/>
            <w:r>
              <w:rPr>
                <w:rFonts w:asciiTheme="minorHAnsi" w:hAnsiTheme="minorHAnsi" w:cstheme="minorHAnsi"/>
              </w:rPr>
              <w:t>)</w:t>
            </w:r>
          </w:p>
        </w:tc>
        <w:tc>
          <w:tcPr>
            <w:tcW w:w="0" w:type="auto"/>
            <w:shd w:val="clear" w:color="auto" w:fill="FFFFFF" w:themeFill="background1"/>
          </w:tcPr>
          <w:p w:rsidR="006E1965" w:rsidRPr="00A87295" w:rsidRDefault="006E1965" w:rsidP="006E1965">
            <w:pPr>
              <w:pStyle w:val="ListParagraph"/>
              <w:keepLines/>
              <w:numPr>
                <w:ilvl w:val="0"/>
                <w:numId w:val="27"/>
              </w:numPr>
              <w:rPr>
                <w:rFonts w:asciiTheme="minorHAnsi" w:hAnsiTheme="minorHAnsi" w:cstheme="minorHAnsi"/>
                <w:sz w:val="20"/>
                <w:szCs w:val="20"/>
              </w:rPr>
            </w:pPr>
            <w:r w:rsidRPr="00A87295">
              <w:rPr>
                <w:rFonts w:asciiTheme="minorHAnsi" w:hAnsiTheme="minorHAnsi" w:cstheme="minorHAnsi"/>
                <w:sz w:val="20"/>
                <w:szCs w:val="20"/>
              </w:rPr>
              <w:t xml:space="preserve">States that the transparent reporting process required under the Act is welcome. </w:t>
            </w:r>
            <w:proofErr w:type="spellStart"/>
            <w:r w:rsidRPr="00A87295">
              <w:rPr>
                <w:rFonts w:asciiTheme="minorHAnsi" w:hAnsiTheme="minorHAnsi" w:cstheme="minorHAnsi"/>
                <w:sz w:val="20"/>
                <w:szCs w:val="20"/>
              </w:rPr>
              <w:t>WLANSW’s</w:t>
            </w:r>
            <w:proofErr w:type="spellEnd"/>
            <w:r w:rsidRPr="00A87295">
              <w:rPr>
                <w:rFonts w:asciiTheme="minorHAnsi" w:hAnsiTheme="minorHAnsi" w:cstheme="minorHAnsi"/>
                <w:sz w:val="20"/>
                <w:szCs w:val="20"/>
              </w:rPr>
              <w:t xml:space="preserve"> position is that there must be reporting and tracking of gender data if any change is to be achieved.  </w:t>
            </w:r>
          </w:p>
          <w:p w:rsidR="006E1965" w:rsidRPr="00A87295" w:rsidRDefault="006E1965" w:rsidP="006E1965">
            <w:pPr>
              <w:pStyle w:val="ListParagraph"/>
              <w:keepLines/>
              <w:numPr>
                <w:ilvl w:val="0"/>
                <w:numId w:val="27"/>
              </w:numPr>
              <w:rPr>
                <w:rFonts w:asciiTheme="minorHAnsi" w:hAnsiTheme="minorHAnsi" w:cstheme="minorHAnsi"/>
                <w:sz w:val="20"/>
                <w:szCs w:val="20"/>
              </w:rPr>
            </w:pPr>
            <w:r w:rsidRPr="00A87295">
              <w:rPr>
                <w:rFonts w:asciiTheme="minorHAnsi" w:hAnsiTheme="minorHAnsi" w:cstheme="minorHAnsi"/>
                <w:sz w:val="20"/>
                <w:szCs w:val="20"/>
              </w:rPr>
              <w:t xml:space="preserve">Considers that developing an industry-specific workplace profile for law firms would allow effective comparisons. </w:t>
            </w:r>
          </w:p>
          <w:p w:rsidR="006E1965" w:rsidRPr="00A87295" w:rsidRDefault="006E1965" w:rsidP="006E1965">
            <w:pPr>
              <w:pStyle w:val="ListParagraph"/>
              <w:keepLines/>
              <w:numPr>
                <w:ilvl w:val="0"/>
                <w:numId w:val="27"/>
              </w:numPr>
              <w:rPr>
                <w:rFonts w:asciiTheme="minorHAnsi" w:hAnsiTheme="minorHAnsi" w:cstheme="minorHAnsi"/>
                <w:sz w:val="20"/>
                <w:szCs w:val="20"/>
              </w:rPr>
            </w:pPr>
            <w:r w:rsidRPr="00A87295">
              <w:rPr>
                <w:rFonts w:asciiTheme="minorHAnsi" w:hAnsiTheme="minorHAnsi" w:cstheme="minorHAnsi"/>
                <w:sz w:val="20"/>
                <w:szCs w:val="20"/>
              </w:rPr>
              <w:t xml:space="preserve">Suggests that questions relating to </w:t>
            </w:r>
            <w:r>
              <w:rPr>
                <w:rFonts w:asciiTheme="minorHAnsi" w:hAnsiTheme="minorHAnsi" w:cstheme="minorHAnsi"/>
                <w:sz w:val="20"/>
                <w:szCs w:val="20"/>
              </w:rPr>
              <w:t xml:space="preserve">the </w:t>
            </w:r>
            <w:r w:rsidRPr="00A87295">
              <w:rPr>
                <w:rFonts w:asciiTheme="minorHAnsi" w:hAnsiTheme="minorHAnsi" w:cstheme="minorHAnsi"/>
                <w:sz w:val="20"/>
                <w:szCs w:val="20"/>
              </w:rPr>
              <w:t xml:space="preserve">total number of female and male equity partners could be worded differently to capture a richer range of data. </w:t>
            </w:r>
          </w:p>
          <w:p w:rsidR="006E1965" w:rsidRPr="00A87295" w:rsidRDefault="006E1965" w:rsidP="006E1965">
            <w:pPr>
              <w:pStyle w:val="ListParagraph"/>
              <w:keepLines/>
              <w:numPr>
                <w:ilvl w:val="0"/>
                <w:numId w:val="27"/>
              </w:numPr>
              <w:rPr>
                <w:rFonts w:asciiTheme="minorHAnsi" w:hAnsiTheme="minorHAnsi" w:cstheme="minorHAnsi"/>
                <w:sz w:val="20"/>
                <w:szCs w:val="20"/>
              </w:rPr>
            </w:pPr>
            <w:r w:rsidRPr="00A87295">
              <w:rPr>
                <w:rFonts w:asciiTheme="minorHAnsi" w:hAnsiTheme="minorHAnsi" w:cstheme="minorHAnsi"/>
                <w:sz w:val="20"/>
                <w:szCs w:val="20"/>
              </w:rPr>
              <w:t xml:space="preserve">Suggests that the Reference Guide should be amended to better reflect how partnerships operate, e.g. salaried partners are treated as employees, but they are not employees. </w:t>
            </w:r>
          </w:p>
          <w:p w:rsidR="006E1965" w:rsidRPr="00A87295" w:rsidRDefault="006E1965" w:rsidP="006E1965">
            <w:pPr>
              <w:pStyle w:val="ListParagraph"/>
              <w:keepLines/>
              <w:numPr>
                <w:ilvl w:val="0"/>
                <w:numId w:val="27"/>
              </w:numPr>
              <w:rPr>
                <w:rFonts w:asciiTheme="minorHAnsi" w:hAnsiTheme="minorHAnsi" w:cstheme="minorHAnsi"/>
                <w:sz w:val="20"/>
                <w:szCs w:val="20"/>
              </w:rPr>
            </w:pPr>
            <w:r w:rsidRPr="00A87295">
              <w:rPr>
                <w:rFonts w:asciiTheme="minorHAnsi" w:hAnsiTheme="minorHAnsi" w:cstheme="minorHAnsi"/>
                <w:sz w:val="20"/>
                <w:szCs w:val="20"/>
              </w:rPr>
              <w:t>Suggests that the report should identify questions that are compulsory for qualifying for Employer of Choice application.</w:t>
            </w:r>
          </w:p>
          <w:p w:rsidR="006E1965" w:rsidRPr="00A87295" w:rsidRDefault="006E1965" w:rsidP="006E1965">
            <w:pPr>
              <w:pStyle w:val="ListParagraph"/>
              <w:keepLines/>
              <w:numPr>
                <w:ilvl w:val="0"/>
                <w:numId w:val="27"/>
              </w:numPr>
              <w:rPr>
                <w:rFonts w:asciiTheme="minorHAnsi" w:hAnsiTheme="minorHAnsi" w:cstheme="minorHAnsi"/>
                <w:sz w:val="20"/>
                <w:szCs w:val="20"/>
              </w:rPr>
            </w:pPr>
            <w:r w:rsidRPr="00A87295">
              <w:rPr>
                <w:rFonts w:asciiTheme="minorHAnsi" w:hAnsiTheme="minorHAnsi" w:cstheme="minorHAnsi"/>
                <w:sz w:val="20"/>
                <w:szCs w:val="20"/>
              </w:rPr>
              <w:t xml:space="preserve">The only reservation that </w:t>
            </w:r>
            <w:proofErr w:type="spellStart"/>
            <w:r w:rsidRPr="00A87295">
              <w:rPr>
                <w:rFonts w:asciiTheme="minorHAnsi" w:hAnsiTheme="minorHAnsi" w:cstheme="minorHAnsi"/>
                <w:sz w:val="20"/>
                <w:szCs w:val="20"/>
              </w:rPr>
              <w:t>WLANSW</w:t>
            </w:r>
            <w:proofErr w:type="spellEnd"/>
            <w:r w:rsidRPr="00A87295">
              <w:rPr>
                <w:rFonts w:asciiTheme="minorHAnsi" w:hAnsiTheme="minorHAnsi" w:cstheme="minorHAnsi"/>
                <w:sz w:val="20"/>
                <w:szCs w:val="20"/>
              </w:rPr>
              <w:t xml:space="preserve"> has about the data is that it is not collected in a consistent manner, making comparisons between firms difficult, and it does not capture the different types of ownership arrangements that are most commonly used in law firms, and as such, misses the opportunity to identify and track gender differences in ownership arrangements.</w:t>
            </w:r>
          </w:p>
        </w:tc>
      </w:tr>
      <w:tr w:rsidR="006E1965" w:rsidRPr="006D4988" w:rsidTr="00F50843">
        <w:trPr>
          <w:cantSplit/>
        </w:trPr>
        <w:tc>
          <w:tcPr>
            <w:tcW w:w="0" w:type="auto"/>
            <w:shd w:val="clear" w:color="auto" w:fill="auto"/>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lastRenderedPageBreak/>
              <w:t>Anonymous</w:t>
            </w:r>
          </w:p>
        </w:tc>
        <w:tc>
          <w:tcPr>
            <w:tcW w:w="0" w:type="auto"/>
            <w:shd w:val="clear" w:color="auto" w:fill="auto"/>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Considers reporting took a large amount of time at a high cost.</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Considers reporting was easier in previous years</w:t>
            </w:r>
            <w:r>
              <w:rPr>
                <w:rFonts w:asciiTheme="minorHAnsi" w:hAnsiTheme="minorHAnsi" w:cstheme="minorHAnsi"/>
                <w:sz w:val="20"/>
                <w:szCs w:val="20"/>
              </w:rPr>
              <w:t xml:space="preserve"> and</w:t>
            </w:r>
            <w:r w:rsidRPr="006D4988">
              <w:rPr>
                <w:rFonts w:asciiTheme="minorHAnsi" w:hAnsiTheme="minorHAnsi" w:cstheme="minorHAnsi"/>
                <w:sz w:val="20"/>
                <w:szCs w:val="20"/>
              </w:rPr>
              <w:t xml:space="preserve"> obtaining an </w:t>
            </w:r>
            <w:proofErr w:type="spellStart"/>
            <w:r w:rsidRPr="006D4988">
              <w:rPr>
                <w:rFonts w:asciiTheme="minorHAnsi" w:hAnsiTheme="minorHAnsi" w:cstheme="minorHAnsi"/>
                <w:sz w:val="20"/>
                <w:szCs w:val="20"/>
              </w:rPr>
              <w:t>AUSkey</w:t>
            </w:r>
            <w:proofErr w:type="spellEnd"/>
            <w:r w:rsidRPr="006D4988">
              <w:rPr>
                <w:rFonts w:asciiTheme="minorHAnsi" w:hAnsiTheme="minorHAnsi" w:cstheme="minorHAnsi"/>
                <w:sz w:val="20"/>
                <w:szCs w:val="20"/>
              </w:rPr>
              <w:t xml:space="preserve"> was frustrating.</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Much of the information from the payroll data or HR database had to be extracted and manipulated manually.</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Categorising each employee into an occupation classification was time consuming, but consider</w:t>
            </w:r>
            <w:r>
              <w:rPr>
                <w:rFonts w:asciiTheme="minorHAnsi" w:hAnsiTheme="minorHAnsi" w:cstheme="minorHAnsi"/>
                <w:sz w:val="20"/>
                <w:szCs w:val="20"/>
              </w:rPr>
              <w:t>s</w:t>
            </w:r>
            <w:r w:rsidRPr="006D4988">
              <w:rPr>
                <w:rFonts w:asciiTheme="minorHAnsi" w:hAnsiTheme="minorHAnsi" w:cstheme="minorHAnsi"/>
                <w:sz w:val="20"/>
                <w:szCs w:val="20"/>
              </w:rPr>
              <w:t xml:space="preserve"> this will become easier in subsequent years.</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 xml:space="preserve">Management categories did not align with management structures </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Would like to be exempted from the Schedule 2 requirements</w:t>
            </w:r>
          </w:p>
        </w:tc>
      </w:tr>
      <w:tr w:rsidR="006E1965" w:rsidRPr="006D4988" w:rsidTr="00F50843">
        <w:trPr>
          <w:cantSplit/>
        </w:trPr>
        <w:tc>
          <w:tcPr>
            <w:tcW w:w="0" w:type="auto"/>
            <w:shd w:val="clear" w:color="auto" w:fill="auto"/>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Anonymous</w:t>
            </w:r>
          </w:p>
        </w:tc>
        <w:tc>
          <w:tcPr>
            <w:tcW w:w="0" w:type="auto"/>
            <w:shd w:val="clear" w:color="auto" w:fill="auto"/>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Consider</w:t>
            </w:r>
            <w:r>
              <w:rPr>
                <w:rFonts w:asciiTheme="minorHAnsi" w:hAnsiTheme="minorHAnsi" w:cstheme="minorHAnsi"/>
                <w:sz w:val="20"/>
                <w:szCs w:val="20"/>
              </w:rPr>
              <w:t>s</w:t>
            </w:r>
            <w:r w:rsidRPr="006D4988">
              <w:rPr>
                <w:rFonts w:asciiTheme="minorHAnsi" w:hAnsiTheme="minorHAnsi" w:cstheme="minorHAnsi"/>
                <w:sz w:val="20"/>
                <w:szCs w:val="20"/>
              </w:rPr>
              <w:t xml:space="preserve"> that data was simpler to provide than in previous years</w:t>
            </w:r>
            <w:r>
              <w:rPr>
                <w:rFonts w:asciiTheme="minorHAnsi" w:hAnsiTheme="minorHAnsi" w:cstheme="minorHAnsi"/>
                <w:sz w:val="20"/>
                <w:szCs w:val="20"/>
              </w:rPr>
              <w:t>,</w:t>
            </w:r>
            <w:r w:rsidRPr="006D4988">
              <w:rPr>
                <w:rFonts w:asciiTheme="minorHAnsi" w:hAnsiTheme="minorHAnsi" w:cstheme="minorHAnsi"/>
                <w:sz w:val="20"/>
                <w:szCs w:val="20"/>
              </w:rPr>
              <w:t xml:space="preserve"> although HR and payroll systems do not correlate to the reporting lines.</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Reporting took a week to complete</w:t>
            </w:r>
            <w:r>
              <w:rPr>
                <w:rFonts w:asciiTheme="minorHAnsi" w:hAnsiTheme="minorHAnsi" w:cstheme="minorHAnsi"/>
                <w:sz w:val="20"/>
                <w:szCs w:val="20"/>
              </w:rPr>
              <w:t>.</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 xml:space="preserve">It was difficult and time consuming obtaining access to the </w:t>
            </w:r>
            <w:proofErr w:type="spellStart"/>
            <w:r w:rsidRPr="006D4988">
              <w:rPr>
                <w:rFonts w:asciiTheme="minorHAnsi" w:hAnsiTheme="minorHAnsi" w:cstheme="minorHAnsi"/>
                <w:sz w:val="20"/>
                <w:szCs w:val="20"/>
              </w:rPr>
              <w:t>AUSKey</w:t>
            </w:r>
            <w:proofErr w:type="spellEnd"/>
            <w:r>
              <w:rPr>
                <w:rFonts w:asciiTheme="minorHAnsi" w:hAnsiTheme="minorHAnsi" w:cstheme="minorHAnsi"/>
                <w:sz w:val="20"/>
                <w:szCs w:val="20"/>
              </w:rPr>
              <w:t>.</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Schedule 2 requirements will create an additional burden</w:t>
            </w:r>
            <w:r>
              <w:rPr>
                <w:rFonts w:asciiTheme="minorHAnsi" w:hAnsiTheme="minorHAnsi" w:cstheme="minorHAnsi"/>
                <w:sz w:val="20"/>
                <w:szCs w:val="20"/>
              </w:rPr>
              <w:t>.</w:t>
            </w:r>
          </w:p>
        </w:tc>
      </w:tr>
      <w:tr w:rsidR="006E1965" w:rsidRPr="006D4988" w:rsidTr="00F50843">
        <w:trPr>
          <w:cantSplit/>
        </w:trPr>
        <w:tc>
          <w:tcPr>
            <w:tcW w:w="0" w:type="auto"/>
            <w:shd w:val="clear" w:color="auto" w:fill="auto"/>
          </w:tcPr>
          <w:p w:rsidR="006E1965" w:rsidRPr="006D4988" w:rsidRDefault="006E1965" w:rsidP="00FC3DB8">
            <w:pPr>
              <w:keepLines/>
              <w:rPr>
                <w:rFonts w:asciiTheme="minorHAnsi" w:hAnsiTheme="minorHAnsi" w:cstheme="minorHAnsi"/>
              </w:rPr>
            </w:pPr>
            <w:r w:rsidRPr="006D4988">
              <w:rPr>
                <w:rFonts w:asciiTheme="minorHAnsi" w:hAnsiTheme="minorHAnsi" w:cstheme="minorHAnsi"/>
              </w:rPr>
              <w:t>Anonymous</w:t>
            </w:r>
          </w:p>
        </w:tc>
        <w:tc>
          <w:tcPr>
            <w:tcW w:w="0" w:type="auto"/>
            <w:shd w:val="clear" w:color="auto" w:fill="auto"/>
          </w:tcPr>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Supportive of efforts to improve workplace gender equality</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Previous reporting was simpler as the organisation does not have a centralised payroll or HR system.</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Reporting on annualised and FTE remuneration was onerous</w:t>
            </w:r>
            <w:r>
              <w:rPr>
                <w:rFonts w:asciiTheme="minorHAnsi" w:hAnsiTheme="minorHAnsi" w:cstheme="minorHAnsi"/>
                <w:sz w:val="20"/>
                <w:szCs w:val="20"/>
              </w:rPr>
              <w:t>.</w:t>
            </w:r>
            <w:r w:rsidRPr="006D4988">
              <w:rPr>
                <w:rFonts w:asciiTheme="minorHAnsi" w:hAnsiTheme="minorHAnsi" w:cstheme="minorHAnsi"/>
                <w:sz w:val="20"/>
                <w:szCs w:val="20"/>
              </w:rPr>
              <w:t xml:space="preserve"> </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Classification of non-manager employees was onerous and time consuming.</w:t>
            </w:r>
          </w:p>
          <w:p w:rsidR="006E1965" w:rsidRPr="006D4988" w:rsidRDefault="006E1965" w:rsidP="006E1965">
            <w:pPr>
              <w:pStyle w:val="ListParagraph"/>
              <w:keepLines/>
              <w:numPr>
                <w:ilvl w:val="0"/>
                <w:numId w:val="27"/>
              </w:numPr>
              <w:rPr>
                <w:rFonts w:asciiTheme="minorHAnsi" w:hAnsiTheme="minorHAnsi" w:cstheme="minorHAnsi"/>
                <w:sz w:val="20"/>
                <w:szCs w:val="20"/>
              </w:rPr>
            </w:pPr>
            <w:r w:rsidRPr="006D4988">
              <w:rPr>
                <w:rFonts w:asciiTheme="minorHAnsi" w:hAnsiTheme="minorHAnsi" w:cstheme="minorHAnsi"/>
                <w:sz w:val="20"/>
                <w:szCs w:val="20"/>
              </w:rPr>
              <w:t>Consider Schedule 2 requirements will create a further burden.</w:t>
            </w:r>
          </w:p>
        </w:tc>
      </w:tr>
      <w:tr w:rsidR="006E1965" w:rsidRPr="005B23E3" w:rsidTr="00F50843">
        <w:trPr>
          <w:cantSplit/>
        </w:trPr>
        <w:tc>
          <w:tcPr>
            <w:tcW w:w="0" w:type="auto"/>
            <w:shd w:val="clear" w:color="auto" w:fill="auto"/>
          </w:tcPr>
          <w:p w:rsidR="006E1965" w:rsidRPr="0084239D" w:rsidRDefault="006E1965" w:rsidP="00FC3DB8">
            <w:pPr>
              <w:keepLines/>
              <w:rPr>
                <w:rFonts w:asciiTheme="minorHAnsi" w:hAnsiTheme="minorHAnsi" w:cstheme="minorHAnsi"/>
              </w:rPr>
            </w:pPr>
            <w:r w:rsidRPr="0084239D">
              <w:rPr>
                <w:rFonts w:asciiTheme="minorHAnsi" w:hAnsiTheme="minorHAnsi" w:cstheme="minorHAnsi"/>
              </w:rPr>
              <w:lastRenderedPageBreak/>
              <w:t>Additional issues raised in private submissions</w:t>
            </w:r>
          </w:p>
        </w:tc>
        <w:tc>
          <w:tcPr>
            <w:tcW w:w="0" w:type="auto"/>
            <w:shd w:val="clear" w:color="auto" w:fill="auto"/>
          </w:tcPr>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While the classification categories were difficult, would prefer that they do not change year on year. Case studies could be useful in determining the appropriate categories.</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 xml:space="preserve">Suggest including data that shows the percentage difference of remuneration between men and women at each occupational classification. </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 xml:space="preserve">Suggest the Agency improves definition (such as what is meant by ‘allowance’) by making them clearer. </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Suggest changing the definition of contract to be ‘fixed-term employees’ as concerned about ‘double-counting’ external contractors.</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 xml:space="preserve">Reporting on distance from </w:t>
            </w:r>
            <w:proofErr w:type="spellStart"/>
            <w:r>
              <w:rPr>
                <w:rFonts w:asciiTheme="minorHAnsi" w:hAnsiTheme="minorHAnsi" w:cstheme="minorHAnsi"/>
                <w:sz w:val="20"/>
                <w:szCs w:val="20"/>
              </w:rPr>
              <w:t>CEO</w:t>
            </w:r>
            <w:proofErr w:type="spellEnd"/>
            <w:r>
              <w:rPr>
                <w:rFonts w:asciiTheme="minorHAnsi" w:hAnsiTheme="minorHAnsi" w:cstheme="minorHAnsi"/>
                <w:sz w:val="20"/>
                <w:szCs w:val="20"/>
              </w:rPr>
              <w:t xml:space="preserve"> is not a reliable indication of ‘like’ roles within an </w:t>
            </w:r>
            <w:proofErr w:type="gramStart"/>
            <w:r>
              <w:rPr>
                <w:rFonts w:asciiTheme="minorHAnsi" w:hAnsiTheme="minorHAnsi" w:cstheme="minorHAnsi"/>
                <w:sz w:val="20"/>
                <w:szCs w:val="20"/>
              </w:rPr>
              <w:t>organisation,</w:t>
            </w:r>
            <w:proofErr w:type="gramEnd"/>
            <w:r>
              <w:rPr>
                <w:rFonts w:asciiTheme="minorHAnsi" w:hAnsiTheme="minorHAnsi" w:cstheme="minorHAnsi"/>
                <w:sz w:val="20"/>
                <w:szCs w:val="20"/>
              </w:rPr>
              <w:t xml:space="preserve"> rather the comparison should be based on the function of the role and level of accountability.</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Suggest base pay and short-term incentives only are included as the primary components of remuneration, the existing requirements capture reward components that are role and industry specific.</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The effort required to obtain total remuneration was not justified. Base salary should be sufficient to measure gender pay parity.</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 xml:space="preserve">Suggest the option of free text in questionnaire to provide further explanation. </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The definition of a stand-alone policy and policy contained within another strategy were unclear.</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Suggest collecting additional data on retrenchment by gender.</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 xml:space="preserve">Greatly improved from the experience of previous years. </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At this stage we see no real benefit of reporting to our business.</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Better clarity, consistency and lead time on requirements.</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Limitation of HR systems creates difficulties in tracing paid and unpaid parental leave of primary and secondary carers.</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 xml:space="preserve">Reporting format and requirements are not suited to global organisations headquartered outside Australia and operating businesses that span multiple </w:t>
            </w:r>
            <w:proofErr w:type="spellStart"/>
            <w:r>
              <w:rPr>
                <w:rFonts w:asciiTheme="minorHAnsi" w:hAnsiTheme="minorHAnsi" w:cstheme="minorHAnsi"/>
                <w:sz w:val="20"/>
                <w:szCs w:val="20"/>
              </w:rPr>
              <w:t>ANZSIC</w:t>
            </w:r>
            <w:proofErr w:type="spellEnd"/>
            <w:r>
              <w:rPr>
                <w:rFonts w:asciiTheme="minorHAnsi" w:hAnsiTheme="minorHAnsi" w:cstheme="minorHAnsi"/>
                <w:sz w:val="20"/>
                <w:szCs w:val="20"/>
              </w:rPr>
              <w:t xml:space="preserve"> codes. </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Providing data for contractors/casual employees who are paid on a daily basis and then annualising this data results in skewed data.</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Consider pay data is not useful for benchmarks as it is unlikely to be meaningfully comparable data.</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Consider the greatest benefit of the benchmark reports would be qualitative information, such as examples of industry standards, practices and policies that other organisations use to address gender pay gap.</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 xml:space="preserve">The </w:t>
            </w:r>
            <w:proofErr w:type="spellStart"/>
            <w:r>
              <w:rPr>
                <w:rFonts w:asciiTheme="minorHAnsi" w:hAnsiTheme="minorHAnsi" w:cstheme="minorHAnsi"/>
                <w:sz w:val="20"/>
                <w:szCs w:val="20"/>
              </w:rPr>
              <w:t>annualisation</w:t>
            </w:r>
            <w:proofErr w:type="spellEnd"/>
            <w:r>
              <w:rPr>
                <w:rFonts w:asciiTheme="minorHAnsi" w:hAnsiTheme="minorHAnsi" w:cstheme="minorHAnsi"/>
                <w:sz w:val="20"/>
                <w:szCs w:val="20"/>
              </w:rPr>
              <w:t xml:space="preserve"> of performance bonuses is problematic as bonuses are awarded based on individuals’ contribution/output and do not necessarily equate to hours worked.</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Gender reporting should become more relevant and beneficial for employers by delivering information that actually assists employers in transforming workplaces.</w:t>
            </w:r>
          </w:p>
          <w:p w:rsidR="006E1965"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Do not support the collection of data by employment status and consider it unduly burdensome, intrusive and not justified.</w:t>
            </w:r>
          </w:p>
          <w:p w:rsidR="006E1965" w:rsidRPr="005B23E3" w:rsidRDefault="006E1965" w:rsidP="006E1965">
            <w:pPr>
              <w:pStyle w:val="ListParagraph"/>
              <w:keepLines/>
              <w:numPr>
                <w:ilvl w:val="0"/>
                <w:numId w:val="27"/>
              </w:numPr>
              <w:rPr>
                <w:rFonts w:asciiTheme="minorHAnsi" w:hAnsiTheme="minorHAnsi" w:cstheme="minorHAnsi"/>
                <w:sz w:val="20"/>
                <w:szCs w:val="20"/>
              </w:rPr>
            </w:pPr>
            <w:r>
              <w:rPr>
                <w:rFonts w:asciiTheme="minorHAnsi" w:hAnsiTheme="minorHAnsi" w:cstheme="minorHAnsi"/>
                <w:sz w:val="20"/>
                <w:szCs w:val="20"/>
              </w:rPr>
              <w:t>Remuneration should be ‘point–in-time’ rather than annualised.</w:t>
            </w:r>
          </w:p>
        </w:tc>
      </w:tr>
    </w:tbl>
    <w:p w:rsidR="00E04726" w:rsidRPr="006D4988" w:rsidRDefault="00E04726" w:rsidP="00F50843">
      <w:pPr>
        <w:rPr>
          <w:rFonts w:cstheme="minorHAnsi"/>
          <w:lang w:eastAsia="en-AU"/>
        </w:rPr>
      </w:pPr>
    </w:p>
    <w:sectPr w:rsidR="00E04726" w:rsidRPr="006D4988" w:rsidSect="006F723F">
      <w:headerReference w:type="default" r:id="rId26"/>
      <w:pgSz w:w="11906" w:h="16838" w:code="9"/>
      <w:pgMar w:top="1418" w:right="1134"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33" w:rsidRDefault="00630633" w:rsidP="00A14472">
      <w:pPr>
        <w:spacing w:after="0" w:line="240" w:lineRule="auto"/>
      </w:pPr>
      <w:r>
        <w:separator/>
      </w:r>
    </w:p>
  </w:endnote>
  <w:endnote w:type="continuationSeparator" w:id="0">
    <w:p w:rsidR="00630633" w:rsidRDefault="00630633" w:rsidP="00A14472">
      <w:pPr>
        <w:spacing w:after="0" w:line="240" w:lineRule="auto"/>
      </w:pPr>
      <w:r>
        <w:continuationSeparator/>
      </w:r>
    </w:p>
  </w:endnote>
  <w:endnote w:type="continuationNotice" w:id="1">
    <w:p w:rsidR="00630633" w:rsidRDefault="00630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43" w:rsidRDefault="00717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302779"/>
      <w:docPartObj>
        <w:docPartGallery w:val="Page Numbers (Bottom of Page)"/>
        <w:docPartUnique/>
      </w:docPartObj>
    </w:sdtPr>
    <w:sdtEndPr>
      <w:rPr>
        <w:noProof/>
      </w:rPr>
    </w:sdtEndPr>
    <w:sdtContent>
      <w:p w:rsidR="00717343" w:rsidRDefault="00717343">
        <w:pPr>
          <w:pStyle w:val="Footer"/>
          <w:jc w:val="right"/>
        </w:pPr>
        <w:r>
          <w:fldChar w:fldCharType="begin"/>
        </w:r>
        <w:r>
          <w:instrText xml:space="preserve"> PAGE   \* MERGEFORMAT </w:instrText>
        </w:r>
        <w:r>
          <w:fldChar w:fldCharType="separate"/>
        </w:r>
        <w:r w:rsidR="002C0F42">
          <w:rPr>
            <w:noProof/>
          </w:rPr>
          <w:t>34</w:t>
        </w:r>
        <w:r>
          <w:rPr>
            <w:noProof/>
          </w:rPr>
          <w:fldChar w:fldCharType="end"/>
        </w:r>
      </w:p>
    </w:sdtContent>
  </w:sdt>
  <w:p w:rsidR="00717343" w:rsidRDefault="007173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43" w:rsidRDefault="00717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33" w:rsidRDefault="00630633" w:rsidP="00A14472">
      <w:pPr>
        <w:spacing w:after="0" w:line="240" w:lineRule="auto"/>
      </w:pPr>
      <w:r>
        <w:separator/>
      </w:r>
    </w:p>
  </w:footnote>
  <w:footnote w:type="continuationSeparator" w:id="0">
    <w:p w:rsidR="00630633" w:rsidRDefault="00630633" w:rsidP="00A14472">
      <w:pPr>
        <w:spacing w:after="0" w:line="240" w:lineRule="auto"/>
      </w:pPr>
      <w:r>
        <w:continuationSeparator/>
      </w:r>
    </w:p>
  </w:footnote>
  <w:footnote w:type="continuationNotice" w:id="1">
    <w:p w:rsidR="00630633" w:rsidRDefault="00630633">
      <w:pPr>
        <w:spacing w:after="0" w:line="240" w:lineRule="auto"/>
      </w:pPr>
    </w:p>
  </w:footnote>
  <w:footnote w:id="2">
    <w:p w:rsidR="00717343" w:rsidRPr="005C446F" w:rsidRDefault="00717343">
      <w:pPr>
        <w:pStyle w:val="FootnoteText"/>
        <w:rPr>
          <w:sz w:val="18"/>
          <w:szCs w:val="18"/>
        </w:rPr>
      </w:pPr>
      <w:r w:rsidRPr="00A7611A">
        <w:rPr>
          <w:rStyle w:val="FootnoteReference"/>
        </w:rPr>
        <w:sym w:font="Symbol" w:char="F02A"/>
      </w:r>
      <w:r>
        <w:rPr>
          <w:rFonts w:asciiTheme="minorHAnsi" w:hAnsiTheme="minorHAnsi" w:cstheme="minorHAnsi"/>
          <w:sz w:val="18"/>
          <w:szCs w:val="18"/>
        </w:rPr>
        <w:t>In this document, the terms ‘</w:t>
      </w:r>
      <w:r w:rsidRPr="005C446F">
        <w:rPr>
          <w:rFonts w:asciiTheme="minorHAnsi" w:hAnsiTheme="minorHAnsi" w:cstheme="minorHAnsi"/>
          <w:sz w:val="18"/>
          <w:szCs w:val="18"/>
        </w:rPr>
        <w:t>relevant employers</w:t>
      </w:r>
      <w:r>
        <w:rPr>
          <w:rFonts w:asciiTheme="minorHAnsi" w:hAnsiTheme="minorHAnsi" w:cstheme="minorHAnsi"/>
          <w:sz w:val="18"/>
          <w:szCs w:val="18"/>
        </w:rPr>
        <w:t>’</w:t>
      </w:r>
      <w:r w:rsidRPr="005C446F">
        <w:rPr>
          <w:rFonts w:asciiTheme="minorHAnsi" w:hAnsiTheme="minorHAnsi" w:cstheme="minorHAnsi"/>
          <w:sz w:val="18"/>
          <w:szCs w:val="18"/>
        </w:rPr>
        <w:t xml:space="preserve">, </w:t>
      </w:r>
      <w:r>
        <w:rPr>
          <w:rFonts w:asciiTheme="minorHAnsi" w:hAnsiTheme="minorHAnsi" w:cstheme="minorHAnsi"/>
          <w:sz w:val="18"/>
          <w:szCs w:val="18"/>
        </w:rPr>
        <w:t>‘</w:t>
      </w:r>
      <w:r w:rsidRPr="005C446F">
        <w:rPr>
          <w:rFonts w:asciiTheme="minorHAnsi" w:hAnsiTheme="minorHAnsi" w:cstheme="minorHAnsi"/>
          <w:sz w:val="18"/>
          <w:szCs w:val="18"/>
        </w:rPr>
        <w:t xml:space="preserve">reporting employers </w:t>
      </w:r>
      <w:r>
        <w:rPr>
          <w:rFonts w:asciiTheme="minorHAnsi" w:hAnsiTheme="minorHAnsi" w:cstheme="minorHAnsi"/>
          <w:sz w:val="18"/>
          <w:szCs w:val="18"/>
        </w:rPr>
        <w:t>‘</w:t>
      </w:r>
      <w:r w:rsidRPr="005C446F">
        <w:rPr>
          <w:rFonts w:asciiTheme="minorHAnsi" w:hAnsiTheme="minorHAnsi" w:cstheme="minorHAnsi"/>
          <w:sz w:val="18"/>
          <w:szCs w:val="18"/>
        </w:rPr>
        <w:t xml:space="preserve">or </w:t>
      </w:r>
      <w:r>
        <w:rPr>
          <w:rFonts w:asciiTheme="minorHAnsi" w:hAnsiTheme="minorHAnsi" w:cstheme="minorHAnsi"/>
          <w:sz w:val="18"/>
          <w:szCs w:val="18"/>
        </w:rPr>
        <w:t xml:space="preserve">‘reporting </w:t>
      </w:r>
      <w:r w:rsidRPr="005C446F">
        <w:rPr>
          <w:rFonts w:asciiTheme="minorHAnsi" w:hAnsiTheme="minorHAnsi" w:cstheme="minorHAnsi"/>
          <w:sz w:val="18"/>
          <w:szCs w:val="18"/>
        </w:rPr>
        <w:t>organisations</w:t>
      </w:r>
      <w:r>
        <w:rPr>
          <w:rFonts w:asciiTheme="minorHAnsi" w:hAnsiTheme="minorHAnsi" w:cstheme="minorHAnsi"/>
          <w:sz w:val="18"/>
          <w:szCs w:val="18"/>
        </w:rPr>
        <w:t>’</w:t>
      </w:r>
      <w:r w:rsidRPr="005C446F">
        <w:rPr>
          <w:rFonts w:asciiTheme="minorHAnsi" w:hAnsiTheme="minorHAnsi" w:cstheme="minorHAnsi"/>
          <w:sz w:val="18"/>
          <w:szCs w:val="18"/>
        </w:rPr>
        <w:t xml:space="preserve"> refers to registered higher education providers and non-public sector employees with 100 or more employees.</w:t>
      </w:r>
    </w:p>
  </w:footnote>
  <w:footnote w:id="3">
    <w:p w:rsidR="00717343" w:rsidRPr="005C446F" w:rsidRDefault="00717343">
      <w:pPr>
        <w:pStyle w:val="FootnoteText"/>
        <w:rPr>
          <w:rFonts w:asciiTheme="minorHAnsi" w:hAnsiTheme="minorHAnsi" w:cstheme="minorHAnsi"/>
          <w:sz w:val="16"/>
          <w:szCs w:val="16"/>
        </w:rPr>
      </w:pPr>
      <w:r w:rsidRPr="005C446F">
        <w:rPr>
          <w:rStyle w:val="FootnoteReference"/>
          <w:rFonts w:asciiTheme="minorHAnsi" w:hAnsiTheme="minorHAnsi" w:cstheme="minorHAnsi"/>
          <w:sz w:val="16"/>
          <w:szCs w:val="16"/>
        </w:rPr>
        <w:footnoteRef/>
      </w:r>
      <w:r w:rsidRPr="005C446F">
        <w:rPr>
          <w:rFonts w:asciiTheme="minorHAnsi" w:hAnsiTheme="minorHAnsi" w:cstheme="minorHAnsi"/>
          <w:sz w:val="16"/>
          <w:szCs w:val="16"/>
        </w:rPr>
        <w:t xml:space="preserve"> </w:t>
      </w:r>
      <w:r>
        <w:rPr>
          <w:rFonts w:asciiTheme="minorHAnsi" w:hAnsiTheme="minorHAnsi" w:cstheme="minorHAnsi"/>
          <w:sz w:val="16"/>
          <w:szCs w:val="16"/>
        </w:rPr>
        <w:t>J Daley</w:t>
      </w:r>
      <w:r w:rsidRPr="005C446F">
        <w:rPr>
          <w:rFonts w:asciiTheme="minorHAnsi" w:hAnsiTheme="minorHAnsi" w:cstheme="minorHAnsi"/>
          <w:sz w:val="16"/>
          <w:szCs w:val="16"/>
        </w:rPr>
        <w:t xml:space="preserve">, </w:t>
      </w:r>
      <w:r>
        <w:rPr>
          <w:rFonts w:asciiTheme="minorHAnsi" w:hAnsiTheme="minorHAnsi" w:cstheme="minorHAnsi"/>
          <w:sz w:val="16"/>
          <w:szCs w:val="16"/>
        </w:rPr>
        <w:t xml:space="preserve">C </w:t>
      </w:r>
      <w:proofErr w:type="spellStart"/>
      <w:r>
        <w:rPr>
          <w:rFonts w:asciiTheme="minorHAnsi" w:hAnsiTheme="minorHAnsi" w:cstheme="minorHAnsi"/>
          <w:sz w:val="16"/>
          <w:szCs w:val="16"/>
        </w:rPr>
        <w:t>McGannon</w:t>
      </w:r>
      <w:proofErr w:type="spellEnd"/>
      <w:r>
        <w:rPr>
          <w:rFonts w:asciiTheme="minorHAnsi" w:hAnsiTheme="minorHAnsi" w:cstheme="minorHAnsi"/>
          <w:sz w:val="16"/>
          <w:szCs w:val="16"/>
        </w:rPr>
        <w:t xml:space="preserve"> &amp; L </w:t>
      </w:r>
      <w:proofErr w:type="spellStart"/>
      <w:r>
        <w:rPr>
          <w:rFonts w:asciiTheme="minorHAnsi" w:hAnsiTheme="minorHAnsi" w:cstheme="minorHAnsi"/>
          <w:sz w:val="16"/>
          <w:szCs w:val="16"/>
        </w:rPr>
        <w:t>Ginnivan</w:t>
      </w:r>
      <w:proofErr w:type="spellEnd"/>
      <w:r>
        <w:rPr>
          <w:rFonts w:asciiTheme="minorHAnsi" w:hAnsiTheme="minorHAnsi" w:cstheme="minorHAnsi"/>
          <w:sz w:val="16"/>
          <w:szCs w:val="16"/>
        </w:rPr>
        <w:t xml:space="preserve">, </w:t>
      </w:r>
      <w:r>
        <w:rPr>
          <w:rFonts w:asciiTheme="minorHAnsi" w:hAnsiTheme="minorHAnsi" w:cstheme="minorHAnsi"/>
          <w:i/>
          <w:sz w:val="16"/>
          <w:szCs w:val="16"/>
        </w:rPr>
        <w:t>Game Changers: e</w:t>
      </w:r>
      <w:r w:rsidRPr="005C446F">
        <w:rPr>
          <w:rFonts w:asciiTheme="minorHAnsi" w:hAnsiTheme="minorHAnsi" w:cstheme="minorHAnsi"/>
          <w:i/>
          <w:sz w:val="16"/>
          <w:szCs w:val="16"/>
        </w:rPr>
        <w:t xml:space="preserve">conomic </w:t>
      </w:r>
      <w:r>
        <w:rPr>
          <w:rFonts w:asciiTheme="minorHAnsi" w:hAnsiTheme="minorHAnsi" w:cstheme="minorHAnsi"/>
          <w:i/>
          <w:sz w:val="16"/>
          <w:szCs w:val="16"/>
        </w:rPr>
        <w:t>r</w:t>
      </w:r>
      <w:r w:rsidRPr="005C446F">
        <w:rPr>
          <w:rFonts w:asciiTheme="minorHAnsi" w:hAnsiTheme="minorHAnsi" w:cstheme="minorHAnsi"/>
          <w:i/>
          <w:sz w:val="16"/>
          <w:szCs w:val="16"/>
        </w:rPr>
        <w:t xml:space="preserve">eform </w:t>
      </w:r>
      <w:r>
        <w:rPr>
          <w:rFonts w:asciiTheme="minorHAnsi" w:hAnsiTheme="minorHAnsi" w:cstheme="minorHAnsi"/>
          <w:i/>
          <w:sz w:val="16"/>
          <w:szCs w:val="16"/>
        </w:rPr>
        <w:t>p</w:t>
      </w:r>
      <w:r w:rsidRPr="005C446F">
        <w:rPr>
          <w:rFonts w:asciiTheme="minorHAnsi" w:hAnsiTheme="minorHAnsi" w:cstheme="minorHAnsi"/>
          <w:i/>
          <w:sz w:val="16"/>
          <w:szCs w:val="16"/>
        </w:rPr>
        <w:t>riorities for Australia</w:t>
      </w:r>
      <w:r w:rsidRPr="005C446F">
        <w:rPr>
          <w:rFonts w:asciiTheme="minorHAnsi" w:hAnsiTheme="minorHAnsi" w:cstheme="minorHAnsi"/>
          <w:sz w:val="16"/>
          <w:szCs w:val="16"/>
        </w:rPr>
        <w:t>, Grattan Institute</w:t>
      </w:r>
      <w:r>
        <w:rPr>
          <w:rFonts w:asciiTheme="minorHAnsi" w:hAnsiTheme="minorHAnsi" w:cstheme="minorHAnsi"/>
          <w:sz w:val="16"/>
          <w:szCs w:val="16"/>
        </w:rPr>
        <w:t>, Melbourne, 2012.</w:t>
      </w:r>
    </w:p>
  </w:footnote>
  <w:footnote w:id="4">
    <w:p w:rsidR="00717343" w:rsidRPr="005C446F" w:rsidRDefault="00717343">
      <w:pPr>
        <w:pStyle w:val="FootnoteText"/>
        <w:rPr>
          <w:rFonts w:asciiTheme="minorHAnsi" w:hAnsiTheme="minorHAnsi" w:cstheme="minorHAnsi"/>
          <w:sz w:val="16"/>
          <w:szCs w:val="16"/>
        </w:rPr>
      </w:pPr>
      <w:r w:rsidRPr="00C9510D">
        <w:rPr>
          <w:rStyle w:val="FootnoteReference"/>
          <w:rFonts w:asciiTheme="minorHAnsi" w:hAnsiTheme="minorHAnsi" w:cstheme="minorHAnsi"/>
          <w:sz w:val="16"/>
          <w:szCs w:val="16"/>
        </w:rPr>
        <w:footnoteRef/>
      </w:r>
      <w:r w:rsidRPr="005C446F">
        <w:rPr>
          <w:rFonts w:asciiTheme="minorHAnsi" w:hAnsiTheme="minorHAnsi" w:cstheme="minorHAnsi"/>
          <w:sz w:val="16"/>
          <w:szCs w:val="16"/>
        </w:rPr>
        <w:t xml:space="preserve"> </w:t>
      </w:r>
      <w:proofErr w:type="gramStart"/>
      <w:r w:rsidRPr="005C446F">
        <w:rPr>
          <w:rFonts w:asciiTheme="minorHAnsi" w:hAnsiTheme="minorHAnsi" w:cstheme="minorHAnsi"/>
          <w:sz w:val="16"/>
          <w:szCs w:val="16"/>
        </w:rPr>
        <w:t xml:space="preserve">OECD, </w:t>
      </w:r>
      <w:r w:rsidRPr="005C446F">
        <w:rPr>
          <w:rFonts w:asciiTheme="minorHAnsi" w:hAnsiTheme="minorHAnsi" w:cstheme="minorHAnsi"/>
          <w:i/>
          <w:sz w:val="16"/>
          <w:szCs w:val="16"/>
        </w:rPr>
        <w:t>Closing the Gender Gap.</w:t>
      </w:r>
      <w:proofErr w:type="gramEnd"/>
      <w:r w:rsidRPr="005C446F">
        <w:rPr>
          <w:rFonts w:asciiTheme="minorHAnsi" w:hAnsiTheme="minorHAnsi" w:cstheme="minorHAnsi"/>
          <w:i/>
          <w:sz w:val="16"/>
          <w:szCs w:val="16"/>
        </w:rPr>
        <w:t xml:space="preserve"> Act Now</w:t>
      </w:r>
      <w:r>
        <w:rPr>
          <w:rFonts w:asciiTheme="minorHAnsi" w:hAnsiTheme="minorHAnsi" w:cstheme="minorHAnsi"/>
          <w:sz w:val="16"/>
          <w:szCs w:val="16"/>
        </w:rPr>
        <w:t xml:space="preserve">, OECD Publishing, </w:t>
      </w:r>
      <w:r w:rsidRPr="005C446F">
        <w:rPr>
          <w:rFonts w:asciiTheme="minorHAnsi" w:hAnsiTheme="minorHAnsi" w:cstheme="minorHAnsi"/>
          <w:sz w:val="16"/>
          <w:szCs w:val="16"/>
        </w:rPr>
        <w:t>2012</w:t>
      </w:r>
      <w:r>
        <w:rPr>
          <w:rFonts w:asciiTheme="minorHAnsi" w:hAnsiTheme="minorHAnsi" w:cstheme="minorHAnsi"/>
          <w:sz w:val="16"/>
          <w:szCs w:val="16"/>
        </w:rPr>
        <w:t>.</w:t>
      </w:r>
    </w:p>
  </w:footnote>
  <w:footnote w:id="5">
    <w:p w:rsidR="00717343" w:rsidRPr="005C446F" w:rsidRDefault="00717343">
      <w:pPr>
        <w:pStyle w:val="FootnoteText"/>
        <w:rPr>
          <w:rFonts w:asciiTheme="minorHAnsi" w:hAnsiTheme="minorHAnsi" w:cstheme="minorHAnsi"/>
          <w:sz w:val="16"/>
          <w:szCs w:val="16"/>
        </w:rPr>
      </w:pPr>
      <w:r w:rsidRPr="005C446F">
        <w:rPr>
          <w:rStyle w:val="FootnoteReference"/>
          <w:rFonts w:asciiTheme="minorHAnsi" w:hAnsiTheme="minorHAnsi" w:cstheme="minorHAnsi"/>
          <w:sz w:val="16"/>
          <w:szCs w:val="16"/>
        </w:rPr>
        <w:footnoteRef/>
      </w:r>
      <w:r w:rsidRPr="005C446F">
        <w:rPr>
          <w:rFonts w:asciiTheme="minorHAnsi" w:hAnsiTheme="minorHAnsi" w:cstheme="minorHAnsi"/>
          <w:sz w:val="16"/>
          <w:szCs w:val="16"/>
        </w:rPr>
        <w:t xml:space="preserve"> </w:t>
      </w:r>
      <w:r>
        <w:rPr>
          <w:rFonts w:asciiTheme="minorHAnsi" w:hAnsiTheme="minorHAnsi" w:cstheme="minorHAnsi"/>
          <w:sz w:val="16"/>
          <w:szCs w:val="16"/>
        </w:rPr>
        <w:t xml:space="preserve">J </w:t>
      </w:r>
      <w:r w:rsidRPr="005C446F">
        <w:rPr>
          <w:rFonts w:asciiTheme="minorHAnsi" w:hAnsiTheme="minorHAnsi" w:cstheme="minorHAnsi"/>
          <w:sz w:val="16"/>
          <w:szCs w:val="16"/>
        </w:rPr>
        <w:t xml:space="preserve">Dawson, </w:t>
      </w:r>
      <w:r>
        <w:rPr>
          <w:rFonts w:asciiTheme="minorHAnsi" w:hAnsiTheme="minorHAnsi" w:cstheme="minorHAnsi"/>
          <w:sz w:val="16"/>
          <w:szCs w:val="16"/>
        </w:rPr>
        <w:t xml:space="preserve">R </w:t>
      </w:r>
      <w:proofErr w:type="spellStart"/>
      <w:r>
        <w:rPr>
          <w:rFonts w:asciiTheme="minorHAnsi" w:hAnsiTheme="minorHAnsi" w:cstheme="minorHAnsi"/>
          <w:sz w:val="16"/>
          <w:szCs w:val="16"/>
        </w:rPr>
        <w:t>Kersley</w:t>
      </w:r>
      <w:proofErr w:type="spellEnd"/>
      <w:r>
        <w:rPr>
          <w:rFonts w:asciiTheme="minorHAnsi" w:hAnsiTheme="minorHAnsi" w:cstheme="minorHAnsi"/>
          <w:sz w:val="16"/>
          <w:szCs w:val="16"/>
        </w:rPr>
        <w:t xml:space="preserve"> &amp; S </w:t>
      </w:r>
      <w:proofErr w:type="spellStart"/>
      <w:r w:rsidRPr="005C446F">
        <w:rPr>
          <w:rFonts w:asciiTheme="minorHAnsi" w:hAnsiTheme="minorHAnsi" w:cstheme="minorHAnsi"/>
          <w:sz w:val="16"/>
          <w:szCs w:val="16"/>
        </w:rPr>
        <w:t>Natella</w:t>
      </w:r>
      <w:proofErr w:type="spellEnd"/>
      <w:r w:rsidRPr="005C446F">
        <w:rPr>
          <w:rFonts w:asciiTheme="minorHAnsi" w:hAnsiTheme="minorHAnsi" w:cstheme="minorHAnsi"/>
          <w:sz w:val="16"/>
          <w:szCs w:val="16"/>
        </w:rPr>
        <w:t xml:space="preserve">, </w:t>
      </w:r>
      <w:r>
        <w:rPr>
          <w:rFonts w:asciiTheme="minorHAnsi" w:hAnsiTheme="minorHAnsi" w:cstheme="minorHAnsi"/>
          <w:i/>
          <w:sz w:val="16"/>
          <w:szCs w:val="16"/>
        </w:rPr>
        <w:t>The CS Gender 3000: women in senior m</w:t>
      </w:r>
      <w:r w:rsidRPr="005C446F">
        <w:rPr>
          <w:rFonts w:asciiTheme="minorHAnsi" w:hAnsiTheme="minorHAnsi" w:cstheme="minorHAnsi"/>
          <w:i/>
          <w:sz w:val="16"/>
          <w:szCs w:val="16"/>
        </w:rPr>
        <w:t>anagement</w:t>
      </w:r>
      <w:r w:rsidRPr="005C446F">
        <w:rPr>
          <w:rFonts w:asciiTheme="minorHAnsi" w:hAnsiTheme="minorHAnsi" w:cstheme="minorHAnsi"/>
          <w:sz w:val="16"/>
          <w:szCs w:val="16"/>
        </w:rPr>
        <w:t>, Credit Suisse Resear</w:t>
      </w:r>
      <w:r>
        <w:rPr>
          <w:rFonts w:asciiTheme="minorHAnsi" w:hAnsiTheme="minorHAnsi" w:cstheme="minorHAnsi"/>
          <w:sz w:val="16"/>
          <w:szCs w:val="16"/>
        </w:rPr>
        <w:t>ch Institute, 2014.</w:t>
      </w:r>
    </w:p>
  </w:footnote>
  <w:footnote w:id="6">
    <w:p w:rsidR="00717343" w:rsidRPr="005C446F" w:rsidRDefault="00717343" w:rsidP="00396897">
      <w:pPr>
        <w:pStyle w:val="FootnoteText"/>
        <w:rPr>
          <w:rFonts w:asciiTheme="minorHAnsi" w:hAnsiTheme="minorHAnsi" w:cstheme="minorHAnsi"/>
          <w:sz w:val="16"/>
          <w:szCs w:val="16"/>
        </w:rPr>
      </w:pPr>
      <w:r w:rsidRPr="005C446F">
        <w:rPr>
          <w:rFonts w:asciiTheme="minorHAnsi" w:hAnsiTheme="minorHAnsi" w:cstheme="minorHAnsi"/>
          <w:sz w:val="16"/>
          <w:szCs w:val="16"/>
          <w:vertAlign w:val="superscript"/>
        </w:rPr>
        <w:footnoteRef/>
      </w:r>
      <w:r w:rsidRPr="005C446F">
        <w:rPr>
          <w:rFonts w:asciiTheme="minorHAnsi" w:hAnsiTheme="minorHAnsi" w:cstheme="minorHAnsi"/>
          <w:sz w:val="16"/>
          <w:szCs w:val="16"/>
          <w:vertAlign w:val="superscript"/>
        </w:rPr>
        <w:t xml:space="preserve"> </w:t>
      </w:r>
      <w:r>
        <w:rPr>
          <w:rFonts w:asciiTheme="minorHAnsi" w:hAnsiTheme="minorHAnsi" w:cstheme="minorHAnsi"/>
          <w:sz w:val="16"/>
          <w:szCs w:val="16"/>
        </w:rPr>
        <w:t xml:space="preserve">S </w:t>
      </w:r>
      <w:proofErr w:type="spellStart"/>
      <w:r>
        <w:rPr>
          <w:rFonts w:asciiTheme="minorHAnsi" w:hAnsiTheme="minorHAnsi" w:cstheme="minorHAnsi"/>
          <w:sz w:val="16"/>
          <w:szCs w:val="16"/>
        </w:rPr>
        <w:t>Devillard</w:t>
      </w:r>
      <w:proofErr w:type="spellEnd"/>
      <w:r>
        <w:rPr>
          <w:rFonts w:asciiTheme="minorHAnsi" w:hAnsiTheme="minorHAnsi" w:cstheme="minorHAnsi"/>
          <w:sz w:val="16"/>
          <w:szCs w:val="16"/>
        </w:rPr>
        <w:t xml:space="preserve">, W Graven, E Lawson, R Paradise &amp; S </w:t>
      </w:r>
      <w:proofErr w:type="spellStart"/>
      <w:r>
        <w:rPr>
          <w:rFonts w:asciiTheme="minorHAnsi" w:hAnsiTheme="minorHAnsi" w:cstheme="minorHAnsi"/>
          <w:sz w:val="16"/>
          <w:szCs w:val="16"/>
        </w:rPr>
        <w:t>Sancier</w:t>
      </w:r>
      <w:proofErr w:type="spellEnd"/>
      <w:r>
        <w:rPr>
          <w:rFonts w:asciiTheme="minorHAnsi" w:hAnsiTheme="minorHAnsi" w:cstheme="minorHAnsi"/>
          <w:sz w:val="16"/>
          <w:szCs w:val="16"/>
        </w:rPr>
        <w:t>-Sultan,</w:t>
      </w:r>
      <w:r w:rsidRPr="005C446F">
        <w:rPr>
          <w:rFonts w:asciiTheme="minorHAnsi" w:hAnsiTheme="minorHAnsi" w:cstheme="minorHAnsi"/>
          <w:sz w:val="16"/>
          <w:szCs w:val="16"/>
        </w:rPr>
        <w:t xml:space="preserve"> </w:t>
      </w:r>
      <w:proofErr w:type="gramStart"/>
      <w:r w:rsidRPr="005C446F">
        <w:rPr>
          <w:rFonts w:asciiTheme="minorHAnsi" w:hAnsiTheme="minorHAnsi" w:cstheme="minorHAnsi"/>
          <w:i/>
          <w:sz w:val="16"/>
          <w:szCs w:val="16"/>
        </w:rPr>
        <w:t>Women</w:t>
      </w:r>
      <w:proofErr w:type="gramEnd"/>
      <w:r w:rsidRPr="005C446F">
        <w:rPr>
          <w:rFonts w:asciiTheme="minorHAnsi" w:hAnsiTheme="minorHAnsi" w:cstheme="minorHAnsi"/>
          <w:i/>
          <w:sz w:val="16"/>
          <w:szCs w:val="16"/>
        </w:rPr>
        <w:t xml:space="preserve"> Matter 2012: </w:t>
      </w:r>
      <w:r>
        <w:rPr>
          <w:rFonts w:asciiTheme="minorHAnsi" w:hAnsiTheme="minorHAnsi" w:cstheme="minorHAnsi"/>
          <w:i/>
          <w:sz w:val="16"/>
          <w:szCs w:val="16"/>
        </w:rPr>
        <w:t>m</w:t>
      </w:r>
      <w:r w:rsidRPr="005C446F">
        <w:rPr>
          <w:rFonts w:asciiTheme="minorHAnsi" w:hAnsiTheme="minorHAnsi" w:cstheme="minorHAnsi"/>
          <w:i/>
          <w:sz w:val="16"/>
          <w:szCs w:val="16"/>
        </w:rPr>
        <w:t xml:space="preserve">aking the </w:t>
      </w:r>
      <w:r>
        <w:rPr>
          <w:rFonts w:asciiTheme="minorHAnsi" w:hAnsiTheme="minorHAnsi" w:cstheme="minorHAnsi"/>
          <w:i/>
          <w:sz w:val="16"/>
          <w:szCs w:val="16"/>
        </w:rPr>
        <w:t>b</w:t>
      </w:r>
      <w:r w:rsidRPr="005C446F">
        <w:rPr>
          <w:rFonts w:asciiTheme="minorHAnsi" w:hAnsiTheme="minorHAnsi" w:cstheme="minorHAnsi"/>
          <w:i/>
          <w:sz w:val="16"/>
          <w:szCs w:val="16"/>
        </w:rPr>
        <w:t>reakthrough</w:t>
      </w:r>
      <w:r>
        <w:rPr>
          <w:rFonts w:asciiTheme="minorHAnsi" w:hAnsiTheme="minorHAnsi" w:cstheme="minorHAnsi"/>
          <w:i/>
          <w:sz w:val="16"/>
          <w:szCs w:val="16"/>
        </w:rPr>
        <w:t xml:space="preserve">, </w:t>
      </w:r>
      <w:r>
        <w:rPr>
          <w:rFonts w:asciiTheme="minorHAnsi" w:hAnsiTheme="minorHAnsi" w:cstheme="minorHAnsi"/>
          <w:sz w:val="16"/>
          <w:szCs w:val="16"/>
        </w:rPr>
        <w:t>McKinsey &amp; Company, 2012</w:t>
      </w:r>
      <w:r w:rsidRPr="005C446F">
        <w:rPr>
          <w:rFonts w:asciiTheme="minorHAnsi" w:hAnsiTheme="minorHAnsi" w:cstheme="minorHAnsi"/>
          <w:i/>
          <w:sz w:val="16"/>
          <w:szCs w:val="16"/>
        </w:rPr>
        <w:t>.</w:t>
      </w:r>
    </w:p>
  </w:footnote>
  <w:footnote w:id="7">
    <w:p w:rsidR="00717343" w:rsidRPr="007E6CEC" w:rsidRDefault="00717343" w:rsidP="00CB3713">
      <w:pPr>
        <w:pStyle w:val="FootnoteText"/>
        <w:rPr>
          <w:sz w:val="16"/>
          <w:szCs w:val="16"/>
        </w:rPr>
      </w:pPr>
      <w:r w:rsidRPr="003739E2">
        <w:rPr>
          <w:rStyle w:val="FootnoteReference"/>
          <w:rFonts w:asciiTheme="minorHAnsi" w:hAnsiTheme="minorHAnsi" w:cstheme="minorHAnsi"/>
          <w:sz w:val="16"/>
          <w:szCs w:val="16"/>
        </w:rPr>
        <w:footnoteRef/>
      </w:r>
      <w:r>
        <w:rPr>
          <w:rFonts w:asciiTheme="minorHAnsi" w:hAnsiTheme="minorHAnsi" w:cstheme="minorHAnsi"/>
          <w:sz w:val="16"/>
          <w:szCs w:val="16"/>
        </w:rPr>
        <w:t xml:space="preserve">H </w:t>
      </w:r>
      <w:r w:rsidRPr="007E6CEC">
        <w:rPr>
          <w:rFonts w:asciiTheme="minorHAnsi" w:hAnsiTheme="minorHAnsi" w:cstheme="minorHAnsi"/>
          <w:sz w:val="16"/>
          <w:szCs w:val="16"/>
        </w:rPr>
        <w:t xml:space="preserve">Conway, Education and Employment Legislative Committee, Senate Estimates </w:t>
      </w:r>
      <w:r>
        <w:rPr>
          <w:rFonts w:asciiTheme="minorHAnsi" w:hAnsiTheme="minorHAnsi" w:cstheme="minorHAnsi"/>
          <w:sz w:val="16"/>
          <w:szCs w:val="16"/>
        </w:rPr>
        <w:t>H</w:t>
      </w:r>
      <w:r w:rsidRPr="007E6CEC">
        <w:rPr>
          <w:rFonts w:asciiTheme="minorHAnsi" w:hAnsiTheme="minorHAnsi" w:cstheme="minorHAnsi"/>
          <w:sz w:val="16"/>
          <w:szCs w:val="16"/>
        </w:rPr>
        <w:t>ansard, Thursday</w:t>
      </w:r>
      <w:r>
        <w:rPr>
          <w:rFonts w:asciiTheme="minorHAnsi" w:hAnsiTheme="minorHAnsi" w:cstheme="minorHAnsi"/>
          <w:sz w:val="16"/>
          <w:szCs w:val="16"/>
        </w:rPr>
        <w:t>,</w:t>
      </w:r>
      <w:r w:rsidRPr="007E6CEC">
        <w:rPr>
          <w:rFonts w:asciiTheme="minorHAnsi" w:hAnsiTheme="minorHAnsi" w:cstheme="minorHAnsi"/>
          <w:sz w:val="16"/>
          <w:szCs w:val="16"/>
        </w:rPr>
        <w:t xml:space="preserve"> 23 October 2014.</w:t>
      </w:r>
      <w:r w:rsidRPr="007E6CEC">
        <w:rPr>
          <w:sz w:val="16"/>
          <w:szCs w:val="16"/>
        </w:rPr>
        <w:t xml:space="preserve"> </w:t>
      </w:r>
    </w:p>
  </w:footnote>
  <w:footnote w:id="8">
    <w:p w:rsidR="00717343" w:rsidRPr="008D6939" w:rsidRDefault="00717343" w:rsidP="00CB3713">
      <w:pPr>
        <w:pStyle w:val="FootnoteText"/>
        <w:rPr>
          <w:sz w:val="16"/>
          <w:szCs w:val="16"/>
        </w:rPr>
      </w:pPr>
      <w:r w:rsidRPr="003739E2">
        <w:rPr>
          <w:rStyle w:val="FootnoteReference"/>
          <w:rFonts w:asciiTheme="minorHAnsi" w:hAnsiTheme="minorHAnsi" w:cstheme="minorHAnsi"/>
          <w:sz w:val="16"/>
          <w:szCs w:val="16"/>
        </w:rPr>
        <w:footnoteRef/>
      </w:r>
      <w:r w:rsidRPr="007E6CEC">
        <w:rPr>
          <w:rFonts w:asciiTheme="minorHAnsi" w:hAnsiTheme="minorHAnsi" w:cstheme="minorHAnsi"/>
          <w:sz w:val="16"/>
          <w:szCs w:val="16"/>
        </w:rPr>
        <w:t xml:space="preserve">This figure is estimated over a </w:t>
      </w:r>
      <w:r>
        <w:rPr>
          <w:rFonts w:asciiTheme="minorHAnsi" w:hAnsiTheme="minorHAnsi" w:cstheme="minorHAnsi"/>
          <w:sz w:val="16"/>
          <w:szCs w:val="16"/>
        </w:rPr>
        <w:t>10-</w:t>
      </w:r>
      <w:r w:rsidRPr="007E6CEC">
        <w:rPr>
          <w:rFonts w:asciiTheme="minorHAnsi" w:hAnsiTheme="minorHAnsi" w:cstheme="minorHAnsi"/>
          <w:sz w:val="16"/>
          <w:szCs w:val="16"/>
        </w:rPr>
        <w:t>year average commencing in the 2015</w:t>
      </w:r>
      <w:r w:rsidRPr="00AD3BCD">
        <w:rPr>
          <w:rFonts w:asciiTheme="minorHAnsi" w:hAnsiTheme="minorHAnsi" w:cstheme="minorHAnsi"/>
        </w:rPr>
        <w:t>–</w:t>
      </w:r>
      <w:r w:rsidRPr="007E6CEC">
        <w:rPr>
          <w:rFonts w:asciiTheme="minorHAnsi" w:hAnsiTheme="minorHAnsi" w:cstheme="minorHAnsi"/>
          <w:sz w:val="16"/>
          <w:szCs w:val="16"/>
        </w:rPr>
        <w:t>16 reporting period.</w:t>
      </w:r>
    </w:p>
  </w:footnote>
  <w:footnote w:id="9">
    <w:p w:rsidR="00717343" w:rsidRDefault="00717343">
      <w:pPr>
        <w:pStyle w:val="FootnoteText"/>
      </w:pPr>
      <w:r w:rsidRPr="003739E2">
        <w:rPr>
          <w:rStyle w:val="FootnoteReference"/>
          <w:rFonts w:asciiTheme="minorHAnsi" w:hAnsiTheme="minorHAnsi" w:cstheme="minorHAnsi"/>
          <w:sz w:val="16"/>
          <w:szCs w:val="16"/>
        </w:rPr>
        <w:footnoteRef/>
      </w:r>
      <w:r>
        <w:t xml:space="preserve"> </w:t>
      </w:r>
      <w:r>
        <w:rPr>
          <w:rFonts w:asciiTheme="minorHAnsi" w:hAnsiTheme="minorHAnsi" w:cstheme="minorHAnsi"/>
          <w:sz w:val="16"/>
          <w:szCs w:val="16"/>
        </w:rPr>
        <w:t xml:space="preserve">R </w:t>
      </w:r>
      <w:proofErr w:type="spellStart"/>
      <w:r>
        <w:rPr>
          <w:rFonts w:asciiTheme="minorHAnsi" w:hAnsiTheme="minorHAnsi" w:cstheme="minorHAnsi"/>
          <w:sz w:val="16"/>
          <w:szCs w:val="16"/>
        </w:rPr>
        <w:t>Cassells</w:t>
      </w:r>
      <w:proofErr w:type="spellEnd"/>
      <w:r>
        <w:rPr>
          <w:rFonts w:asciiTheme="minorHAnsi" w:hAnsiTheme="minorHAnsi" w:cstheme="minorHAnsi"/>
          <w:sz w:val="16"/>
          <w:szCs w:val="16"/>
        </w:rPr>
        <w:t xml:space="preserve">, Y </w:t>
      </w:r>
      <w:proofErr w:type="spellStart"/>
      <w:r>
        <w:rPr>
          <w:rFonts w:asciiTheme="minorHAnsi" w:hAnsiTheme="minorHAnsi" w:cstheme="minorHAnsi"/>
          <w:sz w:val="16"/>
          <w:szCs w:val="16"/>
        </w:rPr>
        <w:t>Vidyattama</w:t>
      </w:r>
      <w:proofErr w:type="spellEnd"/>
      <w:r>
        <w:rPr>
          <w:rFonts w:asciiTheme="minorHAnsi" w:hAnsiTheme="minorHAnsi" w:cstheme="minorHAnsi"/>
          <w:sz w:val="16"/>
          <w:szCs w:val="16"/>
        </w:rPr>
        <w:t xml:space="preserve">, R </w:t>
      </w:r>
      <w:proofErr w:type="spellStart"/>
      <w:r>
        <w:rPr>
          <w:rFonts w:asciiTheme="minorHAnsi" w:hAnsiTheme="minorHAnsi" w:cstheme="minorHAnsi"/>
          <w:sz w:val="16"/>
          <w:szCs w:val="16"/>
        </w:rPr>
        <w:t>Miranti</w:t>
      </w:r>
      <w:proofErr w:type="spellEnd"/>
      <w:r>
        <w:rPr>
          <w:rFonts w:asciiTheme="minorHAnsi" w:hAnsiTheme="minorHAnsi" w:cstheme="minorHAnsi"/>
          <w:sz w:val="16"/>
          <w:szCs w:val="16"/>
        </w:rPr>
        <w:t xml:space="preserve"> &amp; J McNamara, </w:t>
      </w:r>
      <w:r>
        <w:rPr>
          <w:rFonts w:asciiTheme="minorHAnsi" w:hAnsiTheme="minorHAnsi" w:cstheme="minorHAnsi"/>
          <w:i/>
          <w:sz w:val="16"/>
          <w:szCs w:val="16"/>
        </w:rPr>
        <w:t>The impact of a sustained gender wage gap on the Australian e</w:t>
      </w:r>
      <w:r w:rsidRPr="00864CCC">
        <w:rPr>
          <w:rFonts w:asciiTheme="minorHAnsi" w:hAnsiTheme="minorHAnsi" w:cstheme="minorHAnsi"/>
          <w:i/>
          <w:sz w:val="16"/>
          <w:szCs w:val="16"/>
        </w:rPr>
        <w:t>conomy</w:t>
      </w:r>
      <w:r>
        <w:rPr>
          <w:rFonts w:asciiTheme="minorHAnsi" w:hAnsiTheme="minorHAnsi" w:cstheme="minorHAnsi"/>
          <w:sz w:val="16"/>
          <w:szCs w:val="16"/>
        </w:rPr>
        <w:t>,</w:t>
      </w:r>
      <w:r w:rsidRPr="00864CCC">
        <w:rPr>
          <w:rFonts w:asciiTheme="minorHAnsi" w:hAnsiTheme="minorHAnsi" w:cstheme="minorHAnsi"/>
          <w:sz w:val="16"/>
          <w:szCs w:val="16"/>
        </w:rPr>
        <w:t xml:space="preserve"> Report to the Office for Women, Department of Families,</w:t>
      </w:r>
      <w:r>
        <w:rPr>
          <w:rFonts w:asciiTheme="minorHAnsi" w:hAnsiTheme="minorHAnsi" w:cstheme="minorHAnsi"/>
          <w:sz w:val="16"/>
          <w:szCs w:val="16"/>
        </w:rPr>
        <w:t xml:space="preserve"> </w:t>
      </w:r>
      <w:r w:rsidRPr="00864CCC">
        <w:rPr>
          <w:rFonts w:asciiTheme="minorHAnsi" w:hAnsiTheme="minorHAnsi" w:cstheme="minorHAnsi"/>
          <w:sz w:val="16"/>
          <w:szCs w:val="16"/>
        </w:rPr>
        <w:t xml:space="preserve">Community Services, </w:t>
      </w:r>
      <w:r>
        <w:rPr>
          <w:rFonts w:asciiTheme="minorHAnsi" w:hAnsiTheme="minorHAnsi" w:cstheme="minorHAnsi"/>
          <w:sz w:val="16"/>
          <w:szCs w:val="16"/>
        </w:rPr>
        <w:t xml:space="preserve">Housing </w:t>
      </w:r>
      <w:r w:rsidRPr="00864CCC">
        <w:rPr>
          <w:rFonts w:asciiTheme="minorHAnsi" w:hAnsiTheme="minorHAnsi" w:cstheme="minorHAnsi"/>
          <w:sz w:val="16"/>
          <w:szCs w:val="16"/>
        </w:rPr>
        <w:t>and Indigenous Affairs</w:t>
      </w:r>
      <w:r>
        <w:rPr>
          <w:rFonts w:asciiTheme="minorHAnsi" w:hAnsiTheme="minorHAnsi" w:cstheme="minorHAnsi"/>
          <w:sz w:val="16"/>
          <w:szCs w:val="16"/>
        </w:rPr>
        <w:t xml:space="preserve"> (sic), </w:t>
      </w:r>
      <w:proofErr w:type="spellStart"/>
      <w:r>
        <w:rPr>
          <w:rFonts w:asciiTheme="minorHAnsi" w:hAnsiTheme="minorHAnsi" w:cstheme="minorHAnsi"/>
          <w:sz w:val="16"/>
          <w:szCs w:val="16"/>
        </w:rPr>
        <w:t>N</w:t>
      </w:r>
      <w:r w:rsidRPr="00864CCC">
        <w:rPr>
          <w:rFonts w:asciiTheme="minorHAnsi" w:hAnsiTheme="minorHAnsi" w:cstheme="minorHAnsi"/>
          <w:sz w:val="16"/>
          <w:szCs w:val="16"/>
        </w:rPr>
        <w:t>ATSEM</w:t>
      </w:r>
      <w:proofErr w:type="spellEnd"/>
      <w:r w:rsidRPr="00864CCC">
        <w:rPr>
          <w:rFonts w:asciiTheme="minorHAnsi" w:hAnsiTheme="minorHAnsi" w:cstheme="minorHAnsi"/>
          <w:sz w:val="16"/>
          <w:szCs w:val="16"/>
        </w:rPr>
        <w:t>, 2009</w:t>
      </w:r>
      <w:r>
        <w:rPr>
          <w:rFonts w:asciiTheme="minorHAnsi" w:hAnsiTheme="minorHAnsi" w:cstheme="minorHAnsi"/>
          <w:sz w:val="16"/>
          <w:szCs w:val="16"/>
        </w:rPr>
        <w:t>.</w:t>
      </w:r>
    </w:p>
  </w:footnote>
  <w:footnote w:id="10">
    <w:p w:rsidR="00717343" w:rsidRPr="00A14472" w:rsidRDefault="00717343" w:rsidP="00AF56BC">
      <w:pPr>
        <w:pStyle w:val="FootnoteText"/>
        <w:rPr>
          <w:rFonts w:asciiTheme="minorHAnsi" w:hAnsiTheme="minorHAnsi" w:cstheme="minorHAnsi"/>
          <w:i/>
          <w:szCs w:val="22"/>
        </w:rPr>
      </w:pPr>
      <w:r w:rsidRPr="00A14472">
        <w:rPr>
          <w:rStyle w:val="FootnoteReference"/>
          <w:rFonts w:asciiTheme="minorHAnsi" w:hAnsiTheme="minorHAnsi" w:cstheme="minorHAnsi"/>
        </w:rPr>
        <w:footnoteRef/>
      </w:r>
      <w:r>
        <w:rPr>
          <w:rFonts w:asciiTheme="minorHAnsi" w:hAnsiTheme="minorHAnsi" w:cstheme="minorHAnsi"/>
          <w:sz w:val="16"/>
          <w:szCs w:val="16"/>
        </w:rPr>
        <w:t xml:space="preserve"> </w:t>
      </w:r>
      <w:r w:rsidRPr="006C767D">
        <w:rPr>
          <w:rFonts w:asciiTheme="minorHAnsi" w:hAnsiTheme="minorHAnsi" w:cstheme="minorHAnsi"/>
          <w:sz w:val="16"/>
          <w:szCs w:val="16"/>
        </w:rPr>
        <w:t xml:space="preserve">Department of Families, Housing, Community Services and Indigenous Affairs, Regulation Impact Statement, The Reform of the </w:t>
      </w:r>
      <w:r w:rsidRPr="006C767D">
        <w:rPr>
          <w:rFonts w:asciiTheme="minorHAnsi" w:hAnsiTheme="minorHAnsi" w:cstheme="minorHAnsi"/>
          <w:i/>
          <w:sz w:val="16"/>
          <w:szCs w:val="16"/>
        </w:rPr>
        <w:t>Equal Opportunity for Women in the Workplace Act 1999,</w:t>
      </w:r>
      <w:r w:rsidRPr="006C767D">
        <w:rPr>
          <w:rFonts w:asciiTheme="minorHAnsi" w:hAnsiTheme="minorHAnsi" w:cstheme="minorHAnsi"/>
          <w:sz w:val="16"/>
          <w:szCs w:val="16"/>
        </w:rPr>
        <w:t xml:space="preserve"> 2011</w:t>
      </w:r>
      <w:r>
        <w:rPr>
          <w:rFonts w:asciiTheme="minorHAnsi" w:hAnsiTheme="minorHAnsi" w:cstheme="minorHAnsi"/>
          <w:sz w:val="16"/>
          <w:szCs w:val="16"/>
        </w:rPr>
        <w:t xml:space="preserve">, </w:t>
      </w:r>
      <w:r w:rsidRPr="006C767D">
        <w:rPr>
          <w:rFonts w:asciiTheme="minorHAnsi" w:hAnsiTheme="minorHAnsi" w:cstheme="minorHAnsi"/>
          <w:i/>
          <w:sz w:val="16"/>
          <w:szCs w:val="16"/>
        </w:rPr>
        <w:t>http://ris.finance.gov.au/files/2011/03/eowa_reforms_ris.pdf.</w:t>
      </w:r>
    </w:p>
    <w:p w:rsidR="00717343" w:rsidRDefault="00717343" w:rsidP="00AF56BC">
      <w:pPr>
        <w:pStyle w:val="FootnoteText"/>
      </w:pPr>
    </w:p>
  </w:footnote>
  <w:footnote w:id="11">
    <w:p w:rsidR="00717343" w:rsidRDefault="00717343" w:rsidP="00E9272D">
      <w:pPr>
        <w:pStyle w:val="FootnoteText"/>
      </w:pPr>
      <w:r>
        <w:rPr>
          <w:rStyle w:val="FootnoteReference"/>
        </w:rPr>
        <w:footnoteRef/>
      </w:r>
      <w:r>
        <w:t xml:space="preserve"> </w:t>
      </w:r>
      <w:proofErr w:type="gramStart"/>
      <w:r w:rsidRPr="005C446F">
        <w:rPr>
          <w:rFonts w:asciiTheme="minorHAnsi" w:hAnsiTheme="minorHAnsi" w:cstheme="minorHAnsi"/>
          <w:sz w:val="16"/>
          <w:szCs w:val="16"/>
        </w:rPr>
        <w:t xml:space="preserve">OECD, </w:t>
      </w:r>
      <w:r w:rsidRPr="005C446F">
        <w:rPr>
          <w:rFonts w:asciiTheme="minorHAnsi" w:hAnsiTheme="minorHAnsi" w:cstheme="minorHAnsi"/>
          <w:i/>
          <w:sz w:val="16"/>
          <w:szCs w:val="16"/>
        </w:rPr>
        <w:t>Closing the Gender Gap.</w:t>
      </w:r>
      <w:proofErr w:type="gramEnd"/>
      <w:r w:rsidRPr="005C446F">
        <w:rPr>
          <w:rFonts w:asciiTheme="minorHAnsi" w:hAnsiTheme="minorHAnsi" w:cstheme="minorHAnsi"/>
          <w:i/>
          <w:sz w:val="16"/>
          <w:szCs w:val="16"/>
        </w:rPr>
        <w:t xml:space="preserve"> Act Now</w:t>
      </w:r>
      <w:r>
        <w:rPr>
          <w:rFonts w:asciiTheme="minorHAnsi" w:hAnsiTheme="minorHAnsi" w:cstheme="minorHAnsi"/>
          <w:sz w:val="16"/>
          <w:szCs w:val="16"/>
        </w:rPr>
        <w:t xml:space="preserve">, OECD Publishing, </w:t>
      </w:r>
      <w:r w:rsidRPr="005C446F">
        <w:rPr>
          <w:rFonts w:asciiTheme="minorHAnsi" w:hAnsiTheme="minorHAnsi" w:cstheme="minorHAnsi"/>
          <w:sz w:val="16"/>
          <w:szCs w:val="16"/>
        </w:rPr>
        <w:t>2012</w:t>
      </w:r>
      <w:r>
        <w:rPr>
          <w:rFonts w:asciiTheme="minorHAnsi" w:hAnsiTheme="minorHAnsi" w:cstheme="minorHAnsi"/>
          <w:sz w:val="16"/>
          <w:szCs w:val="16"/>
        </w:rPr>
        <w:t>, p. 13.</w:t>
      </w:r>
    </w:p>
  </w:footnote>
  <w:footnote w:id="12">
    <w:p w:rsidR="00717343" w:rsidRDefault="00717343" w:rsidP="00E9272D">
      <w:pPr>
        <w:pStyle w:val="FootnoteText"/>
      </w:pPr>
      <w:r w:rsidRPr="00EE769F">
        <w:rPr>
          <w:rStyle w:val="FootnoteReference"/>
          <w:rFonts w:asciiTheme="minorHAnsi" w:hAnsiTheme="minorHAnsi" w:cstheme="minorHAnsi"/>
          <w:sz w:val="16"/>
          <w:szCs w:val="16"/>
        </w:rPr>
        <w:footnoteRef/>
      </w:r>
      <w:r>
        <w:t xml:space="preserve"> </w:t>
      </w:r>
      <w:r>
        <w:rPr>
          <w:rFonts w:asciiTheme="minorHAnsi" w:hAnsiTheme="minorHAnsi" w:cstheme="minorHAnsi"/>
          <w:sz w:val="16"/>
          <w:szCs w:val="16"/>
        </w:rPr>
        <w:t>J Daley</w:t>
      </w:r>
      <w:r w:rsidRPr="005C446F">
        <w:rPr>
          <w:rFonts w:asciiTheme="minorHAnsi" w:hAnsiTheme="minorHAnsi" w:cstheme="minorHAnsi"/>
          <w:sz w:val="16"/>
          <w:szCs w:val="16"/>
        </w:rPr>
        <w:t xml:space="preserve">, </w:t>
      </w:r>
      <w:r>
        <w:rPr>
          <w:rFonts w:asciiTheme="minorHAnsi" w:hAnsiTheme="minorHAnsi" w:cstheme="minorHAnsi"/>
          <w:sz w:val="16"/>
          <w:szCs w:val="16"/>
        </w:rPr>
        <w:t xml:space="preserve">C </w:t>
      </w:r>
      <w:proofErr w:type="spellStart"/>
      <w:r>
        <w:rPr>
          <w:rFonts w:asciiTheme="minorHAnsi" w:hAnsiTheme="minorHAnsi" w:cstheme="minorHAnsi"/>
          <w:sz w:val="16"/>
          <w:szCs w:val="16"/>
        </w:rPr>
        <w:t>McGannon</w:t>
      </w:r>
      <w:proofErr w:type="spellEnd"/>
      <w:r>
        <w:rPr>
          <w:rFonts w:asciiTheme="minorHAnsi" w:hAnsiTheme="minorHAnsi" w:cstheme="minorHAnsi"/>
          <w:sz w:val="16"/>
          <w:szCs w:val="16"/>
        </w:rPr>
        <w:t xml:space="preserve"> &amp; L </w:t>
      </w:r>
      <w:proofErr w:type="spellStart"/>
      <w:r>
        <w:rPr>
          <w:rFonts w:asciiTheme="minorHAnsi" w:hAnsiTheme="minorHAnsi" w:cstheme="minorHAnsi"/>
          <w:sz w:val="16"/>
          <w:szCs w:val="16"/>
        </w:rPr>
        <w:t>Ginnivan</w:t>
      </w:r>
      <w:proofErr w:type="spellEnd"/>
      <w:r>
        <w:rPr>
          <w:rFonts w:asciiTheme="minorHAnsi" w:hAnsiTheme="minorHAnsi" w:cstheme="minorHAnsi"/>
          <w:sz w:val="16"/>
          <w:szCs w:val="16"/>
        </w:rPr>
        <w:t xml:space="preserve">, </w:t>
      </w:r>
      <w:r>
        <w:rPr>
          <w:rFonts w:asciiTheme="minorHAnsi" w:hAnsiTheme="minorHAnsi" w:cstheme="minorHAnsi"/>
          <w:i/>
          <w:sz w:val="16"/>
          <w:szCs w:val="16"/>
        </w:rPr>
        <w:t>Game Changers: e</w:t>
      </w:r>
      <w:r w:rsidRPr="005C446F">
        <w:rPr>
          <w:rFonts w:asciiTheme="minorHAnsi" w:hAnsiTheme="minorHAnsi" w:cstheme="minorHAnsi"/>
          <w:i/>
          <w:sz w:val="16"/>
          <w:szCs w:val="16"/>
        </w:rPr>
        <w:t xml:space="preserve">conomic </w:t>
      </w:r>
      <w:r>
        <w:rPr>
          <w:rFonts w:asciiTheme="minorHAnsi" w:hAnsiTheme="minorHAnsi" w:cstheme="minorHAnsi"/>
          <w:i/>
          <w:sz w:val="16"/>
          <w:szCs w:val="16"/>
        </w:rPr>
        <w:t>r</w:t>
      </w:r>
      <w:r w:rsidRPr="005C446F">
        <w:rPr>
          <w:rFonts w:asciiTheme="minorHAnsi" w:hAnsiTheme="minorHAnsi" w:cstheme="minorHAnsi"/>
          <w:i/>
          <w:sz w:val="16"/>
          <w:szCs w:val="16"/>
        </w:rPr>
        <w:t xml:space="preserve">eform </w:t>
      </w:r>
      <w:r>
        <w:rPr>
          <w:rFonts w:asciiTheme="minorHAnsi" w:hAnsiTheme="minorHAnsi" w:cstheme="minorHAnsi"/>
          <w:i/>
          <w:sz w:val="16"/>
          <w:szCs w:val="16"/>
        </w:rPr>
        <w:t>p</w:t>
      </w:r>
      <w:r w:rsidRPr="005C446F">
        <w:rPr>
          <w:rFonts w:asciiTheme="minorHAnsi" w:hAnsiTheme="minorHAnsi" w:cstheme="minorHAnsi"/>
          <w:i/>
          <w:sz w:val="16"/>
          <w:szCs w:val="16"/>
        </w:rPr>
        <w:t>riorities for Australia</w:t>
      </w:r>
      <w:r w:rsidRPr="005C446F">
        <w:rPr>
          <w:rFonts w:asciiTheme="minorHAnsi" w:hAnsiTheme="minorHAnsi" w:cstheme="minorHAnsi"/>
          <w:sz w:val="16"/>
          <w:szCs w:val="16"/>
        </w:rPr>
        <w:t>, Grattan Institute</w:t>
      </w:r>
      <w:r>
        <w:rPr>
          <w:rFonts w:asciiTheme="minorHAnsi" w:hAnsiTheme="minorHAnsi" w:cstheme="minorHAnsi"/>
          <w:sz w:val="16"/>
          <w:szCs w:val="16"/>
        </w:rPr>
        <w:t>, Melbourne, 2012.</w:t>
      </w:r>
    </w:p>
  </w:footnote>
  <w:footnote w:id="13">
    <w:p w:rsidR="00717343" w:rsidRPr="00C778BB" w:rsidRDefault="00717343" w:rsidP="00E9272D">
      <w:pPr>
        <w:pStyle w:val="FootnoteText"/>
        <w:rPr>
          <w:rFonts w:asciiTheme="minorHAnsi" w:hAnsiTheme="minorHAnsi" w:cstheme="minorHAnsi"/>
          <w:sz w:val="16"/>
          <w:szCs w:val="16"/>
        </w:rPr>
      </w:pPr>
      <w:r w:rsidRPr="00EE769F">
        <w:rPr>
          <w:rStyle w:val="FootnoteReference"/>
          <w:rFonts w:asciiTheme="minorHAnsi" w:hAnsiTheme="minorHAnsi" w:cstheme="minorHAnsi"/>
          <w:sz w:val="16"/>
          <w:szCs w:val="16"/>
        </w:rPr>
        <w:footnoteRef/>
      </w:r>
      <w:r>
        <w:t xml:space="preserve"> </w:t>
      </w:r>
      <w:proofErr w:type="gramStart"/>
      <w:r w:rsidRPr="005C446F">
        <w:rPr>
          <w:rFonts w:asciiTheme="minorHAnsi" w:hAnsiTheme="minorHAnsi" w:cstheme="minorHAnsi"/>
          <w:sz w:val="16"/>
          <w:szCs w:val="16"/>
        </w:rPr>
        <w:t xml:space="preserve">OECD, </w:t>
      </w:r>
      <w:r w:rsidRPr="005C446F">
        <w:rPr>
          <w:rFonts w:asciiTheme="minorHAnsi" w:hAnsiTheme="minorHAnsi" w:cstheme="minorHAnsi"/>
          <w:i/>
          <w:sz w:val="16"/>
          <w:szCs w:val="16"/>
        </w:rPr>
        <w:t>Closing the Gender Gap.</w:t>
      </w:r>
      <w:proofErr w:type="gramEnd"/>
      <w:r w:rsidRPr="005C446F">
        <w:rPr>
          <w:rFonts w:asciiTheme="minorHAnsi" w:hAnsiTheme="minorHAnsi" w:cstheme="minorHAnsi"/>
          <w:i/>
          <w:sz w:val="16"/>
          <w:szCs w:val="16"/>
        </w:rPr>
        <w:t xml:space="preserve"> Act Now</w:t>
      </w:r>
      <w:r>
        <w:rPr>
          <w:rFonts w:asciiTheme="minorHAnsi" w:hAnsiTheme="minorHAnsi" w:cstheme="minorHAnsi"/>
          <w:sz w:val="16"/>
          <w:szCs w:val="16"/>
        </w:rPr>
        <w:t xml:space="preserve">, OECD Publishing, </w:t>
      </w:r>
      <w:r w:rsidRPr="005C446F">
        <w:rPr>
          <w:rFonts w:asciiTheme="minorHAnsi" w:hAnsiTheme="minorHAnsi" w:cstheme="minorHAnsi"/>
          <w:sz w:val="16"/>
          <w:szCs w:val="16"/>
        </w:rPr>
        <w:t>2012</w:t>
      </w:r>
      <w:r>
        <w:rPr>
          <w:rFonts w:asciiTheme="minorHAnsi" w:hAnsiTheme="minorHAnsi" w:cstheme="minorHAnsi"/>
          <w:sz w:val="16"/>
          <w:szCs w:val="16"/>
        </w:rPr>
        <w:t>.</w:t>
      </w:r>
    </w:p>
  </w:footnote>
  <w:footnote w:id="14">
    <w:p w:rsidR="00717343" w:rsidRPr="00945CB6" w:rsidRDefault="00717343" w:rsidP="009544C2">
      <w:pPr>
        <w:pStyle w:val="FootnoteText"/>
        <w:rPr>
          <w:rFonts w:asciiTheme="minorHAnsi" w:hAnsiTheme="minorHAnsi" w:cstheme="minorHAnsi"/>
          <w:sz w:val="16"/>
          <w:szCs w:val="16"/>
        </w:rPr>
      </w:pPr>
      <w:r w:rsidRPr="00EE769F">
        <w:rPr>
          <w:rStyle w:val="FootnoteReference"/>
          <w:rFonts w:asciiTheme="minorHAnsi" w:hAnsiTheme="minorHAnsi" w:cstheme="minorHAnsi"/>
          <w:sz w:val="16"/>
          <w:szCs w:val="16"/>
        </w:rPr>
        <w:footnoteRef/>
      </w:r>
      <w:r>
        <w:t xml:space="preserve"> </w:t>
      </w:r>
      <w:r>
        <w:rPr>
          <w:rFonts w:asciiTheme="minorHAnsi" w:hAnsiTheme="minorHAnsi" w:cstheme="minorHAnsi"/>
          <w:sz w:val="16"/>
          <w:szCs w:val="16"/>
        </w:rPr>
        <w:t xml:space="preserve">J </w:t>
      </w:r>
      <w:r w:rsidRPr="005C446F">
        <w:rPr>
          <w:rFonts w:asciiTheme="minorHAnsi" w:hAnsiTheme="minorHAnsi" w:cstheme="minorHAnsi"/>
          <w:sz w:val="16"/>
          <w:szCs w:val="16"/>
        </w:rPr>
        <w:t xml:space="preserve">Dawson, </w:t>
      </w:r>
      <w:r>
        <w:rPr>
          <w:rFonts w:asciiTheme="minorHAnsi" w:hAnsiTheme="minorHAnsi" w:cstheme="minorHAnsi"/>
          <w:sz w:val="16"/>
          <w:szCs w:val="16"/>
        </w:rPr>
        <w:t xml:space="preserve">R </w:t>
      </w:r>
      <w:proofErr w:type="spellStart"/>
      <w:r>
        <w:rPr>
          <w:rFonts w:asciiTheme="minorHAnsi" w:hAnsiTheme="minorHAnsi" w:cstheme="minorHAnsi"/>
          <w:sz w:val="16"/>
          <w:szCs w:val="16"/>
        </w:rPr>
        <w:t>Kersley</w:t>
      </w:r>
      <w:proofErr w:type="spellEnd"/>
      <w:r>
        <w:rPr>
          <w:rFonts w:asciiTheme="minorHAnsi" w:hAnsiTheme="minorHAnsi" w:cstheme="minorHAnsi"/>
          <w:sz w:val="16"/>
          <w:szCs w:val="16"/>
        </w:rPr>
        <w:t xml:space="preserve"> &amp; S </w:t>
      </w:r>
      <w:proofErr w:type="spellStart"/>
      <w:r w:rsidRPr="005C446F">
        <w:rPr>
          <w:rFonts w:asciiTheme="minorHAnsi" w:hAnsiTheme="minorHAnsi" w:cstheme="minorHAnsi"/>
          <w:sz w:val="16"/>
          <w:szCs w:val="16"/>
        </w:rPr>
        <w:t>Natella</w:t>
      </w:r>
      <w:proofErr w:type="spellEnd"/>
      <w:r w:rsidRPr="005C446F">
        <w:rPr>
          <w:rFonts w:asciiTheme="minorHAnsi" w:hAnsiTheme="minorHAnsi" w:cstheme="minorHAnsi"/>
          <w:sz w:val="16"/>
          <w:szCs w:val="16"/>
        </w:rPr>
        <w:t xml:space="preserve">, </w:t>
      </w:r>
      <w:r>
        <w:rPr>
          <w:rFonts w:asciiTheme="minorHAnsi" w:hAnsiTheme="minorHAnsi" w:cstheme="minorHAnsi"/>
          <w:i/>
          <w:sz w:val="16"/>
          <w:szCs w:val="16"/>
        </w:rPr>
        <w:t>The CS Gender 3000: women in senior m</w:t>
      </w:r>
      <w:r w:rsidRPr="005C446F">
        <w:rPr>
          <w:rFonts w:asciiTheme="minorHAnsi" w:hAnsiTheme="minorHAnsi" w:cstheme="minorHAnsi"/>
          <w:i/>
          <w:sz w:val="16"/>
          <w:szCs w:val="16"/>
        </w:rPr>
        <w:t>anagement</w:t>
      </w:r>
      <w:r w:rsidRPr="005C446F">
        <w:rPr>
          <w:rFonts w:asciiTheme="minorHAnsi" w:hAnsiTheme="minorHAnsi" w:cstheme="minorHAnsi"/>
          <w:sz w:val="16"/>
          <w:szCs w:val="16"/>
        </w:rPr>
        <w:t>, Credit Suisse Resear</w:t>
      </w:r>
      <w:r>
        <w:rPr>
          <w:rFonts w:asciiTheme="minorHAnsi" w:hAnsiTheme="minorHAnsi" w:cstheme="minorHAnsi"/>
          <w:sz w:val="16"/>
          <w:szCs w:val="16"/>
        </w:rPr>
        <w:t>ch Institute, 2014.</w:t>
      </w:r>
    </w:p>
  </w:footnote>
  <w:footnote w:id="15">
    <w:p w:rsidR="00717343" w:rsidRPr="00864CCC" w:rsidRDefault="00717343" w:rsidP="00E9272D">
      <w:pPr>
        <w:pStyle w:val="FootnoteText"/>
        <w:rPr>
          <w:rFonts w:asciiTheme="minorHAnsi" w:hAnsiTheme="minorHAnsi" w:cstheme="minorHAnsi"/>
          <w:sz w:val="16"/>
          <w:szCs w:val="16"/>
        </w:rPr>
      </w:pPr>
      <w:r w:rsidRPr="00864CCC">
        <w:rPr>
          <w:rStyle w:val="FootnoteReference"/>
          <w:rFonts w:asciiTheme="minorHAnsi" w:hAnsiTheme="minorHAnsi" w:cstheme="minorHAnsi"/>
          <w:sz w:val="16"/>
          <w:szCs w:val="16"/>
        </w:rPr>
        <w:footnoteRef/>
      </w:r>
      <w:r w:rsidRPr="00864CCC">
        <w:rPr>
          <w:rFonts w:asciiTheme="minorHAnsi" w:hAnsiTheme="minorHAnsi" w:cstheme="minorHAnsi"/>
          <w:sz w:val="16"/>
          <w:szCs w:val="16"/>
        </w:rPr>
        <w:t xml:space="preserve"> </w:t>
      </w:r>
      <w:r>
        <w:rPr>
          <w:rFonts w:asciiTheme="minorHAnsi" w:hAnsiTheme="minorHAnsi" w:cstheme="minorHAnsi"/>
          <w:sz w:val="16"/>
          <w:szCs w:val="16"/>
        </w:rPr>
        <w:t xml:space="preserve">T </w:t>
      </w:r>
      <w:proofErr w:type="spellStart"/>
      <w:r>
        <w:rPr>
          <w:rFonts w:asciiTheme="minorHAnsi" w:hAnsiTheme="minorHAnsi" w:cstheme="minorHAnsi"/>
          <w:sz w:val="16"/>
          <w:szCs w:val="16"/>
        </w:rPr>
        <w:t>Toohey</w:t>
      </w:r>
      <w:proofErr w:type="spellEnd"/>
      <w:r>
        <w:rPr>
          <w:rFonts w:asciiTheme="minorHAnsi" w:hAnsiTheme="minorHAnsi" w:cstheme="minorHAnsi"/>
          <w:sz w:val="16"/>
          <w:szCs w:val="16"/>
        </w:rPr>
        <w:t xml:space="preserve">, D </w:t>
      </w:r>
      <w:proofErr w:type="spellStart"/>
      <w:r>
        <w:rPr>
          <w:rFonts w:asciiTheme="minorHAnsi" w:hAnsiTheme="minorHAnsi" w:cstheme="minorHAnsi"/>
          <w:sz w:val="16"/>
          <w:szCs w:val="16"/>
        </w:rPr>
        <w:t>Colosimo</w:t>
      </w:r>
      <w:proofErr w:type="spellEnd"/>
      <w:r>
        <w:rPr>
          <w:rFonts w:asciiTheme="minorHAnsi" w:hAnsiTheme="minorHAnsi" w:cstheme="minorHAnsi"/>
          <w:sz w:val="16"/>
          <w:szCs w:val="16"/>
        </w:rPr>
        <w:t xml:space="preserve">, A </w:t>
      </w:r>
      <w:proofErr w:type="spellStart"/>
      <w:r>
        <w:rPr>
          <w:rFonts w:asciiTheme="minorHAnsi" w:hAnsiTheme="minorHAnsi" w:cstheme="minorHAnsi"/>
          <w:sz w:val="16"/>
          <w:szCs w:val="16"/>
        </w:rPr>
        <w:t>Boak</w:t>
      </w:r>
      <w:proofErr w:type="spellEnd"/>
      <w:r>
        <w:rPr>
          <w:rFonts w:asciiTheme="minorHAnsi" w:hAnsiTheme="minorHAnsi" w:cstheme="minorHAnsi"/>
          <w:sz w:val="16"/>
          <w:szCs w:val="16"/>
        </w:rPr>
        <w:t xml:space="preserve">, </w:t>
      </w:r>
      <w:r>
        <w:rPr>
          <w:rFonts w:asciiTheme="minorHAnsi" w:hAnsiTheme="minorHAnsi" w:cstheme="minorHAnsi"/>
          <w:i/>
          <w:sz w:val="16"/>
          <w:szCs w:val="16"/>
        </w:rPr>
        <w:t>Australia’s Hidden Resource: the economic case for increasing female p</w:t>
      </w:r>
      <w:r w:rsidRPr="00864CCC">
        <w:rPr>
          <w:rFonts w:asciiTheme="minorHAnsi" w:hAnsiTheme="minorHAnsi" w:cstheme="minorHAnsi"/>
          <w:i/>
          <w:sz w:val="16"/>
          <w:szCs w:val="16"/>
        </w:rPr>
        <w:t>articipation</w:t>
      </w:r>
      <w:r>
        <w:rPr>
          <w:rFonts w:asciiTheme="minorHAnsi" w:hAnsiTheme="minorHAnsi" w:cstheme="minorHAnsi"/>
          <w:i/>
          <w:sz w:val="16"/>
          <w:szCs w:val="16"/>
        </w:rPr>
        <w:t>,</w:t>
      </w:r>
      <w:r w:rsidRPr="001979EA">
        <w:rPr>
          <w:rFonts w:asciiTheme="minorHAnsi" w:hAnsiTheme="minorHAnsi" w:cstheme="minorHAnsi"/>
          <w:sz w:val="16"/>
          <w:szCs w:val="16"/>
        </w:rPr>
        <w:t xml:space="preserve"> </w:t>
      </w:r>
      <w:r w:rsidRPr="00864CCC">
        <w:rPr>
          <w:rFonts w:asciiTheme="minorHAnsi" w:hAnsiTheme="minorHAnsi" w:cstheme="minorHAnsi"/>
          <w:sz w:val="16"/>
          <w:szCs w:val="16"/>
        </w:rPr>
        <w:t xml:space="preserve">Goldman Sachs </w:t>
      </w:r>
      <w:proofErr w:type="spellStart"/>
      <w:r>
        <w:rPr>
          <w:rFonts w:asciiTheme="minorHAnsi" w:hAnsiTheme="minorHAnsi" w:cstheme="minorHAnsi"/>
          <w:sz w:val="16"/>
          <w:szCs w:val="16"/>
        </w:rPr>
        <w:t>JBWere</w:t>
      </w:r>
      <w:proofErr w:type="spellEnd"/>
      <w:r>
        <w:rPr>
          <w:rFonts w:asciiTheme="minorHAnsi" w:hAnsiTheme="minorHAnsi" w:cstheme="minorHAnsi"/>
          <w:sz w:val="16"/>
          <w:szCs w:val="16"/>
        </w:rPr>
        <w:t xml:space="preserve">, </w:t>
      </w:r>
      <w:r w:rsidRPr="00864CCC">
        <w:rPr>
          <w:rFonts w:asciiTheme="minorHAnsi" w:hAnsiTheme="minorHAnsi" w:cstheme="minorHAnsi"/>
          <w:sz w:val="16"/>
          <w:szCs w:val="16"/>
        </w:rPr>
        <w:t>Research Report 26 November</w:t>
      </w:r>
      <w:r>
        <w:rPr>
          <w:rFonts w:asciiTheme="minorHAnsi" w:hAnsiTheme="minorHAnsi" w:cstheme="minorHAnsi"/>
          <w:sz w:val="16"/>
          <w:szCs w:val="16"/>
        </w:rPr>
        <w:t>, 2009.</w:t>
      </w:r>
      <w:r w:rsidRPr="00864CCC">
        <w:rPr>
          <w:rFonts w:asciiTheme="minorHAnsi" w:hAnsiTheme="minorHAnsi" w:cstheme="minorHAnsi"/>
          <w:sz w:val="16"/>
          <w:szCs w:val="16"/>
        </w:rPr>
        <w:t xml:space="preserve"> </w:t>
      </w:r>
    </w:p>
  </w:footnote>
  <w:footnote w:id="16">
    <w:p w:rsidR="00717343" w:rsidRDefault="00717343" w:rsidP="00E9272D">
      <w:pPr>
        <w:pStyle w:val="FootnoteText"/>
      </w:pPr>
      <w:r w:rsidRPr="00864CCC">
        <w:rPr>
          <w:rStyle w:val="FootnoteReference"/>
          <w:rFonts w:asciiTheme="minorHAnsi" w:hAnsiTheme="minorHAnsi" w:cstheme="minorHAnsi"/>
          <w:sz w:val="16"/>
          <w:szCs w:val="16"/>
        </w:rPr>
        <w:footnoteRef/>
      </w:r>
      <w:r w:rsidRPr="00864CCC">
        <w:rPr>
          <w:rFonts w:asciiTheme="minorHAnsi" w:hAnsiTheme="minorHAnsi" w:cstheme="minorHAnsi"/>
          <w:sz w:val="16"/>
          <w:szCs w:val="16"/>
        </w:rPr>
        <w:t xml:space="preserve"> </w:t>
      </w:r>
      <w:proofErr w:type="gramStart"/>
      <w:r w:rsidRPr="00864CCC">
        <w:rPr>
          <w:rFonts w:asciiTheme="minorHAnsi" w:hAnsiTheme="minorHAnsi" w:cstheme="minorHAnsi"/>
          <w:sz w:val="16"/>
          <w:szCs w:val="16"/>
        </w:rPr>
        <w:t xml:space="preserve">Australian Bureau of Statistics, </w:t>
      </w:r>
      <w:r w:rsidRPr="00A56BBA">
        <w:rPr>
          <w:rFonts w:asciiTheme="minorHAnsi" w:hAnsiTheme="minorHAnsi" w:cstheme="minorHAnsi"/>
          <w:i/>
          <w:sz w:val="16"/>
          <w:szCs w:val="16"/>
        </w:rPr>
        <w:t>Average Weekly Earnings</w:t>
      </w:r>
      <w:r w:rsidRPr="00864CCC">
        <w:rPr>
          <w:rFonts w:asciiTheme="minorHAnsi" w:hAnsiTheme="minorHAnsi" w:cstheme="minorHAnsi"/>
          <w:sz w:val="16"/>
          <w:szCs w:val="16"/>
        </w:rPr>
        <w:t xml:space="preserve"> 6302.0 and </w:t>
      </w:r>
      <w:r w:rsidRPr="00A56BBA">
        <w:rPr>
          <w:rFonts w:asciiTheme="minorHAnsi" w:hAnsiTheme="minorHAnsi" w:cstheme="minorHAnsi"/>
          <w:i/>
          <w:sz w:val="16"/>
          <w:szCs w:val="16"/>
        </w:rPr>
        <w:t>Labour Force Australia</w:t>
      </w:r>
      <w:r w:rsidRPr="00864CCC">
        <w:rPr>
          <w:rFonts w:asciiTheme="minorHAnsi" w:hAnsiTheme="minorHAnsi" w:cstheme="minorHAnsi"/>
          <w:sz w:val="16"/>
          <w:szCs w:val="16"/>
        </w:rPr>
        <w:t xml:space="preserve">, </w:t>
      </w:r>
      <w:r>
        <w:rPr>
          <w:rFonts w:asciiTheme="minorHAnsi" w:hAnsiTheme="minorHAnsi" w:cstheme="minorHAnsi"/>
          <w:sz w:val="16"/>
          <w:szCs w:val="16"/>
        </w:rPr>
        <w:t>Detailed Quarterly 6291.0.55.00, various years.</w:t>
      </w:r>
      <w:proofErr w:type="gramEnd"/>
    </w:p>
  </w:footnote>
  <w:footnote w:id="17">
    <w:p w:rsidR="00717343" w:rsidRPr="00864CCC" w:rsidRDefault="00717343" w:rsidP="00E9272D">
      <w:pPr>
        <w:pStyle w:val="FootnoteText"/>
        <w:rPr>
          <w:rFonts w:asciiTheme="minorHAnsi" w:hAnsiTheme="minorHAnsi" w:cstheme="minorHAnsi"/>
          <w:sz w:val="16"/>
          <w:szCs w:val="16"/>
        </w:rPr>
      </w:pPr>
      <w:r w:rsidRPr="00864CCC">
        <w:rPr>
          <w:rStyle w:val="FootnoteReference"/>
          <w:rFonts w:asciiTheme="minorHAnsi" w:hAnsiTheme="minorHAnsi" w:cstheme="minorHAnsi"/>
          <w:sz w:val="16"/>
          <w:szCs w:val="16"/>
        </w:rPr>
        <w:footnoteRef/>
      </w:r>
      <w:r w:rsidRPr="00864CCC">
        <w:rPr>
          <w:rFonts w:asciiTheme="minorHAnsi" w:hAnsiTheme="minorHAnsi" w:cstheme="minorHAnsi"/>
          <w:sz w:val="16"/>
          <w:szCs w:val="16"/>
        </w:rPr>
        <w:t xml:space="preserve"> </w:t>
      </w:r>
      <w:r>
        <w:rPr>
          <w:rFonts w:asciiTheme="minorHAnsi" w:hAnsiTheme="minorHAnsi" w:cstheme="minorHAnsi"/>
          <w:sz w:val="16"/>
          <w:szCs w:val="16"/>
        </w:rPr>
        <w:t xml:space="preserve">R </w:t>
      </w:r>
      <w:proofErr w:type="spellStart"/>
      <w:r>
        <w:rPr>
          <w:rFonts w:asciiTheme="minorHAnsi" w:hAnsiTheme="minorHAnsi" w:cstheme="minorHAnsi"/>
          <w:sz w:val="16"/>
          <w:szCs w:val="16"/>
        </w:rPr>
        <w:t>Cassells</w:t>
      </w:r>
      <w:proofErr w:type="spellEnd"/>
      <w:r>
        <w:rPr>
          <w:rFonts w:asciiTheme="minorHAnsi" w:hAnsiTheme="minorHAnsi" w:cstheme="minorHAnsi"/>
          <w:sz w:val="16"/>
          <w:szCs w:val="16"/>
        </w:rPr>
        <w:t xml:space="preserve">, Y </w:t>
      </w:r>
      <w:proofErr w:type="spellStart"/>
      <w:r>
        <w:rPr>
          <w:rFonts w:asciiTheme="minorHAnsi" w:hAnsiTheme="minorHAnsi" w:cstheme="minorHAnsi"/>
          <w:sz w:val="16"/>
          <w:szCs w:val="16"/>
        </w:rPr>
        <w:t>Vidyattama</w:t>
      </w:r>
      <w:proofErr w:type="spellEnd"/>
      <w:r>
        <w:rPr>
          <w:rFonts w:asciiTheme="minorHAnsi" w:hAnsiTheme="minorHAnsi" w:cstheme="minorHAnsi"/>
          <w:sz w:val="16"/>
          <w:szCs w:val="16"/>
        </w:rPr>
        <w:t xml:space="preserve">, R </w:t>
      </w:r>
      <w:proofErr w:type="spellStart"/>
      <w:r>
        <w:rPr>
          <w:rFonts w:asciiTheme="minorHAnsi" w:hAnsiTheme="minorHAnsi" w:cstheme="minorHAnsi"/>
          <w:sz w:val="16"/>
          <w:szCs w:val="16"/>
        </w:rPr>
        <w:t>Miranti</w:t>
      </w:r>
      <w:proofErr w:type="spellEnd"/>
      <w:r>
        <w:rPr>
          <w:rFonts w:asciiTheme="minorHAnsi" w:hAnsiTheme="minorHAnsi" w:cstheme="minorHAnsi"/>
          <w:sz w:val="16"/>
          <w:szCs w:val="16"/>
        </w:rPr>
        <w:t xml:space="preserve"> &amp; J McNamara, </w:t>
      </w:r>
      <w:r>
        <w:rPr>
          <w:rFonts w:asciiTheme="minorHAnsi" w:hAnsiTheme="minorHAnsi" w:cstheme="minorHAnsi"/>
          <w:i/>
          <w:sz w:val="16"/>
          <w:szCs w:val="16"/>
        </w:rPr>
        <w:t>The impact of a sustained gender wage gap on the Australian e</w:t>
      </w:r>
      <w:r w:rsidRPr="00864CCC">
        <w:rPr>
          <w:rFonts w:asciiTheme="minorHAnsi" w:hAnsiTheme="minorHAnsi" w:cstheme="minorHAnsi"/>
          <w:i/>
          <w:sz w:val="16"/>
          <w:szCs w:val="16"/>
        </w:rPr>
        <w:t>conomy</w:t>
      </w:r>
      <w:r>
        <w:rPr>
          <w:rFonts w:asciiTheme="minorHAnsi" w:hAnsiTheme="minorHAnsi" w:cstheme="minorHAnsi"/>
          <w:sz w:val="16"/>
          <w:szCs w:val="16"/>
        </w:rPr>
        <w:t>,</w:t>
      </w:r>
      <w:r w:rsidRPr="00864CCC">
        <w:rPr>
          <w:rFonts w:asciiTheme="minorHAnsi" w:hAnsiTheme="minorHAnsi" w:cstheme="minorHAnsi"/>
          <w:sz w:val="16"/>
          <w:szCs w:val="16"/>
        </w:rPr>
        <w:t xml:space="preserve"> Report to the Office for Women, Department of Families,</w:t>
      </w:r>
      <w:r>
        <w:rPr>
          <w:rFonts w:asciiTheme="minorHAnsi" w:hAnsiTheme="minorHAnsi" w:cstheme="minorHAnsi"/>
          <w:sz w:val="16"/>
          <w:szCs w:val="16"/>
        </w:rPr>
        <w:t xml:space="preserve"> </w:t>
      </w:r>
      <w:r w:rsidRPr="00864CCC">
        <w:rPr>
          <w:rFonts w:asciiTheme="minorHAnsi" w:hAnsiTheme="minorHAnsi" w:cstheme="minorHAnsi"/>
          <w:sz w:val="16"/>
          <w:szCs w:val="16"/>
        </w:rPr>
        <w:t xml:space="preserve">Community Services, </w:t>
      </w:r>
      <w:r>
        <w:rPr>
          <w:rFonts w:asciiTheme="minorHAnsi" w:hAnsiTheme="minorHAnsi" w:cstheme="minorHAnsi"/>
          <w:sz w:val="16"/>
          <w:szCs w:val="16"/>
        </w:rPr>
        <w:t xml:space="preserve">Housing </w:t>
      </w:r>
      <w:r w:rsidRPr="00864CCC">
        <w:rPr>
          <w:rFonts w:asciiTheme="minorHAnsi" w:hAnsiTheme="minorHAnsi" w:cstheme="minorHAnsi"/>
          <w:sz w:val="16"/>
          <w:szCs w:val="16"/>
        </w:rPr>
        <w:t>and Indigenous Affairs</w:t>
      </w:r>
      <w:r>
        <w:rPr>
          <w:rFonts w:asciiTheme="minorHAnsi" w:hAnsiTheme="minorHAnsi" w:cstheme="minorHAnsi"/>
          <w:sz w:val="16"/>
          <w:szCs w:val="16"/>
        </w:rPr>
        <w:t xml:space="preserve"> (sic), </w:t>
      </w:r>
      <w:proofErr w:type="spellStart"/>
      <w:r>
        <w:rPr>
          <w:rFonts w:asciiTheme="minorHAnsi" w:hAnsiTheme="minorHAnsi" w:cstheme="minorHAnsi"/>
          <w:sz w:val="16"/>
          <w:szCs w:val="16"/>
        </w:rPr>
        <w:t>N</w:t>
      </w:r>
      <w:r w:rsidRPr="00864CCC">
        <w:rPr>
          <w:rFonts w:asciiTheme="minorHAnsi" w:hAnsiTheme="minorHAnsi" w:cstheme="minorHAnsi"/>
          <w:sz w:val="16"/>
          <w:szCs w:val="16"/>
        </w:rPr>
        <w:t>ATSEM</w:t>
      </w:r>
      <w:proofErr w:type="spellEnd"/>
      <w:r w:rsidRPr="00864CCC">
        <w:rPr>
          <w:rFonts w:asciiTheme="minorHAnsi" w:hAnsiTheme="minorHAnsi" w:cstheme="minorHAnsi"/>
          <w:sz w:val="16"/>
          <w:szCs w:val="16"/>
        </w:rPr>
        <w:t>, 2009.</w:t>
      </w:r>
    </w:p>
  </w:footnote>
  <w:footnote w:id="18">
    <w:p w:rsidR="00717343" w:rsidRPr="003546F8" w:rsidRDefault="00717343" w:rsidP="00E9272D">
      <w:pPr>
        <w:pStyle w:val="FootnoteText"/>
        <w:rPr>
          <w:rFonts w:asciiTheme="minorHAnsi" w:hAnsiTheme="minorHAnsi" w:cstheme="minorHAnsi"/>
          <w:sz w:val="18"/>
          <w:szCs w:val="18"/>
        </w:rPr>
      </w:pPr>
      <w:r w:rsidRPr="00427132">
        <w:rPr>
          <w:rStyle w:val="FootnoteReference"/>
          <w:rFonts w:asciiTheme="minorHAnsi" w:hAnsiTheme="minorHAnsi" w:cstheme="minorHAnsi"/>
          <w:sz w:val="16"/>
          <w:szCs w:val="16"/>
        </w:rPr>
        <w:footnoteRef/>
      </w:r>
      <w:r w:rsidRPr="00427132">
        <w:rPr>
          <w:rStyle w:val="FootnoteReference"/>
          <w:sz w:val="16"/>
          <w:szCs w:val="16"/>
        </w:rPr>
        <w:t xml:space="preserve"> </w:t>
      </w:r>
      <w:r>
        <w:rPr>
          <w:rFonts w:asciiTheme="minorHAnsi" w:hAnsiTheme="minorHAnsi" w:cstheme="minorHAnsi"/>
          <w:sz w:val="16"/>
          <w:szCs w:val="16"/>
        </w:rPr>
        <w:t xml:space="preserve">Equal Opportunity for Women in the Workplace Agency, </w:t>
      </w:r>
      <w:r w:rsidRPr="001D3472">
        <w:rPr>
          <w:rFonts w:asciiTheme="minorHAnsi" w:hAnsiTheme="minorHAnsi" w:cstheme="minorHAnsi"/>
          <w:i/>
          <w:sz w:val="16"/>
          <w:szCs w:val="16"/>
        </w:rPr>
        <w:t>2012 Australian Census of Women in Leadership</w:t>
      </w:r>
      <w:r w:rsidRPr="00427132">
        <w:rPr>
          <w:rFonts w:asciiTheme="minorHAnsi" w:hAnsiTheme="minorHAnsi" w:cstheme="minorHAnsi"/>
          <w:sz w:val="16"/>
          <w:szCs w:val="16"/>
        </w:rPr>
        <w:t>,</w:t>
      </w:r>
      <w:r>
        <w:rPr>
          <w:rFonts w:asciiTheme="minorHAnsi" w:hAnsiTheme="minorHAnsi" w:cstheme="minorHAnsi"/>
          <w:sz w:val="16"/>
          <w:szCs w:val="16"/>
        </w:rPr>
        <w:t xml:space="preserve"> Commonwealth of Australia, 2012.</w:t>
      </w:r>
      <w:r w:rsidRPr="00427132">
        <w:rPr>
          <w:rFonts w:asciiTheme="minorHAnsi" w:hAnsiTheme="minorHAnsi" w:cstheme="minorHAnsi"/>
          <w:sz w:val="16"/>
          <w:szCs w:val="16"/>
        </w:rPr>
        <w:t xml:space="preserve"> </w:t>
      </w:r>
    </w:p>
  </w:footnote>
  <w:footnote w:id="19">
    <w:p w:rsidR="00717343" w:rsidRPr="00427132" w:rsidRDefault="00717343">
      <w:pPr>
        <w:pStyle w:val="FootnoteText"/>
        <w:rPr>
          <w:rFonts w:asciiTheme="minorHAnsi" w:hAnsiTheme="minorHAnsi" w:cstheme="minorHAnsi"/>
          <w:sz w:val="16"/>
          <w:szCs w:val="16"/>
        </w:rPr>
      </w:pPr>
      <w:r w:rsidRPr="00427132">
        <w:rPr>
          <w:rStyle w:val="FootnoteReference"/>
          <w:rFonts w:asciiTheme="minorHAnsi" w:hAnsiTheme="minorHAnsi" w:cstheme="minorHAnsi"/>
          <w:sz w:val="16"/>
          <w:szCs w:val="16"/>
        </w:rPr>
        <w:footnoteRef/>
      </w:r>
      <w:r w:rsidRPr="003546F8">
        <w:rPr>
          <w:rFonts w:asciiTheme="minorHAnsi" w:hAnsiTheme="minorHAnsi" w:cstheme="minorHAnsi"/>
          <w:sz w:val="18"/>
          <w:szCs w:val="18"/>
        </w:rPr>
        <w:t xml:space="preserve"> </w:t>
      </w:r>
      <w:r>
        <w:rPr>
          <w:rFonts w:asciiTheme="minorHAnsi" w:hAnsiTheme="minorHAnsi" w:cstheme="minorHAnsi"/>
          <w:sz w:val="16"/>
          <w:szCs w:val="16"/>
        </w:rPr>
        <w:t xml:space="preserve">R </w:t>
      </w:r>
      <w:proofErr w:type="spellStart"/>
      <w:r>
        <w:rPr>
          <w:rFonts w:asciiTheme="minorHAnsi" w:hAnsiTheme="minorHAnsi" w:cstheme="minorHAnsi"/>
          <w:sz w:val="16"/>
          <w:szCs w:val="16"/>
        </w:rPr>
        <w:t>Cassells</w:t>
      </w:r>
      <w:proofErr w:type="spellEnd"/>
      <w:r>
        <w:rPr>
          <w:rFonts w:asciiTheme="minorHAnsi" w:hAnsiTheme="minorHAnsi" w:cstheme="minorHAnsi"/>
          <w:sz w:val="16"/>
          <w:szCs w:val="16"/>
        </w:rPr>
        <w:t xml:space="preserve">, Y </w:t>
      </w:r>
      <w:proofErr w:type="spellStart"/>
      <w:r>
        <w:rPr>
          <w:rFonts w:asciiTheme="minorHAnsi" w:hAnsiTheme="minorHAnsi" w:cstheme="minorHAnsi"/>
          <w:sz w:val="16"/>
          <w:szCs w:val="16"/>
        </w:rPr>
        <w:t>Vidyattama</w:t>
      </w:r>
      <w:proofErr w:type="spellEnd"/>
      <w:r>
        <w:rPr>
          <w:rFonts w:asciiTheme="minorHAnsi" w:hAnsiTheme="minorHAnsi" w:cstheme="minorHAnsi"/>
          <w:sz w:val="16"/>
          <w:szCs w:val="16"/>
        </w:rPr>
        <w:t xml:space="preserve">, R </w:t>
      </w:r>
      <w:proofErr w:type="spellStart"/>
      <w:r>
        <w:rPr>
          <w:rFonts w:asciiTheme="minorHAnsi" w:hAnsiTheme="minorHAnsi" w:cstheme="minorHAnsi"/>
          <w:sz w:val="16"/>
          <w:szCs w:val="16"/>
        </w:rPr>
        <w:t>Miranti</w:t>
      </w:r>
      <w:proofErr w:type="spellEnd"/>
      <w:r>
        <w:rPr>
          <w:rFonts w:asciiTheme="minorHAnsi" w:hAnsiTheme="minorHAnsi" w:cstheme="minorHAnsi"/>
          <w:sz w:val="16"/>
          <w:szCs w:val="16"/>
        </w:rPr>
        <w:t xml:space="preserve"> &amp; J McNamara, </w:t>
      </w:r>
      <w:r>
        <w:rPr>
          <w:rFonts w:asciiTheme="minorHAnsi" w:hAnsiTheme="minorHAnsi" w:cstheme="minorHAnsi"/>
          <w:i/>
          <w:sz w:val="16"/>
          <w:szCs w:val="16"/>
        </w:rPr>
        <w:t>The impact of a sustained gender wage gap on the Australian e</w:t>
      </w:r>
      <w:r w:rsidRPr="00864CCC">
        <w:rPr>
          <w:rFonts w:asciiTheme="minorHAnsi" w:hAnsiTheme="minorHAnsi" w:cstheme="minorHAnsi"/>
          <w:i/>
          <w:sz w:val="16"/>
          <w:szCs w:val="16"/>
        </w:rPr>
        <w:t>conomy</w:t>
      </w:r>
      <w:r>
        <w:rPr>
          <w:rFonts w:asciiTheme="minorHAnsi" w:hAnsiTheme="minorHAnsi" w:cstheme="minorHAnsi"/>
          <w:sz w:val="16"/>
          <w:szCs w:val="16"/>
        </w:rPr>
        <w:t>,</w:t>
      </w:r>
      <w:r w:rsidRPr="00864CCC">
        <w:rPr>
          <w:rFonts w:asciiTheme="minorHAnsi" w:hAnsiTheme="minorHAnsi" w:cstheme="minorHAnsi"/>
          <w:sz w:val="16"/>
          <w:szCs w:val="16"/>
        </w:rPr>
        <w:t xml:space="preserve"> Report to the Office for Women, Department of Families,</w:t>
      </w:r>
      <w:r>
        <w:rPr>
          <w:rFonts w:asciiTheme="minorHAnsi" w:hAnsiTheme="minorHAnsi" w:cstheme="minorHAnsi"/>
          <w:sz w:val="16"/>
          <w:szCs w:val="16"/>
        </w:rPr>
        <w:t xml:space="preserve"> </w:t>
      </w:r>
      <w:r w:rsidRPr="00864CCC">
        <w:rPr>
          <w:rFonts w:asciiTheme="minorHAnsi" w:hAnsiTheme="minorHAnsi" w:cstheme="minorHAnsi"/>
          <w:sz w:val="16"/>
          <w:szCs w:val="16"/>
        </w:rPr>
        <w:t xml:space="preserve">Community Services, </w:t>
      </w:r>
      <w:r>
        <w:rPr>
          <w:rFonts w:asciiTheme="minorHAnsi" w:hAnsiTheme="minorHAnsi" w:cstheme="minorHAnsi"/>
          <w:sz w:val="16"/>
          <w:szCs w:val="16"/>
        </w:rPr>
        <w:t xml:space="preserve">Housing </w:t>
      </w:r>
      <w:r w:rsidRPr="00864CCC">
        <w:rPr>
          <w:rFonts w:asciiTheme="minorHAnsi" w:hAnsiTheme="minorHAnsi" w:cstheme="minorHAnsi"/>
          <w:sz w:val="16"/>
          <w:szCs w:val="16"/>
        </w:rPr>
        <w:t>and Indigenous Affairs</w:t>
      </w:r>
      <w:r>
        <w:rPr>
          <w:rFonts w:asciiTheme="minorHAnsi" w:hAnsiTheme="minorHAnsi" w:cstheme="minorHAnsi"/>
          <w:sz w:val="16"/>
          <w:szCs w:val="16"/>
        </w:rPr>
        <w:t xml:space="preserve"> (sic), </w:t>
      </w:r>
      <w:proofErr w:type="spellStart"/>
      <w:r>
        <w:rPr>
          <w:rFonts w:asciiTheme="minorHAnsi" w:hAnsiTheme="minorHAnsi" w:cstheme="minorHAnsi"/>
          <w:sz w:val="16"/>
          <w:szCs w:val="16"/>
        </w:rPr>
        <w:t>N</w:t>
      </w:r>
      <w:r w:rsidRPr="00864CCC">
        <w:rPr>
          <w:rFonts w:asciiTheme="minorHAnsi" w:hAnsiTheme="minorHAnsi" w:cstheme="minorHAnsi"/>
          <w:sz w:val="16"/>
          <w:szCs w:val="16"/>
        </w:rPr>
        <w:t>ATSEM</w:t>
      </w:r>
      <w:proofErr w:type="spellEnd"/>
      <w:r w:rsidRPr="00864CCC">
        <w:rPr>
          <w:rFonts w:asciiTheme="minorHAnsi" w:hAnsiTheme="minorHAnsi" w:cstheme="minorHAnsi"/>
          <w:sz w:val="16"/>
          <w:szCs w:val="16"/>
        </w:rPr>
        <w:t>, 2009</w:t>
      </w:r>
      <w:r w:rsidRPr="00427132">
        <w:rPr>
          <w:rFonts w:asciiTheme="minorHAnsi" w:hAnsiTheme="minorHAnsi" w:cstheme="minorHAnsi"/>
          <w:sz w:val="16"/>
          <w:szCs w:val="16"/>
        </w:rPr>
        <w:t>.</w:t>
      </w:r>
    </w:p>
  </w:footnote>
  <w:footnote w:id="20">
    <w:p w:rsidR="00717343" w:rsidRPr="003546F8" w:rsidRDefault="00717343" w:rsidP="00E9272D">
      <w:pPr>
        <w:pStyle w:val="FootnoteText"/>
        <w:rPr>
          <w:rFonts w:asciiTheme="minorHAnsi" w:hAnsiTheme="minorHAnsi" w:cstheme="minorHAnsi"/>
          <w:sz w:val="18"/>
          <w:szCs w:val="18"/>
        </w:rPr>
      </w:pPr>
      <w:r w:rsidRPr="00427132">
        <w:rPr>
          <w:rStyle w:val="FootnoteReference"/>
          <w:rFonts w:asciiTheme="minorHAnsi" w:hAnsiTheme="minorHAnsi" w:cstheme="minorHAnsi"/>
          <w:sz w:val="16"/>
          <w:szCs w:val="16"/>
        </w:rPr>
        <w:footnoteRef/>
      </w:r>
      <w:r w:rsidRPr="003546F8">
        <w:rPr>
          <w:rFonts w:asciiTheme="minorHAnsi" w:hAnsiTheme="minorHAnsi" w:cstheme="minorHAnsi"/>
          <w:sz w:val="18"/>
          <w:szCs w:val="18"/>
        </w:rPr>
        <w:t xml:space="preserve"> </w:t>
      </w:r>
      <w:r>
        <w:rPr>
          <w:rFonts w:asciiTheme="minorHAnsi" w:hAnsiTheme="minorHAnsi" w:cstheme="minorHAnsi"/>
          <w:sz w:val="16"/>
          <w:szCs w:val="16"/>
        </w:rPr>
        <w:t>C Ta</w:t>
      </w:r>
      <w:r w:rsidRPr="00427132">
        <w:rPr>
          <w:rFonts w:asciiTheme="minorHAnsi" w:hAnsiTheme="minorHAnsi" w:cstheme="minorHAnsi"/>
          <w:sz w:val="16"/>
          <w:szCs w:val="16"/>
        </w:rPr>
        <w:t xml:space="preserve">ylor </w:t>
      </w:r>
      <w:r>
        <w:rPr>
          <w:rFonts w:asciiTheme="minorHAnsi" w:hAnsiTheme="minorHAnsi" w:cstheme="minorHAnsi"/>
          <w:sz w:val="16"/>
          <w:szCs w:val="16"/>
        </w:rPr>
        <w:t>“</w:t>
      </w:r>
      <w:r w:rsidRPr="00427132">
        <w:rPr>
          <w:rFonts w:asciiTheme="minorHAnsi" w:hAnsiTheme="minorHAnsi" w:cstheme="minorHAnsi"/>
          <w:sz w:val="16"/>
          <w:szCs w:val="16"/>
        </w:rPr>
        <w:t xml:space="preserve">Microsoft </w:t>
      </w:r>
      <w:proofErr w:type="spellStart"/>
      <w:r w:rsidRPr="00427132">
        <w:rPr>
          <w:rFonts w:asciiTheme="minorHAnsi" w:hAnsiTheme="minorHAnsi" w:cstheme="minorHAnsi"/>
          <w:sz w:val="16"/>
          <w:szCs w:val="16"/>
        </w:rPr>
        <w:t>CEO</w:t>
      </w:r>
      <w:proofErr w:type="spellEnd"/>
      <w:r w:rsidRPr="00427132">
        <w:rPr>
          <w:rFonts w:asciiTheme="minorHAnsi" w:hAnsiTheme="minorHAnsi" w:cstheme="minorHAnsi"/>
          <w:sz w:val="16"/>
          <w:szCs w:val="16"/>
        </w:rPr>
        <w:t xml:space="preserve"> </w:t>
      </w:r>
      <w:proofErr w:type="spellStart"/>
      <w:r w:rsidRPr="00427132">
        <w:rPr>
          <w:rFonts w:asciiTheme="minorHAnsi" w:hAnsiTheme="minorHAnsi" w:cstheme="minorHAnsi"/>
          <w:sz w:val="16"/>
          <w:szCs w:val="16"/>
        </w:rPr>
        <w:t>Satyal</w:t>
      </w:r>
      <w:proofErr w:type="spellEnd"/>
      <w:r w:rsidRPr="00427132">
        <w:rPr>
          <w:rFonts w:asciiTheme="minorHAnsi" w:hAnsiTheme="minorHAnsi" w:cstheme="minorHAnsi"/>
          <w:sz w:val="16"/>
          <w:szCs w:val="16"/>
        </w:rPr>
        <w:t xml:space="preserve"> </w:t>
      </w:r>
      <w:proofErr w:type="spellStart"/>
      <w:r w:rsidRPr="00427132">
        <w:rPr>
          <w:rFonts w:asciiTheme="minorHAnsi" w:hAnsiTheme="minorHAnsi" w:cstheme="minorHAnsi"/>
          <w:sz w:val="16"/>
          <w:szCs w:val="16"/>
        </w:rPr>
        <w:t>Nadella</w:t>
      </w:r>
      <w:proofErr w:type="spellEnd"/>
      <w:r w:rsidRPr="00427132">
        <w:rPr>
          <w:rFonts w:asciiTheme="minorHAnsi" w:hAnsiTheme="minorHAnsi" w:cstheme="minorHAnsi"/>
          <w:sz w:val="16"/>
          <w:szCs w:val="16"/>
        </w:rPr>
        <w:t xml:space="preserve"> discourages women asking for raises, says ‘have faith, in the system</w:t>
      </w:r>
      <w:r>
        <w:rPr>
          <w:rFonts w:asciiTheme="minorHAnsi" w:hAnsiTheme="minorHAnsi" w:cstheme="minorHAnsi"/>
          <w:sz w:val="16"/>
          <w:szCs w:val="16"/>
        </w:rPr>
        <w:t>’”</w:t>
      </w:r>
      <w:r w:rsidRPr="00427132">
        <w:rPr>
          <w:rFonts w:asciiTheme="minorHAnsi" w:hAnsiTheme="minorHAnsi" w:cstheme="minorHAnsi"/>
          <w:sz w:val="16"/>
          <w:szCs w:val="16"/>
        </w:rPr>
        <w:t>, The Sydney Morning Herald, October 10 2014 http://www.smh.com.au/it-pro/expertise/microsoft-ceo-satya-nadella-discourages-women-asking-for-raises-says-have-faith-in-the-system-20141009-1140j6.html accessed 12 November 2014</w:t>
      </w:r>
      <w:r w:rsidRPr="003546F8">
        <w:rPr>
          <w:rFonts w:asciiTheme="minorHAnsi" w:hAnsiTheme="minorHAnsi" w:cstheme="minorHAnsi"/>
          <w:sz w:val="18"/>
          <w:szCs w:val="18"/>
        </w:rPr>
        <w:t>.</w:t>
      </w:r>
    </w:p>
  </w:footnote>
  <w:footnote w:id="21">
    <w:p w:rsidR="00717343" w:rsidRPr="003546F8" w:rsidRDefault="00717343" w:rsidP="00E9272D">
      <w:pPr>
        <w:pStyle w:val="FootnoteText"/>
        <w:rPr>
          <w:rFonts w:asciiTheme="minorHAnsi" w:hAnsiTheme="minorHAnsi" w:cstheme="minorHAnsi"/>
          <w:sz w:val="18"/>
          <w:szCs w:val="18"/>
        </w:rPr>
      </w:pPr>
      <w:r w:rsidRPr="00427132">
        <w:rPr>
          <w:rStyle w:val="FootnoteReference"/>
          <w:rFonts w:asciiTheme="minorHAnsi" w:hAnsiTheme="minorHAnsi" w:cstheme="minorHAnsi"/>
          <w:sz w:val="16"/>
          <w:szCs w:val="16"/>
        </w:rPr>
        <w:footnoteRef/>
      </w:r>
      <w:r w:rsidRPr="003546F8">
        <w:rPr>
          <w:rFonts w:asciiTheme="minorHAnsi" w:hAnsiTheme="minorHAnsi" w:cstheme="minorHAnsi"/>
          <w:sz w:val="18"/>
          <w:szCs w:val="18"/>
        </w:rPr>
        <w:t xml:space="preserve"> </w:t>
      </w:r>
      <w:r>
        <w:rPr>
          <w:rFonts w:asciiTheme="minorHAnsi" w:hAnsiTheme="minorHAnsi" w:cstheme="minorHAnsi"/>
          <w:sz w:val="16"/>
          <w:szCs w:val="16"/>
        </w:rPr>
        <w:t xml:space="preserve">D Baker, </w:t>
      </w:r>
      <w:r w:rsidRPr="0092412A">
        <w:rPr>
          <w:rFonts w:asciiTheme="minorHAnsi" w:hAnsiTheme="minorHAnsi" w:cstheme="minorHAnsi"/>
          <w:i/>
          <w:sz w:val="16"/>
          <w:szCs w:val="16"/>
        </w:rPr>
        <w:t>The Wage Penalty Eff</w:t>
      </w:r>
      <w:r>
        <w:rPr>
          <w:rFonts w:asciiTheme="minorHAnsi" w:hAnsiTheme="minorHAnsi" w:cstheme="minorHAnsi"/>
          <w:i/>
          <w:sz w:val="16"/>
          <w:szCs w:val="16"/>
        </w:rPr>
        <w:t>ect: the hidden cost of maternity l</w:t>
      </w:r>
      <w:r w:rsidRPr="0092412A">
        <w:rPr>
          <w:rFonts w:asciiTheme="minorHAnsi" w:hAnsiTheme="minorHAnsi" w:cstheme="minorHAnsi"/>
          <w:i/>
          <w:sz w:val="16"/>
          <w:szCs w:val="16"/>
        </w:rPr>
        <w:t>eave</w:t>
      </w:r>
      <w:r>
        <w:rPr>
          <w:rFonts w:asciiTheme="minorHAnsi" w:hAnsiTheme="minorHAnsi" w:cstheme="minorHAnsi"/>
          <w:sz w:val="16"/>
          <w:szCs w:val="16"/>
        </w:rPr>
        <w:t>, The Au</w:t>
      </w:r>
      <w:r w:rsidRPr="00427132">
        <w:rPr>
          <w:rFonts w:asciiTheme="minorHAnsi" w:hAnsiTheme="minorHAnsi" w:cstheme="minorHAnsi"/>
          <w:sz w:val="16"/>
          <w:szCs w:val="16"/>
        </w:rPr>
        <w:t xml:space="preserve">stralia Institute, </w:t>
      </w:r>
      <w:r>
        <w:rPr>
          <w:rFonts w:asciiTheme="minorHAnsi" w:hAnsiTheme="minorHAnsi" w:cstheme="minorHAnsi"/>
          <w:sz w:val="16"/>
          <w:szCs w:val="16"/>
        </w:rPr>
        <w:t xml:space="preserve">Policy Brief No. 21, July </w:t>
      </w:r>
      <w:r w:rsidRPr="00427132">
        <w:rPr>
          <w:rFonts w:asciiTheme="minorHAnsi" w:hAnsiTheme="minorHAnsi" w:cstheme="minorHAnsi"/>
          <w:sz w:val="16"/>
          <w:szCs w:val="16"/>
        </w:rPr>
        <w:t>2011</w:t>
      </w:r>
      <w:r>
        <w:rPr>
          <w:rFonts w:asciiTheme="minorHAnsi" w:hAnsiTheme="minorHAnsi" w:cstheme="minorHAnsi"/>
          <w:sz w:val="16"/>
          <w:szCs w:val="16"/>
        </w:rPr>
        <w:t>.</w:t>
      </w:r>
    </w:p>
  </w:footnote>
  <w:footnote w:id="22">
    <w:p w:rsidR="00717343" w:rsidRPr="003546F8" w:rsidRDefault="00717343" w:rsidP="00172903">
      <w:pPr>
        <w:pStyle w:val="FootnoteText"/>
        <w:rPr>
          <w:rFonts w:asciiTheme="minorHAnsi" w:hAnsiTheme="minorHAnsi" w:cstheme="minorHAnsi"/>
          <w:sz w:val="18"/>
          <w:szCs w:val="18"/>
        </w:rPr>
      </w:pPr>
      <w:r w:rsidRPr="00427132">
        <w:rPr>
          <w:rStyle w:val="FootnoteReference"/>
          <w:rFonts w:asciiTheme="minorHAnsi" w:hAnsiTheme="minorHAnsi" w:cstheme="minorHAnsi"/>
          <w:sz w:val="16"/>
          <w:szCs w:val="16"/>
        </w:rPr>
        <w:footnoteRef/>
      </w:r>
      <w:r w:rsidRPr="003546F8">
        <w:rPr>
          <w:rFonts w:asciiTheme="minorHAnsi" w:hAnsiTheme="minorHAnsi" w:cstheme="minorHAnsi"/>
          <w:sz w:val="18"/>
          <w:szCs w:val="18"/>
        </w:rPr>
        <w:t xml:space="preserve"> </w:t>
      </w:r>
      <w:r>
        <w:rPr>
          <w:rFonts w:asciiTheme="minorHAnsi" w:hAnsiTheme="minorHAnsi" w:cstheme="minorHAnsi"/>
          <w:sz w:val="16"/>
          <w:szCs w:val="16"/>
        </w:rPr>
        <w:t xml:space="preserve">R </w:t>
      </w:r>
      <w:proofErr w:type="spellStart"/>
      <w:r>
        <w:rPr>
          <w:rFonts w:asciiTheme="minorHAnsi" w:hAnsiTheme="minorHAnsi" w:cstheme="minorHAnsi"/>
          <w:sz w:val="16"/>
          <w:szCs w:val="16"/>
        </w:rPr>
        <w:t>Cassells</w:t>
      </w:r>
      <w:proofErr w:type="spellEnd"/>
      <w:r>
        <w:rPr>
          <w:rFonts w:asciiTheme="minorHAnsi" w:hAnsiTheme="minorHAnsi" w:cstheme="minorHAnsi"/>
          <w:sz w:val="16"/>
          <w:szCs w:val="16"/>
        </w:rPr>
        <w:t xml:space="preserve">, Y </w:t>
      </w:r>
      <w:proofErr w:type="spellStart"/>
      <w:r>
        <w:rPr>
          <w:rFonts w:asciiTheme="minorHAnsi" w:hAnsiTheme="minorHAnsi" w:cstheme="minorHAnsi"/>
          <w:sz w:val="16"/>
          <w:szCs w:val="16"/>
        </w:rPr>
        <w:t>Vidyattama</w:t>
      </w:r>
      <w:proofErr w:type="spellEnd"/>
      <w:r>
        <w:rPr>
          <w:rFonts w:asciiTheme="minorHAnsi" w:hAnsiTheme="minorHAnsi" w:cstheme="minorHAnsi"/>
          <w:sz w:val="16"/>
          <w:szCs w:val="16"/>
        </w:rPr>
        <w:t xml:space="preserve">, R </w:t>
      </w:r>
      <w:proofErr w:type="spellStart"/>
      <w:r>
        <w:rPr>
          <w:rFonts w:asciiTheme="minorHAnsi" w:hAnsiTheme="minorHAnsi" w:cstheme="minorHAnsi"/>
          <w:sz w:val="16"/>
          <w:szCs w:val="16"/>
        </w:rPr>
        <w:t>Miranti</w:t>
      </w:r>
      <w:proofErr w:type="spellEnd"/>
      <w:r>
        <w:rPr>
          <w:rFonts w:asciiTheme="minorHAnsi" w:hAnsiTheme="minorHAnsi" w:cstheme="minorHAnsi"/>
          <w:sz w:val="16"/>
          <w:szCs w:val="16"/>
        </w:rPr>
        <w:t xml:space="preserve"> &amp; J McNamara, </w:t>
      </w:r>
      <w:r>
        <w:rPr>
          <w:rFonts w:asciiTheme="minorHAnsi" w:hAnsiTheme="minorHAnsi" w:cstheme="minorHAnsi"/>
          <w:i/>
          <w:sz w:val="16"/>
          <w:szCs w:val="16"/>
        </w:rPr>
        <w:t>The impact of a sustained gender wage gap on the Australian e</w:t>
      </w:r>
      <w:r w:rsidRPr="00864CCC">
        <w:rPr>
          <w:rFonts w:asciiTheme="minorHAnsi" w:hAnsiTheme="minorHAnsi" w:cstheme="minorHAnsi"/>
          <w:i/>
          <w:sz w:val="16"/>
          <w:szCs w:val="16"/>
        </w:rPr>
        <w:t>conomy</w:t>
      </w:r>
      <w:r>
        <w:rPr>
          <w:rFonts w:asciiTheme="minorHAnsi" w:hAnsiTheme="minorHAnsi" w:cstheme="minorHAnsi"/>
          <w:sz w:val="16"/>
          <w:szCs w:val="16"/>
        </w:rPr>
        <w:t>,</w:t>
      </w:r>
      <w:r w:rsidRPr="00864CCC">
        <w:rPr>
          <w:rFonts w:asciiTheme="minorHAnsi" w:hAnsiTheme="minorHAnsi" w:cstheme="minorHAnsi"/>
          <w:sz w:val="16"/>
          <w:szCs w:val="16"/>
        </w:rPr>
        <w:t xml:space="preserve"> Report to the Office for Women, Department of Families,</w:t>
      </w:r>
      <w:r>
        <w:rPr>
          <w:rFonts w:asciiTheme="minorHAnsi" w:hAnsiTheme="minorHAnsi" w:cstheme="minorHAnsi"/>
          <w:sz w:val="16"/>
          <w:szCs w:val="16"/>
        </w:rPr>
        <w:t xml:space="preserve"> </w:t>
      </w:r>
      <w:r w:rsidRPr="00864CCC">
        <w:rPr>
          <w:rFonts w:asciiTheme="minorHAnsi" w:hAnsiTheme="minorHAnsi" w:cstheme="minorHAnsi"/>
          <w:sz w:val="16"/>
          <w:szCs w:val="16"/>
        </w:rPr>
        <w:t xml:space="preserve">Community Services, </w:t>
      </w:r>
      <w:r>
        <w:rPr>
          <w:rFonts w:asciiTheme="minorHAnsi" w:hAnsiTheme="minorHAnsi" w:cstheme="minorHAnsi"/>
          <w:sz w:val="16"/>
          <w:szCs w:val="16"/>
        </w:rPr>
        <w:t xml:space="preserve">Housing </w:t>
      </w:r>
      <w:r w:rsidRPr="00864CCC">
        <w:rPr>
          <w:rFonts w:asciiTheme="minorHAnsi" w:hAnsiTheme="minorHAnsi" w:cstheme="minorHAnsi"/>
          <w:sz w:val="16"/>
          <w:szCs w:val="16"/>
        </w:rPr>
        <w:t>and Indigenous Affairs</w:t>
      </w:r>
      <w:r>
        <w:rPr>
          <w:rFonts w:asciiTheme="minorHAnsi" w:hAnsiTheme="minorHAnsi" w:cstheme="minorHAnsi"/>
          <w:sz w:val="16"/>
          <w:szCs w:val="16"/>
        </w:rPr>
        <w:t xml:space="preserve"> (sic), </w:t>
      </w:r>
      <w:proofErr w:type="spellStart"/>
      <w:r>
        <w:rPr>
          <w:rFonts w:asciiTheme="minorHAnsi" w:hAnsiTheme="minorHAnsi" w:cstheme="minorHAnsi"/>
          <w:sz w:val="16"/>
          <w:szCs w:val="16"/>
        </w:rPr>
        <w:t>N</w:t>
      </w:r>
      <w:r w:rsidRPr="00864CCC">
        <w:rPr>
          <w:rFonts w:asciiTheme="minorHAnsi" w:hAnsiTheme="minorHAnsi" w:cstheme="minorHAnsi"/>
          <w:sz w:val="16"/>
          <w:szCs w:val="16"/>
        </w:rPr>
        <w:t>ATSEM</w:t>
      </w:r>
      <w:proofErr w:type="spellEnd"/>
      <w:r w:rsidRPr="00864CCC">
        <w:rPr>
          <w:rFonts w:asciiTheme="minorHAnsi" w:hAnsiTheme="minorHAnsi" w:cstheme="minorHAnsi"/>
          <w:sz w:val="16"/>
          <w:szCs w:val="16"/>
        </w:rPr>
        <w:t>, 2009.</w:t>
      </w:r>
    </w:p>
  </w:footnote>
  <w:footnote w:id="23">
    <w:p w:rsidR="00717343" w:rsidRPr="003546F8" w:rsidRDefault="00717343" w:rsidP="00E9272D">
      <w:pPr>
        <w:pStyle w:val="FootnoteText"/>
        <w:rPr>
          <w:rFonts w:asciiTheme="minorHAnsi" w:hAnsiTheme="minorHAnsi" w:cstheme="minorHAnsi"/>
          <w:sz w:val="18"/>
          <w:szCs w:val="18"/>
        </w:rPr>
      </w:pPr>
      <w:r w:rsidRPr="00427132">
        <w:rPr>
          <w:rStyle w:val="FootnoteReference"/>
          <w:rFonts w:asciiTheme="minorHAnsi" w:hAnsiTheme="minorHAnsi" w:cstheme="minorHAnsi"/>
          <w:sz w:val="16"/>
          <w:szCs w:val="16"/>
        </w:rPr>
        <w:footnoteRef/>
      </w:r>
      <w:r w:rsidRPr="003546F8">
        <w:rPr>
          <w:rFonts w:asciiTheme="minorHAnsi" w:hAnsiTheme="minorHAnsi" w:cstheme="minorHAnsi"/>
          <w:sz w:val="18"/>
          <w:szCs w:val="18"/>
        </w:rPr>
        <w:t xml:space="preserve"> </w:t>
      </w:r>
      <w:r w:rsidRPr="00427132">
        <w:rPr>
          <w:rFonts w:asciiTheme="minorHAnsi" w:hAnsiTheme="minorHAnsi" w:cstheme="minorHAnsi"/>
          <w:sz w:val="16"/>
          <w:szCs w:val="16"/>
        </w:rPr>
        <w:t>A</w:t>
      </w:r>
      <w:r>
        <w:rPr>
          <w:rFonts w:asciiTheme="minorHAnsi" w:hAnsiTheme="minorHAnsi" w:cstheme="minorHAnsi"/>
          <w:sz w:val="16"/>
          <w:szCs w:val="16"/>
        </w:rPr>
        <w:t xml:space="preserve">ustralian </w:t>
      </w:r>
      <w:r w:rsidRPr="00427132">
        <w:rPr>
          <w:rFonts w:asciiTheme="minorHAnsi" w:hAnsiTheme="minorHAnsi" w:cstheme="minorHAnsi"/>
          <w:sz w:val="16"/>
          <w:szCs w:val="16"/>
        </w:rPr>
        <w:t>B</w:t>
      </w:r>
      <w:r>
        <w:rPr>
          <w:rFonts w:asciiTheme="minorHAnsi" w:hAnsiTheme="minorHAnsi" w:cstheme="minorHAnsi"/>
          <w:sz w:val="16"/>
          <w:szCs w:val="16"/>
        </w:rPr>
        <w:t xml:space="preserve">ureau of </w:t>
      </w:r>
      <w:r w:rsidRPr="00427132">
        <w:rPr>
          <w:rFonts w:asciiTheme="minorHAnsi" w:hAnsiTheme="minorHAnsi" w:cstheme="minorHAnsi"/>
          <w:sz w:val="16"/>
          <w:szCs w:val="16"/>
        </w:rPr>
        <w:t>S</w:t>
      </w:r>
      <w:r>
        <w:rPr>
          <w:rFonts w:asciiTheme="minorHAnsi" w:hAnsiTheme="minorHAnsi" w:cstheme="minorHAnsi"/>
          <w:sz w:val="16"/>
          <w:szCs w:val="16"/>
        </w:rPr>
        <w:t xml:space="preserve">tatistics, </w:t>
      </w:r>
      <w:r w:rsidRPr="00150A88">
        <w:rPr>
          <w:rFonts w:asciiTheme="minorHAnsi" w:hAnsiTheme="minorHAnsi" w:cstheme="minorHAnsi"/>
          <w:i/>
          <w:sz w:val="16"/>
          <w:szCs w:val="16"/>
        </w:rPr>
        <w:t>Education and Work, Australia</w:t>
      </w:r>
      <w:r w:rsidRPr="00427132">
        <w:rPr>
          <w:rFonts w:asciiTheme="minorHAnsi" w:hAnsiTheme="minorHAnsi" w:cstheme="minorHAnsi"/>
          <w:sz w:val="16"/>
          <w:szCs w:val="16"/>
        </w:rPr>
        <w:t xml:space="preserve">, </w:t>
      </w:r>
      <w:r>
        <w:rPr>
          <w:rFonts w:asciiTheme="minorHAnsi" w:hAnsiTheme="minorHAnsi" w:cstheme="minorHAnsi"/>
          <w:sz w:val="16"/>
          <w:szCs w:val="16"/>
        </w:rPr>
        <w:t>Catalogue no. 6227.0, May 2013.</w:t>
      </w:r>
    </w:p>
  </w:footnote>
  <w:footnote w:id="24">
    <w:p w:rsidR="00717343" w:rsidRPr="00864CCC" w:rsidRDefault="00717343" w:rsidP="00E9272D">
      <w:pPr>
        <w:pStyle w:val="FootnoteText"/>
        <w:rPr>
          <w:rFonts w:asciiTheme="minorHAnsi" w:hAnsiTheme="minorHAnsi" w:cstheme="minorHAnsi"/>
          <w:sz w:val="16"/>
          <w:szCs w:val="16"/>
        </w:rPr>
      </w:pPr>
      <w:r w:rsidRPr="00864CCC">
        <w:rPr>
          <w:rStyle w:val="FootnoteReference"/>
          <w:rFonts w:asciiTheme="minorHAnsi" w:hAnsiTheme="minorHAnsi" w:cstheme="minorHAnsi"/>
          <w:sz w:val="16"/>
          <w:szCs w:val="16"/>
        </w:rPr>
        <w:footnoteRef/>
      </w:r>
      <w:r w:rsidRPr="00864CCC">
        <w:rPr>
          <w:rFonts w:asciiTheme="minorHAnsi" w:hAnsiTheme="minorHAnsi" w:cstheme="minorHAnsi"/>
          <w:sz w:val="16"/>
          <w:szCs w:val="16"/>
        </w:rPr>
        <w:t xml:space="preserve"> Workplace Gender Equality A</w:t>
      </w:r>
      <w:r>
        <w:rPr>
          <w:rFonts w:asciiTheme="minorHAnsi" w:hAnsiTheme="minorHAnsi" w:cstheme="minorHAnsi"/>
          <w:sz w:val="16"/>
          <w:szCs w:val="16"/>
        </w:rPr>
        <w:t xml:space="preserve">gency, </w:t>
      </w:r>
      <w:proofErr w:type="gramStart"/>
      <w:r w:rsidRPr="00715228">
        <w:rPr>
          <w:rFonts w:asciiTheme="minorHAnsi" w:hAnsiTheme="minorHAnsi" w:cstheme="minorHAnsi"/>
          <w:i/>
          <w:sz w:val="16"/>
          <w:szCs w:val="16"/>
        </w:rPr>
        <w:t>About</w:t>
      </w:r>
      <w:proofErr w:type="gramEnd"/>
      <w:r w:rsidRPr="00715228">
        <w:rPr>
          <w:rFonts w:asciiTheme="minorHAnsi" w:hAnsiTheme="minorHAnsi" w:cstheme="minorHAnsi"/>
          <w:i/>
          <w:sz w:val="16"/>
          <w:szCs w:val="16"/>
        </w:rPr>
        <w:t xml:space="preserve"> workplace gender equality</w:t>
      </w:r>
      <w:r>
        <w:rPr>
          <w:rFonts w:asciiTheme="minorHAnsi" w:hAnsiTheme="minorHAnsi" w:cstheme="minorHAnsi"/>
          <w:sz w:val="16"/>
          <w:szCs w:val="16"/>
        </w:rPr>
        <w:t xml:space="preserve">, </w:t>
      </w:r>
      <w:r w:rsidRPr="00715228">
        <w:rPr>
          <w:rFonts w:asciiTheme="minorHAnsi" w:hAnsiTheme="minorHAnsi" w:cstheme="minorHAnsi"/>
          <w:sz w:val="16"/>
          <w:szCs w:val="16"/>
        </w:rPr>
        <w:t>https://www.wgea.gov.au/learn/about-workplace-gender-equality</w:t>
      </w:r>
      <w:r w:rsidRPr="00864CCC">
        <w:rPr>
          <w:rFonts w:asciiTheme="minorHAnsi" w:hAnsiTheme="minorHAnsi" w:cstheme="minorHAnsi"/>
          <w:sz w:val="16"/>
          <w:szCs w:val="16"/>
        </w:rPr>
        <w:t xml:space="preserve"> accessed 28/10/14.</w:t>
      </w:r>
    </w:p>
  </w:footnote>
  <w:footnote w:id="25">
    <w:p w:rsidR="00717343" w:rsidRPr="00864CCC" w:rsidRDefault="00717343" w:rsidP="00E9272D">
      <w:pPr>
        <w:pStyle w:val="FootnoteText"/>
        <w:rPr>
          <w:rFonts w:asciiTheme="minorHAnsi" w:hAnsiTheme="minorHAnsi" w:cstheme="minorHAnsi"/>
          <w:sz w:val="16"/>
          <w:szCs w:val="16"/>
        </w:rPr>
      </w:pPr>
      <w:r w:rsidRPr="00864CCC">
        <w:rPr>
          <w:rStyle w:val="FootnoteReference"/>
          <w:rFonts w:asciiTheme="minorHAnsi" w:hAnsiTheme="minorHAnsi" w:cstheme="minorHAnsi"/>
          <w:sz w:val="16"/>
          <w:szCs w:val="16"/>
        </w:rPr>
        <w:footnoteRef/>
      </w:r>
      <w:r w:rsidRPr="00864CCC">
        <w:rPr>
          <w:rFonts w:asciiTheme="minorHAnsi" w:hAnsiTheme="minorHAnsi" w:cstheme="minorHAnsi"/>
          <w:sz w:val="16"/>
          <w:szCs w:val="16"/>
        </w:rPr>
        <w:t xml:space="preserve"> </w:t>
      </w:r>
      <w:proofErr w:type="spellStart"/>
      <w:r>
        <w:rPr>
          <w:rFonts w:asciiTheme="minorHAnsi" w:hAnsiTheme="minorHAnsi" w:cstheme="minorHAnsi"/>
          <w:sz w:val="16"/>
          <w:szCs w:val="16"/>
        </w:rPr>
        <w:t>DM</w:t>
      </w:r>
      <w:proofErr w:type="spellEnd"/>
      <w:r>
        <w:rPr>
          <w:rFonts w:asciiTheme="minorHAnsi" w:hAnsiTheme="minorHAnsi" w:cstheme="minorHAnsi"/>
          <w:sz w:val="16"/>
          <w:szCs w:val="16"/>
        </w:rPr>
        <w:t xml:space="preserve"> Kap</w:t>
      </w:r>
      <w:r w:rsidRPr="00864CCC">
        <w:rPr>
          <w:rFonts w:asciiTheme="minorHAnsi" w:hAnsiTheme="minorHAnsi" w:cstheme="minorHAnsi"/>
          <w:sz w:val="16"/>
          <w:szCs w:val="16"/>
        </w:rPr>
        <w:t xml:space="preserve">lan, </w:t>
      </w:r>
      <w:proofErr w:type="spellStart"/>
      <w:r>
        <w:rPr>
          <w:rFonts w:asciiTheme="minorHAnsi" w:hAnsiTheme="minorHAnsi" w:cstheme="minorHAnsi"/>
          <w:sz w:val="16"/>
          <w:szCs w:val="16"/>
        </w:rPr>
        <w:t>JW</w:t>
      </w:r>
      <w:proofErr w:type="spellEnd"/>
      <w:r>
        <w:rPr>
          <w:rFonts w:asciiTheme="minorHAnsi" w:hAnsiTheme="minorHAnsi" w:cstheme="minorHAnsi"/>
          <w:sz w:val="16"/>
          <w:szCs w:val="16"/>
        </w:rPr>
        <w:t xml:space="preserve"> Wiley &amp; </w:t>
      </w:r>
      <w:proofErr w:type="spellStart"/>
      <w:r>
        <w:rPr>
          <w:rFonts w:asciiTheme="minorHAnsi" w:hAnsiTheme="minorHAnsi" w:cstheme="minorHAnsi"/>
          <w:sz w:val="16"/>
          <w:szCs w:val="16"/>
        </w:rPr>
        <w:t>CP</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Maertz</w:t>
      </w:r>
      <w:proofErr w:type="spellEnd"/>
      <w:r>
        <w:rPr>
          <w:rFonts w:asciiTheme="minorHAnsi" w:hAnsiTheme="minorHAnsi" w:cstheme="minorHAnsi"/>
          <w:sz w:val="16"/>
          <w:szCs w:val="16"/>
        </w:rPr>
        <w:t xml:space="preserve">, </w:t>
      </w:r>
      <w:r>
        <w:rPr>
          <w:rFonts w:asciiTheme="minorHAnsi" w:hAnsiTheme="minorHAnsi" w:cstheme="minorHAnsi"/>
          <w:i/>
          <w:sz w:val="16"/>
          <w:szCs w:val="16"/>
        </w:rPr>
        <w:t xml:space="preserve">The role of calculative attachment in the relationship between diversity climate and retention, </w:t>
      </w:r>
      <w:r>
        <w:rPr>
          <w:rFonts w:asciiTheme="minorHAnsi" w:hAnsiTheme="minorHAnsi" w:cstheme="minorHAnsi"/>
          <w:sz w:val="16"/>
          <w:szCs w:val="16"/>
        </w:rPr>
        <w:t>Human Resource Management, Volume 50 Issue 2, March/April 2011 pp 271-287.</w:t>
      </w:r>
      <w:r w:rsidRPr="00864CCC">
        <w:rPr>
          <w:rFonts w:asciiTheme="minorHAnsi" w:hAnsiTheme="minorHAnsi" w:cstheme="minorHAnsi"/>
          <w:sz w:val="16"/>
          <w:szCs w:val="16"/>
        </w:rPr>
        <w:t xml:space="preserve"> </w:t>
      </w:r>
    </w:p>
  </w:footnote>
  <w:footnote w:id="26">
    <w:p w:rsidR="00717343" w:rsidRPr="00864CCC" w:rsidRDefault="00717343" w:rsidP="00E9272D">
      <w:pPr>
        <w:pStyle w:val="FootnoteText"/>
        <w:rPr>
          <w:rFonts w:asciiTheme="minorHAnsi" w:hAnsiTheme="minorHAnsi" w:cstheme="minorHAnsi"/>
          <w:sz w:val="16"/>
          <w:szCs w:val="16"/>
        </w:rPr>
      </w:pPr>
      <w:r w:rsidRPr="00864CCC">
        <w:rPr>
          <w:rStyle w:val="FootnoteReference"/>
          <w:rFonts w:asciiTheme="minorHAnsi" w:hAnsiTheme="minorHAnsi" w:cstheme="minorHAnsi"/>
          <w:sz w:val="16"/>
          <w:szCs w:val="16"/>
        </w:rPr>
        <w:footnoteRef/>
      </w:r>
      <w:r w:rsidRPr="00864CCC">
        <w:rPr>
          <w:rFonts w:asciiTheme="minorHAnsi" w:hAnsiTheme="minorHAnsi" w:cstheme="minorHAnsi"/>
          <w:sz w:val="16"/>
          <w:szCs w:val="16"/>
        </w:rPr>
        <w:t xml:space="preserve"> </w:t>
      </w:r>
      <w:r>
        <w:rPr>
          <w:rFonts w:asciiTheme="minorHAnsi" w:hAnsiTheme="minorHAnsi" w:cstheme="minorHAnsi"/>
          <w:sz w:val="16"/>
          <w:szCs w:val="16"/>
        </w:rPr>
        <w:t xml:space="preserve">M Curtis, C </w:t>
      </w:r>
      <w:proofErr w:type="spellStart"/>
      <w:r>
        <w:rPr>
          <w:rFonts w:asciiTheme="minorHAnsi" w:hAnsiTheme="minorHAnsi" w:cstheme="minorHAnsi"/>
          <w:sz w:val="16"/>
          <w:szCs w:val="16"/>
        </w:rPr>
        <w:t>Schmid</w:t>
      </w:r>
      <w:proofErr w:type="spellEnd"/>
      <w:proofErr w:type="gramStart"/>
      <w:r>
        <w:rPr>
          <w:rFonts w:asciiTheme="minorHAnsi" w:hAnsiTheme="minorHAnsi" w:cstheme="minorHAnsi"/>
          <w:sz w:val="16"/>
          <w:szCs w:val="16"/>
        </w:rPr>
        <w:t>,&amp;</w:t>
      </w:r>
      <w:proofErr w:type="gramEnd"/>
      <w:r>
        <w:rPr>
          <w:rFonts w:asciiTheme="minorHAnsi" w:hAnsiTheme="minorHAnsi" w:cstheme="minorHAnsi"/>
          <w:sz w:val="16"/>
          <w:szCs w:val="16"/>
        </w:rPr>
        <w:t xml:space="preserve"> M </w:t>
      </w:r>
      <w:proofErr w:type="spellStart"/>
      <w:r>
        <w:rPr>
          <w:rFonts w:asciiTheme="minorHAnsi" w:hAnsiTheme="minorHAnsi" w:cstheme="minorHAnsi"/>
          <w:sz w:val="16"/>
          <w:szCs w:val="16"/>
        </w:rPr>
        <w:t>Struber</w:t>
      </w:r>
      <w:proofErr w:type="spellEnd"/>
      <w:r>
        <w:rPr>
          <w:rFonts w:asciiTheme="minorHAnsi" w:hAnsiTheme="minorHAnsi" w:cstheme="minorHAnsi"/>
          <w:sz w:val="16"/>
          <w:szCs w:val="16"/>
        </w:rPr>
        <w:t xml:space="preserve">, </w:t>
      </w:r>
      <w:r w:rsidRPr="00864CCC">
        <w:rPr>
          <w:rFonts w:asciiTheme="minorHAnsi" w:hAnsiTheme="minorHAnsi" w:cstheme="minorHAnsi"/>
          <w:i/>
          <w:sz w:val="16"/>
          <w:szCs w:val="16"/>
        </w:rPr>
        <w:t>Gender Diversity and Corporate Performance</w:t>
      </w:r>
      <w:r w:rsidRPr="00864CCC">
        <w:rPr>
          <w:rFonts w:asciiTheme="minorHAnsi" w:hAnsiTheme="minorHAnsi" w:cstheme="minorHAnsi"/>
          <w:sz w:val="16"/>
          <w:szCs w:val="16"/>
        </w:rPr>
        <w:t>, Credit Suisse Research Institute</w:t>
      </w:r>
      <w:r>
        <w:rPr>
          <w:rFonts w:asciiTheme="minorHAnsi" w:hAnsiTheme="minorHAnsi" w:cstheme="minorHAnsi"/>
          <w:sz w:val="16"/>
          <w:szCs w:val="16"/>
        </w:rPr>
        <w:t>, August 2012</w:t>
      </w:r>
      <w:r w:rsidRPr="00864CCC">
        <w:rPr>
          <w:rFonts w:asciiTheme="minorHAnsi" w:hAnsiTheme="minorHAnsi" w:cstheme="minorHAnsi"/>
          <w:sz w:val="16"/>
          <w:szCs w:val="16"/>
        </w:rPr>
        <w:t xml:space="preserve">. </w:t>
      </w:r>
    </w:p>
  </w:footnote>
  <w:footnote w:id="27">
    <w:p w:rsidR="00717343" w:rsidRDefault="00717343" w:rsidP="00E9272D">
      <w:pPr>
        <w:pStyle w:val="FootnoteText"/>
        <w:rPr>
          <w:rFonts w:asciiTheme="minorHAnsi" w:hAnsiTheme="minorHAnsi" w:cstheme="minorHAnsi"/>
          <w:sz w:val="16"/>
          <w:szCs w:val="16"/>
        </w:rPr>
      </w:pPr>
      <w:r w:rsidRPr="00864CCC">
        <w:rPr>
          <w:rStyle w:val="FootnoteReference"/>
          <w:rFonts w:asciiTheme="minorHAnsi" w:hAnsiTheme="minorHAnsi" w:cstheme="minorHAnsi"/>
          <w:sz w:val="16"/>
          <w:szCs w:val="16"/>
        </w:rPr>
        <w:footnoteRef/>
      </w:r>
      <w:r w:rsidRPr="00864CCC">
        <w:rPr>
          <w:rFonts w:asciiTheme="minorHAnsi" w:hAnsiTheme="minorHAnsi" w:cstheme="minorHAnsi"/>
          <w:sz w:val="16"/>
          <w:szCs w:val="16"/>
        </w:rPr>
        <w:t xml:space="preserve"> Workplace Gender Equality A</w:t>
      </w:r>
      <w:r>
        <w:rPr>
          <w:rFonts w:asciiTheme="minorHAnsi" w:hAnsiTheme="minorHAnsi" w:cstheme="minorHAnsi"/>
          <w:sz w:val="16"/>
          <w:szCs w:val="16"/>
        </w:rPr>
        <w:t>gency</w:t>
      </w:r>
      <w:r w:rsidRPr="00864CCC">
        <w:rPr>
          <w:rFonts w:asciiTheme="minorHAnsi" w:hAnsiTheme="minorHAnsi" w:cstheme="minorHAnsi"/>
          <w:sz w:val="16"/>
          <w:szCs w:val="16"/>
        </w:rPr>
        <w:t xml:space="preserve">, </w:t>
      </w:r>
      <w:r w:rsidRPr="00864CCC">
        <w:rPr>
          <w:rFonts w:asciiTheme="minorHAnsi" w:hAnsiTheme="minorHAnsi" w:cstheme="minorHAnsi"/>
          <w:i/>
          <w:sz w:val="16"/>
          <w:szCs w:val="16"/>
        </w:rPr>
        <w:t>The Business Case for Gender Equality</w:t>
      </w:r>
      <w:r>
        <w:rPr>
          <w:rFonts w:asciiTheme="minorHAnsi" w:hAnsiTheme="minorHAnsi" w:cstheme="minorHAnsi"/>
          <w:i/>
          <w:sz w:val="16"/>
          <w:szCs w:val="16"/>
        </w:rPr>
        <w:t>,</w:t>
      </w:r>
      <w:r>
        <w:rPr>
          <w:rFonts w:asciiTheme="minorHAnsi" w:hAnsiTheme="minorHAnsi" w:cstheme="minorHAnsi"/>
          <w:sz w:val="16"/>
          <w:szCs w:val="16"/>
        </w:rPr>
        <w:t xml:space="preserve"> March 2013, </w:t>
      </w:r>
      <w:r w:rsidRPr="00715228">
        <w:rPr>
          <w:rFonts w:asciiTheme="minorHAnsi" w:hAnsiTheme="minorHAnsi" w:cstheme="minorHAnsi"/>
          <w:sz w:val="16"/>
          <w:szCs w:val="16"/>
        </w:rPr>
        <w:t>https://www.wgea.gov.au/sites/default/files/business_case_for_gender_equality.pdf</w:t>
      </w:r>
    </w:p>
    <w:p w:rsidR="00717343" w:rsidRPr="0050633E" w:rsidRDefault="00717343" w:rsidP="00E9272D">
      <w:pPr>
        <w:pStyle w:val="FootnoteText"/>
        <w:rPr>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43" w:rsidRDefault="00717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43" w:rsidRDefault="007173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43" w:rsidRDefault="007173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43" w:rsidRPr="00902000" w:rsidRDefault="00717343" w:rsidP="009020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43" w:rsidRPr="00902000" w:rsidRDefault="00717343" w:rsidP="00902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A35"/>
    <w:multiLevelType w:val="hybridMultilevel"/>
    <w:tmpl w:val="189A1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7BC5C6E"/>
    <w:multiLevelType w:val="hybridMultilevel"/>
    <w:tmpl w:val="10FABE3A"/>
    <w:lvl w:ilvl="0" w:tplc="9D6A83EC">
      <w:start w:val="1"/>
      <w:numFmt w:val="bullet"/>
      <w:lvlText w:val=""/>
      <w:lvlJc w:val="left"/>
      <w:pPr>
        <w:ind w:left="360" w:hanging="360"/>
      </w:pPr>
      <w:rPr>
        <w:rFonts w:ascii="Symbol" w:hAnsi="Symbol" w:hint="default"/>
      </w:rPr>
    </w:lvl>
    <w:lvl w:ilvl="1" w:tplc="73A28156" w:tentative="1">
      <w:start w:val="1"/>
      <w:numFmt w:val="bullet"/>
      <w:lvlText w:val="o"/>
      <w:lvlJc w:val="left"/>
      <w:pPr>
        <w:ind w:left="1080" w:hanging="360"/>
      </w:pPr>
      <w:rPr>
        <w:rFonts w:ascii="Courier New" w:hAnsi="Courier New" w:cs="Courier New" w:hint="default"/>
      </w:rPr>
    </w:lvl>
    <w:lvl w:ilvl="2" w:tplc="32623F0A" w:tentative="1">
      <w:start w:val="1"/>
      <w:numFmt w:val="bullet"/>
      <w:lvlText w:val=""/>
      <w:lvlJc w:val="left"/>
      <w:pPr>
        <w:ind w:left="1800" w:hanging="360"/>
      </w:pPr>
      <w:rPr>
        <w:rFonts w:ascii="Wingdings" w:hAnsi="Wingdings" w:hint="default"/>
      </w:rPr>
    </w:lvl>
    <w:lvl w:ilvl="3" w:tplc="B756FD58" w:tentative="1">
      <w:start w:val="1"/>
      <w:numFmt w:val="bullet"/>
      <w:lvlText w:val=""/>
      <w:lvlJc w:val="left"/>
      <w:pPr>
        <w:ind w:left="2520" w:hanging="360"/>
      </w:pPr>
      <w:rPr>
        <w:rFonts w:ascii="Symbol" w:hAnsi="Symbol" w:hint="default"/>
      </w:rPr>
    </w:lvl>
    <w:lvl w:ilvl="4" w:tplc="BAA24D90" w:tentative="1">
      <w:start w:val="1"/>
      <w:numFmt w:val="bullet"/>
      <w:lvlText w:val="o"/>
      <w:lvlJc w:val="left"/>
      <w:pPr>
        <w:ind w:left="3240" w:hanging="360"/>
      </w:pPr>
      <w:rPr>
        <w:rFonts w:ascii="Courier New" w:hAnsi="Courier New" w:cs="Courier New" w:hint="default"/>
      </w:rPr>
    </w:lvl>
    <w:lvl w:ilvl="5" w:tplc="DC74F168" w:tentative="1">
      <w:start w:val="1"/>
      <w:numFmt w:val="bullet"/>
      <w:lvlText w:val=""/>
      <w:lvlJc w:val="left"/>
      <w:pPr>
        <w:ind w:left="3960" w:hanging="360"/>
      </w:pPr>
      <w:rPr>
        <w:rFonts w:ascii="Wingdings" w:hAnsi="Wingdings" w:hint="default"/>
      </w:rPr>
    </w:lvl>
    <w:lvl w:ilvl="6" w:tplc="C96E03AE" w:tentative="1">
      <w:start w:val="1"/>
      <w:numFmt w:val="bullet"/>
      <w:lvlText w:val=""/>
      <w:lvlJc w:val="left"/>
      <w:pPr>
        <w:ind w:left="4680" w:hanging="360"/>
      </w:pPr>
      <w:rPr>
        <w:rFonts w:ascii="Symbol" w:hAnsi="Symbol" w:hint="default"/>
      </w:rPr>
    </w:lvl>
    <w:lvl w:ilvl="7" w:tplc="A944361A" w:tentative="1">
      <w:start w:val="1"/>
      <w:numFmt w:val="bullet"/>
      <w:lvlText w:val="o"/>
      <w:lvlJc w:val="left"/>
      <w:pPr>
        <w:ind w:left="5400" w:hanging="360"/>
      </w:pPr>
      <w:rPr>
        <w:rFonts w:ascii="Courier New" w:hAnsi="Courier New" w:cs="Courier New" w:hint="default"/>
      </w:rPr>
    </w:lvl>
    <w:lvl w:ilvl="8" w:tplc="F342D514" w:tentative="1">
      <w:start w:val="1"/>
      <w:numFmt w:val="bullet"/>
      <w:lvlText w:val=""/>
      <w:lvlJc w:val="left"/>
      <w:pPr>
        <w:ind w:left="6120" w:hanging="360"/>
      </w:pPr>
      <w:rPr>
        <w:rFonts w:ascii="Wingdings" w:hAnsi="Wingdings" w:hint="default"/>
      </w:rPr>
    </w:lvl>
  </w:abstractNum>
  <w:abstractNum w:abstractNumId="2">
    <w:nsid w:val="0B1C6302"/>
    <w:multiLevelType w:val="hybridMultilevel"/>
    <w:tmpl w:val="C5828964"/>
    <w:lvl w:ilvl="0" w:tplc="0A26D522">
      <w:start w:val="1"/>
      <w:numFmt w:val="bullet"/>
      <w:pStyle w:val="Brief-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B7D5A6F"/>
    <w:multiLevelType w:val="hybridMultilevel"/>
    <w:tmpl w:val="3D925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EB0395B"/>
    <w:multiLevelType w:val="hybridMultilevel"/>
    <w:tmpl w:val="240E8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0EB41F7"/>
    <w:multiLevelType w:val="hybridMultilevel"/>
    <w:tmpl w:val="307C784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8F5689"/>
    <w:multiLevelType w:val="hybridMultilevel"/>
    <w:tmpl w:val="307C784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8D1B64"/>
    <w:multiLevelType w:val="hybridMultilevel"/>
    <w:tmpl w:val="FE2A4774"/>
    <w:lvl w:ilvl="0" w:tplc="9D6A83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EA1845"/>
    <w:multiLevelType w:val="hybridMultilevel"/>
    <w:tmpl w:val="B8960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B06F47"/>
    <w:multiLevelType w:val="hybridMultilevel"/>
    <w:tmpl w:val="B4687A38"/>
    <w:lvl w:ilvl="0" w:tplc="ED5A3F60">
      <w:start w:val="1"/>
      <w:numFmt w:val="decimal"/>
      <w:lvlText w:val="%1."/>
      <w:lvlJc w:val="left"/>
      <w:pPr>
        <w:ind w:left="720" w:hanging="360"/>
      </w:pPr>
      <w:rPr>
        <w:rFonts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F75CB9"/>
    <w:multiLevelType w:val="hybridMultilevel"/>
    <w:tmpl w:val="622811CE"/>
    <w:lvl w:ilvl="0" w:tplc="85D271CE">
      <w:start w:val="1"/>
      <w:numFmt w:val="bullet"/>
      <w:lvlText w:val=""/>
      <w:lvlJc w:val="left"/>
      <w:pPr>
        <w:ind w:left="360" w:hanging="360"/>
      </w:pPr>
      <w:rPr>
        <w:rFonts w:ascii="Symbol" w:hAnsi="Symbol" w:hint="default"/>
      </w:rPr>
    </w:lvl>
    <w:lvl w:ilvl="1" w:tplc="4EEC4B9A" w:tentative="1">
      <w:start w:val="1"/>
      <w:numFmt w:val="bullet"/>
      <w:lvlText w:val="o"/>
      <w:lvlJc w:val="left"/>
      <w:pPr>
        <w:ind w:left="1080" w:hanging="360"/>
      </w:pPr>
      <w:rPr>
        <w:rFonts w:ascii="Courier New" w:hAnsi="Courier New" w:cs="Courier New" w:hint="default"/>
      </w:rPr>
    </w:lvl>
    <w:lvl w:ilvl="2" w:tplc="DFECF136" w:tentative="1">
      <w:start w:val="1"/>
      <w:numFmt w:val="bullet"/>
      <w:lvlText w:val=""/>
      <w:lvlJc w:val="left"/>
      <w:pPr>
        <w:ind w:left="1800" w:hanging="360"/>
      </w:pPr>
      <w:rPr>
        <w:rFonts w:ascii="Wingdings" w:hAnsi="Wingdings" w:hint="default"/>
      </w:rPr>
    </w:lvl>
    <w:lvl w:ilvl="3" w:tplc="3B86DFDA" w:tentative="1">
      <w:start w:val="1"/>
      <w:numFmt w:val="bullet"/>
      <w:lvlText w:val=""/>
      <w:lvlJc w:val="left"/>
      <w:pPr>
        <w:ind w:left="2520" w:hanging="360"/>
      </w:pPr>
      <w:rPr>
        <w:rFonts w:ascii="Symbol" w:hAnsi="Symbol" w:hint="default"/>
      </w:rPr>
    </w:lvl>
    <w:lvl w:ilvl="4" w:tplc="53703FAE" w:tentative="1">
      <w:start w:val="1"/>
      <w:numFmt w:val="bullet"/>
      <w:lvlText w:val="o"/>
      <w:lvlJc w:val="left"/>
      <w:pPr>
        <w:ind w:left="3240" w:hanging="360"/>
      </w:pPr>
      <w:rPr>
        <w:rFonts w:ascii="Courier New" w:hAnsi="Courier New" w:cs="Courier New" w:hint="default"/>
      </w:rPr>
    </w:lvl>
    <w:lvl w:ilvl="5" w:tplc="5DEA608C" w:tentative="1">
      <w:start w:val="1"/>
      <w:numFmt w:val="bullet"/>
      <w:lvlText w:val=""/>
      <w:lvlJc w:val="left"/>
      <w:pPr>
        <w:ind w:left="3960" w:hanging="360"/>
      </w:pPr>
      <w:rPr>
        <w:rFonts w:ascii="Wingdings" w:hAnsi="Wingdings" w:hint="default"/>
      </w:rPr>
    </w:lvl>
    <w:lvl w:ilvl="6" w:tplc="3DC40B92" w:tentative="1">
      <w:start w:val="1"/>
      <w:numFmt w:val="bullet"/>
      <w:lvlText w:val=""/>
      <w:lvlJc w:val="left"/>
      <w:pPr>
        <w:ind w:left="4680" w:hanging="360"/>
      </w:pPr>
      <w:rPr>
        <w:rFonts w:ascii="Symbol" w:hAnsi="Symbol" w:hint="default"/>
      </w:rPr>
    </w:lvl>
    <w:lvl w:ilvl="7" w:tplc="22ECFF9A" w:tentative="1">
      <w:start w:val="1"/>
      <w:numFmt w:val="bullet"/>
      <w:lvlText w:val="o"/>
      <w:lvlJc w:val="left"/>
      <w:pPr>
        <w:ind w:left="5400" w:hanging="360"/>
      </w:pPr>
      <w:rPr>
        <w:rFonts w:ascii="Courier New" w:hAnsi="Courier New" w:cs="Courier New" w:hint="default"/>
      </w:rPr>
    </w:lvl>
    <w:lvl w:ilvl="8" w:tplc="42308A84" w:tentative="1">
      <w:start w:val="1"/>
      <w:numFmt w:val="bullet"/>
      <w:lvlText w:val=""/>
      <w:lvlJc w:val="left"/>
      <w:pPr>
        <w:ind w:left="6120" w:hanging="360"/>
      </w:pPr>
      <w:rPr>
        <w:rFonts w:ascii="Wingdings" w:hAnsi="Wingdings" w:hint="default"/>
      </w:rPr>
    </w:lvl>
  </w:abstractNum>
  <w:abstractNum w:abstractNumId="11">
    <w:nsid w:val="28336E8E"/>
    <w:multiLevelType w:val="hybridMultilevel"/>
    <w:tmpl w:val="0534D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1321B4D"/>
    <w:multiLevelType w:val="multilevel"/>
    <w:tmpl w:val="9208C8BC"/>
    <w:lvl w:ilvl="0">
      <w:start w:val="3"/>
      <w:numFmt w:val="decimal"/>
      <w:lvlText w:val="%1"/>
      <w:lvlJc w:val="left"/>
      <w:pPr>
        <w:ind w:left="720" w:hanging="360"/>
      </w:pPr>
      <w:rPr>
        <w:rFonts w:hint="default"/>
      </w:rPr>
    </w:lvl>
    <w:lvl w:ilvl="1">
      <w:start w:val="3"/>
      <w:numFmt w:val="none"/>
      <w:lvlText w:val="3.4"/>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1A36EFD"/>
    <w:multiLevelType w:val="hybridMultilevel"/>
    <w:tmpl w:val="DFFC66A6"/>
    <w:lvl w:ilvl="0" w:tplc="7C9C11F2">
      <w:start w:val="1"/>
      <w:numFmt w:val="decimal"/>
      <w:lvlText w:val="%1."/>
      <w:lvlJc w:val="left"/>
      <w:pPr>
        <w:ind w:left="1440" w:hanging="720"/>
      </w:pPr>
      <w:rPr>
        <w:rFonts w:asciiTheme="minorHAnsi" w:eastAsia="Times New Roman" w:hAnsiTheme="minorHAnsi" w:cstheme="minorHAnsi" w:hint="default"/>
        <w:color w:val="000000"/>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3E75DAC"/>
    <w:multiLevelType w:val="multilevel"/>
    <w:tmpl w:val="7DC8EB22"/>
    <w:lvl w:ilvl="0">
      <w:start w:val="3"/>
      <w:numFmt w:val="decimal"/>
      <w:lvlText w:val="%1"/>
      <w:lvlJc w:val="left"/>
      <w:pPr>
        <w:ind w:left="720" w:hanging="360"/>
      </w:pPr>
      <w:rPr>
        <w:rFonts w:hint="default"/>
      </w:rPr>
    </w:lvl>
    <w:lvl w:ilvl="1">
      <w:start w:val="2"/>
      <w:numFmt w:val="decimal"/>
      <w:lvlText w:val="%2.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8141394"/>
    <w:multiLevelType w:val="hybridMultilevel"/>
    <w:tmpl w:val="96AE32AA"/>
    <w:lvl w:ilvl="0" w:tplc="9D6A83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88579B4"/>
    <w:multiLevelType w:val="hybridMultilevel"/>
    <w:tmpl w:val="623044FA"/>
    <w:lvl w:ilvl="0" w:tplc="B64E5CB2">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A0377C"/>
    <w:multiLevelType w:val="hybridMultilevel"/>
    <w:tmpl w:val="6496678E"/>
    <w:lvl w:ilvl="0" w:tplc="79A084B2">
      <w:start w:val="1"/>
      <w:numFmt w:val="bullet"/>
      <w:lvlText w:val=""/>
      <w:lvlJc w:val="left"/>
      <w:pPr>
        <w:ind w:left="360" w:hanging="360"/>
      </w:pPr>
      <w:rPr>
        <w:rFonts w:ascii="Symbol" w:hAnsi="Symbol" w:hint="default"/>
      </w:rPr>
    </w:lvl>
    <w:lvl w:ilvl="1" w:tplc="4678E796">
      <w:start w:val="1"/>
      <w:numFmt w:val="bullet"/>
      <w:lvlText w:val="o"/>
      <w:lvlJc w:val="left"/>
      <w:pPr>
        <w:ind w:left="1080" w:hanging="360"/>
      </w:pPr>
      <w:rPr>
        <w:rFonts w:ascii="Courier New" w:hAnsi="Courier New" w:cs="Courier New" w:hint="default"/>
      </w:rPr>
    </w:lvl>
    <w:lvl w:ilvl="2" w:tplc="28B65706" w:tentative="1">
      <w:start w:val="1"/>
      <w:numFmt w:val="bullet"/>
      <w:lvlText w:val=""/>
      <w:lvlJc w:val="left"/>
      <w:pPr>
        <w:ind w:left="1800" w:hanging="360"/>
      </w:pPr>
      <w:rPr>
        <w:rFonts w:ascii="Wingdings" w:hAnsi="Wingdings" w:hint="default"/>
      </w:rPr>
    </w:lvl>
    <w:lvl w:ilvl="3" w:tplc="01D460AC" w:tentative="1">
      <w:start w:val="1"/>
      <w:numFmt w:val="bullet"/>
      <w:lvlText w:val=""/>
      <w:lvlJc w:val="left"/>
      <w:pPr>
        <w:ind w:left="2520" w:hanging="360"/>
      </w:pPr>
      <w:rPr>
        <w:rFonts w:ascii="Symbol" w:hAnsi="Symbol" w:hint="default"/>
      </w:rPr>
    </w:lvl>
    <w:lvl w:ilvl="4" w:tplc="0A78EFC0" w:tentative="1">
      <w:start w:val="1"/>
      <w:numFmt w:val="bullet"/>
      <w:lvlText w:val="o"/>
      <w:lvlJc w:val="left"/>
      <w:pPr>
        <w:ind w:left="3240" w:hanging="360"/>
      </w:pPr>
      <w:rPr>
        <w:rFonts w:ascii="Courier New" w:hAnsi="Courier New" w:cs="Courier New" w:hint="default"/>
      </w:rPr>
    </w:lvl>
    <w:lvl w:ilvl="5" w:tplc="4BFC63B4" w:tentative="1">
      <w:start w:val="1"/>
      <w:numFmt w:val="bullet"/>
      <w:lvlText w:val=""/>
      <w:lvlJc w:val="left"/>
      <w:pPr>
        <w:ind w:left="3960" w:hanging="360"/>
      </w:pPr>
      <w:rPr>
        <w:rFonts w:ascii="Wingdings" w:hAnsi="Wingdings" w:hint="default"/>
      </w:rPr>
    </w:lvl>
    <w:lvl w:ilvl="6" w:tplc="51D4C276" w:tentative="1">
      <w:start w:val="1"/>
      <w:numFmt w:val="bullet"/>
      <w:lvlText w:val=""/>
      <w:lvlJc w:val="left"/>
      <w:pPr>
        <w:ind w:left="4680" w:hanging="360"/>
      </w:pPr>
      <w:rPr>
        <w:rFonts w:ascii="Symbol" w:hAnsi="Symbol" w:hint="default"/>
      </w:rPr>
    </w:lvl>
    <w:lvl w:ilvl="7" w:tplc="DA6E649C" w:tentative="1">
      <w:start w:val="1"/>
      <w:numFmt w:val="bullet"/>
      <w:lvlText w:val="o"/>
      <w:lvlJc w:val="left"/>
      <w:pPr>
        <w:ind w:left="5400" w:hanging="360"/>
      </w:pPr>
      <w:rPr>
        <w:rFonts w:ascii="Courier New" w:hAnsi="Courier New" w:cs="Courier New" w:hint="default"/>
      </w:rPr>
    </w:lvl>
    <w:lvl w:ilvl="8" w:tplc="1FDE022A" w:tentative="1">
      <w:start w:val="1"/>
      <w:numFmt w:val="bullet"/>
      <w:lvlText w:val=""/>
      <w:lvlJc w:val="left"/>
      <w:pPr>
        <w:ind w:left="6120" w:hanging="360"/>
      </w:pPr>
      <w:rPr>
        <w:rFonts w:ascii="Wingdings" w:hAnsi="Wingdings" w:hint="default"/>
      </w:rPr>
    </w:lvl>
  </w:abstractNum>
  <w:abstractNum w:abstractNumId="18">
    <w:nsid w:val="3CD2149C"/>
    <w:multiLevelType w:val="multilevel"/>
    <w:tmpl w:val="BA1410BA"/>
    <w:lvl w:ilvl="0">
      <w:start w:val="3"/>
      <w:numFmt w:val="decimal"/>
      <w:lvlText w:val="%1"/>
      <w:lvlJc w:val="left"/>
      <w:pPr>
        <w:ind w:left="720" w:hanging="360"/>
      </w:pPr>
      <w:rPr>
        <w:rFonts w:hint="default"/>
      </w:rPr>
    </w:lvl>
    <w:lvl w:ilvl="1">
      <w:start w:val="3"/>
      <w:numFmt w:val="none"/>
      <w:lvlText w:val="3.5"/>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E126BEE"/>
    <w:multiLevelType w:val="hybridMultilevel"/>
    <w:tmpl w:val="C6228DAA"/>
    <w:lvl w:ilvl="0" w:tplc="4F5266A6">
      <w:start w:val="1"/>
      <w:numFmt w:val="bullet"/>
      <w:pStyle w:val="Styl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F9606A"/>
    <w:multiLevelType w:val="hybridMultilevel"/>
    <w:tmpl w:val="85523DEE"/>
    <w:lvl w:ilvl="0" w:tplc="E0DE67A0">
      <w:start w:val="4"/>
      <w:numFmt w:val="decimal"/>
      <w:lvlText w:val="%1."/>
      <w:lvlJc w:val="left"/>
      <w:pPr>
        <w:ind w:left="720" w:hanging="360"/>
      </w:pPr>
      <w:rPr>
        <w:rFonts w:hint="default"/>
      </w:rPr>
    </w:lvl>
    <w:lvl w:ilvl="1" w:tplc="29FAAA9A">
      <w:start w:val="2"/>
      <w:numFmt w:val="decimal"/>
      <w:lvlText w:val="%2.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72D43D8"/>
    <w:multiLevelType w:val="multilevel"/>
    <w:tmpl w:val="83306CE4"/>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B2057D6"/>
    <w:multiLevelType w:val="hybridMultilevel"/>
    <w:tmpl w:val="DD22F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147666F"/>
    <w:multiLevelType w:val="multilevel"/>
    <w:tmpl w:val="9B28FE64"/>
    <w:lvl w:ilvl="0">
      <w:start w:val="3"/>
      <w:numFmt w:val="decimal"/>
      <w:lvlText w:val="%1"/>
      <w:lvlJc w:val="left"/>
      <w:pPr>
        <w:ind w:left="720" w:hanging="360"/>
      </w:pPr>
      <w:rPr>
        <w:rFonts w:hint="default"/>
      </w:rPr>
    </w:lvl>
    <w:lvl w:ilvl="1">
      <w:start w:val="3"/>
      <w:numFmt w:val="none"/>
      <w:lvlText w:val="3.3"/>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28A3E7F"/>
    <w:multiLevelType w:val="hybridMultilevel"/>
    <w:tmpl w:val="7ADA9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AB7381"/>
    <w:multiLevelType w:val="hybridMultilevel"/>
    <w:tmpl w:val="FA927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F01C11"/>
    <w:multiLevelType w:val="hybridMultilevel"/>
    <w:tmpl w:val="EA161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E5B22D7"/>
    <w:multiLevelType w:val="hybridMultilevel"/>
    <w:tmpl w:val="A0B85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F034BC1"/>
    <w:multiLevelType w:val="hybridMultilevel"/>
    <w:tmpl w:val="04021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FB86F74"/>
    <w:multiLevelType w:val="multilevel"/>
    <w:tmpl w:val="423C61D6"/>
    <w:lvl w:ilvl="0">
      <w:start w:val="3"/>
      <w:numFmt w:val="decimal"/>
      <w:lvlText w:val="%1"/>
      <w:lvlJc w:val="left"/>
      <w:pPr>
        <w:ind w:left="720" w:hanging="360"/>
      </w:pPr>
      <w:rPr>
        <w:rFonts w:hint="default"/>
      </w:rPr>
    </w:lvl>
    <w:lvl w:ilvl="1">
      <w:start w:val="3"/>
      <w:numFmt w:val="none"/>
      <w:lvlText w:val="3.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0491668"/>
    <w:multiLevelType w:val="hybridMultilevel"/>
    <w:tmpl w:val="DFFC66A6"/>
    <w:lvl w:ilvl="0" w:tplc="7C9C11F2">
      <w:start w:val="1"/>
      <w:numFmt w:val="decimal"/>
      <w:lvlText w:val="%1."/>
      <w:lvlJc w:val="left"/>
      <w:pPr>
        <w:ind w:left="1440" w:hanging="720"/>
      </w:pPr>
      <w:rPr>
        <w:rFonts w:asciiTheme="minorHAnsi" w:eastAsia="Times New Roman" w:hAnsiTheme="minorHAnsi" w:cstheme="minorHAnsi" w:hint="default"/>
        <w:color w:val="000000"/>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2EF2F15"/>
    <w:multiLevelType w:val="hybridMultilevel"/>
    <w:tmpl w:val="EB4C4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85C7111"/>
    <w:multiLevelType w:val="hybridMultilevel"/>
    <w:tmpl w:val="4E86C71A"/>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8565E6"/>
    <w:multiLevelType w:val="multilevel"/>
    <w:tmpl w:val="7A1A92FA"/>
    <w:lvl w:ilvl="0">
      <w:start w:val="3"/>
      <w:numFmt w:val="decimal"/>
      <w:lvlText w:val="%1"/>
      <w:lvlJc w:val="left"/>
      <w:pPr>
        <w:ind w:left="720" w:hanging="360"/>
      </w:pPr>
      <w:rPr>
        <w:rFonts w:hint="default"/>
      </w:rPr>
    </w:lvl>
    <w:lvl w:ilvl="1">
      <w:start w:val="3"/>
      <w:numFmt w:val="decimal"/>
      <w:lvlText w:val="%2.1"/>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98D21AC"/>
    <w:multiLevelType w:val="multilevel"/>
    <w:tmpl w:val="B42EEBD8"/>
    <w:lvl w:ilvl="0">
      <w:start w:val="2"/>
      <w:numFmt w:val="decimal"/>
      <w:lvlText w:val="%1"/>
      <w:lvlJc w:val="left"/>
      <w:pPr>
        <w:ind w:left="720" w:hanging="360"/>
      </w:pPr>
      <w:rPr>
        <w:rFonts w:hint="default"/>
      </w:rPr>
    </w:lvl>
    <w:lvl w:ilvl="1">
      <w:start w:val="2"/>
      <w:numFmt w:val="decimal"/>
      <w:lvlText w:val="%2.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BF3158E"/>
    <w:multiLevelType w:val="hybridMultilevel"/>
    <w:tmpl w:val="706A0540"/>
    <w:lvl w:ilvl="0" w:tplc="9D6A83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F013F77"/>
    <w:multiLevelType w:val="hybridMultilevel"/>
    <w:tmpl w:val="E0B2BEB4"/>
    <w:lvl w:ilvl="0" w:tplc="9D6A83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0B10560"/>
    <w:multiLevelType w:val="hybridMultilevel"/>
    <w:tmpl w:val="464C47B8"/>
    <w:lvl w:ilvl="0" w:tplc="DA6E365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4A70008"/>
    <w:multiLevelType w:val="hybridMultilevel"/>
    <w:tmpl w:val="C888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4D1C43"/>
    <w:multiLevelType w:val="hybridMultilevel"/>
    <w:tmpl w:val="BE80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80120E2"/>
    <w:multiLevelType w:val="hybridMultilevel"/>
    <w:tmpl w:val="8910B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6A77F2"/>
    <w:multiLevelType w:val="hybridMultilevel"/>
    <w:tmpl w:val="8D125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DA332E4"/>
    <w:multiLevelType w:val="hybridMultilevel"/>
    <w:tmpl w:val="8D44D490"/>
    <w:lvl w:ilvl="0" w:tplc="E3BC2608">
      <w:start w:val="1"/>
      <w:numFmt w:val="bullet"/>
      <w:lvlText w:val=""/>
      <w:lvlJc w:val="left"/>
      <w:pPr>
        <w:ind w:left="360" w:hanging="360"/>
      </w:pPr>
      <w:rPr>
        <w:rFonts w:ascii="Symbol" w:hAnsi="Symbol" w:hint="default"/>
      </w:rPr>
    </w:lvl>
    <w:lvl w:ilvl="1" w:tplc="7F44BF78" w:tentative="1">
      <w:start w:val="1"/>
      <w:numFmt w:val="bullet"/>
      <w:lvlText w:val="o"/>
      <w:lvlJc w:val="left"/>
      <w:pPr>
        <w:ind w:left="1080" w:hanging="360"/>
      </w:pPr>
      <w:rPr>
        <w:rFonts w:ascii="Courier New" w:hAnsi="Courier New" w:cs="Courier New" w:hint="default"/>
      </w:rPr>
    </w:lvl>
    <w:lvl w:ilvl="2" w:tplc="EED2B232" w:tentative="1">
      <w:start w:val="1"/>
      <w:numFmt w:val="bullet"/>
      <w:lvlText w:val=""/>
      <w:lvlJc w:val="left"/>
      <w:pPr>
        <w:ind w:left="1800" w:hanging="360"/>
      </w:pPr>
      <w:rPr>
        <w:rFonts w:ascii="Wingdings" w:hAnsi="Wingdings" w:hint="default"/>
      </w:rPr>
    </w:lvl>
    <w:lvl w:ilvl="3" w:tplc="D84EBA9C" w:tentative="1">
      <w:start w:val="1"/>
      <w:numFmt w:val="bullet"/>
      <w:lvlText w:val=""/>
      <w:lvlJc w:val="left"/>
      <w:pPr>
        <w:ind w:left="2520" w:hanging="360"/>
      </w:pPr>
      <w:rPr>
        <w:rFonts w:ascii="Symbol" w:hAnsi="Symbol" w:hint="default"/>
      </w:rPr>
    </w:lvl>
    <w:lvl w:ilvl="4" w:tplc="63948AA4" w:tentative="1">
      <w:start w:val="1"/>
      <w:numFmt w:val="bullet"/>
      <w:lvlText w:val="o"/>
      <w:lvlJc w:val="left"/>
      <w:pPr>
        <w:ind w:left="3240" w:hanging="360"/>
      </w:pPr>
      <w:rPr>
        <w:rFonts w:ascii="Courier New" w:hAnsi="Courier New" w:cs="Courier New" w:hint="default"/>
      </w:rPr>
    </w:lvl>
    <w:lvl w:ilvl="5" w:tplc="5C8E2240" w:tentative="1">
      <w:start w:val="1"/>
      <w:numFmt w:val="bullet"/>
      <w:lvlText w:val=""/>
      <w:lvlJc w:val="left"/>
      <w:pPr>
        <w:ind w:left="3960" w:hanging="360"/>
      </w:pPr>
      <w:rPr>
        <w:rFonts w:ascii="Wingdings" w:hAnsi="Wingdings" w:hint="default"/>
      </w:rPr>
    </w:lvl>
    <w:lvl w:ilvl="6" w:tplc="46D0FBB2" w:tentative="1">
      <w:start w:val="1"/>
      <w:numFmt w:val="bullet"/>
      <w:lvlText w:val=""/>
      <w:lvlJc w:val="left"/>
      <w:pPr>
        <w:ind w:left="4680" w:hanging="360"/>
      </w:pPr>
      <w:rPr>
        <w:rFonts w:ascii="Symbol" w:hAnsi="Symbol" w:hint="default"/>
      </w:rPr>
    </w:lvl>
    <w:lvl w:ilvl="7" w:tplc="617C4086" w:tentative="1">
      <w:start w:val="1"/>
      <w:numFmt w:val="bullet"/>
      <w:lvlText w:val="o"/>
      <w:lvlJc w:val="left"/>
      <w:pPr>
        <w:ind w:left="5400" w:hanging="360"/>
      </w:pPr>
      <w:rPr>
        <w:rFonts w:ascii="Courier New" w:hAnsi="Courier New" w:cs="Courier New" w:hint="default"/>
      </w:rPr>
    </w:lvl>
    <w:lvl w:ilvl="8" w:tplc="DA7679CA" w:tentative="1">
      <w:start w:val="1"/>
      <w:numFmt w:val="bullet"/>
      <w:lvlText w:val=""/>
      <w:lvlJc w:val="left"/>
      <w:pPr>
        <w:ind w:left="6120" w:hanging="360"/>
      </w:pPr>
      <w:rPr>
        <w:rFonts w:ascii="Wingdings" w:hAnsi="Wingdings" w:hint="default"/>
      </w:rPr>
    </w:lvl>
  </w:abstractNum>
  <w:abstractNum w:abstractNumId="43">
    <w:nsid w:val="7DEA5C56"/>
    <w:multiLevelType w:val="hybridMultilevel"/>
    <w:tmpl w:val="080C3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
  </w:num>
  <w:num w:numId="4">
    <w:abstractNumId w:val="10"/>
  </w:num>
  <w:num w:numId="5">
    <w:abstractNumId w:val="17"/>
  </w:num>
  <w:num w:numId="6">
    <w:abstractNumId w:val="42"/>
  </w:num>
  <w:num w:numId="7">
    <w:abstractNumId w:val="36"/>
  </w:num>
  <w:num w:numId="8">
    <w:abstractNumId w:val="7"/>
  </w:num>
  <w:num w:numId="9">
    <w:abstractNumId w:val="15"/>
  </w:num>
  <w:num w:numId="10">
    <w:abstractNumId w:val="35"/>
  </w:num>
  <w:num w:numId="11">
    <w:abstractNumId w:val="2"/>
  </w:num>
  <w:num w:numId="12">
    <w:abstractNumId w:val="21"/>
  </w:num>
  <w:num w:numId="13">
    <w:abstractNumId w:val="38"/>
  </w:num>
  <w:num w:numId="14">
    <w:abstractNumId w:val="24"/>
  </w:num>
  <w:num w:numId="15">
    <w:abstractNumId w:val="8"/>
  </w:num>
  <w:num w:numId="16">
    <w:abstractNumId w:val="16"/>
  </w:num>
  <w:num w:numId="17">
    <w:abstractNumId w:val="37"/>
  </w:num>
  <w:num w:numId="18">
    <w:abstractNumId w:val="43"/>
  </w:num>
  <w:num w:numId="19">
    <w:abstractNumId w:val="4"/>
  </w:num>
  <w:num w:numId="20">
    <w:abstractNumId w:val="0"/>
  </w:num>
  <w:num w:numId="21">
    <w:abstractNumId w:val="31"/>
  </w:num>
  <w:num w:numId="22">
    <w:abstractNumId w:val="26"/>
  </w:num>
  <w:num w:numId="23">
    <w:abstractNumId w:val="3"/>
  </w:num>
  <w:num w:numId="24">
    <w:abstractNumId w:val="27"/>
  </w:num>
  <w:num w:numId="25">
    <w:abstractNumId w:val="11"/>
  </w:num>
  <w:num w:numId="26">
    <w:abstractNumId w:val="22"/>
  </w:num>
  <w:num w:numId="27">
    <w:abstractNumId w:val="28"/>
  </w:num>
  <w:num w:numId="28">
    <w:abstractNumId w:val="40"/>
  </w:num>
  <w:num w:numId="29">
    <w:abstractNumId w:val="13"/>
  </w:num>
  <w:num w:numId="30">
    <w:abstractNumId w:val="30"/>
  </w:num>
  <w:num w:numId="31">
    <w:abstractNumId w:val="14"/>
  </w:num>
  <w:num w:numId="32">
    <w:abstractNumId w:val="29"/>
  </w:num>
  <w:num w:numId="33">
    <w:abstractNumId w:val="23"/>
  </w:num>
  <w:num w:numId="34">
    <w:abstractNumId w:val="12"/>
  </w:num>
  <w:num w:numId="35">
    <w:abstractNumId w:val="18"/>
  </w:num>
  <w:num w:numId="36">
    <w:abstractNumId w:val="19"/>
  </w:num>
  <w:num w:numId="37">
    <w:abstractNumId w:val="39"/>
  </w:num>
  <w:num w:numId="38">
    <w:abstractNumId w:val="41"/>
  </w:num>
  <w:num w:numId="39">
    <w:abstractNumId w:val="20"/>
  </w:num>
  <w:num w:numId="40">
    <w:abstractNumId w:val="33"/>
  </w:num>
  <w:num w:numId="41">
    <w:abstractNumId w:val="32"/>
  </w:num>
  <w:num w:numId="42">
    <w:abstractNumId w:val="25"/>
  </w:num>
  <w:num w:numId="43">
    <w:abstractNumId w:val="6"/>
  </w:num>
  <w:num w:numId="44">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14472"/>
    <w:rsid w:val="00001B0B"/>
    <w:rsid w:val="00002C36"/>
    <w:rsid w:val="00005169"/>
    <w:rsid w:val="00005808"/>
    <w:rsid w:val="0001070D"/>
    <w:rsid w:val="0001149B"/>
    <w:rsid w:val="00013DF4"/>
    <w:rsid w:val="000140C5"/>
    <w:rsid w:val="00014FE1"/>
    <w:rsid w:val="00021392"/>
    <w:rsid w:val="00021B74"/>
    <w:rsid w:val="000245A7"/>
    <w:rsid w:val="00026FF0"/>
    <w:rsid w:val="000274A6"/>
    <w:rsid w:val="00030955"/>
    <w:rsid w:val="00030B7D"/>
    <w:rsid w:val="000322A9"/>
    <w:rsid w:val="00033D9B"/>
    <w:rsid w:val="00034122"/>
    <w:rsid w:val="0003526F"/>
    <w:rsid w:val="000404B7"/>
    <w:rsid w:val="00040FB9"/>
    <w:rsid w:val="00040FE5"/>
    <w:rsid w:val="00043281"/>
    <w:rsid w:val="00044557"/>
    <w:rsid w:val="00044974"/>
    <w:rsid w:val="00044F5E"/>
    <w:rsid w:val="0004527E"/>
    <w:rsid w:val="000462EF"/>
    <w:rsid w:val="00046D73"/>
    <w:rsid w:val="00051C6B"/>
    <w:rsid w:val="00053864"/>
    <w:rsid w:val="00054300"/>
    <w:rsid w:val="00055237"/>
    <w:rsid w:val="000563A4"/>
    <w:rsid w:val="00056CAC"/>
    <w:rsid w:val="00060931"/>
    <w:rsid w:val="00061B75"/>
    <w:rsid w:val="00061FA7"/>
    <w:rsid w:val="0006222C"/>
    <w:rsid w:val="000623F2"/>
    <w:rsid w:val="00062C1D"/>
    <w:rsid w:val="0006389C"/>
    <w:rsid w:val="00063BD0"/>
    <w:rsid w:val="00064063"/>
    <w:rsid w:val="00064099"/>
    <w:rsid w:val="00064D6B"/>
    <w:rsid w:val="00065D05"/>
    <w:rsid w:val="00066D74"/>
    <w:rsid w:val="000700A8"/>
    <w:rsid w:val="0007026F"/>
    <w:rsid w:val="00071072"/>
    <w:rsid w:val="000714DB"/>
    <w:rsid w:val="00072644"/>
    <w:rsid w:val="000736E7"/>
    <w:rsid w:val="00073BF3"/>
    <w:rsid w:val="00074888"/>
    <w:rsid w:val="000753BC"/>
    <w:rsid w:val="00075E2C"/>
    <w:rsid w:val="00076162"/>
    <w:rsid w:val="00076849"/>
    <w:rsid w:val="00076D7D"/>
    <w:rsid w:val="000775C8"/>
    <w:rsid w:val="00080D7F"/>
    <w:rsid w:val="00080F9E"/>
    <w:rsid w:val="00083285"/>
    <w:rsid w:val="00085EFE"/>
    <w:rsid w:val="00086FBB"/>
    <w:rsid w:val="00087C13"/>
    <w:rsid w:val="000916F4"/>
    <w:rsid w:val="0009331D"/>
    <w:rsid w:val="000972D2"/>
    <w:rsid w:val="000A2E90"/>
    <w:rsid w:val="000A614B"/>
    <w:rsid w:val="000A6CA4"/>
    <w:rsid w:val="000A79B4"/>
    <w:rsid w:val="000B0F7F"/>
    <w:rsid w:val="000B121D"/>
    <w:rsid w:val="000B15FC"/>
    <w:rsid w:val="000B2041"/>
    <w:rsid w:val="000B3EC9"/>
    <w:rsid w:val="000B4D10"/>
    <w:rsid w:val="000B6A27"/>
    <w:rsid w:val="000B77C1"/>
    <w:rsid w:val="000B7A39"/>
    <w:rsid w:val="000C09AC"/>
    <w:rsid w:val="000C103F"/>
    <w:rsid w:val="000C19BC"/>
    <w:rsid w:val="000C2A14"/>
    <w:rsid w:val="000C308C"/>
    <w:rsid w:val="000C43BE"/>
    <w:rsid w:val="000C4CA2"/>
    <w:rsid w:val="000D170F"/>
    <w:rsid w:val="000D24CC"/>
    <w:rsid w:val="000D6F2D"/>
    <w:rsid w:val="000D74BD"/>
    <w:rsid w:val="000D7FA3"/>
    <w:rsid w:val="000E2589"/>
    <w:rsid w:val="000E2607"/>
    <w:rsid w:val="000E4A21"/>
    <w:rsid w:val="000E5ABC"/>
    <w:rsid w:val="000E5E13"/>
    <w:rsid w:val="000E5E6A"/>
    <w:rsid w:val="000E620E"/>
    <w:rsid w:val="000F38FB"/>
    <w:rsid w:val="000F487A"/>
    <w:rsid w:val="000F49E3"/>
    <w:rsid w:val="000F4CB0"/>
    <w:rsid w:val="001008B3"/>
    <w:rsid w:val="00100B0F"/>
    <w:rsid w:val="00101A78"/>
    <w:rsid w:val="00101D76"/>
    <w:rsid w:val="00102AB1"/>
    <w:rsid w:val="00105886"/>
    <w:rsid w:val="0010614D"/>
    <w:rsid w:val="00106325"/>
    <w:rsid w:val="00107526"/>
    <w:rsid w:val="00107DCF"/>
    <w:rsid w:val="0011095F"/>
    <w:rsid w:val="00110FE2"/>
    <w:rsid w:val="00111052"/>
    <w:rsid w:val="00114B05"/>
    <w:rsid w:val="00120391"/>
    <w:rsid w:val="001205F8"/>
    <w:rsid w:val="00120A5F"/>
    <w:rsid w:val="00120C9E"/>
    <w:rsid w:val="001211CD"/>
    <w:rsid w:val="001226FC"/>
    <w:rsid w:val="001253BF"/>
    <w:rsid w:val="00127728"/>
    <w:rsid w:val="0013210A"/>
    <w:rsid w:val="00132B2C"/>
    <w:rsid w:val="001334A1"/>
    <w:rsid w:val="00134B7A"/>
    <w:rsid w:val="00136D67"/>
    <w:rsid w:val="00137828"/>
    <w:rsid w:val="001413CF"/>
    <w:rsid w:val="00141550"/>
    <w:rsid w:val="00142030"/>
    <w:rsid w:val="001443C1"/>
    <w:rsid w:val="00145A45"/>
    <w:rsid w:val="00146B18"/>
    <w:rsid w:val="00150A88"/>
    <w:rsid w:val="00151362"/>
    <w:rsid w:val="0015260A"/>
    <w:rsid w:val="001526D7"/>
    <w:rsid w:val="00152F49"/>
    <w:rsid w:val="00153A07"/>
    <w:rsid w:val="00154329"/>
    <w:rsid w:val="00155FA9"/>
    <w:rsid w:val="0016070F"/>
    <w:rsid w:val="0016452A"/>
    <w:rsid w:val="0016466C"/>
    <w:rsid w:val="00164809"/>
    <w:rsid w:val="00164A76"/>
    <w:rsid w:val="00164E46"/>
    <w:rsid w:val="00165377"/>
    <w:rsid w:val="00166492"/>
    <w:rsid w:val="00166824"/>
    <w:rsid w:val="0017000B"/>
    <w:rsid w:val="0017161F"/>
    <w:rsid w:val="00172903"/>
    <w:rsid w:val="00180504"/>
    <w:rsid w:val="00180D10"/>
    <w:rsid w:val="001850F9"/>
    <w:rsid w:val="0018527D"/>
    <w:rsid w:val="0018793D"/>
    <w:rsid w:val="00187A51"/>
    <w:rsid w:val="00187F2D"/>
    <w:rsid w:val="00190361"/>
    <w:rsid w:val="001906AE"/>
    <w:rsid w:val="00192115"/>
    <w:rsid w:val="00192F1F"/>
    <w:rsid w:val="00193250"/>
    <w:rsid w:val="0019470E"/>
    <w:rsid w:val="00194D35"/>
    <w:rsid w:val="001957B2"/>
    <w:rsid w:val="00196591"/>
    <w:rsid w:val="00196F45"/>
    <w:rsid w:val="00196FA7"/>
    <w:rsid w:val="001979EA"/>
    <w:rsid w:val="001A20E6"/>
    <w:rsid w:val="001A2A8E"/>
    <w:rsid w:val="001A2D2A"/>
    <w:rsid w:val="001A3E99"/>
    <w:rsid w:val="001A52CE"/>
    <w:rsid w:val="001A58C8"/>
    <w:rsid w:val="001A5974"/>
    <w:rsid w:val="001A5E7D"/>
    <w:rsid w:val="001A6FBB"/>
    <w:rsid w:val="001A7FC3"/>
    <w:rsid w:val="001B0AB5"/>
    <w:rsid w:val="001B0DEA"/>
    <w:rsid w:val="001B39D0"/>
    <w:rsid w:val="001B3A47"/>
    <w:rsid w:val="001B4CE6"/>
    <w:rsid w:val="001B63C1"/>
    <w:rsid w:val="001B648B"/>
    <w:rsid w:val="001C05A9"/>
    <w:rsid w:val="001C136A"/>
    <w:rsid w:val="001C1602"/>
    <w:rsid w:val="001C1767"/>
    <w:rsid w:val="001C23CF"/>
    <w:rsid w:val="001C2C11"/>
    <w:rsid w:val="001C41EF"/>
    <w:rsid w:val="001C4920"/>
    <w:rsid w:val="001C682D"/>
    <w:rsid w:val="001C693C"/>
    <w:rsid w:val="001C704A"/>
    <w:rsid w:val="001C7141"/>
    <w:rsid w:val="001D254C"/>
    <w:rsid w:val="001D3472"/>
    <w:rsid w:val="001D3A22"/>
    <w:rsid w:val="001D4E5E"/>
    <w:rsid w:val="001D5E3E"/>
    <w:rsid w:val="001D6279"/>
    <w:rsid w:val="001D70E8"/>
    <w:rsid w:val="001D78DB"/>
    <w:rsid w:val="001E06ED"/>
    <w:rsid w:val="001E2898"/>
    <w:rsid w:val="001E68C0"/>
    <w:rsid w:val="001E7795"/>
    <w:rsid w:val="001F025D"/>
    <w:rsid w:val="001F04CD"/>
    <w:rsid w:val="001F0622"/>
    <w:rsid w:val="001F22BA"/>
    <w:rsid w:val="001F2572"/>
    <w:rsid w:val="001F393F"/>
    <w:rsid w:val="001F3DA8"/>
    <w:rsid w:val="001F55CA"/>
    <w:rsid w:val="001F6B70"/>
    <w:rsid w:val="001F75D4"/>
    <w:rsid w:val="00200B48"/>
    <w:rsid w:val="002032B6"/>
    <w:rsid w:val="0020366E"/>
    <w:rsid w:val="0020430E"/>
    <w:rsid w:val="0020559F"/>
    <w:rsid w:val="00211E1B"/>
    <w:rsid w:val="00211FE2"/>
    <w:rsid w:val="0021238D"/>
    <w:rsid w:val="00213565"/>
    <w:rsid w:val="0021564F"/>
    <w:rsid w:val="00216C24"/>
    <w:rsid w:val="0021704A"/>
    <w:rsid w:val="0021722F"/>
    <w:rsid w:val="002174F6"/>
    <w:rsid w:val="0022180F"/>
    <w:rsid w:val="00223166"/>
    <w:rsid w:val="00226E3F"/>
    <w:rsid w:val="002270A0"/>
    <w:rsid w:val="00227A0A"/>
    <w:rsid w:val="00230B91"/>
    <w:rsid w:val="00231787"/>
    <w:rsid w:val="00234A91"/>
    <w:rsid w:val="002351D9"/>
    <w:rsid w:val="002355FA"/>
    <w:rsid w:val="00236BC1"/>
    <w:rsid w:val="002376E3"/>
    <w:rsid w:val="002420A1"/>
    <w:rsid w:val="00242AA9"/>
    <w:rsid w:val="0024329A"/>
    <w:rsid w:val="002445C4"/>
    <w:rsid w:val="00245961"/>
    <w:rsid w:val="00247433"/>
    <w:rsid w:val="002501E1"/>
    <w:rsid w:val="0025033F"/>
    <w:rsid w:val="002511A4"/>
    <w:rsid w:val="00254F3A"/>
    <w:rsid w:val="00256632"/>
    <w:rsid w:val="00261F76"/>
    <w:rsid w:val="00265E64"/>
    <w:rsid w:val="002666A4"/>
    <w:rsid w:val="002701F3"/>
    <w:rsid w:val="00270456"/>
    <w:rsid w:val="00270A9F"/>
    <w:rsid w:val="00270E41"/>
    <w:rsid w:val="00271E1D"/>
    <w:rsid w:val="002736FC"/>
    <w:rsid w:val="002737C7"/>
    <w:rsid w:val="00275FA0"/>
    <w:rsid w:val="00276146"/>
    <w:rsid w:val="00277770"/>
    <w:rsid w:val="002811D6"/>
    <w:rsid w:val="00282940"/>
    <w:rsid w:val="00282B95"/>
    <w:rsid w:val="0028325A"/>
    <w:rsid w:val="0028331E"/>
    <w:rsid w:val="00283637"/>
    <w:rsid w:val="00283E99"/>
    <w:rsid w:val="00284C3F"/>
    <w:rsid w:val="00285144"/>
    <w:rsid w:val="002864F3"/>
    <w:rsid w:val="00286E79"/>
    <w:rsid w:val="002904F8"/>
    <w:rsid w:val="00290C34"/>
    <w:rsid w:val="002923FC"/>
    <w:rsid w:val="0029314F"/>
    <w:rsid w:val="00293762"/>
    <w:rsid w:val="00293D15"/>
    <w:rsid w:val="00294D7D"/>
    <w:rsid w:val="002954CF"/>
    <w:rsid w:val="00295972"/>
    <w:rsid w:val="00297435"/>
    <w:rsid w:val="002A0729"/>
    <w:rsid w:val="002A0C48"/>
    <w:rsid w:val="002A13FE"/>
    <w:rsid w:val="002A19BE"/>
    <w:rsid w:val="002A1B86"/>
    <w:rsid w:val="002A1E97"/>
    <w:rsid w:val="002A1EAD"/>
    <w:rsid w:val="002A294D"/>
    <w:rsid w:val="002A3915"/>
    <w:rsid w:val="002A577D"/>
    <w:rsid w:val="002A764E"/>
    <w:rsid w:val="002A7E04"/>
    <w:rsid w:val="002B1438"/>
    <w:rsid w:val="002B468E"/>
    <w:rsid w:val="002B548F"/>
    <w:rsid w:val="002B6071"/>
    <w:rsid w:val="002B6599"/>
    <w:rsid w:val="002B75C4"/>
    <w:rsid w:val="002C0F42"/>
    <w:rsid w:val="002C103D"/>
    <w:rsid w:val="002C160F"/>
    <w:rsid w:val="002C1D6A"/>
    <w:rsid w:val="002C37A9"/>
    <w:rsid w:val="002C3961"/>
    <w:rsid w:val="002C3F85"/>
    <w:rsid w:val="002C553A"/>
    <w:rsid w:val="002C5F6C"/>
    <w:rsid w:val="002C7087"/>
    <w:rsid w:val="002D0117"/>
    <w:rsid w:val="002D1A6A"/>
    <w:rsid w:val="002D2CAF"/>
    <w:rsid w:val="002D4C38"/>
    <w:rsid w:val="002D4F09"/>
    <w:rsid w:val="002D77EE"/>
    <w:rsid w:val="002E1337"/>
    <w:rsid w:val="002E4607"/>
    <w:rsid w:val="002E4D4B"/>
    <w:rsid w:val="002E5646"/>
    <w:rsid w:val="002E61C2"/>
    <w:rsid w:val="002F1290"/>
    <w:rsid w:val="002F23EE"/>
    <w:rsid w:val="002F46D1"/>
    <w:rsid w:val="002F57C7"/>
    <w:rsid w:val="002F6B40"/>
    <w:rsid w:val="002F78B3"/>
    <w:rsid w:val="002F7E5C"/>
    <w:rsid w:val="003020E8"/>
    <w:rsid w:val="00302446"/>
    <w:rsid w:val="0030312D"/>
    <w:rsid w:val="00303ABD"/>
    <w:rsid w:val="00304CF4"/>
    <w:rsid w:val="00306897"/>
    <w:rsid w:val="0030790F"/>
    <w:rsid w:val="00310231"/>
    <w:rsid w:val="00310505"/>
    <w:rsid w:val="00310963"/>
    <w:rsid w:val="00312FBC"/>
    <w:rsid w:val="00313248"/>
    <w:rsid w:val="003149E3"/>
    <w:rsid w:val="00315324"/>
    <w:rsid w:val="0032239E"/>
    <w:rsid w:val="00322A79"/>
    <w:rsid w:val="003232E2"/>
    <w:rsid w:val="003233C9"/>
    <w:rsid w:val="0032517D"/>
    <w:rsid w:val="00325F9D"/>
    <w:rsid w:val="00327098"/>
    <w:rsid w:val="0032753B"/>
    <w:rsid w:val="0032799A"/>
    <w:rsid w:val="00327CC8"/>
    <w:rsid w:val="00331123"/>
    <w:rsid w:val="0033117F"/>
    <w:rsid w:val="0033161A"/>
    <w:rsid w:val="003338FA"/>
    <w:rsid w:val="003340F6"/>
    <w:rsid w:val="0033411B"/>
    <w:rsid w:val="003357F6"/>
    <w:rsid w:val="00337C08"/>
    <w:rsid w:val="00337C12"/>
    <w:rsid w:val="00341FED"/>
    <w:rsid w:val="0034295A"/>
    <w:rsid w:val="00343E31"/>
    <w:rsid w:val="003461F5"/>
    <w:rsid w:val="00346876"/>
    <w:rsid w:val="00346959"/>
    <w:rsid w:val="00347552"/>
    <w:rsid w:val="00347AB7"/>
    <w:rsid w:val="00347C54"/>
    <w:rsid w:val="00347EC3"/>
    <w:rsid w:val="00352802"/>
    <w:rsid w:val="003531D0"/>
    <w:rsid w:val="00353F08"/>
    <w:rsid w:val="0035447E"/>
    <w:rsid w:val="003546F8"/>
    <w:rsid w:val="00354EB7"/>
    <w:rsid w:val="003573C8"/>
    <w:rsid w:val="00361955"/>
    <w:rsid w:val="0036234F"/>
    <w:rsid w:val="003632AC"/>
    <w:rsid w:val="003649B4"/>
    <w:rsid w:val="003660A0"/>
    <w:rsid w:val="00370CA3"/>
    <w:rsid w:val="003739E2"/>
    <w:rsid w:val="003741FE"/>
    <w:rsid w:val="00374DFB"/>
    <w:rsid w:val="003765DD"/>
    <w:rsid w:val="00377D35"/>
    <w:rsid w:val="00380F42"/>
    <w:rsid w:val="003826E7"/>
    <w:rsid w:val="003829FE"/>
    <w:rsid w:val="00384DBD"/>
    <w:rsid w:val="003858CF"/>
    <w:rsid w:val="003866FC"/>
    <w:rsid w:val="00387770"/>
    <w:rsid w:val="00387D1C"/>
    <w:rsid w:val="00392DDC"/>
    <w:rsid w:val="003939D8"/>
    <w:rsid w:val="00393CB5"/>
    <w:rsid w:val="003964C9"/>
    <w:rsid w:val="00396897"/>
    <w:rsid w:val="0039703F"/>
    <w:rsid w:val="00397A9A"/>
    <w:rsid w:val="003A053F"/>
    <w:rsid w:val="003A11A4"/>
    <w:rsid w:val="003A2189"/>
    <w:rsid w:val="003A43A2"/>
    <w:rsid w:val="003A467F"/>
    <w:rsid w:val="003A5F3F"/>
    <w:rsid w:val="003A6283"/>
    <w:rsid w:val="003A75C7"/>
    <w:rsid w:val="003B0B2A"/>
    <w:rsid w:val="003B180C"/>
    <w:rsid w:val="003B1C2F"/>
    <w:rsid w:val="003B2242"/>
    <w:rsid w:val="003B278F"/>
    <w:rsid w:val="003B2907"/>
    <w:rsid w:val="003B6003"/>
    <w:rsid w:val="003C03E6"/>
    <w:rsid w:val="003C27D2"/>
    <w:rsid w:val="003C37FD"/>
    <w:rsid w:val="003C4B42"/>
    <w:rsid w:val="003C4E3F"/>
    <w:rsid w:val="003C5817"/>
    <w:rsid w:val="003C5FF2"/>
    <w:rsid w:val="003C67F4"/>
    <w:rsid w:val="003C6867"/>
    <w:rsid w:val="003C7368"/>
    <w:rsid w:val="003C73C9"/>
    <w:rsid w:val="003C79B8"/>
    <w:rsid w:val="003D0AAD"/>
    <w:rsid w:val="003D172C"/>
    <w:rsid w:val="003D1A52"/>
    <w:rsid w:val="003D2531"/>
    <w:rsid w:val="003D2B40"/>
    <w:rsid w:val="003D38B0"/>
    <w:rsid w:val="003D409B"/>
    <w:rsid w:val="003D5245"/>
    <w:rsid w:val="003D6576"/>
    <w:rsid w:val="003D74FB"/>
    <w:rsid w:val="003D7FF7"/>
    <w:rsid w:val="003E147A"/>
    <w:rsid w:val="003E1A60"/>
    <w:rsid w:val="003E4B2F"/>
    <w:rsid w:val="003E6551"/>
    <w:rsid w:val="003E6B03"/>
    <w:rsid w:val="003E6BB4"/>
    <w:rsid w:val="003E6D8B"/>
    <w:rsid w:val="003E6E20"/>
    <w:rsid w:val="003E72C7"/>
    <w:rsid w:val="003E7BAB"/>
    <w:rsid w:val="003F0623"/>
    <w:rsid w:val="003F0CFF"/>
    <w:rsid w:val="003F3E49"/>
    <w:rsid w:val="003F4075"/>
    <w:rsid w:val="003F7114"/>
    <w:rsid w:val="003F7601"/>
    <w:rsid w:val="004034F2"/>
    <w:rsid w:val="004057A6"/>
    <w:rsid w:val="0040601E"/>
    <w:rsid w:val="0041361F"/>
    <w:rsid w:val="00415DE7"/>
    <w:rsid w:val="0041737C"/>
    <w:rsid w:val="00417A1D"/>
    <w:rsid w:val="00417A4D"/>
    <w:rsid w:val="004205F8"/>
    <w:rsid w:val="00420A37"/>
    <w:rsid w:val="00420AC9"/>
    <w:rsid w:val="00420BC2"/>
    <w:rsid w:val="00423C3D"/>
    <w:rsid w:val="00424B0A"/>
    <w:rsid w:val="00426420"/>
    <w:rsid w:val="00427132"/>
    <w:rsid w:val="00427C87"/>
    <w:rsid w:val="0043048E"/>
    <w:rsid w:val="00431DC2"/>
    <w:rsid w:val="00432A55"/>
    <w:rsid w:val="004345B7"/>
    <w:rsid w:val="004360C9"/>
    <w:rsid w:val="00436F5C"/>
    <w:rsid w:val="0043768D"/>
    <w:rsid w:val="00440307"/>
    <w:rsid w:val="00442901"/>
    <w:rsid w:val="00442CA4"/>
    <w:rsid w:val="0044571C"/>
    <w:rsid w:val="00445774"/>
    <w:rsid w:val="004473B0"/>
    <w:rsid w:val="00447D71"/>
    <w:rsid w:val="00450B34"/>
    <w:rsid w:val="00452927"/>
    <w:rsid w:val="00453B38"/>
    <w:rsid w:val="004628B8"/>
    <w:rsid w:val="004637BB"/>
    <w:rsid w:val="004667FD"/>
    <w:rsid w:val="00466B45"/>
    <w:rsid w:val="00466D91"/>
    <w:rsid w:val="00471C67"/>
    <w:rsid w:val="00472A64"/>
    <w:rsid w:val="00474775"/>
    <w:rsid w:val="00474DCA"/>
    <w:rsid w:val="0047784D"/>
    <w:rsid w:val="00477D98"/>
    <w:rsid w:val="004802D7"/>
    <w:rsid w:val="00481811"/>
    <w:rsid w:val="00481C17"/>
    <w:rsid w:val="00486989"/>
    <w:rsid w:val="0048790F"/>
    <w:rsid w:val="0049237D"/>
    <w:rsid w:val="00493515"/>
    <w:rsid w:val="00495467"/>
    <w:rsid w:val="004A0299"/>
    <w:rsid w:val="004A1755"/>
    <w:rsid w:val="004A31CA"/>
    <w:rsid w:val="004A3F8C"/>
    <w:rsid w:val="004A4C6D"/>
    <w:rsid w:val="004A4F48"/>
    <w:rsid w:val="004A53B1"/>
    <w:rsid w:val="004A56C2"/>
    <w:rsid w:val="004A56F5"/>
    <w:rsid w:val="004A5AA2"/>
    <w:rsid w:val="004A72DC"/>
    <w:rsid w:val="004B485A"/>
    <w:rsid w:val="004B4E6D"/>
    <w:rsid w:val="004B5546"/>
    <w:rsid w:val="004C11FF"/>
    <w:rsid w:val="004C1A4B"/>
    <w:rsid w:val="004C24E5"/>
    <w:rsid w:val="004C306B"/>
    <w:rsid w:val="004C3C16"/>
    <w:rsid w:val="004C3C3A"/>
    <w:rsid w:val="004C4BBB"/>
    <w:rsid w:val="004C62EA"/>
    <w:rsid w:val="004C75CA"/>
    <w:rsid w:val="004C7663"/>
    <w:rsid w:val="004D181A"/>
    <w:rsid w:val="004D29BA"/>
    <w:rsid w:val="004D35DA"/>
    <w:rsid w:val="004D362D"/>
    <w:rsid w:val="004D40BA"/>
    <w:rsid w:val="004D62C8"/>
    <w:rsid w:val="004D7426"/>
    <w:rsid w:val="004E0978"/>
    <w:rsid w:val="004E2B8B"/>
    <w:rsid w:val="004E422A"/>
    <w:rsid w:val="004E4A27"/>
    <w:rsid w:val="004E6190"/>
    <w:rsid w:val="004F0724"/>
    <w:rsid w:val="004F0839"/>
    <w:rsid w:val="004F188D"/>
    <w:rsid w:val="004F1B54"/>
    <w:rsid w:val="004F2AD2"/>
    <w:rsid w:val="004F32E0"/>
    <w:rsid w:val="004F38BE"/>
    <w:rsid w:val="004F60B1"/>
    <w:rsid w:val="004F63EB"/>
    <w:rsid w:val="00500293"/>
    <w:rsid w:val="00503C3C"/>
    <w:rsid w:val="00505851"/>
    <w:rsid w:val="005074A7"/>
    <w:rsid w:val="0051060C"/>
    <w:rsid w:val="00510E4E"/>
    <w:rsid w:val="005113F6"/>
    <w:rsid w:val="00513026"/>
    <w:rsid w:val="00515C74"/>
    <w:rsid w:val="00515D44"/>
    <w:rsid w:val="00516A4B"/>
    <w:rsid w:val="00517A73"/>
    <w:rsid w:val="00521125"/>
    <w:rsid w:val="00521EF9"/>
    <w:rsid w:val="0052212C"/>
    <w:rsid w:val="00523013"/>
    <w:rsid w:val="0052396D"/>
    <w:rsid w:val="0052483A"/>
    <w:rsid w:val="00525DE1"/>
    <w:rsid w:val="0052673D"/>
    <w:rsid w:val="00527245"/>
    <w:rsid w:val="0053126C"/>
    <w:rsid w:val="00532C1E"/>
    <w:rsid w:val="00535041"/>
    <w:rsid w:val="005357DC"/>
    <w:rsid w:val="0053681A"/>
    <w:rsid w:val="00536AEA"/>
    <w:rsid w:val="005414F5"/>
    <w:rsid w:val="00544494"/>
    <w:rsid w:val="00544A8A"/>
    <w:rsid w:val="00545A04"/>
    <w:rsid w:val="005475F1"/>
    <w:rsid w:val="005528E3"/>
    <w:rsid w:val="00552F0B"/>
    <w:rsid w:val="00553B5D"/>
    <w:rsid w:val="005558AF"/>
    <w:rsid w:val="00556721"/>
    <w:rsid w:val="005574E7"/>
    <w:rsid w:val="00557F28"/>
    <w:rsid w:val="00560A90"/>
    <w:rsid w:val="00560BAA"/>
    <w:rsid w:val="0056751F"/>
    <w:rsid w:val="00567770"/>
    <w:rsid w:val="00567903"/>
    <w:rsid w:val="005712EB"/>
    <w:rsid w:val="005715D0"/>
    <w:rsid w:val="00573B8F"/>
    <w:rsid w:val="00573DD1"/>
    <w:rsid w:val="00574B5C"/>
    <w:rsid w:val="00575C10"/>
    <w:rsid w:val="00575C9B"/>
    <w:rsid w:val="00581396"/>
    <w:rsid w:val="00581627"/>
    <w:rsid w:val="00582117"/>
    <w:rsid w:val="0058341E"/>
    <w:rsid w:val="005841B2"/>
    <w:rsid w:val="00590BB6"/>
    <w:rsid w:val="00590C54"/>
    <w:rsid w:val="00590F8A"/>
    <w:rsid w:val="00592318"/>
    <w:rsid w:val="00596BC1"/>
    <w:rsid w:val="00596CB5"/>
    <w:rsid w:val="005A0CD0"/>
    <w:rsid w:val="005A19B2"/>
    <w:rsid w:val="005A2D23"/>
    <w:rsid w:val="005A4749"/>
    <w:rsid w:val="005A6FAD"/>
    <w:rsid w:val="005A7367"/>
    <w:rsid w:val="005B1EF2"/>
    <w:rsid w:val="005B23E3"/>
    <w:rsid w:val="005B3329"/>
    <w:rsid w:val="005B53EA"/>
    <w:rsid w:val="005B5C33"/>
    <w:rsid w:val="005C3D7E"/>
    <w:rsid w:val="005C42B1"/>
    <w:rsid w:val="005C446F"/>
    <w:rsid w:val="005C49EB"/>
    <w:rsid w:val="005D259B"/>
    <w:rsid w:val="005D63D8"/>
    <w:rsid w:val="005D690D"/>
    <w:rsid w:val="005D6F2B"/>
    <w:rsid w:val="005D7A78"/>
    <w:rsid w:val="005E128E"/>
    <w:rsid w:val="005E3E0C"/>
    <w:rsid w:val="005E43C8"/>
    <w:rsid w:val="005E567D"/>
    <w:rsid w:val="005E5B33"/>
    <w:rsid w:val="005E6785"/>
    <w:rsid w:val="005E6A10"/>
    <w:rsid w:val="005F050D"/>
    <w:rsid w:val="005F0F60"/>
    <w:rsid w:val="005F221C"/>
    <w:rsid w:val="005F3F6A"/>
    <w:rsid w:val="005F41A3"/>
    <w:rsid w:val="005F505D"/>
    <w:rsid w:val="00602C84"/>
    <w:rsid w:val="00603F41"/>
    <w:rsid w:val="0060508E"/>
    <w:rsid w:val="006051F4"/>
    <w:rsid w:val="0061028E"/>
    <w:rsid w:val="0061227D"/>
    <w:rsid w:val="006127C9"/>
    <w:rsid w:val="00612847"/>
    <w:rsid w:val="00612F6B"/>
    <w:rsid w:val="00613A65"/>
    <w:rsid w:val="006142DE"/>
    <w:rsid w:val="00614361"/>
    <w:rsid w:val="006153C1"/>
    <w:rsid w:val="00620384"/>
    <w:rsid w:val="0062253C"/>
    <w:rsid w:val="006228E7"/>
    <w:rsid w:val="00627AF4"/>
    <w:rsid w:val="00627BB0"/>
    <w:rsid w:val="00630633"/>
    <w:rsid w:val="00630795"/>
    <w:rsid w:val="00631FB3"/>
    <w:rsid w:val="00632BB2"/>
    <w:rsid w:val="006333C7"/>
    <w:rsid w:val="00633861"/>
    <w:rsid w:val="006340F3"/>
    <w:rsid w:val="006341FB"/>
    <w:rsid w:val="0063588E"/>
    <w:rsid w:val="006409DB"/>
    <w:rsid w:val="00640BE2"/>
    <w:rsid w:val="00640D62"/>
    <w:rsid w:val="006416C1"/>
    <w:rsid w:val="00641C0C"/>
    <w:rsid w:val="00643752"/>
    <w:rsid w:val="00643E6D"/>
    <w:rsid w:val="006443AA"/>
    <w:rsid w:val="00644A22"/>
    <w:rsid w:val="006450BD"/>
    <w:rsid w:val="0064559C"/>
    <w:rsid w:val="006455F8"/>
    <w:rsid w:val="006457C0"/>
    <w:rsid w:val="006463DB"/>
    <w:rsid w:val="00647A2A"/>
    <w:rsid w:val="006512C5"/>
    <w:rsid w:val="00652322"/>
    <w:rsid w:val="00652371"/>
    <w:rsid w:val="0065293F"/>
    <w:rsid w:val="00652C9A"/>
    <w:rsid w:val="00653955"/>
    <w:rsid w:val="00654093"/>
    <w:rsid w:val="00654C80"/>
    <w:rsid w:val="00656570"/>
    <w:rsid w:val="00656E97"/>
    <w:rsid w:val="00660325"/>
    <w:rsid w:val="00660990"/>
    <w:rsid w:val="006619FB"/>
    <w:rsid w:val="0066280F"/>
    <w:rsid w:val="006637A5"/>
    <w:rsid w:val="00663909"/>
    <w:rsid w:val="0066593F"/>
    <w:rsid w:val="0066619A"/>
    <w:rsid w:val="00666599"/>
    <w:rsid w:val="00666801"/>
    <w:rsid w:val="0066696D"/>
    <w:rsid w:val="00670A05"/>
    <w:rsid w:val="006725C2"/>
    <w:rsid w:val="00672E07"/>
    <w:rsid w:val="00676353"/>
    <w:rsid w:val="00676826"/>
    <w:rsid w:val="0068133D"/>
    <w:rsid w:val="00682122"/>
    <w:rsid w:val="006823D5"/>
    <w:rsid w:val="006829A2"/>
    <w:rsid w:val="00683EB6"/>
    <w:rsid w:val="0068415D"/>
    <w:rsid w:val="0068587E"/>
    <w:rsid w:val="00686262"/>
    <w:rsid w:val="00686D5B"/>
    <w:rsid w:val="00687E4D"/>
    <w:rsid w:val="00690B76"/>
    <w:rsid w:val="006913C6"/>
    <w:rsid w:val="00691C53"/>
    <w:rsid w:val="0069239D"/>
    <w:rsid w:val="0069298D"/>
    <w:rsid w:val="00692F0D"/>
    <w:rsid w:val="00693E0B"/>
    <w:rsid w:val="006945E0"/>
    <w:rsid w:val="00694E6E"/>
    <w:rsid w:val="00696B26"/>
    <w:rsid w:val="00697C3E"/>
    <w:rsid w:val="006A148E"/>
    <w:rsid w:val="006A3AEA"/>
    <w:rsid w:val="006A3EC5"/>
    <w:rsid w:val="006A4A29"/>
    <w:rsid w:val="006A4B19"/>
    <w:rsid w:val="006A535D"/>
    <w:rsid w:val="006A6F5E"/>
    <w:rsid w:val="006B0BC8"/>
    <w:rsid w:val="006B20FA"/>
    <w:rsid w:val="006B2BB5"/>
    <w:rsid w:val="006B3855"/>
    <w:rsid w:val="006B3BA2"/>
    <w:rsid w:val="006B40ED"/>
    <w:rsid w:val="006B49E0"/>
    <w:rsid w:val="006B56AF"/>
    <w:rsid w:val="006C0609"/>
    <w:rsid w:val="006C0B20"/>
    <w:rsid w:val="006C141D"/>
    <w:rsid w:val="006C1559"/>
    <w:rsid w:val="006C167E"/>
    <w:rsid w:val="006C2DD3"/>
    <w:rsid w:val="006C3DE8"/>
    <w:rsid w:val="006C3F56"/>
    <w:rsid w:val="006C45DC"/>
    <w:rsid w:val="006C6A43"/>
    <w:rsid w:val="006C740C"/>
    <w:rsid w:val="006C767D"/>
    <w:rsid w:val="006D09C2"/>
    <w:rsid w:val="006D0F58"/>
    <w:rsid w:val="006D1045"/>
    <w:rsid w:val="006D11E0"/>
    <w:rsid w:val="006D12A2"/>
    <w:rsid w:val="006D1BDA"/>
    <w:rsid w:val="006D2348"/>
    <w:rsid w:val="006D2745"/>
    <w:rsid w:val="006D3CCE"/>
    <w:rsid w:val="006D4059"/>
    <w:rsid w:val="006D4988"/>
    <w:rsid w:val="006D4E6A"/>
    <w:rsid w:val="006D61B2"/>
    <w:rsid w:val="006D64E7"/>
    <w:rsid w:val="006D6747"/>
    <w:rsid w:val="006D68CB"/>
    <w:rsid w:val="006D6EE0"/>
    <w:rsid w:val="006E0144"/>
    <w:rsid w:val="006E0675"/>
    <w:rsid w:val="006E15B2"/>
    <w:rsid w:val="006E1965"/>
    <w:rsid w:val="006E7A14"/>
    <w:rsid w:val="006E7AE7"/>
    <w:rsid w:val="006E7AF6"/>
    <w:rsid w:val="006E7FB6"/>
    <w:rsid w:val="006F16E9"/>
    <w:rsid w:val="006F28C5"/>
    <w:rsid w:val="006F304A"/>
    <w:rsid w:val="006F3BEF"/>
    <w:rsid w:val="006F723F"/>
    <w:rsid w:val="00700573"/>
    <w:rsid w:val="007005C5"/>
    <w:rsid w:val="00700B4E"/>
    <w:rsid w:val="007017E4"/>
    <w:rsid w:val="00703346"/>
    <w:rsid w:val="0070535F"/>
    <w:rsid w:val="0070695F"/>
    <w:rsid w:val="00706E9F"/>
    <w:rsid w:val="0070732E"/>
    <w:rsid w:val="00710788"/>
    <w:rsid w:val="0071179D"/>
    <w:rsid w:val="00712180"/>
    <w:rsid w:val="00712BED"/>
    <w:rsid w:val="00713742"/>
    <w:rsid w:val="00713E53"/>
    <w:rsid w:val="00713EAA"/>
    <w:rsid w:val="00714531"/>
    <w:rsid w:val="0071456A"/>
    <w:rsid w:val="00715228"/>
    <w:rsid w:val="00716F01"/>
    <w:rsid w:val="0071733D"/>
    <w:rsid w:val="00717343"/>
    <w:rsid w:val="00720272"/>
    <w:rsid w:val="00720D22"/>
    <w:rsid w:val="00723605"/>
    <w:rsid w:val="00725F26"/>
    <w:rsid w:val="0072641F"/>
    <w:rsid w:val="00727F55"/>
    <w:rsid w:val="00731C85"/>
    <w:rsid w:val="007326EC"/>
    <w:rsid w:val="00735054"/>
    <w:rsid w:val="00740AB5"/>
    <w:rsid w:val="00740B13"/>
    <w:rsid w:val="0074131F"/>
    <w:rsid w:val="007417D0"/>
    <w:rsid w:val="00741EB1"/>
    <w:rsid w:val="007421F4"/>
    <w:rsid w:val="0074363F"/>
    <w:rsid w:val="00744041"/>
    <w:rsid w:val="00744B10"/>
    <w:rsid w:val="00744DAD"/>
    <w:rsid w:val="007456D2"/>
    <w:rsid w:val="007461F8"/>
    <w:rsid w:val="007467E8"/>
    <w:rsid w:val="00747D4F"/>
    <w:rsid w:val="00750AA5"/>
    <w:rsid w:val="00750DF5"/>
    <w:rsid w:val="00752477"/>
    <w:rsid w:val="00753653"/>
    <w:rsid w:val="00754034"/>
    <w:rsid w:val="00755D9C"/>
    <w:rsid w:val="00756B63"/>
    <w:rsid w:val="00761F4E"/>
    <w:rsid w:val="007629AE"/>
    <w:rsid w:val="00762BB4"/>
    <w:rsid w:val="00763CA7"/>
    <w:rsid w:val="0076414C"/>
    <w:rsid w:val="007712AF"/>
    <w:rsid w:val="0077437C"/>
    <w:rsid w:val="007747FD"/>
    <w:rsid w:val="00781AFD"/>
    <w:rsid w:val="00781CDA"/>
    <w:rsid w:val="0078276E"/>
    <w:rsid w:val="00783191"/>
    <w:rsid w:val="007839C9"/>
    <w:rsid w:val="00785FD7"/>
    <w:rsid w:val="00786A65"/>
    <w:rsid w:val="007872A3"/>
    <w:rsid w:val="00787AE8"/>
    <w:rsid w:val="00790D96"/>
    <w:rsid w:val="00790F9F"/>
    <w:rsid w:val="00791DFB"/>
    <w:rsid w:val="0079252B"/>
    <w:rsid w:val="00795D7A"/>
    <w:rsid w:val="00795E9E"/>
    <w:rsid w:val="00796A6C"/>
    <w:rsid w:val="007A0898"/>
    <w:rsid w:val="007A0B09"/>
    <w:rsid w:val="007A1291"/>
    <w:rsid w:val="007A1B8F"/>
    <w:rsid w:val="007A1F66"/>
    <w:rsid w:val="007A2177"/>
    <w:rsid w:val="007A4ECF"/>
    <w:rsid w:val="007A7BCA"/>
    <w:rsid w:val="007B1463"/>
    <w:rsid w:val="007B17CF"/>
    <w:rsid w:val="007B18DF"/>
    <w:rsid w:val="007B1BEA"/>
    <w:rsid w:val="007B3C3A"/>
    <w:rsid w:val="007B4253"/>
    <w:rsid w:val="007B43FD"/>
    <w:rsid w:val="007B447A"/>
    <w:rsid w:val="007B4940"/>
    <w:rsid w:val="007B4B3D"/>
    <w:rsid w:val="007B54E2"/>
    <w:rsid w:val="007B73F1"/>
    <w:rsid w:val="007B7630"/>
    <w:rsid w:val="007B7800"/>
    <w:rsid w:val="007B780A"/>
    <w:rsid w:val="007C28A1"/>
    <w:rsid w:val="007C2928"/>
    <w:rsid w:val="007C301E"/>
    <w:rsid w:val="007C4371"/>
    <w:rsid w:val="007C6288"/>
    <w:rsid w:val="007D0D12"/>
    <w:rsid w:val="007D176A"/>
    <w:rsid w:val="007D1FB5"/>
    <w:rsid w:val="007D2327"/>
    <w:rsid w:val="007D26F6"/>
    <w:rsid w:val="007D385C"/>
    <w:rsid w:val="007D3CBE"/>
    <w:rsid w:val="007E6CEC"/>
    <w:rsid w:val="007F0218"/>
    <w:rsid w:val="007F6B57"/>
    <w:rsid w:val="007F6C1F"/>
    <w:rsid w:val="00801DC3"/>
    <w:rsid w:val="008025F8"/>
    <w:rsid w:val="00805B94"/>
    <w:rsid w:val="008069D7"/>
    <w:rsid w:val="0081016D"/>
    <w:rsid w:val="008118EC"/>
    <w:rsid w:val="00811EB4"/>
    <w:rsid w:val="00811F11"/>
    <w:rsid w:val="0081290D"/>
    <w:rsid w:val="00814A25"/>
    <w:rsid w:val="008165C6"/>
    <w:rsid w:val="008215F5"/>
    <w:rsid w:val="00822917"/>
    <w:rsid w:val="00823E01"/>
    <w:rsid w:val="00825DBF"/>
    <w:rsid w:val="00826A58"/>
    <w:rsid w:val="00827C20"/>
    <w:rsid w:val="00830F97"/>
    <w:rsid w:val="00831966"/>
    <w:rsid w:val="00832123"/>
    <w:rsid w:val="00832202"/>
    <w:rsid w:val="00832C6E"/>
    <w:rsid w:val="00834BB6"/>
    <w:rsid w:val="008357B1"/>
    <w:rsid w:val="0083596F"/>
    <w:rsid w:val="008359C9"/>
    <w:rsid w:val="00836B22"/>
    <w:rsid w:val="0083772A"/>
    <w:rsid w:val="00840A73"/>
    <w:rsid w:val="0084173A"/>
    <w:rsid w:val="00841BEC"/>
    <w:rsid w:val="0084239D"/>
    <w:rsid w:val="00843EA8"/>
    <w:rsid w:val="00844070"/>
    <w:rsid w:val="0084581B"/>
    <w:rsid w:val="00845EE1"/>
    <w:rsid w:val="008504AC"/>
    <w:rsid w:val="0085082E"/>
    <w:rsid w:val="00851A84"/>
    <w:rsid w:val="0085268F"/>
    <w:rsid w:val="0085684A"/>
    <w:rsid w:val="00857264"/>
    <w:rsid w:val="00860349"/>
    <w:rsid w:val="00861A34"/>
    <w:rsid w:val="00861B01"/>
    <w:rsid w:val="008629B7"/>
    <w:rsid w:val="0086395C"/>
    <w:rsid w:val="00863D3B"/>
    <w:rsid w:val="00863E3A"/>
    <w:rsid w:val="00865324"/>
    <w:rsid w:val="00865530"/>
    <w:rsid w:val="00865AE2"/>
    <w:rsid w:val="00866744"/>
    <w:rsid w:val="00871DF2"/>
    <w:rsid w:val="00872A32"/>
    <w:rsid w:val="00872FAA"/>
    <w:rsid w:val="00874E23"/>
    <w:rsid w:val="00876A22"/>
    <w:rsid w:val="008801FF"/>
    <w:rsid w:val="008808E9"/>
    <w:rsid w:val="0088181D"/>
    <w:rsid w:val="00883D12"/>
    <w:rsid w:val="008876FF"/>
    <w:rsid w:val="0088790A"/>
    <w:rsid w:val="00890B15"/>
    <w:rsid w:val="00891CCB"/>
    <w:rsid w:val="00892EE9"/>
    <w:rsid w:val="0089610D"/>
    <w:rsid w:val="008978F1"/>
    <w:rsid w:val="00897DDA"/>
    <w:rsid w:val="008A3048"/>
    <w:rsid w:val="008A313C"/>
    <w:rsid w:val="008A45E7"/>
    <w:rsid w:val="008A540C"/>
    <w:rsid w:val="008A5B22"/>
    <w:rsid w:val="008A6064"/>
    <w:rsid w:val="008A74A4"/>
    <w:rsid w:val="008A7B88"/>
    <w:rsid w:val="008B200D"/>
    <w:rsid w:val="008B21DD"/>
    <w:rsid w:val="008B2AAB"/>
    <w:rsid w:val="008B4722"/>
    <w:rsid w:val="008B50E8"/>
    <w:rsid w:val="008B705F"/>
    <w:rsid w:val="008C1F7C"/>
    <w:rsid w:val="008C21D0"/>
    <w:rsid w:val="008C3767"/>
    <w:rsid w:val="008C4B20"/>
    <w:rsid w:val="008C4C19"/>
    <w:rsid w:val="008C4F2C"/>
    <w:rsid w:val="008C5359"/>
    <w:rsid w:val="008C5586"/>
    <w:rsid w:val="008D041F"/>
    <w:rsid w:val="008D084B"/>
    <w:rsid w:val="008D1126"/>
    <w:rsid w:val="008D1E8B"/>
    <w:rsid w:val="008D3682"/>
    <w:rsid w:val="008D4644"/>
    <w:rsid w:val="008D5FAD"/>
    <w:rsid w:val="008D5FD5"/>
    <w:rsid w:val="008D6939"/>
    <w:rsid w:val="008D6EB1"/>
    <w:rsid w:val="008E092E"/>
    <w:rsid w:val="008E136E"/>
    <w:rsid w:val="008E159F"/>
    <w:rsid w:val="008E26E6"/>
    <w:rsid w:val="008E5667"/>
    <w:rsid w:val="008E59F4"/>
    <w:rsid w:val="008E639B"/>
    <w:rsid w:val="008E79F2"/>
    <w:rsid w:val="008E7A4C"/>
    <w:rsid w:val="008F04B8"/>
    <w:rsid w:val="008F08B2"/>
    <w:rsid w:val="008F1801"/>
    <w:rsid w:val="008F3243"/>
    <w:rsid w:val="008F3FD1"/>
    <w:rsid w:val="008F4F17"/>
    <w:rsid w:val="008F52AA"/>
    <w:rsid w:val="008F5387"/>
    <w:rsid w:val="008F6E0A"/>
    <w:rsid w:val="0090015C"/>
    <w:rsid w:val="00900BF7"/>
    <w:rsid w:val="009017A2"/>
    <w:rsid w:val="00902000"/>
    <w:rsid w:val="00903646"/>
    <w:rsid w:val="00905010"/>
    <w:rsid w:val="0091062C"/>
    <w:rsid w:val="00910ACC"/>
    <w:rsid w:val="009121E5"/>
    <w:rsid w:val="00912B3D"/>
    <w:rsid w:val="00917A4C"/>
    <w:rsid w:val="009203CE"/>
    <w:rsid w:val="00922694"/>
    <w:rsid w:val="00922ABE"/>
    <w:rsid w:val="00922E3D"/>
    <w:rsid w:val="0092412A"/>
    <w:rsid w:val="00924DFB"/>
    <w:rsid w:val="009251D5"/>
    <w:rsid w:val="00925F5E"/>
    <w:rsid w:val="00927D29"/>
    <w:rsid w:val="00927F6C"/>
    <w:rsid w:val="00930C20"/>
    <w:rsid w:val="009318D0"/>
    <w:rsid w:val="00933EB1"/>
    <w:rsid w:val="0093473E"/>
    <w:rsid w:val="00934C35"/>
    <w:rsid w:val="00937BB0"/>
    <w:rsid w:val="009427AC"/>
    <w:rsid w:val="009445F5"/>
    <w:rsid w:val="009458B9"/>
    <w:rsid w:val="00945CB6"/>
    <w:rsid w:val="00945E81"/>
    <w:rsid w:val="00946391"/>
    <w:rsid w:val="009531EB"/>
    <w:rsid w:val="009544C2"/>
    <w:rsid w:val="00960531"/>
    <w:rsid w:val="00960DED"/>
    <w:rsid w:val="00960E84"/>
    <w:rsid w:val="009616CE"/>
    <w:rsid w:val="009619E8"/>
    <w:rsid w:val="00961C43"/>
    <w:rsid w:val="00961C94"/>
    <w:rsid w:val="0096229A"/>
    <w:rsid w:val="00964220"/>
    <w:rsid w:val="0096436D"/>
    <w:rsid w:val="009654FE"/>
    <w:rsid w:val="009661DC"/>
    <w:rsid w:val="00966798"/>
    <w:rsid w:val="0097087D"/>
    <w:rsid w:val="009714A6"/>
    <w:rsid w:val="009725FC"/>
    <w:rsid w:val="009728A1"/>
    <w:rsid w:val="00972C0E"/>
    <w:rsid w:val="00972C98"/>
    <w:rsid w:val="00973ACB"/>
    <w:rsid w:val="00975149"/>
    <w:rsid w:val="0097580B"/>
    <w:rsid w:val="009758BF"/>
    <w:rsid w:val="009768A4"/>
    <w:rsid w:val="00976A30"/>
    <w:rsid w:val="009814AF"/>
    <w:rsid w:val="00981D0C"/>
    <w:rsid w:val="009825B1"/>
    <w:rsid w:val="009826B5"/>
    <w:rsid w:val="00985A9D"/>
    <w:rsid w:val="00986033"/>
    <w:rsid w:val="009865B5"/>
    <w:rsid w:val="009904DA"/>
    <w:rsid w:val="00991A85"/>
    <w:rsid w:val="00991FCE"/>
    <w:rsid w:val="00992A1A"/>
    <w:rsid w:val="009931AF"/>
    <w:rsid w:val="00993AEF"/>
    <w:rsid w:val="009969DF"/>
    <w:rsid w:val="009A02BA"/>
    <w:rsid w:val="009A2ED4"/>
    <w:rsid w:val="009A5934"/>
    <w:rsid w:val="009A5F1D"/>
    <w:rsid w:val="009A60D6"/>
    <w:rsid w:val="009B21D2"/>
    <w:rsid w:val="009B3FE4"/>
    <w:rsid w:val="009B4E3E"/>
    <w:rsid w:val="009B51DF"/>
    <w:rsid w:val="009B68FF"/>
    <w:rsid w:val="009B69BB"/>
    <w:rsid w:val="009C130B"/>
    <w:rsid w:val="009C371D"/>
    <w:rsid w:val="009D2DA9"/>
    <w:rsid w:val="009D41AB"/>
    <w:rsid w:val="009D42E3"/>
    <w:rsid w:val="009D4F34"/>
    <w:rsid w:val="009D5F90"/>
    <w:rsid w:val="009D6404"/>
    <w:rsid w:val="009D694D"/>
    <w:rsid w:val="009D7B6F"/>
    <w:rsid w:val="009D7DB4"/>
    <w:rsid w:val="009E058A"/>
    <w:rsid w:val="009E05DD"/>
    <w:rsid w:val="009E33DF"/>
    <w:rsid w:val="009E5146"/>
    <w:rsid w:val="009E799B"/>
    <w:rsid w:val="009F0BB2"/>
    <w:rsid w:val="009F1878"/>
    <w:rsid w:val="009F42C4"/>
    <w:rsid w:val="009F5430"/>
    <w:rsid w:val="009F5749"/>
    <w:rsid w:val="009F737D"/>
    <w:rsid w:val="00A00A7B"/>
    <w:rsid w:val="00A01D6B"/>
    <w:rsid w:val="00A020E7"/>
    <w:rsid w:val="00A024A8"/>
    <w:rsid w:val="00A02621"/>
    <w:rsid w:val="00A06960"/>
    <w:rsid w:val="00A06EFB"/>
    <w:rsid w:val="00A07D8D"/>
    <w:rsid w:val="00A104C1"/>
    <w:rsid w:val="00A10B0A"/>
    <w:rsid w:val="00A10B6F"/>
    <w:rsid w:val="00A10FD4"/>
    <w:rsid w:val="00A123BE"/>
    <w:rsid w:val="00A134DE"/>
    <w:rsid w:val="00A14472"/>
    <w:rsid w:val="00A152F1"/>
    <w:rsid w:val="00A15CFA"/>
    <w:rsid w:val="00A200B1"/>
    <w:rsid w:val="00A202A2"/>
    <w:rsid w:val="00A2046E"/>
    <w:rsid w:val="00A20BF6"/>
    <w:rsid w:val="00A216E3"/>
    <w:rsid w:val="00A21963"/>
    <w:rsid w:val="00A2269E"/>
    <w:rsid w:val="00A23BDE"/>
    <w:rsid w:val="00A24692"/>
    <w:rsid w:val="00A248FF"/>
    <w:rsid w:val="00A257A9"/>
    <w:rsid w:val="00A316DB"/>
    <w:rsid w:val="00A319EB"/>
    <w:rsid w:val="00A321F5"/>
    <w:rsid w:val="00A32604"/>
    <w:rsid w:val="00A3271D"/>
    <w:rsid w:val="00A3444C"/>
    <w:rsid w:val="00A35849"/>
    <w:rsid w:val="00A36C50"/>
    <w:rsid w:val="00A4135A"/>
    <w:rsid w:val="00A4500E"/>
    <w:rsid w:val="00A46B04"/>
    <w:rsid w:val="00A47F1E"/>
    <w:rsid w:val="00A50AA8"/>
    <w:rsid w:val="00A50B28"/>
    <w:rsid w:val="00A51C66"/>
    <w:rsid w:val="00A51D75"/>
    <w:rsid w:val="00A525BF"/>
    <w:rsid w:val="00A547D6"/>
    <w:rsid w:val="00A56831"/>
    <w:rsid w:val="00A56BBA"/>
    <w:rsid w:val="00A56E3D"/>
    <w:rsid w:val="00A5770B"/>
    <w:rsid w:val="00A60006"/>
    <w:rsid w:val="00A62737"/>
    <w:rsid w:val="00A63695"/>
    <w:rsid w:val="00A665CE"/>
    <w:rsid w:val="00A67D0E"/>
    <w:rsid w:val="00A70828"/>
    <w:rsid w:val="00A7141F"/>
    <w:rsid w:val="00A7247A"/>
    <w:rsid w:val="00A74D4D"/>
    <w:rsid w:val="00A7610C"/>
    <w:rsid w:val="00A7611A"/>
    <w:rsid w:val="00A77881"/>
    <w:rsid w:val="00A80013"/>
    <w:rsid w:val="00A80654"/>
    <w:rsid w:val="00A839CC"/>
    <w:rsid w:val="00A848EE"/>
    <w:rsid w:val="00A84AA4"/>
    <w:rsid w:val="00A852ED"/>
    <w:rsid w:val="00A85C2E"/>
    <w:rsid w:val="00A8726F"/>
    <w:rsid w:val="00A87295"/>
    <w:rsid w:val="00A921DC"/>
    <w:rsid w:val="00A93008"/>
    <w:rsid w:val="00A94D53"/>
    <w:rsid w:val="00A956CF"/>
    <w:rsid w:val="00A97042"/>
    <w:rsid w:val="00AA05E8"/>
    <w:rsid w:val="00AA0AA5"/>
    <w:rsid w:val="00AA242C"/>
    <w:rsid w:val="00AA4377"/>
    <w:rsid w:val="00AA525B"/>
    <w:rsid w:val="00AA65AD"/>
    <w:rsid w:val="00AA78E9"/>
    <w:rsid w:val="00AB0130"/>
    <w:rsid w:val="00AB1E07"/>
    <w:rsid w:val="00AB36E4"/>
    <w:rsid w:val="00AB5295"/>
    <w:rsid w:val="00AB7AEB"/>
    <w:rsid w:val="00AC02C3"/>
    <w:rsid w:val="00AC11EE"/>
    <w:rsid w:val="00AC2057"/>
    <w:rsid w:val="00AC2B5A"/>
    <w:rsid w:val="00AC4B59"/>
    <w:rsid w:val="00AC6C49"/>
    <w:rsid w:val="00AC6C8B"/>
    <w:rsid w:val="00AC6FC2"/>
    <w:rsid w:val="00AC7216"/>
    <w:rsid w:val="00AD1AA8"/>
    <w:rsid w:val="00AD3BCD"/>
    <w:rsid w:val="00AD408F"/>
    <w:rsid w:val="00AD4B52"/>
    <w:rsid w:val="00AD75D6"/>
    <w:rsid w:val="00AE1AB7"/>
    <w:rsid w:val="00AE495B"/>
    <w:rsid w:val="00AE51C4"/>
    <w:rsid w:val="00AE6126"/>
    <w:rsid w:val="00AE6A90"/>
    <w:rsid w:val="00AE6B84"/>
    <w:rsid w:val="00AE72C3"/>
    <w:rsid w:val="00AE7DEE"/>
    <w:rsid w:val="00AF319B"/>
    <w:rsid w:val="00AF3FB0"/>
    <w:rsid w:val="00AF4641"/>
    <w:rsid w:val="00AF4B41"/>
    <w:rsid w:val="00AF56BC"/>
    <w:rsid w:val="00AF6616"/>
    <w:rsid w:val="00AF673E"/>
    <w:rsid w:val="00AF69AE"/>
    <w:rsid w:val="00B002EE"/>
    <w:rsid w:val="00B02965"/>
    <w:rsid w:val="00B02E18"/>
    <w:rsid w:val="00B03257"/>
    <w:rsid w:val="00B04475"/>
    <w:rsid w:val="00B0669F"/>
    <w:rsid w:val="00B067F7"/>
    <w:rsid w:val="00B068EC"/>
    <w:rsid w:val="00B07FCC"/>
    <w:rsid w:val="00B12F5F"/>
    <w:rsid w:val="00B13790"/>
    <w:rsid w:val="00B168B9"/>
    <w:rsid w:val="00B16DD7"/>
    <w:rsid w:val="00B174CD"/>
    <w:rsid w:val="00B21066"/>
    <w:rsid w:val="00B21385"/>
    <w:rsid w:val="00B238A6"/>
    <w:rsid w:val="00B24249"/>
    <w:rsid w:val="00B25540"/>
    <w:rsid w:val="00B26162"/>
    <w:rsid w:val="00B268EA"/>
    <w:rsid w:val="00B2750F"/>
    <w:rsid w:val="00B27EB0"/>
    <w:rsid w:val="00B30693"/>
    <w:rsid w:val="00B30ADB"/>
    <w:rsid w:val="00B316E4"/>
    <w:rsid w:val="00B31F9D"/>
    <w:rsid w:val="00B332CA"/>
    <w:rsid w:val="00B334E4"/>
    <w:rsid w:val="00B35F18"/>
    <w:rsid w:val="00B36113"/>
    <w:rsid w:val="00B36EA3"/>
    <w:rsid w:val="00B3741E"/>
    <w:rsid w:val="00B375E0"/>
    <w:rsid w:val="00B443B4"/>
    <w:rsid w:val="00B44460"/>
    <w:rsid w:val="00B44474"/>
    <w:rsid w:val="00B44663"/>
    <w:rsid w:val="00B4603E"/>
    <w:rsid w:val="00B47E25"/>
    <w:rsid w:val="00B51408"/>
    <w:rsid w:val="00B5295B"/>
    <w:rsid w:val="00B53E3C"/>
    <w:rsid w:val="00B56065"/>
    <w:rsid w:val="00B6062F"/>
    <w:rsid w:val="00B622AE"/>
    <w:rsid w:val="00B6230A"/>
    <w:rsid w:val="00B6254D"/>
    <w:rsid w:val="00B6353C"/>
    <w:rsid w:val="00B63F03"/>
    <w:rsid w:val="00B64E44"/>
    <w:rsid w:val="00B65A52"/>
    <w:rsid w:val="00B70D04"/>
    <w:rsid w:val="00B70E17"/>
    <w:rsid w:val="00B71FFC"/>
    <w:rsid w:val="00B73B11"/>
    <w:rsid w:val="00B73D45"/>
    <w:rsid w:val="00B73EEF"/>
    <w:rsid w:val="00B7528B"/>
    <w:rsid w:val="00B75A5A"/>
    <w:rsid w:val="00B818F5"/>
    <w:rsid w:val="00B81DA8"/>
    <w:rsid w:val="00B82A45"/>
    <w:rsid w:val="00B82A88"/>
    <w:rsid w:val="00B8384B"/>
    <w:rsid w:val="00B8385F"/>
    <w:rsid w:val="00B83F91"/>
    <w:rsid w:val="00B85AFA"/>
    <w:rsid w:val="00B8718A"/>
    <w:rsid w:val="00B87624"/>
    <w:rsid w:val="00B87B31"/>
    <w:rsid w:val="00B91803"/>
    <w:rsid w:val="00B94AD6"/>
    <w:rsid w:val="00B9539A"/>
    <w:rsid w:val="00BA0BFB"/>
    <w:rsid w:val="00BA14B7"/>
    <w:rsid w:val="00BA1684"/>
    <w:rsid w:val="00BA17EA"/>
    <w:rsid w:val="00BA1A81"/>
    <w:rsid w:val="00BA3488"/>
    <w:rsid w:val="00BA4680"/>
    <w:rsid w:val="00BA4D33"/>
    <w:rsid w:val="00BA73B2"/>
    <w:rsid w:val="00BB1F4A"/>
    <w:rsid w:val="00BB2200"/>
    <w:rsid w:val="00BB42A3"/>
    <w:rsid w:val="00BB578E"/>
    <w:rsid w:val="00BB72A6"/>
    <w:rsid w:val="00BB73F1"/>
    <w:rsid w:val="00BC36FB"/>
    <w:rsid w:val="00BC4370"/>
    <w:rsid w:val="00BC5BD6"/>
    <w:rsid w:val="00BC5ECE"/>
    <w:rsid w:val="00BC700E"/>
    <w:rsid w:val="00BC72DD"/>
    <w:rsid w:val="00BD1C9A"/>
    <w:rsid w:val="00BD450D"/>
    <w:rsid w:val="00BD511E"/>
    <w:rsid w:val="00BD57B2"/>
    <w:rsid w:val="00BD5D7E"/>
    <w:rsid w:val="00BD637B"/>
    <w:rsid w:val="00BD6E87"/>
    <w:rsid w:val="00BD6ECF"/>
    <w:rsid w:val="00BD7A2A"/>
    <w:rsid w:val="00BD7CB4"/>
    <w:rsid w:val="00BD7E34"/>
    <w:rsid w:val="00BE22B8"/>
    <w:rsid w:val="00BE3E1B"/>
    <w:rsid w:val="00BE521A"/>
    <w:rsid w:val="00BE5234"/>
    <w:rsid w:val="00BE54CC"/>
    <w:rsid w:val="00BE6323"/>
    <w:rsid w:val="00BE6B32"/>
    <w:rsid w:val="00BE7488"/>
    <w:rsid w:val="00BF4159"/>
    <w:rsid w:val="00BF4D53"/>
    <w:rsid w:val="00BF4E20"/>
    <w:rsid w:val="00BF580E"/>
    <w:rsid w:val="00BF59C6"/>
    <w:rsid w:val="00BF5A07"/>
    <w:rsid w:val="00BF65B6"/>
    <w:rsid w:val="00BF6614"/>
    <w:rsid w:val="00BF67E3"/>
    <w:rsid w:val="00BF6991"/>
    <w:rsid w:val="00C01011"/>
    <w:rsid w:val="00C01957"/>
    <w:rsid w:val="00C0228C"/>
    <w:rsid w:val="00C0342B"/>
    <w:rsid w:val="00C0379C"/>
    <w:rsid w:val="00C04A98"/>
    <w:rsid w:val="00C04BE0"/>
    <w:rsid w:val="00C06ACA"/>
    <w:rsid w:val="00C1097D"/>
    <w:rsid w:val="00C1269D"/>
    <w:rsid w:val="00C13103"/>
    <w:rsid w:val="00C14248"/>
    <w:rsid w:val="00C14405"/>
    <w:rsid w:val="00C149F4"/>
    <w:rsid w:val="00C14B99"/>
    <w:rsid w:val="00C14D8B"/>
    <w:rsid w:val="00C15491"/>
    <w:rsid w:val="00C15912"/>
    <w:rsid w:val="00C15F60"/>
    <w:rsid w:val="00C17E7D"/>
    <w:rsid w:val="00C2014C"/>
    <w:rsid w:val="00C21651"/>
    <w:rsid w:val="00C216F2"/>
    <w:rsid w:val="00C22384"/>
    <w:rsid w:val="00C23787"/>
    <w:rsid w:val="00C2406B"/>
    <w:rsid w:val="00C26AEE"/>
    <w:rsid w:val="00C26BA3"/>
    <w:rsid w:val="00C271DC"/>
    <w:rsid w:val="00C31E25"/>
    <w:rsid w:val="00C32463"/>
    <w:rsid w:val="00C32AA4"/>
    <w:rsid w:val="00C33F65"/>
    <w:rsid w:val="00C36178"/>
    <w:rsid w:val="00C36E7D"/>
    <w:rsid w:val="00C40D42"/>
    <w:rsid w:val="00C42D29"/>
    <w:rsid w:val="00C434A8"/>
    <w:rsid w:val="00C467B2"/>
    <w:rsid w:val="00C4799E"/>
    <w:rsid w:val="00C47B79"/>
    <w:rsid w:val="00C51C69"/>
    <w:rsid w:val="00C52132"/>
    <w:rsid w:val="00C5241C"/>
    <w:rsid w:val="00C54841"/>
    <w:rsid w:val="00C55D5F"/>
    <w:rsid w:val="00C576B9"/>
    <w:rsid w:val="00C57D0C"/>
    <w:rsid w:val="00C60EF6"/>
    <w:rsid w:val="00C61D6F"/>
    <w:rsid w:val="00C61FDC"/>
    <w:rsid w:val="00C62E91"/>
    <w:rsid w:val="00C64545"/>
    <w:rsid w:val="00C6469B"/>
    <w:rsid w:val="00C65424"/>
    <w:rsid w:val="00C674DF"/>
    <w:rsid w:val="00C70214"/>
    <w:rsid w:val="00C75A97"/>
    <w:rsid w:val="00C76DA5"/>
    <w:rsid w:val="00C778BB"/>
    <w:rsid w:val="00C806B3"/>
    <w:rsid w:val="00C81502"/>
    <w:rsid w:val="00C81F47"/>
    <w:rsid w:val="00C82462"/>
    <w:rsid w:val="00C8371E"/>
    <w:rsid w:val="00C87552"/>
    <w:rsid w:val="00C87A65"/>
    <w:rsid w:val="00C90AB4"/>
    <w:rsid w:val="00C90B25"/>
    <w:rsid w:val="00C92477"/>
    <w:rsid w:val="00C92FD3"/>
    <w:rsid w:val="00C93FD1"/>
    <w:rsid w:val="00C949AC"/>
    <w:rsid w:val="00C9510D"/>
    <w:rsid w:val="00C971AB"/>
    <w:rsid w:val="00C97E09"/>
    <w:rsid w:val="00C97E64"/>
    <w:rsid w:val="00CA097E"/>
    <w:rsid w:val="00CA2F5A"/>
    <w:rsid w:val="00CA3002"/>
    <w:rsid w:val="00CA3DD8"/>
    <w:rsid w:val="00CA4DD3"/>
    <w:rsid w:val="00CA797E"/>
    <w:rsid w:val="00CB11C7"/>
    <w:rsid w:val="00CB223D"/>
    <w:rsid w:val="00CB3713"/>
    <w:rsid w:val="00CB4E8D"/>
    <w:rsid w:val="00CB5FAE"/>
    <w:rsid w:val="00CB6B41"/>
    <w:rsid w:val="00CC13B2"/>
    <w:rsid w:val="00CC31EB"/>
    <w:rsid w:val="00CC3D3F"/>
    <w:rsid w:val="00CC5466"/>
    <w:rsid w:val="00CC551E"/>
    <w:rsid w:val="00CC6EE1"/>
    <w:rsid w:val="00CC7564"/>
    <w:rsid w:val="00CC7B37"/>
    <w:rsid w:val="00CD040E"/>
    <w:rsid w:val="00CD13EA"/>
    <w:rsid w:val="00CD1D26"/>
    <w:rsid w:val="00CD4A91"/>
    <w:rsid w:val="00CD5E24"/>
    <w:rsid w:val="00CD6BA3"/>
    <w:rsid w:val="00CD6C93"/>
    <w:rsid w:val="00CE00F2"/>
    <w:rsid w:val="00CE06B5"/>
    <w:rsid w:val="00CE6EA3"/>
    <w:rsid w:val="00CF086F"/>
    <w:rsid w:val="00CF0EBB"/>
    <w:rsid w:val="00CF0F6E"/>
    <w:rsid w:val="00CF1727"/>
    <w:rsid w:val="00CF3C13"/>
    <w:rsid w:val="00CF4255"/>
    <w:rsid w:val="00CF4A89"/>
    <w:rsid w:val="00CF4FE8"/>
    <w:rsid w:val="00CF7807"/>
    <w:rsid w:val="00D0147C"/>
    <w:rsid w:val="00D01EFB"/>
    <w:rsid w:val="00D05DBE"/>
    <w:rsid w:val="00D05FE5"/>
    <w:rsid w:val="00D070DF"/>
    <w:rsid w:val="00D074D2"/>
    <w:rsid w:val="00D079D7"/>
    <w:rsid w:val="00D103E9"/>
    <w:rsid w:val="00D11C0E"/>
    <w:rsid w:val="00D1217F"/>
    <w:rsid w:val="00D13761"/>
    <w:rsid w:val="00D1413D"/>
    <w:rsid w:val="00D14C0E"/>
    <w:rsid w:val="00D14D98"/>
    <w:rsid w:val="00D2006C"/>
    <w:rsid w:val="00D20FC0"/>
    <w:rsid w:val="00D21071"/>
    <w:rsid w:val="00D22096"/>
    <w:rsid w:val="00D259C2"/>
    <w:rsid w:val="00D278CC"/>
    <w:rsid w:val="00D30D25"/>
    <w:rsid w:val="00D357AB"/>
    <w:rsid w:val="00D35DD4"/>
    <w:rsid w:val="00D36A5B"/>
    <w:rsid w:val="00D36D8F"/>
    <w:rsid w:val="00D37C49"/>
    <w:rsid w:val="00D41260"/>
    <w:rsid w:val="00D4195C"/>
    <w:rsid w:val="00D420F9"/>
    <w:rsid w:val="00D42212"/>
    <w:rsid w:val="00D441A5"/>
    <w:rsid w:val="00D51435"/>
    <w:rsid w:val="00D52503"/>
    <w:rsid w:val="00D52CCA"/>
    <w:rsid w:val="00D52D17"/>
    <w:rsid w:val="00D5376F"/>
    <w:rsid w:val="00D53E73"/>
    <w:rsid w:val="00D548C0"/>
    <w:rsid w:val="00D550B9"/>
    <w:rsid w:val="00D57391"/>
    <w:rsid w:val="00D617AF"/>
    <w:rsid w:val="00D6346E"/>
    <w:rsid w:val="00D63AFD"/>
    <w:rsid w:val="00D64083"/>
    <w:rsid w:val="00D6537F"/>
    <w:rsid w:val="00D7084A"/>
    <w:rsid w:val="00D7103A"/>
    <w:rsid w:val="00D7258C"/>
    <w:rsid w:val="00D731AF"/>
    <w:rsid w:val="00D73AA3"/>
    <w:rsid w:val="00D75000"/>
    <w:rsid w:val="00D76CC7"/>
    <w:rsid w:val="00D771B9"/>
    <w:rsid w:val="00D8025F"/>
    <w:rsid w:val="00D80992"/>
    <w:rsid w:val="00D80FD9"/>
    <w:rsid w:val="00D85507"/>
    <w:rsid w:val="00D85F38"/>
    <w:rsid w:val="00D86193"/>
    <w:rsid w:val="00D87F61"/>
    <w:rsid w:val="00D9076B"/>
    <w:rsid w:val="00D90E92"/>
    <w:rsid w:val="00D913DB"/>
    <w:rsid w:val="00D913F2"/>
    <w:rsid w:val="00D923FE"/>
    <w:rsid w:val="00D926D6"/>
    <w:rsid w:val="00D92F1F"/>
    <w:rsid w:val="00D932D3"/>
    <w:rsid w:val="00D941F0"/>
    <w:rsid w:val="00D94A62"/>
    <w:rsid w:val="00D94E83"/>
    <w:rsid w:val="00D95905"/>
    <w:rsid w:val="00D96790"/>
    <w:rsid w:val="00D96D03"/>
    <w:rsid w:val="00D972D9"/>
    <w:rsid w:val="00DA3339"/>
    <w:rsid w:val="00DA3C31"/>
    <w:rsid w:val="00DA5566"/>
    <w:rsid w:val="00DA571F"/>
    <w:rsid w:val="00DA6C4C"/>
    <w:rsid w:val="00DB0D4A"/>
    <w:rsid w:val="00DB1178"/>
    <w:rsid w:val="00DB1797"/>
    <w:rsid w:val="00DB254A"/>
    <w:rsid w:val="00DB3A2B"/>
    <w:rsid w:val="00DB491D"/>
    <w:rsid w:val="00DB68D9"/>
    <w:rsid w:val="00DC0400"/>
    <w:rsid w:val="00DC1803"/>
    <w:rsid w:val="00DC19A3"/>
    <w:rsid w:val="00DC302A"/>
    <w:rsid w:val="00DC3FB2"/>
    <w:rsid w:val="00DC463E"/>
    <w:rsid w:val="00DC5978"/>
    <w:rsid w:val="00DC6BC9"/>
    <w:rsid w:val="00DC6CAA"/>
    <w:rsid w:val="00DD06B1"/>
    <w:rsid w:val="00DD1E00"/>
    <w:rsid w:val="00DD2744"/>
    <w:rsid w:val="00DD48B6"/>
    <w:rsid w:val="00DD4A25"/>
    <w:rsid w:val="00DD4EBD"/>
    <w:rsid w:val="00DD6372"/>
    <w:rsid w:val="00DD675E"/>
    <w:rsid w:val="00DE08F0"/>
    <w:rsid w:val="00DE1145"/>
    <w:rsid w:val="00DE1460"/>
    <w:rsid w:val="00DE1BB2"/>
    <w:rsid w:val="00DE38A8"/>
    <w:rsid w:val="00DE3FA5"/>
    <w:rsid w:val="00DE5038"/>
    <w:rsid w:val="00DE536C"/>
    <w:rsid w:val="00DF192A"/>
    <w:rsid w:val="00DF1ED6"/>
    <w:rsid w:val="00DF2539"/>
    <w:rsid w:val="00DF26CF"/>
    <w:rsid w:val="00DF3101"/>
    <w:rsid w:val="00DF3836"/>
    <w:rsid w:val="00DF477D"/>
    <w:rsid w:val="00E00483"/>
    <w:rsid w:val="00E00D7F"/>
    <w:rsid w:val="00E01F9B"/>
    <w:rsid w:val="00E020F9"/>
    <w:rsid w:val="00E02F78"/>
    <w:rsid w:val="00E03B13"/>
    <w:rsid w:val="00E04682"/>
    <w:rsid w:val="00E04726"/>
    <w:rsid w:val="00E052FF"/>
    <w:rsid w:val="00E05F74"/>
    <w:rsid w:val="00E077F1"/>
    <w:rsid w:val="00E10459"/>
    <w:rsid w:val="00E11D37"/>
    <w:rsid w:val="00E12B6B"/>
    <w:rsid w:val="00E12D53"/>
    <w:rsid w:val="00E13C11"/>
    <w:rsid w:val="00E13CF1"/>
    <w:rsid w:val="00E14B0F"/>
    <w:rsid w:val="00E173E4"/>
    <w:rsid w:val="00E20555"/>
    <w:rsid w:val="00E225BE"/>
    <w:rsid w:val="00E232DD"/>
    <w:rsid w:val="00E250EE"/>
    <w:rsid w:val="00E33249"/>
    <w:rsid w:val="00E3505E"/>
    <w:rsid w:val="00E3568E"/>
    <w:rsid w:val="00E37EAA"/>
    <w:rsid w:val="00E40D61"/>
    <w:rsid w:val="00E4139B"/>
    <w:rsid w:val="00E41B31"/>
    <w:rsid w:val="00E42559"/>
    <w:rsid w:val="00E42FED"/>
    <w:rsid w:val="00E436BA"/>
    <w:rsid w:val="00E47EDD"/>
    <w:rsid w:val="00E503C2"/>
    <w:rsid w:val="00E50629"/>
    <w:rsid w:val="00E50F19"/>
    <w:rsid w:val="00E51C3B"/>
    <w:rsid w:val="00E54336"/>
    <w:rsid w:val="00E5469E"/>
    <w:rsid w:val="00E54798"/>
    <w:rsid w:val="00E54D8C"/>
    <w:rsid w:val="00E55C53"/>
    <w:rsid w:val="00E57ABE"/>
    <w:rsid w:val="00E57E2E"/>
    <w:rsid w:val="00E608D6"/>
    <w:rsid w:val="00E60CFB"/>
    <w:rsid w:val="00E61EC8"/>
    <w:rsid w:val="00E61F17"/>
    <w:rsid w:val="00E636D3"/>
    <w:rsid w:val="00E6383E"/>
    <w:rsid w:val="00E6510F"/>
    <w:rsid w:val="00E65506"/>
    <w:rsid w:val="00E660A1"/>
    <w:rsid w:val="00E67DA6"/>
    <w:rsid w:val="00E703E7"/>
    <w:rsid w:val="00E7172D"/>
    <w:rsid w:val="00E72C99"/>
    <w:rsid w:val="00E72F4B"/>
    <w:rsid w:val="00E74DF2"/>
    <w:rsid w:val="00E75058"/>
    <w:rsid w:val="00E75F25"/>
    <w:rsid w:val="00E76C9D"/>
    <w:rsid w:val="00E76EF0"/>
    <w:rsid w:val="00E80740"/>
    <w:rsid w:val="00E81D31"/>
    <w:rsid w:val="00E839BC"/>
    <w:rsid w:val="00E84C68"/>
    <w:rsid w:val="00E851BB"/>
    <w:rsid w:val="00E858AE"/>
    <w:rsid w:val="00E859B4"/>
    <w:rsid w:val="00E86F61"/>
    <w:rsid w:val="00E87513"/>
    <w:rsid w:val="00E87648"/>
    <w:rsid w:val="00E87AA7"/>
    <w:rsid w:val="00E90414"/>
    <w:rsid w:val="00E91C0D"/>
    <w:rsid w:val="00E9272D"/>
    <w:rsid w:val="00E931FC"/>
    <w:rsid w:val="00E93467"/>
    <w:rsid w:val="00E93952"/>
    <w:rsid w:val="00E93BD4"/>
    <w:rsid w:val="00E953CB"/>
    <w:rsid w:val="00E96B10"/>
    <w:rsid w:val="00E973DD"/>
    <w:rsid w:val="00E97A8A"/>
    <w:rsid w:val="00E97F5A"/>
    <w:rsid w:val="00EA194C"/>
    <w:rsid w:val="00EA218E"/>
    <w:rsid w:val="00EA2450"/>
    <w:rsid w:val="00EA2A80"/>
    <w:rsid w:val="00EA489A"/>
    <w:rsid w:val="00EA7096"/>
    <w:rsid w:val="00EA7A93"/>
    <w:rsid w:val="00EB26DB"/>
    <w:rsid w:val="00EB2AE9"/>
    <w:rsid w:val="00EB445D"/>
    <w:rsid w:val="00EB4FD3"/>
    <w:rsid w:val="00EC05E0"/>
    <w:rsid w:val="00EC0AA4"/>
    <w:rsid w:val="00EC21CC"/>
    <w:rsid w:val="00EC2ABB"/>
    <w:rsid w:val="00EC2D2A"/>
    <w:rsid w:val="00EC7B33"/>
    <w:rsid w:val="00EC7BD9"/>
    <w:rsid w:val="00ED14F4"/>
    <w:rsid w:val="00ED1BA7"/>
    <w:rsid w:val="00ED51E2"/>
    <w:rsid w:val="00ED5B73"/>
    <w:rsid w:val="00ED62FA"/>
    <w:rsid w:val="00ED7784"/>
    <w:rsid w:val="00EE005C"/>
    <w:rsid w:val="00EE1479"/>
    <w:rsid w:val="00EE2A8F"/>
    <w:rsid w:val="00EE5516"/>
    <w:rsid w:val="00EE769F"/>
    <w:rsid w:val="00EF03ED"/>
    <w:rsid w:val="00EF1EA3"/>
    <w:rsid w:val="00EF2DA6"/>
    <w:rsid w:val="00EF456F"/>
    <w:rsid w:val="00EF52C5"/>
    <w:rsid w:val="00EF7BF2"/>
    <w:rsid w:val="00F01237"/>
    <w:rsid w:val="00F01A13"/>
    <w:rsid w:val="00F0399E"/>
    <w:rsid w:val="00F05A7E"/>
    <w:rsid w:val="00F07412"/>
    <w:rsid w:val="00F11B4F"/>
    <w:rsid w:val="00F12531"/>
    <w:rsid w:val="00F13B15"/>
    <w:rsid w:val="00F13B5C"/>
    <w:rsid w:val="00F14062"/>
    <w:rsid w:val="00F1592C"/>
    <w:rsid w:val="00F15C05"/>
    <w:rsid w:val="00F205AC"/>
    <w:rsid w:val="00F20CAA"/>
    <w:rsid w:val="00F2148A"/>
    <w:rsid w:val="00F21DF2"/>
    <w:rsid w:val="00F22E8E"/>
    <w:rsid w:val="00F231C6"/>
    <w:rsid w:val="00F24D54"/>
    <w:rsid w:val="00F2572F"/>
    <w:rsid w:val="00F25D80"/>
    <w:rsid w:val="00F26249"/>
    <w:rsid w:val="00F26335"/>
    <w:rsid w:val="00F26BD7"/>
    <w:rsid w:val="00F327CF"/>
    <w:rsid w:val="00F346E0"/>
    <w:rsid w:val="00F3540B"/>
    <w:rsid w:val="00F35807"/>
    <w:rsid w:val="00F372E6"/>
    <w:rsid w:val="00F40A18"/>
    <w:rsid w:val="00F42A3C"/>
    <w:rsid w:val="00F45C82"/>
    <w:rsid w:val="00F47764"/>
    <w:rsid w:val="00F502BF"/>
    <w:rsid w:val="00F50843"/>
    <w:rsid w:val="00F517BD"/>
    <w:rsid w:val="00F52F86"/>
    <w:rsid w:val="00F542C4"/>
    <w:rsid w:val="00F55F75"/>
    <w:rsid w:val="00F61F21"/>
    <w:rsid w:val="00F6282C"/>
    <w:rsid w:val="00F63D5F"/>
    <w:rsid w:val="00F63E9F"/>
    <w:rsid w:val="00F6641E"/>
    <w:rsid w:val="00F7102A"/>
    <w:rsid w:val="00F7116C"/>
    <w:rsid w:val="00F71AF0"/>
    <w:rsid w:val="00F730A2"/>
    <w:rsid w:val="00F73F08"/>
    <w:rsid w:val="00F74D08"/>
    <w:rsid w:val="00F74FFA"/>
    <w:rsid w:val="00F766E8"/>
    <w:rsid w:val="00F805CE"/>
    <w:rsid w:val="00F84691"/>
    <w:rsid w:val="00F8575B"/>
    <w:rsid w:val="00F90259"/>
    <w:rsid w:val="00F90411"/>
    <w:rsid w:val="00F91941"/>
    <w:rsid w:val="00F94350"/>
    <w:rsid w:val="00F94508"/>
    <w:rsid w:val="00F95B37"/>
    <w:rsid w:val="00FA0505"/>
    <w:rsid w:val="00FA27EE"/>
    <w:rsid w:val="00FA62E4"/>
    <w:rsid w:val="00FA6ABC"/>
    <w:rsid w:val="00FA71C0"/>
    <w:rsid w:val="00FB10C8"/>
    <w:rsid w:val="00FB34C6"/>
    <w:rsid w:val="00FB47F4"/>
    <w:rsid w:val="00FB51A7"/>
    <w:rsid w:val="00FB5E27"/>
    <w:rsid w:val="00FB7155"/>
    <w:rsid w:val="00FB76E8"/>
    <w:rsid w:val="00FB7B38"/>
    <w:rsid w:val="00FC02C2"/>
    <w:rsid w:val="00FC1904"/>
    <w:rsid w:val="00FC1956"/>
    <w:rsid w:val="00FC2B99"/>
    <w:rsid w:val="00FC3828"/>
    <w:rsid w:val="00FC3DB8"/>
    <w:rsid w:val="00FC4904"/>
    <w:rsid w:val="00FC67D1"/>
    <w:rsid w:val="00FC6BB9"/>
    <w:rsid w:val="00FC6E40"/>
    <w:rsid w:val="00FC6FFD"/>
    <w:rsid w:val="00FC70C5"/>
    <w:rsid w:val="00FD3414"/>
    <w:rsid w:val="00FD3C53"/>
    <w:rsid w:val="00FD4F05"/>
    <w:rsid w:val="00FD7909"/>
    <w:rsid w:val="00FE1DE9"/>
    <w:rsid w:val="00FE3C9D"/>
    <w:rsid w:val="00FE4533"/>
    <w:rsid w:val="00FE48B9"/>
    <w:rsid w:val="00FE4C7F"/>
    <w:rsid w:val="00FE55E7"/>
    <w:rsid w:val="00FE6DAC"/>
    <w:rsid w:val="00FF0D3A"/>
    <w:rsid w:val="00FF5601"/>
    <w:rsid w:val="00FF681E"/>
    <w:rsid w:val="00FF717D"/>
    <w:rsid w:val="00FF7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CA"/>
  </w:style>
  <w:style w:type="paragraph" w:styleId="Heading1">
    <w:name w:val="heading 1"/>
    <w:basedOn w:val="Normal"/>
    <w:next w:val="Normal"/>
    <w:link w:val="Heading1Char"/>
    <w:uiPriority w:val="9"/>
    <w:qFormat/>
    <w:rsid w:val="00A144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4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447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4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472"/>
    <w:rPr>
      <w:color w:val="0000FF" w:themeColor="hyperlink"/>
      <w:u w:val="single"/>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nhideWhenUsed/>
    <w:rsid w:val="00A14472"/>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rsid w:val="00A14472"/>
    <w:rPr>
      <w:rFonts w:ascii="Arial" w:eastAsia="Times New Roman" w:hAnsi="Arial" w:cs="Times New Roman"/>
      <w:sz w:val="20"/>
      <w:szCs w:val="20"/>
    </w:rPr>
  </w:style>
  <w:style w:type="character" w:styleId="FootnoteReference">
    <w:name w:val="footnote reference"/>
    <w:aliases w:val="AFPC Footnote Reference"/>
    <w:basedOn w:val="DefaultParagraphFont"/>
    <w:unhideWhenUsed/>
    <w:rsid w:val="00A14472"/>
    <w:rPr>
      <w:vertAlign w:val="superscript"/>
    </w:rPr>
  </w:style>
  <w:style w:type="paragraph" w:styleId="Footer">
    <w:name w:val="footer"/>
    <w:basedOn w:val="Normal"/>
    <w:link w:val="FooterChar"/>
    <w:uiPriority w:val="99"/>
    <w:unhideWhenUsed/>
    <w:rsid w:val="00A14472"/>
    <w:pPr>
      <w:tabs>
        <w:tab w:val="center" w:pos="4513"/>
        <w:tab w:val="right" w:pos="9026"/>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A14472"/>
    <w:rPr>
      <w:rFonts w:ascii="Arial" w:eastAsia="Times New Roman" w:hAnsi="Arial" w:cs="Times New Roman"/>
      <w:szCs w:val="20"/>
    </w:rPr>
  </w:style>
  <w:style w:type="character" w:customStyle="1" w:styleId="Heading1Char">
    <w:name w:val="Heading 1 Char"/>
    <w:basedOn w:val="DefaultParagraphFont"/>
    <w:link w:val="Heading1"/>
    <w:uiPriority w:val="9"/>
    <w:rsid w:val="00A144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44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447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40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E2"/>
    <w:rPr>
      <w:rFonts w:ascii="Tahoma" w:hAnsi="Tahoma" w:cs="Tahoma"/>
      <w:sz w:val="16"/>
      <w:szCs w:val="16"/>
    </w:rPr>
  </w:style>
  <w:style w:type="character" w:styleId="CommentReference">
    <w:name w:val="annotation reference"/>
    <w:basedOn w:val="DefaultParagraphFont"/>
    <w:uiPriority w:val="99"/>
    <w:semiHidden/>
    <w:unhideWhenUsed/>
    <w:rsid w:val="00801DC3"/>
    <w:rPr>
      <w:sz w:val="16"/>
      <w:szCs w:val="16"/>
    </w:rPr>
  </w:style>
  <w:style w:type="paragraph" w:styleId="CommentText">
    <w:name w:val="annotation text"/>
    <w:basedOn w:val="Normal"/>
    <w:link w:val="CommentTextChar"/>
    <w:uiPriority w:val="99"/>
    <w:semiHidden/>
    <w:unhideWhenUsed/>
    <w:rsid w:val="00801DC3"/>
    <w:pPr>
      <w:spacing w:line="240" w:lineRule="auto"/>
    </w:pPr>
    <w:rPr>
      <w:sz w:val="20"/>
      <w:szCs w:val="20"/>
    </w:rPr>
  </w:style>
  <w:style w:type="character" w:customStyle="1" w:styleId="CommentTextChar">
    <w:name w:val="Comment Text Char"/>
    <w:basedOn w:val="DefaultParagraphFont"/>
    <w:link w:val="CommentText"/>
    <w:uiPriority w:val="99"/>
    <w:semiHidden/>
    <w:rsid w:val="00801DC3"/>
    <w:rPr>
      <w:sz w:val="20"/>
      <w:szCs w:val="20"/>
    </w:rPr>
  </w:style>
  <w:style w:type="paragraph" w:styleId="CommentSubject">
    <w:name w:val="annotation subject"/>
    <w:basedOn w:val="CommentText"/>
    <w:next w:val="CommentText"/>
    <w:link w:val="CommentSubjectChar"/>
    <w:uiPriority w:val="99"/>
    <w:semiHidden/>
    <w:unhideWhenUsed/>
    <w:rsid w:val="00801DC3"/>
    <w:rPr>
      <w:b/>
      <w:bCs/>
    </w:rPr>
  </w:style>
  <w:style w:type="character" w:customStyle="1" w:styleId="CommentSubjectChar">
    <w:name w:val="Comment Subject Char"/>
    <w:basedOn w:val="CommentTextChar"/>
    <w:link w:val="CommentSubject"/>
    <w:uiPriority w:val="99"/>
    <w:semiHidden/>
    <w:rsid w:val="00801DC3"/>
    <w:rPr>
      <w:b/>
      <w:bCs/>
      <w:sz w:val="20"/>
      <w:szCs w:val="20"/>
    </w:rPr>
  </w:style>
  <w:style w:type="character" w:styleId="PlaceholderText">
    <w:name w:val="Placeholder Text"/>
    <w:basedOn w:val="DefaultParagraphFont"/>
    <w:uiPriority w:val="99"/>
    <w:semiHidden/>
    <w:rsid w:val="00374DFB"/>
    <w:rPr>
      <w:color w:val="808080"/>
    </w:rPr>
  </w:style>
  <w:style w:type="paragraph" w:styleId="Header">
    <w:name w:val="header"/>
    <w:basedOn w:val="Normal"/>
    <w:link w:val="HeaderChar"/>
    <w:uiPriority w:val="99"/>
    <w:unhideWhenUsed/>
    <w:rsid w:val="001F5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5CA"/>
  </w:style>
  <w:style w:type="paragraph" w:styleId="ListParagraph">
    <w:name w:val="List Paragraph"/>
    <w:aliases w:val="L,List Paragraph1,List Paragraph11,Recommendation"/>
    <w:basedOn w:val="Normal"/>
    <w:link w:val="ListParagraphChar"/>
    <w:uiPriority w:val="34"/>
    <w:qFormat/>
    <w:rsid w:val="002F46D1"/>
    <w:pPr>
      <w:spacing w:after="0" w:line="240" w:lineRule="auto"/>
      <w:ind w:left="720"/>
      <w:contextualSpacing/>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043281"/>
    <w:rPr>
      <w:color w:val="800080" w:themeColor="followedHyperlink"/>
      <w:u w:val="single"/>
    </w:rPr>
  </w:style>
  <w:style w:type="character" w:customStyle="1" w:styleId="ListParagraphChar">
    <w:name w:val="List Paragraph Char"/>
    <w:aliases w:val="L Char,List Paragraph1 Char,List Paragraph11 Char,Recommendation Char"/>
    <w:basedOn w:val="DefaultParagraphFont"/>
    <w:link w:val="ListParagraph"/>
    <w:uiPriority w:val="34"/>
    <w:locked/>
    <w:rsid w:val="00581396"/>
    <w:rPr>
      <w:rFonts w:ascii="Times New Roman" w:eastAsia="Times New Roman" w:hAnsi="Times New Roman" w:cs="Times New Roman"/>
      <w:sz w:val="24"/>
      <w:szCs w:val="24"/>
      <w:lang w:eastAsia="en-AU"/>
    </w:rPr>
  </w:style>
  <w:style w:type="table" w:styleId="TableGrid">
    <w:name w:val="Table Grid"/>
    <w:basedOn w:val="TableNormal"/>
    <w:rsid w:val="006443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1AF"/>
    <w:pPr>
      <w:autoSpaceDE w:val="0"/>
      <w:autoSpaceDN w:val="0"/>
      <w:adjustRightInd w:val="0"/>
      <w:spacing w:after="0" w:line="240" w:lineRule="auto"/>
    </w:pPr>
    <w:rPr>
      <w:rFonts w:ascii="Symbol" w:eastAsia="Times New Roman" w:hAnsi="Symbol" w:cs="Symbol"/>
      <w:color w:val="000000"/>
      <w:sz w:val="24"/>
      <w:szCs w:val="24"/>
      <w:lang w:eastAsia="en-AU"/>
    </w:rPr>
  </w:style>
  <w:style w:type="paragraph" w:styleId="Revision">
    <w:name w:val="Revision"/>
    <w:hidden/>
    <w:uiPriority w:val="99"/>
    <w:semiHidden/>
    <w:rsid w:val="002D4C38"/>
    <w:pPr>
      <w:spacing w:after="0" w:line="240" w:lineRule="auto"/>
    </w:pPr>
  </w:style>
  <w:style w:type="paragraph" w:styleId="NormalWeb">
    <w:name w:val="Normal (Web)"/>
    <w:basedOn w:val="Normal"/>
    <w:uiPriority w:val="99"/>
    <w:semiHidden/>
    <w:unhideWhenUsed/>
    <w:rsid w:val="000748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ief-BULLET">
    <w:name w:val="Brief - BULLET"/>
    <w:basedOn w:val="Normal"/>
    <w:rsid w:val="00763CA7"/>
    <w:pPr>
      <w:numPr>
        <w:numId w:val="11"/>
      </w:numPr>
      <w:spacing w:before="120" w:after="120" w:line="230" w:lineRule="exact"/>
    </w:pPr>
    <w:rPr>
      <w:rFonts w:ascii="Arial" w:eastAsia="Times New Roman" w:hAnsi="Arial" w:cs="Times New Roman"/>
      <w:szCs w:val="20"/>
    </w:rPr>
  </w:style>
  <w:style w:type="paragraph" w:customStyle="1" w:styleId="Style1">
    <w:name w:val="Style1"/>
    <w:basedOn w:val="ListParagraph"/>
    <w:link w:val="Style1Char"/>
    <w:qFormat/>
    <w:rsid w:val="000B4D10"/>
    <w:pPr>
      <w:numPr>
        <w:numId w:val="36"/>
      </w:numPr>
    </w:pPr>
    <w:rPr>
      <w:rFonts w:asciiTheme="minorHAnsi" w:hAnsiTheme="minorHAnsi" w:cstheme="minorHAnsi"/>
      <w:bCs/>
      <w:sz w:val="22"/>
    </w:rPr>
  </w:style>
  <w:style w:type="character" w:customStyle="1" w:styleId="Style1Char">
    <w:name w:val="Style1 Char"/>
    <w:basedOn w:val="ListParagraphChar"/>
    <w:link w:val="Style1"/>
    <w:rsid w:val="000B4D10"/>
    <w:rPr>
      <w:rFonts w:ascii="Times New Roman" w:eastAsia="Times New Roman" w:hAnsi="Times New Roman" w:cstheme="minorHAnsi"/>
      <w:bCs/>
      <w:sz w:val="24"/>
      <w:szCs w:val="24"/>
      <w:lang w:eastAsia="en-AU"/>
    </w:rPr>
  </w:style>
  <w:style w:type="character" w:customStyle="1" w:styleId="Heading4Char">
    <w:name w:val="Heading 4 Char"/>
    <w:basedOn w:val="DefaultParagraphFont"/>
    <w:link w:val="Heading4"/>
    <w:uiPriority w:val="9"/>
    <w:rsid w:val="00FE4533"/>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142030"/>
    <w:rPr>
      <w:rFonts w:cstheme="minorHAnsi"/>
      <w:color w:val="FFFFFF" w:themeColor="background1"/>
      <w:sz w:val="56"/>
      <w:szCs w:val="56"/>
    </w:rPr>
  </w:style>
  <w:style w:type="character" w:customStyle="1" w:styleId="SubtitleChar">
    <w:name w:val="Subtitle Char"/>
    <w:basedOn w:val="DefaultParagraphFont"/>
    <w:link w:val="Subtitle"/>
    <w:uiPriority w:val="11"/>
    <w:rsid w:val="00142030"/>
    <w:rPr>
      <w:rFonts w:cstheme="minorHAnsi"/>
      <w:color w:val="FFFFFF" w:themeColor="background1"/>
      <w:sz w:val="56"/>
      <w:szCs w:val="56"/>
    </w:rPr>
  </w:style>
  <w:style w:type="character" w:styleId="Strong">
    <w:name w:val="Strong"/>
    <w:basedOn w:val="DefaultParagraphFont"/>
    <w:uiPriority w:val="22"/>
    <w:qFormat/>
    <w:rsid w:val="0091062C"/>
    <w:rPr>
      <w:b/>
      <w:bCs/>
    </w:rPr>
  </w:style>
  <w:style w:type="character" w:styleId="IntenseEmphasis">
    <w:name w:val="Intense Emphasis"/>
    <w:basedOn w:val="DefaultParagraphFont"/>
    <w:uiPriority w:val="21"/>
    <w:qFormat/>
    <w:rsid w:val="008B50E8"/>
    <w:rPr>
      <w:b/>
      <w:bCs/>
      <w:i/>
      <w:iCs/>
      <w:color w:val="4F81BD" w:themeColor="accent1"/>
    </w:rPr>
  </w:style>
  <w:style w:type="paragraph" w:styleId="TOCHeading">
    <w:name w:val="TOC Heading"/>
    <w:basedOn w:val="Heading1"/>
    <w:next w:val="Normal"/>
    <w:uiPriority w:val="39"/>
    <w:semiHidden/>
    <w:unhideWhenUsed/>
    <w:qFormat/>
    <w:rsid w:val="006D4988"/>
    <w:pPr>
      <w:outlineLvl w:val="9"/>
    </w:pPr>
    <w:rPr>
      <w:lang w:val="en-US" w:eastAsia="ja-JP"/>
    </w:rPr>
  </w:style>
  <w:style w:type="paragraph" w:styleId="TOC1">
    <w:name w:val="toc 1"/>
    <w:basedOn w:val="Normal"/>
    <w:next w:val="Normal"/>
    <w:autoRedefine/>
    <w:uiPriority w:val="39"/>
    <w:unhideWhenUsed/>
    <w:rsid w:val="006D4988"/>
    <w:pPr>
      <w:spacing w:after="100"/>
    </w:pPr>
  </w:style>
  <w:style w:type="paragraph" w:styleId="TOC2">
    <w:name w:val="toc 2"/>
    <w:basedOn w:val="Normal"/>
    <w:next w:val="Normal"/>
    <w:autoRedefine/>
    <w:uiPriority w:val="39"/>
    <w:unhideWhenUsed/>
    <w:rsid w:val="006D4988"/>
    <w:pPr>
      <w:spacing w:after="100"/>
      <w:ind w:left="220"/>
    </w:pPr>
  </w:style>
  <w:style w:type="paragraph" w:styleId="TOC3">
    <w:name w:val="toc 3"/>
    <w:basedOn w:val="Normal"/>
    <w:next w:val="Normal"/>
    <w:autoRedefine/>
    <w:uiPriority w:val="39"/>
    <w:unhideWhenUsed/>
    <w:rsid w:val="006D4988"/>
    <w:pPr>
      <w:spacing w:after="100"/>
      <w:ind w:left="440"/>
    </w:pPr>
  </w:style>
  <w:style w:type="paragraph" w:styleId="NoSpacing">
    <w:name w:val="No Spacing"/>
    <w:link w:val="NoSpacingChar"/>
    <w:uiPriority w:val="1"/>
    <w:qFormat/>
    <w:rsid w:val="006D498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4988"/>
    <w:rPr>
      <w:rFonts w:eastAsiaTheme="minorEastAsia"/>
      <w:lang w:val="en-US" w:eastAsia="ja-JP"/>
    </w:rPr>
  </w:style>
  <w:style w:type="paragraph" w:styleId="Caption">
    <w:name w:val="caption"/>
    <w:basedOn w:val="Normal"/>
    <w:next w:val="Normal"/>
    <w:uiPriority w:val="35"/>
    <w:unhideWhenUsed/>
    <w:qFormat/>
    <w:rsid w:val="00142030"/>
    <w:pPr>
      <w:spacing w:line="240" w:lineRule="auto"/>
    </w:pPr>
    <w:rPr>
      <w:b/>
      <w:bCs/>
      <w:color w:val="4F81BD" w:themeColor="accent1"/>
      <w:sz w:val="18"/>
      <w:szCs w:val="18"/>
    </w:rPr>
  </w:style>
  <w:style w:type="paragraph" w:styleId="Title">
    <w:name w:val="Title"/>
    <w:basedOn w:val="Normal"/>
    <w:next w:val="Normal"/>
    <w:link w:val="TitleChar"/>
    <w:uiPriority w:val="10"/>
    <w:qFormat/>
    <w:rsid w:val="00142030"/>
    <w:pPr>
      <w:spacing w:before="960" w:line="240" w:lineRule="auto"/>
    </w:pPr>
    <w:rPr>
      <w:rFonts w:cstheme="minorHAnsi"/>
      <w:color w:val="FFFFFF" w:themeColor="background1"/>
      <w:sz w:val="96"/>
      <w:szCs w:val="96"/>
    </w:rPr>
  </w:style>
  <w:style w:type="character" w:customStyle="1" w:styleId="TitleChar">
    <w:name w:val="Title Char"/>
    <w:basedOn w:val="DefaultParagraphFont"/>
    <w:link w:val="Title"/>
    <w:uiPriority w:val="10"/>
    <w:rsid w:val="00142030"/>
    <w:rPr>
      <w:rFonts w:cstheme="minorHAnsi"/>
      <w:color w:val="FFFFFF" w:themeColor="background1"/>
      <w:sz w:val="96"/>
      <w:szCs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CA"/>
  </w:style>
  <w:style w:type="paragraph" w:styleId="Heading1">
    <w:name w:val="heading 1"/>
    <w:basedOn w:val="Normal"/>
    <w:next w:val="Normal"/>
    <w:link w:val="Heading1Char"/>
    <w:uiPriority w:val="9"/>
    <w:qFormat/>
    <w:rsid w:val="00A144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4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447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4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472"/>
    <w:rPr>
      <w:color w:val="0000FF" w:themeColor="hyperlink"/>
      <w:u w:val="single"/>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nhideWhenUsed/>
    <w:rsid w:val="00A14472"/>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rsid w:val="00A14472"/>
    <w:rPr>
      <w:rFonts w:ascii="Arial" w:eastAsia="Times New Roman" w:hAnsi="Arial" w:cs="Times New Roman"/>
      <w:sz w:val="20"/>
      <w:szCs w:val="20"/>
    </w:rPr>
  </w:style>
  <w:style w:type="character" w:styleId="FootnoteReference">
    <w:name w:val="footnote reference"/>
    <w:aliases w:val="AFPC Footnote Reference"/>
    <w:basedOn w:val="DefaultParagraphFont"/>
    <w:unhideWhenUsed/>
    <w:rsid w:val="00A14472"/>
    <w:rPr>
      <w:vertAlign w:val="superscript"/>
    </w:rPr>
  </w:style>
  <w:style w:type="paragraph" w:styleId="Footer">
    <w:name w:val="footer"/>
    <w:basedOn w:val="Normal"/>
    <w:link w:val="FooterChar"/>
    <w:uiPriority w:val="99"/>
    <w:unhideWhenUsed/>
    <w:rsid w:val="00A14472"/>
    <w:pPr>
      <w:tabs>
        <w:tab w:val="center" w:pos="4513"/>
        <w:tab w:val="right" w:pos="9026"/>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A14472"/>
    <w:rPr>
      <w:rFonts w:ascii="Arial" w:eastAsia="Times New Roman" w:hAnsi="Arial" w:cs="Times New Roman"/>
      <w:szCs w:val="20"/>
    </w:rPr>
  </w:style>
  <w:style w:type="character" w:customStyle="1" w:styleId="Heading1Char">
    <w:name w:val="Heading 1 Char"/>
    <w:basedOn w:val="DefaultParagraphFont"/>
    <w:link w:val="Heading1"/>
    <w:uiPriority w:val="9"/>
    <w:rsid w:val="00A144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44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447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40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E2"/>
    <w:rPr>
      <w:rFonts w:ascii="Tahoma" w:hAnsi="Tahoma" w:cs="Tahoma"/>
      <w:sz w:val="16"/>
      <w:szCs w:val="16"/>
    </w:rPr>
  </w:style>
  <w:style w:type="character" w:styleId="CommentReference">
    <w:name w:val="annotation reference"/>
    <w:basedOn w:val="DefaultParagraphFont"/>
    <w:uiPriority w:val="99"/>
    <w:semiHidden/>
    <w:unhideWhenUsed/>
    <w:rsid w:val="00801DC3"/>
    <w:rPr>
      <w:sz w:val="16"/>
      <w:szCs w:val="16"/>
    </w:rPr>
  </w:style>
  <w:style w:type="paragraph" w:styleId="CommentText">
    <w:name w:val="annotation text"/>
    <w:basedOn w:val="Normal"/>
    <w:link w:val="CommentTextChar"/>
    <w:uiPriority w:val="99"/>
    <w:semiHidden/>
    <w:unhideWhenUsed/>
    <w:rsid w:val="00801DC3"/>
    <w:pPr>
      <w:spacing w:line="240" w:lineRule="auto"/>
    </w:pPr>
    <w:rPr>
      <w:sz w:val="20"/>
      <w:szCs w:val="20"/>
    </w:rPr>
  </w:style>
  <w:style w:type="character" w:customStyle="1" w:styleId="CommentTextChar">
    <w:name w:val="Comment Text Char"/>
    <w:basedOn w:val="DefaultParagraphFont"/>
    <w:link w:val="CommentText"/>
    <w:uiPriority w:val="99"/>
    <w:semiHidden/>
    <w:rsid w:val="00801DC3"/>
    <w:rPr>
      <w:sz w:val="20"/>
      <w:szCs w:val="20"/>
    </w:rPr>
  </w:style>
  <w:style w:type="paragraph" w:styleId="CommentSubject">
    <w:name w:val="annotation subject"/>
    <w:basedOn w:val="CommentText"/>
    <w:next w:val="CommentText"/>
    <w:link w:val="CommentSubjectChar"/>
    <w:uiPriority w:val="99"/>
    <w:semiHidden/>
    <w:unhideWhenUsed/>
    <w:rsid w:val="00801DC3"/>
    <w:rPr>
      <w:b/>
      <w:bCs/>
    </w:rPr>
  </w:style>
  <w:style w:type="character" w:customStyle="1" w:styleId="CommentSubjectChar">
    <w:name w:val="Comment Subject Char"/>
    <w:basedOn w:val="CommentTextChar"/>
    <w:link w:val="CommentSubject"/>
    <w:uiPriority w:val="99"/>
    <w:semiHidden/>
    <w:rsid w:val="00801DC3"/>
    <w:rPr>
      <w:b/>
      <w:bCs/>
      <w:sz w:val="20"/>
      <w:szCs w:val="20"/>
    </w:rPr>
  </w:style>
  <w:style w:type="character" w:styleId="PlaceholderText">
    <w:name w:val="Placeholder Text"/>
    <w:basedOn w:val="DefaultParagraphFont"/>
    <w:uiPriority w:val="99"/>
    <w:semiHidden/>
    <w:rsid w:val="00374DFB"/>
    <w:rPr>
      <w:color w:val="808080"/>
    </w:rPr>
  </w:style>
  <w:style w:type="paragraph" w:styleId="Header">
    <w:name w:val="header"/>
    <w:basedOn w:val="Normal"/>
    <w:link w:val="HeaderChar"/>
    <w:uiPriority w:val="99"/>
    <w:unhideWhenUsed/>
    <w:rsid w:val="001F5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5CA"/>
  </w:style>
  <w:style w:type="paragraph" w:styleId="ListParagraph">
    <w:name w:val="List Paragraph"/>
    <w:aliases w:val="L,List Paragraph1,List Paragraph11,Recommendation"/>
    <w:basedOn w:val="Normal"/>
    <w:link w:val="ListParagraphChar"/>
    <w:uiPriority w:val="34"/>
    <w:qFormat/>
    <w:rsid w:val="002F46D1"/>
    <w:pPr>
      <w:spacing w:after="0" w:line="240" w:lineRule="auto"/>
      <w:ind w:left="720"/>
      <w:contextualSpacing/>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043281"/>
    <w:rPr>
      <w:color w:val="800080" w:themeColor="followedHyperlink"/>
      <w:u w:val="single"/>
    </w:rPr>
  </w:style>
  <w:style w:type="character" w:customStyle="1" w:styleId="ListParagraphChar">
    <w:name w:val="List Paragraph Char"/>
    <w:aliases w:val="L Char,List Paragraph1 Char,List Paragraph11 Char,Recommendation Char"/>
    <w:basedOn w:val="DefaultParagraphFont"/>
    <w:link w:val="ListParagraph"/>
    <w:uiPriority w:val="34"/>
    <w:locked/>
    <w:rsid w:val="00581396"/>
    <w:rPr>
      <w:rFonts w:ascii="Times New Roman" w:eastAsia="Times New Roman" w:hAnsi="Times New Roman" w:cs="Times New Roman"/>
      <w:sz w:val="24"/>
      <w:szCs w:val="24"/>
      <w:lang w:eastAsia="en-AU"/>
    </w:rPr>
  </w:style>
  <w:style w:type="table" w:styleId="TableGrid">
    <w:name w:val="Table Grid"/>
    <w:basedOn w:val="TableNormal"/>
    <w:rsid w:val="006443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1AF"/>
    <w:pPr>
      <w:autoSpaceDE w:val="0"/>
      <w:autoSpaceDN w:val="0"/>
      <w:adjustRightInd w:val="0"/>
      <w:spacing w:after="0" w:line="240" w:lineRule="auto"/>
    </w:pPr>
    <w:rPr>
      <w:rFonts w:ascii="Symbol" w:eastAsia="Times New Roman" w:hAnsi="Symbol" w:cs="Symbol"/>
      <w:color w:val="000000"/>
      <w:sz w:val="24"/>
      <w:szCs w:val="24"/>
      <w:lang w:eastAsia="en-AU"/>
    </w:rPr>
  </w:style>
  <w:style w:type="paragraph" w:styleId="Revision">
    <w:name w:val="Revision"/>
    <w:hidden/>
    <w:uiPriority w:val="99"/>
    <w:semiHidden/>
    <w:rsid w:val="002D4C38"/>
    <w:pPr>
      <w:spacing w:after="0" w:line="240" w:lineRule="auto"/>
    </w:pPr>
  </w:style>
  <w:style w:type="paragraph" w:styleId="NormalWeb">
    <w:name w:val="Normal (Web)"/>
    <w:basedOn w:val="Normal"/>
    <w:uiPriority w:val="99"/>
    <w:semiHidden/>
    <w:unhideWhenUsed/>
    <w:rsid w:val="000748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ief-BULLET">
    <w:name w:val="Brief - BULLET"/>
    <w:basedOn w:val="Normal"/>
    <w:rsid w:val="00763CA7"/>
    <w:pPr>
      <w:numPr>
        <w:numId w:val="11"/>
      </w:numPr>
      <w:spacing w:before="120" w:after="120" w:line="230" w:lineRule="exact"/>
    </w:pPr>
    <w:rPr>
      <w:rFonts w:ascii="Arial" w:eastAsia="Times New Roman" w:hAnsi="Arial" w:cs="Times New Roman"/>
      <w:szCs w:val="20"/>
    </w:rPr>
  </w:style>
  <w:style w:type="paragraph" w:customStyle="1" w:styleId="Style1">
    <w:name w:val="Style1"/>
    <w:basedOn w:val="ListParagraph"/>
    <w:link w:val="Style1Char"/>
    <w:qFormat/>
    <w:rsid w:val="000B4D10"/>
    <w:pPr>
      <w:numPr>
        <w:numId w:val="36"/>
      </w:numPr>
    </w:pPr>
    <w:rPr>
      <w:rFonts w:asciiTheme="minorHAnsi" w:hAnsiTheme="minorHAnsi" w:cstheme="minorHAnsi"/>
      <w:bCs/>
      <w:sz w:val="22"/>
    </w:rPr>
  </w:style>
  <w:style w:type="character" w:customStyle="1" w:styleId="Style1Char">
    <w:name w:val="Style1 Char"/>
    <w:basedOn w:val="ListParagraphChar"/>
    <w:link w:val="Style1"/>
    <w:rsid w:val="000B4D10"/>
    <w:rPr>
      <w:rFonts w:ascii="Times New Roman" w:eastAsia="Times New Roman" w:hAnsi="Times New Roman" w:cstheme="minorHAnsi"/>
      <w:bCs/>
      <w:sz w:val="24"/>
      <w:szCs w:val="24"/>
      <w:lang w:eastAsia="en-AU"/>
    </w:rPr>
  </w:style>
  <w:style w:type="character" w:customStyle="1" w:styleId="Heading4Char">
    <w:name w:val="Heading 4 Char"/>
    <w:basedOn w:val="DefaultParagraphFont"/>
    <w:link w:val="Heading4"/>
    <w:uiPriority w:val="9"/>
    <w:rsid w:val="00FE4533"/>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142030"/>
    <w:rPr>
      <w:rFonts w:cstheme="minorHAnsi"/>
      <w:color w:val="FFFFFF" w:themeColor="background1"/>
      <w:sz w:val="56"/>
      <w:szCs w:val="56"/>
    </w:rPr>
  </w:style>
  <w:style w:type="character" w:customStyle="1" w:styleId="SubtitleChar">
    <w:name w:val="Subtitle Char"/>
    <w:basedOn w:val="DefaultParagraphFont"/>
    <w:link w:val="Subtitle"/>
    <w:uiPriority w:val="11"/>
    <w:rsid w:val="00142030"/>
    <w:rPr>
      <w:rFonts w:cstheme="minorHAnsi"/>
      <w:color w:val="FFFFFF" w:themeColor="background1"/>
      <w:sz w:val="56"/>
      <w:szCs w:val="56"/>
    </w:rPr>
  </w:style>
  <w:style w:type="character" w:styleId="Strong">
    <w:name w:val="Strong"/>
    <w:basedOn w:val="DefaultParagraphFont"/>
    <w:uiPriority w:val="22"/>
    <w:qFormat/>
    <w:rsid w:val="0091062C"/>
    <w:rPr>
      <w:b/>
      <w:bCs/>
    </w:rPr>
  </w:style>
  <w:style w:type="character" w:styleId="IntenseEmphasis">
    <w:name w:val="Intense Emphasis"/>
    <w:basedOn w:val="DefaultParagraphFont"/>
    <w:uiPriority w:val="21"/>
    <w:qFormat/>
    <w:rsid w:val="008B50E8"/>
    <w:rPr>
      <w:b/>
      <w:bCs/>
      <w:i/>
      <w:iCs/>
      <w:color w:val="4F81BD" w:themeColor="accent1"/>
    </w:rPr>
  </w:style>
  <w:style w:type="paragraph" w:styleId="TOCHeading">
    <w:name w:val="TOC Heading"/>
    <w:basedOn w:val="Heading1"/>
    <w:next w:val="Normal"/>
    <w:uiPriority w:val="39"/>
    <w:semiHidden/>
    <w:unhideWhenUsed/>
    <w:qFormat/>
    <w:rsid w:val="006D4988"/>
    <w:pPr>
      <w:outlineLvl w:val="9"/>
    </w:pPr>
    <w:rPr>
      <w:lang w:val="en-US" w:eastAsia="ja-JP"/>
    </w:rPr>
  </w:style>
  <w:style w:type="paragraph" w:styleId="TOC1">
    <w:name w:val="toc 1"/>
    <w:basedOn w:val="Normal"/>
    <w:next w:val="Normal"/>
    <w:autoRedefine/>
    <w:uiPriority w:val="39"/>
    <w:unhideWhenUsed/>
    <w:rsid w:val="006D4988"/>
    <w:pPr>
      <w:spacing w:after="100"/>
    </w:pPr>
  </w:style>
  <w:style w:type="paragraph" w:styleId="TOC2">
    <w:name w:val="toc 2"/>
    <w:basedOn w:val="Normal"/>
    <w:next w:val="Normal"/>
    <w:autoRedefine/>
    <w:uiPriority w:val="39"/>
    <w:unhideWhenUsed/>
    <w:rsid w:val="006D4988"/>
    <w:pPr>
      <w:spacing w:after="100"/>
      <w:ind w:left="220"/>
    </w:pPr>
  </w:style>
  <w:style w:type="paragraph" w:styleId="TOC3">
    <w:name w:val="toc 3"/>
    <w:basedOn w:val="Normal"/>
    <w:next w:val="Normal"/>
    <w:autoRedefine/>
    <w:uiPriority w:val="39"/>
    <w:unhideWhenUsed/>
    <w:rsid w:val="006D4988"/>
    <w:pPr>
      <w:spacing w:after="100"/>
      <w:ind w:left="440"/>
    </w:pPr>
  </w:style>
  <w:style w:type="paragraph" w:styleId="NoSpacing">
    <w:name w:val="No Spacing"/>
    <w:link w:val="NoSpacingChar"/>
    <w:uiPriority w:val="1"/>
    <w:qFormat/>
    <w:rsid w:val="006D498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4988"/>
    <w:rPr>
      <w:rFonts w:eastAsiaTheme="minorEastAsia"/>
      <w:lang w:val="en-US" w:eastAsia="ja-JP"/>
    </w:rPr>
  </w:style>
  <w:style w:type="paragraph" w:styleId="Caption">
    <w:name w:val="caption"/>
    <w:basedOn w:val="Normal"/>
    <w:next w:val="Normal"/>
    <w:uiPriority w:val="35"/>
    <w:unhideWhenUsed/>
    <w:qFormat/>
    <w:rsid w:val="00142030"/>
    <w:pPr>
      <w:spacing w:line="240" w:lineRule="auto"/>
    </w:pPr>
    <w:rPr>
      <w:b/>
      <w:bCs/>
      <w:color w:val="4F81BD" w:themeColor="accent1"/>
      <w:sz w:val="18"/>
      <w:szCs w:val="18"/>
    </w:rPr>
  </w:style>
  <w:style w:type="paragraph" w:styleId="Title">
    <w:name w:val="Title"/>
    <w:basedOn w:val="Normal"/>
    <w:next w:val="Normal"/>
    <w:link w:val="TitleChar"/>
    <w:uiPriority w:val="10"/>
    <w:qFormat/>
    <w:rsid w:val="00142030"/>
    <w:pPr>
      <w:spacing w:before="960" w:line="240" w:lineRule="auto"/>
    </w:pPr>
    <w:rPr>
      <w:rFonts w:cstheme="minorHAnsi"/>
      <w:color w:val="FFFFFF" w:themeColor="background1"/>
      <w:sz w:val="96"/>
      <w:szCs w:val="96"/>
    </w:rPr>
  </w:style>
  <w:style w:type="character" w:customStyle="1" w:styleId="TitleChar">
    <w:name w:val="Title Char"/>
    <w:basedOn w:val="DefaultParagraphFont"/>
    <w:link w:val="Title"/>
    <w:uiPriority w:val="10"/>
    <w:rsid w:val="00142030"/>
    <w:rPr>
      <w:rFonts w:cstheme="minorHAnsi"/>
      <w:color w:val="FFFFFF" w:themeColor="background1"/>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911">
      <w:bodyDiv w:val="1"/>
      <w:marLeft w:val="0"/>
      <w:marRight w:val="0"/>
      <w:marTop w:val="0"/>
      <w:marBottom w:val="0"/>
      <w:divBdr>
        <w:top w:val="none" w:sz="0" w:space="0" w:color="auto"/>
        <w:left w:val="none" w:sz="0" w:space="0" w:color="auto"/>
        <w:bottom w:val="none" w:sz="0" w:space="0" w:color="auto"/>
        <w:right w:val="none" w:sz="0" w:space="0" w:color="auto"/>
      </w:divBdr>
    </w:div>
    <w:div w:id="68163776">
      <w:bodyDiv w:val="1"/>
      <w:marLeft w:val="0"/>
      <w:marRight w:val="0"/>
      <w:marTop w:val="0"/>
      <w:marBottom w:val="0"/>
      <w:divBdr>
        <w:top w:val="none" w:sz="0" w:space="0" w:color="auto"/>
        <w:left w:val="none" w:sz="0" w:space="0" w:color="auto"/>
        <w:bottom w:val="none" w:sz="0" w:space="0" w:color="auto"/>
        <w:right w:val="none" w:sz="0" w:space="0" w:color="auto"/>
      </w:divBdr>
    </w:div>
    <w:div w:id="88627991">
      <w:bodyDiv w:val="1"/>
      <w:marLeft w:val="0"/>
      <w:marRight w:val="0"/>
      <w:marTop w:val="0"/>
      <w:marBottom w:val="0"/>
      <w:divBdr>
        <w:top w:val="none" w:sz="0" w:space="0" w:color="auto"/>
        <w:left w:val="none" w:sz="0" w:space="0" w:color="auto"/>
        <w:bottom w:val="none" w:sz="0" w:space="0" w:color="auto"/>
        <w:right w:val="none" w:sz="0" w:space="0" w:color="auto"/>
      </w:divBdr>
    </w:div>
    <w:div w:id="108009998">
      <w:bodyDiv w:val="1"/>
      <w:marLeft w:val="0"/>
      <w:marRight w:val="0"/>
      <w:marTop w:val="0"/>
      <w:marBottom w:val="0"/>
      <w:divBdr>
        <w:top w:val="none" w:sz="0" w:space="0" w:color="auto"/>
        <w:left w:val="none" w:sz="0" w:space="0" w:color="auto"/>
        <w:bottom w:val="none" w:sz="0" w:space="0" w:color="auto"/>
        <w:right w:val="none" w:sz="0" w:space="0" w:color="auto"/>
      </w:divBdr>
      <w:divsChild>
        <w:div w:id="1674606147">
          <w:marLeft w:val="0"/>
          <w:marRight w:val="0"/>
          <w:marTop w:val="0"/>
          <w:marBottom w:val="0"/>
          <w:divBdr>
            <w:top w:val="none" w:sz="0" w:space="0" w:color="auto"/>
            <w:left w:val="none" w:sz="0" w:space="0" w:color="auto"/>
            <w:bottom w:val="none" w:sz="0" w:space="0" w:color="auto"/>
            <w:right w:val="none" w:sz="0" w:space="0" w:color="auto"/>
          </w:divBdr>
          <w:divsChild>
            <w:div w:id="526066613">
              <w:marLeft w:val="0"/>
              <w:marRight w:val="0"/>
              <w:marTop w:val="0"/>
              <w:marBottom w:val="0"/>
              <w:divBdr>
                <w:top w:val="none" w:sz="0" w:space="0" w:color="auto"/>
                <w:left w:val="none" w:sz="0" w:space="0" w:color="auto"/>
                <w:bottom w:val="none" w:sz="0" w:space="0" w:color="auto"/>
                <w:right w:val="none" w:sz="0" w:space="0" w:color="auto"/>
              </w:divBdr>
              <w:divsChild>
                <w:div w:id="1729106035">
                  <w:marLeft w:val="0"/>
                  <w:marRight w:val="0"/>
                  <w:marTop w:val="0"/>
                  <w:marBottom w:val="0"/>
                  <w:divBdr>
                    <w:top w:val="none" w:sz="0" w:space="0" w:color="auto"/>
                    <w:left w:val="none" w:sz="0" w:space="0" w:color="auto"/>
                    <w:bottom w:val="none" w:sz="0" w:space="0" w:color="auto"/>
                    <w:right w:val="none" w:sz="0" w:space="0" w:color="auto"/>
                  </w:divBdr>
                  <w:divsChild>
                    <w:div w:id="238373832">
                      <w:marLeft w:val="0"/>
                      <w:marRight w:val="0"/>
                      <w:marTop w:val="0"/>
                      <w:marBottom w:val="0"/>
                      <w:divBdr>
                        <w:top w:val="none" w:sz="0" w:space="0" w:color="auto"/>
                        <w:left w:val="none" w:sz="0" w:space="0" w:color="auto"/>
                        <w:bottom w:val="none" w:sz="0" w:space="0" w:color="auto"/>
                        <w:right w:val="none" w:sz="0" w:space="0" w:color="auto"/>
                      </w:divBdr>
                      <w:divsChild>
                        <w:div w:id="496503525">
                          <w:marLeft w:val="0"/>
                          <w:marRight w:val="0"/>
                          <w:marTop w:val="0"/>
                          <w:marBottom w:val="0"/>
                          <w:divBdr>
                            <w:top w:val="none" w:sz="0" w:space="0" w:color="auto"/>
                            <w:left w:val="none" w:sz="0" w:space="0" w:color="auto"/>
                            <w:bottom w:val="none" w:sz="0" w:space="0" w:color="auto"/>
                            <w:right w:val="none" w:sz="0" w:space="0" w:color="auto"/>
                          </w:divBdr>
                          <w:divsChild>
                            <w:div w:id="192811340">
                              <w:marLeft w:val="0"/>
                              <w:marRight w:val="0"/>
                              <w:marTop w:val="0"/>
                              <w:marBottom w:val="0"/>
                              <w:divBdr>
                                <w:top w:val="none" w:sz="0" w:space="0" w:color="auto"/>
                                <w:left w:val="none" w:sz="0" w:space="0" w:color="auto"/>
                                <w:bottom w:val="none" w:sz="0" w:space="0" w:color="auto"/>
                                <w:right w:val="none" w:sz="0" w:space="0" w:color="auto"/>
                              </w:divBdr>
                              <w:divsChild>
                                <w:div w:id="609899019">
                                  <w:marLeft w:val="0"/>
                                  <w:marRight w:val="0"/>
                                  <w:marTop w:val="0"/>
                                  <w:marBottom w:val="0"/>
                                  <w:divBdr>
                                    <w:top w:val="none" w:sz="0" w:space="0" w:color="auto"/>
                                    <w:left w:val="none" w:sz="0" w:space="0" w:color="auto"/>
                                    <w:bottom w:val="none" w:sz="0" w:space="0" w:color="auto"/>
                                    <w:right w:val="none" w:sz="0" w:space="0" w:color="auto"/>
                                  </w:divBdr>
                                  <w:divsChild>
                                    <w:div w:id="1206715353">
                                      <w:marLeft w:val="0"/>
                                      <w:marRight w:val="0"/>
                                      <w:marTop w:val="0"/>
                                      <w:marBottom w:val="0"/>
                                      <w:divBdr>
                                        <w:top w:val="none" w:sz="0" w:space="0" w:color="auto"/>
                                        <w:left w:val="none" w:sz="0" w:space="0" w:color="auto"/>
                                        <w:bottom w:val="none" w:sz="0" w:space="0" w:color="auto"/>
                                        <w:right w:val="none" w:sz="0" w:space="0" w:color="auto"/>
                                      </w:divBdr>
                                      <w:divsChild>
                                        <w:div w:id="550654006">
                                          <w:marLeft w:val="0"/>
                                          <w:marRight w:val="0"/>
                                          <w:marTop w:val="0"/>
                                          <w:marBottom w:val="0"/>
                                          <w:divBdr>
                                            <w:top w:val="none" w:sz="0" w:space="0" w:color="auto"/>
                                            <w:left w:val="none" w:sz="0" w:space="0" w:color="auto"/>
                                            <w:bottom w:val="none" w:sz="0" w:space="0" w:color="auto"/>
                                            <w:right w:val="none" w:sz="0" w:space="0" w:color="auto"/>
                                          </w:divBdr>
                                          <w:divsChild>
                                            <w:div w:id="1812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804953">
      <w:bodyDiv w:val="1"/>
      <w:marLeft w:val="0"/>
      <w:marRight w:val="0"/>
      <w:marTop w:val="0"/>
      <w:marBottom w:val="0"/>
      <w:divBdr>
        <w:top w:val="none" w:sz="0" w:space="0" w:color="auto"/>
        <w:left w:val="none" w:sz="0" w:space="0" w:color="auto"/>
        <w:bottom w:val="none" w:sz="0" w:space="0" w:color="auto"/>
        <w:right w:val="none" w:sz="0" w:space="0" w:color="auto"/>
      </w:divBdr>
    </w:div>
    <w:div w:id="343478428">
      <w:bodyDiv w:val="1"/>
      <w:marLeft w:val="0"/>
      <w:marRight w:val="0"/>
      <w:marTop w:val="0"/>
      <w:marBottom w:val="0"/>
      <w:divBdr>
        <w:top w:val="none" w:sz="0" w:space="0" w:color="auto"/>
        <w:left w:val="none" w:sz="0" w:space="0" w:color="auto"/>
        <w:bottom w:val="none" w:sz="0" w:space="0" w:color="auto"/>
        <w:right w:val="none" w:sz="0" w:space="0" w:color="auto"/>
      </w:divBdr>
    </w:div>
    <w:div w:id="518546543">
      <w:bodyDiv w:val="1"/>
      <w:marLeft w:val="0"/>
      <w:marRight w:val="0"/>
      <w:marTop w:val="0"/>
      <w:marBottom w:val="0"/>
      <w:divBdr>
        <w:top w:val="none" w:sz="0" w:space="0" w:color="auto"/>
        <w:left w:val="none" w:sz="0" w:space="0" w:color="auto"/>
        <w:bottom w:val="none" w:sz="0" w:space="0" w:color="auto"/>
        <w:right w:val="none" w:sz="0" w:space="0" w:color="auto"/>
      </w:divBdr>
    </w:div>
    <w:div w:id="600114592">
      <w:bodyDiv w:val="1"/>
      <w:marLeft w:val="0"/>
      <w:marRight w:val="0"/>
      <w:marTop w:val="0"/>
      <w:marBottom w:val="0"/>
      <w:divBdr>
        <w:top w:val="none" w:sz="0" w:space="0" w:color="auto"/>
        <w:left w:val="none" w:sz="0" w:space="0" w:color="auto"/>
        <w:bottom w:val="none" w:sz="0" w:space="0" w:color="auto"/>
        <w:right w:val="none" w:sz="0" w:space="0" w:color="auto"/>
      </w:divBdr>
    </w:div>
    <w:div w:id="1212693881">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482696811">
      <w:bodyDiv w:val="1"/>
      <w:marLeft w:val="0"/>
      <w:marRight w:val="0"/>
      <w:marTop w:val="0"/>
      <w:marBottom w:val="0"/>
      <w:divBdr>
        <w:top w:val="none" w:sz="0" w:space="0" w:color="auto"/>
        <w:left w:val="none" w:sz="0" w:space="0" w:color="auto"/>
        <w:bottom w:val="none" w:sz="0" w:space="0" w:color="auto"/>
        <w:right w:val="none" w:sz="0" w:space="0" w:color="auto"/>
      </w:divBdr>
    </w:div>
    <w:div w:id="1565487785">
      <w:bodyDiv w:val="1"/>
      <w:marLeft w:val="0"/>
      <w:marRight w:val="0"/>
      <w:marTop w:val="0"/>
      <w:marBottom w:val="0"/>
      <w:divBdr>
        <w:top w:val="none" w:sz="0" w:space="0" w:color="auto"/>
        <w:left w:val="none" w:sz="0" w:space="0" w:color="auto"/>
        <w:bottom w:val="none" w:sz="0" w:space="0" w:color="auto"/>
        <w:right w:val="none" w:sz="0" w:space="0" w:color="auto"/>
      </w:divBdr>
    </w:div>
    <w:div w:id="1811635218">
      <w:bodyDiv w:val="1"/>
      <w:marLeft w:val="0"/>
      <w:marRight w:val="0"/>
      <w:marTop w:val="0"/>
      <w:marBottom w:val="0"/>
      <w:divBdr>
        <w:top w:val="none" w:sz="0" w:space="0" w:color="auto"/>
        <w:left w:val="none" w:sz="0" w:space="0" w:color="auto"/>
        <w:bottom w:val="none" w:sz="0" w:space="0" w:color="auto"/>
        <w:right w:val="none" w:sz="0" w:space="0" w:color="auto"/>
      </w:divBdr>
    </w:div>
    <w:div w:id="1851026121">
      <w:bodyDiv w:val="1"/>
      <w:marLeft w:val="0"/>
      <w:marRight w:val="0"/>
      <w:marTop w:val="0"/>
      <w:marBottom w:val="0"/>
      <w:divBdr>
        <w:top w:val="none" w:sz="0" w:space="0" w:color="auto"/>
        <w:left w:val="none" w:sz="0" w:space="0" w:color="auto"/>
        <w:bottom w:val="none" w:sz="0" w:space="0" w:color="auto"/>
        <w:right w:val="none" w:sz="0" w:space="0" w:color="auto"/>
      </w:divBdr>
    </w:div>
    <w:div w:id="1881092574">
      <w:bodyDiv w:val="1"/>
      <w:marLeft w:val="0"/>
      <w:marRight w:val="0"/>
      <w:marTop w:val="0"/>
      <w:marBottom w:val="0"/>
      <w:divBdr>
        <w:top w:val="none" w:sz="0" w:space="0" w:color="auto"/>
        <w:left w:val="none" w:sz="0" w:space="0" w:color="auto"/>
        <w:bottom w:val="none" w:sz="0" w:space="0" w:color="auto"/>
        <w:right w:val="none" w:sz="0" w:space="0" w:color="auto"/>
      </w:divBdr>
      <w:divsChild>
        <w:div w:id="892086755">
          <w:marLeft w:val="0"/>
          <w:marRight w:val="0"/>
          <w:marTop w:val="0"/>
          <w:marBottom w:val="0"/>
          <w:divBdr>
            <w:top w:val="none" w:sz="0" w:space="0" w:color="auto"/>
            <w:left w:val="none" w:sz="0" w:space="0" w:color="auto"/>
            <w:bottom w:val="none" w:sz="0" w:space="0" w:color="auto"/>
            <w:right w:val="none" w:sz="0" w:space="0" w:color="auto"/>
          </w:divBdr>
          <w:divsChild>
            <w:div w:id="925960814">
              <w:marLeft w:val="0"/>
              <w:marRight w:val="0"/>
              <w:marTop w:val="0"/>
              <w:marBottom w:val="0"/>
              <w:divBdr>
                <w:top w:val="none" w:sz="0" w:space="0" w:color="auto"/>
                <w:left w:val="none" w:sz="0" w:space="0" w:color="auto"/>
                <w:bottom w:val="none" w:sz="0" w:space="0" w:color="auto"/>
                <w:right w:val="none" w:sz="0" w:space="0" w:color="auto"/>
              </w:divBdr>
              <w:divsChild>
                <w:div w:id="1396390864">
                  <w:marLeft w:val="0"/>
                  <w:marRight w:val="0"/>
                  <w:marTop w:val="0"/>
                  <w:marBottom w:val="0"/>
                  <w:divBdr>
                    <w:top w:val="none" w:sz="0" w:space="0" w:color="auto"/>
                    <w:left w:val="none" w:sz="0" w:space="0" w:color="auto"/>
                    <w:bottom w:val="none" w:sz="0" w:space="0" w:color="auto"/>
                    <w:right w:val="none" w:sz="0" w:space="0" w:color="auto"/>
                  </w:divBdr>
                  <w:divsChild>
                    <w:div w:id="1124881709">
                      <w:marLeft w:val="0"/>
                      <w:marRight w:val="0"/>
                      <w:marTop w:val="0"/>
                      <w:marBottom w:val="0"/>
                      <w:divBdr>
                        <w:top w:val="none" w:sz="0" w:space="0" w:color="auto"/>
                        <w:left w:val="none" w:sz="0" w:space="0" w:color="auto"/>
                        <w:bottom w:val="none" w:sz="0" w:space="0" w:color="auto"/>
                        <w:right w:val="none" w:sz="0" w:space="0" w:color="auto"/>
                      </w:divBdr>
                      <w:divsChild>
                        <w:div w:id="485174510">
                          <w:marLeft w:val="0"/>
                          <w:marRight w:val="0"/>
                          <w:marTop w:val="0"/>
                          <w:marBottom w:val="0"/>
                          <w:divBdr>
                            <w:top w:val="none" w:sz="0" w:space="0" w:color="auto"/>
                            <w:left w:val="none" w:sz="0" w:space="0" w:color="auto"/>
                            <w:bottom w:val="none" w:sz="0" w:space="0" w:color="auto"/>
                            <w:right w:val="none" w:sz="0" w:space="0" w:color="auto"/>
                          </w:divBdr>
                          <w:divsChild>
                            <w:div w:id="1541092386">
                              <w:marLeft w:val="0"/>
                              <w:marRight w:val="0"/>
                              <w:marTop w:val="0"/>
                              <w:marBottom w:val="0"/>
                              <w:divBdr>
                                <w:top w:val="none" w:sz="0" w:space="0" w:color="auto"/>
                                <w:left w:val="none" w:sz="0" w:space="0" w:color="auto"/>
                                <w:bottom w:val="none" w:sz="0" w:space="0" w:color="auto"/>
                                <w:right w:val="none" w:sz="0" w:space="0" w:color="auto"/>
                              </w:divBdr>
                              <w:divsChild>
                                <w:div w:id="432286795">
                                  <w:marLeft w:val="0"/>
                                  <w:marRight w:val="0"/>
                                  <w:marTop w:val="0"/>
                                  <w:marBottom w:val="0"/>
                                  <w:divBdr>
                                    <w:top w:val="none" w:sz="0" w:space="0" w:color="auto"/>
                                    <w:left w:val="none" w:sz="0" w:space="0" w:color="auto"/>
                                    <w:bottom w:val="none" w:sz="0" w:space="0" w:color="auto"/>
                                    <w:right w:val="none" w:sz="0" w:space="0" w:color="auto"/>
                                  </w:divBdr>
                                  <w:divsChild>
                                    <w:div w:id="885869664">
                                      <w:marLeft w:val="0"/>
                                      <w:marRight w:val="0"/>
                                      <w:marTop w:val="0"/>
                                      <w:marBottom w:val="0"/>
                                      <w:divBdr>
                                        <w:top w:val="none" w:sz="0" w:space="0" w:color="auto"/>
                                        <w:left w:val="none" w:sz="0" w:space="0" w:color="auto"/>
                                        <w:bottom w:val="none" w:sz="0" w:space="0" w:color="auto"/>
                                        <w:right w:val="none" w:sz="0" w:space="0" w:color="auto"/>
                                      </w:divBdr>
                                      <w:divsChild>
                                        <w:div w:id="315718966">
                                          <w:marLeft w:val="0"/>
                                          <w:marRight w:val="0"/>
                                          <w:marTop w:val="0"/>
                                          <w:marBottom w:val="0"/>
                                          <w:divBdr>
                                            <w:top w:val="none" w:sz="0" w:space="0" w:color="auto"/>
                                            <w:left w:val="none" w:sz="0" w:space="0" w:color="auto"/>
                                            <w:bottom w:val="none" w:sz="0" w:space="0" w:color="auto"/>
                                            <w:right w:val="none" w:sz="0" w:space="0" w:color="auto"/>
                                          </w:divBdr>
                                          <w:divsChild>
                                            <w:div w:id="977027991">
                                              <w:marLeft w:val="0"/>
                                              <w:marRight w:val="0"/>
                                              <w:marTop w:val="0"/>
                                              <w:marBottom w:val="0"/>
                                              <w:divBdr>
                                                <w:top w:val="none" w:sz="0" w:space="0" w:color="auto"/>
                                                <w:left w:val="none" w:sz="0" w:space="0" w:color="auto"/>
                                                <w:bottom w:val="none" w:sz="0" w:space="0" w:color="auto"/>
                                                <w:right w:val="none" w:sz="0" w:space="0" w:color="auto"/>
                                              </w:divBdr>
                                              <w:divsChild>
                                                <w:div w:id="1448771574">
                                                  <w:marLeft w:val="0"/>
                                                  <w:marRight w:val="0"/>
                                                  <w:marTop w:val="0"/>
                                                  <w:marBottom w:val="0"/>
                                                  <w:divBdr>
                                                    <w:top w:val="none" w:sz="0" w:space="0" w:color="auto"/>
                                                    <w:left w:val="none" w:sz="0" w:space="0" w:color="auto"/>
                                                    <w:bottom w:val="none" w:sz="0" w:space="0" w:color="auto"/>
                                                    <w:right w:val="none" w:sz="0" w:space="0" w:color="auto"/>
                                                  </w:divBdr>
                                                  <w:divsChild>
                                                    <w:div w:id="1576478661">
                                                      <w:marLeft w:val="0"/>
                                                      <w:marRight w:val="0"/>
                                                      <w:marTop w:val="0"/>
                                                      <w:marBottom w:val="0"/>
                                                      <w:divBdr>
                                                        <w:top w:val="none" w:sz="0" w:space="0" w:color="auto"/>
                                                        <w:left w:val="none" w:sz="0" w:space="0" w:color="auto"/>
                                                        <w:bottom w:val="none" w:sz="0" w:space="0" w:color="auto"/>
                                                        <w:right w:val="none" w:sz="0" w:space="0" w:color="auto"/>
                                                      </w:divBdr>
                                                      <w:divsChild>
                                                        <w:div w:id="16221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250">
      <w:bodyDiv w:val="1"/>
      <w:marLeft w:val="0"/>
      <w:marRight w:val="0"/>
      <w:marTop w:val="0"/>
      <w:marBottom w:val="0"/>
      <w:divBdr>
        <w:top w:val="none" w:sz="0" w:space="0" w:color="auto"/>
        <w:left w:val="none" w:sz="0" w:space="0" w:color="auto"/>
        <w:bottom w:val="none" w:sz="0" w:space="0" w:color="auto"/>
        <w:right w:val="none" w:sz="0" w:space="0" w:color="auto"/>
      </w:divBdr>
      <w:divsChild>
        <w:div w:id="1070276526">
          <w:marLeft w:val="0"/>
          <w:marRight w:val="0"/>
          <w:marTop w:val="0"/>
          <w:marBottom w:val="0"/>
          <w:divBdr>
            <w:top w:val="none" w:sz="0" w:space="0" w:color="auto"/>
            <w:left w:val="none" w:sz="0" w:space="0" w:color="auto"/>
            <w:bottom w:val="none" w:sz="0" w:space="0" w:color="auto"/>
            <w:right w:val="none" w:sz="0" w:space="0" w:color="auto"/>
          </w:divBdr>
          <w:divsChild>
            <w:div w:id="840781571">
              <w:marLeft w:val="0"/>
              <w:marRight w:val="0"/>
              <w:marTop w:val="0"/>
              <w:marBottom w:val="0"/>
              <w:divBdr>
                <w:top w:val="none" w:sz="0" w:space="0" w:color="auto"/>
                <w:left w:val="none" w:sz="0" w:space="0" w:color="auto"/>
                <w:bottom w:val="none" w:sz="0" w:space="0" w:color="auto"/>
                <w:right w:val="none" w:sz="0" w:space="0" w:color="auto"/>
              </w:divBdr>
              <w:divsChild>
                <w:div w:id="1099721373">
                  <w:marLeft w:val="0"/>
                  <w:marRight w:val="0"/>
                  <w:marTop w:val="0"/>
                  <w:marBottom w:val="0"/>
                  <w:divBdr>
                    <w:top w:val="none" w:sz="0" w:space="0" w:color="auto"/>
                    <w:left w:val="none" w:sz="0" w:space="0" w:color="auto"/>
                    <w:bottom w:val="none" w:sz="0" w:space="0" w:color="auto"/>
                    <w:right w:val="none" w:sz="0" w:space="0" w:color="auto"/>
                  </w:divBdr>
                  <w:divsChild>
                    <w:div w:id="1462727750">
                      <w:marLeft w:val="2565"/>
                      <w:marRight w:val="0"/>
                      <w:marTop w:val="0"/>
                      <w:marBottom w:val="0"/>
                      <w:divBdr>
                        <w:top w:val="none" w:sz="0" w:space="0" w:color="auto"/>
                        <w:left w:val="none" w:sz="0" w:space="0" w:color="auto"/>
                        <w:bottom w:val="none" w:sz="0" w:space="0" w:color="auto"/>
                        <w:right w:val="none" w:sz="0" w:space="0" w:color="auto"/>
                      </w:divBdr>
                      <w:divsChild>
                        <w:div w:id="1797291840">
                          <w:marLeft w:val="0"/>
                          <w:marRight w:val="0"/>
                          <w:marTop w:val="0"/>
                          <w:marBottom w:val="0"/>
                          <w:divBdr>
                            <w:top w:val="none" w:sz="0" w:space="0" w:color="auto"/>
                            <w:left w:val="none" w:sz="0" w:space="0" w:color="auto"/>
                            <w:bottom w:val="none" w:sz="0" w:space="0" w:color="auto"/>
                            <w:right w:val="none" w:sz="0" w:space="0" w:color="auto"/>
                          </w:divBdr>
                          <w:divsChild>
                            <w:div w:id="457577529">
                              <w:marLeft w:val="0"/>
                              <w:marRight w:val="0"/>
                              <w:marTop w:val="0"/>
                              <w:marBottom w:val="0"/>
                              <w:divBdr>
                                <w:top w:val="none" w:sz="0" w:space="0" w:color="auto"/>
                                <w:left w:val="none" w:sz="0" w:space="0" w:color="auto"/>
                                <w:bottom w:val="none" w:sz="0" w:space="0" w:color="auto"/>
                                <w:right w:val="none" w:sz="0" w:space="0" w:color="auto"/>
                              </w:divBdr>
                              <w:divsChild>
                                <w:div w:id="1118643350">
                                  <w:marLeft w:val="0"/>
                                  <w:marRight w:val="0"/>
                                  <w:marTop w:val="0"/>
                                  <w:marBottom w:val="0"/>
                                  <w:divBdr>
                                    <w:top w:val="none" w:sz="0" w:space="0" w:color="auto"/>
                                    <w:left w:val="none" w:sz="0" w:space="0" w:color="auto"/>
                                    <w:bottom w:val="none" w:sz="0" w:space="0" w:color="auto"/>
                                    <w:right w:val="none" w:sz="0" w:space="0" w:color="auto"/>
                                  </w:divBdr>
                                  <w:divsChild>
                                    <w:div w:id="1037706528">
                                      <w:marLeft w:val="0"/>
                                      <w:marRight w:val="0"/>
                                      <w:marTop w:val="0"/>
                                      <w:marBottom w:val="0"/>
                                      <w:divBdr>
                                        <w:top w:val="none" w:sz="0" w:space="0" w:color="auto"/>
                                        <w:left w:val="none" w:sz="0" w:space="0" w:color="auto"/>
                                        <w:bottom w:val="none" w:sz="0" w:space="0" w:color="auto"/>
                                        <w:right w:val="none" w:sz="0" w:space="0" w:color="auto"/>
                                      </w:divBdr>
                                      <w:divsChild>
                                        <w:div w:id="1477144575">
                                          <w:marLeft w:val="0"/>
                                          <w:marRight w:val="0"/>
                                          <w:marTop w:val="0"/>
                                          <w:marBottom w:val="0"/>
                                          <w:divBdr>
                                            <w:top w:val="none" w:sz="0" w:space="0" w:color="auto"/>
                                            <w:left w:val="none" w:sz="0" w:space="0" w:color="auto"/>
                                            <w:bottom w:val="none" w:sz="0" w:space="0" w:color="auto"/>
                                            <w:right w:val="none" w:sz="0" w:space="0" w:color="auto"/>
                                          </w:divBdr>
                                          <w:divsChild>
                                            <w:div w:id="1179927486">
                                              <w:marLeft w:val="0"/>
                                              <w:marRight w:val="0"/>
                                              <w:marTop w:val="0"/>
                                              <w:marBottom w:val="0"/>
                                              <w:divBdr>
                                                <w:top w:val="none" w:sz="0" w:space="0" w:color="auto"/>
                                                <w:left w:val="none" w:sz="0" w:space="0" w:color="auto"/>
                                                <w:bottom w:val="none" w:sz="0" w:space="0" w:color="auto"/>
                                                <w:right w:val="none" w:sz="0" w:space="0" w:color="auto"/>
                                              </w:divBdr>
                                              <w:divsChild>
                                                <w:div w:id="1383870283">
                                                  <w:marLeft w:val="0"/>
                                                  <w:marRight w:val="0"/>
                                                  <w:marTop w:val="0"/>
                                                  <w:marBottom w:val="0"/>
                                                  <w:divBdr>
                                                    <w:top w:val="none" w:sz="0" w:space="0" w:color="auto"/>
                                                    <w:left w:val="none" w:sz="0" w:space="0" w:color="auto"/>
                                                    <w:bottom w:val="none" w:sz="0" w:space="0" w:color="auto"/>
                                                    <w:right w:val="none" w:sz="0" w:space="0" w:color="auto"/>
                                                  </w:divBdr>
                                                  <w:divsChild>
                                                    <w:div w:id="1210455838">
                                                      <w:marLeft w:val="0"/>
                                                      <w:marRight w:val="0"/>
                                                      <w:marTop w:val="0"/>
                                                      <w:marBottom w:val="0"/>
                                                      <w:divBdr>
                                                        <w:top w:val="none" w:sz="0" w:space="0" w:color="auto"/>
                                                        <w:left w:val="none" w:sz="0" w:space="0" w:color="auto"/>
                                                        <w:bottom w:val="none" w:sz="0" w:space="0" w:color="auto"/>
                                                        <w:right w:val="none" w:sz="0" w:space="0" w:color="auto"/>
                                                      </w:divBdr>
                                                      <w:divsChild>
                                                        <w:div w:id="75518401">
                                                          <w:marLeft w:val="0"/>
                                                          <w:marRight w:val="0"/>
                                                          <w:marTop w:val="0"/>
                                                          <w:marBottom w:val="200"/>
                                                          <w:divBdr>
                                                            <w:top w:val="none" w:sz="0" w:space="0" w:color="auto"/>
                                                            <w:left w:val="none" w:sz="0" w:space="0" w:color="auto"/>
                                                            <w:bottom w:val="none" w:sz="0" w:space="0" w:color="auto"/>
                                                            <w:right w:val="none" w:sz="0" w:space="0" w:color="auto"/>
                                                          </w:divBdr>
                                                        </w:div>
                                                        <w:div w:id="492648682">
                                                          <w:marLeft w:val="0"/>
                                                          <w:marRight w:val="0"/>
                                                          <w:marTop w:val="0"/>
                                                          <w:marBottom w:val="200"/>
                                                          <w:divBdr>
                                                            <w:top w:val="none" w:sz="0" w:space="0" w:color="auto"/>
                                                            <w:left w:val="none" w:sz="0" w:space="0" w:color="auto"/>
                                                            <w:bottom w:val="none" w:sz="0" w:space="0" w:color="auto"/>
                                                            <w:right w:val="none" w:sz="0" w:space="0" w:color="auto"/>
                                                          </w:divBdr>
                                                        </w:div>
                                                        <w:div w:id="1217932400">
                                                          <w:marLeft w:val="0"/>
                                                          <w:marRight w:val="0"/>
                                                          <w:marTop w:val="0"/>
                                                          <w:marBottom w:val="200"/>
                                                          <w:divBdr>
                                                            <w:top w:val="none" w:sz="0" w:space="0" w:color="auto"/>
                                                            <w:left w:val="none" w:sz="0" w:space="0" w:color="auto"/>
                                                            <w:bottom w:val="none" w:sz="0" w:space="0" w:color="auto"/>
                                                            <w:right w:val="none" w:sz="0" w:space="0" w:color="auto"/>
                                                          </w:divBdr>
                                                        </w:div>
                                                        <w:div w:id="1619871689">
                                                          <w:marLeft w:val="0"/>
                                                          <w:marRight w:val="0"/>
                                                          <w:marTop w:val="0"/>
                                                          <w:marBottom w:val="200"/>
                                                          <w:divBdr>
                                                            <w:top w:val="none" w:sz="0" w:space="0" w:color="auto"/>
                                                            <w:left w:val="none" w:sz="0" w:space="0" w:color="auto"/>
                                                            <w:bottom w:val="none" w:sz="0" w:space="0" w:color="auto"/>
                                                            <w:right w:val="none" w:sz="0" w:space="0" w:color="auto"/>
                                                          </w:divBdr>
                                                        </w:div>
                                                        <w:div w:id="1633517278">
                                                          <w:marLeft w:val="0"/>
                                                          <w:marRight w:val="0"/>
                                                          <w:marTop w:val="0"/>
                                                          <w:marBottom w:val="200"/>
                                                          <w:divBdr>
                                                            <w:top w:val="none" w:sz="0" w:space="0" w:color="auto"/>
                                                            <w:left w:val="none" w:sz="0" w:space="0" w:color="auto"/>
                                                            <w:bottom w:val="none" w:sz="0" w:space="0" w:color="auto"/>
                                                            <w:right w:val="none" w:sz="0" w:space="0" w:color="auto"/>
                                                          </w:divBdr>
                                                        </w:div>
                                                        <w:div w:id="1937637542">
                                                          <w:marLeft w:val="0"/>
                                                          <w:marRight w:val="0"/>
                                                          <w:marTop w:val="0"/>
                                                          <w:marBottom w:val="200"/>
                                                          <w:divBdr>
                                                            <w:top w:val="none" w:sz="0" w:space="0" w:color="auto"/>
                                                            <w:left w:val="none" w:sz="0" w:space="0" w:color="auto"/>
                                                            <w:bottom w:val="none" w:sz="0" w:space="0" w:color="auto"/>
                                                            <w:right w:val="none" w:sz="0" w:space="0" w:color="auto"/>
                                                          </w:divBdr>
                                                        </w:div>
                                                        <w:div w:id="199663984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500174">
      <w:bodyDiv w:val="1"/>
      <w:marLeft w:val="0"/>
      <w:marRight w:val="0"/>
      <w:marTop w:val="0"/>
      <w:marBottom w:val="0"/>
      <w:divBdr>
        <w:top w:val="none" w:sz="0" w:space="0" w:color="auto"/>
        <w:left w:val="none" w:sz="0" w:space="0" w:color="auto"/>
        <w:bottom w:val="none" w:sz="0" w:space="0" w:color="auto"/>
        <w:right w:val="none" w:sz="0" w:space="0" w:color="auto"/>
      </w:divBdr>
      <w:divsChild>
        <w:div w:id="1567690899">
          <w:marLeft w:val="0"/>
          <w:marRight w:val="0"/>
          <w:marTop w:val="0"/>
          <w:marBottom w:val="0"/>
          <w:divBdr>
            <w:top w:val="none" w:sz="0" w:space="0" w:color="auto"/>
            <w:left w:val="none" w:sz="0" w:space="0" w:color="auto"/>
            <w:bottom w:val="none" w:sz="0" w:space="0" w:color="auto"/>
            <w:right w:val="none" w:sz="0" w:space="0" w:color="auto"/>
          </w:divBdr>
          <w:divsChild>
            <w:div w:id="1646468924">
              <w:marLeft w:val="0"/>
              <w:marRight w:val="0"/>
              <w:marTop w:val="0"/>
              <w:marBottom w:val="0"/>
              <w:divBdr>
                <w:top w:val="none" w:sz="0" w:space="0" w:color="auto"/>
                <w:left w:val="none" w:sz="0" w:space="0" w:color="auto"/>
                <w:bottom w:val="none" w:sz="0" w:space="0" w:color="auto"/>
                <w:right w:val="none" w:sz="0" w:space="0" w:color="auto"/>
              </w:divBdr>
              <w:divsChild>
                <w:div w:id="20590484">
                  <w:marLeft w:val="0"/>
                  <w:marRight w:val="0"/>
                  <w:marTop w:val="0"/>
                  <w:marBottom w:val="0"/>
                  <w:divBdr>
                    <w:top w:val="none" w:sz="0" w:space="0" w:color="auto"/>
                    <w:left w:val="none" w:sz="0" w:space="0" w:color="auto"/>
                    <w:bottom w:val="none" w:sz="0" w:space="0" w:color="auto"/>
                    <w:right w:val="none" w:sz="0" w:space="0" w:color="auto"/>
                  </w:divBdr>
                  <w:divsChild>
                    <w:div w:id="1724518247">
                      <w:marLeft w:val="0"/>
                      <w:marRight w:val="0"/>
                      <w:marTop w:val="0"/>
                      <w:marBottom w:val="0"/>
                      <w:divBdr>
                        <w:top w:val="none" w:sz="0" w:space="0" w:color="auto"/>
                        <w:left w:val="none" w:sz="0" w:space="0" w:color="auto"/>
                        <w:bottom w:val="none" w:sz="0" w:space="0" w:color="auto"/>
                        <w:right w:val="none" w:sz="0" w:space="0" w:color="auto"/>
                      </w:divBdr>
                      <w:divsChild>
                        <w:div w:id="2009287071">
                          <w:marLeft w:val="0"/>
                          <w:marRight w:val="0"/>
                          <w:marTop w:val="0"/>
                          <w:marBottom w:val="0"/>
                          <w:divBdr>
                            <w:top w:val="none" w:sz="0" w:space="0" w:color="auto"/>
                            <w:left w:val="none" w:sz="0" w:space="0" w:color="auto"/>
                            <w:bottom w:val="none" w:sz="0" w:space="0" w:color="auto"/>
                            <w:right w:val="none" w:sz="0" w:space="0" w:color="auto"/>
                          </w:divBdr>
                          <w:divsChild>
                            <w:div w:id="271089542">
                              <w:marLeft w:val="0"/>
                              <w:marRight w:val="0"/>
                              <w:marTop w:val="0"/>
                              <w:marBottom w:val="0"/>
                              <w:divBdr>
                                <w:top w:val="none" w:sz="0" w:space="0" w:color="auto"/>
                                <w:left w:val="none" w:sz="0" w:space="0" w:color="auto"/>
                                <w:bottom w:val="none" w:sz="0" w:space="0" w:color="auto"/>
                                <w:right w:val="none" w:sz="0" w:space="0" w:color="auto"/>
                              </w:divBdr>
                              <w:divsChild>
                                <w:div w:id="789586790">
                                  <w:marLeft w:val="0"/>
                                  <w:marRight w:val="0"/>
                                  <w:marTop w:val="0"/>
                                  <w:marBottom w:val="0"/>
                                  <w:divBdr>
                                    <w:top w:val="none" w:sz="0" w:space="0" w:color="auto"/>
                                    <w:left w:val="none" w:sz="0" w:space="0" w:color="auto"/>
                                    <w:bottom w:val="none" w:sz="0" w:space="0" w:color="auto"/>
                                    <w:right w:val="none" w:sz="0" w:space="0" w:color="auto"/>
                                  </w:divBdr>
                                  <w:divsChild>
                                    <w:div w:id="639385198">
                                      <w:marLeft w:val="0"/>
                                      <w:marRight w:val="0"/>
                                      <w:marTop w:val="0"/>
                                      <w:marBottom w:val="0"/>
                                      <w:divBdr>
                                        <w:top w:val="none" w:sz="0" w:space="0" w:color="auto"/>
                                        <w:left w:val="none" w:sz="0" w:space="0" w:color="auto"/>
                                        <w:bottom w:val="none" w:sz="0" w:space="0" w:color="auto"/>
                                        <w:right w:val="none" w:sz="0" w:space="0" w:color="auto"/>
                                      </w:divBdr>
                                      <w:divsChild>
                                        <w:div w:id="1165318581">
                                          <w:marLeft w:val="0"/>
                                          <w:marRight w:val="0"/>
                                          <w:marTop w:val="0"/>
                                          <w:marBottom w:val="0"/>
                                          <w:divBdr>
                                            <w:top w:val="none" w:sz="0" w:space="0" w:color="auto"/>
                                            <w:left w:val="none" w:sz="0" w:space="0" w:color="auto"/>
                                            <w:bottom w:val="none" w:sz="0" w:space="0" w:color="auto"/>
                                            <w:right w:val="none" w:sz="0" w:space="0" w:color="auto"/>
                                          </w:divBdr>
                                          <w:divsChild>
                                            <w:div w:id="16739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800879">
      <w:bodyDiv w:val="1"/>
      <w:marLeft w:val="0"/>
      <w:marRight w:val="0"/>
      <w:marTop w:val="0"/>
      <w:marBottom w:val="0"/>
      <w:divBdr>
        <w:top w:val="none" w:sz="0" w:space="0" w:color="auto"/>
        <w:left w:val="none" w:sz="0" w:space="0" w:color="auto"/>
        <w:bottom w:val="none" w:sz="0" w:space="0" w:color="auto"/>
        <w:right w:val="none" w:sz="0" w:space="0" w:color="auto"/>
      </w:divBdr>
      <w:divsChild>
        <w:div w:id="238516135">
          <w:marLeft w:val="0"/>
          <w:marRight w:val="0"/>
          <w:marTop w:val="0"/>
          <w:marBottom w:val="0"/>
          <w:divBdr>
            <w:top w:val="none" w:sz="0" w:space="0" w:color="auto"/>
            <w:left w:val="none" w:sz="0" w:space="0" w:color="auto"/>
            <w:bottom w:val="none" w:sz="0" w:space="0" w:color="auto"/>
            <w:right w:val="none" w:sz="0" w:space="0" w:color="auto"/>
          </w:divBdr>
          <w:divsChild>
            <w:div w:id="646789278">
              <w:marLeft w:val="0"/>
              <w:marRight w:val="0"/>
              <w:marTop w:val="0"/>
              <w:marBottom w:val="0"/>
              <w:divBdr>
                <w:top w:val="none" w:sz="0" w:space="0" w:color="auto"/>
                <w:left w:val="none" w:sz="0" w:space="0" w:color="auto"/>
                <w:bottom w:val="none" w:sz="0" w:space="0" w:color="auto"/>
                <w:right w:val="none" w:sz="0" w:space="0" w:color="auto"/>
              </w:divBdr>
              <w:divsChild>
                <w:div w:id="702829101">
                  <w:marLeft w:val="0"/>
                  <w:marRight w:val="0"/>
                  <w:marTop w:val="0"/>
                  <w:marBottom w:val="0"/>
                  <w:divBdr>
                    <w:top w:val="none" w:sz="0" w:space="0" w:color="auto"/>
                    <w:left w:val="none" w:sz="0" w:space="0" w:color="auto"/>
                    <w:bottom w:val="none" w:sz="0" w:space="0" w:color="auto"/>
                    <w:right w:val="none" w:sz="0" w:space="0" w:color="auto"/>
                  </w:divBdr>
                  <w:divsChild>
                    <w:div w:id="660888470">
                      <w:marLeft w:val="0"/>
                      <w:marRight w:val="0"/>
                      <w:marTop w:val="0"/>
                      <w:marBottom w:val="0"/>
                      <w:divBdr>
                        <w:top w:val="none" w:sz="0" w:space="0" w:color="auto"/>
                        <w:left w:val="none" w:sz="0" w:space="0" w:color="auto"/>
                        <w:bottom w:val="none" w:sz="0" w:space="0" w:color="auto"/>
                        <w:right w:val="none" w:sz="0" w:space="0" w:color="auto"/>
                      </w:divBdr>
                      <w:divsChild>
                        <w:div w:id="111557874">
                          <w:marLeft w:val="0"/>
                          <w:marRight w:val="0"/>
                          <w:marTop w:val="0"/>
                          <w:marBottom w:val="0"/>
                          <w:divBdr>
                            <w:top w:val="none" w:sz="0" w:space="0" w:color="auto"/>
                            <w:left w:val="none" w:sz="0" w:space="0" w:color="auto"/>
                            <w:bottom w:val="none" w:sz="0" w:space="0" w:color="auto"/>
                            <w:right w:val="none" w:sz="0" w:space="0" w:color="auto"/>
                          </w:divBdr>
                          <w:divsChild>
                            <w:div w:id="167184294">
                              <w:marLeft w:val="0"/>
                              <w:marRight w:val="0"/>
                              <w:marTop w:val="0"/>
                              <w:marBottom w:val="0"/>
                              <w:divBdr>
                                <w:top w:val="none" w:sz="0" w:space="0" w:color="auto"/>
                                <w:left w:val="none" w:sz="0" w:space="0" w:color="auto"/>
                                <w:bottom w:val="none" w:sz="0" w:space="0" w:color="auto"/>
                                <w:right w:val="none" w:sz="0" w:space="0" w:color="auto"/>
                              </w:divBdr>
                              <w:divsChild>
                                <w:div w:id="282618891">
                                  <w:marLeft w:val="0"/>
                                  <w:marRight w:val="0"/>
                                  <w:marTop w:val="0"/>
                                  <w:marBottom w:val="0"/>
                                  <w:divBdr>
                                    <w:top w:val="none" w:sz="0" w:space="0" w:color="auto"/>
                                    <w:left w:val="none" w:sz="0" w:space="0" w:color="auto"/>
                                    <w:bottom w:val="none" w:sz="0" w:space="0" w:color="auto"/>
                                    <w:right w:val="none" w:sz="0" w:space="0" w:color="auto"/>
                                  </w:divBdr>
                                  <w:divsChild>
                                    <w:div w:id="653069934">
                                      <w:marLeft w:val="0"/>
                                      <w:marRight w:val="0"/>
                                      <w:marTop w:val="0"/>
                                      <w:marBottom w:val="0"/>
                                      <w:divBdr>
                                        <w:top w:val="none" w:sz="0" w:space="0" w:color="auto"/>
                                        <w:left w:val="none" w:sz="0" w:space="0" w:color="auto"/>
                                        <w:bottom w:val="none" w:sz="0" w:space="0" w:color="auto"/>
                                        <w:right w:val="none" w:sz="0" w:space="0" w:color="auto"/>
                                      </w:divBdr>
                                      <w:divsChild>
                                        <w:div w:id="150100832">
                                          <w:marLeft w:val="0"/>
                                          <w:marRight w:val="0"/>
                                          <w:marTop w:val="0"/>
                                          <w:marBottom w:val="0"/>
                                          <w:divBdr>
                                            <w:top w:val="none" w:sz="0" w:space="0" w:color="auto"/>
                                            <w:left w:val="none" w:sz="0" w:space="0" w:color="auto"/>
                                            <w:bottom w:val="none" w:sz="0" w:space="0" w:color="auto"/>
                                            <w:right w:val="none" w:sz="0" w:space="0" w:color="auto"/>
                                          </w:divBdr>
                                          <w:divsChild>
                                            <w:div w:id="1446189445">
                                              <w:marLeft w:val="0"/>
                                              <w:marRight w:val="0"/>
                                              <w:marTop w:val="0"/>
                                              <w:marBottom w:val="0"/>
                                              <w:divBdr>
                                                <w:top w:val="none" w:sz="0" w:space="0" w:color="auto"/>
                                                <w:left w:val="none" w:sz="0" w:space="0" w:color="auto"/>
                                                <w:bottom w:val="none" w:sz="0" w:space="0" w:color="auto"/>
                                                <w:right w:val="none" w:sz="0" w:space="0" w:color="auto"/>
                                              </w:divBdr>
                                              <w:divsChild>
                                                <w:div w:id="974725838">
                                                  <w:marLeft w:val="0"/>
                                                  <w:marRight w:val="0"/>
                                                  <w:marTop w:val="0"/>
                                                  <w:marBottom w:val="0"/>
                                                  <w:divBdr>
                                                    <w:top w:val="none" w:sz="0" w:space="0" w:color="auto"/>
                                                    <w:left w:val="none" w:sz="0" w:space="0" w:color="auto"/>
                                                    <w:bottom w:val="none" w:sz="0" w:space="0" w:color="auto"/>
                                                    <w:right w:val="none" w:sz="0" w:space="0" w:color="auto"/>
                                                  </w:divBdr>
                                                  <w:divsChild>
                                                    <w:div w:id="1602686238">
                                                      <w:marLeft w:val="0"/>
                                                      <w:marRight w:val="0"/>
                                                      <w:marTop w:val="0"/>
                                                      <w:marBottom w:val="0"/>
                                                      <w:divBdr>
                                                        <w:top w:val="none" w:sz="0" w:space="0" w:color="auto"/>
                                                        <w:left w:val="none" w:sz="0" w:space="0" w:color="auto"/>
                                                        <w:bottom w:val="none" w:sz="0" w:space="0" w:color="auto"/>
                                                        <w:right w:val="none" w:sz="0" w:space="0" w:color="auto"/>
                                                      </w:divBdr>
                                                      <w:divsChild>
                                                        <w:div w:id="1515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5ED010B465230C49B07C0D8CC6E1250D" ma:contentTypeVersion="8" ma:contentTypeDescription="Ddocs' Word Content Type" ma:contentTypeScope="" ma:versionID="8e9a51321d8d1b88e973843e88b741b2">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9332dc1017e9851924dfa2e60aeac62c"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EA762-67A4-4BCC-B5BA-DE3E510C00B6}">
  <ds:schemaRefs>
    <ds:schemaRef ds:uri="office.server.policy"/>
  </ds:schemaRefs>
</ds:datastoreItem>
</file>

<file path=customXml/itemProps2.xml><?xml version="1.0" encoding="utf-8"?>
<ds:datastoreItem xmlns:ds="http://schemas.openxmlformats.org/officeDocument/2006/customXml" ds:itemID="{CA468951-20A4-4D8F-999B-328F79C2CA22}">
  <ds:schemaRefs>
    <ds:schemaRef ds:uri="http://schemas.microsoft.com/sharepoint/events"/>
  </ds:schemaRefs>
</ds:datastoreItem>
</file>

<file path=customXml/itemProps3.xml><?xml version="1.0" encoding="utf-8"?>
<ds:datastoreItem xmlns:ds="http://schemas.openxmlformats.org/officeDocument/2006/customXml" ds:itemID="{D4A24A17-27F9-483E-858D-4FB8A0A485BA}">
  <ds:schemaRefs>
    <ds:schemaRef ds:uri="http://www.w3.org/XML/1998/namespace"/>
    <ds:schemaRef ds:uri="http://purl.org/dc/dcmitype/"/>
    <ds:schemaRef ds:uri="http://schemas.microsoft.com/office/2006/documentManagement/types"/>
    <ds:schemaRef ds:uri="http://purl.org/dc/elements/1.1/"/>
    <ds:schemaRef ds:uri="aa4207c7-5642-493f-9786-e265201cbb14"/>
    <ds:schemaRef ds:uri="http://schemas.openxmlformats.org/package/2006/metadata/core-properties"/>
    <ds:schemaRef ds:uri="http://schemas.microsoft.com/sharepoint/v3/field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C279096-13C7-42EF-8676-B0BA64FB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EFD2A-DA1A-4CE1-B102-236039DD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91C0B296.dotm</Template>
  <TotalTime>0</TotalTime>
  <Pages>44</Pages>
  <Words>16332</Words>
  <Characters>93093</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2015-02-25T00:12:00Z</dcterms:created>
  <dcterms:modified xsi:type="dcterms:W3CDTF">2015-02-27T00:33:00Z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0x0101009EDC4876AF524A70BD125A9D2C0D191E0C005ED010B465230C49B07C0D8CC6E1250D</vt:lpwstr>
  </property>
  <property fmtid="{D5CDD505-2E9C-101B-9397-08002B2CF9AE}" pid="4" name="ItemRetentionFormula">
    <vt:lpwstr/>
  </property>
</Properties>
</file>