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5D7" w:rsidRDefault="0036086D" w:rsidP="001225D7">
      <w:r>
        <w:t>The Hon. J. B. Hockey MP</w:t>
      </w:r>
    </w:p>
    <w:p w:rsidR="001225D7" w:rsidRDefault="0036086D" w:rsidP="001225D7">
      <w:r>
        <w:t>Treasurer</w:t>
      </w:r>
    </w:p>
    <w:p w:rsidR="001225D7" w:rsidRDefault="00143F6A" w:rsidP="001225D7"/>
    <w:p w:rsidR="001225D7" w:rsidRDefault="0036086D" w:rsidP="001225D7">
      <w:r>
        <w:t xml:space="preserve">Sen. the Hon. Mathias </w:t>
      </w:r>
      <w:proofErr w:type="spellStart"/>
      <w:r>
        <w:t>Cormann</w:t>
      </w:r>
      <w:proofErr w:type="spellEnd"/>
    </w:p>
    <w:p w:rsidR="001225D7" w:rsidRDefault="0036086D" w:rsidP="001225D7">
      <w:r>
        <w:t>Minister for Finance</w:t>
      </w:r>
    </w:p>
    <w:p w:rsidR="001225D7" w:rsidRDefault="00143F6A" w:rsidP="001225D7"/>
    <w:p w:rsidR="001225D7" w:rsidRDefault="007F0386" w:rsidP="001225D7">
      <w:r w:rsidRPr="007F0386">
        <w:t>3</w:t>
      </w:r>
      <w:r w:rsidR="0036086D" w:rsidRPr="007F0386">
        <w:t xml:space="preserve"> December</w:t>
      </w:r>
      <w:r w:rsidR="0036086D">
        <w:t xml:space="preserve"> 2014</w:t>
      </w:r>
    </w:p>
    <w:p w:rsidR="001225D7" w:rsidRDefault="00143F6A" w:rsidP="001225D7"/>
    <w:p w:rsidR="001225D7" w:rsidRDefault="0036086D" w:rsidP="001225D7">
      <w:r>
        <w:t>Dear Ministers</w:t>
      </w:r>
    </w:p>
    <w:p w:rsidR="001225D7" w:rsidRDefault="00143F6A" w:rsidP="001225D7"/>
    <w:p w:rsidR="001225D7" w:rsidRDefault="0036086D" w:rsidP="001225D7">
      <w:r>
        <w:t xml:space="preserve">Thank you for your correspondence of 28 October 2014 (received 6 November 2014) in which you provided a draft </w:t>
      </w:r>
      <w:r w:rsidRPr="00205DD2">
        <w:rPr>
          <w:i/>
        </w:rPr>
        <w:t>Clean Energy Finance Corporation (Investment Mandate) Direction 2014</w:t>
      </w:r>
      <w:r>
        <w:t xml:space="preserve"> (‘draft </w:t>
      </w:r>
      <w:r w:rsidR="00207349">
        <w:t>proposed</w:t>
      </w:r>
      <w:r>
        <w:t xml:space="preserve"> mandate’). </w:t>
      </w:r>
    </w:p>
    <w:p w:rsidR="001225D7" w:rsidRDefault="00143F6A" w:rsidP="001225D7"/>
    <w:p w:rsidR="00A95143" w:rsidRPr="00A95143" w:rsidRDefault="0036086D" w:rsidP="00A95143">
      <w:r>
        <w:t xml:space="preserve">Thank you also for the opportunity of our recent meeting with Minister </w:t>
      </w:r>
      <w:proofErr w:type="spellStart"/>
      <w:r>
        <w:t>Cormann</w:t>
      </w:r>
      <w:proofErr w:type="spellEnd"/>
      <w:r>
        <w:t xml:space="preserve"> and officials of 25 November 2014 to discuss the draft </w:t>
      </w:r>
      <w:r w:rsidR="002E0D4A">
        <w:t>proposed</w:t>
      </w:r>
      <w:r>
        <w:t xml:space="preserve"> mandate</w:t>
      </w:r>
      <w:r w:rsidR="007F0386">
        <w:t xml:space="preserve"> and the one week extension of time to provide our response</w:t>
      </w:r>
      <w:r w:rsidR="00A95143">
        <w:t xml:space="preserve">. </w:t>
      </w:r>
      <w:r w:rsidR="00A95143" w:rsidRPr="00A95143">
        <w:t xml:space="preserve">We </w:t>
      </w:r>
      <w:r w:rsidR="00A95143" w:rsidRPr="00A95143">
        <w:lastRenderedPageBreak/>
        <w:t xml:space="preserve">note, and as was affirmed in the meeting with Minister </w:t>
      </w:r>
      <w:proofErr w:type="spellStart"/>
      <w:r w:rsidR="00A95143" w:rsidRPr="00A95143">
        <w:t>Cormann</w:t>
      </w:r>
      <w:proofErr w:type="spellEnd"/>
      <w:r w:rsidR="00A95143" w:rsidRPr="00A95143">
        <w:t xml:space="preserve">, that </w:t>
      </w:r>
      <w:r w:rsidR="000016DF">
        <w:t xml:space="preserve">you have </w:t>
      </w:r>
      <w:r w:rsidR="00A95143" w:rsidRPr="00A95143">
        <w:t>draft</w:t>
      </w:r>
      <w:r w:rsidR="000016DF">
        <w:t>ed</w:t>
      </w:r>
      <w:r w:rsidR="00A95143" w:rsidRPr="00A95143">
        <w:t xml:space="preserve"> </w:t>
      </w:r>
      <w:r w:rsidR="00207349">
        <w:t>the proposed</w:t>
      </w:r>
      <w:r w:rsidR="00A95143" w:rsidRPr="00A95143">
        <w:t xml:space="preserve"> mandate with the objective of minimis</w:t>
      </w:r>
      <w:r w:rsidR="000016DF">
        <w:t>ing</w:t>
      </w:r>
      <w:r w:rsidR="00A95143" w:rsidRPr="00A95143">
        <w:t xml:space="preserve"> exposure risk of taxpayers</w:t>
      </w:r>
      <w:r w:rsidR="00E40AD0">
        <w:t>’</w:t>
      </w:r>
      <w:r w:rsidR="00A95143" w:rsidRPr="00A95143">
        <w:t xml:space="preserve"> funds in transition to </w:t>
      </w:r>
      <w:r w:rsidR="000016DF">
        <w:t xml:space="preserve">the </w:t>
      </w:r>
      <w:r w:rsidR="00A95143" w:rsidRPr="00A95143">
        <w:t xml:space="preserve">realisation of the Australian Government’s objective to abolish the CEFC. </w:t>
      </w:r>
    </w:p>
    <w:p w:rsidR="001225D7" w:rsidRDefault="00143F6A" w:rsidP="001225D7"/>
    <w:p w:rsidR="00207349" w:rsidRDefault="0036086D" w:rsidP="001225D7">
      <w:r>
        <w:t>The Clean Energy Finance Corporation (</w:t>
      </w:r>
      <w:r w:rsidRPr="00C354CA">
        <w:t>CEFC</w:t>
      </w:r>
      <w:r>
        <w:t xml:space="preserve">) stands ready to assist in achieving the Australian Government’s objectives, in so far as they are consistent with the </w:t>
      </w:r>
      <w:r w:rsidR="00F37A3C">
        <w:t xml:space="preserve">CEFC </w:t>
      </w:r>
      <w:r w:rsidRPr="0002780C">
        <w:t>Act</w:t>
      </w:r>
      <w:r>
        <w:t xml:space="preserve">. </w:t>
      </w:r>
      <w:r w:rsidR="00E40AD0">
        <w:t xml:space="preserve"> </w:t>
      </w:r>
      <w:r w:rsidR="00E968B1">
        <w:t xml:space="preserve">The Board shares the objective of protecting and minimizing risk exposure in the investment of public funds.  </w:t>
      </w:r>
    </w:p>
    <w:p w:rsidR="00207349" w:rsidRDefault="00207349" w:rsidP="001225D7"/>
    <w:p w:rsidR="00013C0A" w:rsidRDefault="00207349" w:rsidP="001225D7">
      <w:r>
        <w:t xml:space="preserve">The stated object of the CEFC Act </w:t>
      </w:r>
      <w:r w:rsidR="00F37A3C">
        <w:t xml:space="preserve">under Section 3 </w:t>
      </w:r>
      <w:r>
        <w:t>is “to facilitate increased flows of finance into the clean energy sector”</w:t>
      </w:r>
      <w:r w:rsidR="00F37A3C">
        <w:t>.</w:t>
      </w:r>
      <w:r>
        <w:t xml:space="preserve">  In line with this object, </w:t>
      </w:r>
      <w:r w:rsidR="00E968B1">
        <w:t>the CEFC has pursued its investment func</w:t>
      </w:r>
      <w:r w:rsidR="007F0890">
        <w:t xml:space="preserve">tion applying commercial rigour, </w:t>
      </w:r>
      <w:r w:rsidR="00DB7CD7">
        <w:t xml:space="preserve">to </w:t>
      </w:r>
      <w:r w:rsidR="00DB7CD7" w:rsidRPr="00DB7CD7">
        <w:t>invest responsibly and manage risk prudently</w:t>
      </w:r>
      <w:r w:rsidR="008E6410">
        <w:t>,</w:t>
      </w:r>
      <w:r w:rsidR="00C530D7">
        <w:t xml:space="preserve"> </w:t>
      </w:r>
      <w:r w:rsidR="007F0890">
        <w:t>ut</w:t>
      </w:r>
      <w:r w:rsidR="00C530D7">
        <w:t>i</w:t>
      </w:r>
      <w:r w:rsidR="007F0890">
        <w:t>lising a robust, commercial risk management approach</w:t>
      </w:r>
      <w:r w:rsidR="00013C0A">
        <w:t>.</w:t>
      </w:r>
      <w:r>
        <w:t xml:space="preserve"> We have sought to minimise risk through a diverse spread of investments in terms of industry, geography and counterparty </w:t>
      </w:r>
      <w:r w:rsidR="00F37A3C">
        <w:t>with</w:t>
      </w:r>
      <w:r>
        <w:t xml:space="preserve">in the small universe in which the CEFC is permitted to invest. </w:t>
      </w:r>
    </w:p>
    <w:p w:rsidR="00013C0A" w:rsidRDefault="00013C0A" w:rsidP="001225D7"/>
    <w:p w:rsidR="008C4B03" w:rsidRDefault="0036086D" w:rsidP="001225D7">
      <w:r>
        <w:t xml:space="preserve">We have reviewed the draft </w:t>
      </w:r>
      <w:r w:rsidR="00207349">
        <w:t>proposed</w:t>
      </w:r>
      <w:r>
        <w:t xml:space="preserve"> mandate, and note it requires the CEFC to </w:t>
      </w:r>
      <w:r w:rsidR="00DB7CD7">
        <w:t xml:space="preserve">maintain its existing level of portfolio </w:t>
      </w:r>
      <w:r w:rsidR="00DA3D53">
        <w:t xml:space="preserve">risk while </w:t>
      </w:r>
      <w:r>
        <w:t>target</w:t>
      </w:r>
      <w:r w:rsidR="00DA3D53">
        <w:t>ing</w:t>
      </w:r>
      <w:r>
        <w:t xml:space="preserve"> a </w:t>
      </w:r>
      <w:r w:rsidR="00DA3D53">
        <w:t xml:space="preserve">significantly </w:t>
      </w:r>
      <w:r>
        <w:t xml:space="preserve">higher investment return. </w:t>
      </w:r>
      <w:r w:rsidR="0000647B">
        <w:t>This would be</w:t>
      </w:r>
      <w:r w:rsidR="00013C0A">
        <w:t xml:space="preserve"> </w:t>
      </w:r>
      <w:r w:rsidR="0000647B">
        <w:t xml:space="preserve">challenging </w:t>
      </w:r>
      <w:r>
        <w:t>to achieve in any financial market</w:t>
      </w:r>
      <w:r w:rsidR="00DA3D53">
        <w:t>. It require</w:t>
      </w:r>
      <w:r w:rsidR="004D0204">
        <w:t>s</w:t>
      </w:r>
      <w:r w:rsidR="00DA3D53">
        <w:t xml:space="preserve"> the </w:t>
      </w:r>
      <w:r w:rsidR="00013C0A">
        <w:t>CEFC</w:t>
      </w:r>
      <w:r w:rsidR="0017544C">
        <w:t xml:space="preserve"> </w:t>
      </w:r>
      <w:r>
        <w:t>to seek out additional investments that are outside market norms</w:t>
      </w:r>
      <w:r w:rsidR="00013C0A">
        <w:t>,</w:t>
      </w:r>
      <w:r w:rsidR="00DA3D53">
        <w:t xml:space="preserve"> </w:t>
      </w:r>
      <w:r w:rsidR="00DA3D53" w:rsidRPr="00DA3D53">
        <w:t xml:space="preserve">in addition to </w:t>
      </w:r>
      <w:r w:rsidR="00DA3D53">
        <w:t xml:space="preserve">carrying on </w:t>
      </w:r>
      <w:r w:rsidR="00DA3D53" w:rsidRPr="00DA3D53">
        <w:t>its existing investment activities</w:t>
      </w:r>
      <w:r>
        <w:t>.</w:t>
      </w:r>
      <w:r w:rsidR="00207349">
        <w:t xml:space="preserve"> The Board has a concern that your new proposed investment mandate </w:t>
      </w:r>
      <w:r w:rsidR="00F37A3C">
        <w:t>is likely to</w:t>
      </w:r>
      <w:r w:rsidR="00207349">
        <w:t xml:space="preserve"> prove to be inconsistent with the object of the CEFC Act. </w:t>
      </w:r>
    </w:p>
    <w:p w:rsidR="009D5186" w:rsidRDefault="00143F6A" w:rsidP="001225D7"/>
    <w:p w:rsidR="00013C0A" w:rsidRDefault="0036086D" w:rsidP="00013C0A">
      <w:r>
        <w:t xml:space="preserve">As you will be aware from the </w:t>
      </w:r>
      <w:r w:rsidRPr="002F25F3">
        <w:rPr>
          <w:i/>
        </w:rPr>
        <w:t>2013-14 Annual Report of the Clean Energy Finance Corporation</w:t>
      </w:r>
      <w:r>
        <w:t xml:space="preserve"> the CEFC’s current portfolio of investments consists largely of senior debt and has an overall shadow credit rating of BB. </w:t>
      </w:r>
      <w:r w:rsidR="00013C0A" w:rsidRPr="00013C0A">
        <w:t xml:space="preserve"> The CEFC’s portfolio reflects </w:t>
      </w:r>
      <w:r w:rsidR="00197C9B">
        <w:t>t</w:t>
      </w:r>
      <w:r w:rsidR="00013C0A" w:rsidRPr="00013C0A">
        <w:t>he fact that we are a specialised,</w:t>
      </w:r>
      <w:r w:rsidR="00013C0A">
        <w:t xml:space="preserve"> </w:t>
      </w:r>
      <w:r w:rsidR="00013C0A" w:rsidRPr="00013C0A">
        <w:t xml:space="preserve">sector-focused institution. </w:t>
      </w:r>
      <w:r w:rsidR="004D0204">
        <w:t xml:space="preserve">Our focus to date has been on catalysing private financiers’ participation, and as </w:t>
      </w:r>
      <w:r w:rsidR="00013C0A" w:rsidRPr="00013C0A">
        <w:t xml:space="preserve">such, the CEFC’s investments exhibit a credit profile which matches those held by private sector banks active in providing such facilities. </w:t>
      </w:r>
    </w:p>
    <w:p w:rsidR="00013C0A" w:rsidRPr="00013C0A" w:rsidRDefault="00013C0A" w:rsidP="00013C0A"/>
    <w:p w:rsidR="009D5186" w:rsidRDefault="0036086D" w:rsidP="009134C3">
      <w:pPr>
        <w:ind w:right="-710"/>
      </w:pPr>
      <w:r>
        <w:t>The average lifetime yield of th</w:t>
      </w:r>
      <w:r w:rsidR="00013C0A">
        <w:t>e CEFC’s</w:t>
      </w:r>
      <w:r>
        <w:t xml:space="preserve"> </w:t>
      </w:r>
      <w:r w:rsidR="006C03C0">
        <w:t xml:space="preserve">investment </w:t>
      </w:r>
      <w:r>
        <w:t xml:space="preserve">portfolio is presently 7% </w:t>
      </w:r>
      <w:r w:rsidRPr="00B15537">
        <w:rPr>
          <w:b/>
          <w:i/>
        </w:rPr>
        <w:t xml:space="preserve">before </w:t>
      </w:r>
      <w:r w:rsidRPr="00B15537">
        <w:rPr>
          <w:b/>
        </w:rPr>
        <w:t>operating costs</w:t>
      </w:r>
      <w:r>
        <w:t xml:space="preserve">. </w:t>
      </w:r>
      <w:r w:rsidR="00A95143" w:rsidRPr="00A95143">
        <w:t>The dr</w:t>
      </w:r>
      <w:r w:rsidR="00906BD3">
        <w:t xml:space="preserve">aft </w:t>
      </w:r>
      <w:r w:rsidR="009134C3">
        <w:t>proposed</w:t>
      </w:r>
      <w:r w:rsidR="00906BD3">
        <w:t xml:space="preserve"> mandate </w:t>
      </w:r>
      <w:r w:rsidR="009134C3">
        <w:t xml:space="preserve">would </w:t>
      </w:r>
      <w:r w:rsidR="00A95143" w:rsidRPr="00A95143">
        <w:t xml:space="preserve">increase the benchmark return to Consumer Price Index (CPI) plus 4.5-5.5 % </w:t>
      </w:r>
      <w:r w:rsidR="00A95143" w:rsidRPr="0048059A">
        <w:rPr>
          <w:b/>
          <w:i/>
        </w:rPr>
        <w:t>net</w:t>
      </w:r>
      <w:r w:rsidR="00A95143" w:rsidRPr="00B15537">
        <w:rPr>
          <w:b/>
        </w:rPr>
        <w:t xml:space="preserve"> of operating costs</w:t>
      </w:r>
      <w:r w:rsidR="00A95143" w:rsidRPr="00A95143">
        <w:t xml:space="preserve">. Based on </w:t>
      </w:r>
      <w:r w:rsidR="00F37A3C">
        <w:t xml:space="preserve">long-term </w:t>
      </w:r>
      <w:r w:rsidR="00A95143" w:rsidRPr="00A95143">
        <w:t xml:space="preserve">CPI of </w:t>
      </w:r>
      <w:r w:rsidR="00FA62B1">
        <w:t xml:space="preserve">approximately </w:t>
      </w:r>
      <w:r w:rsidR="00A95143" w:rsidRPr="00A95143">
        <w:t>2.</w:t>
      </w:r>
      <w:r w:rsidR="00F37A3C">
        <w:t>5</w:t>
      </w:r>
      <w:r w:rsidR="00A95143" w:rsidRPr="00A95143">
        <w:t xml:space="preserve">%, and assuming operating costs </w:t>
      </w:r>
      <w:r w:rsidR="00CC6D3B">
        <w:t>around</w:t>
      </w:r>
      <w:r w:rsidR="00A95143" w:rsidRPr="00A95143">
        <w:t xml:space="preserve"> 2% during portfolio establishment, th</w:t>
      </w:r>
      <w:r w:rsidR="00906BD3">
        <w:t>e</w:t>
      </w:r>
      <w:r w:rsidR="00A95143" w:rsidRPr="00A95143">
        <w:t xml:space="preserve"> </w:t>
      </w:r>
      <w:r w:rsidR="009134C3">
        <w:t>proposed</w:t>
      </w:r>
      <w:r w:rsidR="00A95143" w:rsidRPr="00A95143">
        <w:t xml:space="preserve"> mandate would </w:t>
      </w:r>
      <w:r w:rsidR="00906BD3">
        <w:t xml:space="preserve">increase the </w:t>
      </w:r>
      <w:r w:rsidR="00A95143" w:rsidRPr="00A95143">
        <w:t xml:space="preserve">target yield of the </w:t>
      </w:r>
      <w:r w:rsidR="00906BD3">
        <w:t xml:space="preserve">overall </w:t>
      </w:r>
      <w:r w:rsidR="00A95143" w:rsidRPr="00A95143">
        <w:t xml:space="preserve">portfolio to </w:t>
      </w:r>
      <w:r w:rsidR="00F37A3C">
        <w:t>9.0</w:t>
      </w:r>
      <w:r w:rsidR="00A95143" w:rsidRPr="00A95143">
        <w:t xml:space="preserve">% </w:t>
      </w:r>
      <w:r w:rsidR="00906BD3">
        <w:t xml:space="preserve">- </w:t>
      </w:r>
      <w:r w:rsidR="00F37A3C">
        <w:t>10.0</w:t>
      </w:r>
      <w:r w:rsidR="00A95143" w:rsidRPr="00A95143">
        <w:t>%.</w:t>
      </w:r>
      <w:r w:rsidR="00A95143">
        <w:t xml:space="preserve"> </w:t>
      </w:r>
      <w:r w:rsidR="00CC6D3B" w:rsidRPr="00CC6D3B">
        <w:t>This level of benchmark is commonly expected to generate negative returns approximately 4 out of every 20 years.</w:t>
      </w:r>
      <w:r w:rsidR="00CC6D3B">
        <w:t xml:space="preserve"> </w:t>
      </w:r>
      <w:r w:rsidR="00906BD3" w:rsidRPr="0094106E">
        <w:t xml:space="preserve">Given the </w:t>
      </w:r>
      <w:r w:rsidR="00CC6D3B">
        <w:t xml:space="preserve">CEFC’s </w:t>
      </w:r>
      <w:r w:rsidR="00906BD3" w:rsidRPr="0094106E">
        <w:t xml:space="preserve">existing </w:t>
      </w:r>
      <w:r w:rsidR="00610099">
        <w:t xml:space="preserve">investment </w:t>
      </w:r>
      <w:r w:rsidR="00906BD3" w:rsidRPr="0094106E">
        <w:t xml:space="preserve">portfolio </w:t>
      </w:r>
      <w:r w:rsidR="00610099">
        <w:t>has a lifetime yield well</w:t>
      </w:r>
      <w:r w:rsidR="00906BD3" w:rsidRPr="0094106E">
        <w:t xml:space="preserve"> below this </w:t>
      </w:r>
      <w:r w:rsidR="009134C3">
        <w:t xml:space="preserve">proposed </w:t>
      </w:r>
      <w:r w:rsidR="00906BD3" w:rsidRPr="0094106E">
        <w:t xml:space="preserve">new benchmark, to achieve the higher targeted rate of return on the </w:t>
      </w:r>
      <w:r w:rsidR="000C012D" w:rsidRPr="0094106E">
        <w:t>o</w:t>
      </w:r>
      <w:r w:rsidR="00906BD3" w:rsidRPr="0094106E">
        <w:t>verall portfolio, future CEFC investments would need returns significantly higher again</w:t>
      </w:r>
      <w:r w:rsidR="007F0386">
        <w:t>,</w:t>
      </w:r>
      <w:r w:rsidR="00906BD3" w:rsidRPr="0094106E">
        <w:t xml:space="preserve"> over and above the </w:t>
      </w:r>
      <w:r w:rsidR="007F0386">
        <w:t xml:space="preserve">proposed </w:t>
      </w:r>
      <w:r w:rsidR="00906BD3" w:rsidRPr="0094106E">
        <w:t>new benchmark.</w:t>
      </w:r>
      <w:r w:rsidR="00906BD3">
        <w:t xml:space="preserve"> </w:t>
      </w:r>
    </w:p>
    <w:p w:rsidR="009D5186" w:rsidRDefault="00143F6A" w:rsidP="001225D7"/>
    <w:p w:rsidR="0021504F" w:rsidRDefault="0036086D" w:rsidP="0021504F">
      <w:r>
        <w:t xml:space="preserve">We have attached a short paper that highlights why this </w:t>
      </w:r>
      <w:r w:rsidR="0000647B">
        <w:t xml:space="preserve">risk-return </w:t>
      </w:r>
      <w:r>
        <w:t>target is unlikely to be achieved</w:t>
      </w:r>
      <w:r w:rsidR="00F37A3C">
        <w:t xml:space="preserve">. </w:t>
      </w:r>
      <w:r w:rsidR="00B77C72">
        <w:t>This paper is supported by</w:t>
      </w:r>
      <w:r>
        <w:t xml:space="preserve"> independent analysis from Dr Steve Bishop and Professor Bob Officer which explains the observed correlation</w:t>
      </w:r>
      <w:r w:rsidR="00CC6D3B">
        <w:t xml:space="preserve"> </w:t>
      </w:r>
      <w:r>
        <w:t>between investment risk and return</w:t>
      </w:r>
      <w:r w:rsidR="00815454">
        <w:t>. This independent analysis confirms</w:t>
      </w:r>
      <w:r>
        <w:t xml:space="preserve"> that</w:t>
      </w:r>
      <w:r w:rsidR="00815454">
        <w:t>,</w:t>
      </w:r>
      <w:r>
        <w:t xml:space="preserve"> </w:t>
      </w:r>
      <w:r w:rsidR="00B77C72">
        <w:t xml:space="preserve">like any other investor, </w:t>
      </w:r>
      <w:r>
        <w:t xml:space="preserve">the CEFC would need to increase its risk exposure in order to achieve the increased returns specified under the draft </w:t>
      </w:r>
      <w:r w:rsidR="009F00FF">
        <w:t>proposed</w:t>
      </w:r>
      <w:r>
        <w:t xml:space="preserve"> mandate unless it can find </w:t>
      </w:r>
      <w:r w:rsidR="00B77C72">
        <w:t xml:space="preserve">a body of </w:t>
      </w:r>
      <w:r>
        <w:t>investments that demonstrate a risk</w:t>
      </w:r>
      <w:r w:rsidR="00B77C72">
        <w:t>-</w:t>
      </w:r>
      <w:r>
        <w:t xml:space="preserve">return profile </w:t>
      </w:r>
      <w:r w:rsidR="00107675">
        <w:t>inconsistent</w:t>
      </w:r>
      <w:r>
        <w:t xml:space="preserve"> with traditional market based princip</w:t>
      </w:r>
      <w:r w:rsidR="00B77C72">
        <w:t>les</w:t>
      </w:r>
      <w:r>
        <w:t xml:space="preserve"> </w:t>
      </w:r>
      <w:r w:rsidR="00B77C72">
        <w:t xml:space="preserve">to deliver </w:t>
      </w:r>
      <w:r>
        <w:t>out</w:t>
      </w:r>
      <w:r w:rsidR="00B77C72">
        <w:t>-</w:t>
      </w:r>
      <w:r>
        <w:t>of</w:t>
      </w:r>
      <w:r w:rsidR="00B77C72">
        <w:t>-</w:t>
      </w:r>
      <w:r>
        <w:t>market investment returns</w:t>
      </w:r>
      <w:r w:rsidR="00815454">
        <w:t>.</w:t>
      </w:r>
    </w:p>
    <w:p w:rsidR="00E40AD0" w:rsidRDefault="00E40AD0" w:rsidP="0021504F"/>
    <w:p w:rsidR="00E40AD0" w:rsidRPr="00E40AD0" w:rsidRDefault="00E40AD0" w:rsidP="009134C3">
      <w:pPr>
        <w:ind w:right="-285"/>
      </w:pPr>
      <w:r w:rsidRPr="007F0386">
        <w:t xml:space="preserve">We note the terms of the </w:t>
      </w:r>
      <w:r w:rsidR="00333AE3" w:rsidRPr="007F0386">
        <w:t xml:space="preserve">proposed </w:t>
      </w:r>
      <w:r w:rsidRPr="007F0386">
        <w:t xml:space="preserve">benchmark return follow those of the </w:t>
      </w:r>
      <w:r w:rsidRPr="007F0386">
        <w:rPr>
          <w:i/>
        </w:rPr>
        <w:t>Future Fund Investment Mandate Directions 2006</w:t>
      </w:r>
      <w:r w:rsidRPr="007F0386">
        <w:t xml:space="preserve">. Application of a CPI based index </w:t>
      </w:r>
      <w:r w:rsidR="00333AE3" w:rsidRPr="007F0386">
        <w:t>may be appropriate for the Future Fund</w:t>
      </w:r>
      <w:r w:rsidR="00584D46" w:rsidRPr="007F0386">
        <w:t xml:space="preserve">, </w:t>
      </w:r>
      <w:r w:rsidR="007F0386" w:rsidRPr="007F0386">
        <w:t xml:space="preserve">as it has </w:t>
      </w:r>
      <w:r w:rsidR="00584D46" w:rsidRPr="007F0386">
        <w:t>an unconstrained asset allocation and invests in equities, infrastructure and property, the earnings of which are broadly correlated with the CPI</w:t>
      </w:r>
      <w:r w:rsidR="00333AE3" w:rsidRPr="007F0386">
        <w:t>.  It is not appropriate for the CEFC</w:t>
      </w:r>
      <w:r w:rsidR="00584D46" w:rsidRPr="007F0386">
        <w:t>,</w:t>
      </w:r>
      <w:r w:rsidR="00333AE3" w:rsidRPr="007F0386">
        <w:t xml:space="preserve"> given </w:t>
      </w:r>
      <w:r w:rsidR="007F0386" w:rsidRPr="007F0386">
        <w:t>the object of the CEFC Act, with our</w:t>
      </w:r>
      <w:r w:rsidR="00584D46" w:rsidRPr="007F0386">
        <w:t xml:space="preserve"> constrained investment universe</w:t>
      </w:r>
      <w:r w:rsidR="00333AE3" w:rsidRPr="007F0386">
        <w:t xml:space="preserve"> </w:t>
      </w:r>
      <w:r w:rsidR="00584D46" w:rsidRPr="007F0386">
        <w:t xml:space="preserve">in the clean energy sector, </w:t>
      </w:r>
      <w:r w:rsidR="00610099">
        <w:t xml:space="preserve">the </w:t>
      </w:r>
      <w:r w:rsidR="009134C3">
        <w:t xml:space="preserve">proposed </w:t>
      </w:r>
      <w:r w:rsidR="00610099">
        <w:t xml:space="preserve">Mandate’s constraints on risk, </w:t>
      </w:r>
      <w:r w:rsidR="00333AE3" w:rsidRPr="007F0386">
        <w:t xml:space="preserve">and </w:t>
      </w:r>
      <w:r w:rsidR="00584D46" w:rsidRPr="007F0386">
        <w:t xml:space="preserve">our </w:t>
      </w:r>
      <w:r w:rsidR="00FA62B1" w:rsidRPr="007F0386">
        <w:t>focus</w:t>
      </w:r>
      <w:r w:rsidRPr="007F0386">
        <w:t xml:space="preserve"> </w:t>
      </w:r>
      <w:r w:rsidR="00333AE3" w:rsidRPr="007F0386">
        <w:t xml:space="preserve">primarily </w:t>
      </w:r>
      <w:r w:rsidR="00FA62B1" w:rsidRPr="007F0386">
        <w:t xml:space="preserve">on </w:t>
      </w:r>
      <w:r w:rsidRPr="007F0386">
        <w:t xml:space="preserve">debt instruments. </w:t>
      </w:r>
    </w:p>
    <w:p w:rsidR="00E40AD0" w:rsidRPr="00E40AD0" w:rsidRDefault="00E40AD0" w:rsidP="00E40AD0"/>
    <w:p w:rsidR="001225D7" w:rsidRPr="00201F59" w:rsidRDefault="0036086D" w:rsidP="001225D7">
      <w:pPr>
        <w:rPr>
          <w:b/>
          <w:i/>
        </w:rPr>
      </w:pPr>
      <w:r w:rsidRPr="00201F59">
        <w:rPr>
          <w:b/>
          <w:i/>
        </w:rPr>
        <w:t>Other matters</w:t>
      </w:r>
    </w:p>
    <w:p w:rsidR="001225D7" w:rsidRDefault="00143F6A" w:rsidP="001225D7"/>
    <w:p w:rsidR="001225D7" w:rsidRDefault="00815454" w:rsidP="001225D7">
      <w:r>
        <w:lastRenderedPageBreak/>
        <w:t xml:space="preserve">We note that </w:t>
      </w:r>
      <w:r w:rsidR="004D0204">
        <w:t>the</w:t>
      </w:r>
      <w:r w:rsidR="00B773B3">
        <w:t xml:space="preserve"> Board has not been provided with an Explanatory Statement to the draft </w:t>
      </w:r>
      <w:r w:rsidR="004D0204">
        <w:t>proposed mandate</w:t>
      </w:r>
      <w:r w:rsidR="00CC6D3B">
        <w:t xml:space="preserve">. </w:t>
      </w:r>
      <w:r w:rsidR="004D0204">
        <w:t xml:space="preserve"> </w:t>
      </w:r>
      <w:r w:rsidR="00B773B3">
        <w:t xml:space="preserve">It is our understanding that </w:t>
      </w:r>
      <w:r w:rsidR="0036086D">
        <w:t xml:space="preserve">a requirement of registration on the Federal </w:t>
      </w:r>
      <w:r w:rsidR="00420C46">
        <w:t xml:space="preserve">Register </w:t>
      </w:r>
      <w:r w:rsidR="0036086D">
        <w:t xml:space="preserve">of Legislative Instruments </w:t>
      </w:r>
      <w:r w:rsidR="00420C46">
        <w:t xml:space="preserve">is </w:t>
      </w:r>
      <w:r w:rsidR="0036086D">
        <w:t xml:space="preserve">that an </w:t>
      </w:r>
      <w:r w:rsidR="00A95143">
        <w:t>E</w:t>
      </w:r>
      <w:r w:rsidR="0036086D">
        <w:t xml:space="preserve">xplanatory </w:t>
      </w:r>
      <w:r w:rsidR="00A95143">
        <w:t>S</w:t>
      </w:r>
      <w:r w:rsidR="0036086D">
        <w:t xml:space="preserve">tatement accompany the revised mandate. As this document is an extrinsic aid to interpretation under the </w:t>
      </w:r>
      <w:r w:rsidR="0036086D" w:rsidRPr="0025332F">
        <w:rPr>
          <w:i/>
        </w:rPr>
        <w:t>Acts Interpretation Act 1901</w:t>
      </w:r>
      <w:r w:rsidR="0036086D">
        <w:t>, and provides the detailed means of calculation of portfolio benchmark return we would expect to see a draft of that document to ensure its workability prior to publication and date of effect.</w:t>
      </w:r>
    </w:p>
    <w:p w:rsidR="001225D7" w:rsidRDefault="00143F6A" w:rsidP="001225D7"/>
    <w:p w:rsidR="001225D7" w:rsidRPr="002C14FB" w:rsidRDefault="0036086D" w:rsidP="001225D7">
      <w:pPr>
        <w:rPr>
          <w:b/>
          <w:i/>
        </w:rPr>
      </w:pPr>
      <w:r w:rsidRPr="002C14FB">
        <w:rPr>
          <w:b/>
          <w:i/>
        </w:rPr>
        <w:t>CEFC View</w:t>
      </w:r>
    </w:p>
    <w:p w:rsidR="001225D7" w:rsidRDefault="00143F6A" w:rsidP="001225D7"/>
    <w:p w:rsidR="00C92F4A" w:rsidRPr="00C92F4A" w:rsidRDefault="00C92F4A" w:rsidP="00C92F4A">
      <w:r w:rsidRPr="007F0386">
        <w:t>Should the Government</w:t>
      </w:r>
      <w:r w:rsidR="007F0386" w:rsidRPr="007F0386">
        <w:t>’s</w:t>
      </w:r>
      <w:r w:rsidRPr="007F0386">
        <w:t xml:space="preserve"> </w:t>
      </w:r>
      <w:r w:rsidR="007F0386" w:rsidRPr="007F0386">
        <w:t>objective in proposing the new mandate be to</w:t>
      </w:r>
      <w:r w:rsidRPr="007F0386">
        <w:t xml:space="preserve"> increase the </w:t>
      </w:r>
      <w:r w:rsidR="00333AE3" w:rsidRPr="007F0386">
        <w:t xml:space="preserve">CEFC’s </w:t>
      </w:r>
      <w:r w:rsidRPr="007F0386">
        <w:t xml:space="preserve">benchmark, a more appropriate and realistic benchmark portfolio return (that would meet the objective of protecting and minimising risk exposure in the investment of public funds) would be </w:t>
      </w:r>
      <w:r w:rsidR="003B1CEB" w:rsidRPr="007F0386">
        <w:t>the 5 year long term government bond rate (</w:t>
      </w:r>
      <w:r w:rsidRPr="007F0386">
        <w:t>LTGBR</w:t>
      </w:r>
      <w:r w:rsidR="003B1CEB" w:rsidRPr="007F0386">
        <w:t>)</w:t>
      </w:r>
      <w:r w:rsidRPr="007F0386">
        <w:t xml:space="preserve"> + 1% </w:t>
      </w:r>
      <w:r w:rsidRPr="007F0386">
        <w:rPr>
          <w:b/>
          <w:i/>
        </w:rPr>
        <w:t>net</w:t>
      </w:r>
      <w:r w:rsidRPr="007F0386">
        <w:rPr>
          <w:b/>
        </w:rPr>
        <w:t xml:space="preserve"> of operating costs and provisions</w:t>
      </w:r>
      <w:r w:rsidR="003B1CEB" w:rsidRPr="007F0386">
        <w:rPr>
          <w:b/>
        </w:rPr>
        <w:t>,</w:t>
      </w:r>
      <w:r w:rsidRPr="007F0386">
        <w:t xml:space="preserve"> to apply when the portfolio is fully established.</w:t>
      </w:r>
      <w:r w:rsidR="00333AE3" w:rsidRPr="007F0386">
        <w:t xml:space="preserve"> This would represent a significant increase in the benchmark of approximately 30%.</w:t>
      </w:r>
      <w:r w:rsidR="00333AE3">
        <w:t xml:space="preserve"> </w:t>
      </w:r>
    </w:p>
    <w:p w:rsidR="00C92F4A" w:rsidRDefault="00C92F4A" w:rsidP="0048059A"/>
    <w:p w:rsidR="001225D7" w:rsidRDefault="0036086D" w:rsidP="0048059A">
      <w:r>
        <w:t>The CEFC view is tha</w:t>
      </w:r>
      <w:r w:rsidR="00E221F1">
        <w:t xml:space="preserve">t </w:t>
      </w:r>
      <w:r w:rsidR="0048059A" w:rsidRPr="0048059A">
        <w:t>the 5 year long t</w:t>
      </w:r>
      <w:r w:rsidR="0048059A">
        <w:t>erm government bond rate (LTGBR) remains the most</w:t>
      </w:r>
      <w:r>
        <w:t xml:space="preserve"> appropriate measure for portfolio benchmark return</w:t>
      </w:r>
      <w:r w:rsidR="00E221F1">
        <w:t>s</w:t>
      </w:r>
      <w:r w:rsidR="0048059A">
        <w:t xml:space="preserve"> because it directly relates to the Government’s cost of funding of the CEFC. </w:t>
      </w:r>
    </w:p>
    <w:p w:rsidR="001225D7" w:rsidRDefault="00143F6A" w:rsidP="001225D7"/>
    <w:p w:rsidR="001225D7" w:rsidRDefault="00C92F4A" w:rsidP="001225D7">
      <w:r>
        <w:t xml:space="preserve">In its first year of operation, the </w:t>
      </w:r>
      <w:r w:rsidR="0036086D">
        <w:t xml:space="preserve">CEFC has been </w:t>
      </w:r>
      <w:r w:rsidR="00E221F1">
        <w:t xml:space="preserve">able to </w:t>
      </w:r>
      <w:r w:rsidR="0036086D">
        <w:t>mak</w:t>
      </w:r>
      <w:r w:rsidR="00E221F1">
        <w:t>e</w:t>
      </w:r>
      <w:r w:rsidR="0036086D">
        <w:t xml:space="preserve"> </w:t>
      </w:r>
      <w:r w:rsidR="0020592D">
        <w:t xml:space="preserve">some </w:t>
      </w:r>
      <w:r w:rsidR="0036086D">
        <w:t xml:space="preserve">investments exceeding the </w:t>
      </w:r>
      <w:r w:rsidR="00107675">
        <w:t>current b</w:t>
      </w:r>
      <w:r w:rsidR="0036086D">
        <w:t>enchmark</w:t>
      </w:r>
      <w:r w:rsidR="0020592D">
        <w:t xml:space="preserve">. </w:t>
      </w:r>
      <w:r>
        <w:t xml:space="preserve">Market conditions for the clean energy sector increasingly point to CEFC investments </w:t>
      </w:r>
      <w:r w:rsidR="00197C9B">
        <w:t xml:space="preserve">increasingly </w:t>
      </w:r>
      <w:r>
        <w:t>focus</w:t>
      </w:r>
      <w:r w:rsidR="00197C9B">
        <w:t>ed</w:t>
      </w:r>
      <w:r>
        <w:t xml:space="preserve"> on broad-based funding programs with banks and energy utilities for SMEs, agribusiness, local governments and the not-for-profit sector where returns are lower. </w:t>
      </w:r>
    </w:p>
    <w:p w:rsidR="00197C9B" w:rsidRDefault="00197C9B" w:rsidP="001225D7"/>
    <w:p w:rsidR="00333AE3" w:rsidRDefault="0036086D" w:rsidP="001225D7">
      <w:r>
        <w:t xml:space="preserve">The CEFC notes Australian Government policy remains to abolish the Corporation. That is the prerogative of Government, but so long as the CEFC remains in existence, we again reiterate our utility and </w:t>
      </w:r>
      <w:r w:rsidR="00A95143">
        <w:t xml:space="preserve">ability to work in a </w:t>
      </w:r>
      <w:r>
        <w:t>complementar</w:t>
      </w:r>
      <w:r w:rsidR="00A95143">
        <w:t xml:space="preserve">y way to assist realisation of </w:t>
      </w:r>
      <w:r>
        <w:t xml:space="preserve">other Government policy </w:t>
      </w:r>
      <w:r w:rsidR="00A95143">
        <w:lastRenderedPageBreak/>
        <w:t>initiatives</w:t>
      </w:r>
      <w:r>
        <w:t xml:space="preserve"> such as the Emissions Reduction Fund, in energy, environment, regional development, agriculture, industry, innovation and infrastructure. </w:t>
      </w:r>
    </w:p>
    <w:p w:rsidR="00333AE3" w:rsidRDefault="00333AE3" w:rsidP="001225D7"/>
    <w:p w:rsidR="00C84A97" w:rsidRDefault="00333AE3" w:rsidP="001225D7">
      <w:r w:rsidRPr="007F0386">
        <w:t>In summary, o</w:t>
      </w:r>
      <w:r w:rsidR="0036086D" w:rsidRPr="007F0386">
        <w:t xml:space="preserve">ur view is that the draft </w:t>
      </w:r>
      <w:r w:rsidR="0020592D" w:rsidRPr="007F0386">
        <w:t>proposed</w:t>
      </w:r>
      <w:r w:rsidR="0036086D" w:rsidRPr="007F0386">
        <w:t xml:space="preserve"> mandate </w:t>
      </w:r>
      <w:r w:rsidR="007F0386" w:rsidRPr="007F0386">
        <w:t>would</w:t>
      </w:r>
      <w:r w:rsidR="0036086D" w:rsidRPr="007F0386">
        <w:t xml:space="preserve"> have a </w:t>
      </w:r>
      <w:r w:rsidR="00A95143" w:rsidRPr="007F0386">
        <w:t xml:space="preserve">significant negative </w:t>
      </w:r>
      <w:r w:rsidR="0036086D" w:rsidRPr="007F0386">
        <w:t xml:space="preserve">effect on the </w:t>
      </w:r>
      <w:r w:rsidRPr="007F0386">
        <w:t xml:space="preserve">activities of the </w:t>
      </w:r>
      <w:r w:rsidR="0036086D" w:rsidRPr="007F0386">
        <w:t xml:space="preserve">CEFC </w:t>
      </w:r>
      <w:r w:rsidRPr="007F0386">
        <w:t xml:space="preserve">and </w:t>
      </w:r>
      <w:r w:rsidR="00584D46" w:rsidRPr="007F0386">
        <w:t xml:space="preserve">will likely </w:t>
      </w:r>
      <w:r w:rsidRPr="007F0386">
        <w:t>prove inconsistent with the object</w:t>
      </w:r>
      <w:r w:rsidR="00584D46" w:rsidRPr="007F0386">
        <w:t xml:space="preserve"> </w:t>
      </w:r>
      <w:r w:rsidRPr="007F0386">
        <w:t>of the CEFC Act.</w:t>
      </w:r>
      <w:r>
        <w:t xml:space="preserve"> </w:t>
      </w:r>
      <w:r w:rsidR="0036086D">
        <w:t xml:space="preserve">  </w:t>
      </w:r>
    </w:p>
    <w:p w:rsidR="001225D7" w:rsidRDefault="00143F6A" w:rsidP="001225D7"/>
    <w:p w:rsidR="001225D7" w:rsidRPr="002C14FB" w:rsidRDefault="0036086D" w:rsidP="001225D7">
      <w:pPr>
        <w:rPr>
          <w:b/>
          <w:i/>
        </w:rPr>
      </w:pPr>
      <w:r w:rsidRPr="002C14FB">
        <w:rPr>
          <w:b/>
          <w:i/>
        </w:rPr>
        <w:t>Next Steps</w:t>
      </w:r>
    </w:p>
    <w:p w:rsidR="001225D7" w:rsidRDefault="00143F6A" w:rsidP="001225D7"/>
    <w:p w:rsidR="001225D7" w:rsidRDefault="0036086D" w:rsidP="001225D7">
      <w:r>
        <w:t xml:space="preserve">Given the observations above we request that Ministers reconsider the </w:t>
      </w:r>
      <w:r w:rsidR="004035F4">
        <w:t>proposed</w:t>
      </w:r>
      <w:r>
        <w:t xml:space="preserve"> </w:t>
      </w:r>
      <w:r w:rsidR="004035F4">
        <w:t>m</w:t>
      </w:r>
      <w:r>
        <w:t xml:space="preserve">andate as currently configured. I again extend the offer of availability of the CEFC to you and your officers to assist in provision of further information and or advice on this matter. </w:t>
      </w:r>
    </w:p>
    <w:p w:rsidR="001225D7" w:rsidRPr="0025332F" w:rsidRDefault="00143F6A" w:rsidP="001225D7"/>
    <w:p w:rsidR="001225D7" w:rsidRDefault="0036086D" w:rsidP="001225D7">
      <w:r>
        <w:t xml:space="preserve">I also want to assure you that the Board will continue to </w:t>
      </w:r>
      <w:r w:rsidR="0020592D">
        <w:t>pursue</w:t>
      </w:r>
      <w:r>
        <w:t xml:space="preserve"> its duties under the </w:t>
      </w:r>
      <w:r w:rsidR="00584D46">
        <w:t xml:space="preserve">CEFC </w:t>
      </w:r>
      <w:r>
        <w:t xml:space="preserve">Act. </w:t>
      </w:r>
      <w:r w:rsidR="00584D46">
        <w:t>Consistent with our obligations under th</w:t>
      </w:r>
      <w:r w:rsidR="007F0386">
        <w:t>at</w:t>
      </w:r>
      <w:r w:rsidR="00584D46">
        <w:t xml:space="preserve"> Act, w</w:t>
      </w:r>
      <w:r>
        <w:t>e will seek to take all reasonable steps to comply with a revised mandate</w:t>
      </w:r>
      <w:r w:rsidR="00FA62B1">
        <w:t xml:space="preserve">, </w:t>
      </w:r>
      <w:r w:rsidR="00583013">
        <w:t xml:space="preserve">even if, as all evidence suggests, </w:t>
      </w:r>
      <w:r w:rsidR="00E40AD0">
        <w:t xml:space="preserve">it will prove </w:t>
      </w:r>
      <w:r w:rsidR="00E40AD0" w:rsidRPr="00E40AD0">
        <w:t xml:space="preserve">highly challenging </w:t>
      </w:r>
      <w:r w:rsidR="00E40AD0">
        <w:t xml:space="preserve">to significantly </w:t>
      </w:r>
      <w:r w:rsidR="00E40AD0" w:rsidRPr="00E40AD0">
        <w:t>increas</w:t>
      </w:r>
      <w:r w:rsidR="00E40AD0">
        <w:t>e</w:t>
      </w:r>
      <w:r w:rsidR="00E40AD0" w:rsidRPr="00E40AD0">
        <w:t xml:space="preserve"> </w:t>
      </w:r>
      <w:r w:rsidR="00E40AD0">
        <w:t>the</w:t>
      </w:r>
      <w:r w:rsidR="00E40AD0" w:rsidRPr="00E40AD0">
        <w:t xml:space="preserve"> rate of return </w:t>
      </w:r>
      <w:r w:rsidR="00E40AD0">
        <w:t xml:space="preserve">of the portfolio whilst maintaining the current </w:t>
      </w:r>
      <w:r w:rsidR="000C1AC7">
        <w:t xml:space="preserve">portfolio </w:t>
      </w:r>
      <w:r w:rsidR="00E40AD0">
        <w:t xml:space="preserve">credit risk profile.  </w:t>
      </w:r>
    </w:p>
    <w:p w:rsidR="001225D7" w:rsidRDefault="00143F6A" w:rsidP="001225D7"/>
    <w:p w:rsidR="001225D7" w:rsidRDefault="0036086D" w:rsidP="001225D7">
      <w:r>
        <w:t>Should you or your office have any questions in this regard, please do not hesitate to contact Mr Simon Every, Head of Government Affairs, by email at simon.every@cleanenergyfinancecorp.com.au or by telephone on 07 3188 1627.</w:t>
      </w:r>
    </w:p>
    <w:p w:rsidR="001225D7" w:rsidRDefault="00143F6A" w:rsidP="001225D7"/>
    <w:p w:rsidR="001225D7" w:rsidRDefault="0036086D" w:rsidP="001225D7">
      <w:r>
        <w:t>Yours sincerely</w:t>
      </w:r>
    </w:p>
    <w:p w:rsidR="001225D7" w:rsidRDefault="0036086D" w:rsidP="001225D7">
      <w:r>
        <w:t xml:space="preserve">  </w:t>
      </w:r>
    </w:p>
    <w:p w:rsidR="001225D7" w:rsidRDefault="00143F6A" w:rsidP="001225D7"/>
    <w:p w:rsidR="001225D7" w:rsidRDefault="00D7126A" w:rsidP="001225D7">
      <w:r>
        <w:t>[Signed]</w:t>
      </w:r>
      <w:bookmarkStart w:id="0" w:name="_GoBack"/>
      <w:bookmarkEnd w:id="0"/>
    </w:p>
    <w:p w:rsidR="001225D7" w:rsidRDefault="00143F6A" w:rsidP="001225D7"/>
    <w:p w:rsidR="001225D7" w:rsidRDefault="00143F6A" w:rsidP="001225D7"/>
    <w:p w:rsidR="001225D7" w:rsidRDefault="0036086D" w:rsidP="001225D7">
      <w:r>
        <w:t>Jillian Broadbent AO</w:t>
      </w:r>
    </w:p>
    <w:p w:rsidR="001225D7" w:rsidRDefault="0036086D" w:rsidP="001225D7">
      <w:r>
        <w:t>Chair of the Board</w:t>
      </w:r>
    </w:p>
    <w:p w:rsidR="001225D7" w:rsidRPr="005A60F0" w:rsidRDefault="0036086D" w:rsidP="001225D7">
      <w:r>
        <w:t>Clean Energy Finance Corporation</w:t>
      </w:r>
    </w:p>
    <w:sectPr w:rsidR="001225D7" w:rsidRPr="005A60F0" w:rsidSect="00CC6D3B">
      <w:footerReference w:type="default" r:id="rId7"/>
      <w:headerReference w:type="first" r:id="rId8"/>
      <w:footerReference w:type="first" r:id="rId9"/>
      <w:pgSz w:w="11906" w:h="16838" w:code="9"/>
      <w:pgMar w:top="2552" w:right="1701" w:bottom="1560"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229F" w:rsidRDefault="00E4229F" w:rsidP="001225D7">
      <w:r>
        <w:separator/>
      </w:r>
    </w:p>
  </w:endnote>
  <w:endnote w:type="continuationSeparator" w:id="0">
    <w:p w:rsidR="00E4229F" w:rsidRDefault="00E4229F" w:rsidP="001225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5D7" w:rsidRPr="00985420" w:rsidRDefault="00D90FB3" w:rsidP="001225D7">
    <w:pPr>
      <w:pStyle w:val="Footer"/>
      <w:jc w:val="center"/>
      <w:rPr>
        <w:color w:val="A3A5A6" w:themeColor="background2"/>
      </w:rPr>
    </w:pPr>
    <w:r w:rsidRPr="00D90FB3">
      <w:rPr>
        <w:color w:val="000000" w:themeColor="text1"/>
      </w:rPr>
      <w:fldChar w:fldCharType="begin"/>
    </w:r>
    <w:r w:rsidR="00E4229F">
      <w:instrText xml:space="preserve"> PAGE   \* MERGEFORMAT </w:instrText>
    </w:r>
    <w:r w:rsidRPr="00D90FB3">
      <w:rPr>
        <w:color w:val="000000" w:themeColor="text1"/>
      </w:rPr>
      <w:fldChar w:fldCharType="separate"/>
    </w:r>
    <w:r w:rsidR="00143F6A" w:rsidRPr="00143F6A">
      <w:rPr>
        <w:rFonts w:ascii="Times New Roman" w:hAnsi="Times New Roman" w:cs="Times New Roman"/>
        <w:noProof/>
        <w:color w:val="A3A5A6" w:themeColor="background2"/>
      </w:rPr>
      <w:t>5</w:t>
    </w:r>
    <w:r>
      <w:rPr>
        <w:rFonts w:ascii="Times New Roman" w:hAnsi="Times New Roman" w:cs="Times New Roman"/>
        <w:noProof/>
        <w:color w:val="A3A5A6" w:themeColor="background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5D7" w:rsidRDefault="0036086D" w:rsidP="001225D7">
    <w:pPr>
      <w:pStyle w:val="Footer"/>
      <w:ind w:hanging="1134"/>
    </w:pPr>
    <w:r>
      <w:rPr>
        <w:noProof/>
        <w:lang w:eastAsia="en-AU"/>
      </w:rPr>
      <w:drawing>
        <wp:anchor distT="0" distB="0" distL="114300" distR="114300" simplePos="0" relativeHeight="251659264" behindDoc="1" locked="0" layoutInCell="1" allowOverlap="1">
          <wp:simplePos x="0" y="0"/>
          <wp:positionH relativeFrom="column">
            <wp:posOffset>-73660</wp:posOffset>
          </wp:positionH>
          <wp:positionV relativeFrom="paragraph">
            <wp:posOffset>-32385</wp:posOffset>
          </wp:positionV>
          <wp:extent cx="3602355" cy="542290"/>
          <wp:effectExtent l="0" t="0" r="0" b="0"/>
          <wp:wrapTight wrapText="bothSides">
            <wp:wrapPolygon edited="0">
              <wp:start x="0" y="0"/>
              <wp:lineTo x="0" y="20487"/>
              <wp:lineTo x="21474" y="20487"/>
              <wp:lineTo x="21474"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FC Letterhead Footer.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602355" cy="542290"/>
                  </a:xfrm>
                  <a:prstGeom prst="rect">
                    <a:avLst/>
                  </a:prstGeom>
                </pic:spPr>
              </pic:pic>
            </a:graphicData>
          </a:graphic>
        </wp:anchor>
      </w:drawing>
    </w:r>
  </w:p>
  <w:p w:rsidR="001225D7" w:rsidRDefault="00143F6A" w:rsidP="001225D7">
    <w:pPr>
      <w:pStyle w:val="Footer"/>
    </w:pPr>
  </w:p>
  <w:p w:rsidR="001225D7" w:rsidRDefault="00143F6A" w:rsidP="000A78F7">
    <w:pPr>
      <w:pStyle w:val="Footer"/>
      <w:ind w:firstLine="720"/>
    </w:pPr>
  </w:p>
  <w:p w:rsidR="001225D7" w:rsidRDefault="00143F6A" w:rsidP="001225D7">
    <w:pPr>
      <w:pStyle w:val="Footer"/>
      <w:jc w:val="center"/>
    </w:pPr>
  </w:p>
  <w:p w:rsidR="001225D7" w:rsidRPr="00985420" w:rsidRDefault="00143F6A" w:rsidP="001225D7">
    <w:pPr>
      <w:pStyle w:val="Footer"/>
      <w:jc w:val="center"/>
      <w:rPr>
        <w:color w:val="A3A5A6" w:themeColor="background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229F" w:rsidRDefault="00E4229F" w:rsidP="001225D7">
      <w:r>
        <w:separator/>
      </w:r>
    </w:p>
  </w:footnote>
  <w:footnote w:type="continuationSeparator" w:id="0">
    <w:p w:rsidR="00E4229F" w:rsidRDefault="00E4229F" w:rsidP="001225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5D7" w:rsidRDefault="0036086D" w:rsidP="001225D7">
    <w:pPr>
      <w:pStyle w:val="Header"/>
      <w:ind w:hanging="1134"/>
    </w:pPr>
    <w:r>
      <w:rPr>
        <w:noProof/>
        <w:lang w:eastAsia="en-AU"/>
      </w:rPr>
      <w:drawing>
        <wp:anchor distT="0" distB="0" distL="114300" distR="114300" simplePos="0" relativeHeight="251660288" behindDoc="1" locked="0" layoutInCell="1" allowOverlap="1">
          <wp:simplePos x="0" y="0"/>
          <wp:positionH relativeFrom="column">
            <wp:posOffset>-721995</wp:posOffset>
          </wp:positionH>
          <wp:positionV relativeFrom="paragraph">
            <wp:posOffset>-635</wp:posOffset>
          </wp:positionV>
          <wp:extent cx="4323080" cy="723265"/>
          <wp:effectExtent l="0" t="0" r="1270" b="635"/>
          <wp:wrapTight wrapText="bothSides">
            <wp:wrapPolygon edited="0">
              <wp:start x="0" y="0"/>
              <wp:lineTo x="0" y="21050"/>
              <wp:lineTo x="21511" y="21050"/>
              <wp:lineTo x="21511"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fc logo stacked.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323080" cy="723265"/>
                  </a:xfrm>
                  <a:prstGeom prst="rect">
                    <a:avLst/>
                  </a:prstGeom>
                </pic:spPr>
              </pic:pic>
            </a:graphicData>
          </a:graphic>
        </wp:anchor>
      </w:drawing>
    </w:r>
  </w:p>
  <w:p w:rsidR="001225D7" w:rsidRDefault="00143F6A" w:rsidP="001225D7">
    <w:pPr>
      <w:pStyle w:val="Header"/>
    </w:pPr>
  </w:p>
  <w:p w:rsidR="001225D7" w:rsidRDefault="00143F6A" w:rsidP="001225D7">
    <w:pPr>
      <w:pStyle w:val="Header"/>
    </w:pPr>
  </w:p>
  <w:p w:rsidR="001225D7" w:rsidRDefault="00143F6A" w:rsidP="001225D7">
    <w:pPr>
      <w:pStyle w:val="Header"/>
    </w:pPr>
  </w:p>
  <w:p w:rsidR="001225D7" w:rsidRDefault="00143F6A" w:rsidP="001225D7">
    <w:pPr>
      <w:pStyle w:val="Header"/>
    </w:pPr>
  </w:p>
  <w:p w:rsidR="001225D7" w:rsidRDefault="00143F6A" w:rsidP="001225D7">
    <w:pPr>
      <w:pStyle w:val="Header"/>
    </w:pPr>
  </w:p>
  <w:p w:rsidR="001225D7" w:rsidRDefault="00143F6A" w:rsidP="001225D7">
    <w:pPr>
      <w:pStyle w:val="Header"/>
    </w:pPr>
  </w:p>
  <w:p w:rsidR="001225D7" w:rsidRDefault="00143F6A" w:rsidP="001225D7">
    <w:pPr>
      <w:pStyle w:val="Header"/>
    </w:pPr>
  </w:p>
  <w:p w:rsidR="001225D7" w:rsidRDefault="00143F6A" w:rsidP="001225D7">
    <w:pPr>
      <w:pStyle w:val="Header"/>
    </w:pPr>
  </w:p>
  <w:p w:rsidR="001225D7" w:rsidRDefault="00143F6A" w:rsidP="001225D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F13E44"/>
    <w:multiLevelType w:val="multilevel"/>
    <w:tmpl w:val="9D88D922"/>
    <w:lvl w:ilvl="0">
      <w:start w:val="1"/>
      <w:numFmt w:val="decimal"/>
      <w:lvlText w:val="%1"/>
      <w:lvlJc w:val="left"/>
      <w:pPr>
        <w:tabs>
          <w:tab w:val="num" w:pos="284"/>
        </w:tabs>
        <w:ind w:left="284" w:hanging="284"/>
      </w:pPr>
      <w:rPr>
        <w:rFonts w:hint="default"/>
        <w:b/>
        <w:i w:val="0"/>
        <w:color w:val="646464"/>
        <w:sz w:val="26"/>
        <w:szCs w:val="36"/>
      </w:rPr>
    </w:lvl>
    <w:lvl w:ilvl="1">
      <w:start w:val="1"/>
      <w:numFmt w:val="decimal"/>
      <w:lvlText w:val="%1.%2"/>
      <w:lvlJc w:val="left"/>
      <w:pPr>
        <w:ind w:left="454" w:hanging="454"/>
      </w:pPr>
      <w:rPr>
        <w:rFonts w:hint="default"/>
        <w:b/>
        <w:i w:val="0"/>
        <w:sz w:val="24"/>
        <w:szCs w:val="32"/>
      </w:rPr>
    </w:lvl>
    <w:lvl w:ilvl="2">
      <w:start w:val="1"/>
      <w:numFmt w:val="decimal"/>
      <w:lvlText w:val="%1.%2.%3"/>
      <w:lvlJc w:val="left"/>
      <w:pPr>
        <w:ind w:left="624" w:hanging="624"/>
      </w:pPr>
      <w:rPr>
        <w:rFonts w:hint="default"/>
        <w:b/>
        <w:i w:val="0"/>
        <w:sz w:val="22"/>
        <w:szCs w:val="28"/>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decimal"/>
      <w:pStyle w:val="BodyNumbering1"/>
      <w:lvlText w:val="%7"/>
      <w:lvlJc w:val="left"/>
      <w:pPr>
        <w:ind w:left="340" w:hanging="340"/>
      </w:pPr>
      <w:rPr>
        <w:rFonts w:hint="default"/>
        <w:b w:val="0"/>
        <w:i w:val="0"/>
        <w:sz w:val="20"/>
      </w:rPr>
    </w:lvl>
    <w:lvl w:ilvl="7">
      <w:start w:val="1"/>
      <w:numFmt w:val="lowerLetter"/>
      <w:pStyle w:val="BodyNumbering2"/>
      <w:lvlText w:val="%8"/>
      <w:lvlJc w:val="left"/>
      <w:pPr>
        <w:ind w:left="680" w:hanging="340"/>
      </w:pPr>
      <w:rPr>
        <w:rFonts w:hint="default"/>
        <w:b w:val="0"/>
        <w:i w:val="0"/>
        <w:sz w:val="20"/>
      </w:rPr>
    </w:lvl>
    <w:lvl w:ilvl="8">
      <w:start w:val="1"/>
      <w:numFmt w:val="lowerRoman"/>
      <w:pStyle w:val="BodyNumbering3"/>
      <w:lvlText w:val="%9"/>
      <w:lvlJc w:val="left"/>
      <w:pPr>
        <w:ind w:left="1021" w:hanging="341"/>
      </w:pPr>
      <w:rPr>
        <w:rFonts w:hint="default"/>
        <w:b w:val="0"/>
        <w:i w:val="0"/>
        <w:sz w:val="20"/>
      </w:rPr>
    </w:lvl>
  </w:abstractNum>
  <w:abstractNum w:abstractNumId="1">
    <w:nsid w:val="506877F0"/>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61524162"/>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nsid w:val="6FF67ADD"/>
    <w:multiLevelType w:val="multilevel"/>
    <w:tmpl w:val="BD1A36DA"/>
    <w:lvl w:ilvl="0">
      <w:start w:val="1"/>
      <w:numFmt w:val="bullet"/>
      <w:pStyle w:val="BodyBullet1"/>
      <w:lvlText w:val=""/>
      <w:lvlJc w:val="left"/>
      <w:pPr>
        <w:ind w:left="340" w:hanging="340"/>
      </w:pPr>
      <w:rPr>
        <w:rFonts w:ascii="Symbol" w:hAnsi="Symbol" w:hint="default"/>
        <w:b w:val="0"/>
        <w:i w:val="0"/>
        <w:color w:val="auto"/>
        <w:sz w:val="20"/>
      </w:rPr>
    </w:lvl>
    <w:lvl w:ilvl="1">
      <w:start w:val="1"/>
      <w:numFmt w:val="bullet"/>
      <w:pStyle w:val="BodyBullet2"/>
      <w:lvlText w:val="–"/>
      <w:lvlJc w:val="left"/>
      <w:pPr>
        <w:ind w:left="680" w:hanging="340"/>
      </w:pPr>
      <w:rPr>
        <w:rFonts w:ascii="Arial" w:hAnsi="Arial" w:hint="default"/>
        <w:b w:val="0"/>
        <w:i w:val="0"/>
        <w:color w:val="auto"/>
        <w:sz w:val="20"/>
      </w:rPr>
    </w:lvl>
    <w:lvl w:ilvl="2">
      <w:start w:val="1"/>
      <w:numFmt w:val="bullet"/>
      <w:pStyle w:val="BodyBullet3"/>
      <w:lvlText w:val="-"/>
      <w:lvlJc w:val="left"/>
      <w:pPr>
        <w:ind w:left="1020" w:hanging="340"/>
      </w:pPr>
      <w:rPr>
        <w:rFonts w:ascii="Arial" w:hAnsi="Arial" w:hint="default"/>
        <w:b w:val="0"/>
        <w:i w:val="0"/>
        <w:color w:val="auto"/>
        <w:sz w:val="20"/>
        <w:szCs w:val="28"/>
      </w:rPr>
    </w:lvl>
    <w:lvl w:ilvl="3">
      <w:start w:val="1"/>
      <w:numFmt w:val="none"/>
      <w:pStyle w:val="BodyIndent1"/>
      <w:suff w:val="nothing"/>
      <w:lvlText w:val=""/>
      <w:lvlJc w:val="left"/>
      <w:pPr>
        <w:ind w:left="340" w:firstLine="0"/>
      </w:pPr>
      <w:rPr>
        <w:rFonts w:hint="default"/>
        <w:color w:val="auto"/>
      </w:rPr>
    </w:lvl>
    <w:lvl w:ilvl="4">
      <w:start w:val="1"/>
      <w:numFmt w:val="none"/>
      <w:pStyle w:val="BodyIndent2"/>
      <w:suff w:val="nothing"/>
      <w:lvlText w:val=""/>
      <w:lvlJc w:val="left"/>
      <w:pPr>
        <w:ind w:left="680" w:firstLine="0"/>
      </w:pPr>
      <w:rPr>
        <w:rFonts w:hint="default"/>
        <w:color w:val="auto"/>
      </w:rPr>
    </w:lvl>
    <w:lvl w:ilvl="5">
      <w:start w:val="1"/>
      <w:numFmt w:val="none"/>
      <w:pStyle w:val="BodyIndent3"/>
      <w:suff w:val="nothing"/>
      <w:lvlText w:val="%1"/>
      <w:lvlJc w:val="left"/>
      <w:pPr>
        <w:ind w:left="1021" w:firstLine="0"/>
      </w:pPr>
      <w:rPr>
        <w:rFonts w:hint="default"/>
      </w:rPr>
    </w:lvl>
    <w:lvl w:ilvl="6">
      <w:start w:val="1"/>
      <w:numFmt w:val="none"/>
      <w:lvlText w:val="%1"/>
      <w:lvlJc w:val="left"/>
      <w:pPr>
        <w:ind w:left="0" w:firstLine="0"/>
      </w:pPr>
      <w:rPr>
        <w:rFonts w:hint="default"/>
      </w:rPr>
    </w:lvl>
    <w:lvl w:ilvl="7">
      <w:start w:val="1"/>
      <w:numFmt w:val="none"/>
      <w:lvlText w:val="%1"/>
      <w:lvlJc w:val="left"/>
      <w:pPr>
        <w:ind w:left="0" w:firstLine="0"/>
      </w:pPr>
      <w:rPr>
        <w:rFonts w:hint="default"/>
      </w:rPr>
    </w:lvl>
    <w:lvl w:ilvl="8">
      <w:start w:val="1"/>
      <w:numFmt w:val="none"/>
      <w:lvlText w:val="%1"/>
      <w:lvlJc w:val="left"/>
      <w:pPr>
        <w:ind w:left="0" w:firstLine="0"/>
      </w:pPr>
      <w:rPr>
        <w:rFonts w:hint="default"/>
      </w:rPr>
    </w:lvl>
  </w:abstractNum>
  <w:abstractNum w:abstractNumId="4">
    <w:nsid w:val="70140BE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3"/>
  </w:num>
  <w:num w:numId="3">
    <w:abstractNumId w:val="3"/>
  </w:num>
  <w:num w:numId="4">
    <w:abstractNumId w:val="3"/>
  </w:num>
  <w:num w:numId="5">
    <w:abstractNumId w:val="3"/>
  </w:num>
  <w:num w:numId="6">
    <w:abstractNumId w:val="3"/>
  </w:num>
  <w:num w:numId="7">
    <w:abstractNumId w:val="3"/>
  </w:num>
  <w:num w:numId="8">
    <w:abstractNumId w:val="0"/>
  </w:num>
  <w:num w:numId="9">
    <w:abstractNumId w:val="0"/>
  </w:num>
  <w:num w:numId="10">
    <w:abstractNumId w:val="0"/>
  </w:num>
  <w:num w:numId="11">
    <w:abstractNumId w:val="1"/>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removeDateAndTime/>
  <w:proofState w:spelling="clean" w:grammar="clean"/>
  <w:linkStyles/>
  <w:styleLockTheme/>
  <w:styleLockQFSet/>
  <w:defaultTabStop w:val="720"/>
  <w:characterSpacingControl w:val="doNotCompress"/>
  <w:hdrShapeDefaults>
    <o:shapedefaults v:ext="edit" spidmax="28673"/>
  </w:hdrShapeDefaults>
  <w:footnotePr>
    <w:footnote w:id="-1"/>
    <w:footnote w:id="0"/>
  </w:footnotePr>
  <w:endnotePr>
    <w:endnote w:id="-1"/>
    <w:endnote w:id="0"/>
  </w:endnotePr>
  <w:compat/>
  <w:rsids>
    <w:rsidRoot w:val="000A78F7"/>
    <w:rsid w:val="000016DF"/>
    <w:rsid w:val="0000647B"/>
    <w:rsid w:val="00013C0A"/>
    <w:rsid w:val="00046D05"/>
    <w:rsid w:val="000A78F7"/>
    <w:rsid w:val="000C012D"/>
    <w:rsid w:val="000C1AC7"/>
    <w:rsid w:val="00107675"/>
    <w:rsid w:val="00143F6A"/>
    <w:rsid w:val="0017544C"/>
    <w:rsid w:val="00197C9B"/>
    <w:rsid w:val="001D1456"/>
    <w:rsid w:val="0020546B"/>
    <w:rsid w:val="0020592D"/>
    <w:rsid w:val="00207349"/>
    <w:rsid w:val="002C0D80"/>
    <w:rsid w:val="002E0D4A"/>
    <w:rsid w:val="00333AE3"/>
    <w:rsid w:val="0034341D"/>
    <w:rsid w:val="0036086D"/>
    <w:rsid w:val="003B1CEB"/>
    <w:rsid w:val="004035F4"/>
    <w:rsid w:val="00420C46"/>
    <w:rsid w:val="0048059A"/>
    <w:rsid w:val="004D0204"/>
    <w:rsid w:val="004D4BD2"/>
    <w:rsid w:val="00583013"/>
    <w:rsid w:val="00584D46"/>
    <w:rsid w:val="005C7278"/>
    <w:rsid w:val="00610099"/>
    <w:rsid w:val="006C03C0"/>
    <w:rsid w:val="006E08B0"/>
    <w:rsid w:val="007445C3"/>
    <w:rsid w:val="007F0386"/>
    <w:rsid w:val="007F0890"/>
    <w:rsid w:val="00815454"/>
    <w:rsid w:val="008E6410"/>
    <w:rsid w:val="00906BD3"/>
    <w:rsid w:val="009134C3"/>
    <w:rsid w:val="0094106E"/>
    <w:rsid w:val="009D3DCA"/>
    <w:rsid w:val="009F00FF"/>
    <w:rsid w:val="00A66AB6"/>
    <w:rsid w:val="00A95143"/>
    <w:rsid w:val="00B15537"/>
    <w:rsid w:val="00B773B3"/>
    <w:rsid w:val="00B77C72"/>
    <w:rsid w:val="00B86FCB"/>
    <w:rsid w:val="00BF76E6"/>
    <w:rsid w:val="00C530D7"/>
    <w:rsid w:val="00C92F4A"/>
    <w:rsid w:val="00CC6D3B"/>
    <w:rsid w:val="00D7126A"/>
    <w:rsid w:val="00D90FB3"/>
    <w:rsid w:val="00DA3D53"/>
    <w:rsid w:val="00DB7CD7"/>
    <w:rsid w:val="00E221F1"/>
    <w:rsid w:val="00E35A36"/>
    <w:rsid w:val="00E40AD0"/>
    <w:rsid w:val="00E4229F"/>
    <w:rsid w:val="00E968B1"/>
    <w:rsid w:val="00F21A61"/>
    <w:rsid w:val="00F37A3C"/>
    <w:rsid w:val="00FA62B1"/>
    <w:rsid w:val="00FE1060"/>
    <w:rsid w:val="00FF0E9C"/>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semiHidden="0" w:uiPriority="2" w:unhideWhenUsed="0" w:qFormat="1"/>
    <w:lsdException w:name="Default Paragraph Font" w:uiPriority="1"/>
    <w:lsdException w:name="Body Text" w:semiHidden="0" w:uiPriority="2" w:unhideWhenUsed="0" w:qFormat="1"/>
    <w:lsdException w:name="Subtitle" w:semiHidden="0" w:uiPriority="11" w:unhideWhenUsed="0" w:qFormat="1"/>
    <w:lsdException w:name="Dat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3"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278"/>
    <w:rPr>
      <w:lang w:val="en-AU"/>
    </w:rPr>
  </w:style>
  <w:style w:type="paragraph" w:styleId="Heading1">
    <w:name w:val="heading 1"/>
    <w:basedOn w:val="Normal"/>
    <w:next w:val="BodyText"/>
    <w:link w:val="Heading1Char"/>
    <w:uiPriority w:val="9"/>
    <w:qFormat/>
    <w:rsid w:val="004D4BD2"/>
    <w:pPr>
      <w:keepNext/>
      <w:keepLines/>
      <w:spacing w:before="400" w:after="400"/>
      <w:outlineLvl w:val="0"/>
    </w:pPr>
    <w:rPr>
      <w:rFonts w:asciiTheme="majorHAnsi" w:eastAsiaTheme="majorEastAsia" w:hAnsiTheme="majorHAnsi" w:cstheme="majorBidi"/>
      <w:bCs/>
      <w:sz w:val="30"/>
      <w:szCs w:val="28"/>
    </w:rPr>
  </w:style>
  <w:style w:type="paragraph" w:styleId="Heading2">
    <w:name w:val="heading 2"/>
    <w:basedOn w:val="Heading1"/>
    <w:next w:val="BodyText"/>
    <w:link w:val="Heading2Char"/>
    <w:uiPriority w:val="9"/>
    <w:qFormat/>
    <w:rsid w:val="004D4BD2"/>
    <w:pPr>
      <w:spacing w:after="200"/>
      <w:outlineLvl w:val="1"/>
    </w:pPr>
    <w:rPr>
      <w:b/>
      <w:bCs w:val="0"/>
      <w:color w:val="000000" w:themeColor="text1"/>
      <w:sz w:val="20"/>
      <w:szCs w:val="26"/>
    </w:rPr>
  </w:style>
  <w:style w:type="paragraph" w:styleId="Heading3">
    <w:name w:val="heading 3"/>
    <w:basedOn w:val="Normal"/>
    <w:next w:val="BodyText"/>
    <w:link w:val="Heading3Char"/>
    <w:uiPriority w:val="9"/>
    <w:qFormat/>
    <w:rsid w:val="004D4BD2"/>
    <w:pPr>
      <w:keepNext/>
      <w:keepLines/>
      <w:spacing w:before="400"/>
      <w:outlineLvl w:val="2"/>
    </w:pPr>
    <w:rPr>
      <w:rFonts w:asciiTheme="majorHAnsi" w:eastAsiaTheme="majorEastAsia" w:hAnsiTheme="majorHAnsi" w:cstheme="majorBidi"/>
      <w:bCs/>
      <w:color w:val="58C2CB" w:themeColor="accent1"/>
    </w:rPr>
  </w:style>
  <w:style w:type="paragraph" w:styleId="Heading4">
    <w:name w:val="heading 4"/>
    <w:basedOn w:val="Heading3"/>
    <w:next w:val="Normal"/>
    <w:link w:val="Heading4Char"/>
    <w:uiPriority w:val="9"/>
    <w:qFormat/>
    <w:rsid w:val="004D4BD2"/>
    <w:pPr>
      <w:spacing w:before="200"/>
      <w:outlineLvl w:val="3"/>
    </w:pPr>
    <w:rPr>
      <w:bCs w:val="0"/>
      <w:i/>
      <w:iCs/>
      <w:color w:val="595859" w:themeColor="text2"/>
    </w:rPr>
  </w:style>
  <w:style w:type="paragraph" w:styleId="Heading5">
    <w:name w:val="heading 5"/>
    <w:basedOn w:val="Normal"/>
    <w:next w:val="Normal"/>
    <w:link w:val="Heading5Char"/>
    <w:uiPriority w:val="9"/>
    <w:unhideWhenUsed/>
    <w:rsid w:val="004D4BD2"/>
    <w:pPr>
      <w:keepNext/>
      <w:keepLines/>
      <w:numPr>
        <w:ilvl w:val="4"/>
        <w:numId w:val="11"/>
      </w:numPr>
      <w:spacing w:before="200"/>
      <w:outlineLvl w:val="4"/>
    </w:pPr>
    <w:rPr>
      <w:rFonts w:asciiTheme="majorHAnsi" w:eastAsiaTheme="majorEastAsia" w:hAnsiTheme="majorHAnsi" w:cstheme="majorBidi"/>
      <w:color w:val="22686E" w:themeColor="accent1" w:themeShade="7F"/>
    </w:rPr>
  </w:style>
  <w:style w:type="paragraph" w:styleId="Heading6">
    <w:name w:val="heading 6"/>
    <w:basedOn w:val="Normal"/>
    <w:next w:val="Normal"/>
    <w:link w:val="Heading6Char"/>
    <w:uiPriority w:val="9"/>
    <w:unhideWhenUsed/>
    <w:rsid w:val="004D4BD2"/>
    <w:pPr>
      <w:keepNext/>
      <w:keepLines/>
      <w:numPr>
        <w:ilvl w:val="5"/>
        <w:numId w:val="11"/>
      </w:numPr>
      <w:spacing w:before="200"/>
      <w:outlineLvl w:val="5"/>
    </w:pPr>
    <w:rPr>
      <w:rFonts w:asciiTheme="majorHAnsi" w:eastAsiaTheme="majorEastAsia" w:hAnsiTheme="majorHAnsi" w:cstheme="majorBidi"/>
      <w:i/>
      <w:iCs/>
      <w:color w:val="22686E" w:themeColor="accent1" w:themeShade="7F"/>
    </w:rPr>
  </w:style>
  <w:style w:type="paragraph" w:styleId="Heading7">
    <w:name w:val="heading 7"/>
    <w:basedOn w:val="Normal"/>
    <w:next w:val="Normal"/>
    <w:link w:val="Heading7Char"/>
    <w:uiPriority w:val="9"/>
    <w:unhideWhenUsed/>
    <w:rsid w:val="004D4BD2"/>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rsid w:val="004D4BD2"/>
    <w:pPr>
      <w:keepNext/>
      <w:keepLines/>
      <w:numPr>
        <w:ilvl w:val="7"/>
        <w:numId w:val="11"/>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unhideWhenUsed/>
    <w:rsid w:val="004D4BD2"/>
    <w:pPr>
      <w:keepNext/>
      <w:keepLines/>
      <w:numPr>
        <w:ilvl w:val="8"/>
        <w:numId w:val="11"/>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rsid w:val="005C7278"/>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5C7278"/>
  </w:style>
  <w:style w:type="paragraph" w:styleId="Header">
    <w:name w:val="header"/>
    <w:basedOn w:val="Normal"/>
    <w:link w:val="HeaderChar"/>
    <w:uiPriority w:val="99"/>
    <w:unhideWhenUsed/>
    <w:rsid w:val="004D4BD2"/>
    <w:pPr>
      <w:tabs>
        <w:tab w:val="center" w:pos="4513"/>
        <w:tab w:val="right" w:pos="9026"/>
      </w:tabs>
    </w:pPr>
  </w:style>
  <w:style w:type="character" w:customStyle="1" w:styleId="HeaderChar">
    <w:name w:val="Header Char"/>
    <w:basedOn w:val="DefaultParagraphFont"/>
    <w:link w:val="Header"/>
    <w:uiPriority w:val="99"/>
    <w:rsid w:val="004D4BD2"/>
    <w:rPr>
      <w:color w:val="000000" w:themeColor="text1"/>
      <w:sz w:val="20"/>
      <w:lang w:val="en-AU"/>
    </w:rPr>
  </w:style>
  <w:style w:type="paragraph" w:styleId="Footer">
    <w:name w:val="footer"/>
    <w:aliases w:val="Footer small"/>
    <w:basedOn w:val="Normal"/>
    <w:link w:val="FooterChar"/>
    <w:uiPriority w:val="99"/>
    <w:rsid w:val="004D4BD2"/>
    <w:pPr>
      <w:tabs>
        <w:tab w:val="right" w:pos="8505"/>
      </w:tabs>
    </w:pPr>
    <w:rPr>
      <w:sz w:val="17"/>
    </w:rPr>
  </w:style>
  <w:style w:type="character" w:customStyle="1" w:styleId="FooterChar">
    <w:name w:val="Footer Char"/>
    <w:aliases w:val="Footer small Char"/>
    <w:basedOn w:val="DefaultParagraphFont"/>
    <w:link w:val="Footer"/>
    <w:uiPriority w:val="99"/>
    <w:rsid w:val="004D4BD2"/>
    <w:rPr>
      <w:color w:val="000000" w:themeColor="text1"/>
      <w:sz w:val="17"/>
      <w:lang w:val="en-AU"/>
    </w:rPr>
  </w:style>
  <w:style w:type="paragraph" w:styleId="BalloonText">
    <w:name w:val="Balloon Text"/>
    <w:basedOn w:val="Normal"/>
    <w:link w:val="BalloonTextChar"/>
    <w:uiPriority w:val="99"/>
    <w:semiHidden/>
    <w:unhideWhenUsed/>
    <w:rsid w:val="004D4BD2"/>
    <w:rPr>
      <w:rFonts w:ascii="Tahoma" w:hAnsi="Tahoma" w:cs="Tahoma"/>
      <w:sz w:val="16"/>
      <w:szCs w:val="16"/>
    </w:rPr>
  </w:style>
  <w:style w:type="character" w:customStyle="1" w:styleId="BalloonTextChar">
    <w:name w:val="Balloon Text Char"/>
    <w:basedOn w:val="DefaultParagraphFont"/>
    <w:link w:val="BalloonText"/>
    <w:uiPriority w:val="99"/>
    <w:semiHidden/>
    <w:rsid w:val="004D4BD2"/>
    <w:rPr>
      <w:rFonts w:ascii="Tahoma" w:hAnsi="Tahoma" w:cs="Tahoma"/>
      <w:color w:val="000000" w:themeColor="text1"/>
      <w:sz w:val="16"/>
      <w:szCs w:val="16"/>
      <w:lang w:val="en-AU"/>
    </w:rPr>
  </w:style>
  <w:style w:type="paragraph" w:styleId="BodyText">
    <w:name w:val="Body Text"/>
    <w:basedOn w:val="Normal"/>
    <w:link w:val="BodyTextChar"/>
    <w:uiPriority w:val="2"/>
    <w:qFormat/>
    <w:rsid w:val="004D4BD2"/>
    <w:pPr>
      <w:spacing w:before="200"/>
    </w:pPr>
  </w:style>
  <w:style w:type="character" w:customStyle="1" w:styleId="BodyTextChar">
    <w:name w:val="Body Text Char"/>
    <w:basedOn w:val="DefaultParagraphFont"/>
    <w:link w:val="BodyText"/>
    <w:uiPriority w:val="2"/>
    <w:rsid w:val="004D4BD2"/>
    <w:rPr>
      <w:color w:val="000000" w:themeColor="text1"/>
      <w:sz w:val="20"/>
      <w:lang w:val="en-AU"/>
    </w:rPr>
  </w:style>
  <w:style w:type="table" w:styleId="TableGrid">
    <w:name w:val="Table Grid"/>
    <w:basedOn w:val="TableNormal"/>
    <w:uiPriority w:val="59"/>
    <w:rsid w:val="004D4B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dress">
    <w:name w:val="Address"/>
    <w:basedOn w:val="BodyText"/>
    <w:qFormat/>
    <w:rsid w:val="004D4BD2"/>
    <w:pPr>
      <w:spacing w:before="0" w:after="0" w:line="288" w:lineRule="auto"/>
      <w:ind w:left="567"/>
    </w:pPr>
  </w:style>
  <w:style w:type="paragraph" w:styleId="Date">
    <w:name w:val="Date"/>
    <w:basedOn w:val="Normal"/>
    <w:next w:val="Normal"/>
    <w:link w:val="DateChar"/>
    <w:qFormat/>
    <w:rsid w:val="004D4BD2"/>
    <w:pPr>
      <w:spacing w:before="600" w:after="600"/>
    </w:pPr>
  </w:style>
  <w:style w:type="character" w:customStyle="1" w:styleId="DateChar">
    <w:name w:val="Date Char"/>
    <w:basedOn w:val="DefaultParagraphFont"/>
    <w:link w:val="Date"/>
    <w:rsid w:val="004D4BD2"/>
    <w:rPr>
      <w:color w:val="000000" w:themeColor="text1"/>
      <w:sz w:val="20"/>
      <w:lang w:val="en-AU"/>
    </w:rPr>
  </w:style>
  <w:style w:type="paragraph" w:customStyle="1" w:styleId="Subject">
    <w:name w:val="Subject"/>
    <w:basedOn w:val="BodyText"/>
    <w:qFormat/>
    <w:rsid w:val="004D4BD2"/>
    <w:pPr>
      <w:spacing w:before="0" w:after="400" w:line="288" w:lineRule="auto"/>
    </w:pPr>
    <w:rPr>
      <w:b/>
    </w:rPr>
  </w:style>
  <w:style w:type="paragraph" w:styleId="Closing">
    <w:name w:val="Closing"/>
    <w:basedOn w:val="BodyText"/>
    <w:link w:val="ClosingChar"/>
    <w:uiPriority w:val="2"/>
    <w:qFormat/>
    <w:rsid w:val="004D4BD2"/>
    <w:pPr>
      <w:spacing w:before="720" w:after="720"/>
    </w:pPr>
  </w:style>
  <w:style w:type="character" w:customStyle="1" w:styleId="ClosingChar">
    <w:name w:val="Closing Char"/>
    <w:basedOn w:val="DefaultParagraphFont"/>
    <w:link w:val="Closing"/>
    <w:uiPriority w:val="2"/>
    <w:rsid w:val="004D4BD2"/>
    <w:rPr>
      <w:color w:val="000000" w:themeColor="text1"/>
      <w:sz w:val="20"/>
      <w:lang w:val="en-AU"/>
    </w:rPr>
  </w:style>
  <w:style w:type="paragraph" w:customStyle="1" w:styleId="LowCarbonEmphasis">
    <w:name w:val="LowCarbonEmphasis"/>
    <w:basedOn w:val="BodyText"/>
    <w:qFormat/>
    <w:rsid w:val="00FC76F4"/>
    <w:pPr>
      <w:tabs>
        <w:tab w:val="left" w:pos="244"/>
      </w:tabs>
      <w:spacing w:before="0" w:after="0" w:line="280" w:lineRule="atLeast"/>
    </w:pPr>
    <w:rPr>
      <w:color w:val="58C2CB" w:themeColor="accent1"/>
    </w:rPr>
  </w:style>
  <w:style w:type="character" w:customStyle="1" w:styleId="Heading1Char">
    <w:name w:val="Heading 1 Char"/>
    <w:basedOn w:val="DefaultParagraphFont"/>
    <w:link w:val="Heading1"/>
    <w:uiPriority w:val="9"/>
    <w:rsid w:val="004D4BD2"/>
    <w:rPr>
      <w:rFonts w:asciiTheme="majorHAnsi" w:eastAsiaTheme="majorEastAsia" w:hAnsiTheme="majorHAnsi" w:cstheme="majorBidi"/>
      <w:bCs/>
      <w:sz w:val="30"/>
      <w:szCs w:val="28"/>
      <w:lang w:val="en-AU"/>
    </w:rPr>
  </w:style>
  <w:style w:type="character" w:customStyle="1" w:styleId="Heading2Char">
    <w:name w:val="Heading 2 Char"/>
    <w:basedOn w:val="DefaultParagraphFont"/>
    <w:link w:val="Heading2"/>
    <w:uiPriority w:val="9"/>
    <w:rsid w:val="004D4BD2"/>
    <w:rPr>
      <w:rFonts w:asciiTheme="majorHAnsi" w:eastAsiaTheme="majorEastAsia" w:hAnsiTheme="majorHAnsi" w:cstheme="majorBidi"/>
      <w:b/>
      <w:color w:val="000000" w:themeColor="text1"/>
      <w:sz w:val="20"/>
      <w:szCs w:val="26"/>
      <w:lang w:val="en-AU"/>
    </w:rPr>
  </w:style>
  <w:style w:type="character" w:styleId="SubtleReference">
    <w:name w:val="Subtle Reference"/>
    <w:basedOn w:val="DefaultParagraphFont"/>
    <w:uiPriority w:val="31"/>
    <w:qFormat/>
    <w:rsid w:val="004D4BD2"/>
    <w:rPr>
      <w:smallCaps/>
      <w:color w:val="595859" w:themeColor="accent2"/>
      <w:u w:val="single"/>
    </w:rPr>
  </w:style>
  <w:style w:type="character" w:styleId="IntenseReference">
    <w:name w:val="Intense Reference"/>
    <w:basedOn w:val="DefaultParagraphFont"/>
    <w:uiPriority w:val="32"/>
    <w:qFormat/>
    <w:rsid w:val="004D4BD2"/>
    <w:rPr>
      <w:b/>
      <w:bCs/>
      <w:smallCaps/>
      <w:color w:val="58C2CB" w:themeColor="accent1"/>
      <w:spacing w:val="5"/>
      <w:u w:val="single"/>
    </w:rPr>
  </w:style>
  <w:style w:type="character" w:styleId="PlaceholderText">
    <w:name w:val="Placeholder Text"/>
    <w:basedOn w:val="DefaultParagraphFont"/>
    <w:uiPriority w:val="99"/>
    <w:semiHidden/>
    <w:rsid w:val="004D4BD2"/>
    <w:rPr>
      <w:color w:val="808080"/>
    </w:rPr>
  </w:style>
  <w:style w:type="paragraph" w:customStyle="1" w:styleId="BodyBullet1">
    <w:name w:val="Body Bullet 1"/>
    <w:basedOn w:val="BodyText"/>
    <w:uiPriority w:val="3"/>
    <w:qFormat/>
    <w:rsid w:val="004D4BD2"/>
    <w:pPr>
      <w:numPr>
        <w:numId w:val="2"/>
      </w:numPr>
      <w:spacing w:before="120" w:after="120"/>
    </w:pPr>
  </w:style>
  <w:style w:type="paragraph" w:customStyle="1" w:styleId="BodyBullet2">
    <w:name w:val="Body Bullet 2"/>
    <w:basedOn w:val="BodyBullet1"/>
    <w:uiPriority w:val="3"/>
    <w:qFormat/>
    <w:rsid w:val="004D4BD2"/>
    <w:pPr>
      <w:numPr>
        <w:ilvl w:val="1"/>
      </w:numPr>
    </w:pPr>
  </w:style>
  <w:style w:type="paragraph" w:customStyle="1" w:styleId="BodyBullet3">
    <w:name w:val="Body Bullet 3"/>
    <w:basedOn w:val="BodyBullet2"/>
    <w:uiPriority w:val="3"/>
    <w:qFormat/>
    <w:rsid w:val="004D4BD2"/>
    <w:pPr>
      <w:numPr>
        <w:ilvl w:val="2"/>
      </w:numPr>
    </w:pPr>
  </w:style>
  <w:style w:type="paragraph" w:customStyle="1" w:styleId="BodyIndent1">
    <w:name w:val="Body Indent 1"/>
    <w:basedOn w:val="BodyBullet1"/>
    <w:uiPriority w:val="3"/>
    <w:rsid w:val="004D4BD2"/>
    <w:pPr>
      <w:numPr>
        <w:ilvl w:val="3"/>
      </w:numPr>
    </w:pPr>
  </w:style>
  <w:style w:type="paragraph" w:customStyle="1" w:styleId="BodyIndent2">
    <w:name w:val="Body Indent 2"/>
    <w:basedOn w:val="BodyBullet2"/>
    <w:uiPriority w:val="3"/>
    <w:rsid w:val="004D4BD2"/>
    <w:pPr>
      <w:numPr>
        <w:ilvl w:val="4"/>
      </w:numPr>
    </w:pPr>
  </w:style>
  <w:style w:type="paragraph" w:customStyle="1" w:styleId="BodyIndent3">
    <w:name w:val="Body Indent 3"/>
    <w:basedOn w:val="BodyBullet3"/>
    <w:uiPriority w:val="3"/>
    <w:rsid w:val="004D4BD2"/>
    <w:pPr>
      <w:numPr>
        <w:ilvl w:val="5"/>
      </w:numPr>
    </w:pPr>
  </w:style>
  <w:style w:type="paragraph" w:customStyle="1" w:styleId="BodyNumbering1">
    <w:name w:val="Body Numbering 1"/>
    <w:basedOn w:val="BodyBullet1"/>
    <w:uiPriority w:val="3"/>
    <w:rsid w:val="004D4BD2"/>
    <w:pPr>
      <w:numPr>
        <w:ilvl w:val="6"/>
        <w:numId w:val="8"/>
      </w:numPr>
    </w:pPr>
  </w:style>
  <w:style w:type="paragraph" w:customStyle="1" w:styleId="BodyNumbering2">
    <w:name w:val="Body Numbering 2"/>
    <w:basedOn w:val="BodyNumbering1"/>
    <w:uiPriority w:val="3"/>
    <w:rsid w:val="004D4BD2"/>
    <w:pPr>
      <w:numPr>
        <w:ilvl w:val="7"/>
      </w:numPr>
    </w:pPr>
  </w:style>
  <w:style w:type="paragraph" w:customStyle="1" w:styleId="BodyNumbering3">
    <w:name w:val="Body Numbering 3"/>
    <w:basedOn w:val="BodyNumbering2"/>
    <w:uiPriority w:val="3"/>
    <w:rsid w:val="004D4BD2"/>
    <w:pPr>
      <w:numPr>
        <w:ilvl w:val="8"/>
      </w:numPr>
    </w:pPr>
  </w:style>
  <w:style w:type="paragraph" w:styleId="NoSpacing">
    <w:name w:val="No Spacing"/>
    <w:uiPriority w:val="3"/>
    <w:qFormat/>
    <w:rsid w:val="004D4BD2"/>
    <w:pPr>
      <w:spacing w:after="0" w:line="280" w:lineRule="atLeast"/>
    </w:pPr>
    <w:rPr>
      <w:color w:val="000000" w:themeColor="text1"/>
      <w:sz w:val="20"/>
      <w:lang w:val="en-AU"/>
    </w:rPr>
  </w:style>
  <w:style w:type="character" w:customStyle="1" w:styleId="Heading3Char">
    <w:name w:val="Heading 3 Char"/>
    <w:basedOn w:val="DefaultParagraphFont"/>
    <w:link w:val="Heading3"/>
    <w:uiPriority w:val="9"/>
    <w:rsid w:val="004D4BD2"/>
    <w:rPr>
      <w:rFonts w:asciiTheme="majorHAnsi" w:eastAsiaTheme="majorEastAsia" w:hAnsiTheme="majorHAnsi" w:cstheme="majorBidi"/>
      <w:bCs/>
      <w:color w:val="58C2CB" w:themeColor="accent1"/>
      <w:sz w:val="20"/>
      <w:lang w:val="en-AU"/>
    </w:rPr>
  </w:style>
  <w:style w:type="character" w:customStyle="1" w:styleId="Heading4Char">
    <w:name w:val="Heading 4 Char"/>
    <w:basedOn w:val="DefaultParagraphFont"/>
    <w:link w:val="Heading4"/>
    <w:uiPriority w:val="9"/>
    <w:rsid w:val="004D4BD2"/>
    <w:rPr>
      <w:rFonts w:asciiTheme="majorHAnsi" w:eastAsiaTheme="majorEastAsia" w:hAnsiTheme="majorHAnsi" w:cstheme="majorBidi"/>
      <w:i/>
      <w:iCs/>
      <w:color w:val="595859" w:themeColor="text2"/>
      <w:sz w:val="20"/>
      <w:lang w:val="en-AU"/>
    </w:rPr>
  </w:style>
  <w:style w:type="character" w:customStyle="1" w:styleId="Heading5Char">
    <w:name w:val="Heading 5 Char"/>
    <w:basedOn w:val="DefaultParagraphFont"/>
    <w:link w:val="Heading5"/>
    <w:uiPriority w:val="9"/>
    <w:rsid w:val="004D4BD2"/>
    <w:rPr>
      <w:rFonts w:asciiTheme="majorHAnsi" w:eastAsiaTheme="majorEastAsia" w:hAnsiTheme="majorHAnsi" w:cstheme="majorBidi"/>
      <w:color w:val="22686E" w:themeColor="accent1" w:themeShade="7F"/>
      <w:sz w:val="20"/>
      <w:lang w:val="en-AU"/>
    </w:rPr>
  </w:style>
  <w:style w:type="character" w:customStyle="1" w:styleId="Heading6Char">
    <w:name w:val="Heading 6 Char"/>
    <w:basedOn w:val="DefaultParagraphFont"/>
    <w:link w:val="Heading6"/>
    <w:uiPriority w:val="9"/>
    <w:rsid w:val="004D4BD2"/>
    <w:rPr>
      <w:rFonts w:asciiTheme="majorHAnsi" w:eastAsiaTheme="majorEastAsia" w:hAnsiTheme="majorHAnsi" w:cstheme="majorBidi"/>
      <w:i/>
      <w:iCs/>
      <w:color w:val="22686E" w:themeColor="accent1" w:themeShade="7F"/>
      <w:sz w:val="20"/>
      <w:lang w:val="en-AU"/>
    </w:rPr>
  </w:style>
  <w:style w:type="character" w:customStyle="1" w:styleId="Heading7Char">
    <w:name w:val="Heading 7 Char"/>
    <w:basedOn w:val="DefaultParagraphFont"/>
    <w:link w:val="Heading7"/>
    <w:uiPriority w:val="9"/>
    <w:rsid w:val="004D4BD2"/>
    <w:rPr>
      <w:rFonts w:asciiTheme="majorHAnsi" w:eastAsiaTheme="majorEastAsia" w:hAnsiTheme="majorHAnsi" w:cstheme="majorBidi"/>
      <w:i/>
      <w:iCs/>
      <w:color w:val="404040" w:themeColor="text1" w:themeTint="BF"/>
      <w:sz w:val="20"/>
      <w:lang w:val="en-AU"/>
    </w:rPr>
  </w:style>
  <w:style w:type="character" w:customStyle="1" w:styleId="Heading8Char">
    <w:name w:val="Heading 8 Char"/>
    <w:basedOn w:val="DefaultParagraphFont"/>
    <w:link w:val="Heading8"/>
    <w:uiPriority w:val="9"/>
    <w:rsid w:val="004D4BD2"/>
    <w:rPr>
      <w:rFonts w:asciiTheme="majorHAnsi" w:eastAsiaTheme="majorEastAsia" w:hAnsiTheme="majorHAnsi" w:cstheme="majorBidi"/>
      <w:color w:val="404040" w:themeColor="text1" w:themeTint="BF"/>
      <w:sz w:val="20"/>
      <w:szCs w:val="20"/>
      <w:lang w:val="en-AU"/>
    </w:rPr>
  </w:style>
  <w:style w:type="character" w:customStyle="1" w:styleId="Heading9Char">
    <w:name w:val="Heading 9 Char"/>
    <w:basedOn w:val="DefaultParagraphFont"/>
    <w:link w:val="Heading9"/>
    <w:uiPriority w:val="9"/>
    <w:rsid w:val="004D4BD2"/>
    <w:rPr>
      <w:rFonts w:asciiTheme="majorHAnsi" w:eastAsiaTheme="majorEastAsia" w:hAnsiTheme="majorHAnsi" w:cstheme="majorBidi"/>
      <w:i/>
      <w:iCs/>
      <w:color w:val="404040" w:themeColor="text1" w:themeTint="BF"/>
      <w:sz w:val="20"/>
      <w:szCs w:val="20"/>
      <w:lang w:val="en-AU"/>
    </w:rPr>
  </w:style>
  <w:style w:type="paragraph" w:customStyle="1" w:styleId="Tabletext">
    <w:name w:val="Table text"/>
    <w:basedOn w:val="BodyText"/>
    <w:uiPriority w:val="1"/>
    <w:qFormat/>
    <w:rsid w:val="004D4BD2"/>
    <w:pPr>
      <w:spacing w:before="120" w:after="120"/>
    </w:pPr>
  </w:style>
  <w:style w:type="paragraph" w:customStyle="1" w:styleId="CEFCEmphasis">
    <w:name w:val="CEFC Emphasis"/>
    <w:basedOn w:val="BodyText"/>
    <w:qFormat/>
    <w:rsid w:val="004D4BD2"/>
    <w:pPr>
      <w:tabs>
        <w:tab w:val="left" w:pos="244"/>
      </w:tabs>
      <w:spacing w:before="0" w:after="0" w:line="280" w:lineRule="atLeast"/>
    </w:pPr>
    <w:rPr>
      <w:color w:val="58C2CB" w:themeColor="accent1"/>
    </w:rPr>
  </w:style>
  <w:style w:type="character" w:styleId="CommentReference">
    <w:name w:val="annotation reference"/>
    <w:basedOn w:val="DefaultParagraphFont"/>
    <w:uiPriority w:val="99"/>
    <w:semiHidden/>
    <w:unhideWhenUsed/>
    <w:rsid w:val="00FE1060"/>
    <w:rPr>
      <w:sz w:val="16"/>
      <w:szCs w:val="16"/>
    </w:rPr>
  </w:style>
  <w:style w:type="paragraph" w:styleId="CommentText">
    <w:name w:val="annotation text"/>
    <w:basedOn w:val="Normal"/>
    <w:link w:val="CommentTextChar"/>
    <w:uiPriority w:val="99"/>
    <w:semiHidden/>
    <w:unhideWhenUsed/>
    <w:rsid w:val="00FE1060"/>
    <w:rPr>
      <w:szCs w:val="20"/>
    </w:rPr>
  </w:style>
  <w:style w:type="character" w:customStyle="1" w:styleId="CommentTextChar">
    <w:name w:val="Comment Text Char"/>
    <w:basedOn w:val="DefaultParagraphFont"/>
    <w:link w:val="CommentText"/>
    <w:uiPriority w:val="99"/>
    <w:semiHidden/>
    <w:rsid w:val="00FE1060"/>
    <w:rPr>
      <w:color w:val="000000" w:themeColor="text1"/>
      <w:sz w:val="20"/>
      <w:szCs w:val="20"/>
      <w:lang w:val="en-AU"/>
    </w:rPr>
  </w:style>
  <w:style w:type="paragraph" w:styleId="CommentSubject">
    <w:name w:val="annotation subject"/>
    <w:basedOn w:val="CommentText"/>
    <w:next w:val="CommentText"/>
    <w:link w:val="CommentSubjectChar"/>
    <w:uiPriority w:val="99"/>
    <w:semiHidden/>
    <w:unhideWhenUsed/>
    <w:rsid w:val="00FE1060"/>
    <w:rPr>
      <w:b/>
      <w:bCs/>
    </w:rPr>
  </w:style>
  <w:style w:type="character" w:customStyle="1" w:styleId="CommentSubjectChar">
    <w:name w:val="Comment Subject Char"/>
    <w:basedOn w:val="CommentTextChar"/>
    <w:link w:val="CommentSubject"/>
    <w:uiPriority w:val="99"/>
    <w:semiHidden/>
    <w:rsid w:val="00FE1060"/>
    <w:rPr>
      <w:b/>
      <w:bCs/>
      <w:color w:val="000000" w:themeColor="text1"/>
      <w:sz w:val="20"/>
      <w:szCs w:val="20"/>
      <w:lang w:val="en-AU"/>
    </w:rPr>
  </w:style>
  <w:style w:type="table" w:customStyle="1" w:styleId="Style1">
    <w:name w:val="Style1"/>
    <w:basedOn w:val="TableNormal"/>
    <w:uiPriority w:val="99"/>
    <w:qFormat/>
    <w:rsid w:val="005C7278"/>
    <w:pPr>
      <w:spacing w:after="0" w:line="240" w:lineRule="auto"/>
    </w:pPr>
    <w:rPr>
      <w:lang w:val="en-AU"/>
    </w:rPr>
    <w:tblPr>
      <w:tblInd w:w="0" w:type="dxa"/>
      <w:tblBorders>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tblPr/>
      <w:tcPr>
        <w:shd w:val="clear" w:color="auto" w:fill="DDF2F4" w:themeFill="accent1" w:themeFillTint="33"/>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LowCarbonAustralia">
      <a:dk1>
        <a:sysClr val="windowText" lastClr="000000"/>
      </a:dk1>
      <a:lt1>
        <a:sysClr val="window" lastClr="FFFFFF"/>
      </a:lt1>
      <a:dk2>
        <a:srgbClr val="595859"/>
      </a:dk2>
      <a:lt2>
        <a:srgbClr val="A3A5A6"/>
      </a:lt2>
      <a:accent1>
        <a:srgbClr val="58C2CB"/>
      </a:accent1>
      <a:accent2>
        <a:srgbClr val="595859"/>
      </a:accent2>
      <a:accent3>
        <a:srgbClr val="A3A5A6"/>
      </a:accent3>
      <a:accent4>
        <a:srgbClr val="58C2CB"/>
      </a:accent4>
      <a:accent5>
        <a:srgbClr val="595859"/>
      </a:accent5>
      <a:accent6>
        <a:srgbClr val="A3A5A6"/>
      </a:accent6>
      <a:hlink>
        <a:srgbClr val="58C2CB"/>
      </a:hlink>
      <a:folHlink>
        <a:srgbClr val="595859"/>
      </a:folHlink>
    </a:clrScheme>
    <a:fontScheme name="Low Carbon">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1216</Words>
  <Characters>6934</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2015-03-03T02:29:00Z</dcterms:created>
  <dcterms:modified xsi:type="dcterms:W3CDTF">2015-03-03T02:29:00Z</dcterms:modified>
</cp:coreProperties>
</file>