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3FC88" w14:textId="77777777" w:rsidR="00731DC7" w:rsidRPr="0032491B" w:rsidRDefault="00731DC7" w:rsidP="00734777">
      <w:pPr>
        <w:jc w:val="center"/>
        <w:rPr>
          <w:rFonts w:ascii="Arial" w:hAnsi="Arial" w:cs="Arial"/>
          <w:b/>
          <w:sz w:val="20"/>
          <w:szCs w:val="20"/>
        </w:rPr>
      </w:pPr>
      <w:bookmarkStart w:id="0" w:name="_GoBack"/>
      <w:bookmarkEnd w:id="0"/>
      <w:r w:rsidRPr="0032491B">
        <w:rPr>
          <w:rFonts w:ascii="Arial" w:hAnsi="Arial" w:cs="Arial"/>
          <w:b/>
          <w:sz w:val="20"/>
          <w:szCs w:val="20"/>
        </w:rPr>
        <w:t>EXPLANATORY STATEMENT</w:t>
      </w:r>
    </w:p>
    <w:p w14:paraId="1D5BB0D8" w14:textId="77777777" w:rsidR="00FA7830" w:rsidRPr="0032491B" w:rsidRDefault="00FA7830" w:rsidP="00734777">
      <w:pPr>
        <w:jc w:val="center"/>
        <w:rPr>
          <w:rFonts w:ascii="Arial" w:hAnsi="Arial" w:cs="Arial"/>
          <w:b/>
          <w:sz w:val="20"/>
          <w:szCs w:val="20"/>
        </w:rPr>
      </w:pPr>
    </w:p>
    <w:p w14:paraId="1E4B9DA4" w14:textId="32DA3920" w:rsidR="00DF7DEA" w:rsidRPr="004267D0" w:rsidRDefault="00DF7DEA" w:rsidP="00734777">
      <w:pPr>
        <w:jc w:val="center"/>
        <w:rPr>
          <w:rFonts w:ascii="Arial" w:hAnsi="Arial" w:cs="Arial"/>
          <w:sz w:val="22"/>
          <w:szCs w:val="22"/>
        </w:rPr>
      </w:pPr>
      <w:r w:rsidRPr="004267D0">
        <w:rPr>
          <w:rFonts w:ascii="Arial" w:hAnsi="Arial" w:cs="Arial"/>
          <w:bCs/>
          <w:sz w:val="22"/>
          <w:szCs w:val="22"/>
        </w:rPr>
        <w:t>Prepared by the Australian Communications and Media Authority</w:t>
      </w:r>
    </w:p>
    <w:p w14:paraId="619C143A" w14:textId="67685D55" w:rsidR="00734777" w:rsidRPr="00577F1B" w:rsidRDefault="00D639E4" w:rsidP="004267D0">
      <w:pPr>
        <w:spacing w:before="160"/>
        <w:jc w:val="center"/>
        <w:rPr>
          <w:rFonts w:ascii="Arial" w:hAnsi="Arial" w:cs="Arial"/>
          <w:i/>
          <w:sz w:val="22"/>
          <w:szCs w:val="22"/>
        </w:rPr>
      </w:pPr>
      <w:r w:rsidRPr="00577F1B">
        <w:rPr>
          <w:rFonts w:ascii="Arial" w:hAnsi="Arial" w:cs="Arial"/>
          <w:i/>
          <w:sz w:val="22"/>
          <w:szCs w:val="22"/>
        </w:rPr>
        <w:t xml:space="preserve">Telecommunications (Section of </w:t>
      </w:r>
      <w:r w:rsidR="009372B3">
        <w:rPr>
          <w:rFonts w:ascii="Arial" w:hAnsi="Arial" w:cs="Arial"/>
          <w:i/>
          <w:sz w:val="22"/>
          <w:szCs w:val="22"/>
        </w:rPr>
        <w:t xml:space="preserve">the </w:t>
      </w:r>
      <w:r w:rsidRPr="00577F1B">
        <w:rPr>
          <w:rFonts w:ascii="Arial" w:hAnsi="Arial" w:cs="Arial"/>
          <w:i/>
          <w:sz w:val="22"/>
          <w:szCs w:val="22"/>
        </w:rPr>
        <w:t>Telecommunications Industry</w:t>
      </w:r>
      <w:r w:rsidR="001F477B" w:rsidRPr="00577F1B">
        <w:rPr>
          <w:rFonts w:ascii="Arial" w:hAnsi="Arial" w:cs="Arial"/>
          <w:i/>
          <w:sz w:val="22"/>
          <w:szCs w:val="22"/>
        </w:rPr>
        <w:t xml:space="preserve"> – Cabling Service Operators</w:t>
      </w:r>
      <w:r w:rsidRPr="00577F1B">
        <w:rPr>
          <w:rFonts w:ascii="Arial" w:hAnsi="Arial" w:cs="Arial"/>
          <w:i/>
          <w:sz w:val="22"/>
          <w:szCs w:val="22"/>
        </w:rPr>
        <w:t>) Determination 2015</w:t>
      </w:r>
    </w:p>
    <w:p w14:paraId="3BC0D308" w14:textId="3028E4F6" w:rsidR="00A23C68" w:rsidRPr="00577F1B" w:rsidRDefault="00577F1B" w:rsidP="00577F1B">
      <w:pPr>
        <w:spacing w:before="160"/>
        <w:jc w:val="center"/>
        <w:rPr>
          <w:rFonts w:ascii="Arial" w:hAnsi="Arial" w:cs="Arial"/>
          <w:b/>
          <w:i/>
          <w:sz w:val="22"/>
          <w:szCs w:val="22"/>
        </w:rPr>
      </w:pPr>
      <w:r w:rsidRPr="00577F1B">
        <w:rPr>
          <w:rFonts w:ascii="Arial" w:hAnsi="Arial" w:cs="Arial"/>
          <w:b/>
          <w:i/>
          <w:sz w:val="22"/>
          <w:szCs w:val="22"/>
        </w:rPr>
        <w:t>Telecommunications Act 1997</w:t>
      </w:r>
    </w:p>
    <w:p w14:paraId="4E07894D" w14:textId="77777777" w:rsidR="00734777" w:rsidRPr="0032491B" w:rsidRDefault="00734777" w:rsidP="00731DC7">
      <w:pPr>
        <w:rPr>
          <w:rFonts w:ascii="Arial" w:hAnsi="Arial" w:cs="Arial"/>
          <w:sz w:val="20"/>
          <w:szCs w:val="20"/>
        </w:rPr>
      </w:pPr>
    </w:p>
    <w:p w14:paraId="708E0A12" w14:textId="173D1C48" w:rsidR="00AB7932" w:rsidRDefault="00AB7932" w:rsidP="008F73B4">
      <w:pPr>
        <w:rPr>
          <w:rFonts w:ascii="Arial" w:hAnsi="Arial" w:cs="Arial"/>
          <w:b/>
          <w:sz w:val="20"/>
          <w:szCs w:val="20"/>
        </w:rPr>
      </w:pPr>
      <w:r>
        <w:rPr>
          <w:rFonts w:ascii="Arial" w:hAnsi="Arial" w:cs="Arial"/>
          <w:b/>
          <w:sz w:val="20"/>
          <w:szCs w:val="20"/>
        </w:rPr>
        <w:t>Purpose</w:t>
      </w:r>
    </w:p>
    <w:p w14:paraId="79DFBC06" w14:textId="77777777" w:rsidR="00AB7932" w:rsidRDefault="00AB7932" w:rsidP="008F73B4">
      <w:pPr>
        <w:rPr>
          <w:rFonts w:ascii="Arial" w:hAnsi="Arial" w:cs="Arial"/>
          <w:b/>
          <w:sz w:val="20"/>
          <w:szCs w:val="20"/>
        </w:rPr>
      </w:pPr>
    </w:p>
    <w:p w14:paraId="4277B0DA" w14:textId="7C8BF1A5" w:rsidR="00AB7932" w:rsidRDefault="00AB7932" w:rsidP="008F73B4">
      <w:pPr>
        <w:rPr>
          <w:rFonts w:ascii="Arial" w:hAnsi="Arial" w:cs="Arial"/>
          <w:sz w:val="20"/>
          <w:szCs w:val="20"/>
        </w:rPr>
      </w:pPr>
      <w:r w:rsidRPr="002C41A0">
        <w:rPr>
          <w:rFonts w:ascii="Arial" w:hAnsi="Arial" w:cs="Arial"/>
          <w:sz w:val="20"/>
          <w:szCs w:val="20"/>
        </w:rPr>
        <w:t>The</w:t>
      </w:r>
      <w:r w:rsidR="002C41A0" w:rsidRPr="002C41A0">
        <w:rPr>
          <w:rFonts w:ascii="Arial" w:hAnsi="Arial" w:cs="Arial"/>
          <w:sz w:val="20"/>
          <w:szCs w:val="20"/>
        </w:rPr>
        <w:t xml:space="preserve"> </w:t>
      </w:r>
      <w:r w:rsidRPr="003518B5">
        <w:rPr>
          <w:rFonts w:ascii="Arial" w:hAnsi="Arial" w:cs="Arial"/>
          <w:sz w:val="20"/>
          <w:szCs w:val="20"/>
        </w:rPr>
        <w:t xml:space="preserve">Australian Communications and Media Authority (the </w:t>
      </w:r>
      <w:r w:rsidRPr="003518B5">
        <w:rPr>
          <w:rFonts w:ascii="Arial" w:hAnsi="Arial" w:cs="Arial"/>
          <w:b/>
          <w:sz w:val="20"/>
          <w:szCs w:val="20"/>
        </w:rPr>
        <w:t>ACMA</w:t>
      </w:r>
      <w:r w:rsidRPr="003518B5">
        <w:rPr>
          <w:rFonts w:ascii="Arial" w:hAnsi="Arial" w:cs="Arial"/>
          <w:sz w:val="20"/>
          <w:szCs w:val="20"/>
        </w:rPr>
        <w:t xml:space="preserve">) has made the </w:t>
      </w:r>
      <w:r w:rsidRPr="002C41A0">
        <w:rPr>
          <w:rFonts w:ascii="Arial" w:hAnsi="Arial" w:cs="Arial"/>
          <w:i/>
          <w:sz w:val="20"/>
          <w:szCs w:val="20"/>
        </w:rPr>
        <w:t>Telecommunications (Section of</w:t>
      </w:r>
      <w:r w:rsidR="009372B3">
        <w:rPr>
          <w:rFonts w:ascii="Arial" w:hAnsi="Arial" w:cs="Arial"/>
          <w:i/>
          <w:sz w:val="20"/>
          <w:szCs w:val="20"/>
        </w:rPr>
        <w:t xml:space="preserve"> the</w:t>
      </w:r>
      <w:r w:rsidRPr="002C41A0">
        <w:rPr>
          <w:rFonts w:ascii="Arial" w:hAnsi="Arial" w:cs="Arial"/>
          <w:i/>
          <w:sz w:val="20"/>
          <w:szCs w:val="20"/>
        </w:rPr>
        <w:t xml:space="preserve"> Telecommunications Industry – Cabling Service Operators) Determination 2015</w:t>
      </w:r>
      <w:r w:rsidRPr="00020C29">
        <w:rPr>
          <w:rFonts w:ascii="Arial" w:hAnsi="Arial" w:cs="Arial"/>
          <w:sz w:val="20"/>
          <w:szCs w:val="20"/>
        </w:rPr>
        <w:t xml:space="preserve"> (</w:t>
      </w:r>
      <w:r w:rsidRPr="003518B5">
        <w:rPr>
          <w:rFonts w:ascii="Arial" w:hAnsi="Arial" w:cs="Arial"/>
          <w:sz w:val="20"/>
          <w:szCs w:val="20"/>
        </w:rPr>
        <w:t>the</w:t>
      </w:r>
      <w:r w:rsidRPr="002C41A0">
        <w:rPr>
          <w:rFonts w:ascii="Arial" w:hAnsi="Arial" w:cs="Arial"/>
          <w:b/>
          <w:sz w:val="20"/>
          <w:szCs w:val="20"/>
        </w:rPr>
        <w:t xml:space="preserve"> Determination</w:t>
      </w:r>
      <w:r w:rsidRPr="00020C29">
        <w:rPr>
          <w:rFonts w:ascii="Arial" w:hAnsi="Arial" w:cs="Arial"/>
          <w:sz w:val="20"/>
          <w:szCs w:val="20"/>
        </w:rPr>
        <w:t xml:space="preserve">) </w:t>
      </w:r>
      <w:r w:rsidR="002C41A0" w:rsidRPr="00020C29">
        <w:rPr>
          <w:rFonts w:ascii="Arial" w:hAnsi="Arial" w:cs="Arial"/>
          <w:sz w:val="20"/>
          <w:szCs w:val="20"/>
        </w:rPr>
        <w:t xml:space="preserve">to replace the </w:t>
      </w:r>
      <w:r w:rsidR="002C41A0" w:rsidRPr="00020C29">
        <w:rPr>
          <w:rFonts w:ascii="Arial" w:hAnsi="Arial" w:cs="Arial"/>
          <w:i/>
          <w:sz w:val="20"/>
          <w:szCs w:val="20"/>
        </w:rPr>
        <w:t>Telecommunications (Section of Telecommunications Industry) Determination 2003 (No. 1)</w:t>
      </w:r>
      <w:r w:rsidR="002C41A0" w:rsidRPr="00020C29">
        <w:rPr>
          <w:rFonts w:ascii="Arial" w:hAnsi="Arial" w:cs="Arial"/>
          <w:sz w:val="20"/>
          <w:szCs w:val="20"/>
        </w:rPr>
        <w:t xml:space="preserve"> (</w:t>
      </w:r>
      <w:r w:rsidR="002C41A0" w:rsidRPr="003518B5">
        <w:rPr>
          <w:rFonts w:ascii="Arial" w:hAnsi="Arial" w:cs="Arial"/>
          <w:sz w:val="20"/>
          <w:szCs w:val="20"/>
        </w:rPr>
        <w:t>the</w:t>
      </w:r>
      <w:r w:rsidR="002C41A0" w:rsidRPr="002C41A0">
        <w:rPr>
          <w:rFonts w:ascii="Arial" w:hAnsi="Arial" w:cs="Arial"/>
          <w:b/>
          <w:sz w:val="20"/>
          <w:szCs w:val="20"/>
        </w:rPr>
        <w:t xml:space="preserve"> 2003 Determination</w:t>
      </w:r>
      <w:r w:rsidR="002C41A0" w:rsidRPr="00020C29">
        <w:rPr>
          <w:rFonts w:ascii="Arial" w:hAnsi="Arial" w:cs="Arial"/>
          <w:sz w:val="20"/>
          <w:szCs w:val="20"/>
        </w:rPr>
        <w:t>)</w:t>
      </w:r>
      <w:r w:rsidR="00AC3262">
        <w:rPr>
          <w:rFonts w:ascii="Arial" w:hAnsi="Arial" w:cs="Arial"/>
          <w:sz w:val="20"/>
          <w:szCs w:val="20"/>
        </w:rPr>
        <w:t>.</w:t>
      </w:r>
      <w:r w:rsidR="002C41A0" w:rsidRPr="00020C29">
        <w:rPr>
          <w:rFonts w:ascii="Arial" w:hAnsi="Arial" w:cs="Arial"/>
          <w:sz w:val="20"/>
          <w:szCs w:val="20"/>
        </w:rPr>
        <w:t xml:space="preserve"> </w:t>
      </w:r>
    </w:p>
    <w:p w14:paraId="01B1A382" w14:textId="77777777" w:rsidR="002C41A0" w:rsidRDefault="002C41A0" w:rsidP="008F73B4">
      <w:pPr>
        <w:rPr>
          <w:rFonts w:ascii="Arial" w:hAnsi="Arial" w:cs="Arial"/>
          <w:sz w:val="20"/>
          <w:szCs w:val="20"/>
        </w:rPr>
      </w:pPr>
    </w:p>
    <w:p w14:paraId="2BFEC45E" w14:textId="29D172E7" w:rsidR="002C41A0" w:rsidRPr="002C41A0" w:rsidRDefault="002C41A0" w:rsidP="008F73B4">
      <w:pPr>
        <w:rPr>
          <w:rFonts w:ascii="Arial" w:hAnsi="Arial" w:cs="Arial"/>
          <w:sz w:val="20"/>
          <w:szCs w:val="20"/>
        </w:rPr>
      </w:pPr>
      <w:r>
        <w:rPr>
          <w:rFonts w:ascii="Arial" w:hAnsi="Arial" w:cs="Arial"/>
          <w:sz w:val="20"/>
          <w:szCs w:val="20"/>
        </w:rPr>
        <w:t xml:space="preserve">The ACMA has made the Determination as the 2003 Determination was due to be automatically repealed on 1 April 2015, in accordance with Part 6 of the </w:t>
      </w:r>
      <w:r w:rsidRPr="00E95936">
        <w:rPr>
          <w:rFonts w:ascii="Arial" w:hAnsi="Arial" w:cs="Arial"/>
          <w:i/>
          <w:sz w:val="20"/>
          <w:szCs w:val="20"/>
        </w:rPr>
        <w:t>Legislative Instruments Act</w:t>
      </w:r>
      <w:r w:rsidR="009372B3">
        <w:rPr>
          <w:rFonts w:ascii="Arial" w:hAnsi="Arial" w:cs="Arial"/>
          <w:i/>
          <w:sz w:val="20"/>
          <w:szCs w:val="20"/>
        </w:rPr>
        <w:t xml:space="preserve"> 2003</w:t>
      </w:r>
      <w:r>
        <w:rPr>
          <w:rFonts w:ascii="Arial" w:hAnsi="Arial" w:cs="Arial"/>
          <w:sz w:val="20"/>
          <w:szCs w:val="20"/>
        </w:rPr>
        <w:t xml:space="preserve"> (the </w:t>
      </w:r>
      <w:r w:rsidRPr="003518B5">
        <w:rPr>
          <w:rFonts w:ascii="Arial" w:hAnsi="Arial" w:cs="Arial"/>
          <w:b/>
          <w:sz w:val="20"/>
          <w:szCs w:val="20"/>
        </w:rPr>
        <w:t>LIA</w:t>
      </w:r>
      <w:r>
        <w:rPr>
          <w:rFonts w:ascii="Arial" w:hAnsi="Arial" w:cs="Arial"/>
          <w:sz w:val="20"/>
          <w:szCs w:val="20"/>
        </w:rPr>
        <w:t xml:space="preserve">). </w:t>
      </w:r>
    </w:p>
    <w:p w14:paraId="65698CA7" w14:textId="77777777" w:rsidR="00AB7932" w:rsidRDefault="00AB7932" w:rsidP="008F73B4">
      <w:pPr>
        <w:rPr>
          <w:rFonts w:ascii="Arial" w:hAnsi="Arial" w:cs="Arial"/>
          <w:b/>
          <w:sz w:val="20"/>
          <w:szCs w:val="20"/>
        </w:rPr>
      </w:pPr>
    </w:p>
    <w:p w14:paraId="122B3F38" w14:textId="77777777" w:rsidR="008F73B4" w:rsidRPr="0032491B" w:rsidRDefault="008F73B4" w:rsidP="008F73B4">
      <w:pPr>
        <w:rPr>
          <w:rFonts w:ascii="Arial" w:hAnsi="Arial" w:cs="Arial"/>
          <w:b/>
          <w:sz w:val="20"/>
          <w:szCs w:val="20"/>
        </w:rPr>
      </w:pPr>
      <w:r w:rsidRPr="0032491B">
        <w:rPr>
          <w:rFonts w:ascii="Arial" w:hAnsi="Arial" w:cs="Arial"/>
          <w:b/>
          <w:sz w:val="20"/>
          <w:szCs w:val="20"/>
        </w:rPr>
        <w:t>Legislative Provisions</w:t>
      </w:r>
    </w:p>
    <w:p w14:paraId="2024FE91" w14:textId="77777777" w:rsidR="00D639E4" w:rsidRDefault="00D639E4">
      <w:pPr>
        <w:pStyle w:val="ACMABodyText"/>
        <w:spacing w:before="0" w:after="0"/>
        <w:rPr>
          <w:rFonts w:ascii="Arial" w:hAnsi="Arial" w:cs="Arial"/>
          <w:sz w:val="20"/>
        </w:rPr>
      </w:pPr>
    </w:p>
    <w:p w14:paraId="6E3E89A8" w14:textId="77777777" w:rsidR="00F708F0" w:rsidRDefault="0039618A" w:rsidP="009350CF">
      <w:pPr>
        <w:pStyle w:val="indenta"/>
        <w:tabs>
          <w:tab w:val="left" w:pos="720"/>
        </w:tabs>
        <w:spacing w:before="0" w:line="280" w:lineRule="atLeast"/>
        <w:ind w:left="0" w:firstLine="0"/>
        <w:rPr>
          <w:rFonts w:ascii="Arial" w:hAnsi="Arial" w:cs="Arial"/>
          <w:sz w:val="20"/>
        </w:rPr>
      </w:pPr>
      <w:bookmarkStart w:id="1" w:name="_Toc488571218"/>
      <w:r>
        <w:rPr>
          <w:rStyle w:val="CharSectno"/>
          <w:rFonts w:ascii="Arial" w:hAnsi="Arial" w:cs="Arial"/>
          <w:sz w:val="20"/>
        </w:rPr>
        <w:t xml:space="preserve">Part 6 of the </w:t>
      </w:r>
      <w:r>
        <w:rPr>
          <w:rFonts w:ascii="Arial" w:hAnsi="Arial" w:cs="Arial"/>
          <w:i/>
          <w:sz w:val="20"/>
        </w:rPr>
        <w:t xml:space="preserve">Telecommunications Act 1997 </w:t>
      </w:r>
      <w:r>
        <w:rPr>
          <w:rFonts w:ascii="Arial" w:hAnsi="Arial" w:cs="Arial"/>
          <w:sz w:val="20"/>
        </w:rPr>
        <w:t>(</w:t>
      </w:r>
      <w:r w:rsidRPr="003518B5">
        <w:rPr>
          <w:rFonts w:ascii="Arial" w:hAnsi="Arial" w:cs="Arial"/>
          <w:sz w:val="20"/>
        </w:rPr>
        <w:t>the</w:t>
      </w:r>
      <w:r w:rsidRPr="004267D0">
        <w:rPr>
          <w:rFonts w:ascii="Arial" w:hAnsi="Arial" w:cs="Arial"/>
          <w:b/>
          <w:sz w:val="20"/>
        </w:rPr>
        <w:t xml:space="preserve"> Act</w:t>
      </w:r>
      <w:r>
        <w:rPr>
          <w:rFonts w:ascii="Arial" w:hAnsi="Arial" w:cs="Arial"/>
          <w:sz w:val="20"/>
        </w:rPr>
        <w:t>) provides that</w:t>
      </w:r>
      <w:r w:rsidR="00F708F0">
        <w:rPr>
          <w:rFonts w:ascii="Arial" w:hAnsi="Arial" w:cs="Arial"/>
          <w:sz w:val="20"/>
        </w:rPr>
        <w:t>:</w:t>
      </w:r>
      <w:r>
        <w:rPr>
          <w:rFonts w:ascii="Arial" w:hAnsi="Arial" w:cs="Arial"/>
          <w:sz w:val="20"/>
        </w:rPr>
        <w:t xml:space="preserve"> </w:t>
      </w:r>
    </w:p>
    <w:p w14:paraId="4F2FD72C" w14:textId="72ADFAA0" w:rsidR="00F708F0" w:rsidRDefault="0039618A" w:rsidP="00F708F0">
      <w:pPr>
        <w:pStyle w:val="indenta"/>
        <w:numPr>
          <w:ilvl w:val="0"/>
          <w:numId w:val="15"/>
        </w:numPr>
        <w:tabs>
          <w:tab w:val="left" w:pos="720"/>
        </w:tabs>
        <w:spacing w:before="0" w:line="280" w:lineRule="atLeast"/>
        <w:rPr>
          <w:rFonts w:ascii="Arial" w:hAnsi="Arial" w:cs="Arial"/>
          <w:sz w:val="20"/>
        </w:rPr>
      </w:pPr>
      <w:r>
        <w:rPr>
          <w:rFonts w:ascii="Arial" w:hAnsi="Arial" w:cs="Arial"/>
          <w:sz w:val="20"/>
        </w:rPr>
        <w:t>bodies representing sections of the telecommunications indu</w:t>
      </w:r>
      <w:r w:rsidR="00F708F0">
        <w:rPr>
          <w:rFonts w:ascii="Arial" w:hAnsi="Arial" w:cs="Arial"/>
          <w:sz w:val="20"/>
        </w:rPr>
        <w:t>stry may develop industry codes;</w:t>
      </w:r>
      <w:r>
        <w:rPr>
          <w:rFonts w:ascii="Arial" w:hAnsi="Arial" w:cs="Arial"/>
          <w:sz w:val="20"/>
        </w:rPr>
        <w:t xml:space="preserve"> </w:t>
      </w:r>
    </w:p>
    <w:p w14:paraId="14682520" w14:textId="77777777" w:rsidR="00F708F0" w:rsidRDefault="0039618A" w:rsidP="00F708F0">
      <w:pPr>
        <w:pStyle w:val="indenta"/>
        <w:numPr>
          <w:ilvl w:val="0"/>
          <w:numId w:val="15"/>
        </w:numPr>
        <w:tabs>
          <w:tab w:val="left" w:pos="720"/>
        </w:tabs>
        <w:spacing w:before="0" w:line="280" w:lineRule="atLeast"/>
        <w:rPr>
          <w:rFonts w:ascii="Arial" w:hAnsi="Arial" w:cs="Arial"/>
          <w:sz w:val="20"/>
        </w:rPr>
      </w:pPr>
      <w:r>
        <w:rPr>
          <w:rFonts w:ascii="Arial" w:hAnsi="Arial" w:cs="Arial"/>
          <w:sz w:val="20"/>
        </w:rPr>
        <w:t>the ACMA may register these codes</w:t>
      </w:r>
      <w:r w:rsidR="00F708F0">
        <w:rPr>
          <w:rFonts w:ascii="Arial" w:hAnsi="Arial" w:cs="Arial"/>
          <w:sz w:val="20"/>
        </w:rPr>
        <w:t>;</w:t>
      </w:r>
      <w:r>
        <w:rPr>
          <w:rFonts w:ascii="Arial" w:hAnsi="Arial" w:cs="Arial"/>
          <w:sz w:val="20"/>
        </w:rPr>
        <w:t xml:space="preserve"> and </w:t>
      </w:r>
    </w:p>
    <w:p w14:paraId="1F72EFA2" w14:textId="7693270D" w:rsidR="00F708F0" w:rsidRDefault="0039618A" w:rsidP="00F708F0">
      <w:pPr>
        <w:pStyle w:val="indenta"/>
        <w:numPr>
          <w:ilvl w:val="0"/>
          <w:numId w:val="15"/>
        </w:numPr>
        <w:tabs>
          <w:tab w:val="left" w:pos="720"/>
        </w:tabs>
        <w:spacing w:before="0" w:line="280" w:lineRule="atLeast"/>
        <w:rPr>
          <w:rFonts w:ascii="Arial" w:hAnsi="Arial" w:cs="Arial"/>
          <w:sz w:val="20"/>
        </w:rPr>
      </w:pPr>
      <w:proofErr w:type="gramStart"/>
      <w:r>
        <w:rPr>
          <w:rFonts w:ascii="Arial" w:hAnsi="Arial" w:cs="Arial"/>
          <w:sz w:val="20"/>
        </w:rPr>
        <w:t>the</w:t>
      </w:r>
      <w:proofErr w:type="gramEnd"/>
      <w:r>
        <w:rPr>
          <w:rFonts w:ascii="Arial" w:hAnsi="Arial" w:cs="Arial"/>
          <w:sz w:val="20"/>
        </w:rPr>
        <w:t xml:space="preserve"> ACMA may direct a particular participant in the telecommunications industry to comply with such a code.</w:t>
      </w:r>
    </w:p>
    <w:p w14:paraId="51FE798E" w14:textId="77777777" w:rsidR="00F708F0" w:rsidRDefault="00F708F0" w:rsidP="00F708F0">
      <w:pPr>
        <w:pStyle w:val="indenta"/>
        <w:tabs>
          <w:tab w:val="left" w:pos="720"/>
        </w:tabs>
        <w:spacing w:before="0" w:line="280" w:lineRule="atLeast"/>
        <w:ind w:left="720" w:firstLine="0"/>
        <w:rPr>
          <w:rStyle w:val="CharSectno"/>
          <w:rFonts w:ascii="Arial" w:hAnsi="Arial" w:cs="Arial"/>
          <w:sz w:val="20"/>
        </w:rPr>
      </w:pPr>
    </w:p>
    <w:p w14:paraId="4646D57F" w14:textId="79340E38" w:rsidR="004B128C" w:rsidRDefault="00366F54" w:rsidP="00F708F0">
      <w:pPr>
        <w:pStyle w:val="indenta"/>
        <w:tabs>
          <w:tab w:val="left" w:pos="720"/>
        </w:tabs>
        <w:spacing w:before="0" w:line="280" w:lineRule="atLeast"/>
        <w:ind w:left="0" w:firstLine="0"/>
        <w:rPr>
          <w:rFonts w:ascii="Arial" w:hAnsi="Arial" w:cs="Arial"/>
          <w:sz w:val="20"/>
        </w:rPr>
      </w:pPr>
      <w:r>
        <w:rPr>
          <w:rStyle w:val="CharSectno"/>
          <w:rFonts w:ascii="Arial" w:hAnsi="Arial" w:cs="Arial"/>
          <w:sz w:val="20"/>
        </w:rPr>
        <w:t xml:space="preserve">Industry codes apply to sections of the telecommunications industry as defined in </w:t>
      </w:r>
      <w:r w:rsidR="004B128C">
        <w:rPr>
          <w:rStyle w:val="CharSectno"/>
          <w:rFonts w:ascii="Arial" w:hAnsi="Arial" w:cs="Arial"/>
          <w:sz w:val="20"/>
        </w:rPr>
        <w:t>sub</w:t>
      </w:r>
      <w:r>
        <w:rPr>
          <w:rStyle w:val="CharSectno"/>
          <w:rFonts w:ascii="Arial" w:hAnsi="Arial" w:cs="Arial"/>
          <w:sz w:val="20"/>
        </w:rPr>
        <w:t>section 110</w:t>
      </w:r>
      <w:r w:rsidR="004B128C">
        <w:rPr>
          <w:rStyle w:val="CharSectno"/>
          <w:rFonts w:ascii="Arial" w:hAnsi="Arial" w:cs="Arial"/>
          <w:sz w:val="20"/>
        </w:rPr>
        <w:t>(2)</w:t>
      </w:r>
      <w:r>
        <w:rPr>
          <w:rStyle w:val="CharSectno"/>
          <w:rFonts w:ascii="Arial" w:hAnsi="Arial" w:cs="Arial"/>
          <w:sz w:val="20"/>
        </w:rPr>
        <w:t xml:space="preserve"> of the Act.  </w:t>
      </w:r>
      <w:r w:rsidR="004B128C">
        <w:rPr>
          <w:rStyle w:val="CharSectno"/>
          <w:rFonts w:ascii="Arial" w:hAnsi="Arial" w:cs="Arial"/>
          <w:sz w:val="20"/>
        </w:rPr>
        <w:t xml:space="preserve">In some circumstances, parties who undertake </w:t>
      </w:r>
      <w:r w:rsidR="00056F3D">
        <w:rPr>
          <w:rStyle w:val="CharSectno"/>
          <w:rFonts w:ascii="Arial" w:hAnsi="Arial" w:cs="Arial"/>
          <w:sz w:val="20"/>
        </w:rPr>
        <w:t xml:space="preserve">a </w:t>
      </w:r>
      <w:r w:rsidR="004B128C">
        <w:rPr>
          <w:rStyle w:val="CharSectno"/>
          <w:rFonts w:ascii="Arial" w:hAnsi="Arial" w:cs="Arial"/>
          <w:sz w:val="20"/>
        </w:rPr>
        <w:t xml:space="preserve">telecommunications </w:t>
      </w:r>
      <w:r w:rsidR="00056F3D">
        <w:rPr>
          <w:rStyle w:val="CharSectno"/>
          <w:rFonts w:ascii="Arial" w:hAnsi="Arial" w:cs="Arial"/>
          <w:sz w:val="20"/>
        </w:rPr>
        <w:t xml:space="preserve">activity </w:t>
      </w:r>
      <w:r w:rsidR="004B128C">
        <w:rPr>
          <w:rStyle w:val="CharSectno"/>
          <w:rFonts w:ascii="Arial" w:hAnsi="Arial" w:cs="Arial"/>
          <w:sz w:val="20"/>
        </w:rPr>
        <w:t>may not</w:t>
      </w:r>
      <w:r w:rsidR="00056F3D">
        <w:rPr>
          <w:rStyle w:val="CharSectno"/>
          <w:rFonts w:ascii="Arial" w:hAnsi="Arial" w:cs="Arial"/>
          <w:sz w:val="20"/>
        </w:rPr>
        <w:t xml:space="preserve"> fall within a</w:t>
      </w:r>
      <w:r w:rsidR="004B128C">
        <w:rPr>
          <w:rStyle w:val="CharSectno"/>
          <w:rFonts w:ascii="Arial" w:hAnsi="Arial" w:cs="Arial"/>
          <w:sz w:val="20"/>
        </w:rPr>
        <w:t xml:space="preserve"> section of the telecommunications industry</w:t>
      </w:r>
      <w:r w:rsidR="00DF7DEA">
        <w:rPr>
          <w:rStyle w:val="CharSectno"/>
          <w:rFonts w:ascii="Arial" w:hAnsi="Arial" w:cs="Arial"/>
          <w:sz w:val="20"/>
        </w:rPr>
        <w:t xml:space="preserve"> as defined</w:t>
      </w:r>
      <w:r w:rsidR="004B128C">
        <w:rPr>
          <w:rStyle w:val="CharSectno"/>
          <w:rFonts w:ascii="Arial" w:hAnsi="Arial" w:cs="Arial"/>
          <w:sz w:val="20"/>
        </w:rPr>
        <w:t xml:space="preserve">.  </w:t>
      </w:r>
      <w:r w:rsidR="00A95B8A" w:rsidRPr="0032491B">
        <w:rPr>
          <w:rStyle w:val="CharSectno"/>
          <w:rFonts w:ascii="Arial" w:hAnsi="Arial" w:cs="Arial"/>
          <w:sz w:val="20"/>
        </w:rPr>
        <w:t xml:space="preserve">Subsection </w:t>
      </w:r>
      <w:r w:rsidR="00D62A46">
        <w:rPr>
          <w:rStyle w:val="CharSectno"/>
          <w:rFonts w:ascii="Arial" w:hAnsi="Arial" w:cs="Arial"/>
          <w:sz w:val="20"/>
        </w:rPr>
        <w:t xml:space="preserve">110(3) </w:t>
      </w:r>
      <w:bookmarkEnd w:id="1"/>
      <w:r w:rsidR="00A95B8A" w:rsidRPr="0032491B">
        <w:rPr>
          <w:rFonts w:ascii="Arial" w:hAnsi="Arial" w:cs="Arial"/>
          <w:sz w:val="20"/>
        </w:rPr>
        <w:t>of the</w:t>
      </w:r>
      <w:r w:rsidR="00447491" w:rsidRPr="0032491B">
        <w:rPr>
          <w:rFonts w:ascii="Arial" w:hAnsi="Arial" w:cs="Arial"/>
          <w:sz w:val="20"/>
        </w:rPr>
        <w:t xml:space="preserve"> </w:t>
      </w:r>
      <w:r w:rsidR="00D62A46">
        <w:rPr>
          <w:rFonts w:ascii="Arial" w:hAnsi="Arial" w:cs="Arial"/>
          <w:sz w:val="20"/>
        </w:rPr>
        <w:t xml:space="preserve">Act </w:t>
      </w:r>
      <w:r w:rsidR="00A95B8A" w:rsidRPr="0032491B">
        <w:rPr>
          <w:rFonts w:ascii="Arial" w:hAnsi="Arial" w:cs="Arial"/>
          <w:sz w:val="20"/>
        </w:rPr>
        <w:t xml:space="preserve">provides that </w:t>
      </w:r>
      <w:r w:rsidR="008F73B4" w:rsidRPr="0032491B">
        <w:rPr>
          <w:rFonts w:ascii="Arial" w:hAnsi="Arial" w:cs="Arial"/>
          <w:sz w:val="20"/>
        </w:rPr>
        <w:t xml:space="preserve">the </w:t>
      </w:r>
      <w:r w:rsidR="00A95B8A" w:rsidRPr="0032491B">
        <w:rPr>
          <w:rFonts w:ascii="Arial" w:hAnsi="Arial" w:cs="Arial"/>
          <w:sz w:val="20"/>
        </w:rPr>
        <w:t xml:space="preserve">ACMA may, by written instrument, </w:t>
      </w:r>
      <w:r w:rsidR="00F708F0">
        <w:rPr>
          <w:rFonts w:ascii="Arial" w:hAnsi="Arial" w:cs="Arial"/>
          <w:sz w:val="20"/>
        </w:rPr>
        <w:t>determin</w:t>
      </w:r>
      <w:r w:rsidR="00056F3D">
        <w:rPr>
          <w:rFonts w:ascii="Arial" w:hAnsi="Arial" w:cs="Arial"/>
          <w:sz w:val="20"/>
        </w:rPr>
        <w:t>e</w:t>
      </w:r>
      <w:r>
        <w:rPr>
          <w:rFonts w:ascii="Arial" w:hAnsi="Arial" w:cs="Arial"/>
          <w:sz w:val="20"/>
        </w:rPr>
        <w:t xml:space="preserve"> that persons</w:t>
      </w:r>
      <w:r w:rsidRPr="0032491B">
        <w:rPr>
          <w:rFonts w:ascii="Arial" w:hAnsi="Arial" w:cs="Arial"/>
          <w:sz w:val="20"/>
        </w:rPr>
        <w:t xml:space="preserve"> </w:t>
      </w:r>
      <w:r w:rsidR="00D62A46">
        <w:rPr>
          <w:rFonts w:ascii="Arial" w:hAnsi="Arial" w:cs="Arial"/>
          <w:sz w:val="20"/>
        </w:rPr>
        <w:t xml:space="preserve">carrying </w:t>
      </w:r>
      <w:r>
        <w:rPr>
          <w:rFonts w:ascii="Arial" w:hAnsi="Arial" w:cs="Arial"/>
          <w:sz w:val="20"/>
        </w:rPr>
        <w:t xml:space="preserve">on </w:t>
      </w:r>
      <w:r w:rsidR="00D62A46">
        <w:rPr>
          <w:rFonts w:ascii="Arial" w:hAnsi="Arial" w:cs="Arial"/>
          <w:sz w:val="20"/>
        </w:rPr>
        <w:t xml:space="preserve">specified kinds of telecommunications activities constitute a section of the telecommunications industry. </w:t>
      </w:r>
    </w:p>
    <w:p w14:paraId="2679344B" w14:textId="77777777" w:rsidR="004B128C" w:rsidRDefault="004B128C" w:rsidP="009350CF">
      <w:pPr>
        <w:pStyle w:val="indenta"/>
        <w:tabs>
          <w:tab w:val="left" w:pos="720"/>
        </w:tabs>
        <w:spacing w:before="0" w:line="280" w:lineRule="atLeast"/>
        <w:ind w:left="0" w:firstLine="0"/>
        <w:rPr>
          <w:rFonts w:ascii="Arial" w:hAnsi="Arial" w:cs="Arial"/>
          <w:sz w:val="20"/>
        </w:rPr>
      </w:pPr>
    </w:p>
    <w:p w14:paraId="387F72BE" w14:textId="3283E095" w:rsidR="00366F54" w:rsidRDefault="00D62A46" w:rsidP="002C45D2">
      <w:pPr>
        <w:pStyle w:val="indenta"/>
        <w:tabs>
          <w:tab w:val="left" w:pos="720"/>
        </w:tabs>
        <w:spacing w:before="0" w:line="280" w:lineRule="atLeast"/>
        <w:ind w:left="0" w:firstLine="0"/>
        <w:rPr>
          <w:rFonts w:ascii="Arial" w:hAnsi="Arial" w:cs="Arial"/>
          <w:sz w:val="20"/>
        </w:rPr>
      </w:pPr>
      <w:r>
        <w:rPr>
          <w:rFonts w:ascii="Arial" w:hAnsi="Arial" w:cs="Arial"/>
          <w:sz w:val="20"/>
        </w:rPr>
        <w:t>Section 109 of the Act identifies those ac</w:t>
      </w:r>
      <w:r w:rsidR="00F708F0">
        <w:rPr>
          <w:rFonts w:ascii="Arial" w:hAnsi="Arial" w:cs="Arial"/>
          <w:sz w:val="20"/>
        </w:rPr>
        <w:t>tivities considered to be</w:t>
      </w:r>
      <w:r>
        <w:rPr>
          <w:rFonts w:ascii="Arial" w:hAnsi="Arial" w:cs="Arial"/>
          <w:sz w:val="20"/>
        </w:rPr>
        <w:t xml:space="preserve"> telecommunications </w:t>
      </w:r>
      <w:proofErr w:type="gramStart"/>
      <w:r>
        <w:rPr>
          <w:rFonts w:ascii="Arial" w:hAnsi="Arial" w:cs="Arial"/>
          <w:sz w:val="20"/>
        </w:rPr>
        <w:t>activities</w:t>
      </w:r>
      <w:proofErr w:type="gramEnd"/>
      <w:r w:rsidR="00056F3D">
        <w:rPr>
          <w:rFonts w:ascii="Arial" w:hAnsi="Arial" w:cs="Arial"/>
          <w:sz w:val="20"/>
        </w:rPr>
        <w:t xml:space="preserve"> for the purposes of Part 6 of the Act</w:t>
      </w:r>
      <w:r>
        <w:rPr>
          <w:rFonts w:ascii="Arial" w:hAnsi="Arial" w:cs="Arial"/>
          <w:sz w:val="20"/>
        </w:rPr>
        <w:t xml:space="preserve">. </w:t>
      </w:r>
      <w:r w:rsidR="009372B3">
        <w:rPr>
          <w:rFonts w:ascii="Arial" w:hAnsi="Arial" w:cs="Arial"/>
          <w:sz w:val="20"/>
        </w:rPr>
        <w:t>Paragraph</w:t>
      </w:r>
      <w:r w:rsidR="00056F3D">
        <w:rPr>
          <w:rFonts w:ascii="Arial" w:hAnsi="Arial" w:cs="Arial"/>
          <w:sz w:val="20"/>
        </w:rPr>
        <w:t xml:space="preserve"> </w:t>
      </w:r>
      <w:r w:rsidR="002C45D2">
        <w:rPr>
          <w:rFonts w:ascii="Arial" w:hAnsi="Arial" w:cs="Arial"/>
          <w:sz w:val="20"/>
        </w:rPr>
        <w:t xml:space="preserve">109(c) identifies </w:t>
      </w:r>
      <w:r w:rsidR="00F708F0" w:rsidRPr="00056F3D">
        <w:rPr>
          <w:rFonts w:ascii="Arial" w:hAnsi="Arial" w:cs="Arial"/>
          <w:sz w:val="20"/>
        </w:rPr>
        <w:t>“</w:t>
      </w:r>
      <w:r w:rsidR="002C45D2" w:rsidRPr="004267D0">
        <w:rPr>
          <w:rFonts w:ascii="Arial" w:hAnsi="Arial" w:cs="Arial"/>
          <w:sz w:val="20"/>
        </w:rPr>
        <w:t>supplying goods or services for use in connection with the supply of a listed carriage service</w:t>
      </w:r>
      <w:r w:rsidR="00F708F0" w:rsidRPr="004267D0">
        <w:rPr>
          <w:rFonts w:ascii="Arial" w:hAnsi="Arial" w:cs="Arial"/>
          <w:sz w:val="20"/>
        </w:rPr>
        <w:t>”</w:t>
      </w:r>
      <w:r w:rsidR="002C45D2" w:rsidRPr="002C45D2">
        <w:rPr>
          <w:rFonts w:ascii="Arial" w:hAnsi="Arial" w:cs="Arial"/>
          <w:i/>
          <w:sz w:val="20"/>
        </w:rPr>
        <w:t xml:space="preserve"> </w:t>
      </w:r>
      <w:r w:rsidR="002C45D2">
        <w:rPr>
          <w:rFonts w:ascii="Arial" w:hAnsi="Arial" w:cs="Arial"/>
          <w:sz w:val="20"/>
        </w:rPr>
        <w:t xml:space="preserve">as a telecommunications activity. </w:t>
      </w:r>
    </w:p>
    <w:p w14:paraId="0C61AE7B" w14:textId="77777777" w:rsidR="00366F54" w:rsidRDefault="00366F54" w:rsidP="002C45D2">
      <w:pPr>
        <w:pStyle w:val="indenta"/>
        <w:tabs>
          <w:tab w:val="left" w:pos="720"/>
        </w:tabs>
        <w:spacing w:before="0" w:line="280" w:lineRule="atLeast"/>
        <w:ind w:left="0" w:firstLine="0"/>
        <w:rPr>
          <w:rFonts w:ascii="Arial" w:hAnsi="Arial" w:cs="Arial"/>
          <w:sz w:val="20"/>
        </w:rPr>
      </w:pPr>
    </w:p>
    <w:p w14:paraId="49CADB05" w14:textId="0795705B" w:rsidR="00AE4A3C" w:rsidRDefault="00056F3D" w:rsidP="002C45D2">
      <w:pPr>
        <w:pStyle w:val="indenta"/>
        <w:tabs>
          <w:tab w:val="left" w:pos="720"/>
        </w:tabs>
        <w:spacing w:before="0" w:line="280" w:lineRule="atLeast"/>
        <w:ind w:left="0" w:firstLine="0"/>
        <w:rPr>
          <w:rFonts w:ascii="Arial" w:hAnsi="Arial" w:cs="Arial"/>
          <w:sz w:val="20"/>
        </w:rPr>
      </w:pPr>
      <w:r>
        <w:rPr>
          <w:rFonts w:ascii="Arial" w:hAnsi="Arial" w:cs="Arial"/>
          <w:sz w:val="20"/>
        </w:rPr>
        <w:t>T</w:t>
      </w:r>
      <w:r w:rsidR="004B128C">
        <w:rPr>
          <w:rFonts w:ascii="Arial" w:hAnsi="Arial" w:cs="Arial"/>
          <w:sz w:val="20"/>
        </w:rPr>
        <w:t xml:space="preserve">he </w:t>
      </w:r>
      <w:r w:rsidR="004B128C" w:rsidRPr="003518B5">
        <w:rPr>
          <w:rFonts w:ascii="Arial" w:hAnsi="Arial" w:cs="Arial"/>
          <w:sz w:val="20"/>
        </w:rPr>
        <w:t>Determination</w:t>
      </w:r>
      <w:r w:rsidR="004B128C" w:rsidRPr="002C45D2">
        <w:rPr>
          <w:rFonts w:ascii="Arial" w:hAnsi="Arial" w:cs="Arial"/>
          <w:i/>
          <w:sz w:val="20"/>
        </w:rPr>
        <w:t xml:space="preserve"> </w:t>
      </w:r>
      <w:r>
        <w:rPr>
          <w:rFonts w:ascii="Arial" w:hAnsi="Arial" w:cs="Arial"/>
          <w:sz w:val="20"/>
        </w:rPr>
        <w:t xml:space="preserve">determines </w:t>
      </w:r>
      <w:r w:rsidR="001B42AA">
        <w:rPr>
          <w:rFonts w:ascii="Arial" w:hAnsi="Arial" w:cs="Arial"/>
          <w:sz w:val="20"/>
        </w:rPr>
        <w:t xml:space="preserve">cabling service operators </w:t>
      </w:r>
      <w:r w:rsidR="007B7A20">
        <w:rPr>
          <w:rFonts w:ascii="Arial" w:hAnsi="Arial" w:cs="Arial"/>
          <w:sz w:val="20"/>
        </w:rPr>
        <w:t xml:space="preserve">to be </w:t>
      </w:r>
      <w:r w:rsidR="004B128C">
        <w:rPr>
          <w:rFonts w:ascii="Arial" w:hAnsi="Arial" w:cs="Arial"/>
          <w:sz w:val="20"/>
        </w:rPr>
        <w:t xml:space="preserve">a section of the telecommunications industry. </w:t>
      </w:r>
      <w:r w:rsidR="00AE4A3C">
        <w:rPr>
          <w:rFonts w:ascii="Arial" w:hAnsi="Arial" w:cs="Arial"/>
          <w:sz w:val="20"/>
        </w:rPr>
        <w:t>Under the Determination, c</w:t>
      </w:r>
      <w:r w:rsidR="001B42AA" w:rsidRPr="001B42AA">
        <w:rPr>
          <w:rFonts w:ascii="Arial" w:hAnsi="Arial" w:cs="Arial"/>
          <w:sz w:val="20"/>
        </w:rPr>
        <w:t>abling service operators are persons that</w:t>
      </w:r>
      <w:r w:rsidR="00724DFB">
        <w:rPr>
          <w:rFonts w:ascii="Arial" w:hAnsi="Arial" w:cs="Arial"/>
          <w:sz w:val="20"/>
        </w:rPr>
        <w:t xml:space="preserve"> are not subject to the </w:t>
      </w:r>
      <w:r w:rsidR="00724DFB" w:rsidRPr="004267D0">
        <w:rPr>
          <w:rFonts w:ascii="Arial" w:hAnsi="Arial" w:cs="Arial"/>
          <w:i/>
          <w:sz w:val="20"/>
        </w:rPr>
        <w:t>Telecommunications Cabling Provider Rules 2014</w:t>
      </w:r>
      <w:r w:rsidR="00724DFB">
        <w:rPr>
          <w:rFonts w:ascii="Arial" w:hAnsi="Arial" w:cs="Arial"/>
          <w:sz w:val="20"/>
        </w:rPr>
        <w:t xml:space="preserve"> </w:t>
      </w:r>
      <w:r w:rsidR="00501A3E">
        <w:rPr>
          <w:rFonts w:ascii="Arial" w:hAnsi="Arial" w:cs="Arial"/>
          <w:sz w:val="20"/>
        </w:rPr>
        <w:t>(</w:t>
      </w:r>
      <w:r w:rsidR="00501A3E" w:rsidRPr="00501A3E">
        <w:rPr>
          <w:rFonts w:ascii="Arial" w:hAnsi="Arial" w:cs="Arial"/>
          <w:b/>
          <w:sz w:val="20"/>
        </w:rPr>
        <w:t>C</w:t>
      </w:r>
      <w:r w:rsidR="00DF26D1">
        <w:rPr>
          <w:rFonts w:ascii="Arial" w:hAnsi="Arial" w:cs="Arial"/>
          <w:b/>
          <w:sz w:val="20"/>
        </w:rPr>
        <w:t xml:space="preserve">abling </w:t>
      </w:r>
      <w:r w:rsidR="00501A3E" w:rsidRPr="00501A3E">
        <w:rPr>
          <w:rFonts w:ascii="Arial" w:hAnsi="Arial" w:cs="Arial"/>
          <w:b/>
          <w:sz w:val="20"/>
        </w:rPr>
        <w:t>P</w:t>
      </w:r>
      <w:r w:rsidR="00DF26D1">
        <w:rPr>
          <w:rFonts w:ascii="Arial" w:hAnsi="Arial" w:cs="Arial"/>
          <w:b/>
          <w:sz w:val="20"/>
        </w:rPr>
        <w:t xml:space="preserve">rovider </w:t>
      </w:r>
      <w:r w:rsidR="00501A3E" w:rsidRPr="00501A3E">
        <w:rPr>
          <w:rFonts w:ascii="Arial" w:hAnsi="Arial" w:cs="Arial"/>
          <w:b/>
          <w:sz w:val="20"/>
        </w:rPr>
        <w:t>R</w:t>
      </w:r>
      <w:r w:rsidR="00DF26D1">
        <w:rPr>
          <w:rFonts w:ascii="Arial" w:hAnsi="Arial" w:cs="Arial"/>
          <w:b/>
          <w:sz w:val="20"/>
        </w:rPr>
        <w:t>ule</w:t>
      </w:r>
      <w:r w:rsidR="00AE4A3C">
        <w:rPr>
          <w:rFonts w:ascii="Arial" w:hAnsi="Arial" w:cs="Arial"/>
          <w:b/>
          <w:sz w:val="20"/>
        </w:rPr>
        <w:t>s</w:t>
      </w:r>
      <w:r w:rsidR="00501A3E">
        <w:rPr>
          <w:rFonts w:ascii="Arial" w:hAnsi="Arial" w:cs="Arial"/>
          <w:sz w:val="20"/>
        </w:rPr>
        <w:t xml:space="preserve">) </w:t>
      </w:r>
      <w:r w:rsidR="00724DFB">
        <w:rPr>
          <w:rFonts w:ascii="Arial" w:hAnsi="Arial" w:cs="Arial"/>
          <w:sz w:val="20"/>
        </w:rPr>
        <w:t>and that</w:t>
      </w:r>
      <w:r w:rsidR="008975EF">
        <w:rPr>
          <w:rFonts w:ascii="Arial" w:hAnsi="Arial" w:cs="Arial"/>
          <w:sz w:val="20"/>
        </w:rPr>
        <w:t>, on a commercial basis,</w:t>
      </w:r>
      <w:r w:rsidR="001B42AA" w:rsidRPr="001B42AA">
        <w:rPr>
          <w:rFonts w:ascii="Arial" w:hAnsi="Arial" w:cs="Arial"/>
          <w:sz w:val="20"/>
        </w:rPr>
        <w:t xml:space="preserve"> </w:t>
      </w:r>
      <w:r w:rsidR="008975EF">
        <w:rPr>
          <w:rFonts w:ascii="Arial" w:hAnsi="Arial" w:cs="Arial"/>
          <w:sz w:val="20"/>
        </w:rPr>
        <w:t>perform, propose to perform</w:t>
      </w:r>
      <w:r w:rsidR="001B42AA" w:rsidRPr="001B42AA">
        <w:rPr>
          <w:rFonts w:ascii="Arial" w:hAnsi="Arial" w:cs="Arial"/>
          <w:sz w:val="20"/>
        </w:rPr>
        <w:t>, or arrange</w:t>
      </w:r>
      <w:r w:rsidR="008975EF">
        <w:rPr>
          <w:rFonts w:ascii="Arial" w:hAnsi="Arial" w:cs="Arial"/>
          <w:sz w:val="20"/>
        </w:rPr>
        <w:t>, or propose</w:t>
      </w:r>
      <w:r w:rsidR="001B42AA" w:rsidRPr="001B42AA">
        <w:rPr>
          <w:rFonts w:ascii="Arial" w:hAnsi="Arial" w:cs="Arial"/>
          <w:sz w:val="20"/>
        </w:rPr>
        <w:t xml:space="preserve"> to</w:t>
      </w:r>
      <w:r w:rsidR="008975EF">
        <w:rPr>
          <w:rFonts w:ascii="Arial" w:hAnsi="Arial" w:cs="Arial"/>
          <w:sz w:val="20"/>
        </w:rPr>
        <w:t xml:space="preserve"> arrange</w:t>
      </w:r>
      <w:r w:rsidR="001B42AA" w:rsidRPr="001B42AA">
        <w:rPr>
          <w:rFonts w:ascii="Arial" w:hAnsi="Arial" w:cs="Arial"/>
          <w:sz w:val="20"/>
        </w:rPr>
        <w:t xml:space="preserve"> </w:t>
      </w:r>
      <w:r w:rsidR="008975EF">
        <w:rPr>
          <w:rFonts w:ascii="Arial" w:hAnsi="Arial" w:cs="Arial"/>
          <w:sz w:val="20"/>
        </w:rPr>
        <w:t>the performance of</w:t>
      </w:r>
      <w:r w:rsidR="009372B3">
        <w:rPr>
          <w:rFonts w:ascii="Arial" w:hAnsi="Arial" w:cs="Arial"/>
          <w:sz w:val="20"/>
        </w:rPr>
        <w:t>,</w:t>
      </w:r>
      <w:r w:rsidR="008975EF" w:rsidRPr="001B42AA">
        <w:rPr>
          <w:rFonts w:ascii="Arial" w:hAnsi="Arial" w:cs="Arial"/>
          <w:sz w:val="20"/>
        </w:rPr>
        <w:t xml:space="preserve"> </w:t>
      </w:r>
      <w:r w:rsidR="008975EF">
        <w:rPr>
          <w:rFonts w:ascii="Arial" w:hAnsi="Arial" w:cs="Arial"/>
          <w:sz w:val="20"/>
        </w:rPr>
        <w:t>“</w:t>
      </w:r>
      <w:r w:rsidR="001B42AA" w:rsidRPr="001B42AA">
        <w:rPr>
          <w:rFonts w:ascii="Arial" w:hAnsi="Arial" w:cs="Arial"/>
          <w:sz w:val="20"/>
        </w:rPr>
        <w:t>cabling services</w:t>
      </w:r>
      <w:r w:rsidR="008975EF">
        <w:rPr>
          <w:rFonts w:ascii="Arial" w:hAnsi="Arial" w:cs="Arial"/>
          <w:sz w:val="20"/>
        </w:rPr>
        <w:t>”</w:t>
      </w:r>
      <w:r w:rsidR="001B42AA" w:rsidRPr="001B42AA">
        <w:rPr>
          <w:rFonts w:ascii="Arial" w:hAnsi="Arial" w:cs="Arial"/>
          <w:sz w:val="20"/>
        </w:rPr>
        <w:t>.</w:t>
      </w:r>
      <w:r w:rsidR="008975EF">
        <w:rPr>
          <w:rFonts w:ascii="Arial" w:hAnsi="Arial" w:cs="Arial"/>
          <w:sz w:val="20"/>
        </w:rPr>
        <w:t xml:space="preserve"> </w:t>
      </w:r>
    </w:p>
    <w:p w14:paraId="0D9D6CC7" w14:textId="77777777" w:rsidR="00AE4A3C" w:rsidRDefault="00AE4A3C" w:rsidP="002C45D2">
      <w:pPr>
        <w:pStyle w:val="indenta"/>
        <w:tabs>
          <w:tab w:val="left" w:pos="720"/>
        </w:tabs>
        <w:spacing w:before="0" w:line="280" w:lineRule="atLeast"/>
        <w:ind w:left="0" w:firstLine="0"/>
        <w:rPr>
          <w:rFonts w:ascii="Arial" w:hAnsi="Arial" w:cs="Arial"/>
          <w:sz w:val="20"/>
        </w:rPr>
      </w:pPr>
    </w:p>
    <w:p w14:paraId="3CEBF35F" w14:textId="084B801C" w:rsidR="00AE4A3C" w:rsidRPr="00AE4A3C" w:rsidRDefault="00AE4A3C" w:rsidP="00AE4A3C">
      <w:pPr>
        <w:pStyle w:val="indenta"/>
        <w:tabs>
          <w:tab w:val="left" w:pos="720"/>
        </w:tabs>
        <w:spacing w:line="280" w:lineRule="atLeast"/>
        <w:ind w:left="0" w:firstLine="0"/>
        <w:rPr>
          <w:rFonts w:ascii="Arial" w:hAnsi="Arial" w:cs="Arial"/>
          <w:sz w:val="20"/>
        </w:rPr>
      </w:pPr>
      <w:r w:rsidRPr="00AE4A3C">
        <w:rPr>
          <w:rFonts w:ascii="Arial" w:hAnsi="Arial" w:cs="Arial"/>
          <w:sz w:val="20"/>
        </w:rPr>
        <w:t>The C</w:t>
      </w:r>
      <w:r w:rsidR="00DF26D1">
        <w:rPr>
          <w:rFonts w:ascii="Arial" w:hAnsi="Arial" w:cs="Arial"/>
          <w:sz w:val="20"/>
        </w:rPr>
        <w:t xml:space="preserve">abling </w:t>
      </w:r>
      <w:r w:rsidRPr="00AE4A3C">
        <w:rPr>
          <w:rFonts w:ascii="Arial" w:hAnsi="Arial" w:cs="Arial"/>
          <w:sz w:val="20"/>
        </w:rPr>
        <w:t>P</w:t>
      </w:r>
      <w:r w:rsidR="00DF26D1">
        <w:rPr>
          <w:rFonts w:ascii="Arial" w:hAnsi="Arial" w:cs="Arial"/>
          <w:sz w:val="20"/>
        </w:rPr>
        <w:t xml:space="preserve">rovider </w:t>
      </w:r>
      <w:r w:rsidRPr="00AE4A3C">
        <w:rPr>
          <w:rFonts w:ascii="Arial" w:hAnsi="Arial" w:cs="Arial"/>
          <w:sz w:val="20"/>
        </w:rPr>
        <w:t>R</w:t>
      </w:r>
      <w:r w:rsidR="00DF26D1">
        <w:rPr>
          <w:rFonts w:ascii="Arial" w:hAnsi="Arial" w:cs="Arial"/>
          <w:sz w:val="20"/>
        </w:rPr>
        <w:t>ule</w:t>
      </w:r>
      <w:r w:rsidRPr="00AE4A3C">
        <w:rPr>
          <w:rFonts w:ascii="Arial" w:hAnsi="Arial" w:cs="Arial"/>
          <w:sz w:val="20"/>
        </w:rPr>
        <w:t>s are made pursuant to section 421 of the Act and</w:t>
      </w:r>
      <w:r>
        <w:rPr>
          <w:rFonts w:ascii="Arial" w:hAnsi="Arial" w:cs="Arial"/>
          <w:sz w:val="20"/>
        </w:rPr>
        <w:t xml:space="preserve"> specify requirements for those </w:t>
      </w:r>
      <w:r w:rsidRPr="00AE4A3C">
        <w:rPr>
          <w:rFonts w:ascii="Arial" w:hAnsi="Arial" w:cs="Arial"/>
          <w:sz w:val="20"/>
        </w:rPr>
        <w:t xml:space="preserve">cabling </w:t>
      </w:r>
      <w:r w:rsidR="00257A02">
        <w:rPr>
          <w:rFonts w:ascii="Arial" w:hAnsi="Arial" w:cs="Arial"/>
          <w:sz w:val="20"/>
        </w:rPr>
        <w:t xml:space="preserve">providers </w:t>
      </w:r>
      <w:r w:rsidRPr="00AE4A3C">
        <w:rPr>
          <w:rFonts w:ascii="Arial" w:hAnsi="Arial" w:cs="Arial"/>
          <w:sz w:val="20"/>
        </w:rPr>
        <w:t>that directly perform or supervise the customer cabling work themselves. The C</w:t>
      </w:r>
      <w:r w:rsidR="00DF26D1">
        <w:rPr>
          <w:rFonts w:ascii="Arial" w:hAnsi="Arial" w:cs="Arial"/>
          <w:sz w:val="20"/>
        </w:rPr>
        <w:t xml:space="preserve">abling </w:t>
      </w:r>
      <w:r w:rsidRPr="00AE4A3C">
        <w:rPr>
          <w:rFonts w:ascii="Arial" w:hAnsi="Arial" w:cs="Arial"/>
          <w:sz w:val="20"/>
        </w:rPr>
        <w:t>P</w:t>
      </w:r>
      <w:r w:rsidR="00DF26D1">
        <w:rPr>
          <w:rFonts w:ascii="Arial" w:hAnsi="Arial" w:cs="Arial"/>
          <w:sz w:val="20"/>
        </w:rPr>
        <w:t xml:space="preserve">rovider </w:t>
      </w:r>
      <w:r w:rsidRPr="00AE4A3C">
        <w:rPr>
          <w:rFonts w:ascii="Arial" w:hAnsi="Arial" w:cs="Arial"/>
          <w:sz w:val="20"/>
        </w:rPr>
        <w:t>R</w:t>
      </w:r>
      <w:r w:rsidR="00DF26D1">
        <w:rPr>
          <w:rFonts w:ascii="Arial" w:hAnsi="Arial" w:cs="Arial"/>
          <w:sz w:val="20"/>
        </w:rPr>
        <w:t>ule</w:t>
      </w:r>
      <w:r w:rsidRPr="00AE4A3C">
        <w:rPr>
          <w:rFonts w:ascii="Arial" w:hAnsi="Arial" w:cs="Arial"/>
          <w:sz w:val="20"/>
        </w:rPr>
        <w:t xml:space="preserve">s do not apply to those companies or organisations that </w:t>
      </w:r>
      <w:r w:rsidR="00AC3262">
        <w:rPr>
          <w:rFonts w:ascii="Arial" w:hAnsi="Arial" w:cs="Arial"/>
          <w:sz w:val="20"/>
        </w:rPr>
        <w:t xml:space="preserve">employ or contract a person </w:t>
      </w:r>
      <w:r w:rsidRPr="00AE4A3C">
        <w:rPr>
          <w:rFonts w:ascii="Arial" w:hAnsi="Arial" w:cs="Arial"/>
          <w:sz w:val="20"/>
        </w:rPr>
        <w:t>to perform such work</w:t>
      </w:r>
      <w:r w:rsidR="00AC3262">
        <w:rPr>
          <w:rFonts w:ascii="Arial" w:hAnsi="Arial" w:cs="Arial"/>
          <w:sz w:val="20"/>
        </w:rPr>
        <w:t xml:space="preserve"> on their behalf</w:t>
      </w:r>
      <w:r w:rsidRPr="00AE4A3C">
        <w:rPr>
          <w:rFonts w:ascii="Arial" w:hAnsi="Arial" w:cs="Arial"/>
          <w:sz w:val="20"/>
        </w:rPr>
        <w:t>. It is the intention of the Determination to c</w:t>
      </w:r>
      <w:r w:rsidR="009372B3">
        <w:rPr>
          <w:rFonts w:ascii="Arial" w:hAnsi="Arial" w:cs="Arial"/>
          <w:sz w:val="20"/>
        </w:rPr>
        <w:t>over</w:t>
      </w:r>
      <w:r w:rsidRPr="00AE4A3C">
        <w:rPr>
          <w:rFonts w:ascii="Arial" w:hAnsi="Arial" w:cs="Arial"/>
          <w:sz w:val="20"/>
        </w:rPr>
        <w:t xml:space="preserve"> this latter group.</w:t>
      </w:r>
    </w:p>
    <w:p w14:paraId="76467A1E" w14:textId="06412E64" w:rsidR="008975EF" w:rsidRDefault="008975EF" w:rsidP="002C45D2">
      <w:pPr>
        <w:pStyle w:val="indenta"/>
        <w:tabs>
          <w:tab w:val="left" w:pos="720"/>
        </w:tabs>
        <w:spacing w:before="0" w:line="280" w:lineRule="atLeast"/>
        <w:ind w:left="0" w:firstLine="0"/>
        <w:rPr>
          <w:rFonts w:ascii="Arial" w:hAnsi="Arial" w:cs="Arial"/>
          <w:sz w:val="20"/>
        </w:rPr>
      </w:pPr>
      <w:r>
        <w:rPr>
          <w:rFonts w:ascii="Arial" w:hAnsi="Arial" w:cs="Arial"/>
          <w:sz w:val="20"/>
        </w:rPr>
        <w:lastRenderedPageBreak/>
        <w:t xml:space="preserve"> </w:t>
      </w:r>
    </w:p>
    <w:p w14:paraId="7CD957CF" w14:textId="537E6CB1" w:rsidR="00AE4A3C" w:rsidRDefault="008975EF" w:rsidP="002C45D2">
      <w:pPr>
        <w:pStyle w:val="indenta"/>
        <w:tabs>
          <w:tab w:val="left" w:pos="720"/>
        </w:tabs>
        <w:spacing w:before="0" w:line="280" w:lineRule="atLeast"/>
        <w:ind w:left="0" w:firstLine="0"/>
        <w:rPr>
          <w:rFonts w:ascii="Arial" w:hAnsi="Arial" w:cs="Arial"/>
          <w:sz w:val="20"/>
        </w:rPr>
      </w:pPr>
      <w:r>
        <w:rPr>
          <w:rFonts w:ascii="Arial" w:hAnsi="Arial" w:cs="Arial"/>
          <w:sz w:val="20"/>
        </w:rPr>
        <w:t xml:space="preserve">Under the Determination </w:t>
      </w:r>
      <w:r w:rsidR="009372B3">
        <w:rPr>
          <w:rFonts w:ascii="Arial" w:hAnsi="Arial" w:cs="Arial"/>
          <w:sz w:val="20"/>
        </w:rPr>
        <w:t>“</w:t>
      </w:r>
      <w:r>
        <w:rPr>
          <w:rFonts w:ascii="Arial" w:hAnsi="Arial" w:cs="Arial"/>
          <w:sz w:val="20"/>
        </w:rPr>
        <w:t>cabling services</w:t>
      </w:r>
      <w:r w:rsidR="009372B3">
        <w:rPr>
          <w:rFonts w:ascii="Arial" w:hAnsi="Arial" w:cs="Arial"/>
          <w:sz w:val="20"/>
        </w:rPr>
        <w:t>”</w:t>
      </w:r>
      <w:r>
        <w:rPr>
          <w:rFonts w:ascii="Arial" w:hAnsi="Arial" w:cs="Arial"/>
          <w:sz w:val="20"/>
        </w:rPr>
        <w:t xml:space="preserve"> </w:t>
      </w:r>
      <w:r w:rsidR="00A11227">
        <w:rPr>
          <w:rFonts w:ascii="Arial" w:hAnsi="Arial" w:cs="Arial"/>
          <w:sz w:val="20"/>
        </w:rPr>
        <w:t>encompass</w:t>
      </w:r>
      <w:r>
        <w:rPr>
          <w:rFonts w:ascii="Arial" w:hAnsi="Arial" w:cs="Arial"/>
          <w:sz w:val="20"/>
        </w:rPr>
        <w:t xml:space="preserve"> the following activities:</w:t>
      </w:r>
    </w:p>
    <w:p w14:paraId="21A77B72" w14:textId="77777777" w:rsidR="008975EF" w:rsidRPr="008975EF" w:rsidRDefault="008975EF" w:rsidP="004267D0">
      <w:pPr>
        <w:pStyle w:val="indenta"/>
        <w:numPr>
          <w:ilvl w:val="0"/>
          <w:numId w:val="15"/>
        </w:numPr>
        <w:tabs>
          <w:tab w:val="left" w:pos="720"/>
        </w:tabs>
        <w:spacing w:before="0" w:line="280" w:lineRule="atLeast"/>
        <w:rPr>
          <w:rFonts w:ascii="Arial" w:hAnsi="Arial" w:cs="Arial"/>
          <w:sz w:val="20"/>
        </w:rPr>
      </w:pPr>
      <w:r w:rsidRPr="008975EF">
        <w:rPr>
          <w:rFonts w:ascii="Arial" w:hAnsi="Arial" w:cs="Arial"/>
          <w:sz w:val="20"/>
        </w:rPr>
        <w:t xml:space="preserve">the installation of customer cabling for connection to a telecommunications network or facility that is used to supply a listed carriage service; </w:t>
      </w:r>
    </w:p>
    <w:p w14:paraId="31377AAA" w14:textId="77777777" w:rsidR="008975EF" w:rsidRPr="008975EF" w:rsidRDefault="008975EF" w:rsidP="004267D0">
      <w:pPr>
        <w:pStyle w:val="indenta"/>
        <w:numPr>
          <w:ilvl w:val="0"/>
          <w:numId w:val="15"/>
        </w:numPr>
        <w:tabs>
          <w:tab w:val="left" w:pos="720"/>
        </w:tabs>
        <w:spacing w:before="0" w:line="280" w:lineRule="atLeast"/>
        <w:rPr>
          <w:rFonts w:ascii="Arial" w:hAnsi="Arial" w:cs="Arial"/>
          <w:sz w:val="20"/>
        </w:rPr>
      </w:pPr>
      <w:r w:rsidRPr="008975EF">
        <w:rPr>
          <w:rFonts w:ascii="Arial" w:hAnsi="Arial" w:cs="Arial"/>
          <w:sz w:val="20"/>
        </w:rPr>
        <w:t xml:space="preserve">the connection of customer cabling to a telecommunications network or a facility that is used to supply a listed carriage service; </w:t>
      </w:r>
    </w:p>
    <w:p w14:paraId="386992B7" w14:textId="77777777" w:rsidR="008975EF" w:rsidRPr="008975EF" w:rsidRDefault="008975EF" w:rsidP="004267D0">
      <w:pPr>
        <w:pStyle w:val="indenta"/>
        <w:numPr>
          <w:ilvl w:val="0"/>
          <w:numId w:val="15"/>
        </w:numPr>
        <w:tabs>
          <w:tab w:val="left" w:pos="720"/>
        </w:tabs>
        <w:spacing w:before="0" w:line="280" w:lineRule="atLeast"/>
        <w:rPr>
          <w:rFonts w:ascii="Arial" w:hAnsi="Arial" w:cs="Arial"/>
          <w:sz w:val="20"/>
        </w:rPr>
      </w:pPr>
      <w:proofErr w:type="gramStart"/>
      <w:r w:rsidRPr="008975EF">
        <w:rPr>
          <w:rFonts w:ascii="Arial" w:hAnsi="Arial" w:cs="Arial"/>
          <w:sz w:val="20"/>
        </w:rPr>
        <w:t>the</w:t>
      </w:r>
      <w:proofErr w:type="gramEnd"/>
      <w:r w:rsidRPr="008975EF">
        <w:rPr>
          <w:rFonts w:ascii="Arial" w:hAnsi="Arial" w:cs="Arial"/>
          <w:sz w:val="20"/>
        </w:rPr>
        <w:t xml:space="preserve"> maintenance of customer cabling connected to a telecommunications network or facility that is used to supply a listed carriage service. </w:t>
      </w:r>
    </w:p>
    <w:p w14:paraId="5A55F051" w14:textId="4A7DEAED" w:rsidR="008975EF" w:rsidRDefault="008975EF" w:rsidP="002C45D2">
      <w:pPr>
        <w:pStyle w:val="indenta"/>
        <w:tabs>
          <w:tab w:val="left" w:pos="720"/>
        </w:tabs>
        <w:spacing w:before="0" w:line="280" w:lineRule="atLeast"/>
        <w:ind w:left="0" w:firstLine="0"/>
        <w:rPr>
          <w:rFonts w:ascii="Arial" w:hAnsi="Arial" w:cs="Arial"/>
          <w:sz w:val="20"/>
        </w:rPr>
      </w:pPr>
    </w:p>
    <w:p w14:paraId="490DEBA4" w14:textId="77777777" w:rsidR="00731DC7" w:rsidRPr="0032491B" w:rsidRDefault="00731DC7" w:rsidP="00731DC7">
      <w:pPr>
        <w:rPr>
          <w:rFonts w:ascii="Arial" w:hAnsi="Arial" w:cs="Arial"/>
          <w:b/>
          <w:sz w:val="20"/>
          <w:szCs w:val="20"/>
        </w:rPr>
      </w:pPr>
      <w:r w:rsidRPr="0032491B">
        <w:rPr>
          <w:rFonts w:ascii="Arial" w:hAnsi="Arial" w:cs="Arial"/>
          <w:b/>
          <w:sz w:val="20"/>
          <w:szCs w:val="20"/>
        </w:rPr>
        <w:t>Background</w:t>
      </w:r>
    </w:p>
    <w:p w14:paraId="3615CC0B" w14:textId="77777777" w:rsidR="00754269" w:rsidRPr="0032491B" w:rsidRDefault="00754269" w:rsidP="00754269">
      <w:pPr>
        <w:pStyle w:val="ACMABodyText"/>
        <w:spacing w:before="0" w:after="0" w:line="240" w:lineRule="auto"/>
        <w:jc w:val="both"/>
        <w:rPr>
          <w:rFonts w:ascii="Arial" w:hAnsi="Arial" w:cs="Arial"/>
          <w:sz w:val="20"/>
        </w:rPr>
      </w:pPr>
    </w:p>
    <w:p w14:paraId="3DCF5BB5" w14:textId="341C96D2" w:rsidR="008D4524" w:rsidRPr="008D4524" w:rsidRDefault="008D4524" w:rsidP="008D4524">
      <w:pPr>
        <w:spacing w:line="280" w:lineRule="atLeast"/>
        <w:rPr>
          <w:rFonts w:ascii="Arial" w:hAnsi="Arial" w:cs="Arial"/>
          <w:sz w:val="20"/>
          <w:szCs w:val="20"/>
        </w:rPr>
      </w:pPr>
      <w:r w:rsidRPr="008D4524">
        <w:rPr>
          <w:rFonts w:ascii="Arial" w:hAnsi="Arial" w:cs="Arial"/>
          <w:sz w:val="20"/>
          <w:szCs w:val="20"/>
        </w:rPr>
        <w:t xml:space="preserve">The </w:t>
      </w:r>
      <w:r w:rsidRPr="003518B5">
        <w:rPr>
          <w:rFonts w:ascii="Arial" w:hAnsi="Arial" w:cs="Arial"/>
          <w:sz w:val="20"/>
          <w:szCs w:val="20"/>
        </w:rPr>
        <w:t>2003 Determination</w:t>
      </w:r>
      <w:r w:rsidRPr="008D4524">
        <w:rPr>
          <w:rFonts w:ascii="Arial" w:hAnsi="Arial" w:cs="Arial"/>
          <w:sz w:val="20"/>
          <w:szCs w:val="20"/>
        </w:rPr>
        <w:t xml:space="preserve"> specifie</w:t>
      </w:r>
      <w:r w:rsidR="009372B3">
        <w:rPr>
          <w:rFonts w:ascii="Arial" w:hAnsi="Arial" w:cs="Arial"/>
          <w:sz w:val="20"/>
          <w:szCs w:val="20"/>
        </w:rPr>
        <w:t>d</w:t>
      </w:r>
      <w:r w:rsidRPr="008D4524">
        <w:rPr>
          <w:rFonts w:ascii="Arial" w:hAnsi="Arial" w:cs="Arial"/>
          <w:sz w:val="20"/>
          <w:szCs w:val="20"/>
        </w:rPr>
        <w:t xml:space="preserve"> cabling service operators to be a section of the telecommunications industry for the purposes of subsection 110(3) of the Act. </w:t>
      </w:r>
    </w:p>
    <w:p w14:paraId="56FE0C30" w14:textId="77777777" w:rsidR="008D4524" w:rsidRPr="008D4524" w:rsidRDefault="008D4524" w:rsidP="008D4524">
      <w:pPr>
        <w:spacing w:line="280" w:lineRule="atLeast"/>
        <w:rPr>
          <w:rFonts w:ascii="Arial" w:hAnsi="Arial" w:cs="Arial"/>
          <w:sz w:val="20"/>
          <w:szCs w:val="20"/>
        </w:rPr>
      </w:pPr>
    </w:p>
    <w:p w14:paraId="6B267AAE" w14:textId="47D2CBEF" w:rsidR="008D4524" w:rsidRPr="008D4524" w:rsidRDefault="008D4524" w:rsidP="008D4524">
      <w:pPr>
        <w:spacing w:line="280" w:lineRule="atLeast"/>
        <w:rPr>
          <w:rFonts w:ascii="Arial" w:hAnsi="Arial" w:cs="Arial"/>
          <w:sz w:val="20"/>
          <w:szCs w:val="20"/>
        </w:rPr>
      </w:pPr>
      <w:r w:rsidRPr="008D4524">
        <w:rPr>
          <w:rFonts w:ascii="Arial" w:hAnsi="Arial" w:cs="Arial"/>
          <w:sz w:val="20"/>
          <w:szCs w:val="20"/>
        </w:rPr>
        <w:t>The 2003 Determination provide</w:t>
      </w:r>
      <w:r w:rsidR="009372B3">
        <w:rPr>
          <w:rFonts w:ascii="Arial" w:hAnsi="Arial" w:cs="Arial"/>
          <w:sz w:val="20"/>
          <w:szCs w:val="20"/>
        </w:rPr>
        <w:t>d</w:t>
      </w:r>
      <w:r w:rsidRPr="008D4524">
        <w:rPr>
          <w:rFonts w:ascii="Arial" w:hAnsi="Arial" w:cs="Arial"/>
          <w:sz w:val="20"/>
          <w:szCs w:val="20"/>
        </w:rPr>
        <w:t xml:space="preserve"> the </w:t>
      </w:r>
      <w:r w:rsidR="00C0061E">
        <w:rPr>
          <w:rFonts w:ascii="Arial" w:hAnsi="Arial" w:cs="Arial"/>
          <w:sz w:val="20"/>
          <w:szCs w:val="20"/>
        </w:rPr>
        <w:t xml:space="preserve">legal </w:t>
      </w:r>
      <w:r w:rsidRPr="008D4524">
        <w:rPr>
          <w:rFonts w:ascii="Arial" w:hAnsi="Arial" w:cs="Arial"/>
          <w:sz w:val="20"/>
          <w:szCs w:val="20"/>
        </w:rPr>
        <w:t xml:space="preserve">basis for the registration of the industry code, </w:t>
      </w:r>
      <w:r w:rsidRPr="008D4524">
        <w:rPr>
          <w:rFonts w:ascii="Arial" w:hAnsi="Arial" w:cs="Arial"/>
          <w:i/>
          <w:sz w:val="20"/>
          <w:szCs w:val="20"/>
        </w:rPr>
        <w:t>Cabling Industry Committee Industry Code – Cabling requirements for Business</w:t>
      </w:r>
      <w:r w:rsidRPr="008D4524">
        <w:rPr>
          <w:rFonts w:ascii="Arial" w:hAnsi="Arial" w:cs="Arial"/>
          <w:sz w:val="20"/>
          <w:szCs w:val="20"/>
        </w:rPr>
        <w:t xml:space="preserve"> (</w:t>
      </w:r>
      <w:r w:rsidRPr="008D4524">
        <w:rPr>
          <w:rFonts w:ascii="Arial" w:hAnsi="Arial" w:cs="Arial"/>
          <w:b/>
          <w:sz w:val="20"/>
          <w:szCs w:val="20"/>
        </w:rPr>
        <w:t>the Code</w:t>
      </w:r>
      <w:r w:rsidRPr="008D4524">
        <w:rPr>
          <w:rFonts w:ascii="Arial" w:hAnsi="Arial" w:cs="Arial"/>
          <w:sz w:val="20"/>
          <w:szCs w:val="20"/>
        </w:rPr>
        <w:t>). Th</w:t>
      </w:r>
      <w:r w:rsidR="001621EE">
        <w:rPr>
          <w:rFonts w:ascii="Arial" w:hAnsi="Arial" w:cs="Arial"/>
          <w:sz w:val="20"/>
          <w:szCs w:val="20"/>
        </w:rPr>
        <w:t>e</w:t>
      </w:r>
      <w:r w:rsidRPr="008D4524">
        <w:rPr>
          <w:rFonts w:ascii="Arial" w:hAnsi="Arial" w:cs="Arial"/>
          <w:sz w:val="20"/>
          <w:szCs w:val="20"/>
        </w:rPr>
        <w:t xml:space="preserve"> Code specifies requirements for cabling service operators to </w:t>
      </w:r>
      <w:r w:rsidR="00AC3262">
        <w:rPr>
          <w:rFonts w:ascii="Arial" w:hAnsi="Arial" w:cs="Arial"/>
          <w:sz w:val="20"/>
          <w:szCs w:val="20"/>
        </w:rPr>
        <w:t xml:space="preserve">promote a high standard of cabling work across the cabling industry. </w:t>
      </w:r>
    </w:p>
    <w:p w14:paraId="3E3D5EF8" w14:textId="77777777" w:rsidR="008D4524" w:rsidRPr="008D4524" w:rsidRDefault="008D4524" w:rsidP="008D4524">
      <w:pPr>
        <w:spacing w:line="280" w:lineRule="atLeast"/>
        <w:rPr>
          <w:rFonts w:ascii="Arial" w:hAnsi="Arial" w:cs="Arial"/>
          <w:b/>
          <w:sz w:val="20"/>
          <w:szCs w:val="20"/>
        </w:rPr>
      </w:pPr>
    </w:p>
    <w:p w14:paraId="0E60447A" w14:textId="638B13B4" w:rsidR="00141227" w:rsidRPr="008D4524" w:rsidRDefault="00E254BF" w:rsidP="00141227">
      <w:pPr>
        <w:spacing w:line="280" w:lineRule="atLeast"/>
        <w:rPr>
          <w:rFonts w:ascii="Arial" w:hAnsi="Arial" w:cs="Arial"/>
          <w:sz w:val="20"/>
          <w:szCs w:val="20"/>
        </w:rPr>
      </w:pPr>
      <w:r>
        <w:rPr>
          <w:rFonts w:ascii="Arial" w:hAnsi="Arial" w:cs="Arial"/>
          <w:sz w:val="20"/>
          <w:szCs w:val="20"/>
        </w:rPr>
        <w:t>A</w:t>
      </w:r>
      <w:r w:rsidR="00052AC8">
        <w:rPr>
          <w:rFonts w:ascii="Arial" w:hAnsi="Arial" w:cs="Arial"/>
          <w:sz w:val="20"/>
          <w:szCs w:val="20"/>
        </w:rPr>
        <w:t xml:space="preserve">ccredited </w:t>
      </w:r>
      <w:r w:rsidR="001D60A5">
        <w:rPr>
          <w:rFonts w:ascii="Arial" w:hAnsi="Arial" w:cs="Arial"/>
          <w:sz w:val="20"/>
          <w:szCs w:val="20"/>
        </w:rPr>
        <w:t>cabling registrars</w:t>
      </w:r>
      <w:r w:rsidR="00AF5F26">
        <w:rPr>
          <w:rFonts w:ascii="Arial" w:hAnsi="Arial" w:cs="Arial"/>
          <w:sz w:val="20"/>
          <w:szCs w:val="20"/>
        </w:rPr>
        <w:t xml:space="preserve">, consisting of the </w:t>
      </w:r>
      <w:r w:rsidR="00AF5F26" w:rsidRPr="00AF5F26">
        <w:rPr>
          <w:rFonts w:ascii="Arial" w:hAnsi="Arial" w:cs="Arial"/>
          <w:sz w:val="20"/>
          <w:szCs w:val="20"/>
          <w:lang w:val="en"/>
        </w:rPr>
        <w:t xml:space="preserve">Australian </w:t>
      </w:r>
      <w:proofErr w:type="spellStart"/>
      <w:r w:rsidR="00AF5F26" w:rsidRPr="00AF5F26">
        <w:rPr>
          <w:rFonts w:ascii="Arial" w:hAnsi="Arial" w:cs="Arial"/>
          <w:sz w:val="20"/>
          <w:szCs w:val="20"/>
          <w:lang w:val="en"/>
        </w:rPr>
        <w:t>Cabler</w:t>
      </w:r>
      <w:proofErr w:type="spellEnd"/>
      <w:r w:rsidR="00AF5F26" w:rsidRPr="00AF5F26">
        <w:rPr>
          <w:rFonts w:ascii="Arial" w:hAnsi="Arial" w:cs="Arial"/>
          <w:sz w:val="20"/>
          <w:szCs w:val="20"/>
          <w:lang w:val="en"/>
        </w:rPr>
        <w:t xml:space="preserve"> Registration Service, Australian Security Industry Association Limited, BICSI Registered Cablers Australia</w:t>
      </w:r>
      <w:r w:rsidR="00AF5F26">
        <w:rPr>
          <w:rFonts w:ascii="Arial" w:hAnsi="Arial" w:cs="Arial"/>
          <w:sz w:val="20"/>
          <w:szCs w:val="20"/>
          <w:lang w:val="en"/>
        </w:rPr>
        <w:t xml:space="preserve">, </w:t>
      </w:r>
      <w:r w:rsidR="00AF5F26" w:rsidRPr="00AF5F26">
        <w:rPr>
          <w:rFonts w:ascii="Arial" w:hAnsi="Arial" w:cs="Arial"/>
          <w:sz w:val="20"/>
          <w:szCs w:val="20"/>
          <w:lang w:val="en"/>
        </w:rPr>
        <w:t>Fire Protection Association Australia</w:t>
      </w:r>
      <w:r w:rsidR="00AF5F26">
        <w:rPr>
          <w:rFonts w:ascii="Arial" w:hAnsi="Arial" w:cs="Arial"/>
          <w:sz w:val="20"/>
          <w:szCs w:val="20"/>
        </w:rPr>
        <w:t xml:space="preserve"> and </w:t>
      </w:r>
      <w:r w:rsidR="00AF5F26" w:rsidRPr="00AF5F26">
        <w:rPr>
          <w:rFonts w:ascii="Arial" w:hAnsi="Arial" w:cs="Arial"/>
          <w:sz w:val="20"/>
          <w:szCs w:val="20"/>
          <w:lang w:val="en"/>
        </w:rPr>
        <w:t xml:space="preserve">TITAB Australia </w:t>
      </w:r>
      <w:proofErr w:type="spellStart"/>
      <w:r w:rsidR="00AF5F26" w:rsidRPr="00AF5F26">
        <w:rPr>
          <w:rFonts w:ascii="Arial" w:hAnsi="Arial" w:cs="Arial"/>
          <w:sz w:val="20"/>
          <w:szCs w:val="20"/>
          <w:lang w:val="en"/>
        </w:rPr>
        <w:t>Cabler</w:t>
      </w:r>
      <w:proofErr w:type="spellEnd"/>
      <w:r w:rsidR="00AF5F26" w:rsidRPr="00AF5F26">
        <w:rPr>
          <w:rFonts w:ascii="Arial" w:hAnsi="Arial" w:cs="Arial"/>
          <w:sz w:val="20"/>
          <w:szCs w:val="20"/>
          <w:lang w:val="en"/>
        </w:rPr>
        <w:t xml:space="preserve"> Registry Services</w:t>
      </w:r>
      <w:r w:rsidR="00AF5F26">
        <w:rPr>
          <w:rFonts w:ascii="Arial" w:hAnsi="Arial" w:cs="Arial"/>
          <w:sz w:val="20"/>
          <w:szCs w:val="20"/>
        </w:rPr>
        <w:t xml:space="preserve"> </w:t>
      </w:r>
      <w:r w:rsidR="00AC3262">
        <w:rPr>
          <w:rFonts w:ascii="Arial" w:hAnsi="Arial" w:cs="Arial"/>
          <w:sz w:val="20"/>
          <w:szCs w:val="20"/>
        </w:rPr>
        <w:t xml:space="preserve">are currently </w:t>
      </w:r>
      <w:r w:rsidR="008D4524" w:rsidRPr="008D4524">
        <w:rPr>
          <w:rFonts w:ascii="Arial" w:hAnsi="Arial" w:cs="Arial"/>
          <w:sz w:val="20"/>
          <w:szCs w:val="20"/>
        </w:rPr>
        <w:t>reviewing the Code</w:t>
      </w:r>
      <w:r w:rsidR="00AC3262">
        <w:rPr>
          <w:rFonts w:ascii="Arial" w:hAnsi="Arial" w:cs="Arial"/>
          <w:sz w:val="20"/>
          <w:szCs w:val="20"/>
        </w:rPr>
        <w:t xml:space="preserve">. It is expected that </w:t>
      </w:r>
      <w:r w:rsidR="008D4524" w:rsidRPr="008D4524">
        <w:rPr>
          <w:rFonts w:ascii="Arial" w:hAnsi="Arial" w:cs="Arial"/>
          <w:sz w:val="20"/>
          <w:szCs w:val="20"/>
        </w:rPr>
        <w:t xml:space="preserve">a revised code </w:t>
      </w:r>
      <w:r w:rsidR="00AC3262">
        <w:rPr>
          <w:rFonts w:ascii="Arial" w:hAnsi="Arial" w:cs="Arial"/>
          <w:sz w:val="20"/>
          <w:szCs w:val="20"/>
        </w:rPr>
        <w:t xml:space="preserve">will be submitted </w:t>
      </w:r>
      <w:r w:rsidR="008D4524" w:rsidRPr="008D4524">
        <w:rPr>
          <w:rFonts w:ascii="Arial" w:hAnsi="Arial" w:cs="Arial"/>
          <w:sz w:val="20"/>
          <w:szCs w:val="20"/>
        </w:rPr>
        <w:t>to the ACMA for registration</w:t>
      </w:r>
      <w:r w:rsidR="00141227">
        <w:rPr>
          <w:rFonts w:ascii="Arial" w:hAnsi="Arial" w:cs="Arial"/>
          <w:sz w:val="20"/>
          <w:szCs w:val="20"/>
        </w:rPr>
        <w:t>.  However, t</w:t>
      </w:r>
      <w:r w:rsidR="00425ABF" w:rsidRPr="00F457DC">
        <w:rPr>
          <w:rFonts w:ascii="Arial" w:hAnsi="Arial" w:cs="Arial"/>
          <w:sz w:val="20"/>
          <w:szCs w:val="20"/>
        </w:rPr>
        <w:t>h</w:t>
      </w:r>
      <w:r w:rsidR="00F457DC">
        <w:rPr>
          <w:rFonts w:ascii="Arial" w:hAnsi="Arial" w:cs="Arial"/>
          <w:sz w:val="20"/>
          <w:szCs w:val="20"/>
        </w:rPr>
        <w:t>e</w:t>
      </w:r>
      <w:r w:rsidR="00D860E5">
        <w:rPr>
          <w:rFonts w:ascii="Arial" w:hAnsi="Arial" w:cs="Arial"/>
          <w:sz w:val="20"/>
          <w:szCs w:val="20"/>
        </w:rPr>
        <w:t xml:space="preserve"> 2003</w:t>
      </w:r>
      <w:r w:rsidR="00425ABF" w:rsidRPr="00F457DC">
        <w:rPr>
          <w:rFonts w:ascii="Arial" w:hAnsi="Arial" w:cs="Arial"/>
          <w:sz w:val="20"/>
          <w:szCs w:val="20"/>
        </w:rPr>
        <w:t xml:space="preserve"> </w:t>
      </w:r>
      <w:r w:rsidR="00F457DC">
        <w:rPr>
          <w:rFonts w:ascii="Arial" w:hAnsi="Arial" w:cs="Arial"/>
          <w:sz w:val="20"/>
          <w:szCs w:val="20"/>
        </w:rPr>
        <w:t>D</w:t>
      </w:r>
      <w:r w:rsidR="00425ABF" w:rsidRPr="00F457DC">
        <w:rPr>
          <w:rFonts w:ascii="Arial" w:hAnsi="Arial" w:cs="Arial"/>
          <w:sz w:val="20"/>
          <w:szCs w:val="20"/>
        </w:rPr>
        <w:t xml:space="preserve">etermination is due to </w:t>
      </w:r>
      <w:r w:rsidR="001621EE">
        <w:rPr>
          <w:rFonts w:ascii="Arial" w:hAnsi="Arial" w:cs="Arial"/>
          <w:sz w:val="20"/>
          <w:szCs w:val="20"/>
        </w:rPr>
        <w:t xml:space="preserve">be automatically repealed </w:t>
      </w:r>
      <w:r w:rsidR="00F457DC">
        <w:rPr>
          <w:rFonts w:ascii="Arial" w:hAnsi="Arial" w:cs="Arial"/>
          <w:sz w:val="20"/>
          <w:szCs w:val="20"/>
        </w:rPr>
        <w:t>on 1 April 2015</w:t>
      </w:r>
      <w:r w:rsidR="001621EE">
        <w:rPr>
          <w:rFonts w:ascii="Arial" w:hAnsi="Arial" w:cs="Arial"/>
          <w:sz w:val="20"/>
          <w:szCs w:val="20"/>
        </w:rPr>
        <w:t xml:space="preserve"> in accordance with the sunsetting provisions in the</w:t>
      </w:r>
      <w:r w:rsidR="00257A02">
        <w:rPr>
          <w:rFonts w:ascii="Arial" w:hAnsi="Arial" w:cs="Arial"/>
          <w:sz w:val="20"/>
          <w:szCs w:val="20"/>
        </w:rPr>
        <w:t xml:space="preserve"> </w:t>
      </w:r>
      <w:r>
        <w:rPr>
          <w:rFonts w:ascii="Arial" w:hAnsi="Arial" w:cs="Arial"/>
          <w:sz w:val="20"/>
          <w:szCs w:val="20"/>
        </w:rPr>
        <w:t>LIA</w:t>
      </w:r>
      <w:r w:rsidR="00F457DC">
        <w:rPr>
          <w:rFonts w:ascii="Arial" w:hAnsi="Arial" w:cs="Arial"/>
          <w:sz w:val="20"/>
          <w:szCs w:val="20"/>
        </w:rPr>
        <w:t xml:space="preserve">.  </w:t>
      </w:r>
      <w:r w:rsidR="00141227">
        <w:rPr>
          <w:rFonts w:ascii="Arial" w:hAnsi="Arial" w:cs="Arial"/>
          <w:sz w:val="20"/>
          <w:szCs w:val="20"/>
        </w:rPr>
        <w:t>Accordingly</w:t>
      </w:r>
      <w:r w:rsidR="00141227" w:rsidRPr="008D4524">
        <w:rPr>
          <w:rFonts w:ascii="Arial" w:hAnsi="Arial" w:cs="Arial"/>
          <w:sz w:val="20"/>
          <w:szCs w:val="20"/>
        </w:rPr>
        <w:t xml:space="preserve">, it </w:t>
      </w:r>
      <w:r w:rsidR="00AC3262">
        <w:rPr>
          <w:rFonts w:ascii="Arial" w:hAnsi="Arial" w:cs="Arial"/>
          <w:sz w:val="20"/>
          <w:szCs w:val="20"/>
        </w:rPr>
        <w:t xml:space="preserve">is </w:t>
      </w:r>
      <w:r w:rsidR="00141227" w:rsidRPr="008D4524">
        <w:rPr>
          <w:rFonts w:ascii="Arial" w:hAnsi="Arial" w:cs="Arial"/>
          <w:sz w:val="20"/>
          <w:szCs w:val="20"/>
        </w:rPr>
        <w:t>necessary to remake the 2003 Determination</w:t>
      </w:r>
      <w:r w:rsidR="00141227">
        <w:rPr>
          <w:rFonts w:ascii="Arial" w:hAnsi="Arial" w:cs="Arial"/>
          <w:sz w:val="20"/>
          <w:szCs w:val="20"/>
        </w:rPr>
        <w:t xml:space="preserve"> in order to facilitate the registration of a revised code</w:t>
      </w:r>
      <w:r w:rsidR="00141227" w:rsidRPr="008D4524">
        <w:rPr>
          <w:rFonts w:ascii="Arial" w:hAnsi="Arial" w:cs="Arial"/>
          <w:sz w:val="20"/>
          <w:szCs w:val="20"/>
        </w:rPr>
        <w:t>.</w:t>
      </w:r>
    </w:p>
    <w:p w14:paraId="545650A2" w14:textId="77777777" w:rsidR="00141227" w:rsidRDefault="00141227" w:rsidP="0039618A">
      <w:pPr>
        <w:spacing w:line="280" w:lineRule="atLeast"/>
        <w:rPr>
          <w:rFonts w:ascii="Arial" w:hAnsi="Arial" w:cs="Arial"/>
          <w:sz w:val="20"/>
          <w:szCs w:val="20"/>
        </w:rPr>
      </w:pPr>
    </w:p>
    <w:p w14:paraId="5C0140AD" w14:textId="1F6C033D" w:rsidR="00425ABF" w:rsidRPr="0039618A" w:rsidRDefault="00F457DC" w:rsidP="0039618A">
      <w:pPr>
        <w:spacing w:line="280" w:lineRule="atLeast"/>
        <w:rPr>
          <w:rFonts w:ascii="Arial" w:hAnsi="Arial" w:cs="Arial"/>
          <w:sz w:val="20"/>
          <w:szCs w:val="20"/>
        </w:rPr>
      </w:pPr>
      <w:r>
        <w:rPr>
          <w:rFonts w:ascii="Arial" w:hAnsi="Arial" w:cs="Arial"/>
          <w:sz w:val="20"/>
          <w:szCs w:val="20"/>
        </w:rPr>
        <w:t>T</w:t>
      </w:r>
      <w:r w:rsidR="00425ABF" w:rsidRPr="00F457DC">
        <w:rPr>
          <w:rFonts w:ascii="Arial" w:hAnsi="Arial" w:cs="Arial"/>
          <w:sz w:val="20"/>
          <w:szCs w:val="20"/>
        </w:rPr>
        <w:t>he</w:t>
      </w:r>
      <w:r w:rsidR="003D587D">
        <w:rPr>
          <w:rFonts w:ascii="Arial" w:hAnsi="Arial" w:cs="Arial"/>
          <w:sz w:val="20"/>
          <w:szCs w:val="20"/>
        </w:rPr>
        <w:t xml:space="preserve"> Determination</w:t>
      </w:r>
      <w:r w:rsidR="00425ABF">
        <w:rPr>
          <w:rFonts w:ascii="Arial" w:hAnsi="Arial" w:cs="Arial"/>
          <w:sz w:val="20"/>
          <w:szCs w:val="20"/>
        </w:rPr>
        <w:t xml:space="preserve"> remake</w:t>
      </w:r>
      <w:r>
        <w:rPr>
          <w:rFonts w:ascii="Arial" w:hAnsi="Arial" w:cs="Arial"/>
          <w:sz w:val="20"/>
          <w:szCs w:val="20"/>
        </w:rPr>
        <w:t>s</w:t>
      </w:r>
      <w:r w:rsidR="00425ABF">
        <w:rPr>
          <w:rFonts w:ascii="Arial" w:hAnsi="Arial" w:cs="Arial"/>
          <w:sz w:val="20"/>
          <w:szCs w:val="20"/>
        </w:rPr>
        <w:t xml:space="preserve"> th</w:t>
      </w:r>
      <w:r>
        <w:rPr>
          <w:rFonts w:ascii="Arial" w:hAnsi="Arial" w:cs="Arial"/>
          <w:sz w:val="20"/>
          <w:szCs w:val="20"/>
        </w:rPr>
        <w:t>e</w:t>
      </w:r>
      <w:r w:rsidR="00C614FE">
        <w:rPr>
          <w:rFonts w:ascii="Arial" w:hAnsi="Arial" w:cs="Arial"/>
          <w:sz w:val="20"/>
          <w:szCs w:val="20"/>
        </w:rPr>
        <w:t xml:space="preserve"> content of the</w:t>
      </w:r>
      <w:r w:rsidR="00D860E5">
        <w:rPr>
          <w:rFonts w:ascii="Arial" w:hAnsi="Arial" w:cs="Arial"/>
          <w:sz w:val="20"/>
          <w:szCs w:val="20"/>
        </w:rPr>
        <w:t xml:space="preserve"> 2003</w:t>
      </w:r>
      <w:r>
        <w:rPr>
          <w:rFonts w:ascii="Arial" w:hAnsi="Arial" w:cs="Arial"/>
          <w:sz w:val="20"/>
          <w:szCs w:val="20"/>
        </w:rPr>
        <w:t xml:space="preserve"> Determination in substantially the same form</w:t>
      </w:r>
      <w:r w:rsidR="003D587D">
        <w:rPr>
          <w:rFonts w:ascii="Arial" w:hAnsi="Arial" w:cs="Arial"/>
          <w:sz w:val="20"/>
          <w:szCs w:val="20"/>
        </w:rPr>
        <w:t xml:space="preserve"> </w:t>
      </w:r>
      <w:r w:rsidR="00154A94">
        <w:rPr>
          <w:rFonts w:ascii="Arial" w:hAnsi="Arial" w:cs="Arial"/>
          <w:sz w:val="20"/>
          <w:szCs w:val="20"/>
        </w:rPr>
        <w:t>and</w:t>
      </w:r>
      <w:r w:rsidR="003D587D">
        <w:rPr>
          <w:rFonts w:ascii="Arial" w:hAnsi="Arial" w:cs="Arial"/>
          <w:sz w:val="20"/>
          <w:szCs w:val="20"/>
        </w:rPr>
        <w:t xml:space="preserve"> </w:t>
      </w:r>
      <w:r w:rsidR="0063332E">
        <w:rPr>
          <w:rFonts w:ascii="Arial" w:hAnsi="Arial" w:cs="Arial"/>
          <w:sz w:val="20"/>
          <w:szCs w:val="20"/>
        </w:rPr>
        <w:t>provid</w:t>
      </w:r>
      <w:r w:rsidR="00154A94">
        <w:rPr>
          <w:rFonts w:ascii="Arial" w:hAnsi="Arial" w:cs="Arial"/>
          <w:sz w:val="20"/>
          <w:szCs w:val="20"/>
        </w:rPr>
        <w:t>es</w:t>
      </w:r>
      <w:r w:rsidR="0063332E">
        <w:rPr>
          <w:rFonts w:ascii="Arial" w:hAnsi="Arial" w:cs="Arial"/>
          <w:sz w:val="20"/>
          <w:szCs w:val="20"/>
        </w:rPr>
        <w:t xml:space="preserve"> the basis for registration of a revised code to apply to cabling service operators</w:t>
      </w:r>
      <w:r w:rsidR="00425ABF">
        <w:rPr>
          <w:rFonts w:ascii="Arial" w:hAnsi="Arial" w:cs="Arial"/>
          <w:sz w:val="20"/>
          <w:szCs w:val="20"/>
        </w:rPr>
        <w:t xml:space="preserve">. </w:t>
      </w:r>
    </w:p>
    <w:p w14:paraId="371B0A36" w14:textId="77777777" w:rsidR="00174DDA" w:rsidRPr="0032491B" w:rsidRDefault="00174DDA" w:rsidP="0039618A">
      <w:pPr>
        <w:spacing w:line="280" w:lineRule="atLeast"/>
        <w:rPr>
          <w:rFonts w:ascii="Arial" w:eastAsia="Calibri" w:hAnsi="Arial" w:cs="Arial"/>
          <w:sz w:val="20"/>
          <w:szCs w:val="20"/>
        </w:rPr>
      </w:pPr>
    </w:p>
    <w:p w14:paraId="40B0AE8C" w14:textId="77777777" w:rsidR="000D2050" w:rsidRDefault="000D2050" w:rsidP="009350CF">
      <w:pPr>
        <w:pStyle w:val="BodyText"/>
        <w:spacing w:after="0" w:line="280" w:lineRule="atLeast"/>
        <w:rPr>
          <w:rFonts w:ascii="Arial" w:hAnsi="Arial" w:cs="Arial"/>
          <w:b/>
          <w:sz w:val="20"/>
          <w:szCs w:val="20"/>
        </w:rPr>
      </w:pPr>
      <w:r w:rsidRPr="0032491B">
        <w:rPr>
          <w:rFonts w:ascii="Arial" w:hAnsi="Arial" w:cs="Arial"/>
          <w:b/>
          <w:sz w:val="20"/>
          <w:szCs w:val="20"/>
        </w:rPr>
        <w:t>Consultation</w:t>
      </w:r>
    </w:p>
    <w:p w14:paraId="5ADF6B25" w14:textId="77777777" w:rsidR="00AF5F26" w:rsidRPr="0032491B" w:rsidRDefault="00AF5F26" w:rsidP="009350CF">
      <w:pPr>
        <w:pStyle w:val="BodyText"/>
        <w:spacing w:after="0" w:line="280" w:lineRule="atLeast"/>
        <w:rPr>
          <w:rFonts w:ascii="Arial" w:hAnsi="Arial" w:cs="Arial"/>
          <w:b/>
          <w:sz w:val="20"/>
          <w:szCs w:val="20"/>
        </w:rPr>
      </w:pPr>
    </w:p>
    <w:p w14:paraId="45005959" w14:textId="69F40956" w:rsidR="00FD2D68" w:rsidRDefault="00FD2D68" w:rsidP="00FD2D68">
      <w:pPr>
        <w:pStyle w:val="ACMANumberedList"/>
        <w:numPr>
          <w:ilvl w:val="0"/>
          <w:numId w:val="0"/>
        </w:numPr>
        <w:spacing w:before="0" w:after="0" w:line="280" w:lineRule="atLeast"/>
        <w:rPr>
          <w:rFonts w:ascii="Arial" w:hAnsi="Arial" w:cs="Arial"/>
          <w:snapToGrid w:val="0"/>
          <w:sz w:val="20"/>
        </w:rPr>
      </w:pPr>
      <w:bookmarkStart w:id="2" w:name="OLE_LINK1"/>
      <w:bookmarkStart w:id="3" w:name="OLE_LINK2"/>
      <w:r w:rsidRPr="00AF3C24">
        <w:rPr>
          <w:rFonts w:ascii="Arial" w:hAnsi="Arial" w:cs="Arial"/>
          <w:snapToGrid w:val="0"/>
          <w:sz w:val="20"/>
        </w:rPr>
        <w:t>Subsection 17(1) of the LIA requires that, before the ACMA makes a legislative instrument, it must be satisfied that any consultation that the ACMA considers is appropriate and reasonably practicable to undertake, has been undertaken.</w:t>
      </w:r>
      <w:r w:rsidRPr="00352C0C">
        <w:rPr>
          <w:rFonts w:ascii="Arial" w:hAnsi="Arial" w:cs="Arial"/>
          <w:snapToGrid w:val="0"/>
          <w:sz w:val="20"/>
        </w:rPr>
        <w:t xml:space="preserve"> </w:t>
      </w:r>
    </w:p>
    <w:p w14:paraId="466FAB03" w14:textId="77777777" w:rsidR="00FD2D68" w:rsidRDefault="00FD2D68" w:rsidP="00EF5570">
      <w:pPr>
        <w:suppressAutoHyphens/>
        <w:spacing w:line="280" w:lineRule="atLeast"/>
        <w:ind w:right="-57"/>
        <w:rPr>
          <w:rFonts w:ascii="Arial" w:hAnsi="Arial" w:cs="Arial"/>
          <w:snapToGrid w:val="0"/>
          <w:sz w:val="20"/>
          <w:szCs w:val="20"/>
          <w:lang w:val="en-US" w:eastAsia="en-US"/>
        </w:rPr>
      </w:pPr>
    </w:p>
    <w:p w14:paraId="5524F6B1" w14:textId="1CC1FED6" w:rsidR="0032491B" w:rsidRDefault="00FD2D68" w:rsidP="00EF5570">
      <w:pPr>
        <w:suppressAutoHyphens/>
        <w:spacing w:line="280" w:lineRule="atLeast"/>
        <w:ind w:right="-57"/>
        <w:rPr>
          <w:rFonts w:ascii="Arial" w:hAnsi="Arial" w:cs="Arial"/>
          <w:sz w:val="20"/>
        </w:rPr>
      </w:pPr>
      <w:r w:rsidRPr="0032491B">
        <w:rPr>
          <w:rFonts w:ascii="Arial" w:hAnsi="Arial" w:cs="Arial"/>
          <w:snapToGrid w:val="0"/>
          <w:sz w:val="20"/>
          <w:szCs w:val="20"/>
          <w:lang w:val="en-US" w:eastAsia="en-US"/>
        </w:rPr>
        <w:t xml:space="preserve">The ACMA consulted with </w:t>
      </w:r>
      <w:r>
        <w:rPr>
          <w:rFonts w:ascii="Arial" w:hAnsi="Arial" w:cs="Arial"/>
          <w:snapToGrid w:val="0"/>
          <w:sz w:val="20"/>
          <w:szCs w:val="20"/>
          <w:lang w:val="en-US" w:eastAsia="en-US"/>
        </w:rPr>
        <w:t xml:space="preserve">stakeholders in the cabling industry and the general public on the making of the Determination to replace the 2003 Determination. Between </w:t>
      </w:r>
      <w:r w:rsidR="00723A95">
        <w:rPr>
          <w:rFonts w:ascii="Arial" w:hAnsi="Arial" w:cs="Arial"/>
          <w:snapToGrid w:val="0"/>
          <w:sz w:val="20"/>
          <w:szCs w:val="20"/>
          <w:lang w:val="en-US" w:eastAsia="en-US"/>
        </w:rPr>
        <w:t>15 December 2014</w:t>
      </w:r>
      <w:r>
        <w:rPr>
          <w:rFonts w:ascii="Arial" w:hAnsi="Arial" w:cs="Arial"/>
          <w:snapToGrid w:val="0"/>
          <w:sz w:val="20"/>
          <w:szCs w:val="20"/>
          <w:lang w:val="en-US" w:eastAsia="en-US"/>
        </w:rPr>
        <w:t xml:space="preserve"> and 2 February 2015 the ACMA </w:t>
      </w:r>
      <w:r w:rsidR="001F18F2">
        <w:rPr>
          <w:rFonts w:ascii="Arial" w:hAnsi="Arial" w:cs="Arial"/>
          <w:snapToGrid w:val="0"/>
          <w:sz w:val="20"/>
          <w:szCs w:val="20"/>
          <w:lang w:val="en-US" w:eastAsia="en-US"/>
        </w:rPr>
        <w:t xml:space="preserve">conducted a public consultation process and made the </w:t>
      </w:r>
      <w:r w:rsidR="009372B3">
        <w:rPr>
          <w:rFonts w:ascii="Arial" w:hAnsi="Arial" w:cs="Arial"/>
          <w:snapToGrid w:val="0"/>
          <w:sz w:val="20"/>
          <w:szCs w:val="20"/>
          <w:lang w:val="en-US" w:eastAsia="en-US"/>
        </w:rPr>
        <w:t xml:space="preserve">draft Determination </w:t>
      </w:r>
      <w:r w:rsidR="001F18F2">
        <w:rPr>
          <w:rFonts w:ascii="Arial" w:hAnsi="Arial" w:cs="Arial"/>
          <w:snapToGrid w:val="0"/>
          <w:sz w:val="20"/>
          <w:szCs w:val="20"/>
          <w:lang w:val="en-US" w:eastAsia="en-US"/>
        </w:rPr>
        <w:t xml:space="preserve">available on the ACMA website. </w:t>
      </w:r>
      <w:r w:rsidRPr="005E52F2">
        <w:rPr>
          <w:rFonts w:ascii="Arial" w:hAnsi="Arial" w:cs="Arial"/>
          <w:snapToGrid w:val="0"/>
          <w:sz w:val="20"/>
        </w:rPr>
        <w:t xml:space="preserve">A consultation paper </w:t>
      </w:r>
      <w:r>
        <w:rPr>
          <w:rFonts w:ascii="Arial" w:hAnsi="Arial" w:cs="Arial"/>
          <w:snapToGrid w:val="0"/>
          <w:sz w:val="20"/>
        </w:rPr>
        <w:t>which</w:t>
      </w:r>
      <w:r w:rsidRPr="005E52F2">
        <w:rPr>
          <w:rFonts w:ascii="Arial" w:hAnsi="Arial" w:cs="Arial"/>
          <w:snapToGrid w:val="0"/>
          <w:sz w:val="20"/>
        </w:rPr>
        <w:t xml:space="preserve"> explained the sunsetting (automatic repeal) process and the ACMA’s preliminary view that the existing arrangements should be continued without any significant changes</w:t>
      </w:r>
      <w:r>
        <w:rPr>
          <w:rFonts w:ascii="Arial" w:hAnsi="Arial" w:cs="Arial"/>
          <w:snapToGrid w:val="0"/>
          <w:sz w:val="20"/>
        </w:rPr>
        <w:t>, was</w:t>
      </w:r>
      <w:r w:rsidRPr="005E52F2">
        <w:rPr>
          <w:rFonts w:ascii="Arial" w:hAnsi="Arial" w:cs="Arial"/>
          <w:snapToGrid w:val="0"/>
          <w:sz w:val="20"/>
        </w:rPr>
        <w:t xml:space="preserve"> </w:t>
      </w:r>
      <w:r w:rsidR="001F18F2">
        <w:rPr>
          <w:rFonts w:ascii="Arial" w:hAnsi="Arial" w:cs="Arial"/>
          <w:snapToGrid w:val="0"/>
          <w:sz w:val="20"/>
        </w:rPr>
        <w:t xml:space="preserve">also </w:t>
      </w:r>
      <w:r w:rsidRPr="005E52F2">
        <w:rPr>
          <w:rFonts w:ascii="Arial" w:hAnsi="Arial" w:cs="Arial"/>
          <w:snapToGrid w:val="0"/>
          <w:sz w:val="20"/>
        </w:rPr>
        <w:t xml:space="preserve">made available on the ACMA website. Interested parties were notified of the release of the </w:t>
      </w:r>
      <w:r w:rsidR="009372B3">
        <w:rPr>
          <w:rFonts w:ascii="Arial" w:hAnsi="Arial" w:cs="Arial"/>
          <w:snapToGrid w:val="0"/>
          <w:sz w:val="20"/>
        </w:rPr>
        <w:t>consultation</w:t>
      </w:r>
      <w:r w:rsidRPr="005E52F2">
        <w:rPr>
          <w:rFonts w:ascii="Arial" w:hAnsi="Arial" w:cs="Arial"/>
          <w:snapToGrid w:val="0"/>
          <w:sz w:val="20"/>
        </w:rPr>
        <w:t xml:space="preserve"> paper and invited to comment.</w:t>
      </w:r>
      <w:r w:rsidR="00F96F2E">
        <w:rPr>
          <w:rFonts w:ascii="Arial" w:hAnsi="Arial" w:cs="Arial"/>
          <w:snapToGrid w:val="0"/>
          <w:sz w:val="20"/>
          <w:szCs w:val="20"/>
          <w:lang w:val="en-US" w:eastAsia="en-US"/>
        </w:rPr>
        <w:t xml:space="preserve"> </w:t>
      </w:r>
    </w:p>
    <w:p w14:paraId="0F51DD9C" w14:textId="77777777" w:rsidR="00F96F2E" w:rsidRDefault="00F96F2E" w:rsidP="009350CF">
      <w:pPr>
        <w:pStyle w:val="ACMABodyText"/>
        <w:spacing w:before="0" w:after="0"/>
        <w:rPr>
          <w:rFonts w:ascii="Arial" w:hAnsi="Arial" w:cs="Arial"/>
          <w:sz w:val="20"/>
        </w:rPr>
      </w:pPr>
    </w:p>
    <w:p w14:paraId="0BA59A13" w14:textId="3B32B879" w:rsidR="00F96F2E" w:rsidRDefault="004B128C" w:rsidP="009350CF">
      <w:pPr>
        <w:pStyle w:val="ACMABodyText"/>
        <w:spacing w:before="0" w:after="0"/>
        <w:rPr>
          <w:rFonts w:ascii="Arial" w:hAnsi="Arial" w:cs="Arial"/>
          <w:sz w:val="20"/>
        </w:rPr>
      </w:pPr>
      <w:r>
        <w:rPr>
          <w:rFonts w:ascii="Arial" w:hAnsi="Arial" w:cs="Arial"/>
          <w:sz w:val="20"/>
        </w:rPr>
        <w:t xml:space="preserve">The ACMA received </w:t>
      </w:r>
      <w:r w:rsidR="00257A02">
        <w:rPr>
          <w:rFonts w:ascii="Arial" w:hAnsi="Arial" w:cs="Arial"/>
          <w:sz w:val="20"/>
        </w:rPr>
        <w:t xml:space="preserve">a total of </w:t>
      </w:r>
      <w:r w:rsidR="00627ED0" w:rsidRPr="00627ED0">
        <w:rPr>
          <w:rFonts w:ascii="Arial" w:hAnsi="Arial" w:cs="Arial"/>
          <w:sz w:val="20"/>
        </w:rPr>
        <w:t>seven</w:t>
      </w:r>
      <w:r>
        <w:rPr>
          <w:rFonts w:ascii="Arial" w:hAnsi="Arial" w:cs="Arial"/>
          <w:sz w:val="20"/>
        </w:rPr>
        <w:t xml:space="preserve"> submissions on the proposed </w:t>
      </w:r>
      <w:r w:rsidR="00D615B5">
        <w:rPr>
          <w:rFonts w:ascii="Arial" w:hAnsi="Arial" w:cs="Arial"/>
          <w:sz w:val="20"/>
        </w:rPr>
        <w:t>instrument</w:t>
      </w:r>
      <w:r w:rsidR="001D60A5">
        <w:rPr>
          <w:rFonts w:ascii="Arial" w:hAnsi="Arial" w:cs="Arial"/>
          <w:sz w:val="20"/>
        </w:rPr>
        <w:t xml:space="preserve"> from</w:t>
      </w:r>
      <w:r w:rsidR="00052AC8">
        <w:rPr>
          <w:rFonts w:ascii="Arial" w:hAnsi="Arial" w:cs="Arial"/>
          <w:sz w:val="20"/>
        </w:rPr>
        <w:t>:</w:t>
      </w:r>
      <w:r w:rsidR="001D60A5">
        <w:rPr>
          <w:rFonts w:ascii="Arial" w:hAnsi="Arial" w:cs="Arial"/>
          <w:sz w:val="20"/>
        </w:rPr>
        <w:t xml:space="preserve"> </w:t>
      </w:r>
      <w:r w:rsidR="006C66C3" w:rsidRPr="006C66C3">
        <w:rPr>
          <w:rFonts w:ascii="Arial" w:hAnsi="Arial" w:cs="Arial"/>
          <w:sz w:val="20"/>
        </w:rPr>
        <w:t>the Australian Digital &amp; Telecommunications Industry Association</w:t>
      </w:r>
      <w:r w:rsidR="00052AC8">
        <w:rPr>
          <w:rFonts w:ascii="Arial" w:hAnsi="Arial" w:cs="Arial"/>
          <w:sz w:val="20"/>
        </w:rPr>
        <w:t>;</w:t>
      </w:r>
      <w:r w:rsidR="006C66C3" w:rsidRPr="006C66C3">
        <w:rPr>
          <w:rFonts w:ascii="Arial" w:hAnsi="Arial" w:cs="Arial"/>
          <w:sz w:val="20"/>
        </w:rPr>
        <w:t xml:space="preserve"> </w:t>
      </w:r>
      <w:r w:rsidR="00052AC8">
        <w:rPr>
          <w:rFonts w:ascii="Arial" w:hAnsi="Arial" w:cs="Arial"/>
          <w:sz w:val="20"/>
        </w:rPr>
        <w:t xml:space="preserve">the </w:t>
      </w:r>
      <w:r w:rsidR="006C66C3" w:rsidRPr="006C66C3">
        <w:rPr>
          <w:rFonts w:ascii="Arial" w:hAnsi="Arial" w:cs="Arial"/>
          <w:sz w:val="20"/>
        </w:rPr>
        <w:t xml:space="preserve">Australian </w:t>
      </w:r>
      <w:proofErr w:type="spellStart"/>
      <w:r w:rsidR="006C66C3" w:rsidRPr="006C66C3">
        <w:rPr>
          <w:rFonts w:ascii="Arial" w:hAnsi="Arial" w:cs="Arial"/>
          <w:sz w:val="20"/>
        </w:rPr>
        <w:t>Cabler</w:t>
      </w:r>
      <w:proofErr w:type="spellEnd"/>
      <w:r w:rsidR="006C66C3" w:rsidRPr="006C66C3">
        <w:rPr>
          <w:rFonts w:ascii="Arial" w:hAnsi="Arial" w:cs="Arial"/>
          <w:sz w:val="20"/>
        </w:rPr>
        <w:t xml:space="preserve"> Registration Service, Cabling Advisory Group</w:t>
      </w:r>
      <w:r w:rsidR="00052AC8">
        <w:rPr>
          <w:rFonts w:ascii="Arial" w:hAnsi="Arial" w:cs="Arial"/>
          <w:sz w:val="20"/>
        </w:rPr>
        <w:t>;</w:t>
      </w:r>
      <w:r w:rsidR="006C66C3" w:rsidRPr="006C66C3">
        <w:rPr>
          <w:rFonts w:ascii="Arial" w:hAnsi="Arial" w:cs="Arial"/>
          <w:sz w:val="20"/>
        </w:rPr>
        <w:t xml:space="preserve"> Communications Alliance, International Copper </w:t>
      </w:r>
      <w:r w:rsidR="006C66C3" w:rsidRPr="006C66C3">
        <w:rPr>
          <w:rFonts w:ascii="Arial" w:hAnsi="Arial" w:cs="Arial"/>
          <w:sz w:val="20"/>
        </w:rPr>
        <w:lastRenderedPageBreak/>
        <w:t>Association, Reid-Net and TITAB</w:t>
      </w:r>
      <w:r w:rsidR="00D615B5">
        <w:rPr>
          <w:rFonts w:ascii="Arial" w:hAnsi="Arial" w:cs="Arial"/>
          <w:sz w:val="20"/>
        </w:rPr>
        <w:t xml:space="preserve">. </w:t>
      </w:r>
      <w:r w:rsidR="0021540D">
        <w:rPr>
          <w:rFonts w:ascii="Arial" w:hAnsi="Arial" w:cs="Arial"/>
          <w:sz w:val="20"/>
        </w:rPr>
        <w:t xml:space="preserve">All submissions </w:t>
      </w:r>
      <w:r w:rsidR="006254D6">
        <w:rPr>
          <w:rFonts w:ascii="Arial" w:hAnsi="Arial" w:cs="Arial"/>
          <w:sz w:val="20"/>
        </w:rPr>
        <w:t xml:space="preserve">indicated </w:t>
      </w:r>
      <w:r w:rsidR="00D57E13">
        <w:rPr>
          <w:rFonts w:ascii="Arial" w:hAnsi="Arial" w:cs="Arial"/>
          <w:sz w:val="20"/>
        </w:rPr>
        <w:t xml:space="preserve">the need for the continued operation of the 2003 Determination </w:t>
      </w:r>
      <w:r w:rsidR="00627ED0">
        <w:rPr>
          <w:rFonts w:ascii="Arial" w:hAnsi="Arial" w:cs="Arial"/>
          <w:sz w:val="20"/>
        </w:rPr>
        <w:t xml:space="preserve">and </w:t>
      </w:r>
      <w:r w:rsidR="0021540D">
        <w:rPr>
          <w:rFonts w:ascii="Arial" w:hAnsi="Arial" w:cs="Arial"/>
          <w:sz w:val="20"/>
        </w:rPr>
        <w:t>support</w:t>
      </w:r>
      <w:r w:rsidR="00D57E13">
        <w:rPr>
          <w:rFonts w:ascii="Arial" w:hAnsi="Arial" w:cs="Arial"/>
          <w:sz w:val="20"/>
        </w:rPr>
        <w:t xml:space="preserve">ed </w:t>
      </w:r>
      <w:r w:rsidR="006254D6">
        <w:rPr>
          <w:rFonts w:ascii="Arial" w:hAnsi="Arial" w:cs="Arial"/>
          <w:sz w:val="20"/>
        </w:rPr>
        <w:t>its remaking before the</w:t>
      </w:r>
      <w:r w:rsidR="00D57E13">
        <w:rPr>
          <w:rFonts w:ascii="Arial" w:hAnsi="Arial" w:cs="Arial"/>
          <w:sz w:val="20"/>
        </w:rPr>
        <w:t xml:space="preserve"> sunset date.</w:t>
      </w:r>
      <w:r w:rsidR="001A3665">
        <w:rPr>
          <w:rFonts w:ascii="Arial" w:hAnsi="Arial" w:cs="Arial"/>
          <w:sz w:val="20"/>
        </w:rPr>
        <w:t xml:space="preserve"> </w:t>
      </w:r>
    </w:p>
    <w:p w14:paraId="3274B0D1" w14:textId="77777777" w:rsidR="00154BF8" w:rsidRDefault="00154BF8" w:rsidP="009350CF">
      <w:pPr>
        <w:pStyle w:val="ACMABodyText"/>
        <w:spacing w:before="0" w:after="0"/>
        <w:rPr>
          <w:rFonts w:ascii="Arial" w:hAnsi="Arial" w:cs="Arial"/>
          <w:sz w:val="20"/>
        </w:rPr>
      </w:pPr>
    </w:p>
    <w:p w14:paraId="1B85071F" w14:textId="77777777" w:rsidR="00154BF8" w:rsidRPr="0032491B" w:rsidRDefault="00154BF8" w:rsidP="00154BF8">
      <w:pPr>
        <w:pStyle w:val="BodyText"/>
        <w:keepNext/>
        <w:spacing w:after="0" w:line="280" w:lineRule="atLeast"/>
        <w:rPr>
          <w:rFonts w:ascii="Arial" w:hAnsi="Arial" w:cs="Arial"/>
          <w:b/>
          <w:bCs/>
          <w:sz w:val="20"/>
          <w:szCs w:val="20"/>
        </w:rPr>
      </w:pPr>
      <w:r w:rsidRPr="0032491B">
        <w:rPr>
          <w:rFonts w:ascii="Arial" w:hAnsi="Arial" w:cs="Arial"/>
          <w:b/>
          <w:bCs/>
          <w:sz w:val="20"/>
          <w:szCs w:val="20"/>
        </w:rPr>
        <w:t xml:space="preserve">Regulation Impact </w:t>
      </w:r>
    </w:p>
    <w:p w14:paraId="596EE3E3" w14:textId="77777777" w:rsidR="00154BF8" w:rsidRPr="0032491B" w:rsidRDefault="00154BF8" w:rsidP="00154BF8">
      <w:pPr>
        <w:keepNext/>
        <w:spacing w:line="280" w:lineRule="atLeast"/>
        <w:rPr>
          <w:rFonts w:ascii="Arial" w:hAnsi="Arial" w:cs="Arial"/>
          <w:sz w:val="20"/>
          <w:szCs w:val="20"/>
        </w:rPr>
      </w:pPr>
    </w:p>
    <w:p w14:paraId="0E295B14" w14:textId="23DBC8DC" w:rsidR="00154BF8" w:rsidRDefault="00154BF8" w:rsidP="00154BF8">
      <w:pPr>
        <w:spacing w:line="280" w:lineRule="atLeast"/>
        <w:rPr>
          <w:rFonts w:ascii="Arial" w:hAnsi="Arial" w:cs="Arial"/>
          <w:sz w:val="20"/>
          <w:szCs w:val="20"/>
        </w:rPr>
      </w:pPr>
      <w:r w:rsidRPr="0032491B">
        <w:rPr>
          <w:rFonts w:ascii="Arial" w:hAnsi="Arial" w:cs="Arial"/>
          <w:sz w:val="20"/>
          <w:szCs w:val="20"/>
        </w:rPr>
        <w:t xml:space="preserve">The Office of Best Practice Regulation (OBPR) has advised </w:t>
      </w:r>
      <w:r>
        <w:rPr>
          <w:rFonts w:ascii="Arial" w:hAnsi="Arial" w:cs="Arial"/>
          <w:sz w:val="20"/>
          <w:szCs w:val="20"/>
        </w:rPr>
        <w:t xml:space="preserve">that the remaking of the 2003 Determination will have more than a minor impact on business and as such, a Regulatory Impact Statement (RIS) </w:t>
      </w:r>
      <w:r w:rsidR="009372B3">
        <w:rPr>
          <w:rFonts w:ascii="Arial" w:hAnsi="Arial" w:cs="Arial"/>
          <w:sz w:val="20"/>
          <w:szCs w:val="20"/>
        </w:rPr>
        <w:t>may be</w:t>
      </w:r>
      <w:r>
        <w:rPr>
          <w:rFonts w:ascii="Arial" w:hAnsi="Arial" w:cs="Arial"/>
          <w:sz w:val="20"/>
          <w:szCs w:val="20"/>
        </w:rPr>
        <w:t xml:space="preserve"> required. However as the 2003 Determination is to be remade without significant amendment, the ACMA is permitted to </w:t>
      </w:r>
      <w:r w:rsidRPr="00DF00D2">
        <w:rPr>
          <w:rFonts w:ascii="Arial" w:hAnsi="Arial" w:cs="Arial"/>
          <w:sz w:val="20"/>
          <w:szCs w:val="20"/>
        </w:rPr>
        <w:t>self-</w:t>
      </w:r>
      <w:r>
        <w:rPr>
          <w:rFonts w:ascii="Arial" w:hAnsi="Arial" w:cs="Arial"/>
          <w:sz w:val="20"/>
          <w:szCs w:val="20"/>
        </w:rPr>
        <w:t>assess the performance of the instrument.</w:t>
      </w:r>
      <w:r>
        <w:rPr>
          <w:rStyle w:val="FootnoteReference"/>
          <w:rFonts w:ascii="Arial" w:hAnsi="Arial" w:cs="Arial"/>
          <w:sz w:val="20"/>
          <w:szCs w:val="20"/>
        </w:rPr>
        <w:footnoteReference w:id="1"/>
      </w:r>
      <w:r>
        <w:rPr>
          <w:rFonts w:ascii="Arial" w:hAnsi="Arial" w:cs="Arial"/>
          <w:sz w:val="20"/>
          <w:szCs w:val="20"/>
        </w:rPr>
        <w:t xml:space="preserve"> </w:t>
      </w:r>
    </w:p>
    <w:p w14:paraId="6397B90C" w14:textId="77777777" w:rsidR="00154BF8" w:rsidRDefault="00154BF8" w:rsidP="00154BF8">
      <w:pPr>
        <w:spacing w:line="280" w:lineRule="atLeast"/>
        <w:rPr>
          <w:rFonts w:ascii="Arial" w:hAnsi="Arial" w:cs="Arial"/>
          <w:sz w:val="20"/>
          <w:szCs w:val="20"/>
        </w:rPr>
      </w:pPr>
    </w:p>
    <w:p w14:paraId="4EA2F6B2" w14:textId="77777777" w:rsidR="00154BF8" w:rsidRDefault="00154BF8" w:rsidP="00154BF8">
      <w:pPr>
        <w:spacing w:line="280" w:lineRule="atLeast"/>
        <w:rPr>
          <w:rFonts w:ascii="Arial" w:hAnsi="Arial" w:cs="Arial"/>
          <w:sz w:val="20"/>
          <w:szCs w:val="20"/>
        </w:rPr>
      </w:pPr>
      <w:r w:rsidRPr="00DF00D2">
        <w:rPr>
          <w:rFonts w:ascii="Arial" w:hAnsi="Arial" w:cs="Arial"/>
          <w:sz w:val="20"/>
          <w:szCs w:val="20"/>
        </w:rPr>
        <w:t xml:space="preserve">This </w:t>
      </w:r>
      <w:r>
        <w:rPr>
          <w:rFonts w:ascii="Arial" w:hAnsi="Arial" w:cs="Arial"/>
          <w:sz w:val="20"/>
          <w:szCs w:val="20"/>
        </w:rPr>
        <w:t xml:space="preserve">self-assessment process </w:t>
      </w:r>
      <w:r w:rsidRPr="00DF00D2">
        <w:rPr>
          <w:rFonts w:ascii="Arial" w:hAnsi="Arial" w:cs="Arial"/>
          <w:sz w:val="20"/>
          <w:szCs w:val="20"/>
        </w:rPr>
        <w:t xml:space="preserve">permits </w:t>
      </w:r>
      <w:r>
        <w:rPr>
          <w:rFonts w:ascii="Arial" w:hAnsi="Arial" w:cs="Arial"/>
          <w:sz w:val="20"/>
          <w:szCs w:val="20"/>
        </w:rPr>
        <w:t xml:space="preserve">the </w:t>
      </w:r>
      <w:r w:rsidRPr="00DF00D2">
        <w:rPr>
          <w:rFonts w:ascii="Arial" w:hAnsi="Arial" w:cs="Arial"/>
          <w:sz w:val="20"/>
          <w:szCs w:val="20"/>
        </w:rPr>
        <w:t>ACMA to make an assessment as to whether the instrument is operating effectively and efficiently</w:t>
      </w:r>
      <w:r>
        <w:rPr>
          <w:rFonts w:ascii="Arial" w:hAnsi="Arial" w:cs="Arial"/>
          <w:sz w:val="20"/>
          <w:szCs w:val="20"/>
        </w:rPr>
        <w:t xml:space="preserve">. </w:t>
      </w:r>
      <w:r w:rsidRPr="009166DC">
        <w:rPr>
          <w:rFonts w:ascii="Arial" w:hAnsi="Arial" w:cs="Arial"/>
          <w:sz w:val="20"/>
          <w:szCs w:val="20"/>
        </w:rPr>
        <w:t xml:space="preserve">This assessment must be informed by a formal consultation process with affected stakeholders. </w:t>
      </w:r>
      <w:r w:rsidRPr="00DF00D2">
        <w:rPr>
          <w:rFonts w:ascii="Arial" w:hAnsi="Arial" w:cs="Arial"/>
          <w:sz w:val="20"/>
          <w:szCs w:val="20"/>
        </w:rPr>
        <w:t xml:space="preserve"> </w:t>
      </w:r>
    </w:p>
    <w:p w14:paraId="5CDEF5BC" w14:textId="77777777" w:rsidR="00154BF8" w:rsidRDefault="00154BF8" w:rsidP="00154BF8">
      <w:pPr>
        <w:spacing w:line="280" w:lineRule="atLeast"/>
        <w:rPr>
          <w:rFonts w:ascii="Arial" w:hAnsi="Arial" w:cs="Arial"/>
          <w:sz w:val="20"/>
          <w:szCs w:val="20"/>
        </w:rPr>
      </w:pPr>
    </w:p>
    <w:p w14:paraId="7FECA99B" w14:textId="6FB318E9" w:rsidR="004B128C" w:rsidRPr="0032491B" w:rsidRDefault="00154BF8" w:rsidP="00AF5F26">
      <w:pPr>
        <w:spacing w:line="280" w:lineRule="atLeast"/>
        <w:rPr>
          <w:rFonts w:ascii="Arial" w:hAnsi="Arial" w:cs="Arial"/>
          <w:sz w:val="20"/>
        </w:rPr>
      </w:pPr>
      <w:r>
        <w:rPr>
          <w:rFonts w:ascii="Arial" w:hAnsi="Arial" w:cs="Arial"/>
          <w:sz w:val="20"/>
          <w:szCs w:val="20"/>
        </w:rPr>
        <w:t>The public consultation process conducted by the ACMA confirmed that the Determination is</w:t>
      </w:r>
      <w:r w:rsidRPr="00DF00D2">
        <w:rPr>
          <w:rFonts w:ascii="Arial" w:hAnsi="Arial" w:cs="Arial"/>
          <w:sz w:val="20"/>
          <w:szCs w:val="20"/>
        </w:rPr>
        <w:t xml:space="preserve"> operating effectively and efficiently</w:t>
      </w:r>
      <w:r>
        <w:rPr>
          <w:rFonts w:ascii="Arial" w:hAnsi="Arial" w:cs="Arial"/>
          <w:sz w:val="20"/>
          <w:szCs w:val="20"/>
        </w:rPr>
        <w:t xml:space="preserve"> and a </w:t>
      </w:r>
      <w:r w:rsidR="00257A02">
        <w:rPr>
          <w:rFonts w:ascii="Arial" w:hAnsi="Arial" w:cs="Arial"/>
          <w:sz w:val="20"/>
          <w:szCs w:val="20"/>
        </w:rPr>
        <w:t xml:space="preserve">confirmation </w:t>
      </w:r>
      <w:r>
        <w:rPr>
          <w:rFonts w:ascii="Arial" w:hAnsi="Arial" w:cs="Arial"/>
          <w:sz w:val="20"/>
          <w:szCs w:val="20"/>
        </w:rPr>
        <w:t xml:space="preserve">letter </w:t>
      </w:r>
      <w:r w:rsidR="00257A02">
        <w:rPr>
          <w:rFonts w:ascii="Arial" w:hAnsi="Arial" w:cs="Arial"/>
          <w:sz w:val="20"/>
          <w:szCs w:val="20"/>
        </w:rPr>
        <w:t xml:space="preserve">to that effect </w:t>
      </w:r>
      <w:r>
        <w:rPr>
          <w:rFonts w:ascii="Arial" w:hAnsi="Arial" w:cs="Arial"/>
          <w:sz w:val="20"/>
          <w:szCs w:val="20"/>
        </w:rPr>
        <w:t>has been se</w:t>
      </w:r>
      <w:r w:rsidR="00257A02">
        <w:rPr>
          <w:rFonts w:ascii="Arial" w:hAnsi="Arial" w:cs="Arial"/>
          <w:sz w:val="20"/>
          <w:szCs w:val="20"/>
        </w:rPr>
        <w:t>nt to the OBPR</w:t>
      </w:r>
      <w:r>
        <w:rPr>
          <w:rFonts w:ascii="Arial" w:hAnsi="Arial" w:cs="Arial"/>
          <w:sz w:val="20"/>
          <w:szCs w:val="20"/>
        </w:rPr>
        <w:t>.</w:t>
      </w:r>
      <w:r w:rsidRPr="00DF00D2">
        <w:rPr>
          <w:rFonts w:ascii="Arial" w:hAnsi="Arial" w:cs="Arial"/>
          <w:sz w:val="20"/>
          <w:szCs w:val="20"/>
        </w:rPr>
        <w:t xml:space="preserve"> Th</w:t>
      </w:r>
      <w:r w:rsidR="00533ED6">
        <w:rPr>
          <w:rFonts w:ascii="Arial" w:hAnsi="Arial" w:cs="Arial"/>
          <w:sz w:val="20"/>
          <w:szCs w:val="20"/>
        </w:rPr>
        <w:t>e</w:t>
      </w:r>
      <w:r w:rsidRPr="00DF00D2">
        <w:rPr>
          <w:rFonts w:ascii="Arial" w:hAnsi="Arial" w:cs="Arial"/>
          <w:sz w:val="20"/>
          <w:szCs w:val="20"/>
        </w:rPr>
        <w:t xml:space="preserve"> </w:t>
      </w:r>
      <w:r w:rsidR="00533ED6">
        <w:rPr>
          <w:rFonts w:ascii="Arial" w:hAnsi="Arial" w:cs="Arial"/>
          <w:sz w:val="20"/>
          <w:szCs w:val="20"/>
        </w:rPr>
        <w:t xml:space="preserve">ACMA has </w:t>
      </w:r>
      <w:r w:rsidR="00580AC3">
        <w:rPr>
          <w:rFonts w:ascii="Arial" w:hAnsi="Arial" w:cs="Arial"/>
          <w:sz w:val="20"/>
          <w:szCs w:val="20"/>
        </w:rPr>
        <w:t xml:space="preserve">submitted </w:t>
      </w:r>
      <w:r w:rsidR="00533ED6">
        <w:rPr>
          <w:rFonts w:ascii="Arial" w:hAnsi="Arial" w:cs="Arial"/>
          <w:sz w:val="20"/>
          <w:szCs w:val="20"/>
        </w:rPr>
        <w:t xml:space="preserve">this </w:t>
      </w:r>
      <w:r w:rsidRPr="00DF00D2">
        <w:rPr>
          <w:rFonts w:ascii="Arial" w:hAnsi="Arial" w:cs="Arial"/>
          <w:sz w:val="20"/>
          <w:szCs w:val="20"/>
        </w:rPr>
        <w:t xml:space="preserve">letter </w:t>
      </w:r>
      <w:r w:rsidR="00580AC3">
        <w:rPr>
          <w:rFonts w:ascii="Arial" w:hAnsi="Arial" w:cs="Arial"/>
          <w:sz w:val="20"/>
          <w:szCs w:val="20"/>
        </w:rPr>
        <w:t xml:space="preserve">to OBPR for </w:t>
      </w:r>
      <w:r w:rsidRPr="00DF00D2">
        <w:rPr>
          <w:rFonts w:ascii="Arial" w:hAnsi="Arial" w:cs="Arial"/>
          <w:sz w:val="20"/>
          <w:szCs w:val="20"/>
        </w:rPr>
        <w:t>publi</w:t>
      </w:r>
      <w:r w:rsidR="00580AC3">
        <w:rPr>
          <w:rFonts w:ascii="Arial" w:hAnsi="Arial" w:cs="Arial"/>
          <w:sz w:val="20"/>
          <w:szCs w:val="20"/>
        </w:rPr>
        <w:t>cation</w:t>
      </w:r>
      <w:r w:rsidR="00314023">
        <w:rPr>
          <w:rFonts w:ascii="Arial" w:hAnsi="Arial" w:cs="Arial"/>
          <w:sz w:val="20"/>
          <w:szCs w:val="20"/>
        </w:rPr>
        <w:t xml:space="preserve"> on their website</w:t>
      </w:r>
      <w:r w:rsidRPr="00DF00D2">
        <w:rPr>
          <w:rFonts w:ascii="Arial" w:hAnsi="Arial" w:cs="Arial"/>
          <w:sz w:val="20"/>
          <w:szCs w:val="20"/>
        </w:rPr>
        <w:t xml:space="preserve"> in lieu of doing a RIS.</w:t>
      </w:r>
      <w:r>
        <w:rPr>
          <w:rFonts w:ascii="Arial" w:hAnsi="Arial" w:cs="Arial"/>
          <w:sz w:val="20"/>
          <w:szCs w:val="20"/>
        </w:rPr>
        <w:t xml:space="preserve"> The </w:t>
      </w:r>
      <w:r w:rsidRPr="0032491B">
        <w:rPr>
          <w:rFonts w:ascii="Arial" w:hAnsi="Arial" w:cs="Arial"/>
          <w:sz w:val="20"/>
          <w:szCs w:val="20"/>
        </w:rPr>
        <w:t xml:space="preserve">OBPR reference number </w:t>
      </w:r>
      <w:r>
        <w:rPr>
          <w:rFonts w:ascii="Arial" w:hAnsi="Arial" w:cs="Arial"/>
          <w:sz w:val="20"/>
          <w:szCs w:val="20"/>
        </w:rPr>
        <w:t>is</w:t>
      </w:r>
      <w:r w:rsidRPr="0032491B">
        <w:rPr>
          <w:rFonts w:ascii="Arial" w:hAnsi="Arial" w:cs="Arial"/>
          <w:sz w:val="20"/>
          <w:szCs w:val="20"/>
        </w:rPr>
        <w:t xml:space="preserve"> ID </w:t>
      </w:r>
      <w:r>
        <w:rPr>
          <w:rFonts w:ascii="Arial" w:hAnsi="Arial" w:cs="Arial"/>
          <w:sz w:val="20"/>
          <w:szCs w:val="20"/>
        </w:rPr>
        <w:t>18049.</w:t>
      </w:r>
      <w:r w:rsidRPr="0032491B">
        <w:rPr>
          <w:rFonts w:ascii="Arial" w:hAnsi="Arial" w:cs="Arial"/>
          <w:sz w:val="20"/>
          <w:szCs w:val="20"/>
        </w:rPr>
        <w:t xml:space="preserve">  </w:t>
      </w:r>
      <w:r w:rsidR="00D57E13">
        <w:rPr>
          <w:rFonts w:ascii="Arial" w:hAnsi="Arial" w:cs="Arial"/>
          <w:sz w:val="20"/>
        </w:rPr>
        <w:t xml:space="preserve"> </w:t>
      </w:r>
    </w:p>
    <w:p w14:paraId="57C38460" w14:textId="77777777" w:rsidR="00997745" w:rsidRDefault="00997745">
      <w:pPr>
        <w:rPr>
          <w:rFonts w:ascii="Arial" w:hAnsi="Arial" w:cs="Arial"/>
          <w:b/>
          <w:sz w:val="20"/>
          <w:szCs w:val="20"/>
          <w:lang w:val="en-US"/>
        </w:rPr>
      </w:pPr>
    </w:p>
    <w:p w14:paraId="02BA40D4" w14:textId="77777777" w:rsidR="00FF4229" w:rsidRPr="0032491B" w:rsidRDefault="00FF4229" w:rsidP="0032491B">
      <w:pPr>
        <w:pStyle w:val="BodyText"/>
        <w:keepNext/>
        <w:rPr>
          <w:rFonts w:ascii="Arial" w:hAnsi="Arial" w:cs="Arial"/>
          <w:b/>
          <w:sz w:val="20"/>
          <w:szCs w:val="20"/>
        </w:rPr>
      </w:pPr>
      <w:r w:rsidRPr="0032491B">
        <w:rPr>
          <w:rFonts w:ascii="Arial" w:hAnsi="Arial" w:cs="Arial"/>
          <w:b/>
          <w:sz w:val="20"/>
          <w:szCs w:val="20"/>
        </w:rPr>
        <w:t>Notes on Sections</w:t>
      </w:r>
    </w:p>
    <w:p w14:paraId="3E55B259" w14:textId="77777777" w:rsidR="00FF4229" w:rsidRPr="0032491B" w:rsidRDefault="00FF4229" w:rsidP="0032491B">
      <w:pPr>
        <w:spacing w:line="280" w:lineRule="atLeast"/>
        <w:jc w:val="both"/>
        <w:rPr>
          <w:rFonts w:ascii="Arial" w:hAnsi="Arial" w:cs="Arial"/>
          <w:sz w:val="20"/>
        </w:rPr>
      </w:pPr>
      <w:r w:rsidRPr="0032491B">
        <w:rPr>
          <w:rFonts w:ascii="Arial" w:hAnsi="Arial" w:cs="Arial"/>
          <w:sz w:val="20"/>
          <w:szCs w:val="20"/>
        </w:rPr>
        <w:t>The provisions of the Determination are described in Attachment 1.</w:t>
      </w:r>
    </w:p>
    <w:p w14:paraId="78A7D60D" w14:textId="77777777" w:rsidR="00FF4229" w:rsidRPr="0032491B" w:rsidRDefault="00FF4229" w:rsidP="00FF4229">
      <w:pPr>
        <w:pStyle w:val="ACMABodyText"/>
        <w:spacing w:before="0" w:after="0"/>
        <w:rPr>
          <w:rFonts w:ascii="Arial" w:hAnsi="Arial" w:cs="Arial"/>
          <w:b/>
          <w:snapToGrid/>
          <w:sz w:val="20"/>
          <w:lang w:val="en-US"/>
        </w:rPr>
      </w:pPr>
    </w:p>
    <w:p w14:paraId="59CB99C5" w14:textId="77777777" w:rsidR="00FF4229" w:rsidRPr="00487008" w:rsidRDefault="00FF4229" w:rsidP="00FF4229">
      <w:pPr>
        <w:pStyle w:val="BodyText"/>
        <w:rPr>
          <w:rFonts w:ascii="Arial" w:hAnsi="Arial" w:cs="Arial"/>
          <w:b/>
          <w:sz w:val="20"/>
          <w:szCs w:val="20"/>
        </w:rPr>
      </w:pPr>
      <w:r w:rsidRPr="00487008">
        <w:rPr>
          <w:rFonts w:ascii="Arial" w:hAnsi="Arial" w:cs="Arial"/>
          <w:b/>
          <w:sz w:val="20"/>
          <w:szCs w:val="20"/>
        </w:rPr>
        <w:t>Statement of Compatibility with Human Rights</w:t>
      </w:r>
    </w:p>
    <w:p w14:paraId="72D70DE1" w14:textId="45C331F8" w:rsidR="00BA50C5" w:rsidRDefault="00BA50C5" w:rsidP="00487008">
      <w:pPr>
        <w:pStyle w:val="ACMABodyText"/>
        <w:spacing w:before="0" w:after="0"/>
        <w:rPr>
          <w:rFonts w:ascii="Arial" w:hAnsi="Arial" w:cs="Arial"/>
          <w:sz w:val="20"/>
        </w:rPr>
      </w:pPr>
      <w:r w:rsidRPr="00487008">
        <w:rPr>
          <w:rFonts w:ascii="Arial" w:hAnsi="Arial" w:cs="Arial"/>
          <w:sz w:val="20"/>
        </w:rPr>
        <w:t xml:space="preserve">Section 9(1) of the </w:t>
      </w:r>
      <w:r w:rsidRPr="00487008">
        <w:rPr>
          <w:rFonts w:ascii="Arial" w:hAnsi="Arial" w:cs="Arial"/>
          <w:i/>
          <w:sz w:val="20"/>
        </w:rPr>
        <w:t>Human Rights (Parliamentary Scrutiny) Act 2011</w:t>
      </w:r>
      <w:r w:rsidRPr="00487008">
        <w:rPr>
          <w:rFonts w:ascii="Arial" w:hAnsi="Arial" w:cs="Arial"/>
          <w:sz w:val="20"/>
        </w:rPr>
        <w:t xml:space="preserve"> requires the rule maker in relation to a legislative instrument to which section 42 (disallowance) of the </w:t>
      </w:r>
      <w:r w:rsidR="00257A02">
        <w:rPr>
          <w:rFonts w:ascii="Arial" w:hAnsi="Arial" w:cs="Arial"/>
          <w:sz w:val="20"/>
        </w:rPr>
        <w:t xml:space="preserve">LIA </w:t>
      </w:r>
      <w:r w:rsidRPr="00487008">
        <w:rPr>
          <w:rFonts w:ascii="Arial" w:hAnsi="Arial" w:cs="Arial"/>
          <w:sz w:val="20"/>
        </w:rPr>
        <w:t xml:space="preserve">applies to cause a statement of compatibility to be prepared in respect of that legislative instrument. </w:t>
      </w:r>
    </w:p>
    <w:p w14:paraId="3F3C5F7C" w14:textId="77777777" w:rsidR="000C2745" w:rsidRPr="00487008" w:rsidRDefault="000C2745" w:rsidP="00487008">
      <w:pPr>
        <w:pStyle w:val="ACMABodyText"/>
        <w:spacing w:before="0" w:after="0"/>
        <w:rPr>
          <w:rFonts w:ascii="Arial" w:hAnsi="Arial" w:cs="Arial"/>
          <w:sz w:val="20"/>
        </w:rPr>
      </w:pPr>
    </w:p>
    <w:p w14:paraId="0A27DD82" w14:textId="0857664A" w:rsidR="00C87366" w:rsidRPr="00487008" w:rsidRDefault="00BA50C5" w:rsidP="00487008">
      <w:pPr>
        <w:pStyle w:val="ACMABodyText"/>
        <w:spacing w:before="0" w:after="0"/>
        <w:rPr>
          <w:rFonts w:ascii="Arial" w:hAnsi="Arial" w:cs="Arial"/>
          <w:sz w:val="20"/>
        </w:rPr>
      </w:pPr>
      <w:r w:rsidRPr="00487008">
        <w:rPr>
          <w:rFonts w:ascii="Arial" w:hAnsi="Arial" w:cs="Arial"/>
          <w:sz w:val="20"/>
        </w:rPr>
        <w:t xml:space="preserve">This statement has been prepared in accordance with Part 3 of the </w:t>
      </w:r>
      <w:r w:rsidRPr="00487008">
        <w:rPr>
          <w:rFonts w:ascii="Arial" w:hAnsi="Arial" w:cs="Arial"/>
          <w:i/>
          <w:sz w:val="20"/>
        </w:rPr>
        <w:t>Human Rights (Parliamentary Scrutiny) Act 2011</w:t>
      </w:r>
      <w:r w:rsidRPr="00487008">
        <w:rPr>
          <w:rFonts w:ascii="Arial" w:hAnsi="Arial" w:cs="Arial"/>
          <w:sz w:val="20"/>
        </w:rPr>
        <w:t>. The Determination </w:t>
      </w:r>
      <w:r w:rsidR="0025380E">
        <w:rPr>
          <w:rFonts w:ascii="Arial" w:hAnsi="Arial" w:cs="Arial"/>
          <w:sz w:val="20"/>
        </w:rPr>
        <w:t xml:space="preserve">determines </w:t>
      </w:r>
      <w:r w:rsidR="000D680B" w:rsidRPr="008D4524">
        <w:rPr>
          <w:rFonts w:ascii="Arial" w:hAnsi="Arial" w:cs="Arial"/>
          <w:sz w:val="20"/>
        </w:rPr>
        <w:t>cabling service operators</w:t>
      </w:r>
      <w:r w:rsidR="00EF5570">
        <w:rPr>
          <w:rFonts w:ascii="Arial" w:hAnsi="Arial" w:cs="Arial"/>
          <w:sz w:val="20"/>
        </w:rPr>
        <w:t xml:space="preserve"> as </w:t>
      </w:r>
      <w:r w:rsidR="0025380E">
        <w:rPr>
          <w:rFonts w:ascii="Arial" w:hAnsi="Arial" w:cs="Arial"/>
          <w:sz w:val="20"/>
        </w:rPr>
        <w:t>a section of</w:t>
      </w:r>
      <w:r w:rsidR="00EF5570">
        <w:rPr>
          <w:rFonts w:ascii="Arial" w:hAnsi="Arial" w:cs="Arial"/>
          <w:sz w:val="20"/>
        </w:rPr>
        <w:t xml:space="preserve"> the telecommunications industry </w:t>
      </w:r>
      <w:r w:rsidR="00E3607B">
        <w:rPr>
          <w:rFonts w:ascii="Arial" w:hAnsi="Arial" w:cs="Arial"/>
          <w:sz w:val="20"/>
        </w:rPr>
        <w:t>for the purposes of</w:t>
      </w:r>
      <w:r w:rsidR="008D6182">
        <w:rPr>
          <w:rFonts w:ascii="Arial" w:hAnsi="Arial" w:cs="Arial"/>
          <w:sz w:val="20"/>
        </w:rPr>
        <w:t xml:space="preserve"> </w:t>
      </w:r>
      <w:r w:rsidR="00EF5570">
        <w:rPr>
          <w:rFonts w:ascii="Arial" w:hAnsi="Arial" w:cs="Arial"/>
          <w:sz w:val="20"/>
        </w:rPr>
        <w:t>Part 6 of the</w:t>
      </w:r>
      <w:r w:rsidR="0025380E">
        <w:rPr>
          <w:rFonts w:ascii="Arial" w:hAnsi="Arial" w:cs="Arial"/>
          <w:sz w:val="20"/>
        </w:rPr>
        <w:t xml:space="preserve"> Act</w:t>
      </w:r>
      <w:r w:rsidR="00C87366" w:rsidRPr="00487008">
        <w:rPr>
          <w:rFonts w:ascii="Arial" w:hAnsi="Arial" w:cs="Arial"/>
          <w:sz w:val="20"/>
        </w:rPr>
        <w:t xml:space="preserve">.  </w:t>
      </w:r>
    </w:p>
    <w:p w14:paraId="36698650" w14:textId="77777777" w:rsidR="00C87366" w:rsidRPr="00487008" w:rsidRDefault="00C87366" w:rsidP="00C87366">
      <w:pPr>
        <w:pStyle w:val="indenta"/>
        <w:tabs>
          <w:tab w:val="left" w:pos="720"/>
        </w:tabs>
        <w:spacing w:before="0" w:line="280" w:lineRule="atLeast"/>
        <w:ind w:left="0" w:firstLine="0"/>
        <w:rPr>
          <w:rStyle w:val="CharSectno"/>
          <w:rFonts w:ascii="Arial" w:hAnsi="Arial" w:cs="Arial"/>
          <w:sz w:val="20"/>
        </w:rPr>
      </w:pPr>
    </w:p>
    <w:p w14:paraId="3EF215E2" w14:textId="1BFBE240" w:rsidR="00BA50C5" w:rsidRPr="00487008" w:rsidRDefault="00BA50C5" w:rsidP="00487008">
      <w:pPr>
        <w:pStyle w:val="ACMABodyText"/>
        <w:spacing w:before="0" w:after="0"/>
        <w:rPr>
          <w:rFonts w:ascii="Arial" w:hAnsi="Arial" w:cs="Arial"/>
          <w:sz w:val="20"/>
        </w:rPr>
      </w:pPr>
      <w:r w:rsidRPr="00487008">
        <w:rPr>
          <w:rFonts w:ascii="Arial" w:hAnsi="Arial" w:cs="Arial"/>
          <w:sz w:val="20"/>
        </w:rPr>
        <w:t xml:space="preserve">The ACMA has </w:t>
      </w:r>
      <w:r w:rsidR="000D680B">
        <w:rPr>
          <w:rFonts w:ascii="Arial" w:hAnsi="Arial" w:cs="Arial"/>
          <w:sz w:val="20"/>
        </w:rPr>
        <w:t>considered whether the</w:t>
      </w:r>
      <w:r w:rsidRPr="00487008">
        <w:rPr>
          <w:rFonts w:ascii="Arial" w:hAnsi="Arial" w:cs="Arial"/>
          <w:sz w:val="20"/>
        </w:rPr>
        <w:t xml:space="preserve"> Determination engages any applicable human rights or freedoms and has formed the view that it does not. The Determination is compatible with human rights as it does not raise any human rights issues.</w:t>
      </w:r>
    </w:p>
    <w:p w14:paraId="683E49A7" w14:textId="77777777" w:rsidR="00C87366" w:rsidRPr="00487008" w:rsidRDefault="00C87366">
      <w:pPr>
        <w:rPr>
          <w:rFonts w:ascii="Arial" w:hAnsi="Arial" w:cs="Arial"/>
          <w:sz w:val="20"/>
          <w:szCs w:val="20"/>
        </w:rPr>
      </w:pPr>
      <w:r w:rsidRPr="00487008">
        <w:rPr>
          <w:rFonts w:ascii="Arial" w:hAnsi="Arial" w:cs="Arial"/>
          <w:sz w:val="20"/>
          <w:szCs w:val="20"/>
        </w:rPr>
        <w:br w:type="page"/>
      </w:r>
    </w:p>
    <w:p w14:paraId="389C819B" w14:textId="77777777" w:rsidR="00554311" w:rsidRPr="00487008" w:rsidRDefault="00C55C35" w:rsidP="00C55C35">
      <w:pPr>
        <w:jc w:val="right"/>
        <w:rPr>
          <w:rFonts w:ascii="Arial" w:hAnsi="Arial" w:cs="Arial"/>
          <w:b/>
          <w:sz w:val="20"/>
          <w:szCs w:val="20"/>
        </w:rPr>
      </w:pPr>
      <w:r w:rsidRPr="00487008">
        <w:rPr>
          <w:rFonts w:ascii="Arial" w:hAnsi="Arial" w:cs="Arial"/>
          <w:b/>
          <w:sz w:val="20"/>
          <w:szCs w:val="20"/>
        </w:rPr>
        <w:lastRenderedPageBreak/>
        <w:t>Attachment 1</w:t>
      </w:r>
    </w:p>
    <w:bookmarkEnd w:id="2"/>
    <w:bookmarkEnd w:id="3"/>
    <w:p w14:paraId="6724ED66" w14:textId="77777777" w:rsidR="00734777" w:rsidRPr="00487008" w:rsidRDefault="00734777" w:rsidP="00734777">
      <w:pPr>
        <w:jc w:val="right"/>
        <w:rPr>
          <w:rFonts w:ascii="Arial" w:hAnsi="Arial" w:cs="Arial"/>
          <w:sz w:val="20"/>
          <w:szCs w:val="20"/>
        </w:rPr>
      </w:pPr>
    </w:p>
    <w:p w14:paraId="0EB456F2" w14:textId="77777777" w:rsidR="00731DC7" w:rsidRPr="00487008" w:rsidRDefault="00731DC7" w:rsidP="00DF3723">
      <w:pPr>
        <w:jc w:val="center"/>
        <w:rPr>
          <w:rFonts w:ascii="Arial" w:hAnsi="Arial" w:cs="Arial"/>
          <w:b/>
          <w:sz w:val="20"/>
          <w:szCs w:val="20"/>
        </w:rPr>
      </w:pPr>
      <w:r w:rsidRPr="00487008">
        <w:rPr>
          <w:rFonts w:ascii="Arial" w:hAnsi="Arial" w:cs="Arial"/>
          <w:b/>
          <w:sz w:val="20"/>
          <w:szCs w:val="20"/>
        </w:rPr>
        <w:t>NOTES ON SECTIONS</w:t>
      </w:r>
    </w:p>
    <w:p w14:paraId="3778432D" w14:textId="77777777" w:rsidR="00734777" w:rsidRPr="00487008" w:rsidRDefault="00734777" w:rsidP="00731DC7">
      <w:pPr>
        <w:rPr>
          <w:rFonts w:ascii="Arial" w:hAnsi="Arial" w:cs="Arial"/>
          <w:sz w:val="20"/>
          <w:szCs w:val="20"/>
        </w:rPr>
      </w:pPr>
    </w:p>
    <w:p w14:paraId="1BB5F735" w14:textId="77777777" w:rsidR="00731DC7" w:rsidRPr="00487008" w:rsidRDefault="00731DC7" w:rsidP="00731DC7">
      <w:pPr>
        <w:rPr>
          <w:rFonts w:ascii="Arial" w:hAnsi="Arial" w:cs="Arial"/>
          <w:b/>
          <w:sz w:val="20"/>
          <w:szCs w:val="20"/>
        </w:rPr>
      </w:pPr>
      <w:r w:rsidRPr="00487008">
        <w:rPr>
          <w:rFonts w:ascii="Arial" w:hAnsi="Arial" w:cs="Arial"/>
          <w:b/>
          <w:sz w:val="20"/>
          <w:szCs w:val="20"/>
        </w:rPr>
        <w:t xml:space="preserve">Section 1 - Name of </w:t>
      </w:r>
      <w:r w:rsidR="003E2585" w:rsidRPr="00487008">
        <w:rPr>
          <w:rFonts w:ascii="Arial" w:hAnsi="Arial" w:cs="Arial"/>
          <w:b/>
          <w:sz w:val="20"/>
          <w:szCs w:val="20"/>
        </w:rPr>
        <w:t>D</w:t>
      </w:r>
      <w:r w:rsidRPr="00487008">
        <w:rPr>
          <w:rFonts w:ascii="Arial" w:hAnsi="Arial" w:cs="Arial"/>
          <w:b/>
          <w:sz w:val="20"/>
          <w:szCs w:val="20"/>
        </w:rPr>
        <w:t>etermination</w:t>
      </w:r>
    </w:p>
    <w:p w14:paraId="2ED96846" w14:textId="77777777" w:rsidR="00734777" w:rsidRPr="00487008" w:rsidRDefault="00734777" w:rsidP="00731DC7">
      <w:pPr>
        <w:rPr>
          <w:rFonts w:ascii="Arial" w:hAnsi="Arial" w:cs="Arial"/>
          <w:b/>
          <w:sz w:val="20"/>
          <w:szCs w:val="20"/>
        </w:rPr>
      </w:pPr>
    </w:p>
    <w:p w14:paraId="65820BDC" w14:textId="701816CA" w:rsidR="00731DC7" w:rsidRPr="00B75A87" w:rsidRDefault="00DF3723" w:rsidP="00731DC7">
      <w:pPr>
        <w:rPr>
          <w:rFonts w:ascii="Arial" w:hAnsi="Arial" w:cs="Arial"/>
          <w:sz w:val="20"/>
          <w:szCs w:val="20"/>
        </w:rPr>
      </w:pPr>
      <w:r w:rsidRPr="00B75A87">
        <w:rPr>
          <w:rFonts w:ascii="Arial" w:hAnsi="Arial" w:cs="Arial"/>
          <w:sz w:val="20"/>
          <w:szCs w:val="20"/>
        </w:rPr>
        <w:t xml:space="preserve">Section </w:t>
      </w:r>
      <w:r w:rsidRPr="00B75A87">
        <w:rPr>
          <w:rFonts w:ascii="Arial" w:hAnsi="Arial" w:cs="Arial"/>
          <w:sz w:val="20"/>
          <w:szCs w:val="20"/>
          <w:lang w:val="en-US"/>
        </w:rPr>
        <w:t xml:space="preserve">1 provides for the citation of the Determination as </w:t>
      </w:r>
      <w:r w:rsidR="008D1425" w:rsidRPr="00B75A87">
        <w:rPr>
          <w:rFonts w:ascii="Arial" w:hAnsi="Arial" w:cs="Arial"/>
          <w:sz w:val="20"/>
          <w:szCs w:val="20"/>
          <w:lang w:val="en-US"/>
        </w:rPr>
        <w:t>the</w:t>
      </w:r>
      <w:r w:rsidR="00DF0F38" w:rsidRPr="00B75A87">
        <w:rPr>
          <w:rFonts w:ascii="Arial" w:hAnsi="Arial" w:cs="Arial"/>
          <w:sz w:val="20"/>
          <w:szCs w:val="20"/>
          <w:lang w:val="en-US"/>
        </w:rPr>
        <w:t xml:space="preserve"> </w:t>
      </w:r>
      <w:r w:rsidR="00EF5570" w:rsidRPr="003B1984">
        <w:rPr>
          <w:rFonts w:ascii="Arial" w:hAnsi="Arial" w:cs="Arial"/>
          <w:i/>
          <w:sz w:val="20"/>
          <w:szCs w:val="20"/>
        </w:rPr>
        <w:t>Telecommunications (Section of the Telecommunications Industry</w:t>
      </w:r>
      <w:r w:rsidR="000D680B" w:rsidRPr="003B1984">
        <w:rPr>
          <w:rFonts w:ascii="Arial" w:hAnsi="Arial" w:cs="Arial"/>
          <w:i/>
          <w:sz w:val="20"/>
          <w:szCs w:val="20"/>
        </w:rPr>
        <w:t xml:space="preserve"> – Cabling Service Operators</w:t>
      </w:r>
      <w:r w:rsidR="00EF5570" w:rsidRPr="003B1984">
        <w:rPr>
          <w:rFonts w:ascii="Arial" w:hAnsi="Arial" w:cs="Arial"/>
          <w:i/>
          <w:sz w:val="20"/>
          <w:szCs w:val="20"/>
        </w:rPr>
        <w:t>) Determination 2015</w:t>
      </w:r>
      <w:r w:rsidR="00731DC7" w:rsidRPr="00B75A87">
        <w:rPr>
          <w:rFonts w:ascii="Arial" w:hAnsi="Arial" w:cs="Arial"/>
          <w:sz w:val="20"/>
          <w:szCs w:val="20"/>
        </w:rPr>
        <w:t>.</w:t>
      </w:r>
    </w:p>
    <w:p w14:paraId="490DED3C" w14:textId="77777777" w:rsidR="00734777" w:rsidRPr="00487008" w:rsidRDefault="00734777" w:rsidP="00731DC7">
      <w:pPr>
        <w:rPr>
          <w:rFonts w:ascii="Arial" w:hAnsi="Arial" w:cs="Arial"/>
          <w:sz w:val="20"/>
          <w:szCs w:val="20"/>
        </w:rPr>
      </w:pPr>
    </w:p>
    <w:p w14:paraId="3652E95E" w14:textId="77777777" w:rsidR="00731DC7" w:rsidRPr="00487008" w:rsidRDefault="00731DC7" w:rsidP="00731DC7">
      <w:pPr>
        <w:rPr>
          <w:rFonts w:ascii="Arial" w:hAnsi="Arial" w:cs="Arial"/>
          <w:b/>
          <w:sz w:val="20"/>
          <w:szCs w:val="20"/>
        </w:rPr>
      </w:pPr>
      <w:r w:rsidRPr="00487008">
        <w:rPr>
          <w:rFonts w:ascii="Arial" w:hAnsi="Arial" w:cs="Arial"/>
          <w:b/>
          <w:sz w:val="20"/>
          <w:szCs w:val="20"/>
        </w:rPr>
        <w:t>Section 2 - Commencement</w:t>
      </w:r>
    </w:p>
    <w:p w14:paraId="25CF9B6F" w14:textId="77777777" w:rsidR="00A91242" w:rsidRPr="00487008" w:rsidRDefault="00A91242">
      <w:pPr>
        <w:rPr>
          <w:rFonts w:ascii="Arial" w:hAnsi="Arial" w:cs="Arial"/>
          <w:sz w:val="20"/>
          <w:szCs w:val="20"/>
        </w:rPr>
      </w:pPr>
    </w:p>
    <w:p w14:paraId="288AB476" w14:textId="77777777" w:rsidR="00183989" w:rsidRPr="00487008" w:rsidRDefault="00BA50C5" w:rsidP="00487008">
      <w:pPr>
        <w:rPr>
          <w:rFonts w:ascii="Arial" w:hAnsi="Arial" w:cs="Arial"/>
          <w:sz w:val="20"/>
          <w:szCs w:val="20"/>
        </w:rPr>
      </w:pPr>
      <w:r w:rsidRPr="00487008">
        <w:rPr>
          <w:rFonts w:ascii="Arial" w:hAnsi="Arial" w:cs="Arial"/>
          <w:sz w:val="20"/>
          <w:szCs w:val="20"/>
        </w:rPr>
        <w:t xml:space="preserve">Section 2 provides that </w:t>
      </w:r>
      <w:r w:rsidR="00EF5570">
        <w:rPr>
          <w:rFonts w:ascii="Arial" w:hAnsi="Arial" w:cs="Arial"/>
          <w:sz w:val="20"/>
          <w:szCs w:val="20"/>
        </w:rPr>
        <w:t xml:space="preserve">the Determination </w:t>
      </w:r>
      <w:r w:rsidRPr="00487008">
        <w:rPr>
          <w:rFonts w:ascii="Arial" w:hAnsi="Arial" w:cs="Arial"/>
          <w:sz w:val="20"/>
          <w:szCs w:val="20"/>
        </w:rPr>
        <w:t xml:space="preserve">will commence on </w:t>
      </w:r>
      <w:r w:rsidR="00183989" w:rsidRPr="00487008">
        <w:rPr>
          <w:rFonts w:ascii="Arial" w:hAnsi="Arial" w:cs="Arial"/>
          <w:sz w:val="20"/>
          <w:szCs w:val="20"/>
        </w:rPr>
        <w:t>the day after it is registered</w:t>
      </w:r>
      <w:r w:rsidRPr="00487008">
        <w:rPr>
          <w:rFonts w:ascii="Arial" w:hAnsi="Arial" w:cs="Arial"/>
          <w:sz w:val="20"/>
          <w:szCs w:val="20"/>
        </w:rPr>
        <w:t xml:space="preserve">. </w:t>
      </w:r>
    </w:p>
    <w:p w14:paraId="6C39E31D" w14:textId="77777777" w:rsidR="00183989" w:rsidRPr="00487008" w:rsidRDefault="00183989" w:rsidP="00731DC7">
      <w:pPr>
        <w:rPr>
          <w:rFonts w:ascii="Arial" w:hAnsi="Arial" w:cs="Arial"/>
          <w:sz w:val="20"/>
          <w:szCs w:val="20"/>
          <w:lang w:val="en-US"/>
        </w:rPr>
      </w:pPr>
    </w:p>
    <w:p w14:paraId="2E17BFA6" w14:textId="77777777" w:rsidR="00150CAE" w:rsidRPr="00D449C5" w:rsidRDefault="00150CAE" w:rsidP="00150CAE">
      <w:pPr>
        <w:autoSpaceDE w:val="0"/>
        <w:autoSpaceDN w:val="0"/>
        <w:adjustRightInd w:val="0"/>
        <w:rPr>
          <w:rFonts w:ascii="Arial" w:hAnsi="Arial" w:cs="Arial"/>
          <w:sz w:val="20"/>
          <w:szCs w:val="20"/>
        </w:rPr>
      </w:pPr>
      <w:r w:rsidRPr="00487008">
        <w:rPr>
          <w:rFonts w:ascii="Arial" w:hAnsi="Arial" w:cs="Arial"/>
          <w:b/>
          <w:sz w:val="20"/>
          <w:szCs w:val="20"/>
        </w:rPr>
        <w:t xml:space="preserve">Section </w:t>
      </w:r>
      <w:r>
        <w:rPr>
          <w:rFonts w:ascii="Arial" w:hAnsi="Arial" w:cs="Arial"/>
          <w:b/>
          <w:sz w:val="20"/>
          <w:szCs w:val="20"/>
        </w:rPr>
        <w:t>3</w:t>
      </w:r>
      <w:r w:rsidRPr="00487008">
        <w:rPr>
          <w:rFonts w:ascii="Arial" w:hAnsi="Arial" w:cs="Arial"/>
          <w:b/>
          <w:sz w:val="20"/>
          <w:szCs w:val="20"/>
        </w:rPr>
        <w:t xml:space="preserve"> – </w:t>
      </w:r>
      <w:r>
        <w:rPr>
          <w:rFonts w:ascii="Arial" w:hAnsi="Arial" w:cs="Arial"/>
          <w:b/>
          <w:sz w:val="20"/>
          <w:szCs w:val="20"/>
        </w:rPr>
        <w:t xml:space="preserve">Revocation </w:t>
      </w:r>
    </w:p>
    <w:p w14:paraId="60201640" w14:textId="77777777" w:rsidR="00150CAE" w:rsidRPr="00487008" w:rsidRDefault="00150CAE" w:rsidP="00150CAE">
      <w:pPr>
        <w:ind w:left="1134" w:hanging="1134"/>
        <w:rPr>
          <w:rFonts w:ascii="Arial" w:hAnsi="Arial" w:cs="Arial"/>
          <w:b/>
          <w:i/>
          <w:sz w:val="20"/>
          <w:szCs w:val="20"/>
        </w:rPr>
      </w:pPr>
    </w:p>
    <w:p w14:paraId="4A027203" w14:textId="77777777" w:rsidR="00150CAE" w:rsidRPr="00D449C5" w:rsidRDefault="00150CAE" w:rsidP="00150CAE">
      <w:pPr>
        <w:autoSpaceDE w:val="0"/>
        <w:autoSpaceDN w:val="0"/>
        <w:adjustRightInd w:val="0"/>
        <w:rPr>
          <w:rFonts w:ascii="Arial" w:hAnsi="Arial" w:cs="Arial"/>
          <w:sz w:val="20"/>
          <w:szCs w:val="20"/>
        </w:rPr>
      </w:pPr>
      <w:r w:rsidRPr="00487008">
        <w:rPr>
          <w:rFonts w:ascii="Arial" w:hAnsi="Arial" w:cs="Arial"/>
          <w:sz w:val="20"/>
          <w:szCs w:val="20"/>
          <w:lang w:val="en-US"/>
        </w:rPr>
        <w:t xml:space="preserve">Section </w:t>
      </w:r>
      <w:r>
        <w:rPr>
          <w:rFonts w:ascii="Arial" w:hAnsi="Arial" w:cs="Arial"/>
          <w:sz w:val="20"/>
          <w:szCs w:val="20"/>
          <w:lang w:val="en-US"/>
        </w:rPr>
        <w:t xml:space="preserve">3 revokes the </w:t>
      </w:r>
      <w:r w:rsidRPr="00D449C5">
        <w:rPr>
          <w:rFonts w:ascii="Arial" w:hAnsi="Arial" w:cs="Arial"/>
          <w:i/>
          <w:iCs/>
          <w:sz w:val="20"/>
          <w:szCs w:val="20"/>
        </w:rPr>
        <w:t>Telecommunications (Section of Telecommunications Industry) Determination 200</w:t>
      </w:r>
      <w:r>
        <w:rPr>
          <w:rFonts w:ascii="Arial" w:hAnsi="Arial" w:cs="Arial"/>
          <w:i/>
          <w:iCs/>
          <w:sz w:val="20"/>
          <w:szCs w:val="20"/>
        </w:rPr>
        <w:t xml:space="preserve">3 (No. </w:t>
      </w:r>
      <w:r w:rsidRPr="00D449C5">
        <w:rPr>
          <w:rFonts w:ascii="Arial" w:hAnsi="Arial" w:cs="Arial"/>
          <w:i/>
          <w:iCs/>
          <w:sz w:val="20"/>
          <w:szCs w:val="20"/>
        </w:rPr>
        <w:t>1</w:t>
      </w:r>
      <w:r>
        <w:rPr>
          <w:rFonts w:ascii="Arial" w:hAnsi="Arial" w:cs="Arial"/>
          <w:i/>
          <w:iCs/>
          <w:sz w:val="20"/>
          <w:szCs w:val="20"/>
        </w:rPr>
        <w:t>)</w:t>
      </w:r>
      <w:r>
        <w:rPr>
          <w:rFonts w:ascii="Arial" w:hAnsi="Arial" w:cs="Arial"/>
          <w:sz w:val="20"/>
          <w:szCs w:val="20"/>
        </w:rPr>
        <w:t>.</w:t>
      </w:r>
    </w:p>
    <w:p w14:paraId="0F89A1FA" w14:textId="77777777" w:rsidR="00150CAE" w:rsidRDefault="00150CAE" w:rsidP="00984FE3">
      <w:pPr>
        <w:ind w:left="1134" w:hanging="1134"/>
        <w:rPr>
          <w:rFonts w:ascii="Arial" w:hAnsi="Arial" w:cs="Arial"/>
          <w:b/>
          <w:sz w:val="20"/>
          <w:szCs w:val="20"/>
        </w:rPr>
      </w:pPr>
    </w:p>
    <w:p w14:paraId="03CABDFC" w14:textId="5FA4E2AB" w:rsidR="00731DC7" w:rsidRPr="00487008" w:rsidRDefault="003872CB" w:rsidP="00984FE3">
      <w:pPr>
        <w:ind w:left="1134" w:hanging="1134"/>
        <w:rPr>
          <w:rFonts w:ascii="Arial" w:hAnsi="Arial" w:cs="Arial"/>
          <w:b/>
          <w:i/>
          <w:sz w:val="20"/>
          <w:szCs w:val="20"/>
        </w:rPr>
      </w:pPr>
      <w:r w:rsidRPr="00487008">
        <w:rPr>
          <w:rFonts w:ascii="Arial" w:hAnsi="Arial" w:cs="Arial"/>
          <w:b/>
          <w:sz w:val="20"/>
          <w:szCs w:val="20"/>
        </w:rPr>
        <w:t xml:space="preserve">Section </w:t>
      </w:r>
      <w:r w:rsidR="00150CAE">
        <w:rPr>
          <w:rFonts w:ascii="Arial" w:hAnsi="Arial" w:cs="Arial"/>
          <w:b/>
          <w:sz w:val="20"/>
          <w:szCs w:val="20"/>
        </w:rPr>
        <w:t>4</w:t>
      </w:r>
      <w:r w:rsidRPr="00487008">
        <w:rPr>
          <w:rFonts w:ascii="Arial" w:hAnsi="Arial" w:cs="Arial"/>
          <w:b/>
          <w:sz w:val="20"/>
          <w:szCs w:val="20"/>
        </w:rPr>
        <w:t xml:space="preserve"> </w:t>
      </w:r>
      <w:r w:rsidR="00984FE3" w:rsidRPr="00487008">
        <w:rPr>
          <w:rFonts w:ascii="Arial" w:hAnsi="Arial" w:cs="Arial"/>
          <w:b/>
          <w:sz w:val="20"/>
          <w:szCs w:val="20"/>
        </w:rPr>
        <w:t>–</w:t>
      </w:r>
      <w:r w:rsidRPr="00487008">
        <w:rPr>
          <w:rFonts w:ascii="Arial" w:hAnsi="Arial" w:cs="Arial"/>
          <w:b/>
          <w:sz w:val="20"/>
          <w:szCs w:val="20"/>
        </w:rPr>
        <w:t xml:space="preserve"> </w:t>
      </w:r>
      <w:r w:rsidR="00E73E6C">
        <w:rPr>
          <w:rFonts w:ascii="Arial" w:hAnsi="Arial" w:cs="Arial"/>
          <w:b/>
          <w:sz w:val="20"/>
          <w:szCs w:val="20"/>
        </w:rPr>
        <w:t>Definitions</w:t>
      </w:r>
    </w:p>
    <w:p w14:paraId="13E71623" w14:textId="77777777" w:rsidR="00734777" w:rsidRPr="00487008" w:rsidRDefault="00734777" w:rsidP="00731DC7">
      <w:pPr>
        <w:rPr>
          <w:rFonts w:ascii="Arial" w:hAnsi="Arial" w:cs="Arial"/>
          <w:sz w:val="20"/>
          <w:szCs w:val="20"/>
        </w:rPr>
      </w:pPr>
    </w:p>
    <w:p w14:paraId="156A9BBF" w14:textId="06D9B3F6" w:rsidR="00B75A87" w:rsidRDefault="00150CAE" w:rsidP="00C614FE">
      <w:pPr>
        <w:rPr>
          <w:rFonts w:ascii="Arial" w:hAnsi="Arial" w:cs="Arial"/>
          <w:sz w:val="20"/>
          <w:szCs w:val="20"/>
          <w:lang w:val="en-US"/>
        </w:rPr>
      </w:pPr>
      <w:r>
        <w:rPr>
          <w:rFonts w:ascii="Arial" w:hAnsi="Arial" w:cs="Arial"/>
          <w:sz w:val="20"/>
          <w:szCs w:val="20"/>
          <w:lang w:val="en-US"/>
        </w:rPr>
        <w:t>Section 4</w:t>
      </w:r>
      <w:r w:rsidR="00986CA0" w:rsidRPr="00487008">
        <w:rPr>
          <w:rFonts w:ascii="Arial" w:hAnsi="Arial" w:cs="Arial"/>
          <w:sz w:val="20"/>
          <w:szCs w:val="20"/>
          <w:lang w:val="en-US"/>
        </w:rPr>
        <w:t xml:space="preserve"> </w:t>
      </w:r>
      <w:r w:rsidR="008D6182">
        <w:rPr>
          <w:rFonts w:ascii="Arial" w:hAnsi="Arial" w:cs="Arial"/>
          <w:sz w:val="20"/>
          <w:szCs w:val="20"/>
          <w:lang w:val="en-US"/>
        </w:rPr>
        <w:t xml:space="preserve">defines terms </w:t>
      </w:r>
      <w:r w:rsidR="00E73E6C">
        <w:rPr>
          <w:rFonts w:ascii="Arial" w:hAnsi="Arial" w:cs="Arial"/>
          <w:sz w:val="20"/>
          <w:szCs w:val="20"/>
          <w:lang w:val="en-US"/>
        </w:rPr>
        <w:t xml:space="preserve">used in the </w:t>
      </w:r>
      <w:r w:rsidR="009372B3">
        <w:rPr>
          <w:rFonts w:ascii="Arial" w:hAnsi="Arial" w:cs="Arial"/>
          <w:sz w:val="20"/>
          <w:szCs w:val="20"/>
          <w:lang w:val="en-US"/>
        </w:rPr>
        <w:t>D</w:t>
      </w:r>
      <w:r w:rsidR="00E73E6C">
        <w:rPr>
          <w:rFonts w:ascii="Arial" w:hAnsi="Arial" w:cs="Arial"/>
          <w:sz w:val="20"/>
          <w:szCs w:val="20"/>
          <w:lang w:val="en-US"/>
        </w:rPr>
        <w:t xml:space="preserve">etermination. </w:t>
      </w:r>
      <w:r w:rsidR="009372B3">
        <w:rPr>
          <w:rFonts w:ascii="Arial" w:hAnsi="Arial" w:cs="Arial"/>
          <w:sz w:val="20"/>
          <w:szCs w:val="20"/>
          <w:lang w:val="en-US"/>
        </w:rPr>
        <w:t>T</w:t>
      </w:r>
      <w:r w:rsidR="00B75A87">
        <w:rPr>
          <w:rFonts w:ascii="Arial" w:hAnsi="Arial" w:cs="Arial"/>
          <w:sz w:val="20"/>
          <w:szCs w:val="20"/>
          <w:lang w:val="en-US"/>
        </w:rPr>
        <w:t xml:space="preserve">he term </w:t>
      </w:r>
      <w:r w:rsidR="00BA6657">
        <w:rPr>
          <w:rFonts w:ascii="Arial" w:hAnsi="Arial" w:cs="Arial"/>
          <w:sz w:val="20"/>
          <w:szCs w:val="20"/>
          <w:lang w:val="en-US"/>
        </w:rPr>
        <w:t>“</w:t>
      </w:r>
      <w:r w:rsidR="00B75A87">
        <w:rPr>
          <w:rFonts w:ascii="Arial" w:hAnsi="Arial" w:cs="Arial"/>
          <w:sz w:val="20"/>
          <w:szCs w:val="20"/>
          <w:lang w:val="en-US"/>
        </w:rPr>
        <w:t>cabling services</w:t>
      </w:r>
      <w:r w:rsidR="00BA6657">
        <w:rPr>
          <w:rFonts w:ascii="Arial" w:hAnsi="Arial" w:cs="Arial"/>
          <w:sz w:val="20"/>
          <w:szCs w:val="20"/>
          <w:lang w:val="en-US"/>
        </w:rPr>
        <w:t>”</w:t>
      </w:r>
      <w:r w:rsidR="00B75A87">
        <w:rPr>
          <w:rFonts w:ascii="Arial" w:hAnsi="Arial" w:cs="Arial"/>
          <w:sz w:val="20"/>
          <w:szCs w:val="20"/>
          <w:lang w:val="en-US"/>
        </w:rPr>
        <w:t xml:space="preserve"> is defined to mean any of the following activities:</w:t>
      </w:r>
    </w:p>
    <w:p w14:paraId="677B79B3" w14:textId="77777777" w:rsidR="00B75A87" w:rsidRDefault="00B75A87" w:rsidP="00C614FE">
      <w:pPr>
        <w:rPr>
          <w:rFonts w:ascii="Arial" w:hAnsi="Arial" w:cs="Arial"/>
          <w:sz w:val="20"/>
          <w:szCs w:val="20"/>
          <w:lang w:val="en-US"/>
        </w:rPr>
      </w:pPr>
    </w:p>
    <w:p w14:paraId="7F5EF5A4" w14:textId="0084C663" w:rsidR="00B75A87" w:rsidRPr="003B1984" w:rsidRDefault="00B75A87" w:rsidP="003B1984">
      <w:pPr>
        <w:pStyle w:val="indenta"/>
        <w:numPr>
          <w:ilvl w:val="0"/>
          <w:numId w:val="15"/>
        </w:numPr>
        <w:tabs>
          <w:tab w:val="left" w:pos="720"/>
        </w:tabs>
        <w:spacing w:before="0" w:line="280" w:lineRule="atLeast"/>
        <w:rPr>
          <w:rFonts w:ascii="Arial" w:hAnsi="Arial" w:cs="Arial"/>
          <w:sz w:val="20"/>
        </w:rPr>
      </w:pPr>
      <w:r w:rsidRPr="003B1984">
        <w:rPr>
          <w:rFonts w:ascii="Arial" w:hAnsi="Arial" w:cs="Arial"/>
          <w:sz w:val="20"/>
        </w:rPr>
        <w:t xml:space="preserve">the installation of customer cabling for connection to a telecommunications network or facility that is used to supply a listed carriage service; </w:t>
      </w:r>
    </w:p>
    <w:p w14:paraId="790298F9" w14:textId="00BB82E9" w:rsidR="00B75A87" w:rsidRPr="003B1984" w:rsidRDefault="00B75A87" w:rsidP="003B1984">
      <w:pPr>
        <w:pStyle w:val="indenta"/>
        <w:numPr>
          <w:ilvl w:val="0"/>
          <w:numId w:val="15"/>
        </w:numPr>
        <w:tabs>
          <w:tab w:val="left" w:pos="720"/>
        </w:tabs>
        <w:spacing w:before="0" w:line="280" w:lineRule="atLeast"/>
        <w:rPr>
          <w:rFonts w:ascii="Arial" w:hAnsi="Arial" w:cs="Arial"/>
          <w:sz w:val="20"/>
        </w:rPr>
      </w:pPr>
      <w:r w:rsidRPr="003B1984">
        <w:rPr>
          <w:rFonts w:ascii="Arial" w:hAnsi="Arial" w:cs="Arial"/>
          <w:sz w:val="20"/>
        </w:rPr>
        <w:t xml:space="preserve">the connection of customer cabling to a telecommunications network or a facility that is used to supply a listed carriage service; </w:t>
      </w:r>
    </w:p>
    <w:p w14:paraId="44461B0E" w14:textId="3499C7F0" w:rsidR="00B75A87" w:rsidRPr="003B1984" w:rsidRDefault="00B75A87" w:rsidP="003B1984">
      <w:pPr>
        <w:pStyle w:val="indenta"/>
        <w:numPr>
          <w:ilvl w:val="0"/>
          <w:numId w:val="15"/>
        </w:numPr>
        <w:tabs>
          <w:tab w:val="left" w:pos="720"/>
        </w:tabs>
        <w:spacing w:before="0" w:line="280" w:lineRule="atLeast"/>
        <w:rPr>
          <w:rFonts w:ascii="Arial" w:hAnsi="Arial" w:cs="Arial"/>
          <w:sz w:val="20"/>
        </w:rPr>
      </w:pPr>
      <w:proofErr w:type="gramStart"/>
      <w:r w:rsidRPr="003B1984">
        <w:rPr>
          <w:rFonts w:ascii="Arial" w:hAnsi="Arial" w:cs="Arial"/>
          <w:sz w:val="20"/>
        </w:rPr>
        <w:t>the</w:t>
      </w:r>
      <w:proofErr w:type="gramEnd"/>
      <w:r w:rsidRPr="003B1984">
        <w:rPr>
          <w:rFonts w:ascii="Arial" w:hAnsi="Arial" w:cs="Arial"/>
          <w:sz w:val="20"/>
        </w:rPr>
        <w:t xml:space="preserve"> maintenance of customer cabling connected to a telecommunications network or facility that is used to supply a listed carriage service.</w:t>
      </w:r>
    </w:p>
    <w:p w14:paraId="4CAF82BE" w14:textId="77777777" w:rsidR="00862B51" w:rsidRDefault="00862B51" w:rsidP="00731DC7">
      <w:pPr>
        <w:rPr>
          <w:rFonts w:ascii="Arial" w:hAnsi="Arial" w:cs="Arial"/>
          <w:sz w:val="20"/>
          <w:szCs w:val="20"/>
          <w:lang w:val="en-US"/>
        </w:rPr>
      </w:pPr>
    </w:p>
    <w:p w14:paraId="6D42D46C" w14:textId="4EC064FB" w:rsidR="00862B51" w:rsidRPr="00487008" w:rsidRDefault="00862B51" w:rsidP="00862B51">
      <w:pPr>
        <w:ind w:left="1134" w:hanging="1134"/>
        <w:rPr>
          <w:rFonts w:ascii="Arial" w:hAnsi="Arial" w:cs="Arial"/>
          <w:b/>
          <w:i/>
          <w:sz w:val="20"/>
          <w:szCs w:val="20"/>
        </w:rPr>
      </w:pPr>
      <w:r>
        <w:rPr>
          <w:rFonts w:ascii="Arial" w:hAnsi="Arial" w:cs="Arial"/>
          <w:b/>
          <w:sz w:val="20"/>
          <w:szCs w:val="20"/>
        </w:rPr>
        <w:t>Section 5</w:t>
      </w:r>
      <w:r w:rsidRPr="00487008">
        <w:rPr>
          <w:rFonts w:ascii="Arial" w:hAnsi="Arial" w:cs="Arial"/>
          <w:b/>
          <w:sz w:val="20"/>
          <w:szCs w:val="20"/>
        </w:rPr>
        <w:t xml:space="preserve"> – </w:t>
      </w:r>
      <w:r w:rsidR="00150CAE">
        <w:rPr>
          <w:rFonts w:ascii="Arial" w:hAnsi="Arial" w:cs="Arial"/>
          <w:b/>
          <w:sz w:val="20"/>
          <w:szCs w:val="20"/>
        </w:rPr>
        <w:t>Specification of telecommunications a</w:t>
      </w:r>
      <w:r>
        <w:rPr>
          <w:rFonts w:ascii="Arial" w:hAnsi="Arial" w:cs="Arial"/>
          <w:b/>
          <w:sz w:val="20"/>
          <w:szCs w:val="20"/>
        </w:rPr>
        <w:t>ctivity</w:t>
      </w:r>
    </w:p>
    <w:p w14:paraId="37DC1551" w14:textId="77777777" w:rsidR="00862B51" w:rsidRPr="00487008" w:rsidRDefault="00862B51" w:rsidP="00862B51">
      <w:pPr>
        <w:rPr>
          <w:rFonts w:ascii="Arial" w:hAnsi="Arial" w:cs="Arial"/>
          <w:sz w:val="20"/>
          <w:szCs w:val="20"/>
        </w:rPr>
      </w:pPr>
    </w:p>
    <w:p w14:paraId="112A956D" w14:textId="2CFD0A13" w:rsidR="00862B51" w:rsidRDefault="00C44EA5" w:rsidP="00862B51">
      <w:pPr>
        <w:rPr>
          <w:rFonts w:ascii="Arial" w:hAnsi="Arial" w:cs="Arial"/>
          <w:sz w:val="20"/>
          <w:szCs w:val="20"/>
          <w:lang w:val="en-US"/>
        </w:rPr>
      </w:pPr>
      <w:r>
        <w:rPr>
          <w:rFonts w:ascii="Arial" w:hAnsi="Arial" w:cs="Arial"/>
          <w:sz w:val="20"/>
          <w:szCs w:val="20"/>
          <w:lang w:val="en-US"/>
        </w:rPr>
        <w:t>The effect of s</w:t>
      </w:r>
      <w:r w:rsidRPr="00487008">
        <w:rPr>
          <w:rFonts w:ascii="Arial" w:hAnsi="Arial" w:cs="Arial"/>
          <w:sz w:val="20"/>
          <w:szCs w:val="20"/>
          <w:lang w:val="en-US"/>
        </w:rPr>
        <w:t xml:space="preserve">ection </w:t>
      </w:r>
      <w:r w:rsidR="00862B51">
        <w:rPr>
          <w:rFonts w:ascii="Arial" w:hAnsi="Arial" w:cs="Arial"/>
          <w:sz w:val="20"/>
          <w:szCs w:val="20"/>
          <w:lang w:val="en-US"/>
        </w:rPr>
        <w:t>5</w:t>
      </w:r>
      <w:r w:rsidR="00862B51" w:rsidRPr="00487008">
        <w:rPr>
          <w:rFonts w:ascii="Arial" w:hAnsi="Arial" w:cs="Arial"/>
          <w:sz w:val="20"/>
          <w:szCs w:val="20"/>
          <w:lang w:val="en-US"/>
        </w:rPr>
        <w:t xml:space="preserve"> </w:t>
      </w:r>
      <w:r>
        <w:rPr>
          <w:rFonts w:ascii="Arial" w:hAnsi="Arial" w:cs="Arial"/>
          <w:sz w:val="20"/>
          <w:szCs w:val="20"/>
          <w:lang w:val="en-US"/>
        </w:rPr>
        <w:t xml:space="preserve">is </w:t>
      </w:r>
      <w:r w:rsidR="00B75A87">
        <w:rPr>
          <w:rFonts w:ascii="Arial" w:hAnsi="Arial" w:cs="Arial"/>
          <w:sz w:val="20"/>
          <w:szCs w:val="20"/>
          <w:lang w:val="en-US"/>
        </w:rPr>
        <w:t>that</w:t>
      </w:r>
      <w:r w:rsidR="00862B51" w:rsidRPr="00487008">
        <w:rPr>
          <w:rFonts w:ascii="Arial" w:hAnsi="Arial" w:cs="Arial"/>
          <w:sz w:val="20"/>
          <w:szCs w:val="20"/>
          <w:lang w:val="en-US"/>
        </w:rPr>
        <w:t xml:space="preserve"> </w:t>
      </w:r>
      <w:r w:rsidR="00862B51">
        <w:rPr>
          <w:rFonts w:ascii="Arial" w:hAnsi="Arial" w:cs="Arial"/>
          <w:sz w:val="20"/>
          <w:szCs w:val="20"/>
          <w:lang w:val="en-US"/>
        </w:rPr>
        <w:t xml:space="preserve">the telecommunications activity covered by </w:t>
      </w:r>
      <w:r>
        <w:rPr>
          <w:rFonts w:ascii="Arial" w:hAnsi="Arial" w:cs="Arial"/>
          <w:sz w:val="20"/>
          <w:szCs w:val="20"/>
          <w:lang w:val="en-US"/>
        </w:rPr>
        <w:t xml:space="preserve">the </w:t>
      </w:r>
      <w:r w:rsidR="00862B51">
        <w:rPr>
          <w:rFonts w:ascii="Arial" w:hAnsi="Arial" w:cs="Arial"/>
          <w:sz w:val="20"/>
          <w:szCs w:val="20"/>
          <w:lang w:val="en-US"/>
        </w:rPr>
        <w:t xml:space="preserve">Determination is the supply of </w:t>
      </w:r>
      <w:r w:rsidR="00150CAE">
        <w:rPr>
          <w:rFonts w:ascii="Arial" w:hAnsi="Arial" w:cs="Arial"/>
          <w:sz w:val="20"/>
          <w:szCs w:val="20"/>
          <w:lang w:val="en-US"/>
        </w:rPr>
        <w:t>cabling s</w:t>
      </w:r>
      <w:r w:rsidR="00862B51">
        <w:rPr>
          <w:rFonts w:ascii="Arial" w:hAnsi="Arial" w:cs="Arial"/>
          <w:sz w:val="20"/>
          <w:szCs w:val="20"/>
          <w:lang w:val="en-US"/>
        </w:rPr>
        <w:t xml:space="preserve">ervices. </w:t>
      </w:r>
    </w:p>
    <w:p w14:paraId="29B337A3" w14:textId="77777777" w:rsidR="00862B51" w:rsidRDefault="00862B51" w:rsidP="00862B51">
      <w:pPr>
        <w:rPr>
          <w:rFonts w:ascii="Arial" w:hAnsi="Arial" w:cs="Arial"/>
          <w:sz w:val="20"/>
          <w:szCs w:val="20"/>
          <w:lang w:val="en-US"/>
        </w:rPr>
      </w:pPr>
    </w:p>
    <w:p w14:paraId="5B6A352A" w14:textId="25A87721" w:rsidR="00862B51" w:rsidRPr="00487008" w:rsidRDefault="00862B51" w:rsidP="00862B51">
      <w:pPr>
        <w:ind w:left="1134" w:hanging="1134"/>
        <w:rPr>
          <w:rFonts w:ascii="Arial" w:hAnsi="Arial" w:cs="Arial"/>
          <w:b/>
          <w:i/>
          <w:sz w:val="20"/>
          <w:szCs w:val="20"/>
        </w:rPr>
      </w:pPr>
      <w:r w:rsidRPr="00487008">
        <w:rPr>
          <w:rFonts w:ascii="Arial" w:hAnsi="Arial" w:cs="Arial"/>
          <w:b/>
          <w:sz w:val="20"/>
          <w:szCs w:val="20"/>
        </w:rPr>
        <w:t xml:space="preserve">Section </w:t>
      </w:r>
      <w:r>
        <w:rPr>
          <w:rFonts w:ascii="Arial" w:hAnsi="Arial" w:cs="Arial"/>
          <w:b/>
          <w:sz w:val="20"/>
          <w:szCs w:val="20"/>
        </w:rPr>
        <w:t>6</w:t>
      </w:r>
      <w:r w:rsidRPr="00487008">
        <w:rPr>
          <w:rFonts w:ascii="Arial" w:hAnsi="Arial" w:cs="Arial"/>
          <w:b/>
          <w:sz w:val="20"/>
          <w:szCs w:val="20"/>
        </w:rPr>
        <w:t xml:space="preserve"> – </w:t>
      </w:r>
      <w:r w:rsidR="00150CAE">
        <w:rPr>
          <w:rFonts w:ascii="Arial" w:hAnsi="Arial" w:cs="Arial"/>
          <w:b/>
          <w:sz w:val="20"/>
          <w:szCs w:val="20"/>
        </w:rPr>
        <w:t>Section of the telecommunications i</w:t>
      </w:r>
      <w:r>
        <w:rPr>
          <w:rFonts w:ascii="Arial" w:hAnsi="Arial" w:cs="Arial"/>
          <w:b/>
          <w:sz w:val="20"/>
          <w:szCs w:val="20"/>
        </w:rPr>
        <w:t>ndustry</w:t>
      </w:r>
    </w:p>
    <w:p w14:paraId="14867B01" w14:textId="77777777" w:rsidR="00862B51" w:rsidRPr="00487008" w:rsidRDefault="00862B51" w:rsidP="00862B51">
      <w:pPr>
        <w:rPr>
          <w:rFonts w:ascii="Arial" w:hAnsi="Arial" w:cs="Arial"/>
          <w:sz w:val="20"/>
          <w:szCs w:val="20"/>
        </w:rPr>
      </w:pPr>
    </w:p>
    <w:p w14:paraId="06299AAD" w14:textId="378821F8" w:rsidR="00862B51" w:rsidRDefault="00862B51" w:rsidP="00AF5F26">
      <w:pPr>
        <w:spacing w:line="280" w:lineRule="atLeast"/>
        <w:rPr>
          <w:rFonts w:ascii="Arial" w:hAnsi="Arial" w:cs="Arial"/>
          <w:sz w:val="20"/>
          <w:szCs w:val="20"/>
          <w:lang w:val="en-US"/>
        </w:rPr>
      </w:pPr>
      <w:r w:rsidRPr="00487008">
        <w:rPr>
          <w:rFonts w:ascii="Arial" w:hAnsi="Arial" w:cs="Arial"/>
          <w:sz w:val="20"/>
          <w:szCs w:val="20"/>
          <w:lang w:val="en-US"/>
        </w:rPr>
        <w:t xml:space="preserve">Section </w:t>
      </w:r>
      <w:r w:rsidR="00D449C5">
        <w:rPr>
          <w:rFonts w:ascii="Arial" w:hAnsi="Arial" w:cs="Arial"/>
          <w:sz w:val="20"/>
          <w:szCs w:val="20"/>
          <w:lang w:val="en-US"/>
        </w:rPr>
        <w:t xml:space="preserve">6 </w:t>
      </w:r>
      <w:r w:rsidRPr="00487008">
        <w:rPr>
          <w:rFonts w:ascii="Arial" w:hAnsi="Arial" w:cs="Arial"/>
          <w:sz w:val="20"/>
          <w:szCs w:val="20"/>
          <w:lang w:val="en-US"/>
        </w:rPr>
        <w:t xml:space="preserve">provides </w:t>
      </w:r>
      <w:r w:rsidR="00D449C5">
        <w:rPr>
          <w:rFonts w:ascii="Arial" w:hAnsi="Arial" w:cs="Arial"/>
          <w:sz w:val="20"/>
          <w:szCs w:val="20"/>
          <w:lang w:val="en-US"/>
        </w:rPr>
        <w:t>that persons</w:t>
      </w:r>
      <w:r w:rsidR="00724DFB">
        <w:rPr>
          <w:rFonts w:ascii="Arial" w:hAnsi="Arial" w:cs="Arial"/>
          <w:sz w:val="20"/>
          <w:szCs w:val="20"/>
          <w:lang w:val="en-US"/>
        </w:rPr>
        <w:t xml:space="preserve"> that are not subject to the </w:t>
      </w:r>
      <w:r w:rsidR="00724DFB" w:rsidRPr="008827C6">
        <w:rPr>
          <w:rFonts w:ascii="Arial" w:hAnsi="Arial" w:cs="Arial"/>
          <w:i/>
          <w:sz w:val="20"/>
        </w:rPr>
        <w:t>Telecommunications Cabling Provider Rules 2014</w:t>
      </w:r>
      <w:r w:rsidR="00724DFB">
        <w:rPr>
          <w:rFonts w:ascii="Arial" w:hAnsi="Arial" w:cs="Arial"/>
          <w:sz w:val="20"/>
        </w:rPr>
        <w:t xml:space="preserve"> and</w:t>
      </w:r>
      <w:r w:rsidR="00D449C5">
        <w:rPr>
          <w:rFonts w:ascii="Arial" w:hAnsi="Arial" w:cs="Arial"/>
          <w:sz w:val="20"/>
          <w:szCs w:val="20"/>
          <w:lang w:val="en-US"/>
        </w:rPr>
        <w:t xml:space="preserve"> </w:t>
      </w:r>
      <w:r w:rsidR="00B75A87">
        <w:rPr>
          <w:rFonts w:ascii="Arial" w:hAnsi="Arial" w:cs="Arial"/>
          <w:sz w:val="20"/>
          <w:szCs w:val="20"/>
          <w:lang w:val="en-US"/>
        </w:rPr>
        <w:t xml:space="preserve">that, </w:t>
      </w:r>
      <w:r w:rsidR="00B75A87">
        <w:rPr>
          <w:rFonts w:ascii="Arial" w:hAnsi="Arial" w:cs="Arial"/>
          <w:sz w:val="20"/>
        </w:rPr>
        <w:t>on a commercial basis,</w:t>
      </w:r>
      <w:r w:rsidR="00B75A87" w:rsidRPr="001B42AA">
        <w:rPr>
          <w:rFonts w:ascii="Arial" w:hAnsi="Arial" w:cs="Arial"/>
          <w:sz w:val="20"/>
        </w:rPr>
        <w:t xml:space="preserve"> </w:t>
      </w:r>
      <w:r w:rsidR="00B75A87">
        <w:rPr>
          <w:rFonts w:ascii="Arial" w:hAnsi="Arial" w:cs="Arial"/>
          <w:sz w:val="20"/>
        </w:rPr>
        <w:t>perform, propose to perform</w:t>
      </w:r>
      <w:r w:rsidR="00B75A87" w:rsidRPr="001B42AA">
        <w:rPr>
          <w:rFonts w:ascii="Arial" w:hAnsi="Arial" w:cs="Arial"/>
          <w:sz w:val="20"/>
        </w:rPr>
        <w:t>, or arrange</w:t>
      </w:r>
      <w:r w:rsidR="00B75A87">
        <w:rPr>
          <w:rFonts w:ascii="Arial" w:hAnsi="Arial" w:cs="Arial"/>
          <w:sz w:val="20"/>
        </w:rPr>
        <w:t>, or propose</w:t>
      </w:r>
      <w:r w:rsidR="00B75A87" w:rsidRPr="001B42AA">
        <w:rPr>
          <w:rFonts w:ascii="Arial" w:hAnsi="Arial" w:cs="Arial"/>
          <w:sz w:val="20"/>
        </w:rPr>
        <w:t xml:space="preserve"> to</w:t>
      </w:r>
      <w:r w:rsidR="00B75A87">
        <w:rPr>
          <w:rFonts w:ascii="Arial" w:hAnsi="Arial" w:cs="Arial"/>
          <w:sz w:val="20"/>
        </w:rPr>
        <w:t xml:space="preserve"> arrange</w:t>
      </w:r>
      <w:r w:rsidR="00B75A87" w:rsidRPr="001B42AA">
        <w:rPr>
          <w:rFonts w:ascii="Arial" w:hAnsi="Arial" w:cs="Arial"/>
          <w:sz w:val="20"/>
        </w:rPr>
        <w:t xml:space="preserve"> </w:t>
      </w:r>
      <w:r w:rsidR="00B75A87">
        <w:rPr>
          <w:rFonts w:ascii="Arial" w:hAnsi="Arial" w:cs="Arial"/>
          <w:sz w:val="20"/>
        </w:rPr>
        <w:t>the performance of</w:t>
      </w:r>
      <w:r w:rsidR="009372B3">
        <w:rPr>
          <w:rFonts w:ascii="Arial" w:hAnsi="Arial" w:cs="Arial"/>
          <w:sz w:val="20"/>
        </w:rPr>
        <w:t>,</w:t>
      </w:r>
      <w:r w:rsidR="00B75A87">
        <w:rPr>
          <w:rFonts w:ascii="Arial" w:hAnsi="Arial" w:cs="Arial"/>
          <w:sz w:val="20"/>
        </w:rPr>
        <w:t xml:space="preserve"> cabling services </w:t>
      </w:r>
      <w:r w:rsidR="00D449C5">
        <w:rPr>
          <w:rFonts w:ascii="Arial" w:hAnsi="Arial" w:cs="Arial"/>
          <w:sz w:val="20"/>
          <w:szCs w:val="20"/>
          <w:lang w:val="en-US"/>
        </w:rPr>
        <w:t xml:space="preserve">are a section of the telecommunications industry </w:t>
      </w:r>
      <w:r w:rsidR="004412E2">
        <w:rPr>
          <w:rFonts w:ascii="Arial" w:hAnsi="Arial" w:cs="Arial"/>
          <w:sz w:val="20"/>
        </w:rPr>
        <w:t>for the purposes of Part 6 of the Act</w:t>
      </w:r>
      <w:r w:rsidR="004412E2">
        <w:rPr>
          <w:rFonts w:ascii="Arial" w:hAnsi="Arial" w:cs="Arial"/>
          <w:sz w:val="20"/>
          <w:szCs w:val="20"/>
          <w:lang w:val="en-US"/>
        </w:rPr>
        <w:t xml:space="preserve"> </w:t>
      </w:r>
      <w:r w:rsidR="00D449C5">
        <w:rPr>
          <w:rFonts w:ascii="Arial" w:hAnsi="Arial" w:cs="Arial"/>
          <w:sz w:val="20"/>
          <w:szCs w:val="20"/>
          <w:lang w:val="en-US"/>
        </w:rPr>
        <w:t>to be identified as</w:t>
      </w:r>
      <w:r w:rsidR="00150CAE">
        <w:rPr>
          <w:rFonts w:ascii="Arial" w:hAnsi="Arial" w:cs="Arial"/>
          <w:sz w:val="20"/>
          <w:szCs w:val="20"/>
          <w:lang w:val="en-US"/>
        </w:rPr>
        <w:t xml:space="preserve"> </w:t>
      </w:r>
      <w:r w:rsidR="00BA6657">
        <w:rPr>
          <w:rFonts w:ascii="Arial" w:hAnsi="Arial" w:cs="Arial"/>
          <w:sz w:val="20"/>
          <w:szCs w:val="20"/>
        </w:rPr>
        <w:t>“</w:t>
      </w:r>
      <w:r w:rsidR="00150CAE" w:rsidRPr="00150CAE">
        <w:rPr>
          <w:rFonts w:ascii="Arial" w:hAnsi="Arial" w:cs="Arial"/>
          <w:sz w:val="20"/>
          <w:szCs w:val="20"/>
        </w:rPr>
        <w:t xml:space="preserve">cabling service </w:t>
      </w:r>
      <w:r w:rsidR="00BA6657" w:rsidRPr="00150CAE">
        <w:rPr>
          <w:rFonts w:ascii="Arial" w:hAnsi="Arial" w:cs="Arial"/>
          <w:sz w:val="20"/>
          <w:szCs w:val="20"/>
        </w:rPr>
        <w:t>operators</w:t>
      </w:r>
      <w:r w:rsidR="00BA6657">
        <w:rPr>
          <w:rFonts w:ascii="Arial" w:hAnsi="Arial" w:cs="Arial"/>
          <w:sz w:val="20"/>
          <w:szCs w:val="20"/>
        </w:rPr>
        <w:t>”</w:t>
      </w:r>
      <w:r w:rsidR="00D449C5">
        <w:rPr>
          <w:rFonts w:ascii="Arial" w:hAnsi="Arial" w:cs="Arial"/>
          <w:sz w:val="20"/>
          <w:szCs w:val="20"/>
          <w:lang w:val="en-US"/>
        </w:rPr>
        <w:t>.</w:t>
      </w:r>
    </w:p>
    <w:p w14:paraId="051F9300" w14:textId="77777777" w:rsidR="00862B51" w:rsidRDefault="00862B51" w:rsidP="00862B51">
      <w:pPr>
        <w:rPr>
          <w:rFonts w:ascii="Arial" w:hAnsi="Arial" w:cs="Arial"/>
          <w:sz w:val="20"/>
          <w:szCs w:val="20"/>
          <w:lang w:val="en-US"/>
        </w:rPr>
      </w:pPr>
    </w:p>
    <w:p w14:paraId="5E0DBA00" w14:textId="77777777" w:rsidR="00862B51" w:rsidRDefault="00862B51" w:rsidP="00731DC7">
      <w:pPr>
        <w:rPr>
          <w:rFonts w:ascii="Arial" w:hAnsi="Arial" w:cs="Arial"/>
          <w:sz w:val="20"/>
          <w:szCs w:val="20"/>
          <w:lang w:val="en-US"/>
        </w:rPr>
      </w:pPr>
    </w:p>
    <w:p w14:paraId="4FA583D1" w14:textId="77777777" w:rsidR="00E73E6C" w:rsidRDefault="00E73E6C" w:rsidP="00731DC7">
      <w:pPr>
        <w:rPr>
          <w:rFonts w:ascii="Arial" w:hAnsi="Arial" w:cs="Arial"/>
          <w:sz w:val="20"/>
          <w:szCs w:val="20"/>
          <w:lang w:val="en-US"/>
        </w:rPr>
      </w:pPr>
    </w:p>
    <w:p w14:paraId="1BBEBF65" w14:textId="77777777" w:rsidR="00731DC7" w:rsidRPr="00487008" w:rsidRDefault="00731DC7" w:rsidP="00487008">
      <w:pPr>
        <w:jc w:val="right"/>
        <w:rPr>
          <w:rFonts w:ascii="Arial" w:hAnsi="Arial" w:cs="Arial"/>
          <w:sz w:val="20"/>
          <w:szCs w:val="20"/>
        </w:rPr>
      </w:pPr>
    </w:p>
    <w:sectPr w:rsidR="00731DC7" w:rsidRPr="00487008" w:rsidSect="00A23C68">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FA05C" w14:textId="77777777" w:rsidR="00003DE5" w:rsidRDefault="00003DE5">
      <w:r>
        <w:separator/>
      </w:r>
    </w:p>
  </w:endnote>
  <w:endnote w:type="continuationSeparator" w:id="0">
    <w:p w14:paraId="3C239917" w14:textId="77777777" w:rsidR="00003DE5" w:rsidRDefault="0000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C182B" w14:textId="77777777" w:rsidR="00D639E4" w:rsidRDefault="00D639E4" w:rsidP="00BC1D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7F7ED" w14:textId="77777777" w:rsidR="00D639E4" w:rsidRDefault="00D639E4" w:rsidP="00C80F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BAF5D" w14:textId="77777777" w:rsidR="00D639E4" w:rsidRDefault="00D639E4" w:rsidP="00BC1D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5936">
      <w:rPr>
        <w:rStyle w:val="PageNumber"/>
        <w:noProof/>
      </w:rPr>
      <w:t>3</w:t>
    </w:r>
    <w:r>
      <w:rPr>
        <w:rStyle w:val="PageNumber"/>
      </w:rPr>
      <w:fldChar w:fldCharType="end"/>
    </w:r>
  </w:p>
  <w:p w14:paraId="7E433DAD" w14:textId="77777777" w:rsidR="00D639E4" w:rsidRDefault="00D639E4" w:rsidP="00C80FB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1FF3B" w14:textId="77777777" w:rsidR="00003DE5" w:rsidRDefault="00003DE5">
      <w:r>
        <w:separator/>
      </w:r>
    </w:p>
  </w:footnote>
  <w:footnote w:type="continuationSeparator" w:id="0">
    <w:p w14:paraId="22CA337E" w14:textId="77777777" w:rsidR="00003DE5" w:rsidRDefault="00003DE5">
      <w:r>
        <w:continuationSeparator/>
      </w:r>
    </w:p>
  </w:footnote>
  <w:footnote w:id="1">
    <w:p w14:paraId="21EF88D5" w14:textId="77777777" w:rsidR="00154BF8" w:rsidRDefault="00154BF8" w:rsidP="00154BF8">
      <w:pPr>
        <w:pStyle w:val="FootnoteText"/>
      </w:pPr>
      <w:r>
        <w:rPr>
          <w:rStyle w:val="FootnoteReference"/>
        </w:rPr>
        <w:footnoteRef/>
      </w:r>
      <w:r>
        <w:t xml:space="preserve"> Department of Prime Minister and Cabinet, Office of Best Practice Regulation, </w:t>
      </w:r>
      <w:r w:rsidRPr="00DF00D2">
        <w:rPr>
          <w:i/>
        </w:rPr>
        <w:t>Guidance Note - Sunsetting Legislative Instruments</w:t>
      </w:r>
      <w:r>
        <w:t xml:space="preserve">, July 2014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9pt;height:11.9pt" o:bullet="t">
        <v:imagedata r:id="rId1" o:title=""/>
      </v:shape>
    </w:pict>
  </w:numPicBullet>
  <w:abstractNum w:abstractNumId="0">
    <w:nsid w:val="090661C8"/>
    <w:multiLevelType w:val="hybridMultilevel"/>
    <w:tmpl w:val="EAFC495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92B5AA0"/>
    <w:multiLevelType w:val="hybridMultilevel"/>
    <w:tmpl w:val="E8688F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12EF1908"/>
    <w:multiLevelType w:val="hybridMultilevel"/>
    <w:tmpl w:val="D54C724C"/>
    <w:lvl w:ilvl="0" w:tplc="604CD0CE">
      <w:start w:val="1"/>
      <w:numFmt w:val="bullet"/>
      <w:lvlText w:val=""/>
      <w:lvlJc w:val="left"/>
      <w:pPr>
        <w:ind w:left="3573" w:hanging="360"/>
      </w:pPr>
      <w:rPr>
        <w:rFonts w:ascii="Symbol" w:hAnsi="Symbol" w:hint="default"/>
      </w:rPr>
    </w:lvl>
    <w:lvl w:ilvl="1" w:tplc="0C090003" w:tentative="1">
      <w:start w:val="1"/>
      <w:numFmt w:val="bullet"/>
      <w:lvlText w:val="o"/>
      <w:lvlJc w:val="left"/>
      <w:pPr>
        <w:ind w:left="4293" w:hanging="360"/>
      </w:pPr>
      <w:rPr>
        <w:rFonts w:ascii="Courier New" w:hAnsi="Courier New" w:cs="Courier New" w:hint="default"/>
      </w:rPr>
    </w:lvl>
    <w:lvl w:ilvl="2" w:tplc="0C090005" w:tentative="1">
      <w:start w:val="1"/>
      <w:numFmt w:val="bullet"/>
      <w:lvlText w:val=""/>
      <w:lvlJc w:val="left"/>
      <w:pPr>
        <w:ind w:left="5013" w:hanging="360"/>
      </w:pPr>
      <w:rPr>
        <w:rFonts w:ascii="Wingdings" w:hAnsi="Wingdings" w:hint="default"/>
      </w:rPr>
    </w:lvl>
    <w:lvl w:ilvl="3" w:tplc="0C090001" w:tentative="1">
      <w:start w:val="1"/>
      <w:numFmt w:val="bullet"/>
      <w:lvlText w:val=""/>
      <w:lvlJc w:val="left"/>
      <w:pPr>
        <w:ind w:left="5733" w:hanging="360"/>
      </w:pPr>
      <w:rPr>
        <w:rFonts w:ascii="Symbol" w:hAnsi="Symbol" w:hint="default"/>
      </w:rPr>
    </w:lvl>
    <w:lvl w:ilvl="4" w:tplc="0C090003" w:tentative="1">
      <w:start w:val="1"/>
      <w:numFmt w:val="bullet"/>
      <w:lvlText w:val="o"/>
      <w:lvlJc w:val="left"/>
      <w:pPr>
        <w:ind w:left="6453" w:hanging="360"/>
      </w:pPr>
      <w:rPr>
        <w:rFonts w:ascii="Courier New" w:hAnsi="Courier New" w:cs="Courier New" w:hint="default"/>
      </w:rPr>
    </w:lvl>
    <w:lvl w:ilvl="5" w:tplc="0C090005" w:tentative="1">
      <w:start w:val="1"/>
      <w:numFmt w:val="bullet"/>
      <w:lvlText w:val=""/>
      <w:lvlJc w:val="left"/>
      <w:pPr>
        <w:ind w:left="7173" w:hanging="360"/>
      </w:pPr>
      <w:rPr>
        <w:rFonts w:ascii="Wingdings" w:hAnsi="Wingdings" w:hint="default"/>
      </w:rPr>
    </w:lvl>
    <w:lvl w:ilvl="6" w:tplc="0C090001" w:tentative="1">
      <w:start w:val="1"/>
      <w:numFmt w:val="bullet"/>
      <w:lvlText w:val=""/>
      <w:lvlJc w:val="left"/>
      <w:pPr>
        <w:ind w:left="7893" w:hanging="360"/>
      </w:pPr>
      <w:rPr>
        <w:rFonts w:ascii="Symbol" w:hAnsi="Symbol" w:hint="default"/>
      </w:rPr>
    </w:lvl>
    <w:lvl w:ilvl="7" w:tplc="0C090003" w:tentative="1">
      <w:start w:val="1"/>
      <w:numFmt w:val="bullet"/>
      <w:lvlText w:val="o"/>
      <w:lvlJc w:val="left"/>
      <w:pPr>
        <w:ind w:left="8613" w:hanging="360"/>
      </w:pPr>
      <w:rPr>
        <w:rFonts w:ascii="Courier New" w:hAnsi="Courier New" w:cs="Courier New" w:hint="default"/>
      </w:rPr>
    </w:lvl>
    <w:lvl w:ilvl="8" w:tplc="0C090005" w:tentative="1">
      <w:start w:val="1"/>
      <w:numFmt w:val="bullet"/>
      <w:lvlText w:val=""/>
      <w:lvlJc w:val="left"/>
      <w:pPr>
        <w:ind w:left="9333" w:hanging="360"/>
      </w:pPr>
      <w:rPr>
        <w:rFonts w:ascii="Wingdings" w:hAnsi="Wingdings" w:hint="default"/>
      </w:rPr>
    </w:lvl>
  </w:abstractNum>
  <w:abstractNum w:abstractNumId="3">
    <w:nsid w:val="14193C3D"/>
    <w:multiLevelType w:val="hybridMultilevel"/>
    <w:tmpl w:val="7A58F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2A37EED"/>
    <w:multiLevelType w:val="hybridMultilevel"/>
    <w:tmpl w:val="4E4AF0E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E02C4F"/>
    <w:multiLevelType w:val="hybridMultilevel"/>
    <w:tmpl w:val="1C6A4EA0"/>
    <w:lvl w:ilvl="0" w:tplc="0C090017">
      <w:start w:val="1"/>
      <w:numFmt w:val="lowerLetter"/>
      <w:lvlText w:val="%1)"/>
      <w:lvlJc w:val="left"/>
      <w:pPr>
        <w:tabs>
          <w:tab w:val="num" w:pos="3252"/>
        </w:tabs>
        <w:ind w:left="3252" w:hanging="360"/>
      </w:pPr>
      <w:rPr>
        <w:rFonts w:hint="default"/>
      </w:rPr>
    </w:lvl>
    <w:lvl w:ilvl="1" w:tplc="EA64821C">
      <w:start w:val="1"/>
      <w:numFmt w:val="bullet"/>
      <w:lvlText w:val=""/>
      <w:lvlJc w:val="left"/>
      <w:pPr>
        <w:tabs>
          <w:tab w:val="num" w:pos="3972"/>
        </w:tabs>
        <w:ind w:left="3972" w:hanging="360"/>
      </w:pPr>
      <w:rPr>
        <w:rFonts w:ascii="Symbol" w:hAnsi="Symbol" w:cs="Symbol" w:hint="default"/>
        <w:color w:val="auto"/>
        <w:sz w:val="22"/>
        <w:szCs w:val="22"/>
      </w:rPr>
    </w:lvl>
    <w:lvl w:ilvl="2" w:tplc="0409001B">
      <w:start w:val="1"/>
      <w:numFmt w:val="lowerRoman"/>
      <w:lvlText w:val="%3."/>
      <w:lvlJc w:val="right"/>
      <w:pPr>
        <w:tabs>
          <w:tab w:val="num" w:pos="4692"/>
        </w:tabs>
        <w:ind w:left="4692" w:hanging="180"/>
      </w:pPr>
    </w:lvl>
    <w:lvl w:ilvl="3" w:tplc="0409000F">
      <w:start w:val="1"/>
      <w:numFmt w:val="decimal"/>
      <w:lvlText w:val="%4."/>
      <w:lvlJc w:val="left"/>
      <w:pPr>
        <w:tabs>
          <w:tab w:val="num" w:pos="5412"/>
        </w:tabs>
        <w:ind w:left="5412" w:hanging="360"/>
      </w:pPr>
    </w:lvl>
    <w:lvl w:ilvl="4" w:tplc="04090019">
      <w:start w:val="1"/>
      <w:numFmt w:val="lowerLetter"/>
      <w:lvlText w:val="%5."/>
      <w:lvlJc w:val="left"/>
      <w:pPr>
        <w:tabs>
          <w:tab w:val="num" w:pos="6132"/>
        </w:tabs>
        <w:ind w:left="6132" w:hanging="360"/>
      </w:pPr>
    </w:lvl>
    <w:lvl w:ilvl="5" w:tplc="0409001B">
      <w:start w:val="1"/>
      <w:numFmt w:val="lowerRoman"/>
      <w:lvlText w:val="%6."/>
      <w:lvlJc w:val="right"/>
      <w:pPr>
        <w:tabs>
          <w:tab w:val="num" w:pos="6852"/>
        </w:tabs>
        <w:ind w:left="6852" w:hanging="180"/>
      </w:pPr>
    </w:lvl>
    <w:lvl w:ilvl="6" w:tplc="0409000F">
      <w:start w:val="1"/>
      <w:numFmt w:val="decimal"/>
      <w:lvlText w:val="%7."/>
      <w:lvlJc w:val="left"/>
      <w:pPr>
        <w:tabs>
          <w:tab w:val="num" w:pos="7572"/>
        </w:tabs>
        <w:ind w:left="7572" w:hanging="360"/>
      </w:pPr>
    </w:lvl>
    <w:lvl w:ilvl="7" w:tplc="04090019">
      <w:start w:val="1"/>
      <w:numFmt w:val="lowerLetter"/>
      <w:lvlText w:val="%8."/>
      <w:lvlJc w:val="left"/>
      <w:pPr>
        <w:tabs>
          <w:tab w:val="num" w:pos="8292"/>
        </w:tabs>
        <w:ind w:left="8292" w:hanging="360"/>
      </w:pPr>
    </w:lvl>
    <w:lvl w:ilvl="8" w:tplc="0409001B">
      <w:start w:val="1"/>
      <w:numFmt w:val="lowerRoman"/>
      <w:lvlText w:val="%9."/>
      <w:lvlJc w:val="right"/>
      <w:pPr>
        <w:tabs>
          <w:tab w:val="num" w:pos="9012"/>
        </w:tabs>
        <w:ind w:left="9012" w:hanging="180"/>
      </w:pPr>
    </w:lvl>
  </w:abstractNum>
  <w:abstractNum w:abstractNumId="7">
    <w:nsid w:val="3A0B7ECF"/>
    <w:multiLevelType w:val="hybridMultilevel"/>
    <w:tmpl w:val="D3B8F8D6"/>
    <w:lvl w:ilvl="0" w:tplc="08447B60">
      <w:start w:val="1"/>
      <w:numFmt w:val="lowerLetter"/>
      <w:lvlText w:val="(%1)"/>
      <w:lvlJc w:val="left"/>
      <w:pPr>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nsid w:val="477C172E"/>
    <w:multiLevelType w:val="hybridMultilevel"/>
    <w:tmpl w:val="EA0ECD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C6E6597"/>
    <w:multiLevelType w:val="hybridMultilevel"/>
    <w:tmpl w:val="3C40D328"/>
    <w:lvl w:ilvl="0" w:tplc="4A503A44">
      <w:start w:val="1"/>
      <w:numFmt w:val="lowerLetter"/>
      <w:lvlText w:val="(%1)"/>
      <w:lvlJc w:val="left"/>
      <w:pPr>
        <w:ind w:left="1324" w:hanging="360"/>
      </w:pPr>
      <w:rPr>
        <w:rFonts w:hint="default"/>
        <w:b w:val="0"/>
        <w:i w:val="0"/>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0">
    <w:nsid w:val="515F6846"/>
    <w:multiLevelType w:val="hybridMultilevel"/>
    <w:tmpl w:val="298C2FB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9121235"/>
    <w:multiLevelType w:val="hybridMultilevel"/>
    <w:tmpl w:val="60DEB932"/>
    <w:lvl w:ilvl="0" w:tplc="0C090001">
      <w:start w:val="1"/>
      <w:numFmt w:val="bullet"/>
      <w:lvlText w:val=""/>
      <w:lvlJc w:val="left"/>
      <w:pPr>
        <w:tabs>
          <w:tab w:val="num" w:pos="1800"/>
        </w:tabs>
        <w:ind w:left="1800" w:hanging="360"/>
      </w:pPr>
      <w:rPr>
        <w:rFonts w:ascii="Symbol" w:hAnsi="Symbol" w:hint="default"/>
      </w:rPr>
    </w:lvl>
    <w:lvl w:ilvl="1" w:tplc="EA64821C">
      <w:start w:val="1"/>
      <w:numFmt w:val="bullet"/>
      <w:lvlText w:val=""/>
      <w:lvlJc w:val="left"/>
      <w:pPr>
        <w:tabs>
          <w:tab w:val="num" w:pos="2520"/>
        </w:tabs>
        <w:ind w:left="2520" w:hanging="360"/>
      </w:pPr>
      <w:rPr>
        <w:rFonts w:ascii="Symbol" w:hAnsi="Symbol" w:cs="Symbol" w:hint="default"/>
        <w:color w:val="auto"/>
        <w:sz w:val="22"/>
        <w:szCs w:val="22"/>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2">
    <w:nsid w:val="6C11227E"/>
    <w:multiLevelType w:val="hybridMultilevel"/>
    <w:tmpl w:val="4CF491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71D2450C"/>
    <w:multiLevelType w:val="hybridMultilevel"/>
    <w:tmpl w:val="350ECEFE"/>
    <w:lvl w:ilvl="0" w:tplc="D7186CD2">
      <w:start w:val="1"/>
      <w:numFmt w:val="lowerRoman"/>
      <w:lvlText w:val="(%1)"/>
      <w:lvlJc w:val="left"/>
      <w:pPr>
        <w:ind w:left="1684" w:hanging="72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4">
    <w:nsid w:val="71D715D8"/>
    <w:multiLevelType w:val="hybridMultilevel"/>
    <w:tmpl w:val="E21CE7A6"/>
    <w:lvl w:ilvl="0" w:tplc="53CACB0E">
      <w:start w:val="1"/>
      <w:numFmt w:val="decimal"/>
      <w:lvlText w:val="%1."/>
      <w:lvlJc w:val="left"/>
      <w:pPr>
        <w:ind w:left="1353" w:hanging="360"/>
      </w:pPr>
      <w:rPr>
        <w:b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7F8037BB"/>
    <w:multiLevelType w:val="hybridMultilevel"/>
    <w:tmpl w:val="FDDEEE7E"/>
    <w:lvl w:ilvl="0" w:tplc="481AA3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8"/>
  </w:num>
  <w:num w:numId="3">
    <w:abstractNumId w:val="1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4"/>
  </w:num>
  <w:num w:numId="8">
    <w:abstractNumId w:val="3"/>
  </w:num>
  <w:num w:numId="9">
    <w:abstractNumId w:val="1"/>
  </w:num>
  <w:num w:numId="10">
    <w:abstractNumId w:val="11"/>
  </w:num>
  <w:num w:numId="11">
    <w:abstractNumId w:val="14"/>
  </w:num>
  <w:num w:numId="12">
    <w:abstractNumId w:val="6"/>
  </w:num>
  <w:num w:numId="13">
    <w:abstractNumId w:val="0"/>
  </w:num>
  <w:num w:numId="14">
    <w:abstractNumId w:val="13"/>
  </w:num>
  <w:num w:numId="15">
    <w:abstractNumId w:val="10"/>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DC7"/>
    <w:rsid w:val="00003DE5"/>
    <w:rsid w:val="0002033E"/>
    <w:rsid w:val="00020C29"/>
    <w:rsid w:val="00027F49"/>
    <w:rsid w:val="00030006"/>
    <w:rsid w:val="00052AC8"/>
    <w:rsid w:val="00056F3D"/>
    <w:rsid w:val="00065182"/>
    <w:rsid w:val="00067801"/>
    <w:rsid w:val="00082E3D"/>
    <w:rsid w:val="00096504"/>
    <w:rsid w:val="000A0F73"/>
    <w:rsid w:val="000A5577"/>
    <w:rsid w:val="000A6764"/>
    <w:rsid w:val="000B6847"/>
    <w:rsid w:val="000B7F58"/>
    <w:rsid w:val="000C2745"/>
    <w:rsid w:val="000D2050"/>
    <w:rsid w:val="000D3362"/>
    <w:rsid w:val="000D49FF"/>
    <w:rsid w:val="000D680B"/>
    <w:rsid w:val="000E6329"/>
    <w:rsid w:val="00103441"/>
    <w:rsid w:val="001210C1"/>
    <w:rsid w:val="00135B57"/>
    <w:rsid w:val="00141227"/>
    <w:rsid w:val="00150471"/>
    <w:rsid w:val="00150CAE"/>
    <w:rsid w:val="00154A94"/>
    <w:rsid w:val="00154BF8"/>
    <w:rsid w:val="0015538D"/>
    <w:rsid w:val="00155C20"/>
    <w:rsid w:val="001621EE"/>
    <w:rsid w:val="00174DDA"/>
    <w:rsid w:val="00175404"/>
    <w:rsid w:val="00183989"/>
    <w:rsid w:val="00183AE4"/>
    <w:rsid w:val="0018491D"/>
    <w:rsid w:val="0018661A"/>
    <w:rsid w:val="0019757C"/>
    <w:rsid w:val="001A3665"/>
    <w:rsid w:val="001B2351"/>
    <w:rsid w:val="001B27D8"/>
    <w:rsid w:val="001B42AA"/>
    <w:rsid w:val="001C0E4E"/>
    <w:rsid w:val="001C1B46"/>
    <w:rsid w:val="001D1545"/>
    <w:rsid w:val="001D18DD"/>
    <w:rsid w:val="001D60A5"/>
    <w:rsid w:val="001D7632"/>
    <w:rsid w:val="001E2961"/>
    <w:rsid w:val="001E516C"/>
    <w:rsid w:val="001F18F2"/>
    <w:rsid w:val="001F3110"/>
    <w:rsid w:val="001F477B"/>
    <w:rsid w:val="001F6254"/>
    <w:rsid w:val="001F6BEE"/>
    <w:rsid w:val="001F73C2"/>
    <w:rsid w:val="00213608"/>
    <w:rsid w:val="0021540D"/>
    <w:rsid w:val="0021648D"/>
    <w:rsid w:val="0022194F"/>
    <w:rsid w:val="00231F4C"/>
    <w:rsid w:val="00237BA0"/>
    <w:rsid w:val="0024662D"/>
    <w:rsid w:val="0025380E"/>
    <w:rsid w:val="00256B11"/>
    <w:rsid w:val="00256DB4"/>
    <w:rsid w:val="00257A02"/>
    <w:rsid w:val="00262A04"/>
    <w:rsid w:val="00262AB7"/>
    <w:rsid w:val="00272BF2"/>
    <w:rsid w:val="00285E12"/>
    <w:rsid w:val="00293222"/>
    <w:rsid w:val="00295C06"/>
    <w:rsid w:val="002A21DD"/>
    <w:rsid w:val="002A5749"/>
    <w:rsid w:val="002B53A0"/>
    <w:rsid w:val="002C41A0"/>
    <w:rsid w:val="002C45D2"/>
    <w:rsid w:val="002E5D43"/>
    <w:rsid w:val="002E71A6"/>
    <w:rsid w:val="00313321"/>
    <w:rsid w:val="00314023"/>
    <w:rsid w:val="003143B2"/>
    <w:rsid w:val="0032491B"/>
    <w:rsid w:val="00327CF4"/>
    <w:rsid w:val="00334F46"/>
    <w:rsid w:val="00335F52"/>
    <w:rsid w:val="00342595"/>
    <w:rsid w:val="00347367"/>
    <w:rsid w:val="003518B5"/>
    <w:rsid w:val="003518C6"/>
    <w:rsid w:val="0036140B"/>
    <w:rsid w:val="00366F54"/>
    <w:rsid w:val="003848CD"/>
    <w:rsid w:val="003872CB"/>
    <w:rsid w:val="00391528"/>
    <w:rsid w:val="0039618A"/>
    <w:rsid w:val="003979F5"/>
    <w:rsid w:val="003A0633"/>
    <w:rsid w:val="003A1382"/>
    <w:rsid w:val="003A4234"/>
    <w:rsid w:val="003B1984"/>
    <w:rsid w:val="003C7C3D"/>
    <w:rsid w:val="003D08D8"/>
    <w:rsid w:val="003D1EF7"/>
    <w:rsid w:val="003D587D"/>
    <w:rsid w:val="003E0EE4"/>
    <w:rsid w:val="003E1D5A"/>
    <w:rsid w:val="003E2585"/>
    <w:rsid w:val="003E55C0"/>
    <w:rsid w:val="003E7EA4"/>
    <w:rsid w:val="003F0D05"/>
    <w:rsid w:val="00405C3D"/>
    <w:rsid w:val="00411066"/>
    <w:rsid w:val="00422ABB"/>
    <w:rsid w:val="00425ABF"/>
    <w:rsid w:val="004267D0"/>
    <w:rsid w:val="00427649"/>
    <w:rsid w:val="00435365"/>
    <w:rsid w:val="004412E2"/>
    <w:rsid w:val="00442160"/>
    <w:rsid w:val="00445F7C"/>
    <w:rsid w:val="00447491"/>
    <w:rsid w:val="0045636B"/>
    <w:rsid w:val="004620E8"/>
    <w:rsid w:val="00464945"/>
    <w:rsid w:val="00471901"/>
    <w:rsid w:val="00481DC7"/>
    <w:rsid w:val="00487008"/>
    <w:rsid w:val="00493430"/>
    <w:rsid w:val="004A1C93"/>
    <w:rsid w:val="004B128C"/>
    <w:rsid w:val="004B4566"/>
    <w:rsid w:val="004B63BC"/>
    <w:rsid w:val="004B7370"/>
    <w:rsid w:val="004C0473"/>
    <w:rsid w:val="004C295D"/>
    <w:rsid w:val="004D2C59"/>
    <w:rsid w:val="004D370C"/>
    <w:rsid w:val="004D42AE"/>
    <w:rsid w:val="004D74E2"/>
    <w:rsid w:val="004E238C"/>
    <w:rsid w:val="00501A3E"/>
    <w:rsid w:val="005027DA"/>
    <w:rsid w:val="005118BE"/>
    <w:rsid w:val="00515755"/>
    <w:rsid w:val="00526207"/>
    <w:rsid w:val="00533ED6"/>
    <w:rsid w:val="00535915"/>
    <w:rsid w:val="00535F7A"/>
    <w:rsid w:val="0054528C"/>
    <w:rsid w:val="00546D2F"/>
    <w:rsid w:val="00554311"/>
    <w:rsid w:val="00554785"/>
    <w:rsid w:val="0056636E"/>
    <w:rsid w:val="00566F64"/>
    <w:rsid w:val="00577F1B"/>
    <w:rsid w:val="00580AC3"/>
    <w:rsid w:val="005947FA"/>
    <w:rsid w:val="005973E1"/>
    <w:rsid w:val="005A1A3B"/>
    <w:rsid w:val="005A2D54"/>
    <w:rsid w:val="005A4519"/>
    <w:rsid w:val="005A6770"/>
    <w:rsid w:val="005A721D"/>
    <w:rsid w:val="005B50BF"/>
    <w:rsid w:val="005B53B0"/>
    <w:rsid w:val="005C151C"/>
    <w:rsid w:val="005D0C73"/>
    <w:rsid w:val="005D0F4D"/>
    <w:rsid w:val="005D49EA"/>
    <w:rsid w:val="005D7241"/>
    <w:rsid w:val="005E0CD3"/>
    <w:rsid w:val="005E2645"/>
    <w:rsid w:val="005E53AD"/>
    <w:rsid w:val="005F1B5C"/>
    <w:rsid w:val="00607F92"/>
    <w:rsid w:val="0062316D"/>
    <w:rsid w:val="0062367A"/>
    <w:rsid w:val="00624943"/>
    <w:rsid w:val="006254D6"/>
    <w:rsid w:val="00627ED0"/>
    <w:rsid w:val="0063332E"/>
    <w:rsid w:val="00641154"/>
    <w:rsid w:val="00651E04"/>
    <w:rsid w:val="00655F6E"/>
    <w:rsid w:val="006603E8"/>
    <w:rsid w:val="00660A1A"/>
    <w:rsid w:val="00662E9A"/>
    <w:rsid w:val="00665061"/>
    <w:rsid w:val="00687E77"/>
    <w:rsid w:val="0069585B"/>
    <w:rsid w:val="006B4FB6"/>
    <w:rsid w:val="006C0307"/>
    <w:rsid w:val="006C370C"/>
    <w:rsid w:val="006C66C3"/>
    <w:rsid w:val="006E7822"/>
    <w:rsid w:val="006F10F6"/>
    <w:rsid w:val="006F78F2"/>
    <w:rsid w:val="007030FA"/>
    <w:rsid w:val="0070430F"/>
    <w:rsid w:val="00707362"/>
    <w:rsid w:val="00707E5B"/>
    <w:rsid w:val="00716CD4"/>
    <w:rsid w:val="00720E5F"/>
    <w:rsid w:val="00721422"/>
    <w:rsid w:val="00723846"/>
    <w:rsid w:val="00723A95"/>
    <w:rsid w:val="00724DFB"/>
    <w:rsid w:val="00731DC7"/>
    <w:rsid w:val="00734777"/>
    <w:rsid w:val="0074768E"/>
    <w:rsid w:val="00754269"/>
    <w:rsid w:val="0075573E"/>
    <w:rsid w:val="007561C0"/>
    <w:rsid w:val="00772891"/>
    <w:rsid w:val="00775541"/>
    <w:rsid w:val="0077714D"/>
    <w:rsid w:val="007822F9"/>
    <w:rsid w:val="00783E3E"/>
    <w:rsid w:val="007905D2"/>
    <w:rsid w:val="0079089A"/>
    <w:rsid w:val="00790B30"/>
    <w:rsid w:val="007A3A70"/>
    <w:rsid w:val="007A6658"/>
    <w:rsid w:val="007B3492"/>
    <w:rsid w:val="007B7A20"/>
    <w:rsid w:val="00804264"/>
    <w:rsid w:val="0081267E"/>
    <w:rsid w:val="00823145"/>
    <w:rsid w:val="008415F7"/>
    <w:rsid w:val="0085137C"/>
    <w:rsid w:val="0086073F"/>
    <w:rsid w:val="00862B51"/>
    <w:rsid w:val="00866FBB"/>
    <w:rsid w:val="00870922"/>
    <w:rsid w:val="0087604A"/>
    <w:rsid w:val="00887F77"/>
    <w:rsid w:val="0089487C"/>
    <w:rsid w:val="008975EF"/>
    <w:rsid w:val="008A045F"/>
    <w:rsid w:val="008A63AD"/>
    <w:rsid w:val="008B05F0"/>
    <w:rsid w:val="008B41C5"/>
    <w:rsid w:val="008B6CA6"/>
    <w:rsid w:val="008D1425"/>
    <w:rsid w:val="008D4524"/>
    <w:rsid w:val="008D48B4"/>
    <w:rsid w:val="008D6182"/>
    <w:rsid w:val="008D7312"/>
    <w:rsid w:val="008E0064"/>
    <w:rsid w:val="008F18C7"/>
    <w:rsid w:val="008F73B4"/>
    <w:rsid w:val="0090187D"/>
    <w:rsid w:val="009077A1"/>
    <w:rsid w:val="009154F6"/>
    <w:rsid w:val="009166DC"/>
    <w:rsid w:val="009350CF"/>
    <w:rsid w:val="00936408"/>
    <w:rsid w:val="009372B3"/>
    <w:rsid w:val="00937757"/>
    <w:rsid w:val="00946709"/>
    <w:rsid w:val="00950FF6"/>
    <w:rsid w:val="009515AF"/>
    <w:rsid w:val="00952B29"/>
    <w:rsid w:val="009533FF"/>
    <w:rsid w:val="00955C03"/>
    <w:rsid w:val="0095736C"/>
    <w:rsid w:val="009643C4"/>
    <w:rsid w:val="0096484F"/>
    <w:rsid w:val="00964DE2"/>
    <w:rsid w:val="0097408E"/>
    <w:rsid w:val="00984FE3"/>
    <w:rsid w:val="00986CA0"/>
    <w:rsid w:val="009915E5"/>
    <w:rsid w:val="00991F57"/>
    <w:rsid w:val="00997745"/>
    <w:rsid w:val="009B3401"/>
    <w:rsid w:val="009C70F2"/>
    <w:rsid w:val="009C74AC"/>
    <w:rsid w:val="009D1091"/>
    <w:rsid w:val="009D2265"/>
    <w:rsid w:val="009E3C0C"/>
    <w:rsid w:val="00A11227"/>
    <w:rsid w:val="00A11356"/>
    <w:rsid w:val="00A14664"/>
    <w:rsid w:val="00A1530D"/>
    <w:rsid w:val="00A228E6"/>
    <w:rsid w:val="00A23C68"/>
    <w:rsid w:val="00A303F6"/>
    <w:rsid w:val="00A420E5"/>
    <w:rsid w:val="00A45AF2"/>
    <w:rsid w:val="00A63713"/>
    <w:rsid w:val="00A64A82"/>
    <w:rsid w:val="00A91242"/>
    <w:rsid w:val="00A91481"/>
    <w:rsid w:val="00A94F01"/>
    <w:rsid w:val="00A95B8A"/>
    <w:rsid w:val="00A9768E"/>
    <w:rsid w:val="00AA2355"/>
    <w:rsid w:val="00AA57F0"/>
    <w:rsid w:val="00AB7932"/>
    <w:rsid w:val="00AC3262"/>
    <w:rsid w:val="00AE053A"/>
    <w:rsid w:val="00AE2673"/>
    <w:rsid w:val="00AE3EBC"/>
    <w:rsid w:val="00AE4A3C"/>
    <w:rsid w:val="00AF5F26"/>
    <w:rsid w:val="00B128D2"/>
    <w:rsid w:val="00B179AB"/>
    <w:rsid w:val="00B32270"/>
    <w:rsid w:val="00B328F3"/>
    <w:rsid w:val="00B40276"/>
    <w:rsid w:val="00B40331"/>
    <w:rsid w:val="00B41453"/>
    <w:rsid w:val="00B6019A"/>
    <w:rsid w:val="00B63888"/>
    <w:rsid w:val="00B64C4B"/>
    <w:rsid w:val="00B74B2B"/>
    <w:rsid w:val="00B75A87"/>
    <w:rsid w:val="00B860B5"/>
    <w:rsid w:val="00B93A86"/>
    <w:rsid w:val="00BA2DED"/>
    <w:rsid w:val="00BA50C5"/>
    <w:rsid w:val="00BA6034"/>
    <w:rsid w:val="00BA6657"/>
    <w:rsid w:val="00BB217F"/>
    <w:rsid w:val="00BC1DD0"/>
    <w:rsid w:val="00BC52AA"/>
    <w:rsid w:val="00BD6BF0"/>
    <w:rsid w:val="00BE6210"/>
    <w:rsid w:val="00C0061E"/>
    <w:rsid w:val="00C10E58"/>
    <w:rsid w:val="00C31089"/>
    <w:rsid w:val="00C423D9"/>
    <w:rsid w:val="00C424A7"/>
    <w:rsid w:val="00C44EA5"/>
    <w:rsid w:val="00C46458"/>
    <w:rsid w:val="00C52070"/>
    <w:rsid w:val="00C55C35"/>
    <w:rsid w:val="00C57FC4"/>
    <w:rsid w:val="00C612B6"/>
    <w:rsid w:val="00C614FE"/>
    <w:rsid w:val="00C80FB4"/>
    <w:rsid w:val="00C87366"/>
    <w:rsid w:val="00C92768"/>
    <w:rsid w:val="00C95949"/>
    <w:rsid w:val="00CA0973"/>
    <w:rsid w:val="00CA6C31"/>
    <w:rsid w:val="00CB691C"/>
    <w:rsid w:val="00CC5EE4"/>
    <w:rsid w:val="00CD01AD"/>
    <w:rsid w:val="00CF2B6D"/>
    <w:rsid w:val="00CF6536"/>
    <w:rsid w:val="00D05CAD"/>
    <w:rsid w:val="00D07459"/>
    <w:rsid w:val="00D17E2C"/>
    <w:rsid w:val="00D2232D"/>
    <w:rsid w:val="00D35684"/>
    <w:rsid w:val="00D37CC5"/>
    <w:rsid w:val="00D449C5"/>
    <w:rsid w:val="00D5552A"/>
    <w:rsid w:val="00D57E13"/>
    <w:rsid w:val="00D615B5"/>
    <w:rsid w:val="00D62A46"/>
    <w:rsid w:val="00D639E4"/>
    <w:rsid w:val="00D860E5"/>
    <w:rsid w:val="00DA2FFD"/>
    <w:rsid w:val="00DA3342"/>
    <w:rsid w:val="00DB1D7F"/>
    <w:rsid w:val="00DC2F2C"/>
    <w:rsid w:val="00DD2EBA"/>
    <w:rsid w:val="00DF00D2"/>
    <w:rsid w:val="00DF0F38"/>
    <w:rsid w:val="00DF1A10"/>
    <w:rsid w:val="00DF26D1"/>
    <w:rsid w:val="00DF3723"/>
    <w:rsid w:val="00DF5880"/>
    <w:rsid w:val="00DF7DEA"/>
    <w:rsid w:val="00E254BF"/>
    <w:rsid w:val="00E3607B"/>
    <w:rsid w:val="00E73E6C"/>
    <w:rsid w:val="00E92937"/>
    <w:rsid w:val="00E951D3"/>
    <w:rsid w:val="00E95936"/>
    <w:rsid w:val="00EA01EA"/>
    <w:rsid w:val="00EE25FD"/>
    <w:rsid w:val="00EF3250"/>
    <w:rsid w:val="00EF5570"/>
    <w:rsid w:val="00F00339"/>
    <w:rsid w:val="00F07BB1"/>
    <w:rsid w:val="00F17A57"/>
    <w:rsid w:val="00F2337A"/>
    <w:rsid w:val="00F270CF"/>
    <w:rsid w:val="00F34E3E"/>
    <w:rsid w:val="00F375E4"/>
    <w:rsid w:val="00F428C8"/>
    <w:rsid w:val="00F457DC"/>
    <w:rsid w:val="00F47B43"/>
    <w:rsid w:val="00F561A1"/>
    <w:rsid w:val="00F6103B"/>
    <w:rsid w:val="00F61613"/>
    <w:rsid w:val="00F64177"/>
    <w:rsid w:val="00F708F0"/>
    <w:rsid w:val="00F742B7"/>
    <w:rsid w:val="00F74FFC"/>
    <w:rsid w:val="00F755A4"/>
    <w:rsid w:val="00F96F2E"/>
    <w:rsid w:val="00FA4E28"/>
    <w:rsid w:val="00FA7830"/>
    <w:rsid w:val="00FB4DBF"/>
    <w:rsid w:val="00FB6212"/>
    <w:rsid w:val="00FD2D68"/>
    <w:rsid w:val="00FD5F32"/>
    <w:rsid w:val="00FE1FD3"/>
    <w:rsid w:val="00FF4229"/>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5972FE"/>
  <w15:docId w15:val="{01A2309F-D0B1-4D60-9B27-8DFCD359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F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93430"/>
    <w:rPr>
      <w:rFonts w:ascii="Tahoma" w:hAnsi="Tahoma" w:cs="Tahoma"/>
      <w:sz w:val="16"/>
      <w:szCs w:val="16"/>
    </w:rPr>
  </w:style>
  <w:style w:type="paragraph" w:customStyle="1" w:styleId="indenta">
    <w:name w:val="indent(a)"/>
    <w:aliases w:val="a"/>
    <w:basedOn w:val="Normal"/>
    <w:rsid w:val="00A95B8A"/>
    <w:pPr>
      <w:tabs>
        <w:tab w:val="right" w:pos="1531"/>
      </w:tabs>
      <w:spacing w:before="40" w:line="260" w:lineRule="atLeast"/>
      <w:ind w:left="1644" w:hanging="1644"/>
    </w:pPr>
    <w:rPr>
      <w:rFonts w:ascii="Times" w:hAnsi="Times"/>
      <w:sz w:val="22"/>
      <w:szCs w:val="20"/>
      <w:lang w:eastAsia="en-US"/>
    </w:rPr>
  </w:style>
  <w:style w:type="character" w:customStyle="1" w:styleId="CharSectno">
    <w:name w:val="CharSectno"/>
    <w:basedOn w:val="DefaultParagraphFont"/>
    <w:rsid w:val="00A95B8A"/>
  </w:style>
  <w:style w:type="paragraph" w:styleId="BodyText">
    <w:name w:val="Body Text"/>
    <w:basedOn w:val="Normal"/>
    <w:rsid w:val="000D2050"/>
    <w:pPr>
      <w:autoSpaceDE w:val="0"/>
      <w:autoSpaceDN w:val="0"/>
      <w:spacing w:after="120"/>
      <w:jc w:val="both"/>
    </w:pPr>
    <w:rPr>
      <w:sz w:val="26"/>
      <w:szCs w:val="26"/>
    </w:rPr>
  </w:style>
  <w:style w:type="character" w:styleId="CommentReference">
    <w:name w:val="annotation reference"/>
    <w:basedOn w:val="DefaultParagraphFont"/>
    <w:uiPriority w:val="99"/>
    <w:semiHidden/>
    <w:rsid w:val="00447491"/>
    <w:rPr>
      <w:sz w:val="16"/>
      <w:szCs w:val="16"/>
    </w:rPr>
  </w:style>
  <w:style w:type="paragraph" w:styleId="CommentText">
    <w:name w:val="annotation text"/>
    <w:basedOn w:val="Normal"/>
    <w:link w:val="CommentTextChar"/>
    <w:uiPriority w:val="99"/>
    <w:semiHidden/>
    <w:rsid w:val="00447491"/>
    <w:rPr>
      <w:sz w:val="20"/>
      <w:szCs w:val="20"/>
    </w:rPr>
  </w:style>
  <w:style w:type="paragraph" w:styleId="CommentSubject">
    <w:name w:val="annotation subject"/>
    <w:basedOn w:val="CommentText"/>
    <w:next w:val="CommentText"/>
    <w:link w:val="CommentSubjectChar"/>
    <w:uiPriority w:val="99"/>
    <w:semiHidden/>
    <w:rsid w:val="00447491"/>
    <w:rPr>
      <w:b/>
      <w:bCs/>
    </w:rPr>
  </w:style>
  <w:style w:type="paragraph" w:customStyle="1" w:styleId="ACMABodyText">
    <w:name w:val="ACMA Body Text"/>
    <w:link w:val="ACMABodyTextChar"/>
    <w:rsid w:val="00D5552A"/>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
    <w:rsid w:val="00D5552A"/>
    <w:rPr>
      <w:snapToGrid w:val="0"/>
      <w:sz w:val="24"/>
      <w:lang w:val="en-AU" w:eastAsia="en-US" w:bidi="ar-SA"/>
    </w:rPr>
  </w:style>
  <w:style w:type="paragraph" w:customStyle="1" w:styleId="ACMAHeading3">
    <w:name w:val="ACMA Heading 3"/>
    <w:next w:val="ACMABodyText"/>
    <w:link w:val="ACMAHeading3Char"/>
    <w:rsid w:val="00554311"/>
    <w:pPr>
      <w:keepNext/>
      <w:suppressAutoHyphens/>
      <w:spacing w:before="240"/>
      <w:outlineLvl w:val="3"/>
    </w:pPr>
    <w:rPr>
      <w:rFonts w:ascii="Arial" w:hAnsi="Arial"/>
      <w:b/>
      <w:sz w:val="24"/>
      <w:lang w:val="en-US" w:eastAsia="en-US"/>
    </w:rPr>
  </w:style>
  <w:style w:type="character" w:customStyle="1" w:styleId="ACMAHeading3Char">
    <w:name w:val="ACMA Heading 3 Char"/>
    <w:basedOn w:val="DefaultParagraphFont"/>
    <w:link w:val="ACMAHeading3"/>
    <w:rsid w:val="00554311"/>
    <w:rPr>
      <w:rFonts w:ascii="Arial" w:hAnsi="Arial"/>
      <w:b/>
      <w:sz w:val="24"/>
      <w:lang w:val="en-US" w:eastAsia="en-US" w:bidi="ar-SA"/>
    </w:rPr>
  </w:style>
  <w:style w:type="paragraph" w:customStyle="1" w:styleId="R1">
    <w:name w:val="R1"/>
    <w:aliases w:val="1. or 1.(1)"/>
    <w:basedOn w:val="Normal"/>
    <w:next w:val="Normal"/>
    <w:rsid w:val="00986CA0"/>
    <w:pPr>
      <w:keepLines/>
      <w:tabs>
        <w:tab w:val="right" w:pos="794"/>
      </w:tabs>
      <w:spacing w:before="120" w:line="260" w:lineRule="exact"/>
      <w:ind w:left="964" w:hanging="964"/>
      <w:jc w:val="both"/>
    </w:pPr>
  </w:style>
  <w:style w:type="paragraph" w:customStyle="1" w:styleId="P1">
    <w:name w:val="P1"/>
    <w:aliases w:val="(a)"/>
    <w:basedOn w:val="Normal"/>
    <w:rsid w:val="00B860B5"/>
    <w:pPr>
      <w:tabs>
        <w:tab w:val="right" w:pos="1191"/>
      </w:tabs>
      <w:spacing w:before="60" w:line="260" w:lineRule="exact"/>
      <w:ind w:left="1418" w:hanging="1418"/>
      <w:jc w:val="both"/>
    </w:pPr>
  </w:style>
  <w:style w:type="paragraph" w:customStyle="1" w:styleId="ZR2">
    <w:name w:val="ZR2"/>
    <w:basedOn w:val="Normal"/>
    <w:rsid w:val="00B860B5"/>
    <w:pPr>
      <w:keepNext/>
      <w:keepLines/>
      <w:tabs>
        <w:tab w:val="right" w:pos="794"/>
      </w:tabs>
      <w:spacing w:before="180" w:line="260" w:lineRule="exact"/>
      <w:ind w:left="964" w:hanging="964"/>
      <w:jc w:val="both"/>
    </w:pPr>
  </w:style>
  <w:style w:type="paragraph" w:customStyle="1" w:styleId="P2">
    <w:name w:val="P2"/>
    <w:aliases w:val="(i)"/>
    <w:basedOn w:val="Normal"/>
    <w:rsid w:val="00B860B5"/>
    <w:pPr>
      <w:tabs>
        <w:tab w:val="right" w:pos="1758"/>
        <w:tab w:val="left" w:pos="2155"/>
      </w:tabs>
      <w:spacing w:before="60" w:line="260" w:lineRule="exact"/>
      <w:ind w:left="1985" w:hanging="1985"/>
      <w:jc w:val="both"/>
    </w:pPr>
  </w:style>
  <w:style w:type="paragraph" w:customStyle="1" w:styleId="ZP1">
    <w:name w:val="ZP1"/>
    <w:basedOn w:val="P1"/>
    <w:rsid w:val="00B860B5"/>
    <w:pPr>
      <w:keepNext/>
    </w:pPr>
  </w:style>
  <w:style w:type="paragraph" w:customStyle="1" w:styleId="ZR1">
    <w:name w:val="ZR1"/>
    <w:basedOn w:val="R1"/>
    <w:rsid w:val="00B860B5"/>
    <w:pPr>
      <w:keepNext/>
    </w:pPr>
  </w:style>
  <w:style w:type="paragraph" w:customStyle="1" w:styleId="TableText">
    <w:name w:val="TableText"/>
    <w:basedOn w:val="Normal"/>
    <w:rsid w:val="00C80FB4"/>
    <w:pPr>
      <w:spacing w:before="60" w:after="60" w:line="240" w:lineRule="exact"/>
    </w:pPr>
    <w:rPr>
      <w:sz w:val="22"/>
    </w:rPr>
  </w:style>
  <w:style w:type="paragraph" w:styleId="Footer">
    <w:name w:val="footer"/>
    <w:basedOn w:val="Normal"/>
    <w:link w:val="FooterChar"/>
    <w:uiPriority w:val="99"/>
    <w:rsid w:val="00C80FB4"/>
    <w:pPr>
      <w:tabs>
        <w:tab w:val="center" w:pos="4153"/>
        <w:tab w:val="right" w:pos="8306"/>
      </w:tabs>
    </w:pPr>
  </w:style>
  <w:style w:type="character" w:styleId="PageNumber">
    <w:name w:val="page number"/>
    <w:basedOn w:val="DefaultParagraphFont"/>
    <w:rsid w:val="00C80FB4"/>
  </w:style>
  <w:style w:type="paragraph" w:customStyle="1" w:styleId="Zdefinition">
    <w:name w:val="Zdefinition"/>
    <w:basedOn w:val="Normal"/>
    <w:rsid w:val="004D42AE"/>
    <w:pPr>
      <w:keepNext/>
      <w:spacing w:before="80" w:line="260" w:lineRule="exact"/>
      <w:ind w:left="964"/>
      <w:jc w:val="both"/>
    </w:pPr>
  </w:style>
  <w:style w:type="character" w:customStyle="1" w:styleId="ACMABodyTextCharChar">
    <w:name w:val="ACMA Body Text Char Char"/>
    <w:basedOn w:val="DefaultParagraphFont"/>
    <w:rsid w:val="002A21DD"/>
    <w:rPr>
      <w:snapToGrid w:val="0"/>
      <w:sz w:val="24"/>
      <w:lang w:val="en-AU" w:eastAsia="en-US" w:bidi="ar-SA"/>
    </w:rPr>
  </w:style>
  <w:style w:type="character" w:styleId="Hyperlink">
    <w:name w:val="Hyperlink"/>
    <w:basedOn w:val="DefaultParagraphFont"/>
    <w:uiPriority w:val="99"/>
    <w:unhideWhenUsed/>
    <w:rsid w:val="003848CD"/>
    <w:rPr>
      <w:color w:val="0000FF"/>
      <w:u w:val="single"/>
    </w:rPr>
  </w:style>
  <w:style w:type="paragraph" w:customStyle="1" w:styleId="A2">
    <w:name w:val="A2"/>
    <w:aliases w:val="1.1 amendment,Instruction amendment"/>
    <w:basedOn w:val="Normal"/>
    <w:next w:val="Normal"/>
    <w:rsid w:val="00183989"/>
    <w:pPr>
      <w:tabs>
        <w:tab w:val="right" w:pos="794"/>
      </w:tabs>
      <w:spacing w:before="120" w:line="260" w:lineRule="exact"/>
      <w:ind w:left="964" w:hanging="964"/>
      <w:jc w:val="both"/>
    </w:pPr>
  </w:style>
  <w:style w:type="paragraph" w:styleId="Header">
    <w:name w:val="header"/>
    <w:basedOn w:val="Normal"/>
    <w:link w:val="HeaderChar"/>
    <w:uiPriority w:val="99"/>
    <w:unhideWhenUsed/>
    <w:rsid w:val="005E0CD3"/>
    <w:pPr>
      <w:tabs>
        <w:tab w:val="center" w:pos="4513"/>
        <w:tab w:val="right" w:pos="9026"/>
      </w:tabs>
    </w:pPr>
  </w:style>
  <w:style w:type="character" w:customStyle="1" w:styleId="HeaderChar">
    <w:name w:val="Header Char"/>
    <w:basedOn w:val="DefaultParagraphFont"/>
    <w:link w:val="Header"/>
    <w:uiPriority w:val="99"/>
    <w:rsid w:val="005E0CD3"/>
    <w:rPr>
      <w:sz w:val="24"/>
      <w:szCs w:val="24"/>
    </w:rPr>
  </w:style>
  <w:style w:type="character" w:customStyle="1" w:styleId="FooterChar">
    <w:name w:val="Footer Char"/>
    <w:basedOn w:val="DefaultParagraphFont"/>
    <w:link w:val="Footer"/>
    <w:uiPriority w:val="99"/>
    <w:rsid w:val="006C0307"/>
    <w:rPr>
      <w:sz w:val="24"/>
      <w:szCs w:val="24"/>
    </w:rPr>
  </w:style>
  <w:style w:type="character" w:customStyle="1" w:styleId="BalloonTextChar">
    <w:name w:val="Balloon Text Char"/>
    <w:basedOn w:val="DefaultParagraphFont"/>
    <w:link w:val="BalloonText"/>
    <w:uiPriority w:val="99"/>
    <w:semiHidden/>
    <w:rsid w:val="006C0307"/>
    <w:rPr>
      <w:rFonts w:ascii="Tahoma" w:hAnsi="Tahoma" w:cs="Tahoma"/>
      <w:sz w:val="16"/>
      <w:szCs w:val="16"/>
    </w:rPr>
  </w:style>
  <w:style w:type="character" w:customStyle="1" w:styleId="CommentTextChar">
    <w:name w:val="Comment Text Char"/>
    <w:basedOn w:val="DefaultParagraphFont"/>
    <w:link w:val="CommentText"/>
    <w:uiPriority w:val="99"/>
    <w:semiHidden/>
    <w:rsid w:val="006C0307"/>
  </w:style>
  <w:style w:type="character" w:customStyle="1" w:styleId="CommentSubjectChar">
    <w:name w:val="Comment Subject Char"/>
    <w:basedOn w:val="CommentTextChar"/>
    <w:link w:val="CommentSubject"/>
    <w:uiPriority w:val="99"/>
    <w:semiHidden/>
    <w:rsid w:val="006C0307"/>
    <w:rPr>
      <w:b/>
      <w:bCs/>
    </w:rPr>
  </w:style>
  <w:style w:type="paragraph" w:styleId="Revision">
    <w:name w:val="Revision"/>
    <w:hidden/>
    <w:uiPriority w:val="99"/>
    <w:semiHidden/>
    <w:rsid w:val="006C0307"/>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6C0307"/>
    <w:pPr>
      <w:spacing w:line="240" w:lineRule="atLeast"/>
      <w:ind w:left="720"/>
      <w:contextualSpacing/>
    </w:pPr>
    <w:rPr>
      <w:rFonts w:ascii="HelveticaNeueLT Std Lt" w:hAnsi="HelveticaNeueLT Std Lt"/>
      <w:sz w:val="20"/>
    </w:rPr>
  </w:style>
  <w:style w:type="paragraph" w:styleId="FootnoteText">
    <w:name w:val="footnote text"/>
    <w:basedOn w:val="Normal"/>
    <w:link w:val="FootnoteTextChar"/>
    <w:uiPriority w:val="99"/>
    <w:semiHidden/>
    <w:unhideWhenUsed/>
    <w:rsid w:val="006C0307"/>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6C0307"/>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6C0307"/>
    <w:rPr>
      <w:vertAlign w:val="superscript"/>
    </w:rPr>
  </w:style>
  <w:style w:type="paragraph" w:customStyle="1" w:styleId="definition">
    <w:name w:val="definition"/>
    <w:basedOn w:val="Normal"/>
    <w:rsid w:val="00E73E6C"/>
    <w:pPr>
      <w:spacing w:before="80" w:line="260" w:lineRule="exact"/>
      <w:ind w:left="964"/>
      <w:jc w:val="both"/>
    </w:pPr>
    <w:rPr>
      <w:szCs w:val="20"/>
    </w:rPr>
  </w:style>
  <w:style w:type="paragraph" w:customStyle="1" w:styleId="ACMANumberedList">
    <w:name w:val="ACMA Numbered List"/>
    <w:rsid w:val="00FD2D68"/>
    <w:pPr>
      <w:numPr>
        <w:numId w:val="17"/>
      </w:numPr>
      <w:spacing w:before="20" w:after="20"/>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818114">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431005950">
      <w:bodyDiv w:val="1"/>
      <w:marLeft w:val="0"/>
      <w:marRight w:val="0"/>
      <w:marTop w:val="0"/>
      <w:marBottom w:val="0"/>
      <w:divBdr>
        <w:top w:val="none" w:sz="0" w:space="0" w:color="auto"/>
        <w:left w:val="none" w:sz="0" w:space="0" w:color="auto"/>
        <w:bottom w:val="none" w:sz="0" w:space="0" w:color="auto"/>
        <w:right w:val="none" w:sz="0" w:space="0" w:color="auto"/>
      </w:divBdr>
    </w:div>
    <w:div w:id="1643583590">
      <w:bodyDiv w:val="1"/>
      <w:marLeft w:val="0"/>
      <w:marRight w:val="0"/>
      <w:marTop w:val="0"/>
      <w:marBottom w:val="0"/>
      <w:divBdr>
        <w:top w:val="none" w:sz="0" w:space="0" w:color="auto"/>
        <w:left w:val="none" w:sz="0" w:space="0" w:color="auto"/>
        <w:bottom w:val="none" w:sz="0" w:space="0" w:color="auto"/>
        <w:right w:val="none" w:sz="0" w:space="0" w:color="auto"/>
      </w:divBdr>
    </w:div>
    <w:div w:id="1784881802">
      <w:bodyDiv w:val="1"/>
      <w:marLeft w:val="0"/>
      <w:marRight w:val="0"/>
      <w:marTop w:val="0"/>
      <w:marBottom w:val="0"/>
      <w:divBdr>
        <w:top w:val="none" w:sz="0" w:space="0" w:color="auto"/>
        <w:left w:val="none" w:sz="0" w:space="0" w:color="auto"/>
        <w:bottom w:val="none" w:sz="0" w:space="0" w:color="auto"/>
        <w:right w:val="none" w:sz="0" w:space="0" w:color="auto"/>
      </w:divBdr>
      <w:divsChild>
        <w:div w:id="1886604673">
          <w:marLeft w:val="0"/>
          <w:marRight w:val="0"/>
          <w:marTop w:val="0"/>
          <w:marBottom w:val="0"/>
          <w:divBdr>
            <w:top w:val="none" w:sz="0" w:space="0" w:color="auto"/>
            <w:left w:val="none" w:sz="0" w:space="0" w:color="auto"/>
            <w:bottom w:val="none" w:sz="0" w:space="0" w:color="auto"/>
            <w:right w:val="none" w:sz="0" w:space="0" w:color="auto"/>
          </w:divBdr>
          <w:divsChild>
            <w:div w:id="705561586">
              <w:marLeft w:val="0"/>
              <w:marRight w:val="0"/>
              <w:marTop w:val="0"/>
              <w:marBottom w:val="0"/>
              <w:divBdr>
                <w:top w:val="none" w:sz="0" w:space="0" w:color="auto"/>
                <w:left w:val="none" w:sz="0" w:space="0" w:color="auto"/>
                <w:bottom w:val="none" w:sz="0" w:space="0" w:color="auto"/>
                <w:right w:val="none" w:sz="0" w:space="0" w:color="auto"/>
              </w:divBdr>
              <w:divsChild>
                <w:div w:id="979843107">
                  <w:marLeft w:val="0"/>
                  <w:marRight w:val="0"/>
                  <w:marTop w:val="0"/>
                  <w:marBottom w:val="0"/>
                  <w:divBdr>
                    <w:top w:val="none" w:sz="0" w:space="0" w:color="auto"/>
                    <w:left w:val="none" w:sz="0" w:space="0" w:color="auto"/>
                    <w:bottom w:val="none" w:sz="0" w:space="0" w:color="auto"/>
                    <w:right w:val="none" w:sz="0" w:space="0" w:color="auto"/>
                  </w:divBdr>
                  <w:divsChild>
                    <w:div w:id="483665684">
                      <w:marLeft w:val="0"/>
                      <w:marRight w:val="0"/>
                      <w:marTop w:val="0"/>
                      <w:marBottom w:val="0"/>
                      <w:divBdr>
                        <w:top w:val="none" w:sz="0" w:space="0" w:color="auto"/>
                        <w:left w:val="none" w:sz="0" w:space="0" w:color="auto"/>
                        <w:bottom w:val="none" w:sz="0" w:space="0" w:color="auto"/>
                        <w:right w:val="none" w:sz="0" w:space="0" w:color="auto"/>
                      </w:divBdr>
                      <w:divsChild>
                        <w:div w:id="12346245">
                          <w:marLeft w:val="0"/>
                          <w:marRight w:val="0"/>
                          <w:marTop w:val="0"/>
                          <w:marBottom w:val="0"/>
                          <w:divBdr>
                            <w:top w:val="single" w:sz="6" w:space="0" w:color="828282"/>
                            <w:left w:val="single" w:sz="6" w:space="0" w:color="828282"/>
                            <w:bottom w:val="single" w:sz="6" w:space="0" w:color="828282"/>
                            <w:right w:val="single" w:sz="6" w:space="0" w:color="828282"/>
                          </w:divBdr>
                          <w:divsChild>
                            <w:div w:id="639698954">
                              <w:marLeft w:val="0"/>
                              <w:marRight w:val="0"/>
                              <w:marTop w:val="0"/>
                              <w:marBottom w:val="0"/>
                              <w:divBdr>
                                <w:top w:val="none" w:sz="0" w:space="0" w:color="auto"/>
                                <w:left w:val="none" w:sz="0" w:space="0" w:color="auto"/>
                                <w:bottom w:val="none" w:sz="0" w:space="0" w:color="auto"/>
                                <w:right w:val="none" w:sz="0" w:space="0" w:color="auto"/>
                              </w:divBdr>
                              <w:divsChild>
                                <w:div w:id="781418482">
                                  <w:marLeft w:val="0"/>
                                  <w:marRight w:val="0"/>
                                  <w:marTop w:val="0"/>
                                  <w:marBottom w:val="0"/>
                                  <w:divBdr>
                                    <w:top w:val="none" w:sz="0" w:space="0" w:color="auto"/>
                                    <w:left w:val="none" w:sz="0" w:space="0" w:color="auto"/>
                                    <w:bottom w:val="none" w:sz="0" w:space="0" w:color="auto"/>
                                    <w:right w:val="none" w:sz="0" w:space="0" w:color="auto"/>
                                  </w:divBdr>
                                  <w:divsChild>
                                    <w:div w:id="104229001">
                                      <w:marLeft w:val="0"/>
                                      <w:marRight w:val="0"/>
                                      <w:marTop w:val="0"/>
                                      <w:marBottom w:val="0"/>
                                      <w:divBdr>
                                        <w:top w:val="none" w:sz="0" w:space="0" w:color="auto"/>
                                        <w:left w:val="none" w:sz="0" w:space="0" w:color="auto"/>
                                        <w:bottom w:val="none" w:sz="0" w:space="0" w:color="auto"/>
                                        <w:right w:val="none" w:sz="0" w:space="0" w:color="auto"/>
                                      </w:divBdr>
                                      <w:divsChild>
                                        <w:div w:id="1353803503">
                                          <w:marLeft w:val="0"/>
                                          <w:marRight w:val="0"/>
                                          <w:marTop w:val="0"/>
                                          <w:marBottom w:val="0"/>
                                          <w:divBdr>
                                            <w:top w:val="none" w:sz="0" w:space="0" w:color="auto"/>
                                            <w:left w:val="none" w:sz="0" w:space="0" w:color="auto"/>
                                            <w:bottom w:val="none" w:sz="0" w:space="0" w:color="auto"/>
                                            <w:right w:val="none" w:sz="0" w:space="0" w:color="auto"/>
                                          </w:divBdr>
                                          <w:divsChild>
                                            <w:div w:id="2013877096">
                                              <w:marLeft w:val="0"/>
                                              <w:marRight w:val="0"/>
                                              <w:marTop w:val="0"/>
                                              <w:marBottom w:val="0"/>
                                              <w:divBdr>
                                                <w:top w:val="none" w:sz="0" w:space="0" w:color="auto"/>
                                                <w:left w:val="none" w:sz="0" w:space="0" w:color="auto"/>
                                                <w:bottom w:val="none" w:sz="0" w:space="0" w:color="auto"/>
                                                <w:right w:val="none" w:sz="0" w:space="0" w:color="auto"/>
                                              </w:divBdr>
                                              <w:divsChild>
                                                <w:div w:id="18374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2DFE42CFCDDC4691A61DD2CF879D1E" ma:contentTypeVersion="0" ma:contentTypeDescription="Create a new document." ma:contentTypeScope="" ma:versionID="1695d847e3dd652c57f432227657326a">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KNAH4PPFC442-3074-44</_dlc_DocId>
    <_dlc_DocIdUrl xmlns="6db8f3c6-01a1-4322-b043-a3b2a190f7a8">
      <Url>http://collaboration/organisation/CID/IRB/TRDS/_layouts/DocIdRedir.aspx?ID=KNAH4PPFC442-3074-44</Url>
      <Description>KNAH4PPFC442-3074-44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68CD5-F9E7-4B6A-A994-5A91D4DC9041}">
  <ds:schemaRefs>
    <ds:schemaRef ds:uri="http://schemas.microsoft.com/sharepoint/events"/>
  </ds:schemaRefs>
</ds:datastoreItem>
</file>

<file path=customXml/itemProps2.xml><?xml version="1.0" encoding="utf-8"?>
<ds:datastoreItem xmlns:ds="http://schemas.openxmlformats.org/officeDocument/2006/customXml" ds:itemID="{AD13BE86-5BAA-4350-A844-4F10CBDBF916}">
  <ds:schemaRefs>
    <ds:schemaRef ds:uri="http://schemas.microsoft.com/sharepoint/v3/contenttype/forms"/>
  </ds:schemaRefs>
</ds:datastoreItem>
</file>

<file path=customXml/itemProps3.xml><?xml version="1.0" encoding="utf-8"?>
<ds:datastoreItem xmlns:ds="http://schemas.openxmlformats.org/officeDocument/2006/customXml" ds:itemID="{80A0656B-3261-4B42-95C7-8096777ED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CA3F08-B6DE-4156-8E1A-360344FBA506}">
  <ds:schemaRefs>
    <ds:schemaRef ds:uri="http://schemas.microsoft.com/office/2006/metadata/properties"/>
    <ds:schemaRef ds:uri="http://schemas.microsoft.com/office/infopath/2007/PartnerControls"/>
    <ds:schemaRef ds:uri="6db8f3c6-01a1-4322-b043-a3b2a190f7a8"/>
  </ds:schemaRefs>
</ds:datastoreItem>
</file>

<file path=customXml/itemProps5.xml><?xml version="1.0" encoding="utf-8"?>
<ds:datastoreItem xmlns:ds="http://schemas.openxmlformats.org/officeDocument/2006/customXml" ds:itemID="{39428B0A-EA44-4D6F-9BE6-A21B3FC7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and Media Authority</Company>
  <LinksUpToDate>false</LinksUpToDate>
  <CharactersWithSpaces>9430</CharactersWithSpaces>
  <SharedDoc>false</SharedDoc>
  <HLinks>
    <vt:vector size="6" baseType="variant">
      <vt:variant>
        <vt:i4>8192070</vt:i4>
      </vt:variant>
      <vt:variant>
        <vt:i4>0</vt:i4>
      </vt:variant>
      <vt:variant>
        <vt:i4>0</vt:i4>
      </vt:variant>
      <vt:variant>
        <vt:i4>5</vt:i4>
      </vt:variant>
      <vt:variant>
        <vt:lpwstr>http://www.acma.gov.au/WEB/STANDARD/pc=PC_312211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crobert</dc:creator>
  <cp:lastModifiedBy>Marko Filipovic</cp:lastModifiedBy>
  <cp:revision>4</cp:revision>
  <cp:lastPrinted>2015-02-12T23:16:00Z</cp:lastPrinted>
  <dcterms:created xsi:type="dcterms:W3CDTF">2015-03-02T04:01:00Z</dcterms:created>
  <dcterms:modified xsi:type="dcterms:W3CDTF">2015-03-05T03:00:00Z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27c31af3-c71e-49fe-82d2-91994b3370ba</vt:lpwstr>
  </property>
  <property fmtid="{D5CDD505-2E9C-101B-9397-08002B2CF9AE}" pid="3" name="ContentTypeId">
    <vt:lpwstr>0x010100432DFE42CFCDDC4691A61DD2CF879D1E</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{aa02821a-f0b7-4f59-9c9d-33ae55ea486f}</vt:lpwstr>
  </property>
  <property fmtid="{D5CDD505-2E9C-101B-9397-08002B2CF9AE}" pid="7" name="RecordPoint_ActiveItemMoved">
    <vt:lpwstr/>
  </property>
  <property fmtid="{D5CDD505-2E9C-101B-9397-08002B2CF9AE}" pid="8" name="RecordPoint_SubmissionCompleted">
    <vt:lpwstr>2014-10-08T17:26:16.3987460+11:00</vt:lpwstr>
  </property>
  <property fmtid="{D5CDD505-2E9C-101B-9397-08002B2CF9AE}" pid="9" name="RecordPoint_ActiveItemUniqueId">
    <vt:lpwstr>{b1aac30a-4e49-4fe8-93aa-26214646978c}</vt:lpwstr>
  </property>
  <property fmtid="{D5CDD505-2E9C-101B-9397-08002B2CF9AE}" pid="10" name="RecordPoint_RecordFormat">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