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2B12" w14:textId="77777777" w:rsidR="00E72A5D" w:rsidRPr="00A73669" w:rsidRDefault="00E72A5D" w:rsidP="00E72A5D">
      <w:pPr>
        <w:spacing w:line="1800" w:lineRule="atLeast"/>
        <w:ind w:right="397"/>
      </w:pPr>
      <w:r w:rsidRPr="00A73669">
        <w:rPr>
          <w:noProof/>
        </w:rPr>
        <w:drawing>
          <wp:inline distT="0" distB="0" distL="0" distR="0" wp14:anchorId="44BBC006" wp14:editId="71C28C3B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430E" w14:textId="120087D1" w:rsidR="00E72A5D" w:rsidRPr="00A73669" w:rsidRDefault="00793B10" w:rsidP="00E72A5D">
      <w:pPr>
        <w:pStyle w:val="Title"/>
        <w:pBdr>
          <w:bottom w:val="single" w:sz="2" w:space="3" w:color="auto"/>
        </w:pBdr>
        <w:ind w:right="397"/>
      </w:pPr>
      <w:bookmarkStart w:id="0" w:name="citation"/>
      <w:r>
        <w:t>Telecommunications</w:t>
      </w:r>
      <w:r w:rsidR="00E72A5D" w:rsidRPr="00A73669">
        <w:t xml:space="preserve"> (</w:t>
      </w:r>
      <w:r>
        <w:t xml:space="preserve">Section of </w:t>
      </w:r>
      <w:r w:rsidR="00311CD0">
        <w:t xml:space="preserve">the </w:t>
      </w:r>
      <w:r>
        <w:t>Telecommunications Industry</w:t>
      </w:r>
      <w:r w:rsidR="00D41A47">
        <w:t xml:space="preserve"> – Cabling Service Operators</w:t>
      </w:r>
      <w:r>
        <w:t xml:space="preserve">) </w:t>
      </w:r>
      <w:r w:rsidRPr="00A73669">
        <w:t>Determination</w:t>
      </w:r>
      <w:r w:rsidR="00E72A5D" w:rsidRPr="00A73669">
        <w:t> </w:t>
      </w:r>
      <w:bookmarkEnd w:id="0"/>
      <w:r>
        <w:t>2015</w:t>
      </w:r>
    </w:p>
    <w:p w14:paraId="3E87511E" w14:textId="47C0FA3C" w:rsidR="00E72A5D" w:rsidRPr="00A73669" w:rsidRDefault="00E72A5D" w:rsidP="00E72A5D">
      <w:pPr>
        <w:spacing w:before="600" w:line="300" w:lineRule="atLeast"/>
        <w:ind w:right="397"/>
        <w:jc w:val="both"/>
      </w:pPr>
      <w:r w:rsidRPr="00A73669">
        <w:t xml:space="preserve">THE AUSTRALIAN COMMUNICATIONS </w:t>
      </w:r>
      <w:r>
        <w:t xml:space="preserve">AND MEDIA </w:t>
      </w:r>
      <w:r w:rsidRPr="00A73669">
        <w:t xml:space="preserve">AUTHORITY makes this </w:t>
      </w:r>
      <w:r w:rsidR="00C832BE">
        <w:t>D</w:t>
      </w:r>
      <w:r w:rsidR="00C832BE" w:rsidRPr="00A73669">
        <w:t xml:space="preserve">etermination </w:t>
      </w:r>
      <w:r w:rsidRPr="00A73669">
        <w:t>under subsection 1</w:t>
      </w:r>
      <w:r w:rsidR="00793B10">
        <w:t>10</w:t>
      </w:r>
      <w:r w:rsidRPr="00A73669">
        <w:t>(</w:t>
      </w:r>
      <w:r w:rsidR="00793B10">
        <w:t>3</w:t>
      </w:r>
      <w:r w:rsidRPr="00A73669">
        <w:t xml:space="preserve">) of the </w:t>
      </w:r>
      <w:bookmarkStart w:id="1" w:name="Act"/>
      <w:r w:rsidR="00793B10">
        <w:rPr>
          <w:i/>
        </w:rPr>
        <w:t>Telecommunications</w:t>
      </w:r>
      <w:r w:rsidRPr="00A73669">
        <w:rPr>
          <w:i/>
        </w:rPr>
        <w:t xml:space="preserve"> Act </w:t>
      </w:r>
      <w:bookmarkEnd w:id="1"/>
      <w:r w:rsidR="00793B10">
        <w:rPr>
          <w:i/>
        </w:rPr>
        <w:t>1997</w:t>
      </w:r>
      <w:r w:rsidRPr="00A73669">
        <w:t>.</w:t>
      </w:r>
    </w:p>
    <w:p w14:paraId="683FCE5A" w14:textId="7ED1461D" w:rsidR="00E72A5D" w:rsidRDefault="00E72A5D" w:rsidP="00E72A5D">
      <w:pPr>
        <w:tabs>
          <w:tab w:val="center" w:pos="3119"/>
        </w:tabs>
        <w:spacing w:before="600" w:after="360" w:line="300" w:lineRule="atLeast"/>
        <w:ind w:right="397"/>
      </w:pPr>
      <w:r w:rsidRPr="00A73669">
        <w:t xml:space="preserve">Dated </w:t>
      </w:r>
      <w:r w:rsidR="00AB5794" w:rsidRPr="00FC1AE7">
        <w:rPr>
          <w:i/>
        </w:rPr>
        <w:t>6</w:t>
      </w:r>
      <w:r w:rsidR="00AB5794" w:rsidRPr="00FC1AE7">
        <w:rPr>
          <w:i/>
          <w:vertAlign w:val="superscript"/>
        </w:rPr>
        <w:t>th</w:t>
      </w:r>
      <w:r w:rsidR="00AB5794" w:rsidRPr="00FC1AE7">
        <w:rPr>
          <w:i/>
        </w:rPr>
        <w:t xml:space="preserve"> </w:t>
      </w:r>
      <w:r w:rsidR="00FC1AE7" w:rsidRPr="00FC1AE7">
        <w:rPr>
          <w:i/>
        </w:rPr>
        <w:t>Mar</w:t>
      </w:r>
      <w:r w:rsidR="00AB5794" w:rsidRPr="00FC1AE7">
        <w:rPr>
          <w:i/>
        </w:rPr>
        <w:t>ch 2015</w:t>
      </w:r>
    </w:p>
    <w:p w14:paraId="72DC4675" w14:textId="5AABBCC2" w:rsidR="00E72A5D" w:rsidRDefault="000628C4" w:rsidP="00E72A5D">
      <w:pPr>
        <w:tabs>
          <w:tab w:val="center" w:pos="3119"/>
        </w:tabs>
        <w:spacing w:before="600" w:after="360" w:line="300" w:lineRule="atLeast"/>
        <w:ind w:right="397"/>
        <w:jc w:val="right"/>
      </w:pPr>
      <w:r>
        <w:br/>
      </w:r>
      <w:r w:rsidR="00AB5794" w:rsidRPr="00FC1AE7">
        <w:rPr>
          <w:i/>
        </w:rPr>
        <w:t>Chris Chapman</w:t>
      </w:r>
      <w:r w:rsidR="00AB5794">
        <w:t xml:space="preserve"> </w:t>
      </w:r>
      <w:r w:rsidR="00AB5794">
        <w:br/>
        <w:t xml:space="preserve">[signed] </w:t>
      </w:r>
      <w:r w:rsidR="00AB5794">
        <w:br/>
      </w:r>
      <w:r w:rsidR="00E72A5D">
        <w:t>Member</w:t>
      </w:r>
    </w:p>
    <w:p w14:paraId="0787E8B3" w14:textId="70C4CFAE" w:rsidR="00E72A5D" w:rsidRDefault="000628C4" w:rsidP="00E72A5D">
      <w:pPr>
        <w:tabs>
          <w:tab w:val="center" w:pos="3119"/>
        </w:tabs>
        <w:spacing w:before="600" w:after="360" w:line="300" w:lineRule="atLeast"/>
        <w:ind w:right="397"/>
        <w:jc w:val="right"/>
      </w:pPr>
      <w:bookmarkStart w:id="2" w:name="_GoBack"/>
      <w:bookmarkEnd w:id="2"/>
      <w:r>
        <w:br/>
      </w:r>
      <w:r w:rsidR="00AB5794" w:rsidRPr="00FC1AE7">
        <w:rPr>
          <w:i/>
        </w:rPr>
        <w:t>Richard Bean</w:t>
      </w:r>
      <w:r w:rsidR="00AB5794">
        <w:t xml:space="preserve"> </w:t>
      </w:r>
      <w:r w:rsidR="00AB5794">
        <w:br/>
        <w:t xml:space="preserve">[signed] </w:t>
      </w:r>
      <w:r w:rsidR="00AB5794">
        <w:br/>
      </w:r>
      <w:r w:rsidR="00E72A5D">
        <w:t>Member</w:t>
      </w:r>
      <w:r w:rsidR="00521317">
        <w:t xml:space="preserve"> </w:t>
      </w:r>
      <w:r w:rsidR="00E72A5D">
        <w:t>/</w:t>
      </w:r>
      <w:r w:rsidR="00521317">
        <w:t xml:space="preserve"> </w:t>
      </w:r>
      <w:r w:rsidR="00D53D06" w:rsidRPr="00AB5794">
        <w:rPr>
          <w:strike/>
        </w:rPr>
        <w:t>General Manager</w:t>
      </w:r>
    </w:p>
    <w:p w14:paraId="03F6C79D" w14:textId="77777777" w:rsidR="00E72A5D" w:rsidRDefault="00E72A5D" w:rsidP="00E72A5D">
      <w:pPr>
        <w:tabs>
          <w:tab w:val="left" w:pos="7088"/>
        </w:tabs>
        <w:spacing w:before="480"/>
        <w:ind w:right="397"/>
        <w:jc w:val="center"/>
      </w:pPr>
    </w:p>
    <w:p w14:paraId="4C3A3977" w14:textId="77777777" w:rsidR="00E72A5D" w:rsidRDefault="00E72A5D" w:rsidP="00E72A5D">
      <w:pPr>
        <w:ind w:firstLine="397"/>
      </w:pPr>
    </w:p>
    <w:p w14:paraId="70BB6710" w14:textId="77777777" w:rsidR="00D05B54" w:rsidRDefault="00E72A5D" w:rsidP="00E72A5D">
      <w:r w:rsidRPr="00A73669">
        <w:t xml:space="preserve">Australian Communications </w:t>
      </w:r>
      <w:r>
        <w:t xml:space="preserve">and Media </w:t>
      </w:r>
      <w:r w:rsidRPr="00A73669">
        <w:t>Authority</w:t>
      </w:r>
    </w:p>
    <w:p w14:paraId="606DD309" w14:textId="77777777" w:rsidR="00E72A5D" w:rsidRDefault="00E72A5D" w:rsidP="00E72A5D">
      <w:pPr>
        <w:pBdr>
          <w:bottom w:val="single" w:sz="4" w:space="1" w:color="auto"/>
        </w:pBdr>
        <w:ind w:hanging="29"/>
      </w:pPr>
    </w:p>
    <w:p w14:paraId="7045F4C8" w14:textId="77777777" w:rsidR="00E72A5D" w:rsidRDefault="00E72A5D" w:rsidP="00E72A5D">
      <w:pPr>
        <w:sectPr w:rsidR="00E72A5D" w:rsidSect="00E72A5D"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6CC87CE" w14:textId="77777777" w:rsidR="00E72A5D" w:rsidRPr="00A73669" w:rsidRDefault="00E72A5D" w:rsidP="00E72A5D">
      <w:pPr>
        <w:pStyle w:val="Heading2"/>
        <w:spacing w:before="0"/>
        <w:rPr>
          <w:rFonts w:ascii="Times" w:hAnsi="Times"/>
          <w:b/>
          <w:i w:val="0"/>
          <w:vanish/>
          <w:sz w:val="22"/>
        </w:rPr>
      </w:pPr>
      <w:bookmarkStart w:id="3" w:name="MinisterSign"/>
      <w:bookmarkEnd w:id="3"/>
      <w:r w:rsidRPr="00A73669">
        <w:rPr>
          <w:rStyle w:val="CharPartNo"/>
          <w:rFonts w:ascii="Times" w:hAnsi="Times"/>
          <w:b/>
          <w:i w:val="0"/>
          <w:vanish/>
          <w:sz w:val="22"/>
        </w:rPr>
        <w:lastRenderedPageBreak/>
        <w:t>Do not delete</w:t>
      </w:r>
      <w:r w:rsidRPr="00A73669">
        <w:rPr>
          <w:rFonts w:ascii="Times" w:hAnsi="Times"/>
          <w:b/>
          <w:i w:val="0"/>
          <w:vanish/>
          <w:sz w:val="22"/>
        </w:rPr>
        <w:t xml:space="preserve"> : </w:t>
      </w:r>
      <w:r w:rsidRPr="00A73669">
        <w:rPr>
          <w:rStyle w:val="CharPartText"/>
          <w:rFonts w:ascii="Times" w:hAnsi="Times"/>
          <w:b/>
          <w:i w:val="0"/>
          <w:vanish/>
          <w:sz w:val="22"/>
        </w:rPr>
        <w:t>Part placeholder</w:t>
      </w:r>
    </w:p>
    <w:p w14:paraId="2F82BA16" w14:textId="77777777" w:rsidR="00E72A5D" w:rsidRPr="00A73669" w:rsidRDefault="00E72A5D" w:rsidP="00E72A5D">
      <w:pPr>
        <w:rPr>
          <w:b/>
          <w:vanish/>
        </w:rPr>
      </w:pPr>
      <w:r w:rsidRPr="00A73669">
        <w:rPr>
          <w:rStyle w:val="CharDivNo"/>
          <w:b/>
          <w:vanish/>
        </w:rPr>
        <w:t>Do not delete</w:t>
      </w:r>
      <w:r w:rsidRPr="00A73669">
        <w:rPr>
          <w:b/>
          <w:vanish/>
        </w:rPr>
        <w:t xml:space="preserve"> : </w:t>
      </w:r>
      <w:r w:rsidRPr="00A73669">
        <w:rPr>
          <w:rStyle w:val="CharDivText"/>
          <w:b/>
          <w:vanish/>
        </w:rPr>
        <w:t>Division placeholder</w:t>
      </w:r>
    </w:p>
    <w:p w14:paraId="4529A613" w14:textId="3C06C624" w:rsidR="00E72A5D" w:rsidRPr="00A73669" w:rsidRDefault="00E72A5D" w:rsidP="00E72A5D">
      <w:pPr>
        <w:pStyle w:val="HR"/>
      </w:pPr>
      <w:bookmarkStart w:id="4" w:name="_Toc430581701"/>
      <w:r w:rsidRPr="00A73669">
        <w:rPr>
          <w:rStyle w:val="CharSectno"/>
        </w:rPr>
        <w:t>1</w:t>
      </w:r>
      <w:r w:rsidRPr="00A73669">
        <w:tab/>
        <w:t xml:space="preserve">Name of </w:t>
      </w:r>
      <w:bookmarkEnd w:id="4"/>
      <w:r w:rsidR="004B41C7">
        <w:t>D</w:t>
      </w:r>
      <w:r w:rsidR="004B41C7" w:rsidRPr="00A73669">
        <w:t>etermination</w:t>
      </w:r>
    </w:p>
    <w:p w14:paraId="69D4F6B3" w14:textId="39670E9B" w:rsidR="00E72A5D" w:rsidRPr="00A73669" w:rsidRDefault="00E72A5D" w:rsidP="00E72A5D">
      <w:pPr>
        <w:pStyle w:val="R1"/>
        <w:jc w:val="left"/>
        <w:rPr>
          <w:i/>
        </w:rPr>
      </w:pPr>
      <w:r w:rsidRPr="00A73669">
        <w:tab/>
      </w:r>
      <w:r w:rsidRPr="00A73669">
        <w:tab/>
        <w:t xml:space="preserve">This </w:t>
      </w:r>
      <w:r w:rsidR="004B41C7">
        <w:t>D</w:t>
      </w:r>
      <w:r w:rsidR="004B41C7" w:rsidRPr="00A73669">
        <w:t xml:space="preserve">etermination </w:t>
      </w:r>
      <w:r w:rsidRPr="00A73669">
        <w:t>is the</w:t>
      </w:r>
      <w:r w:rsidR="0047608C">
        <w:t xml:space="preserve"> </w:t>
      </w:r>
      <w:r w:rsidR="00793B10" w:rsidRPr="00793B10">
        <w:rPr>
          <w:i/>
        </w:rPr>
        <w:t xml:space="preserve">Telecommunications (Section of </w:t>
      </w:r>
      <w:r w:rsidR="00311CD0">
        <w:rPr>
          <w:i/>
        </w:rPr>
        <w:t xml:space="preserve">the </w:t>
      </w:r>
      <w:r w:rsidR="00793B10" w:rsidRPr="00793B10">
        <w:rPr>
          <w:i/>
        </w:rPr>
        <w:t>Telecommunications Industry</w:t>
      </w:r>
      <w:r w:rsidR="00255617">
        <w:rPr>
          <w:i/>
        </w:rPr>
        <w:t xml:space="preserve"> – Cabling Service Operators</w:t>
      </w:r>
      <w:r w:rsidR="00793B10" w:rsidRPr="00793B10">
        <w:rPr>
          <w:i/>
        </w:rPr>
        <w:t>) Determination 2015</w:t>
      </w:r>
      <w:r w:rsidR="0047608C">
        <w:rPr>
          <w:i/>
        </w:rPr>
        <w:t>.</w:t>
      </w:r>
    </w:p>
    <w:p w14:paraId="2A091C07" w14:textId="77777777" w:rsidR="00E72A5D" w:rsidRPr="00A73669" w:rsidRDefault="00E72A5D" w:rsidP="00E72A5D">
      <w:pPr>
        <w:pStyle w:val="HR"/>
      </w:pPr>
      <w:bookmarkStart w:id="5" w:name="_Toc430581702"/>
      <w:r w:rsidRPr="00A73669">
        <w:rPr>
          <w:rStyle w:val="CharSectno"/>
        </w:rPr>
        <w:t>2</w:t>
      </w:r>
      <w:r w:rsidRPr="00A73669">
        <w:tab/>
        <w:t>Commencement</w:t>
      </w:r>
      <w:bookmarkEnd w:id="5"/>
    </w:p>
    <w:p w14:paraId="3A84FAB5" w14:textId="458E5E70" w:rsidR="00345F89" w:rsidRDefault="00E72A5D" w:rsidP="00793B10">
      <w:pPr>
        <w:pStyle w:val="R1"/>
        <w:jc w:val="left"/>
      </w:pPr>
      <w:r w:rsidRPr="00A73669">
        <w:tab/>
      </w:r>
      <w:r w:rsidRPr="00A73669">
        <w:tab/>
        <w:t xml:space="preserve">This </w:t>
      </w:r>
      <w:r w:rsidR="004B41C7">
        <w:t>D</w:t>
      </w:r>
      <w:r w:rsidR="004B41C7" w:rsidRPr="00A73669">
        <w:t>ete</w:t>
      </w:r>
      <w:r w:rsidR="004B41C7">
        <w:t xml:space="preserve">rmination </w:t>
      </w:r>
      <w:r>
        <w:t xml:space="preserve">commences </w:t>
      </w:r>
      <w:r w:rsidR="00345F89">
        <w:t xml:space="preserve">on the </w:t>
      </w:r>
      <w:r>
        <w:t>day after it is registered</w:t>
      </w:r>
      <w:r w:rsidR="00793B10">
        <w:t>.</w:t>
      </w:r>
    </w:p>
    <w:p w14:paraId="0EFDA843" w14:textId="7B042ECD" w:rsidR="00C832BE" w:rsidRPr="00C832BE" w:rsidRDefault="00E72A5D" w:rsidP="00C832BE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ind w:left="1531" w:hanging="567"/>
        <w:rPr>
          <w:color w:val="000000"/>
        </w:rPr>
      </w:pPr>
      <w:r w:rsidRPr="00C832BE">
        <w:rPr>
          <w:i/>
          <w:color w:val="000000"/>
          <w:sz w:val="20"/>
        </w:rPr>
        <w:t>Note</w:t>
      </w:r>
      <w:r w:rsidRPr="00C832BE">
        <w:rPr>
          <w:i/>
          <w:color w:val="000000"/>
          <w:sz w:val="20"/>
        </w:rPr>
        <w:tab/>
      </w:r>
      <w:r w:rsidRPr="00325314">
        <w:rPr>
          <w:color w:val="000000"/>
          <w:sz w:val="20"/>
        </w:rPr>
        <w:t>All legislative instruments and compilations are</w:t>
      </w:r>
      <w:r w:rsidR="004B41C7" w:rsidRPr="00325314">
        <w:rPr>
          <w:color w:val="000000"/>
          <w:sz w:val="20"/>
        </w:rPr>
        <w:t xml:space="preserve"> required to be</w:t>
      </w:r>
      <w:r w:rsidRPr="00325314">
        <w:rPr>
          <w:color w:val="000000"/>
          <w:sz w:val="20"/>
        </w:rPr>
        <w:t xml:space="preserve"> registered on the Federal Register of Le</w:t>
      </w:r>
      <w:r w:rsidRPr="00D53D06">
        <w:rPr>
          <w:color w:val="000000"/>
          <w:sz w:val="20"/>
        </w:rPr>
        <w:t xml:space="preserve">gislative Instruments </w:t>
      </w:r>
      <w:r w:rsidR="004B41C7" w:rsidRPr="00D53D06">
        <w:rPr>
          <w:color w:val="000000"/>
          <w:sz w:val="20"/>
        </w:rPr>
        <w:t xml:space="preserve">maintained </w:t>
      </w:r>
      <w:r w:rsidRPr="00D53D06">
        <w:rPr>
          <w:color w:val="000000"/>
          <w:sz w:val="20"/>
        </w:rPr>
        <w:t xml:space="preserve">under the </w:t>
      </w:r>
      <w:r w:rsidRPr="002A7DE9">
        <w:rPr>
          <w:i/>
          <w:color w:val="000000"/>
          <w:sz w:val="20"/>
        </w:rPr>
        <w:t>Legislative Instruments Act 2003</w:t>
      </w:r>
      <w:r w:rsidRPr="002A7DE9">
        <w:rPr>
          <w:color w:val="000000"/>
          <w:sz w:val="20"/>
        </w:rPr>
        <w:t>.</w:t>
      </w:r>
      <w:r w:rsidR="00C832BE">
        <w:rPr>
          <w:color w:val="000000"/>
          <w:sz w:val="20"/>
        </w:rPr>
        <w:t xml:space="preserve">  See </w:t>
      </w:r>
      <w:hyperlink r:id="rId13" w:history="1">
        <w:r w:rsidR="00C832BE" w:rsidRPr="001109DC">
          <w:rPr>
            <w:rStyle w:val="Hyperlink"/>
            <w:sz w:val="20"/>
          </w:rPr>
          <w:t>www.comlaw.gov.au</w:t>
        </w:r>
      </w:hyperlink>
      <w:r w:rsidR="00C832BE">
        <w:rPr>
          <w:color w:val="000000"/>
          <w:sz w:val="20"/>
        </w:rPr>
        <w:t>.</w:t>
      </w:r>
    </w:p>
    <w:p w14:paraId="0915A060" w14:textId="77777777" w:rsidR="00E72A5D" w:rsidRDefault="00E72A5D" w:rsidP="00E72A5D">
      <w:pPr>
        <w:pStyle w:val="HR"/>
      </w:pPr>
      <w:bookmarkStart w:id="6" w:name="_Toc288485852"/>
      <w:bookmarkStart w:id="7" w:name="_Toc430581703"/>
      <w:r w:rsidRPr="00C940BA">
        <w:rPr>
          <w:rStyle w:val="CharSectno"/>
        </w:rPr>
        <w:t>3</w:t>
      </w:r>
      <w:r>
        <w:tab/>
        <w:t>Revocation</w:t>
      </w:r>
      <w:bookmarkEnd w:id="6"/>
    </w:p>
    <w:p w14:paraId="1DB62771" w14:textId="77777777" w:rsidR="00E72A5D" w:rsidRPr="0047608C" w:rsidRDefault="00E72A5D" w:rsidP="00E72A5D">
      <w:pPr>
        <w:pStyle w:val="R1"/>
        <w:jc w:val="left"/>
        <w:rPr>
          <w:rStyle w:val="CharSectno"/>
          <w:szCs w:val="24"/>
        </w:rPr>
      </w:pPr>
      <w:r>
        <w:tab/>
      </w:r>
      <w:r w:rsidRPr="00F05076">
        <w:rPr>
          <w:sz w:val="22"/>
          <w:szCs w:val="22"/>
          <w:lang w:eastAsia="en-US"/>
        </w:rPr>
        <w:tab/>
      </w:r>
      <w:r w:rsidRPr="0047608C">
        <w:rPr>
          <w:szCs w:val="24"/>
          <w:lang w:eastAsia="en-US"/>
        </w:rPr>
        <w:t>The</w:t>
      </w:r>
      <w:r w:rsidR="00793B10">
        <w:rPr>
          <w:szCs w:val="24"/>
          <w:lang w:eastAsia="en-US"/>
        </w:rPr>
        <w:t xml:space="preserve"> </w:t>
      </w:r>
      <w:r w:rsidR="00793B10" w:rsidRPr="00793B10">
        <w:rPr>
          <w:i/>
        </w:rPr>
        <w:t>Telecommunications (Section of Telecommunications Industry) Determination</w:t>
      </w:r>
      <w:r w:rsidR="00793B10">
        <w:rPr>
          <w:i/>
        </w:rPr>
        <w:t xml:space="preserve"> 2003 (No.</w:t>
      </w:r>
      <w:r w:rsidR="004B41C7">
        <w:rPr>
          <w:i/>
        </w:rPr>
        <w:t xml:space="preserve"> </w:t>
      </w:r>
      <w:r w:rsidR="00793B10">
        <w:rPr>
          <w:i/>
        </w:rPr>
        <w:t>1</w:t>
      </w:r>
      <w:r w:rsidR="00793B10" w:rsidRPr="00793B10">
        <w:rPr>
          <w:rFonts w:ascii="Times New Roman" w:hAnsi="Times New Roman"/>
          <w:i/>
          <w:szCs w:val="24"/>
        </w:rPr>
        <w:t>)</w:t>
      </w:r>
      <w:r w:rsidRPr="00793B10">
        <w:rPr>
          <w:rFonts w:ascii="Times New Roman" w:hAnsi="Times New Roman"/>
          <w:i/>
          <w:iCs/>
          <w:szCs w:val="24"/>
          <w:lang w:eastAsia="en-US"/>
        </w:rPr>
        <w:t xml:space="preserve"> </w:t>
      </w:r>
      <w:r w:rsidRPr="00255617">
        <w:rPr>
          <w:rFonts w:ascii="Times New Roman" w:hAnsi="Times New Roman"/>
          <w:szCs w:val="24"/>
          <w:lang w:eastAsia="en-US"/>
        </w:rPr>
        <w:t>[</w:t>
      </w:r>
      <w:r w:rsidR="00793B10" w:rsidRPr="00793B10">
        <w:rPr>
          <w:rFonts w:ascii="Times New Roman" w:hAnsi="Times New Roman"/>
          <w:szCs w:val="24"/>
        </w:rPr>
        <w:t>F2005B00203</w:t>
      </w:r>
      <w:r w:rsidRPr="00793B10">
        <w:rPr>
          <w:rFonts w:ascii="Times New Roman" w:hAnsi="Times New Roman"/>
          <w:szCs w:val="24"/>
          <w:lang w:eastAsia="en-US"/>
        </w:rPr>
        <w:t>]</w:t>
      </w:r>
      <w:r w:rsidRPr="0047608C">
        <w:rPr>
          <w:szCs w:val="24"/>
          <w:lang w:eastAsia="en-US"/>
        </w:rPr>
        <w:t xml:space="preserve"> is revoked.</w:t>
      </w:r>
    </w:p>
    <w:p w14:paraId="7013E61A" w14:textId="77777777" w:rsidR="00E72A5D" w:rsidRPr="00A73669" w:rsidRDefault="00E72A5D" w:rsidP="00E72A5D">
      <w:pPr>
        <w:pStyle w:val="HR"/>
      </w:pPr>
      <w:r>
        <w:rPr>
          <w:rStyle w:val="CharSectno"/>
        </w:rPr>
        <w:t>4</w:t>
      </w:r>
      <w:r w:rsidRPr="00A73669">
        <w:tab/>
      </w:r>
      <w:bookmarkEnd w:id="7"/>
      <w:r w:rsidR="00793B10">
        <w:t xml:space="preserve">Definitions </w:t>
      </w:r>
    </w:p>
    <w:p w14:paraId="466F5B4C" w14:textId="77777777" w:rsidR="00E72A5D" w:rsidRDefault="00E72A5D" w:rsidP="00E72A5D">
      <w:pPr>
        <w:pStyle w:val="R1"/>
        <w:jc w:val="left"/>
      </w:pPr>
      <w:r w:rsidRPr="00A73669">
        <w:tab/>
      </w:r>
      <w:r w:rsidRPr="00A73669">
        <w:tab/>
      </w:r>
      <w:r w:rsidR="008E5402">
        <w:t xml:space="preserve">In this Determination: </w:t>
      </w:r>
    </w:p>
    <w:p w14:paraId="390E4328" w14:textId="77777777" w:rsidR="008E5402" w:rsidRDefault="008E5402" w:rsidP="008E5402">
      <w:pPr>
        <w:pStyle w:val="R2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Act</w:t>
      </w:r>
      <w:r>
        <w:t xml:space="preserve"> means the </w:t>
      </w:r>
      <w:r w:rsidRPr="008E5402">
        <w:rPr>
          <w:i/>
        </w:rPr>
        <w:t>Telecommunications Act 1997</w:t>
      </w:r>
      <w:r>
        <w:t>.</w:t>
      </w:r>
      <w:r>
        <w:rPr>
          <w:b/>
          <w:i/>
        </w:rPr>
        <w:t xml:space="preserve"> </w:t>
      </w:r>
    </w:p>
    <w:p w14:paraId="7333397C" w14:textId="77777777" w:rsidR="008E5402" w:rsidRDefault="008E5402" w:rsidP="008E5402">
      <w:pPr>
        <w:pStyle w:val="R2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>
        <w:rPr>
          <w:b/>
          <w:i/>
        </w:rPr>
        <w:t>cabling</w:t>
      </w:r>
      <w:proofErr w:type="gramEnd"/>
      <w:r>
        <w:rPr>
          <w:b/>
          <w:i/>
        </w:rPr>
        <w:t xml:space="preserve"> services</w:t>
      </w:r>
      <w:r>
        <w:t xml:space="preserve"> means any of the following activities: </w:t>
      </w:r>
    </w:p>
    <w:p w14:paraId="0F312FBA" w14:textId="77777777" w:rsidR="008E5402" w:rsidRDefault="008E5402" w:rsidP="008E5402">
      <w:pPr>
        <w:pStyle w:val="R2"/>
        <w:numPr>
          <w:ilvl w:val="0"/>
          <w:numId w:val="2"/>
        </w:numPr>
      </w:pPr>
      <w:r>
        <w:t>t</w:t>
      </w:r>
      <w:r w:rsidRPr="008E5402">
        <w:t>he in</w:t>
      </w:r>
      <w:r>
        <w:t>stallation of customer cabling for connection to a telecommunications net</w:t>
      </w:r>
      <w:r w:rsidR="0066651F">
        <w:t xml:space="preserve">work or facility that is used to supply a listed carriage service; </w:t>
      </w:r>
    </w:p>
    <w:p w14:paraId="6D00B8C7" w14:textId="77777777" w:rsidR="0066651F" w:rsidRDefault="0066651F" w:rsidP="008E5402">
      <w:pPr>
        <w:pStyle w:val="R2"/>
        <w:numPr>
          <w:ilvl w:val="0"/>
          <w:numId w:val="2"/>
        </w:numPr>
      </w:pPr>
      <w:r>
        <w:t xml:space="preserve">the connection of customer cabling to a telecommunications network or a facility that is used to supply a listed carriage service; </w:t>
      </w:r>
    </w:p>
    <w:p w14:paraId="4FBD8BB3" w14:textId="77777777" w:rsidR="0066651F" w:rsidRDefault="0066651F" w:rsidP="008E5402">
      <w:pPr>
        <w:pStyle w:val="R2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maintenance of customer cabling connected to a telecommunications network or facility that is used to supply a listed </w:t>
      </w:r>
      <w:r w:rsidR="00460618">
        <w:t xml:space="preserve">carriage service. </w:t>
      </w:r>
    </w:p>
    <w:p w14:paraId="1D542C87" w14:textId="77777777" w:rsidR="00460618" w:rsidRDefault="00460618" w:rsidP="00460618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ind w:left="1531" w:hanging="567"/>
        <w:rPr>
          <w:sz w:val="20"/>
        </w:rPr>
      </w:pPr>
      <w:r w:rsidRPr="00631B13">
        <w:rPr>
          <w:i/>
          <w:color w:val="000000"/>
          <w:sz w:val="20"/>
        </w:rPr>
        <w:t>Note</w:t>
      </w:r>
      <w:r w:rsidRPr="00631B13">
        <w:rPr>
          <w:color w:val="000000"/>
          <w:sz w:val="20"/>
        </w:rPr>
        <w:tab/>
        <w:t>In accordance with</w:t>
      </w:r>
      <w:r>
        <w:rPr>
          <w:color w:val="000000"/>
          <w:sz w:val="20"/>
        </w:rPr>
        <w:t xml:space="preserve"> </w:t>
      </w:r>
      <w:r w:rsidRPr="00631B13">
        <w:rPr>
          <w:color w:val="000000"/>
          <w:sz w:val="20"/>
        </w:rPr>
        <w:t>paragraph 13(1</w:t>
      </w:r>
      <w:proofErr w:type="gramStart"/>
      <w:r w:rsidRPr="00631B13">
        <w:rPr>
          <w:color w:val="000000"/>
          <w:sz w:val="20"/>
        </w:rPr>
        <w:t>)(</w:t>
      </w:r>
      <w:proofErr w:type="gramEnd"/>
      <w:r w:rsidRPr="00631B13">
        <w:rPr>
          <w:color w:val="000000"/>
          <w:sz w:val="20"/>
        </w:rPr>
        <w:t xml:space="preserve">b) of the </w:t>
      </w:r>
      <w:r w:rsidRPr="00631B13">
        <w:rPr>
          <w:i/>
          <w:color w:val="000000"/>
          <w:sz w:val="20"/>
        </w:rPr>
        <w:t>Legislative Instruments Act 2003,</w:t>
      </w:r>
      <w:r w:rsidRPr="00631B13">
        <w:rPr>
          <w:color w:val="000000"/>
          <w:sz w:val="20"/>
        </w:rPr>
        <w:t xml:space="preserve"> other</w:t>
      </w:r>
      <w:r w:rsidRPr="00631B13">
        <w:rPr>
          <w:i/>
          <w:color w:val="000000"/>
          <w:sz w:val="20"/>
        </w:rPr>
        <w:t xml:space="preserve"> </w:t>
      </w:r>
      <w:r w:rsidRPr="00631B13">
        <w:rPr>
          <w:color w:val="000000"/>
          <w:sz w:val="20"/>
        </w:rPr>
        <w:t xml:space="preserve">expressions in this </w:t>
      </w:r>
      <w:r>
        <w:rPr>
          <w:color w:val="000000"/>
          <w:sz w:val="20"/>
        </w:rPr>
        <w:t xml:space="preserve">Determination </w:t>
      </w:r>
      <w:r w:rsidRPr="00631B13">
        <w:rPr>
          <w:color w:val="000000"/>
          <w:sz w:val="20"/>
        </w:rPr>
        <w:t>have the same meaning as in the Act, including:</w:t>
      </w:r>
    </w:p>
    <w:p w14:paraId="413D04BE" w14:textId="77777777" w:rsidR="00460618" w:rsidRDefault="00460618" w:rsidP="00460618">
      <w:pPr>
        <w:pStyle w:val="note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ind w:left="1888" w:hanging="357"/>
        <w:rPr>
          <w:sz w:val="20"/>
        </w:rPr>
      </w:pPr>
      <w:r>
        <w:rPr>
          <w:sz w:val="20"/>
        </w:rPr>
        <w:t xml:space="preserve">carriage service </w:t>
      </w:r>
      <w:r w:rsidRPr="00631B13">
        <w:rPr>
          <w:sz w:val="20"/>
        </w:rPr>
        <w:t>(see section 7)</w:t>
      </w:r>
    </w:p>
    <w:p w14:paraId="5CEBD4B9" w14:textId="77777777" w:rsidR="004B41C7" w:rsidRDefault="004B41C7" w:rsidP="00460618">
      <w:pPr>
        <w:pStyle w:val="note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ind w:left="1888" w:hanging="357"/>
        <w:rPr>
          <w:sz w:val="20"/>
        </w:rPr>
      </w:pPr>
      <w:r>
        <w:rPr>
          <w:sz w:val="20"/>
        </w:rPr>
        <w:t>customer cabling (</w:t>
      </w:r>
      <w:r w:rsidRPr="00631B13">
        <w:rPr>
          <w:sz w:val="20"/>
        </w:rPr>
        <w:t>see section</w:t>
      </w:r>
      <w:r>
        <w:rPr>
          <w:sz w:val="20"/>
        </w:rPr>
        <w:t>s</w:t>
      </w:r>
      <w:r w:rsidRPr="00631B13">
        <w:rPr>
          <w:sz w:val="20"/>
        </w:rPr>
        <w:t xml:space="preserve"> 7</w:t>
      </w:r>
      <w:r>
        <w:rPr>
          <w:sz w:val="20"/>
        </w:rPr>
        <w:t xml:space="preserve"> and 20)</w:t>
      </w:r>
    </w:p>
    <w:p w14:paraId="5E4CA608" w14:textId="77777777" w:rsidR="00460618" w:rsidRPr="00460618" w:rsidRDefault="00460618" w:rsidP="00460618">
      <w:pPr>
        <w:pStyle w:val="note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ind w:left="1888" w:hanging="357"/>
        <w:rPr>
          <w:sz w:val="20"/>
        </w:rPr>
      </w:pPr>
      <w:r>
        <w:rPr>
          <w:sz w:val="20"/>
        </w:rPr>
        <w:t>facility</w:t>
      </w:r>
      <w:r w:rsidR="001919FF">
        <w:rPr>
          <w:sz w:val="20"/>
        </w:rPr>
        <w:t xml:space="preserve"> </w:t>
      </w:r>
      <w:r w:rsidRPr="00C66DEB">
        <w:rPr>
          <w:sz w:val="20"/>
        </w:rPr>
        <w:t>(see section 7 and subsection 374(2))</w:t>
      </w:r>
    </w:p>
    <w:p w14:paraId="3D8A5F2B" w14:textId="3598E01A" w:rsidR="00460618" w:rsidRDefault="00460618" w:rsidP="00460618">
      <w:pPr>
        <w:pStyle w:val="note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ind w:left="1888" w:hanging="357"/>
        <w:rPr>
          <w:sz w:val="20"/>
        </w:rPr>
      </w:pPr>
      <w:r>
        <w:rPr>
          <w:sz w:val="20"/>
        </w:rPr>
        <w:t>listed carriage service (see section</w:t>
      </w:r>
      <w:r w:rsidR="00A9432F">
        <w:rPr>
          <w:sz w:val="20"/>
        </w:rPr>
        <w:t>s</w:t>
      </w:r>
      <w:r>
        <w:rPr>
          <w:sz w:val="20"/>
        </w:rPr>
        <w:t xml:space="preserve"> 7 and 16)</w:t>
      </w:r>
    </w:p>
    <w:p w14:paraId="0071BB6F" w14:textId="77777777" w:rsidR="00460618" w:rsidRPr="00460618" w:rsidRDefault="00460618" w:rsidP="00460618">
      <w:pPr>
        <w:pStyle w:val="note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ind w:left="1888" w:hanging="357"/>
        <w:rPr>
          <w:sz w:val="20"/>
        </w:rPr>
      </w:pPr>
      <w:proofErr w:type="gramStart"/>
      <w:r>
        <w:rPr>
          <w:sz w:val="20"/>
        </w:rPr>
        <w:t>telecommunications</w:t>
      </w:r>
      <w:proofErr w:type="gramEnd"/>
      <w:r>
        <w:rPr>
          <w:sz w:val="20"/>
        </w:rPr>
        <w:t xml:space="preserve"> network </w:t>
      </w:r>
      <w:r w:rsidRPr="00C66DEB">
        <w:rPr>
          <w:sz w:val="20"/>
        </w:rPr>
        <w:t>(see section 7 and subsection 374(1)).</w:t>
      </w:r>
    </w:p>
    <w:p w14:paraId="26303764" w14:textId="77777777" w:rsidR="00460618" w:rsidRDefault="00460618" w:rsidP="00460618">
      <w:pPr>
        <w:pStyle w:val="HR"/>
      </w:pPr>
      <w:r>
        <w:t>5</w:t>
      </w:r>
      <w:r w:rsidRPr="00A73669">
        <w:tab/>
      </w:r>
      <w:r>
        <w:t xml:space="preserve">Specification of telecommunications activity </w:t>
      </w:r>
    </w:p>
    <w:p w14:paraId="2F3CEBE8" w14:textId="6400ACEE" w:rsidR="00E72A5D" w:rsidRDefault="00460618" w:rsidP="00C832BE">
      <w:pPr>
        <w:pStyle w:val="R1"/>
        <w:ind w:firstLine="0"/>
        <w:jc w:val="left"/>
      </w:pPr>
      <w:r>
        <w:t xml:space="preserve">For this Determination, the specified telecommunications activity is the supply of cabling services. </w:t>
      </w:r>
    </w:p>
    <w:p w14:paraId="4F32E375" w14:textId="620E315A" w:rsidR="00A97D5E" w:rsidRDefault="00A97D5E" w:rsidP="00A97D5E">
      <w:pPr>
        <w:pStyle w:val="HR"/>
      </w:pPr>
      <w:r>
        <w:t>6</w:t>
      </w:r>
      <w:r w:rsidRPr="00A73669">
        <w:tab/>
      </w:r>
      <w:r>
        <w:t xml:space="preserve">Section of </w:t>
      </w:r>
      <w:r w:rsidR="00311CD0">
        <w:t xml:space="preserve">the </w:t>
      </w:r>
      <w:r>
        <w:t xml:space="preserve">telecommunications industry </w:t>
      </w:r>
    </w:p>
    <w:p w14:paraId="6E4CDC3A" w14:textId="08F714D6" w:rsidR="00A97D5E" w:rsidRDefault="00A97D5E" w:rsidP="00A97D5E">
      <w:pPr>
        <w:pStyle w:val="R1"/>
        <w:jc w:val="left"/>
      </w:pPr>
      <w:r>
        <w:tab/>
      </w:r>
      <w:r>
        <w:tab/>
      </w:r>
      <w:r w:rsidR="00205B84">
        <w:t>Under</w:t>
      </w:r>
      <w:r>
        <w:t xml:space="preserve"> subsection 110(3) of the Act, </w:t>
      </w:r>
      <w:r w:rsidR="00205B84">
        <w:t>it is determined that</w:t>
      </w:r>
      <w:r w:rsidR="00001783">
        <w:t>,</w:t>
      </w:r>
      <w:r w:rsidR="00205B84">
        <w:t xml:space="preserve"> </w:t>
      </w:r>
      <w:r>
        <w:t xml:space="preserve">persons: </w:t>
      </w:r>
    </w:p>
    <w:p w14:paraId="15A981A1" w14:textId="77777777" w:rsidR="00A97D5E" w:rsidRDefault="00A97D5E" w:rsidP="00A97D5E">
      <w:pPr>
        <w:pStyle w:val="R2"/>
        <w:numPr>
          <w:ilvl w:val="0"/>
          <w:numId w:val="4"/>
        </w:numPr>
      </w:pPr>
      <w:r>
        <w:t xml:space="preserve">who: </w:t>
      </w:r>
    </w:p>
    <w:p w14:paraId="22DEA7FA" w14:textId="77777777" w:rsidR="00A97D5E" w:rsidRDefault="00A97D5E" w:rsidP="00A97D5E">
      <w:pPr>
        <w:pStyle w:val="R2"/>
        <w:numPr>
          <w:ilvl w:val="0"/>
          <w:numId w:val="5"/>
        </w:numPr>
      </w:pPr>
      <w:r>
        <w:t xml:space="preserve">perform the telecommunications activity specified in section 5 for reward; or </w:t>
      </w:r>
    </w:p>
    <w:p w14:paraId="52DED4EC" w14:textId="77777777" w:rsidR="00A97D5E" w:rsidRDefault="00E37F06" w:rsidP="00A97D5E">
      <w:pPr>
        <w:pStyle w:val="R2"/>
        <w:numPr>
          <w:ilvl w:val="0"/>
          <w:numId w:val="5"/>
        </w:numPr>
      </w:pPr>
      <w:r>
        <w:lastRenderedPageBreak/>
        <w:t xml:space="preserve">propose to perform the telecommunications activity specified in section 5 for reward; or </w:t>
      </w:r>
    </w:p>
    <w:p w14:paraId="499B36ED" w14:textId="77777777" w:rsidR="00E37F06" w:rsidRDefault="00E37F06" w:rsidP="00A97D5E">
      <w:pPr>
        <w:pStyle w:val="R2"/>
        <w:numPr>
          <w:ilvl w:val="0"/>
          <w:numId w:val="5"/>
        </w:numPr>
      </w:pPr>
      <w:r>
        <w:t xml:space="preserve">arrange, for reward, for the performance of the telecommunications activity specified in section 5; or </w:t>
      </w:r>
    </w:p>
    <w:p w14:paraId="62971017" w14:textId="77777777" w:rsidR="00E37F06" w:rsidRDefault="00E37F06" w:rsidP="00A97D5E">
      <w:pPr>
        <w:pStyle w:val="R2"/>
        <w:numPr>
          <w:ilvl w:val="0"/>
          <w:numId w:val="5"/>
        </w:numPr>
      </w:pPr>
      <w:r>
        <w:t xml:space="preserve">propose to arrange, for reward, the performance of the telecommunications activity specified in section 5; and </w:t>
      </w:r>
    </w:p>
    <w:p w14:paraId="58513512" w14:textId="77777777" w:rsidR="00E37F06" w:rsidRDefault="00E37F06" w:rsidP="00E37F06">
      <w:pPr>
        <w:pStyle w:val="R2"/>
        <w:numPr>
          <w:ilvl w:val="0"/>
          <w:numId w:val="4"/>
        </w:numPr>
      </w:pPr>
      <w:r>
        <w:t xml:space="preserve">to whom the </w:t>
      </w:r>
      <w:r w:rsidRPr="00E37F06">
        <w:rPr>
          <w:i/>
        </w:rPr>
        <w:t>Telecommunications Cabling Provider Rules 2014</w:t>
      </w:r>
      <w:r>
        <w:t xml:space="preserve"> do not apply; </w:t>
      </w:r>
    </w:p>
    <w:p w14:paraId="3E6DD0E6" w14:textId="77777777" w:rsidR="00E37F06" w:rsidRPr="00A97D5E" w:rsidRDefault="00E37F06" w:rsidP="00311CD0">
      <w:pPr>
        <w:pStyle w:val="R2"/>
        <w:ind w:left="993" w:firstLine="0"/>
      </w:pPr>
      <w:proofErr w:type="gramStart"/>
      <w:r>
        <w:t>constitute</w:t>
      </w:r>
      <w:proofErr w:type="gramEnd"/>
      <w:r>
        <w:t xml:space="preserve"> a section of the telecommunications industry</w:t>
      </w:r>
      <w:r w:rsidR="00001783">
        <w:t xml:space="preserve"> for the purposes of Part 6 of the Act</w:t>
      </w:r>
      <w:r>
        <w:t xml:space="preserve">, </w:t>
      </w:r>
      <w:r w:rsidR="00001783">
        <w:t xml:space="preserve"> and </w:t>
      </w:r>
      <w:r w:rsidR="001E5AF7">
        <w:t xml:space="preserve">in accordance with subsection 110(4) of the Act, the section is </w:t>
      </w:r>
      <w:r>
        <w:t xml:space="preserve">to be identified as ‘cabling service operators’. </w:t>
      </w:r>
    </w:p>
    <w:p w14:paraId="15F3EDD6" w14:textId="77777777" w:rsidR="00A97D5E" w:rsidRDefault="00A97D5E" w:rsidP="00A97D5E">
      <w:pPr>
        <w:pStyle w:val="HR"/>
      </w:pPr>
      <w:r>
        <w:t xml:space="preserve"> </w:t>
      </w:r>
    </w:p>
    <w:p w14:paraId="49F7DBE5" w14:textId="77777777" w:rsidR="00A97D5E" w:rsidRPr="00E72A5D" w:rsidRDefault="00A97D5E" w:rsidP="00E72A5D"/>
    <w:sectPr w:rsidR="00A97D5E" w:rsidRPr="00E72A5D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A5F8" w14:textId="77777777" w:rsidR="00771DAB" w:rsidRDefault="00771DAB" w:rsidP="00E72A5D">
      <w:r>
        <w:separator/>
      </w:r>
    </w:p>
  </w:endnote>
  <w:endnote w:type="continuationSeparator" w:id="0">
    <w:p w14:paraId="6148AC30" w14:textId="77777777" w:rsidR="00771DAB" w:rsidRDefault="00771DAB" w:rsidP="00E7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ant Garde">
    <w:altName w:val="Century Gothic"/>
    <w:charset w:val="4D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FF36F" w14:textId="3D69C7B3" w:rsidR="00E72A5D" w:rsidRPr="00E72A5D" w:rsidRDefault="00A97D5E" w:rsidP="00E72A5D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  <w:lang w:val="en-US"/>
      </w:rPr>
    </w:pPr>
    <w:r>
      <w:rPr>
        <w:rFonts w:ascii="Arial" w:hAnsi="Arial" w:cs="Arial"/>
        <w:i/>
        <w:sz w:val="18"/>
        <w:szCs w:val="18"/>
        <w:lang w:val="en-US"/>
      </w:rPr>
      <w:t xml:space="preserve">Telecommunications (Section of </w:t>
    </w:r>
    <w:r w:rsidR="00311CD0">
      <w:rPr>
        <w:rFonts w:ascii="Arial" w:hAnsi="Arial" w:cs="Arial"/>
        <w:i/>
        <w:sz w:val="18"/>
        <w:szCs w:val="18"/>
        <w:lang w:val="en-US"/>
      </w:rPr>
      <w:t xml:space="preserve">the </w:t>
    </w:r>
    <w:r>
      <w:rPr>
        <w:rFonts w:ascii="Arial" w:hAnsi="Arial" w:cs="Arial"/>
        <w:i/>
        <w:sz w:val="18"/>
        <w:szCs w:val="18"/>
        <w:lang w:val="en-US"/>
      </w:rPr>
      <w:t>Telecommunications Industry</w:t>
    </w:r>
    <w:r w:rsidR="009359D5">
      <w:rPr>
        <w:rFonts w:ascii="Arial" w:hAnsi="Arial" w:cs="Arial"/>
        <w:i/>
        <w:sz w:val="18"/>
        <w:szCs w:val="18"/>
        <w:lang w:val="en-US"/>
      </w:rPr>
      <w:t xml:space="preserve"> </w:t>
    </w:r>
    <w:r w:rsidR="009359D5">
      <w:rPr>
        <w:i/>
      </w:rPr>
      <w:t xml:space="preserve">– </w:t>
    </w:r>
    <w:r w:rsidR="00001783">
      <w:rPr>
        <w:rFonts w:ascii="Arial" w:hAnsi="Arial" w:cs="Arial"/>
        <w:i/>
        <w:sz w:val="18"/>
        <w:szCs w:val="18"/>
        <w:lang w:val="en-US"/>
      </w:rPr>
      <w:t>Cabling Service Operators</w:t>
    </w:r>
    <w:r>
      <w:rPr>
        <w:rFonts w:ascii="Arial" w:hAnsi="Arial" w:cs="Arial"/>
        <w:i/>
        <w:sz w:val="18"/>
        <w:szCs w:val="18"/>
        <w:lang w:val="en-US"/>
      </w:rPr>
      <w:t>) Determination 2015</w:t>
    </w:r>
  </w:p>
  <w:p w14:paraId="6C8ABC44" w14:textId="77777777" w:rsidR="00E72A5D" w:rsidRPr="00E72A5D" w:rsidRDefault="00E72A5D" w:rsidP="00E72A5D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lang w:val="en-US"/>
      </w:rPr>
    </w:pPr>
    <w:r w:rsidRPr="00E72A5D">
      <w:rPr>
        <w:rFonts w:ascii="Arial" w:hAnsi="Arial" w:cs="Arial"/>
        <w:sz w:val="20"/>
        <w:lang w:val="en-US"/>
      </w:rPr>
      <w:fldChar w:fldCharType="begin"/>
    </w:r>
    <w:r w:rsidRPr="00E72A5D">
      <w:rPr>
        <w:rFonts w:ascii="Arial" w:hAnsi="Arial" w:cs="Arial"/>
        <w:sz w:val="20"/>
        <w:lang w:val="en-US"/>
      </w:rPr>
      <w:instrText xml:space="preserve"> PAGE   \* MERGEFORMAT </w:instrText>
    </w:r>
    <w:r w:rsidRPr="00E72A5D">
      <w:rPr>
        <w:rFonts w:ascii="Arial" w:hAnsi="Arial" w:cs="Arial"/>
        <w:sz w:val="20"/>
        <w:lang w:val="en-US"/>
      </w:rPr>
      <w:fldChar w:fldCharType="separate"/>
    </w:r>
    <w:r w:rsidR="00FC1AE7">
      <w:rPr>
        <w:rFonts w:ascii="Arial" w:hAnsi="Arial" w:cs="Arial"/>
        <w:noProof/>
        <w:sz w:val="20"/>
        <w:lang w:val="en-US"/>
      </w:rPr>
      <w:t>3</w:t>
    </w:r>
    <w:r w:rsidRPr="00E72A5D">
      <w:rPr>
        <w:rFonts w:ascii="Arial" w:hAnsi="Arial" w:cs="Arial"/>
        <w:noProof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91FE0" w14:textId="77777777" w:rsidR="0087419C" w:rsidRDefault="00F660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2A5D">
      <w:rPr>
        <w:noProof/>
      </w:rPr>
      <w:t>2</w:t>
    </w:r>
    <w:r>
      <w:rPr>
        <w:noProof/>
      </w:rPr>
      <w:fldChar w:fldCharType="end"/>
    </w:r>
  </w:p>
  <w:p w14:paraId="74B8BDDF" w14:textId="77777777" w:rsidR="00A73669" w:rsidRPr="0087419C" w:rsidRDefault="00FC1AE7" w:rsidP="0087419C">
    <w:pPr>
      <w:pStyle w:val="Footer"/>
      <w:jc w:val="center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800EE" w14:textId="77777777" w:rsidR="00771DAB" w:rsidRDefault="00771DAB" w:rsidP="00E72A5D">
      <w:r>
        <w:separator/>
      </w:r>
    </w:p>
  </w:footnote>
  <w:footnote w:type="continuationSeparator" w:id="0">
    <w:p w14:paraId="46835D27" w14:textId="77777777" w:rsidR="00771DAB" w:rsidRDefault="00771DAB" w:rsidP="00E7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242"/>
      <w:gridCol w:w="6054"/>
    </w:tblGrid>
    <w:tr w:rsidR="00A73669" w14:paraId="7722F7D1" w14:textId="77777777">
      <w:tc>
        <w:tcPr>
          <w:tcW w:w="1242" w:type="dxa"/>
        </w:tcPr>
        <w:p w14:paraId="4DE5BD0F" w14:textId="77777777" w:rsidR="00A73669" w:rsidRDefault="00F660F6">
          <w:pPr>
            <w:widowControl w:val="0"/>
            <w:spacing w:before="60"/>
            <w:rPr>
              <w:rFonts w:ascii="Helvetica" w:hAnsi="Helvetica"/>
              <w:i/>
              <w:sz w:val="18"/>
            </w:rPr>
          </w:pPr>
          <w:r>
            <w:rPr>
              <w:rFonts w:ascii="Helvetica" w:hAnsi="Helvetica"/>
              <w:sz w:val="18"/>
            </w:rPr>
            <w:fldChar w:fldCharType="begin"/>
          </w:r>
          <w:r>
            <w:rPr>
              <w:rFonts w:ascii="Helvetica" w:hAnsi="Helvetica"/>
              <w:sz w:val="18"/>
            </w:rPr>
            <w:instrText xml:space="preserve"> STYLEREF  CharPartNo </w:instrText>
          </w:r>
          <w:r>
            <w:rPr>
              <w:rFonts w:ascii="Helvetica" w:hAnsi="Helvetica"/>
              <w:sz w:val="18"/>
            </w:rPr>
            <w:fldChar w:fldCharType="end"/>
          </w:r>
        </w:p>
      </w:tc>
      <w:tc>
        <w:tcPr>
          <w:tcW w:w="6054" w:type="dxa"/>
        </w:tcPr>
        <w:p w14:paraId="0192C883" w14:textId="77777777" w:rsidR="00A73669" w:rsidRDefault="00F660F6">
          <w:pPr>
            <w:widowControl w:val="0"/>
            <w:spacing w:before="60"/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fldChar w:fldCharType="begin"/>
          </w:r>
          <w:r>
            <w:rPr>
              <w:rFonts w:ascii="Helvetica" w:hAnsi="Helvetica"/>
              <w:sz w:val="18"/>
            </w:rPr>
            <w:instrText xml:space="preserve"> STYLEREF  CharPartText </w:instrText>
          </w:r>
          <w:r>
            <w:rPr>
              <w:rFonts w:ascii="Helvetica" w:hAnsi="Helvetica"/>
              <w:sz w:val="18"/>
            </w:rPr>
            <w:fldChar w:fldCharType="end"/>
          </w:r>
        </w:p>
      </w:tc>
    </w:tr>
    <w:tr w:rsidR="00A73669" w14:paraId="7B7132D2" w14:textId="77777777">
      <w:tc>
        <w:tcPr>
          <w:tcW w:w="1242" w:type="dxa"/>
        </w:tcPr>
        <w:p w14:paraId="138A0FE8" w14:textId="77777777" w:rsidR="00A73669" w:rsidRDefault="00F660F6">
          <w:pPr>
            <w:widowControl w:val="0"/>
            <w:spacing w:before="60"/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fldChar w:fldCharType="begin"/>
          </w:r>
          <w:r>
            <w:rPr>
              <w:rFonts w:ascii="Helvetica" w:hAnsi="Helvetica"/>
              <w:sz w:val="18"/>
            </w:rPr>
            <w:instrText xml:space="preserve"> STYLEREF  CharDivNo </w:instrText>
          </w:r>
          <w:r>
            <w:rPr>
              <w:rFonts w:ascii="Helvetica" w:hAnsi="Helvetica"/>
              <w:sz w:val="18"/>
            </w:rPr>
            <w:fldChar w:fldCharType="end"/>
          </w:r>
        </w:p>
      </w:tc>
      <w:tc>
        <w:tcPr>
          <w:tcW w:w="6054" w:type="dxa"/>
        </w:tcPr>
        <w:p w14:paraId="3290E36A" w14:textId="77777777" w:rsidR="00A73669" w:rsidRDefault="00F660F6">
          <w:pPr>
            <w:widowControl w:val="0"/>
            <w:spacing w:before="60"/>
            <w:rPr>
              <w:rFonts w:ascii="Helvetica" w:hAnsi="Helvetica"/>
              <w:sz w:val="18"/>
            </w:rPr>
          </w:pPr>
          <w:r>
            <w:rPr>
              <w:rFonts w:ascii="Helvetica" w:hAnsi="Helvetica"/>
              <w:sz w:val="18"/>
            </w:rPr>
            <w:fldChar w:fldCharType="begin"/>
          </w:r>
          <w:r>
            <w:rPr>
              <w:rFonts w:ascii="Helvetica" w:hAnsi="Helvetica"/>
              <w:sz w:val="18"/>
            </w:rPr>
            <w:instrText xml:space="preserve"> STYLEREF  CharDivText </w:instrText>
          </w:r>
          <w:r>
            <w:rPr>
              <w:rFonts w:ascii="Helvetica" w:hAnsi="Helvetica"/>
              <w:sz w:val="18"/>
            </w:rPr>
            <w:fldChar w:fldCharType="end"/>
          </w:r>
        </w:p>
      </w:tc>
    </w:tr>
    <w:tr w:rsidR="00A73669" w14:paraId="5D18AD97" w14:textId="77777777">
      <w:tc>
        <w:tcPr>
          <w:tcW w:w="7296" w:type="dxa"/>
          <w:gridSpan w:val="2"/>
          <w:tcBorders>
            <w:bottom w:val="single" w:sz="2" w:space="0" w:color="auto"/>
          </w:tcBorders>
        </w:tcPr>
        <w:p w14:paraId="40B78FE9" w14:textId="77777777" w:rsidR="00A73669" w:rsidRDefault="00F660F6">
          <w:pPr>
            <w:widowControl w:val="0"/>
            <w:spacing w:before="120" w:after="60"/>
            <w:rPr>
              <w:rFonts w:ascii="Helvetica" w:hAnsi="Helvetica"/>
              <w:b/>
              <w:sz w:val="18"/>
            </w:rPr>
          </w:pPr>
          <w:r>
            <w:rPr>
              <w:rFonts w:ascii="Helvetica" w:hAnsi="Helvetica"/>
              <w:b/>
              <w:sz w:val="20"/>
            </w:rPr>
            <w:t xml:space="preserve">Section </w:t>
          </w:r>
          <w:r>
            <w:rPr>
              <w:rFonts w:ascii="Helvetica" w:hAnsi="Helvetica"/>
              <w:b/>
              <w:sz w:val="20"/>
            </w:rPr>
            <w:fldChar w:fldCharType="begin"/>
          </w:r>
          <w:r>
            <w:rPr>
              <w:rFonts w:ascii="Helvetica" w:hAnsi="Helvetica"/>
              <w:b/>
              <w:sz w:val="20"/>
            </w:rPr>
            <w:instrText xml:space="preserve"> STYLEREF  CharSectno</w:instrText>
          </w:r>
          <w:r>
            <w:rPr>
              <w:rFonts w:ascii="Helvetica" w:hAnsi="Helvetica"/>
              <w:b/>
              <w:sz w:val="20"/>
            </w:rPr>
            <w:fldChar w:fldCharType="separate"/>
          </w:r>
          <w:r w:rsidR="0047608C">
            <w:rPr>
              <w:rFonts w:ascii="Helvetica" w:hAnsi="Helvetica"/>
              <w:b/>
              <w:noProof/>
              <w:sz w:val="20"/>
            </w:rPr>
            <w:t>1</w:t>
          </w:r>
          <w:r>
            <w:rPr>
              <w:rFonts w:ascii="Helvetica" w:hAnsi="Helvetica"/>
              <w:b/>
              <w:sz w:val="20"/>
            </w:rPr>
            <w:fldChar w:fldCharType="end"/>
          </w:r>
        </w:p>
      </w:tc>
    </w:tr>
  </w:tbl>
  <w:p w14:paraId="16C872CB" w14:textId="77777777" w:rsidR="00A73669" w:rsidRDefault="00FC1A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C5642" w14:textId="77777777" w:rsidR="00CA0718" w:rsidRDefault="00CA0718" w:rsidP="00E72A5D">
    <w:pPr>
      <w:pBdr>
        <w:bottom w:val="single" w:sz="4" w:space="1" w:color="auto"/>
      </w:pBdr>
      <w:jc w:val="right"/>
      <w:rPr>
        <w:rFonts w:ascii="Arial" w:hAnsi="Arial" w:cs="Arial"/>
        <w:b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9F1F" w14:textId="77777777" w:rsidR="00A73669" w:rsidRPr="0087419C" w:rsidRDefault="00FC1AE7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C5A62C0"/>
    <w:multiLevelType w:val="hybridMultilevel"/>
    <w:tmpl w:val="FA5A194E"/>
    <w:lvl w:ilvl="0" w:tplc="06F0A9EA">
      <w:start w:val="1"/>
      <w:numFmt w:val="lowerRoman"/>
      <w:lvlText w:val="(%1)"/>
      <w:lvlJc w:val="left"/>
      <w:pPr>
        <w:ind w:left="20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>
    <w:nsid w:val="4C6E6597"/>
    <w:multiLevelType w:val="hybridMultilevel"/>
    <w:tmpl w:val="3C40D328"/>
    <w:lvl w:ilvl="0" w:tplc="4A503A44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567F0451"/>
    <w:multiLevelType w:val="hybridMultilevel"/>
    <w:tmpl w:val="AE4AE01A"/>
    <w:lvl w:ilvl="0" w:tplc="9C5288E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76340BAF"/>
    <w:multiLevelType w:val="hybridMultilevel"/>
    <w:tmpl w:val="36B6570C"/>
    <w:lvl w:ilvl="0" w:tplc="69069EB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5D"/>
    <w:rsid w:val="00001783"/>
    <w:rsid w:val="00020331"/>
    <w:rsid w:val="00040DF4"/>
    <w:rsid w:val="000628C4"/>
    <w:rsid w:val="00121A62"/>
    <w:rsid w:val="0013787E"/>
    <w:rsid w:val="001919FF"/>
    <w:rsid w:val="001E26E0"/>
    <w:rsid w:val="001E5AF7"/>
    <w:rsid w:val="00205B84"/>
    <w:rsid w:val="00242CBA"/>
    <w:rsid w:val="00255617"/>
    <w:rsid w:val="00274B44"/>
    <w:rsid w:val="002930A2"/>
    <w:rsid w:val="002A7DE9"/>
    <w:rsid w:val="00311CD0"/>
    <w:rsid w:val="00313E8E"/>
    <w:rsid w:val="00325314"/>
    <w:rsid w:val="00345F89"/>
    <w:rsid w:val="003B6777"/>
    <w:rsid w:val="004118D1"/>
    <w:rsid w:val="00460618"/>
    <w:rsid w:val="0047608C"/>
    <w:rsid w:val="004838C5"/>
    <w:rsid w:val="004B41C7"/>
    <w:rsid w:val="004C58FD"/>
    <w:rsid w:val="00504F42"/>
    <w:rsid w:val="00521317"/>
    <w:rsid w:val="00552348"/>
    <w:rsid w:val="00583EA7"/>
    <w:rsid w:val="006554FD"/>
    <w:rsid w:val="00661C34"/>
    <w:rsid w:val="0066651F"/>
    <w:rsid w:val="00687143"/>
    <w:rsid w:val="00694CBB"/>
    <w:rsid w:val="006F581D"/>
    <w:rsid w:val="00771DAB"/>
    <w:rsid w:val="00790A84"/>
    <w:rsid w:val="00793B10"/>
    <w:rsid w:val="008C14BA"/>
    <w:rsid w:val="008E5402"/>
    <w:rsid w:val="0091165B"/>
    <w:rsid w:val="009359D5"/>
    <w:rsid w:val="00935F94"/>
    <w:rsid w:val="009A2589"/>
    <w:rsid w:val="009A59F6"/>
    <w:rsid w:val="009C63B1"/>
    <w:rsid w:val="00A9432F"/>
    <w:rsid w:val="00A97D5E"/>
    <w:rsid w:val="00AB5794"/>
    <w:rsid w:val="00AD0E99"/>
    <w:rsid w:val="00BE194B"/>
    <w:rsid w:val="00BF3BC5"/>
    <w:rsid w:val="00C41A2D"/>
    <w:rsid w:val="00C62E8F"/>
    <w:rsid w:val="00C832BE"/>
    <w:rsid w:val="00CA0718"/>
    <w:rsid w:val="00CD07B6"/>
    <w:rsid w:val="00CE060F"/>
    <w:rsid w:val="00CE709C"/>
    <w:rsid w:val="00D05B54"/>
    <w:rsid w:val="00D41A47"/>
    <w:rsid w:val="00D53D06"/>
    <w:rsid w:val="00D91251"/>
    <w:rsid w:val="00DA161E"/>
    <w:rsid w:val="00DF53D3"/>
    <w:rsid w:val="00E23B85"/>
    <w:rsid w:val="00E34353"/>
    <w:rsid w:val="00E37F06"/>
    <w:rsid w:val="00E45165"/>
    <w:rsid w:val="00E72A5D"/>
    <w:rsid w:val="00ED3FD3"/>
    <w:rsid w:val="00F660F6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BC87C"/>
  <w15:chartTrackingRefBased/>
  <w15:docId w15:val="{7BA8FCEB-8812-4665-8D0D-A5E06F70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p,h2"/>
    <w:basedOn w:val="Heading1"/>
    <w:next w:val="Normal"/>
    <w:link w:val="Heading2Char"/>
    <w:qFormat/>
    <w:rsid w:val="00E72A5D"/>
    <w:pPr>
      <w:keepLines w:val="0"/>
      <w:spacing w:after="60"/>
      <w:outlineLvl w:val="1"/>
    </w:pPr>
    <w:rPr>
      <w:rFonts w:ascii="Avant Garde" w:eastAsia="Times New Roman" w:hAnsi="Avant Garde" w:cs="Times New Roman"/>
      <w:i/>
      <w:color w:val="auto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72A5D"/>
    <w:pPr>
      <w:spacing w:before="480"/>
    </w:pPr>
    <w:rPr>
      <w:rFonts w:ascii="Helvetica" w:hAnsi="Helvetica"/>
      <w:b/>
      <w:sz w:val="40"/>
    </w:rPr>
  </w:style>
  <w:style w:type="character" w:customStyle="1" w:styleId="TitleChar">
    <w:name w:val="Title Char"/>
    <w:basedOn w:val="DefaultParagraphFont"/>
    <w:link w:val="Title"/>
    <w:rsid w:val="00E72A5D"/>
    <w:rPr>
      <w:rFonts w:ascii="Helvetica" w:eastAsia="Times New Roman" w:hAnsi="Helvetica" w:cs="Times New Roman"/>
      <w:b/>
      <w:sz w:val="40"/>
      <w:szCs w:val="20"/>
      <w:lang w:eastAsia="en-AU"/>
    </w:rPr>
  </w:style>
  <w:style w:type="character" w:customStyle="1" w:styleId="Heading2Char">
    <w:name w:val="Heading 2 Char"/>
    <w:aliases w:val="p Char,h2 Char"/>
    <w:basedOn w:val="DefaultParagraphFont"/>
    <w:link w:val="Heading2"/>
    <w:rsid w:val="00E72A5D"/>
    <w:rPr>
      <w:rFonts w:ascii="Avant Garde" w:eastAsia="Times New Roman" w:hAnsi="Avant Garde" w:cs="Times New Roman"/>
      <w:i/>
      <w:kern w:val="28"/>
      <w:sz w:val="28"/>
      <w:szCs w:val="20"/>
      <w:lang w:eastAsia="en-AU"/>
    </w:rPr>
  </w:style>
  <w:style w:type="paragraph" w:styleId="Footer">
    <w:name w:val="footer"/>
    <w:link w:val="FooterChar"/>
    <w:uiPriority w:val="99"/>
    <w:rsid w:val="00E72A5D"/>
    <w:pPr>
      <w:tabs>
        <w:tab w:val="center" w:pos="3600"/>
        <w:tab w:val="right" w:pos="72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72A5D"/>
    <w:rPr>
      <w:rFonts w:ascii="Helvetica" w:eastAsia="Times New Roman" w:hAnsi="Helvetica" w:cs="Times New Roman"/>
      <w:sz w:val="12"/>
      <w:szCs w:val="20"/>
      <w:lang w:eastAsia="en-AU"/>
    </w:rPr>
  </w:style>
  <w:style w:type="paragraph" w:styleId="Header">
    <w:name w:val="header"/>
    <w:basedOn w:val="Normal"/>
    <w:link w:val="HeaderChar"/>
    <w:rsid w:val="00E72A5D"/>
    <w:pPr>
      <w:tabs>
        <w:tab w:val="center" w:pos="3969"/>
        <w:tab w:val="right" w:pos="8504"/>
      </w:tabs>
      <w:jc w:val="both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E72A5D"/>
    <w:rPr>
      <w:rFonts w:ascii="Times" w:eastAsia="Times New Roman" w:hAnsi="Times" w:cs="Times New Roman"/>
      <w:sz w:val="26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E72A5D"/>
    <w:pPr>
      <w:keepNext/>
      <w:tabs>
        <w:tab w:val="left" w:pos="964"/>
      </w:tabs>
      <w:spacing w:before="360"/>
      <w:ind w:left="567" w:hanging="567"/>
    </w:pPr>
    <w:rPr>
      <w:rFonts w:ascii="Helvetica" w:hAnsi="Helvetica"/>
      <w:b/>
    </w:rPr>
  </w:style>
  <w:style w:type="paragraph" w:customStyle="1" w:styleId="R1">
    <w:name w:val="R1"/>
    <w:aliases w:val="1. or 1.(1)"/>
    <w:basedOn w:val="Normal"/>
    <w:next w:val="R2"/>
    <w:link w:val="R1Char"/>
    <w:rsid w:val="00E72A5D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R1"/>
    <w:rsid w:val="00E72A5D"/>
    <w:pPr>
      <w:spacing w:before="180"/>
    </w:pPr>
  </w:style>
  <w:style w:type="character" w:customStyle="1" w:styleId="CharDivNo">
    <w:name w:val="CharDivNo"/>
    <w:basedOn w:val="DefaultParagraphFont"/>
    <w:rsid w:val="00E72A5D"/>
  </w:style>
  <w:style w:type="character" w:customStyle="1" w:styleId="CharDivText">
    <w:name w:val="CharDivText"/>
    <w:basedOn w:val="DefaultParagraphFont"/>
    <w:rsid w:val="00E72A5D"/>
  </w:style>
  <w:style w:type="character" w:customStyle="1" w:styleId="CharPartNo">
    <w:name w:val="CharPartNo"/>
    <w:basedOn w:val="DefaultParagraphFont"/>
    <w:rsid w:val="00E72A5D"/>
  </w:style>
  <w:style w:type="character" w:customStyle="1" w:styleId="CharPartText">
    <w:name w:val="CharPartText"/>
    <w:basedOn w:val="DefaultParagraphFont"/>
    <w:rsid w:val="00E72A5D"/>
  </w:style>
  <w:style w:type="character" w:customStyle="1" w:styleId="CharSectno">
    <w:name w:val="CharSectno"/>
    <w:basedOn w:val="DefaultParagraphFont"/>
    <w:rsid w:val="00E72A5D"/>
  </w:style>
  <w:style w:type="character" w:customStyle="1" w:styleId="R1Char">
    <w:name w:val="R1 Char"/>
    <w:aliases w:val="1. or 1.(1) Char"/>
    <w:link w:val="R1"/>
    <w:rsid w:val="00E72A5D"/>
    <w:rPr>
      <w:rFonts w:ascii="Times" w:eastAsia="Times New Roman" w:hAnsi="Times" w:cs="Times New Roman"/>
      <w:sz w:val="24"/>
      <w:szCs w:val="20"/>
      <w:lang w:eastAsia="en-AU"/>
    </w:rPr>
  </w:style>
  <w:style w:type="character" w:styleId="Hyperlink">
    <w:name w:val="Hyperlink"/>
    <w:rsid w:val="00E72A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2A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8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1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143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143"/>
    <w:rPr>
      <w:rFonts w:ascii="Times" w:eastAsia="Times New Roman" w:hAnsi="Times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68714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43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notetext">
    <w:name w:val="note(text)"/>
    <w:aliases w:val="n"/>
    <w:basedOn w:val="Normal"/>
    <w:rsid w:val="00460618"/>
    <w:pPr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la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FE42CFCDDC4691A61DD2CF879D1E" ma:contentTypeVersion="0" ma:contentTypeDescription="Create a new document." ma:contentTypeScope="" ma:versionID="1695d847e3dd652c57f432227657326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KNAH4PPFC442-3074-43</_dlc_DocId>
    <_dlc_DocIdUrl xmlns="6db8f3c6-01a1-4322-b043-a3b2a190f7a8">
      <Url>http://collaboration/organisation/CID/IRB/TRDS/_layouts/DocIdRedir.aspx?ID=KNAH4PPFC442-3074-43</Url>
      <Description>KNAH4PPFC442-3074-43</Description>
    </_dlc_DocIdUrl>
  </documentManagement>
</p:properties>
</file>

<file path=customXml/itemProps1.xml><?xml version="1.0" encoding="utf-8"?>
<ds:datastoreItem xmlns:ds="http://schemas.openxmlformats.org/officeDocument/2006/customXml" ds:itemID="{CC1CBA9A-99E4-4CA3-97ED-15DA51B42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BCE22-1709-4A59-8CDD-B1788C9087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993F0C-3C78-4B37-A18F-382F7DB75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23CED-A19B-419A-AD2C-968E1A6AA403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Vaudrey</dc:creator>
  <cp:keywords/>
  <dc:description/>
  <cp:lastModifiedBy>Helen Turnbull</cp:lastModifiedBy>
  <cp:revision>4</cp:revision>
  <cp:lastPrinted>2014-09-09T01:40:00Z</cp:lastPrinted>
  <dcterms:created xsi:type="dcterms:W3CDTF">2015-03-02T03:55:00Z</dcterms:created>
  <dcterms:modified xsi:type="dcterms:W3CDTF">2015-03-09T01:36:00Z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0x010100432DFE42CFCDDC4691A61DD2CF879D1E</vt:lpwstr>
  </property>
  <property fmtid="{D5CDD505-2E9C-101B-9397-08002B2CF9AE}" pid="3" name="_dlc_DocIdItemGuid">
    <vt:lpwstr>fa2200cd-0def-4318-b208-663876b0237e</vt:lpwstr>
  </property>
</Properties>
</file>