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AD" w:rsidRPr="004A5227" w:rsidRDefault="00B43CAD" w:rsidP="009F09AD">
      <w:pPr>
        <w:rPr>
          <w:sz w:val="28"/>
        </w:rPr>
      </w:pPr>
      <w:bookmarkStart w:id="0" w:name="OPCCaretStart"/>
      <w:bookmarkEnd w:id="0"/>
    </w:p>
    <w:p w:rsidR="00715914" w:rsidRPr="004A5227" w:rsidRDefault="00DA186E" w:rsidP="009F09AD">
      <w:pPr>
        <w:rPr>
          <w:sz w:val="28"/>
        </w:rPr>
      </w:pPr>
      <w:r w:rsidRPr="004A5227">
        <w:rPr>
          <w:noProof/>
          <w:lang w:eastAsia="en-AU"/>
        </w:rPr>
        <w:drawing>
          <wp:inline distT="0" distB="0" distL="0" distR="0" wp14:anchorId="3B3E5866" wp14:editId="61D21F9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A5227" w:rsidRDefault="00715914" w:rsidP="00715914">
      <w:pPr>
        <w:rPr>
          <w:sz w:val="19"/>
        </w:rPr>
      </w:pPr>
    </w:p>
    <w:p w:rsidR="00715914" w:rsidRPr="004A5227" w:rsidRDefault="001354BF" w:rsidP="00715914">
      <w:pPr>
        <w:pStyle w:val="ShortT"/>
      </w:pPr>
      <w:r w:rsidRPr="004A5227">
        <w:t>T</w:t>
      </w:r>
      <w:r w:rsidR="00D22FED" w:rsidRPr="004A5227">
        <w:t>eleco</w:t>
      </w:r>
      <w:r w:rsidR="00BA433C" w:rsidRPr="004A5227">
        <w:t>mmunications Numbering Plan 2015</w:t>
      </w:r>
    </w:p>
    <w:p w:rsidR="00224195" w:rsidRPr="004A5227" w:rsidRDefault="00224195" w:rsidP="00E0113F">
      <w:pPr>
        <w:pStyle w:val="SignCoverPageStart"/>
        <w:rPr>
          <w:szCs w:val="22"/>
        </w:rPr>
      </w:pPr>
      <w:r w:rsidRPr="004A5227">
        <w:rPr>
          <w:szCs w:val="22"/>
        </w:rPr>
        <w:t>The Australian Communications and Media Authority makes the following plan.</w:t>
      </w:r>
    </w:p>
    <w:p w:rsidR="00224195" w:rsidRPr="004A5227" w:rsidRDefault="00224195" w:rsidP="00E0113F">
      <w:pPr>
        <w:keepNext/>
        <w:spacing w:before="300" w:line="240" w:lineRule="atLeast"/>
        <w:ind w:right="397"/>
        <w:jc w:val="both"/>
        <w:rPr>
          <w:szCs w:val="22"/>
        </w:rPr>
      </w:pPr>
      <w:r w:rsidRPr="004A5227">
        <w:rPr>
          <w:szCs w:val="22"/>
        </w:rPr>
        <w:t>Dated</w:t>
      </w:r>
      <w:r w:rsidRPr="004A5227">
        <w:rPr>
          <w:szCs w:val="22"/>
        </w:rPr>
        <w:tab/>
      </w:r>
      <w:bookmarkStart w:id="1" w:name="BKCheck15B_1"/>
      <w:bookmarkEnd w:id="1"/>
      <w:r w:rsidRPr="004A5227">
        <w:rPr>
          <w:szCs w:val="22"/>
        </w:rPr>
        <w:fldChar w:fldCharType="begin"/>
      </w:r>
      <w:r w:rsidRPr="004A5227">
        <w:rPr>
          <w:szCs w:val="22"/>
        </w:rPr>
        <w:instrText xml:space="preserve"> DOCPROPERTY  DateMade </w:instrText>
      </w:r>
      <w:r w:rsidRPr="004A5227">
        <w:rPr>
          <w:szCs w:val="22"/>
        </w:rPr>
        <w:fldChar w:fldCharType="separate"/>
      </w:r>
      <w:r w:rsidR="007754D5">
        <w:rPr>
          <w:szCs w:val="22"/>
        </w:rPr>
        <w:t>10 March 2015</w:t>
      </w:r>
      <w:r w:rsidRPr="004A5227">
        <w:rPr>
          <w:szCs w:val="22"/>
        </w:rPr>
        <w:fldChar w:fldCharType="end"/>
      </w:r>
    </w:p>
    <w:p w:rsidR="00224195" w:rsidRPr="004A5227" w:rsidRDefault="00FD77DD" w:rsidP="00E0113F">
      <w:pPr>
        <w:keepNext/>
        <w:tabs>
          <w:tab w:val="left" w:pos="3402"/>
        </w:tabs>
        <w:spacing w:before="1440" w:line="300" w:lineRule="atLeast"/>
        <w:ind w:right="397"/>
        <w:rPr>
          <w:szCs w:val="22"/>
        </w:rPr>
      </w:pPr>
      <w:r>
        <w:rPr>
          <w:szCs w:val="22"/>
        </w:rPr>
        <w:t>Chris Chapman</w:t>
      </w:r>
    </w:p>
    <w:p w:rsidR="00224195" w:rsidRPr="004A5227" w:rsidRDefault="00224195" w:rsidP="000378FB">
      <w:r w:rsidRPr="004A5227">
        <w:t>Member</w:t>
      </w:r>
    </w:p>
    <w:p w:rsidR="00224195" w:rsidRPr="004A5227" w:rsidRDefault="00FD77DD" w:rsidP="00224195">
      <w:pPr>
        <w:keepNext/>
        <w:tabs>
          <w:tab w:val="left" w:pos="3402"/>
        </w:tabs>
        <w:spacing w:before="1440" w:line="300" w:lineRule="atLeast"/>
        <w:ind w:right="397"/>
        <w:rPr>
          <w:szCs w:val="22"/>
        </w:rPr>
      </w:pPr>
      <w:r>
        <w:rPr>
          <w:szCs w:val="22"/>
        </w:rPr>
        <w:t>Richard Bean</w:t>
      </w:r>
      <w:bookmarkStart w:id="2" w:name="_GoBack"/>
      <w:bookmarkEnd w:id="2"/>
    </w:p>
    <w:p w:rsidR="00224195" w:rsidRPr="004A5227" w:rsidRDefault="00224195" w:rsidP="00224195">
      <w:pPr>
        <w:pStyle w:val="SignCoverPageEnd"/>
        <w:rPr>
          <w:szCs w:val="22"/>
        </w:rPr>
      </w:pPr>
      <w:r w:rsidRPr="004A5227">
        <w:rPr>
          <w:szCs w:val="22"/>
        </w:rPr>
        <w:t>Member/General Manager</w:t>
      </w:r>
    </w:p>
    <w:p w:rsidR="00224195" w:rsidRPr="004A5227" w:rsidRDefault="00224195" w:rsidP="00224195"/>
    <w:p w:rsidR="00715914" w:rsidRPr="004A5227" w:rsidRDefault="00715914" w:rsidP="00715914">
      <w:pPr>
        <w:pStyle w:val="Header"/>
        <w:tabs>
          <w:tab w:val="clear" w:pos="4150"/>
          <w:tab w:val="clear" w:pos="8307"/>
        </w:tabs>
      </w:pPr>
      <w:r w:rsidRPr="004A5227">
        <w:rPr>
          <w:rStyle w:val="CharChapNo"/>
        </w:rPr>
        <w:t xml:space="preserve"> </w:t>
      </w:r>
      <w:r w:rsidRPr="004A5227">
        <w:rPr>
          <w:rStyle w:val="CharChapText"/>
        </w:rPr>
        <w:t xml:space="preserve"> </w:t>
      </w:r>
    </w:p>
    <w:p w:rsidR="00715914" w:rsidRPr="004A5227" w:rsidRDefault="00715914" w:rsidP="00715914">
      <w:pPr>
        <w:pStyle w:val="Header"/>
        <w:tabs>
          <w:tab w:val="clear" w:pos="4150"/>
          <w:tab w:val="clear" w:pos="8307"/>
        </w:tabs>
      </w:pPr>
      <w:r w:rsidRPr="004A5227">
        <w:rPr>
          <w:rStyle w:val="CharPartNo"/>
        </w:rPr>
        <w:t xml:space="preserve"> </w:t>
      </w:r>
      <w:r w:rsidRPr="004A5227">
        <w:rPr>
          <w:rStyle w:val="CharPartText"/>
        </w:rPr>
        <w:t xml:space="preserve"> </w:t>
      </w:r>
    </w:p>
    <w:p w:rsidR="00715914" w:rsidRPr="004A5227" w:rsidRDefault="00715914" w:rsidP="00715914">
      <w:pPr>
        <w:pStyle w:val="Header"/>
        <w:tabs>
          <w:tab w:val="clear" w:pos="4150"/>
          <w:tab w:val="clear" w:pos="8307"/>
        </w:tabs>
      </w:pPr>
      <w:r w:rsidRPr="004A5227">
        <w:rPr>
          <w:rStyle w:val="CharDivNo"/>
        </w:rPr>
        <w:t xml:space="preserve"> </w:t>
      </w:r>
      <w:r w:rsidRPr="004A5227">
        <w:rPr>
          <w:rStyle w:val="CharDivText"/>
        </w:rPr>
        <w:t xml:space="preserve"> </w:t>
      </w:r>
    </w:p>
    <w:p w:rsidR="00715914" w:rsidRPr="004A5227" w:rsidRDefault="00715914" w:rsidP="00715914">
      <w:pPr>
        <w:sectPr w:rsidR="00715914" w:rsidRPr="004A5227" w:rsidSect="007F616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4A5227" w:rsidRDefault="00715914" w:rsidP="00FF54D4">
      <w:pPr>
        <w:rPr>
          <w:sz w:val="36"/>
        </w:rPr>
      </w:pPr>
      <w:r w:rsidRPr="004A5227">
        <w:rPr>
          <w:sz w:val="36"/>
        </w:rPr>
        <w:lastRenderedPageBreak/>
        <w:t>Contents</w:t>
      </w:r>
    </w:p>
    <w:bookmarkStart w:id="3" w:name="BKCheck15B_2"/>
    <w:bookmarkEnd w:id="3"/>
    <w:p w:rsidR="00130C44" w:rsidRPr="004A5227" w:rsidRDefault="00130C44">
      <w:pPr>
        <w:pStyle w:val="TOC1"/>
        <w:rPr>
          <w:rFonts w:asciiTheme="minorHAnsi" w:eastAsiaTheme="minorEastAsia" w:hAnsiTheme="minorHAnsi" w:cstheme="minorBidi"/>
          <w:b w:val="0"/>
          <w:noProof/>
          <w:kern w:val="0"/>
          <w:sz w:val="22"/>
          <w:szCs w:val="22"/>
        </w:rPr>
      </w:pPr>
      <w:r w:rsidRPr="004A5227">
        <w:fldChar w:fldCharType="begin"/>
      </w:r>
      <w:r w:rsidRPr="004A5227">
        <w:instrText xml:space="preserve"> TOC \o "1-9" </w:instrText>
      </w:r>
      <w:r w:rsidRPr="004A5227">
        <w:fldChar w:fldCharType="separate"/>
      </w:r>
      <w:r w:rsidRPr="004A5227">
        <w:rPr>
          <w:noProof/>
        </w:rPr>
        <w:t>Chapter</w:t>
      </w:r>
      <w:r w:rsidR="004A5227" w:rsidRPr="004A5227">
        <w:rPr>
          <w:noProof/>
        </w:rPr>
        <w:t> </w:t>
      </w:r>
      <w:r w:rsidRPr="004A5227">
        <w:rPr>
          <w:noProof/>
        </w:rPr>
        <w:t>1—Preliminary</w:t>
      </w:r>
      <w:r w:rsidRPr="004A5227">
        <w:rPr>
          <w:b w:val="0"/>
          <w:noProof/>
          <w:sz w:val="18"/>
        </w:rPr>
        <w:tab/>
      </w:r>
      <w:r w:rsidRPr="004A5227">
        <w:rPr>
          <w:b w:val="0"/>
          <w:noProof/>
          <w:sz w:val="18"/>
        </w:rPr>
        <w:fldChar w:fldCharType="begin"/>
      </w:r>
      <w:r w:rsidRPr="004A5227">
        <w:rPr>
          <w:b w:val="0"/>
          <w:noProof/>
          <w:sz w:val="18"/>
        </w:rPr>
        <w:instrText xml:space="preserve"> PAGEREF _Toc413419004 \h </w:instrText>
      </w:r>
      <w:r w:rsidRPr="004A5227">
        <w:rPr>
          <w:b w:val="0"/>
          <w:noProof/>
          <w:sz w:val="18"/>
        </w:rPr>
      </w:r>
      <w:r w:rsidRPr="004A5227">
        <w:rPr>
          <w:b w:val="0"/>
          <w:noProof/>
          <w:sz w:val="18"/>
        </w:rPr>
        <w:fldChar w:fldCharType="separate"/>
      </w:r>
      <w:r w:rsidR="007754D5">
        <w:rPr>
          <w:b w:val="0"/>
          <w:noProof/>
          <w:sz w:val="18"/>
        </w:rPr>
        <w:t>1</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1—General</w:t>
      </w:r>
      <w:r w:rsidRPr="004A5227">
        <w:rPr>
          <w:b w:val="0"/>
          <w:noProof/>
          <w:sz w:val="18"/>
        </w:rPr>
        <w:tab/>
      </w:r>
      <w:r w:rsidRPr="004A5227">
        <w:rPr>
          <w:b w:val="0"/>
          <w:noProof/>
          <w:sz w:val="18"/>
        </w:rPr>
        <w:fldChar w:fldCharType="begin"/>
      </w:r>
      <w:r w:rsidRPr="004A5227">
        <w:rPr>
          <w:b w:val="0"/>
          <w:noProof/>
          <w:sz w:val="18"/>
        </w:rPr>
        <w:instrText xml:space="preserve"> PAGEREF _Toc413419005 \h </w:instrText>
      </w:r>
      <w:r w:rsidRPr="004A5227">
        <w:rPr>
          <w:b w:val="0"/>
          <w:noProof/>
          <w:sz w:val="18"/>
        </w:rPr>
      </w:r>
      <w:r w:rsidRPr="004A5227">
        <w:rPr>
          <w:b w:val="0"/>
          <w:noProof/>
          <w:sz w:val="18"/>
        </w:rPr>
        <w:fldChar w:fldCharType="separate"/>
      </w:r>
      <w:r w:rsidR="007754D5">
        <w:rPr>
          <w:b w:val="0"/>
          <w:noProof/>
          <w:sz w:val="18"/>
        </w:rPr>
        <w:t>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Name</w:t>
      </w:r>
      <w:r w:rsidRPr="004A5227">
        <w:rPr>
          <w:noProof/>
        </w:rPr>
        <w:tab/>
      </w:r>
      <w:r w:rsidRPr="004A5227">
        <w:rPr>
          <w:noProof/>
        </w:rPr>
        <w:fldChar w:fldCharType="begin"/>
      </w:r>
      <w:r w:rsidRPr="004A5227">
        <w:rPr>
          <w:noProof/>
        </w:rPr>
        <w:instrText xml:space="preserve"> PAGEREF _Toc413419006 \h </w:instrText>
      </w:r>
      <w:r w:rsidRPr="004A5227">
        <w:rPr>
          <w:noProof/>
        </w:rPr>
      </w:r>
      <w:r w:rsidRPr="004A5227">
        <w:rPr>
          <w:noProof/>
        </w:rPr>
        <w:fldChar w:fldCharType="separate"/>
      </w:r>
      <w:r w:rsidR="007754D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Commencement</w:t>
      </w:r>
      <w:r w:rsidRPr="004A5227">
        <w:rPr>
          <w:noProof/>
        </w:rPr>
        <w:tab/>
      </w:r>
      <w:r w:rsidRPr="004A5227">
        <w:rPr>
          <w:noProof/>
        </w:rPr>
        <w:fldChar w:fldCharType="begin"/>
      </w:r>
      <w:r w:rsidRPr="004A5227">
        <w:rPr>
          <w:noProof/>
        </w:rPr>
        <w:instrText xml:space="preserve"> PAGEREF _Toc413419007 \h </w:instrText>
      </w:r>
      <w:r w:rsidRPr="004A5227">
        <w:rPr>
          <w:noProof/>
        </w:rPr>
      </w:r>
      <w:r w:rsidRPr="004A5227">
        <w:rPr>
          <w:noProof/>
        </w:rPr>
        <w:fldChar w:fldCharType="separate"/>
      </w:r>
      <w:r w:rsidR="007754D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w:t>
      </w:r>
      <w:r w:rsidRPr="004A5227">
        <w:rPr>
          <w:noProof/>
        </w:rPr>
        <w:tab/>
        <w:t>Authority</w:t>
      </w:r>
      <w:r w:rsidRPr="004A5227">
        <w:rPr>
          <w:noProof/>
        </w:rPr>
        <w:tab/>
      </w:r>
      <w:r w:rsidRPr="004A5227">
        <w:rPr>
          <w:noProof/>
        </w:rPr>
        <w:fldChar w:fldCharType="begin"/>
      </w:r>
      <w:r w:rsidRPr="004A5227">
        <w:rPr>
          <w:noProof/>
        </w:rPr>
        <w:instrText xml:space="preserve"> PAGEREF _Toc413419008 \h </w:instrText>
      </w:r>
      <w:r w:rsidRPr="004A5227">
        <w:rPr>
          <w:noProof/>
        </w:rPr>
      </w:r>
      <w:r w:rsidRPr="004A5227">
        <w:rPr>
          <w:noProof/>
        </w:rPr>
        <w:fldChar w:fldCharType="separate"/>
      </w:r>
      <w:r w:rsidR="007754D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w:t>
      </w:r>
      <w:r w:rsidRPr="004A5227">
        <w:rPr>
          <w:noProof/>
        </w:rPr>
        <w:tab/>
        <w:t>Schedules</w:t>
      </w:r>
      <w:r w:rsidRPr="004A5227">
        <w:rPr>
          <w:noProof/>
        </w:rPr>
        <w:tab/>
      </w:r>
      <w:r w:rsidRPr="004A5227">
        <w:rPr>
          <w:noProof/>
        </w:rPr>
        <w:fldChar w:fldCharType="begin"/>
      </w:r>
      <w:r w:rsidRPr="004A5227">
        <w:rPr>
          <w:noProof/>
        </w:rPr>
        <w:instrText xml:space="preserve"> PAGEREF _Toc413419009 \h </w:instrText>
      </w:r>
      <w:r w:rsidRPr="004A5227">
        <w:rPr>
          <w:noProof/>
        </w:rPr>
      </w:r>
      <w:r w:rsidRPr="004A5227">
        <w:rPr>
          <w:noProof/>
        </w:rPr>
        <w:fldChar w:fldCharType="separate"/>
      </w:r>
      <w:r w:rsidR="007754D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w:t>
      </w:r>
      <w:r w:rsidRPr="004A5227">
        <w:rPr>
          <w:noProof/>
        </w:rPr>
        <w:tab/>
        <w:t>Dictionary</w:t>
      </w:r>
      <w:r w:rsidRPr="004A5227">
        <w:rPr>
          <w:noProof/>
        </w:rPr>
        <w:tab/>
      </w:r>
      <w:r w:rsidRPr="004A5227">
        <w:rPr>
          <w:noProof/>
        </w:rPr>
        <w:fldChar w:fldCharType="begin"/>
      </w:r>
      <w:r w:rsidRPr="004A5227">
        <w:rPr>
          <w:noProof/>
        </w:rPr>
        <w:instrText xml:space="preserve"> PAGEREF _Toc413419010 \h </w:instrText>
      </w:r>
      <w:r w:rsidRPr="004A5227">
        <w:rPr>
          <w:noProof/>
        </w:rPr>
      </w:r>
      <w:r w:rsidRPr="004A5227">
        <w:rPr>
          <w:noProof/>
        </w:rPr>
        <w:fldChar w:fldCharType="separate"/>
      </w:r>
      <w:r w:rsidR="007754D5">
        <w:rPr>
          <w:noProof/>
        </w:rPr>
        <w:t>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w:t>
      </w:r>
      <w:r w:rsidRPr="004A5227">
        <w:rPr>
          <w:noProof/>
        </w:rPr>
        <w:tab/>
        <w:t>Regard to be had to objects and other matters</w:t>
      </w:r>
      <w:r w:rsidRPr="004A5227">
        <w:rPr>
          <w:noProof/>
        </w:rPr>
        <w:tab/>
      </w:r>
      <w:r w:rsidRPr="004A5227">
        <w:rPr>
          <w:noProof/>
        </w:rPr>
        <w:fldChar w:fldCharType="begin"/>
      </w:r>
      <w:r w:rsidRPr="004A5227">
        <w:rPr>
          <w:noProof/>
        </w:rPr>
        <w:instrText xml:space="preserve"> PAGEREF _Toc413419011 \h </w:instrText>
      </w:r>
      <w:r w:rsidRPr="004A5227">
        <w:rPr>
          <w:noProof/>
        </w:rPr>
      </w:r>
      <w:r w:rsidRPr="004A5227">
        <w:rPr>
          <w:noProof/>
        </w:rPr>
        <w:fldChar w:fldCharType="separate"/>
      </w:r>
      <w:r w:rsidR="007754D5">
        <w:rPr>
          <w:noProof/>
        </w:rPr>
        <w:t>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2—Objects</w:t>
      </w:r>
      <w:r w:rsidRPr="004A5227">
        <w:rPr>
          <w:b w:val="0"/>
          <w:noProof/>
          <w:sz w:val="18"/>
        </w:rPr>
        <w:tab/>
      </w:r>
      <w:r w:rsidRPr="004A5227">
        <w:rPr>
          <w:b w:val="0"/>
          <w:noProof/>
          <w:sz w:val="18"/>
        </w:rPr>
        <w:fldChar w:fldCharType="begin"/>
      </w:r>
      <w:r w:rsidRPr="004A5227">
        <w:rPr>
          <w:b w:val="0"/>
          <w:noProof/>
          <w:sz w:val="18"/>
        </w:rPr>
        <w:instrText xml:space="preserve"> PAGEREF _Toc413419012 \h </w:instrText>
      </w:r>
      <w:r w:rsidRPr="004A5227">
        <w:rPr>
          <w:b w:val="0"/>
          <w:noProof/>
          <w:sz w:val="18"/>
        </w:rPr>
      </w:r>
      <w:r w:rsidRPr="004A5227">
        <w:rPr>
          <w:b w:val="0"/>
          <w:noProof/>
          <w:sz w:val="18"/>
        </w:rPr>
        <w:fldChar w:fldCharType="separate"/>
      </w:r>
      <w:r w:rsidR="007754D5">
        <w:rPr>
          <w:b w:val="0"/>
          <w:noProof/>
          <w:sz w:val="18"/>
        </w:rPr>
        <w:t>3</w:t>
      </w:r>
      <w:r w:rsidRPr="004A5227">
        <w:rPr>
          <w:b w:val="0"/>
          <w:noProof/>
          <w:sz w:val="18"/>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1—Primary objects</w:t>
      </w:r>
      <w:r w:rsidRPr="004A5227">
        <w:rPr>
          <w:b w:val="0"/>
          <w:noProof/>
          <w:sz w:val="18"/>
        </w:rPr>
        <w:tab/>
      </w:r>
      <w:r w:rsidRPr="004A5227">
        <w:rPr>
          <w:b w:val="0"/>
          <w:noProof/>
          <w:sz w:val="18"/>
        </w:rPr>
        <w:fldChar w:fldCharType="begin"/>
      </w:r>
      <w:r w:rsidRPr="004A5227">
        <w:rPr>
          <w:b w:val="0"/>
          <w:noProof/>
          <w:sz w:val="18"/>
        </w:rPr>
        <w:instrText xml:space="preserve"> PAGEREF _Toc413419013 \h </w:instrText>
      </w:r>
      <w:r w:rsidRPr="004A5227">
        <w:rPr>
          <w:b w:val="0"/>
          <w:noProof/>
          <w:sz w:val="18"/>
        </w:rPr>
      </w:r>
      <w:r w:rsidRPr="004A5227">
        <w:rPr>
          <w:b w:val="0"/>
          <w:noProof/>
          <w:sz w:val="18"/>
        </w:rPr>
        <w:fldChar w:fldCharType="separate"/>
      </w:r>
      <w:r w:rsidR="007754D5">
        <w:rPr>
          <w:b w:val="0"/>
          <w:noProof/>
          <w:sz w:val="18"/>
        </w:rPr>
        <w:t>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w:t>
      </w:r>
      <w:r w:rsidRPr="004A5227">
        <w:rPr>
          <w:noProof/>
        </w:rPr>
        <w:tab/>
        <w:t>Primary objects</w:t>
      </w:r>
      <w:r w:rsidRPr="004A5227">
        <w:rPr>
          <w:noProof/>
        </w:rPr>
        <w:tab/>
      </w:r>
      <w:r w:rsidRPr="004A5227">
        <w:rPr>
          <w:noProof/>
        </w:rPr>
        <w:fldChar w:fldCharType="begin"/>
      </w:r>
      <w:r w:rsidRPr="004A5227">
        <w:rPr>
          <w:noProof/>
        </w:rPr>
        <w:instrText xml:space="preserve"> PAGEREF _Toc413419014 \h </w:instrText>
      </w:r>
      <w:r w:rsidRPr="004A5227">
        <w:rPr>
          <w:noProof/>
        </w:rPr>
      </w:r>
      <w:r w:rsidRPr="004A5227">
        <w:rPr>
          <w:noProof/>
        </w:rPr>
        <w:fldChar w:fldCharType="separate"/>
      </w:r>
      <w:r w:rsidR="007754D5">
        <w:rPr>
          <w:noProof/>
        </w:rPr>
        <w:t>3</w:t>
      </w:r>
      <w:r w:rsidRPr="004A5227">
        <w:rPr>
          <w:noProof/>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2—Secondary objects</w:t>
      </w:r>
      <w:r w:rsidRPr="004A5227">
        <w:rPr>
          <w:b w:val="0"/>
          <w:noProof/>
          <w:sz w:val="18"/>
        </w:rPr>
        <w:tab/>
      </w:r>
      <w:r w:rsidRPr="004A5227">
        <w:rPr>
          <w:b w:val="0"/>
          <w:noProof/>
          <w:sz w:val="18"/>
        </w:rPr>
        <w:fldChar w:fldCharType="begin"/>
      </w:r>
      <w:r w:rsidRPr="004A5227">
        <w:rPr>
          <w:b w:val="0"/>
          <w:noProof/>
          <w:sz w:val="18"/>
        </w:rPr>
        <w:instrText xml:space="preserve"> PAGEREF _Toc413419015 \h </w:instrText>
      </w:r>
      <w:r w:rsidRPr="004A5227">
        <w:rPr>
          <w:b w:val="0"/>
          <w:noProof/>
          <w:sz w:val="18"/>
        </w:rPr>
      </w:r>
      <w:r w:rsidRPr="004A5227">
        <w:rPr>
          <w:b w:val="0"/>
          <w:noProof/>
          <w:sz w:val="18"/>
        </w:rPr>
        <w:fldChar w:fldCharType="separate"/>
      </w:r>
      <w:r w:rsidR="007754D5">
        <w:rPr>
          <w:b w:val="0"/>
          <w:noProof/>
          <w:sz w:val="18"/>
        </w:rPr>
        <w:t>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w:t>
      </w:r>
      <w:r w:rsidRPr="004A5227">
        <w:rPr>
          <w:noProof/>
        </w:rPr>
        <w:tab/>
        <w:t>Access to end</w:t>
      </w:r>
      <w:r w:rsidR="004A5227">
        <w:rPr>
          <w:noProof/>
        </w:rPr>
        <w:noBreakHyphen/>
      </w:r>
      <w:r w:rsidRPr="004A5227">
        <w:rPr>
          <w:noProof/>
        </w:rPr>
        <w:t>users</w:t>
      </w:r>
      <w:r w:rsidRPr="004A5227">
        <w:rPr>
          <w:noProof/>
        </w:rPr>
        <w:tab/>
      </w:r>
      <w:r w:rsidRPr="004A5227">
        <w:rPr>
          <w:noProof/>
        </w:rPr>
        <w:fldChar w:fldCharType="begin"/>
      </w:r>
      <w:r w:rsidRPr="004A5227">
        <w:rPr>
          <w:noProof/>
        </w:rPr>
        <w:instrText xml:space="preserve"> PAGEREF _Toc413419016 \h </w:instrText>
      </w:r>
      <w:r w:rsidRPr="004A5227">
        <w:rPr>
          <w:noProof/>
        </w:rPr>
      </w:r>
      <w:r w:rsidRPr="004A5227">
        <w:rPr>
          <w:noProof/>
        </w:rPr>
        <w:fldChar w:fldCharType="separate"/>
      </w:r>
      <w:r w:rsidR="007754D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w:t>
      </w:r>
      <w:r w:rsidRPr="004A5227">
        <w:rPr>
          <w:noProof/>
        </w:rPr>
        <w:tab/>
        <w:t>Allocation, issue and use of numbers</w:t>
      </w:r>
      <w:r w:rsidRPr="004A5227">
        <w:rPr>
          <w:noProof/>
        </w:rPr>
        <w:tab/>
      </w:r>
      <w:r w:rsidRPr="004A5227">
        <w:rPr>
          <w:noProof/>
        </w:rPr>
        <w:fldChar w:fldCharType="begin"/>
      </w:r>
      <w:r w:rsidRPr="004A5227">
        <w:rPr>
          <w:noProof/>
        </w:rPr>
        <w:instrText xml:space="preserve"> PAGEREF _Toc413419017 \h </w:instrText>
      </w:r>
      <w:r w:rsidRPr="004A5227">
        <w:rPr>
          <w:noProof/>
        </w:rPr>
      </w:r>
      <w:r w:rsidRPr="004A5227">
        <w:rPr>
          <w:noProof/>
        </w:rPr>
        <w:fldChar w:fldCharType="separate"/>
      </w:r>
      <w:r w:rsidR="007754D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w:t>
      </w:r>
      <w:r w:rsidRPr="004A5227">
        <w:rPr>
          <w:noProof/>
        </w:rPr>
        <w:tab/>
        <w:t>Carriage services</w:t>
      </w:r>
      <w:r w:rsidRPr="004A5227">
        <w:rPr>
          <w:noProof/>
        </w:rPr>
        <w:tab/>
      </w:r>
      <w:r w:rsidRPr="004A5227">
        <w:rPr>
          <w:noProof/>
        </w:rPr>
        <w:fldChar w:fldCharType="begin"/>
      </w:r>
      <w:r w:rsidRPr="004A5227">
        <w:rPr>
          <w:noProof/>
        </w:rPr>
        <w:instrText xml:space="preserve"> PAGEREF _Toc413419018 \h </w:instrText>
      </w:r>
      <w:r w:rsidRPr="004A5227">
        <w:rPr>
          <w:noProof/>
        </w:rPr>
      </w:r>
      <w:r w:rsidRPr="004A5227">
        <w:rPr>
          <w:noProof/>
        </w:rPr>
        <w:fldChar w:fldCharType="separate"/>
      </w:r>
      <w:r w:rsidR="007754D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w:t>
      </w:r>
      <w:r w:rsidRPr="004A5227">
        <w:rPr>
          <w:noProof/>
        </w:rPr>
        <w:tab/>
        <w:t>Call charge and associated services</w:t>
      </w:r>
      <w:r w:rsidRPr="004A5227">
        <w:rPr>
          <w:noProof/>
        </w:rPr>
        <w:tab/>
      </w:r>
      <w:r w:rsidRPr="004A5227">
        <w:rPr>
          <w:noProof/>
        </w:rPr>
        <w:fldChar w:fldCharType="begin"/>
      </w:r>
      <w:r w:rsidRPr="004A5227">
        <w:rPr>
          <w:noProof/>
        </w:rPr>
        <w:instrText xml:space="preserve"> PAGEREF _Toc413419019 \h </w:instrText>
      </w:r>
      <w:r w:rsidRPr="004A5227">
        <w:rPr>
          <w:noProof/>
        </w:rPr>
      </w:r>
      <w:r w:rsidRPr="004A5227">
        <w:rPr>
          <w:noProof/>
        </w:rPr>
        <w:fldChar w:fldCharType="separate"/>
      </w:r>
      <w:r w:rsidR="007754D5">
        <w:rPr>
          <w:noProof/>
        </w:rPr>
        <w:t>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w:t>
      </w:r>
      <w:r w:rsidRPr="004A5227">
        <w:rPr>
          <w:noProof/>
        </w:rPr>
        <w:tab/>
        <w:t>Technology</w:t>
      </w:r>
      <w:r w:rsidRPr="004A5227">
        <w:rPr>
          <w:noProof/>
        </w:rPr>
        <w:tab/>
      </w:r>
      <w:r w:rsidRPr="004A5227">
        <w:rPr>
          <w:noProof/>
        </w:rPr>
        <w:fldChar w:fldCharType="begin"/>
      </w:r>
      <w:r w:rsidRPr="004A5227">
        <w:rPr>
          <w:noProof/>
        </w:rPr>
        <w:instrText xml:space="preserve"> PAGEREF _Toc413419020 \h </w:instrText>
      </w:r>
      <w:r w:rsidRPr="004A5227">
        <w:rPr>
          <w:noProof/>
        </w:rPr>
      </w:r>
      <w:r w:rsidRPr="004A5227">
        <w:rPr>
          <w:noProof/>
        </w:rPr>
        <w:fldChar w:fldCharType="separate"/>
      </w:r>
      <w:r w:rsidR="007754D5">
        <w:rPr>
          <w:noProof/>
        </w:rPr>
        <w:t>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w:t>
      </w:r>
      <w:r w:rsidRPr="004A5227">
        <w:rPr>
          <w:noProof/>
        </w:rPr>
        <w:tab/>
        <w:t>Transfer, surrender and withdrawal of numbers</w:t>
      </w:r>
      <w:r w:rsidRPr="004A5227">
        <w:rPr>
          <w:noProof/>
        </w:rPr>
        <w:tab/>
      </w:r>
      <w:r w:rsidRPr="004A5227">
        <w:rPr>
          <w:noProof/>
        </w:rPr>
        <w:fldChar w:fldCharType="begin"/>
      </w:r>
      <w:r w:rsidRPr="004A5227">
        <w:rPr>
          <w:noProof/>
        </w:rPr>
        <w:instrText xml:space="preserve"> PAGEREF _Toc413419021 \h </w:instrText>
      </w:r>
      <w:r w:rsidRPr="004A5227">
        <w:rPr>
          <w:noProof/>
        </w:rPr>
      </w:r>
      <w:r w:rsidRPr="004A5227">
        <w:rPr>
          <w:noProof/>
        </w:rPr>
        <w:fldChar w:fldCharType="separate"/>
      </w:r>
      <w:r w:rsidR="007754D5">
        <w:rPr>
          <w:noProof/>
        </w:rPr>
        <w:t>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14</w:t>
      </w:r>
      <w:r w:rsidRPr="004A5227">
        <w:rPr>
          <w:noProof/>
        </w:rPr>
        <w:tab/>
        <w:t>Recognition of telecommunications industry</w:t>
      </w:r>
      <w:r w:rsidRPr="004A5227">
        <w:rPr>
          <w:noProof/>
        </w:rPr>
        <w:tab/>
      </w:r>
      <w:r w:rsidRPr="004A5227">
        <w:rPr>
          <w:noProof/>
        </w:rPr>
        <w:fldChar w:fldCharType="begin"/>
      </w:r>
      <w:r w:rsidRPr="004A5227">
        <w:rPr>
          <w:noProof/>
        </w:rPr>
        <w:instrText xml:space="preserve"> PAGEREF _Toc413419022 \h </w:instrText>
      </w:r>
      <w:r w:rsidRPr="004A5227">
        <w:rPr>
          <w:noProof/>
        </w:rPr>
      </w:r>
      <w:r w:rsidRPr="004A5227">
        <w:rPr>
          <w:noProof/>
        </w:rPr>
        <w:fldChar w:fldCharType="separate"/>
      </w:r>
      <w:r w:rsidR="007754D5">
        <w:rPr>
          <w:noProof/>
        </w:rPr>
        <w:t>5</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3—Dictionary</w:t>
      </w:r>
      <w:r w:rsidRPr="004A5227">
        <w:rPr>
          <w:b w:val="0"/>
          <w:noProof/>
          <w:sz w:val="18"/>
        </w:rPr>
        <w:tab/>
      </w:r>
      <w:r w:rsidRPr="004A5227">
        <w:rPr>
          <w:b w:val="0"/>
          <w:noProof/>
          <w:sz w:val="18"/>
        </w:rPr>
        <w:fldChar w:fldCharType="begin"/>
      </w:r>
      <w:r w:rsidRPr="004A5227">
        <w:rPr>
          <w:b w:val="0"/>
          <w:noProof/>
          <w:sz w:val="18"/>
        </w:rPr>
        <w:instrText xml:space="preserve"> PAGEREF _Toc413419023 \h </w:instrText>
      </w:r>
      <w:r w:rsidRPr="004A5227">
        <w:rPr>
          <w:b w:val="0"/>
          <w:noProof/>
          <w:sz w:val="18"/>
        </w:rPr>
      </w:r>
      <w:r w:rsidRPr="004A5227">
        <w:rPr>
          <w:b w:val="0"/>
          <w:noProof/>
          <w:sz w:val="18"/>
        </w:rPr>
        <w:fldChar w:fldCharType="separate"/>
      </w:r>
      <w:r w:rsidR="007754D5">
        <w:rPr>
          <w:b w:val="0"/>
          <w:noProof/>
          <w:sz w:val="18"/>
        </w:rPr>
        <w:t>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15</w:t>
      </w:r>
      <w:r w:rsidRPr="004A5227">
        <w:rPr>
          <w:noProof/>
        </w:rPr>
        <w:tab/>
        <w:t>Dictionary of defined terms</w:t>
      </w:r>
      <w:r w:rsidRPr="004A5227">
        <w:rPr>
          <w:noProof/>
        </w:rPr>
        <w:tab/>
      </w:r>
      <w:r w:rsidRPr="004A5227">
        <w:rPr>
          <w:noProof/>
        </w:rPr>
        <w:fldChar w:fldCharType="begin"/>
      </w:r>
      <w:r w:rsidRPr="004A5227">
        <w:rPr>
          <w:noProof/>
        </w:rPr>
        <w:instrText xml:space="preserve"> PAGEREF _Toc413419024 \h </w:instrText>
      </w:r>
      <w:r w:rsidRPr="004A5227">
        <w:rPr>
          <w:noProof/>
        </w:rPr>
      </w:r>
      <w:r w:rsidRPr="004A5227">
        <w:rPr>
          <w:noProof/>
        </w:rPr>
        <w:fldChar w:fldCharType="separate"/>
      </w:r>
      <w:r w:rsidR="007754D5">
        <w:rPr>
          <w:noProof/>
        </w:rPr>
        <w:t>6</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2—Numbers for use</w:t>
      </w:r>
      <w:r w:rsidRPr="004A5227">
        <w:rPr>
          <w:b w:val="0"/>
          <w:noProof/>
          <w:sz w:val="18"/>
        </w:rPr>
        <w:tab/>
      </w:r>
      <w:r w:rsidRPr="004A5227">
        <w:rPr>
          <w:b w:val="0"/>
          <w:noProof/>
          <w:sz w:val="18"/>
        </w:rPr>
        <w:fldChar w:fldCharType="begin"/>
      </w:r>
      <w:r w:rsidRPr="004A5227">
        <w:rPr>
          <w:b w:val="0"/>
          <w:noProof/>
          <w:sz w:val="18"/>
        </w:rPr>
        <w:instrText xml:space="preserve"> PAGEREF _Toc413419025 \h </w:instrText>
      </w:r>
      <w:r w:rsidRPr="004A5227">
        <w:rPr>
          <w:b w:val="0"/>
          <w:noProof/>
          <w:sz w:val="18"/>
        </w:rPr>
      </w:r>
      <w:r w:rsidRPr="004A5227">
        <w:rPr>
          <w:b w:val="0"/>
          <w:noProof/>
          <w:sz w:val="18"/>
        </w:rPr>
        <w:fldChar w:fldCharType="separate"/>
      </w:r>
      <w:r w:rsidR="007754D5">
        <w:rPr>
          <w:b w:val="0"/>
          <w:noProof/>
          <w:sz w:val="18"/>
        </w:rPr>
        <w:t>14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16</w:t>
      </w:r>
      <w:r w:rsidRPr="004A5227">
        <w:rPr>
          <w:noProof/>
        </w:rPr>
        <w:tab/>
        <w:t>Numbers for use—public</w:t>
      </w:r>
      <w:r w:rsidRPr="004A5227">
        <w:rPr>
          <w:noProof/>
        </w:rPr>
        <w:tab/>
      </w:r>
      <w:r w:rsidRPr="004A5227">
        <w:rPr>
          <w:noProof/>
        </w:rPr>
        <w:fldChar w:fldCharType="begin"/>
      </w:r>
      <w:r w:rsidRPr="004A5227">
        <w:rPr>
          <w:noProof/>
        </w:rPr>
        <w:instrText xml:space="preserve"> PAGEREF _Toc413419026 \h </w:instrText>
      </w:r>
      <w:r w:rsidRPr="004A5227">
        <w:rPr>
          <w:noProof/>
        </w:rPr>
      </w:r>
      <w:r w:rsidRPr="004A5227">
        <w:rPr>
          <w:noProof/>
        </w:rPr>
        <w:fldChar w:fldCharType="separate"/>
      </w:r>
      <w:r w:rsidR="007754D5">
        <w:rPr>
          <w:noProof/>
        </w:rPr>
        <w:t>14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17</w:t>
      </w:r>
      <w:r w:rsidRPr="004A5227">
        <w:rPr>
          <w:noProof/>
        </w:rPr>
        <w:tab/>
        <w:t>Numbers for use—non</w:t>
      </w:r>
      <w:r w:rsidR="004A5227">
        <w:rPr>
          <w:noProof/>
        </w:rPr>
        <w:noBreakHyphen/>
      </w:r>
      <w:r w:rsidRPr="004A5227">
        <w:rPr>
          <w:noProof/>
        </w:rPr>
        <w:t>public</w:t>
      </w:r>
      <w:r w:rsidRPr="004A5227">
        <w:rPr>
          <w:noProof/>
        </w:rPr>
        <w:tab/>
      </w:r>
      <w:r w:rsidRPr="004A5227">
        <w:rPr>
          <w:noProof/>
        </w:rPr>
        <w:fldChar w:fldCharType="begin"/>
      </w:r>
      <w:r w:rsidRPr="004A5227">
        <w:rPr>
          <w:noProof/>
        </w:rPr>
        <w:instrText xml:space="preserve"> PAGEREF _Toc413419027 \h </w:instrText>
      </w:r>
      <w:r w:rsidRPr="004A5227">
        <w:rPr>
          <w:noProof/>
        </w:rPr>
      </w:r>
      <w:r w:rsidRPr="004A5227">
        <w:rPr>
          <w:noProof/>
        </w:rPr>
        <w:fldChar w:fldCharType="separate"/>
      </w:r>
      <w:r w:rsidR="007754D5">
        <w:rPr>
          <w:noProof/>
        </w:rPr>
        <w:t>14</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3—Specification of telephone numbers</w:t>
      </w:r>
      <w:r w:rsidRPr="004A5227">
        <w:rPr>
          <w:b w:val="0"/>
          <w:noProof/>
          <w:sz w:val="18"/>
        </w:rPr>
        <w:tab/>
      </w:r>
      <w:r w:rsidRPr="004A5227">
        <w:rPr>
          <w:b w:val="0"/>
          <w:noProof/>
          <w:sz w:val="18"/>
        </w:rPr>
        <w:fldChar w:fldCharType="begin"/>
      </w:r>
      <w:r w:rsidRPr="004A5227">
        <w:rPr>
          <w:b w:val="0"/>
          <w:noProof/>
          <w:sz w:val="18"/>
        </w:rPr>
        <w:instrText xml:space="preserve"> PAGEREF _Toc413419028 \h </w:instrText>
      </w:r>
      <w:r w:rsidRPr="004A5227">
        <w:rPr>
          <w:b w:val="0"/>
          <w:noProof/>
          <w:sz w:val="18"/>
        </w:rPr>
      </w:r>
      <w:r w:rsidRPr="004A5227">
        <w:rPr>
          <w:b w:val="0"/>
          <w:noProof/>
          <w:sz w:val="18"/>
        </w:rPr>
        <w:fldChar w:fldCharType="separate"/>
      </w:r>
      <w:r w:rsidR="007754D5">
        <w:rPr>
          <w:b w:val="0"/>
          <w:noProof/>
          <w:sz w:val="18"/>
        </w:rPr>
        <w:t>15</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1—Geographic numbers</w:t>
      </w:r>
      <w:r w:rsidRPr="004A5227">
        <w:rPr>
          <w:b w:val="0"/>
          <w:noProof/>
          <w:sz w:val="18"/>
        </w:rPr>
        <w:tab/>
      </w:r>
      <w:r w:rsidRPr="004A5227">
        <w:rPr>
          <w:b w:val="0"/>
          <w:noProof/>
          <w:sz w:val="18"/>
        </w:rPr>
        <w:fldChar w:fldCharType="begin"/>
      </w:r>
      <w:r w:rsidRPr="004A5227">
        <w:rPr>
          <w:b w:val="0"/>
          <w:noProof/>
          <w:sz w:val="18"/>
        </w:rPr>
        <w:instrText xml:space="preserve"> PAGEREF _Toc413419029 \h </w:instrText>
      </w:r>
      <w:r w:rsidRPr="004A5227">
        <w:rPr>
          <w:b w:val="0"/>
          <w:noProof/>
          <w:sz w:val="18"/>
        </w:rPr>
      </w:r>
      <w:r w:rsidRPr="004A5227">
        <w:rPr>
          <w:b w:val="0"/>
          <w:noProof/>
          <w:sz w:val="18"/>
        </w:rPr>
        <w:fldChar w:fldCharType="separate"/>
      </w:r>
      <w:r w:rsidR="007754D5">
        <w:rPr>
          <w:b w:val="0"/>
          <w:noProof/>
          <w:sz w:val="18"/>
        </w:rPr>
        <w:t>15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18</w:t>
      </w:r>
      <w:r w:rsidRPr="004A5227">
        <w:rPr>
          <w:noProof/>
        </w:rPr>
        <w:tab/>
        <w:t xml:space="preserve">Definition of </w:t>
      </w:r>
      <w:r w:rsidRPr="004A5227">
        <w:rPr>
          <w:i/>
          <w:noProof/>
        </w:rPr>
        <w:t>geographic number</w:t>
      </w:r>
      <w:r w:rsidRPr="004A5227">
        <w:rPr>
          <w:noProof/>
        </w:rPr>
        <w:tab/>
      </w:r>
      <w:r w:rsidRPr="004A5227">
        <w:rPr>
          <w:noProof/>
        </w:rPr>
        <w:fldChar w:fldCharType="begin"/>
      </w:r>
      <w:r w:rsidRPr="004A5227">
        <w:rPr>
          <w:noProof/>
        </w:rPr>
        <w:instrText xml:space="preserve"> PAGEREF _Toc413419030 \h </w:instrText>
      </w:r>
      <w:r w:rsidRPr="004A5227">
        <w:rPr>
          <w:noProof/>
        </w:rPr>
      </w:r>
      <w:r w:rsidRPr="004A5227">
        <w:rPr>
          <w:noProof/>
        </w:rPr>
        <w:fldChar w:fldCharType="separate"/>
      </w:r>
      <w:r w:rsidR="007754D5">
        <w:rPr>
          <w:noProof/>
        </w:rPr>
        <w:t>15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19</w:t>
      </w:r>
      <w:r w:rsidRPr="004A5227">
        <w:rPr>
          <w:noProof/>
        </w:rPr>
        <w:tab/>
        <w:t>Use of geographic numbers</w:t>
      </w:r>
      <w:r w:rsidRPr="004A5227">
        <w:rPr>
          <w:noProof/>
        </w:rPr>
        <w:tab/>
      </w:r>
      <w:r w:rsidRPr="004A5227">
        <w:rPr>
          <w:noProof/>
        </w:rPr>
        <w:fldChar w:fldCharType="begin"/>
      </w:r>
      <w:r w:rsidRPr="004A5227">
        <w:rPr>
          <w:noProof/>
        </w:rPr>
        <w:instrText xml:space="preserve"> PAGEREF _Toc413419031 \h </w:instrText>
      </w:r>
      <w:r w:rsidRPr="004A5227">
        <w:rPr>
          <w:noProof/>
        </w:rPr>
      </w:r>
      <w:r w:rsidRPr="004A5227">
        <w:rPr>
          <w:noProof/>
        </w:rPr>
        <w:fldChar w:fldCharType="separate"/>
      </w:r>
      <w:r w:rsidR="007754D5">
        <w:rPr>
          <w:noProof/>
        </w:rPr>
        <w:t>15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20</w:t>
      </w:r>
      <w:r w:rsidRPr="004A5227">
        <w:rPr>
          <w:noProof/>
        </w:rPr>
        <w:tab/>
        <w:t>Notice of geographic number that may terminate in different locality</w:t>
      </w:r>
      <w:r w:rsidRPr="004A5227">
        <w:rPr>
          <w:noProof/>
        </w:rPr>
        <w:tab/>
      </w:r>
      <w:r w:rsidRPr="004A5227">
        <w:rPr>
          <w:noProof/>
        </w:rPr>
        <w:fldChar w:fldCharType="begin"/>
      </w:r>
      <w:r w:rsidRPr="004A5227">
        <w:rPr>
          <w:noProof/>
        </w:rPr>
        <w:instrText xml:space="preserve"> PAGEREF _Toc413419032 \h </w:instrText>
      </w:r>
      <w:r w:rsidRPr="004A5227">
        <w:rPr>
          <w:noProof/>
        </w:rPr>
      </w:r>
      <w:r w:rsidRPr="004A5227">
        <w:rPr>
          <w:noProof/>
        </w:rPr>
        <w:fldChar w:fldCharType="separate"/>
      </w:r>
      <w:r w:rsidR="007754D5">
        <w:rPr>
          <w:noProof/>
        </w:rPr>
        <w:t>15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21</w:t>
      </w:r>
      <w:r w:rsidRPr="004A5227">
        <w:rPr>
          <w:noProof/>
        </w:rPr>
        <w:tab/>
        <w:t>Use of local numbers</w:t>
      </w:r>
      <w:r w:rsidRPr="004A5227">
        <w:rPr>
          <w:noProof/>
        </w:rPr>
        <w:tab/>
      </w:r>
      <w:r w:rsidRPr="004A5227">
        <w:rPr>
          <w:noProof/>
        </w:rPr>
        <w:fldChar w:fldCharType="begin"/>
      </w:r>
      <w:r w:rsidRPr="004A5227">
        <w:rPr>
          <w:noProof/>
        </w:rPr>
        <w:instrText xml:space="preserve"> PAGEREF _Toc413419033 \h </w:instrText>
      </w:r>
      <w:r w:rsidRPr="004A5227">
        <w:rPr>
          <w:noProof/>
        </w:rPr>
      </w:r>
      <w:r w:rsidRPr="004A5227">
        <w:rPr>
          <w:noProof/>
        </w:rPr>
        <w:fldChar w:fldCharType="separate"/>
      </w:r>
      <w:r w:rsidR="007754D5">
        <w:rPr>
          <w:noProof/>
        </w:rPr>
        <w:t>16</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2—Freephone, local rate and premium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_Toc413419034 \h </w:instrText>
      </w:r>
      <w:r w:rsidRPr="004A5227">
        <w:rPr>
          <w:b w:val="0"/>
          <w:noProof/>
          <w:sz w:val="18"/>
        </w:rPr>
      </w:r>
      <w:r w:rsidRPr="004A5227">
        <w:rPr>
          <w:b w:val="0"/>
          <w:noProof/>
          <w:sz w:val="18"/>
        </w:rPr>
        <w:fldChar w:fldCharType="separate"/>
      </w:r>
      <w:r w:rsidR="007754D5">
        <w:rPr>
          <w:b w:val="0"/>
          <w:noProof/>
          <w:sz w:val="18"/>
        </w:rPr>
        <w:t>17</w:t>
      </w:r>
      <w:r w:rsidRPr="004A5227">
        <w:rPr>
          <w:b w:val="0"/>
          <w:noProof/>
          <w:sz w:val="18"/>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1—Freephone numbers</w:t>
      </w:r>
      <w:r w:rsidRPr="004A5227">
        <w:rPr>
          <w:b w:val="0"/>
          <w:noProof/>
          <w:sz w:val="18"/>
        </w:rPr>
        <w:tab/>
      </w:r>
      <w:r w:rsidRPr="004A5227">
        <w:rPr>
          <w:b w:val="0"/>
          <w:noProof/>
          <w:sz w:val="18"/>
        </w:rPr>
        <w:fldChar w:fldCharType="begin"/>
      </w:r>
      <w:r w:rsidRPr="004A5227">
        <w:rPr>
          <w:b w:val="0"/>
          <w:noProof/>
          <w:sz w:val="18"/>
        </w:rPr>
        <w:instrText xml:space="preserve"> PAGEREF _Toc413419035 \h </w:instrText>
      </w:r>
      <w:r w:rsidRPr="004A5227">
        <w:rPr>
          <w:b w:val="0"/>
          <w:noProof/>
          <w:sz w:val="18"/>
        </w:rPr>
      </w:r>
      <w:r w:rsidRPr="004A5227">
        <w:rPr>
          <w:b w:val="0"/>
          <w:noProof/>
          <w:sz w:val="18"/>
        </w:rPr>
        <w:fldChar w:fldCharType="separate"/>
      </w:r>
      <w:r w:rsidR="007754D5">
        <w:rPr>
          <w:b w:val="0"/>
          <w:noProof/>
          <w:sz w:val="18"/>
        </w:rPr>
        <w:t>17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22</w:t>
      </w:r>
      <w:r w:rsidRPr="004A5227">
        <w:rPr>
          <w:noProof/>
        </w:rPr>
        <w:tab/>
        <w:t xml:space="preserve">Definition of </w:t>
      </w:r>
      <w:r w:rsidRPr="004A5227">
        <w:rPr>
          <w:i/>
          <w:noProof/>
        </w:rPr>
        <w:t>freephone number</w:t>
      </w:r>
      <w:r w:rsidRPr="004A5227">
        <w:rPr>
          <w:noProof/>
        </w:rPr>
        <w:tab/>
      </w:r>
      <w:r w:rsidRPr="004A5227">
        <w:rPr>
          <w:noProof/>
        </w:rPr>
        <w:fldChar w:fldCharType="begin"/>
      </w:r>
      <w:r w:rsidRPr="004A5227">
        <w:rPr>
          <w:noProof/>
        </w:rPr>
        <w:instrText xml:space="preserve"> PAGEREF _Toc413419036 \h </w:instrText>
      </w:r>
      <w:r w:rsidRPr="004A5227">
        <w:rPr>
          <w:noProof/>
        </w:rPr>
      </w:r>
      <w:r w:rsidRPr="004A5227">
        <w:rPr>
          <w:noProof/>
        </w:rPr>
        <w:fldChar w:fldCharType="separate"/>
      </w:r>
      <w:r w:rsidR="007754D5">
        <w:rPr>
          <w:noProof/>
        </w:rPr>
        <w:t>17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23</w:t>
      </w:r>
      <w:r w:rsidRPr="004A5227">
        <w:rPr>
          <w:noProof/>
        </w:rPr>
        <w:tab/>
        <w:t>Use of freephone numbers</w:t>
      </w:r>
      <w:r w:rsidRPr="004A5227">
        <w:rPr>
          <w:noProof/>
        </w:rPr>
        <w:tab/>
      </w:r>
      <w:r w:rsidRPr="004A5227">
        <w:rPr>
          <w:noProof/>
        </w:rPr>
        <w:fldChar w:fldCharType="begin"/>
      </w:r>
      <w:r w:rsidRPr="004A5227">
        <w:rPr>
          <w:noProof/>
        </w:rPr>
        <w:instrText xml:space="preserve"> PAGEREF _Toc413419037 \h </w:instrText>
      </w:r>
      <w:r w:rsidRPr="004A5227">
        <w:rPr>
          <w:noProof/>
        </w:rPr>
      </w:r>
      <w:r w:rsidRPr="004A5227">
        <w:rPr>
          <w:noProof/>
        </w:rPr>
        <w:fldChar w:fldCharType="separate"/>
      </w:r>
      <w:r w:rsidR="007754D5">
        <w:rPr>
          <w:noProof/>
        </w:rPr>
        <w:t>17</w:t>
      </w:r>
      <w:r w:rsidRPr="004A5227">
        <w:rPr>
          <w:noProof/>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2—Local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_Toc413419038 \h </w:instrText>
      </w:r>
      <w:r w:rsidRPr="004A5227">
        <w:rPr>
          <w:b w:val="0"/>
          <w:noProof/>
          <w:sz w:val="18"/>
        </w:rPr>
      </w:r>
      <w:r w:rsidRPr="004A5227">
        <w:rPr>
          <w:b w:val="0"/>
          <w:noProof/>
          <w:sz w:val="18"/>
        </w:rPr>
        <w:fldChar w:fldCharType="separate"/>
      </w:r>
      <w:r w:rsidR="007754D5">
        <w:rPr>
          <w:b w:val="0"/>
          <w:noProof/>
          <w:sz w:val="18"/>
        </w:rPr>
        <w:t>18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24</w:t>
      </w:r>
      <w:r w:rsidRPr="004A5227">
        <w:rPr>
          <w:noProof/>
        </w:rPr>
        <w:tab/>
        <w:t xml:space="preserve">Definition of </w:t>
      </w:r>
      <w:r w:rsidRPr="004A5227">
        <w:rPr>
          <w:i/>
          <w:noProof/>
        </w:rPr>
        <w:t>local rate number</w:t>
      </w:r>
      <w:r w:rsidRPr="004A5227">
        <w:rPr>
          <w:noProof/>
        </w:rPr>
        <w:tab/>
      </w:r>
      <w:r w:rsidRPr="004A5227">
        <w:rPr>
          <w:noProof/>
        </w:rPr>
        <w:fldChar w:fldCharType="begin"/>
      </w:r>
      <w:r w:rsidRPr="004A5227">
        <w:rPr>
          <w:noProof/>
        </w:rPr>
        <w:instrText xml:space="preserve"> PAGEREF _Toc413419039 \h </w:instrText>
      </w:r>
      <w:r w:rsidRPr="004A5227">
        <w:rPr>
          <w:noProof/>
        </w:rPr>
      </w:r>
      <w:r w:rsidRPr="004A5227">
        <w:rPr>
          <w:noProof/>
        </w:rPr>
        <w:fldChar w:fldCharType="separate"/>
      </w:r>
      <w:r w:rsidR="007754D5">
        <w:rPr>
          <w:noProof/>
        </w:rPr>
        <w:t>18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25</w:t>
      </w:r>
      <w:r w:rsidRPr="004A5227">
        <w:rPr>
          <w:noProof/>
        </w:rPr>
        <w:tab/>
        <w:t>Use of local rate numbers</w:t>
      </w:r>
      <w:r w:rsidRPr="004A5227">
        <w:rPr>
          <w:noProof/>
        </w:rPr>
        <w:tab/>
      </w:r>
      <w:r w:rsidRPr="004A5227">
        <w:rPr>
          <w:noProof/>
        </w:rPr>
        <w:fldChar w:fldCharType="begin"/>
      </w:r>
      <w:r w:rsidRPr="004A5227">
        <w:rPr>
          <w:noProof/>
        </w:rPr>
        <w:instrText xml:space="preserve"> PAGEREF _Toc413419040 \h </w:instrText>
      </w:r>
      <w:r w:rsidRPr="004A5227">
        <w:rPr>
          <w:noProof/>
        </w:rPr>
      </w:r>
      <w:r w:rsidRPr="004A5227">
        <w:rPr>
          <w:noProof/>
        </w:rPr>
        <w:fldChar w:fldCharType="separate"/>
      </w:r>
      <w:r w:rsidR="007754D5">
        <w:rPr>
          <w:noProof/>
        </w:rPr>
        <w:t>18</w:t>
      </w:r>
      <w:r w:rsidRPr="004A5227">
        <w:rPr>
          <w:noProof/>
        </w:rPr>
        <w:fldChar w:fldCharType="end"/>
      </w:r>
    </w:p>
    <w:p w:rsidR="00130C44" w:rsidRPr="004A5227" w:rsidRDefault="00130C44">
      <w:pPr>
        <w:pStyle w:val="TOC3"/>
        <w:rPr>
          <w:rFonts w:asciiTheme="minorHAnsi" w:eastAsiaTheme="minorEastAsia" w:hAnsiTheme="minorHAnsi" w:cstheme="minorBidi"/>
          <w:b w:val="0"/>
          <w:noProof/>
          <w:kern w:val="0"/>
          <w:szCs w:val="22"/>
        </w:rPr>
      </w:pPr>
      <w:r w:rsidRPr="004A5227">
        <w:rPr>
          <w:noProof/>
        </w:rPr>
        <w:t>Division</w:t>
      </w:r>
      <w:r w:rsidR="004A5227" w:rsidRPr="004A5227">
        <w:rPr>
          <w:noProof/>
        </w:rPr>
        <w:t> </w:t>
      </w:r>
      <w:r w:rsidRPr="004A5227">
        <w:rPr>
          <w:noProof/>
        </w:rPr>
        <w:t>3—Premium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_Toc413419041 \h </w:instrText>
      </w:r>
      <w:r w:rsidRPr="004A5227">
        <w:rPr>
          <w:b w:val="0"/>
          <w:noProof/>
          <w:sz w:val="18"/>
        </w:rPr>
      </w:r>
      <w:r w:rsidRPr="004A5227">
        <w:rPr>
          <w:b w:val="0"/>
          <w:noProof/>
          <w:sz w:val="18"/>
        </w:rPr>
        <w:fldChar w:fldCharType="separate"/>
      </w:r>
      <w:r w:rsidR="007754D5">
        <w:rPr>
          <w:b w:val="0"/>
          <w:noProof/>
          <w:sz w:val="18"/>
        </w:rPr>
        <w:t>19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26</w:t>
      </w:r>
      <w:r w:rsidRPr="004A5227">
        <w:rPr>
          <w:noProof/>
        </w:rPr>
        <w:tab/>
        <w:t xml:space="preserve">Definition of </w:t>
      </w:r>
      <w:r w:rsidRPr="004A5227">
        <w:rPr>
          <w:i/>
          <w:noProof/>
        </w:rPr>
        <w:t>premium rate number</w:t>
      </w:r>
      <w:r w:rsidRPr="004A5227">
        <w:rPr>
          <w:noProof/>
        </w:rPr>
        <w:tab/>
      </w:r>
      <w:r w:rsidRPr="004A5227">
        <w:rPr>
          <w:noProof/>
        </w:rPr>
        <w:fldChar w:fldCharType="begin"/>
      </w:r>
      <w:r w:rsidRPr="004A5227">
        <w:rPr>
          <w:noProof/>
        </w:rPr>
        <w:instrText xml:space="preserve"> PAGEREF _Toc413419042 \h </w:instrText>
      </w:r>
      <w:r w:rsidRPr="004A5227">
        <w:rPr>
          <w:noProof/>
        </w:rPr>
      </w:r>
      <w:r w:rsidRPr="004A5227">
        <w:rPr>
          <w:noProof/>
        </w:rPr>
        <w:fldChar w:fldCharType="separate"/>
      </w:r>
      <w:r w:rsidR="007754D5">
        <w:rPr>
          <w:noProof/>
        </w:rPr>
        <w:t>19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27</w:t>
      </w:r>
      <w:r w:rsidRPr="004A5227">
        <w:rPr>
          <w:noProof/>
        </w:rPr>
        <w:tab/>
        <w:t>Use of premium rate numbers</w:t>
      </w:r>
      <w:r w:rsidRPr="004A5227">
        <w:rPr>
          <w:noProof/>
        </w:rPr>
        <w:tab/>
      </w:r>
      <w:r w:rsidRPr="004A5227">
        <w:rPr>
          <w:noProof/>
        </w:rPr>
        <w:fldChar w:fldCharType="begin"/>
      </w:r>
      <w:r w:rsidRPr="004A5227">
        <w:rPr>
          <w:noProof/>
        </w:rPr>
        <w:instrText xml:space="preserve"> PAGEREF _Toc413419043 \h </w:instrText>
      </w:r>
      <w:r w:rsidRPr="004A5227">
        <w:rPr>
          <w:noProof/>
        </w:rPr>
      </w:r>
      <w:r w:rsidRPr="004A5227">
        <w:rPr>
          <w:noProof/>
        </w:rPr>
        <w:fldChar w:fldCharType="separate"/>
      </w:r>
      <w:r w:rsidR="007754D5">
        <w:rPr>
          <w:noProof/>
        </w:rPr>
        <w:t>19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28</w:t>
      </w:r>
      <w:r w:rsidRPr="004A5227">
        <w:rPr>
          <w:noProof/>
        </w:rPr>
        <w:tab/>
        <w:t>Restriction on providing age</w:t>
      </w:r>
      <w:r w:rsidR="004A5227">
        <w:rPr>
          <w:noProof/>
        </w:rPr>
        <w:noBreakHyphen/>
      </w:r>
      <w:r w:rsidRPr="004A5227">
        <w:rPr>
          <w:noProof/>
        </w:rPr>
        <w:t>restricted services on other numbers</w:t>
      </w:r>
      <w:r w:rsidRPr="004A5227">
        <w:rPr>
          <w:noProof/>
        </w:rPr>
        <w:tab/>
      </w:r>
      <w:r w:rsidRPr="004A5227">
        <w:rPr>
          <w:noProof/>
        </w:rPr>
        <w:fldChar w:fldCharType="begin"/>
      </w:r>
      <w:r w:rsidRPr="004A5227">
        <w:rPr>
          <w:noProof/>
        </w:rPr>
        <w:instrText xml:space="preserve"> PAGEREF _Toc413419044 \h </w:instrText>
      </w:r>
      <w:r w:rsidRPr="004A5227">
        <w:rPr>
          <w:noProof/>
        </w:rPr>
      </w:r>
      <w:r w:rsidRPr="004A5227">
        <w:rPr>
          <w:noProof/>
        </w:rPr>
        <w:fldChar w:fldCharType="separate"/>
      </w:r>
      <w:r w:rsidR="007754D5">
        <w:rPr>
          <w:noProof/>
        </w:rPr>
        <w:t>19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29</w:t>
      </w:r>
      <w:r w:rsidRPr="004A5227">
        <w:rPr>
          <w:noProof/>
        </w:rPr>
        <w:tab/>
        <w:t>Restriction on providing registration premium rate service on other numbers</w:t>
      </w:r>
      <w:r w:rsidRPr="004A5227">
        <w:rPr>
          <w:noProof/>
        </w:rPr>
        <w:tab/>
      </w:r>
      <w:r w:rsidRPr="004A5227">
        <w:rPr>
          <w:noProof/>
        </w:rPr>
        <w:fldChar w:fldCharType="begin"/>
      </w:r>
      <w:r w:rsidRPr="004A5227">
        <w:rPr>
          <w:noProof/>
        </w:rPr>
        <w:instrText xml:space="preserve"> PAGEREF _Toc413419045 \h </w:instrText>
      </w:r>
      <w:r w:rsidRPr="004A5227">
        <w:rPr>
          <w:noProof/>
        </w:rPr>
      </w:r>
      <w:r w:rsidRPr="004A5227">
        <w:rPr>
          <w:noProof/>
        </w:rPr>
        <w:fldChar w:fldCharType="separate"/>
      </w:r>
      <w:r w:rsidR="007754D5">
        <w:rPr>
          <w:noProof/>
        </w:rPr>
        <w:t>20</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3—Emergency service numbers</w:t>
      </w:r>
      <w:r w:rsidRPr="004A5227">
        <w:rPr>
          <w:b w:val="0"/>
          <w:noProof/>
          <w:sz w:val="18"/>
        </w:rPr>
        <w:tab/>
      </w:r>
      <w:r w:rsidRPr="004A5227">
        <w:rPr>
          <w:b w:val="0"/>
          <w:noProof/>
          <w:sz w:val="18"/>
        </w:rPr>
        <w:fldChar w:fldCharType="begin"/>
      </w:r>
      <w:r w:rsidRPr="004A5227">
        <w:rPr>
          <w:b w:val="0"/>
          <w:noProof/>
          <w:sz w:val="18"/>
        </w:rPr>
        <w:instrText xml:space="preserve"> PAGEREF _Toc413419046 \h </w:instrText>
      </w:r>
      <w:r w:rsidRPr="004A5227">
        <w:rPr>
          <w:b w:val="0"/>
          <w:noProof/>
          <w:sz w:val="18"/>
        </w:rPr>
      </w:r>
      <w:r w:rsidRPr="004A5227">
        <w:rPr>
          <w:b w:val="0"/>
          <w:noProof/>
          <w:sz w:val="18"/>
        </w:rPr>
        <w:fldChar w:fldCharType="separate"/>
      </w:r>
      <w:r w:rsidR="007754D5">
        <w:rPr>
          <w:b w:val="0"/>
          <w:noProof/>
          <w:sz w:val="18"/>
        </w:rPr>
        <w:t>21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30</w:t>
      </w:r>
      <w:r w:rsidRPr="004A5227">
        <w:rPr>
          <w:noProof/>
        </w:rPr>
        <w:tab/>
        <w:t>Emergency service numbers</w:t>
      </w:r>
      <w:r w:rsidRPr="004A5227">
        <w:rPr>
          <w:noProof/>
        </w:rPr>
        <w:tab/>
      </w:r>
      <w:r w:rsidRPr="004A5227">
        <w:rPr>
          <w:noProof/>
        </w:rPr>
        <w:fldChar w:fldCharType="begin"/>
      </w:r>
      <w:r w:rsidRPr="004A5227">
        <w:rPr>
          <w:noProof/>
        </w:rPr>
        <w:instrText xml:space="preserve"> PAGEREF _Toc413419047 \h </w:instrText>
      </w:r>
      <w:r w:rsidRPr="004A5227">
        <w:rPr>
          <w:noProof/>
        </w:rPr>
      </w:r>
      <w:r w:rsidRPr="004A5227">
        <w:rPr>
          <w:noProof/>
        </w:rPr>
        <w:fldChar w:fldCharType="separate"/>
      </w:r>
      <w:r w:rsidR="007754D5">
        <w:rPr>
          <w:noProof/>
        </w:rPr>
        <w:t>21</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lastRenderedPageBreak/>
        <w:t>Part</w:t>
      </w:r>
      <w:r w:rsidR="004A5227" w:rsidRPr="004A5227">
        <w:rPr>
          <w:noProof/>
        </w:rPr>
        <w:t> </w:t>
      </w:r>
      <w:r w:rsidRPr="004A5227">
        <w:rPr>
          <w:noProof/>
        </w:rPr>
        <w:t>4—Special services numbers</w:t>
      </w:r>
      <w:r w:rsidRPr="004A5227">
        <w:rPr>
          <w:b w:val="0"/>
          <w:noProof/>
          <w:sz w:val="18"/>
        </w:rPr>
        <w:tab/>
      </w:r>
      <w:r w:rsidRPr="004A5227">
        <w:rPr>
          <w:b w:val="0"/>
          <w:noProof/>
          <w:sz w:val="18"/>
        </w:rPr>
        <w:fldChar w:fldCharType="begin"/>
      </w:r>
      <w:r w:rsidRPr="004A5227">
        <w:rPr>
          <w:b w:val="0"/>
          <w:noProof/>
          <w:sz w:val="18"/>
        </w:rPr>
        <w:instrText xml:space="preserve"> PAGEREF _Toc413419048 \h </w:instrText>
      </w:r>
      <w:r w:rsidRPr="004A5227">
        <w:rPr>
          <w:b w:val="0"/>
          <w:noProof/>
          <w:sz w:val="18"/>
        </w:rPr>
      </w:r>
      <w:r w:rsidRPr="004A5227">
        <w:rPr>
          <w:b w:val="0"/>
          <w:noProof/>
          <w:sz w:val="18"/>
        </w:rPr>
        <w:fldChar w:fldCharType="separate"/>
      </w:r>
      <w:r w:rsidR="007754D5">
        <w:rPr>
          <w:b w:val="0"/>
          <w:noProof/>
          <w:sz w:val="18"/>
        </w:rPr>
        <w:t>22</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31</w:t>
      </w:r>
      <w:r w:rsidRPr="004A5227">
        <w:rPr>
          <w:noProof/>
        </w:rPr>
        <w:tab/>
        <w:t xml:space="preserve">Definition of </w:t>
      </w:r>
      <w:r w:rsidRPr="004A5227">
        <w:rPr>
          <w:i/>
          <w:noProof/>
        </w:rPr>
        <w:t>special services number</w:t>
      </w:r>
      <w:r w:rsidRPr="004A5227">
        <w:rPr>
          <w:noProof/>
        </w:rPr>
        <w:tab/>
      </w:r>
      <w:r w:rsidRPr="004A5227">
        <w:rPr>
          <w:noProof/>
        </w:rPr>
        <w:fldChar w:fldCharType="begin"/>
      </w:r>
      <w:r w:rsidRPr="004A5227">
        <w:rPr>
          <w:noProof/>
        </w:rPr>
        <w:instrText xml:space="preserve"> PAGEREF _Toc413419049 \h </w:instrText>
      </w:r>
      <w:r w:rsidRPr="004A5227">
        <w:rPr>
          <w:noProof/>
        </w:rPr>
      </w:r>
      <w:r w:rsidRPr="004A5227">
        <w:rPr>
          <w:noProof/>
        </w:rPr>
        <w:fldChar w:fldCharType="separate"/>
      </w:r>
      <w:r w:rsidR="007754D5">
        <w:rPr>
          <w:noProof/>
        </w:rPr>
        <w:t>22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32</w:t>
      </w:r>
      <w:r w:rsidRPr="004A5227">
        <w:rPr>
          <w:noProof/>
        </w:rPr>
        <w:tab/>
        <w:t>Use of special services numbers</w:t>
      </w:r>
      <w:r w:rsidRPr="004A5227">
        <w:rPr>
          <w:noProof/>
        </w:rPr>
        <w:tab/>
      </w:r>
      <w:r w:rsidRPr="004A5227">
        <w:rPr>
          <w:noProof/>
        </w:rPr>
        <w:fldChar w:fldCharType="begin"/>
      </w:r>
      <w:r w:rsidRPr="004A5227">
        <w:rPr>
          <w:noProof/>
        </w:rPr>
        <w:instrText xml:space="preserve"> PAGEREF _Toc413419050 \h </w:instrText>
      </w:r>
      <w:r w:rsidRPr="004A5227">
        <w:rPr>
          <w:noProof/>
        </w:rPr>
      </w:r>
      <w:r w:rsidRPr="004A5227">
        <w:rPr>
          <w:noProof/>
        </w:rPr>
        <w:fldChar w:fldCharType="separate"/>
      </w:r>
      <w:r w:rsidR="007754D5">
        <w:rPr>
          <w:noProof/>
        </w:rPr>
        <w:t>22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33</w:t>
      </w:r>
      <w:r w:rsidRPr="004A5227">
        <w:rPr>
          <w:noProof/>
        </w:rPr>
        <w:tab/>
        <w:t>Use of 1223 for operator services on carriage service with price control arrangements</w:t>
      </w:r>
      <w:r w:rsidRPr="004A5227">
        <w:rPr>
          <w:noProof/>
        </w:rPr>
        <w:tab/>
      </w:r>
      <w:r w:rsidRPr="004A5227">
        <w:rPr>
          <w:noProof/>
        </w:rPr>
        <w:fldChar w:fldCharType="begin"/>
      </w:r>
      <w:r w:rsidRPr="004A5227">
        <w:rPr>
          <w:noProof/>
        </w:rPr>
        <w:instrText xml:space="preserve"> PAGEREF _Toc413419051 \h </w:instrText>
      </w:r>
      <w:r w:rsidRPr="004A5227">
        <w:rPr>
          <w:noProof/>
        </w:rPr>
      </w:r>
      <w:r w:rsidRPr="004A5227">
        <w:rPr>
          <w:noProof/>
        </w:rPr>
        <w:fldChar w:fldCharType="separate"/>
      </w:r>
      <w:r w:rsidR="007754D5">
        <w:rPr>
          <w:noProof/>
        </w:rPr>
        <w:t>23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34</w:t>
      </w:r>
      <w:r w:rsidRPr="004A5227">
        <w:rPr>
          <w:noProof/>
        </w:rPr>
        <w:tab/>
        <w:t>Approval of operation plan</w:t>
      </w:r>
      <w:r w:rsidRPr="004A5227">
        <w:rPr>
          <w:noProof/>
        </w:rPr>
        <w:tab/>
      </w:r>
      <w:r w:rsidRPr="004A5227">
        <w:rPr>
          <w:noProof/>
        </w:rPr>
        <w:fldChar w:fldCharType="begin"/>
      </w:r>
      <w:r w:rsidRPr="004A5227">
        <w:rPr>
          <w:noProof/>
        </w:rPr>
        <w:instrText xml:space="preserve"> PAGEREF _Toc413419052 \h </w:instrText>
      </w:r>
      <w:r w:rsidRPr="004A5227">
        <w:rPr>
          <w:noProof/>
        </w:rPr>
      </w:r>
      <w:r w:rsidRPr="004A5227">
        <w:rPr>
          <w:noProof/>
        </w:rPr>
        <w:fldChar w:fldCharType="separate"/>
      </w:r>
      <w:r w:rsidR="007754D5">
        <w:rPr>
          <w:noProof/>
        </w:rPr>
        <w:t>23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35</w:t>
      </w:r>
      <w:r w:rsidRPr="004A5227">
        <w:rPr>
          <w:noProof/>
        </w:rPr>
        <w:tab/>
        <w:t>Amendment or replacement of operation plan on application by carriage service provider</w:t>
      </w:r>
      <w:r w:rsidRPr="004A5227">
        <w:rPr>
          <w:noProof/>
        </w:rPr>
        <w:tab/>
      </w:r>
      <w:r w:rsidRPr="004A5227">
        <w:rPr>
          <w:noProof/>
        </w:rPr>
        <w:fldChar w:fldCharType="begin"/>
      </w:r>
      <w:r w:rsidRPr="004A5227">
        <w:rPr>
          <w:noProof/>
        </w:rPr>
        <w:instrText xml:space="preserve"> PAGEREF _Toc413419053 \h </w:instrText>
      </w:r>
      <w:r w:rsidRPr="004A5227">
        <w:rPr>
          <w:noProof/>
        </w:rPr>
      </w:r>
      <w:r w:rsidRPr="004A5227">
        <w:rPr>
          <w:noProof/>
        </w:rPr>
        <w:fldChar w:fldCharType="separate"/>
      </w:r>
      <w:r w:rsidR="007754D5">
        <w:rPr>
          <w:noProof/>
        </w:rPr>
        <w:t>24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36</w:t>
      </w:r>
      <w:r w:rsidRPr="004A5227">
        <w:rPr>
          <w:noProof/>
        </w:rPr>
        <w:tab/>
        <w:t>Amendment or replacement of operation plan at ACMA’s direction</w:t>
      </w:r>
      <w:r w:rsidRPr="004A5227">
        <w:rPr>
          <w:noProof/>
        </w:rPr>
        <w:tab/>
      </w:r>
      <w:r w:rsidRPr="004A5227">
        <w:rPr>
          <w:noProof/>
        </w:rPr>
        <w:fldChar w:fldCharType="begin"/>
      </w:r>
      <w:r w:rsidRPr="004A5227">
        <w:rPr>
          <w:noProof/>
        </w:rPr>
        <w:instrText xml:space="preserve"> PAGEREF _Toc413419054 \h </w:instrText>
      </w:r>
      <w:r w:rsidRPr="004A5227">
        <w:rPr>
          <w:noProof/>
        </w:rPr>
      </w:r>
      <w:r w:rsidRPr="004A5227">
        <w:rPr>
          <w:noProof/>
        </w:rPr>
        <w:fldChar w:fldCharType="separate"/>
      </w:r>
      <w:r w:rsidR="007754D5">
        <w:rPr>
          <w:noProof/>
        </w:rPr>
        <w:t>24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37</w:t>
      </w:r>
      <w:r w:rsidRPr="004A5227">
        <w:rPr>
          <w:noProof/>
        </w:rPr>
        <w:tab/>
        <w:t>Cessation of service under operation plan</w:t>
      </w:r>
      <w:r w:rsidRPr="004A5227">
        <w:rPr>
          <w:noProof/>
        </w:rPr>
        <w:tab/>
      </w:r>
      <w:r w:rsidRPr="004A5227">
        <w:rPr>
          <w:noProof/>
        </w:rPr>
        <w:fldChar w:fldCharType="begin"/>
      </w:r>
      <w:r w:rsidRPr="004A5227">
        <w:rPr>
          <w:noProof/>
        </w:rPr>
        <w:instrText xml:space="preserve"> PAGEREF _Toc413419055 \h </w:instrText>
      </w:r>
      <w:r w:rsidRPr="004A5227">
        <w:rPr>
          <w:noProof/>
        </w:rPr>
      </w:r>
      <w:r w:rsidRPr="004A5227">
        <w:rPr>
          <w:noProof/>
        </w:rPr>
        <w:fldChar w:fldCharType="separate"/>
      </w:r>
      <w:r w:rsidR="007754D5">
        <w:rPr>
          <w:noProof/>
        </w:rPr>
        <w:t>25</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5—Access codes</w:t>
      </w:r>
      <w:r w:rsidRPr="004A5227">
        <w:rPr>
          <w:b w:val="0"/>
          <w:noProof/>
          <w:sz w:val="18"/>
        </w:rPr>
        <w:tab/>
      </w:r>
      <w:r w:rsidRPr="004A5227">
        <w:rPr>
          <w:b w:val="0"/>
          <w:noProof/>
          <w:sz w:val="18"/>
        </w:rPr>
        <w:fldChar w:fldCharType="begin"/>
      </w:r>
      <w:r w:rsidRPr="004A5227">
        <w:rPr>
          <w:b w:val="0"/>
          <w:noProof/>
          <w:sz w:val="18"/>
        </w:rPr>
        <w:instrText xml:space="preserve"> PAGEREF _Toc413419056 \h </w:instrText>
      </w:r>
      <w:r w:rsidRPr="004A5227">
        <w:rPr>
          <w:b w:val="0"/>
          <w:noProof/>
          <w:sz w:val="18"/>
        </w:rPr>
      </w:r>
      <w:r w:rsidRPr="004A5227">
        <w:rPr>
          <w:b w:val="0"/>
          <w:noProof/>
          <w:sz w:val="18"/>
        </w:rPr>
        <w:fldChar w:fldCharType="separate"/>
      </w:r>
      <w:r w:rsidR="007754D5">
        <w:rPr>
          <w:b w:val="0"/>
          <w:noProof/>
          <w:sz w:val="18"/>
        </w:rPr>
        <w:t>26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38</w:t>
      </w:r>
      <w:r w:rsidRPr="004A5227">
        <w:rPr>
          <w:noProof/>
        </w:rPr>
        <w:tab/>
        <w:t xml:space="preserve">Definition of </w:t>
      </w:r>
      <w:r w:rsidRPr="004A5227">
        <w:rPr>
          <w:i/>
          <w:noProof/>
        </w:rPr>
        <w:t>access code</w:t>
      </w:r>
      <w:r w:rsidRPr="004A5227">
        <w:rPr>
          <w:noProof/>
        </w:rPr>
        <w:tab/>
      </w:r>
      <w:r w:rsidRPr="004A5227">
        <w:rPr>
          <w:noProof/>
        </w:rPr>
        <w:fldChar w:fldCharType="begin"/>
      </w:r>
      <w:r w:rsidRPr="004A5227">
        <w:rPr>
          <w:noProof/>
        </w:rPr>
        <w:instrText xml:space="preserve"> PAGEREF _Toc413419057 \h </w:instrText>
      </w:r>
      <w:r w:rsidRPr="004A5227">
        <w:rPr>
          <w:noProof/>
        </w:rPr>
      </w:r>
      <w:r w:rsidRPr="004A5227">
        <w:rPr>
          <w:noProof/>
        </w:rPr>
        <w:fldChar w:fldCharType="separate"/>
      </w:r>
      <w:r w:rsidR="007754D5">
        <w:rPr>
          <w:noProof/>
        </w:rPr>
        <w:t>26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39</w:t>
      </w:r>
      <w:r w:rsidRPr="004A5227">
        <w:rPr>
          <w:noProof/>
        </w:rPr>
        <w:tab/>
        <w:t>Use of access codes</w:t>
      </w:r>
      <w:r w:rsidRPr="004A5227">
        <w:rPr>
          <w:noProof/>
        </w:rPr>
        <w:tab/>
      </w:r>
      <w:r w:rsidRPr="004A5227">
        <w:rPr>
          <w:noProof/>
        </w:rPr>
        <w:fldChar w:fldCharType="begin"/>
      </w:r>
      <w:r w:rsidRPr="004A5227">
        <w:rPr>
          <w:noProof/>
        </w:rPr>
        <w:instrText xml:space="preserve"> PAGEREF _Toc413419058 \h </w:instrText>
      </w:r>
      <w:r w:rsidRPr="004A5227">
        <w:rPr>
          <w:noProof/>
        </w:rPr>
      </w:r>
      <w:r w:rsidRPr="004A5227">
        <w:rPr>
          <w:noProof/>
        </w:rPr>
        <w:fldChar w:fldCharType="separate"/>
      </w:r>
      <w:r w:rsidR="007754D5">
        <w:rPr>
          <w:noProof/>
        </w:rPr>
        <w:t>26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40</w:t>
      </w:r>
      <w:r w:rsidRPr="004A5227">
        <w:rPr>
          <w:noProof/>
        </w:rPr>
        <w:tab/>
        <w:t>Charge for call to international freephone numbers</w:t>
      </w:r>
      <w:r w:rsidRPr="004A5227">
        <w:rPr>
          <w:noProof/>
        </w:rPr>
        <w:tab/>
      </w:r>
      <w:r w:rsidRPr="004A5227">
        <w:rPr>
          <w:noProof/>
        </w:rPr>
        <w:fldChar w:fldCharType="begin"/>
      </w:r>
      <w:r w:rsidRPr="004A5227">
        <w:rPr>
          <w:noProof/>
        </w:rPr>
        <w:instrText xml:space="preserve"> PAGEREF _Toc413419059 \h </w:instrText>
      </w:r>
      <w:r w:rsidRPr="004A5227">
        <w:rPr>
          <w:noProof/>
        </w:rPr>
      </w:r>
      <w:r w:rsidRPr="004A5227">
        <w:rPr>
          <w:noProof/>
        </w:rPr>
        <w:fldChar w:fldCharType="separate"/>
      </w:r>
      <w:r w:rsidR="007754D5">
        <w:rPr>
          <w:noProof/>
        </w:rPr>
        <w:t>26</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6—Shared numbers</w:t>
      </w:r>
      <w:r w:rsidRPr="004A5227">
        <w:rPr>
          <w:b w:val="0"/>
          <w:noProof/>
          <w:sz w:val="18"/>
        </w:rPr>
        <w:tab/>
      </w:r>
      <w:r w:rsidRPr="004A5227">
        <w:rPr>
          <w:b w:val="0"/>
          <w:noProof/>
          <w:sz w:val="18"/>
        </w:rPr>
        <w:fldChar w:fldCharType="begin"/>
      </w:r>
      <w:r w:rsidRPr="004A5227">
        <w:rPr>
          <w:b w:val="0"/>
          <w:noProof/>
          <w:sz w:val="18"/>
        </w:rPr>
        <w:instrText xml:space="preserve"> PAGEREF _Toc413419060 \h </w:instrText>
      </w:r>
      <w:r w:rsidRPr="004A5227">
        <w:rPr>
          <w:b w:val="0"/>
          <w:noProof/>
          <w:sz w:val="18"/>
        </w:rPr>
      </w:r>
      <w:r w:rsidRPr="004A5227">
        <w:rPr>
          <w:b w:val="0"/>
          <w:noProof/>
          <w:sz w:val="18"/>
        </w:rPr>
        <w:fldChar w:fldCharType="separate"/>
      </w:r>
      <w:r w:rsidR="007754D5">
        <w:rPr>
          <w:b w:val="0"/>
          <w:noProof/>
          <w:sz w:val="18"/>
        </w:rPr>
        <w:t>27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41</w:t>
      </w:r>
      <w:r w:rsidRPr="004A5227">
        <w:rPr>
          <w:noProof/>
        </w:rPr>
        <w:tab/>
        <w:t xml:space="preserve">Definition of </w:t>
      </w:r>
      <w:r w:rsidRPr="004A5227">
        <w:rPr>
          <w:i/>
          <w:noProof/>
        </w:rPr>
        <w:t xml:space="preserve">shared number </w:t>
      </w:r>
      <w:r w:rsidRPr="004A5227">
        <w:rPr>
          <w:noProof/>
        </w:rPr>
        <w:t xml:space="preserve">and </w:t>
      </w:r>
      <w:r w:rsidRPr="004A5227">
        <w:rPr>
          <w:i/>
          <w:noProof/>
        </w:rPr>
        <w:t>selectable shared number</w:t>
      </w:r>
      <w:r w:rsidRPr="004A5227">
        <w:rPr>
          <w:noProof/>
        </w:rPr>
        <w:tab/>
      </w:r>
      <w:r w:rsidRPr="004A5227">
        <w:rPr>
          <w:noProof/>
        </w:rPr>
        <w:fldChar w:fldCharType="begin"/>
      </w:r>
      <w:r w:rsidRPr="004A5227">
        <w:rPr>
          <w:noProof/>
        </w:rPr>
        <w:instrText xml:space="preserve"> PAGEREF _Toc413419061 \h </w:instrText>
      </w:r>
      <w:r w:rsidRPr="004A5227">
        <w:rPr>
          <w:noProof/>
        </w:rPr>
      </w:r>
      <w:r w:rsidRPr="004A5227">
        <w:rPr>
          <w:noProof/>
        </w:rPr>
        <w:fldChar w:fldCharType="separate"/>
      </w:r>
      <w:r w:rsidR="007754D5">
        <w:rPr>
          <w:noProof/>
        </w:rPr>
        <w:t>27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42</w:t>
      </w:r>
      <w:r w:rsidRPr="004A5227">
        <w:rPr>
          <w:noProof/>
        </w:rPr>
        <w:tab/>
        <w:t>Use of shared numbers</w:t>
      </w:r>
      <w:r w:rsidRPr="004A5227">
        <w:rPr>
          <w:noProof/>
        </w:rPr>
        <w:tab/>
      </w:r>
      <w:r w:rsidRPr="004A5227">
        <w:rPr>
          <w:noProof/>
        </w:rPr>
        <w:fldChar w:fldCharType="begin"/>
      </w:r>
      <w:r w:rsidRPr="004A5227">
        <w:rPr>
          <w:noProof/>
        </w:rPr>
        <w:instrText xml:space="preserve"> PAGEREF _Toc413419062 \h </w:instrText>
      </w:r>
      <w:r w:rsidRPr="004A5227">
        <w:rPr>
          <w:noProof/>
        </w:rPr>
      </w:r>
      <w:r w:rsidRPr="004A5227">
        <w:rPr>
          <w:noProof/>
        </w:rPr>
        <w:fldChar w:fldCharType="separate"/>
      </w:r>
      <w:r w:rsidR="007754D5">
        <w:rPr>
          <w:noProof/>
        </w:rPr>
        <w:t>27</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4—Private numbering schemes</w:t>
      </w:r>
      <w:r w:rsidRPr="004A5227">
        <w:rPr>
          <w:b w:val="0"/>
          <w:noProof/>
          <w:sz w:val="18"/>
        </w:rPr>
        <w:tab/>
      </w:r>
      <w:r w:rsidRPr="004A5227">
        <w:rPr>
          <w:b w:val="0"/>
          <w:noProof/>
          <w:sz w:val="18"/>
        </w:rPr>
        <w:fldChar w:fldCharType="begin"/>
      </w:r>
      <w:r w:rsidRPr="004A5227">
        <w:rPr>
          <w:b w:val="0"/>
          <w:noProof/>
          <w:sz w:val="18"/>
        </w:rPr>
        <w:instrText xml:space="preserve"> PAGEREF _Toc413419063 \h </w:instrText>
      </w:r>
      <w:r w:rsidRPr="004A5227">
        <w:rPr>
          <w:b w:val="0"/>
          <w:noProof/>
          <w:sz w:val="18"/>
        </w:rPr>
      </w:r>
      <w:r w:rsidRPr="004A5227">
        <w:rPr>
          <w:b w:val="0"/>
          <w:noProof/>
          <w:sz w:val="18"/>
        </w:rPr>
        <w:fldChar w:fldCharType="separate"/>
      </w:r>
      <w:r w:rsidR="007754D5">
        <w:rPr>
          <w:b w:val="0"/>
          <w:noProof/>
          <w:sz w:val="18"/>
        </w:rPr>
        <w:t>28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43</w:t>
      </w:r>
      <w:r w:rsidRPr="004A5227">
        <w:rPr>
          <w:noProof/>
        </w:rPr>
        <w:tab/>
        <w:t>Restrictions on use do not apply to use in private numbering scheme</w:t>
      </w:r>
      <w:r w:rsidRPr="004A5227">
        <w:rPr>
          <w:noProof/>
        </w:rPr>
        <w:tab/>
      </w:r>
      <w:r w:rsidRPr="004A5227">
        <w:rPr>
          <w:noProof/>
        </w:rPr>
        <w:fldChar w:fldCharType="begin"/>
      </w:r>
      <w:r w:rsidRPr="004A5227">
        <w:rPr>
          <w:noProof/>
        </w:rPr>
        <w:instrText xml:space="preserve"> PAGEREF _Toc413419064 \h </w:instrText>
      </w:r>
      <w:r w:rsidRPr="004A5227">
        <w:rPr>
          <w:noProof/>
        </w:rPr>
      </w:r>
      <w:r w:rsidRPr="004A5227">
        <w:rPr>
          <w:noProof/>
        </w:rPr>
        <w:fldChar w:fldCharType="separate"/>
      </w:r>
      <w:r w:rsidR="007754D5">
        <w:rPr>
          <w:noProof/>
        </w:rPr>
        <w:t>28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44</w:t>
      </w:r>
      <w:r w:rsidRPr="004A5227">
        <w:rPr>
          <w:noProof/>
        </w:rPr>
        <w:tab/>
        <w:t>Private numbering scheme with escape code</w:t>
      </w:r>
      <w:r w:rsidRPr="004A5227">
        <w:rPr>
          <w:noProof/>
        </w:rPr>
        <w:tab/>
      </w:r>
      <w:r w:rsidRPr="004A5227">
        <w:rPr>
          <w:noProof/>
        </w:rPr>
        <w:fldChar w:fldCharType="begin"/>
      </w:r>
      <w:r w:rsidRPr="004A5227">
        <w:rPr>
          <w:noProof/>
        </w:rPr>
        <w:instrText xml:space="preserve"> PAGEREF _Toc413419065 \h </w:instrText>
      </w:r>
      <w:r w:rsidRPr="004A5227">
        <w:rPr>
          <w:noProof/>
        </w:rPr>
      </w:r>
      <w:r w:rsidRPr="004A5227">
        <w:rPr>
          <w:noProof/>
        </w:rPr>
        <w:fldChar w:fldCharType="separate"/>
      </w:r>
      <w:r w:rsidR="007754D5">
        <w:rPr>
          <w:noProof/>
        </w:rPr>
        <w:t>28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45</w:t>
      </w:r>
      <w:r w:rsidRPr="004A5227">
        <w:rPr>
          <w:noProof/>
        </w:rPr>
        <w:tab/>
        <w:t>Private numbering scheme without an escape code</w:t>
      </w:r>
      <w:r w:rsidRPr="004A5227">
        <w:rPr>
          <w:noProof/>
        </w:rPr>
        <w:tab/>
      </w:r>
      <w:r w:rsidRPr="004A5227">
        <w:rPr>
          <w:noProof/>
        </w:rPr>
        <w:fldChar w:fldCharType="begin"/>
      </w:r>
      <w:r w:rsidRPr="004A5227">
        <w:rPr>
          <w:noProof/>
        </w:rPr>
        <w:instrText xml:space="preserve"> PAGEREF _Toc413419066 \h </w:instrText>
      </w:r>
      <w:r w:rsidRPr="004A5227">
        <w:rPr>
          <w:noProof/>
        </w:rPr>
      </w:r>
      <w:r w:rsidRPr="004A5227">
        <w:rPr>
          <w:noProof/>
        </w:rPr>
        <w:fldChar w:fldCharType="separate"/>
      </w:r>
      <w:r w:rsidR="007754D5">
        <w:rPr>
          <w:noProof/>
        </w:rPr>
        <w:t>28</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5—International signalling point codes and mobile network codes</w:t>
      </w:r>
      <w:r w:rsidRPr="004A5227">
        <w:rPr>
          <w:b w:val="0"/>
          <w:noProof/>
          <w:sz w:val="18"/>
        </w:rPr>
        <w:tab/>
      </w:r>
      <w:r w:rsidRPr="004A5227">
        <w:rPr>
          <w:b w:val="0"/>
          <w:noProof/>
          <w:sz w:val="18"/>
        </w:rPr>
        <w:fldChar w:fldCharType="begin"/>
      </w:r>
      <w:r w:rsidRPr="004A5227">
        <w:rPr>
          <w:b w:val="0"/>
          <w:noProof/>
          <w:sz w:val="18"/>
        </w:rPr>
        <w:instrText xml:space="preserve"> PAGEREF _Toc413419067 \h </w:instrText>
      </w:r>
      <w:r w:rsidRPr="004A5227">
        <w:rPr>
          <w:b w:val="0"/>
          <w:noProof/>
          <w:sz w:val="18"/>
        </w:rPr>
      </w:r>
      <w:r w:rsidRPr="004A5227">
        <w:rPr>
          <w:b w:val="0"/>
          <w:noProof/>
          <w:sz w:val="18"/>
        </w:rPr>
        <w:fldChar w:fldCharType="separate"/>
      </w:r>
      <w:r w:rsidR="007754D5">
        <w:rPr>
          <w:b w:val="0"/>
          <w:noProof/>
          <w:sz w:val="18"/>
        </w:rPr>
        <w:t>29</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1—International signalling point codes</w:t>
      </w:r>
      <w:r w:rsidRPr="004A5227">
        <w:rPr>
          <w:b w:val="0"/>
          <w:noProof/>
          <w:sz w:val="18"/>
        </w:rPr>
        <w:tab/>
      </w:r>
      <w:r w:rsidRPr="004A5227">
        <w:rPr>
          <w:b w:val="0"/>
          <w:noProof/>
          <w:sz w:val="18"/>
        </w:rPr>
        <w:fldChar w:fldCharType="begin"/>
      </w:r>
      <w:r w:rsidRPr="004A5227">
        <w:rPr>
          <w:b w:val="0"/>
          <w:noProof/>
          <w:sz w:val="18"/>
        </w:rPr>
        <w:instrText xml:space="preserve"> PAGEREF _Toc413419068 \h </w:instrText>
      </w:r>
      <w:r w:rsidRPr="004A5227">
        <w:rPr>
          <w:b w:val="0"/>
          <w:noProof/>
          <w:sz w:val="18"/>
        </w:rPr>
      </w:r>
      <w:r w:rsidRPr="004A5227">
        <w:rPr>
          <w:b w:val="0"/>
          <w:noProof/>
          <w:sz w:val="18"/>
        </w:rPr>
        <w:fldChar w:fldCharType="separate"/>
      </w:r>
      <w:r w:rsidR="007754D5">
        <w:rPr>
          <w:b w:val="0"/>
          <w:noProof/>
          <w:sz w:val="18"/>
        </w:rPr>
        <w:t>29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46</w:t>
      </w:r>
      <w:r w:rsidRPr="004A5227">
        <w:rPr>
          <w:noProof/>
        </w:rPr>
        <w:tab/>
        <w:t xml:space="preserve">Definition of </w:t>
      </w:r>
      <w:r w:rsidRPr="004A5227">
        <w:rPr>
          <w:i/>
          <w:noProof/>
        </w:rPr>
        <w:t>international signalling point code</w:t>
      </w:r>
      <w:r w:rsidRPr="004A5227">
        <w:rPr>
          <w:noProof/>
        </w:rPr>
        <w:tab/>
      </w:r>
      <w:r w:rsidRPr="004A5227">
        <w:rPr>
          <w:noProof/>
        </w:rPr>
        <w:fldChar w:fldCharType="begin"/>
      </w:r>
      <w:r w:rsidRPr="004A5227">
        <w:rPr>
          <w:noProof/>
        </w:rPr>
        <w:instrText xml:space="preserve"> PAGEREF _Toc413419069 \h </w:instrText>
      </w:r>
      <w:r w:rsidRPr="004A5227">
        <w:rPr>
          <w:noProof/>
        </w:rPr>
      </w:r>
      <w:r w:rsidRPr="004A5227">
        <w:rPr>
          <w:noProof/>
        </w:rPr>
        <w:fldChar w:fldCharType="separate"/>
      </w:r>
      <w:r w:rsidR="007754D5">
        <w:rPr>
          <w:noProof/>
        </w:rPr>
        <w:t>29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47</w:t>
      </w:r>
      <w:r w:rsidRPr="004A5227">
        <w:rPr>
          <w:noProof/>
        </w:rPr>
        <w:tab/>
        <w:t>Application for allocation of international signalling point code</w:t>
      </w:r>
      <w:r w:rsidRPr="004A5227">
        <w:rPr>
          <w:noProof/>
        </w:rPr>
        <w:tab/>
      </w:r>
      <w:r w:rsidRPr="004A5227">
        <w:rPr>
          <w:noProof/>
        </w:rPr>
        <w:fldChar w:fldCharType="begin"/>
      </w:r>
      <w:r w:rsidRPr="004A5227">
        <w:rPr>
          <w:noProof/>
        </w:rPr>
        <w:instrText xml:space="preserve"> PAGEREF _Toc413419070 \h </w:instrText>
      </w:r>
      <w:r w:rsidRPr="004A5227">
        <w:rPr>
          <w:noProof/>
        </w:rPr>
      </w:r>
      <w:r w:rsidRPr="004A5227">
        <w:rPr>
          <w:noProof/>
        </w:rPr>
        <w:fldChar w:fldCharType="separate"/>
      </w:r>
      <w:r w:rsidR="007754D5">
        <w:rPr>
          <w:noProof/>
        </w:rPr>
        <w:t>29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48</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_Toc413419071 \h </w:instrText>
      </w:r>
      <w:r w:rsidRPr="004A5227">
        <w:rPr>
          <w:noProof/>
        </w:rPr>
      </w:r>
      <w:r w:rsidRPr="004A5227">
        <w:rPr>
          <w:noProof/>
        </w:rPr>
        <w:fldChar w:fldCharType="separate"/>
      </w:r>
      <w:r w:rsidR="007754D5">
        <w:rPr>
          <w:noProof/>
        </w:rPr>
        <w:t>29</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2—Mobile network codes</w:t>
      </w:r>
      <w:r w:rsidRPr="004A5227">
        <w:rPr>
          <w:b w:val="0"/>
          <w:noProof/>
          <w:sz w:val="18"/>
        </w:rPr>
        <w:tab/>
      </w:r>
      <w:r w:rsidRPr="004A5227">
        <w:rPr>
          <w:b w:val="0"/>
          <w:noProof/>
          <w:sz w:val="18"/>
        </w:rPr>
        <w:fldChar w:fldCharType="begin"/>
      </w:r>
      <w:r w:rsidRPr="004A5227">
        <w:rPr>
          <w:b w:val="0"/>
          <w:noProof/>
          <w:sz w:val="18"/>
        </w:rPr>
        <w:instrText xml:space="preserve"> PAGEREF _Toc413419072 \h </w:instrText>
      </w:r>
      <w:r w:rsidRPr="004A5227">
        <w:rPr>
          <w:b w:val="0"/>
          <w:noProof/>
          <w:sz w:val="18"/>
        </w:rPr>
      </w:r>
      <w:r w:rsidRPr="004A5227">
        <w:rPr>
          <w:b w:val="0"/>
          <w:noProof/>
          <w:sz w:val="18"/>
        </w:rPr>
        <w:fldChar w:fldCharType="separate"/>
      </w:r>
      <w:r w:rsidR="007754D5">
        <w:rPr>
          <w:b w:val="0"/>
          <w:noProof/>
          <w:sz w:val="18"/>
        </w:rPr>
        <w:t>31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49</w:t>
      </w:r>
      <w:r w:rsidRPr="004A5227">
        <w:rPr>
          <w:noProof/>
        </w:rPr>
        <w:tab/>
        <w:t xml:space="preserve">Definition of </w:t>
      </w:r>
      <w:r w:rsidRPr="004A5227">
        <w:rPr>
          <w:i/>
          <w:noProof/>
        </w:rPr>
        <w:t>mobile network code</w:t>
      </w:r>
      <w:r w:rsidRPr="004A5227">
        <w:rPr>
          <w:noProof/>
        </w:rPr>
        <w:tab/>
      </w:r>
      <w:r w:rsidRPr="004A5227">
        <w:rPr>
          <w:noProof/>
        </w:rPr>
        <w:fldChar w:fldCharType="begin"/>
      </w:r>
      <w:r w:rsidRPr="004A5227">
        <w:rPr>
          <w:noProof/>
        </w:rPr>
        <w:instrText xml:space="preserve"> PAGEREF _Toc413419073 \h </w:instrText>
      </w:r>
      <w:r w:rsidRPr="004A5227">
        <w:rPr>
          <w:noProof/>
        </w:rPr>
      </w:r>
      <w:r w:rsidRPr="004A5227">
        <w:rPr>
          <w:noProof/>
        </w:rPr>
        <w:fldChar w:fldCharType="separate"/>
      </w:r>
      <w:r w:rsidR="007754D5">
        <w:rPr>
          <w:noProof/>
        </w:rPr>
        <w:t>31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50</w:t>
      </w:r>
      <w:r w:rsidRPr="004A5227">
        <w:rPr>
          <w:noProof/>
        </w:rPr>
        <w:tab/>
        <w:t>Application for allocation of mobile network code</w:t>
      </w:r>
      <w:r w:rsidRPr="004A5227">
        <w:rPr>
          <w:noProof/>
        </w:rPr>
        <w:tab/>
      </w:r>
      <w:r w:rsidRPr="004A5227">
        <w:rPr>
          <w:noProof/>
        </w:rPr>
        <w:fldChar w:fldCharType="begin"/>
      </w:r>
      <w:r w:rsidRPr="004A5227">
        <w:rPr>
          <w:noProof/>
        </w:rPr>
        <w:instrText xml:space="preserve"> PAGEREF _Toc413419074 \h </w:instrText>
      </w:r>
      <w:r w:rsidRPr="004A5227">
        <w:rPr>
          <w:noProof/>
        </w:rPr>
      </w:r>
      <w:r w:rsidRPr="004A5227">
        <w:rPr>
          <w:noProof/>
        </w:rPr>
        <w:fldChar w:fldCharType="separate"/>
      </w:r>
      <w:r w:rsidR="007754D5">
        <w:rPr>
          <w:noProof/>
        </w:rPr>
        <w:t>31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51</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_Toc413419075 \h </w:instrText>
      </w:r>
      <w:r w:rsidRPr="004A5227">
        <w:rPr>
          <w:noProof/>
        </w:rPr>
      </w:r>
      <w:r w:rsidRPr="004A5227">
        <w:rPr>
          <w:noProof/>
        </w:rPr>
        <w:fldChar w:fldCharType="separate"/>
      </w:r>
      <w:r w:rsidR="007754D5">
        <w:rPr>
          <w:noProof/>
        </w:rPr>
        <w:t>31</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3—Transfer, surrender and withdrawal of international signalling point codes and mobile network codes</w:t>
      </w:r>
      <w:r w:rsidRPr="004A5227">
        <w:rPr>
          <w:b w:val="0"/>
          <w:noProof/>
          <w:sz w:val="18"/>
        </w:rPr>
        <w:tab/>
      </w:r>
      <w:r w:rsidRPr="004A5227">
        <w:rPr>
          <w:b w:val="0"/>
          <w:noProof/>
          <w:sz w:val="18"/>
        </w:rPr>
        <w:fldChar w:fldCharType="begin"/>
      </w:r>
      <w:r w:rsidRPr="004A5227">
        <w:rPr>
          <w:b w:val="0"/>
          <w:noProof/>
          <w:sz w:val="18"/>
        </w:rPr>
        <w:instrText xml:space="preserve"> PAGEREF _Toc413419076 \h </w:instrText>
      </w:r>
      <w:r w:rsidRPr="004A5227">
        <w:rPr>
          <w:b w:val="0"/>
          <w:noProof/>
          <w:sz w:val="18"/>
        </w:rPr>
      </w:r>
      <w:r w:rsidRPr="004A5227">
        <w:rPr>
          <w:b w:val="0"/>
          <w:noProof/>
          <w:sz w:val="18"/>
        </w:rPr>
        <w:fldChar w:fldCharType="separate"/>
      </w:r>
      <w:r w:rsidR="007754D5">
        <w:rPr>
          <w:b w:val="0"/>
          <w:noProof/>
          <w:sz w:val="18"/>
        </w:rPr>
        <w:t>33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52</w:t>
      </w:r>
      <w:r w:rsidRPr="004A5227">
        <w:rPr>
          <w:noProof/>
        </w:rPr>
        <w:tab/>
        <w:t>Transfer of codes</w:t>
      </w:r>
      <w:r w:rsidRPr="004A5227">
        <w:rPr>
          <w:noProof/>
        </w:rPr>
        <w:tab/>
      </w:r>
      <w:r w:rsidRPr="004A5227">
        <w:rPr>
          <w:noProof/>
        </w:rPr>
        <w:fldChar w:fldCharType="begin"/>
      </w:r>
      <w:r w:rsidRPr="004A5227">
        <w:rPr>
          <w:noProof/>
        </w:rPr>
        <w:instrText xml:space="preserve"> PAGEREF _Toc413419077 \h </w:instrText>
      </w:r>
      <w:r w:rsidRPr="004A5227">
        <w:rPr>
          <w:noProof/>
        </w:rPr>
      </w:r>
      <w:r w:rsidRPr="004A5227">
        <w:rPr>
          <w:noProof/>
        </w:rPr>
        <w:fldChar w:fldCharType="separate"/>
      </w:r>
      <w:r w:rsidR="007754D5">
        <w:rPr>
          <w:noProof/>
        </w:rPr>
        <w:t>33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53</w:t>
      </w:r>
      <w:r w:rsidRPr="004A5227">
        <w:rPr>
          <w:noProof/>
        </w:rPr>
        <w:tab/>
        <w:t>Withdrawal of codes</w:t>
      </w:r>
      <w:r w:rsidRPr="004A5227">
        <w:rPr>
          <w:noProof/>
        </w:rPr>
        <w:tab/>
      </w:r>
      <w:r w:rsidRPr="004A5227">
        <w:rPr>
          <w:noProof/>
        </w:rPr>
        <w:fldChar w:fldCharType="begin"/>
      </w:r>
      <w:r w:rsidRPr="004A5227">
        <w:rPr>
          <w:noProof/>
        </w:rPr>
        <w:instrText xml:space="preserve"> PAGEREF _Toc413419078 \h </w:instrText>
      </w:r>
      <w:r w:rsidRPr="004A5227">
        <w:rPr>
          <w:noProof/>
        </w:rPr>
      </w:r>
      <w:r w:rsidRPr="004A5227">
        <w:rPr>
          <w:noProof/>
        </w:rPr>
        <w:fldChar w:fldCharType="separate"/>
      </w:r>
      <w:r w:rsidR="007754D5">
        <w:rPr>
          <w:noProof/>
        </w:rPr>
        <w:t>33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54</w:t>
      </w:r>
      <w:r w:rsidRPr="004A5227">
        <w:rPr>
          <w:noProof/>
        </w:rPr>
        <w:tab/>
        <w:t>Application to surrender codes</w:t>
      </w:r>
      <w:r w:rsidRPr="004A5227">
        <w:rPr>
          <w:noProof/>
        </w:rPr>
        <w:tab/>
      </w:r>
      <w:r w:rsidRPr="004A5227">
        <w:rPr>
          <w:noProof/>
        </w:rPr>
        <w:fldChar w:fldCharType="begin"/>
      </w:r>
      <w:r w:rsidRPr="004A5227">
        <w:rPr>
          <w:noProof/>
        </w:rPr>
        <w:instrText xml:space="preserve"> PAGEREF _Toc413419079 \h </w:instrText>
      </w:r>
      <w:r w:rsidRPr="004A5227">
        <w:rPr>
          <w:noProof/>
        </w:rPr>
      </w:r>
      <w:r w:rsidRPr="004A5227">
        <w:rPr>
          <w:noProof/>
        </w:rPr>
        <w:fldChar w:fldCharType="separate"/>
      </w:r>
      <w:r w:rsidR="007754D5">
        <w:rPr>
          <w:noProof/>
        </w:rPr>
        <w:t>33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55</w:t>
      </w:r>
      <w:r w:rsidRPr="004A5227">
        <w:rPr>
          <w:noProof/>
        </w:rPr>
        <w:tab/>
        <w:t>Decision on application to surrender codes</w:t>
      </w:r>
      <w:r w:rsidRPr="004A5227">
        <w:rPr>
          <w:noProof/>
        </w:rPr>
        <w:tab/>
      </w:r>
      <w:r w:rsidRPr="004A5227">
        <w:rPr>
          <w:noProof/>
        </w:rPr>
        <w:fldChar w:fldCharType="begin"/>
      </w:r>
      <w:r w:rsidRPr="004A5227">
        <w:rPr>
          <w:noProof/>
        </w:rPr>
        <w:instrText xml:space="preserve"> PAGEREF _Toc413419080 \h </w:instrText>
      </w:r>
      <w:r w:rsidRPr="004A5227">
        <w:rPr>
          <w:noProof/>
        </w:rPr>
      </w:r>
      <w:r w:rsidRPr="004A5227">
        <w:rPr>
          <w:noProof/>
        </w:rPr>
        <w:fldChar w:fldCharType="separate"/>
      </w:r>
      <w:r w:rsidR="007754D5">
        <w:rPr>
          <w:noProof/>
        </w:rPr>
        <w:t>34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56</w:t>
      </w:r>
      <w:r w:rsidRPr="004A5227">
        <w:rPr>
          <w:noProof/>
        </w:rPr>
        <w:tab/>
        <w:t>Notice of decision</w:t>
      </w:r>
      <w:r w:rsidRPr="004A5227">
        <w:rPr>
          <w:noProof/>
        </w:rPr>
        <w:tab/>
      </w:r>
      <w:r w:rsidRPr="004A5227">
        <w:rPr>
          <w:noProof/>
        </w:rPr>
        <w:fldChar w:fldCharType="begin"/>
      </w:r>
      <w:r w:rsidRPr="004A5227">
        <w:rPr>
          <w:noProof/>
        </w:rPr>
        <w:instrText xml:space="preserve"> PAGEREF _Toc413419081 \h </w:instrText>
      </w:r>
      <w:r w:rsidRPr="004A5227">
        <w:rPr>
          <w:noProof/>
        </w:rPr>
      </w:r>
      <w:r w:rsidRPr="004A5227">
        <w:rPr>
          <w:noProof/>
        </w:rPr>
        <w:fldChar w:fldCharType="separate"/>
      </w:r>
      <w:r w:rsidR="007754D5">
        <w:rPr>
          <w:noProof/>
        </w:rPr>
        <w:t>34</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6—Allocation of numbers</w:t>
      </w:r>
      <w:r w:rsidRPr="004A5227">
        <w:rPr>
          <w:b w:val="0"/>
          <w:noProof/>
          <w:sz w:val="18"/>
        </w:rPr>
        <w:tab/>
      </w:r>
      <w:r w:rsidRPr="004A5227">
        <w:rPr>
          <w:b w:val="0"/>
          <w:noProof/>
          <w:sz w:val="18"/>
        </w:rPr>
        <w:fldChar w:fldCharType="begin"/>
      </w:r>
      <w:r w:rsidRPr="004A5227">
        <w:rPr>
          <w:b w:val="0"/>
          <w:noProof/>
          <w:sz w:val="18"/>
        </w:rPr>
        <w:instrText xml:space="preserve"> PAGEREF _Toc413419082 \h </w:instrText>
      </w:r>
      <w:r w:rsidRPr="004A5227">
        <w:rPr>
          <w:b w:val="0"/>
          <w:noProof/>
          <w:sz w:val="18"/>
        </w:rPr>
      </w:r>
      <w:r w:rsidRPr="004A5227">
        <w:rPr>
          <w:b w:val="0"/>
          <w:noProof/>
          <w:sz w:val="18"/>
        </w:rPr>
        <w:fldChar w:fldCharType="separate"/>
      </w:r>
      <w:r w:rsidR="007754D5">
        <w:rPr>
          <w:b w:val="0"/>
          <w:noProof/>
          <w:sz w:val="18"/>
        </w:rPr>
        <w:t>35</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1—Numbers able to be allocated</w:t>
      </w:r>
      <w:r w:rsidRPr="004A5227">
        <w:rPr>
          <w:b w:val="0"/>
          <w:noProof/>
          <w:sz w:val="18"/>
        </w:rPr>
        <w:tab/>
      </w:r>
      <w:r w:rsidRPr="004A5227">
        <w:rPr>
          <w:b w:val="0"/>
          <w:noProof/>
          <w:sz w:val="18"/>
        </w:rPr>
        <w:fldChar w:fldCharType="begin"/>
      </w:r>
      <w:r w:rsidRPr="004A5227">
        <w:rPr>
          <w:b w:val="0"/>
          <w:noProof/>
          <w:sz w:val="18"/>
        </w:rPr>
        <w:instrText xml:space="preserve"> PAGEREF _Toc413419083 \h </w:instrText>
      </w:r>
      <w:r w:rsidRPr="004A5227">
        <w:rPr>
          <w:b w:val="0"/>
          <w:noProof/>
          <w:sz w:val="18"/>
        </w:rPr>
      </w:r>
      <w:r w:rsidRPr="004A5227">
        <w:rPr>
          <w:b w:val="0"/>
          <w:noProof/>
          <w:sz w:val="18"/>
        </w:rPr>
        <w:fldChar w:fldCharType="separate"/>
      </w:r>
      <w:r w:rsidR="007754D5">
        <w:rPr>
          <w:b w:val="0"/>
          <w:noProof/>
          <w:sz w:val="18"/>
        </w:rPr>
        <w:t>35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57</w:t>
      </w:r>
      <w:r w:rsidRPr="004A5227">
        <w:rPr>
          <w:noProof/>
        </w:rPr>
        <w:tab/>
        <w:t>ACMA to list numbers able to be allocated</w:t>
      </w:r>
      <w:r w:rsidRPr="004A5227">
        <w:rPr>
          <w:noProof/>
        </w:rPr>
        <w:tab/>
      </w:r>
      <w:r w:rsidRPr="004A5227">
        <w:rPr>
          <w:noProof/>
        </w:rPr>
        <w:fldChar w:fldCharType="begin"/>
      </w:r>
      <w:r w:rsidRPr="004A5227">
        <w:rPr>
          <w:noProof/>
        </w:rPr>
        <w:instrText xml:space="preserve"> PAGEREF _Toc413419084 \h </w:instrText>
      </w:r>
      <w:r w:rsidRPr="004A5227">
        <w:rPr>
          <w:noProof/>
        </w:rPr>
      </w:r>
      <w:r w:rsidRPr="004A5227">
        <w:rPr>
          <w:noProof/>
        </w:rPr>
        <w:fldChar w:fldCharType="separate"/>
      </w:r>
      <w:r w:rsidR="007754D5">
        <w:rPr>
          <w:noProof/>
        </w:rPr>
        <w:t>35</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2—Standard procedure for allocation of numbers</w:t>
      </w:r>
      <w:r w:rsidRPr="004A5227">
        <w:rPr>
          <w:b w:val="0"/>
          <w:noProof/>
          <w:sz w:val="18"/>
        </w:rPr>
        <w:tab/>
      </w:r>
      <w:r w:rsidRPr="004A5227">
        <w:rPr>
          <w:b w:val="0"/>
          <w:noProof/>
          <w:sz w:val="18"/>
        </w:rPr>
        <w:fldChar w:fldCharType="begin"/>
      </w:r>
      <w:r w:rsidRPr="004A5227">
        <w:rPr>
          <w:b w:val="0"/>
          <w:noProof/>
          <w:sz w:val="18"/>
        </w:rPr>
        <w:instrText xml:space="preserve"> PAGEREF _Toc413419085 \h </w:instrText>
      </w:r>
      <w:r w:rsidRPr="004A5227">
        <w:rPr>
          <w:b w:val="0"/>
          <w:noProof/>
          <w:sz w:val="18"/>
        </w:rPr>
      </w:r>
      <w:r w:rsidRPr="004A5227">
        <w:rPr>
          <w:b w:val="0"/>
          <w:noProof/>
          <w:sz w:val="18"/>
        </w:rPr>
        <w:fldChar w:fldCharType="separate"/>
      </w:r>
      <w:r w:rsidR="007754D5">
        <w:rPr>
          <w:b w:val="0"/>
          <w:noProof/>
          <w:sz w:val="18"/>
        </w:rPr>
        <w:t>36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58</w:t>
      </w:r>
      <w:r w:rsidRPr="004A5227">
        <w:rPr>
          <w:noProof/>
        </w:rPr>
        <w:tab/>
        <w:t>Application for allocation of numbers</w:t>
      </w:r>
      <w:r w:rsidRPr="004A5227">
        <w:rPr>
          <w:noProof/>
        </w:rPr>
        <w:tab/>
      </w:r>
      <w:r w:rsidRPr="004A5227">
        <w:rPr>
          <w:noProof/>
        </w:rPr>
        <w:fldChar w:fldCharType="begin"/>
      </w:r>
      <w:r w:rsidRPr="004A5227">
        <w:rPr>
          <w:noProof/>
        </w:rPr>
        <w:instrText xml:space="preserve"> PAGEREF _Toc413419086 \h </w:instrText>
      </w:r>
      <w:r w:rsidRPr="004A5227">
        <w:rPr>
          <w:noProof/>
        </w:rPr>
      </w:r>
      <w:r w:rsidRPr="004A5227">
        <w:rPr>
          <w:noProof/>
        </w:rPr>
        <w:fldChar w:fldCharType="separate"/>
      </w:r>
      <w:r w:rsidR="007754D5">
        <w:rPr>
          <w:noProof/>
        </w:rPr>
        <w:t>36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59</w:t>
      </w:r>
      <w:r w:rsidRPr="004A5227">
        <w:rPr>
          <w:noProof/>
        </w:rPr>
        <w:tab/>
        <w:t>Application for allocation of numbers—additional requirements</w:t>
      </w:r>
      <w:r w:rsidRPr="004A5227">
        <w:rPr>
          <w:noProof/>
        </w:rPr>
        <w:tab/>
      </w:r>
      <w:r w:rsidRPr="004A5227">
        <w:rPr>
          <w:noProof/>
        </w:rPr>
        <w:fldChar w:fldCharType="begin"/>
      </w:r>
      <w:r w:rsidRPr="004A5227">
        <w:rPr>
          <w:noProof/>
        </w:rPr>
        <w:instrText xml:space="preserve"> PAGEREF _Toc413419087 \h </w:instrText>
      </w:r>
      <w:r w:rsidRPr="004A5227">
        <w:rPr>
          <w:noProof/>
        </w:rPr>
      </w:r>
      <w:r w:rsidRPr="004A5227">
        <w:rPr>
          <w:noProof/>
        </w:rPr>
        <w:fldChar w:fldCharType="separate"/>
      </w:r>
      <w:r w:rsidR="007754D5">
        <w:rPr>
          <w:noProof/>
        </w:rPr>
        <w:t>36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60</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_Toc413419088 \h </w:instrText>
      </w:r>
      <w:r w:rsidRPr="004A5227">
        <w:rPr>
          <w:noProof/>
        </w:rPr>
      </w:r>
      <w:r w:rsidRPr="004A5227">
        <w:rPr>
          <w:noProof/>
        </w:rPr>
        <w:fldChar w:fldCharType="separate"/>
      </w:r>
      <w:r w:rsidR="007754D5">
        <w:rPr>
          <w:noProof/>
        </w:rPr>
        <w:t>37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61</w:t>
      </w:r>
      <w:r w:rsidRPr="004A5227">
        <w:rPr>
          <w:noProof/>
        </w:rPr>
        <w:tab/>
        <w:t>Allocation of numbers</w:t>
      </w:r>
      <w:r w:rsidRPr="004A5227">
        <w:rPr>
          <w:noProof/>
        </w:rPr>
        <w:tab/>
      </w:r>
      <w:r w:rsidRPr="004A5227">
        <w:rPr>
          <w:noProof/>
        </w:rPr>
        <w:fldChar w:fldCharType="begin"/>
      </w:r>
      <w:r w:rsidRPr="004A5227">
        <w:rPr>
          <w:noProof/>
        </w:rPr>
        <w:instrText xml:space="preserve"> PAGEREF _Toc413419089 \h </w:instrText>
      </w:r>
      <w:r w:rsidRPr="004A5227">
        <w:rPr>
          <w:noProof/>
        </w:rPr>
      </w:r>
      <w:r w:rsidRPr="004A5227">
        <w:rPr>
          <w:noProof/>
        </w:rPr>
        <w:fldChar w:fldCharType="separate"/>
      </w:r>
      <w:r w:rsidR="007754D5">
        <w:rPr>
          <w:noProof/>
        </w:rPr>
        <w:t>38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lastRenderedPageBreak/>
        <w:t>62</w:t>
      </w:r>
      <w:r w:rsidRPr="004A5227">
        <w:rPr>
          <w:noProof/>
        </w:rPr>
        <w:tab/>
        <w:t>Particular matters relating to allocation of freephone, local rate and premium rate numbers</w:t>
      </w:r>
      <w:r w:rsidRPr="004A5227">
        <w:rPr>
          <w:noProof/>
        </w:rPr>
        <w:tab/>
      </w:r>
      <w:r w:rsidRPr="004A5227">
        <w:rPr>
          <w:noProof/>
        </w:rPr>
        <w:fldChar w:fldCharType="begin"/>
      </w:r>
      <w:r w:rsidRPr="004A5227">
        <w:rPr>
          <w:noProof/>
        </w:rPr>
        <w:instrText xml:space="preserve"> PAGEREF _Toc413419090 \h </w:instrText>
      </w:r>
      <w:r w:rsidRPr="004A5227">
        <w:rPr>
          <w:noProof/>
        </w:rPr>
      </w:r>
      <w:r w:rsidRPr="004A5227">
        <w:rPr>
          <w:noProof/>
        </w:rPr>
        <w:fldChar w:fldCharType="separate"/>
      </w:r>
      <w:r w:rsidR="007754D5">
        <w:rPr>
          <w:noProof/>
        </w:rPr>
        <w:t>39</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3—Application for allocation of numbers in special circumstances</w:t>
      </w:r>
      <w:r w:rsidRPr="004A5227">
        <w:rPr>
          <w:b w:val="0"/>
          <w:noProof/>
          <w:sz w:val="18"/>
        </w:rPr>
        <w:tab/>
      </w:r>
      <w:r w:rsidRPr="004A5227">
        <w:rPr>
          <w:b w:val="0"/>
          <w:noProof/>
          <w:sz w:val="18"/>
        </w:rPr>
        <w:fldChar w:fldCharType="begin"/>
      </w:r>
      <w:r w:rsidRPr="004A5227">
        <w:rPr>
          <w:b w:val="0"/>
          <w:noProof/>
          <w:sz w:val="18"/>
        </w:rPr>
        <w:instrText xml:space="preserve"> PAGEREF _Toc413419091 \h </w:instrText>
      </w:r>
      <w:r w:rsidRPr="004A5227">
        <w:rPr>
          <w:b w:val="0"/>
          <w:noProof/>
          <w:sz w:val="18"/>
        </w:rPr>
      </w:r>
      <w:r w:rsidRPr="004A5227">
        <w:rPr>
          <w:b w:val="0"/>
          <w:noProof/>
          <w:sz w:val="18"/>
        </w:rPr>
        <w:fldChar w:fldCharType="separate"/>
      </w:r>
      <w:r w:rsidR="007754D5">
        <w:rPr>
          <w:b w:val="0"/>
          <w:noProof/>
          <w:sz w:val="18"/>
        </w:rPr>
        <w:t>40</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63</w:t>
      </w:r>
      <w:r w:rsidRPr="004A5227">
        <w:rPr>
          <w:noProof/>
        </w:rPr>
        <w:tab/>
        <w:t>Application for allocation of numbers</w:t>
      </w:r>
      <w:r w:rsidRPr="004A5227">
        <w:rPr>
          <w:noProof/>
        </w:rPr>
        <w:tab/>
      </w:r>
      <w:r w:rsidRPr="004A5227">
        <w:rPr>
          <w:noProof/>
        </w:rPr>
        <w:fldChar w:fldCharType="begin"/>
      </w:r>
      <w:r w:rsidRPr="004A5227">
        <w:rPr>
          <w:noProof/>
        </w:rPr>
        <w:instrText xml:space="preserve"> PAGEREF _Toc413419092 \h </w:instrText>
      </w:r>
      <w:r w:rsidRPr="004A5227">
        <w:rPr>
          <w:noProof/>
        </w:rPr>
      </w:r>
      <w:r w:rsidRPr="004A5227">
        <w:rPr>
          <w:noProof/>
        </w:rPr>
        <w:fldChar w:fldCharType="separate"/>
      </w:r>
      <w:r w:rsidR="007754D5">
        <w:rPr>
          <w:noProof/>
        </w:rPr>
        <w:t>40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64</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_Toc413419093 \h </w:instrText>
      </w:r>
      <w:r w:rsidRPr="004A5227">
        <w:rPr>
          <w:noProof/>
        </w:rPr>
      </w:r>
      <w:r w:rsidRPr="004A5227">
        <w:rPr>
          <w:noProof/>
        </w:rPr>
        <w:fldChar w:fldCharType="separate"/>
      </w:r>
      <w:r w:rsidR="007754D5">
        <w:rPr>
          <w:noProof/>
        </w:rPr>
        <w:t>40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65</w:t>
      </w:r>
      <w:r w:rsidRPr="004A5227">
        <w:rPr>
          <w:noProof/>
        </w:rPr>
        <w:tab/>
        <w:t>Matters to take into account</w:t>
      </w:r>
      <w:r w:rsidRPr="004A5227">
        <w:rPr>
          <w:noProof/>
        </w:rPr>
        <w:tab/>
      </w:r>
      <w:r w:rsidRPr="004A5227">
        <w:rPr>
          <w:noProof/>
        </w:rPr>
        <w:fldChar w:fldCharType="begin"/>
      </w:r>
      <w:r w:rsidRPr="004A5227">
        <w:rPr>
          <w:noProof/>
        </w:rPr>
        <w:instrText xml:space="preserve"> PAGEREF _Toc413419094 \h </w:instrText>
      </w:r>
      <w:r w:rsidRPr="004A5227">
        <w:rPr>
          <w:noProof/>
        </w:rPr>
      </w:r>
      <w:r w:rsidRPr="004A5227">
        <w:rPr>
          <w:noProof/>
        </w:rPr>
        <w:fldChar w:fldCharType="separate"/>
      </w:r>
      <w:r w:rsidR="007754D5">
        <w:rPr>
          <w:noProof/>
        </w:rPr>
        <w:t>41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66</w:t>
      </w:r>
      <w:r w:rsidRPr="004A5227">
        <w:rPr>
          <w:noProof/>
        </w:rPr>
        <w:tab/>
        <w:t>ACMA may ask for further information</w:t>
      </w:r>
      <w:r w:rsidRPr="004A5227">
        <w:rPr>
          <w:noProof/>
        </w:rPr>
        <w:tab/>
      </w:r>
      <w:r w:rsidRPr="004A5227">
        <w:rPr>
          <w:noProof/>
        </w:rPr>
        <w:fldChar w:fldCharType="begin"/>
      </w:r>
      <w:r w:rsidRPr="004A5227">
        <w:rPr>
          <w:noProof/>
        </w:rPr>
        <w:instrText xml:space="preserve"> PAGEREF _Toc413419095 \h </w:instrText>
      </w:r>
      <w:r w:rsidRPr="004A5227">
        <w:rPr>
          <w:noProof/>
        </w:rPr>
      </w:r>
      <w:r w:rsidRPr="004A5227">
        <w:rPr>
          <w:noProof/>
        </w:rPr>
        <w:fldChar w:fldCharType="separate"/>
      </w:r>
      <w:r w:rsidR="007754D5">
        <w:rPr>
          <w:noProof/>
        </w:rPr>
        <w:t>41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67</w:t>
      </w:r>
      <w:r w:rsidRPr="004A5227">
        <w:rPr>
          <w:noProof/>
        </w:rPr>
        <w:tab/>
        <w:t>Notice that application has not been approved</w:t>
      </w:r>
      <w:r w:rsidRPr="004A5227">
        <w:rPr>
          <w:noProof/>
        </w:rPr>
        <w:tab/>
      </w:r>
      <w:r w:rsidRPr="004A5227">
        <w:rPr>
          <w:noProof/>
        </w:rPr>
        <w:fldChar w:fldCharType="begin"/>
      </w:r>
      <w:r w:rsidRPr="004A5227">
        <w:rPr>
          <w:noProof/>
        </w:rPr>
        <w:instrText xml:space="preserve"> PAGEREF _Toc413419096 \h </w:instrText>
      </w:r>
      <w:r w:rsidRPr="004A5227">
        <w:rPr>
          <w:noProof/>
        </w:rPr>
      </w:r>
      <w:r w:rsidRPr="004A5227">
        <w:rPr>
          <w:noProof/>
        </w:rPr>
        <w:fldChar w:fldCharType="separate"/>
      </w:r>
      <w:r w:rsidR="007754D5">
        <w:rPr>
          <w:noProof/>
        </w:rPr>
        <w:t>42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68</w:t>
      </w:r>
      <w:r w:rsidRPr="004A5227">
        <w:rPr>
          <w:noProof/>
        </w:rPr>
        <w:tab/>
        <w:t>Allocation of numbers</w:t>
      </w:r>
      <w:r w:rsidRPr="004A5227">
        <w:rPr>
          <w:noProof/>
        </w:rPr>
        <w:tab/>
      </w:r>
      <w:r w:rsidRPr="004A5227">
        <w:rPr>
          <w:noProof/>
        </w:rPr>
        <w:fldChar w:fldCharType="begin"/>
      </w:r>
      <w:r w:rsidRPr="004A5227">
        <w:rPr>
          <w:noProof/>
        </w:rPr>
        <w:instrText xml:space="preserve"> PAGEREF _Toc413419097 \h </w:instrText>
      </w:r>
      <w:r w:rsidRPr="004A5227">
        <w:rPr>
          <w:noProof/>
        </w:rPr>
      </w:r>
      <w:r w:rsidRPr="004A5227">
        <w:rPr>
          <w:noProof/>
        </w:rPr>
        <w:fldChar w:fldCharType="separate"/>
      </w:r>
      <w:r w:rsidR="007754D5">
        <w:rPr>
          <w:noProof/>
        </w:rPr>
        <w:t>42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69</w:t>
      </w:r>
      <w:r w:rsidRPr="004A5227">
        <w:rPr>
          <w:noProof/>
        </w:rPr>
        <w:tab/>
        <w:t>Particular matters relating to allocation of freephone, local rate and premium rate numbers</w:t>
      </w:r>
      <w:r w:rsidRPr="004A5227">
        <w:rPr>
          <w:noProof/>
        </w:rPr>
        <w:tab/>
      </w:r>
      <w:r w:rsidRPr="004A5227">
        <w:rPr>
          <w:noProof/>
        </w:rPr>
        <w:fldChar w:fldCharType="begin"/>
      </w:r>
      <w:r w:rsidRPr="004A5227">
        <w:rPr>
          <w:noProof/>
        </w:rPr>
        <w:instrText xml:space="preserve"> PAGEREF _Toc413419098 \h </w:instrText>
      </w:r>
      <w:r w:rsidRPr="004A5227">
        <w:rPr>
          <w:noProof/>
        </w:rPr>
      </w:r>
      <w:r w:rsidRPr="004A5227">
        <w:rPr>
          <w:noProof/>
        </w:rPr>
        <w:fldChar w:fldCharType="separate"/>
      </w:r>
      <w:r w:rsidR="007754D5">
        <w:rPr>
          <w:noProof/>
        </w:rPr>
        <w:t>42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4—Variation of standard zone units to which geographic numbers are allocated</w:t>
      </w:r>
      <w:r w:rsidRPr="004A5227">
        <w:rPr>
          <w:b w:val="0"/>
          <w:noProof/>
          <w:sz w:val="18"/>
        </w:rPr>
        <w:tab/>
      </w:r>
      <w:r w:rsidRPr="004A5227">
        <w:rPr>
          <w:b w:val="0"/>
          <w:noProof/>
          <w:sz w:val="18"/>
        </w:rPr>
        <w:fldChar w:fldCharType="begin"/>
      </w:r>
      <w:r w:rsidRPr="004A5227">
        <w:rPr>
          <w:b w:val="0"/>
          <w:noProof/>
          <w:sz w:val="18"/>
        </w:rPr>
        <w:instrText xml:space="preserve"> PAGEREF _Toc413419099 \h </w:instrText>
      </w:r>
      <w:r w:rsidRPr="004A5227">
        <w:rPr>
          <w:b w:val="0"/>
          <w:noProof/>
          <w:sz w:val="18"/>
        </w:rPr>
      </w:r>
      <w:r w:rsidRPr="004A5227">
        <w:rPr>
          <w:b w:val="0"/>
          <w:noProof/>
          <w:sz w:val="18"/>
        </w:rPr>
        <w:fldChar w:fldCharType="separate"/>
      </w:r>
      <w:r w:rsidR="007754D5">
        <w:rPr>
          <w:b w:val="0"/>
          <w:noProof/>
          <w:sz w:val="18"/>
        </w:rPr>
        <w:t>44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70</w:t>
      </w:r>
      <w:r w:rsidRPr="004A5227">
        <w:rPr>
          <w:noProof/>
        </w:rPr>
        <w:tab/>
        <w:t>Application by carriage service provider for variation of allocation</w:t>
      </w:r>
      <w:r w:rsidRPr="004A5227">
        <w:rPr>
          <w:noProof/>
        </w:rPr>
        <w:tab/>
      </w:r>
      <w:r w:rsidRPr="004A5227">
        <w:rPr>
          <w:noProof/>
        </w:rPr>
        <w:fldChar w:fldCharType="begin"/>
      </w:r>
      <w:r w:rsidRPr="004A5227">
        <w:rPr>
          <w:noProof/>
        </w:rPr>
        <w:instrText xml:space="preserve"> PAGEREF _Toc413419100 \h </w:instrText>
      </w:r>
      <w:r w:rsidRPr="004A5227">
        <w:rPr>
          <w:noProof/>
        </w:rPr>
      </w:r>
      <w:r w:rsidRPr="004A5227">
        <w:rPr>
          <w:noProof/>
        </w:rPr>
        <w:fldChar w:fldCharType="separate"/>
      </w:r>
      <w:r w:rsidR="007754D5">
        <w:rPr>
          <w:noProof/>
        </w:rPr>
        <w:t>44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71</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_Toc413419101 \h </w:instrText>
      </w:r>
      <w:r w:rsidRPr="004A5227">
        <w:rPr>
          <w:noProof/>
        </w:rPr>
      </w:r>
      <w:r w:rsidRPr="004A5227">
        <w:rPr>
          <w:noProof/>
        </w:rPr>
        <w:fldChar w:fldCharType="separate"/>
      </w:r>
      <w:r w:rsidR="007754D5">
        <w:rPr>
          <w:noProof/>
        </w:rPr>
        <w:t>44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72</w:t>
      </w:r>
      <w:r w:rsidRPr="004A5227">
        <w:rPr>
          <w:noProof/>
        </w:rPr>
        <w:tab/>
        <w:t>Request for further information</w:t>
      </w:r>
      <w:r w:rsidRPr="004A5227">
        <w:rPr>
          <w:noProof/>
        </w:rPr>
        <w:tab/>
      </w:r>
      <w:r w:rsidRPr="004A5227">
        <w:rPr>
          <w:noProof/>
        </w:rPr>
        <w:fldChar w:fldCharType="begin"/>
      </w:r>
      <w:r w:rsidRPr="004A5227">
        <w:rPr>
          <w:noProof/>
        </w:rPr>
        <w:instrText xml:space="preserve"> PAGEREF _Toc413419102 \h </w:instrText>
      </w:r>
      <w:r w:rsidRPr="004A5227">
        <w:rPr>
          <w:noProof/>
        </w:rPr>
      </w:r>
      <w:r w:rsidRPr="004A5227">
        <w:rPr>
          <w:noProof/>
        </w:rPr>
        <w:fldChar w:fldCharType="separate"/>
      </w:r>
      <w:r w:rsidR="007754D5">
        <w:rPr>
          <w:noProof/>
        </w:rPr>
        <w:t>45</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7—Special rules about smartnumbers</w:t>
      </w:r>
      <w:r w:rsidRPr="004A5227">
        <w:rPr>
          <w:b w:val="0"/>
          <w:noProof/>
          <w:sz w:val="18"/>
        </w:rPr>
        <w:tab/>
      </w:r>
      <w:r w:rsidRPr="004A5227">
        <w:rPr>
          <w:b w:val="0"/>
          <w:noProof/>
          <w:sz w:val="18"/>
        </w:rPr>
        <w:fldChar w:fldCharType="begin"/>
      </w:r>
      <w:r w:rsidRPr="004A5227">
        <w:rPr>
          <w:b w:val="0"/>
          <w:noProof/>
          <w:sz w:val="18"/>
        </w:rPr>
        <w:instrText xml:space="preserve"> PAGEREF _Toc413419103 \h </w:instrText>
      </w:r>
      <w:r w:rsidRPr="004A5227">
        <w:rPr>
          <w:b w:val="0"/>
          <w:noProof/>
          <w:sz w:val="18"/>
        </w:rPr>
      </w:r>
      <w:r w:rsidRPr="004A5227">
        <w:rPr>
          <w:b w:val="0"/>
          <w:noProof/>
          <w:sz w:val="18"/>
        </w:rPr>
        <w:fldChar w:fldCharType="separate"/>
      </w:r>
      <w:r w:rsidR="007754D5">
        <w:rPr>
          <w:b w:val="0"/>
          <w:noProof/>
          <w:sz w:val="18"/>
        </w:rPr>
        <w:t>46</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1—Special procedure for initial allocation of smartnumbers</w:t>
      </w:r>
      <w:r w:rsidRPr="004A5227">
        <w:rPr>
          <w:b w:val="0"/>
          <w:noProof/>
          <w:sz w:val="18"/>
        </w:rPr>
        <w:tab/>
      </w:r>
      <w:r w:rsidRPr="004A5227">
        <w:rPr>
          <w:b w:val="0"/>
          <w:noProof/>
          <w:sz w:val="18"/>
        </w:rPr>
        <w:fldChar w:fldCharType="begin"/>
      </w:r>
      <w:r w:rsidRPr="004A5227">
        <w:rPr>
          <w:b w:val="0"/>
          <w:noProof/>
          <w:sz w:val="18"/>
        </w:rPr>
        <w:instrText xml:space="preserve"> PAGEREF _Toc413419104 \h </w:instrText>
      </w:r>
      <w:r w:rsidRPr="004A5227">
        <w:rPr>
          <w:b w:val="0"/>
          <w:noProof/>
          <w:sz w:val="18"/>
        </w:rPr>
      </w:r>
      <w:r w:rsidRPr="004A5227">
        <w:rPr>
          <w:b w:val="0"/>
          <w:noProof/>
          <w:sz w:val="18"/>
        </w:rPr>
        <w:fldChar w:fldCharType="separate"/>
      </w:r>
      <w:r w:rsidR="007754D5">
        <w:rPr>
          <w:b w:val="0"/>
          <w:noProof/>
          <w:sz w:val="18"/>
        </w:rPr>
        <w:t>46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73</w:t>
      </w:r>
      <w:r w:rsidRPr="004A5227">
        <w:rPr>
          <w:noProof/>
        </w:rPr>
        <w:tab/>
        <w:t>Application for initial allocation of smartnumbers</w:t>
      </w:r>
      <w:r w:rsidRPr="004A5227">
        <w:rPr>
          <w:noProof/>
        </w:rPr>
        <w:tab/>
      </w:r>
      <w:r w:rsidRPr="004A5227">
        <w:rPr>
          <w:noProof/>
        </w:rPr>
        <w:fldChar w:fldCharType="begin"/>
      </w:r>
      <w:r w:rsidRPr="004A5227">
        <w:rPr>
          <w:noProof/>
        </w:rPr>
        <w:instrText xml:space="preserve"> PAGEREF _Toc413419105 \h </w:instrText>
      </w:r>
      <w:r w:rsidRPr="004A5227">
        <w:rPr>
          <w:noProof/>
        </w:rPr>
      </w:r>
      <w:r w:rsidRPr="004A5227">
        <w:rPr>
          <w:noProof/>
        </w:rPr>
        <w:fldChar w:fldCharType="separate"/>
      </w:r>
      <w:r w:rsidR="007754D5">
        <w:rPr>
          <w:noProof/>
        </w:rPr>
        <w:t>46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74</w:t>
      </w:r>
      <w:r w:rsidRPr="004A5227">
        <w:rPr>
          <w:noProof/>
        </w:rPr>
        <w:tab/>
        <w:t>Decision on application</w:t>
      </w:r>
      <w:r w:rsidRPr="004A5227">
        <w:rPr>
          <w:noProof/>
        </w:rPr>
        <w:tab/>
      </w:r>
      <w:r w:rsidRPr="004A5227">
        <w:rPr>
          <w:noProof/>
        </w:rPr>
        <w:fldChar w:fldCharType="begin"/>
      </w:r>
      <w:r w:rsidRPr="004A5227">
        <w:rPr>
          <w:noProof/>
        </w:rPr>
        <w:instrText xml:space="preserve"> PAGEREF _Toc413419106 \h </w:instrText>
      </w:r>
      <w:r w:rsidRPr="004A5227">
        <w:rPr>
          <w:noProof/>
        </w:rPr>
      </w:r>
      <w:r w:rsidRPr="004A5227">
        <w:rPr>
          <w:noProof/>
        </w:rPr>
        <w:fldChar w:fldCharType="separate"/>
      </w:r>
      <w:r w:rsidR="007754D5">
        <w:rPr>
          <w:noProof/>
        </w:rPr>
        <w:t>46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75</w:t>
      </w:r>
      <w:r w:rsidRPr="004A5227">
        <w:rPr>
          <w:noProof/>
        </w:rPr>
        <w:tab/>
        <w:t>Initial allocation of smartnumbers</w:t>
      </w:r>
      <w:r w:rsidRPr="004A5227">
        <w:rPr>
          <w:noProof/>
        </w:rPr>
        <w:tab/>
      </w:r>
      <w:r w:rsidRPr="004A5227">
        <w:rPr>
          <w:noProof/>
        </w:rPr>
        <w:fldChar w:fldCharType="begin"/>
      </w:r>
      <w:r w:rsidRPr="004A5227">
        <w:rPr>
          <w:noProof/>
        </w:rPr>
        <w:instrText xml:space="preserve"> PAGEREF _Toc413419107 \h </w:instrText>
      </w:r>
      <w:r w:rsidRPr="004A5227">
        <w:rPr>
          <w:noProof/>
        </w:rPr>
      </w:r>
      <w:r w:rsidRPr="004A5227">
        <w:rPr>
          <w:noProof/>
        </w:rPr>
        <w:fldChar w:fldCharType="separate"/>
      </w:r>
      <w:r w:rsidR="007754D5">
        <w:rPr>
          <w:noProof/>
        </w:rPr>
        <w:t>47</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2—Enhanced rights of use</w:t>
      </w:r>
      <w:r w:rsidRPr="004A5227">
        <w:rPr>
          <w:b w:val="0"/>
          <w:noProof/>
          <w:sz w:val="18"/>
        </w:rPr>
        <w:tab/>
      </w:r>
      <w:r w:rsidRPr="004A5227">
        <w:rPr>
          <w:b w:val="0"/>
          <w:noProof/>
          <w:sz w:val="18"/>
        </w:rPr>
        <w:fldChar w:fldCharType="begin"/>
      </w:r>
      <w:r w:rsidRPr="004A5227">
        <w:rPr>
          <w:b w:val="0"/>
          <w:noProof/>
          <w:sz w:val="18"/>
        </w:rPr>
        <w:instrText xml:space="preserve"> PAGEREF _Toc413419108 \h </w:instrText>
      </w:r>
      <w:r w:rsidRPr="004A5227">
        <w:rPr>
          <w:b w:val="0"/>
          <w:noProof/>
          <w:sz w:val="18"/>
        </w:rPr>
      </w:r>
      <w:r w:rsidRPr="004A5227">
        <w:rPr>
          <w:b w:val="0"/>
          <w:noProof/>
          <w:sz w:val="18"/>
        </w:rPr>
        <w:fldChar w:fldCharType="separate"/>
      </w:r>
      <w:r w:rsidR="007754D5">
        <w:rPr>
          <w:b w:val="0"/>
          <w:noProof/>
          <w:sz w:val="18"/>
        </w:rPr>
        <w:t>48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76</w:t>
      </w:r>
      <w:r w:rsidRPr="004A5227">
        <w:rPr>
          <w:noProof/>
        </w:rPr>
        <w:tab/>
        <w:t>Enhanced rights of use</w:t>
      </w:r>
      <w:r w:rsidRPr="004A5227">
        <w:rPr>
          <w:noProof/>
        </w:rPr>
        <w:tab/>
      </w:r>
      <w:r w:rsidRPr="004A5227">
        <w:rPr>
          <w:noProof/>
        </w:rPr>
        <w:fldChar w:fldCharType="begin"/>
      </w:r>
      <w:r w:rsidRPr="004A5227">
        <w:rPr>
          <w:noProof/>
        </w:rPr>
        <w:instrText xml:space="preserve"> PAGEREF _Toc413419109 \h </w:instrText>
      </w:r>
      <w:r w:rsidRPr="004A5227">
        <w:rPr>
          <w:noProof/>
        </w:rPr>
      </w:r>
      <w:r w:rsidRPr="004A5227">
        <w:rPr>
          <w:noProof/>
        </w:rPr>
        <w:fldChar w:fldCharType="separate"/>
      </w:r>
      <w:r w:rsidR="007754D5">
        <w:rPr>
          <w:noProof/>
        </w:rPr>
        <w:t>48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77</w:t>
      </w:r>
      <w:r w:rsidRPr="004A5227">
        <w:rPr>
          <w:noProof/>
        </w:rPr>
        <w:tab/>
        <w:t>Reallocation and issue</w:t>
      </w:r>
      <w:r w:rsidRPr="004A5227">
        <w:rPr>
          <w:noProof/>
        </w:rPr>
        <w:tab/>
      </w:r>
      <w:r w:rsidRPr="004A5227">
        <w:rPr>
          <w:noProof/>
        </w:rPr>
        <w:fldChar w:fldCharType="begin"/>
      </w:r>
      <w:r w:rsidRPr="004A5227">
        <w:rPr>
          <w:noProof/>
        </w:rPr>
        <w:instrText xml:space="preserve"> PAGEREF _Toc413419110 \h </w:instrText>
      </w:r>
      <w:r w:rsidRPr="004A5227">
        <w:rPr>
          <w:noProof/>
        </w:rPr>
      </w:r>
      <w:r w:rsidRPr="004A5227">
        <w:rPr>
          <w:noProof/>
        </w:rPr>
        <w:fldChar w:fldCharType="separate"/>
      </w:r>
      <w:r w:rsidR="007754D5">
        <w:rPr>
          <w:noProof/>
        </w:rPr>
        <w:t>48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78</w:t>
      </w:r>
      <w:r w:rsidRPr="004A5227">
        <w:rPr>
          <w:noProof/>
        </w:rPr>
        <w:tab/>
        <w:t>Register of smartnumbers</w:t>
      </w:r>
      <w:r w:rsidRPr="004A5227">
        <w:rPr>
          <w:noProof/>
        </w:rPr>
        <w:tab/>
      </w:r>
      <w:r w:rsidRPr="004A5227">
        <w:rPr>
          <w:noProof/>
        </w:rPr>
        <w:fldChar w:fldCharType="begin"/>
      </w:r>
      <w:r w:rsidRPr="004A5227">
        <w:rPr>
          <w:noProof/>
        </w:rPr>
        <w:instrText xml:space="preserve"> PAGEREF _Toc413419111 \h </w:instrText>
      </w:r>
      <w:r w:rsidRPr="004A5227">
        <w:rPr>
          <w:noProof/>
        </w:rPr>
      </w:r>
      <w:r w:rsidRPr="004A5227">
        <w:rPr>
          <w:noProof/>
        </w:rPr>
        <w:fldChar w:fldCharType="separate"/>
      </w:r>
      <w:r w:rsidR="007754D5">
        <w:rPr>
          <w:noProof/>
        </w:rPr>
        <w:t>49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79</w:t>
      </w:r>
      <w:r w:rsidRPr="004A5227">
        <w:rPr>
          <w:noProof/>
        </w:rPr>
        <w:tab/>
        <w:t>Trading the enhanced rights of use and licensing a smartnumber</w:t>
      </w:r>
      <w:r w:rsidRPr="004A5227">
        <w:rPr>
          <w:noProof/>
        </w:rPr>
        <w:tab/>
      </w:r>
      <w:r w:rsidRPr="004A5227">
        <w:rPr>
          <w:noProof/>
        </w:rPr>
        <w:fldChar w:fldCharType="begin"/>
      </w:r>
      <w:r w:rsidRPr="004A5227">
        <w:rPr>
          <w:noProof/>
        </w:rPr>
        <w:instrText xml:space="preserve"> PAGEREF _Toc413419112 \h </w:instrText>
      </w:r>
      <w:r w:rsidRPr="004A5227">
        <w:rPr>
          <w:noProof/>
        </w:rPr>
      </w:r>
      <w:r w:rsidRPr="004A5227">
        <w:rPr>
          <w:noProof/>
        </w:rPr>
        <w:fldChar w:fldCharType="separate"/>
      </w:r>
      <w:r w:rsidR="007754D5">
        <w:rPr>
          <w:noProof/>
        </w:rPr>
        <w:t>49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80</w:t>
      </w:r>
      <w:r w:rsidRPr="004A5227">
        <w:rPr>
          <w:noProof/>
        </w:rPr>
        <w:tab/>
        <w:t>Application to surrender smartnumber</w:t>
      </w:r>
      <w:r w:rsidRPr="004A5227">
        <w:rPr>
          <w:noProof/>
        </w:rPr>
        <w:tab/>
      </w:r>
      <w:r w:rsidRPr="004A5227">
        <w:rPr>
          <w:noProof/>
        </w:rPr>
        <w:fldChar w:fldCharType="begin"/>
      </w:r>
      <w:r w:rsidRPr="004A5227">
        <w:rPr>
          <w:noProof/>
        </w:rPr>
        <w:instrText xml:space="preserve"> PAGEREF _Toc413419113 \h </w:instrText>
      </w:r>
      <w:r w:rsidRPr="004A5227">
        <w:rPr>
          <w:noProof/>
        </w:rPr>
      </w:r>
      <w:r w:rsidRPr="004A5227">
        <w:rPr>
          <w:noProof/>
        </w:rPr>
        <w:fldChar w:fldCharType="separate"/>
      </w:r>
      <w:r w:rsidR="007754D5">
        <w:rPr>
          <w:noProof/>
        </w:rPr>
        <w:t>50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81</w:t>
      </w:r>
      <w:r w:rsidRPr="004A5227">
        <w:rPr>
          <w:noProof/>
        </w:rPr>
        <w:tab/>
        <w:t>Decision on application to surrender smartnumber</w:t>
      </w:r>
      <w:r w:rsidRPr="004A5227">
        <w:rPr>
          <w:noProof/>
        </w:rPr>
        <w:tab/>
      </w:r>
      <w:r w:rsidRPr="004A5227">
        <w:rPr>
          <w:noProof/>
        </w:rPr>
        <w:fldChar w:fldCharType="begin"/>
      </w:r>
      <w:r w:rsidRPr="004A5227">
        <w:rPr>
          <w:noProof/>
        </w:rPr>
        <w:instrText xml:space="preserve"> PAGEREF _Toc413419114 \h </w:instrText>
      </w:r>
      <w:r w:rsidRPr="004A5227">
        <w:rPr>
          <w:noProof/>
        </w:rPr>
      </w:r>
      <w:r w:rsidRPr="004A5227">
        <w:rPr>
          <w:noProof/>
        </w:rPr>
        <w:fldChar w:fldCharType="separate"/>
      </w:r>
      <w:r w:rsidR="007754D5">
        <w:rPr>
          <w:noProof/>
        </w:rPr>
        <w:t>50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82</w:t>
      </w:r>
      <w:r w:rsidRPr="004A5227">
        <w:rPr>
          <w:noProof/>
        </w:rPr>
        <w:tab/>
        <w:t>Notice of decision</w:t>
      </w:r>
      <w:r w:rsidRPr="004A5227">
        <w:rPr>
          <w:noProof/>
        </w:rPr>
        <w:tab/>
      </w:r>
      <w:r w:rsidRPr="004A5227">
        <w:rPr>
          <w:noProof/>
        </w:rPr>
        <w:fldChar w:fldCharType="begin"/>
      </w:r>
      <w:r w:rsidRPr="004A5227">
        <w:rPr>
          <w:noProof/>
        </w:rPr>
        <w:instrText xml:space="preserve"> PAGEREF _Toc413419115 \h </w:instrText>
      </w:r>
      <w:r w:rsidRPr="004A5227">
        <w:rPr>
          <w:noProof/>
        </w:rPr>
      </w:r>
      <w:r w:rsidRPr="004A5227">
        <w:rPr>
          <w:noProof/>
        </w:rPr>
        <w:fldChar w:fldCharType="separate"/>
      </w:r>
      <w:r w:rsidR="007754D5">
        <w:rPr>
          <w:noProof/>
        </w:rPr>
        <w:t>50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83</w:t>
      </w:r>
      <w:r w:rsidRPr="004A5227">
        <w:rPr>
          <w:noProof/>
        </w:rPr>
        <w:tab/>
        <w:t>Waiver of enhanced rights of use</w:t>
      </w:r>
      <w:r w:rsidRPr="004A5227">
        <w:rPr>
          <w:noProof/>
        </w:rPr>
        <w:tab/>
      </w:r>
      <w:r w:rsidRPr="004A5227">
        <w:rPr>
          <w:noProof/>
        </w:rPr>
        <w:fldChar w:fldCharType="begin"/>
      </w:r>
      <w:r w:rsidRPr="004A5227">
        <w:rPr>
          <w:noProof/>
        </w:rPr>
        <w:instrText xml:space="preserve"> PAGEREF _Toc413419116 \h </w:instrText>
      </w:r>
      <w:r w:rsidRPr="004A5227">
        <w:rPr>
          <w:noProof/>
        </w:rPr>
      </w:r>
      <w:r w:rsidRPr="004A5227">
        <w:rPr>
          <w:noProof/>
        </w:rPr>
        <w:fldChar w:fldCharType="separate"/>
      </w:r>
      <w:r w:rsidR="007754D5">
        <w:rPr>
          <w:noProof/>
        </w:rPr>
        <w:t>50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84</w:t>
      </w:r>
      <w:r w:rsidRPr="004A5227">
        <w:rPr>
          <w:noProof/>
        </w:rPr>
        <w:tab/>
        <w:t>Cancellation of enhanced rights of use—false statement</w:t>
      </w:r>
      <w:r w:rsidRPr="004A5227">
        <w:rPr>
          <w:noProof/>
        </w:rPr>
        <w:tab/>
      </w:r>
      <w:r w:rsidRPr="004A5227">
        <w:rPr>
          <w:noProof/>
        </w:rPr>
        <w:fldChar w:fldCharType="begin"/>
      </w:r>
      <w:r w:rsidRPr="004A5227">
        <w:rPr>
          <w:noProof/>
        </w:rPr>
        <w:instrText xml:space="preserve"> PAGEREF _Toc413419117 \h </w:instrText>
      </w:r>
      <w:r w:rsidRPr="004A5227">
        <w:rPr>
          <w:noProof/>
        </w:rPr>
      </w:r>
      <w:r w:rsidRPr="004A5227">
        <w:rPr>
          <w:noProof/>
        </w:rPr>
        <w:fldChar w:fldCharType="separate"/>
      </w:r>
      <w:r w:rsidR="007754D5">
        <w:rPr>
          <w:noProof/>
        </w:rPr>
        <w:t>51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85</w:t>
      </w:r>
      <w:r w:rsidRPr="004A5227">
        <w:rPr>
          <w:noProof/>
        </w:rPr>
        <w:tab/>
        <w:t>Cancellation of enhanced rights of use—no allocation for 3 years</w:t>
      </w:r>
      <w:r w:rsidRPr="004A5227">
        <w:rPr>
          <w:noProof/>
        </w:rPr>
        <w:tab/>
      </w:r>
      <w:r w:rsidRPr="004A5227">
        <w:rPr>
          <w:noProof/>
        </w:rPr>
        <w:fldChar w:fldCharType="begin"/>
      </w:r>
      <w:r w:rsidRPr="004A5227">
        <w:rPr>
          <w:noProof/>
        </w:rPr>
        <w:instrText xml:space="preserve"> PAGEREF _Toc413419118 \h </w:instrText>
      </w:r>
      <w:r w:rsidRPr="004A5227">
        <w:rPr>
          <w:noProof/>
        </w:rPr>
      </w:r>
      <w:r w:rsidRPr="004A5227">
        <w:rPr>
          <w:noProof/>
        </w:rPr>
        <w:fldChar w:fldCharType="separate"/>
      </w:r>
      <w:r w:rsidR="007754D5">
        <w:rPr>
          <w:noProof/>
        </w:rPr>
        <w:t>51</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8—Transfer, surrender and withdrawal of numbers</w:t>
      </w:r>
      <w:r w:rsidRPr="004A5227">
        <w:rPr>
          <w:b w:val="0"/>
          <w:noProof/>
          <w:sz w:val="18"/>
        </w:rPr>
        <w:tab/>
      </w:r>
      <w:r w:rsidRPr="004A5227">
        <w:rPr>
          <w:b w:val="0"/>
          <w:noProof/>
          <w:sz w:val="18"/>
        </w:rPr>
        <w:fldChar w:fldCharType="begin"/>
      </w:r>
      <w:r w:rsidRPr="004A5227">
        <w:rPr>
          <w:b w:val="0"/>
          <w:noProof/>
          <w:sz w:val="18"/>
        </w:rPr>
        <w:instrText xml:space="preserve"> PAGEREF _Toc413419119 \h </w:instrText>
      </w:r>
      <w:r w:rsidRPr="004A5227">
        <w:rPr>
          <w:b w:val="0"/>
          <w:noProof/>
          <w:sz w:val="18"/>
        </w:rPr>
      </w:r>
      <w:r w:rsidRPr="004A5227">
        <w:rPr>
          <w:b w:val="0"/>
          <w:noProof/>
          <w:sz w:val="18"/>
        </w:rPr>
        <w:fldChar w:fldCharType="separate"/>
      </w:r>
      <w:r w:rsidR="007754D5">
        <w:rPr>
          <w:b w:val="0"/>
          <w:noProof/>
          <w:sz w:val="18"/>
        </w:rPr>
        <w:t>52</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1—Transfer of numbers</w:t>
      </w:r>
      <w:r w:rsidRPr="004A5227">
        <w:rPr>
          <w:b w:val="0"/>
          <w:noProof/>
          <w:sz w:val="18"/>
        </w:rPr>
        <w:tab/>
      </w:r>
      <w:r w:rsidRPr="004A5227">
        <w:rPr>
          <w:b w:val="0"/>
          <w:noProof/>
          <w:sz w:val="18"/>
        </w:rPr>
        <w:fldChar w:fldCharType="begin"/>
      </w:r>
      <w:r w:rsidRPr="004A5227">
        <w:rPr>
          <w:b w:val="0"/>
          <w:noProof/>
          <w:sz w:val="18"/>
        </w:rPr>
        <w:instrText xml:space="preserve"> PAGEREF _Toc413419120 \h </w:instrText>
      </w:r>
      <w:r w:rsidRPr="004A5227">
        <w:rPr>
          <w:b w:val="0"/>
          <w:noProof/>
          <w:sz w:val="18"/>
        </w:rPr>
      </w:r>
      <w:r w:rsidRPr="004A5227">
        <w:rPr>
          <w:b w:val="0"/>
          <w:noProof/>
          <w:sz w:val="18"/>
        </w:rPr>
        <w:fldChar w:fldCharType="separate"/>
      </w:r>
      <w:r w:rsidR="007754D5">
        <w:rPr>
          <w:b w:val="0"/>
          <w:noProof/>
          <w:sz w:val="18"/>
        </w:rPr>
        <w:t>52</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86</w:t>
      </w:r>
      <w:r w:rsidRPr="004A5227">
        <w:rPr>
          <w:noProof/>
        </w:rPr>
        <w:tab/>
        <w:t>Transfer process</w:t>
      </w:r>
      <w:r w:rsidRPr="004A5227">
        <w:rPr>
          <w:noProof/>
        </w:rPr>
        <w:tab/>
      </w:r>
      <w:r w:rsidRPr="004A5227">
        <w:rPr>
          <w:noProof/>
        </w:rPr>
        <w:fldChar w:fldCharType="begin"/>
      </w:r>
      <w:r w:rsidRPr="004A5227">
        <w:rPr>
          <w:noProof/>
        </w:rPr>
        <w:instrText xml:space="preserve"> PAGEREF _Toc413419121 \h </w:instrText>
      </w:r>
      <w:r w:rsidRPr="004A5227">
        <w:rPr>
          <w:noProof/>
        </w:rPr>
      </w:r>
      <w:r w:rsidRPr="004A5227">
        <w:rPr>
          <w:noProof/>
        </w:rPr>
        <w:fldChar w:fldCharType="separate"/>
      </w:r>
      <w:r w:rsidR="007754D5">
        <w:rPr>
          <w:noProof/>
        </w:rPr>
        <w:t>52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87</w:t>
      </w:r>
      <w:r w:rsidRPr="004A5227">
        <w:rPr>
          <w:noProof/>
        </w:rPr>
        <w:tab/>
        <w:t>Transfer not to affect customer’s right to use number</w:t>
      </w:r>
      <w:r w:rsidRPr="004A5227">
        <w:rPr>
          <w:noProof/>
        </w:rPr>
        <w:tab/>
      </w:r>
      <w:r w:rsidRPr="004A5227">
        <w:rPr>
          <w:noProof/>
        </w:rPr>
        <w:fldChar w:fldCharType="begin"/>
      </w:r>
      <w:r w:rsidRPr="004A5227">
        <w:rPr>
          <w:noProof/>
        </w:rPr>
        <w:instrText xml:space="preserve"> PAGEREF _Toc413419122 \h </w:instrText>
      </w:r>
      <w:r w:rsidRPr="004A5227">
        <w:rPr>
          <w:noProof/>
        </w:rPr>
      </w:r>
      <w:r w:rsidRPr="004A5227">
        <w:rPr>
          <w:noProof/>
        </w:rPr>
        <w:fldChar w:fldCharType="separate"/>
      </w:r>
      <w:r w:rsidR="007754D5">
        <w:rPr>
          <w:noProof/>
        </w:rPr>
        <w:t>52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2—Surrender of numbers</w:t>
      </w:r>
      <w:r w:rsidRPr="004A5227">
        <w:rPr>
          <w:b w:val="0"/>
          <w:noProof/>
          <w:sz w:val="18"/>
        </w:rPr>
        <w:tab/>
      </w:r>
      <w:r w:rsidRPr="004A5227">
        <w:rPr>
          <w:b w:val="0"/>
          <w:noProof/>
          <w:sz w:val="18"/>
        </w:rPr>
        <w:fldChar w:fldCharType="begin"/>
      </w:r>
      <w:r w:rsidRPr="004A5227">
        <w:rPr>
          <w:b w:val="0"/>
          <w:noProof/>
          <w:sz w:val="18"/>
        </w:rPr>
        <w:instrText xml:space="preserve"> PAGEREF _Toc413419123 \h </w:instrText>
      </w:r>
      <w:r w:rsidRPr="004A5227">
        <w:rPr>
          <w:b w:val="0"/>
          <w:noProof/>
          <w:sz w:val="18"/>
        </w:rPr>
      </w:r>
      <w:r w:rsidRPr="004A5227">
        <w:rPr>
          <w:b w:val="0"/>
          <w:noProof/>
          <w:sz w:val="18"/>
        </w:rPr>
        <w:fldChar w:fldCharType="separate"/>
      </w:r>
      <w:r w:rsidR="007754D5">
        <w:rPr>
          <w:b w:val="0"/>
          <w:noProof/>
          <w:sz w:val="18"/>
        </w:rPr>
        <w:t>53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88</w:t>
      </w:r>
      <w:r w:rsidRPr="004A5227">
        <w:rPr>
          <w:noProof/>
        </w:rPr>
        <w:tab/>
        <w:t>Application to surrender numbers</w:t>
      </w:r>
      <w:r w:rsidRPr="004A5227">
        <w:rPr>
          <w:noProof/>
        </w:rPr>
        <w:tab/>
      </w:r>
      <w:r w:rsidRPr="004A5227">
        <w:rPr>
          <w:noProof/>
        </w:rPr>
        <w:fldChar w:fldCharType="begin"/>
      </w:r>
      <w:r w:rsidRPr="004A5227">
        <w:rPr>
          <w:noProof/>
        </w:rPr>
        <w:instrText xml:space="preserve"> PAGEREF _Toc413419124 \h </w:instrText>
      </w:r>
      <w:r w:rsidRPr="004A5227">
        <w:rPr>
          <w:noProof/>
        </w:rPr>
      </w:r>
      <w:r w:rsidRPr="004A5227">
        <w:rPr>
          <w:noProof/>
        </w:rPr>
        <w:fldChar w:fldCharType="separate"/>
      </w:r>
      <w:r w:rsidR="007754D5">
        <w:rPr>
          <w:noProof/>
        </w:rPr>
        <w:t>53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89</w:t>
      </w:r>
      <w:r w:rsidRPr="004A5227">
        <w:rPr>
          <w:noProof/>
        </w:rPr>
        <w:tab/>
        <w:t>Decision on application to surrender numbers</w:t>
      </w:r>
      <w:r w:rsidRPr="004A5227">
        <w:rPr>
          <w:noProof/>
        </w:rPr>
        <w:tab/>
      </w:r>
      <w:r w:rsidRPr="004A5227">
        <w:rPr>
          <w:noProof/>
        </w:rPr>
        <w:fldChar w:fldCharType="begin"/>
      </w:r>
      <w:r w:rsidRPr="004A5227">
        <w:rPr>
          <w:noProof/>
        </w:rPr>
        <w:instrText xml:space="preserve"> PAGEREF _Toc413419125 \h </w:instrText>
      </w:r>
      <w:r w:rsidRPr="004A5227">
        <w:rPr>
          <w:noProof/>
        </w:rPr>
      </w:r>
      <w:r w:rsidRPr="004A5227">
        <w:rPr>
          <w:noProof/>
        </w:rPr>
        <w:fldChar w:fldCharType="separate"/>
      </w:r>
      <w:r w:rsidR="007754D5">
        <w:rPr>
          <w:noProof/>
        </w:rPr>
        <w:t>53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90</w:t>
      </w:r>
      <w:r w:rsidRPr="004A5227">
        <w:rPr>
          <w:noProof/>
        </w:rPr>
        <w:tab/>
        <w:t>Notice of decision</w:t>
      </w:r>
      <w:r w:rsidRPr="004A5227">
        <w:rPr>
          <w:noProof/>
        </w:rPr>
        <w:tab/>
      </w:r>
      <w:r w:rsidRPr="004A5227">
        <w:rPr>
          <w:noProof/>
        </w:rPr>
        <w:fldChar w:fldCharType="begin"/>
      </w:r>
      <w:r w:rsidRPr="004A5227">
        <w:rPr>
          <w:noProof/>
        </w:rPr>
        <w:instrText xml:space="preserve"> PAGEREF _Toc413419126 \h </w:instrText>
      </w:r>
      <w:r w:rsidRPr="004A5227">
        <w:rPr>
          <w:noProof/>
        </w:rPr>
      </w:r>
      <w:r w:rsidRPr="004A5227">
        <w:rPr>
          <w:noProof/>
        </w:rPr>
        <w:fldChar w:fldCharType="separate"/>
      </w:r>
      <w:r w:rsidR="007754D5">
        <w:rPr>
          <w:noProof/>
        </w:rPr>
        <w:t>53</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3—Withdrawal of numbers</w:t>
      </w:r>
      <w:r w:rsidRPr="004A5227">
        <w:rPr>
          <w:b w:val="0"/>
          <w:noProof/>
          <w:sz w:val="18"/>
        </w:rPr>
        <w:tab/>
      </w:r>
      <w:r w:rsidRPr="004A5227">
        <w:rPr>
          <w:b w:val="0"/>
          <w:noProof/>
          <w:sz w:val="18"/>
        </w:rPr>
        <w:fldChar w:fldCharType="begin"/>
      </w:r>
      <w:r w:rsidRPr="004A5227">
        <w:rPr>
          <w:b w:val="0"/>
          <w:noProof/>
          <w:sz w:val="18"/>
        </w:rPr>
        <w:instrText xml:space="preserve"> PAGEREF _Toc413419127 \h </w:instrText>
      </w:r>
      <w:r w:rsidRPr="004A5227">
        <w:rPr>
          <w:b w:val="0"/>
          <w:noProof/>
          <w:sz w:val="18"/>
        </w:rPr>
      </w:r>
      <w:r w:rsidRPr="004A5227">
        <w:rPr>
          <w:b w:val="0"/>
          <w:noProof/>
          <w:sz w:val="18"/>
        </w:rPr>
        <w:fldChar w:fldCharType="separate"/>
      </w:r>
      <w:r w:rsidR="007754D5">
        <w:rPr>
          <w:b w:val="0"/>
          <w:noProof/>
          <w:sz w:val="18"/>
        </w:rPr>
        <w:t>55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91</w:t>
      </w:r>
      <w:r w:rsidRPr="004A5227">
        <w:rPr>
          <w:noProof/>
        </w:rPr>
        <w:tab/>
        <w:t>Inconsistency with numbering plan</w:t>
      </w:r>
      <w:r w:rsidRPr="004A5227">
        <w:rPr>
          <w:noProof/>
        </w:rPr>
        <w:tab/>
      </w:r>
      <w:r w:rsidRPr="004A5227">
        <w:rPr>
          <w:noProof/>
        </w:rPr>
        <w:fldChar w:fldCharType="begin"/>
      </w:r>
      <w:r w:rsidRPr="004A5227">
        <w:rPr>
          <w:noProof/>
        </w:rPr>
        <w:instrText xml:space="preserve"> PAGEREF _Toc413419128 \h </w:instrText>
      </w:r>
      <w:r w:rsidRPr="004A5227">
        <w:rPr>
          <w:noProof/>
        </w:rPr>
      </w:r>
      <w:r w:rsidRPr="004A5227">
        <w:rPr>
          <w:noProof/>
        </w:rPr>
        <w:fldChar w:fldCharType="separate"/>
      </w:r>
      <w:r w:rsidR="007754D5">
        <w:rPr>
          <w:noProof/>
        </w:rPr>
        <w:t>55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92</w:t>
      </w:r>
      <w:r w:rsidRPr="004A5227">
        <w:rPr>
          <w:noProof/>
        </w:rPr>
        <w:tab/>
        <w:t>Inconsistency with conditions</w:t>
      </w:r>
      <w:r w:rsidRPr="004A5227">
        <w:rPr>
          <w:noProof/>
        </w:rPr>
        <w:tab/>
      </w:r>
      <w:r w:rsidRPr="004A5227">
        <w:rPr>
          <w:noProof/>
        </w:rPr>
        <w:fldChar w:fldCharType="begin"/>
      </w:r>
      <w:r w:rsidRPr="004A5227">
        <w:rPr>
          <w:noProof/>
        </w:rPr>
        <w:instrText xml:space="preserve"> PAGEREF _Toc413419129 \h </w:instrText>
      </w:r>
      <w:r w:rsidRPr="004A5227">
        <w:rPr>
          <w:noProof/>
        </w:rPr>
      </w:r>
      <w:r w:rsidRPr="004A5227">
        <w:rPr>
          <w:noProof/>
        </w:rPr>
        <w:fldChar w:fldCharType="separate"/>
      </w:r>
      <w:r w:rsidR="007754D5">
        <w:rPr>
          <w:noProof/>
        </w:rPr>
        <w:t>55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93</w:t>
      </w:r>
      <w:r w:rsidRPr="004A5227">
        <w:rPr>
          <w:noProof/>
        </w:rPr>
        <w:tab/>
        <w:t>Non</w:t>
      </w:r>
      <w:r w:rsidR="004A5227">
        <w:rPr>
          <w:noProof/>
        </w:rPr>
        <w:noBreakHyphen/>
      </w:r>
      <w:r w:rsidRPr="004A5227">
        <w:rPr>
          <w:noProof/>
        </w:rPr>
        <w:t>payment of annual numbering charge</w:t>
      </w:r>
      <w:r w:rsidRPr="004A5227">
        <w:rPr>
          <w:noProof/>
        </w:rPr>
        <w:tab/>
      </w:r>
      <w:r w:rsidRPr="004A5227">
        <w:rPr>
          <w:noProof/>
        </w:rPr>
        <w:fldChar w:fldCharType="begin"/>
      </w:r>
      <w:r w:rsidRPr="004A5227">
        <w:rPr>
          <w:noProof/>
        </w:rPr>
        <w:instrText xml:space="preserve"> PAGEREF _Toc413419130 \h </w:instrText>
      </w:r>
      <w:r w:rsidRPr="004A5227">
        <w:rPr>
          <w:noProof/>
        </w:rPr>
      </w:r>
      <w:r w:rsidRPr="004A5227">
        <w:rPr>
          <w:noProof/>
        </w:rPr>
        <w:fldChar w:fldCharType="separate"/>
      </w:r>
      <w:r w:rsidR="007754D5">
        <w:rPr>
          <w:noProof/>
        </w:rPr>
        <w:t>56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94</w:t>
      </w:r>
      <w:r w:rsidRPr="004A5227">
        <w:rPr>
          <w:noProof/>
        </w:rPr>
        <w:tab/>
        <w:t>Withdrawal of numbers not in use</w:t>
      </w:r>
      <w:r w:rsidRPr="004A5227">
        <w:rPr>
          <w:noProof/>
        </w:rPr>
        <w:tab/>
      </w:r>
      <w:r w:rsidRPr="004A5227">
        <w:rPr>
          <w:noProof/>
        </w:rPr>
        <w:fldChar w:fldCharType="begin"/>
      </w:r>
      <w:r w:rsidRPr="004A5227">
        <w:rPr>
          <w:noProof/>
        </w:rPr>
        <w:instrText xml:space="preserve"> PAGEREF _Toc413419131 \h </w:instrText>
      </w:r>
      <w:r w:rsidRPr="004A5227">
        <w:rPr>
          <w:noProof/>
        </w:rPr>
      </w:r>
      <w:r w:rsidRPr="004A5227">
        <w:rPr>
          <w:noProof/>
        </w:rPr>
        <w:fldChar w:fldCharType="separate"/>
      </w:r>
      <w:r w:rsidR="007754D5">
        <w:rPr>
          <w:noProof/>
        </w:rPr>
        <w:t>56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95</w:t>
      </w:r>
      <w:r w:rsidRPr="004A5227">
        <w:rPr>
          <w:noProof/>
        </w:rPr>
        <w:tab/>
        <w:t>Cessation of business</w:t>
      </w:r>
      <w:r w:rsidRPr="004A5227">
        <w:rPr>
          <w:noProof/>
        </w:rPr>
        <w:tab/>
      </w:r>
      <w:r w:rsidRPr="004A5227">
        <w:rPr>
          <w:noProof/>
        </w:rPr>
        <w:fldChar w:fldCharType="begin"/>
      </w:r>
      <w:r w:rsidRPr="004A5227">
        <w:rPr>
          <w:noProof/>
        </w:rPr>
        <w:instrText xml:space="preserve"> PAGEREF _Toc413419132 \h </w:instrText>
      </w:r>
      <w:r w:rsidRPr="004A5227">
        <w:rPr>
          <w:noProof/>
        </w:rPr>
      </w:r>
      <w:r w:rsidRPr="004A5227">
        <w:rPr>
          <w:noProof/>
        </w:rPr>
        <w:fldChar w:fldCharType="separate"/>
      </w:r>
      <w:r w:rsidR="007754D5">
        <w:rPr>
          <w:noProof/>
        </w:rPr>
        <w:t>57</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96</w:t>
      </w:r>
      <w:r w:rsidRPr="004A5227">
        <w:rPr>
          <w:noProof/>
        </w:rPr>
        <w:tab/>
        <w:t>End of allocation period</w:t>
      </w:r>
      <w:r w:rsidRPr="004A5227">
        <w:rPr>
          <w:noProof/>
        </w:rPr>
        <w:tab/>
      </w:r>
      <w:r w:rsidRPr="004A5227">
        <w:rPr>
          <w:noProof/>
        </w:rPr>
        <w:fldChar w:fldCharType="begin"/>
      </w:r>
      <w:r w:rsidRPr="004A5227">
        <w:rPr>
          <w:noProof/>
        </w:rPr>
        <w:instrText xml:space="preserve"> PAGEREF _Toc413419133 \h </w:instrText>
      </w:r>
      <w:r w:rsidRPr="004A5227">
        <w:rPr>
          <w:noProof/>
        </w:rPr>
      </w:r>
      <w:r w:rsidRPr="004A5227">
        <w:rPr>
          <w:noProof/>
        </w:rPr>
        <w:fldChar w:fldCharType="separate"/>
      </w:r>
      <w:r w:rsidR="007754D5">
        <w:rPr>
          <w:noProof/>
        </w:rPr>
        <w:t>58</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lastRenderedPageBreak/>
        <w:t>Chapter</w:t>
      </w:r>
      <w:r w:rsidR="004A5227" w:rsidRPr="004A5227">
        <w:rPr>
          <w:noProof/>
        </w:rPr>
        <w:t> </w:t>
      </w:r>
      <w:r w:rsidRPr="004A5227">
        <w:rPr>
          <w:noProof/>
        </w:rPr>
        <w:t>9—Obligations of carriage service providers</w:t>
      </w:r>
      <w:r w:rsidRPr="004A5227">
        <w:rPr>
          <w:b w:val="0"/>
          <w:noProof/>
          <w:sz w:val="18"/>
        </w:rPr>
        <w:tab/>
      </w:r>
      <w:r w:rsidRPr="004A5227">
        <w:rPr>
          <w:b w:val="0"/>
          <w:noProof/>
          <w:sz w:val="18"/>
        </w:rPr>
        <w:fldChar w:fldCharType="begin"/>
      </w:r>
      <w:r w:rsidRPr="004A5227">
        <w:rPr>
          <w:b w:val="0"/>
          <w:noProof/>
          <w:sz w:val="18"/>
        </w:rPr>
        <w:instrText xml:space="preserve"> PAGEREF _Toc413419134 \h </w:instrText>
      </w:r>
      <w:r w:rsidRPr="004A5227">
        <w:rPr>
          <w:b w:val="0"/>
          <w:noProof/>
          <w:sz w:val="18"/>
        </w:rPr>
      </w:r>
      <w:r w:rsidRPr="004A5227">
        <w:rPr>
          <w:b w:val="0"/>
          <w:noProof/>
          <w:sz w:val="18"/>
        </w:rPr>
        <w:fldChar w:fldCharType="separate"/>
      </w:r>
      <w:r w:rsidR="007754D5">
        <w:rPr>
          <w:b w:val="0"/>
          <w:noProof/>
          <w:sz w:val="18"/>
        </w:rPr>
        <w:t>59</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1—Recall and issue of replacement numbers</w:t>
      </w:r>
      <w:r w:rsidRPr="004A5227">
        <w:rPr>
          <w:b w:val="0"/>
          <w:noProof/>
          <w:sz w:val="18"/>
        </w:rPr>
        <w:tab/>
      </w:r>
      <w:r w:rsidRPr="004A5227">
        <w:rPr>
          <w:b w:val="0"/>
          <w:noProof/>
          <w:sz w:val="18"/>
        </w:rPr>
        <w:fldChar w:fldCharType="begin"/>
      </w:r>
      <w:r w:rsidRPr="004A5227">
        <w:rPr>
          <w:b w:val="0"/>
          <w:noProof/>
          <w:sz w:val="18"/>
        </w:rPr>
        <w:instrText xml:space="preserve"> PAGEREF _Toc413419135 \h </w:instrText>
      </w:r>
      <w:r w:rsidRPr="004A5227">
        <w:rPr>
          <w:b w:val="0"/>
          <w:noProof/>
          <w:sz w:val="18"/>
        </w:rPr>
      </w:r>
      <w:r w:rsidRPr="004A5227">
        <w:rPr>
          <w:b w:val="0"/>
          <w:noProof/>
          <w:sz w:val="18"/>
        </w:rPr>
        <w:fldChar w:fldCharType="separate"/>
      </w:r>
      <w:r w:rsidR="007754D5">
        <w:rPr>
          <w:b w:val="0"/>
          <w:noProof/>
          <w:sz w:val="18"/>
        </w:rPr>
        <w:t>59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97</w:t>
      </w:r>
      <w:r w:rsidRPr="004A5227">
        <w:rPr>
          <w:noProof/>
        </w:rPr>
        <w:tab/>
        <w:t>Recall of issued number and issue of replacement number</w:t>
      </w:r>
      <w:r w:rsidRPr="004A5227">
        <w:rPr>
          <w:noProof/>
        </w:rPr>
        <w:tab/>
      </w:r>
      <w:r w:rsidRPr="004A5227">
        <w:rPr>
          <w:noProof/>
        </w:rPr>
        <w:fldChar w:fldCharType="begin"/>
      </w:r>
      <w:r w:rsidRPr="004A5227">
        <w:rPr>
          <w:noProof/>
        </w:rPr>
        <w:instrText xml:space="preserve"> PAGEREF _Toc413419136 \h </w:instrText>
      </w:r>
      <w:r w:rsidRPr="004A5227">
        <w:rPr>
          <w:noProof/>
        </w:rPr>
      </w:r>
      <w:r w:rsidRPr="004A5227">
        <w:rPr>
          <w:noProof/>
        </w:rPr>
        <w:fldChar w:fldCharType="separate"/>
      </w:r>
      <w:r w:rsidR="007754D5">
        <w:rPr>
          <w:noProof/>
        </w:rPr>
        <w:t>59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98</w:t>
      </w:r>
      <w:r w:rsidRPr="004A5227">
        <w:rPr>
          <w:noProof/>
        </w:rPr>
        <w:tab/>
        <w:t>Application to recall issued number and issue replacement number</w:t>
      </w:r>
      <w:r w:rsidRPr="004A5227">
        <w:rPr>
          <w:noProof/>
        </w:rPr>
        <w:tab/>
      </w:r>
      <w:r w:rsidRPr="004A5227">
        <w:rPr>
          <w:noProof/>
        </w:rPr>
        <w:fldChar w:fldCharType="begin"/>
      </w:r>
      <w:r w:rsidRPr="004A5227">
        <w:rPr>
          <w:noProof/>
        </w:rPr>
        <w:instrText xml:space="preserve"> PAGEREF _Toc413419137 \h </w:instrText>
      </w:r>
      <w:r w:rsidRPr="004A5227">
        <w:rPr>
          <w:noProof/>
        </w:rPr>
      </w:r>
      <w:r w:rsidRPr="004A5227">
        <w:rPr>
          <w:noProof/>
        </w:rPr>
        <w:fldChar w:fldCharType="separate"/>
      </w:r>
      <w:r w:rsidR="007754D5">
        <w:rPr>
          <w:noProof/>
        </w:rPr>
        <w:t>59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99</w:t>
      </w:r>
      <w:r w:rsidRPr="004A5227">
        <w:rPr>
          <w:noProof/>
        </w:rPr>
        <w:tab/>
        <w:t>Recall of issued number without issue of replacement number</w:t>
      </w:r>
      <w:r w:rsidRPr="004A5227">
        <w:rPr>
          <w:noProof/>
        </w:rPr>
        <w:tab/>
      </w:r>
      <w:r w:rsidRPr="004A5227">
        <w:rPr>
          <w:noProof/>
        </w:rPr>
        <w:fldChar w:fldCharType="begin"/>
      </w:r>
      <w:r w:rsidRPr="004A5227">
        <w:rPr>
          <w:noProof/>
        </w:rPr>
        <w:instrText xml:space="preserve"> PAGEREF _Toc413419138 \h </w:instrText>
      </w:r>
      <w:r w:rsidRPr="004A5227">
        <w:rPr>
          <w:noProof/>
        </w:rPr>
      </w:r>
      <w:r w:rsidRPr="004A5227">
        <w:rPr>
          <w:noProof/>
        </w:rPr>
        <w:fldChar w:fldCharType="separate"/>
      </w:r>
      <w:r w:rsidR="007754D5">
        <w:rPr>
          <w:noProof/>
        </w:rPr>
        <w:t>60</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100</w:t>
      </w:r>
      <w:r w:rsidRPr="004A5227">
        <w:rPr>
          <w:noProof/>
        </w:rPr>
        <w:tab/>
        <w:t>Restriction on reissuing recalled number</w:t>
      </w:r>
      <w:r w:rsidRPr="004A5227">
        <w:rPr>
          <w:noProof/>
        </w:rPr>
        <w:tab/>
      </w:r>
      <w:r w:rsidRPr="004A5227">
        <w:rPr>
          <w:noProof/>
        </w:rPr>
        <w:fldChar w:fldCharType="begin"/>
      </w:r>
      <w:r w:rsidRPr="004A5227">
        <w:rPr>
          <w:noProof/>
        </w:rPr>
        <w:instrText xml:space="preserve"> PAGEREF _Toc413419139 \h </w:instrText>
      </w:r>
      <w:r w:rsidRPr="004A5227">
        <w:rPr>
          <w:noProof/>
        </w:rPr>
      </w:r>
      <w:r w:rsidRPr="004A5227">
        <w:rPr>
          <w:noProof/>
        </w:rPr>
        <w:fldChar w:fldCharType="separate"/>
      </w:r>
      <w:r w:rsidR="007754D5">
        <w:rPr>
          <w:noProof/>
        </w:rPr>
        <w:t>60</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2—General obligations of carriage service providers</w:t>
      </w:r>
      <w:r w:rsidRPr="004A5227">
        <w:rPr>
          <w:b w:val="0"/>
          <w:noProof/>
          <w:sz w:val="18"/>
        </w:rPr>
        <w:tab/>
      </w:r>
      <w:r w:rsidRPr="004A5227">
        <w:rPr>
          <w:b w:val="0"/>
          <w:noProof/>
          <w:sz w:val="18"/>
        </w:rPr>
        <w:fldChar w:fldCharType="begin"/>
      </w:r>
      <w:r w:rsidRPr="004A5227">
        <w:rPr>
          <w:b w:val="0"/>
          <w:noProof/>
          <w:sz w:val="18"/>
        </w:rPr>
        <w:instrText xml:space="preserve"> PAGEREF _Toc413419140 \h </w:instrText>
      </w:r>
      <w:r w:rsidRPr="004A5227">
        <w:rPr>
          <w:b w:val="0"/>
          <w:noProof/>
          <w:sz w:val="18"/>
        </w:rPr>
      </w:r>
      <w:r w:rsidRPr="004A5227">
        <w:rPr>
          <w:b w:val="0"/>
          <w:noProof/>
          <w:sz w:val="18"/>
        </w:rPr>
        <w:fldChar w:fldCharType="separate"/>
      </w:r>
      <w:r w:rsidR="007754D5">
        <w:rPr>
          <w:b w:val="0"/>
          <w:noProof/>
          <w:sz w:val="18"/>
        </w:rPr>
        <w:t>62</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101</w:t>
      </w:r>
      <w:r w:rsidRPr="004A5227">
        <w:rPr>
          <w:noProof/>
        </w:rPr>
        <w:tab/>
        <w:t>Use of numbers not to be subject to certain conditions</w:t>
      </w:r>
      <w:r w:rsidRPr="004A5227">
        <w:rPr>
          <w:noProof/>
        </w:rPr>
        <w:tab/>
      </w:r>
      <w:r w:rsidRPr="004A5227">
        <w:rPr>
          <w:noProof/>
        </w:rPr>
        <w:fldChar w:fldCharType="begin"/>
      </w:r>
      <w:r w:rsidRPr="004A5227">
        <w:rPr>
          <w:noProof/>
        </w:rPr>
        <w:instrText xml:space="preserve"> PAGEREF _Toc413419141 \h </w:instrText>
      </w:r>
      <w:r w:rsidRPr="004A5227">
        <w:rPr>
          <w:noProof/>
        </w:rPr>
      </w:r>
      <w:r w:rsidRPr="004A5227">
        <w:rPr>
          <w:noProof/>
        </w:rPr>
        <w:fldChar w:fldCharType="separate"/>
      </w:r>
      <w:r w:rsidR="007754D5">
        <w:rPr>
          <w:noProof/>
        </w:rPr>
        <w:t>62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102</w:t>
      </w:r>
      <w:r w:rsidRPr="004A5227">
        <w:rPr>
          <w:noProof/>
        </w:rPr>
        <w:tab/>
        <w:t>Carriage service provider must not issue a number that it has not been allocated</w:t>
      </w:r>
      <w:r w:rsidRPr="004A5227">
        <w:rPr>
          <w:noProof/>
        </w:rPr>
        <w:tab/>
      </w:r>
      <w:r w:rsidRPr="004A5227">
        <w:rPr>
          <w:noProof/>
        </w:rPr>
        <w:fldChar w:fldCharType="begin"/>
      </w:r>
      <w:r w:rsidRPr="004A5227">
        <w:rPr>
          <w:noProof/>
        </w:rPr>
        <w:instrText xml:space="preserve"> PAGEREF _Toc413419142 \h </w:instrText>
      </w:r>
      <w:r w:rsidRPr="004A5227">
        <w:rPr>
          <w:noProof/>
        </w:rPr>
      </w:r>
      <w:r w:rsidRPr="004A5227">
        <w:rPr>
          <w:noProof/>
        </w:rPr>
        <w:fldChar w:fldCharType="separate"/>
      </w:r>
      <w:r w:rsidR="007754D5">
        <w:rPr>
          <w:noProof/>
        </w:rPr>
        <w:t>62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103</w:t>
      </w:r>
      <w:r w:rsidRPr="004A5227">
        <w:rPr>
          <w:noProof/>
        </w:rPr>
        <w:tab/>
        <w:t>Notice of carriage service provider’s obligations</w:t>
      </w:r>
      <w:r w:rsidRPr="004A5227">
        <w:rPr>
          <w:noProof/>
        </w:rPr>
        <w:tab/>
      </w:r>
      <w:r w:rsidRPr="004A5227">
        <w:rPr>
          <w:noProof/>
        </w:rPr>
        <w:fldChar w:fldCharType="begin"/>
      </w:r>
      <w:r w:rsidRPr="004A5227">
        <w:rPr>
          <w:noProof/>
        </w:rPr>
        <w:instrText xml:space="preserve"> PAGEREF _Toc413419143 \h </w:instrText>
      </w:r>
      <w:r w:rsidRPr="004A5227">
        <w:rPr>
          <w:noProof/>
        </w:rPr>
      </w:r>
      <w:r w:rsidRPr="004A5227">
        <w:rPr>
          <w:noProof/>
        </w:rPr>
        <w:fldChar w:fldCharType="separate"/>
      </w:r>
      <w:r w:rsidR="007754D5">
        <w:rPr>
          <w:noProof/>
        </w:rPr>
        <w:t>62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3—Exemptions</w:t>
      </w:r>
      <w:r w:rsidRPr="004A5227">
        <w:rPr>
          <w:b w:val="0"/>
          <w:noProof/>
          <w:sz w:val="18"/>
        </w:rPr>
        <w:tab/>
      </w:r>
      <w:r w:rsidRPr="004A5227">
        <w:rPr>
          <w:b w:val="0"/>
          <w:noProof/>
          <w:sz w:val="18"/>
        </w:rPr>
        <w:fldChar w:fldCharType="begin"/>
      </w:r>
      <w:r w:rsidRPr="004A5227">
        <w:rPr>
          <w:b w:val="0"/>
          <w:noProof/>
          <w:sz w:val="18"/>
        </w:rPr>
        <w:instrText xml:space="preserve"> PAGEREF _Toc413419144 \h </w:instrText>
      </w:r>
      <w:r w:rsidRPr="004A5227">
        <w:rPr>
          <w:b w:val="0"/>
          <w:noProof/>
          <w:sz w:val="18"/>
        </w:rPr>
      </w:r>
      <w:r w:rsidRPr="004A5227">
        <w:rPr>
          <w:b w:val="0"/>
          <w:noProof/>
          <w:sz w:val="18"/>
        </w:rPr>
        <w:fldChar w:fldCharType="separate"/>
      </w:r>
      <w:r w:rsidR="007754D5">
        <w:rPr>
          <w:b w:val="0"/>
          <w:noProof/>
          <w:sz w:val="18"/>
        </w:rPr>
        <w:t>63</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104</w:t>
      </w:r>
      <w:r w:rsidRPr="004A5227">
        <w:rPr>
          <w:noProof/>
        </w:rPr>
        <w:tab/>
        <w:t>Application for exemption from obligation in this Chapter</w:t>
      </w:r>
      <w:r w:rsidRPr="004A5227">
        <w:rPr>
          <w:noProof/>
        </w:rPr>
        <w:tab/>
      </w:r>
      <w:r w:rsidRPr="004A5227">
        <w:rPr>
          <w:noProof/>
        </w:rPr>
        <w:fldChar w:fldCharType="begin"/>
      </w:r>
      <w:r w:rsidRPr="004A5227">
        <w:rPr>
          <w:noProof/>
        </w:rPr>
        <w:instrText xml:space="preserve"> PAGEREF _Toc413419145 \h </w:instrText>
      </w:r>
      <w:r w:rsidRPr="004A5227">
        <w:rPr>
          <w:noProof/>
        </w:rPr>
      </w:r>
      <w:r w:rsidRPr="004A5227">
        <w:rPr>
          <w:noProof/>
        </w:rPr>
        <w:fldChar w:fldCharType="separate"/>
      </w:r>
      <w:r w:rsidR="007754D5">
        <w:rPr>
          <w:noProof/>
        </w:rPr>
        <w:t>63</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105</w:t>
      </w:r>
      <w:r w:rsidRPr="004A5227">
        <w:rPr>
          <w:noProof/>
        </w:rPr>
        <w:tab/>
        <w:t>Replacement of provisions by industry code</w:t>
      </w:r>
      <w:r w:rsidRPr="004A5227">
        <w:rPr>
          <w:noProof/>
        </w:rPr>
        <w:tab/>
      </w:r>
      <w:r w:rsidRPr="004A5227">
        <w:rPr>
          <w:noProof/>
        </w:rPr>
        <w:fldChar w:fldCharType="begin"/>
      </w:r>
      <w:r w:rsidRPr="004A5227">
        <w:rPr>
          <w:noProof/>
        </w:rPr>
        <w:instrText xml:space="preserve"> PAGEREF _Toc413419146 \h </w:instrText>
      </w:r>
      <w:r w:rsidRPr="004A5227">
        <w:rPr>
          <w:noProof/>
        </w:rPr>
      </w:r>
      <w:r w:rsidRPr="004A5227">
        <w:rPr>
          <w:noProof/>
        </w:rPr>
        <w:fldChar w:fldCharType="separate"/>
      </w:r>
      <w:r w:rsidR="007754D5">
        <w:rPr>
          <w:noProof/>
        </w:rPr>
        <w:t>63</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10—Number portability</w:t>
      </w:r>
      <w:r w:rsidRPr="004A5227">
        <w:rPr>
          <w:b w:val="0"/>
          <w:noProof/>
          <w:sz w:val="18"/>
        </w:rPr>
        <w:tab/>
      </w:r>
      <w:r w:rsidRPr="004A5227">
        <w:rPr>
          <w:b w:val="0"/>
          <w:noProof/>
          <w:sz w:val="18"/>
        </w:rPr>
        <w:fldChar w:fldCharType="begin"/>
      </w:r>
      <w:r w:rsidRPr="004A5227">
        <w:rPr>
          <w:b w:val="0"/>
          <w:noProof/>
          <w:sz w:val="18"/>
        </w:rPr>
        <w:instrText xml:space="preserve"> PAGEREF _Toc413419147 \h </w:instrText>
      </w:r>
      <w:r w:rsidRPr="004A5227">
        <w:rPr>
          <w:b w:val="0"/>
          <w:noProof/>
          <w:sz w:val="18"/>
        </w:rPr>
      </w:r>
      <w:r w:rsidRPr="004A5227">
        <w:rPr>
          <w:b w:val="0"/>
          <w:noProof/>
          <w:sz w:val="18"/>
        </w:rPr>
        <w:fldChar w:fldCharType="separate"/>
      </w:r>
      <w:r w:rsidR="007754D5">
        <w:rPr>
          <w:b w:val="0"/>
          <w:noProof/>
          <w:sz w:val="18"/>
        </w:rPr>
        <w:t>64</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1—Implementation dates</w:t>
      </w:r>
      <w:r w:rsidRPr="004A5227">
        <w:rPr>
          <w:b w:val="0"/>
          <w:noProof/>
          <w:sz w:val="18"/>
        </w:rPr>
        <w:tab/>
      </w:r>
      <w:r w:rsidRPr="004A5227">
        <w:rPr>
          <w:b w:val="0"/>
          <w:noProof/>
          <w:sz w:val="18"/>
        </w:rPr>
        <w:fldChar w:fldCharType="begin"/>
      </w:r>
      <w:r w:rsidRPr="004A5227">
        <w:rPr>
          <w:b w:val="0"/>
          <w:noProof/>
          <w:sz w:val="18"/>
        </w:rPr>
        <w:instrText xml:space="preserve"> PAGEREF _Toc413419148 \h </w:instrText>
      </w:r>
      <w:r w:rsidRPr="004A5227">
        <w:rPr>
          <w:b w:val="0"/>
          <w:noProof/>
          <w:sz w:val="18"/>
        </w:rPr>
      </w:r>
      <w:r w:rsidRPr="004A5227">
        <w:rPr>
          <w:b w:val="0"/>
          <w:noProof/>
          <w:sz w:val="18"/>
        </w:rPr>
        <w:fldChar w:fldCharType="separate"/>
      </w:r>
      <w:r w:rsidR="007754D5">
        <w:rPr>
          <w:b w:val="0"/>
          <w:noProof/>
          <w:sz w:val="18"/>
        </w:rPr>
        <w:t>64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106</w:t>
      </w:r>
      <w:r w:rsidRPr="004A5227">
        <w:rPr>
          <w:noProof/>
        </w:rPr>
        <w:tab/>
        <w:t>Determining implementation dates</w:t>
      </w:r>
      <w:r w:rsidRPr="004A5227">
        <w:rPr>
          <w:noProof/>
        </w:rPr>
        <w:tab/>
      </w:r>
      <w:r w:rsidRPr="004A5227">
        <w:rPr>
          <w:noProof/>
        </w:rPr>
        <w:fldChar w:fldCharType="begin"/>
      </w:r>
      <w:r w:rsidRPr="004A5227">
        <w:rPr>
          <w:noProof/>
        </w:rPr>
        <w:instrText xml:space="preserve"> PAGEREF _Toc413419149 \h </w:instrText>
      </w:r>
      <w:r w:rsidRPr="004A5227">
        <w:rPr>
          <w:noProof/>
        </w:rPr>
      </w:r>
      <w:r w:rsidRPr="004A5227">
        <w:rPr>
          <w:noProof/>
        </w:rPr>
        <w:fldChar w:fldCharType="separate"/>
      </w:r>
      <w:r w:rsidR="007754D5">
        <w:rPr>
          <w:noProof/>
        </w:rPr>
        <w:t>64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107</w:t>
      </w:r>
      <w:r w:rsidRPr="004A5227">
        <w:rPr>
          <w:noProof/>
        </w:rPr>
        <w:tab/>
        <w:t>Public notice period for implementation date</w:t>
      </w:r>
      <w:r w:rsidRPr="004A5227">
        <w:rPr>
          <w:noProof/>
        </w:rPr>
        <w:tab/>
      </w:r>
      <w:r w:rsidRPr="004A5227">
        <w:rPr>
          <w:noProof/>
        </w:rPr>
        <w:fldChar w:fldCharType="begin"/>
      </w:r>
      <w:r w:rsidRPr="004A5227">
        <w:rPr>
          <w:noProof/>
        </w:rPr>
        <w:instrText xml:space="preserve"> PAGEREF _Toc413419150 \h </w:instrText>
      </w:r>
      <w:r w:rsidRPr="004A5227">
        <w:rPr>
          <w:noProof/>
        </w:rPr>
      </w:r>
      <w:r w:rsidRPr="004A5227">
        <w:rPr>
          <w:noProof/>
        </w:rPr>
        <w:fldChar w:fldCharType="separate"/>
      </w:r>
      <w:r w:rsidR="007754D5">
        <w:rPr>
          <w:noProof/>
        </w:rPr>
        <w:t>64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108</w:t>
      </w:r>
      <w:r w:rsidRPr="004A5227">
        <w:rPr>
          <w:noProof/>
        </w:rPr>
        <w:tab/>
        <w:t>Application of Chapter to carriage service providers and carriers</w:t>
      </w:r>
      <w:r w:rsidRPr="004A5227">
        <w:rPr>
          <w:noProof/>
        </w:rPr>
        <w:tab/>
      </w:r>
      <w:r w:rsidRPr="004A5227">
        <w:rPr>
          <w:noProof/>
        </w:rPr>
        <w:fldChar w:fldCharType="begin"/>
      </w:r>
      <w:r w:rsidRPr="004A5227">
        <w:rPr>
          <w:noProof/>
        </w:rPr>
        <w:instrText xml:space="preserve"> PAGEREF _Toc413419151 \h </w:instrText>
      </w:r>
      <w:r w:rsidRPr="004A5227">
        <w:rPr>
          <w:noProof/>
        </w:rPr>
      </w:r>
      <w:r w:rsidRPr="004A5227">
        <w:rPr>
          <w:noProof/>
        </w:rPr>
        <w:fldChar w:fldCharType="separate"/>
      </w:r>
      <w:r w:rsidR="007754D5">
        <w:rPr>
          <w:noProof/>
        </w:rPr>
        <w:t>64</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2—Providing portability</w:t>
      </w:r>
      <w:r w:rsidRPr="004A5227">
        <w:rPr>
          <w:b w:val="0"/>
          <w:noProof/>
          <w:sz w:val="18"/>
        </w:rPr>
        <w:tab/>
      </w:r>
      <w:r w:rsidRPr="004A5227">
        <w:rPr>
          <w:b w:val="0"/>
          <w:noProof/>
          <w:sz w:val="18"/>
        </w:rPr>
        <w:fldChar w:fldCharType="begin"/>
      </w:r>
      <w:r w:rsidRPr="004A5227">
        <w:rPr>
          <w:b w:val="0"/>
          <w:noProof/>
          <w:sz w:val="18"/>
        </w:rPr>
        <w:instrText xml:space="preserve"> PAGEREF _Toc413419152 \h </w:instrText>
      </w:r>
      <w:r w:rsidRPr="004A5227">
        <w:rPr>
          <w:b w:val="0"/>
          <w:noProof/>
          <w:sz w:val="18"/>
        </w:rPr>
      </w:r>
      <w:r w:rsidRPr="004A5227">
        <w:rPr>
          <w:b w:val="0"/>
          <w:noProof/>
          <w:sz w:val="18"/>
        </w:rPr>
        <w:fldChar w:fldCharType="separate"/>
      </w:r>
      <w:r w:rsidR="007754D5">
        <w:rPr>
          <w:b w:val="0"/>
          <w:noProof/>
          <w:sz w:val="18"/>
        </w:rPr>
        <w:t>65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109</w:t>
      </w:r>
      <w:r w:rsidRPr="004A5227">
        <w:rPr>
          <w:noProof/>
        </w:rPr>
        <w:tab/>
        <w:t>Technical capability and technology</w:t>
      </w:r>
      <w:r w:rsidRPr="004A5227">
        <w:rPr>
          <w:noProof/>
        </w:rPr>
        <w:tab/>
      </w:r>
      <w:r w:rsidRPr="004A5227">
        <w:rPr>
          <w:noProof/>
        </w:rPr>
        <w:fldChar w:fldCharType="begin"/>
      </w:r>
      <w:r w:rsidRPr="004A5227">
        <w:rPr>
          <w:noProof/>
        </w:rPr>
        <w:instrText xml:space="preserve"> PAGEREF _Toc413419153 \h </w:instrText>
      </w:r>
      <w:r w:rsidRPr="004A5227">
        <w:rPr>
          <w:noProof/>
        </w:rPr>
      </w:r>
      <w:r w:rsidRPr="004A5227">
        <w:rPr>
          <w:noProof/>
        </w:rPr>
        <w:fldChar w:fldCharType="separate"/>
      </w:r>
      <w:r w:rsidR="007754D5">
        <w:rPr>
          <w:noProof/>
        </w:rPr>
        <w:t>65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110</w:t>
      </w:r>
      <w:r w:rsidRPr="004A5227">
        <w:rPr>
          <w:noProof/>
        </w:rPr>
        <w:tab/>
        <w:t xml:space="preserve">Meaning of </w:t>
      </w:r>
      <w:r w:rsidRPr="004A5227">
        <w:rPr>
          <w:i/>
          <w:noProof/>
        </w:rPr>
        <w:t>equivalent service</w:t>
      </w:r>
      <w:r w:rsidRPr="004A5227">
        <w:rPr>
          <w:noProof/>
        </w:rPr>
        <w:tab/>
      </w:r>
      <w:r w:rsidRPr="004A5227">
        <w:rPr>
          <w:noProof/>
        </w:rPr>
        <w:fldChar w:fldCharType="begin"/>
      </w:r>
      <w:r w:rsidRPr="004A5227">
        <w:rPr>
          <w:noProof/>
        </w:rPr>
        <w:instrText xml:space="preserve"> PAGEREF _Toc413419154 \h </w:instrText>
      </w:r>
      <w:r w:rsidRPr="004A5227">
        <w:rPr>
          <w:noProof/>
        </w:rPr>
      </w:r>
      <w:r w:rsidRPr="004A5227">
        <w:rPr>
          <w:noProof/>
        </w:rPr>
        <w:fldChar w:fldCharType="separate"/>
      </w:r>
      <w:r w:rsidR="007754D5">
        <w:rPr>
          <w:noProof/>
        </w:rPr>
        <w:t>65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111</w:t>
      </w:r>
      <w:r w:rsidRPr="004A5227">
        <w:rPr>
          <w:noProof/>
        </w:rPr>
        <w:tab/>
        <w:t>Obligation to provide number portability to customers</w:t>
      </w:r>
      <w:r w:rsidRPr="004A5227">
        <w:rPr>
          <w:noProof/>
        </w:rPr>
        <w:tab/>
      </w:r>
      <w:r w:rsidRPr="004A5227">
        <w:rPr>
          <w:noProof/>
        </w:rPr>
        <w:fldChar w:fldCharType="begin"/>
      </w:r>
      <w:r w:rsidRPr="004A5227">
        <w:rPr>
          <w:noProof/>
        </w:rPr>
        <w:instrText xml:space="preserve"> PAGEREF _Toc413419155 \h </w:instrText>
      </w:r>
      <w:r w:rsidRPr="004A5227">
        <w:rPr>
          <w:noProof/>
        </w:rPr>
      </w:r>
      <w:r w:rsidRPr="004A5227">
        <w:rPr>
          <w:noProof/>
        </w:rPr>
        <w:fldChar w:fldCharType="separate"/>
      </w:r>
      <w:r w:rsidR="007754D5">
        <w:rPr>
          <w:noProof/>
        </w:rPr>
        <w:t>65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112</w:t>
      </w:r>
      <w:r w:rsidRPr="004A5227">
        <w:rPr>
          <w:noProof/>
        </w:rPr>
        <w:tab/>
        <w:t>Obligation to ensure that equivalent service is provided</w:t>
      </w:r>
      <w:r w:rsidRPr="004A5227">
        <w:rPr>
          <w:noProof/>
        </w:rPr>
        <w:tab/>
      </w:r>
      <w:r w:rsidRPr="004A5227">
        <w:rPr>
          <w:noProof/>
        </w:rPr>
        <w:fldChar w:fldCharType="begin"/>
      </w:r>
      <w:r w:rsidRPr="004A5227">
        <w:rPr>
          <w:noProof/>
        </w:rPr>
        <w:instrText xml:space="preserve"> PAGEREF _Toc413419156 \h </w:instrText>
      </w:r>
      <w:r w:rsidRPr="004A5227">
        <w:rPr>
          <w:noProof/>
        </w:rPr>
      </w:r>
      <w:r w:rsidRPr="004A5227">
        <w:rPr>
          <w:noProof/>
        </w:rPr>
        <w:fldChar w:fldCharType="separate"/>
      </w:r>
      <w:r w:rsidR="007754D5">
        <w:rPr>
          <w:noProof/>
        </w:rPr>
        <w:t>66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113</w:t>
      </w:r>
      <w:r w:rsidRPr="004A5227">
        <w:rPr>
          <w:noProof/>
        </w:rPr>
        <w:tab/>
        <w:t>Routing arrangements</w:t>
      </w:r>
      <w:r w:rsidRPr="004A5227">
        <w:rPr>
          <w:noProof/>
        </w:rPr>
        <w:tab/>
      </w:r>
      <w:r w:rsidRPr="004A5227">
        <w:rPr>
          <w:noProof/>
        </w:rPr>
        <w:fldChar w:fldCharType="begin"/>
      </w:r>
      <w:r w:rsidRPr="004A5227">
        <w:rPr>
          <w:noProof/>
        </w:rPr>
        <w:instrText xml:space="preserve"> PAGEREF _Toc413419157 \h </w:instrText>
      </w:r>
      <w:r w:rsidRPr="004A5227">
        <w:rPr>
          <w:noProof/>
        </w:rPr>
      </w:r>
      <w:r w:rsidRPr="004A5227">
        <w:rPr>
          <w:noProof/>
        </w:rPr>
        <w:fldChar w:fldCharType="separate"/>
      </w:r>
      <w:r w:rsidR="007754D5">
        <w:rPr>
          <w:noProof/>
        </w:rPr>
        <w:t>66</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114</w:t>
      </w:r>
      <w:r w:rsidRPr="004A5227">
        <w:rPr>
          <w:noProof/>
        </w:rPr>
        <w:tab/>
        <w:t>Cancellation of service to ported number</w:t>
      </w:r>
      <w:r w:rsidRPr="004A5227">
        <w:rPr>
          <w:noProof/>
        </w:rPr>
        <w:tab/>
      </w:r>
      <w:r w:rsidRPr="004A5227">
        <w:rPr>
          <w:noProof/>
        </w:rPr>
        <w:fldChar w:fldCharType="begin"/>
      </w:r>
      <w:r w:rsidRPr="004A5227">
        <w:rPr>
          <w:noProof/>
        </w:rPr>
        <w:instrText xml:space="preserve"> PAGEREF _Toc413419158 \h </w:instrText>
      </w:r>
      <w:r w:rsidRPr="004A5227">
        <w:rPr>
          <w:noProof/>
        </w:rPr>
      </w:r>
      <w:r w:rsidRPr="004A5227">
        <w:rPr>
          <w:noProof/>
        </w:rPr>
        <w:fldChar w:fldCharType="separate"/>
      </w:r>
      <w:r w:rsidR="007754D5">
        <w:rPr>
          <w:noProof/>
        </w:rPr>
        <w:t>67</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3—Exemptions from obligations</w:t>
      </w:r>
      <w:r w:rsidRPr="004A5227">
        <w:rPr>
          <w:b w:val="0"/>
          <w:noProof/>
          <w:sz w:val="18"/>
        </w:rPr>
        <w:tab/>
      </w:r>
      <w:r w:rsidRPr="004A5227">
        <w:rPr>
          <w:b w:val="0"/>
          <w:noProof/>
          <w:sz w:val="18"/>
        </w:rPr>
        <w:fldChar w:fldCharType="begin"/>
      </w:r>
      <w:r w:rsidRPr="004A5227">
        <w:rPr>
          <w:b w:val="0"/>
          <w:noProof/>
          <w:sz w:val="18"/>
        </w:rPr>
        <w:instrText xml:space="preserve"> PAGEREF _Toc413419159 \h </w:instrText>
      </w:r>
      <w:r w:rsidRPr="004A5227">
        <w:rPr>
          <w:b w:val="0"/>
          <w:noProof/>
          <w:sz w:val="18"/>
        </w:rPr>
      </w:r>
      <w:r w:rsidRPr="004A5227">
        <w:rPr>
          <w:b w:val="0"/>
          <w:noProof/>
          <w:sz w:val="18"/>
        </w:rPr>
        <w:fldChar w:fldCharType="separate"/>
      </w:r>
      <w:r w:rsidR="007754D5">
        <w:rPr>
          <w:b w:val="0"/>
          <w:noProof/>
          <w:sz w:val="18"/>
        </w:rPr>
        <w:t>68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115</w:t>
      </w:r>
      <w:r w:rsidRPr="004A5227">
        <w:rPr>
          <w:noProof/>
        </w:rPr>
        <w:tab/>
        <w:t>Application for exemption from obligations in this Chapter</w:t>
      </w:r>
      <w:r w:rsidRPr="004A5227">
        <w:rPr>
          <w:noProof/>
        </w:rPr>
        <w:tab/>
      </w:r>
      <w:r w:rsidRPr="004A5227">
        <w:rPr>
          <w:noProof/>
        </w:rPr>
        <w:fldChar w:fldCharType="begin"/>
      </w:r>
      <w:r w:rsidRPr="004A5227">
        <w:rPr>
          <w:noProof/>
        </w:rPr>
        <w:instrText xml:space="preserve"> PAGEREF _Toc413419160 \h </w:instrText>
      </w:r>
      <w:r w:rsidRPr="004A5227">
        <w:rPr>
          <w:noProof/>
        </w:rPr>
      </w:r>
      <w:r w:rsidRPr="004A5227">
        <w:rPr>
          <w:noProof/>
        </w:rPr>
        <w:fldChar w:fldCharType="separate"/>
      </w:r>
      <w:r w:rsidR="007754D5">
        <w:rPr>
          <w:noProof/>
        </w:rPr>
        <w:t>68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116</w:t>
      </w:r>
      <w:r w:rsidRPr="004A5227">
        <w:rPr>
          <w:noProof/>
        </w:rPr>
        <w:tab/>
        <w:t>Compliance not required while application is considered</w:t>
      </w:r>
      <w:r w:rsidRPr="004A5227">
        <w:rPr>
          <w:noProof/>
        </w:rPr>
        <w:tab/>
      </w:r>
      <w:r w:rsidRPr="004A5227">
        <w:rPr>
          <w:noProof/>
        </w:rPr>
        <w:fldChar w:fldCharType="begin"/>
      </w:r>
      <w:r w:rsidRPr="004A5227">
        <w:rPr>
          <w:noProof/>
        </w:rPr>
        <w:instrText xml:space="preserve"> PAGEREF _Toc413419161 \h </w:instrText>
      </w:r>
      <w:r w:rsidRPr="004A5227">
        <w:rPr>
          <w:noProof/>
        </w:rPr>
      </w:r>
      <w:r w:rsidRPr="004A5227">
        <w:rPr>
          <w:noProof/>
        </w:rPr>
        <w:fldChar w:fldCharType="separate"/>
      </w:r>
      <w:r w:rsidR="007754D5">
        <w:rPr>
          <w:noProof/>
        </w:rPr>
        <w:t>68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117</w:t>
      </w:r>
      <w:r w:rsidRPr="004A5227">
        <w:rPr>
          <w:noProof/>
        </w:rPr>
        <w:tab/>
        <w:t>Consultation with ACCC</w:t>
      </w:r>
      <w:r w:rsidRPr="004A5227">
        <w:rPr>
          <w:noProof/>
        </w:rPr>
        <w:tab/>
      </w:r>
      <w:r w:rsidRPr="004A5227">
        <w:rPr>
          <w:noProof/>
        </w:rPr>
        <w:fldChar w:fldCharType="begin"/>
      </w:r>
      <w:r w:rsidRPr="004A5227">
        <w:rPr>
          <w:noProof/>
        </w:rPr>
        <w:instrText xml:space="preserve"> PAGEREF _Toc413419162 \h </w:instrText>
      </w:r>
      <w:r w:rsidRPr="004A5227">
        <w:rPr>
          <w:noProof/>
        </w:rPr>
      </w:r>
      <w:r w:rsidRPr="004A5227">
        <w:rPr>
          <w:noProof/>
        </w:rPr>
        <w:fldChar w:fldCharType="separate"/>
      </w:r>
      <w:r w:rsidR="007754D5">
        <w:rPr>
          <w:noProof/>
        </w:rPr>
        <w:t>68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118</w:t>
      </w:r>
      <w:r w:rsidRPr="004A5227">
        <w:rPr>
          <w:noProof/>
        </w:rPr>
        <w:tab/>
        <w:t>Deciding application for exemption</w:t>
      </w:r>
      <w:r w:rsidRPr="004A5227">
        <w:rPr>
          <w:noProof/>
        </w:rPr>
        <w:tab/>
      </w:r>
      <w:r w:rsidRPr="004A5227">
        <w:rPr>
          <w:noProof/>
        </w:rPr>
        <w:fldChar w:fldCharType="begin"/>
      </w:r>
      <w:r w:rsidRPr="004A5227">
        <w:rPr>
          <w:noProof/>
        </w:rPr>
        <w:instrText xml:space="preserve"> PAGEREF _Toc413419163 \h </w:instrText>
      </w:r>
      <w:r w:rsidRPr="004A5227">
        <w:rPr>
          <w:noProof/>
        </w:rPr>
      </w:r>
      <w:r w:rsidRPr="004A5227">
        <w:rPr>
          <w:noProof/>
        </w:rPr>
        <w:fldChar w:fldCharType="separate"/>
      </w:r>
      <w:r w:rsidR="007754D5">
        <w:rPr>
          <w:noProof/>
        </w:rPr>
        <w:t>68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119</w:t>
      </w:r>
      <w:r w:rsidRPr="004A5227">
        <w:rPr>
          <w:noProof/>
        </w:rPr>
        <w:tab/>
        <w:t>Request for further information</w:t>
      </w:r>
      <w:r w:rsidRPr="004A5227">
        <w:rPr>
          <w:noProof/>
        </w:rPr>
        <w:tab/>
      </w:r>
      <w:r w:rsidRPr="004A5227">
        <w:rPr>
          <w:noProof/>
        </w:rPr>
        <w:fldChar w:fldCharType="begin"/>
      </w:r>
      <w:r w:rsidRPr="004A5227">
        <w:rPr>
          <w:noProof/>
        </w:rPr>
        <w:instrText xml:space="preserve"> PAGEREF _Toc413419164 \h </w:instrText>
      </w:r>
      <w:r w:rsidRPr="004A5227">
        <w:rPr>
          <w:noProof/>
        </w:rPr>
      </w:r>
      <w:r w:rsidRPr="004A5227">
        <w:rPr>
          <w:noProof/>
        </w:rPr>
        <w:fldChar w:fldCharType="separate"/>
      </w:r>
      <w:r w:rsidR="007754D5">
        <w:rPr>
          <w:noProof/>
        </w:rPr>
        <w:t>69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120</w:t>
      </w:r>
      <w:r w:rsidRPr="004A5227">
        <w:rPr>
          <w:noProof/>
        </w:rPr>
        <w:tab/>
        <w:t>Notice of decision about exemption</w:t>
      </w:r>
      <w:r w:rsidRPr="004A5227">
        <w:rPr>
          <w:noProof/>
        </w:rPr>
        <w:tab/>
      </w:r>
      <w:r w:rsidRPr="004A5227">
        <w:rPr>
          <w:noProof/>
        </w:rPr>
        <w:fldChar w:fldCharType="begin"/>
      </w:r>
      <w:r w:rsidRPr="004A5227">
        <w:rPr>
          <w:noProof/>
        </w:rPr>
        <w:instrText xml:space="preserve"> PAGEREF _Toc413419165 \h </w:instrText>
      </w:r>
      <w:r w:rsidRPr="004A5227">
        <w:rPr>
          <w:noProof/>
        </w:rPr>
      </w:r>
      <w:r w:rsidRPr="004A5227">
        <w:rPr>
          <w:noProof/>
        </w:rPr>
        <w:fldChar w:fldCharType="separate"/>
      </w:r>
      <w:r w:rsidR="007754D5">
        <w:rPr>
          <w:noProof/>
        </w:rPr>
        <w:t>69</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11—General matters relating to administration, review and reporting</w:t>
      </w:r>
      <w:r w:rsidRPr="004A5227">
        <w:rPr>
          <w:b w:val="0"/>
          <w:noProof/>
          <w:sz w:val="18"/>
        </w:rPr>
        <w:tab/>
      </w:r>
      <w:r w:rsidRPr="004A5227">
        <w:rPr>
          <w:b w:val="0"/>
          <w:noProof/>
          <w:sz w:val="18"/>
        </w:rPr>
        <w:fldChar w:fldCharType="begin"/>
      </w:r>
      <w:r w:rsidRPr="004A5227">
        <w:rPr>
          <w:b w:val="0"/>
          <w:noProof/>
          <w:sz w:val="18"/>
        </w:rPr>
        <w:instrText xml:space="preserve"> PAGEREF _Toc413419166 \h </w:instrText>
      </w:r>
      <w:r w:rsidRPr="004A5227">
        <w:rPr>
          <w:b w:val="0"/>
          <w:noProof/>
          <w:sz w:val="18"/>
        </w:rPr>
      </w:r>
      <w:r w:rsidRPr="004A5227">
        <w:rPr>
          <w:b w:val="0"/>
          <w:noProof/>
          <w:sz w:val="18"/>
        </w:rPr>
        <w:fldChar w:fldCharType="separate"/>
      </w:r>
      <w:r w:rsidR="007754D5">
        <w:rPr>
          <w:b w:val="0"/>
          <w:noProof/>
          <w:sz w:val="18"/>
        </w:rPr>
        <w:t>71</w:t>
      </w:r>
      <w:r w:rsidRPr="004A5227">
        <w:rPr>
          <w:b w:val="0"/>
          <w:noProof/>
          <w:sz w:val="18"/>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1—Registration of carriage service providers</w:t>
      </w:r>
      <w:r w:rsidRPr="004A5227">
        <w:rPr>
          <w:b w:val="0"/>
          <w:noProof/>
          <w:sz w:val="18"/>
        </w:rPr>
        <w:tab/>
      </w:r>
      <w:r w:rsidRPr="004A5227">
        <w:rPr>
          <w:b w:val="0"/>
          <w:noProof/>
          <w:sz w:val="18"/>
        </w:rPr>
        <w:fldChar w:fldCharType="begin"/>
      </w:r>
      <w:r w:rsidRPr="004A5227">
        <w:rPr>
          <w:b w:val="0"/>
          <w:noProof/>
          <w:sz w:val="18"/>
        </w:rPr>
        <w:instrText xml:space="preserve"> PAGEREF _Toc413419167 \h </w:instrText>
      </w:r>
      <w:r w:rsidRPr="004A5227">
        <w:rPr>
          <w:b w:val="0"/>
          <w:noProof/>
          <w:sz w:val="18"/>
        </w:rPr>
      </w:r>
      <w:r w:rsidRPr="004A5227">
        <w:rPr>
          <w:b w:val="0"/>
          <w:noProof/>
          <w:sz w:val="18"/>
        </w:rPr>
        <w:fldChar w:fldCharType="separate"/>
      </w:r>
      <w:r w:rsidR="007754D5">
        <w:rPr>
          <w:b w:val="0"/>
          <w:noProof/>
          <w:sz w:val="18"/>
        </w:rPr>
        <w:t>71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121</w:t>
      </w:r>
      <w:r w:rsidRPr="004A5227">
        <w:rPr>
          <w:noProof/>
        </w:rPr>
        <w:tab/>
        <w:t>Application for registration</w:t>
      </w:r>
      <w:r w:rsidRPr="004A5227">
        <w:rPr>
          <w:noProof/>
        </w:rPr>
        <w:tab/>
      </w:r>
      <w:r w:rsidRPr="004A5227">
        <w:rPr>
          <w:noProof/>
        </w:rPr>
        <w:fldChar w:fldCharType="begin"/>
      </w:r>
      <w:r w:rsidRPr="004A5227">
        <w:rPr>
          <w:noProof/>
        </w:rPr>
        <w:instrText xml:space="preserve"> PAGEREF _Toc413419168 \h </w:instrText>
      </w:r>
      <w:r w:rsidRPr="004A5227">
        <w:rPr>
          <w:noProof/>
        </w:rPr>
      </w:r>
      <w:r w:rsidRPr="004A5227">
        <w:rPr>
          <w:noProof/>
        </w:rPr>
        <w:fldChar w:fldCharType="separate"/>
      </w:r>
      <w:r w:rsidR="007754D5">
        <w:rPr>
          <w:noProof/>
        </w:rPr>
        <w:t>71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122</w:t>
      </w:r>
      <w:r w:rsidRPr="004A5227">
        <w:rPr>
          <w:noProof/>
        </w:rPr>
        <w:tab/>
        <w:t>Registration of carriage service provider</w:t>
      </w:r>
      <w:r w:rsidRPr="004A5227">
        <w:rPr>
          <w:noProof/>
        </w:rPr>
        <w:tab/>
      </w:r>
      <w:r w:rsidRPr="004A5227">
        <w:rPr>
          <w:noProof/>
        </w:rPr>
        <w:fldChar w:fldCharType="begin"/>
      </w:r>
      <w:r w:rsidRPr="004A5227">
        <w:rPr>
          <w:noProof/>
        </w:rPr>
        <w:instrText xml:space="preserve"> PAGEREF _Toc413419169 \h </w:instrText>
      </w:r>
      <w:r w:rsidRPr="004A5227">
        <w:rPr>
          <w:noProof/>
        </w:rPr>
      </w:r>
      <w:r w:rsidRPr="004A5227">
        <w:rPr>
          <w:noProof/>
        </w:rPr>
        <w:fldChar w:fldCharType="separate"/>
      </w:r>
      <w:r w:rsidR="007754D5">
        <w:rPr>
          <w:noProof/>
        </w:rPr>
        <w:t>71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123</w:t>
      </w:r>
      <w:r w:rsidRPr="004A5227">
        <w:rPr>
          <w:noProof/>
        </w:rPr>
        <w:tab/>
        <w:t>Registered carriage service provider must update information</w:t>
      </w:r>
      <w:r w:rsidRPr="004A5227">
        <w:rPr>
          <w:noProof/>
        </w:rPr>
        <w:tab/>
      </w:r>
      <w:r w:rsidRPr="004A5227">
        <w:rPr>
          <w:noProof/>
        </w:rPr>
        <w:fldChar w:fldCharType="begin"/>
      </w:r>
      <w:r w:rsidRPr="004A5227">
        <w:rPr>
          <w:noProof/>
        </w:rPr>
        <w:instrText xml:space="preserve"> PAGEREF _Toc413419170 \h </w:instrText>
      </w:r>
      <w:r w:rsidRPr="004A5227">
        <w:rPr>
          <w:noProof/>
        </w:rPr>
      </w:r>
      <w:r w:rsidRPr="004A5227">
        <w:rPr>
          <w:noProof/>
        </w:rPr>
        <w:fldChar w:fldCharType="separate"/>
      </w:r>
      <w:r w:rsidR="007754D5">
        <w:rPr>
          <w:noProof/>
        </w:rPr>
        <w:t>71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124</w:t>
      </w:r>
      <w:r w:rsidRPr="004A5227">
        <w:rPr>
          <w:noProof/>
        </w:rPr>
        <w:tab/>
        <w:t>Transitional—registration under previous numbering plan</w:t>
      </w:r>
      <w:r w:rsidRPr="004A5227">
        <w:rPr>
          <w:noProof/>
        </w:rPr>
        <w:tab/>
      </w:r>
      <w:r w:rsidRPr="004A5227">
        <w:rPr>
          <w:noProof/>
        </w:rPr>
        <w:fldChar w:fldCharType="begin"/>
      </w:r>
      <w:r w:rsidRPr="004A5227">
        <w:rPr>
          <w:noProof/>
        </w:rPr>
        <w:instrText xml:space="preserve"> PAGEREF _Toc413419171 \h </w:instrText>
      </w:r>
      <w:r w:rsidRPr="004A5227">
        <w:rPr>
          <w:noProof/>
        </w:rPr>
      </w:r>
      <w:r w:rsidRPr="004A5227">
        <w:rPr>
          <w:noProof/>
        </w:rPr>
        <w:fldChar w:fldCharType="separate"/>
      </w:r>
      <w:r w:rsidR="007754D5">
        <w:rPr>
          <w:noProof/>
        </w:rPr>
        <w:t>71</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2—Monitoring and reporting</w:t>
      </w:r>
      <w:r w:rsidRPr="004A5227">
        <w:rPr>
          <w:b w:val="0"/>
          <w:noProof/>
          <w:sz w:val="18"/>
        </w:rPr>
        <w:tab/>
      </w:r>
      <w:r w:rsidRPr="004A5227">
        <w:rPr>
          <w:b w:val="0"/>
          <w:noProof/>
          <w:sz w:val="18"/>
        </w:rPr>
        <w:fldChar w:fldCharType="begin"/>
      </w:r>
      <w:r w:rsidRPr="004A5227">
        <w:rPr>
          <w:b w:val="0"/>
          <w:noProof/>
          <w:sz w:val="18"/>
        </w:rPr>
        <w:instrText xml:space="preserve"> PAGEREF _Toc413419172 \h </w:instrText>
      </w:r>
      <w:r w:rsidRPr="004A5227">
        <w:rPr>
          <w:b w:val="0"/>
          <w:noProof/>
          <w:sz w:val="18"/>
        </w:rPr>
      </w:r>
      <w:r w:rsidRPr="004A5227">
        <w:rPr>
          <w:b w:val="0"/>
          <w:noProof/>
          <w:sz w:val="18"/>
        </w:rPr>
        <w:fldChar w:fldCharType="separate"/>
      </w:r>
      <w:r w:rsidR="007754D5">
        <w:rPr>
          <w:b w:val="0"/>
          <w:noProof/>
          <w:sz w:val="18"/>
        </w:rPr>
        <w:t>72</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125</w:t>
      </w:r>
      <w:r w:rsidRPr="004A5227">
        <w:rPr>
          <w:noProof/>
        </w:rPr>
        <w:tab/>
        <w:t>Report on numbers transferred for purposes of numbering charge</w:t>
      </w:r>
      <w:r w:rsidRPr="004A5227">
        <w:rPr>
          <w:noProof/>
        </w:rPr>
        <w:tab/>
      </w:r>
      <w:r w:rsidRPr="004A5227">
        <w:rPr>
          <w:noProof/>
        </w:rPr>
        <w:fldChar w:fldCharType="begin"/>
      </w:r>
      <w:r w:rsidRPr="004A5227">
        <w:rPr>
          <w:noProof/>
        </w:rPr>
        <w:instrText xml:space="preserve"> PAGEREF _Toc413419173 \h </w:instrText>
      </w:r>
      <w:r w:rsidRPr="004A5227">
        <w:rPr>
          <w:noProof/>
        </w:rPr>
      </w:r>
      <w:r w:rsidRPr="004A5227">
        <w:rPr>
          <w:noProof/>
        </w:rPr>
        <w:fldChar w:fldCharType="separate"/>
      </w:r>
      <w:r w:rsidR="007754D5">
        <w:rPr>
          <w:noProof/>
        </w:rPr>
        <w:t>72</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126</w:t>
      </w:r>
      <w:r w:rsidRPr="004A5227">
        <w:rPr>
          <w:noProof/>
        </w:rPr>
        <w:tab/>
        <w:t>ACMA usage of reports</w:t>
      </w:r>
      <w:r w:rsidRPr="004A5227">
        <w:rPr>
          <w:noProof/>
        </w:rPr>
        <w:tab/>
      </w:r>
      <w:r w:rsidRPr="004A5227">
        <w:rPr>
          <w:noProof/>
        </w:rPr>
        <w:fldChar w:fldCharType="begin"/>
      </w:r>
      <w:r w:rsidRPr="004A5227">
        <w:rPr>
          <w:noProof/>
        </w:rPr>
        <w:instrText xml:space="preserve"> PAGEREF _Toc413419174 \h </w:instrText>
      </w:r>
      <w:r w:rsidRPr="004A5227">
        <w:rPr>
          <w:noProof/>
        </w:rPr>
      </w:r>
      <w:r w:rsidRPr="004A5227">
        <w:rPr>
          <w:noProof/>
        </w:rPr>
        <w:fldChar w:fldCharType="separate"/>
      </w:r>
      <w:r w:rsidR="007754D5">
        <w:rPr>
          <w:noProof/>
        </w:rPr>
        <w:t>72</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3—Review of decisions</w:t>
      </w:r>
      <w:r w:rsidRPr="004A5227">
        <w:rPr>
          <w:b w:val="0"/>
          <w:noProof/>
          <w:sz w:val="18"/>
        </w:rPr>
        <w:tab/>
      </w:r>
      <w:r w:rsidRPr="004A5227">
        <w:rPr>
          <w:b w:val="0"/>
          <w:noProof/>
          <w:sz w:val="18"/>
        </w:rPr>
        <w:fldChar w:fldCharType="begin"/>
      </w:r>
      <w:r w:rsidRPr="004A5227">
        <w:rPr>
          <w:b w:val="0"/>
          <w:noProof/>
          <w:sz w:val="18"/>
        </w:rPr>
        <w:instrText xml:space="preserve"> PAGEREF _Toc413419175 \h </w:instrText>
      </w:r>
      <w:r w:rsidRPr="004A5227">
        <w:rPr>
          <w:b w:val="0"/>
          <w:noProof/>
          <w:sz w:val="18"/>
        </w:rPr>
      </w:r>
      <w:r w:rsidRPr="004A5227">
        <w:rPr>
          <w:b w:val="0"/>
          <w:noProof/>
          <w:sz w:val="18"/>
        </w:rPr>
        <w:fldChar w:fldCharType="separate"/>
      </w:r>
      <w:r w:rsidR="007754D5">
        <w:rPr>
          <w:b w:val="0"/>
          <w:noProof/>
          <w:sz w:val="18"/>
        </w:rPr>
        <w:t>74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127</w:t>
      </w:r>
      <w:r w:rsidRPr="004A5227">
        <w:rPr>
          <w:noProof/>
        </w:rPr>
        <w:tab/>
        <w:t>Reviewable decisions</w:t>
      </w:r>
      <w:r w:rsidRPr="004A5227">
        <w:rPr>
          <w:noProof/>
        </w:rPr>
        <w:tab/>
      </w:r>
      <w:r w:rsidRPr="004A5227">
        <w:rPr>
          <w:noProof/>
        </w:rPr>
        <w:fldChar w:fldCharType="begin"/>
      </w:r>
      <w:r w:rsidRPr="004A5227">
        <w:rPr>
          <w:noProof/>
        </w:rPr>
        <w:instrText xml:space="preserve"> PAGEREF _Toc413419176 \h </w:instrText>
      </w:r>
      <w:r w:rsidRPr="004A5227">
        <w:rPr>
          <w:noProof/>
        </w:rPr>
      </w:r>
      <w:r w:rsidRPr="004A5227">
        <w:rPr>
          <w:noProof/>
        </w:rPr>
        <w:fldChar w:fldCharType="separate"/>
      </w:r>
      <w:r w:rsidR="007754D5">
        <w:rPr>
          <w:noProof/>
        </w:rPr>
        <w:t>74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lastRenderedPageBreak/>
        <w:t>128</w:t>
      </w:r>
      <w:r w:rsidRPr="004A5227">
        <w:rPr>
          <w:noProof/>
        </w:rPr>
        <w:tab/>
        <w:t>Statement to accompany notice of reviewable decision</w:t>
      </w:r>
      <w:r w:rsidRPr="004A5227">
        <w:rPr>
          <w:noProof/>
        </w:rPr>
        <w:tab/>
      </w:r>
      <w:r w:rsidRPr="004A5227">
        <w:rPr>
          <w:noProof/>
        </w:rPr>
        <w:fldChar w:fldCharType="begin"/>
      </w:r>
      <w:r w:rsidRPr="004A5227">
        <w:rPr>
          <w:noProof/>
        </w:rPr>
        <w:instrText xml:space="preserve"> PAGEREF _Toc413419177 \h </w:instrText>
      </w:r>
      <w:r w:rsidRPr="004A5227">
        <w:rPr>
          <w:noProof/>
        </w:rPr>
      </w:r>
      <w:r w:rsidRPr="004A5227">
        <w:rPr>
          <w:noProof/>
        </w:rPr>
        <w:fldChar w:fldCharType="separate"/>
      </w:r>
      <w:r w:rsidR="007754D5">
        <w:rPr>
          <w:noProof/>
        </w:rPr>
        <w:t>75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129</w:t>
      </w:r>
      <w:r w:rsidRPr="004A5227">
        <w:rPr>
          <w:noProof/>
        </w:rPr>
        <w:tab/>
        <w:t>Reconsideration by ACMA</w:t>
      </w:r>
      <w:r w:rsidRPr="004A5227">
        <w:rPr>
          <w:noProof/>
        </w:rPr>
        <w:tab/>
      </w:r>
      <w:r w:rsidRPr="004A5227">
        <w:rPr>
          <w:noProof/>
        </w:rPr>
        <w:fldChar w:fldCharType="begin"/>
      </w:r>
      <w:r w:rsidRPr="004A5227">
        <w:rPr>
          <w:noProof/>
        </w:rPr>
        <w:instrText xml:space="preserve"> PAGEREF _Toc413419178 \h </w:instrText>
      </w:r>
      <w:r w:rsidRPr="004A5227">
        <w:rPr>
          <w:noProof/>
        </w:rPr>
      </w:r>
      <w:r w:rsidRPr="004A5227">
        <w:rPr>
          <w:noProof/>
        </w:rPr>
        <w:fldChar w:fldCharType="separate"/>
      </w:r>
      <w:r w:rsidR="007754D5">
        <w:rPr>
          <w:noProof/>
        </w:rPr>
        <w:t>75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130</w:t>
      </w:r>
      <w:r w:rsidRPr="004A5227">
        <w:rPr>
          <w:noProof/>
        </w:rPr>
        <w:tab/>
        <w:t>Statements to accompany notice of decision on reconsideration</w:t>
      </w:r>
      <w:r w:rsidRPr="004A5227">
        <w:rPr>
          <w:noProof/>
        </w:rPr>
        <w:tab/>
      </w:r>
      <w:r w:rsidRPr="004A5227">
        <w:rPr>
          <w:noProof/>
        </w:rPr>
        <w:fldChar w:fldCharType="begin"/>
      </w:r>
      <w:r w:rsidRPr="004A5227">
        <w:rPr>
          <w:noProof/>
        </w:rPr>
        <w:instrText xml:space="preserve"> PAGEREF _Toc413419179 \h </w:instrText>
      </w:r>
      <w:r w:rsidRPr="004A5227">
        <w:rPr>
          <w:noProof/>
        </w:rPr>
      </w:r>
      <w:r w:rsidRPr="004A5227">
        <w:rPr>
          <w:noProof/>
        </w:rPr>
        <w:fldChar w:fldCharType="separate"/>
      </w:r>
      <w:r w:rsidR="007754D5">
        <w:rPr>
          <w:noProof/>
        </w:rPr>
        <w:t>75</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131</w:t>
      </w:r>
      <w:r w:rsidRPr="004A5227">
        <w:rPr>
          <w:noProof/>
        </w:rPr>
        <w:tab/>
        <w:t>Review by Administrative Appeals Tribunal</w:t>
      </w:r>
      <w:r w:rsidRPr="004A5227">
        <w:rPr>
          <w:noProof/>
        </w:rPr>
        <w:tab/>
      </w:r>
      <w:r w:rsidRPr="004A5227">
        <w:rPr>
          <w:noProof/>
        </w:rPr>
        <w:fldChar w:fldCharType="begin"/>
      </w:r>
      <w:r w:rsidRPr="004A5227">
        <w:rPr>
          <w:noProof/>
        </w:rPr>
        <w:instrText xml:space="preserve"> PAGEREF _Toc413419180 \h </w:instrText>
      </w:r>
      <w:r w:rsidRPr="004A5227">
        <w:rPr>
          <w:noProof/>
        </w:rPr>
      </w:r>
      <w:r w:rsidRPr="004A5227">
        <w:rPr>
          <w:noProof/>
        </w:rPr>
        <w:fldChar w:fldCharType="separate"/>
      </w:r>
      <w:r w:rsidR="007754D5">
        <w:rPr>
          <w:noProof/>
        </w:rPr>
        <w:t>76</w:t>
      </w:r>
      <w:r w:rsidRPr="004A5227">
        <w:rPr>
          <w:noProof/>
        </w:rPr>
        <w:fldChar w:fldCharType="end"/>
      </w:r>
    </w:p>
    <w:p w:rsidR="00130C44" w:rsidRPr="004A5227" w:rsidRDefault="00130C44">
      <w:pPr>
        <w:pStyle w:val="TOC2"/>
        <w:rPr>
          <w:rFonts w:asciiTheme="minorHAnsi" w:eastAsiaTheme="minorEastAsia" w:hAnsiTheme="minorHAnsi" w:cstheme="minorBidi"/>
          <w:b w:val="0"/>
          <w:noProof/>
          <w:kern w:val="0"/>
          <w:sz w:val="22"/>
          <w:szCs w:val="22"/>
        </w:rPr>
      </w:pPr>
      <w:r w:rsidRPr="004A5227">
        <w:rPr>
          <w:noProof/>
        </w:rPr>
        <w:t>Part</w:t>
      </w:r>
      <w:r w:rsidR="004A5227" w:rsidRPr="004A5227">
        <w:rPr>
          <w:noProof/>
        </w:rPr>
        <w:t> </w:t>
      </w:r>
      <w:r w:rsidRPr="004A5227">
        <w:rPr>
          <w:noProof/>
        </w:rPr>
        <w:t>4—General matters</w:t>
      </w:r>
      <w:r w:rsidRPr="004A5227">
        <w:rPr>
          <w:b w:val="0"/>
          <w:noProof/>
          <w:sz w:val="18"/>
        </w:rPr>
        <w:tab/>
      </w:r>
      <w:r w:rsidRPr="004A5227">
        <w:rPr>
          <w:b w:val="0"/>
          <w:noProof/>
          <w:sz w:val="18"/>
        </w:rPr>
        <w:fldChar w:fldCharType="begin"/>
      </w:r>
      <w:r w:rsidRPr="004A5227">
        <w:rPr>
          <w:b w:val="0"/>
          <w:noProof/>
          <w:sz w:val="18"/>
        </w:rPr>
        <w:instrText xml:space="preserve"> PAGEREF _Toc413419181 \h </w:instrText>
      </w:r>
      <w:r w:rsidRPr="004A5227">
        <w:rPr>
          <w:b w:val="0"/>
          <w:noProof/>
          <w:sz w:val="18"/>
        </w:rPr>
      </w:r>
      <w:r w:rsidRPr="004A5227">
        <w:rPr>
          <w:b w:val="0"/>
          <w:noProof/>
          <w:sz w:val="18"/>
        </w:rPr>
        <w:fldChar w:fldCharType="separate"/>
      </w:r>
      <w:r w:rsidR="007754D5">
        <w:rPr>
          <w:b w:val="0"/>
          <w:noProof/>
          <w:sz w:val="18"/>
        </w:rPr>
        <w:t>77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132</w:t>
      </w:r>
      <w:r w:rsidRPr="004A5227">
        <w:rPr>
          <w:noProof/>
        </w:rPr>
        <w:tab/>
        <w:t>Use of computer program to make decisions</w:t>
      </w:r>
      <w:r w:rsidRPr="004A5227">
        <w:rPr>
          <w:noProof/>
        </w:rPr>
        <w:tab/>
      </w:r>
      <w:r w:rsidRPr="004A5227">
        <w:rPr>
          <w:noProof/>
        </w:rPr>
        <w:fldChar w:fldCharType="begin"/>
      </w:r>
      <w:r w:rsidRPr="004A5227">
        <w:rPr>
          <w:noProof/>
        </w:rPr>
        <w:instrText xml:space="preserve"> PAGEREF _Toc413419182 \h </w:instrText>
      </w:r>
      <w:r w:rsidRPr="004A5227">
        <w:rPr>
          <w:noProof/>
        </w:rPr>
      </w:r>
      <w:r w:rsidRPr="004A5227">
        <w:rPr>
          <w:noProof/>
        </w:rPr>
        <w:fldChar w:fldCharType="separate"/>
      </w:r>
      <w:r w:rsidR="007754D5">
        <w:rPr>
          <w:noProof/>
        </w:rPr>
        <w:t>77</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Chapter</w:t>
      </w:r>
      <w:r w:rsidR="004A5227" w:rsidRPr="004A5227">
        <w:rPr>
          <w:noProof/>
        </w:rPr>
        <w:t> </w:t>
      </w:r>
      <w:r w:rsidRPr="004A5227">
        <w:rPr>
          <w:noProof/>
        </w:rPr>
        <w:t>12—Transitional provisions</w:t>
      </w:r>
      <w:r w:rsidRPr="004A5227">
        <w:rPr>
          <w:b w:val="0"/>
          <w:noProof/>
          <w:sz w:val="18"/>
        </w:rPr>
        <w:tab/>
      </w:r>
      <w:r w:rsidRPr="004A5227">
        <w:rPr>
          <w:b w:val="0"/>
          <w:noProof/>
          <w:sz w:val="18"/>
        </w:rPr>
        <w:fldChar w:fldCharType="begin"/>
      </w:r>
      <w:r w:rsidRPr="004A5227">
        <w:rPr>
          <w:b w:val="0"/>
          <w:noProof/>
          <w:sz w:val="18"/>
        </w:rPr>
        <w:instrText xml:space="preserve"> PAGEREF _Toc413419183 \h </w:instrText>
      </w:r>
      <w:r w:rsidRPr="004A5227">
        <w:rPr>
          <w:b w:val="0"/>
          <w:noProof/>
          <w:sz w:val="18"/>
        </w:rPr>
      </w:r>
      <w:r w:rsidRPr="004A5227">
        <w:rPr>
          <w:b w:val="0"/>
          <w:noProof/>
          <w:sz w:val="18"/>
        </w:rPr>
        <w:fldChar w:fldCharType="separate"/>
      </w:r>
      <w:r w:rsidR="007754D5">
        <w:rPr>
          <w:b w:val="0"/>
          <w:noProof/>
          <w:sz w:val="18"/>
        </w:rPr>
        <w:t>78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133</w:t>
      </w:r>
      <w:r w:rsidRPr="004A5227">
        <w:rPr>
          <w:noProof/>
        </w:rPr>
        <w:tab/>
        <w:t>Previous allocations not affected by repeal</w:t>
      </w:r>
      <w:r w:rsidRPr="004A5227">
        <w:rPr>
          <w:noProof/>
        </w:rPr>
        <w:tab/>
      </w:r>
      <w:r w:rsidRPr="004A5227">
        <w:rPr>
          <w:noProof/>
        </w:rPr>
        <w:fldChar w:fldCharType="begin"/>
      </w:r>
      <w:r w:rsidRPr="004A5227">
        <w:rPr>
          <w:noProof/>
        </w:rPr>
        <w:instrText xml:space="preserve"> PAGEREF _Toc413419184 \h </w:instrText>
      </w:r>
      <w:r w:rsidRPr="004A5227">
        <w:rPr>
          <w:noProof/>
        </w:rPr>
      </w:r>
      <w:r w:rsidRPr="004A5227">
        <w:rPr>
          <w:noProof/>
        </w:rPr>
        <w:fldChar w:fldCharType="separate"/>
      </w:r>
      <w:r w:rsidR="007754D5">
        <w:rPr>
          <w:noProof/>
        </w:rPr>
        <w:t>78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134</w:t>
      </w:r>
      <w:r w:rsidRPr="004A5227">
        <w:rPr>
          <w:noProof/>
        </w:rPr>
        <w:tab/>
        <w:t>Mobile network codes assigned before commencement</w:t>
      </w:r>
      <w:r w:rsidRPr="004A5227">
        <w:rPr>
          <w:noProof/>
        </w:rPr>
        <w:tab/>
      </w:r>
      <w:r w:rsidRPr="004A5227">
        <w:rPr>
          <w:noProof/>
        </w:rPr>
        <w:fldChar w:fldCharType="begin"/>
      </w:r>
      <w:r w:rsidRPr="004A5227">
        <w:rPr>
          <w:noProof/>
        </w:rPr>
        <w:instrText xml:space="preserve"> PAGEREF _Toc413419185 \h </w:instrText>
      </w:r>
      <w:r w:rsidRPr="004A5227">
        <w:rPr>
          <w:noProof/>
        </w:rPr>
      </w:r>
      <w:r w:rsidRPr="004A5227">
        <w:rPr>
          <w:noProof/>
        </w:rPr>
        <w:fldChar w:fldCharType="separate"/>
      </w:r>
      <w:r w:rsidR="007754D5">
        <w:rPr>
          <w:noProof/>
        </w:rPr>
        <w:t>78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135</w:t>
      </w:r>
      <w:r w:rsidRPr="004A5227">
        <w:rPr>
          <w:noProof/>
        </w:rPr>
        <w:tab/>
        <w:t>Applications not dealt with under 1997 numbering plan</w:t>
      </w:r>
      <w:r w:rsidRPr="004A5227">
        <w:rPr>
          <w:noProof/>
        </w:rPr>
        <w:tab/>
      </w:r>
      <w:r w:rsidRPr="004A5227">
        <w:rPr>
          <w:noProof/>
        </w:rPr>
        <w:fldChar w:fldCharType="begin"/>
      </w:r>
      <w:r w:rsidRPr="004A5227">
        <w:rPr>
          <w:noProof/>
        </w:rPr>
        <w:instrText xml:space="preserve"> PAGEREF _Toc413419186 \h </w:instrText>
      </w:r>
      <w:r w:rsidRPr="004A5227">
        <w:rPr>
          <w:noProof/>
        </w:rPr>
      </w:r>
      <w:r w:rsidRPr="004A5227">
        <w:rPr>
          <w:noProof/>
        </w:rPr>
        <w:fldChar w:fldCharType="separate"/>
      </w:r>
      <w:r w:rsidR="007754D5">
        <w:rPr>
          <w:noProof/>
        </w:rPr>
        <w:t>78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136</w:t>
      </w:r>
      <w:r w:rsidRPr="004A5227">
        <w:rPr>
          <w:noProof/>
        </w:rPr>
        <w:tab/>
        <w:t>References to declarations in 1997 numbering plan</w:t>
      </w:r>
      <w:r w:rsidRPr="004A5227">
        <w:rPr>
          <w:noProof/>
        </w:rPr>
        <w:tab/>
      </w:r>
      <w:r w:rsidRPr="004A5227">
        <w:rPr>
          <w:noProof/>
        </w:rPr>
        <w:fldChar w:fldCharType="begin"/>
      </w:r>
      <w:r w:rsidRPr="004A5227">
        <w:rPr>
          <w:noProof/>
        </w:rPr>
        <w:instrText xml:space="preserve"> PAGEREF _Toc413419187 \h </w:instrText>
      </w:r>
      <w:r w:rsidRPr="004A5227">
        <w:rPr>
          <w:noProof/>
        </w:rPr>
      </w:r>
      <w:r w:rsidRPr="004A5227">
        <w:rPr>
          <w:noProof/>
        </w:rPr>
        <w:fldChar w:fldCharType="separate"/>
      </w:r>
      <w:r w:rsidR="007754D5">
        <w:rPr>
          <w:noProof/>
        </w:rPr>
        <w:t>78</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1—Geographic numbers</w:t>
      </w:r>
      <w:r w:rsidRPr="004A5227">
        <w:rPr>
          <w:b w:val="0"/>
          <w:noProof/>
          <w:sz w:val="18"/>
        </w:rPr>
        <w:tab/>
      </w:r>
      <w:r w:rsidRPr="004A5227">
        <w:rPr>
          <w:b w:val="0"/>
          <w:noProof/>
          <w:sz w:val="18"/>
        </w:rPr>
        <w:fldChar w:fldCharType="begin"/>
      </w:r>
      <w:r w:rsidRPr="004A5227">
        <w:rPr>
          <w:b w:val="0"/>
          <w:noProof/>
          <w:sz w:val="18"/>
        </w:rPr>
        <w:instrText xml:space="preserve"> PAGEREF _Toc413419188 \h </w:instrText>
      </w:r>
      <w:r w:rsidRPr="004A5227">
        <w:rPr>
          <w:b w:val="0"/>
          <w:noProof/>
          <w:sz w:val="18"/>
        </w:rPr>
      </w:r>
      <w:r w:rsidRPr="004A5227">
        <w:rPr>
          <w:b w:val="0"/>
          <w:noProof/>
          <w:sz w:val="18"/>
        </w:rPr>
        <w:fldChar w:fldCharType="separate"/>
      </w:r>
      <w:r w:rsidR="007754D5">
        <w:rPr>
          <w:b w:val="0"/>
          <w:noProof/>
          <w:sz w:val="18"/>
        </w:rPr>
        <w:t>79</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Central East Region</w:t>
      </w:r>
      <w:r w:rsidRPr="004A5227">
        <w:rPr>
          <w:noProof/>
        </w:rPr>
        <w:tab/>
      </w:r>
      <w:r w:rsidRPr="004A5227">
        <w:rPr>
          <w:noProof/>
        </w:rPr>
        <w:fldChar w:fldCharType="begin"/>
      </w:r>
      <w:r w:rsidRPr="004A5227">
        <w:rPr>
          <w:noProof/>
        </w:rPr>
        <w:instrText xml:space="preserve"> PAGEREF _Toc413419189 \h </w:instrText>
      </w:r>
      <w:r w:rsidRPr="004A5227">
        <w:rPr>
          <w:noProof/>
        </w:rPr>
      </w:r>
      <w:r w:rsidRPr="004A5227">
        <w:rPr>
          <w:noProof/>
        </w:rPr>
        <w:fldChar w:fldCharType="separate"/>
      </w:r>
      <w:r w:rsidR="007754D5">
        <w:rPr>
          <w:noProof/>
        </w:rPr>
        <w:t>79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South East Region</w:t>
      </w:r>
      <w:r w:rsidRPr="004A5227">
        <w:rPr>
          <w:noProof/>
        </w:rPr>
        <w:tab/>
      </w:r>
      <w:r w:rsidRPr="004A5227">
        <w:rPr>
          <w:noProof/>
        </w:rPr>
        <w:fldChar w:fldCharType="begin"/>
      </w:r>
      <w:r w:rsidRPr="004A5227">
        <w:rPr>
          <w:noProof/>
        </w:rPr>
        <w:instrText xml:space="preserve"> PAGEREF _Toc413419190 \h </w:instrText>
      </w:r>
      <w:r w:rsidRPr="004A5227">
        <w:rPr>
          <w:noProof/>
        </w:rPr>
      </w:r>
      <w:r w:rsidRPr="004A5227">
        <w:rPr>
          <w:noProof/>
        </w:rPr>
        <w:fldChar w:fldCharType="separate"/>
      </w:r>
      <w:r w:rsidR="007754D5">
        <w:rPr>
          <w:noProof/>
        </w:rPr>
        <w:t>84</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3</w:t>
      </w:r>
      <w:r w:rsidRPr="004A5227">
        <w:rPr>
          <w:noProof/>
        </w:rPr>
        <w:tab/>
        <w:t>North East Region</w:t>
      </w:r>
      <w:r w:rsidRPr="004A5227">
        <w:rPr>
          <w:noProof/>
        </w:rPr>
        <w:tab/>
      </w:r>
      <w:r w:rsidRPr="004A5227">
        <w:rPr>
          <w:noProof/>
        </w:rPr>
        <w:fldChar w:fldCharType="begin"/>
      </w:r>
      <w:r w:rsidRPr="004A5227">
        <w:rPr>
          <w:noProof/>
        </w:rPr>
        <w:instrText xml:space="preserve"> PAGEREF _Toc413419191 \h </w:instrText>
      </w:r>
      <w:r w:rsidRPr="004A5227">
        <w:rPr>
          <w:noProof/>
        </w:rPr>
      </w:r>
      <w:r w:rsidRPr="004A5227">
        <w:rPr>
          <w:noProof/>
        </w:rPr>
        <w:fldChar w:fldCharType="separate"/>
      </w:r>
      <w:r w:rsidR="007754D5">
        <w:rPr>
          <w:noProof/>
        </w:rPr>
        <w:t>89</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4</w:t>
      </w:r>
      <w:r w:rsidRPr="004A5227">
        <w:rPr>
          <w:noProof/>
        </w:rPr>
        <w:tab/>
        <w:t>Central and West Region</w:t>
      </w:r>
      <w:r w:rsidRPr="004A5227">
        <w:rPr>
          <w:noProof/>
        </w:rPr>
        <w:tab/>
      </w:r>
      <w:r w:rsidRPr="004A5227">
        <w:rPr>
          <w:noProof/>
        </w:rPr>
        <w:fldChar w:fldCharType="begin"/>
      </w:r>
      <w:r w:rsidRPr="004A5227">
        <w:rPr>
          <w:noProof/>
        </w:rPr>
        <w:instrText xml:space="preserve"> PAGEREF _Toc413419192 \h </w:instrText>
      </w:r>
      <w:r w:rsidRPr="004A5227">
        <w:rPr>
          <w:noProof/>
        </w:rPr>
      </w:r>
      <w:r w:rsidRPr="004A5227">
        <w:rPr>
          <w:noProof/>
        </w:rPr>
        <w:fldChar w:fldCharType="separate"/>
      </w:r>
      <w:r w:rsidR="007754D5">
        <w:rPr>
          <w:noProof/>
        </w:rPr>
        <w:t>94</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2—Freephone numbers</w:t>
      </w:r>
      <w:r w:rsidRPr="004A5227">
        <w:rPr>
          <w:b w:val="0"/>
          <w:noProof/>
          <w:sz w:val="18"/>
        </w:rPr>
        <w:tab/>
      </w:r>
      <w:r w:rsidRPr="004A5227">
        <w:rPr>
          <w:b w:val="0"/>
          <w:noProof/>
          <w:sz w:val="18"/>
        </w:rPr>
        <w:fldChar w:fldCharType="begin"/>
      </w:r>
      <w:r w:rsidRPr="004A5227">
        <w:rPr>
          <w:b w:val="0"/>
          <w:noProof/>
          <w:sz w:val="18"/>
        </w:rPr>
        <w:instrText xml:space="preserve"> PAGEREF _Toc413419193 \h </w:instrText>
      </w:r>
      <w:r w:rsidRPr="004A5227">
        <w:rPr>
          <w:b w:val="0"/>
          <w:noProof/>
          <w:sz w:val="18"/>
        </w:rPr>
      </w:r>
      <w:r w:rsidRPr="004A5227">
        <w:rPr>
          <w:b w:val="0"/>
          <w:noProof/>
          <w:sz w:val="18"/>
        </w:rPr>
        <w:fldChar w:fldCharType="separate"/>
      </w:r>
      <w:r w:rsidR="007754D5">
        <w:rPr>
          <w:b w:val="0"/>
          <w:noProof/>
          <w:sz w:val="18"/>
        </w:rPr>
        <w:t>105</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Freephone numbers</w:t>
      </w:r>
      <w:r w:rsidRPr="004A5227">
        <w:rPr>
          <w:noProof/>
        </w:rPr>
        <w:tab/>
      </w:r>
      <w:r w:rsidRPr="004A5227">
        <w:rPr>
          <w:noProof/>
        </w:rPr>
        <w:fldChar w:fldCharType="begin"/>
      </w:r>
      <w:r w:rsidRPr="004A5227">
        <w:rPr>
          <w:noProof/>
        </w:rPr>
        <w:instrText xml:space="preserve"> PAGEREF _Toc413419194 \h </w:instrText>
      </w:r>
      <w:r w:rsidRPr="004A5227">
        <w:rPr>
          <w:noProof/>
        </w:rPr>
      </w:r>
      <w:r w:rsidRPr="004A5227">
        <w:rPr>
          <w:noProof/>
        </w:rPr>
        <w:fldChar w:fldCharType="separate"/>
      </w:r>
      <w:r w:rsidR="007754D5">
        <w:rPr>
          <w:noProof/>
        </w:rPr>
        <w:t>105</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3—Local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_Toc413419195 \h </w:instrText>
      </w:r>
      <w:r w:rsidRPr="004A5227">
        <w:rPr>
          <w:b w:val="0"/>
          <w:noProof/>
          <w:sz w:val="18"/>
        </w:rPr>
      </w:r>
      <w:r w:rsidRPr="004A5227">
        <w:rPr>
          <w:b w:val="0"/>
          <w:noProof/>
          <w:sz w:val="18"/>
        </w:rPr>
        <w:fldChar w:fldCharType="separate"/>
      </w:r>
      <w:r w:rsidR="007754D5">
        <w:rPr>
          <w:b w:val="0"/>
          <w:noProof/>
          <w:sz w:val="18"/>
        </w:rPr>
        <w:t>106</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Local rate numbers</w:t>
      </w:r>
      <w:r w:rsidRPr="004A5227">
        <w:rPr>
          <w:noProof/>
        </w:rPr>
        <w:tab/>
      </w:r>
      <w:r w:rsidRPr="004A5227">
        <w:rPr>
          <w:noProof/>
        </w:rPr>
        <w:fldChar w:fldCharType="begin"/>
      </w:r>
      <w:r w:rsidRPr="004A5227">
        <w:rPr>
          <w:noProof/>
        </w:rPr>
        <w:instrText xml:space="preserve"> PAGEREF _Toc413419196 \h </w:instrText>
      </w:r>
      <w:r w:rsidRPr="004A5227">
        <w:rPr>
          <w:noProof/>
        </w:rPr>
      </w:r>
      <w:r w:rsidRPr="004A5227">
        <w:rPr>
          <w:noProof/>
        </w:rPr>
        <w:fldChar w:fldCharType="separate"/>
      </w:r>
      <w:r w:rsidR="007754D5">
        <w:rPr>
          <w:noProof/>
        </w:rPr>
        <w:t>106</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4—Premium rate numbers</w:t>
      </w:r>
      <w:r w:rsidRPr="004A5227">
        <w:rPr>
          <w:b w:val="0"/>
          <w:noProof/>
          <w:sz w:val="18"/>
        </w:rPr>
        <w:tab/>
      </w:r>
      <w:r w:rsidRPr="004A5227">
        <w:rPr>
          <w:b w:val="0"/>
          <w:noProof/>
          <w:sz w:val="18"/>
        </w:rPr>
        <w:fldChar w:fldCharType="begin"/>
      </w:r>
      <w:r w:rsidRPr="004A5227">
        <w:rPr>
          <w:b w:val="0"/>
          <w:noProof/>
          <w:sz w:val="18"/>
        </w:rPr>
        <w:instrText xml:space="preserve"> PAGEREF _Toc413419197 \h </w:instrText>
      </w:r>
      <w:r w:rsidRPr="004A5227">
        <w:rPr>
          <w:b w:val="0"/>
          <w:noProof/>
          <w:sz w:val="18"/>
        </w:rPr>
      </w:r>
      <w:r w:rsidRPr="004A5227">
        <w:rPr>
          <w:b w:val="0"/>
          <w:noProof/>
          <w:sz w:val="18"/>
        </w:rPr>
        <w:fldChar w:fldCharType="separate"/>
      </w:r>
      <w:r w:rsidR="007754D5">
        <w:rPr>
          <w:b w:val="0"/>
          <w:noProof/>
          <w:sz w:val="18"/>
        </w:rPr>
        <w:t>107</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Premium rate numbers</w:t>
      </w:r>
      <w:r w:rsidRPr="004A5227">
        <w:rPr>
          <w:noProof/>
        </w:rPr>
        <w:tab/>
      </w:r>
      <w:r w:rsidRPr="004A5227">
        <w:rPr>
          <w:noProof/>
        </w:rPr>
        <w:fldChar w:fldCharType="begin"/>
      </w:r>
      <w:r w:rsidRPr="004A5227">
        <w:rPr>
          <w:noProof/>
        </w:rPr>
        <w:instrText xml:space="preserve"> PAGEREF _Toc413419198 \h </w:instrText>
      </w:r>
      <w:r w:rsidRPr="004A5227">
        <w:rPr>
          <w:noProof/>
        </w:rPr>
      </w:r>
      <w:r w:rsidRPr="004A5227">
        <w:rPr>
          <w:noProof/>
        </w:rPr>
        <w:fldChar w:fldCharType="separate"/>
      </w:r>
      <w:r w:rsidR="007754D5">
        <w:rPr>
          <w:noProof/>
        </w:rPr>
        <w:t>107</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5—Special services numbers</w:t>
      </w:r>
      <w:r w:rsidRPr="004A5227">
        <w:rPr>
          <w:b w:val="0"/>
          <w:noProof/>
          <w:sz w:val="18"/>
        </w:rPr>
        <w:tab/>
      </w:r>
      <w:r w:rsidRPr="004A5227">
        <w:rPr>
          <w:b w:val="0"/>
          <w:noProof/>
          <w:sz w:val="18"/>
        </w:rPr>
        <w:fldChar w:fldCharType="begin"/>
      </w:r>
      <w:r w:rsidRPr="004A5227">
        <w:rPr>
          <w:b w:val="0"/>
          <w:noProof/>
          <w:sz w:val="18"/>
        </w:rPr>
        <w:instrText xml:space="preserve"> PAGEREF _Toc413419199 \h </w:instrText>
      </w:r>
      <w:r w:rsidRPr="004A5227">
        <w:rPr>
          <w:b w:val="0"/>
          <w:noProof/>
          <w:sz w:val="18"/>
        </w:rPr>
      </w:r>
      <w:r w:rsidRPr="004A5227">
        <w:rPr>
          <w:b w:val="0"/>
          <w:noProof/>
          <w:sz w:val="18"/>
        </w:rPr>
        <w:fldChar w:fldCharType="separate"/>
      </w:r>
      <w:r w:rsidR="007754D5">
        <w:rPr>
          <w:b w:val="0"/>
          <w:noProof/>
          <w:sz w:val="18"/>
        </w:rPr>
        <w:t>108</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Special services numbers that are not shared</w:t>
      </w:r>
      <w:r w:rsidRPr="004A5227">
        <w:rPr>
          <w:noProof/>
        </w:rPr>
        <w:tab/>
      </w:r>
      <w:r w:rsidRPr="004A5227">
        <w:rPr>
          <w:noProof/>
        </w:rPr>
        <w:fldChar w:fldCharType="begin"/>
      </w:r>
      <w:r w:rsidRPr="004A5227">
        <w:rPr>
          <w:noProof/>
        </w:rPr>
        <w:instrText xml:space="preserve"> PAGEREF _Toc413419200 \h </w:instrText>
      </w:r>
      <w:r w:rsidRPr="004A5227">
        <w:rPr>
          <w:noProof/>
        </w:rPr>
      </w:r>
      <w:r w:rsidRPr="004A5227">
        <w:rPr>
          <w:noProof/>
        </w:rPr>
        <w:fldChar w:fldCharType="separate"/>
      </w:r>
      <w:r w:rsidR="007754D5">
        <w:rPr>
          <w:noProof/>
        </w:rPr>
        <w:t>108</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Special services numbers that are shared</w:t>
      </w:r>
      <w:r w:rsidRPr="004A5227">
        <w:rPr>
          <w:noProof/>
        </w:rPr>
        <w:tab/>
      </w:r>
      <w:r w:rsidRPr="004A5227">
        <w:rPr>
          <w:noProof/>
        </w:rPr>
        <w:fldChar w:fldCharType="begin"/>
      </w:r>
      <w:r w:rsidRPr="004A5227">
        <w:rPr>
          <w:noProof/>
        </w:rPr>
        <w:instrText xml:space="preserve"> PAGEREF _Toc413419201 \h </w:instrText>
      </w:r>
      <w:r w:rsidRPr="004A5227">
        <w:rPr>
          <w:noProof/>
        </w:rPr>
      </w:r>
      <w:r w:rsidRPr="004A5227">
        <w:rPr>
          <w:noProof/>
        </w:rPr>
        <w:fldChar w:fldCharType="separate"/>
      </w:r>
      <w:r w:rsidR="007754D5">
        <w:rPr>
          <w:noProof/>
        </w:rPr>
        <w:t>109</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6—Access codes</w:t>
      </w:r>
      <w:r w:rsidRPr="004A5227">
        <w:rPr>
          <w:b w:val="0"/>
          <w:noProof/>
          <w:sz w:val="18"/>
        </w:rPr>
        <w:tab/>
      </w:r>
      <w:r w:rsidRPr="004A5227">
        <w:rPr>
          <w:b w:val="0"/>
          <w:noProof/>
          <w:sz w:val="18"/>
        </w:rPr>
        <w:fldChar w:fldCharType="begin"/>
      </w:r>
      <w:r w:rsidRPr="004A5227">
        <w:rPr>
          <w:b w:val="0"/>
          <w:noProof/>
          <w:sz w:val="18"/>
        </w:rPr>
        <w:instrText xml:space="preserve"> PAGEREF _Toc413419202 \h </w:instrText>
      </w:r>
      <w:r w:rsidRPr="004A5227">
        <w:rPr>
          <w:b w:val="0"/>
          <w:noProof/>
          <w:sz w:val="18"/>
        </w:rPr>
      </w:r>
      <w:r w:rsidRPr="004A5227">
        <w:rPr>
          <w:b w:val="0"/>
          <w:noProof/>
          <w:sz w:val="18"/>
        </w:rPr>
        <w:fldChar w:fldCharType="separate"/>
      </w:r>
      <w:r w:rsidR="007754D5">
        <w:rPr>
          <w:b w:val="0"/>
          <w:noProof/>
          <w:sz w:val="18"/>
        </w:rPr>
        <w:t>111</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Access codes that are not shared</w:t>
      </w:r>
      <w:r w:rsidRPr="004A5227">
        <w:rPr>
          <w:noProof/>
        </w:rPr>
        <w:tab/>
      </w:r>
      <w:r w:rsidRPr="004A5227">
        <w:rPr>
          <w:noProof/>
        </w:rPr>
        <w:fldChar w:fldCharType="begin"/>
      </w:r>
      <w:r w:rsidRPr="004A5227">
        <w:rPr>
          <w:noProof/>
        </w:rPr>
        <w:instrText xml:space="preserve"> PAGEREF _Toc413419203 \h </w:instrText>
      </w:r>
      <w:r w:rsidRPr="004A5227">
        <w:rPr>
          <w:noProof/>
        </w:rPr>
      </w:r>
      <w:r w:rsidRPr="004A5227">
        <w:rPr>
          <w:noProof/>
        </w:rPr>
        <w:fldChar w:fldCharType="separate"/>
      </w:r>
      <w:r w:rsidR="007754D5">
        <w:rPr>
          <w:noProof/>
        </w:rPr>
        <w:t>111</w:t>
      </w:r>
      <w:r w:rsidRPr="004A5227">
        <w:rPr>
          <w:noProof/>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2</w:t>
      </w:r>
      <w:r w:rsidRPr="004A5227">
        <w:rPr>
          <w:noProof/>
        </w:rPr>
        <w:tab/>
        <w:t>Access codes that are shared</w:t>
      </w:r>
      <w:r w:rsidRPr="004A5227">
        <w:rPr>
          <w:noProof/>
        </w:rPr>
        <w:tab/>
      </w:r>
      <w:r w:rsidRPr="004A5227">
        <w:rPr>
          <w:noProof/>
        </w:rPr>
        <w:fldChar w:fldCharType="begin"/>
      </w:r>
      <w:r w:rsidRPr="004A5227">
        <w:rPr>
          <w:noProof/>
        </w:rPr>
        <w:instrText xml:space="preserve"> PAGEREF _Toc413419204 \h </w:instrText>
      </w:r>
      <w:r w:rsidRPr="004A5227">
        <w:rPr>
          <w:noProof/>
        </w:rPr>
      </w:r>
      <w:r w:rsidRPr="004A5227">
        <w:rPr>
          <w:noProof/>
        </w:rPr>
        <w:fldChar w:fldCharType="separate"/>
      </w:r>
      <w:r w:rsidR="007754D5">
        <w:rPr>
          <w:noProof/>
        </w:rPr>
        <w:t>112</w:t>
      </w:r>
      <w:r w:rsidRPr="004A5227">
        <w:rPr>
          <w:noProof/>
        </w:rPr>
        <w:fldChar w:fldCharType="end"/>
      </w:r>
    </w:p>
    <w:p w:rsidR="00130C44" w:rsidRPr="004A5227" w:rsidRDefault="00130C44">
      <w:pPr>
        <w:pStyle w:val="TOC1"/>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7—Size of standard unit</w:t>
      </w:r>
      <w:r w:rsidRPr="004A5227">
        <w:rPr>
          <w:b w:val="0"/>
          <w:noProof/>
          <w:sz w:val="18"/>
        </w:rPr>
        <w:tab/>
      </w:r>
      <w:r w:rsidRPr="004A5227">
        <w:rPr>
          <w:b w:val="0"/>
          <w:noProof/>
          <w:sz w:val="18"/>
        </w:rPr>
        <w:fldChar w:fldCharType="begin"/>
      </w:r>
      <w:r w:rsidRPr="004A5227">
        <w:rPr>
          <w:b w:val="0"/>
          <w:noProof/>
          <w:sz w:val="18"/>
        </w:rPr>
        <w:instrText xml:space="preserve"> PAGEREF _Toc413419205 \h </w:instrText>
      </w:r>
      <w:r w:rsidRPr="004A5227">
        <w:rPr>
          <w:b w:val="0"/>
          <w:noProof/>
          <w:sz w:val="18"/>
        </w:rPr>
      </w:r>
      <w:r w:rsidRPr="004A5227">
        <w:rPr>
          <w:b w:val="0"/>
          <w:noProof/>
          <w:sz w:val="18"/>
        </w:rPr>
        <w:fldChar w:fldCharType="separate"/>
      </w:r>
      <w:r w:rsidR="007754D5">
        <w:rPr>
          <w:b w:val="0"/>
          <w:noProof/>
          <w:sz w:val="18"/>
        </w:rPr>
        <w:t>114</w:t>
      </w:r>
      <w:r w:rsidRPr="004A5227">
        <w:rPr>
          <w:b w:val="0"/>
          <w:noProof/>
          <w:sz w:val="18"/>
        </w:rPr>
        <w:fldChar w:fldCharType="end"/>
      </w:r>
    </w:p>
    <w:p w:rsidR="00130C44" w:rsidRPr="004A5227" w:rsidRDefault="00130C44">
      <w:pPr>
        <w:pStyle w:val="TOC5"/>
        <w:rPr>
          <w:rFonts w:asciiTheme="minorHAnsi" w:eastAsiaTheme="minorEastAsia" w:hAnsiTheme="minorHAnsi" w:cstheme="minorBidi"/>
          <w:noProof/>
          <w:kern w:val="0"/>
          <w:sz w:val="22"/>
          <w:szCs w:val="22"/>
        </w:rPr>
      </w:pPr>
      <w:r w:rsidRPr="004A5227">
        <w:rPr>
          <w:noProof/>
        </w:rPr>
        <w:t>1</w:t>
      </w:r>
      <w:r w:rsidRPr="004A5227">
        <w:rPr>
          <w:noProof/>
        </w:rPr>
        <w:tab/>
        <w:t>Size of standard unit for different types of number</w:t>
      </w:r>
      <w:r w:rsidRPr="004A5227">
        <w:rPr>
          <w:noProof/>
        </w:rPr>
        <w:tab/>
      </w:r>
      <w:r w:rsidRPr="004A5227">
        <w:rPr>
          <w:noProof/>
        </w:rPr>
        <w:fldChar w:fldCharType="begin"/>
      </w:r>
      <w:r w:rsidRPr="004A5227">
        <w:rPr>
          <w:noProof/>
        </w:rPr>
        <w:instrText xml:space="preserve"> PAGEREF _Toc413419206 \h </w:instrText>
      </w:r>
      <w:r w:rsidRPr="004A5227">
        <w:rPr>
          <w:noProof/>
        </w:rPr>
      </w:r>
      <w:r w:rsidRPr="004A5227">
        <w:rPr>
          <w:noProof/>
        </w:rPr>
        <w:fldChar w:fldCharType="separate"/>
      </w:r>
      <w:r w:rsidR="007754D5">
        <w:rPr>
          <w:noProof/>
        </w:rPr>
        <w:t>114</w:t>
      </w:r>
      <w:r w:rsidRPr="004A5227">
        <w:rPr>
          <w:noProof/>
        </w:rPr>
        <w:fldChar w:fldCharType="end"/>
      </w:r>
    </w:p>
    <w:p w:rsidR="00130C44" w:rsidRPr="004A5227" w:rsidRDefault="00130C44">
      <w:pPr>
        <w:pStyle w:val="TOC6"/>
        <w:rPr>
          <w:rFonts w:asciiTheme="minorHAnsi" w:eastAsiaTheme="minorEastAsia" w:hAnsiTheme="minorHAnsi" w:cstheme="minorBidi"/>
          <w:b w:val="0"/>
          <w:noProof/>
          <w:kern w:val="0"/>
          <w:sz w:val="22"/>
          <w:szCs w:val="22"/>
        </w:rPr>
      </w:pPr>
      <w:r w:rsidRPr="004A5227">
        <w:rPr>
          <w:noProof/>
        </w:rPr>
        <w:t>Schedule</w:t>
      </w:r>
      <w:r w:rsidR="004A5227" w:rsidRPr="004A5227">
        <w:rPr>
          <w:noProof/>
        </w:rPr>
        <w:t> </w:t>
      </w:r>
      <w:r w:rsidRPr="004A5227">
        <w:rPr>
          <w:noProof/>
        </w:rPr>
        <w:t>8—Repeals</w:t>
      </w:r>
      <w:r w:rsidRPr="004A5227">
        <w:rPr>
          <w:b w:val="0"/>
          <w:noProof/>
          <w:sz w:val="18"/>
        </w:rPr>
        <w:tab/>
      </w:r>
      <w:r w:rsidRPr="004A5227">
        <w:rPr>
          <w:b w:val="0"/>
          <w:noProof/>
          <w:sz w:val="18"/>
        </w:rPr>
        <w:fldChar w:fldCharType="begin"/>
      </w:r>
      <w:r w:rsidRPr="004A5227">
        <w:rPr>
          <w:b w:val="0"/>
          <w:noProof/>
          <w:sz w:val="18"/>
        </w:rPr>
        <w:instrText xml:space="preserve"> PAGEREF _Toc413419207 \h </w:instrText>
      </w:r>
      <w:r w:rsidRPr="004A5227">
        <w:rPr>
          <w:b w:val="0"/>
          <w:noProof/>
          <w:sz w:val="18"/>
        </w:rPr>
      </w:r>
      <w:r w:rsidRPr="004A5227">
        <w:rPr>
          <w:b w:val="0"/>
          <w:noProof/>
          <w:sz w:val="18"/>
        </w:rPr>
        <w:fldChar w:fldCharType="separate"/>
      </w:r>
      <w:r w:rsidR="007754D5">
        <w:rPr>
          <w:b w:val="0"/>
          <w:noProof/>
          <w:sz w:val="18"/>
        </w:rPr>
        <w:t>115</w:t>
      </w:r>
      <w:r w:rsidRPr="004A5227">
        <w:rPr>
          <w:b w:val="0"/>
          <w:noProof/>
          <w:sz w:val="18"/>
        </w:rPr>
        <w:fldChar w:fldCharType="end"/>
      </w:r>
    </w:p>
    <w:p w:rsidR="00130C44" w:rsidRPr="004A5227" w:rsidRDefault="00130C44">
      <w:pPr>
        <w:pStyle w:val="TOC9"/>
        <w:rPr>
          <w:rFonts w:asciiTheme="minorHAnsi" w:eastAsiaTheme="minorEastAsia" w:hAnsiTheme="minorHAnsi" w:cstheme="minorBidi"/>
          <w:i w:val="0"/>
          <w:noProof/>
          <w:kern w:val="0"/>
          <w:sz w:val="22"/>
          <w:szCs w:val="22"/>
        </w:rPr>
      </w:pPr>
      <w:r w:rsidRPr="004A5227">
        <w:rPr>
          <w:noProof/>
        </w:rPr>
        <w:t>Telecommunications Numbering Plan 1997</w:t>
      </w:r>
      <w:r w:rsidRPr="004A5227">
        <w:rPr>
          <w:i w:val="0"/>
          <w:noProof/>
          <w:sz w:val="18"/>
        </w:rPr>
        <w:tab/>
      </w:r>
      <w:r w:rsidRPr="004A5227">
        <w:rPr>
          <w:i w:val="0"/>
          <w:noProof/>
          <w:sz w:val="18"/>
        </w:rPr>
        <w:fldChar w:fldCharType="begin"/>
      </w:r>
      <w:r w:rsidRPr="004A5227">
        <w:rPr>
          <w:i w:val="0"/>
          <w:noProof/>
          <w:sz w:val="18"/>
        </w:rPr>
        <w:instrText xml:space="preserve"> PAGEREF _Toc413419208 \h </w:instrText>
      </w:r>
      <w:r w:rsidRPr="004A5227">
        <w:rPr>
          <w:i w:val="0"/>
          <w:noProof/>
          <w:sz w:val="18"/>
        </w:rPr>
      </w:r>
      <w:r w:rsidRPr="004A5227">
        <w:rPr>
          <w:i w:val="0"/>
          <w:noProof/>
          <w:sz w:val="18"/>
        </w:rPr>
        <w:fldChar w:fldCharType="separate"/>
      </w:r>
      <w:r w:rsidR="007754D5">
        <w:rPr>
          <w:i w:val="0"/>
          <w:noProof/>
          <w:sz w:val="18"/>
        </w:rPr>
        <w:t>115</w:t>
      </w:r>
      <w:r w:rsidRPr="004A5227">
        <w:rPr>
          <w:i w:val="0"/>
          <w:noProof/>
          <w:sz w:val="18"/>
        </w:rPr>
        <w:fldChar w:fldCharType="end"/>
      </w:r>
    </w:p>
    <w:p w:rsidR="00670EA1" w:rsidRPr="004A5227" w:rsidRDefault="00130C44" w:rsidP="00F257ED">
      <w:r w:rsidRPr="004A5227">
        <w:fldChar w:fldCharType="end"/>
      </w:r>
    </w:p>
    <w:p w:rsidR="00670EA1" w:rsidRPr="004A5227" w:rsidRDefault="00670EA1" w:rsidP="00715914">
      <w:pPr>
        <w:sectPr w:rsidR="00670EA1" w:rsidRPr="004A5227" w:rsidSect="007F616C">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4A2727" w:rsidRPr="004A5227" w:rsidRDefault="004A2727" w:rsidP="00C95EE9">
      <w:pPr>
        <w:pStyle w:val="ActHead1"/>
        <w:pageBreakBefore/>
      </w:pPr>
      <w:bookmarkStart w:id="4" w:name="_Toc413419004"/>
      <w:r w:rsidRPr="004A5227">
        <w:rPr>
          <w:rStyle w:val="CharChapNo"/>
        </w:rPr>
        <w:lastRenderedPageBreak/>
        <w:t>Chapter</w:t>
      </w:r>
      <w:r w:rsidR="004A5227" w:rsidRPr="004A5227">
        <w:rPr>
          <w:rStyle w:val="CharChapNo"/>
        </w:rPr>
        <w:t> </w:t>
      </w:r>
      <w:r w:rsidRPr="004A5227">
        <w:rPr>
          <w:rStyle w:val="CharChapNo"/>
        </w:rPr>
        <w:t>1</w:t>
      </w:r>
      <w:r w:rsidRPr="004A5227">
        <w:t>—</w:t>
      </w:r>
      <w:r w:rsidR="00634047" w:rsidRPr="004A5227">
        <w:rPr>
          <w:rStyle w:val="CharChapText"/>
        </w:rPr>
        <w:t>Preliminary</w:t>
      </w:r>
      <w:bookmarkEnd w:id="4"/>
    </w:p>
    <w:p w:rsidR="00715914" w:rsidRPr="004A5227" w:rsidRDefault="00715914" w:rsidP="00715914">
      <w:pPr>
        <w:pStyle w:val="ActHead2"/>
      </w:pPr>
      <w:bookmarkStart w:id="5" w:name="_Toc413419005"/>
      <w:r w:rsidRPr="004A5227">
        <w:rPr>
          <w:rStyle w:val="CharPartNo"/>
        </w:rPr>
        <w:t>Part</w:t>
      </w:r>
      <w:r w:rsidR="004A5227" w:rsidRPr="004A5227">
        <w:rPr>
          <w:rStyle w:val="CharPartNo"/>
        </w:rPr>
        <w:t> </w:t>
      </w:r>
      <w:r w:rsidRPr="004A5227">
        <w:rPr>
          <w:rStyle w:val="CharPartNo"/>
        </w:rPr>
        <w:t>1</w:t>
      </w:r>
      <w:r w:rsidRPr="004A5227">
        <w:t>—</w:t>
      </w:r>
      <w:r w:rsidR="00634047" w:rsidRPr="004A5227">
        <w:rPr>
          <w:rStyle w:val="CharPartText"/>
        </w:rPr>
        <w:t>General</w:t>
      </w:r>
      <w:bookmarkEnd w:id="5"/>
    </w:p>
    <w:p w:rsidR="006F1C76" w:rsidRPr="004A5227" w:rsidRDefault="006F1C76" w:rsidP="006F1C76">
      <w:pPr>
        <w:pStyle w:val="Header"/>
      </w:pPr>
      <w:r w:rsidRPr="004A5227">
        <w:rPr>
          <w:rStyle w:val="CharDivNo"/>
        </w:rPr>
        <w:t xml:space="preserve"> </w:t>
      </w:r>
      <w:r w:rsidRPr="004A5227">
        <w:rPr>
          <w:rStyle w:val="CharDivText"/>
        </w:rPr>
        <w:t xml:space="preserve"> </w:t>
      </w:r>
    </w:p>
    <w:p w:rsidR="00715914" w:rsidRPr="004A5227" w:rsidRDefault="00CA6815" w:rsidP="00715914">
      <w:pPr>
        <w:pStyle w:val="ActHead5"/>
      </w:pPr>
      <w:bookmarkStart w:id="6" w:name="_Toc413419006"/>
      <w:r w:rsidRPr="004A5227">
        <w:rPr>
          <w:rStyle w:val="CharSectno"/>
        </w:rPr>
        <w:t>1</w:t>
      </w:r>
      <w:r w:rsidR="00715914" w:rsidRPr="004A5227">
        <w:t xml:space="preserve">  </w:t>
      </w:r>
      <w:r w:rsidR="00CE493D" w:rsidRPr="004A5227">
        <w:t>Name</w:t>
      </w:r>
      <w:bookmarkEnd w:id="6"/>
    </w:p>
    <w:p w:rsidR="00715914" w:rsidRPr="004A5227" w:rsidRDefault="00715914" w:rsidP="00715914">
      <w:pPr>
        <w:pStyle w:val="subsection"/>
      </w:pPr>
      <w:r w:rsidRPr="004A5227">
        <w:tab/>
      </w:r>
      <w:r w:rsidRPr="004A5227">
        <w:tab/>
        <w:t xml:space="preserve">This </w:t>
      </w:r>
      <w:r w:rsidR="00CE493D" w:rsidRPr="004A5227">
        <w:t xml:space="preserve">is the </w:t>
      </w:r>
      <w:bookmarkStart w:id="7" w:name="BKCheck15B_3"/>
      <w:bookmarkEnd w:id="7"/>
      <w:r w:rsidR="00BC76AC" w:rsidRPr="004A5227">
        <w:rPr>
          <w:i/>
        </w:rPr>
        <w:fldChar w:fldCharType="begin"/>
      </w:r>
      <w:r w:rsidR="00BC76AC" w:rsidRPr="004A5227">
        <w:rPr>
          <w:i/>
        </w:rPr>
        <w:instrText xml:space="preserve"> STYLEREF  ShortT </w:instrText>
      </w:r>
      <w:r w:rsidR="00BC76AC" w:rsidRPr="004A5227">
        <w:rPr>
          <w:i/>
        </w:rPr>
        <w:fldChar w:fldCharType="separate"/>
      </w:r>
      <w:r w:rsidR="007754D5">
        <w:rPr>
          <w:i/>
          <w:noProof/>
        </w:rPr>
        <w:t>Telecommunications Numbering Plan 2015</w:t>
      </w:r>
      <w:r w:rsidR="00BC76AC" w:rsidRPr="004A5227">
        <w:rPr>
          <w:i/>
        </w:rPr>
        <w:fldChar w:fldCharType="end"/>
      </w:r>
      <w:r w:rsidRPr="004A5227">
        <w:t>.</w:t>
      </w:r>
    </w:p>
    <w:p w:rsidR="00715914" w:rsidRPr="004A5227" w:rsidRDefault="00CA6815" w:rsidP="00715914">
      <w:pPr>
        <w:pStyle w:val="ActHead5"/>
      </w:pPr>
      <w:bookmarkStart w:id="8" w:name="_Toc413419007"/>
      <w:r w:rsidRPr="004A5227">
        <w:rPr>
          <w:rStyle w:val="CharSectno"/>
        </w:rPr>
        <w:t>2</w:t>
      </w:r>
      <w:r w:rsidR="00715914" w:rsidRPr="004A5227">
        <w:t xml:space="preserve">  Commencement</w:t>
      </w:r>
      <w:bookmarkEnd w:id="8"/>
    </w:p>
    <w:p w:rsidR="000202F5" w:rsidRPr="004A5227" w:rsidRDefault="000202F5" w:rsidP="000202F5">
      <w:pPr>
        <w:pStyle w:val="subsection"/>
      </w:pPr>
      <w:r w:rsidRPr="004A5227">
        <w:tab/>
      </w:r>
      <w:r w:rsidRPr="004A5227">
        <w:tab/>
        <w:t>Each provision of this instrument specified in column 1 of the table commences, or is taken to have commenced, in accordance with column 2 of the table. Any other statement in column 2 has effect according to its terms.</w:t>
      </w:r>
    </w:p>
    <w:p w:rsidR="000202F5" w:rsidRPr="004A5227" w:rsidRDefault="000202F5" w:rsidP="000202F5">
      <w:pPr>
        <w:pStyle w:val="Tabletext"/>
      </w:pPr>
    </w:p>
    <w:tbl>
      <w:tblPr>
        <w:tblW w:w="4904" w:type="pct"/>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720"/>
        <w:gridCol w:w="5643"/>
      </w:tblGrid>
      <w:tr w:rsidR="000202F5" w:rsidRPr="004A5227" w:rsidTr="00204AFE">
        <w:trPr>
          <w:tblHeader/>
        </w:trPr>
        <w:tc>
          <w:tcPr>
            <w:tcW w:w="8364" w:type="dxa"/>
            <w:gridSpan w:val="2"/>
            <w:tcBorders>
              <w:top w:val="single" w:sz="12" w:space="0" w:color="auto"/>
              <w:bottom w:val="single" w:sz="6" w:space="0" w:color="auto"/>
            </w:tcBorders>
            <w:shd w:val="clear" w:color="auto" w:fill="auto"/>
            <w:hideMark/>
          </w:tcPr>
          <w:p w:rsidR="000202F5" w:rsidRPr="004A5227" w:rsidRDefault="000202F5" w:rsidP="000202F5">
            <w:pPr>
              <w:pStyle w:val="TableHeading"/>
            </w:pPr>
            <w:r w:rsidRPr="004A5227">
              <w:t>Commencement information</w:t>
            </w:r>
          </w:p>
        </w:tc>
      </w:tr>
      <w:tr w:rsidR="000202F5" w:rsidRPr="004A5227" w:rsidTr="00204AFE">
        <w:trPr>
          <w:tblHeader/>
        </w:trPr>
        <w:tc>
          <w:tcPr>
            <w:tcW w:w="2720" w:type="dxa"/>
            <w:tcBorders>
              <w:top w:val="single" w:sz="6" w:space="0" w:color="auto"/>
              <w:bottom w:val="single" w:sz="6" w:space="0" w:color="auto"/>
            </w:tcBorders>
            <w:shd w:val="clear" w:color="auto" w:fill="auto"/>
            <w:hideMark/>
          </w:tcPr>
          <w:p w:rsidR="000202F5" w:rsidRPr="004A5227" w:rsidRDefault="000202F5" w:rsidP="000202F5">
            <w:pPr>
              <w:pStyle w:val="TableHeading"/>
            </w:pPr>
            <w:r w:rsidRPr="004A5227">
              <w:t>Column 1</w:t>
            </w:r>
          </w:p>
        </w:tc>
        <w:tc>
          <w:tcPr>
            <w:tcW w:w="5644" w:type="dxa"/>
            <w:tcBorders>
              <w:top w:val="single" w:sz="6" w:space="0" w:color="auto"/>
              <w:bottom w:val="single" w:sz="6" w:space="0" w:color="auto"/>
            </w:tcBorders>
            <w:shd w:val="clear" w:color="auto" w:fill="auto"/>
            <w:hideMark/>
          </w:tcPr>
          <w:p w:rsidR="000202F5" w:rsidRPr="004A5227" w:rsidRDefault="000202F5" w:rsidP="000202F5">
            <w:pPr>
              <w:pStyle w:val="TableHeading"/>
            </w:pPr>
            <w:r w:rsidRPr="004A5227">
              <w:t>Column 2</w:t>
            </w:r>
          </w:p>
        </w:tc>
      </w:tr>
      <w:tr w:rsidR="000202F5" w:rsidRPr="004A5227" w:rsidTr="00204AFE">
        <w:trPr>
          <w:tblHeader/>
        </w:trPr>
        <w:tc>
          <w:tcPr>
            <w:tcW w:w="2720" w:type="dxa"/>
            <w:tcBorders>
              <w:top w:val="single" w:sz="6" w:space="0" w:color="auto"/>
              <w:bottom w:val="single" w:sz="12" w:space="0" w:color="auto"/>
            </w:tcBorders>
            <w:shd w:val="clear" w:color="auto" w:fill="auto"/>
            <w:hideMark/>
          </w:tcPr>
          <w:p w:rsidR="000202F5" w:rsidRPr="004A5227" w:rsidRDefault="000202F5" w:rsidP="000202F5">
            <w:pPr>
              <w:pStyle w:val="TableHeading"/>
            </w:pPr>
            <w:r w:rsidRPr="004A5227">
              <w:t>Provisions</w:t>
            </w:r>
          </w:p>
        </w:tc>
        <w:tc>
          <w:tcPr>
            <w:tcW w:w="5644" w:type="dxa"/>
            <w:tcBorders>
              <w:top w:val="single" w:sz="6" w:space="0" w:color="auto"/>
              <w:bottom w:val="single" w:sz="12" w:space="0" w:color="auto"/>
            </w:tcBorders>
            <w:shd w:val="clear" w:color="auto" w:fill="auto"/>
            <w:hideMark/>
          </w:tcPr>
          <w:p w:rsidR="000202F5" w:rsidRPr="004A5227" w:rsidRDefault="000202F5" w:rsidP="000202F5">
            <w:pPr>
              <w:pStyle w:val="TableHeading"/>
            </w:pPr>
            <w:r w:rsidRPr="004A5227">
              <w:t>Commencement</w:t>
            </w:r>
          </w:p>
        </w:tc>
      </w:tr>
      <w:tr w:rsidR="000202F5" w:rsidRPr="004A5227" w:rsidTr="00204AFE">
        <w:tc>
          <w:tcPr>
            <w:tcW w:w="2720" w:type="dxa"/>
            <w:tcBorders>
              <w:top w:val="single" w:sz="12" w:space="0" w:color="auto"/>
            </w:tcBorders>
            <w:shd w:val="clear" w:color="auto" w:fill="auto"/>
            <w:hideMark/>
          </w:tcPr>
          <w:p w:rsidR="000202F5" w:rsidRPr="004A5227" w:rsidRDefault="000202F5" w:rsidP="000202F5">
            <w:pPr>
              <w:pStyle w:val="Tabletext"/>
            </w:pPr>
            <w:r w:rsidRPr="004A5227">
              <w:t>1.  Sections</w:t>
            </w:r>
            <w:r w:rsidR="004A5227" w:rsidRPr="004A5227">
              <w:t> </w:t>
            </w:r>
            <w:r w:rsidR="00CA6815" w:rsidRPr="004A5227">
              <w:t>1</w:t>
            </w:r>
            <w:r w:rsidRPr="004A5227">
              <w:t xml:space="preserve"> to </w:t>
            </w:r>
            <w:r w:rsidR="00CA6815" w:rsidRPr="004A5227">
              <w:t>4</w:t>
            </w:r>
            <w:r w:rsidRPr="004A5227">
              <w:t xml:space="preserve"> and anything in this instrument not elsewhere covered by this table</w:t>
            </w:r>
          </w:p>
        </w:tc>
        <w:tc>
          <w:tcPr>
            <w:tcW w:w="5644" w:type="dxa"/>
            <w:tcBorders>
              <w:top w:val="single" w:sz="12" w:space="0" w:color="auto"/>
            </w:tcBorders>
            <w:shd w:val="clear" w:color="auto" w:fill="auto"/>
            <w:hideMark/>
          </w:tcPr>
          <w:p w:rsidR="000202F5" w:rsidRPr="004A5227" w:rsidRDefault="00710E68" w:rsidP="000202F5">
            <w:pPr>
              <w:pStyle w:val="Tabletext"/>
            </w:pPr>
            <w:r w:rsidRPr="004A5227">
              <w:t>The day after this instrument is registered</w:t>
            </w:r>
            <w:r w:rsidR="00627E8B" w:rsidRPr="004A5227">
              <w:t>.</w:t>
            </w:r>
          </w:p>
        </w:tc>
      </w:tr>
      <w:tr w:rsidR="000202F5" w:rsidRPr="004A5227" w:rsidTr="00204AFE">
        <w:tc>
          <w:tcPr>
            <w:tcW w:w="2720" w:type="dxa"/>
            <w:shd w:val="clear" w:color="auto" w:fill="auto"/>
            <w:hideMark/>
          </w:tcPr>
          <w:p w:rsidR="000202F5" w:rsidRPr="004A5227" w:rsidRDefault="000202F5" w:rsidP="00C74651">
            <w:pPr>
              <w:pStyle w:val="Tabletext"/>
            </w:pPr>
            <w:r w:rsidRPr="004A5227">
              <w:t>2.  Sections</w:t>
            </w:r>
            <w:r w:rsidR="004A5227" w:rsidRPr="004A5227">
              <w:t> </w:t>
            </w:r>
            <w:r w:rsidR="00CA6815" w:rsidRPr="004A5227">
              <w:t>5</w:t>
            </w:r>
            <w:r w:rsidRPr="004A5227">
              <w:t xml:space="preserve"> to </w:t>
            </w:r>
            <w:r w:rsidR="00CA6815" w:rsidRPr="004A5227">
              <w:t>135</w:t>
            </w:r>
          </w:p>
        </w:tc>
        <w:tc>
          <w:tcPr>
            <w:tcW w:w="5644" w:type="dxa"/>
            <w:shd w:val="clear" w:color="auto" w:fill="auto"/>
          </w:tcPr>
          <w:p w:rsidR="00627E8B" w:rsidRPr="004A5227" w:rsidRDefault="00627E8B" w:rsidP="000202F5">
            <w:pPr>
              <w:pStyle w:val="Tabletext"/>
            </w:pPr>
            <w:r w:rsidRPr="004A5227">
              <w:t xml:space="preserve">A single day to be fixed by the </w:t>
            </w:r>
            <w:proofErr w:type="spellStart"/>
            <w:r w:rsidRPr="004A5227">
              <w:t>ACMA</w:t>
            </w:r>
            <w:proofErr w:type="spellEnd"/>
            <w:r w:rsidRPr="004A5227">
              <w:t xml:space="preserve"> by legislative instrument.</w:t>
            </w:r>
          </w:p>
          <w:p w:rsidR="000202F5" w:rsidRPr="004A5227" w:rsidRDefault="00627E8B" w:rsidP="000202F5">
            <w:pPr>
              <w:pStyle w:val="Tabletext"/>
            </w:pPr>
            <w:r w:rsidRPr="004A5227">
              <w:t>However, if the provisions do not commence before 1</w:t>
            </w:r>
            <w:r w:rsidR="004A5227" w:rsidRPr="004A5227">
              <w:t> </w:t>
            </w:r>
            <w:r w:rsidRPr="004A5227">
              <w:t>October 2015, they commence on that day.</w:t>
            </w:r>
          </w:p>
        </w:tc>
      </w:tr>
      <w:tr w:rsidR="000202F5" w:rsidRPr="004A5227" w:rsidTr="00204AFE">
        <w:tc>
          <w:tcPr>
            <w:tcW w:w="2720" w:type="dxa"/>
            <w:tcBorders>
              <w:bottom w:val="single" w:sz="4" w:space="0" w:color="auto"/>
            </w:tcBorders>
            <w:shd w:val="clear" w:color="auto" w:fill="auto"/>
            <w:hideMark/>
          </w:tcPr>
          <w:p w:rsidR="000202F5" w:rsidRPr="004A5227" w:rsidRDefault="000202F5" w:rsidP="000202F5">
            <w:pPr>
              <w:pStyle w:val="Tabletext"/>
            </w:pPr>
            <w:r w:rsidRPr="004A5227">
              <w:t xml:space="preserve">3.  </w:t>
            </w:r>
            <w:r w:rsidR="00627E8B" w:rsidRPr="004A5227">
              <w:t>Section</w:t>
            </w:r>
            <w:r w:rsidR="004A5227" w:rsidRPr="004A5227">
              <w:t> </w:t>
            </w:r>
            <w:r w:rsidR="00CA6815" w:rsidRPr="004A5227">
              <w:t>136</w:t>
            </w:r>
          </w:p>
        </w:tc>
        <w:tc>
          <w:tcPr>
            <w:tcW w:w="5644" w:type="dxa"/>
            <w:tcBorders>
              <w:bottom w:val="single" w:sz="4" w:space="0" w:color="auto"/>
            </w:tcBorders>
            <w:shd w:val="clear" w:color="auto" w:fill="auto"/>
          </w:tcPr>
          <w:p w:rsidR="000202F5" w:rsidRPr="004A5227" w:rsidRDefault="00710E68" w:rsidP="00710E68">
            <w:pPr>
              <w:pStyle w:val="Tabletext"/>
            </w:pPr>
            <w:r w:rsidRPr="004A5227">
              <w:t>The day after this instrument is registered</w:t>
            </w:r>
            <w:r w:rsidR="00627E8B" w:rsidRPr="004A5227">
              <w:t>.</w:t>
            </w:r>
          </w:p>
        </w:tc>
      </w:tr>
      <w:tr w:rsidR="000202F5" w:rsidRPr="004A5227" w:rsidTr="00204AFE">
        <w:tc>
          <w:tcPr>
            <w:tcW w:w="2720" w:type="dxa"/>
            <w:tcBorders>
              <w:bottom w:val="single" w:sz="12" w:space="0" w:color="auto"/>
            </w:tcBorders>
            <w:shd w:val="clear" w:color="auto" w:fill="auto"/>
            <w:hideMark/>
          </w:tcPr>
          <w:p w:rsidR="000202F5" w:rsidRPr="004A5227" w:rsidRDefault="000202F5" w:rsidP="000202F5">
            <w:pPr>
              <w:pStyle w:val="Tabletext"/>
            </w:pPr>
            <w:r w:rsidRPr="004A5227">
              <w:t xml:space="preserve">4.  </w:t>
            </w:r>
            <w:r w:rsidR="00627E8B" w:rsidRPr="004A5227">
              <w:t>Schedules</w:t>
            </w:r>
            <w:r w:rsidR="004A5227" w:rsidRPr="004A5227">
              <w:t> </w:t>
            </w:r>
            <w:r w:rsidR="00627E8B" w:rsidRPr="004A5227">
              <w:t>1 to 8</w:t>
            </w:r>
          </w:p>
        </w:tc>
        <w:tc>
          <w:tcPr>
            <w:tcW w:w="5644" w:type="dxa"/>
            <w:tcBorders>
              <w:bottom w:val="single" w:sz="12" w:space="0" w:color="auto"/>
            </w:tcBorders>
            <w:shd w:val="clear" w:color="auto" w:fill="auto"/>
          </w:tcPr>
          <w:p w:rsidR="000202F5" w:rsidRPr="004A5227" w:rsidRDefault="00627E8B" w:rsidP="000202F5">
            <w:pPr>
              <w:pStyle w:val="Tabletext"/>
            </w:pPr>
            <w:r w:rsidRPr="004A5227">
              <w:t>At the same time as the provisions covered by table item</w:t>
            </w:r>
            <w:r w:rsidR="004A5227" w:rsidRPr="004A5227">
              <w:t> </w:t>
            </w:r>
            <w:r w:rsidRPr="004A5227">
              <w:t>2.</w:t>
            </w:r>
          </w:p>
        </w:tc>
      </w:tr>
    </w:tbl>
    <w:p w:rsidR="007500C8" w:rsidRPr="004A5227" w:rsidRDefault="00CA6815" w:rsidP="00710E68">
      <w:pPr>
        <w:pStyle w:val="ActHead5"/>
      </w:pPr>
      <w:bookmarkStart w:id="9" w:name="_Toc413419008"/>
      <w:r w:rsidRPr="004A5227">
        <w:rPr>
          <w:rStyle w:val="CharSectno"/>
        </w:rPr>
        <w:t>3</w:t>
      </w:r>
      <w:r w:rsidR="007500C8" w:rsidRPr="004A5227">
        <w:t xml:space="preserve">  Authority</w:t>
      </w:r>
      <w:bookmarkEnd w:id="9"/>
    </w:p>
    <w:p w:rsidR="000A12AF" w:rsidRPr="004A5227" w:rsidRDefault="007500C8" w:rsidP="007E667A">
      <w:pPr>
        <w:pStyle w:val="subsection"/>
      </w:pPr>
      <w:r w:rsidRPr="004A5227">
        <w:tab/>
      </w:r>
      <w:r w:rsidRPr="004A5227">
        <w:tab/>
        <w:t xml:space="preserve">This </w:t>
      </w:r>
      <w:r w:rsidR="00A6543A" w:rsidRPr="004A5227">
        <w:t>instrument</w:t>
      </w:r>
      <w:r w:rsidRPr="004A5227">
        <w:t xml:space="preserve"> is made under </w:t>
      </w:r>
      <w:r w:rsidR="00D22FED" w:rsidRPr="004A5227">
        <w:t>subsection</w:t>
      </w:r>
      <w:r w:rsidR="004A5227" w:rsidRPr="004A5227">
        <w:t> </w:t>
      </w:r>
      <w:r w:rsidR="00D22FED" w:rsidRPr="004A5227">
        <w:t>455(1) of the</w:t>
      </w:r>
      <w:r w:rsidR="00D22FED" w:rsidRPr="004A5227">
        <w:rPr>
          <w:i/>
        </w:rPr>
        <w:t xml:space="preserve"> Telecommunications Act 1997</w:t>
      </w:r>
      <w:r w:rsidR="00F4350D" w:rsidRPr="004A5227">
        <w:t>.</w:t>
      </w:r>
    </w:p>
    <w:p w:rsidR="00D650B0" w:rsidRPr="004A5227" w:rsidRDefault="00CA6815" w:rsidP="00D650B0">
      <w:pPr>
        <w:pStyle w:val="ActHead5"/>
      </w:pPr>
      <w:bookmarkStart w:id="10" w:name="_Toc413419009"/>
      <w:r w:rsidRPr="004A5227">
        <w:rPr>
          <w:rStyle w:val="CharSectno"/>
        </w:rPr>
        <w:t>4</w:t>
      </w:r>
      <w:r w:rsidR="00D650B0" w:rsidRPr="004A5227">
        <w:t xml:space="preserve">  Schedules</w:t>
      </w:r>
      <w:bookmarkEnd w:id="10"/>
    </w:p>
    <w:p w:rsidR="00D650B0" w:rsidRPr="004A5227" w:rsidRDefault="00D650B0" w:rsidP="00D650B0">
      <w:pPr>
        <w:pStyle w:val="subsection"/>
      </w:pPr>
      <w:r w:rsidRPr="004A5227">
        <w:tab/>
      </w:r>
      <w:r w:rsidRPr="004A5227">
        <w:tab/>
        <w:t>Each instrument that is specified in a Schedule to this instrument is amended or repealed as set out in the applicable items in the Schedule concerned, and any other item in a Schedule to this instrument has effect according to its terms.</w:t>
      </w:r>
    </w:p>
    <w:p w:rsidR="004A2727" w:rsidRPr="004A5227" w:rsidRDefault="00CA6815" w:rsidP="000A12AF">
      <w:pPr>
        <w:pStyle w:val="ActHead5"/>
      </w:pPr>
      <w:bookmarkStart w:id="11" w:name="_Toc413419010"/>
      <w:r w:rsidRPr="004A5227">
        <w:rPr>
          <w:rStyle w:val="CharSectno"/>
        </w:rPr>
        <w:t>5</w:t>
      </w:r>
      <w:r w:rsidR="0037652C" w:rsidRPr="004A5227">
        <w:t xml:space="preserve">  </w:t>
      </w:r>
      <w:r w:rsidR="00A6543A" w:rsidRPr="004A5227">
        <w:t>Dictionary</w:t>
      </w:r>
      <w:bookmarkEnd w:id="11"/>
    </w:p>
    <w:p w:rsidR="00A6543A" w:rsidRPr="004A5227" w:rsidRDefault="004A2727" w:rsidP="000A12AF">
      <w:pPr>
        <w:pStyle w:val="subsection"/>
      </w:pPr>
      <w:r w:rsidRPr="004A5227">
        <w:tab/>
        <w:t>(1)</w:t>
      </w:r>
      <w:r w:rsidRPr="004A5227">
        <w:tab/>
      </w:r>
      <w:r w:rsidR="00A6543A" w:rsidRPr="004A5227">
        <w:t xml:space="preserve">The Dictionary </w:t>
      </w:r>
      <w:r w:rsidR="00A15298" w:rsidRPr="004A5227">
        <w:t>in section</w:t>
      </w:r>
      <w:r w:rsidR="004A5227" w:rsidRPr="004A5227">
        <w:t> </w:t>
      </w:r>
      <w:r w:rsidR="00CA6815" w:rsidRPr="004A5227">
        <w:t>15</w:t>
      </w:r>
      <w:r w:rsidR="00A6543A" w:rsidRPr="004A5227">
        <w:t xml:space="preserve"> contains a list of every term that is defined in th</w:t>
      </w:r>
      <w:r w:rsidR="00BB6697" w:rsidRPr="004A5227">
        <w:t>is</w:t>
      </w:r>
      <w:r w:rsidR="00A6543A" w:rsidRPr="004A5227">
        <w:t xml:space="preserve"> instrument.</w:t>
      </w:r>
    </w:p>
    <w:p w:rsidR="00E27CC4" w:rsidRPr="004A5227" w:rsidRDefault="00D650B0" w:rsidP="00D650B0">
      <w:pPr>
        <w:pStyle w:val="subsection"/>
      </w:pPr>
      <w:r w:rsidRPr="004A5227">
        <w:tab/>
        <w:t>(2)</w:t>
      </w:r>
      <w:r w:rsidRPr="004A5227">
        <w:tab/>
        <w:t>A term is either defined in the Dictionary itself, or elsewhere in this instrument. If a term is defined elsewhere, the Dictionary includes a signpost.</w:t>
      </w:r>
    </w:p>
    <w:p w:rsidR="009C3407" w:rsidRPr="004A5227" w:rsidRDefault="00CA6815" w:rsidP="009C3407">
      <w:pPr>
        <w:pStyle w:val="ActHead5"/>
      </w:pPr>
      <w:bookmarkStart w:id="12" w:name="_Toc413419011"/>
      <w:r w:rsidRPr="004A5227">
        <w:rPr>
          <w:rStyle w:val="CharSectno"/>
        </w:rPr>
        <w:lastRenderedPageBreak/>
        <w:t>6</w:t>
      </w:r>
      <w:r w:rsidR="009C3407" w:rsidRPr="004A5227">
        <w:t xml:space="preserve">  Regard to be had to objects and other matters</w:t>
      </w:r>
      <w:bookmarkEnd w:id="12"/>
    </w:p>
    <w:p w:rsidR="009C3407" w:rsidRPr="004A5227" w:rsidRDefault="009C3407" w:rsidP="009C3407">
      <w:pPr>
        <w:pStyle w:val="subsection"/>
        <w:rPr>
          <w:szCs w:val="22"/>
        </w:rPr>
      </w:pPr>
      <w:r w:rsidRPr="004A5227">
        <w:tab/>
      </w:r>
      <w:r w:rsidRPr="004A5227">
        <w:rPr>
          <w:szCs w:val="22"/>
        </w:rPr>
        <w:tab/>
        <w:t>In interpreting and making decisions under this instrument, regard is to be had to:</w:t>
      </w:r>
    </w:p>
    <w:p w:rsidR="009C3407" w:rsidRPr="004A5227" w:rsidRDefault="009C3407" w:rsidP="009C3407">
      <w:pPr>
        <w:pStyle w:val="paragraph"/>
        <w:rPr>
          <w:szCs w:val="22"/>
        </w:rPr>
      </w:pPr>
      <w:r w:rsidRPr="004A5227">
        <w:rPr>
          <w:szCs w:val="22"/>
        </w:rPr>
        <w:tab/>
        <w:t>(a)</w:t>
      </w:r>
      <w:r w:rsidRPr="004A5227">
        <w:rPr>
          <w:szCs w:val="22"/>
        </w:rPr>
        <w:tab/>
        <w:t>the objects of this instrument (see Part</w:t>
      </w:r>
      <w:r w:rsidR="004A5227" w:rsidRPr="004A5227">
        <w:rPr>
          <w:szCs w:val="22"/>
        </w:rPr>
        <w:t> </w:t>
      </w:r>
      <w:r w:rsidRPr="004A5227">
        <w:rPr>
          <w:szCs w:val="22"/>
        </w:rPr>
        <w:t>2); and</w:t>
      </w:r>
    </w:p>
    <w:p w:rsidR="009C3407" w:rsidRPr="004A5227" w:rsidRDefault="009C3407" w:rsidP="009C3407">
      <w:pPr>
        <w:pStyle w:val="paragraph"/>
        <w:rPr>
          <w:szCs w:val="22"/>
        </w:rPr>
      </w:pPr>
      <w:r w:rsidRPr="004A5227">
        <w:rPr>
          <w:szCs w:val="22"/>
        </w:rPr>
        <w:tab/>
        <w:t>(b)</w:t>
      </w:r>
      <w:r w:rsidRPr="004A5227">
        <w:rPr>
          <w:szCs w:val="22"/>
        </w:rPr>
        <w:tab/>
        <w:t>the desirability of ensuring consistency with the object of Part</w:t>
      </w:r>
      <w:r w:rsidR="004A5227" w:rsidRPr="004A5227">
        <w:rPr>
          <w:szCs w:val="22"/>
        </w:rPr>
        <w:t> </w:t>
      </w:r>
      <w:proofErr w:type="spellStart"/>
      <w:r w:rsidRPr="004A5227">
        <w:rPr>
          <w:szCs w:val="22"/>
        </w:rPr>
        <w:t>XIC</w:t>
      </w:r>
      <w:proofErr w:type="spellEnd"/>
      <w:r w:rsidRPr="004A5227">
        <w:rPr>
          <w:szCs w:val="22"/>
        </w:rPr>
        <w:t xml:space="preserve"> of the </w:t>
      </w:r>
      <w:r w:rsidRPr="004A5227">
        <w:rPr>
          <w:i/>
          <w:szCs w:val="22"/>
        </w:rPr>
        <w:t>Competition and Consumer Act 2010</w:t>
      </w:r>
      <w:r w:rsidRPr="004A5227">
        <w:rPr>
          <w:szCs w:val="22"/>
        </w:rPr>
        <w:t xml:space="preserve"> (telecommunications access regime); and</w:t>
      </w:r>
    </w:p>
    <w:p w:rsidR="009C3407" w:rsidRPr="004A5227" w:rsidRDefault="009C3407" w:rsidP="009C3407">
      <w:pPr>
        <w:pStyle w:val="paragraph"/>
        <w:rPr>
          <w:szCs w:val="22"/>
        </w:rPr>
      </w:pPr>
      <w:r w:rsidRPr="004A5227">
        <w:rPr>
          <w:szCs w:val="22"/>
        </w:rPr>
        <w:tab/>
        <w:t>(c)</w:t>
      </w:r>
      <w:r w:rsidRPr="004A5227">
        <w:rPr>
          <w:szCs w:val="22"/>
        </w:rPr>
        <w:tab/>
        <w:t>the desirability of ensuring that the management of numbers under this instrument is carried out in a way that is consistent with the requirements of other instruments made under the Act.</w:t>
      </w:r>
    </w:p>
    <w:p w:rsidR="004B3A4D" w:rsidRPr="004A5227" w:rsidRDefault="004B3A4D" w:rsidP="004B3A4D">
      <w:pPr>
        <w:pStyle w:val="ActHead2"/>
        <w:pageBreakBefore/>
      </w:pPr>
      <w:bookmarkStart w:id="13" w:name="_Toc413419012"/>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Objects</w:t>
      </w:r>
      <w:bookmarkEnd w:id="13"/>
    </w:p>
    <w:p w:rsidR="004B3A4D" w:rsidRPr="004A5227" w:rsidRDefault="004B3A4D" w:rsidP="004B3A4D">
      <w:pPr>
        <w:pStyle w:val="ActHead3"/>
      </w:pPr>
      <w:bookmarkStart w:id="14" w:name="_Toc413419013"/>
      <w:r w:rsidRPr="004A5227">
        <w:rPr>
          <w:rStyle w:val="CharDivNo"/>
        </w:rPr>
        <w:t>Division</w:t>
      </w:r>
      <w:r w:rsidR="004A5227" w:rsidRPr="004A5227">
        <w:rPr>
          <w:rStyle w:val="CharDivNo"/>
        </w:rPr>
        <w:t> </w:t>
      </w:r>
      <w:r w:rsidRPr="004A5227">
        <w:rPr>
          <w:rStyle w:val="CharDivNo"/>
        </w:rPr>
        <w:t>1</w:t>
      </w:r>
      <w:r w:rsidRPr="004A5227">
        <w:t>—</w:t>
      </w:r>
      <w:r w:rsidRPr="004A5227">
        <w:rPr>
          <w:rStyle w:val="CharDivText"/>
        </w:rPr>
        <w:t>Primary objects</w:t>
      </w:r>
      <w:bookmarkEnd w:id="14"/>
    </w:p>
    <w:p w:rsidR="004B3A4D" w:rsidRPr="004A5227" w:rsidRDefault="00CA6815" w:rsidP="004B3A4D">
      <w:pPr>
        <w:pStyle w:val="ActHead5"/>
      </w:pPr>
      <w:bookmarkStart w:id="15" w:name="_Toc413419014"/>
      <w:r w:rsidRPr="004A5227">
        <w:rPr>
          <w:rStyle w:val="CharSectno"/>
        </w:rPr>
        <w:t>7</w:t>
      </w:r>
      <w:r w:rsidR="004B3A4D" w:rsidRPr="004A5227">
        <w:t xml:space="preserve">  Primary objects</w:t>
      </w:r>
      <w:bookmarkEnd w:id="15"/>
    </w:p>
    <w:p w:rsidR="00E76116" w:rsidRPr="004A5227" w:rsidRDefault="00B36022" w:rsidP="00E76116">
      <w:pPr>
        <w:pStyle w:val="subsection"/>
      </w:pPr>
      <w:r w:rsidRPr="004A5227">
        <w:tab/>
      </w:r>
      <w:r w:rsidRPr="004A5227">
        <w:tab/>
      </w:r>
      <w:r w:rsidR="006F7CD2" w:rsidRPr="004A5227">
        <w:t>The primary object</w:t>
      </w:r>
      <w:r w:rsidR="00E0113F" w:rsidRPr="004A5227">
        <w:t>s</w:t>
      </w:r>
      <w:r w:rsidR="00E76116" w:rsidRPr="004A5227">
        <w:t xml:space="preserve"> of this </w:t>
      </w:r>
      <w:r w:rsidR="000C33CD" w:rsidRPr="004A5227">
        <w:t>instrument</w:t>
      </w:r>
      <w:r w:rsidR="006F7CD2" w:rsidRPr="004A5227">
        <w:t xml:space="preserve"> </w:t>
      </w:r>
      <w:r w:rsidR="00E0113F" w:rsidRPr="004A5227">
        <w:t xml:space="preserve">are </w:t>
      </w:r>
      <w:r w:rsidR="00E76116" w:rsidRPr="004A5227">
        <w:t>to:</w:t>
      </w:r>
    </w:p>
    <w:p w:rsidR="00E76116" w:rsidRPr="004A5227" w:rsidRDefault="00E76116" w:rsidP="00E76116">
      <w:pPr>
        <w:pStyle w:val="paragraph"/>
      </w:pPr>
      <w:r w:rsidRPr="004A5227">
        <w:tab/>
        <w:t>(a)</w:t>
      </w:r>
      <w:r w:rsidRPr="004A5227">
        <w:tab/>
        <w:t>establish a</w:t>
      </w:r>
      <w:r w:rsidR="009C3407" w:rsidRPr="004A5227">
        <w:t>n effective and efficient</w:t>
      </w:r>
      <w:r w:rsidRPr="004A5227">
        <w:t xml:space="preserve"> framework for the numbering of carriage services in Australia</w:t>
      </w:r>
      <w:r w:rsidR="00F66251" w:rsidRPr="004A5227">
        <w:t xml:space="preserve"> which has regard to recognised international standards</w:t>
      </w:r>
      <w:r w:rsidRPr="004A5227">
        <w:t>; and</w:t>
      </w:r>
    </w:p>
    <w:p w:rsidR="00E76116" w:rsidRPr="004A5227" w:rsidRDefault="00E76116" w:rsidP="00E76116">
      <w:pPr>
        <w:pStyle w:val="paragraph"/>
      </w:pPr>
      <w:r w:rsidRPr="004A5227">
        <w:tab/>
        <w:t>(b)</w:t>
      </w:r>
      <w:r w:rsidRPr="004A5227">
        <w:tab/>
        <w:t xml:space="preserve">establish </w:t>
      </w:r>
      <w:r w:rsidR="009C3407" w:rsidRPr="004A5227">
        <w:t>an effective and efficient</w:t>
      </w:r>
      <w:r w:rsidRPr="004A5227">
        <w:t xml:space="preserve"> framework for the use of numbers in connection with the supply of such services; and</w:t>
      </w:r>
    </w:p>
    <w:p w:rsidR="00E76116" w:rsidRPr="004A5227" w:rsidRDefault="00E76116" w:rsidP="00E76116">
      <w:pPr>
        <w:pStyle w:val="paragraph"/>
      </w:pPr>
      <w:r w:rsidRPr="004A5227">
        <w:tab/>
        <w:t>(c)</w:t>
      </w:r>
      <w:r w:rsidRPr="004A5227">
        <w:tab/>
        <w:t>specify the numbers for use in connection with the supply of carriage services to the public in Australia; and</w:t>
      </w:r>
    </w:p>
    <w:p w:rsidR="00E76116" w:rsidRPr="004A5227" w:rsidRDefault="00D575E7" w:rsidP="00E76116">
      <w:pPr>
        <w:pStyle w:val="paragraph"/>
      </w:pPr>
      <w:r w:rsidRPr="004A5227">
        <w:tab/>
        <w:t>(d)</w:t>
      </w:r>
      <w:r w:rsidRPr="004A5227">
        <w:tab/>
        <w:t xml:space="preserve">establish </w:t>
      </w:r>
      <w:r w:rsidR="009C3407" w:rsidRPr="004A5227">
        <w:t xml:space="preserve">an effective and efficient </w:t>
      </w:r>
      <w:r w:rsidR="00E76116" w:rsidRPr="004A5227">
        <w:t>framework for the allocation and portability of numbers.</w:t>
      </w:r>
    </w:p>
    <w:p w:rsidR="009844C2" w:rsidRPr="004A5227" w:rsidRDefault="009844C2" w:rsidP="009844C2">
      <w:pPr>
        <w:pStyle w:val="ActHead3"/>
        <w:pageBreakBefore/>
      </w:pPr>
      <w:bookmarkStart w:id="16" w:name="_Toc413419015"/>
      <w:r w:rsidRPr="004A5227">
        <w:rPr>
          <w:rStyle w:val="CharDivNo"/>
        </w:rPr>
        <w:lastRenderedPageBreak/>
        <w:t>Division</w:t>
      </w:r>
      <w:r w:rsidR="004A5227" w:rsidRPr="004A5227">
        <w:rPr>
          <w:rStyle w:val="CharDivNo"/>
        </w:rPr>
        <w:t> </w:t>
      </w:r>
      <w:r w:rsidRPr="004A5227">
        <w:rPr>
          <w:rStyle w:val="CharDivNo"/>
        </w:rPr>
        <w:t>2</w:t>
      </w:r>
      <w:r w:rsidRPr="004A5227">
        <w:t>—</w:t>
      </w:r>
      <w:r w:rsidRPr="004A5227">
        <w:rPr>
          <w:rStyle w:val="CharDivText"/>
        </w:rPr>
        <w:t>Secondary objects</w:t>
      </w:r>
      <w:bookmarkEnd w:id="16"/>
    </w:p>
    <w:p w:rsidR="00E76116" w:rsidRPr="004A5227" w:rsidRDefault="00CA6815" w:rsidP="00E76116">
      <w:pPr>
        <w:pStyle w:val="ActHead5"/>
      </w:pPr>
      <w:bookmarkStart w:id="17" w:name="_Toc413419016"/>
      <w:r w:rsidRPr="004A5227">
        <w:rPr>
          <w:rStyle w:val="CharSectno"/>
        </w:rPr>
        <w:t>8</w:t>
      </w:r>
      <w:r w:rsidR="00E76116" w:rsidRPr="004A5227">
        <w:t xml:space="preserve">  Access to end</w:t>
      </w:r>
      <w:r w:rsidR="004A5227">
        <w:noBreakHyphen/>
      </w:r>
      <w:r w:rsidR="00E76116" w:rsidRPr="004A5227">
        <w:t>users</w:t>
      </w:r>
      <w:bookmarkEnd w:id="17"/>
    </w:p>
    <w:p w:rsidR="00E76116" w:rsidRPr="004A5227" w:rsidRDefault="00E76116" w:rsidP="00E76116">
      <w:pPr>
        <w:pStyle w:val="subsection"/>
      </w:pPr>
      <w:r w:rsidRPr="004A5227">
        <w:tab/>
      </w:r>
      <w:r w:rsidRPr="004A5227">
        <w:tab/>
        <w:t xml:space="preserve">A secondary object of this </w:t>
      </w:r>
      <w:r w:rsidR="006F7CD2" w:rsidRPr="004A5227">
        <w:t>instrument</w:t>
      </w:r>
      <w:r w:rsidRPr="004A5227">
        <w:t xml:space="preserve"> is to facilitate any</w:t>
      </w:r>
      <w:r w:rsidR="004A5227">
        <w:noBreakHyphen/>
      </w:r>
      <w:r w:rsidRPr="004A5227">
        <w:t>to</w:t>
      </w:r>
      <w:r w:rsidR="004A5227">
        <w:noBreakHyphen/>
      </w:r>
      <w:r w:rsidRPr="004A5227">
        <w:t xml:space="preserve">any connectivity by ensuring </w:t>
      </w:r>
      <w:r w:rsidRPr="004A5227">
        <w:rPr>
          <w:sz w:val="24"/>
          <w:szCs w:val="24"/>
        </w:rPr>
        <w:t>that numbers are:</w:t>
      </w:r>
    </w:p>
    <w:p w:rsidR="00E76116" w:rsidRPr="004A5227" w:rsidRDefault="00E76116" w:rsidP="00E76116">
      <w:pPr>
        <w:pStyle w:val="paragraph"/>
      </w:pPr>
      <w:r w:rsidRPr="004A5227">
        <w:tab/>
        <w:t>(a)</w:t>
      </w:r>
      <w:r w:rsidRPr="004A5227">
        <w:tab/>
        <w:t xml:space="preserve">clearly assigned to a type </w:t>
      </w:r>
      <w:r w:rsidR="000C33CD" w:rsidRPr="004A5227">
        <w:t xml:space="preserve">or types </w:t>
      </w:r>
      <w:r w:rsidRPr="004A5227">
        <w:t>of service; and</w:t>
      </w:r>
    </w:p>
    <w:p w:rsidR="00E76116" w:rsidRPr="004A5227" w:rsidRDefault="00E76116" w:rsidP="00E76116">
      <w:pPr>
        <w:pStyle w:val="paragraph"/>
      </w:pPr>
      <w:r w:rsidRPr="004A5227">
        <w:tab/>
      </w:r>
      <w:r w:rsidR="00B55B4C" w:rsidRPr="004A5227">
        <w:t>(b)</w:t>
      </w:r>
      <w:r w:rsidRPr="004A5227">
        <w:tab/>
        <w:t>allocated and used responsibly.</w:t>
      </w:r>
    </w:p>
    <w:p w:rsidR="00B242CB" w:rsidRPr="004A5227" w:rsidRDefault="00E61FB8" w:rsidP="00E61FB8">
      <w:pPr>
        <w:pStyle w:val="notetext"/>
      </w:pPr>
      <w:r w:rsidRPr="004A5227">
        <w:t>Note:</w:t>
      </w:r>
      <w:r w:rsidRPr="004A5227">
        <w:tab/>
        <w:t>Any</w:t>
      </w:r>
      <w:r w:rsidR="004A5227">
        <w:noBreakHyphen/>
      </w:r>
      <w:r w:rsidRPr="004A5227">
        <w:t>to</w:t>
      </w:r>
      <w:r w:rsidR="004A5227">
        <w:noBreakHyphen/>
      </w:r>
      <w:r w:rsidRPr="004A5227">
        <w:t>any connectivity is an objective of the telecommunications access regime in Part</w:t>
      </w:r>
      <w:r w:rsidR="004A5227" w:rsidRPr="004A5227">
        <w:t> </w:t>
      </w:r>
      <w:proofErr w:type="spellStart"/>
      <w:r w:rsidRPr="004A5227">
        <w:t>XIC</w:t>
      </w:r>
      <w:proofErr w:type="spellEnd"/>
      <w:r w:rsidRPr="004A5227">
        <w:t xml:space="preserve"> of the </w:t>
      </w:r>
      <w:r w:rsidRPr="004A5227">
        <w:rPr>
          <w:i/>
        </w:rPr>
        <w:t>Competition and Consumer Act 2010</w:t>
      </w:r>
      <w:r w:rsidRPr="004A5227">
        <w:t>.</w:t>
      </w:r>
    </w:p>
    <w:p w:rsidR="00E61FB8" w:rsidRPr="004A5227" w:rsidRDefault="00B242CB" w:rsidP="00E61FB8">
      <w:pPr>
        <w:pStyle w:val="notetext"/>
      </w:pPr>
      <w:r w:rsidRPr="004A5227">
        <w:tab/>
      </w:r>
      <w:r w:rsidR="00E61FB8" w:rsidRPr="004A5227">
        <w:t>Subsection</w:t>
      </w:r>
      <w:r w:rsidR="004A5227" w:rsidRPr="004A5227">
        <w:t> </w:t>
      </w:r>
      <w:r w:rsidR="00E61FB8" w:rsidRPr="004A5227">
        <w:t>152AB(8) of that Act states that the objective of any</w:t>
      </w:r>
      <w:r w:rsidR="004A5227">
        <w:noBreakHyphen/>
      </w:r>
      <w:r w:rsidR="00E61FB8" w:rsidRPr="004A5227">
        <w:t>to</w:t>
      </w:r>
      <w:r w:rsidR="004A5227">
        <w:noBreakHyphen/>
      </w:r>
      <w:r w:rsidR="00E61FB8" w:rsidRPr="004A5227">
        <w:t>any connectivity is achieved if, and only if, each end</w:t>
      </w:r>
      <w:r w:rsidR="004A5227">
        <w:noBreakHyphen/>
      </w:r>
      <w:r w:rsidR="00E61FB8" w:rsidRPr="004A5227">
        <w:t>user who is supplied with a carriage service that involves communication between end</w:t>
      </w:r>
      <w:r w:rsidR="004A5227">
        <w:noBreakHyphen/>
      </w:r>
      <w:r w:rsidR="00E61FB8" w:rsidRPr="004A5227">
        <w:t>users is able to communicate, by means of that service, with each other end</w:t>
      </w:r>
      <w:r w:rsidR="004A5227">
        <w:noBreakHyphen/>
      </w:r>
      <w:r w:rsidR="00E61FB8" w:rsidRPr="004A5227">
        <w:t>user who is supplied with the same service or a similar service, whether or not the end</w:t>
      </w:r>
      <w:r w:rsidR="004A5227">
        <w:noBreakHyphen/>
      </w:r>
      <w:r w:rsidR="00E61FB8" w:rsidRPr="004A5227">
        <w:t>users are connected to the same telecommunications network.</w:t>
      </w:r>
    </w:p>
    <w:p w:rsidR="00E76116" w:rsidRPr="004A5227" w:rsidRDefault="00CA6815" w:rsidP="00B36022">
      <w:pPr>
        <w:pStyle w:val="ActHead5"/>
      </w:pPr>
      <w:bookmarkStart w:id="18" w:name="_Toc413419017"/>
      <w:r w:rsidRPr="004A5227">
        <w:rPr>
          <w:rStyle w:val="CharSectno"/>
        </w:rPr>
        <w:t>9</w:t>
      </w:r>
      <w:r w:rsidR="00B36022" w:rsidRPr="004A5227">
        <w:t xml:space="preserve"> </w:t>
      </w:r>
      <w:r w:rsidR="00E76116" w:rsidRPr="004A5227">
        <w:t xml:space="preserve"> </w:t>
      </w:r>
      <w:r w:rsidR="00B242CB" w:rsidRPr="004A5227">
        <w:t>Allocation, i</w:t>
      </w:r>
      <w:r w:rsidR="00E76116" w:rsidRPr="004A5227">
        <w:t>ssue and use of numbers</w:t>
      </w:r>
      <w:bookmarkEnd w:id="18"/>
    </w:p>
    <w:p w:rsidR="00B36022" w:rsidRPr="004A5227" w:rsidRDefault="00B36022" w:rsidP="00B36022">
      <w:pPr>
        <w:pStyle w:val="subsection"/>
      </w:pPr>
      <w:r w:rsidRPr="004A5227">
        <w:tab/>
      </w:r>
      <w:r w:rsidRPr="004A5227">
        <w:tab/>
        <w:t xml:space="preserve">A secondary </w:t>
      </w:r>
      <w:r w:rsidR="00E76116" w:rsidRPr="004A5227">
        <w:t xml:space="preserve">object of this </w:t>
      </w:r>
      <w:r w:rsidR="006F7CD2" w:rsidRPr="004A5227">
        <w:t>instrument</w:t>
      </w:r>
      <w:r w:rsidR="00E76116" w:rsidRPr="004A5227">
        <w:t xml:space="preserve"> is</w:t>
      </w:r>
      <w:r w:rsidR="00D575E7" w:rsidRPr="004A5227">
        <w:t>:</w:t>
      </w:r>
    </w:p>
    <w:p w:rsidR="00B36022" w:rsidRPr="004A5227" w:rsidRDefault="00B36022" w:rsidP="00B36022">
      <w:pPr>
        <w:pStyle w:val="paragraph"/>
      </w:pPr>
      <w:r w:rsidRPr="004A5227">
        <w:tab/>
        <w:t>(a)</w:t>
      </w:r>
      <w:r w:rsidRPr="004A5227">
        <w:tab/>
      </w:r>
      <w:r w:rsidR="00E76116" w:rsidRPr="004A5227">
        <w:t>to ensure the avail</w:t>
      </w:r>
      <w:r w:rsidRPr="004A5227">
        <w:t xml:space="preserve">ability of numbers by promoting </w:t>
      </w:r>
      <w:r w:rsidR="00E76116" w:rsidRPr="004A5227">
        <w:t>efficient issue and use of numbers by carriage service providers and</w:t>
      </w:r>
      <w:r w:rsidRPr="004A5227">
        <w:t xml:space="preserve"> customers; </w:t>
      </w:r>
      <w:r w:rsidR="000C33CD" w:rsidRPr="004A5227">
        <w:t>and</w:t>
      </w:r>
    </w:p>
    <w:p w:rsidR="00E76116" w:rsidRPr="004A5227" w:rsidRDefault="00B36022" w:rsidP="00B36022">
      <w:pPr>
        <w:pStyle w:val="paragraph"/>
      </w:pPr>
      <w:r w:rsidRPr="004A5227">
        <w:tab/>
        <w:t>(b)</w:t>
      </w:r>
      <w:r w:rsidRPr="004A5227">
        <w:tab/>
      </w:r>
      <w:r w:rsidR="00E76116" w:rsidRPr="004A5227">
        <w:t>to promote and facilitate fairness and equity in:</w:t>
      </w:r>
    </w:p>
    <w:p w:rsidR="00E76116" w:rsidRPr="004A5227" w:rsidRDefault="00B36022" w:rsidP="00B36022">
      <w:pPr>
        <w:pStyle w:val="paragraphsub"/>
      </w:pPr>
      <w:r w:rsidRPr="004A5227">
        <w:tab/>
        <w:t>(</w:t>
      </w:r>
      <w:proofErr w:type="spellStart"/>
      <w:r w:rsidRPr="004A5227">
        <w:t>i</w:t>
      </w:r>
      <w:proofErr w:type="spellEnd"/>
      <w:r w:rsidR="00E76116" w:rsidRPr="004A5227">
        <w:t>)</w:t>
      </w:r>
      <w:r w:rsidRPr="004A5227">
        <w:tab/>
      </w:r>
      <w:r w:rsidR="00E76116" w:rsidRPr="004A5227">
        <w:t>the allocation of numbers to carriage service providers; and</w:t>
      </w:r>
    </w:p>
    <w:p w:rsidR="000C33CD" w:rsidRPr="004A5227" w:rsidRDefault="00B36022" w:rsidP="000C33CD">
      <w:pPr>
        <w:pStyle w:val="paragraphsub"/>
      </w:pPr>
      <w:r w:rsidRPr="004A5227">
        <w:tab/>
        <w:t>(ii)</w:t>
      </w:r>
      <w:r w:rsidRPr="004A5227">
        <w:tab/>
      </w:r>
      <w:r w:rsidR="00E76116" w:rsidRPr="004A5227">
        <w:t>the issue of numbers to customers</w:t>
      </w:r>
      <w:r w:rsidR="000C33CD" w:rsidRPr="004A5227">
        <w:t xml:space="preserve"> by carriage service providers; and</w:t>
      </w:r>
    </w:p>
    <w:p w:rsidR="00E76116" w:rsidRPr="004A5227" w:rsidRDefault="000C33CD" w:rsidP="000C33CD">
      <w:pPr>
        <w:pStyle w:val="paragraph"/>
      </w:pPr>
      <w:r w:rsidRPr="004A5227">
        <w:tab/>
        <w:t>(c)</w:t>
      </w:r>
      <w:r w:rsidRPr="004A5227">
        <w:tab/>
      </w:r>
      <w:r w:rsidR="00E76116" w:rsidRPr="004A5227">
        <w:t>to minimise obstacles to the continued and</w:t>
      </w:r>
      <w:r w:rsidR="00B36022" w:rsidRPr="004A5227">
        <w:t xml:space="preserve"> </w:t>
      </w:r>
      <w:r w:rsidR="00E76116" w:rsidRPr="004A5227">
        <w:t>beneficial u</w:t>
      </w:r>
      <w:r w:rsidRPr="004A5227">
        <w:t xml:space="preserve">se by customers of the numbers </w:t>
      </w:r>
      <w:r w:rsidR="00E76116" w:rsidRPr="004A5227">
        <w:t>issued to them.</w:t>
      </w:r>
    </w:p>
    <w:p w:rsidR="00E76116" w:rsidRPr="004A5227" w:rsidRDefault="00CA6815" w:rsidP="00B36022">
      <w:pPr>
        <w:pStyle w:val="ActHead5"/>
      </w:pPr>
      <w:bookmarkStart w:id="19" w:name="_Toc413419018"/>
      <w:r w:rsidRPr="004A5227">
        <w:rPr>
          <w:rStyle w:val="CharSectno"/>
        </w:rPr>
        <w:t>10</w:t>
      </w:r>
      <w:r w:rsidR="00B36022" w:rsidRPr="004A5227">
        <w:t xml:space="preserve"> </w:t>
      </w:r>
      <w:r w:rsidR="00E76116" w:rsidRPr="004A5227">
        <w:t xml:space="preserve"> Carriage services</w:t>
      </w:r>
      <w:bookmarkEnd w:id="19"/>
    </w:p>
    <w:p w:rsidR="00E76116" w:rsidRPr="004A5227" w:rsidRDefault="00B36022" w:rsidP="00B36022">
      <w:pPr>
        <w:pStyle w:val="subsection"/>
      </w:pPr>
      <w:r w:rsidRPr="004A5227">
        <w:tab/>
      </w:r>
      <w:r w:rsidRPr="004A5227">
        <w:tab/>
      </w:r>
      <w:r w:rsidR="000C33CD" w:rsidRPr="004A5227">
        <w:t>A</w:t>
      </w:r>
      <w:r w:rsidR="00E76116" w:rsidRPr="004A5227">
        <w:t xml:space="preserve"> </w:t>
      </w:r>
      <w:r w:rsidRPr="004A5227">
        <w:t xml:space="preserve">secondary </w:t>
      </w:r>
      <w:r w:rsidR="00E76116" w:rsidRPr="004A5227">
        <w:t>object of</w:t>
      </w:r>
      <w:r w:rsidR="006F7CD2" w:rsidRPr="004A5227">
        <w:t xml:space="preserve"> this instrument</w:t>
      </w:r>
      <w:r w:rsidR="00E76116" w:rsidRPr="004A5227">
        <w:t xml:space="preserve"> is to ensure the availability of numbers to facilitate:</w:t>
      </w:r>
    </w:p>
    <w:p w:rsidR="00E76116" w:rsidRPr="004A5227" w:rsidRDefault="00B36022" w:rsidP="00B36022">
      <w:pPr>
        <w:pStyle w:val="paragraph"/>
      </w:pPr>
      <w:r w:rsidRPr="004A5227">
        <w:tab/>
      </w:r>
      <w:r w:rsidR="00E76116" w:rsidRPr="004A5227">
        <w:t>(a)</w:t>
      </w:r>
      <w:r w:rsidRPr="004A5227">
        <w:tab/>
      </w:r>
      <w:r w:rsidR="00E76116" w:rsidRPr="004A5227">
        <w:t>the introduction and supply of carriage services; and</w:t>
      </w:r>
    </w:p>
    <w:p w:rsidR="00E76116" w:rsidRPr="004A5227" w:rsidRDefault="00B36022" w:rsidP="00B36022">
      <w:pPr>
        <w:pStyle w:val="paragraph"/>
      </w:pPr>
      <w:r w:rsidRPr="004A5227">
        <w:tab/>
      </w:r>
      <w:r w:rsidR="00E76116" w:rsidRPr="004A5227">
        <w:t>(b)</w:t>
      </w:r>
      <w:r w:rsidRPr="004A5227">
        <w:tab/>
      </w:r>
      <w:r w:rsidR="00E76116" w:rsidRPr="004A5227">
        <w:t>access by customers, or connection by end</w:t>
      </w:r>
      <w:r w:rsidR="004A5227">
        <w:noBreakHyphen/>
      </w:r>
      <w:r w:rsidR="00E76116" w:rsidRPr="004A5227">
        <w:t xml:space="preserve">users, to </w:t>
      </w:r>
      <w:r w:rsidR="000C33CD" w:rsidRPr="004A5227">
        <w:t xml:space="preserve">carriage </w:t>
      </w:r>
      <w:r w:rsidR="00E76116" w:rsidRPr="004A5227">
        <w:t>services; and</w:t>
      </w:r>
    </w:p>
    <w:p w:rsidR="00E76116" w:rsidRPr="004A5227" w:rsidRDefault="00B36022" w:rsidP="00B36022">
      <w:pPr>
        <w:pStyle w:val="paragraph"/>
      </w:pPr>
      <w:r w:rsidRPr="004A5227">
        <w:tab/>
      </w:r>
      <w:r w:rsidR="00E76116" w:rsidRPr="004A5227">
        <w:t>(c)</w:t>
      </w:r>
      <w:r w:rsidRPr="004A5227">
        <w:tab/>
      </w:r>
      <w:r w:rsidR="00E76116" w:rsidRPr="004A5227">
        <w:t>proper routing of calls by carriage service providers.</w:t>
      </w:r>
    </w:p>
    <w:p w:rsidR="00E76116" w:rsidRPr="004A5227" w:rsidRDefault="00CA6815" w:rsidP="00B36022">
      <w:pPr>
        <w:pStyle w:val="ActHead5"/>
      </w:pPr>
      <w:bookmarkStart w:id="20" w:name="_Toc413419019"/>
      <w:r w:rsidRPr="004A5227">
        <w:rPr>
          <w:rStyle w:val="CharSectno"/>
        </w:rPr>
        <w:t>11</w:t>
      </w:r>
      <w:r w:rsidR="00B36022" w:rsidRPr="004A5227">
        <w:t xml:space="preserve"> </w:t>
      </w:r>
      <w:r w:rsidR="00E76116" w:rsidRPr="004A5227">
        <w:t xml:space="preserve"> Call charge and associated services</w:t>
      </w:r>
      <w:bookmarkEnd w:id="20"/>
    </w:p>
    <w:p w:rsidR="00E76116" w:rsidRPr="004A5227" w:rsidRDefault="00B36022" w:rsidP="00B36022">
      <w:pPr>
        <w:pStyle w:val="subsection"/>
      </w:pPr>
      <w:r w:rsidRPr="004A5227">
        <w:tab/>
      </w:r>
      <w:r w:rsidRPr="004A5227">
        <w:tab/>
      </w:r>
      <w:r w:rsidR="000C33CD" w:rsidRPr="004A5227">
        <w:t>A secondary</w:t>
      </w:r>
      <w:r w:rsidR="00E76116" w:rsidRPr="004A5227">
        <w:t xml:space="preserve"> object of </w:t>
      </w:r>
      <w:r w:rsidR="006F7CD2" w:rsidRPr="004A5227">
        <w:t>this instrument</w:t>
      </w:r>
      <w:r w:rsidR="00E76116" w:rsidRPr="004A5227">
        <w:t xml:space="preserve"> is:</w:t>
      </w:r>
    </w:p>
    <w:p w:rsidR="00E76116" w:rsidRPr="004A5227" w:rsidRDefault="00B36022" w:rsidP="00B36022">
      <w:pPr>
        <w:pStyle w:val="paragraph"/>
      </w:pPr>
      <w:r w:rsidRPr="004A5227">
        <w:tab/>
        <w:t>(a)</w:t>
      </w:r>
      <w:r w:rsidRPr="004A5227">
        <w:tab/>
      </w:r>
      <w:r w:rsidR="00E76116" w:rsidRPr="004A5227">
        <w:t>to enable end</w:t>
      </w:r>
      <w:r w:rsidR="004A5227">
        <w:noBreakHyphen/>
      </w:r>
      <w:r w:rsidR="00E76116" w:rsidRPr="004A5227">
        <w:t>users to understand the level of call charge for calls to a</w:t>
      </w:r>
      <w:r w:rsidRPr="004A5227">
        <w:t xml:space="preserve"> </w:t>
      </w:r>
      <w:r w:rsidR="00E76116" w:rsidRPr="004A5227">
        <w:t>number; and</w:t>
      </w:r>
    </w:p>
    <w:p w:rsidR="00E76116" w:rsidRPr="004A5227" w:rsidRDefault="00B36022" w:rsidP="00B36022">
      <w:pPr>
        <w:pStyle w:val="paragraph"/>
      </w:pPr>
      <w:r w:rsidRPr="004A5227">
        <w:tab/>
        <w:t>(b)</w:t>
      </w:r>
      <w:r w:rsidRPr="004A5227">
        <w:tab/>
      </w:r>
      <w:r w:rsidR="00E76116" w:rsidRPr="004A5227">
        <w:t>to enable end</w:t>
      </w:r>
      <w:r w:rsidR="004A5227">
        <w:noBreakHyphen/>
      </w:r>
      <w:r w:rsidR="00E76116" w:rsidRPr="004A5227">
        <w:t>users to understa</w:t>
      </w:r>
      <w:r w:rsidRPr="004A5227">
        <w:t xml:space="preserve">nd which numbers can be used in </w:t>
      </w:r>
      <w:r w:rsidR="00E76116" w:rsidRPr="004A5227">
        <w:t>connection with the supply of particular carriage services; and</w:t>
      </w:r>
    </w:p>
    <w:p w:rsidR="00E76116" w:rsidRPr="004A5227" w:rsidRDefault="00B36022" w:rsidP="001845B4">
      <w:pPr>
        <w:pStyle w:val="paragraph"/>
      </w:pPr>
      <w:r w:rsidRPr="004A5227">
        <w:tab/>
        <w:t>(c)</w:t>
      </w:r>
      <w:r w:rsidRPr="004A5227">
        <w:tab/>
      </w:r>
      <w:r w:rsidR="00E76116" w:rsidRPr="004A5227">
        <w:t>to enable end</w:t>
      </w:r>
      <w:r w:rsidR="004A5227">
        <w:noBreakHyphen/>
      </w:r>
      <w:r w:rsidR="00E76116" w:rsidRPr="004A5227">
        <w:t>users to apply this und</w:t>
      </w:r>
      <w:r w:rsidRPr="004A5227">
        <w:t xml:space="preserve">erstanding in the management of </w:t>
      </w:r>
      <w:r w:rsidR="00E76116" w:rsidRPr="004A5227">
        <w:t>call costs.</w:t>
      </w:r>
    </w:p>
    <w:p w:rsidR="00E76116" w:rsidRPr="004A5227" w:rsidRDefault="00CA6815" w:rsidP="00790A2E">
      <w:pPr>
        <w:pStyle w:val="ActHead5"/>
      </w:pPr>
      <w:bookmarkStart w:id="21" w:name="_Toc413419020"/>
      <w:r w:rsidRPr="004A5227">
        <w:rPr>
          <w:rStyle w:val="CharSectno"/>
        </w:rPr>
        <w:lastRenderedPageBreak/>
        <w:t>12</w:t>
      </w:r>
      <w:r w:rsidR="00790A2E" w:rsidRPr="004A5227">
        <w:t xml:space="preserve"> </w:t>
      </w:r>
      <w:r w:rsidR="00E76116" w:rsidRPr="004A5227">
        <w:t xml:space="preserve"> Technology</w:t>
      </w:r>
      <w:bookmarkEnd w:id="21"/>
    </w:p>
    <w:p w:rsidR="00E76116" w:rsidRPr="004A5227" w:rsidRDefault="000C33CD" w:rsidP="00505FE2">
      <w:pPr>
        <w:pStyle w:val="subsection"/>
      </w:pPr>
      <w:r w:rsidRPr="004A5227">
        <w:tab/>
      </w:r>
      <w:r w:rsidRPr="004A5227">
        <w:tab/>
        <w:t>A secondary</w:t>
      </w:r>
      <w:r w:rsidR="00E76116" w:rsidRPr="004A5227">
        <w:t xml:space="preserve"> object of this </w:t>
      </w:r>
      <w:r w:rsidR="00E1384A" w:rsidRPr="004A5227">
        <w:t>instrument</w:t>
      </w:r>
      <w:r w:rsidR="00E76116" w:rsidRPr="004A5227">
        <w:t xml:space="preserve"> is to accommodate the capabilities and usage of</w:t>
      </w:r>
      <w:r w:rsidRPr="004A5227">
        <w:t xml:space="preserve"> </w:t>
      </w:r>
      <w:r w:rsidR="00E76116" w:rsidRPr="004A5227">
        <w:t>different telecommunications technologies and terminal equipment in</w:t>
      </w:r>
      <w:r w:rsidRPr="004A5227">
        <w:t xml:space="preserve"> </w:t>
      </w:r>
      <w:r w:rsidR="00E76116" w:rsidRPr="004A5227">
        <w:t>Australia.</w:t>
      </w:r>
    </w:p>
    <w:p w:rsidR="00E76116" w:rsidRPr="004A5227" w:rsidRDefault="00CA6815" w:rsidP="000C33CD">
      <w:pPr>
        <w:pStyle w:val="ActHead5"/>
      </w:pPr>
      <w:bookmarkStart w:id="22" w:name="_Toc413419021"/>
      <w:r w:rsidRPr="004A5227">
        <w:rPr>
          <w:rStyle w:val="CharSectno"/>
        </w:rPr>
        <w:t>13</w:t>
      </w:r>
      <w:r w:rsidR="000C33CD" w:rsidRPr="004A5227">
        <w:t xml:space="preserve">  </w:t>
      </w:r>
      <w:r w:rsidR="00E76116" w:rsidRPr="004A5227">
        <w:t>Transfer, surrender and withdrawal of numbers</w:t>
      </w:r>
      <w:bookmarkEnd w:id="22"/>
    </w:p>
    <w:p w:rsidR="00E76116" w:rsidRPr="004A5227" w:rsidRDefault="000C33CD" w:rsidP="00505FE2">
      <w:pPr>
        <w:pStyle w:val="subsection"/>
      </w:pPr>
      <w:r w:rsidRPr="004A5227">
        <w:tab/>
      </w:r>
      <w:r w:rsidRPr="004A5227">
        <w:tab/>
        <w:t xml:space="preserve">A secondary </w:t>
      </w:r>
      <w:r w:rsidR="00E76116" w:rsidRPr="004A5227">
        <w:t xml:space="preserve">object of </w:t>
      </w:r>
      <w:r w:rsidR="006F7CD2" w:rsidRPr="004A5227">
        <w:t>this instrument</w:t>
      </w:r>
      <w:r w:rsidR="00E76116" w:rsidRPr="004A5227">
        <w:t xml:space="preserve"> is to establish a framework for the transfer, surrender</w:t>
      </w:r>
      <w:r w:rsidRPr="004A5227">
        <w:t xml:space="preserve"> </w:t>
      </w:r>
      <w:r w:rsidR="00E76116" w:rsidRPr="004A5227">
        <w:t>and withdrawal of numbers that:</w:t>
      </w:r>
    </w:p>
    <w:p w:rsidR="00E76116" w:rsidRPr="004A5227" w:rsidRDefault="000C33CD" w:rsidP="000C33CD">
      <w:pPr>
        <w:pStyle w:val="paragraph"/>
      </w:pPr>
      <w:r w:rsidRPr="004A5227">
        <w:tab/>
      </w:r>
      <w:r w:rsidR="00B55B4C" w:rsidRPr="004A5227">
        <w:t>(a)</w:t>
      </w:r>
      <w:r w:rsidRPr="004A5227">
        <w:tab/>
      </w:r>
      <w:r w:rsidR="00E76116" w:rsidRPr="004A5227">
        <w:t>promotes the long</w:t>
      </w:r>
      <w:r w:rsidR="004A5227">
        <w:noBreakHyphen/>
      </w:r>
      <w:r w:rsidR="00E76116" w:rsidRPr="004A5227">
        <w:t>term interests of end</w:t>
      </w:r>
      <w:r w:rsidR="004A5227">
        <w:noBreakHyphen/>
      </w:r>
      <w:r w:rsidR="00E76116" w:rsidRPr="004A5227">
        <w:t>users; and</w:t>
      </w:r>
    </w:p>
    <w:p w:rsidR="00E76116" w:rsidRPr="004A5227" w:rsidRDefault="000C33CD" w:rsidP="000C33CD">
      <w:pPr>
        <w:pStyle w:val="paragraph"/>
      </w:pPr>
      <w:r w:rsidRPr="004A5227">
        <w:tab/>
      </w:r>
      <w:r w:rsidR="00E76116" w:rsidRPr="004A5227">
        <w:t>(b)</w:t>
      </w:r>
      <w:r w:rsidRPr="004A5227">
        <w:tab/>
      </w:r>
      <w:r w:rsidR="00E76116" w:rsidRPr="004A5227">
        <w:t>facilitates the efficient supply of carriage services; and</w:t>
      </w:r>
    </w:p>
    <w:p w:rsidR="00E76116" w:rsidRPr="004A5227" w:rsidRDefault="000C33CD" w:rsidP="000C33CD">
      <w:pPr>
        <w:pStyle w:val="paragraph"/>
      </w:pPr>
      <w:r w:rsidRPr="004A5227">
        <w:tab/>
      </w:r>
      <w:r w:rsidR="00E76116" w:rsidRPr="004A5227">
        <w:t>(c)</w:t>
      </w:r>
      <w:r w:rsidRPr="004A5227">
        <w:tab/>
      </w:r>
      <w:r w:rsidR="00E76116" w:rsidRPr="004A5227">
        <w:t>facilitates the administration of the</w:t>
      </w:r>
      <w:r w:rsidR="00E76116" w:rsidRPr="004A5227">
        <w:rPr>
          <w:i/>
        </w:rPr>
        <w:t xml:space="preserve"> </w:t>
      </w:r>
      <w:r w:rsidRPr="004A5227">
        <w:rPr>
          <w:i/>
        </w:rPr>
        <w:t xml:space="preserve">Telecommunications (Numbering </w:t>
      </w:r>
      <w:r w:rsidR="00E76116" w:rsidRPr="004A5227">
        <w:rPr>
          <w:i/>
        </w:rPr>
        <w:t>Charges) Act 1997</w:t>
      </w:r>
      <w:r w:rsidR="00E76116" w:rsidRPr="004A5227">
        <w:t>.</w:t>
      </w:r>
    </w:p>
    <w:p w:rsidR="00E76116" w:rsidRPr="004A5227" w:rsidRDefault="00CA6815" w:rsidP="000C33CD">
      <w:pPr>
        <w:pStyle w:val="ActHead5"/>
      </w:pPr>
      <w:bookmarkStart w:id="23" w:name="_Toc413419022"/>
      <w:r w:rsidRPr="004A5227">
        <w:rPr>
          <w:rStyle w:val="CharSectno"/>
        </w:rPr>
        <w:t>14</w:t>
      </w:r>
      <w:r w:rsidR="000C33CD" w:rsidRPr="004A5227">
        <w:t xml:space="preserve"> </w:t>
      </w:r>
      <w:r w:rsidR="00E76116" w:rsidRPr="004A5227">
        <w:t xml:space="preserve"> Recognition of telecommunications industry</w:t>
      </w:r>
      <w:bookmarkEnd w:id="23"/>
    </w:p>
    <w:p w:rsidR="009C3407" w:rsidRPr="004A5227" w:rsidRDefault="000C33CD" w:rsidP="00505FE2">
      <w:pPr>
        <w:pStyle w:val="subsection"/>
      </w:pPr>
      <w:r w:rsidRPr="004A5227">
        <w:tab/>
      </w:r>
      <w:r w:rsidRPr="004A5227">
        <w:tab/>
        <w:t xml:space="preserve">A secondary </w:t>
      </w:r>
      <w:r w:rsidR="00E76116" w:rsidRPr="004A5227">
        <w:t xml:space="preserve">object of </w:t>
      </w:r>
      <w:r w:rsidR="006F7CD2" w:rsidRPr="004A5227">
        <w:t>this instrument</w:t>
      </w:r>
      <w:r w:rsidR="00E76116" w:rsidRPr="004A5227">
        <w:t xml:space="preserve"> is to recognise and support the actual and potential</w:t>
      </w:r>
      <w:r w:rsidRPr="004A5227">
        <w:t xml:space="preserve"> </w:t>
      </w:r>
      <w:r w:rsidR="00E76116" w:rsidRPr="004A5227">
        <w:t>role and contribution of the telecommunications industry in the</w:t>
      </w:r>
      <w:r w:rsidRPr="004A5227">
        <w:t xml:space="preserve"> management of numbers.</w:t>
      </w:r>
    </w:p>
    <w:p w:rsidR="00A15298" w:rsidRPr="004A5227" w:rsidRDefault="00A15298" w:rsidP="00E76116">
      <w:pPr>
        <w:pStyle w:val="ActHead2"/>
        <w:pageBreakBefore/>
      </w:pPr>
      <w:bookmarkStart w:id="24" w:name="_Toc413419023"/>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Dictionary</w:t>
      </w:r>
      <w:bookmarkEnd w:id="24"/>
    </w:p>
    <w:p w:rsidR="00E31C4C" w:rsidRPr="004A5227" w:rsidRDefault="00E31C4C" w:rsidP="00E31C4C">
      <w:pPr>
        <w:pStyle w:val="Header"/>
      </w:pPr>
      <w:r w:rsidRPr="004A5227">
        <w:rPr>
          <w:rStyle w:val="CharDivNo"/>
        </w:rPr>
        <w:t xml:space="preserve"> </w:t>
      </w:r>
      <w:r w:rsidRPr="004A5227">
        <w:rPr>
          <w:rStyle w:val="CharDivText"/>
        </w:rPr>
        <w:t xml:space="preserve"> </w:t>
      </w:r>
    </w:p>
    <w:p w:rsidR="00A15298" w:rsidRPr="004A5227" w:rsidRDefault="00CA6815" w:rsidP="00A15298">
      <w:pPr>
        <w:pStyle w:val="ActHead5"/>
      </w:pPr>
      <w:bookmarkStart w:id="25" w:name="_Toc413419024"/>
      <w:r w:rsidRPr="004A5227">
        <w:rPr>
          <w:rStyle w:val="CharSectno"/>
        </w:rPr>
        <w:t>15</w:t>
      </w:r>
      <w:r w:rsidR="00A15298" w:rsidRPr="004A5227">
        <w:t xml:space="preserve">  Dictionary of defined terms</w:t>
      </w:r>
      <w:bookmarkEnd w:id="25"/>
    </w:p>
    <w:p w:rsidR="00004C01" w:rsidRPr="004A5227" w:rsidRDefault="00004C01" w:rsidP="00004C01">
      <w:pPr>
        <w:pStyle w:val="notetext"/>
      </w:pPr>
      <w:r w:rsidRPr="004A5227">
        <w:t>Note:</w:t>
      </w:r>
      <w:r w:rsidRPr="004A5227">
        <w:tab/>
        <w:t>A number of expressions used in this instrument are defined in the Act, including the following:</w:t>
      </w:r>
    </w:p>
    <w:p w:rsidR="00004C01" w:rsidRPr="004A5227" w:rsidRDefault="00004C01" w:rsidP="00004C01">
      <w:pPr>
        <w:pStyle w:val="notepara"/>
      </w:pPr>
      <w:r w:rsidRPr="004A5227">
        <w:t>(a)</w:t>
      </w:r>
      <w:r w:rsidRPr="004A5227">
        <w:tab/>
        <w:t>Australia;</w:t>
      </w:r>
    </w:p>
    <w:p w:rsidR="00004C01" w:rsidRPr="004A5227" w:rsidRDefault="00004C01" w:rsidP="00004C01">
      <w:pPr>
        <w:pStyle w:val="notepara"/>
      </w:pPr>
      <w:r w:rsidRPr="004A5227">
        <w:t>(b)</w:t>
      </w:r>
      <w:r w:rsidRPr="004A5227">
        <w:tab/>
        <w:t>carriage service;</w:t>
      </w:r>
    </w:p>
    <w:p w:rsidR="00004C01" w:rsidRPr="004A5227" w:rsidRDefault="00004C01" w:rsidP="00004C01">
      <w:pPr>
        <w:pStyle w:val="notepara"/>
      </w:pPr>
      <w:r w:rsidRPr="004A5227">
        <w:t>(c)</w:t>
      </w:r>
      <w:r w:rsidRPr="004A5227">
        <w:tab/>
        <w:t>carriage service provider;</w:t>
      </w:r>
    </w:p>
    <w:p w:rsidR="00004C01" w:rsidRPr="004A5227" w:rsidRDefault="00004C01" w:rsidP="00004C01">
      <w:pPr>
        <w:pStyle w:val="notepara"/>
      </w:pPr>
      <w:r w:rsidRPr="004A5227">
        <w:t>(d)</w:t>
      </w:r>
      <w:r w:rsidRPr="004A5227">
        <w:tab/>
        <w:t>carrier;</w:t>
      </w:r>
    </w:p>
    <w:p w:rsidR="00004C01" w:rsidRPr="004A5227" w:rsidRDefault="00004C01" w:rsidP="00004C01">
      <w:pPr>
        <w:pStyle w:val="notepara"/>
      </w:pPr>
      <w:r w:rsidRPr="004A5227">
        <w:t>(e)</w:t>
      </w:r>
      <w:r w:rsidRPr="004A5227">
        <w:tab/>
        <w:t>directory assistance service;</w:t>
      </w:r>
    </w:p>
    <w:p w:rsidR="00004C01" w:rsidRPr="004A5227" w:rsidRDefault="00004C01" w:rsidP="00004C01">
      <w:pPr>
        <w:pStyle w:val="notepara"/>
      </w:pPr>
      <w:r w:rsidRPr="004A5227">
        <w:t>(f)</w:t>
      </w:r>
      <w:r w:rsidRPr="004A5227">
        <w:tab/>
        <w:t>emergency service number;</w:t>
      </w:r>
    </w:p>
    <w:p w:rsidR="00004C01" w:rsidRPr="004A5227" w:rsidRDefault="00004C01" w:rsidP="00004C01">
      <w:pPr>
        <w:pStyle w:val="notepara"/>
      </w:pPr>
      <w:r w:rsidRPr="004A5227">
        <w:t>(g)</w:t>
      </w:r>
      <w:r w:rsidRPr="004A5227">
        <w:tab/>
        <w:t>facility;</w:t>
      </w:r>
    </w:p>
    <w:p w:rsidR="00004C01" w:rsidRPr="004A5227" w:rsidRDefault="00004C01" w:rsidP="00004C01">
      <w:pPr>
        <w:pStyle w:val="notepara"/>
      </w:pPr>
      <w:r w:rsidRPr="004A5227">
        <w:t>(h)</w:t>
      </w:r>
      <w:r w:rsidRPr="004A5227">
        <w:tab/>
        <w:t>public mobile telecommunications service.</w:t>
      </w:r>
    </w:p>
    <w:p w:rsidR="00A15298" w:rsidRPr="004A5227" w:rsidRDefault="00004C01" w:rsidP="00A15298">
      <w:pPr>
        <w:pStyle w:val="subsection"/>
      </w:pPr>
      <w:r w:rsidRPr="004A5227">
        <w:tab/>
      </w:r>
      <w:r w:rsidRPr="004A5227">
        <w:tab/>
      </w:r>
      <w:r w:rsidR="00A15298" w:rsidRPr="004A5227">
        <w:t>In this instrument:</w:t>
      </w:r>
    </w:p>
    <w:p w:rsidR="00A15298" w:rsidRPr="004A5227" w:rsidRDefault="00A15298" w:rsidP="00A15298">
      <w:pPr>
        <w:pStyle w:val="Definition"/>
      </w:pPr>
      <w:r w:rsidRPr="004A5227">
        <w:rPr>
          <w:b/>
          <w:i/>
        </w:rPr>
        <w:t>access code</w:t>
      </w:r>
      <w:r w:rsidRPr="004A5227">
        <w:t>: see section</w:t>
      </w:r>
      <w:r w:rsidR="004A5227" w:rsidRPr="004A5227">
        <w:t> </w:t>
      </w:r>
      <w:r w:rsidR="00CA6815" w:rsidRPr="004A5227">
        <w:t>38</w:t>
      </w:r>
      <w:r w:rsidRPr="004A5227">
        <w:t>.</w:t>
      </w:r>
    </w:p>
    <w:p w:rsidR="00A15298" w:rsidRPr="004A5227" w:rsidRDefault="00A15298" w:rsidP="00A15298">
      <w:pPr>
        <w:pStyle w:val="Definition"/>
      </w:pPr>
      <w:proofErr w:type="spellStart"/>
      <w:r w:rsidRPr="004A5227">
        <w:rPr>
          <w:b/>
          <w:i/>
        </w:rPr>
        <w:t>ACN</w:t>
      </w:r>
      <w:proofErr w:type="spellEnd"/>
      <w:r w:rsidRPr="004A5227">
        <w:t xml:space="preserve"> has the same meaning as in the </w:t>
      </w:r>
      <w:r w:rsidRPr="004A5227">
        <w:rPr>
          <w:i/>
        </w:rPr>
        <w:t>Corporations Act 2001</w:t>
      </w:r>
      <w:r w:rsidRPr="004A5227">
        <w:t>.</w:t>
      </w:r>
    </w:p>
    <w:p w:rsidR="00034BAF" w:rsidRPr="004A5227" w:rsidRDefault="00034BAF" w:rsidP="00A15298">
      <w:pPr>
        <w:pStyle w:val="Definition"/>
        <w:rPr>
          <w:b/>
          <w:i/>
        </w:rPr>
      </w:pPr>
      <w:r w:rsidRPr="004A5227">
        <w:rPr>
          <w:b/>
          <w:i/>
        </w:rPr>
        <w:t xml:space="preserve">Act </w:t>
      </w:r>
      <w:r w:rsidRPr="004A5227">
        <w:t xml:space="preserve">means the </w:t>
      </w:r>
      <w:r w:rsidRPr="004A5227">
        <w:rPr>
          <w:i/>
        </w:rPr>
        <w:t>Telecommunications Act 1997.</w:t>
      </w:r>
    </w:p>
    <w:p w:rsidR="00A15298" w:rsidRPr="004A5227" w:rsidRDefault="00A15298" w:rsidP="00A15298">
      <w:pPr>
        <w:pStyle w:val="Definition"/>
      </w:pPr>
      <w:r w:rsidRPr="004A5227">
        <w:rPr>
          <w:b/>
          <w:i/>
        </w:rPr>
        <w:t>active service</w:t>
      </w:r>
      <w:r w:rsidRPr="004A5227">
        <w:t xml:space="preserve">, for a </w:t>
      </w:r>
      <w:proofErr w:type="spellStart"/>
      <w:r w:rsidRPr="004A5227">
        <w:t>smartnumber</w:t>
      </w:r>
      <w:proofErr w:type="spellEnd"/>
      <w:r w:rsidRPr="004A5227">
        <w:t>, means that a carriage service is being provided using the number.</w:t>
      </w:r>
    </w:p>
    <w:p w:rsidR="001025E8" w:rsidRPr="004A5227" w:rsidRDefault="001025E8" w:rsidP="00A15298">
      <w:pPr>
        <w:pStyle w:val="Definition"/>
      </w:pPr>
      <w:r w:rsidRPr="004A5227">
        <w:rPr>
          <w:b/>
          <w:i/>
        </w:rPr>
        <w:t>advisory committee</w:t>
      </w:r>
      <w:r w:rsidRPr="004A5227">
        <w:t xml:space="preserve"> means an advisory committee established by the </w:t>
      </w:r>
      <w:proofErr w:type="spellStart"/>
      <w:r w:rsidRPr="004A5227">
        <w:t>ACMA</w:t>
      </w:r>
      <w:proofErr w:type="spellEnd"/>
      <w:r w:rsidRPr="004A5227">
        <w:t xml:space="preserve"> under section</w:t>
      </w:r>
      <w:r w:rsidR="004A5227" w:rsidRPr="004A5227">
        <w:t> </w:t>
      </w:r>
      <w:r w:rsidRPr="004A5227">
        <w:t xml:space="preserve">58 of the </w:t>
      </w:r>
      <w:r w:rsidRPr="004A5227">
        <w:rPr>
          <w:i/>
        </w:rPr>
        <w:t>Australian Communications and Media Authority Act 2005</w:t>
      </w:r>
      <w:r w:rsidRPr="004A5227">
        <w:t>.</w:t>
      </w:r>
    </w:p>
    <w:p w:rsidR="00A15298" w:rsidRPr="004A5227" w:rsidRDefault="00A15298" w:rsidP="00A15298">
      <w:pPr>
        <w:pStyle w:val="Definition"/>
      </w:pPr>
      <w:r w:rsidRPr="004A5227">
        <w:rPr>
          <w:b/>
          <w:i/>
        </w:rPr>
        <w:t>age</w:t>
      </w:r>
      <w:r w:rsidR="004A5227">
        <w:rPr>
          <w:b/>
          <w:i/>
        </w:rPr>
        <w:noBreakHyphen/>
      </w:r>
      <w:r w:rsidRPr="004A5227">
        <w:rPr>
          <w:b/>
          <w:i/>
        </w:rPr>
        <w:t>restricted audio</w:t>
      </w:r>
      <w:r w:rsidR="004A5227">
        <w:rPr>
          <w:b/>
          <w:i/>
        </w:rPr>
        <w:noBreakHyphen/>
      </w:r>
      <w:r w:rsidRPr="004A5227">
        <w:rPr>
          <w:b/>
          <w:i/>
        </w:rPr>
        <w:t xml:space="preserve">visual service </w:t>
      </w:r>
      <w:r w:rsidRPr="004A5227">
        <w:t>means a service that enables an end</w:t>
      </w:r>
      <w:r w:rsidR="004A5227">
        <w:noBreakHyphen/>
      </w:r>
      <w:r w:rsidRPr="004A5227">
        <w:t>user to access age</w:t>
      </w:r>
      <w:r w:rsidR="004A5227">
        <w:noBreakHyphen/>
      </w:r>
      <w:r w:rsidRPr="004A5227">
        <w:t>restricted content other than material supplied as part of a telephone sex service.</w:t>
      </w:r>
    </w:p>
    <w:p w:rsidR="00A15298" w:rsidRPr="004A5227" w:rsidRDefault="00A15298" w:rsidP="00A15298">
      <w:pPr>
        <w:pStyle w:val="Definition"/>
      </w:pPr>
      <w:r w:rsidRPr="004A5227">
        <w:rPr>
          <w:b/>
          <w:i/>
        </w:rPr>
        <w:t>age</w:t>
      </w:r>
      <w:r w:rsidR="004A5227">
        <w:rPr>
          <w:b/>
          <w:i/>
        </w:rPr>
        <w:noBreakHyphen/>
      </w:r>
      <w:r w:rsidRPr="004A5227">
        <w:rPr>
          <w:b/>
          <w:i/>
        </w:rPr>
        <w:t>restricted content</w:t>
      </w:r>
      <w:r w:rsidRPr="004A5227">
        <w:t xml:space="preserve"> means content that is:</w:t>
      </w:r>
    </w:p>
    <w:p w:rsidR="00A15298" w:rsidRPr="004A5227" w:rsidRDefault="00A15298" w:rsidP="00A15298">
      <w:pPr>
        <w:pStyle w:val="paragraph"/>
      </w:pPr>
      <w:r w:rsidRPr="004A5227">
        <w:tab/>
        <w:t>(a)</w:t>
      </w:r>
      <w:r w:rsidRPr="004A5227">
        <w:tab/>
        <w:t>MA 15+</w:t>
      </w:r>
      <w:r w:rsidR="00B242CB" w:rsidRPr="004A5227">
        <w:t xml:space="preserve"> content</w:t>
      </w:r>
      <w:r w:rsidRPr="004A5227">
        <w:t>; or</w:t>
      </w:r>
    </w:p>
    <w:p w:rsidR="00A15298" w:rsidRPr="004A5227" w:rsidRDefault="00A15298" w:rsidP="00A15298">
      <w:pPr>
        <w:pStyle w:val="paragraph"/>
      </w:pPr>
      <w:r w:rsidRPr="004A5227">
        <w:tab/>
        <w:t>(b)</w:t>
      </w:r>
      <w:r w:rsidRPr="004A5227">
        <w:tab/>
        <w:t>R 18+</w:t>
      </w:r>
      <w:r w:rsidR="00B242CB" w:rsidRPr="004A5227">
        <w:t xml:space="preserve"> content</w:t>
      </w:r>
      <w:r w:rsidRPr="004A5227">
        <w:t>;</w:t>
      </w:r>
    </w:p>
    <w:p w:rsidR="00A15298" w:rsidRPr="004A5227" w:rsidRDefault="00A15298" w:rsidP="00A15298">
      <w:pPr>
        <w:pStyle w:val="subsection2"/>
      </w:pPr>
      <w:r w:rsidRPr="004A5227">
        <w:t>within the meaning of clause</w:t>
      </w:r>
      <w:r w:rsidR="004A5227" w:rsidRPr="004A5227">
        <w:t> </w:t>
      </w:r>
      <w:r w:rsidRPr="004A5227">
        <w:t>15 of Schedule</w:t>
      </w:r>
      <w:r w:rsidR="004A5227" w:rsidRPr="004A5227">
        <w:t> </w:t>
      </w:r>
      <w:r w:rsidRPr="004A5227">
        <w:t xml:space="preserve">7 to the </w:t>
      </w:r>
      <w:r w:rsidRPr="004A5227">
        <w:rPr>
          <w:i/>
        </w:rPr>
        <w:t>Broadcasting Services Act 1992</w:t>
      </w:r>
      <w:r w:rsidRPr="004A5227">
        <w:t>.</w:t>
      </w:r>
    </w:p>
    <w:p w:rsidR="00A15298" w:rsidRPr="004A5227" w:rsidRDefault="00A15298" w:rsidP="00A15298">
      <w:pPr>
        <w:pStyle w:val="Definition"/>
      </w:pPr>
      <w:r w:rsidRPr="004A5227">
        <w:rPr>
          <w:b/>
          <w:i/>
        </w:rPr>
        <w:t>age</w:t>
      </w:r>
      <w:r w:rsidR="004A5227">
        <w:rPr>
          <w:b/>
          <w:i/>
        </w:rPr>
        <w:noBreakHyphen/>
      </w:r>
      <w:r w:rsidRPr="004A5227">
        <w:rPr>
          <w:b/>
          <w:i/>
        </w:rPr>
        <w:t>restricted service</w:t>
      </w:r>
      <w:r w:rsidRPr="004A5227">
        <w:t xml:space="preserve"> means:</w:t>
      </w:r>
    </w:p>
    <w:p w:rsidR="00A15298" w:rsidRPr="004A5227" w:rsidRDefault="00A15298" w:rsidP="00A15298">
      <w:pPr>
        <w:pStyle w:val="paragraph"/>
      </w:pPr>
      <w:r w:rsidRPr="004A5227">
        <w:tab/>
        <w:t>(a)</w:t>
      </w:r>
      <w:r w:rsidRPr="004A5227">
        <w:tab/>
        <w:t>an age</w:t>
      </w:r>
      <w:r w:rsidR="004A5227">
        <w:noBreakHyphen/>
      </w:r>
      <w:r w:rsidRPr="004A5227">
        <w:t>restricted audio</w:t>
      </w:r>
      <w:r w:rsidR="004A5227">
        <w:noBreakHyphen/>
      </w:r>
      <w:r w:rsidRPr="004A5227">
        <w:t>visual service; or</w:t>
      </w:r>
    </w:p>
    <w:p w:rsidR="00A15298" w:rsidRPr="004A5227" w:rsidRDefault="00A15298" w:rsidP="00A15298">
      <w:pPr>
        <w:pStyle w:val="paragraph"/>
      </w:pPr>
      <w:r w:rsidRPr="004A5227">
        <w:tab/>
        <w:t>(b)</w:t>
      </w:r>
      <w:r w:rsidRPr="004A5227">
        <w:tab/>
        <w:t>an age</w:t>
      </w:r>
      <w:r w:rsidR="004A5227">
        <w:noBreakHyphen/>
      </w:r>
      <w:r w:rsidRPr="004A5227">
        <w:t>restricted text service.</w:t>
      </w:r>
    </w:p>
    <w:p w:rsidR="00A15298" w:rsidRPr="004A5227" w:rsidRDefault="00A15298" w:rsidP="00A15298">
      <w:pPr>
        <w:pStyle w:val="Definition"/>
        <w:rPr>
          <w:color w:val="000000"/>
        </w:rPr>
      </w:pPr>
      <w:r w:rsidRPr="004A5227">
        <w:rPr>
          <w:b/>
          <w:i/>
        </w:rPr>
        <w:t>age</w:t>
      </w:r>
      <w:r w:rsidR="004A5227">
        <w:rPr>
          <w:b/>
          <w:i/>
        </w:rPr>
        <w:noBreakHyphen/>
      </w:r>
      <w:r w:rsidRPr="004A5227">
        <w:rPr>
          <w:b/>
          <w:i/>
        </w:rPr>
        <w:t xml:space="preserve">restricted text service </w:t>
      </w:r>
      <w:r w:rsidRPr="004A5227">
        <w:t>means a service supplied solely or primarily by way of a text service about which it would be concluded that a majority of persons who use the service are likely to do so with the sole or principal object of deriving sexual gratification from the service.</w:t>
      </w:r>
    </w:p>
    <w:p w:rsidR="00A15298" w:rsidRPr="004A5227" w:rsidRDefault="00A15298" w:rsidP="00A15298">
      <w:pPr>
        <w:pStyle w:val="Definition"/>
      </w:pPr>
      <w:r w:rsidRPr="004A5227">
        <w:rPr>
          <w:b/>
          <w:i/>
        </w:rPr>
        <w:t>annual charge</w:t>
      </w:r>
      <w:r w:rsidRPr="004A5227">
        <w:t xml:space="preserve"> has the same meaning as in section</w:t>
      </w:r>
      <w:r w:rsidR="004A5227" w:rsidRPr="004A5227">
        <w:t> </w:t>
      </w:r>
      <w:r w:rsidRPr="004A5227">
        <w:t>468 of the Act.</w:t>
      </w:r>
    </w:p>
    <w:p w:rsidR="00A15298" w:rsidRPr="004A5227" w:rsidRDefault="00A15298" w:rsidP="00A15298">
      <w:pPr>
        <w:pStyle w:val="Definition"/>
      </w:pPr>
      <w:r w:rsidRPr="004A5227">
        <w:rPr>
          <w:b/>
          <w:i/>
        </w:rPr>
        <w:lastRenderedPageBreak/>
        <w:t>approved operation plan</w:t>
      </w:r>
      <w:r w:rsidRPr="004A5227">
        <w:t xml:space="preserve"> means an operation plan approved by the </w:t>
      </w:r>
      <w:proofErr w:type="spellStart"/>
      <w:r w:rsidRPr="004A5227">
        <w:t>ACMA</w:t>
      </w:r>
      <w:proofErr w:type="spellEnd"/>
      <w:r w:rsidRPr="004A5227">
        <w:t xml:space="preserve"> under section</w:t>
      </w:r>
      <w:r w:rsidR="004A5227" w:rsidRPr="004A5227">
        <w:t> </w:t>
      </w:r>
      <w:r w:rsidR="00CA6815" w:rsidRPr="004A5227">
        <w:t>34</w:t>
      </w:r>
      <w:r w:rsidRPr="004A5227">
        <w:t xml:space="preserve">, </w:t>
      </w:r>
      <w:r w:rsidR="00CA6815" w:rsidRPr="004A5227">
        <w:t>35</w:t>
      </w:r>
      <w:r w:rsidRPr="004A5227">
        <w:t xml:space="preserve"> or </w:t>
      </w:r>
      <w:r w:rsidR="00CA6815" w:rsidRPr="004A5227">
        <w:t>36</w:t>
      </w:r>
      <w:r w:rsidRPr="004A5227">
        <w:t xml:space="preserve"> (including an amended operation plan or replacement operation plan).</w:t>
      </w:r>
    </w:p>
    <w:p w:rsidR="00A15298" w:rsidRPr="004A5227" w:rsidRDefault="00A15298" w:rsidP="00A15298">
      <w:pPr>
        <w:pStyle w:val="Definition"/>
      </w:pPr>
      <w:proofErr w:type="spellStart"/>
      <w:r w:rsidRPr="004A5227">
        <w:rPr>
          <w:b/>
          <w:i/>
        </w:rPr>
        <w:t>ARBN</w:t>
      </w:r>
      <w:proofErr w:type="spellEnd"/>
      <w:r w:rsidRPr="004A5227">
        <w:t xml:space="preserve"> has the same meaning as in the </w:t>
      </w:r>
      <w:r w:rsidRPr="004A5227">
        <w:rPr>
          <w:i/>
        </w:rPr>
        <w:t>Corporations Act 2001</w:t>
      </w:r>
      <w:r w:rsidRPr="004A5227">
        <w:t>.</w:t>
      </w:r>
    </w:p>
    <w:p w:rsidR="00A15298" w:rsidRPr="004A5227" w:rsidRDefault="00A15298" w:rsidP="00A15298">
      <w:pPr>
        <w:pStyle w:val="Definition"/>
      </w:pPr>
      <w:r w:rsidRPr="004A5227">
        <w:rPr>
          <w:b/>
          <w:i/>
        </w:rPr>
        <w:t>area code</w:t>
      </w:r>
      <w:r w:rsidRPr="004A5227">
        <w:t>: see section</w:t>
      </w:r>
      <w:r w:rsidR="004A5227" w:rsidRPr="004A5227">
        <w:t> </w:t>
      </w:r>
      <w:r w:rsidR="00CA6815" w:rsidRPr="004A5227">
        <w:t>18</w:t>
      </w:r>
      <w:r w:rsidRPr="004A5227">
        <w:t>.</w:t>
      </w:r>
    </w:p>
    <w:p w:rsidR="00A15298" w:rsidRPr="004A5227" w:rsidRDefault="00A15298" w:rsidP="00A15298">
      <w:pPr>
        <w:pStyle w:val="Definition"/>
      </w:pPr>
      <w:r w:rsidRPr="004A5227">
        <w:rPr>
          <w:b/>
          <w:i/>
        </w:rPr>
        <w:t xml:space="preserve">assigned unallocated </w:t>
      </w:r>
      <w:proofErr w:type="spellStart"/>
      <w:r w:rsidRPr="004A5227">
        <w:rPr>
          <w:b/>
          <w:i/>
        </w:rPr>
        <w:t>smartnumber</w:t>
      </w:r>
      <w:proofErr w:type="spellEnd"/>
      <w:r w:rsidRPr="004A5227">
        <w:rPr>
          <w:b/>
          <w:i/>
        </w:rPr>
        <w:t xml:space="preserve"> </w:t>
      </w:r>
      <w:r w:rsidRPr="004A5227">
        <w:t xml:space="preserve">means a </w:t>
      </w:r>
      <w:proofErr w:type="spellStart"/>
      <w:r w:rsidRPr="004A5227">
        <w:t>smartnumber</w:t>
      </w:r>
      <w:proofErr w:type="spellEnd"/>
      <w:r w:rsidRPr="004A5227">
        <w:t xml:space="preserve"> for which there is an </w:t>
      </w:r>
      <w:proofErr w:type="spellStart"/>
      <w:r w:rsidRPr="004A5227">
        <w:t>EROU</w:t>
      </w:r>
      <w:proofErr w:type="spellEnd"/>
      <w:r w:rsidR="004A5227">
        <w:noBreakHyphen/>
      </w:r>
      <w:r w:rsidRPr="004A5227">
        <w:t xml:space="preserve">holder, but which </w:t>
      </w:r>
      <w:r w:rsidR="00E76272" w:rsidRPr="004A5227">
        <w:t>is not</w:t>
      </w:r>
      <w:r w:rsidRPr="004A5227">
        <w:t xml:space="preserve"> </w:t>
      </w:r>
      <w:r w:rsidR="000039CA" w:rsidRPr="004A5227">
        <w:t>held by a carriage service provider</w:t>
      </w:r>
      <w:r w:rsidRPr="004A5227">
        <w:t>.</w:t>
      </w:r>
    </w:p>
    <w:p w:rsidR="00A15298" w:rsidRPr="004A5227" w:rsidRDefault="00A15298" w:rsidP="00A15298">
      <w:pPr>
        <w:pStyle w:val="Definition"/>
      </w:pPr>
      <w:r w:rsidRPr="004A5227">
        <w:rPr>
          <w:b/>
          <w:i/>
        </w:rPr>
        <w:t>call costs and enquiries (national and international) service</w:t>
      </w:r>
      <w:r w:rsidRPr="004A5227">
        <w:rPr>
          <w:b/>
        </w:rPr>
        <w:t xml:space="preserve"> </w:t>
      </w:r>
      <w:r w:rsidRPr="004A5227">
        <w:t>means an operator service provided to an end</w:t>
      </w:r>
      <w:r w:rsidR="004A5227">
        <w:noBreakHyphen/>
      </w:r>
      <w:r w:rsidRPr="004A5227">
        <w:t>user for giving information on making national and international calls.</w:t>
      </w:r>
    </w:p>
    <w:p w:rsidR="00A15298" w:rsidRPr="004A5227" w:rsidRDefault="00A15298" w:rsidP="00A15298">
      <w:pPr>
        <w:pStyle w:val="Definition"/>
      </w:pPr>
      <w:r w:rsidRPr="004A5227">
        <w:rPr>
          <w:b/>
          <w:i/>
        </w:rPr>
        <w:t>calling card service</w:t>
      </w:r>
      <w:r w:rsidRPr="004A5227">
        <w:t xml:space="preserve"> means a carriage service in which a call charge is billed to a customer account for the use of the service, instead of being charged to the service from which the call was made.</w:t>
      </w:r>
    </w:p>
    <w:p w:rsidR="00A15298" w:rsidRPr="004A5227" w:rsidRDefault="00A15298" w:rsidP="00A15298">
      <w:pPr>
        <w:pStyle w:val="Definition"/>
      </w:pPr>
      <w:r w:rsidRPr="004A5227">
        <w:rPr>
          <w:b/>
          <w:i/>
        </w:rPr>
        <w:t>calling number display override service</w:t>
      </w:r>
      <w:r w:rsidRPr="004A5227">
        <w:rPr>
          <w:b/>
        </w:rPr>
        <w:t xml:space="preserve"> </w:t>
      </w:r>
      <w:r w:rsidRPr="004A5227">
        <w:t>means a carriage service with which a caller can block or unblock the display of the originating telephone number on the telephone used by the recipient of the call.</w:t>
      </w:r>
    </w:p>
    <w:p w:rsidR="00A15298" w:rsidRPr="004A5227" w:rsidRDefault="00A15298" w:rsidP="00A15298">
      <w:pPr>
        <w:pStyle w:val="Definition"/>
      </w:pPr>
      <w:r w:rsidRPr="004A5227">
        <w:rPr>
          <w:b/>
          <w:i/>
        </w:rPr>
        <w:t>carriage service provider identification code</w:t>
      </w:r>
      <w:r w:rsidRPr="004A5227">
        <w:t xml:space="preserve"> means an access code identified in Schedule</w:t>
      </w:r>
      <w:r w:rsidR="004A5227" w:rsidRPr="004A5227">
        <w:t> </w:t>
      </w:r>
      <w:r w:rsidR="00790A2E" w:rsidRPr="004A5227">
        <w:t>6</w:t>
      </w:r>
      <w:r w:rsidRPr="004A5227">
        <w:t xml:space="preserve"> as being for use with </w:t>
      </w:r>
      <w:r w:rsidR="0017435B" w:rsidRPr="004A5227">
        <w:t>an interconnect and routing</w:t>
      </w:r>
      <w:r w:rsidRPr="004A5227">
        <w:t xml:space="preserve"> service.</w:t>
      </w:r>
    </w:p>
    <w:p w:rsidR="00A15298" w:rsidRPr="004A5227" w:rsidRDefault="00A15298" w:rsidP="00A15298">
      <w:pPr>
        <w:pStyle w:val="Definition"/>
      </w:pPr>
      <w:r w:rsidRPr="004A5227">
        <w:rPr>
          <w:b/>
          <w:i/>
        </w:rPr>
        <w:t xml:space="preserve">charging district </w:t>
      </w:r>
      <w:r w:rsidRPr="004A5227">
        <w:t xml:space="preserve">means an area listed as a charging district on the </w:t>
      </w:r>
      <w:proofErr w:type="spellStart"/>
      <w:r w:rsidRPr="004A5227">
        <w:t>ACMA’s</w:t>
      </w:r>
      <w:proofErr w:type="spellEnd"/>
      <w:r w:rsidRPr="004A5227">
        <w:t xml:space="preserve"> website.</w:t>
      </w:r>
    </w:p>
    <w:p w:rsidR="00A15298" w:rsidRPr="004A5227" w:rsidRDefault="00A15298" w:rsidP="00A15298">
      <w:pPr>
        <w:pStyle w:val="notetext"/>
      </w:pPr>
      <w:r w:rsidRPr="004A5227">
        <w:t>Note:</w:t>
      </w:r>
      <w:r w:rsidRPr="004A5227">
        <w:tab/>
        <w:t>A charging district is a geographic district in Australia that includes standard zone units.</w:t>
      </w:r>
    </w:p>
    <w:p w:rsidR="00A15298" w:rsidRPr="004A5227" w:rsidRDefault="00A15298" w:rsidP="00A15298">
      <w:pPr>
        <w:pStyle w:val="Definition"/>
      </w:pPr>
      <w:r w:rsidRPr="004A5227">
        <w:rPr>
          <w:b/>
          <w:i/>
        </w:rPr>
        <w:t>community service</w:t>
      </w:r>
      <w:r w:rsidRPr="004A5227">
        <w:rPr>
          <w:b/>
        </w:rPr>
        <w:t xml:space="preserve"> </w:t>
      </w:r>
      <w:r w:rsidRPr="004A5227">
        <w:t>means a carriage service providing access to information or assistance of significant community value.</w:t>
      </w:r>
    </w:p>
    <w:p w:rsidR="00A15298" w:rsidRPr="004A5227" w:rsidRDefault="00A15298" w:rsidP="00A15298">
      <w:pPr>
        <w:pStyle w:val="Definition"/>
      </w:pPr>
      <w:r w:rsidRPr="004A5227">
        <w:rPr>
          <w:b/>
          <w:i/>
        </w:rPr>
        <w:t>country code</w:t>
      </w:r>
      <w:r w:rsidRPr="004A5227">
        <w:t xml:space="preserve"> means a set of digits assigned by the International Telecommunication Union that:</w:t>
      </w:r>
    </w:p>
    <w:p w:rsidR="00A15298" w:rsidRPr="004A5227" w:rsidRDefault="00A15298" w:rsidP="00A15298">
      <w:pPr>
        <w:pStyle w:val="paragraph"/>
      </w:pPr>
      <w:r w:rsidRPr="004A5227">
        <w:tab/>
        <w:t>(a)</w:t>
      </w:r>
      <w:r w:rsidRPr="004A5227">
        <w:tab/>
        <w:t>indicates the country, group of countries or geographic area to which an international call is made; or</w:t>
      </w:r>
    </w:p>
    <w:p w:rsidR="00A15298" w:rsidRPr="004A5227" w:rsidRDefault="00A15298" w:rsidP="00A15298">
      <w:pPr>
        <w:pStyle w:val="paragraph"/>
      </w:pPr>
      <w:r w:rsidRPr="004A5227">
        <w:tab/>
        <w:t>(b)</w:t>
      </w:r>
      <w:r w:rsidRPr="004A5227">
        <w:tab/>
        <w:t>is used to identify a global service or international network.</w:t>
      </w:r>
    </w:p>
    <w:p w:rsidR="00A15298" w:rsidRPr="004A5227" w:rsidRDefault="00A15298" w:rsidP="00A15298">
      <w:pPr>
        <w:pStyle w:val="Definition"/>
      </w:pPr>
      <w:r w:rsidRPr="004A5227">
        <w:rPr>
          <w:b/>
          <w:i/>
        </w:rPr>
        <w:t>customer</w:t>
      </w:r>
      <w:r w:rsidRPr="004A5227">
        <w:t xml:space="preserve"> means a person to whom a carriage service provider issues a number.</w:t>
      </w:r>
    </w:p>
    <w:p w:rsidR="00A15298" w:rsidRPr="004A5227" w:rsidRDefault="00A15298" w:rsidP="00A15298">
      <w:pPr>
        <w:pStyle w:val="Definition"/>
      </w:pPr>
      <w:r w:rsidRPr="004A5227">
        <w:rPr>
          <w:b/>
          <w:i/>
        </w:rPr>
        <w:t>data network access service</w:t>
      </w:r>
      <w:r w:rsidRPr="004A5227">
        <w:rPr>
          <w:b/>
        </w:rPr>
        <w:t xml:space="preserve"> </w:t>
      </w:r>
      <w:r w:rsidRPr="004A5227">
        <w:t>means a carriage service with which an end</w:t>
      </w:r>
      <w:r w:rsidR="004A5227">
        <w:noBreakHyphen/>
      </w:r>
      <w:r w:rsidRPr="004A5227">
        <w:t>user can gain access to a data network.</w:t>
      </w:r>
    </w:p>
    <w:p w:rsidR="00A15298" w:rsidRPr="004A5227" w:rsidRDefault="00A15298" w:rsidP="00A15298">
      <w:pPr>
        <w:pStyle w:val="Definition"/>
      </w:pPr>
      <w:r w:rsidRPr="004A5227">
        <w:rPr>
          <w:b/>
          <w:i/>
        </w:rPr>
        <w:t>designated authority</w:t>
      </w:r>
      <w:r w:rsidRPr="004A5227">
        <w:t xml:space="preserve"> has the same meaning as in section</w:t>
      </w:r>
      <w:r w:rsidR="004A5227" w:rsidRPr="004A5227">
        <w:t> </w:t>
      </w:r>
      <w:r w:rsidRPr="004A5227">
        <w:t>465 of the Act.</w:t>
      </w:r>
    </w:p>
    <w:p w:rsidR="001E26A2" w:rsidRPr="004A5227" w:rsidRDefault="001E26A2" w:rsidP="001E26A2">
      <w:pPr>
        <w:pStyle w:val="Definition"/>
      </w:pPr>
      <w:r w:rsidRPr="004A5227">
        <w:rPr>
          <w:b/>
          <w:i/>
        </w:rPr>
        <w:t>designated standard zone unit</w:t>
      </w:r>
      <w:r w:rsidRPr="004A5227">
        <w:t xml:space="preserve"> </w:t>
      </w:r>
      <w:r w:rsidR="00D638D5" w:rsidRPr="004A5227">
        <w:t xml:space="preserve">means </w:t>
      </w:r>
      <w:r w:rsidRPr="004A5227">
        <w:t xml:space="preserve">a standard zone unit that is specified on the </w:t>
      </w:r>
      <w:proofErr w:type="spellStart"/>
      <w:r w:rsidRPr="004A5227">
        <w:t>ACMA’s</w:t>
      </w:r>
      <w:proofErr w:type="spellEnd"/>
      <w:r w:rsidRPr="004A5227">
        <w:t xml:space="preserve"> website as being at risk from a large allocation of numbers.</w:t>
      </w:r>
    </w:p>
    <w:p w:rsidR="00A15298" w:rsidRPr="004A5227" w:rsidRDefault="00A15298" w:rsidP="00A15298">
      <w:pPr>
        <w:pStyle w:val="Definition"/>
      </w:pPr>
      <w:r w:rsidRPr="004A5227">
        <w:rPr>
          <w:b/>
          <w:i/>
        </w:rPr>
        <w:t>digital mobile number</w:t>
      </w:r>
      <w:r w:rsidRPr="004A5227">
        <w:t xml:space="preserve"> means a special services number specified in Schedule</w:t>
      </w:r>
      <w:r w:rsidR="004A5227" w:rsidRPr="004A5227">
        <w:t> </w:t>
      </w:r>
      <w:r w:rsidR="00790A2E" w:rsidRPr="004A5227">
        <w:t>5</w:t>
      </w:r>
      <w:r w:rsidRPr="004A5227">
        <w:t xml:space="preserve"> for use with a digital mobile service.</w:t>
      </w:r>
    </w:p>
    <w:p w:rsidR="00A15298" w:rsidRPr="004A5227" w:rsidRDefault="00A15298" w:rsidP="00A15298">
      <w:pPr>
        <w:pStyle w:val="Definition"/>
      </w:pPr>
      <w:r w:rsidRPr="004A5227">
        <w:rPr>
          <w:b/>
          <w:i/>
        </w:rPr>
        <w:t>digital mobile service</w:t>
      </w:r>
      <w:r w:rsidRPr="004A5227">
        <w:rPr>
          <w:b/>
        </w:rPr>
        <w:t xml:space="preserve"> </w:t>
      </w:r>
      <w:r w:rsidRPr="004A5227">
        <w:t>means a public mobile telecommunications service supplied by a network using digital modulation techniques.</w:t>
      </w:r>
    </w:p>
    <w:p w:rsidR="00A15298" w:rsidRPr="004A5227" w:rsidRDefault="00A15298" w:rsidP="00A15298">
      <w:pPr>
        <w:pStyle w:val="Definition"/>
      </w:pPr>
      <w:r w:rsidRPr="004A5227">
        <w:rPr>
          <w:b/>
          <w:i/>
        </w:rPr>
        <w:lastRenderedPageBreak/>
        <w:t>eligible local call</w:t>
      </w:r>
      <w:r w:rsidRPr="004A5227">
        <w:t xml:space="preserve"> has the same meaning as in section</w:t>
      </w:r>
      <w:r w:rsidR="004A5227" w:rsidRPr="004A5227">
        <w:t> </w:t>
      </w:r>
      <w:r w:rsidRPr="004A5227">
        <w:t xml:space="preserve">106 of the </w:t>
      </w:r>
      <w:r w:rsidRPr="004A5227">
        <w:rPr>
          <w:i/>
        </w:rPr>
        <w:t>Telecommunications (Consumer Protection and Service Standards) Act 1999</w:t>
      </w:r>
      <w:r w:rsidRPr="004A5227">
        <w:t>.</w:t>
      </w:r>
    </w:p>
    <w:p w:rsidR="00A15298" w:rsidRPr="004A5227" w:rsidRDefault="00A15298" w:rsidP="00A15298">
      <w:pPr>
        <w:pStyle w:val="Definition"/>
      </w:pPr>
      <w:r w:rsidRPr="004A5227">
        <w:rPr>
          <w:b/>
          <w:i/>
        </w:rPr>
        <w:t>emergency service organisation</w:t>
      </w:r>
      <w:r w:rsidRPr="004A5227">
        <w:t xml:space="preserve"> means an organisation providing a service mentioned in subsection</w:t>
      </w:r>
      <w:r w:rsidR="004A5227" w:rsidRPr="004A5227">
        <w:t> </w:t>
      </w:r>
      <w:r w:rsidRPr="004A5227">
        <w:t>466(1) of the Act.</w:t>
      </w:r>
    </w:p>
    <w:p w:rsidR="00A15298" w:rsidRPr="004A5227" w:rsidRDefault="00A15298" w:rsidP="00A15298">
      <w:pPr>
        <w:pStyle w:val="Definition"/>
      </w:pPr>
      <w:r w:rsidRPr="004A5227">
        <w:rPr>
          <w:b/>
          <w:i/>
        </w:rPr>
        <w:t>enhanced rights of use</w:t>
      </w:r>
      <w:r w:rsidRPr="004A5227">
        <w:t xml:space="preserve"> means the rights set out in section</w:t>
      </w:r>
      <w:r w:rsidR="004A5227" w:rsidRPr="004A5227">
        <w:t> </w:t>
      </w:r>
      <w:r w:rsidR="00CA6815" w:rsidRPr="004A5227">
        <w:t>76</w:t>
      </w:r>
      <w:r w:rsidRPr="004A5227">
        <w:t>.</w:t>
      </w:r>
    </w:p>
    <w:p w:rsidR="00A15298" w:rsidRPr="004A5227" w:rsidRDefault="00A15298" w:rsidP="00A15298">
      <w:pPr>
        <w:pStyle w:val="Definition"/>
      </w:pPr>
      <w:r w:rsidRPr="004A5227">
        <w:rPr>
          <w:b/>
          <w:i/>
        </w:rPr>
        <w:t>equivalent service</w:t>
      </w:r>
      <w:r w:rsidRPr="004A5227">
        <w:t>: see section</w:t>
      </w:r>
      <w:r w:rsidR="004A5227" w:rsidRPr="004A5227">
        <w:t> </w:t>
      </w:r>
      <w:r w:rsidR="00CA6815" w:rsidRPr="004A5227">
        <w:t>110</w:t>
      </w:r>
      <w:r w:rsidRPr="004A5227">
        <w:t>.</w:t>
      </w:r>
    </w:p>
    <w:p w:rsidR="00A15298" w:rsidRPr="004A5227" w:rsidRDefault="00A15298" w:rsidP="00A15298">
      <w:pPr>
        <w:pStyle w:val="Definition"/>
      </w:pPr>
      <w:proofErr w:type="spellStart"/>
      <w:r w:rsidRPr="004A5227">
        <w:rPr>
          <w:b/>
          <w:i/>
        </w:rPr>
        <w:t>EROU</w:t>
      </w:r>
      <w:proofErr w:type="spellEnd"/>
      <w:r w:rsidRPr="004A5227">
        <w:rPr>
          <w:b/>
          <w:i/>
        </w:rPr>
        <w:t xml:space="preserve"> applicant</w:t>
      </w:r>
      <w:r w:rsidRPr="004A5227">
        <w:t>:</w:t>
      </w:r>
      <w:r w:rsidRPr="004A5227">
        <w:rPr>
          <w:b/>
          <w:i/>
        </w:rPr>
        <w:t xml:space="preserve"> </w:t>
      </w:r>
      <w:r w:rsidRPr="004A5227">
        <w:t>see subsection</w:t>
      </w:r>
      <w:r w:rsidR="004A5227" w:rsidRPr="004A5227">
        <w:t> </w:t>
      </w:r>
      <w:r w:rsidR="00CA6815" w:rsidRPr="004A5227">
        <w:t>73</w:t>
      </w:r>
      <w:r w:rsidRPr="004A5227">
        <w:t>(1).</w:t>
      </w:r>
    </w:p>
    <w:p w:rsidR="00A15298" w:rsidRPr="004A5227" w:rsidRDefault="00A15298" w:rsidP="00A15298">
      <w:pPr>
        <w:pStyle w:val="Definition"/>
      </w:pPr>
      <w:proofErr w:type="spellStart"/>
      <w:r w:rsidRPr="004A5227">
        <w:rPr>
          <w:b/>
          <w:i/>
        </w:rPr>
        <w:t>EROU</w:t>
      </w:r>
      <w:proofErr w:type="spellEnd"/>
      <w:r w:rsidR="004A5227">
        <w:rPr>
          <w:b/>
          <w:i/>
        </w:rPr>
        <w:noBreakHyphen/>
      </w:r>
      <w:r w:rsidRPr="004A5227">
        <w:rPr>
          <w:b/>
          <w:i/>
        </w:rPr>
        <w:t>holder</w:t>
      </w:r>
      <w:r w:rsidRPr="004A5227">
        <w:t xml:space="preserve"> means the holder of the enhanced rights of use for a </w:t>
      </w:r>
      <w:proofErr w:type="spellStart"/>
      <w:r w:rsidRPr="004A5227">
        <w:t>smartnumber</w:t>
      </w:r>
      <w:proofErr w:type="spellEnd"/>
      <w:r w:rsidRPr="004A5227">
        <w:t>.</w:t>
      </w:r>
    </w:p>
    <w:p w:rsidR="00A15298" w:rsidRPr="004A5227" w:rsidRDefault="00A15298" w:rsidP="00A15298">
      <w:pPr>
        <w:pStyle w:val="Definition"/>
        <w:rPr>
          <w:b/>
          <w:i/>
        </w:rPr>
      </w:pPr>
      <w:r w:rsidRPr="004A5227">
        <w:rPr>
          <w:b/>
          <w:i/>
        </w:rPr>
        <w:t>escape code</w:t>
      </w:r>
      <w:r w:rsidRPr="004A5227">
        <w:t>, for a private numbering scheme, means a single</w:t>
      </w:r>
      <w:r w:rsidR="004A5227">
        <w:noBreakHyphen/>
      </w:r>
      <w:r w:rsidRPr="004A5227">
        <w:t>digit prefix used to indicate that the digits dialled following the escape code are for calls to end</w:t>
      </w:r>
      <w:r w:rsidR="004A5227">
        <w:noBreakHyphen/>
      </w:r>
      <w:r w:rsidRPr="004A5227">
        <w:t>users that are not part of the select group.</w:t>
      </w:r>
    </w:p>
    <w:p w:rsidR="00A15298" w:rsidRPr="004A5227" w:rsidRDefault="00A15298" w:rsidP="00A15298">
      <w:pPr>
        <w:pStyle w:val="Definition"/>
      </w:pPr>
      <w:proofErr w:type="spellStart"/>
      <w:r w:rsidRPr="004A5227">
        <w:rPr>
          <w:b/>
          <w:i/>
        </w:rPr>
        <w:t>freephone</w:t>
      </w:r>
      <w:proofErr w:type="spellEnd"/>
      <w:r w:rsidRPr="004A5227">
        <w:rPr>
          <w:b/>
          <w:i/>
        </w:rPr>
        <w:t xml:space="preserve"> number</w:t>
      </w:r>
      <w:r w:rsidRPr="004A5227">
        <w:t>: see section</w:t>
      </w:r>
      <w:r w:rsidR="004A5227" w:rsidRPr="004A5227">
        <w:t> </w:t>
      </w:r>
      <w:r w:rsidR="00CA6815" w:rsidRPr="004A5227">
        <w:t>22</w:t>
      </w:r>
      <w:r w:rsidRPr="004A5227">
        <w:t>.</w:t>
      </w:r>
    </w:p>
    <w:p w:rsidR="00A15298" w:rsidRPr="004A5227" w:rsidRDefault="00A15298" w:rsidP="00A15298">
      <w:pPr>
        <w:pStyle w:val="Definition"/>
      </w:pPr>
      <w:proofErr w:type="spellStart"/>
      <w:r w:rsidRPr="004A5227">
        <w:rPr>
          <w:b/>
          <w:i/>
        </w:rPr>
        <w:t>freephone</w:t>
      </w:r>
      <w:proofErr w:type="spellEnd"/>
      <w:r w:rsidRPr="004A5227">
        <w:rPr>
          <w:b/>
          <w:i/>
        </w:rPr>
        <w:t xml:space="preserve"> service</w:t>
      </w:r>
      <w:r w:rsidRPr="004A5227">
        <w:t xml:space="preserve"> means a carriage service where:</w:t>
      </w:r>
    </w:p>
    <w:p w:rsidR="00A15298" w:rsidRPr="004A5227" w:rsidRDefault="00A15298" w:rsidP="00A15298">
      <w:pPr>
        <w:pStyle w:val="paragraph"/>
      </w:pPr>
      <w:r w:rsidRPr="004A5227">
        <w:tab/>
        <w:t>(a)</w:t>
      </w:r>
      <w:r w:rsidRPr="004A5227">
        <w:tab/>
        <w:t>a customer issued with a number is charged for calls to the number for the service; and</w:t>
      </w:r>
    </w:p>
    <w:p w:rsidR="00A15298" w:rsidRPr="004A5227" w:rsidRDefault="00A15298" w:rsidP="00A15298">
      <w:pPr>
        <w:pStyle w:val="paragraph"/>
      </w:pPr>
      <w:r w:rsidRPr="004A5227">
        <w:tab/>
        <w:t>(b)</w:t>
      </w:r>
      <w:r w:rsidRPr="004A5227">
        <w:tab/>
        <w:t xml:space="preserve">the call charge for calls made to the number for the service from a standard telephone service (other than a location independent communications service or a public mobile telecommunications service) is </w:t>
      </w:r>
      <w:r w:rsidR="0047536D" w:rsidRPr="004A5227">
        <w:t>nil</w:t>
      </w:r>
      <w:r w:rsidRPr="004A5227">
        <w:t>.</w:t>
      </w:r>
    </w:p>
    <w:p w:rsidR="00A15298" w:rsidRPr="004A5227" w:rsidRDefault="00A15298" w:rsidP="00A15298">
      <w:pPr>
        <w:pStyle w:val="Definition"/>
      </w:pPr>
      <w:r w:rsidRPr="004A5227">
        <w:rPr>
          <w:b/>
          <w:i/>
        </w:rPr>
        <w:t>geographic number</w:t>
      </w:r>
      <w:r w:rsidRPr="004A5227">
        <w:t>: see section</w:t>
      </w:r>
      <w:r w:rsidR="004A5227" w:rsidRPr="004A5227">
        <w:t> </w:t>
      </w:r>
      <w:r w:rsidR="00CA6815" w:rsidRPr="004A5227">
        <w:t>18</w:t>
      </w:r>
      <w:r w:rsidRPr="004A5227">
        <w:t>.</w:t>
      </w:r>
    </w:p>
    <w:p w:rsidR="00A15298" w:rsidRPr="004A5227" w:rsidRDefault="00A15298" w:rsidP="00A15298">
      <w:pPr>
        <w:pStyle w:val="Definition"/>
      </w:pPr>
      <w:r w:rsidRPr="004A5227">
        <w:rPr>
          <w:b/>
          <w:i/>
        </w:rPr>
        <w:t>holds</w:t>
      </w:r>
      <w:r w:rsidRPr="004A5227">
        <w:t xml:space="preserve">: a carriage service provider </w:t>
      </w:r>
      <w:r w:rsidRPr="004A5227">
        <w:rPr>
          <w:b/>
          <w:i/>
        </w:rPr>
        <w:t>holds</w:t>
      </w:r>
      <w:r w:rsidRPr="004A5227">
        <w:t xml:space="preserve"> a number if:</w:t>
      </w:r>
    </w:p>
    <w:p w:rsidR="00A15298" w:rsidRPr="004A5227" w:rsidRDefault="00A15298" w:rsidP="00A15298">
      <w:pPr>
        <w:pStyle w:val="paragraph"/>
      </w:pPr>
      <w:r w:rsidRPr="004A5227">
        <w:tab/>
        <w:t>(a)</w:t>
      </w:r>
      <w:r w:rsidRPr="004A5227">
        <w:tab/>
        <w:t>the number has been allocated to the carriage service provider or transferred to the carriage service provider; and</w:t>
      </w:r>
    </w:p>
    <w:p w:rsidR="00A15298" w:rsidRPr="004A5227" w:rsidRDefault="00A15298" w:rsidP="00A15298">
      <w:pPr>
        <w:pStyle w:val="paragraph"/>
      </w:pPr>
      <w:r w:rsidRPr="004A5227">
        <w:tab/>
        <w:t>(b)</w:t>
      </w:r>
      <w:r w:rsidRPr="004A5227">
        <w:tab/>
        <w:t>the number has not subsequently been transferred to another carriage service provider, surrendered or withdrawn.</w:t>
      </w:r>
    </w:p>
    <w:p w:rsidR="000224CB" w:rsidRPr="004A5227" w:rsidRDefault="000224CB" w:rsidP="000224CB">
      <w:pPr>
        <w:pStyle w:val="Definition"/>
      </w:pPr>
      <w:r w:rsidRPr="004A5227">
        <w:rPr>
          <w:b/>
          <w:i/>
        </w:rPr>
        <w:t xml:space="preserve">incoming international assistance operator service </w:t>
      </w:r>
      <w:r w:rsidRPr="004A5227">
        <w:t>means an operator service that:</w:t>
      </w:r>
    </w:p>
    <w:p w:rsidR="000224CB" w:rsidRPr="004A5227" w:rsidRDefault="000224CB" w:rsidP="000224CB">
      <w:pPr>
        <w:pStyle w:val="paragraph"/>
      </w:pPr>
      <w:r w:rsidRPr="004A5227">
        <w:tab/>
        <w:t>(a)</w:t>
      </w:r>
      <w:r w:rsidRPr="004A5227">
        <w:tab/>
        <w:t>provides assistance with the establishment of calls; and</w:t>
      </w:r>
    </w:p>
    <w:p w:rsidR="000224CB" w:rsidRPr="004A5227" w:rsidRDefault="000224CB" w:rsidP="0064477A">
      <w:pPr>
        <w:pStyle w:val="paragraph"/>
      </w:pPr>
      <w:r w:rsidRPr="004A5227">
        <w:tab/>
        <w:t>(b)</w:t>
      </w:r>
      <w:r w:rsidRPr="004A5227">
        <w:tab/>
        <w:t>provides information about</w:t>
      </w:r>
      <w:r w:rsidR="0064477A" w:rsidRPr="004A5227">
        <w:t xml:space="preserve"> t</w:t>
      </w:r>
      <w:r w:rsidRPr="004A5227">
        <w:t>he meaning of special tones and spoken announcements; and</w:t>
      </w:r>
    </w:p>
    <w:p w:rsidR="000224CB" w:rsidRPr="004A5227" w:rsidRDefault="000224CB" w:rsidP="000224CB">
      <w:pPr>
        <w:pStyle w:val="paragraph"/>
      </w:pPr>
      <w:r w:rsidRPr="004A5227">
        <w:tab/>
        <w:t>(c)</w:t>
      </w:r>
      <w:r w:rsidRPr="004A5227">
        <w:tab/>
        <w:t>is accessible by operators in countries other than Australia; and</w:t>
      </w:r>
    </w:p>
    <w:p w:rsidR="000224CB" w:rsidRPr="004A5227" w:rsidRDefault="000224CB" w:rsidP="000224CB">
      <w:pPr>
        <w:pStyle w:val="paragraph"/>
      </w:pPr>
      <w:r w:rsidRPr="004A5227">
        <w:tab/>
        <w:t>(d)</w:t>
      </w:r>
      <w:r w:rsidRPr="004A5227">
        <w:tab/>
        <w:t>is not accessible for calls originating in Australia.</w:t>
      </w:r>
    </w:p>
    <w:p w:rsidR="000224CB" w:rsidRPr="004A5227" w:rsidRDefault="000224CB" w:rsidP="000224CB">
      <w:pPr>
        <w:pStyle w:val="Definition"/>
      </w:pPr>
      <w:r w:rsidRPr="004A5227">
        <w:rPr>
          <w:b/>
          <w:i/>
        </w:rPr>
        <w:t>incoming international delay operator service</w:t>
      </w:r>
      <w:r w:rsidRPr="004A5227">
        <w:t xml:space="preserve"> means an operator service that:</w:t>
      </w:r>
    </w:p>
    <w:p w:rsidR="000224CB" w:rsidRPr="004A5227" w:rsidRDefault="000224CB" w:rsidP="000224CB">
      <w:pPr>
        <w:pStyle w:val="paragraph"/>
      </w:pPr>
      <w:r w:rsidRPr="004A5227">
        <w:tab/>
        <w:t>(a)</w:t>
      </w:r>
      <w:r w:rsidRPr="004A5227">
        <w:tab/>
        <w:t>provides assistance with the establishment of calls for which there is an inherent set</w:t>
      </w:r>
      <w:r w:rsidR="004A5227">
        <w:noBreakHyphen/>
      </w:r>
      <w:r w:rsidRPr="004A5227">
        <w:t>up delay; and</w:t>
      </w:r>
    </w:p>
    <w:p w:rsidR="000224CB" w:rsidRPr="004A5227" w:rsidRDefault="0064477A" w:rsidP="0064477A">
      <w:pPr>
        <w:pStyle w:val="paragraph"/>
      </w:pPr>
      <w:r w:rsidRPr="004A5227">
        <w:tab/>
        <w:t>(b)</w:t>
      </w:r>
      <w:r w:rsidRPr="004A5227">
        <w:tab/>
        <w:t xml:space="preserve">provides information about </w:t>
      </w:r>
      <w:r w:rsidR="000224CB" w:rsidRPr="004A5227">
        <w:t>the meaning of special tones and spoken announcements; and</w:t>
      </w:r>
    </w:p>
    <w:p w:rsidR="000224CB" w:rsidRPr="004A5227" w:rsidRDefault="000224CB" w:rsidP="000224CB">
      <w:pPr>
        <w:pStyle w:val="paragraph"/>
      </w:pPr>
      <w:r w:rsidRPr="004A5227">
        <w:tab/>
        <w:t>(c)</w:t>
      </w:r>
      <w:r w:rsidRPr="004A5227">
        <w:tab/>
        <w:t>is accessible by operators in countries other than Australia; and</w:t>
      </w:r>
    </w:p>
    <w:p w:rsidR="000224CB" w:rsidRPr="004A5227" w:rsidRDefault="000224CB" w:rsidP="000224CB">
      <w:pPr>
        <w:pStyle w:val="paragraph"/>
      </w:pPr>
      <w:r w:rsidRPr="004A5227">
        <w:tab/>
        <w:t>(d)</w:t>
      </w:r>
      <w:r w:rsidRPr="004A5227">
        <w:tab/>
        <w:t>is not accessible for calls originating in Australia.</w:t>
      </w:r>
    </w:p>
    <w:p w:rsidR="000224CB" w:rsidRPr="004A5227" w:rsidRDefault="000224CB" w:rsidP="000224CB">
      <w:pPr>
        <w:pStyle w:val="Definition"/>
      </w:pPr>
      <w:r w:rsidRPr="004A5227">
        <w:rPr>
          <w:b/>
          <w:i/>
        </w:rPr>
        <w:t>incoming international directory enquiries service</w:t>
      </w:r>
      <w:r w:rsidRPr="004A5227">
        <w:t xml:space="preserve"> means an operator service that:</w:t>
      </w:r>
    </w:p>
    <w:p w:rsidR="000224CB" w:rsidRPr="004A5227" w:rsidRDefault="000224CB" w:rsidP="000224CB">
      <w:pPr>
        <w:pStyle w:val="paragraph"/>
      </w:pPr>
      <w:r w:rsidRPr="004A5227">
        <w:lastRenderedPageBreak/>
        <w:tab/>
        <w:t>(a)</w:t>
      </w:r>
      <w:r w:rsidRPr="004A5227">
        <w:tab/>
        <w:t>provides assistance with finding the telephone number of an end</w:t>
      </w:r>
      <w:r w:rsidR="004A5227">
        <w:noBreakHyphen/>
      </w:r>
      <w:r w:rsidRPr="004A5227">
        <w:t>user of an Australian standard telephone service; and</w:t>
      </w:r>
    </w:p>
    <w:p w:rsidR="000224CB" w:rsidRPr="004A5227" w:rsidRDefault="000224CB" w:rsidP="000224CB">
      <w:pPr>
        <w:pStyle w:val="paragraph"/>
      </w:pPr>
      <w:r w:rsidRPr="004A5227">
        <w:tab/>
        <w:t>(b)</w:t>
      </w:r>
      <w:r w:rsidRPr="004A5227">
        <w:tab/>
        <w:t>is accessible by operators in countries other than Australia; and</w:t>
      </w:r>
    </w:p>
    <w:p w:rsidR="000224CB" w:rsidRPr="004A5227" w:rsidRDefault="000224CB" w:rsidP="000224CB">
      <w:pPr>
        <w:pStyle w:val="paragraph"/>
        <w:rPr>
          <w:b/>
          <w:i/>
        </w:rPr>
      </w:pPr>
      <w:r w:rsidRPr="004A5227">
        <w:tab/>
        <w:t>(c)</w:t>
      </w:r>
      <w:r w:rsidRPr="004A5227">
        <w:tab/>
        <w:t>is not accessible for calls originating in Australia</w:t>
      </w:r>
      <w:r w:rsidR="00B760DD" w:rsidRPr="004A5227">
        <w:t>.</w:t>
      </w:r>
    </w:p>
    <w:p w:rsidR="000224CB" w:rsidRPr="004A5227" w:rsidRDefault="000224CB" w:rsidP="000224CB">
      <w:pPr>
        <w:pStyle w:val="Definition"/>
      </w:pPr>
      <w:r w:rsidRPr="004A5227">
        <w:rPr>
          <w:b/>
          <w:i/>
        </w:rPr>
        <w:t>incoming only international service</w:t>
      </w:r>
      <w:r w:rsidRPr="004A5227">
        <w:t xml:space="preserve"> means a carriage service:</w:t>
      </w:r>
    </w:p>
    <w:p w:rsidR="000224CB" w:rsidRPr="004A5227" w:rsidRDefault="000224CB" w:rsidP="000224CB">
      <w:pPr>
        <w:pStyle w:val="paragraph"/>
      </w:pPr>
      <w:r w:rsidRPr="004A5227">
        <w:tab/>
        <w:t>(a)</w:t>
      </w:r>
      <w:r w:rsidRPr="004A5227">
        <w:tab/>
        <w:t>by which incoming calls from outside Australia are routed to an Australian carriage service provider; and</w:t>
      </w:r>
    </w:p>
    <w:p w:rsidR="000224CB" w:rsidRPr="004A5227" w:rsidRDefault="000224CB" w:rsidP="000224CB">
      <w:pPr>
        <w:pStyle w:val="paragraph"/>
      </w:pPr>
      <w:r w:rsidRPr="004A5227">
        <w:tab/>
        <w:t>(b)</w:t>
      </w:r>
      <w:r w:rsidRPr="004A5227">
        <w:tab/>
        <w:t>for which access is not available for calls originating in Australia.</w:t>
      </w:r>
    </w:p>
    <w:p w:rsidR="0017435B" w:rsidRPr="004A5227" w:rsidRDefault="0017435B" w:rsidP="0017435B">
      <w:pPr>
        <w:pStyle w:val="Definition"/>
      </w:pPr>
      <w:r w:rsidRPr="004A5227">
        <w:rPr>
          <w:b/>
          <w:i/>
        </w:rPr>
        <w:t>interconnect and routing service</w:t>
      </w:r>
      <w:r w:rsidRPr="004A5227">
        <w:t xml:space="preserve"> means a carriage service:</w:t>
      </w:r>
    </w:p>
    <w:p w:rsidR="0017435B" w:rsidRPr="004A5227" w:rsidRDefault="0017435B" w:rsidP="0017435B">
      <w:pPr>
        <w:pStyle w:val="paragraph"/>
      </w:pPr>
      <w:r w:rsidRPr="004A5227">
        <w:tab/>
        <w:t>(a)</w:t>
      </w:r>
      <w:r w:rsidRPr="004A5227">
        <w:tab/>
        <w:t>that enables a customer to select an alternative carriage service provider on a call</w:t>
      </w:r>
      <w:r w:rsidR="004A5227">
        <w:noBreakHyphen/>
      </w:r>
      <w:r w:rsidRPr="004A5227">
        <w:t>by</w:t>
      </w:r>
      <w:r w:rsidR="004A5227">
        <w:noBreakHyphen/>
      </w:r>
      <w:r w:rsidRPr="004A5227">
        <w:t>call basis; or</w:t>
      </w:r>
    </w:p>
    <w:p w:rsidR="0017435B" w:rsidRPr="004A5227" w:rsidRDefault="0017435B" w:rsidP="0017435B">
      <w:pPr>
        <w:pStyle w:val="paragraph"/>
      </w:pPr>
      <w:r w:rsidRPr="004A5227">
        <w:tab/>
        <w:t>(b)</w:t>
      </w:r>
      <w:r w:rsidRPr="004A5227">
        <w:tab/>
        <w:t>by which a particular carriage service provider operating a telecommunications network is identified, in the carriage of a call to a point of interconnection between telecommunication networks, as the next recipient network for carriage of the call.</w:t>
      </w:r>
    </w:p>
    <w:p w:rsidR="00A15298" w:rsidRPr="004A5227" w:rsidRDefault="00A15298" w:rsidP="00A15298">
      <w:pPr>
        <w:pStyle w:val="Definition"/>
      </w:pPr>
      <w:r w:rsidRPr="004A5227">
        <w:rPr>
          <w:b/>
          <w:i/>
        </w:rPr>
        <w:t>internal network service</w:t>
      </w:r>
      <w:r w:rsidRPr="004A5227">
        <w:rPr>
          <w:b/>
        </w:rPr>
        <w:t xml:space="preserve"> </w:t>
      </w:r>
      <w:r w:rsidRPr="004A5227">
        <w:t>means a carriage service that:</w:t>
      </w:r>
    </w:p>
    <w:p w:rsidR="00A15298" w:rsidRPr="004A5227" w:rsidRDefault="00A15298" w:rsidP="00A15298">
      <w:pPr>
        <w:pStyle w:val="paragraph"/>
      </w:pPr>
      <w:r w:rsidRPr="004A5227">
        <w:tab/>
        <w:t>(a)</w:t>
      </w:r>
      <w:r w:rsidRPr="004A5227">
        <w:tab/>
        <w:t>is only accessible by the carriage service provider; and</w:t>
      </w:r>
    </w:p>
    <w:p w:rsidR="00A15298" w:rsidRPr="004A5227" w:rsidRDefault="00A15298" w:rsidP="00A15298">
      <w:pPr>
        <w:pStyle w:val="paragraph"/>
      </w:pPr>
      <w:r w:rsidRPr="004A5227">
        <w:tab/>
        <w:t>(b)</w:t>
      </w:r>
      <w:r w:rsidRPr="004A5227">
        <w:tab/>
        <w:t>uses numbers that are translated to a different number as a way of applying certain features or facilities to the call.</w:t>
      </w:r>
    </w:p>
    <w:p w:rsidR="00DD1D31" w:rsidRPr="004A5227" w:rsidRDefault="00DD1D31" w:rsidP="00DD1D31">
      <w:pPr>
        <w:pStyle w:val="Definition"/>
      </w:pPr>
      <w:r w:rsidRPr="004A5227">
        <w:rPr>
          <w:b/>
          <w:i/>
        </w:rPr>
        <w:t>internal review decision</w:t>
      </w:r>
      <w:r w:rsidRPr="004A5227">
        <w:t>: see section</w:t>
      </w:r>
      <w:r w:rsidR="004A5227" w:rsidRPr="004A5227">
        <w:t> </w:t>
      </w:r>
      <w:r w:rsidR="00CA6815" w:rsidRPr="004A5227">
        <w:t>129</w:t>
      </w:r>
      <w:r w:rsidRPr="004A5227">
        <w:t>.</w:t>
      </w:r>
    </w:p>
    <w:p w:rsidR="00A15298" w:rsidRPr="004A5227" w:rsidRDefault="00A15298" w:rsidP="00A15298">
      <w:pPr>
        <w:pStyle w:val="Definition"/>
      </w:pPr>
      <w:r w:rsidRPr="004A5227">
        <w:rPr>
          <w:b/>
          <w:i/>
        </w:rPr>
        <w:t>international direct dial service</w:t>
      </w:r>
      <w:r w:rsidRPr="004A5227">
        <w:t xml:space="preserve"> means an international service with which the end</w:t>
      </w:r>
      <w:r w:rsidR="004A5227">
        <w:noBreakHyphen/>
      </w:r>
      <w:r w:rsidRPr="004A5227">
        <w:t>user makes calls directly, without the assistance of an operator.</w:t>
      </w:r>
    </w:p>
    <w:p w:rsidR="00A15298" w:rsidRPr="004A5227" w:rsidRDefault="00A15298" w:rsidP="00A15298">
      <w:pPr>
        <w:pStyle w:val="Definition"/>
      </w:pPr>
      <w:r w:rsidRPr="004A5227">
        <w:rPr>
          <w:b/>
          <w:i/>
        </w:rPr>
        <w:t>international directory assistance service</w:t>
      </w:r>
      <w:r w:rsidRPr="004A5227">
        <w:t xml:space="preserve"> means an operator service provided to an end</w:t>
      </w:r>
      <w:r w:rsidR="004A5227">
        <w:noBreakHyphen/>
      </w:r>
      <w:r w:rsidRPr="004A5227">
        <w:t>user to help find the number of a customer at a location outside Australia.</w:t>
      </w:r>
    </w:p>
    <w:p w:rsidR="00A15298" w:rsidRPr="004A5227" w:rsidRDefault="00A15298" w:rsidP="00A15298">
      <w:pPr>
        <w:pStyle w:val="Definition"/>
      </w:pPr>
      <w:r w:rsidRPr="004A5227">
        <w:rPr>
          <w:b/>
          <w:i/>
        </w:rPr>
        <w:t>international faults and difficulties service</w:t>
      </w:r>
      <w:r w:rsidRPr="004A5227">
        <w:rPr>
          <w:b/>
        </w:rPr>
        <w:t xml:space="preserve"> </w:t>
      </w:r>
      <w:r w:rsidRPr="004A5227">
        <w:t xml:space="preserve">means an operator service provided to a customer for dealing with faults and service difficulties relating to </w:t>
      </w:r>
      <w:r w:rsidR="00742D16" w:rsidRPr="004A5227">
        <w:t>calls to destinations outside Australia</w:t>
      </w:r>
      <w:r w:rsidRPr="004A5227">
        <w:t>.</w:t>
      </w:r>
    </w:p>
    <w:p w:rsidR="00A15298" w:rsidRPr="004A5227" w:rsidRDefault="00A15298" w:rsidP="00A15298">
      <w:pPr>
        <w:pStyle w:val="Definition"/>
      </w:pPr>
      <w:r w:rsidRPr="004A5227">
        <w:rPr>
          <w:b/>
          <w:i/>
        </w:rPr>
        <w:t>international number</w:t>
      </w:r>
      <w:r w:rsidRPr="004A5227">
        <w:t xml:space="preserve"> means a number beginning with a country code, followed by:</w:t>
      </w:r>
    </w:p>
    <w:p w:rsidR="00A15298" w:rsidRPr="004A5227" w:rsidRDefault="00A15298" w:rsidP="00A15298">
      <w:pPr>
        <w:pStyle w:val="paragraph"/>
      </w:pPr>
      <w:r w:rsidRPr="004A5227">
        <w:tab/>
        <w:t>(a)</w:t>
      </w:r>
      <w:r w:rsidRPr="004A5227">
        <w:tab/>
        <w:t>a telephone number used in the area to which the country code relates (including any code used to indicate a smaller area within that area); or</w:t>
      </w:r>
    </w:p>
    <w:p w:rsidR="00A15298" w:rsidRPr="004A5227" w:rsidRDefault="00A15298" w:rsidP="00A15298">
      <w:pPr>
        <w:pStyle w:val="paragraph"/>
      </w:pPr>
      <w:r w:rsidRPr="004A5227">
        <w:tab/>
        <w:t>(b)</w:t>
      </w:r>
      <w:r w:rsidRPr="004A5227">
        <w:tab/>
        <w:t>a telephone number identifying a subscriber to a global service.</w:t>
      </w:r>
    </w:p>
    <w:p w:rsidR="00A15298" w:rsidRPr="004A5227" w:rsidRDefault="00A15298" w:rsidP="00A15298">
      <w:pPr>
        <w:pStyle w:val="Definition"/>
      </w:pPr>
      <w:r w:rsidRPr="004A5227">
        <w:rPr>
          <w:b/>
          <w:i/>
        </w:rPr>
        <w:t>international ring back price service</w:t>
      </w:r>
      <w:r w:rsidRPr="004A5227">
        <w:t xml:space="preserve"> means an international service for which an end</w:t>
      </w:r>
      <w:r w:rsidR="004A5227">
        <w:noBreakHyphen/>
      </w:r>
      <w:r w:rsidRPr="004A5227">
        <w:t>user who has made and completed a call receives a call advising the end</w:t>
      </w:r>
      <w:r w:rsidR="004A5227">
        <w:noBreakHyphen/>
      </w:r>
      <w:r w:rsidRPr="004A5227">
        <w:t>user of the cost of the completed call.</w:t>
      </w:r>
    </w:p>
    <w:p w:rsidR="00A15298" w:rsidRPr="004A5227" w:rsidRDefault="00A15298" w:rsidP="00A15298">
      <w:pPr>
        <w:pStyle w:val="Definition"/>
      </w:pPr>
      <w:r w:rsidRPr="004A5227">
        <w:rPr>
          <w:b/>
          <w:i/>
        </w:rPr>
        <w:t>international service</w:t>
      </w:r>
      <w:r w:rsidRPr="004A5227">
        <w:t xml:space="preserve"> means a carriage service with which an end</w:t>
      </w:r>
      <w:r w:rsidR="004A5227">
        <w:noBreakHyphen/>
      </w:r>
      <w:r w:rsidRPr="004A5227">
        <w:t>user is able to make calls to destinations outside Australia.</w:t>
      </w:r>
    </w:p>
    <w:p w:rsidR="00A15298" w:rsidRPr="004A5227" w:rsidRDefault="00A15298" w:rsidP="00A15298">
      <w:pPr>
        <w:pStyle w:val="Definition"/>
      </w:pPr>
      <w:r w:rsidRPr="004A5227">
        <w:rPr>
          <w:b/>
          <w:i/>
        </w:rPr>
        <w:t>international signalling point code</w:t>
      </w:r>
      <w:r w:rsidRPr="004A5227">
        <w:t>: see section</w:t>
      </w:r>
      <w:r w:rsidR="004A5227" w:rsidRPr="004A5227">
        <w:t> </w:t>
      </w:r>
      <w:r w:rsidR="00CA6815" w:rsidRPr="004A5227">
        <w:t>46</w:t>
      </w:r>
      <w:r w:rsidRPr="004A5227">
        <w:t>.</w:t>
      </w:r>
    </w:p>
    <w:p w:rsidR="00A15298" w:rsidRPr="004A5227" w:rsidRDefault="00A15298" w:rsidP="00A15298">
      <w:pPr>
        <w:pStyle w:val="Definition"/>
      </w:pPr>
      <w:r w:rsidRPr="004A5227">
        <w:rPr>
          <w:b/>
          <w:i/>
        </w:rPr>
        <w:t>late payment penalty</w:t>
      </w:r>
      <w:r w:rsidRPr="004A5227">
        <w:t xml:space="preserve"> has the same meaning as in section</w:t>
      </w:r>
      <w:r w:rsidR="004A5227" w:rsidRPr="004A5227">
        <w:t> </w:t>
      </w:r>
      <w:r w:rsidRPr="004A5227">
        <w:t>468 of the Act.</w:t>
      </w:r>
    </w:p>
    <w:p w:rsidR="00A15298" w:rsidRPr="004A5227" w:rsidRDefault="00A15298" w:rsidP="00A15298">
      <w:pPr>
        <w:pStyle w:val="Definition"/>
      </w:pPr>
      <w:r w:rsidRPr="004A5227">
        <w:rPr>
          <w:b/>
          <w:i/>
        </w:rPr>
        <w:t>local number</w:t>
      </w:r>
      <w:r w:rsidRPr="004A5227">
        <w:t>: see section</w:t>
      </w:r>
      <w:r w:rsidR="004A5227" w:rsidRPr="004A5227">
        <w:t> </w:t>
      </w:r>
      <w:r w:rsidR="00CA6815" w:rsidRPr="004A5227">
        <w:t>18</w:t>
      </w:r>
      <w:r w:rsidRPr="004A5227">
        <w:t>.</w:t>
      </w:r>
    </w:p>
    <w:p w:rsidR="00A15298" w:rsidRPr="004A5227" w:rsidRDefault="00A15298" w:rsidP="00A15298">
      <w:pPr>
        <w:pStyle w:val="Definition"/>
      </w:pPr>
      <w:r w:rsidRPr="004A5227">
        <w:rPr>
          <w:b/>
          <w:i/>
        </w:rPr>
        <w:lastRenderedPageBreak/>
        <w:t>local rate number</w:t>
      </w:r>
      <w:r w:rsidRPr="004A5227">
        <w:t>: see section</w:t>
      </w:r>
      <w:r w:rsidR="004A5227" w:rsidRPr="004A5227">
        <w:t> </w:t>
      </w:r>
      <w:r w:rsidR="00CA6815" w:rsidRPr="004A5227">
        <w:t>24</w:t>
      </w:r>
      <w:r w:rsidRPr="004A5227">
        <w:t>.</w:t>
      </w:r>
    </w:p>
    <w:p w:rsidR="00A15298" w:rsidRPr="004A5227" w:rsidRDefault="00A15298" w:rsidP="00A15298">
      <w:pPr>
        <w:pStyle w:val="Definition"/>
      </w:pPr>
      <w:r w:rsidRPr="004A5227">
        <w:rPr>
          <w:b/>
          <w:i/>
        </w:rPr>
        <w:t>local rate service</w:t>
      </w:r>
      <w:r w:rsidRPr="004A5227">
        <w:t xml:space="preserve"> means a carriage service:</w:t>
      </w:r>
    </w:p>
    <w:p w:rsidR="00A15298" w:rsidRPr="004A5227" w:rsidRDefault="00A15298" w:rsidP="00A15298">
      <w:pPr>
        <w:pStyle w:val="paragraph"/>
      </w:pPr>
      <w:r w:rsidRPr="004A5227">
        <w:tab/>
        <w:t>(a)</w:t>
      </w:r>
      <w:r w:rsidRPr="004A5227">
        <w:tab/>
        <w:t>that is capable of voice telephony; and</w:t>
      </w:r>
    </w:p>
    <w:p w:rsidR="00A15298" w:rsidRPr="004A5227" w:rsidRDefault="00A15298" w:rsidP="00A15298">
      <w:pPr>
        <w:pStyle w:val="paragraph"/>
      </w:pPr>
      <w:r w:rsidRPr="004A5227">
        <w:tab/>
        <w:t>(b)</w:t>
      </w:r>
      <w:r w:rsidRPr="004A5227">
        <w:tab/>
        <w:t>that, for a call, involves the translation of the number dialled in making the call to a number that identifies a point of termination for the call; and</w:t>
      </w:r>
    </w:p>
    <w:p w:rsidR="00A15298" w:rsidRPr="004A5227" w:rsidRDefault="00A15298" w:rsidP="00A15298">
      <w:pPr>
        <w:pStyle w:val="paragraph"/>
      </w:pPr>
      <w:r w:rsidRPr="004A5227">
        <w:tab/>
        <w:t>(c)</w:t>
      </w:r>
      <w:r w:rsidRPr="004A5227">
        <w:tab/>
        <w:t>that is not a local service; and</w:t>
      </w:r>
    </w:p>
    <w:p w:rsidR="00A15298" w:rsidRPr="004A5227" w:rsidRDefault="00A15298" w:rsidP="00A15298">
      <w:pPr>
        <w:pStyle w:val="paragraph"/>
      </w:pPr>
      <w:r w:rsidRPr="004A5227">
        <w:tab/>
        <w:t>(d)</w:t>
      </w:r>
      <w:r w:rsidRPr="004A5227">
        <w:tab/>
        <w:t>for which:</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t>the call charge for calls made using a standard telephone service (other than a location independent communications service or a public mobile telecommunications service) is equal to, or less than, the call charge for local calls; and</w:t>
      </w:r>
    </w:p>
    <w:p w:rsidR="00A15298" w:rsidRPr="004A5227" w:rsidRDefault="00A15298" w:rsidP="00A15298">
      <w:pPr>
        <w:pStyle w:val="paragraphsub"/>
      </w:pPr>
      <w:r w:rsidRPr="004A5227">
        <w:tab/>
        <w:t>(ii)</w:t>
      </w:r>
      <w:r w:rsidRPr="004A5227">
        <w:tab/>
        <w:t xml:space="preserve">responsibility for the residual charge for calls (if any) lies with the person to whom the </w:t>
      </w:r>
      <w:r w:rsidR="00742D16" w:rsidRPr="004A5227">
        <w:t xml:space="preserve">dialled </w:t>
      </w:r>
      <w:r w:rsidRPr="004A5227">
        <w:t>number is issued.</w:t>
      </w:r>
    </w:p>
    <w:p w:rsidR="00A15298" w:rsidRPr="004A5227" w:rsidRDefault="00A15298" w:rsidP="00A15298">
      <w:pPr>
        <w:pStyle w:val="Definition"/>
      </w:pPr>
      <w:r w:rsidRPr="004A5227">
        <w:rPr>
          <w:b/>
          <w:i/>
        </w:rPr>
        <w:t>local service</w:t>
      </w:r>
      <w:r w:rsidRPr="004A5227">
        <w:rPr>
          <w:i/>
        </w:rPr>
        <w:t xml:space="preserve"> </w:t>
      </w:r>
      <w:r w:rsidRPr="004A5227">
        <w:t>means a carriage service that:</w:t>
      </w:r>
    </w:p>
    <w:p w:rsidR="00A15298" w:rsidRPr="004A5227" w:rsidRDefault="00A15298" w:rsidP="00A15298">
      <w:pPr>
        <w:pStyle w:val="paragraph"/>
      </w:pPr>
      <w:r w:rsidRPr="004A5227">
        <w:tab/>
        <w:t>(a)</w:t>
      </w:r>
      <w:r w:rsidRPr="004A5227">
        <w:tab/>
        <w:t>is capable of voice telephony; and</w:t>
      </w:r>
    </w:p>
    <w:p w:rsidR="00A15298" w:rsidRPr="004A5227" w:rsidRDefault="00A15298" w:rsidP="00A15298">
      <w:pPr>
        <w:pStyle w:val="paragraph"/>
      </w:pPr>
      <w:r w:rsidRPr="004A5227">
        <w:tab/>
        <w:t>(b)</w:t>
      </w:r>
      <w:r w:rsidRPr="004A5227">
        <w:tab/>
        <w:t>is provided for one or both of the following:</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t>receiving incoming calls at a location that is in an area identifiable, by the carriage service provider with which the call originates, from the number called;</w:t>
      </w:r>
    </w:p>
    <w:p w:rsidR="00A15298" w:rsidRPr="004A5227" w:rsidRDefault="00A15298" w:rsidP="00A15298">
      <w:pPr>
        <w:pStyle w:val="paragraphsub"/>
      </w:pPr>
      <w:r w:rsidRPr="004A5227">
        <w:tab/>
        <w:t>(ii)</w:t>
      </w:r>
      <w:r w:rsidRPr="004A5227">
        <w:tab/>
        <w:t>making outgoing calls at a location that is in an area identifiable by the customer’s carriage service provider;</w:t>
      </w:r>
    </w:p>
    <w:p w:rsidR="00A15298" w:rsidRPr="004A5227" w:rsidRDefault="00A15298" w:rsidP="00A15298">
      <w:pPr>
        <w:pStyle w:val="paragraph"/>
      </w:pPr>
      <w:r w:rsidRPr="004A5227">
        <w:tab/>
      </w:r>
      <w:r w:rsidRPr="004A5227">
        <w:tab/>
        <w:t>where that location is:</w:t>
      </w:r>
    </w:p>
    <w:p w:rsidR="00A15298" w:rsidRPr="004A5227" w:rsidRDefault="00A15298" w:rsidP="00A15298">
      <w:pPr>
        <w:pStyle w:val="paragraphsub"/>
      </w:pPr>
      <w:r w:rsidRPr="004A5227">
        <w:tab/>
        <w:t>(iii)</w:t>
      </w:r>
      <w:r w:rsidRPr="004A5227">
        <w:tab/>
        <w:t>a switching facility; or</w:t>
      </w:r>
    </w:p>
    <w:p w:rsidR="00A15298" w:rsidRPr="004A5227" w:rsidRDefault="00A15298" w:rsidP="00A15298">
      <w:pPr>
        <w:pStyle w:val="paragraphsub"/>
      </w:pPr>
      <w:r w:rsidRPr="004A5227">
        <w:tab/>
        <w:t>(iv)</w:t>
      </w:r>
      <w:r w:rsidRPr="004A5227">
        <w:tab/>
        <w:t>the premises occupied or used by a customer; or</w:t>
      </w:r>
    </w:p>
    <w:p w:rsidR="00A15298" w:rsidRPr="004A5227" w:rsidRDefault="00A15298" w:rsidP="00A15298">
      <w:pPr>
        <w:pStyle w:val="paragraphsub"/>
      </w:pPr>
      <w:r w:rsidRPr="004A5227">
        <w:tab/>
        <w:t>(v)</w:t>
      </w:r>
      <w:r w:rsidRPr="004A5227">
        <w:tab/>
        <w:t>in the vicinity of the premises occupied or used by a customer.</w:t>
      </w:r>
    </w:p>
    <w:p w:rsidR="00A15298" w:rsidRPr="004A5227" w:rsidRDefault="00A15298" w:rsidP="00A15298">
      <w:pPr>
        <w:pStyle w:val="Definition"/>
      </w:pPr>
      <w:r w:rsidRPr="004A5227">
        <w:rPr>
          <w:b/>
          <w:i/>
        </w:rPr>
        <w:t>location independent communications service</w:t>
      </w:r>
      <w:r w:rsidRPr="004A5227">
        <w:t xml:space="preserve"> means a carriage service that:</w:t>
      </w:r>
    </w:p>
    <w:p w:rsidR="00A15298" w:rsidRPr="004A5227" w:rsidRDefault="00A15298" w:rsidP="00A15298">
      <w:pPr>
        <w:pStyle w:val="paragraph"/>
      </w:pPr>
      <w:r w:rsidRPr="004A5227">
        <w:tab/>
        <w:t>(a)</w:t>
      </w:r>
      <w:r w:rsidRPr="004A5227">
        <w:tab/>
        <w:t>is capable of voice telephony; and</w:t>
      </w:r>
    </w:p>
    <w:p w:rsidR="00A15298" w:rsidRPr="004A5227" w:rsidRDefault="00A15298" w:rsidP="00A15298">
      <w:pPr>
        <w:pStyle w:val="paragraph"/>
      </w:pPr>
      <w:r w:rsidRPr="004A5227">
        <w:tab/>
        <w:t>(b)</w:t>
      </w:r>
      <w:r w:rsidRPr="004A5227">
        <w:tab/>
        <w:t>is provided for receiving incoming calls, or making outgoing calls, or both, at a location that can be identified by the originating carriage service provider as:</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t>a point of intersect for delivery to another carriage service provider; or</w:t>
      </w:r>
    </w:p>
    <w:p w:rsidR="00A15298" w:rsidRPr="004A5227" w:rsidRDefault="00A15298" w:rsidP="00A15298">
      <w:pPr>
        <w:pStyle w:val="paragraphsub"/>
      </w:pPr>
      <w:r w:rsidRPr="004A5227">
        <w:tab/>
        <w:t>(ii)</w:t>
      </w:r>
      <w:r w:rsidRPr="004A5227">
        <w:tab/>
        <w:t>the location of the customer; and</w:t>
      </w:r>
    </w:p>
    <w:p w:rsidR="00A15298" w:rsidRPr="004A5227" w:rsidRDefault="00A15298" w:rsidP="00A15298">
      <w:pPr>
        <w:pStyle w:val="paragraph"/>
      </w:pPr>
      <w:r w:rsidRPr="004A5227">
        <w:tab/>
        <w:t>(c)</w:t>
      </w:r>
      <w:r w:rsidRPr="004A5227">
        <w:tab/>
        <w:t>is not:</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t>a local service; or</w:t>
      </w:r>
    </w:p>
    <w:p w:rsidR="00A15298" w:rsidRPr="004A5227" w:rsidRDefault="00A15298" w:rsidP="00A15298">
      <w:pPr>
        <w:pStyle w:val="paragraphsub"/>
      </w:pPr>
      <w:r w:rsidRPr="004A5227">
        <w:tab/>
        <w:t>(ii)</w:t>
      </w:r>
      <w:r w:rsidRPr="004A5227">
        <w:tab/>
        <w:t>a digital mobile service; or</w:t>
      </w:r>
    </w:p>
    <w:p w:rsidR="00A15298" w:rsidRPr="004A5227" w:rsidRDefault="00A15298" w:rsidP="00A15298">
      <w:pPr>
        <w:pStyle w:val="paragraphsub"/>
      </w:pPr>
      <w:r w:rsidRPr="004A5227">
        <w:tab/>
        <w:t>(iii)</w:t>
      </w:r>
      <w:r w:rsidRPr="004A5227">
        <w:tab/>
        <w:t xml:space="preserve">a </w:t>
      </w:r>
      <w:proofErr w:type="spellStart"/>
      <w:r w:rsidRPr="004A5227">
        <w:t>freephone</w:t>
      </w:r>
      <w:proofErr w:type="spellEnd"/>
      <w:r w:rsidRPr="004A5227">
        <w:t xml:space="preserve"> service; or</w:t>
      </w:r>
    </w:p>
    <w:p w:rsidR="00A15298" w:rsidRPr="004A5227" w:rsidRDefault="00A15298" w:rsidP="00A15298">
      <w:pPr>
        <w:pStyle w:val="paragraphsub"/>
      </w:pPr>
      <w:r w:rsidRPr="004A5227">
        <w:tab/>
        <w:t>(iv)</w:t>
      </w:r>
      <w:r w:rsidRPr="004A5227">
        <w:tab/>
        <w:t>a local rate service; or</w:t>
      </w:r>
    </w:p>
    <w:p w:rsidR="00A15298" w:rsidRPr="004A5227" w:rsidRDefault="00A15298" w:rsidP="00A15298">
      <w:pPr>
        <w:pStyle w:val="paragraphsub"/>
      </w:pPr>
      <w:r w:rsidRPr="004A5227">
        <w:tab/>
        <w:t>(v)</w:t>
      </w:r>
      <w:r w:rsidRPr="004A5227">
        <w:tab/>
        <w:t>a premium rate service.</w:t>
      </w:r>
    </w:p>
    <w:p w:rsidR="00A15298" w:rsidRPr="004A5227" w:rsidRDefault="00A15298" w:rsidP="00A15298">
      <w:pPr>
        <w:pStyle w:val="notetext"/>
      </w:pPr>
      <w:r w:rsidRPr="004A5227">
        <w:t>Note:</w:t>
      </w:r>
      <w:r w:rsidRPr="004A5227">
        <w:rPr>
          <w:i/>
        </w:rPr>
        <w:tab/>
      </w:r>
      <w:r w:rsidRPr="004A5227">
        <w:t xml:space="preserve">The requirement in </w:t>
      </w:r>
      <w:r w:rsidR="004A5227" w:rsidRPr="004A5227">
        <w:t>paragraph (</w:t>
      </w:r>
      <w:r w:rsidRPr="004A5227">
        <w:t>a) that the service “is capable of voice telephony” is a minimum requirement. A service that meets the definition may be capable of other additional functions.</w:t>
      </w:r>
    </w:p>
    <w:p w:rsidR="00A15298" w:rsidRPr="004A5227" w:rsidRDefault="00A15298" w:rsidP="00A15298">
      <w:pPr>
        <w:pStyle w:val="Definition"/>
      </w:pPr>
      <w:r w:rsidRPr="004A5227">
        <w:rPr>
          <w:b/>
          <w:i/>
        </w:rPr>
        <w:t>low charge amount</w:t>
      </w:r>
      <w:r w:rsidRPr="004A5227">
        <w:t xml:space="preserve"> means the highest call charge for an eligible local call made using a standard telephone service, other than a public mobile telecommunications service, supplied by </w:t>
      </w:r>
      <w:r w:rsidR="00742D16" w:rsidRPr="004A5227">
        <w:t>a</w:t>
      </w:r>
      <w:r w:rsidRPr="004A5227">
        <w:t xml:space="preserve"> primary universal service provider.</w:t>
      </w:r>
    </w:p>
    <w:p w:rsidR="00A15298" w:rsidRPr="004A5227" w:rsidRDefault="00A15298" w:rsidP="00A15298">
      <w:pPr>
        <w:pStyle w:val="Definition"/>
      </w:pPr>
      <w:r w:rsidRPr="004A5227">
        <w:rPr>
          <w:b/>
          <w:i/>
        </w:rPr>
        <w:lastRenderedPageBreak/>
        <w:t>mobile carriage service provider</w:t>
      </w:r>
      <w:r w:rsidRPr="004A5227">
        <w:t xml:space="preserve"> means a carriage service provider that supplies or arranges for the supply of a public mobile telecommunications service.</w:t>
      </w:r>
    </w:p>
    <w:p w:rsidR="00A06703" w:rsidRPr="004A5227" w:rsidRDefault="00A06703" w:rsidP="00A15298">
      <w:pPr>
        <w:pStyle w:val="Definition"/>
      </w:pPr>
      <w:r w:rsidRPr="004A5227">
        <w:rPr>
          <w:b/>
          <w:i/>
        </w:rPr>
        <w:t>mobile network code</w:t>
      </w:r>
      <w:r w:rsidRPr="004A5227">
        <w:t>: see section</w:t>
      </w:r>
      <w:r w:rsidR="004A5227" w:rsidRPr="004A5227">
        <w:t> </w:t>
      </w:r>
      <w:r w:rsidR="00CA6815" w:rsidRPr="004A5227">
        <w:t>49</w:t>
      </w:r>
      <w:r w:rsidRPr="004A5227">
        <w:t>.</w:t>
      </w:r>
    </w:p>
    <w:p w:rsidR="00A15298" w:rsidRPr="004A5227" w:rsidRDefault="00A15298" w:rsidP="00A15298">
      <w:pPr>
        <w:pStyle w:val="Definition"/>
      </w:pPr>
      <w:r w:rsidRPr="004A5227">
        <w:rPr>
          <w:b/>
          <w:i/>
        </w:rPr>
        <w:t>national and international operator call connection service</w:t>
      </w:r>
      <w:r w:rsidRPr="004A5227">
        <w:rPr>
          <w:b/>
        </w:rPr>
        <w:t xml:space="preserve"> </w:t>
      </w:r>
      <w:r w:rsidRPr="004A5227">
        <w:t>means an operator service provided to assist a customer in making national and international calls.</w:t>
      </w:r>
    </w:p>
    <w:p w:rsidR="00A15298" w:rsidRPr="004A5227" w:rsidRDefault="00A15298" w:rsidP="00A15298">
      <w:pPr>
        <w:pStyle w:val="Definition"/>
      </w:pPr>
      <w:r w:rsidRPr="004A5227">
        <w:rPr>
          <w:b/>
          <w:i/>
        </w:rPr>
        <w:t xml:space="preserve">number portability </w:t>
      </w:r>
      <w:r w:rsidRPr="004A5227">
        <w:t>means the right of a customer receiving a service in relation to a portable number to change the carriage service provider involved in providing the service, the carrier network involved in providing the service, or both, and retain the same telephone number.</w:t>
      </w:r>
    </w:p>
    <w:p w:rsidR="00A15298" w:rsidRPr="004A5227" w:rsidRDefault="00A15298" w:rsidP="00A15298">
      <w:pPr>
        <w:pStyle w:val="Definition"/>
      </w:pPr>
      <w:r w:rsidRPr="004A5227">
        <w:rPr>
          <w:b/>
          <w:i/>
        </w:rPr>
        <w:t>operator service</w:t>
      </w:r>
      <w:r w:rsidRPr="004A5227">
        <w:rPr>
          <w:b/>
        </w:rPr>
        <w:t xml:space="preserve"> </w:t>
      </w:r>
      <w:r w:rsidRPr="004A5227">
        <w:t>means a carriage service provided by an operator or by means of:</w:t>
      </w:r>
    </w:p>
    <w:p w:rsidR="00A15298" w:rsidRPr="004A5227" w:rsidRDefault="00A15298" w:rsidP="00A15298">
      <w:pPr>
        <w:pStyle w:val="paragraph"/>
      </w:pPr>
      <w:r w:rsidRPr="004A5227">
        <w:tab/>
        <w:t>(a)</w:t>
      </w:r>
      <w:r w:rsidRPr="004A5227">
        <w:tab/>
        <w:t>an automated voice response system; or</w:t>
      </w:r>
    </w:p>
    <w:p w:rsidR="00A15298" w:rsidRPr="004A5227" w:rsidRDefault="00A15298" w:rsidP="00A15298">
      <w:pPr>
        <w:pStyle w:val="paragraph"/>
      </w:pPr>
      <w:r w:rsidRPr="004A5227">
        <w:tab/>
        <w:t>(b)</w:t>
      </w:r>
      <w:r w:rsidRPr="004A5227">
        <w:tab/>
        <w:t>another technology</w:t>
      </w:r>
      <w:r w:rsidR="004A5227">
        <w:noBreakHyphen/>
      </w:r>
      <w:r w:rsidRPr="004A5227">
        <w:t>based system.</w:t>
      </w:r>
    </w:p>
    <w:p w:rsidR="00A15298" w:rsidRPr="004A5227" w:rsidRDefault="00A15298" w:rsidP="00A15298">
      <w:pPr>
        <w:pStyle w:val="Definition"/>
        <w:rPr>
          <w:i/>
        </w:rPr>
      </w:pPr>
      <w:r w:rsidRPr="004A5227">
        <w:rPr>
          <w:b/>
          <w:i/>
        </w:rPr>
        <w:t>optional service</w:t>
      </w:r>
      <w:r w:rsidRPr="004A5227">
        <w:t>: see subsection</w:t>
      </w:r>
      <w:r w:rsidR="004A5227" w:rsidRPr="004A5227">
        <w:t> </w:t>
      </w:r>
      <w:r w:rsidR="00CA6815" w:rsidRPr="004A5227">
        <w:t>33</w:t>
      </w:r>
      <w:r w:rsidRPr="004A5227">
        <w:t>(1).</w:t>
      </w:r>
    </w:p>
    <w:p w:rsidR="00A15298" w:rsidRPr="004A5227" w:rsidRDefault="00A15298" w:rsidP="00A15298">
      <w:pPr>
        <w:pStyle w:val="Definition"/>
      </w:pPr>
      <w:r w:rsidRPr="004A5227">
        <w:rPr>
          <w:b/>
          <w:bCs/>
          <w:i/>
          <w:iCs/>
        </w:rPr>
        <w:t>originating access carriage service provider</w:t>
      </w:r>
      <w:r w:rsidRPr="004A5227">
        <w:rPr>
          <w:b/>
          <w:bCs/>
        </w:rPr>
        <w:t xml:space="preserve"> </w:t>
      </w:r>
      <w:r w:rsidRPr="004A5227">
        <w:t>means a carriage service provider that provides access for connection by a customer to outgoing carriage services.</w:t>
      </w:r>
    </w:p>
    <w:p w:rsidR="00A15298" w:rsidRPr="004A5227" w:rsidRDefault="00A15298" w:rsidP="00A15298">
      <w:pPr>
        <w:pStyle w:val="Definition"/>
      </w:pPr>
      <w:r w:rsidRPr="004A5227">
        <w:rPr>
          <w:b/>
          <w:i/>
        </w:rPr>
        <w:t>paging service</w:t>
      </w:r>
      <w:r w:rsidRPr="004A5227">
        <w:t xml:space="preserve"> means a carriage service with which an end</w:t>
      </w:r>
      <w:r w:rsidR="004A5227">
        <w:noBreakHyphen/>
      </w:r>
      <w:r w:rsidRPr="004A5227">
        <w:t>user initiates signals or messages to be sent to a portable wireless receiving unit at which the signal is received, or on which the message is displayed.</w:t>
      </w:r>
    </w:p>
    <w:p w:rsidR="00A15298" w:rsidRPr="004A5227" w:rsidRDefault="00A15298" w:rsidP="00A15298">
      <w:pPr>
        <w:pStyle w:val="Definition"/>
      </w:pPr>
      <w:r w:rsidRPr="004A5227">
        <w:rPr>
          <w:b/>
          <w:i/>
        </w:rPr>
        <w:t>portable number</w:t>
      </w:r>
      <w:r w:rsidRPr="004A5227">
        <w:t xml:space="preserve"> means an allocated number that is used in connection with the supply of a portable service.</w:t>
      </w:r>
    </w:p>
    <w:p w:rsidR="00A15298" w:rsidRPr="004A5227" w:rsidRDefault="00A15298" w:rsidP="00A15298">
      <w:pPr>
        <w:pStyle w:val="Definition"/>
      </w:pPr>
      <w:r w:rsidRPr="004A5227">
        <w:rPr>
          <w:b/>
          <w:i/>
        </w:rPr>
        <w:t>portable service</w:t>
      </w:r>
      <w:r w:rsidRPr="004A5227">
        <w:t xml:space="preserve"> means:</w:t>
      </w:r>
    </w:p>
    <w:p w:rsidR="00A15298" w:rsidRPr="004A5227" w:rsidRDefault="00A15298" w:rsidP="00A15298">
      <w:pPr>
        <w:pStyle w:val="paragraph"/>
      </w:pPr>
      <w:r w:rsidRPr="004A5227">
        <w:tab/>
        <w:t>(a)</w:t>
      </w:r>
      <w:r w:rsidRPr="004A5227">
        <w:tab/>
        <w:t>a local service; or</w:t>
      </w:r>
    </w:p>
    <w:p w:rsidR="00A15298" w:rsidRPr="004A5227" w:rsidRDefault="00A15298" w:rsidP="00A15298">
      <w:pPr>
        <w:pStyle w:val="paragraph"/>
      </w:pPr>
      <w:r w:rsidRPr="004A5227">
        <w:tab/>
        <w:t>(b)</w:t>
      </w:r>
      <w:r w:rsidRPr="004A5227">
        <w:tab/>
        <w:t xml:space="preserve">a </w:t>
      </w:r>
      <w:proofErr w:type="spellStart"/>
      <w:r w:rsidRPr="004A5227">
        <w:t>freephone</w:t>
      </w:r>
      <w:proofErr w:type="spellEnd"/>
      <w:r w:rsidRPr="004A5227">
        <w:t xml:space="preserve"> service; or</w:t>
      </w:r>
    </w:p>
    <w:p w:rsidR="00A15298" w:rsidRPr="004A5227" w:rsidRDefault="00A15298" w:rsidP="00A15298">
      <w:pPr>
        <w:pStyle w:val="paragraph"/>
      </w:pPr>
      <w:r w:rsidRPr="004A5227">
        <w:tab/>
        <w:t>(c)</w:t>
      </w:r>
      <w:r w:rsidRPr="004A5227">
        <w:tab/>
        <w:t>a local rate service; or</w:t>
      </w:r>
    </w:p>
    <w:p w:rsidR="00A15298" w:rsidRPr="004A5227" w:rsidRDefault="00A15298" w:rsidP="00A15298">
      <w:pPr>
        <w:pStyle w:val="paragraph"/>
      </w:pPr>
      <w:r w:rsidRPr="004A5227">
        <w:tab/>
        <w:t>(d)</w:t>
      </w:r>
      <w:r w:rsidRPr="004A5227">
        <w:tab/>
        <w:t>a public mobile telecommunications service other than a satellite telephone service.</w:t>
      </w:r>
    </w:p>
    <w:p w:rsidR="00A15298" w:rsidRPr="004A5227" w:rsidRDefault="00A15298" w:rsidP="00A15298">
      <w:pPr>
        <w:pStyle w:val="Definition"/>
      </w:pPr>
      <w:r w:rsidRPr="004A5227">
        <w:rPr>
          <w:b/>
          <w:i/>
        </w:rPr>
        <w:t>ported</w:t>
      </w:r>
      <w:r w:rsidRPr="004A5227">
        <w:t>, in relation to a number issued to a customer for a portable service, means that the carriage service provider or the carrier network involved in providing the service, or both, is changed while the customer continues to receive a portable service using the number.</w:t>
      </w:r>
    </w:p>
    <w:p w:rsidR="00A15298" w:rsidRPr="004A5227" w:rsidRDefault="00A15298" w:rsidP="00A15298">
      <w:pPr>
        <w:pStyle w:val="Definition"/>
      </w:pPr>
      <w:r w:rsidRPr="004A5227">
        <w:rPr>
          <w:b/>
          <w:i/>
        </w:rPr>
        <w:t>premium rate number</w:t>
      </w:r>
      <w:r w:rsidRPr="004A5227">
        <w:t>: see section</w:t>
      </w:r>
      <w:r w:rsidR="004A5227" w:rsidRPr="004A5227">
        <w:t> </w:t>
      </w:r>
      <w:r w:rsidR="00CA6815" w:rsidRPr="004A5227">
        <w:t>26</w:t>
      </w:r>
      <w:r w:rsidRPr="004A5227">
        <w:t>.</w:t>
      </w:r>
    </w:p>
    <w:p w:rsidR="00A15298" w:rsidRPr="004A5227" w:rsidRDefault="00A15298" w:rsidP="00A15298">
      <w:pPr>
        <w:pStyle w:val="Definition"/>
      </w:pPr>
      <w:r w:rsidRPr="004A5227">
        <w:rPr>
          <w:b/>
          <w:i/>
        </w:rPr>
        <w:t>premium rate service</w:t>
      </w:r>
      <w:r w:rsidRPr="004A5227">
        <w:t xml:space="preserve"> means a carriage service that is charged at a premium rate, independent of content or delivery technology.</w:t>
      </w:r>
    </w:p>
    <w:p w:rsidR="00A15298" w:rsidRPr="004A5227" w:rsidRDefault="00A15298" w:rsidP="00A15298">
      <w:pPr>
        <w:pStyle w:val="notetext"/>
      </w:pPr>
      <w:r w:rsidRPr="004A5227">
        <w:t>Note:</w:t>
      </w:r>
      <w:r w:rsidRPr="004A5227">
        <w:tab/>
        <w:t>A premium rate service often provides information to a caller or allows the caller to provide information.</w:t>
      </w:r>
    </w:p>
    <w:p w:rsidR="00A15298" w:rsidRPr="004A5227" w:rsidRDefault="00A15298" w:rsidP="00A15298">
      <w:pPr>
        <w:pStyle w:val="Definition"/>
      </w:pPr>
      <w:r w:rsidRPr="004A5227">
        <w:rPr>
          <w:b/>
          <w:i/>
        </w:rPr>
        <w:t xml:space="preserve">premium </w:t>
      </w:r>
      <w:proofErr w:type="spellStart"/>
      <w:r w:rsidRPr="004A5227">
        <w:rPr>
          <w:b/>
          <w:i/>
        </w:rPr>
        <w:t>SMS</w:t>
      </w:r>
      <w:proofErr w:type="spellEnd"/>
      <w:r w:rsidRPr="004A5227">
        <w:rPr>
          <w:b/>
          <w:i/>
        </w:rPr>
        <w:t xml:space="preserve"> or MMS service</w:t>
      </w:r>
      <w:r w:rsidRPr="004A5227">
        <w:t xml:space="preserve"> means:</w:t>
      </w:r>
    </w:p>
    <w:p w:rsidR="00A15298" w:rsidRPr="004A5227" w:rsidRDefault="00A15298" w:rsidP="00A15298">
      <w:pPr>
        <w:pStyle w:val="paragraph"/>
      </w:pPr>
      <w:r w:rsidRPr="004A5227">
        <w:tab/>
        <w:t>(a)</w:t>
      </w:r>
      <w:r w:rsidRPr="004A5227">
        <w:tab/>
        <w:t>a carriage service supplied by way of a call to a number beginning with “191”, “193”, “194”, “195”, “196”, “197” or “199”; or</w:t>
      </w:r>
    </w:p>
    <w:p w:rsidR="00A15298" w:rsidRPr="004A5227" w:rsidRDefault="00A15298" w:rsidP="00A15298">
      <w:pPr>
        <w:pStyle w:val="paragraph"/>
      </w:pPr>
      <w:r w:rsidRPr="004A5227">
        <w:tab/>
        <w:t>(b)</w:t>
      </w:r>
      <w:r w:rsidRPr="004A5227">
        <w:tab/>
        <w:t>a content service supplied by way of a call to a number beginning with “191”, “193”, “194”, “195”, “196”, “197” or “199”.</w:t>
      </w:r>
    </w:p>
    <w:p w:rsidR="00A15298" w:rsidRPr="004A5227" w:rsidRDefault="00A15298" w:rsidP="00A15298">
      <w:pPr>
        <w:pStyle w:val="Definition"/>
      </w:pPr>
      <w:proofErr w:type="spellStart"/>
      <w:r w:rsidRPr="004A5227">
        <w:rPr>
          <w:b/>
          <w:i/>
        </w:rPr>
        <w:lastRenderedPageBreak/>
        <w:t>preselection</w:t>
      </w:r>
      <w:proofErr w:type="spellEnd"/>
      <w:r w:rsidRPr="004A5227">
        <w:rPr>
          <w:b/>
          <w:i/>
        </w:rPr>
        <w:t xml:space="preserve"> verification service</w:t>
      </w:r>
      <w:r w:rsidRPr="004A5227">
        <w:rPr>
          <w:b/>
        </w:rPr>
        <w:t xml:space="preserve"> </w:t>
      </w:r>
      <w:r w:rsidRPr="004A5227">
        <w:t>means an operator service provided to a customer to enable identification of the carriage service provider that is preselected for a standard telephone service.</w:t>
      </w:r>
    </w:p>
    <w:p w:rsidR="00A15298" w:rsidRPr="004A5227" w:rsidRDefault="00A15298" w:rsidP="00A15298">
      <w:pPr>
        <w:pStyle w:val="Definition"/>
      </w:pPr>
      <w:r w:rsidRPr="004A5227">
        <w:rPr>
          <w:b/>
          <w:i/>
        </w:rPr>
        <w:t>primary universal service provider</w:t>
      </w:r>
      <w:r w:rsidRPr="004A5227">
        <w:t xml:space="preserve"> has the same meaning as in the </w:t>
      </w:r>
      <w:r w:rsidRPr="004A5227">
        <w:rPr>
          <w:i/>
        </w:rPr>
        <w:t>Telecommunications (Consumer Protection and Service Standards) Act 1999</w:t>
      </w:r>
      <w:r w:rsidRPr="004A5227">
        <w:t>.</w:t>
      </w:r>
    </w:p>
    <w:p w:rsidR="00A15298" w:rsidRPr="004A5227" w:rsidRDefault="00A15298" w:rsidP="00A15298">
      <w:pPr>
        <w:pStyle w:val="Definition"/>
      </w:pPr>
      <w:r w:rsidRPr="004A5227">
        <w:rPr>
          <w:b/>
          <w:i/>
        </w:rPr>
        <w:t>private numbering scheme</w:t>
      </w:r>
      <w:r w:rsidRPr="004A5227">
        <w:rPr>
          <w:b/>
        </w:rPr>
        <w:t xml:space="preserve"> </w:t>
      </w:r>
      <w:r w:rsidRPr="004A5227">
        <w:t>means a feature, offered as part of a carriage service, by which:</w:t>
      </w:r>
    </w:p>
    <w:p w:rsidR="00A15298" w:rsidRPr="004A5227" w:rsidRDefault="00A15298" w:rsidP="00A15298">
      <w:pPr>
        <w:pStyle w:val="paragraph"/>
      </w:pPr>
      <w:r w:rsidRPr="004A5227">
        <w:tab/>
        <w:t>(a)</w:t>
      </w:r>
      <w:r w:rsidRPr="004A5227">
        <w:tab/>
        <w:t>a customer of a carriage service provider may establish a series of numbers intended for use by a select group of telephone users; and</w:t>
      </w:r>
    </w:p>
    <w:p w:rsidR="00A15298" w:rsidRPr="004A5227" w:rsidRDefault="00A15298" w:rsidP="00A15298">
      <w:pPr>
        <w:pStyle w:val="paragraph"/>
      </w:pPr>
      <w:r w:rsidRPr="004A5227">
        <w:tab/>
        <w:t>(b)</w:t>
      </w:r>
      <w:r w:rsidRPr="004A5227">
        <w:tab/>
        <w:t>a telephone user in the group may make calls to other users in the group by dialling the established numbers.</w:t>
      </w:r>
    </w:p>
    <w:p w:rsidR="00A15298" w:rsidRPr="004A5227" w:rsidRDefault="00A15298" w:rsidP="00A15298">
      <w:pPr>
        <w:pStyle w:val="notetext"/>
      </w:pPr>
      <w:r w:rsidRPr="004A5227">
        <w:t>Note:</w:t>
      </w:r>
      <w:r w:rsidRPr="004A5227">
        <w:tab/>
        <w:t xml:space="preserve">Arrangements supporting private numbering plans, including the ability to make calls to numbers established under a plan, may also exist without being part of the supply of a carriage service (e.g. a private network established by a </w:t>
      </w:r>
      <w:proofErr w:type="spellStart"/>
      <w:r w:rsidRPr="004A5227">
        <w:t>PABX</w:t>
      </w:r>
      <w:proofErr w:type="spellEnd"/>
      <w:r w:rsidRPr="004A5227">
        <w:t xml:space="preserve">). Those arrangements are not covered by the definition of </w:t>
      </w:r>
      <w:r w:rsidRPr="004A5227">
        <w:rPr>
          <w:b/>
          <w:i/>
        </w:rPr>
        <w:t>private numbering scheme</w:t>
      </w:r>
      <w:r w:rsidRPr="004A5227">
        <w:t>.</w:t>
      </w:r>
    </w:p>
    <w:p w:rsidR="00A15298" w:rsidRPr="004A5227" w:rsidRDefault="00A15298" w:rsidP="00A15298">
      <w:pPr>
        <w:pStyle w:val="Definition"/>
      </w:pPr>
      <w:r w:rsidRPr="004A5227">
        <w:rPr>
          <w:b/>
          <w:i/>
        </w:rPr>
        <w:t>registered carriage service provider</w:t>
      </w:r>
      <w:r w:rsidRPr="004A5227">
        <w:t xml:space="preserve"> means a carriage servi</w:t>
      </w:r>
      <w:r w:rsidR="00D575E7" w:rsidRPr="004A5227">
        <w:t xml:space="preserve">ce provider registered under </w:t>
      </w:r>
      <w:r w:rsidRPr="004A5227">
        <w:t>section</w:t>
      </w:r>
      <w:r w:rsidR="004A5227" w:rsidRPr="004A5227">
        <w:t> </w:t>
      </w:r>
      <w:r w:rsidR="00CA6815" w:rsidRPr="004A5227">
        <w:t>122</w:t>
      </w:r>
      <w:r w:rsidRPr="004A5227">
        <w:t>.</w:t>
      </w:r>
    </w:p>
    <w:p w:rsidR="00A15298" w:rsidRPr="004A5227" w:rsidRDefault="00A15298" w:rsidP="00A15298">
      <w:pPr>
        <w:pStyle w:val="Definition"/>
      </w:pPr>
      <w:r w:rsidRPr="004A5227">
        <w:rPr>
          <w:b/>
          <w:i/>
        </w:rPr>
        <w:t>registered industry code</w:t>
      </w:r>
      <w:r w:rsidRPr="004A5227">
        <w:t xml:space="preserve"> means an industry code included in the Register that </w:t>
      </w:r>
      <w:proofErr w:type="spellStart"/>
      <w:r w:rsidRPr="004A5227">
        <w:t>ACMA</w:t>
      </w:r>
      <w:proofErr w:type="spellEnd"/>
      <w:r w:rsidRPr="004A5227">
        <w:t xml:space="preserve"> is required to maintain under section</w:t>
      </w:r>
      <w:r w:rsidR="004A5227" w:rsidRPr="004A5227">
        <w:t> </w:t>
      </w:r>
      <w:r w:rsidRPr="004A5227">
        <w:t>136 of the Act.</w:t>
      </w:r>
    </w:p>
    <w:p w:rsidR="00E31C4C" w:rsidRPr="004A5227" w:rsidRDefault="00E31C4C" w:rsidP="00E31C4C">
      <w:pPr>
        <w:pStyle w:val="Definition"/>
      </w:pPr>
      <w:r w:rsidRPr="004A5227">
        <w:rPr>
          <w:b/>
          <w:i/>
        </w:rPr>
        <w:t xml:space="preserve">register of </w:t>
      </w:r>
      <w:proofErr w:type="spellStart"/>
      <w:r w:rsidRPr="004A5227">
        <w:rPr>
          <w:b/>
          <w:i/>
        </w:rPr>
        <w:t>smartnumbers</w:t>
      </w:r>
      <w:proofErr w:type="spellEnd"/>
      <w:r w:rsidRPr="004A5227">
        <w:t>: see section</w:t>
      </w:r>
      <w:r w:rsidR="004A5227" w:rsidRPr="004A5227">
        <w:t> </w:t>
      </w:r>
      <w:r w:rsidR="00CA6815" w:rsidRPr="004A5227">
        <w:t>78</w:t>
      </w:r>
      <w:r w:rsidRPr="004A5227">
        <w:t>.</w:t>
      </w:r>
    </w:p>
    <w:p w:rsidR="00A15298" w:rsidRPr="004A5227" w:rsidRDefault="00A15298" w:rsidP="00A15298">
      <w:pPr>
        <w:pStyle w:val="Definition"/>
      </w:pPr>
      <w:r w:rsidRPr="004A5227">
        <w:rPr>
          <w:b/>
          <w:i/>
        </w:rPr>
        <w:t>registration premium rate service</w:t>
      </w:r>
      <w:r w:rsidRPr="004A5227">
        <w:t xml:space="preserve"> means a premium rate service for which a prospective customer is required to register with the relevant content service provider as a user of that service.</w:t>
      </w:r>
    </w:p>
    <w:p w:rsidR="00A15298" w:rsidRPr="004A5227" w:rsidRDefault="00A15298" w:rsidP="00A15298">
      <w:pPr>
        <w:pStyle w:val="notetext"/>
      </w:pPr>
      <w:r w:rsidRPr="004A5227">
        <w:t>Note:</w:t>
      </w:r>
      <w:r w:rsidRPr="004A5227">
        <w:tab/>
        <w:t xml:space="preserve">A registration premium rate service may give information or similar services to particular groups of customers, or deny them to particular groups. The restrictions may be related to </w:t>
      </w:r>
      <w:r w:rsidR="00A06703" w:rsidRPr="004A5227">
        <w:t>provisions dealing with age</w:t>
      </w:r>
      <w:r w:rsidR="004A5227">
        <w:noBreakHyphen/>
      </w:r>
      <w:r w:rsidR="00A06703" w:rsidRPr="004A5227">
        <w:t>restric</w:t>
      </w:r>
      <w:r w:rsidR="00EA3C6B" w:rsidRPr="004A5227">
        <w:t>t</w:t>
      </w:r>
      <w:r w:rsidR="00A06703" w:rsidRPr="004A5227">
        <w:t>ed content</w:t>
      </w:r>
      <w:r w:rsidRPr="004A5227">
        <w:t>, but this is not the only possible reason.</w:t>
      </w:r>
    </w:p>
    <w:p w:rsidR="00DD1D31" w:rsidRPr="004A5227" w:rsidRDefault="00DD1D31" w:rsidP="00DD1D31">
      <w:pPr>
        <w:pStyle w:val="Definition"/>
      </w:pPr>
      <w:r w:rsidRPr="004A5227">
        <w:rPr>
          <w:b/>
          <w:i/>
        </w:rPr>
        <w:t>reviewable decision</w:t>
      </w:r>
      <w:r w:rsidRPr="004A5227">
        <w:t>: see section</w:t>
      </w:r>
      <w:r w:rsidR="004A5227" w:rsidRPr="004A5227">
        <w:t> </w:t>
      </w:r>
      <w:r w:rsidR="00CA6815" w:rsidRPr="004A5227">
        <w:t>127</w:t>
      </w:r>
      <w:r w:rsidRPr="004A5227">
        <w:t>.</w:t>
      </w:r>
    </w:p>
    <w:p w:rsidR="00A15298" w:rsidRPr="004A5227" w:rsidRDefault="00A15298" w:rsidP="00A15298">
      <w:pPr>
        <w:pStyle w:val="Definition"/>
      </w:pPr>
      <w:r w:rsidRPr="004A5227">
        <w:rPr>
          <w:b/>
          <w:i/>
        </w:rPr>
        <w:t>routing responsibility</w:t>
      </w:r>
      <w:r w:rsidRPr="004A5227">
        <w:t>: see subsection</w:t>
      </w:r>
      <w:r w:rsidR="004A5227" w:rsidRPr="004A5227">
        <w:t> </w:t>
      </w:r>
      <w:r w:rsidR="00CA6815" w:rsidRPr="004A5227">
        <w:t>113</w:t>
      </w:r>
      <w:r w:rsidRPr="004A5227">
        <w:t>(2).</w:t>
      </w:r>
    </w:p>
    <w:p w:rsidR="00A15298" w:rsidRPr="004A5227" w:rsidRDefault="00A15298" w:rsidP="00A15298">
      <w:pPr>
        <w:pStyle w:val="Definition"/>
      </w:pPr>
      <w:r w:rsidRPr="004A5227">
        <w:rPr>
          <w:b/>
          <w:i/>
        </w:rPr>
        <w:t>satellite telephone service</w:t>
      </w:r>
      <w:r w:rsidRPr="004A5227">
        <w:t xml:space="preserve"> means a carriage service with which end</w:t>
      </w:r>
      <w:r w:rsidR="004A5227">
        <w:noBreakHyphen/>
      </w:r>
      <w:r w:rsidRPr="004A5227">
        <w:t>users make and receive calls via a satellite</w:t>
      </w:r>
      <w:r w:rsidR="004A5227">
        <w:noBreakHyphen/>
      </w:r>
      <w:r w:rsidRPr="004A5227">
        <w:t>based facility.</w:t>
      </w:r>
    </w:p>
    <w:p w:rsidR="00A15298" w:rsidRPr="004A5227" w:rsidRDefault="00A15298" w:rsidP="00A15298">
      <w:pPr>
        <w:pStyle w:val="Definition"/>
        <w:rPr>
          <w:szCs w:val="22"/>
        </w:rPr>
      </w:pPr>
      <w:r w:rsidRPr="004A5227">
        <w:rPr>
          <w:b/>
          <w:bCs/>
          <w:i/>
          <w:iCs/>
          <w:szCs w:val="22"/>
        </w:rPr>
        <w:t xml:space="preserve">signalling point </w:t>
      </w:r>
      <w:r w:rsidRPr="004A5227">
        <w:rPr>
          <w:szCs w:val="22"/>
        </w:rPr>
        <w:t xml:space="preserve">means a node in a network that performs either or </w:t>
      </w:r>
      <w:r w:rsidRPr="004A5227">
        <w:t>both of the following functions:</w:t>
      </w:r>
    </w:p>
    <w:p w:rsidR="00A15298" w:rsidRPr="004A5227" w:rsidRDefault="00A15298" w:rsidP="00A15298">
      <w:pPr>
        <w:pStyle w:val="paragraph"/>
      </w:pPr>
      <w:r w:rsidRPr="004A5227">
        <w:tab/>
        <w:t>(a)</w:t>
      </w:r>
      <w:r w:rsidRPr="004A5227">
        <w:tab/>
        <w:t>originating and receiving signalling messages;</w:t>
      </w:r>
    </w:p>
    <w:p w:rsidR="00A15298" w:rsidRPr="004A5227" w:rsidRDefault="00E4099E" w:rsidP="00A15298">
      <w:pPr>
        <w:pStyle w:val="paragraph"/>
        <w:rPr>
          <w:sz w:val="24"/>
          <w:szCs w:val="24"/>
        </w:rPr>
      </w:pPr>
      <w:r w:rsidRPr="004A5227">
        <w:tab/>
        <w:t>(b)</w:t>
      </w:r>
      <w:r w:rsidRPr="004A5227">
        <w:tab/>
      </w:r>
      <w:r w:rsidR="00A15298" w:rsidRPr="004A5227">
        <w:t>transfer</w:t>
      </w:r>
      <w:r w:rsidR="00D27EB1" w:rsidRPr="004A5227">
        <w:t>ring</w:t>
      </w:r>
      <w:r w:rsidR="00A15298" w:rsidRPr="004A5227">
        <w:t xml:space="preserve"> signalling messages from one signalling link to another signalling </w:t>
      </w:r>
      <w:r w:rsidR="00A15298" w:rsidRPr="004A5227">
        <w:rPr>
          <w:sz w:val="24"/>
          <w:szCs w:val="24"/>
        </w:rPr>
        <w:t>link.</w:t>
      </w:r>
    </w:p>
    <w:p w:rsidR="00A15298" w:rsidRPr="004A5227" w:rsidRDefault="00A15298" w:rsidP="00A15298">
      <w:pPr>
        <w:pStyle w:val="Definition"/>
      </w:pPr>
      <w:r w:rsidRPr="004A5227">
        <w:rPr>
          <w:b/>
          <w:bCs/>
          <w:i/>
          <w:iCs/>
        </w:rPr>
        <w:t xml:space="preserve">signalling point operator </w:t>
      </w:r>
      <w:r w:rsidRPr="004A5227">
        <w:t xml:space="preserve">means a </w:t>
      </w:r>
      <w:r w:rsidR="009D7CAD" w:rsidRPr="004A5227">
        <w:t>registered</w:t>
      </w:r>
      <w:r w:rsidR="009C40FB" w:rsidRPr="004A5227">
        <w:t xml:space="preserve"> carriage service provider that</w:t>
      </w:r>
      <w:r w:rsidRPr="004A5227">
        <w:t>:</w:t>
      </w:r>
    </w:p>
    <w:p w:rsidR="00A15298" w:rsidRPr="004A5227" w:rsidRDefault="00A15298" w:rsidP="00A15298">
      <w:pPr>
        <w:pStyle w:val="paragraph"/>
      </w:pPr>
      <w:r w:rsidRPr="004A5227">
        <w:tab/>
        <w:t>(a)</w:t>
      </w:r>
      <w:r w:rsidRPr="004A5227">
        <w:tab/>
        <w:t xml:space="preserve">wishes to operate a signalling point that has at least 1 message transfer part </w:t>
      </w:r>
      <w:r w:rsidRPr="004A5227">
        <w:rPr>
          <w:szCs w:val="22"/>
        </w:rPr>
        <w:t>in the international signalling network; or</w:t>
      </w:r>
    </w:p>
    <w:p w:rsidR="00A15298" w:rsidRPr="004A5227" w:rsidRDefault="00A15298" w:rsidP="00A15298">
      <w:pPr>
        <w:pStyle w:val="paragraph"/>
      </w:pPr>
      <w:r w:rsidRPr="004A5227">
        <w:tab/>
        <w:t>(b)</w:t>
      </w:r>
      <w:r w:rsidRPr="004A5227">
        <w:tab/>
        <w:t>already operates a signalling point of that kind.</w:t>
      </w:r>
    </w:p>
    <w:p w:rsidR="00A15298" w:rsidRPr="004A5227" w:rsidRDefault="00A15298" w:rsidP="00A15298">
      <w:pPr>
        <w:pStyle w:val="Definition"/>
      </w:pPr>
      <w:proofErr w:type="spellStart"/>
      <w:r w:rsidRPr="004A5227">
        <w:rPr>
          <w:b/>
          <w:i/>
          <w:szCs w:val="22"/>
        </w:rPr>
        <w:t>s</w:t>
      </w:r>
      <w:r w:rsidRPr="004A5227">
        <w:rPr>
          <w:b/>
          <w:i/>
        </w:rPr>
        <w:t>martnumber</w:t>
      </w:r>
      <w:proofErr w:type="spellEnd"/>
      <w:r w:rsidRPr="004A5227">
        <w:t xml:space="preserve"> means:</w:t>
      </w:r>
    </w:p>
    <w:p w:rsidR="00A15298" w:rsidRPr="004A5227" w:rsidRDefault="00A15298" w:rsidP="00A15298">
      <w:pPr>
        <w:pStyle w:val="paragraph"/>
      </w:pPr>
      <w:r w:rsidRPr="004A5227">
        <w:lastRenderedPageBreak/>
        <w:tab/>
        <w:t>(a)</w:t>
      </w:r>
      <w:r w:rsidRPr="004A5227">
        <w:tab/>
        <w:t xml:space="preserve">a </w:t>
      </w:r>
      <w:proofErr w:type="spellStart"/>
      <w:r w:rsidRPr="004A5227">
        <w:t>freephone</w:t>
      </w:r>
      <w:proofErr w:type="spellEnd"/>
      <w:r w:rsidRPr="004A5227">
        <w:t xml:space="preserve"> number that is specified, as mentioned in subsection</w:t>
      </w:r>
      <w:r w:rsidR="004A5227" w:rsidRPr="004A5227">
        <w:t> </w:t>
      </w:r>
      <w:r w:rsidR="00CA6815" w:rsidRPr="004A5227">
        <w:t>57</w:t>
      </w:r>
      <w:r w:rsidRPr="004A5227">
        <w:t xml:space="preserve">(2), to be </w:t>
      </w:r>
      <w:r w:rsidR="00D27EB1" w:rsidRPr="004A5227">
        <w:t xml:space="preserve">a </w:t>
      </w:r>
      <w:proofErr w:type="spellStart"/>
      <w:r w:rsidRPr="004A5227">
        <w:t>freephone</w:t>
      </w:r>
      <w:proofErr w:type="spellEnd"/>
      <w:r w:rsidRPr="004A5227">
        <w:t xml:space="preserve"> number that is a </w:t>
      </w:r>
      <w:proofErr w:type="spellStart"/>
      <w:r w:rsidRPr="004A5227">
        <w:t>smartnumber</w:t>
      </w:r>
      <w:proofErr w:type="spellEnd"/>
      <w:r w:rsidRPr="004A5227">
        <w:t>; or</w:t>
      </w:r>
    </w:p>
    <w:p w:rsidR="00A15298" w:rsidRPr="004A5227" w:rsidRDefault="00A15298" w:rsidP="00A15298">
      <w:pPr>
        <w:pStyle w:val="paragraph"/>
      </w:pPr>
      <w:r w:rsidRPr="004A5227">
        <w:tab/>
        <w:t>(b)</w:t>
      </w:r>
      <w:r w:rsidRPr="004A5227">
        <w:tab/>
        <w:t>a local rate number that is specified, as mentioned in subsection</w:t>
      </w:r>
      <w:r w:rsidR="004A5227" w:rsidRPr="004A5227">
        <w:t> </w:t>
      </w:r>
      <w:r w:rsidR="00CA6815" w:rsidRPr="004A5227">
        <w:t>57</w:t>
      </w:r>
      <w:r w:rsidRPr="004A5227">
        <w:t xml:space="preserve">(2), to be a local rate number that is a </w:t>
      </w:r>
      <w:proofErr w:type="spellStart"/>
      <w:r w:rsidRPr="004A5227">
        <w:t>smartnumber</w:t>
      </w:r>
      <w:proofErr w:type="spellEnd"/>
      <w:r w:rsidRPr="004A5227">
        <w:t>.</w:t>
      </w:r>
    </w:p>
    <w:p w:rsidR="00A15298" w:rsidRPr="004A5227" w:rsidRDefault="00A15298" w:rsidP="00A15298">
      <w:pPr>
        <w:pStyle w:val="Definition"/>
      </w:pPr>
      <w:r w:rsidRPr="004A5227">
        <w:rPr>
          <w:b/>
          <w:i/>
        </w:rPr>
        <w:t>special services number</w:t>
      </w:r>
      <w:r w:rsidRPr="004A5227">
        <w:t>: see section</w:t>
      </w:r>
      <w:r w:rsidR="004A5227" w:rsidRPr="004A5227">
        <w:t> </w:t>
      </w:r>
      <w:r w:rsidR="00CA6815" w:rsidRPr="004A5227">
        <w:t>31</w:t>
      </w:r>
      <w:r w:rsidRPr="004A5227">
        <w:t>.</w:t>
      </w:r>
    </w:p>
    <w:p w:rsidR="00A15298" w:rsidRPr="004A5227" w:rsidRDefault="00A15298" w:rsidP="00A15298">
      <w:pPr>
        <w:pStyle w:val="Definition"/>
      </w:pPr>
      <w:r w:rsidRPr="004A5227">
        <w:rPr>
          <w:b/>
          <w:i/>
        </w:rPr>
        <w:t>specified for use</w:t>
      </w:r>
      <w:r w:rsidRPr="004A5227">
        <w:t>:</w:t>
      </w:r>
    </w:p>
    <w:p w:rsidR="00A15298" w:rsidRPr="004A5227" w:rsidRDefault="00A15298" w:rsidP="00A15298">
      <w:pPr>
        <w:pStyle w:val="paragraph"/>
      </w:pPr>
      <w:r w:rsidRPr="004A5227">
        <w:tab/>
        <w:t>(a)</w:t>
      </w:r>
      <w:r w:rsidRPr="004A5227">
        <w:tab/>
        <w:t>in relation to a geographic number—see subsection</w:t>
      </w:r>
      <w:r w:rsidR="004A5227" w:rsidRPr="004A5227">
        <w:t> </w:t>
      </w:r>
      <w:r w:rsidR="00CA6815" w:rsidRPr="004A5227">
        <w:t>19</w:t>
      </w:r>
      <w:r w:rsidRPr="004A5227">
        <w:t>(4); and</w:t>
      </w:r>
    </w:p>
    <w:p w:rsidR="00A15298" w:rsidRPr="004A5227" w:rsidRDefault="00A15298" w:rsidP="00A15298">
      <w:pPr>
        <w:pStyle w:val="paragraph"/>
      </w:pPr>
      <w:r w:rsidRPr="004A5227">
        <w:tab/>
        <w:t>(b)</w:t>
      </w:r>
      <w:r w:rsidRPr="004A5227">
        <w:tab/>
        <w:t>in relation to a special services number—see subsection</w:t>
      </w:r>
      <w:r w:rsidR="004A5227" w:rsidRPr="004A5227">
        <w:t> </w:t>
      </w:r>
      <w:r w:rsidR="00CA6815" w:rsidRPr="004A5227">
        <w:t>32</w:t>
      </w:r>
      <w:r w:rsidRPr="004A5227">
        <w:t>(2); and</w:t>
      </w:r>
    </w:p>
    <w:p w:rsidR="00A15298" w:rsidRPr="004A5227" w:rsidRDefault="00A15298" w:rsidP="00A15298">
      <w:pPr>
        <w:pStyle w:val="paragraph"/>
      </w:pPr>
      <w:r w:rsidRPr="004A5227">
        <w:tab/>
        <w:t>(c)</w:t>
      </w:r>
      <w:r w:rsidRPr="004A5227">
        <w:tab/>
        <w:t>in relation to an access code—see subsection</w:t>
      </w:r>
      <w:r w:rsidR="004A5227" w:rsidRPr="004A5227">
        <w:t> </w:t>
      </w:r>
      <w:r w:rsidR="00CA6815" w:rsidRPr="004A5227">
        <w:t>39</w:t>
      </w:r>
      <w:r w:rsidRPr="004A5227">
        <w:t>(3).</w:t>
      </w:r>
    </w:p>
    <w:p w:rsidR="00A15298" w:rsidRPr="004A5227" w:rsidRDefault="00A15298" w:rsidP="00A15298">
      <w:pPr>
        <w:pStyle w:val="Definition"/>
      </w:pPr>
      <w:r w:rsidRPr="004A5227">
        <w:rPr>
          <w:b/>
          <w:i/>
        </w:rPr>
        <w:t>standard unit</w:t>
      </w:r>
      <w:r w:rsidRPr="004A5227">
        <w:t>, in relation to a type of number, means a contiguous block of numbers in sequence, containing the quantity of numbers listed in Schedule</w:t>
      </w:r>
      <w:r w:rsidR="004A5227" w:rsidRPr="004A5227">
        <w:t> </w:t>
      </w:r>
      <w:r w:rsidR="00790A2E" w:rsidRPr="004A5227">
        <w:t>7</w:t>
      </w:r>
      <w:r w:rsidRPr="004A5227">
        <w:t xml:space="preserve"> for that type of number.</w:t>
      </w:r>
    </w:p>
    <w:p w:rsidR="00A15298" w:rsidRPr="004A5227" w:rsidRDefault="00A15298" w:rsidP="00A15298">
      <w:pPr>
        <w:pStyle w:val="Definition"/>
      </w:pPr>
      <w:r w:rsidRPr="004A5227">
        <w:rPr>
          <w:b/>
          <w:i/>
        </w:rPr>
        <w:t>standard zone unit</w:t>
      </w:r>
      <w:r w:rsidRPr="004A5227">
        <w:t xml:space="preserve"> means an area listed as a standard </w:t>
      </w:r>
      <w:r w:rsidR="001E26A2" w:rsidRPr="004A5227">
        <w:t xml:space="preserve">zone unit on the </w:t>
      </w:r>
      <w:proofErr w:type="spellStart"/>
      <w:r w:rsidR="001E26A2" w:rsidRPr="004A5227">
        <w:t>ACMA’s</w:t>
      </w:r>
      <w:proofErr w:type="spellEnd"/>
      <w:r w:rsidR="001E26A2" w:rsidRPr="004A5227">
        <w:t xml:space="preserve"> website.</w:t>
      </w:r>
    </w:p>
    <w:p w:rsidR="00A15298" w:rsidRPr="004A5227" w:rsidRDefault="00A15298" w:rsidP="00A15298">
      <w:pPr>
        <w:pStyle w:val="notetext"/>
      </w:pPr>
      <w:r w:rsidRPr="004A5227">
        <w:t>Note:</w:t>
      </w:r>
      <w:r w:rsidRPr="004A5227">
        <w:tab/>
        <w:t>A standard zone unit is used by carriage service providers to determine whether a call from a standard telephone service is a local call charged on an untimed basis or a long distance call charged on a timed basis based (at least in part) on the distance between calling and called parties. For this purpose it is identified by reference to a charging point with a specified latitude and longitude that lies within the area</w:t>
      </w:r>
      <w:r w:rsidR="00A06703" w:rsidRPr="004A5227">
        <w:t xml:space="preserve"> of the standard zone unit</w:t>
      </w:r>
      <w:r w:rsidRPr="004A5227">
        <w:t>.</w:t>
      </w:r>
    </w:p>
    <w:p w:rsidR="00A15298" w:rsidRPr="004A5227" w:rsidRDefault="00A15298" w:rsidP="00A15298">
      <w:pPr>
        <w:pStyle w:val="Definition"/>
      </w:pPr>
      <w:r w:rsidRPr="004A5227">
        <w:rPr>
          <w:b/>
          <w:i/>
        </w:rPr>
        <w:t>telephone sex service</w:t>
      </w:r>
      <w:r w:rsidRPr="004A5227">
        <w:t xml:space="preserve"> means a commercial service supplied using a standard telephone service, where:</w:t>
      </w:r>
    </w:p>
    <w:p w:rsidR="00A15298" w:rsidRPr="004A5227" w:rsidRDefault="00A15298" w:rsidP="00A15298">
      <w:pPr>
        <w:pStyle w:val="paragraph"/>
      </w:pPr>
      <w:r w:rsidRPr="004A5227">
        <w:tab/>
        <w:t>(a)</w:t>
      </w:r>
      <w:r w:rsidRPr="004A5227">
        <w:tab/>
        <w:t>the supply is by way of a voice call made using the standard telephone service; and</w:t>
      </w:r>
    </w:p>
    <w:p w:rsidR="00A15298" w:rsidRPr="004A5227" w:rsidRDefault="00A15298" w:rsidP="00A15298">
      <w:pPr>
        <w:pStyle w:val="paragraph"/>
      </w:pPr>
      <w:r w:rsidRPr="004A5227">
        <w:tab/>
        <w:t>(b)</w:t>
      </w:r>
      <w:r w:rsidRPr="004A5227">
        <w:tab/>
        <w:t>having regard to:</w:t>
      </w:r>
    </w:p>
    <w:p w:rsidR="00A15298" w:rsidRPr="004A5227" w:rsidRDefault="00A15298" w:rsidP="00A15298">
      <w:pPr>
        <w:pStyle w:val="paragraphsub"/>
      </w:pPr>
      <w:r w:rsidRPr="004A5227">
        <w:tab/>
        <w:t>(</w:t>
      </w:r>
      <w:proofErr w:type="spellStart"/>
      <w:r w:rsidRPr="004A5227">
        <w:t>i</w:t>
      </w:r>
      <w:proofErr w:type="spellEnd"/>
      <w:r w:rsidRPr="004A5227">
        <w:t>)</w:t>
      </w:r>
      <w:r w:rsidRPr="004A5227">
        <w:tab/>
        <w:t>the way in which the service is advertised or promoted; and</w:t>
      </w:r>
    </w:p>
    <w:p w:rsidR="00A15298" w:rsidRPr="004A5227" w:rsidRDefault="00A15298" w:rsidP="00A15298">
      <w:pPr>
        <w:pStyle w:val="paragraphsub"/>
      </w:pPr>
      <w:r w:rsidRPr="004A5227">
        <w:tab/>
        <w:t>(ii)</w:t>
      </w:r>
      <w:r w:rsidRPr="004A5227">
        <w:tab/>
        <w:t>the content of the service;</w:t>
      </w:r>
    </w:p>
    <w:p w:rsidR="00A15298" w:rsidRPr="004A5227" w:rsidRDefault="00D27EB1" w:rsidP="00D27EB1">
      <w:pPr>
        <w:pStyle w:val="paragraph"/>
      </w:pPr>
      <w:r w:rsidRPr="004A5227">
        <w:tab/>
      </w:r>
      <w:r w:rsidRPr="004A5227">
        <w:tab/>
      </w:r>
      <w:r w:rsidR="00A15298" w:rsidRPr="004A5227">
        <w:t>it would be concluded that a majority of people who call the service are likely to do so with the sole or principal object of deriving sexual gratification from the call; and</w:t>
      </w:r>
    </w:p>
    <w:p w:rsidR="00A15298" w:rsidRPr="004A5227" w:rsidRDefault="00A15298" w:rsidP="00A15298">
      <w:pPr>
        <w:pStyle w:val="paragraph"/>
      </w:pPr>
      <w:r w:rsidRPr="004A5227">
        <w:tab/>
        <w:t>(c)</w:t>
      </w:r>
      <w:r w:rsidRPr="004A5227">
        <w:tab/>
        <w:t>the service is not provided for therapeutic or counselling purposes by a person registered or licensed as a medical practitioner, or as a psychologist, under a law of a State or Territory.</w:t>
      </w:r>
    </w:p>
    <w:p w:rsidR="00A15298" w:rsidRPr="004A5227" w:rsidRDefault="00A15298" w:rsidP="00A15298">
      <w:pPr>
        <w:pStyle w:val="Definition"/>
      </w:pPr>
      <w:r w:rsidRPr="004A5227">
        <w:rPr>
          <w:b/>
          <w:i/>
        </w:rPr>
        <w:t>testing service</w:t>
      </w:r>
      <w:r w:rsidRPr="004A5227">
        <w:t xml:space="preserve"> means a carriage service with which an end</w:t>
      </w:r>
      <w:r w:rsidR="004A5227">
        <w:noBreakHyphen/>
      </w:r>
      <w:r w:rsidRPr="004A5227">
        <w:t>user tests features of a telephone or a carriage service provider’s network.</w:t>
      </w:r>
    </w:p>
    <w:p w:rsidR="00A15298" w:rsidRPr="004A5227" w:rsidRDefault="00A15298" w:rsidP="00A15298">
      <w:pPr>
        <w:pStyle w:val="notetext"/>
      </w:pPr>
      <w:r w:rsidRPr="004A5227">
        <w:t>Example:</w:t>
      </w:r>
      <w:r w:rsidRPr="004A5227">
        <w:tab/>
        <w:t>A demonstration of the different tones used by a carriage service provider’s network (such as a ring tone or busy tone).</w:t>
      </w:r>
    </w:p>
    <w:p w:rsidR="00A15298" w:rsidRPr="004A5227" w:rsidRDefault="00A15298" w:rsidP="00A15298">
      <w:pPr>
        <w:pStyle w:val="Definition"/>
      </w:pPr>
      <w:r w:rsidRPr="004A5227">
        <w:rPr>
          <w:b/>
          <w:i/>
        </w:rPr>
        <w:t>trade</w:t>
      </w:r>
      <w:r w:rsidRPr="004A5227">
        <w:t xml:space="preserve">, for enhanced rights of use for a </w:t>
      </w:r>
      <w:proofErr w:type="spellStart"/>
      <w:r w:rsidRPr="004A5227">
        <w:t>smartnumber</w:t>
      </w:r>
      <w:proofErr w:type="spellEnd"/>
      <w:r w:rsidRPr="004A5227">
        <w:t xml:space="preserve">, means </w:t>
      </w:r>
      <w:r w:rsidR="0091440C" w:rsidRPr="004A5227">
        <w:t>trade (within the ordinary meaning of that expression), license, sell or otherwise</w:t>
      </w:r>
      <w:r w:rsidRPr="004A5227">
        <w:t xml:space="preserve"> deal with the enhanced rights of use attached to the </w:t>
      </w:r>
      <w:proofErr w:type="spellStart"/>
      <w:r w:rsidRPr="004A5227">
        <w:t>smartnumber</w:t>
      </w:r>
      <w:proofErr w:type="spellEnd"/>
      <w:r w:rsidRPr="004A5227">
        <w:t>.</w:t>
      </w:r>
    </w:p>
    <w:p w:rsidR="00F263BA" w:rsidRPr="004A5227" w:rsidRDefault="006722CD" w:rsidP="00FA5ACF">
      <w:pPr>
        <w:pStyle w:val="Definition"/>
      </w:pPr>
      <w:r w:rsidRPr="004A5227">
        <w:rPr>
          <w:b/>
          <w:i/>
        </w:rPr>
        <w:t xml:space="preserve">unassigned unallocated </w:t>
      </w:r>
      <w:proofErr w:type="spellStart"/>
      <w:r w:rsidRPr="004A5227">
        <w:rPr>
          <w:b/>
          <w:i/>
        </w:rPr>
        <w:t>smartnumber</w:t>
      </w:r>
      <w:proofErr w:type="spellEnd"/>
      <w:r w:rsidR="00F263BA" w:rsidRPr="004A5227">
        <w:rPr>
          <w:b/>
          <w:i/>
        </w:rPr>
        <w:t xml:space="preserve"> </w:t>
      </w:r>
      <w:r w:rsidR="00F263BA" w:rsidRPr="004A5227">
        <w:t xml:space="preserve">means a </w:t>
      </w:r>
      <w:proofErr w:type="spellStart"/>
      <w:r w:rsidR="00F263BA" w:rsidRPr="004A5227">
        <w:t>smartnumber</w:t>
      </w:r>
      <w:proofErr w:type="spellEnd"/>
      <w:r w:rsidR="00F263BA" w:rsidRPr="004A5227">
        <w:t xml:space="preserve"> for which there is not an </w:t>
      </w:r>
      <w:proofErr w:type="spellStart"/>
      <w:r w:rsidR="00F263BA" w:rsidRPr="004A5227">
        <w:t>EROU</w:t>
      </w:r>
      <w:proofErr w:type="spellEnd"/>
      <w:r w:rsidR="004A5227">
        <w:noBreakHyphen/>
      </w:r>
      <w:r w:rsidR="00FA5ACF" w:rsidRPr="004A5227">
        <w:t xml:space="preserve">holder </w:t>
      </w:r>
      <w:r w:rsidR="00F263BA" w:rsidRPr="004A5227">
        <w:t>and which is</w:t>
      </w:r>
      <w:r w:rsidR="000039CA" w:rsidRPr="004A5227">
        <w:t xml:space="preserve"> not held by any carriage service provider</w:t>
      </w:r>
      <w:r w:rsidR="00F263BA" w:rsidRPr="004A5227">
        <w:t>.</w:t>
      </w:r>
    </w:p>
    <w:p w:rsidR="00A15298" w:rsidRPr="004A5227" w:rsidRDefault="00A15298" w:rsidP="00A15298">
      <w:pPr>
        <w:pStyle w:val="Definition"/>
      </w:pPr>
      <w:r w:rsidRPr="004A5227">
        <w:rPr>
          <w:b/>
          <w:i/>
        </w:rPr>
        <w:t>virtual private network service</w:t>
      </w:r>
      <w:r w:rsidRPr="004A5227">
        <w:t xml:space="preserve"> means a carriage service with which an end</w:t>
      </w:r>
      <w:r w:rsidR="004A5227">
        <w:noBreakHyphen/>
      </w:r>
      <w:r w:rsidRPr="004A5227">
        <w:t>user can gain access to a virtual private network.</w:t>
      </w:r>
    </w:p>
    <w:p w:rsidR="004A2727" w:rsidRPr="004A5227" w:rsidRDefault="00123D1B" w:rsidP="00CE24F1">
      <w:pPr>
        <w:pStyle w:val="ActHead1"/>
        <w:pageBreakBefore/>
      </w:pPr>
      <w:bookmarkStart w:id="26" w:name="_Toc413419025"/>
      <w:r w:rsidRPr="004A5227">
        <w:rPr>
          <w:rStyle w:val="CharChapNo"/>
        </w:rPr>
        <w:lastRenderedPageBreak/>
        <w:t>Chapter</w:t>
      </w:r>
      <w:r w:rsidR="004A5227" w:rsidRPr="004A5227">
        <w:rPr>
          <w:rStyle w:val="CharChapNo"/>
        </w:rPr>
        <w:t> </w:t>
      </w:r>
      <w:r w:rsidRPr="004A5227">
        <w:rPr>
          <w:rStyle w:val="CharChapNo"/>
        </w:rPr>
        <w:t>2</w:t>
      </w:r>
      <w:r w:rsidRPr="004A5227">
        <w:t>—</w:t>
      </w:r>
      <w:r w:rsidRPr="004A5227">
        <w:rPr>
          <w:rStyle w:val="CharChapText"/>
        </w:rPr>
        <w:t>Numbers for use</w:t>
      </w:r>
      <w:bookmarkEnd w:id="26"/>
    </w:p>
    <w:p w:rsidR="004A2727" w:rsidRPr="004A5227" w:rsidRDefault="004A2727" w:rsidP="002A71A7">
      <w:pPr>
        <w:pStyle w:val="Header"/>
      </w:pPr>
      <w:r w:rsidRPr="004A5227">
        <w:rPr>
          <w:rStyle w:val="CharPartNo"/>
        </w:rPr>
        <w:t xml:space="preserve"> </w:t>
      </w:r>
      <w:r w:rsidRPr="004A5227">
        <w:rPr>
          <w:rStyle w:val="CharPartText"/>
        </w:rPr>
        <w:t xml:space="preserve"> </w:t>
      </w:r>
    </w:p>
    <w:p w:rsidR="002A71A7" w:rsidRPr="004A5227" w:rsidRDefault="002A71A7" w:rsidP="002A71A7">
      <w:pPr>
        <w:pStyle w:val="Header"/>
      </w:pPr>
      <w:r w:rsidRPr="004A5227">
        <w:rPr>
          <w:rStyle w:val="CharDivNo"/>
        </w:rPr>
        <w:t xml:space="preserve"> </w:t>
      </w:r>
      <w:r w:rsidRPr="004A5227">
        <w:rPr>
          <w:rStyle w:val="CharDivText"/>
        </w:rPr>
        <w:t xml:space="preserve"> </w:t>
      </w:r>
    </w:p>
    <w:p w:rsidR="004A2727" w:rsidRPr="004A5227" w:rsidRDefault="00CA6815" w:rsidP="00431827">
      <w:pPr>
        <w:pStyle w:val="ActHead5"/>
      </w:pPr>
      <w:bookmarkStart w:id="27" w:name="_Toc413419026"/>
      <w:r w:rsidRPr="004A5227">
        <w:rPr>
          <w:rStyle w:val="CharSectno"/>
        </w:rPr>
        <w:t>16</w:t>
      </w:r>
      <w:r w:rsidR="00431827" w:rsidRPr="004A5227">
        <w:t xml:space="preserve">  </w:t>
      </w:r>
      <w:r w:rsidR="004A2727" w:rsidRPr="004A5227">
        <w:t>Numbers for use</w:t>
      </w:r>
      <w:r w:rsidR="00431827" w:rsidRPr="004A5227">
        <w:t>—</w:t>
      </w:r>
      <w:r w:rsidR="004A2727" w:rsidRPr="004A5227">
        <w:t>public</w:t>
      </w:r>
      <w:bookmarkEnd w:id="27"/>
    </w:p>
    <w:p w:rsidR="004A2727" w:rsidRPr="004A5227" w:rsidRDefault="004A2727" w:rsidP="00431827">
      <w:pPr>
        <w:pStyle w:val="subsection"/>
      </w:pPr>
      <w:r w:rsidRPr="004A5227">
        <w:tab/>
        <w:t>(1)</w:t>
      </w:r>
      <w:r w:rsidRPr="004A5227">
        <w:tab/>
      </w:r>
      <w:r w:rsidR="004C3E58" w:rsidRPr="004A5227">
        <w:t>For subsection</w:t>
      </w:r>
      <w:r w:rsidR="004A5227" w:rsidRPr="004A5227">
        <w:t> </w:t>
      </w:r>
      <w:r w:rsidR="004C3E58" w:rsidRPr="004A5227">
        <w:t>455(3) of the Act, t</w:t>
      </w:r>
      <w:r w:rsidRPr="004A5227">
        <w:t>he numbers that are for use in connection with the supply of carriage services to the public in Australia are</w:t>
      </w:r>
      <w:r w:rsidR="00123D1B" w:rsidRPr="004A5227">
        <w:t xml:space="preserve"> the following</w:t>
      </w:r>
      <w:r w:rsidRPr="004A5227">
        <w:t>:</w:t>
      </w:r>
    </w:p>
    <w:p w:rsidR="00123D1B" w:rsidRPr="004A5227" w:rsidRDefault="00123D1B" w:rsidP="00431827">
      <w:pPr>
        <w:pStyle w:val="paragraph"/>
      </w:pPr>
      <w:r w:rsidRPr="004A5227">
        <w:tab/>
        <w:t>(a)</w:t>
      </w:r>
      <w:r w:rsidRPr="004A5227">
        <w:tab/>
        <w:t>geographic numbers;</w:t>
      </w:r>
    </w:p>
    <w:p w:rsidR="00123D1B" w:rsidRPr="004A5227" w:rsidRDefault="00123D1B" w:rsidP="00431827">
      <w:pPr>
        <w:pStyle w:val="paragraph"/>
      </w:pPr>
      <w:r w:rsidRPr="004A5227">
        <w:tab/>
        <w:t>(b)</w:t>
      </w:r>
      <w:r w:rsidRPr="004A5227">
        <w:tab/>
      </w:r>
      <w:proofErr w:type="spellStart"/>
      <w:r w:rsidR="008B209C" w:rsidRPr="004A5227">
        <w:t>freephone</w:t>
      </w:r>
      <w:proofErr w:type="spellEnd"/>
      <w:r w:rsidR="008B209C" w:rsidRPr="004A5227">
        <w:t xml:space="preserve"> numbers;</w:t>
      </w:r>
    </w:p>
    <w:p w:rsidR="008B209C" w:rsidRPr="004A5227" w:rsidRDefault="008B209C" w:rsidP="00431827">
      <w:pPr>
        <w:pStyle w:val="paragraph"/>
      </w:pPr>
      <w:r w:rsidRPr="004A5227">
        <w:tab/>
        <w:t>(c)</w:t>
      </w:r>
      <w:r w:rsidRPr="004A5227">
        <w:tab/>
        <w:t>local rate numbers;</w:t>
      </w:r>
    </w:p>
    <w:p w:rsidR="008B209C" w:rsidRPr="004A5227" w:rsidRDefault="008B209C" w:rsidP="00431827">
      <w:pPr>
        <w:pStyle w:val="paragraph"/>
      </w:pPr>
      <w:r w:rsidRPr="004A5227">
        <w:tab/>
        <w:t>(d)</w:t>
      </w:r>
      <w:r w:rsidRPr="004A5227">
        <w:tab/>
        <w:t>premium rate numbers;</w:t>
      </w:r>
    </w:p>
    <w:p w:rsidR="008B209C" w:rsidRPr="004A5227" w:rsidRDefault="008B209C" w:rsidP="00431827">
      <w:pPr>
        <w:pStyle w:val="paragraph"/>
      </w:pPr>
      <w:r w:rsidRPr="004A5227">
        <w:tab/>
        <w:t>(e)</w:t>
      </w:r>
      <w:r w:rsidRPr="004A5227">
        <w:tab/>
        <w:t>emergency service numbers;</w:t>
      </w:r>
    </w:p>
    <w:p w:rsidR="0017435B" w:rsidRPr="004A5227" w:rsidRDefault="008B209C" w:rsidP="00431827">
      <w:pPr>
        <w:pStyle w:val="paragraph"/>
      </w:pPr>
      <w:r w:rsidRPr="004A5227">
        <w:tab/>
        <w:t>(f)</w:t>
      </w:r>
      <w:r w:rsidRPr="004A5227">
        <w:tab/>
        <w:t>special service</w:t>
      </w:r>
      <w:r w:rsidR="007B0413" w:rsidRPr="004A5227">
        <w:t>s</w:t>
      </w:r>
      <w:r w:rsidRPr="004A5227">
        <w:t xml:space="preserve"> numbers</w:t>
      </w:r>
      <w:r w:rsidR="0017435B" w:rsidRPr="004A5227">
        <w:t xml:space="preserve"> specified for use with:</w:t>
      </w:r>
    </w:p>
    <w:p w:rsidR="00A06921" w:rsidRPr="004A5227" w:rsidRDefault="00A06921" w:rsidP="0017435B">
      <w:pPr>
        <w:pStyle w:val="paragraphsub"/>
      </w:pPr>
      <w:r w:rsidRPr="004A5227">
        <w:tab/>
        <w:t>(</w:t>
      </w:r>
      <w:proofErr w:type="spellStart"/>
      <w:r w:rsidRPr="004A5227">
        <w:t>i</w:t>
      </w:r>
      <w:proofErr w:type="spellEnd"/>
      <w:r w:rsidRPr="004A5227">
        <w:t>)</w:t>
      </w:r>
      <w:r w:rsidRPr="004A5227">
        <w:tab/>
        <w:t>a calling card service; or</w:t>
      </w:r>
    </w:p>
    <w:p w:rsidR="00A06921" w:rsidRPr="004A5227" w:rsidRDefault="00A06921" w:rsidP="0017435B">
      <w:pPr>
        <w:pStyle w:val="paragraphsub"/>
      </w:pPr>
      <w:r w:rsidRPr="004A5227">
        <w:tab/>
        <w:t>(ii)</w:t>
      </w:r>
      <w:r w:rsidRPr="004A5227">
        <w:tab/>
        <w:t>a community service; or</w:t>
      </w:r>
    </w:p>
    <w:p w:rsidR="00A06921" w:rsidRPr="004A5227" w:rsidRDefault="00A06921" w:rsidP="00A06921">
      <w:pPr>
        <w:pStyle w:val="paragraphsub"/>
      </w:pPr>
      <w:r w:rsidRPr="004A5227">
        <w:tab/>
        <w:t>(iii)</w:t>
      </w:r>
      <w:r w:rsidRPr="004A5227">
        <w:tab/>
        <w:t>a data network access service; or</w:t>
      </w:r>
    </w:p>
    <w:p w:rsidR="000378FB" w:rsidRPr="004A5227" w:rsidRDefault="000378FB" w:rsidP="0017435B">
      <w:pPr>
        <w:pStyle w:val="paragraphsub"/>
      </w:pPr>
      <w:r w:rsidRPr="004A5227">
        <w:tab/>
        <w:t>(iv)</w:t>
      </w:r>
      <w:r w:rsidRPr="004A5227">
        <w:tab/>
        <w:t>a digital mobile service; or</w:t>
      </w:r>
    </w:p>
    <w:p w:rsidR="00A06921" w:rsidRPr="004A5227" w:rsidRDefault="000378FB" w:rsidP="0017435B">
      <w:pPr>
        <w:pStyle w:val="paragraphsub"/>
      </w:pPr>
      <w:r w:rsidRPr="004A5227">
        <w:tab/>
        <w:t>(</w:t>
      </w:r>
      <w:r w:rsidR="00A06921" w:rsidRPr="004A5227">
        <w:t>v)</w:t>
      </w:r>
      <w:r w:rsidR="00A06921" w:rsidRPr="004A5227">
        <w:tab/>
        <w:t>directory assistance services within the meaning of the Act; or</w:t>
      </w:r>
    </w:p>
    <w:p w:rsidR="00A06921" w:rsidRPr="004A5227" w:rsidRDefault="00A06921" w:rsidP="0017435B">
      <w:pPr>
        <w:pStyle w:val="paragraphsub"/>
      </w:pPr>
      <w:r w:rsidRPr="004A5227">
        <w:tab/>
        <w:t>(vi)</w:t>
      </w:r>
      <w:r w:rsidRPr="004A5227">
        <w:tab/>
        <w:t>a location indepen</w:t>
      </w:r>
      <w:r w:rsidR="00D94548" w:rsidRPr="004A5227">
        <w:t>dent communications service; or</w:t>
      </w:r>
    </w:p>
    <w:p w:rsidR="00D94548" w:rsidRPr="004A5227" w:rsidRDefault="00D94548" w:rsidP="0017435B">
      <w:pPr>
        <w:pStyle w:val="paragraphsub"/>
      </w:pPr>
      <w:r w:rsidRPr="004A5227">
        <w:tab/>
        <w:t>(vii)</w:t>
      </w:r>
      <w:r w:rsidRPr="004A5227">
        <w:tab/>
        <w:t>an operator service (without further specification); or</w:t>
      </w:r>
    </w:p>
    <w:p w:rsidR="00D94548" w:rsidRPr="004A5227" w:rsidRDefault="00D94548" w:rsidP="0017435B">
      <w:pPr>
        <w:pStyle w:val="paragraphsub"/>
      </w:pPr>
      <w:r w:rsidRPr="004A5227">
        <w:tab/>
        <w:t>(viii)</w:t>
      </w:r>
      <w:r w:rsidRPr="004A5227">
        <w:tab/>
        <w:t>a national and international operator call connection service; or</w:t>
      </w:r>
    </w:p>
    <w:p w:rsidR="00A06921" w:rsidRPr="004A5227" w:rsidRDefault="00A06921" w:rsidP="0017435B">
      <w:pPr>
        <w:pStyle w:val="paragraphsub"/>
      </w:pPr>
      <w:r w:rsidRPr="004A5227">
        <w:tab/>
        <w:t>(</w:t>
      </w:r>
      <w:r w:rsidR="00D94548" w:rsidRPr="004A5227">
        <w:t>ix</w:t>
      </w:r>
      <w:r w:rsidRPr="004A5227">
        <w:t>)</w:t>
      </w:r>
      <w:r w:rsidRPr="004A5227">
        <w:tab/>
        <w:t>a paging service; or</w:t>
      </w:r>
    </w:p>
    <w:p w:rsidR="00D8326F" w:rsidRPr="004A5227" w:rsidRDefault="00D94548" w:rsidP="00A06921">
      <w:pPr>
        <w:pStyle w:val="paragraphsub"/>
      </w:pPr>
      <w:r w:rsidRPr="004A5227">
        <w:tab/>
        <w:t>(</w:t>
      </w:r>
      <w:r w:rsidR="00A06921" w:rsidRPr="004A5227">
        <w:t>x</w:t>
      </w:r>
      <w:r w:rsidR="0017435B" w:rsidRPr="004A5227">
        <w:t>)</w:t>
      </w:r>
      <w:r w:rsidR="0017435B" w:rsidRPr="004A5227">
        <w:tab/>
      </w:r>
      <w:r w:rsidR="00D8326F" w:rsidRPr="004A5227">
        <w:t>a satellite</w:t>
      </w:r>
      <w:r w:rsidR="00A06921" w:rsidRPr="004A5227">
        <w:t xml:space="preserve"> telephone service;</w:t>
      </w:r>
    </w:p>
    <w:p w:rsidR="008B209C" w:rsidRPr="004A5227" w:rsidRDefault="008B209C" w:rsidP="008B209C">
      <w:pPr>
        <w:pStyle w:val="paragraph"/>
      </w:pPr>
      <w:r w:rsidRPr="004A5227">
        <w:tab/>
      </w:r>
      <w:r w:rsidR="00D94548" w:rsidRPr="004A5227">
        <w:t>(g)</w:t>
      </w:r>
      <w:r w:rsidR="00D94548" w:rsidRPr="004A5227">
        <w:tab/>
      </w:r>
      <w:r w:rsidRPr="004A5227">
        <w:t>access codes;</w:t>
      </w:r>
    </w:p>
    <w:p w:rsidR="008B209C" w:rsidRPr="004A5227" w:rsidRDefault="00D94548" w:rsidP="008B209C">
      <w:pPr>
        <w:pStyle w:val="paragraph"/>
      </w:pPr>
      <w:r w:rsidRPr="004A5227">
        <w:tab/>
        <w:t>(</w:t>
      </w:r>
      <w:r w:rsidR="00F875F0" w:rsidRPr="004A5227">
        <w:t>h</w:t>
      </w:r>
      <w:r w:rsidR="008B209C" w:rsidRPr="004A5227">
        <w:t>)</w:t>
      </w:r>
      <w:r w:rsidR="008B209C" w:rsidRPr="004A5227">
        <w:tab/>
      </w:r>
      <w:r w:rsidR="00A24395" w:rsidRPr="004A5227">
        <w:t>international numbers;</w:t>
      </w:r>
    </w:p>
    <w:p w:rsidR="00A24395" w:rsidRPr="004A5227" w:rsidRDefault="00F875F0" w:rsidP="008B209C">
      <w:pPr>
        <w:pStyle w:val="paragraph"/>
      </w:pPr>
      <w:r w:rsidRPr="004A5227">
        <w:tab/>
        <w:t>(</w:t>
      </w:r>
      <w:proofErr w:type="spellStart"/>
      <w:r w:rsidRPr="004A5227">
        <w:t>i</w:t>
      </w:r>
      <w:proofErr w:type="spellEnd"/>
      <w:r w:rsidR="0017435B" w:rsidRPr="004A5227">
        <w:t>)</w:t>
      </w:r>
      <w:r w:rsidR="0017435B" w:rsidRPr="004A5227">
        <w:tab/>
        <w:t>private numbers;</w:t>
      </w:r>
    </w:p>
    <w:p w:rsidR="006E2DFF" w:rsidRPr="004A5227" w:rsidRDefault="006E2DFF" w:rsidP="008B209C">
      <w:pPr>
        <w:pStyle w:val="paragraph"/>
      </w:pPr>
      <w:r w:rsidRPr="004A5227">
        <w:tab/>
        <w:t>(</w:t>
      </w:r>
      <w:r w:rsidR="00F875F0" w:rsidRPr="004A5227">
        <w:t>j</w:t>
      </w:r>
      <w:r w:rsidRPr="004A5227">
        <w:t>)</w:t>
      </w:r>
      <w:r w:rsidRPr="004A5227">
        <w:tab/>
        <w:t>international signalling point codes;</w:t>
      </w:r>
    </w:p>
    <w:p w:rsidR="006E2DFF" w:rsidRPr="004A5227" w:rsidRDefault="00F875F0" w:rsidP="008B209C">
      <w:pPr>
        <w:pStyle w:val="paragraph"/>
      </w:pPr>
      <w:r w:rsidRPr="004A5227">
        <w:tab/>
        <w:t>(k</w:t>
      </w:r>
      <w:r w:rsidR="006E2DFF" w:rsidRPr="004A5227">
        <w:t>)</w:t>
      </w:r>
      <w:r w:rsidR="006E2DFF" w:rsidRPr="004A5227">
        <w:tab/>
        <w:t>mobile network codes.</w:t>
      </w:r>
    </w:p>
    <w:p w:rsidR="004C3E58" w:rsidRPr="004A5227" w:rsidRDefault="00C81205" w:rsidP="00A24395">
      <w:pPr>
        <w:pStyle w:val="notetext"/>
      </w:pPr>
      <w:r w:rsidRPr="004A5227">
        <w:t>Note:</w:t>
      </w:r>
      <w:r w:rsidRPr="004A5227">
        <w:tab/>
        <w:t xml:space="preserve">For </w:t>
      </w:r>
      <w:r w:rsidR="004A5227" w:rsidRPr="004A5227">
        <w:t>paragraph (</w:t>
      </w:r>
      <w:r w:rsidRPr="004A5227">
        <w:t xml:space="preserve">f), the </w:t>
      </w:r>
      <w:r w:rsidR="00D94548" w:rsidRPr="004A5227">
        <w:t xml:space="preserve">kinds of services excluded </w:t>
      </w:r>
      <w:r w:rsidRPr="004A5227">
        <w:t>do not meet the definition in section</w:t>
      </w:r>
      <w:r w:rsidR="004A5227" w:rsidRPr="004A5227">
        <w:t> </w:t>
      </w:r>
      <w:r w:rsidRPr="004A5227">
        <w:t>456 of the Act of the circumstances in which a carriage service is taken to be supplied to the public.</w:t>
      </w:r>
    </w:p>
    <w:p w:rsidR="004A2727" w:rsidRPr="004A5227" w:rsidRDefault="004C3E58" w:rsidP="00C81205">
      <w:pPr>
        <w:pStyle w:val="subsection"/>
      </w:pPr>
      <w:r w:rsidRPr="004A5227">
        <w:tab/>
      </w:r>
      <w:r w:rsidR="004A2727" w:rsidRPr="004A5227">
        <w:t>(2)</w:t>
      </w:r>
      <w:r w:rsidR="004A2727" w:rsidRPr="004A5227">
        <w:tab/>
        <w:t>No other number may be used in connection with the supply of carriage services to the public in Australia.</w:t>
      </w:r>
    </w:p>
    <w:p w:rsidR="000C2527" w:rsidRPr="004A5227" w:rsidRDefault="00CA6815" w:rsidP="000C2527">
      <w:pPr>
        <w:pStyle w:val="ActHead5"/>
      </w:pPr>
      <w:bookmarkStart w:id="28" w:name="_Toc413419027"/>
      <w:r w:rsidRPr="004A5227">
        <w:rPr>
          <w:rStyle w:val="CharSectno"/>
        </w:rPr>
        <w:t>17</w:t>
      </w:r>
      <w:r w:rsidR="000C2527" w:rsidRPr="004A5227">
        <w:t xml:space="preserve">  Numbers for use—non</w:t>
      </w:r>
      <w:r w:rsidR="004A5227">
        <w:noBreakHyphen/>
      </w:r>
      <w:r w:rsidR="000C2527" w:rsidRPr="004A5227">
        <w:t>public</w:t>
      </w:r>
      <w:bookmarkEnd w:id="28"/>
    </w:p>
    <w:p w:rsidR="000C2527" w:rsidRPr="004A5227" w:rsidRDefault="00E76272" w:rsidP="00E76272">
      <w:pPr>
        <w:pStyle w:val="subsection"/>
      </w:pPr>
      <w:r w:rsidRPr="004A5227">
        <w:tab/>
      </w:r>
      <w:r w:rsidR="000C2527" w:rsidRPr="004A5227">
        <w:tab/>
      </w:r>
      <w:r w:rsidRPr="004A5227">
        <w:t>N</w:t>
      </w:r>
      <w:r w:rsidR="000C2527" w:rsidRPr="004A5227">
        <w:t xml:space="preserve">umbers </w:t>
      </w:r>
      <w:r w:rsidRPr="004A5227">
        <w:t xml:space="preserve">that are not </w:t>
      </w:r>
      <w:r w:rsidR="00022551" w:rsidRPr="004A5227">
        <w:t xml:space="preserve">referred to in </w:t>
      </w:r>
      <w:r w:rsidRPr="004A5227">
        <w:t>section</w:t>
      </w:r>
      <w:r w:rsidR="004A5227" w:rsidRPr="004A5227">
        <w:t> </w:t>
      </w:r>
      <w:r w:rsidR="00CA6815" w:rsidRPr="004A5227">
        <w:t>16</w:t>
      </w:r>
      <w:r w:rsidRPr="004A5227">
        <w:t xml:space="preserve"> but are otherwise referred to in </w:t>
      </w:r>
      <w:r w:rsidR="006F7CD2" w:rsidRPr="004A5227">
        <w:t>this instrument</w:t>
      </w:r>
      <w:r w:rsidR="00022551" w:rsidRPr="004A5227">
        <w:t xml:space="preserve">, </w:t>
      </w:r>
      <w:r w:rsidR="000C2527" w:rsidRPr="004A5227">
        <w:t xml:space="preserve">and numbers that are not specified in </w:t>
      </w:r>
      <w:r w:rsidR="006F7CD2" w:rsidRPr="004A5227">
        <w:t>this instrument</w:t>
      </w:r>
      <w:r w:rsidR="00022551" w:rsidRPr="004A5227">
        <w:t>,</w:t>
      </w:r>
      <w:r w:rsidR="000C2527" w:rsidRPr="004A5227">
        <w:t xml:space="preserve"> may be used in connection with the supply of carriage services other than to the public.</w:t>
      </w:r>
    </w:p>
    <w:p w:rsidR="004C3E58" w:rsidRPr="004A5227" w:rsidRDefault="004C3E58" w:rsidP="004C3E58">
      <w:pPr>
        <w:pStyle w:val="ActHead1"/>
        <w:pageBreakBefore/>
      </w:pPr>
      <w:bookmarkStart w:id="29" w:name="_Toc413419028"/>
      <w:r w:rsidRPr="004A5227">
        <w:rPr>
          <w:rStyle w:val="CharChapNo"/>
        </w:rPr>
        <w:lastRenderedPageBreak/>
        <w:t>Chapter</w:t>
      </w:r>
      <w:r w:rsidR="004A5227" w:rsidRPr="004A5227">
        <w:rPr>
          <w:rStyle w:val="CharChapNo"/>
        </w:rPr>
        <w:t> </w:t>
      </w:r>
      <w:r w:rsidRPr="004A5227">
        <w:rPr>
          <w:rStyle w:val="CharChapNo"/>
        </w:rPr>
        <w:t>3</w:t>
      </w:r>
      <w:r w:rsidRPr="004A5227">
        <w:t>—</w:t>
      </w:r>
      <w:r w:rsidRPr="004A5227">
        <w:rPr>
          <w:rStyle w:val="CharChapText"/>
        </w:rPr>
        <w:t>Specification of telephone numbers</w:t>
      </w:r>
      <w:bookmarkEnd w:id="29"/>
    </w:p>
    <w:p w:rsidR="004C3E58" w:rsidRPr="004A5227" w:rsidRDefault="004C3E58" w:rsidP="004C3E58">
      <w:pPr>
        <w:pStyle w:val="ActHead2"/>
      </w:pPr>
      <w:bookmarkStart w:id="30" w:name="_Toc413419029"/>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Geographic numbers</w:t>
      </w:r>
      <w:bookmarkEnd w:id="30"/>
    </w:p>
    <w:p w:rsidR="00E73746" w:rsidRPr="004A5227" w:rsidRDefault="00E73746" w:rsidP="00E73746">
      <w:pPr>
        <w:pStyle w:val="Header"/>
      </w:pPr>
      <w:r w:rsidRPr="004A5227">
        <w:rPr>
          <w:rStyle w:val="CharDivNo"/>
        </w:rPr>
        <w:t xml:space="preserve"> </w:t>
      </w:r>
      <w:r w:rsidRPr="004A5227">
        <w:rPr>
          <w:rStyle w:val="CharDivText"/>
        </w:rPr>
        <w:t xml:space="preserve"> </w:t>
      </w:r>
    </w:p>
    <w:p w:rsidR="004C3E58" w:rsidRPr="004A5227" w:rsidRDefault="00CA6815" w:rsidP="004C3E58">
      <w:pPr>
        <w:pStyle w:val="ActHead5"/>
      </w:pPr>
      <w:bookmarkStart w:id="31" w:name="_Toc413419030"/>
      <w:r w:rsidRPr="004A5227">
        <w:rPr>
          <w:rStyle w:val="CharSectno"/>
        </w:rPr>
        <w:t>18</w:t>
      </w:r>
      <w:r w:rsidR="004C3E58" w:rsidRPr="004A5227">
        <w:t xml:space="preserve">  Definition of </w:t>
      </w:r>
      <w:r w:rsidR="004C3E58" w:rsidRPr="004A5227">
        <w:rPr>
          <w:i/>
        </w:rPr>
        <w:t>geographic number</w:t>
      </w:r>
      <w:bookmarkEnd w:id="31"/>
    </w:p>
    <w:p w:rsidR="004C3E58" w:rsidRPr="004A5227" w:rsidRDefault="004C3E58" w:rsidP="004C3E58">
      <w:pPr>
        <w:pStyle w:val="subsection"/>
      </w:pPr>
      <w:r w:rsidRPr="004A5227">
        <w:tab/>
      </w:r>
      <w:r w:rsidRPr="004A5227">
        <w:tab/>
        <w:t xml:space="preserve">A </w:t>
      </w:r>
      <w:r w:rsidRPr="004A5227">
        <w:rPr>
          <w:b/>
          <w:i/>
        </w:rPr>
        <w:t>geographic number</w:t>
      </w:r>
      <w:r w:rsidRPr="004A5227">
        <w:t xml:space="preserve"> is a 10</w:t>
      </w:r>
      <w:r w:rsidR="004A5227">
        <w:noBreakHyphen/>
      </w:r>
      <w:r w:rsidRPr="004A5227">
        <w:t>digit number with the following components:</w:t>
      </w:r>
    </w:p>
    <w:p w:rsidR="004C3E58" w:rsidRPr="004A5227" w:rsidRDefault="004C3E58" w:rsidP="004C3E58">
      <w:pPr>
        <w:pStyle w:val="paragraph"/>
      </w:pPr>
      <w:r w:rsidRPr="004A5227">
        <w:tab/>
        <w:t>(a)</w:t>
      </w:r>
      <w:r w:rsidRPr="004A5227">
        <w:tab/>
        <w:t>a 2</w:t>
      </w:r>
      <w:r w:rsidR="004A5227">
        <w:noBreakHyphen/>
      </w:r>
      <w:r w:rsidRPr="004A5227">
        <w:t xml:space="preserve">digit </w:t>
      </w:r>
      <w:r w:rsidRPr="004A5227">
        <w:rPr>
          <w:b/>
          <w:i/>
        </w:rPr>
        <w:t>area code</w:t>
      </w:r>
      <w:r w:rsidRPr="004A5227">
        <w:t xml:space="preserve"> set out in column 1 of an item in a table in Schedule</w:t>
      </w:r>
      <w:r w:rsidR="004A5227" w:rsidRPr="004A5227">
        <w:t> </w:t>
      </w:r>
      <w:r w:rsidR="00790A2E" w:rsidRPr="004A5227">
        <w:t>1</w:t>
      </w:r>
      <w:r w:rsidRPr="004A5227">
        <w:t>;</w:t>
      </w:r>
    </w:p>
    <w:p w:rsidR="004C3E58" w:rsidRPr="004A5227" w:rsidRDefault="004C3E58" w:rsidP="004C3E58">
      <w:pPr>
        <w:pStyle w:val="paragraph"/>
      </w:pPr>
      <w:r w:rsidRPr="004A5227">
        <w:tab/>
        <w:t>(b)</w:t>
      </w:r>
      <w:r w:rsidRPr="004A5227">
        <w:tab/>
        <w:t>an 8</w:t>
      </w:r>
      <w:r w:rsidR="004A5227">
        <w:noBreakHyphen/>
      </w:r>
      <w:r w:rsidRPr="004A5227">
        <w:t xml:space="preserve">digit </w:t>
      </w:r>
      <w:r w:rsidRPr="004A5227">
        <w:rPr>
          <w:b/>
          <w:i/>
        </w:rPr>
        <w:t>local number</w:t>
      </w:r>
      <w:r w:rsidRPr="004A5227">
        <w:t xml:space="preserve"> beginning with the digit or digits listed in the item after the area code</w:t>
      </w:r>
      <w:r w:rsidR="00D709C7" w:rsidRPr="004A5227">
        <w:t>.</w:t>
      </w:r>
    </w:p>
    <w:p w:rsidR="004C3E58" w:rsidRPr="004A5227" w:rsidRDefault="00CA6815" w:rsidP="004C3E58">
      <w:pPr>
        <w:pStyle w:val="ActHead5"/>
      </w:pPr>
      <w:bookmarkStart w:id="32" w:name="_Toc413419031"/>
      <w:r w:rsidRPr="004A5227">
        <w:rPr>
          <w:rStyle w:val="CharSectno"/>
        </w:rPr>
        <w:t>19</w:t>
      </w:r>
      <w:r w:rsidR="004C3E58" w:rsidRPr="004A5227">
        <w:t xml:space="preserve">  Use of geographic numbers</w:t>
      </w:r>
      <w:bookmarkEnd w:id="32"/>
    </w:p>
    <w:p w:rsidR="004C3E58" w:rsidRPr="004A5227" w:rsidRDefault="004C3E58" w:rsidP="004C3E58">
      <w:pPr>
        <w:pStyle w:val="subsection"/>
      </w:pPr>
      <w:r w:rsidRPr="004A5227">
        <w:tab/>
        <w:t>(1)</w:t>
      </w:r>
      <w:r w:rsidRPr="004A5227">
        <w:tab/>
        <w:t>A geographic number may be used only in connection with the supply of a local service or a location independent communications service.</w:t>
      </w:r>
    </w:p>
    <w:p w:rsidR="004C3E58" w:rsidRPr="004A5227" w:rsidRDefault="004C3E58" w:rsidP="004C3E58">
      <w:pPr>
        <w:pStyle w:val="subsection"/>
      </w:pPr>
      <w:r w:rsidRPr="004A5227">
        <w:tab/>
        <w:t>(2)</w:t>
      </w:r>
      <w:r w:rsidRPr="004A5227">
        <w:tab/>
        <w:t>This section does not prevent a number other than a geographic number being used in connection with the supply of those services.</w:t>
      </w:r>
    </w:p>
    <w:p w:rsidR="004C3E58" w:rsidRPr="004A5227" w:rsidRDefault="004C3E58" w:rsidP="004C3E58">
      <w:pPr>
        <w:pStyle w:val="subsection"/>
      </w:pPr>
      <w:r w:rsidRPr="004A5227">
        <w:tab/>
        <w:t>(3)</w:t>
      </w:r>
      <w:r w:rsidRPr="004A5227">
        <w:tab/>
        <w:t>A geographic number allocated to a standard zone unit must only be used in connection with the supply of a carriage service:</w:t>
      </w:r>
    </w:p>
    <w:p w:rsidR="004C3E58" w:rsidRPr="004A5227" w:rsidRDefault="004C3E58" w:rsidP="004C3E58">
      <w:pPr>
        <w:pStyle w:val="paragraph"/>
      </w:pPr>
      <w:r w:rsidRPr="004A5227">
        <w:tab/>
        <w:t>(a)</w:t>
      </w:r>
      <w:r w:rsidRPr="004A5227">
        <w:tab/>
        <w:t>that terminates calls to the number at a location in the standard zone unit; or</w:t>
      </w:r>
    </w:p>
    <w:p w:rsidR="004C3E58" w:rsidRPr="004A5227" w:rsidRDefault="004C3E58" w:rsidP="004C3E58">
      <w:pPr>
        <w:pStyle w:val="paragraph"/>
      </w:pPr>
      <w:r w:rsidRPr="004A5227">
        <w:tab/>
        <w:t>(b)</w:t>
      </w:r>
      <w:r w:rsidRPr="004A5227">
        <w:tab/>
        <w:t>for which the call charge for the calls is worked out as if the calls were terminated at a location in the standard zone unit.</w:t>
      </w:r>
    </w:p>
    <w:p w:rsidR="004C3E58" w:rsidRPr="004A5227" w:rsidRDefault="004C3E58" w:rsidP="004C3E58">
      <w:pPr>
        <w:pStyle w:val="notetext"/>
      </w:pPr>
      <w:r w:rsidRPr="004A5227">
        <w:t>Note:</w:t>
      </w:r>
      <w:r w:rsidRPr="004A5227">
        <w:tab/>
        <w:t>A carriage service provider generally relies on information contained in a geographic number to find out the location of the service being called for the purpose of working out the charge for a call. Part</w:t>
      </w:r>
      <w:r w:rsidR="004A5227" w:rsidRPr="004A5227">
        <w:t> </w:t>
      </w:r>
      <w:r w:rsidRPr="004A5227">
        <w:t xml:space="preserve">4 of the </w:t>
      </w:r>
      <w:r w:rsidRPr="004A5227">
        <w:rPr>
          <w:i/>
        </w:rPr>
        <w:t>Telecommunications (Consumer Protection and Service Standards) Act 1999</w:t>
      </w:r>
      <w:r w:rsidRPr="004A5227">
        <w:t xml:space="preserve"> contains requirements about charging for local calls.</w:t>
      </w:r>
    </w:p>
    <w:p w:rsidR="003A3BB2" w:rsidRPr="004A5227" w:rsidRDefault="003A3BB2" w:rsidP="003A3BB2">
      <w:pPr>
        <w:pStyle w:val="subsection"/>
      </w:pPr>
      <w:r w:rsidRPr="004A5227">
        <w:tab/>
        <w:t>(4)</w:t>
      </w:r>
      <w:r w:rsidRPr="004A5227">
        <w:tab/>
        <w:t xml:space="preserve">A geographic number is </w:t>
      </w:r>
      <w:r w:rsidRPr="004A5227">
        <w:rPr>
          <w:b/>
          <w:i/>
        </w:rPr>
        <w:t>specified for use</w:t>
      </w:r>
      <w:r w:rsidRPr="004A5227">
        <w:t xml:space="preserve"> in relation to a standard zone unit if the standard zone unit is:</w:t>
      </w:r>
    </w:p>
    <w:p w:rsidR="003A3BB2" w:rsidRPr="004A5227" w:rsidRDefault="003A3BB2" w:rsidP="003A3BB2">
      <w:pPr>
        <w:pStyle w:val="paragraph"/>
      </w:pPr>
      <w:r w:rsidRPr="004A5227">
        <w:tab/>
        <w:t>(a)</w:t>
      </w:r>
      <w:r w:rsidRPr="004A5227">
        <w:tab/>
        <w:t>mentioned for the number in column 2 of Schedule</w:t>
      </w:r>
      <w:r w:rsidR="004A5227" w:rsidRPr="004A5227">
        <w:t> </w:t>
      </w:r>
      <w:r w:rsidR="00790A2E" w:rsidRPr="004A5227">
        <w:t>1</w:t>
      </w:r>
      <w:r w:rsidRPr="004A5227">
        <w:t>; or</w:t>
      </w:r>
    </w:p>
    <w:p w:rsidR="003A3BB2" w:rsidRPr="004A5227" w:rsidRDefault="003A3BB2" w:rsidP="003A3BB2">
      <w:pPr>
        <w:pStyle w:val="paragraph"/>
      </w:pPr>
      <w:r w:rsidRPr="004A5227">
        <w:tab/>
        <w:t>(b)</w:t>
      </w:r>
      <w:r w:rsidRPr="004A5227">
        <w:tab/>
        <w:t>included in a charging district mentioned for the number in column 2 of Schedule</w:t>
      </w:r>
      <w:r w:rsidR="004A5227" w:rsidRPr="004A5227">
        <w:t> </w:t>
      </w:r>
      <w:r w:rsidR="00790A2E" w:rsidRPr="004A5227">
        <w:t>1</w:t>
      </w:r>
      <w:r w:rsidRPr="004A5227">
        <w:t>.</w:t>
      </w:r>
    </w:p>
    <w:p w:rsidR="004C3E58" w:rsidRPr="004A5227" w:rsidRDefault="004C3E58" w:rsidP="004C3E58">
      <w:pPr>
        <w:pStyle w:val="subsection"/>
      </w:pPr>
      <w:r w:rsidRPr="004A5227">
        <w:tab/>
        <w:t>(</w:t>
      </w:r>
      <w:r w:rsidR="003A3BB2" w:rsidRPr="004A5227">
        <w:t>5</w:t>
      </w:r>
      <w:r w:rsidRPr="004A5227">
        <w:t>)</w:t>
      </w:r>
      <w:r w:rsidRPr="004A5227">
        <w:tab/>
        <w:t>Geographic numbers must be used in connection with the supply of carriage services in a way consistent, as far as practicable, with the existing patterns of use, including patterns corresponding to areas where geographic numbers with the same first 6 digits have been issued.</w:t>
      </w:r>
    </w:p>
    <w:p w:rsidR="004C3E58" w:rsidRPr="004A5227" w:rsidRDefault="00CA6815" w:rsidP="004C3E58">
      <w:pPr>
        <w:pStyle w:val="ActHead5"/>
      </w:pPr>
      <w:bookmarkStart w:id="33" w:name="_Toc413419032"/>
      <w:r w:rsidRPr="004A5227">
        <w:rPr>
          <w:rStyle w:val="CharSectno"/>
        </w:rPr>
        <w:t>20</w:t>
      </w:r>
      <w:r w:rsidR="004C3E58" w:rsidRPr="004A5227">
        <w:t xml:space="preserve">  Notice of geographic number that may terminate in different locality</w:t>
      </w:r>
      <w:bookmarkEnd w:id="33"/>
    </w:p>
    <w:p w:rsidR="004C3E58" w:rsidRPr="004A5227" w:rsidRDefault="004C3E58" w:rsidP="004C3E58">
      <w:pPr>
        <w:pStyle w:val="subsection"/>
      </w:pPr>
      <w:r w:rsidRPr="004A5227">
        <w:tab/>
        <w:t>(1)</w:t>
      </w:r>
      <w:r w:rsidRPr="004A5227">
        <w:tab/>
        <w:t>This section applies to a carriage service provider if:</w:t>
      </w:r>
    </w:p>
    <w:p w:rsidR="004C3E58" w:rsidRPr="004A5227" w:rsidRDefault="004C3E58" w:rsidP="004C3E58">
      <w:pPr>
        <w:pStyle w:val="paragraph"/>
      </w:pPr>
      <w:r w:rsidRPr="004A5227">
        <w:tab/>
        <w:t>(a)</w:t>
      </w:r>
      <w:r w:rsidRPr="004A5227">
        <w:tab/>
        <w:t>the carriage service provider offers to supply a local service or location independent communications service using a geographic number; and</w:t>
      </w:r>
    </w:p>
    <w:p w:rsidR="004C3E58" w:rsidRPr="004A5227" w:rsidRDefault="004C3E58" w:rsidP="004C3E58">
      <w:pPr>
        <w:pStyle w:val="paragraph"/>
      </w:pPr>
      <w:r w:rsidRPr="004A5227">
        <w:tab/>
        <w:t>(b)</w:t>
      </w:r>
      <w:r w:rsidRPr="004A5227">
        <w:tab/>
        <w:t>calls made to the service may not terminate in the standard zone unit for which the number is allocated; and</w:t>
      </w:r>
    </w:p>
    <w:p w:rsidR="004C3E58" w:rsidRPr="004A5227" w:rsidRDefault="004C3E58" w:rsidP="004C3E58">
      <w:pPr>
        <w:pStyle w:val="paragraph"/>
      </w:pPr>
      <w:r w:rsidRPr="004A5227">
        <w:tab/>
        <w:t>(c)</w:t>
      </w:r>
      <w:r w:rsidRPr="004A5227">
        <w:tab/>
        <w:t xml:space="preserve">there is not a registered industry code that applies to the carriage service provider setting out the information that must be provided to a potential </w:t>
      </w:r>
      <w:r w:rsidRPr="004A5227">
        <w:lastRenderedPageBreak/>
        <w:t>customer in relation to the use of a geographic number for services provided at a location outside of the standard zone unit for which the number was allocated.</w:t>
      </w:r>
    </w:p>
    <w:p w:rsidR="004C3E58" w:rsidRPr="004A5227" w:rsidRDefault="004C3E58" w:rsidP="004C3E58">
      <w:pPr>
        <w:pStyle w:val="subsection"/>
      </w:pPr>
      <w:r w:rsidRPr="004A5227">
        <w:tab/>
        <w:t>(2)</w:t>
      </w:r>
      <w:r w:rsidRPr="004A5227">
        <w:tab/>
        <w:t>The carriage service provider must, at the time of offering to supply the service, give written notice to all potential customers that:</w:t>
      </w:r>
    </w:p>
    <w:p w:rsidR="004C3E58" w:rsidRPr="004A5227" w:rsidRDefault="004C3E58" w:rsidP="004C3E58">
      <w:pPr>
        <w:pStyle w:val="paragraph"/>
      </w:pPr>
      <w:r w:rsidRPr="004A5227">
        <w:tab/>
        <w:t>(a)</w:t>
      </w:r>
      <w:r w:rsidRPr="004A5227">
        <w:tab/>
        <w:t>if the customer is located outside the standard zone unit for which the geographic number issued to the customer was allocated, calls to the number will be charged as if the customer was located within the standard zone unit; and</w:t>
      </w:r>
    </w:p>
    <w:p w:rsidR="004C3E58" w:rsidRPr="004A5227" w:rsidRDefault="004C3E58" w:rsidP="004C3E58">
      <w:pPr>
        <w:pStyle w:val="paragraph"/>
      </w:pPr>
      <w:r w:rsidRPr="004A5227">
        <w:tab/>
        <w:t>(b)</w:t>
      </w:r>
      <w:r w:rsidRPr="004A5227">
        <w:tab/>
        <w:t>the customer may not be able to port the number to another carriage service provider.</w:t>
      </w:r>
    </w:p>
    <w:p w:rsidR="004C3E58" w:rsidRPr="004A5227" w:rsidRDefault="004C3E58" w:rsidP="004C3E58">
      <w:pPr>
        <w:pStyle w:val="subsection"/>
      </w:pPr>
      <w:r w:rsidRPr="004A5227">
        <w:tab/>
        <w:t>(3)</w:t>
      </w:r>
      <w:r w:rsidRPr="004A5227">
        <w:tab/>
        <w:t xml:space="preserve">If the internet is used to make the offer, the carriage service provider must ensure that the notice under </w:t>
      </w:r>
      <w:r w:rsidR="004A5227" w:rsidRPr="004A5227">
        <w:t>subsection (</w:t>
      </w:r>
      <w:r w:rsidRPr="004A5227">
        <w:t>2) is prominently displayed on the primary webpage used to make the offer in legible text with a font size of at least 10 points, written in plain English.</w:t>
      </w:r>
    </w:p>
    <w:p w:rsidR="004C3E58" w:rsidRPr="004A5227" w:rsidRDefault="004C3E58" w:rsidP="004C3E58">
      <w:pPr>
        <w:pStyle w:val="subsection"/>
      </w:pPr>
      <w:r w:rsidRPr="004A5227">
        <w:tab/>
        <w:t>(4)</w:t>
      </w:r>
      <w:r w:rsidRPr="004A5227">
        <w:tab/>
        <w:t>At the time of entering into an arrangement with a customer for supply of the service, the carriage service provider must obtain an acknowledgement from the customer that the customer understands the service may be limited as described in the notice.</w:t>
      </w:r>
    </w:p>
    <w:p w:rsidR="004C3E58" w:rsidRPr="004A5227" w:rsidRDefault="00CA6815" w:rsidP="004C3E58">
      <w:pPr>
        <w:pStyle w:val="ActHead5"/>
      </w:pPr>
      <w:bookmarkStart w:id="34" w:name="_Toc413419033"/>
      <w:r w:rsidRPr="004A5227">
        <w:rPr>
          <w:rStyle w:val="CharSectno"/>
        </w:rPr>
        <w:t>21</w:t>
      </w:r>
      <w:r w:rsidR="004C3E58" w:rsidRPr="004A5227">
        <w:t xml:space="preserve">  Use of local numbers</w:t>
      </w:r>
      <w:bookmarkEnd w:id="34"/>
    </w:p>
    <w:p w:rsidR="004C3E58" w:rsidRPr="004A5227" w:rsidRDefault="004C3E58" w:rsidP="00A82C0A">
      <w:pPr>
        <w:pStyle w:val="subsection"/>
      </w:pPr>
      <w:r w:rsidRPr="004A5227">
        <w:tab/>
      </w:r>
      <w:r w:rsidRPr="004A5227">
        <w:tab/>
        <w:t xml:space="preserve">If a local number is dialled from a </w:t>
      </w:r>
      <w:r w:rsidR="00A24395" w:rsidRPr="004A5227">
        <w:t>c</w:t>
      </w:r>
      <w:r w:rsidR="00A82C0A" w:rsidRPr="004A5227">
        <w:t>arriage service supplied using a geographic number</w:t>
      </w:r>
      <w:r w:rsidRPr="004A5227">
        <w:t xml:space="preserve"> (the </w:t>
      </w:r>
      <w:r w:rsidRPr="004A5227">
        <w:rPr>
          <w:b/>
          <w:i/>
        </w:rPr>
        <w:t>originating service</w:t>
      </w:r>
      <w:r w:rsidRPr="004A5227">
        <w:t>), the originating access carriage service provider for the call must treat the local number as if it were a geographic number having the same area code as the area c</w:t>
      </w:r>
      <w:r w:rsidR="00A82C0A" w:rsidRPr="004A5227">
        <w:t>ode of the originating service.</w:t>
      </w:r>
    </w:p>
    <w:p w:rsidR="006C3438" w:rsidRPr="004A5227" w:rsidRDefault="006C3438" w:rsidP="006C3438">
      <w:pPr>
        <w:pStyle w:val="ActHead2"/>
        <w:pageBreakBefore/>
      </w:pPr>
      <w:bookmarkStart w:id="35" w:name="_Toc413419034"/>
      <w:r w:rsidRPr="004A5227">
        <w:rPr>
          <w:rStyle w:val="CharPartNo"/>
        </w:rPr>
        <w:lastRenderedPageBreak/>
        <w:t>Part</w:t>
      </w:r>
      <w:r w:rsidR="004A5227" w:rsidRPr="004A5227">
        <w:rPr>
          <w:rStyle w:val="CharPartNo"/>
        </w:rPr>
        <w:t> </w:t>
      </w:r>
      <w:r w:rsidRPr="004A5227">
        <w:rPr>
          <w:rStyle w:val="CharPartNo"/>
        </w:rPr>
        <w:t>2</w:t>
      </w:r>
      <w:r w:rsidRPr="004A5227">
        <w:t>—</w:t>
      </w:r>
      <w:proofErr w:type="spellStart"/>
      <w:r w:rsidRPr="004A5227">
        <w:rPr>
          <w:rStyle w:val="CharPartText"/>
        </w:rPr>
        <w:t>Freephone</w:t>
      </w:r>
      <w:proofErr w:type="spellEnd"/>
      <w:r w:rsidRPr="004A5227">
        <w:rPr>
          <w:rStyle w:val="CharPartText"/>
        </w:rPr>
        <w:t>, local rate and premium rate numbers</w:t>
      </w:r>
      <w:bookmarkEnd w:id="35"/>
    </w:p>
    <w:p w:rsidR="006C3438" w:rsidRPr="004A5227" w:rsidRDefault="006C3438" w:rsidP="006C3438">
      <w:pPr>
        <w:pStyle w:val="ActHead3"/>
      </w:pPr>
      <w:bookmarkStart w:id="36" w:name="_Toc413419035"/>
      <w:r w:rsidRPr="004A5227">
        <w:rPr>
          <w:rStyle w:val="CharDivNo"/>
        </w:rPr>
        <w:t>Division</w:t>
      </w:r>
      <w:r w:rsidR="004A5227" w:rsidRPr="004A5227">
        <w:rPr>
          <w:rStyle w:val="CharDivNo"/>
        </w:rPr>
        <w:t> </w:t>
      </w:r>
      <w:r w:rsidRPr="004A5227">
        <w:rPr>
          <w:rStyle w:val="CharDivNo"/>
        </w:rPr>
        <w:t>1</w:t>
      </w:r>
      <w:r w:rsidRPr="004A5227">
        <w:t>—</w:t>
      </w:r>
      <w:proofErr w:type="spellStart"/>
      <w:r w:rsidRPr="004A5227">
        <w:rPr>
          <w:rStyle w:val="CharDivText"/>
        </w:rPr>
        <w:t>Freephone</w:t>
      </w:r>
      <w:proofErr w:type="spellEnd"/>
      <w:r w:rsidRPr="004A5227">
        <w:rPr>
          <w:rStyle w:val="CharDivText"/>
        </w:rPr>
        <w:t xml:space="preserve"> numbers</w:t>
      </w:r>
      <w:bookmarkEnd w:id="36"/>
    </w:p>
    <w:p w:rsidR="006C3438" w:rsidRPr="004A5227" w:rsidRDefault="00CA6815" w:rsidP="006C3438">
      <w:pPr>
        <w:pStyle w:val="ActHead5"/>
      </w:pPr>
      <w:bookmarkStart w:id="37" w:name="_Toc413419036"/>
      <w:r w:rsidRPr="004A5227">
        <w:rPr>
          <w:rStyle w:val="CharSectno"/>
        </w:rPr>
        <w:t>22</w:t>
      </w:r>
      <w:r w:rsidR="006C3438" w:rsidRPr="004A5227">
        <w:t xml:space="preserve">  Definition of </w:t>
      </w:r>
      <w:proofErr w:type="spellStart"/>
      <w:r w:rsidR="006C3438" w:rsidRPr="004A5227">
        <w:rPr>
          <w:i/>
        </w:rPr>
        <w:t>freephone</w:t>
      </w:r>
      <w:proofErr w:type="spellEnd"/>
      <w:r w:rsidR="006C3438" w:rsidRPr="004A5227">
        <w:rPr>
          <w:i/>
        </w:rPr>
        <w:t xml:space="preserve"> number</w:t>
      </w:r>
      <w:bookmarkEnd w:id="37"/>
    </w:p>
    <w:p w:rsidR="006C3438" w:rsidRPr="004A5227" w:rsidRDefault="006C3438" w:rsidP="006C3438">
      <w:pPr>
        <w:pStyle w:val="subsection"/>
      </w:pPr>
      <w:r w:rsidRPr="004A5227">
        <w:tab/>
      </w:r>
      <w:r w:rsidRPr="004A5227">
        <w:tab/>
        <w:t xml:space="preserve">A </w:t>
      </w:r>
      <w:proofErr w:type="spellStart"/>
      <w:r w:rsidRPr="004A5227">
        <w:rPr>
          <w:b/>
          <w:i/>
        </w:rPr>
        <w:t>freephone</w:t>
      </w:r>
      <w:proofErr w:type="spellEnd"/>
      <w:r w:rsidRPr="004A5227">
        <w:rPr>
          <w:b/>
          <w:i/>
        </w:rPr>
        <w:t xml:space="preserve"> number</w:t>
      </w:r>
      <w:r w:rsidRPr="004A5227">
        <w:t xml:space="preserve"> is a number:</w:t>
      </w:r>
    </w:p>
    <w:p w:rsidR="006C3438" w:rsidRPr="004A5227" w:rsidRDefault="006C3438" w:rsidP="006C3438">
      <w:pPr>
        <w:pStyle w:val="paragraph"/>
      </w:pPr>
      <w:r w:rsidRPr="004A5227">
        <w:tab/>
        <w:t>(a)</w:t>
      </w:r>
      <w:r w:rsidRPr="004A5227">
        <w:tab/>
      </w:r>
      <w:r w:rsidR="00E73746" w:rsidRPr="004A5227">
        <w:t xml:space="preserve">beginning with </w:t>
      </w:r>
      <w:r w:rsidRPr="004A5227">
        <w:t>the digits set out in column 1 of an item in the table in Schedule</w:t>
      </w:r>
      <w:r w:rsidR="004A5227" w:rsidRPr="004A5227">
        <w:t> </w:t>
      </w:r>
      <w:r w:rsidR="00790A2E" w:rsidRPr="004A5227">
        <w:t>2</w:t>
      </w:r>
      <w:r w:rsidRPr="004A5227">
        <w:t>; and</w:t>
      </w:r>
    </w:p>
    <w:p w:rsidR="006C3438" w:rsidRPr="004A5227" w:rsidRDefault="006C3438" w:rsidP="006C3438">
      <w:pPr>
        <w:pStyle w:val="paragraph"/>
      </w:pPr>
      <w:r w:rsidRPr="004A5227">
        <w:tab/>
        <w:t>(b)</w:t>
      </w:r>
      <w:r w:rsidRPr="004A5227">
        <w:tab/>
      </w:r>
      <w:r w:rsidR="00E73746" w:rsidRPr="004A5227">
        <w:t xml:space="preserve">with </w:t>
      </w:r>
      <w:r w:rsidRPr="004A5227">
        <w:t>the number of digits set out in column 2 of the item.</w:t>
      </w:r>
    </w:p>
    <w:p w:rsidR="006C3438" w:rsidRPr="004A5227" w:rsidRDefault="00CA6815" w:rsidP="006C3438">
      <w:pPr>
        <w:pStyle w:val="ActHead5"/>
      </w:pPr>
      <w:bookmarkStart w:id="38" w:name="_Toc413419037"/>
      <w:r w:rsidRPr="004A5227">
        <w:rPr>
          <w:rStyle w:val="CharSectno"/>
        </w:rPr>
        <w:t>23</w:t>
      </w:r>
      <w:r w:rsidR="006C3438" w:rsidRPr="004A5227">
        <w:t xml:space="preserve">  Use of </w:t>
      </w:r>
      <w:proofErr w:type="spellStart"/>
      <w:r w:rsidR="006C3438" w:rsidRPr="004A5227">
        <w:t>freephone</w:t>
      </w:r>
      <w:proofErr w:type="spellEnd"/>
      <w:r w:rsidR="006C3438" w:rsidRPr="004A5227">
        <w:t xml:space="preserve"> numbers</w:t>
      </w:r>
      <w:bookmarkEnd w:id="38"/>
    </w:p>
    <w:p w:rsidR="006C3438" w:rsidRPr="004A5227" w:rsidRDefault="006C3438" w:rsidP="006C3438">
      <w:pPr>
        <w:pStyle w:val="subsection"/>
      </w:pPr>
      <w:r w:rsidRPr="004A5227">
        <w:tab/>
        <w:t>(1)</w:t>
      </w:r>
      <w:r w:rsidRPr="004A5227">
        <w:tab/>
        <w:t xml:space="preserve">A </w:t>
      </w:r>
      <w:proofErr w:type="spellStart"/>
      <w:r w:rsidRPr="004A5227">
        <w:t>freephone</w:t>
      </w:r>
      <w:proofErr w:type="spellEnd"/>
      <w:r w:rsidRPr="004A5227">
        <w:t xml:space="preserve"> number may be used only for a </w:t>
      </w:r>
      <w:proofErr w:type="spellStart"/>
      <w:r w:rsidRPr="004A5227">
        <w:t>freephone</w:t>
      </w:r>
      <w:proofErr w:type="spellEnd"/>
      <w:r w:rsidRPr="004A5227">
        <w:t xml:space="preserve"> service.</w:t>
      </w:r>
    </w:p>
    <w:p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2</w:t>
      </w:r>
      <w:r w:rsidR="00E73746" w:rsidRPr="004A5227">
        <w:t xml:space="preserve"> has “</w:t>
      </w:r>
      <w:r w:rsidRPr="004A5227">
        <w:t>No</w:t>
      </w:r>
      <w:r w:rsidR="00E73746" w:rsidRPr="004A5227">
        <w:t>”</w:t>
      </w:r>
      <w:r w:rsidRPr="004A5227">
        <w:t xml:space="preserve"> in column 3, a </w:t>
      </w:r>
      <w:proofErr w:type="spellStart"/>
      <w:r w:rsidRPr="004A5227">
        <w:t>freephone</w:t>
      </w:r>
      <w:proofErr w:type="spellEnd"/>
      <w:r w:rsidRPr="004A5227">
        <w:t xml:space="preserve"> number identified in columns 1 and 2 of the item must not be used in connection with the supply of a carriage service that routes an incoming call from outside Australia to the number.</w:t>
      </w:r>
    </w:p>
    <w:p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2</w:t>
      </w:r>
      <w:r w:rsidR="00E73746" w:rsidRPr="004A5227">
        <w:t xml:space="preserve"> has “</w:t>
      </w:r>
      <w:r w:rsidRPr="004A5227">
        <w:t>Yes</w:t>
      </w:r>
      <w:r w:rsidR="00E73746" w:rsidRPr="004A5227">
        <w:t>”</w:t>
      </w:r>
      <w:r w:rsidRPr="004A5227">
        <w:t xml:space="preserve"> in column 3, a </w:t>
      </w:r>
      <w:proofErr w:type="spellStart"/>
      <w:r w:rsidRPr="004A5227">
        <w:t>freephone</w:t>
      </w:r>
      <w:proofErr w:type="spellEnd"/>
      <w:r w:rsidRPr="004A5227">
        <w:t xml:space="preserv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rsidR="006C3438" w:rsidRPr="004A5227" w:rsidRDefault="006C3438" w:rsidP="006C3438">
      <w:pPr>
        <w:pStyle w:val="ActHead3"/>
        <w:pageBreakBefore/>
      </w:pPr>
      <w:bookmarkStart w:id="39" w:name="_Toc413419038"/>
      <w:r w:rsidRPr="004A5227">
        <w:rPr>
          <w:rStyle w:val="CharDivNo"/>
        </w:rPr>
        <w:lastRenderedPageBreak/>
        <w:t>Division</w:t>
      </w:r>
      <w:r w:rsidR="004A5227" w:rsidRPr="004A5227">
        <w:rPr>
          <w:rStyle w:val="CharDivNo"/>
        </w:rPr>
        <w:t> </w:t>
      </w:r>
      <w:r w:rsidRPr="004A5227">
        <w:rPr>
          <w:rStyle w:val="CharDivNo"/>
        </w:rPr>
        <w:t>2</w:t>
      </w:r>
      <w:r w:rsidRPr="004A5227">
        <w:t>—</w:t>
      </w:r>
      <w:r w:rsidRPr="004A5227">
        <w:rPr>
          <w:rStyle w:val="CharDivText"/>
        </w:rPr>
        <w:t>Local rate numbers</w:t>
      </w:r>
      <w:bookmarkEnd w:id="39"/>
    </w:p>
    <w:p w:rsidR="006C3438" w:rsidRPr="004A5227" w:rsidRDefault="00CA6815" w:rsidP="006C3438">
      <w:pPr>
        <w:pStyle w:val="ActHead5"/>
      </w:pPr>
      <w:bookmarkStart w:id="40" w:name="_Toc413419039"/>
      <w:r w:rsidRPr="004A5227">
        <w:rPr>
          <w:rStyle w:val="CharSectno"/>
        </w:rPr>
        <w:t>24</w:t>
      </w:r>
      <w:r w:rsidR="006C3438" w:rsidRPr="004A5227">
        <w:t xml:space="preserve">  Definition of </w:t>
      </w:r>
      <w:r w:rsidR="006C3438" w:rsidRPr="004A5227">
        <w:rPr>
          <w:i/>
        </w:rPr>
        <w:t>local rate number</w:t>
      </w:r>
      <w:bookmarkEnd w:id="40"/>
    </w:p>
    <w:p w:rsidR="006C3438" w:rsidRPr="004A5227" w:rsidRDefault="006C3438" w:rsidP="006C3438">
      <w:pPr>
        <w:pStyle w:val="subsection"/>
      </w:pPr>
      <w:r w:rsidRPr="004A5227">
        <w:tab/>
      </w:r>
      <w:r w:rsidRPr="004A5227">
        <w:tab/>
        <w:t xml:space="preserve">A </w:t>
      </w:r>
      <w:r w:rsidRPr="004A5227">
        <w:rPr>
          <w:b/>
          <w:i/>
        </w:rPr>
        <w:t>local rate number</w:t>
      </w:r>
      <w:r w:rsidRPr="004A5227">
        <w:t xml:space="preserve"> is a number:</w:t>
      </w:r>
    </w:p>
    <w:p w:rsidR="006C3438" w:rsidRPr="004A5227" w:rsidRDefault="006C3438" w:rsidP="006C3438">
      <w:pPr>
        <w:pStyle w:val="paragraph"/>
      </w:pPr>
      <w:r w:rsidRPr="004A5227">
        <w:tab/>
        <w:t>(a)</w:t>
      </w:r>
      <w:r w:rsidRPr="004A5227">
        <w:tab/>
      </w:r>
      <w:r w:rsidR="00E73746" w:rsidRPr="004A5227">
        <w:t xml:space="preserve">beginning with </w:t>
      </w:r>
      <w:r w:rsidRPr="004A5227">
        <w:t>the digits set out in column 1 of an item in the table in Schedule</w:t>
      </w:r>
      <w:r w:rsidR="004A5227" w:rsidRPr="004A5227">
        <w:t> </w:t>
      </w:r>
      <w:r w:rsidR="00790A2E" w:rsidRPr="004A5227">
        <w:t>3</w:t>
      </w:r>
      <w:r w:rsidRPr="004A5227">
        <w:t>; and</w:t>
      </w:r>
    </w:p>
    <w:p w:rsidR="006C3438" w:rsidRPr="004A5227" w:rsidRDefault="006C3438" w:rsidP="006C3438">
      <w:pPr>
        <w:pStyle w:val="paragraph"/>
      </w:pPr>
      <w:r w:rsidRPr="004A5227">
        <w:tab/>
        <w:t>(b)</w:t>
      </w:r>
      <w:r w:rsidRPr="004A5227">
        <w:tab/>
      </w:r>
      <w:r w:rsidR="00E73746" w:rsidRPr="004A5227">
        <w:t xml:space="preserve">with </w:t>
      </w:r>
      <w:r w:rsidRPr="004A5227">
        <w:t>the number of digits set out in column 2 of the item.</w:t>
      </w:r>
    </w:p>
    <w:p w:rsidR="006C3438" w:rsidRPr="004A5227" w:rsidRDefault="00CA6815" w:rsidP="006C3438">
      <w:pPr>
        <w:pStyle w:val="ActHead5"/>
      </w:pPr>
      <w:bookmarkStart w:id="41" w:name="_Toc413419040"/>
      <w:r w:rsidRPr="004A5227">
        <w:rPr>
          <w:rStyle w:val="CharSectno"/>
        </w:rPr>
        <w:t>25</w:t>
      </w:r>
      <w:r w:rsidR="006C3438" w:rsidRPr="004A5227">
        <w:t xml:space="preserve">  Use of local rate numbers</w:t>
      </w:r>
      <w:bookmarkEnd w:id="41"/>
    </w:p>
    <w:p w:rsidR="006C3438" w:rsidRPr="004A5227" w:rsidRDefault="006C3438" w:rsidP="006C3438">
      <w:pPr>
        <w:pStyle w:val="subsection"/>
      </w:pPr>
      <w:r w:rsidRPr="004A5227">
        <w:tab/>
        <w:t>(1)</w:t>
      </w:r>
      <w:r w:rsidRPr="004A5227">
        <w:tab/>
        <w:t>A local rate number may be used only for a local rate service.</w:t>
      </w:r>
    </w:p>
    <w:p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3</w:t>
      </w:r>
      <w:r w:rsidRPr="004A5227">
        <w:t xml:space="preserve"> has </w:t>
      </w:r>
      <w:r w:rsidR="00E73746" w:rsidRPr="004A5227">
        <w:t>“</w:t>
      </w:r>
      <w:r w:rsidRPr="004A5227">
        <w:t>No</w:t>
      </w:r>
      <w:r w:rsidR="00E73746" w:rsidRPr="004A5227">
        <w:t>”</w:t>
      </w:r>
      <w:r w:rsidRPr="004A5227">
        <w:t xml:space="preserve"> in column 3, a local rate number identified in columns 1 and 2 of the item must not be used in connection with the supply of a carriage service that routes an incoming call from outside Australia to the number.</w:t>
      </w:r>
    </w:p>
    <w:p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3</w:t>
      </w:r>
      <w:r w:rsidRPr="004A5227">
        <w:t xml:space="preserve"> has </w:t>
      </w:r>
      <w:r w:rsidR="00E73746" w:rsidRPr="004A5227">
        <w:t>“</w:t>
      </w:r>
      <w:r w:rsidRPr="004A5227">
        <w:t>Yes</w:t>
      </w:r>
      <w:r w:rsidR="00E73746" w:rsidRPr="004A5227">
        <w:t>”</w:t>
      </w:r>
      <w:r w:rsidRPr="004A5227">
        <w:t xml:space="preserve"> in column 3, a local rate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rsidR="006C3438" w:rsidRPr="004A5227" w:rsidRDefault="006C3438" w:rsidP="006C3438">
      <w:pPr>
        <w:pStyle w:val="subsection"/>
      </w:pPr>
      <w:r w:rsidRPr="004A5227">
        <w:tab/>
        <w:t>(4)</w:t>
      </w:r>
      <w:r w:rsidRPr="004A5227">
        <w:tab/>
        <w:t>A lo</w:t>
      </w:r>
      <w:r w:rsidR="00E73746" w:rsidRPr="004A5227">
        <w:t>cal rate number beginning with “</w:t>
      </w:r>
      <w:r w:rsidRPr="004A5227">
        <w:t>1345</w:t>
      </w:r>
      <w:r w:rsidR="00E73746" w:rsidRPr="004A5227">
        <w:t>”</w:t>
      </w:r>
      <w:r w:rsidRPr="004A5227">
        <w:t xml:space="preserve"> may be used only for monitoring security alarms.</w:t>
      </w:r>
    </w:p>
    <w:p w:rsidR="006C3438" w:rsidRPr="004A5227" w:rsidRDefault="006C3438" w:rsidP="006C3438">
      <w:pPr>
        <w:pStyle w:val="ActHead3"/>
        <w:pageBreakBefore/>
      </w:pPr>
      <w:bookmarkStart w:id="42" w:name="_Toc413419041"/>
      <w:r w:rsidRPr="004A5227">
        <w:rPr>
          <w:rStyle w:val="CharDivNo"/>
        </w:rPr>
        <w:lastRenderedPageBreak/>
        <w:t>Division</w:t>
      </w:r>
      <w:r w:rsidR="004A5227" w:rsidRPr="004A5227">
        <w:rPr>
          <w:rStyle w:val="CharDivNo"/>
        </w:rPr>
        <w:t> </w:t>
      </w:r>
      <w:r w:rsidRPr="004A5227">
        <w:rPr>
          <w:rStyle w:val="CharDivNo"/>
        </w:rPr>
        <w:t>3</w:t>
      </w:r>
      <w:r w:rsidRPr="004A5227">
        <w:t>—</w:t>
      </w:r>
      <w:r w:rsidRPr="004A5227">
        <w:rPr>
          <w:rStyle w:val="CharDivText"/>
        </w:rPr>
        <w:t>Premium rate numbers</w:t>
      </w:r>
      <w:bookmarkEnd w:id="42"/>
    </w:p>
    <w:p w:rsidR="006C3438" w:rsidRPr="004A5227" w:rsidRDefault="00CA6815" w:rsidP="006C3438">
      <w:pPr>
        <w:pStyle w:val="ActHead5"/>
      </w:pPr>
      <w:bookmarkStart w:id="43" w:name="_Toc413419042"/>
      <w:r w:rsidRPr="004A5227">
        <w:rPr>
          <w:rStyle w:val="CharSectno"/>
        </w:rPr>
        <w:t>26</w:t>
      </w:r>
      <w:r w:rsidR="006C3438" w:rsidRPr="004A5227">
        <w:t xml:space="preserve">  Definition of </w:t>
      </w:r>
      <w:r w:rsidR="006C3438" w:rsidRPr="004A5227">
        <w:rPr>
          <w:i/>
        </w:rPr>
        <w:t>premium rate number</w:t>
      </w:r>
      <w:bookmarkEnd w:id="43"/>
    </w:p>
    <w:p w:rsidR="006C3438" w:rsidRPr="004A5227" w:rsidRDefault="006C3438" w:rsidP="006C3438">
      <w:pPr>
        <w:pStyle w:val="subsection"/>
      </w:pPr>
      <w:r w:rsidRPr="004A5227">
        <w:tab/>
      </w:r>
      <w:r w:rsidRPr="004A5227">
        <w:tab/>
        <w:t xml:space="preserve">A </w:t>
      </w:r>
      <w:r w:rsidRPr="004A5227">
        <w:rPr>
          <w:b/>
          <w:i/>
        </w:rPr>
        <w:t>premium rate number</w:t>
      </w:r>
      <w:r w:rsidRPr="004A5227">
        <w:t xml:space="preserve"> is a number:</w:t>
      </w:r>
    </w:p>
    <w:p w:rsidR="006C3438" w:rsidRPr="004A5227" w:rsidRDefault="006C3438" w:rsidP="006C3438">
      <w:pPr>
        <w:pStyle w:val="paragraph"/>
      </w:pPr>
      <w:r w:rsidRPr="004A5227">
        <w:tab/>
        <w:t>(a)</w:t>
      </w:r>
      <w:r w:rsidRPr="004A5227">
        <w:tab/>
      </w:r>
      <w:r w:rsidR="00E73746" w:rsidRPr="004A5227">
        <w:t xml:space="preserve">beginning with </w:t>
      </w:r>
      <w:r w:rsidRPr="004A5227">
        <w:t>the digits set out in column 1 of an item in the table in Schedule</w:t>
      </w:r>
      <w:r w:rsidR="004A5227" w:rsidRPr="004A5227">
        <w:t> </w:t>
      </w:r>
      <w:r w:rsidR="00790A2E" w:rsidRPr="004A5227">
        <w:t>4</w:t>
      </w:r>
      <w:r w:rsidRPr="004A5227">
        <w:t>; and</w:t>
      </w:r>
    </w:p>
    <w:p w:rsidR="006C3438" w:rsidRPr="004A5227" w:rsidRDefault="006C3438" w:rsidP="006C3438">
      <w:pPr>
        <w:pStyle w:val="paragraph"/>
      </w:pPr>
      <w:r w:rsidRPr="004A5227">
        <w:tab/>
        <w:t>(b)</w:t>
      </w:r>
      <w:r w:rsidRPr="004A5227">
        <w:tab/>
      </w:r>
      <w:r w:rsidR="00E73746" w:rsidRPr="004A5227">
        <w:t xml:space="preserve">with </w:t>
      </w:r>
      <w:r w:rsidRPr="004A5227">
        <w:t>the number of digits set out in column 2 of the item.</w:t>
      </w:r>
    </w:p>
    <w:p w:rsidR="006C3438" w:rsidRPr="004A5227" w:rsidRDefault="00CA6815" w:rsidP="006C3438">
      <w:pPr>
        <w:pStyle w:val="ActHead5"/>
      </w:pPr>
      <w:bookmarkStart w:id="44" w:name="_Toc413419043"/>
      <w:r w:rsidRPr="004A5227">
        <w:rPr>
          <w:rStyle w:val="CharSectno"/>
        </w:rPr>
        <w:t>27</w:t>
      </w:r>
      <w:r w:rsidR="006C3438" w:rsidRPr="004A5227">
        <w:t xml:space="preserve">  Use of premium rate numbers</w:t>
      </w:r>
      <w:bookmarkEnd w:id="44"/>
    </w:p>
    <w:p w:rsidR="006C3438" w:rsidRPr="004A5227" w:rsidRDefault="006C3438" w:rsidP="006C3438">
      <w:pPr>
        <w:pStyle w:val="subsection"/>
      </w:pPr>
      <w:r w:rsidRPr="004A5227">
        <w:tab/>
        <w:t>(1)</w:t>
      </w:r>
      <w:r w:rsidRPr="004A5227">
        <w:tab/>
        <w:t>A premium rate number may be used only for a premium rate service.</w:t>
      </w:r>
    </w:p>
    <w:p w:rsidR="006C3438" w:rsidRPr="004A5227" w:rsidRDefault="006C3438" w:rsidP="006C3438">
      <w:pPr>
        <w:pStyle w:val="subsection"/>
      </w:pPr>
      <w:r w:rsidRPr="004A5227">
        <w:tab/>
        <w:t>(2)</w:t>
      </w:r>
      <w:r w:rsidRPr="004A5227">
        <w:tab/>
        <w:t>If an item in the table in Schedule</w:t>
      </w:r>
      <w:r w:rsidR="004A5227" w:rsidRPr="004A5227">
        <w:t> </w:t>
      </w:r>
      <w:r w:rsidR="00790A2E" w:rsidRPr="004A5227">
        <w:t>4</w:t>
      </w:r>
      <w:r w:rsidR="00E73746" w:rsidRPr="004A5227">
        <w:t xml:space="preserve"> has “</w:t>
      </w:r>
      <w:r w:rsidRPr="004A5227">
        <w:t>No</w:t>
      </w:r>
      <w:r w:rsidR="00E73746" w:rsidRPr="004A5227">
        <w:t>”</w:t>
      </w:r>
      <w:r w:rsidRPr="004A5227">
        <w:t xml:space="preserve"> in column 3, a premium rate number identified in columns 1 and 2 of the item must not be used in connection with the supply of a carriage service that routes an incoming call from outside Australia to the number.</w:t>
      </w:r>
    </w:p>
    <w:p w:rsidR="006C3438" w:rsidRPr="004A5227" w:rsidRDefault="006C3438" w:rsidP="006C3438">
      <w:pPr>
        <w:pStyle w:val="subsection"/>
      </w:pPr>
      <w:r w:rsidRPr="004A5227">
        <w:tab/>
        <w:t>(3)</w:t>
      </w:r>
      <w:r w:rsidRPr="004A5227">
        <w:tab/>
        <w:t>If an item in the table in Schedule</w:t>
      </w:r>
      <w:r w:rsidR="004A5227" w:rsidRPr="004A5227">
        <w:t> </w:t>
      </w:r>
      <w:r w:rsidR="00790A2E" w:rsidRPr="004A5227">
        <w:t>4</w:t>
      </w:r>
      <w:r w:rsidRPr="004A5227">
        <w:t xml:space="preserve"> has </w:t>
      </w:r>
      <w:r w:rsidR="00E73746" w:rsidRPr="004A5227">
        <w:t>“</w:t>
      </w:r>
      <w:r w:rsidRPr="004A5227">
        <w:t>Yes</w:t>
      </w:r>
      <w:r w:rsidR="00E73746" w:rsidRPr="004A5227">
        <w:t>”</w:t>
      </w:r>
      <w:r w:rsidRPr="004A5227">
        <w:t xml:space="preserve"> in column 3, a premium number identified in columns 1 and 2 of the item may be used in connection with </w:t>
      </w:r>
      <w:r w:rsidR="00E73746" w:rsidRPr="004A5227">
        <w:t xml:space="preserve">the </w:t>
      </w:r>
      <w:r w:rsidRPr="004A5227">
        <w:t>supply of a carriage service that routes an incoming call from outside Australia to the number.</w:t>
      </w:r>
    </w:p>
    <w:p w:rsidR="006C3438" w:rsidRPr="004A5227" w:rsidRDefault="006C3438" w:rsidP="006C3438">
      <w:pPr>
        <w:pStyle w:val="subsection"/>
      </w:pPr>
      <w:r w:rsidRPr="004A5227">
        <w:tab/>
        <w:t>(4)</w:t>
      </w:r>
      <w:r w:rsidRPr="004A5227">
        <w:tab/>
        <w:t xml:space="preserve">A premium rate number beginning with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 xml:space="preserve"> may be used only for age</w:t>
      </w:r>
      <w:r w:rsidR="004A5227">
        <w:noBreakHyphen/>
      </w:r>
      <w:r w:rsidRPr="004A5227">
        <w:t>restricted services.</w:t>
      </w:r>
    </w:p>
    <w:p w:rsidR="006C3438" w:rsidRPr="004A5227" w:rsidRDefault="006C3438" w:rsidP="00A82C0A">
      <w:pPr>
        <w:pStyle w:val="subsection"/>
      </w:pPr>
      <w:r w:rsidRPr="004A5227">
        <w:tab/>
        <w:t>(5)</w:t>
      </w:r>
      <w:r w:rsidRPr="004A5227">
        <w:tab/>
        <w:t>A premium rate number beginning</w:t>
      </w:r>
      <w:r w:rsidR="00E73746" w:rsidRPr="004A5227">
        <w:t xml:space="preserve"> with “</w:t>
      </w:r>
      <w:r w:rsidRPr="004A5227">
        <w:t>1901</w:t>
      </w:r>
      <w:r w:rsidR="00E73746" w:rsidRPr="004A5227">
        <w:t>”</w:t>
      </w:r>
      <w:r w:rsidRPr="004A5227">
        <w:t xml:space="preserve"> may be used only for a reg</w:t>
      </w:r>
      <w:r w:rsidR="00A82C0A" w:rsidRPr="004A5227">
        <w:t>istration premium rate service.</w:t>
      </w:r>
    </w:p>
    <w:p w:rsidR="006C3438" w:rsidRPr="004A5227" w:rsidRDefault="00CA6815" w:rsidP="006C3438">
      <w:pPr>
        <w:pStyle w:val="ActHead5"/>
      </w:pPr>
      <w:bookmarkStart w:id="45" w:name="_Toc413419044"/>
      <w:r w:rsidRPr="004A5227">
        <w:rPr>
          <w:rStyle w:val="CharSectno"/>
        </w:rPr>
        <w:t>28</w:t>
      </w:r>
      <w:r w:rsidR="006C3438" w:rsidRPr="004A5227">
        <w:t xml:space="preserve">  Restriction on providing age</w:t>
      </w:r>
      <w:r w:rsidR="004A5227">
        <w:noBreakHyphen/>
      </w:r>
      <w:r w:rsidR="006C3438" w:rsidRPr="004A5227">
        <w:t>restricted services on other numbers</w:t>
      </w:r>
      <w:bookmarkEnd w:id="45"/>
    </w:p>
    <w:p w:rsidR="006C3438" w:rsidRPr="004A5227" w:rsidRDefault="006C3438" w:rsidP="006C3438">
      <w:pPr>
        <w:pStyle w:val="subsection"/>
      </w:pPr>
      <w:r w:rsidRPr="004A5227">
        <w:tab/>
        <w:t>(1)</w:t>
      </w:r>
      <w:r w:rsidRPr="004A5227">
        <w:tab/>
        <w:t>A mobile carriage service provider must not supply an age</w:t>
      </w:r>
      <w:r w:rsidR="004A5227">
        <w:noBreakHyphen/>
      </w:r>
      <w:r w:rsidRPr="004A5227">
        <w:t xml:space="preserve">restricted service by way of a premium </w:t>
      </w:r>
      <w:proofErr w:type="spellStart"/>
      <w:r w:rsidRPr="004A5227">
        <w:t>SMS</w:t>
      </w:r>
      <w:proofErr w:type="spellEnd"/>
      <w:r w:rsidRPr="004A5227">
        <w:t xml:space="preserve"> or MMS service otherwise than on a number </w:t>
      </w:r>
      <w:r w:rsidR="00E73746" w:rsidRPr="004A5227">
        <w:t>beginning with</w:t>
      </w:r>
      <w:r w:rsidRPr="004A5227">
        <w:t xml:space="preserve">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w:t>
      </w:r>
    </w:p>
    <w:p w:rsidR="006C3438" w:rsidRPr="004A5227" w:rsidRDefault="006C3438" w:rsidP="006C3438">
      <w:pPr>
        <w:pStyle w:val="subsection"/>
      </w:pPr>
      <w:r w:rsidRPr="004A5227">
        <w:tab/>
        <w:t>(2)</w:t>
      </w:r>
      <w:r w:rsidRPr="004A5227">
        <w:tab/>
        <w:t xml:space="preserve">A mobile carriage service provider is taken not to have contravened </w:t>
      </w:r>
      <w:r w:rsidR="004A5227" w:rsidRPr="004A5227">
        <w:t>subsection (</w:t>
      </w:r>
      <w:r w:rsidRPr="004A5227">
        <w:t>1) if, at the time the age</w:t>
      </w:r>
      <w:r w:rsidR="004A5227">
        <w:noBreakHyphen/>
      </w:r>
      <w:r w:rsidRPr="004A5227">
        <w:t>restricted service was supplied, the carriage service provider:</w:t>
      </w:r>
    </w:p>
    <w:p w:rsidR="006C3438" w:rsidRPr="004A5227" w:rsidRDefault="006C3438" w:rsidP="006C3438">
      <w:pPr>
        <w:pStyle w:val="paragraph"/>
      </w:pPr>
      <w:r w:rsidRPr="004A5227">
        <w:tab/>
        <w:t>(a)</w:t>
      </w:r>
      <w:r w:rsidRPr="004A5227">
        <w:tab/>
        <w:t>did not know; and</w:t>
      </w:r>
    </w:p>
    <w:p w:rsidR="006C3438" w:rsidRPr="004A5227" w:rsidRDefault="006C3438" w:rsidP="006C3438">
      <w:pPr>
        <w:pStyle w:val="paragraph"/>
      </w:pPr>
      <w:r w:rsidRPr="004A5227">
        <w:tab/>
        <w:t>(b)</w:t>
      </w:r>
      <w:r w:rsidRPr="004A5227">
        <w:tab/>
        <w:t>could not, with reasonable diligence, have found out;</w:t>
      </w:r>
    </w:p>
    <w:p w:rsidR="006C3438" w:rsidRPr="004A5227" w:rsidRDefault="006C3438" w:rsidP="006C3438">
      <w:pPr>
        <w:pStyle w:val="subsection2"/>
      </w:pPr>
      <w:r w:rsidRPr="004A5227">
        <w:t>that it was supplying an age</w:t>
      </w:r>
      <w:r w:rsidR="004A5227">
        <w:noBreakHyphen/>
      </w:r>
      <w:r w:rsidRPr="004A5227">
        <w:t xml:space="preserve">restricted service by way of a premium </w:t>
      </w:r>
      <w:proofErr w:type="spellStart"/>
      <w:r w:rsidRPr="004A5227">
        <w:t>SMS</w:t>
      </w:r>
      <w:proofErr w:type="spellEnd"/>
      <w:r w:rsidRPr="004A5227">
        <w:t xml:space="preserve"> or MMS service otherwise than on a number </w:t>
      </w:r>
      <w:r w:rsidR="00E73746" w:rsidRPr="004A5227">
        <w:t>beginning with</w:t>
      </w:r>
      <w:r w:rsidRPr="004A5227">
        <w:t xml:space="preserve">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w:t>
      </w:r>
    </w:p>
    <w:p w:rsidR="006C3438" w:rsidRPr="004A5227" w:rsidRDefault="006C3438" w:rsidP="006C3438">
      <w:pPr>
        <w:pStyle w:val="subsection"/>
      </w:pPr>
      <w:r w:rsidRPr="004A5227">
        <w:tab/>
        <w:t>(3)</w:t>
      </w:r>
      <w:r w:rsidRPr="004A5227">
        <w:tab/>
        <w:t xml:space="preserve">For </w:t>
      </w:r>
      <w:r w:rsidR="004A5227" w:rsidRPr="004A5227">
        <w:t>subsection (</w:t>
      </w:r>
      <w:r w:rsidRPr="004A5227">
        <w:t>2), in determining whether a mobile carriage service provider could, with reasonable diligence, have found out that it was supplying an age</w:t>
      </w:r>
      <w:r w:rsidR="004A5227">
        <w:noBreakHyphen/>
      </w:r>
      <w:r w:rsidRPr="004A5227">
        <w:t xml:space="preserve">restricted service by way of a premium </w:t>
      </w:r>
      <w:proofErr w:type="spellStart"/>
      <w:r w:rsidRPr="004A5227">
        <w:t>SMS</w:t>
      </w:r>
      <w:proofErr w:type="spellEnd"/>
      <w:r w:rsidRPr="004A5227">
        <w:t xml:space="preserve"> or MMS service otherwise than on a number </w:t>
      </w:r>
      <w:r w:rsidR="00E73746" w:rsidRPr="004A5227">
        <w:t>beginning with</w:t>
      </w:r>
      <w:r w:rsidRPr="004A5227">
        <w:t xml:space="preserve"> </w:t>
      </w:r>
      <w:r w:rsidR="00E73746" w:rsidRPr="004A5227">
        <w:t>“</w:t>
      </w:r>
      <w:r w:rsidRPr="004A5227">
        <w:t>195</w:t>
      </w:r>
      <w:r w:rsidR="00E73746" w:rsidRPr="004A5227">
        <w:t>”</w:t>
      </w:r>
      <w:r w:rsidRPr="004A5227">
        <w:t xml:space="preserve"> or </w:t>
      </w:r>
      <w:r w:rsidR="00E73746" w:rsidRPr="004A5227">
        <w:t>“</w:t>
      </w:r>
      <w:r w:rsidRPr="004A5227">
        <w:t>196</w:t>
      </w:r>
      <w:r w:rsidR="00E73746" w:rsidRPr="004A5227">
        <w:t>”</w:t>
      </w:r>
      <w:r w:rsidRPr="004A5227">
        <w:t xml:space="preserve">, </w:t>
      </w:r>
      <w:r w:rsidR="009C5AA8" w:rsidRPr="004A5227">
        <w:t>regard must be had</w:t>
      </w:r>
      <w:r w:rsidRPr="004A5227">
        <w:t xml:space="preserve"> to the following matters</w:t>
      </w:r>
      <w:r w:rsidR="009C5AA8" w:rsidRPr="004A5227">
        <w:t xml:space="preserve"> (and may be had to any other relevant matter)</w:t>
      </w:r>
      <w:r w:rsidRPr="004A5227">
        <w:t>:</w:t>
      </w:r>
    </w:p>
    <w:p w:rsidR="006C3438" w:rsidRPr="004A5227" w:rsidRDefault="006C3438" w:rsidP="006C3438">
      <w:pPr>
        <w:pStyle w:val="paragraph"/>
      </w:pPr>
      <w:r w:rsidRPr="004A5227">
        <w:tab/>
        <w:t>(a)</w:t>
      </w:r>
      <w:r w:rsidRPr="004A5227">
        <w:tab/>
        <w:t>whether the content service provider that supplied the age</w:t>
      </w:r>
      <w:r w:rsidR="004A5227">
        <w:noBreakHyphen/>
      </w:r>
      <w:r w:rsidRPr="004A5227">
        <w:t xml:space="preserve">restricted service by way of the premium </w:t>
      </w:r>
      <w:proofErr w:type="spellStart"/>
      <w:r w:rsidRPr="004A5227">
        <w:t>SMS</w:t>
      </w:r>
      <w:proofErr w:type="spellEnd"/>
      <w:r w:rsidRPr="004A5227">
        <w:t xml:space="preserve"> or MMS service is under any contractual </w:t>
      </w:r>
      <w:r w:rsidRPr="004A5227">
        <w:lastRenderedPageBreak/>
        <w:t>obligation to notify the mobile carriage service provider of the nature of the content supplied;</w:t>
      </w:r>
    </w:p>
    <w:p w:rsidR="006C3438" w:rsidRPr="004A5227" w:rsidRDefault="006C3438" w:rsidP="006C3438">
      <w:pPr>
        <w:pStyle w:val="paragraph"/>
      </w:pPr>
      <w:r w:rsidRPr="004A5227">
        <w:tab/>
        <w:t>(b)</w:t>
      </w:r>
      <w:r w:rsidRPr="004A5227">
        <w:tab/>
        <w:t>whether the mobile carriage service provider does any of the following:</w:t>
      </w:r>
    </w:p>
    <w:p w:rsidR="006C3438" w:rsidRPr="004A5227" w:rsidRDefault="006C3438" w:rsidP="006C3438">
      <w:pPr>
        <w:pStyle w:val="paragraphsub"/>
      </w:pPr>
      <w:r w:rsidRPr="004A5227">
        <w:tab/>
        <w:t>(</w:t>
      </w:r>
      <w:proofErr w:type="spellStart"/>
      <w:r w:rsidRPr="004A5227">
        <w:t>i</w:t>
      </w:r>
      <w:proofErr w:type="spellEnd"/>
      <w:r w:rsidRPr="004A5227">
        <w:t>)</w:t>
      </w:r>
      <w:r w:rsidRPr="004A5227">
        <w:tab/>
        <w:t xml:space="preserve">monitoring, or arranging for the monitoring of, advertisements for premium </w:t>
      </w:r>
      <w:proofErr w:type="spellStart"/>
      <w:r w:rsidRPr="004A5227">
        <w:t>SMS</w:t>
      </w:r>
      <w:proofErr w:type="spellEnd"/>
      <w:r w:rsidRPr="004A5227">
        <w:t xml:space="preserve"> or MMS services broadcasted on television or radio or appearing in newspapers or magazines where such advertisements are likely to be found;</w:t>
      </w:r>
    </w:p>
    <w:p w:rsidR="006C3438" w:rsidRPr="004A5227" w:rsidRDefault="006C3438" w:rsidP="009C5AA8">
      <w:pPr>
        <w:pStyle w:val="paragraphsub"/>
      </w:pPr>
      <w:r w:rsidRPr="004A5227">
        <w:tab/>
        <w:t>(ii)</w:t>
      </w:r>
      <w:r w:rsidRPr="004A5227">
        <w:tab/>
        <w:t>checking, or arranging for the checking of, those advertisements against the content o</w:t>
      </w:r>
      <w:r w:rsidR="009C5AA8" w:rsidRPr="004A5227">
        <w:t>f the services being advertised.</w:t>
      </w:r>
    </w:p>
    <w:p w:rsidR="00A82C0A" w:rsidRPr="004A5227" w:rsidRDefault="00CA6815" w:rsidP="00A82C0A">
      <w:pPr>
        <w:pStyle w:val="ActHead5"/>
      </w:pPr>
      <w:bookmarkStart w:id="46" w:name="_Toc413419045"/>
      <w:r w:rsidRPr="004A5227">
        <w:rPr>
          <w:rStyle w:val="CharSectno"/>
        </w:rPr>
        <w:t>29</w:t>
      </w:r>
      <w:r w:rsidR="00A82C0A" w:rsidRPr="004A5227">
        <w:t xml:space="preserve">  Restriction on providing registration premium rate service on other numbers</w:t>
      </w:r>
      <w:bookmarkEnd w:id="46"/>
    </w:p>
    <w:p w:rsidR="00A82C0A" w:rsidRPr="004A5227" w:rsidRDefault="00A82C0A" w:rsidP="00A82C0A">
      <w:pPr>
        <w:pStyle w:val="subsection"/>
      </w:pPr>
      <w:r w:rsidRPr="004A5227">
        <w:tab/>
      </w:r>
      <w:r w:rsidRPr="004A5227">
        <w:tab/>
        <w:t xml:space="preserve">A </w:t>
      </w:r>
      <w:r w:rsidR="00067FDC" w:rsidRPr="004A5227">
        <w:t xml:space="preserve">mobile </w:t>
      </w:r>
      <w:r w:rsidRPr="004A5227">
        <w:t>carriage service provider must not supply a registration premium rate service otherwise than on a premium rate number beginning with “1901”.</w:t>
      </w:r>
    </w:p>
    <w:p w:rsidR="006C3438" w:rsidRPr="004A5227" w:rsidRDefault="006C3438" w:rsidP="006C3438">
      <w:pPr>
        <w:pStyle w:val="ActHead2"/>
        <w:pageBreakBefore/>
      </w:pPr>
      <w:bookmarkStart w:id="47" w:name="_Toc413419046"/>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Emergency service numbers</w:t>
      </w:r>
      <w:bookmarkEnd w:id="47"/>
    </w:p>
    <w:p w:rsidR="002A71A7" w:rsidRPr="004A5227" w:rsidRDefault="002A71A7" w:rsidP="002A71A7">
      <w:pPr>
        <w:pStyle w:val="Header"/>
      </w:pPr>
      <w:r w:rsidRPr="004A5227">
        <w:rPr>
          <w:rStyle w:val="CharDivNo"/>
        </w:rPr>
        <w:t xml:space="preserve"> </w:t>
      </w:r>
      <w:r w:rsidRPr="004A5227">
        <w:rPr>
          <w:rStyle w:val="CharDivText"/>
        </w:rPr>
        <w:t xml:space="preserve"> </w:t>
      </w:r>
    </w:p>
    <w:p w:rsidR="006C3438" w:rsidRPr="004A5227" w:rsidRDefault="00CA6815" w:rsidP="006C3438">
      <w:pPr>
        <w:pStyle w:val="ActHead5"/>
      </w:pPr>
      <w:bookmarkStart w:id="48" w:name="_Toc413419047"/>
      <w:r w:rsidRPr="004A5227">
        <w:rPr>
          <w:rStyle w:val="CharSectno"/>
        </w:rPr>
        <w:t>30</w:t>
      </w:r>
      <w:r w:rsidR="006C3438" w:rsidRPr="004A5227">
        <w:t xml:space="preserve">  Emergency service numbers</w:t>
      </w:r>
      <w:bookmarkEnd w:id="48"/>
    </w:p>
    <w:p w:rsidR="006C3438" w:rsidRPr="004A5227" w:rsidRDefault="006C3438" w:rsidP="006C3438">
      <w:pPr>
        <w:pStyle w:val="subsection"/>
      </w:pPr>
      <w:r w:rsidRPr="004A5227">
        <w:tab/>
      </w:r>
      <w:r w:rsidRPr="004A5227">
        <w:tab/>
        <w:t>For subsection</w:t>
      </w:r>
      <w:r w:rsidR="004A5227" w:rsidRPr="004A5227">
        <w:t> </w:t>
      </w:r>
      <w:r w:rsidRPr="004A5227">
        <w:t xml:space="preserve">466(2) of the Act, </w:t>
      </w:r>
      <w:r w:rsidR="00320D15" w:rsidRPr="004A5227">
        <w:t>“</w:t>
      </w:r>
      <w:r w:rsidRPr="004A5227">
        <w:t>000</w:t>
      </w:r>
      <w:r w:rsidR="00320D15" w:rsidRPr="004A5227">
        <w:t>”</w:t>
      </w:r>
      <w:r w:rsidRPr="004A5227">
        <w:t xml:space="preserve">, </w:t>
      </w:r>
      <w:r w:rsidR="00320D15" w:rsidRPr="004A5227">
        <w:t>“</w:t>
      </w:r>
      <w:r w:rsidRPr="004A5227">
        <w:t>106</w:t>
      </w:r>
      <w:r w:rsidR="00320D15" w:rsidRPr="004A5227">
        <w:t>”</w:t>
      </w:r>
      <w:r w:rsidRPr="004A5227">
        <w:t xml:space="preserve"> and </w:t>
      </w:r>
      <w:r w:rsidR="00320D15" w:rsidRPr="004A5227">
        <w:t>“</w:t>
      </w:r>
      <w:r w:rsidRPr="004A5227">
        <w:t>112</w:t>
      </w:r>
      <w:r w:rsidR="00320D15" w:rsidRPr="004A5227">
        <w:t>”</w:t>
      </w:r>
      <w:r w:rsidRPr="004A5227">
        <w:t xml:space="preserve"> are emergency service numbers.</w:t>
      </w:r>
    </w:p>
    <w:p w:rsidR="006C3438" w:rsidRPr="004A5227" w:rsidRDefault="006C3438" w:rsidP="006C3438">
      <w:pPr>
        <w:pStyle w:val="notetext"/>
      </w:pPr>
      <w:r w:rsidRPr="004A5227">
        <w:t>Note</w:t>
      </w:r>
      <w:r w:rsidR="0003285F" w:rsidRPr="004A5227">
        <w:t xml:space="preserve"> 1</w:t>
      </w:r>
      <w:r w:rsidRPr="004A5227">
        <w:t>:</w:t>
      </w:r>
      <w:r w:rsidRPr="004A5227">
        <w:tab/>
      </w:r>
      <w:r w:rsidR="00D27EB1" w:rsidRPr="004A5227">
        <w:t xml:space="preserve">The general emergency service number is “000”. The number “106” is for </w:t>
      </w:r>
      <w:r w:rsidRPr="004A5227">
        <w:t xml:space="preserve">use with </w:t>
      </w:r>
      <w:r w:rsidR="00320D15" w:rsidRPr="004A5227">
        <w:t>teletypewriters (TTYs) and “</w:t>
      </w:r>
      <w:r w:rsidRPr="004A5227">
        <w:t>112</w:t>
      </w:r>
      <w:r w:rsidR="00320D15" w:rsidRPr="004A5227">
        <w:t>”</w:t>
      </w:r>
      <w:r w:rsidRPr="004A5227">
        <w:t xml:space="preserve"> is an alternative available for digital mobile phones.</w:t>
      </w:r>
    </w:p>
    <w:p w:rsidR="006C3438" w:rsidRPr="004A5227" w:rsidRDefault="0003285F" w:rsidP="0003285F">
      <w:pPr>
        <w:pStyle w:val="notetext"/>
      </w:pPr>
      <w:r w:rsidRPr="004A5227">
        <w:t>Note 2:</w:t>
      </w:r>
      <w:r w:rsidRPr="004A5227">
        <w:tab/>
      </w:r>
      <w:r w:rsidR="006C3438" w:rsidRPr="004A5227">
        <w:t>Section</w:t>
      </w:r>
      <w:r w:rsidR="004A5227" w:rsidRPr="004A5227">
        <w:t> </w:t>
      </w:r>
      <w:r w:rsidR="006C3438" w:rsidRPr="004A5227">
        <w:t xml:space="preserve">147 of the </w:t>
      </w:r>
      <w:r w:rsidR="006C3438" w:rsidRPr="004A5227">
        <w:rPr>
          <w:i/>
        </w:rPr>
        <w:t>Telecommunications (Consumer Protection and Service Standards) Act 1999</w:t>
      </w:r>
      <w:r w:rsidR="006C3438" w:rsidRPr="004A5227">
        <w:t xml:space="preserve"> requires the </w:t>
      </w:r>
      <w:proofErr w:type="spellStart"/>
      <w:r w:rsidR="006C3438" w:rsidRPr="004A5227">
        <w:t>ACMA</w:t>
      </w:r>
      <w:proofErr w:type="spellEnd"/>
      <w:r w:rsidR="006C3438" w:rsidRPr="004A5227">
        <w:t xml:space="preserve"> to make a determination imposing requirements in rela</w:t>
      </w:r>
      <w:r w:rsidRPr="004A5227">
        <w:t>tion to emergency call services.</w:t>
      </w:r>
    </w:p>
    <w:p w:rsidR="001A6E69" w:rsidRPr="004A5227" w:rsidRDefault="001A6E69" w:rsidP="001A6E69">
      <w:pPr>
        <w:pStyle w:val="ActHead2"/>
        <w:pageBreakBefore/>
      </w:pPr>
      <w:bookmarkStart w:id="49" w:name="_Toc413419048"/>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Special services numbers</w:t>
      </w:r>
      <w:bookmarkEnd w:id="49"/>
    </w:p>
    <w:p w:rsidR="001A6E69" w:rsidRPr="004A5227" w:rsidRDefault="001A6E69" w:rsidP="001A6E69">
      <w:pPr>
        <w:pStyle w:val="Header"/>
      </w:pPr>
      <w:r w:rsidRPr="004A5227">
        <w:rPr>
          <w:rStyle w:val="CharDivNo"/>
        </w:rPr>
        <w:t xml:space="preserve"> </w:t>
      </w:r>
      <w:r w:rsidRPr="004A5227">
        <w:rPr>
          <w:rStyle w:val="CharDivText"/>
        </w:rPr>
        <w:t xml:space="preserve"> </w:t>
      </w:r>
    </w:p>
    <w:p w:rsidR="001A6E69" w:rsidRPr="004A5227" w:rsidRDefault="00CA6815" w:rsidP="001A6E69">
      <w:pPr>
        <w:pStyle w:val="ActHead5"/>
      </w:pPr>
      <w:bookmarkStart w:id="50" w:name="_Toc413419049"/>
      <w:r w:rsidRPr="004A5227">
        <w:rPr>
          <w:rStyle w:val="CharSectno"/>
        </w:rPr>
        <w:t>31</w:t>
      </w:r>
      <w:r w:rsidR="001A6E69" w:rsidRPr="004A5227">
        <w:t xml:space="preserve">  Definition of </w:t>
      </w:r>
      <w:r w:rsidR="001A6E69" w:rsidRPr="004A5227">
        <w:rPr>
          <w:i/>
        </w:rPr>
        <w:t>special services number</w:t>
      </w:r>
      <w:bookmarkEnd w:id="50"/>
    </w:p>
    <w:p w:rsidR="001A6E69" w:rsidRPr="004A5227" w:rsidRDefault="001A6E69" w:rsidP="001A6E69">
      <w:pPr>
        <w:pStyle w:val="subsection"/>
      </w:pPr>
      <w:r w:rsidRPr="004A5227">
        <w:tab/>
      </w:r>
      <w:r w:rsidRPr="004A5227">
        <w:tab/>
        <w:t xml:space="preserve">A </w:t>
      </w:r>
      <w:r w:rsidRPr="004A5227">
        <w:rPr>
          <w:b/>
          <w:i/>
        </w:rPr>
        <w:t>special services number</w:t>
      </w:r>
      <w:r w:rsidRPr="004A5227">
        <w:t xml:space="preserve"> is a number:</w:t>
      </w:r>
    </w:p>
    <w:p w:rsidR="001A6E69" w:rsidRPr="004A5227" w:rsidRDefault="001A6E69" w:rsidP="001A6E69">
      <w:pPr>
        <w:pStyle w:val="paragraph"/>
      </w:pPr>
      <w:r w:rsidRPr="004A5227">
        <w:tab/>
        <w:t>(a)</w:t>
      </w:r>
      <w:r w:rsidRPr="004A5227">
        <w:tab/>
      </w:r>
      <w:r w:rsidR="00E73746" w:rsidRPr="004A5227">
        <w:t xml:space="preserve">beginning with </w:t>
      </w:r>
      <w:r w:rsidRPr="004A5227">
        <w:t>the digits set out in column 1 of an item in a table in Schedule</w:t>
      </w:r>
      <w:r w:rsidR="004A5227" w:rsidRPr="004A5227">
        <w:t> </w:t>
      </w:r>
      <w:r w:rsidR="00790A2E" w:rsidRPr="004A5227">
        <w:t>5</w:t>
      </w:r>
      <w:r w:rsidRPr="004A5227">
        <w:t>; and</w:t>
      </w:r>
    </w:p>
    <w:p w:rsidR="001A6E69" w:rsidRPr="004A5227" w:rsidRDefault="001A6E69" w:rsidP="001A6E69">
      <w:pPr>
        <w:pStyle w:val="paragraph"/>
      </w:pPr>
      <w:r w:rsidRPr="004A5227">
        <w:tab/>
        <w:t>(b)</w:t>
      </w:r>
      <w:r w:rsidRPr="004A5227">
        <w:tab/>
      </w:r>
      <w:r w:rsidR="00E73746" w:rsidRPr="004A5227">
        <w:t xml:space="preserve">with </w:t>
      </w:r>
      <w:r w:rsidRPr="004A5227">
        <w:t>the number of digits set out in column 2 of the item.</w:t>
      </w:r>
    </w:p>
    <w:p w:rsidR="001A6E69" w:rsidRPr="004A5227" w:rsidRDefault="00CA6815" w:rsidP="001A6E69">
      <w:pPr>
        <w:pStyle w:val="ActHead5"/>
      </w:pPr>
      <w:bookmarkStart w:id="51" w:name="_Toc413419050"/>
      <w:r w:rsidRPr="004A5227">
        <w:rPr>
          <w:rStyle w:val="CharSectno"/>
        </w:rPr>
        <w:t>32</w:t>
      </w:r>
      <w:r w:rsidR="001A6E69" w:rsidRPr="004A5227">
        <w:t xml:space="preserve">  Use of special services numbers</w:t>
      </w:r>
      <w:bookmarkEnd w:id="51"/>
    </w:p>
    <w:p w:rsidR="000224CB" w:rsidRPr="004A5227" w:rsidRDefault="001A6E69" w:rsidP="001A6E69">
      <w:pPr>
        <w:pStyle w:val="subsection"/>
      </w:pPr>
      <w:r w:rsidRPr="004A5227">
        <w:tab/>
        <w:t>(1)</w:t>
      </w:r>
      <w:r w:rsidRPr="004A5227">
        <w:tab/>
        <w:t>A special services number identified in columns 1 and 2 of an item in a table in Schedule</w:t>
      </w:r>
      <w:r w:rsidR="004A5227" w:rsidRPr="004A5227">
        <w:t> </w:t>
      </w:r>
      <w:r w:rsidR="00790A2E" w:rsidRPr="004A5227">
        <w:t>5</w:t>
      </w:r>
      <w:r w:rsidRPr="004A5227">
        <w:t xml:space="preserve"> may be used only for a type of carriage service mentioned in column 3 of the item.</w:t>
      </w:r>
    </w:p>
    <w:p w:rsidR="006F0859" w:rsidRPr="004A5227" w:rsidRDefault="006F0859" w:rsidP="006F0859">
      <w:pPr>
        <w:pStyle w:val="subsection"/>
      </w:pPr>
      <w:r w:rsidRPr="004A5227">
        <w:tab/>
        <w:t>(2)</w:t>
      </w:r>
      <w:r w:rsidRPr="004A5227">
        <w:tab/>
        <w:t xml:space="preserve">A special services number is </w:t>
      </w:r>
      <w:r w:rsidRPr="004A5227">
        <w:rPr>
          <w:b/>
          <w:i/>
        </w:rPr>
        <w:t>specified for use</w:t>
      </w:r>
      <w:r w:rsidRPr="004A5227">
        <w:t xml:space="preserve"> with a type of service if the type of service is mentioned for the number in column 3 of a table in Schedule</w:t>
      </w:r>
      <w:r w:rsidR="004A5227" w:rsidRPr="004A5227">
        <w:t> </w:t>
      </w:r>
      <w:r w:rsidR="00790A2E" w:rsidRPr="004A5227">
        <w:t>5</w:t>
      </w:r>
      <w:r w:rsidRPr="004A5227">
        <w:t>.</w:t>
      </w:r>
    </w:p>
    <w:p w:rsidR="000224CB" w:rsidRPr="004A5227" w:rsidRDefault="000224CB" w:rsidP="00BB221F">
      <w:pPr>
        <w:pStyle w:val="subsection"/>
      </w:pPr>
      <w:r w:rsidRPr="004A5227">
        <w:tab/>
        <w:t>(3)</w:t>
      </w:r>
      <w:r w:rsidRPr="004A5227">
        <w:tab/>
        <w:t xml:space="preserve">Despite </w:t>
      </w:r>
      <w:r w:rsidR="004A5227" w:rsidRPr="004A5227">
        <w:t>subsection (</w:t>
      </w:r>
      <w:r w:rsidRPr="004A5227">
        <w:t>1), a speci</w:t>
      </w:r>
      <w:r w:rsidR="00317F05" w:rsidRPr="004A5227">
        <w:t xml:space="preserve">al services number that is also </w:t>
      </w:r>
      <w:r w:rsidRPr="004A5227">
        <w:t>an access code specified for use with an incoming only international service</w:t>
      </w:r>
      <w:r w:rsidR="00BB221F" w:rsidRPr="004A5227">
        <w:t xml:space="preserve"> </w:t>
      </w:r>
      <w:r w:rsidRPr="004A5227">
        <w:t xml:space="preserve">may be used for </w:t>
      </w:r>
      <w:r w:rsidR="00BB221F" w:rsidRPr="004A5227">
        <w:t>both purposes</w:t>
      </w:r>
      <w:r w:rsidRPr="004A5227">
        <w:t>.</w:t>
      </w:r>
    </w:p>
    <w:p w:rsidR="000224CB" w:rsidRPr="004A5227" w:rsidRDefault="000224CB" w:rsidP="000224CB">
      <w:pPr>
        <w:pStyle w:val="notetext"/>
      </w:pPr>
      <w:r w:rsidRPr="004A5227">
        <w:t>Note:</w:t>
      </w:r>
      <w:r w:rsidRPr="004A5227">
        <w:tab/>
        <w:t>See section</w:t>
      </w:r>
      <w:r w:rsidR="004A5227" w:rsidRPr="004A5227">
        <w:t> </w:t>
      </w:r>
      <w:r w:rsidR="00CA6815" w:rsidRPr="004A5227">
        <w:t>39</w:t>
      </w:r>
      <w:r w:rsidR="00091E0E" w:rsidRPr="004A5227">
        <w:t xml:space="preserve"> and Schedule</w:t>
      </w:r>
      <w:r w:rsidR="004A5227" w:rsidRPr="004A5227">
        <w:t> </w:t>
      </w:r>
      <w:r w:rsidR="00790A2E" w:rsidRPr="004A5227">
        <w:t>6</w:t>
      </w:r>
      <w:r w:rsidR="00091E0E" w:rsidRPr="004A5227">
        <w:t xml:space="preserve"> </w:t>
      </w:r>
      <w:r w:rsidRPr="004A5227">
        <w:t>for specification of the use of access codes.</w:t>
      </w:r>
      <w:r w:rsidR="00091E0E" w:rsidRPr="004A5227">
        <w:t xml:space="preserve"> The same number can be used for both purposes because one use will be for calls originating in Australia and the other will be for calls made from outside Australia.</w:t>
      </w:r>
    </w:p>
    <w:p w:rsidR="001A6E69" w:rsidRPr="004A5227" w:rsidRDefault="001A6E69" w:rsidP="008101C3">
      <w:pPr>
        <w:pStyle w:val="SubsectionHead"/>
      </w:pPr>
      <w:r w:rsidRPr="004A5227">
        <w:t>Incoming international access</w:t>
      </w:r>
    </w:p>
    <w:p w:rsidR="001A6E69" w:rsidRPr="004A5227" w:rsidRDefault="001A6E69" w:rsidP="001A6E69">
      <w:pPr>
        <w:pStyle w:val="subsection"/>
      </w:pPr>
      <w:r w:rsidRPr="004A5227">
        <w:tab/>
        <w:t>(</w:t>
      </w:r>
      <w:r w:rsidR="000224CB" w:rsidRPr="004A5227">
        <w:t>4</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No</w:t>
      </w:r>
      <w:r w:rsidR="00320D15" w:rsidRPr="004A5227">
        <w:t>”</w:t>
      </w:r>
      <w:r w:rsidRPr="004A5227">
        <w:t xml:space="preserve"> in column 4, a special services number identified in columns 1 and 2 of the item must not be used in connection with the supply of a carriage service that routes an incoming call from outside Australia to the number.</w:t>
      </w:r>
    </w:p>
    <w:p w:rsidR="001A6E69" w:rsidRPr="004A5227" w:rsidRDefault="001A6E69" w:rsidP="001A6E69">
      <w:pPr>
        <w:pStyle w:val="subsection"/>
      </w:pPr>
      <w:r w:rsidRPr="004A5227">
        <w:tab/>
        <w:t>(</w:t>
      </w:r>
      <w:r w:rsidR="000224CB" w:rsidRPr="004A5227">
        <w:t>5</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4, a special services number identified in columns 1 and 2 of the item may be used in connection with </w:t>
      </w:r>
      <w:r w:rsidR="00320D15" w:rsidRPr="004A5227">
        <w:t xml:space="preserve">the </w:t>
      </w:r>
      <w:r w:rsidRPr="004A5227">
        <w:t>supply of a carriage service that routes an incoming call from outside Australia to the number.</w:t>
      </w:r>
    </w:p>
    <w:p w:rsidR="001A6E69" w:rsidRPr="004A5227" w:rsidRDefault="001A6E69" w:rsidP="001A6E69">
      <w:pPr>
        <w:pStyle w:val="SubsectionHead"/>
      </w:pPr>
      <w:r w:rsidRPr="004A5227">
        <w:t>Low charge numbers</w:t>
      </w:r>
    </w:p>
    <w:p w:rsidR="001A6E69" w:rsidRPr="004A5227" w:rsidRDefault="001A6E69" w:rsidP="001A6E69">
      <w:pPr>
        <w:pStyle w:val="subsection"/>
      </w:pPr>
      <w:r w:rsidRPr="004A5227">
        <w:tab/>
        <w:t>(</w:t>
      </w:r>
      <w:r w:rsidR="000224CB" w:rsidRPr="004A5227">
        <w:t>6</w:t>
      </w:r>
      <w:r w:rsidRPr="004A5227">
        <w:t>)</w:t>
      </w:r>
      <w:r w:rsidRPr="004A5227">
        <w:tab/>
        <w:t>If an item in a table in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5, </w:t>
      </w:r>
      <w:r w:rsidR="004A5227" w:rsidRPr="004A5227">
        <w:t>subsection (</w:t>
      </w:r>
      <w:r w:rsidR="00BA7A32" w:rsidRPr="004A5227">
        <w:t>7</w:t>
      </w:r>
      <w:r w:rsidRPr="004A5227">
        <w:t>) applies to calls made by a customer to a special services number identified in columns 1 and 2 using a standard telephone service other than a public mobile telecommunications service.</w:t>
      </w:r>
    </w:p>
    <w:p w:rsidR="001A6E69" w:rsidRPr="004A5227" w:rsidRDefault="001A6E69" w:rsidP="001A6E69">
      <w:pPr>
        <w:pStyle w:val="subsection"/>
      </w:pPr>
      <w:r w:rsidRPr="004A5227">
        <w:tab/>
        <w:t>(</w:t>
      </w:r>
      <w:r w:rsidR="000224CB" w:rsidRPr="004A5227">
        <w:t>7</w:t>
      </w:r>
      <w:r w:rsidRPr="004A5227">
        <w:t>)</w:t>
      </w:r>
      <w:r w:rsidRPr="004A5227">
        <w:tab/>
        <w:t>The charge for a call, disregarding any optional discounts and surcharges:</w:t>
      </w:r>
    </w:p>
    <w:p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rsidR="001A6E69" w:rsidRPr="004A5227" w:rsidRDefault="001A6E69" w:rsidP="001A6E69">
      <w:pPr>
        <w:pStyle w:val="paragraph"/>
      </w:pPr>
      <w:r w:rsidRPr="004A5227">
        <w:tab/>
        <w:t>(b)</w:t>
      </w:r>
      <w:r w:rsidRPr="004A5227">
        <w:tab/>
        <w:t>must not be more than the low charge amount.</w:t>
      </w:r>
    </w:p>
    <w:p w:rsidR="001A6E69" w:rsidRPr="004A5227" w:rsidRDefault="00CA6815" w:rsidP="001A6E69">
      <w:pPr>
        <w:pStyle w:val="ActHead5"/>
      </w:pPr>
      <w:bookmarkStart w:id="52" w:name="_Toc413419051"/>
      <w:r w:rsidRPr="004A5227">
        <w:rPr>
          <w:rStyle w:val="CharSectno"/>
        </w:rPr>
        <w:lastRenderedPageBreak/>
        <w:t>33</w:t>
      </w:r>
      <w:r w:rsidR="001A6E69" w:rsidRPr="004A5227">
        <w:t xml:space="preserve">  Use of 1223 for operator services on carriage service with price control arrangements</w:t>
      </w:r>
      <w:bookmarkEnd w:id="52"/>
    </w:p>
    <w:p w:rsidR="001A6E69" w:rsidRPr="004A5227" w:rsidRDefault="001A6E69" w:rsidP="001A6E69">
      <w:pPr>
        <w:pStyle w:val="subsection"/>
      </w:pPr>
      <w:r w:rsidRPr="004A5227">
        <w:tab/>
        <w:t>(1)</w:t>
      </w:r>
      <w:r w:rsidRPr="004A5227">
        <w:tab/>
        <w:t xml:space="preserve">A carriage service provider may only use the number </w:t>
      </w:r>
      <w:r w:rsidR="00320D15" w:rsidRPr="004A5227">
        <w:t>“</w:t>
      </w:r>
      <w:r w:rsidRPr="004A5227">
        <w:t>1223</w:t>
      </w:r>
      <w:r w:rsidR="00320D15" w:rsidRPr="004A5227">
        <w:t>”</w:t>
      </w:r>
      <w:r w:rsidRPr="004A5227">
        <w:t xml:space="preserve"> in connection with the supply of an operator service other than a directory assistance service (an </w:t>
      </w:r>
      <w:r w:rsidRPr="004A5227">
        <w:rPr>
          <w:b/>
          <w:i/>
        </w:rPr>
        <w:t>optional service</w:t>
      </w:r>
      <w:r w:rsidRPr="004A5227">
        <w:t>) in response to calls made using a carriage service:</w:t>
      </w:r>
    </w:p>
    <w:p w:rsidR="001A6E69" w:rsidRPr="004A5227" w:rsidRDefault="001A6E69" w:rsidP="001A6E69">
      <w:pPr>
        <w:pStyle w:val="paragraph"/>
      </w:pPr>
      <w:r w:rsidRPr="004A5227">
        <w:tab/>
        <w:t>(a)</w:t>
      </w:r>
      <w:r w:rsidRPr="004A5227">
        <w:tab/>
        <w:t>that is not a public mobile telecommunications service; and</w:t>
      </w:r>
    </w:p>
    <w:p w:rsidR="001A6E69" w:rsidRPr="004A5227" w:rsidRDefault="001A6E69" w:rsidP="001A6E69">
      <w:pPr>
        <w:pStyle w:val="paragraph"/>
      </w:pPr>
      <w:r w:rsidRPr="004A5227">
        <w:tab/>
        <w:t>(b)</w:t>
      </w:r>
      <w:r w:rsidRPr="004A5227">
        <w:tab/>
        <w:t>the charge for which is subject to the price control arrangements specified in a determination made by the Minister under subsection</w:t>
      </w:r>
      <w:r w:rsidR="004A5227" w:rsidRPr="004A5227">
        <w:t> </w:t>
      </w:r>
      <w:r w:rsidRPr="004A5227">
        <w:t xml:space="preserve">154(1) of the </w:t>
      </w:r>
      <w:r w:rsidRPr="004A5227">
        <w:rPr>
          <w:i/>
        </w:rPr>
        <w:t>Telecommunications (Consumer Protection and Service Standards) Act 1999</w:t>
      </w:r>
      <w:r w:rsidRPr="004A5227">
        <w:t>;</w:t>
      </w:r>
    </w:p>
    <w:p w:rsidR="001A6E69" w:rsidRPr="004A5227" w:rsidRDefault="001A6E69" w:rsidP="001A6E69">
      <w:pPr>
        <w:pStyle w:val="subsection2"/>
      </w:pPr>
      <w:r w:rsidRPr="004A5227">
        <w:t>if the optional service is provided in accordance with an approved operation plan.</w:t>
      </w:r>
    </w:p>
    <w:p w:rsidR="001A6E69" w:rsidRPr="004A5227" w:rsidRDefault="001A6E69" w:rsidP="001A6E69">
      <w:pPr>
        <w:pStyle w:val="subsection"/>
      </w:pPr>
      <w:r w:rsidRPr="004A5227">
        <w:tab/>
        <w:t>(2)</w:t>
      </w:r>
      <w:r w:rsidRPr="004A5227">
        <w:tab/>
        <w:t>An operation plan must set out arrangements to ensure the following outcomes:</w:t>
      </w:r>
    </w:p>
    <w:p w:rsidR="001A6E69" w:rsidRPr="004A5227" w:rsidRDefault="001A6E69" w:rsidP="001A6E69">
      <w:pPr>
        <w:pStyle w:val="paragraph"/>
      </w:pPr>
      <w:r w:rsidRPr="004A5227">
        <w:tab/>
        <w:t>(a)</w:t>
      </w:r>
      <w:r w:rsidRPr="004A5227">
        <w:tab/>
        <w:t>that the carriage service provider will continue to supply a directory assistance service;</w:t>
      </w:r>
    </w:p>
    <w:p w:rsidR="001A6E69" w:rsidRPr="004A5227" w:rsidRDefault="001A6E69" w:rsidP="001A6E69">
      <w:pPr>
        <w:pStyle w:val="paragraph"/>
      </w:pPr>
      <w:r w:rsidRPr="004A5227">
        <w:tab/>
        <w:t>(b)</w:t>
      </w:r>
      <w:r w:rsidRPr="004A5227">
        <w:tab/>
        <w:t xml:space="preserve">that the supply of optional services on </w:t>
      </w:r>
      <w:r w:rsidR="00320D15" w:rsidRPr="004A5227">
        <w:t>“</w:t>
      </w:r>
      <w:r w:rsidRPr="004A5227">
        <w:t>1223</w:t>
      </w:r>
      <w:r w:rsidR="00320D15" w:rsidRPr="004A5227">
        <w:t>”</w:t>
      </w:r>
      <w:r w:rsidRPr="004A5227">
        <w:t xml:space="preserve"> will not diminish access to, or the supply of, the directory assistance service;</w:t>
      </w:r>
    </w:p>
    <w:p w:rsidR="001A6E69" w:rsidRPr="004A5227" w:rsidRDefault="001A6E69" w:rsidP="001A6E69">
      <w:pPr>
        <w:pStyle w:val="paragraph"/>
      </w:pPr>
      <w:r w:rsidRPr="004A5227">
        <w:tab/>
        <w:t>(c)</w:t>
      </w:r>
      <w:r w:rsidRPr="004A5227">
        <w:tab/>
        <w:t>that consumers will be adequately informed about the availability of the optional service and any charges applicable to the supply of the optional service.</w:t>
      </w:r>
    </w:p>
    <w:p w:rsidR="001A6E69" w:rsidRPr="004A5227" w:rsidRDefault="00CA6815" w:rsidP="001A6E69">
      <w:pPr>
        <w:pStyle w:val="ActHead5"/>
      </w:pPr>
      <w:bookmarkStart w:id="53" w:name="_Toc413419052"/>
      <w:r w:rsidRPr="004A5227">
        <w:rPr>
          <w:rStyle w:val="CharSectno"/>
        </w:rPr>
        <w:t>34</w:t>
      </w:r>
      <w:r w:rsidR="001A6E69" w:rsidRPr="004A5227">
        <w:t xml:space="preserve">  Approval of operation plan</w:t>
      </w:r>
      <w:bookmarkEnd w:id="53"/>
    </w:p>
    <w:p w:rsidR="001A6E69" w:rsidRPr="004A5227" w:rsidRDefault="001A6E69" w:rsidP="001A6E69">
      <w:pPr>
        <w:pStyle w:val="subsection"/>
      </w:pPr>
      <w:r w:rsidRPr="004A5227">
        <w:tab/>
        <w:t>(1)</w:t>
      </w:r>
      <w:r w:rsidRPr="004A5227">
        <w:tab/>
        <w:t xml:space="preserve">A carriage service provider may apply to the </w:t>
      </w:r>
      <w:proofErr w:type="spellStart"/>
      <w:r w:rsidRPr="004A5227">
        <w:t>ACMA</w:t>
      </w:r>
      <w:proofErr w:type="spellEnd"/>
      <w:r w:rsidRPr="004A5227">
        <w:t xml:space="preserve"> for approval of an operation plan in relation to the provision of an optional service.</w:t>
      </w:r>
    </w:p>
    <w:p w:rsidR="001A6E69" w:rsidRPr="004A5227" w:rsidRDefault="001A6E69" w:rsidP="001A6E69">
      <w:pPr>
        <w:pStyle w:val="subsection"/>
      </w:pPr>
      <w:r w:rsidRPr="004A5227">
        <w:tab/>
        <w:t>(2)</w:t>
      </w:r>
      <w:r w:rsidRPr="004A5227">
        <w:tab/>
        <w:t xml:space="preserve">Before making an application, the carriage service provider must consult about the provision of the optional service with consumer organisations that are appropriate to the circumstances in which, and the </w:t>
      </w:r>
      <w:r w:rsidR="00BA7A32" w:rsidRPr="004A5227">
        <w:t>customers</w:t>
      </w:r>
      <w:r w:rsidRPr="004A5227">
        <w:t xml:space="preserve"> to whom, the carriage service provider proposes to supply the optional service.</w:t>
      </w:r>
    </w:p>
    <w:p w:rsidR="001A6E69" w:rsidRPr="004A5227" w:rsidRDefault="001A6E69" w:rsidP="001A6E69">
      <w:pPr>
        <w:pStyle w:val="subsection"/>
      </w:pPr>
      <w:r w:rsidRPr="004A5227">
        <w:tab/>
        <w:t>(3)</w:t>
      </w:r>
      <w:r w:rsidRPr="004A5227">
        <w:tab/>
        <w:t xml:space="preserve">The application must be in a form approved by the </w:t>
      </w:r>
      <w:proofErr w:type="spellStart"/>
      <w:r w:rsidRPr="004A5227">
        <w:t>ACMA</w:t>
      </w:r>
      <w:proofErr w:type="spellEnd"/>
      <w:r w:rsidRPr="004A5227">
        <w:t xml:space="preserve"> and be accompanied by:</w:t>
      </w:r>
    </w:p>
    <w:p w:rsidR="001A6E69" w:rsidRPr="004A5227" w:rsidRDefault="001A6E69" w:rsidP="001A6E69">
      <w:pPr>
        <w:pStyle w:val="paragraph"/>
      </w:pPr>
      <w:r w:rsidRPr="004A5227">
        <w:t xml:space="preserve"> </w:t>
      </w:r>
      <w:r w:rsidRPr="004A5227">
        <w:tab/>
        <w:t>(a)</w:t>
      </w:r>
      <w:r w:rsidRPr="004A5227">
        <w:tab/>
        <w:t>a copy of the operation plan; and</w:t>
      </w:r>
    </w:p>
    <w:p w:rsidR="001A6E69" w:rsidRPr="004A5227" w:rsidRDefault="001A6E69" w:rsidP="001A6E69">
      <w:pPr>
        <w:pStyle w:val="paragraph"/>
      </w:pPr>
      <w:r w:rsidRPr="004A5227">
        <w:tab/>
        <w:t>(b)</w:t>
      </w:r>
      <w:r w:rsidRPr="004A5227">
        <w:tab/>
        <w:t>a documented record of the consultations undertaken.</w:t>
      </w:r>
    </w:p>
    <w:p w:rsidR="001A6E69" w:rsidRPr="004A5227" w:rsidRDefault="001A6E69" w:rsidP="001A6E69">
      <w:pPr>
        <w:pStyle w:val="subsection"/>
      </w:pPr>
      <w:r w:rsidRPr="004A5227">
        <w:tab/>
        <w:t>(4)</w:t>
      </w:r>
      <w:r w:rsidRPr="004A5227">
        <w:tab/>
        <w:t xml:space="preserve">The </w:t>
      </w:r>
      <w:proofErr w:type="spellStart"/>
      <w:r w:rsidRPr="004A5227">
        <w:t>ACMA</w:t>
      </w:r>
      <w:proofErr w:type="spellEnd"/>
      <w:r w:rsidRPr="004A5227">
        <w:t xml:space="preserve"> must make a decision to approve or </w:t>
      </w:r>
      <w:r w:rsidR="00615DA5" w:rsidRPr="004A5227">
        <w:t>not</w:t>
      </w:r>
      <w:r w:rsidRPr="004A5227">
        <w:t xml:space="preserve"> to approve the operation plan </w:t>
      </w:r>
      <w:r w:rsidR="00FC51CC" w:rsidRPr="004A5227">
        <w:t xml:space="preserve">no later than </w:t>
      </w:r>
      <w:r w:rsidRPr="004A5227">
        <w:t>60 business days after receiving the application.</w:t>
      </w:r>
    </w:p>
    <w:p w:rsidR="001A6E69" w:rsidRPr="004A5227" w:rsidRDefault="001A6E69" w:rsidP="001A6E69">
      <w:pPr>
        <w:pStyle w:val="subsection"/>
      </w:pPr>
      <w:r w:rsidRPr="004A5227">
        <w:tab/>
        <w:t>(5)</w:t>
      </w:r>
      <w:r w:rsidRPr="004A5227">
        <w:tab/>
        <w:t xml:space="preserve">The </w:t>
      </w:r>
      <w:proofErr w:type="spellStart"/>
      <w:r w:rsidRPr="004A5227">
        <w:t>ACMA</w:t>
      </w:r>
      <w:proofErr w:type="spellEnd"/>
      <w:r w:rsidRPr="004A5227">
        <w:t xml:space="preserve"> may ask the carriage service provider, in writing, to give it further information about matters relevant to the application to </w:t>
      </w:r>
      <w:r w:rsidR="00320D15" w:rsidRPr="004A5227">
        <w:t>assist</w:t>
      </w:r>
      <w:r w:rsidRPr="004A5227">
        <w:t xml:space="preserve"> it to consider the application.</w:t>
      </w:r>
    </w:p>
    <w:p w:rsidR="001A6E69" w:rsidRPr="004A5227" w:rsidRDefault="001A6E69" w:rsidP="001A6E69">
      <w:pPr>
        <w:pStyle w:val="subsection"/>
      </w:pPr>
      <w:r w:rsidRPr="004A5227">
        <w:tab/>
        <w:t>(6)</w:t>
      </w:r>
      <w:r w:rsidRPr="004A5227">
        <w:tab/>
        <w:t xml:space="preserve">The 60 business days mentioned in </w:t>
      </w:r>
      <w:r w:rsidR="004A5227" w:rsidRPr="004A5227">
        <w:t>subsection (</w:t>
      </w:r>
      <w:r w:rsidRPr="004A5227">
        <w:t>4) do not include a period:</w:t>
      </w:r>
    </w:p>
    <w:p w:rsidR="001A6E69" w:rsidRPr="004A5227" w:rsidRDefault="001A6E69" w:rsidP="001A6E69">
      <w:pPr>
        <w:pStyle w:val="paragraph"/>
      </w:pPr>
      <w:r w:rsidRPr="004A5227">
        <w:tab/>
        <w:t>(a)</w:t>
      </w:r>
      <w:r w:rsidRPr="004A5227">
        <w:tab/>
        <w:t xml:space="preserve">starting when the </w:t>
      </w:r>
      <w:proofErr w:type="spellStart"/>
      <w:r w:rsidRPr="004A5227">
        <w:t>ACMA</w:t>
      </w:r>
      <w:proofErr w:type="spellEnd"/>
      <w:r w:rsidRPr="004A5227">
        <w:t xml:space="preserve"> asks the carriage service provider for further information; and</w:t>
      </w:r>
    </w:p>
    <w:p w:rsidR="001A6E69" w:rsidRPr="004A5227" w:rsidRDefault="001A6E69" w:rsidP="001A6E69">
      <w:pPr>
        <w:pStyle w:val="paragraph"/>
      </w:pPr>
      <w:r w:rsidRPr="004A5227">
        <w:tab/>
        <w:t>(b)</w:t>
      </w:r>
      <w:r w:rsidRPr="004A5227">
        <w:tab/>
        <w:t xml:space="preserve">ending when the </w:t>
      </w:r>
      <w:proofErr w:type="spellStart"/>
      <w:r w:rsidRPr="004A5227">
        <w:t>ACMA</w:t>
      </w:r>
      <w:proofErr w:type="spellEnd"/>
      <w:r w:rsidRPr="004A5227">
        <w:t xml:space="preserve"> receives the information.</w:t>
      </w:r>
    </w:p>
    <w:p w:rsidR="001A6E69" w:rsidRPr="004A5227" w:rsidRDefault="001A6E69" w:rsidP="001A6E69">
      <w:pPr>
        <w:pStyle w:val="subsection"/>
      </w:pPr>
      <w:r w:rsidRPr="004A5227">
        <w:tab/>
        <w:t>(7)</w:t>
      </w:r>
      <w:r w:rsidRPr="004A5227">
        <w:tab/>
        <w:t xml:space="preserve">In considering the application, </w:t>
      </w:r>
      <w:r w:rsidR="00320D15" w:rsidRPr="004A5227">
        <w:t xml:space="preserve">the </w:t>
      </w:r>
      <w:proofErr w:type="spellStart"/>
      <w:r w:rsidRPr="004A5227">
        <w:t>ACMA</w:t>
      </w:r>
      <w:proofErr w:type="spellEnd"/>
      <w:r w:rsidRPr="004A5227">
        <w:t xml:space="preserve"> must have regard to the opinion of each consumer organisation that the carriage service provider has consulted about the provision of the optional service.</w:t>
      </w:r>
    </w:p>
    <w:p w:rsidR="001A6E69" w:rsidRPr="004A5227" w:rsidRDefault="001A6E69" w:rsidP="001A6E69">
      <w:pPr>
        <w:pStyle w:val="subsection"/>
      </w:pPr>
      <w:r w:rsidRPr="004A5227">
        <w:lastRenderedPageBreak/>
        <w:tab/>
        <w:t>(8)</w:t>
      </w:r>
      <w:r w:rsidRPr="004A5227">
        <w:tab/>
        <w:t xml:space="preserve">The </w:t>
      </w:r>
      <w:proofErr w:type="spellStart"/>
      <w:r w:rsidRPr="004A5227">
        <w:t>ACMA</w:t>
      </w:r>
      <w:proofErr w:type="spellEnd"/>
      <w:r w:rsidRPr="004A5227">
        <w:t xml:space="preserve"> may have regard to any matter that the </w:t>
      </w:r>
      <w:proofErr w:type="spellStart"/>
      <w:r w:rsidRPr="004A5227">
        <w:t>ACMA</w:t>
      </w:r>
      <w:proofErr w:type="spellEnd"/>
      <w:r w:rsidRPr="004A5227">
        <w:t xml:space="preserve"> considers relevant.</w:t>
      </w:r>
    </w:p>
    <w:p w:rsidR="001A6E69" w:rsidRPr="004A5227" w:rsidRDefault="001A6E69" w:rsidP="001A6E69">
      <w:pPr>
        <w:pStyle w:val="subsection"/>
      </w:pPr>
      <w:r w:rsidRPr="004A5227">
        <w:tab/>
        <w:t>(9)</w:t>
      </w:r>
      <w:r w:rsidRPr="004A5227">
        <w:tab/>
        <w:t xml:space="preserve">The </w:t>
      </w:r>
      <w:proofErr w:type="spellStart"/>
      <w:r w:rsidRPr="004A5227">
        <w:t>ACMA</w:t>
      </w:r>
      <w:proofErr w:type="spellEnd"/>
      <w:r w:rsidRPr="004A5227">
        <w:t xml:space="preserve"> must not approve the operation plan if:</w:t>
      </w:r>
    </w:p>
    <w:p w:rsidR="001A6E69" w:rsidRPr="004A5227" w:rsidRDefault="001A6E69" w:rsidP="001A6E69">
      <w:pPr>
        <w:pStyle w:val="paragraph"/>
      </w:pPr>
      <w:r w:rsidRPr="004A5227">
        <w:tab/>
        <w:t>(a)</w:t>
      </w:r>
      <w:r w:rsidRPr="004A5227">
        <w:tab/>
        <w:t>it is not satisfied that the operation plan sets out appropriate arrangements for ensuring the outcomes set out in subsection</w:t>
      </w:r>
      <w:r w:rsidR="004A5227" w:rsidRPr="004A5227">
        <w:t> </w:t>
      </w:r>
      <w:r w:rsidR="00CA6815" w:rsidRPr="004A5227">
        <w:t>33</w:t>
      </w:r>
      <w:r w:rsidRPr="004A5227">
        <w:t>(2); or</w:t>
      </w:r>
    </w:p>
    <w:p w:rsidR="001A6E69" w:rsidRPr="004A5227" w:rsidRDefault="001A6E69" w:rsidP="001A6E69">
      <w:pPr>
        <w:pStyle w:val="paragraph"/>
      </w:pPr>
      <w:r w:rsidRPr="004A5227">
        <w:tab/>
        <w:t>(b)</w:t>
      </w:r>
      <w:r w:rsidRPr="004A5227">
        <w:tab/>
        <w:t>it is not satisfied that the operation plan is consistent with the objects of the Act; or</w:t>
      </w:r>
    </w:p>
    <w:p w:rsidR="001A6E69" w:rsidRPr="004A5227" w:rsidRDefault="001A6E69" w:rsidP="001A6E69">
      <w:pPr>
        <w:pStyle w:val="paragraph"/>
      </w:pPr>
      <w:r w:rsidRPr="004A5227">
        <w:tab/>
        <w:t>(c)</w:t>
      </w:r>
      <w:r w:rsidRPr="004A5227">
        <w:tab/>
        <w:t>it is not satisfied that the carriage service provider has had adequate consultations with appropriate consumer organisations about the provision of the optional service.</w:t>
      </w:r>
    </w:p>
    <w:p w:rsidR="001A6E69" w:rsidRPr="004A5227" w:rsidRDefault="001A6E69" w:rsidP="001A6E69">
      <w:pPr>
        <w:pStyle w:val="subsection"/>
      </w:pPr>
      <w:r w:rsidRPr="004A5227">
        <w:tab/>
        <w:t>(10)</w:t>
      </w:r>
      <w:r w:rsidRPr="004A5227">
        <w:tab/>
        <w:t xml:space="preserve">The </w:t>
      </w:r>
      <w:proofErr w:type="spellStart"/>
      <w:r w:rsidRPr="004A5227">
        <w:t>ACMA</w:t>
      </w:r>
      <w:proofErr w:type="spellEnd"/>
      <w:r w:rsidRPr="004A5227">
        <w:t xml:space="preserve"> must notify the carriage service provider of its decision in writing.</w:t>
      </w:r>
    </w:p>
    <w:p w:rsidR="001A6E69" w:rsidRPr="004A5227" w:rsidRDefault="00CA6815" w:rsidP="001A6E69">
      <w:pPr>
        <w:pStyle w:val="ActHead5"/>
      </w:pPr>
      <w:bookmarkStart w:id="54" w:name="_Toc413419053"/>
      <w:r w:rsidRPr="004A5227">
        <w:rPr>
          <w:rStyle w:val="CharSectno"/>
        </w:rPr>
        <w:t>35</w:t>
      </w:r>
      <w:r w:rsidR="001A6E69" w:rsidRPr="004A5227">
        <w:t xml:space="preserve">  Amendment or replacement of operation plan on application by carriage service provider</w:t>
      </w:r>
      <w:bookmarkEnd w:id="54"/>
    </w:p>
    <w:p w:rsidR="001A6E69" w:rsidRPr="004A5227" w:rsidRDefault="001A6E69" w:rsidP="001A6E69">
      <w:pPr>
        <w:pStyle w:val="subsection"/>
      </w:pPr>
      <w:r w:rsidRPr="004A5227">
        <w:tab/>
        <w:t>(1)</w:t>
      </w:r>
      <w:r w:rsidRPr="004A5227">
        <w:tab/>
        <w:t xml:space="preserve">A carriage service provider that has an approved operation plan in relation to the supply of an optional service may apply to the </w:t>
      </w:r>
      <w:proofErr w:type="spellStart"/>
      <w:r w:rsidRPr="004A5227">
        <w:t>ACMA</w:t>
      </w:r>
      <w:proofErr w:type="spellEnd"/>
      <w:r w:rsidRPr="004A5227">
        <w:t xml:space="preserve"> for approval of:</w:t>
      </w:r>
    </w:p>
    <w:p w:rsidR="001A6E69" w:rsidRPr="004A5227" w:rsidRDefault="001A6E69" w:rsidP="001A6E69">
      <w:pPr>
        <w:pStyle w:val="paragraph"/>
      </w:pPr>
      <w:r w:rsidRPr="004A5227">
        <w:tab/>
        <w:t>(a)</w:t>
      </w:r>
      <w:r w:rsidRPr="004A5227">
        <w:tab/>
        <w:t>an amendment of the approved operation plan; or</w:t>
      </w:r>
    </w:p>
    <w:p w:rsidR="001A6E69" w:rsidRPr="004A5227" w:rsidRDefault="001A6E69" w:rsidP="001A6E69">
      <w:pPr>
        <w:pStyle w:val="paragraph"/>
      </w:pPr>
      <w:r w:rsidRPr="004A5227">
        <w:tab/>
        <w:t>(b)</w:t>
      </w:r>
      <w:r w:rsidRPr="004A5227">
        <w:tab/>
        <w:t>a replacement operation plan.</w:t>
      </w:r>
    </w:p>
    <w:p w:rsidR="001A6E69" w:rsidRPr="004A5227" w:rsidRDefault="001A6E69" w:rsidP="001A6E69">
      <w:pPr>
        <w:pStyle w:val="subsection"/>
      </w:pPr>
      <w:r w:rsidRPr="004A5227">
        <w:tab/>
        <w:t>(2)</w:t>
      </w:r>
      <w:r w:rsidRPr="004A5227">
        <w:tab/>
        <w:t xml:space="preserve">The application must be in a form approved by the </w:t>
      </w:r>
      <w:proofErr w:type="spellStart"/>
      <w:r w:rsidRPr="004A5227">
        <w:t>ACMA</w:t>
      </w:r>
      <w:proofErr w:type="spellEnd"/>
      <w:r w:rsidRPr="004A5227">
        <w:t xml:space="preserve"> and be accompanied by a copy of the proposed amendment or replacement operation plan.</w:t>
      </w:r>
    </w:p>
    <w:p w:rsidR="001A6E69" w:rsidRPr="004A5227" w:rsidRDefault="001A6E69" w:rsidP="001A6E69">
      <w:pPr>
        <w:pStyle w:val="subsection"/>
      </w:pPr>
      <w:r w:rsidRPr="004A5227">
        <w:tab/>
        <w:t>(3)</w:t>
      </w:r>
      <w:r w:rsidRPr="004A5227">
        <w:tab/>
        <w:t xml:space="preserve">The </w:t>
      </w:r>
      <w:proofErr w:type="spellStart"/>
      <w:r w:rsidRPr="004A5227">
        <w:t>ACMA</w:t>
      </w:r>
      <w:proofErr w:type="spellEnd"/>
      <w:r w:rsidRPr="004A5227">
        <w:t xml:space="preserve"> must make a decision to approve or</w:t>
      </w:r>
      <w:r w:rsidR="00615DA5" w:rsidRPr="004A5227">
        <w:t xml:space="preserve"> not </w:t>
      </w:r>
      <w:r w:rsidRPr="004A5227">
        <w:t xml:space="preserve">to approve the amendment or the replacement operation plan </w:t>
      </w:r>
      <w:r w:rsidR="00FC51CC" w:rsidRPr="004A5227">
        <w:t>no later than</w:t>
      </w:r>
      <w:r w:rsidRPr="004A5227">
        <w:t xml:space="preserve"> 60 business days after receiving the application.</w:t>
      </w:r>
    </w:p>
    <w:p w:rsidR="001A6E69" w:rsidRPr="004A5227" w:rsidRDefault="001A6E69" w:rsidP="001A6E69">
      <w:pPr>
        <w:pStyle w:val="subsection"/>
      </w:pPr>
      <w:r w:rsidRPr="004A5227">
        <w:tab/>
        <w:t>(4)</w:t>
      </w:r>
      <w:r w:rsidRPr="004A5227">
        <w:tab/>
        <w:t xml:space="preserve">The </w:t>
      </w:r>
      <w:proofErr w:type="spellStart"/>
      <w:r w:rsidRPr="004A5227">
        <w:t>ACMA</w:t>
      </w:r>
      <w:proofErr w:type="spellEnd"/>
      <w:r w:rsidRPr="004A5227">
        <w:t xml:space="preserve"> may ask the carriage service provider, in writing, to give it further information about matters relevant to the application to a</w:t>
      </w:r>
      <w:r w:rsidR="00320D15" w:rsidRPr="004A5227">
        <w:t>ssist</w:t>
      </w:r>
      <w:r w:rsidRPr="004A5227">
        <w:t xml:space="preserve"> it to consider the application.</w:t>
      </w:r>
    </w:p>
    <w:p w:rsidR="001A6E69" w:rsidRPr="004A5227" w:rsidRDefault="001A6E69" w:rsidP="001A6E69">
      <w:pPr>
        <w:pStyle w:val="subsection"/>
      </w:pPr>
      <w:r w:rsidRPr="004A5227">
        <w:tab/>
        <w:t>(5)</w:t>
      </w:r>
      <w:r w:rsidRPr="004A5227">
        <w:tab/>
        <w:t xml:space="preserve">The 60 business days mentioned in </w:t>
      </w:r>
      <w:r w:rsidR="004A5227" w:rsidRPr="004A5227">
        <w:t>subsection (</w:t>
      </w:r>
      <w:r w:rsidRPr="004A5227">
        <w:t>3) do not include a period:</w:t>
      </w:r>
    </w:p>
    <w:p w:rsidR="001A6E69" w:rsidRPr="004A5227" w:rsidRDefault="001A6E69" w:rsidP="001A6E69">
      <w:pPr>
        <w:pStyle w:val="paragraph"/>
      </w:pPr>
      <w:r w:rsidRPr="004A5227">
        <w:tab/>
        <w:t>(a)</w:t>
      </w:r>
      <w:r w:rsidRPr="004A5227">
        <w:tab/>
        <w:t xml:space="preserve">starting when the </w:t>
      </w:r>
      <w:proofErr w:type="spellStart"/>
      <w:r w:rsidRPr="004A5227">
        <w:t>ACMA</w:t>
      </w:r>
      <w:proofErr w:type="spellEnd"/>
      <w:r w:rsidRPr="004A5227">
        <w:t xml:space="preserve"> asks the carriage service provider for further information; and</w:t>
      </w:r>
    </w:p>
    <w:p w:rsidR="001A6E69" w:rsidRPr="004A5227" w:rsidRDefault="001A6E69" w:rsidP="001A6E69">
      <w:pPr>
        <w:pStyle w:val="paragraph"/>
      </w:pPr>
      <w:r w:rsidRPr="004A5227">
        <w:tab/>
        <w:t>(b)</w:t>
      </w:r>
      <w:r w:rsidRPr="004A5227">
        <w:tab/>
        <w:t xml:space="preserve">ending when the </w:t>
      </w:r>
      <w:proofErr w:type="spellStart"/>
      <w:r w:rsidRPr="004A5227">
        <w:t>ACMA</w:t>
      </w:r>
      <w:proofErr w:type="spellEnd"/>
      <w:r w:rsidRPr="004A5227">
        <w:t xml:space="preserve"> receives the information.</w:t>
      </w:r>
    </w:p>
    <w:p w:rsidR="001A6E69" w:rsidRPr="004A5227" w:rsidRDefault="001A6E69" w:rsidP="001A6E69">
      <w:pPr>
        <w:pStyle w:val="subsection"/>
      </w:pPr>
      <w:r w:rsidRPr="004A5227">
        <w:tab/>
        <w:t>(6)</w:t>
      </w:r>
      <w:r w:rsidRPr="004A5227">
        <w:tab/>
        <w:t xml:space="preserve">The </w:t>
      </w:r>
      <w:proofErr w:type="spellStart"/>
      <w:r w:rsidRPr="004A5227">
        <w:t>ACMA</w:t>
      </w:r>
      <w:proofErr w:type="spellEnd"/>
      <w:r w:rsidRPr="004A5227">
        <w:t xml:space="preserve"> must not approve the amendment or replacement operation plan if:</w:t>
      </w:r>
    </w:p>
    <w:p w:rsidR="001A6E69" w:rsidRPr="004A5227" w:rsidRDefault="001A6E69" w:rsidP="001A6E69">
      <w:pPr>
        <w:pStyle w:val="paragraph"/>
      </w:pPr>
      <w:r w:rsidRPr="004A5227">
        <w:tab/>
        <w:t>(a)</w:t>
      </w:r>
      <w:r w:rsidRPr="004A5227">
        <w:tab/>
        <w:t>it is not satisfied that the arrangements in the amended operation plan or replacement operation plan will be more effective than the arrangements in the current approved operation plan in ensuring the outcomes mentioned in subsection</w:t>
      </w:r>
      <w:r w:rsidR="004A5227" w:rsidRPr="004A5227">
        <w:t> </w:t>
      </w:r>
      <w:r w:rsidR="00CA6815" w:rsidRPr="004A5227">
        <w:t>33</w:t>
      </w:r>
      <w:r w:rsidRPr="004A5227">
        <w:t>(2); or</w:t>
      </w:r>
    </w:p>
    <w:p w:rsidR="001A6E69" w:rsidRPr="004A5227" w:rsidRDefault="001A6E69" w:rsidP="001A6E69">
      <w:pPr>
        <w:pStyle w:val="paragraph"/>
      </w:pPr>
      <w:r w:rsidRPr="004A5227">
        <w:tab/>
        <w:t>(b)</w:t>
      </w:r>
      <w:r w:rsidRPr="004A5227">
        <w:tab/>
        <w:t>it is not satisfied that the amended operation plan or replacement operation plan is consistent with the objects of the Act.</w:t>
      </w:r>
    </w:p>
    <w:p w:rsidR="001A6E69" w:rsidRPr="004A5227" w:rsidRDefault="001A6E69" w:rsidP="001A6E69">
      <w:pPr>
        <w:pStyle w:val="subsection"/>
      </w:pPr>
      <w:r w:rsidRPr="004A5227">
        <w:tab/>
        <w:t>(7)</w:t>
      </w:r>
      <w:r w:rsidRPr="004A5227">
        <w:tab/>
        <w:t xml:space="preserve">The </w:t>
      </w:r>
      <w:proofErr w:type="spellStart"/>
      <w:r w:rsidRPr="004A5227">
        <w:t>ACMA</w:t>
      </w:r>
      <w:proofErr w:type="spellEnd"/>
      <w:r w:rsidRPr="004A5227">
        <w:t xml:space="preserve"> must notify the carriage service provider of its decision in writing.</w:t>
      </w:r>
    </w:p>
    <w:p w:rsidR="001A6E69" w:rsidRPr="004A5227" w:rsidRDefault="00CA6815" w:rsidP="001A6E69">
      <w:pPr>
        <w:pStyle w:val="ActHead5"/>
      </w:pPr>
      <w:bookmarkStart w:id="55" w:name="_Toc413419054"/>
      <w:r w:rsidRPr="004A5227">
        <w:rPr>
          <w:rStyle w:val="CharSectno"/>
        </w:rPr>
        <w:t>36</w:t>
      </w:r>
      <w:r w:rsidR="001A6E69" w:rsidRPr="004A5227">
        <w:t xml:space="preserve">  Amendment or replacement of operation plan at </w:t>
      </w:r>
      <w:proofErr w:type="spellStart"/>
      <w:r w:rsidR="001A6E69" w:rsidRPr="004A5227">
        <w:t>ACMA’s</w:t>
      </w:r>
      <w:proofErr w:type="spellEnd"/>
      <w:r w:rsidR="001A6E69" w:rsidRPr="004A5227">
        <w:t xml:space="preserve"> direction</w:t>
      </w:r>
      <w:bookmarkEnd w:id="55"/>
    </w:p>
    <w:p w:rsidR="001A6E69" w:rsidRPr="004A5227" w:rsidRDefault="001A6E69" w:rsidP="001A6E69">
      <w:pPr>
        <w:pStyle w:val="subsection"/>
      </w:pPr>
      <w:r w:rsidRPr="004A5227">
        <w:tab/>
        <w:t>(1)</w:t>
      </w:r>
      <w:r w:rsidRPr="004A5227">
        <w:tab/>
        <w:t xml:space="preserve">The </w:t>
      </w:r>
      <w:proofErr w:type="spellStart"/>
      <w:r w:rsidRPr="004A5227">
        <w:t>ACMA</w:t>
      </w:r>
      <w:proofErr w:type="spellEnd"/>
      <w:r w:rsidRPr="004A5227">
        <w:t xml:space="preserve"> may, in writing, direct a carriage service provider that has an approved operation plan in relation to the supply of an optional service:</w:t>
      </w:r>
    </w:p>
    <w:p w:rsidR="001A6E69" w:rsidRPr="004A5227" w:rsidRDefault="001A6E69" w:rsidP="001A6E69">
      <w:pPr>
        <w:pStyle w:val="paragraph"/>
      </w:pPr>
      <w:r w:rsidRPr="004A5227">
        <w:tab/>
        <w:t>(a)</w:t>
      </w:r>
      <w:r w:rsidRPr="004A5227">
        <w:tab/>
        <w:t>to amend the approved operation plan in a way set out in the direction; or</w:t>
      </w:r>
    </w:p>
    <w:p w:rsidR="001A6E69" w:rsidRPr="004A5227" w:rsidRDefault="001A6E69" w:rsidP="001A6E69">
      <w:pPr>
        <w:pStyle w:val="paragraph"/>
      </w:pPr>
      <w:r w:rsidRPr="004A5227">
        <w:lastRenderedPageBreak/>
        <w:tab/>
        <w:t>(b)</w:t>
      </w:r>
      <w:r w:rsidRPr="004A5227">
        <w:tab/>
        <w:t>to replace the approved operation plan with an operation plan set out in the direction.</w:t>
      </w:r>
    </w:p>
    <w:p w:rsidR="001A6E69" w:rsidRPr="004A5227" w:rsidRDefault="001A6E69" w:rsidP="001A6E69">
      <w:pPr>
        <w:pStyle w:val="subsection"/>
      </w:pPr>
      <w:r w:rsidRPr="004A5227">
        <w:tab/>
        <w:t>(2)</w:t>
      </w:r>
      <w:r w:rsidRPr="004A5227">
        <w:tab/>
        <w:t xml:space="preserve">However, the </w:t>
      </w:r>
      <w:proofErr w:type="spellStart"/>
      <w:r w:rsidRPr="004A5227">
        <w:t>ACMA</w:t>
      </w:r>
      <w:proofErr w:type="spellEnd"/>
      <w:r w:rsidRPr="004A5227">
        <w:t xml:space="preserve"> must not give a direction under </w:t>
      </w:r>
      <w:r w:rsidR="004A5227" w:rsidRPr="004A5227">
        <w:t>subsection (</w:t>
      </w:r>
      <w:r w:rsidRPr="004A5227">
        <w:t>1) unless it is satisfied that the arrangements in the amended operation plan or replacement operation plan will be more effective than the arrangements in the current operation plan in ensuring the outcomes mentioned in subsection</w:t>
      </w:r>
      <w:r w:rsidR="004A5227" w:rsidRPr="004A5227">
        <w:t> </w:t>
      </w:r>
      <w:r w:rsidR="00CA6815" w:rsidRPr="004A5227">
        <w:t>33</w:t>
      </w:r>
      <w:r w:rsidR="00FF0CD5" w:rsidRPr="004A5227">
        <w:t>(2).</w:t>
      </w:r>
    </w:p>
    <w:p w:rsidR="001A6E69" w:rsidRPr="004A5227" w:rsidRDefault="001A6E69" w:rsidP="001A6E69">
      <w:pPr>
        <w:pStyle w:val="subsection"/>
      </w:pPr>
      <w:r w:rsidRPr="004A5227">
        <w:tab/>
        <w:t>(</w:t>
      </w:r>
      <w:r w:rsidR="00FF0CD5" w:rsidRPr="004A5227">
        <w:t>3</w:t>
      </w:r>
      <w:r w:rsidRPr="004A5227">
        <w:t>)</w:t>
      </w:r>
      <w:r w:rsidRPr="004A5227">
        <w:tab/>
        <w:t xml:space="preserve">If the carriage service provider gives the </w:t>
      </w:r>
      <w:proofErr w:type="spellStart"/>
      <w:r w:rsidRPr="004A5227">
        <w:t>ACMA</w:t>
      </w:r>
      <w:proofErr w:type="spellEnd"/>
      <w:r w:rsidRPr="004A5227">
        <w:t xml:space="preserve"> an amended operation plan or replacement operation plan that the provider believes complies with a direction given under </w:t>
      </w:r>
      <w:r w:rsidR="004A5227" w:rsidRPr="004A5227">
        <w:t>subsection (</w:t>
      </w:r>
      <w:r w:rsidRPr="004A5227">
        <w:t xml:space="preserve">1), the </w:t>
      </w:r>
      <w:proofErr w:type="spellStart"/>
      <w:r w:rsidRPr="004A5227">
        <w:t>ACMA</w:t>
      </w:r>
      <w:proofErr w:type="spellEnd"/>
      <w:r w:rsidRPr="004A5227">
        <w:t xml:space="preserve"> must decide </w:t>
      </w:r>
      <w:r w:rsidR="00FC51CC" w:rsidRPr="004A5227">
        <w:t>no later than</w:t>
      </w:r>
      <w:r w:rsidRPr="004A5227">
        <w:t xml:space="preserve"> 60 business days after receiving the plan whether the carriage service provider has complied with the direction.</w:t>
      </w:r>
    </w:p>
    <w:p w:rsidR="001A6E69" w:rsidRPr="004A5227" w:rsidRDefault="001A6E69" w:rsidP="001A6E69">
      <w:pPr>
        <w:pStyle w:val="notetext"/>
      </w:pPr>
      <w:r w:rsidRPr="004A5227">
        <w:t>Note:</w:t>
      </w:r>
      <w:r w:rsidRPr="004A5227">
        <w:tab/>
        <w:t>A carriage service provider is not required to comply with the direction, and may instead decide to cease supplying the optional service.</w:t>
      </w:r>
    </w:p>
    <w:p w:rsidR="001A6E69" w:rsidRPr="004A5227" w:rsidRDefault="001A6E69" w:rsidP="001A6E69">
      <w:pPr>
        <w:pStyle w:val="subsection"/>
      </w:pPr>
      <w:r w:rsidRPr="004A5227">
        <w:tab/>
        <w:t>(</w:t>
      </w:r>
      <w:r w:rsidR="00FF0CD5" w:rsidRPr="004A5227">
        <w:t>4</w:t>
      </w:r>
      <w:r w:rsidRPr="004A5227">
        <w:t>)</w:t>
      </w:r>
      <w:r w:rsidRPr="004A5227">
        <w:tab/>
        <w:t xml:space="preserve">If the </w:t>
      </w:r>
      <w:proofErr w:type="spellStart"/>
      <w:r w:rsidRPr="004A5227">
        <w:t>ACMA</w:t>
      </w:r>
      <w:proofErr w:type="spellEnd"/>
      <w:r w:rsidRPr="004A5227">
        <w:t xml:space="preserve"> is satisfied that the carriage service provider has complied with the direction, the </w:t>
      </w:r>
      <w:proofErr w:type="spellStart"/>
      <w:r w:rsidRPr="004A5227">
        <w:t>ACMA</w:t>
      </w:r>
      <w:proofErr w:type="spellEnd"/>
      <w:r w:rsidRPr="004A5227">
        <w:t xml:space="preserve"> must approve the amended operation plan or replacement operation plan.</w:t>
      </w:r>
    </w:p>
    <w:p w:rsidR="001A6E69" w:rsidRPr="004A5227" w:rsidRDefault="001A6E69" w:rsidP="001A6E69">
      <w:pPr>
        <w:pStyle w:val="subsection"/>
      </w:pPr>
      <w:r w:rsidRPr="004A5227">
        <w:tab/>
        <w:t>(</w:t>
      </w:r>
      <w:r w:rsidR="00FF0CD5" w:rsidRPr="004A5227">
        <w:t>5</w:t>
      </w:r>
      <w:r w:rsidRPr="004A5227">
        <w:t>)</w:t>
      </w:r>
      <w:r w:rsidRPr="004A5227">
        <w:tab/>
        <w:t xml:space="preserve">The </w:t>
      </w:r>
      <w:proofErr w:type="spellStart"/>
      <w:r w:rsidRPr="004A5227">
        <w:t>ACMA</w:t>
      </w:r>
      <w:proofErr w:type="spellEnd"/>
      <w:r w:rsidRPr="004A5227">
        <w:t xml:space="preserve"> must notify the carriage service provider of its decision in writing.</w:t>
      </w:r>
    </w:p>
    <w:p w:rsidR="001A6E69" w:rsidRPr="004A5227" w:rsidRDefault="001A6E69" w:rsidP="001A6E69">
      <w:pPr>
        <w:pStyle w:val="subsection"/>
      </w:pPr>
      <w:r w:rsidRPr="004A5227">
        <w:tab/>
        <w:t>(</w:t>
      </w:r>
      <w:r w:rsidR="00FF0CD5" w:rsidRPr="004A5227">
        <w:t>6</w:t>
      </w:r>
      <w:r w:rsidRPr="004A5227">
        <w:t>)</w:t>
      </w:r>
      <w:r w:rsidRPr="004A5227">
        <w:tab/>
        <w:t xml:space="preserve">The </w:t>
      </w:r>
      <w:proofErr w:type="spellStart"/>
      <w:r w:rsidRPr="004A5227">
        <w:t>ACMA</w:t>
      </w:r>
      <w:proofErr w:type="spellEnd"/>
      <w:r w:rsidRPr="004A5227">
        <w:t xml:space="preserve"> may ask the carriage service provider, in writing, to give it further information to </w:t>
      </w:r>
      <w:r w:rsidR="00320D15" w:rsidRPr="004A5227">
        <w:t>assist</w:t>
      </w:r>
      <w:r w:rsidRPr="004A5227">
        <w:t xml:space="preserve"> it to consider the amended operation plan or replacement operation plan.</w:t>
      </w:r>
    </w:p>
    <w:p w:rsidR="001A6E69" w:rsidRPr="004A5227" w:rsidRDefault="001A6E69" w:rsidP="001A6E69">
      <w:pPr>
        <w:pStyle w:val="subsection"/>
      </w:pPr>
      <w:r w:rsidRPr="004A5227">
        <w:tab/>
        <w:t>(</w:t>
      </w:r>
      <w:r w:rsidR="00FF0CD5" w:rsidRPr="004A5227">
        <w:t>7</w:t>
      </w:r>
      <w:r w:rsidRPr="004A5227">
        <w:t>)</w:t>
      </w:r>
      <w:r w:rsidRPr="004A5227">
        <w:tab/>
        <w:t xml:space="preserve">The 60 business days mentioned in </w:t>
      </w:r>
      <w:r w:rsidR="004A5227" w:rsidRPr="004A5227">
        <w:t>subsection (</w:t>
      </w:r>
      <w:r w:rsidR="00FF0CD5" w:rsidRPr="004A5227">
        <w:t>3</w:t>
      </w:r>
      <w:r w:rsidRPr="004A5227">
        <w:t>) do not include a period:</w:t>
      </w:r>
    </w:p>
    <w:p w:rsidR="001A6E69" w:rsidRPr="004A5227" w:rsidRDefault="001A6E69" w:rsidP="001A6E69">
      <w:pPr>
        <w:pStyle w:val="paragraph"/>
      </w:pPr>
      <w:r w:rsidRPr="004A5227">
        <w:tab/>
        <w:t>(a)</w:t>
      </w:r>
      <w:r w:rsidRPr="004A5227">
        <w:tab/>
        <w:t xml:space="preserve">starting when the </w:t>
      </w:r>
      <w:proofErr w:type="spellStart"/>
      <w:r w:rsidRPr="004A5227">
        <w:t>ACMA</w:t>
      </w:r>
      <w:proofErr w:type="spellEnd"/>
      <w:r w:rsidRPr="004A5227">
        <w:t xml:space="preserve"> asks the carriage service provider for further information; and</w:t>
      </w:r>
    </w:p>
    <w:p w:rsidR="001A6E69" w:rsidRPr="004A5227" w:rsidRDefault="001A6E69" w:rsidP="001A6E69">
      <w:pPr>
        <w:pStyle w:val="paragraph"/>
      </w:pPr>
      <w:r w:rsidRPr="004A5227">
        <w:tab/>
        <w:t>(b)</w:t>
      </w:r>
      <w:r w:rsidRPr="004A5227">
        <w:tab/>
        <w:t xml:space="preserve">ending when the </w:t>
      </w:r>
      <w:proofErr w:type="spellStart"/>
      <w:r w:rsidRPr="004A5227">
        <w:t>ACMA</w:t>
      </w:r>
      <w:proofErr w:type="spellEnd"/>
      <w:r w:rsidRPr="004A5227">
        <w:t xml:space="preserve"> receives the information.</w:t>
      </w:r>
    </w:p>
    <w:p w:rsidR="00FF0CD5" w:rsidRPr="004A5227" w:rsidRDefault="00FF0CD5" w:rsidP="00FF0CD5">
      <w:pPr>
        <w:pStyle w:val="subsection"/>
      </w:pPr>
      <w:r w:rsidRPr="004A5227">
        <w:tab/>
        <w:t>(8)</w:t>
      </w:r>
      <w:r w:rsidRPr="004A5227">
        <w:tab/>
        <w:t xml:space="preserve">If the </w:t>
      </w:r>
      <w:proofErr w:type="spellStart"/>
      <w:r w:rsidRPr="004A5227">
        <w:t>ACMA</w:t>
      </w:r>
      <w:proofErr w:type="spellEnd"/>
      <w:r w:rsidRPr="004A5227">
        <w:t xml:space="preserve"> gives a carriage service provider a direction under </w:t>
      </w:r>
      <w:r w:rsidR="004A5227" w:rsidRPr="004A5227">
        <w:t>subsection (</w:t>
      </w:r>
      <w:r w:rsidRPr="004A5227">
        <w:t xml:space="preserve">1), and an amended operation plan or replacement operation plan is not approved </w:t>
      </w:r>
      <w:r w:rsidR="00FC51CC" w:rsidRPr="004A5227">
        <w:t xml:space="preserve">at the end of </w:t>
      </w:r>
      <w:r w:rsidR="00EA3C6B" w:rsidRPr="004A5227">
        <w:t>the</w:t>
      </w:r>
      <w:r w:rsidR="00FC51CC" w:rsidRPr="004A5227">
        <w:t xml:space="preserve"> period of </w:t>
      </w:r>
      <w:r w:rsidRPr="004A5227">
        <w:t xml:space="preserve">120 days </w:t>
      </w:r>
      <w:r w:rsidR="00EA3C6B" w:rsidRPr="004A5227">
        <w:t xml:space="preserve">beginning on the day </w:t>
      </w:r>
      <w:r w:rsidRPr="004A5227">
        <w:t>the direction is given, the current operation plan is</w:t>
      </w:r>
      <w:r w:rsidR="00FC51CC" w:rsidRPr="004A5227">
        <w:t xml:space="preserve"> taken to no longer be approved</w:t>
      </w:r>
      <w:r w:rsidRPr="004A5227">
        <w:t>.</w:t>
      </w:r>
    </w:p>
    <w:p w:rsidR="001A6E69" w:rsidRPr="004A5227" w:rsidRDefault="00CA6815" w:rsidP="001A6E69">
      <w:pPr>
        <w:pStyle w:val="ActHead5"/>
      </w:pPr>
      <w:bookmarkStart w:id="56" w:name="_Toc413419055"/>
      <w:r w:rsidRPr="004A5227">
        <w:rPr>
          <w:rStyle w:val="CharSectno"/>
        </w:rPr>
        <w:t>37</w:t>
      </w:r>
      <w:r w:rsidR="001A6E69" w:rsidRPr="004A5227">
        <w:t xml:space="preserve">  Cessation of service under operation plan</w:t>
      </w:r>
      <w:bookmarkEnd w:id="56"/>
    </w:p>
    <w:p w:rsidR="001A6E69" w:rsidRPr="004A5227" w:rsidRDefault="001A6E69" w:rsidP="001A6E69">
      <w:pPr>
        <w:pStyle w:val="subsection"/>
      </w:pPr>
      <w:r w:rsidRPr="004A5227">
        <w:tab/>
        <w:t>(1)</w:t>
      </w:r>
      <w:r w:rsidRPr="004A5227">
        <w:tab/>
        <w:t xml:space="preserve">If a carriage service provider that has an approved operation plan in relation to the supply of an optional service intends to cease the supply of the service, the carriage service provider must notify the </w:t>
      </w:r>
      <w:proofErr w:type="spellStart"/>
      <w:r w:rsidRPr="004A5227">
        <w:t>ACMA</w:t>
      </w:r>
      <w:proofErr w:type="spellEnd"/>
      <w:r w:rsidRPr="004A5227">
        <w:t>, in writing, of its intention as soon as practicable and before ceasing to supply the service.</w:t>
      </w:r>
    </w:p>
    <w:p w:rsidR="001A6E69" w:rsidRPr="004A5227" w:rsidRDefault="001A6E69" w:rsidP="001A6E69">
      <w:pPr>
        <w:pStyle w:val="subsection"/>
      </w:pPr>
      <w:r w:rsidRPr="004A5227">
        <w:tab/>
        <w:t>(2)</w:t>
      </w:r>
      <w:r w:rsidRPr="004A5227">
        <w:tab/>
        <w:t>The notification must include the likely date on which the carriage service provider will cease to supply the service.</w:t>
      </w:r>
    </w:p>
    <w:p w:rsidR="001A6E69" w:rsidRPr="004A5227" w:rsidRDefault="001A6E69" w:rsidP="001A6E69">
      <w:pPr>
        <w:pStyle w:val="ActHead2"/>
        <w:pageBreakBefore/>
      </w:pPr>
      <w:bookmarkStart w:id="57" w:name="_Toc413419056"/>
      <w:r w:rsidRPr="004A5227">
        <w:rPr>
          <w:rStyle w:val="CharPartNo"/>
        </w:rPr>
        <w:lastRenderedPageBreak/>
        <w:t>Part</w:t>
      </w:r>
      <w:r w:rsidR="004A5227" w:rsidRPr="004A5227">
        <w:rPr>
          <w:rStyle w:val="CharPartNo"/>
        </w:rPr>
        <w:t> </w:t>
      </w:r>
      <w:r w:rsidRPr="004A5227">
        <w:rPr>
          <w:rStyle w:val="CharPartNo"/>
        </w:rPr>
        <w:t>5</w:t>
      </w:r>
      <w:r w:rsidRPr="004A5227">
        <w:t>—</w:t>
      </w:r>
      <w:r w:rsidRPr="004A5227">
        <w:rPr>
          <w:rStyle w:val="CharPartText"/>
        </w:rPr>
        <w:t>Access codes</w:t>
      </w:r>
      <w:bookmarkEnd w:id="57"/>
    </w:p>
    <w:p w:rsidR="001A6E69" w:rsidRPr="004A5227" w:rsidRDefault="001A6E69" w:rsidP="001A6E69">
      <w:pPr>
        <w:pStyle w:val="Header"/>
      </w:pPr>
      <w:r w:rsidRPr="004A5227">
        <w:rPr>
          <w:rStyle w:val="CharDivNo"/>
        </w:rPr>
        <w:t xml:space="preserve"> </w:t>
      </w:r>
      <w:r w:rsidRPr="004A5227">
        <w:rPr>
          <w:rStyle w:val="CharDivText"/>
        </w:rPr>
        <w:t xml:space="preserve"> </w:t>
      </w:r>
    </w:p>
    <w:p w:rsidR="001A6E69" w:rsidRPr="004A5227" w:rsidRDefault="00CA6815" w:rsidP="001A6E69">
      <w:pPr>
        <w:pStyle w:val="ActHead5"/>
      </w:pPr>
      <w:bookmarkStart w:id="58" w:name="_Toc413419057"/>
      <w:r w:rsidRPr="004A5227">
        <w:rPr>
          <w:rStyle w:val="CharSectno"/>
        </w:rPr>
        <w:t>38</w:t>
      </w:r>
      <w:r w:rsidR="001A6E69" w:rsidRPr="004A5227">
        <w:t xml:space="preserve">  Definition of </w:t>
      </w:r>
      <w:r w:rsidR="001A6E69" w:rsidRPr="004A5227">
        <w:rPr>
          <w:i/>
        </w:rPr>
        <w:t>access code</w:t>
      </w:r>
      <w:bookmarkEnd w:id="58"/>
    </w:p>
    <w:p w:rsidR="001A6E69" w:rsidRPr="004A5227" w:rsidRDefault="001A6E69" w:rsidP="001A6E69">
      <w:pPr>
        <w:pStyle w:val="subsection"/>
      </w:pPr>
      <w:r w:rsidRPr="004A5227">
        <w:tab/>
      </w:r>
      <w:r w:rsidRPr="004A5227">
        <w:tab/>
        <w:t xml:space="preserve">An </w:t>
      </w:r>
      <w:r w:rsidRPr="004A5227">
        <w:rPr>
          <w:b/>
          <w:i/>
        </w:rPr>
        <w:t>access code</w:t>
      </w:r>
      <w:r w:rsidRPr="004A5227">
        <w:t xml:space="preserve"> is a number:</w:t>
      </w:r>
    </w:p>
    <w:p w:rsidR="001A6E69" w:rsidRPr="004A5227" w:rsidRDefault="001A6E69" w:rsidP="001A6E69">
      <w:pPr>
        <w:pStyle w:val="paragraph"/>
      </w:pPr>
      <w:r w:rsidRPr="004A5227">
        <w:tab/>
        <w:t>(a)</w:t>
      </w:r>
      <w:r w:rsidRPr="004A5227">
        <w:tab/>
      </w:r>
      <w:r w:rsidR="00E73746" w:rsidRPr="004A5227">
        <w:t xml:space="preserve">beginning with </w:t>
      </w:r>
      <w:r w:rsidRPr="004A5227">
        <w:t>the digits set out in column 1 of an item in a table in Schedule</w:t>
      </w:r>
      <w:r w:rsidR="004A5227" w:rsidRPr="004A5227">
        <w:t> </w:t>
      </w:r>
      <w:r w:rsidR="00790A2E" w:rsidRPr="004A5227">
        <w:t>6</w:t>
      </w:r>
      <w:r w:rsidRPr="004A5227">
        <w:t>; and</w:t>
      </w:r>
    </w:p>
    <w:p w:rsidR="001A6E69" w:rsidRPr="004A5227" w:rsidRDefault="001A6E69" w:rsidP="001A6E69">
      <w:pPr>
        <w:pStyle w:val="paragraph"/>
      </w:pPr>
      <w:r w:rsidRPr="004A5227">
        <w:tab/>
        <w:t>(b)</w:t>
      </w:r>
      <w:r w:rsidRPr="004A5227">
        <w:tab/>
      </w:r>
      <w:r w:rsidR="00E73746" w:rsidRPr="004A5227">
        <w:t xml:space="preserve">with </w:t>
      </w:r>
      <w:r w:rsidRPr="004A5227">
        <w:t>the number of digits set out in column 2 of the item.</w:t>
      </w:r>
    </w:p>
    <w:p w:rsidR="001A6E69" w:rsidRPr="004A5227" w:rsidRDefault="00CA6815" w:rsidP="001A6E69">
      <w:pPr>
        <w:pStyle w:val="ActHead5"/>
      </w:pPr>
      <w:bookmarkStart w:id="59" w:name="_Toc413419058"/>
      <w:r w:rsidRPr="004A5227">
        <w:rPr>
          <w:rStyle w:val="CharSectno"/>
        </w:rPr>
        <w:t>39</w:t>
      </w:r>
      <w:r w:rsidR="001A6E69" w:rsidRPr="004A5227">
        <w:t xml:space="preserve">  Use of access codes</w:t>
      </w:r>
      <w:bookmarkEnd w:id="59"/>
    </w:p>
    <w:p w:rsidR="001A6E69" w:rsidRPr="004A5227" w:rsidRDefault="001A6E69" w:rsidP="001A6E69">
      <w:pPr>
        <w:pStyle w:val="subsection"/>
      </w:pPr>
      <w:r w:rsidRPr="004A5227">
        <w:tab/>
        <w:t>(1)</w:t>
      </w:r>
      <w:r w:rsidRPr="004A5227">
        <w:tab/>
        <w:t>An access code identified in columns 1 and 2 of an item in a table in Schedule</w:t>
      </w:r>
      <w:r w:rsidR="004A5227" w:rsidRPr="004A5227">
        <w:t> </w:t>
      </w:r>
      <w:r w:rsidR="00790A2E" w:rsidRPr="004A5227">
        <w:t>6</w:t>
      </w:r>
      <w:r w:rsidRPr="004A5227">
        <w:t xml:space="preserve"> may be used only for a type of carriage service mentioned in column 3 of the item.</w:t>
      </w:r>
    </w:p>
    <w:p w:rsidR="001A6E69" w:rsidRPr="004A5227" w:rsidRDefault="001A6E69" w:rsidP="001A6E69">
      <w:pPr>
        <w:pStyle w:val="subsection"/>
      </w:pPr>
      <w:r w:rsidRPr="004A5227">
        <w:tab/>
        <w:t>(2)</w:t>
      </w:r>
      <w:r w:rsidRPr="004A5227">
        <w:tab/>
        <w:t>The access code may be used only as a prefix to a type of number mentioned in column 4 of the item.</w:t>
      </w:r>
    </w:p>
    <w:p w:rsidR="006F0859" w:rsidRPr="004A5227" w:rsidRDefault="006F0859" w:rsidP="001A6E69">
      <w:pPr>
        <w:pStyle w:val="subsection"/>
      </w:pPr>
      <w:r w:rsidRPr="004A5227">
        <w:tab/>
        <w:t>(3)</w:t>
      </w:r>
      <w:r w:rsidRPr="004A5227">
        <w:tab/>
        <w:t xml:space="preserve">An access code is </w:t>
      </w:r>
      <w:r w:rsidRPr="004A5227">
        <w:rPr>
          <w:b/>
          <w:i/>
        </w:rPr>
        <w:t>specified for use</w:t>
      </w:r>
      <w:r w:rsidRPr="004A5227">
        <w:rPr>
          <w:i/>
        </w:rPr>
        <w:t xml:space="preserve"> </w:t>
      </w:r>
      <w:r w:rsidRPr="004A5227">
        <w:t>with a type of service if the type of service is mentioned for the access code in column 3 of a table in Schedule</w:t>
      </w:r>
      <w:r w:rsidR="004A5227" w:rsidRPr="004A5227">
        <w:t> </w:t>
      </w:r>
      <w:r w:rsidR="00790A2E" w:rsidRPr="004A5227">
        <w:t>6</w:t>
      </w:r>
      <w:r w:rsidRPr="004A5227">
        <w:t>.</w:t>
      </w:r>
    </w:p>
    <w:p w:rsidR="001A6E69" w:rsidRPr="004A5227" w:rsidRDefault="001A6E69" w:rsidP="001A6E69">
      <w:pPr>
        <w:pStyle w:val="subsection"/>
      </w:pPr>
      <w:r w:rsidRPr="004A5227">
        <w:tab/>
      </w:r>
      <w:r w:rsidR="006F0859" w:rsidRPr="004A5227">
        <w:t>(4</w:t>
      </w:r>
      <w:r w:rsidRPr="004A5227">
        <w:t>)</w:t>
      </w:r>
      <w:r w:rsidRPr="004A5227">
        <w:tab/>
      </w:r>
      <w:r w:rsidR="000224CB" w:rsidRPr="004A5227">
        <w:t xml:space="preserve">Despite </w:t>
      </w:r>
      <w:r w:rsidR="004A5227" w:rsidRPr="004A5227">
        <w:t>subsection (</w:t>
      </w:r>
      <w:r w:rsidR="000224CB" w:rsidRPr="004A5227">
        <w:t>1)</w:t>
      </w:r>
      <w:r w:rsidRPr="004A5227">
        <w:t>, a carriage service provider identification code may also be used:</w:t>
      </w:r>
    </w:p>
    <w:p w:rsidR="001A6E69" w:rsidRPr="004A5227" w:rsidRDefault="001A6E69" w:rsidP="001A6E69">
      <w:pPr>
        <w:pStyle w:val="paragraph"/>
      </w:pPr>
      <w:r w:rsidRPr="004A5227">
        <w:tab/>
        <w:t>(a)</w:t>
      </w:r>
      <w:r w:rsidRPr="004A5227">
        <w:tab/>
        <w:t>to identify a telecommunications network; or</w:t>
      </w:r>
    </w:p>
    <w:p w:rsidR="001A6E69" w:rsidRPr="004A5227" w:rsidRDefault="001A6E69" w:rsidP="001A6E69">
      <w:pPr>
        <w:pStyle w:val="paragraph"/>
      </w:pPr>
      <w:r w:rsidRPr="004A5227">
        <w:tab/>
        <w:t>(b)</w:t>
      </w:r>
      <w:r w:rsidRPr="004A5227">
        <w:tab/>
        <w:t>to interconnect routing of a call between carriage service providers;</w:t>
      </w:r>
    </w:p>
    <w:p w:rsidR="001A6E69" w:rsidRPr="004A5227" w:rsidRDefault="001A6E69" w:rsidP="00067FDC">
      <w:pPr>
        <w:pStyle w:val="subsection2"/>
      </w:pPr>
      <w:r w:rsidRPr="004A5227">
        <w:t>without being dialled, and may prefix an address digit for routing a call acr</w:t>
      </w:r>
      <w:r w:rsidR="00067FDC" w:rsidRPr="004A5227">
        <w:t>oss a point of interconnection.</w:t>
      </w:r>
    </w:p>
    <w:p w:rsidR="00091E0E" w:rsidRPr="004A5227" w:rsidRDefault="000224CB" w:rsidP="00BB221F">
      <w:pPr>
        <w:pStyle w:val="subsection"/>
      </w:pPr>
      <w:r w:rsidRPr="004A5227">
        <w:tab/>
      </w:r>
      <w:r w:rsidR="00317F05" w:rsidRPr="004A5227">
        <w:t>(</w:t>
      </w:r>
      <w:r w:rsidR="00D575E7" w:rsidRPr="004A5227">
        <w:t>5</w:t>
      </w:r>
      <w:r w:rsidR="00317F05" w:rsidRPr="004A5227">
        <w:t>)</w:t>
      </w:r>
      <w:r w:rsidR="00317F05" w:rsidRPr="004A5227">
        <w:tab/>
        <w:t xml:space="preserve">Despite </w:t>
      </w:r>
      <w:r w:rsidR="004A5227" w:rsidRPr="004A5227">
        <w:t>subsection (</w:t>
      </w:r>
      <w:r w:rsidR="00317F05" w:rsidRPr="004A5227">
        <w:t xml:space="preserve">1), an access code that is specified for use with an incoming only international service </w:t>
      </w:r>
      <w:r w:rsidR="00BB221F" w:rsidRPr="004A5227">
        <w:t>that</w:t>
      </w:r>
      <w:r w:rsidR="00317F05" w:rsidRPr="004A5227">
        <w:t xml:space="preserve"> is also a special services number specified for use with a type of service</w:t>
      </w:r>
      <w:r w:rsidR="00BB221F" w:rsidRPr="004A5227">
        <w:t xml:space="preserve"> may be used for both purposes</w:t>
      </w:r>
      <w:r w:rsidR="00317F05" w:rsidRPr="004A5227">
        <w:t>.</w:t>
      </w:r>
    </w:p>
    <w:p w:rsidR="000224CB" w:rsidRPr="004A5227" w:rsidRDefault="00091E0E" w:rsidP="00091E0E">
      <w:pPr>
        <w:pStyle w:val="notetext"/>
      </w:pPr>
      <w:r w:rsidRPr="004A5227">
        <w:t>Note:</w:t>
      </w:r>
      <w:r w:rsidRPr="004A5227">
        <w:tab/>
        <w:t>See section</w:t>
      </w:r>
      <w:r w:rsidR="004A5227" w:rsidRPr="004A5227">
        <w:t> </w:t>
      </w:r>
      <w:r w:rsidR="00CA6815" w:rsidRPr="004A5227">
        <w:t>32</w:t>
      </w:r>
      <w:r w:rsidRPr="004A5227">
        <w:t xml:space="preserve"> and Schedule</w:t>
      </w:r>
      <w:r w:rsidR="004A5227" w:rsidRPr="004A5227">
        <w:t> </w:t>
      </w:r>
      <w:r w:rsidR="00790A2E" w:rsidRPr="004A5227">
        <w:t>5</w:t>
      </w:r>
      <w:r w:rsidRPr="004A5227">
        <w:t xml:space="preserve"> for specification of the use of special services numbers. The same number can be used for both purposes because one use will be for calls originating in Australia and the other will be for calls made from outside Australia.</w:t>
      </w:r>
    </w:p>
    <w:p w:rsidR="001A6E69" w:rsidRPr="004A5227" w:rsidRDefault="00CA6815" w:rsidP="001A6E69">
      <w:pPr>
        <w:pStyle w:val="ActHead5"/>
      </w:pPr>
      <w:bookmarkStart w:id="60" w:name="_Toc413419059"/>
      <w:r w:rsidRPr="004A5227">
        <w:rPr>
          <w:rStyle w:val="CharSectno"/>
        </w:rPr>
        <w:t>40</w:t>
      </w:r>
      <w:r w:rsidR="001A6E69" w:rsidRPr="004A5227">
        <w:t xml:space="preserve">  Charge for call to international </w:t>
      </w:r>
      <w:proofErr w:type="spellStart"/>
      <w:r w:rsidR="001A6E69" w:rsidRPr="004A5227">
        <w:t>freephone</w:t>
      </w:r>
      <w:proofErr w:type="spellEnd"/>
      <w:r w:rsidR="001A6E69" w:rsidRPr="004A5227">
        <w:t xml:space="preserve"> numbers</w:t>
      </w:r>
      <w:bookmarkEnd w:id="60"/>
    </w:p>
    <w:p w:rsidR="001A6E69" w:rsidRPr="004A5227" w:rsidRDefault="001A6E69" w:rsidP="001A6E69">
      <w:pPr>
        <w:pStyle w:val="subsection"/>
      </w:pPr>
      <w:r w:rsidRPr="004A5227">
        <w:tab/>
      </w:r>
      <w:r w:rsidRPr="004A5227">
        <w:tab/>
        <w:t xml:space="preserve">The charge, disregarding any optional discounts and </w:t>
      </w:r>
      <w:r w:rsidR="00CE24F1" w:rsidRPr="004A5227">
        <w:t>surcharges</w:t>
      </w:r>
      <w:r w:rsidRPr="004A5227">
        <w:t>, fo</w:t>
      </w:r>
      <w:r w:rsidR="00320D15" w:rsidRPr="004A5227">
        <w:t>r a call using the access code “</w:t>
      </w:r>
      <w:r w:rsidRPr="004A5227">
        <w:t>0011</w:t>
      </w:r>
      <w:r w:rsidR="00320D15" w:rsidRPr="004A5227">
        <w:t>”</w:t>
      </w:r>
      <w:r w:rsidRPr="004A5227">
        <w:t xml:space="preserve"> followed by the digits </w:t>
      </w:r>
      <w:r w:rsidR="00320D15" w:rsidRPr="004A5227">
        <w:t>“</w:t>
      </w:r>
      <w:r w:rsidRPr="004A5227">
        <w:t>800</w:t>
      </w:r>
      <w:r w:rsidR="00320D15" w:rsidRPr="004A5227">
        <w:t>”</w:t>
      </w:r>
      <w:r w:rsidRPr="004A5227">
        <w:t>:</w:t>
      </w:r>
    </w:p>
    <w:p w:rsidR="001A6E69" w:rsidRPr="004A5227" w:rsidRDefault="001A6E69" w:rsidP="001A6E69">
      <w:pPr>
        <w:pStyle w:val="paragraph"/>
      </w:pPr>
      <w:r w:rsidRPr="004A5227">
        <w:tab/>
        <w:t>(a)</w:t>
      </w:r>
      <w:r w:rsidRPr="004A5227">
        <w:tab/>
        <w:t>must be worked out by reference to the number of calls made during a particular period, regardless of how long each call lasted; and</w:t>
      </w:r>
    </w:p>
    <w:p w:rsidR="001A6E69" w:rsidRPr="004A5227" w:rsidRDefault="001A6E69" w:rsidP="001A6E69">
      <w:pPr>
        <w:pStyle w:val="paragraph"/>
      </w:pPr>
      <w:r w:rsidRPr="004A5227">
        <w:tab/>
        <w:t>(b)</w:t>
      </w:r>
      <w:r w:rsidRPr="004A5227">
        <w:tab/>
        <w:t>must not be more than the low charge amount.</w:t>
      </w:r>
    </w:p>
    <w:p w:rsidR="001A6E69" w:rsidRPr="004A5227" w:rsidRDefault="001A6E69" w:rsidP="001A6E69">
      <w:pPr>
        <w:pStyle w:val="ActHead2"/>
        <w:pageBreakBefore/>
      </w:pPr>
      <w:bookmarkStart w:id="61" w:name="_Toc413419060"/>
      <w:r w:rsidRPr="004A5227">
        <w:rPr>
          <w:rStyle w:val="CharPartNo"/>
        </w:rPr>
        <w:lastRenderedPageBreak/>
        <w:t>Part</w:t>
      </w:r>
      <w:r w:rsidR="004A5227" w:rsidRPr="004A5227">
        <w:rPr>
          <w:rStyle w:val="CharPartNo"/>
        </w:rPr>
        <w:t> </w:t>
      </w:r>
      <w:r w:rsidRPr="004A5227">
        <w:rPr>
          <w:rStyle w:val="CharPartNo"/>
        </w:rPr>
        <w:t>6</w:t>
      </w:r>
      <w:r w:rsidRPr="004A5227">
        <w:t>—</w:t>
      </w:r>
      <w:r w:rsidRPr="004A5227">
        <w:rPr>
          <w:rStyle w:val="CharPartText"/>
        </w:rPr>
        <w:t>Shared numbers</w:t>
      </w:r>
      <w:bookmarkEnd w:id="61"/>
    </w:p>
    <w:p w:rsidR="001A6E69" w:rsidRPr="004A5227" w:rsidRDefault="001A6E69" w:rsidP="001A6E69">
      <w:pPr>
        <w:pStyle w:val="Header"/>
      </w:pPr>
      <w:r w:rsidRPr="004A5227">
        <w:rPr>
          <w:rStyle w:val="CharDivNo"/>
        </w:rPr>
        <w:t xml:space="preserve"> </w:t>
      </w:r>
      <w:r w:rsidRPr="004A5227">
        <w:rPr>
          <w:rStyle w:val="CharDivText"/>
        </w:rPr>
        <w:t xml:space="preserve"> </w:t>
      </w:r>
    </w:p>
    <w:p w:rsidR="001A6E69" w:rsidRPr="004A5227" w:rsidRDefault="00CA6815" w:rsidP="001A6E69">
      <w:pPr>
        <w:pStyle w:val="ActHead5"/>
        <w:rPr>
          <w:b w:val="0"/>
          <w:i/>
        </w:rPr>
      </w:pPr>
      <w:bookmarkStart w:id="62" w:name="_Toc413419061"/>
      <w:r w:rsidRPr="004A5227">
        <w:rPr>
          <w:rStyle w:val="CharSectno"/>
        </w:rPr>
        <w:t>41</w:t>
      </w:r>
      <w:r w:rsidR="001A6E69" w:rsidRPr="004A5227">
        <w:t xml:space="preserve">  Definition of </w:t>
      </w:r>
      <w:r w:rsidR="001A6E69" w:rsidRPr="004A5227">
        <w:rPr>
          <w:i/>
        </w:rPr>
        <w:t xml:space="preserve">shared number </w:t>
      </w:r>
      <w:r w:rsidR="001A6E69" w:rsidRPr="004A5227">
        <w:t xml:space="preserve">and </w:t>
      </w:r>
      <w:r w:rsidR="001A6E69" w:rsidRPr="004A5227">
        <w:rPr>
          <w:i/>
        </w:rPr>
        <w:t>selectable shared number</w:t>
      </w:r>
      <w:bookmarkEnd w:id="62"/>
    </w:p>
    <w:p w:rsidR="001A6E69" w:rsidRPr="004A5227" w:rsidRDefault="001A6E69" w:rsidP="001A6E69">
      <w:pPr>
        <w:pStyle w:val="subsection"/>
      </w:pPr>
      <w:r w:rsidRPr="004A5227">
        <w:tab/>
        <w:t>(1)</w:t>
      </w:r>
      <w:r w:rsidRPr="004A5227">
        <w:tab/>
        <w:t xml:space="preserve">A number is a </w:t>
      </w:r>
      <w:r w:rsidRPr="004A5227">
        <w:rPr>
          <w:b/>
          <w:i/>
        </w:rPr>
        <w:t>shared number</w:t>
      </w:r>
      <w:r w:rsidRPr="004A5227">
        <w:t xml:space="preserve"> if:</w:t>
      </w:r>
    </w:p>
    <w:p w:rsidR="001A6E69" w:rsidRPr="004A5227" w:rsidRDefault="001A6E69" w:rsidP="001A6E69">
      <w:pPr>
        <w:pStyle w:val="paragraph"/>
      </w:pPr>
      <w:r w:rsidRPr="004A5227">
        <w:tab/>
        <w:t>(a)</w:t>
      </w:r>
      <w:r w:rsidRPr="004A5227">
        <w:tab/>
        <w:t>it is a special services number identified in an item in the table in clause</w:t>
      </w:r>
      <w:r w:rsidR="004A5227" w:rsidRPr="004A5227">
        <w:t> </w:t>
      </w:r>
      <w:r w:rsidRPr="004A5227">
        <w:t>2 of Schedule</w:t>
      </w:r>
      <w:r w:rsidR="004A5227" w:rsidRPr="004A5227">
        <w:t> </w:t>
      </w:r>
      <w:r w:rsidR="00790A2E" w:rsidRPr="004A5227">
        <w:t>5</w:t>
      </w:r>
      <w:r w:rsidRPr="004A5227">
        <w:t>; or</w:t>
      </w:r>
    </w:p>
    <w:p w:rsidR="001A6E69" w:rsidRPr="004A5227" w:rsidRDefault="001A6E69" w:rsidP="001A6E69">
      <w:pPr>
        <w:pStyle w:val="paragraph"/>
      </w:pPr>
      <w:r w:rsidRPr="004A5227">
        <w:tab/>
        <w:t>(b)</w:t>
      </w:r>
      <w:r w:rsidRPr="004A5227">
        <w:tab/>
        <w:t>it is an access code identified in an item in the table in clause</w:t>
      </w:r>
      <w:r w:rsidR="004A5227" w:rsidRPr="004A5227">
        <w:t> </w:t>
      </w:r>
      <w:r w:rsidRPr="004A5227">
        <w:t>2 of Schedule</w:t>
      </w:r>
      <w:r w:rsidR="004A5227" w:rsidRPr="004A5227">
        <w:t> </w:t>
      </w:r>
      <w:r w:rsidR="00790A2E" w:rsidRPr="004A5227">
        <w:t>6</w:t>
      </w:r>
      <w:r w:rsidRPr="004A5227">
        <w:t>.</w:t>
      </w:r>
    </w:p>
    <w:p w:rsidR="001A6E69" w:rsidRPr="004A5227" w:rsidRDefault="001A6E69" w:rsidP="001A6E69">
      <w:pPr>
        <w:pStyle w:val="subsection"/>
      </w:pPr>
      <w:r w:rsidRPr="004A5227">
        <w:tab/>
        <w:t>(2)</w:t>
      </w:r>
      <w:r w:rsidRPr="004A5227">
        <w:tab/>
        <w:t>If an item in the table in clause</w:t>
      </w:r>
      <w:r w:rsidR="004A5227" w:rsidRPr="004A5227">
        <w:t> </w:t>
      </w:r>
      <w:r w:rsidRPr="004A5227">
        <w:t>2 of Schedule</w:t>
      </w:r>
      <w:r w:rsidR="004A5227" w:rsidRPr="004A5227">
        <w:t> </w:t>
      </w:r>
      <w:r w:rsidR="00790A2E" w:rsidRPr="004A5227">
        <w:t>5</w:t>
      </w:r>
      <w:r w:rsidRPr="004A5227">
        <w:t xml:space="preserve"> has </w:t>
      </w:r>
      <w:r w:rsidR="00320D15" w:rsidRPr="004A5227">
        <w:t>“</w:t>
      </w:r>
      <w:r w:rsidRPr="004A5227">
        <w:t>Yes</w:t>
      </w:r>
      <w:r w:rsidR="00320D15" w:rsidRPr="004A5227">
        <w:t>”</w:t>
      </w:r>
      <w:r w:rsidRPr="004A5227">
        <w:t xml:space="preserve"> in column 6, a special services number identified in columns 1 and 2 of the item is a </w:t>
      </w:r>
      <w:r w:rsidRPr="004A5227">
        <w:rPr>
          <w:b/>
          <w:i/>
        </w:rPr>
        <w:t>selectable shared number</w:t>
      </w:r>
      <w:r w:rsidRPr="004A5227">
        <w:t>.</w:t>
      </w:r>
    </w:p>
    <w:p w:rsidR="001A6E69" w:rsidRPr="004A5227" w:rsidRDefault="00CA6815" w:rsidP="001A6E69">
      <w:pPr>
        <w:pStyle w:val="ActHead5"/>
      </w:pPr>
      <w:bookmarkStart w:id="63" w:name="_Toc413419062"/>
      <w:r w:rsidRPr="004A5227">
        <w:rPr>
          <w:rStyle w:val="CharSectno"/>
        </w:rPr>
        <w:t>42</w:t>
      </w:r>
      <w:r w:rsidR="001A6E69" w:rsidRPr="004A5227">
        <w:t xml:space="preserve">  Use of shared numbers</w:t>
      </w:r>
      <w:bookmarkEnd w:id="63"/>
    </w:p>
    <w:p w:rsidR="001A6E69" w:rsidRPr="004A5227" w:rsidRDefault="001A6E69" w:rsidP="001A6E69">
      <w:pPr>
        <w:pStyle w:val="subsection"/>
      </w:pPr>
      <w:r w:rsidRPr="004A5227">
        <w:tab/>
        <w:t>(1)</w:t>
      </w:r>
      <w:r w:rsidRPr="004A5227">
        <w:tab/>
        <w:t>The requirements of Part</w:t>
      </w:r>
      <w:r w:rsidR="004A5227" w:rsidRPr="004A5227">
        <w:t> </w:t>
      </w:r>
      <w:r w:rsidRPr="004A5227">
        <w:t>4 apply to special services numbers that are shared numbers, and the requirements of Part</w:t>
      </w:r>
      <w:r w:rsidR="004A5227" w:rsidRPr="004A5227">
        <w:t> </w:t>
      </w:r>
      <w:r w:rsidRPr="004A5227">
        <w:t>5 apply to access codes that are shared numbers.</w:t>
      </w:r>
    </w:p>
    <w:p w:rsidR="001A6E69" w:rsidRPr="004A5227" w:rsidRDefault="001A6E69" w:rsidP="001A6E69">
      <w:pPr>
        <w:pStyle w:val="subsection"/>
      </w:pPr>
      <w:r w:rsidRPr="004A5227">
        <w:tab/>
        <w:t>(2)</w:t>
      </w:r>
      <w:r w:rsidRPr="004A5227">
        <w:tab/>
        <w:t>A shared number may be used by a carriage service provider without being allocated.</w:t>
      </w:r>
    </w:p>
    <w:p w:rsidR="007416EA" w:rsidRPr="004A5227" w:rsidRDefault="007416EA" w:rsidP="007416EA">
      <w:pPr>
        <w:pStyle w:val="notetext"/>
      </w:pPr>
      <w:r w:rsidRPr="004A5227">
        <w:t xml:space="preserve">Note: </w:t>
      </w:r>
      <w:r w:rsidRPr="004A5227">
        <w:tab/>
        <w:t>A shared number must not be allocated</w:t>
      </w:r>
      <w:r w:rsidR="0011712E" w:rsidRPr="004A5227">
        <w:t>: see subsection</w:t>
      </w:r>
      <w:r w:rsidR="00D27EB1" w:rsidRPr="004A5227">
        <w:t>s</w:t>
      </w:r>
      <w:r w:rsidR="004A5227" w:rsidRPr="004A5227">
        <w:t> </w:t>
      </w:r>
      <w:r w:rsidR="00CA6815" w:rsidRPr="004A5227">
        <w:t>57</w:t>
      </w:r>
      <w:r w:rsidR="0011712E" w:rsidRPr="004A5227">
        <w:t>(</w:t>
      </w:r>
      <w:r w:rsidRPr="004A5227">
        <w:t>5)</w:t>
      </w:r>
      <w:r w:rsidR="00A86F9E" w:rsidRPr="004A5227">
        <w:t xml:space="preserve"> and </w:t>
      </w:r>
      <w:r w:rsidR="00CA6815" w:rsidRPr="004A5227">
        <w:t>63</w:t>
      </w:r>
      <w:r w:rsidR="00A86F9E" w:rsidRPr="004A5227">
        <w:t>(3)</w:t>
      </w:r>
      <w:r w:rsidRPr="004A5227">
        <w:t>.</w:t>
      </w:r>
    </w:p>
    <w:p w:rsidR="006C3438" w:rsidRPr="004A5227" w:rsidRDefault="006C3438" w:rsidP="006C3438">
      <w:pPr>
        <w:pStyle w:val="ActHead1"/>
        <w:pageBreakBefore/>
      </w:pPr>
      <w:bookmarkStart w:id="64" w:name="_Toc413419063"/>
      <w:r w:rsidRPr="004A5227">
        <w:rPr>
          <w:rStyle w:val="CharChapNo"/>
        </w:rPr>
        <w:lastRenderedPageBreak/>
        <w:t>Chapter</w:t>
      </w:r>
      <w:r w:rsidR="004A5227" w:rsidRPr="004A5227">
        <w:rPr>
          <w:rStyle w:val="CharChapNo"/>
        </w:rPr>
        <w:t> </w:t>
      </w:r>
      <w:r w:rsidRPr="004A5227">
        <w:rPr>
          <w:rStyle w:val="CharChapNo"/>
        </w:rPr>
        <w:t>4</w:t>
      </w:r>
      <w:r w:rsidRPr="004A5227">
        <w:t>—</w:t>
      </w:r>
      <w:r w:rsidRPr="004A5227">
        <w:rPr>
          <w:rStyle w:val="CharChapText"/>
        </w:rPr>
        <w:t>Private numbering schemes</w:t>
      </w:r>
      <w:bookmarkEnd w:id="64"/>
    </w:p>
    <w:p w:rsidR="006C3438" w:rsidRPr="004A5227" w:rsidRDefault="006C3438" w:rsidP="006C3438">
      <w:pPr>
        <w:pStyle w:val="Header"/>
      </w:pPr>
      <w:r w:rsidRPr="004A5227">
        <w:rPr>
          <w:rStyle w:val="CharPartNo"/>
        </w:rPr>
        <w:t xml:space="preserve"> </w:t>
      </w:r>
      <w:r w:rsidRPr="004A5227">
        <w:rPr>
          <w:rStyle w:val="CharPartText"/>
        </w:rPr>
        <w:t xml:space="preserve"> </w:t>
      </w:r>
    </w:p>
    <w:p w:rsidR="006C3438" w:rsidRPr="004A5227" w:rsidRDefault="006C3438" w:rsidP="006C3438">
      <w:pPr>
        <w:pStyle w:val="Header"/>
      </w:pPr>
      <w:r w:rsidRPr="004A5227">
        <w:rPr>
          <w:rStyle w:val="CharDivNo"/>
        </w:rPr>
        <w:t xml:space="preserve"> </w:t>
      </w:r>
      <w:r w:rsidRPr="004A5227">
        <w:rPr>
          <w:rStyle w:val="CharDivText"/>
        </w:rPr>
        <w:t xml:space="preserve"> </w:t>
      </w:r>
    </w:p>
    <w:p w:rsidR="006C3438" w:rsidRPr="004A5227" w:rsidRDefault="00CA6815" w:rsidP="006C3438">
      <w:pPr>
        <w:pStyle w:val="ActHead5"/>
      </w:pPr>
      <w:bookmarkStart w:id="65" w:name="_Toc413419064"/>
      <w:r w:rsidRPr="004A5227">
        <w:rPr>
          <w:rStyle w:val="CharSectno"/>
        </w:rPr>
        <w:t>43</w:t>
      </w:r>
      <w:r w:rsidR="006C3438" w:rsidRPr="004A5227">
        <w:t xml:space="preserve">  Restrictions on use do not apply to use in private numbering scheme</w:t>
      </w:r>
      <w:bookmarkEnd w:id="65"/>
    </w:p>
    <w:p w:rsidR="006C3438" w:rsidRPr="004A5227" w:rsidRDefault="006C3438" w:rsidP="006C3438">
      <w:pPr>
        <w:pStyle w:val="subsection"/>
      </w:pPr>
      <w:r w:rsidRPr="004A5227">
        <w:tab/>
        <w:t>(1)</w:t>
      </w:r>
      <w:r w:rsidRPr="004A5227">
        <w:tab/>
        <w:t>Despite anything in Chapter</w:t>
      </w:r>
      <w:r w:rsidR="004A5227" w:rsidRPr="004A5227">
        <w:t> </w:t>
      </w:r>
      <w:r w:rsidRPr="004A5227">
        <w:t>3, a number may be used in a private numbering scheme if it is:</w:t>
      </w:r>
    </w:p>
    <w:p w:rsidR="006C3438" w:rsidRPr="004A5227" w:rsidRDefault="006C3438" w:rsidP="006C3438">
      <w:pPr>
        <w:pStyle w:val="paragraph"/>
      </w:pPr>
      <w:r w:rsidRPr="004A5227">
        <w:tab/>
        <w:t>(a)</w:t>
      </w:r>
      <w:r w:rsidRPr="004A5227">
        <w:tab/>
        <w:t>a geographic number; or</w:t>
      </w:r>
    </w:p>
    <w:p w:rsidR="006C3438" w:rsidRPr="004A5227" w:rsidRDefault="006C3438" w:rsidP="006C3438">
      <w:pPr>
        <w:pStyle w:val="paragraph"/>
      </w:pPr>
      <w:r w:rsidRPr="004A5227">
        <w:tab/>
        <w:t>(b)</w:t>
      </w:r>
      <w:r w:rsidRPr="004A5227">
        <w:tab/>
        <w:t>a local number; or</w:t>
      </w:r>
    </w:p>
    <w:p w:rsidR="006C3438" w:rsidRPr="004A5227" w:rsidRDefault="006C3438" w:rsidP="006C3438">
      <w:pPr>
        <w:pStyle w:val="paragraph"/>
      </w:pPr>
      <w:r w:rsidRPr="004A5227">
        <w:tab/>
        <w:t>(c)</w:t>
      </w:r>
      <w:r w:rsidRPr="004A5227">
        <w:tab/>
        <w:t>a special services number; or</w:t>
      </w:r>
    </w:p>
    <w:p w:rsidR="006C3438" w:rsidRPr="004A5227" w:rsidRDefault="006C3438" w:rsidP="006C3438">
      <w:pPr>
        <w:pStyle w:val="paragraph"/>
      </w:pPr>
      <w:r w:rsidRPr="004A5227">
        <w:tab/>
        <w:t>(d)</w:t>
      </w:r>
      <w:r w:rsidRPr="004A5227">
        <w:tab/>
        <w:t>an access code.</w:t>
      </w:r>
    </w:p>
    <w:p w:rsidR="006C3438" w:rsidRPr="004A5227" w:rsidRDefault="006C3438" w:rsidP="006C3438">
      <w:pPr>
        <w:pStyle w:val="subsection"/>
      </w:pPr>
      <w:r w:rsidRPr="004A5227">
        <w:tab/>
        <w:t>(2)</w:t>
      </w:r>
      <w:r w:rsidRPr="004A5227">
        <w:tab/>
        <w:t>An emergency service number must not be used in a private numbering scheme.</w:t>
      </w:r>
    </w:p>
    <w:p w:rsidR="006C3438" w:rsidRPr="004A5227" w:rsidRDefault="00CA6815" w:rsidP="006C3438">
      <w:pPr>
        <w:pStyle w:val="ActHead5"/>
      </w:pPr>
      <w:bookmarkStart w:id="66" w:name="_Toc413419065"/>
      <w:r w:rsidRPr="004A5227">
        <w:rPr>
          <w:rStyle w:val="CharSectno"/>
        </w:rPr>
        <w:t>44</w:t>
      </w:r>
      <w:r w:rsidR="006C3438" w:rsidRPr="004A5227">
        <w:t xml:space="preserve">  Private numbering scheme with escape code</w:t>
      </w:r>
      <w:bookmarkEnd w:id="66"/>
    </w:p>
    <w:p w:rsidR="006C3438" w:rsidRPr="004A5227" w:rsidRDefault="006C3438" w:rsidP="006C3438">
      <w:pPr>
        <w:pStyle w:val="subsection"/>
      </w:pPr>
      <w:r w:rsidRPr="004A5227">
        <w:tab/>
      </w:r>
      <w:r w:rsidRPr="004A5227">
        <w:tab/>
        <w:t>If a private numbering scheme has an escape code, a number used in the private numbering scheme must not begin with the escape code.</w:t>
      </w:r>
    </w:p>
    <w:p w:rsidR="006C3438" w:rsidRPr="004A5227" w:rsidRDefault="00CA6815" w:rsidP="006C3438">
      <w:pPr>
        <w:pStyle w:val="ActHead5"/>
      </w:pPr>
      <w:bookmarkStart w:id="67" w:name="_Toc413419066"/>
      <w:r w:rsidRPr="004A5227">
        <w:rPr>
          <w:rStyle w:val="CharSectno"/>
        </w:rPr>
        <w:t>45</w:t>
      </w:r>
      <w:r w:rsidR="006C3438" w:rsidRPr="004A5227">
        <w:t xml:space="preserve">  Private numbering scheme without an escape code</w:t>
      </w:r>
      <w:bookmarkEnd w:id="67"/>
    </w:p>
    <w:p w:rsidR="006C3438" w:rsidRPr="004A5227" w:rsidRDefault="006C3438" w:rsidP="006C3438">
      <w:pPr>
        <w:pStyle w:val="subsection"/>
      </w:pPr>
      <w:r w:rsidRPr="004A5227">
        <w:tab/>
        <w:t>(1)</w:t>
      </w:r>
      <w:r w:rsidRPr="004A5227">
        <w:tab/>
        <w:t>This section applies to a private numbering scheme that does not have an escape code.</w:t>
      </w:r>
    </w:p>
    <w:p w:rsidR="006C3438" w:rsidRPr="004A5227" w:rsidRDefault="006C3438" w:rsidP="006C3438">
      <w:pPr>
        <w:pStyle w:val="subsection"/>
      </w:pPr>
      <w:r w:rsidRPr="004A5227">
        <w:tab/>
        <w:t>(2)</w:t>
      </w:r>
      <w:r w:rsidRPr="004A5227">
        <w:tab/>
        <w:t>If a number used in the privat</w:t>
      </w:r>
      <w:r w:rsidR="00320D15" w:rsidRPr="004A5227">
        <w:t>e numbering scheme starts with “</w:t>
      </w:r>
      <w:r w:rsidRPr="004A5227">
        <w:t>0</w:t>
      </w:r>
      <w:r w:rsidR="00320D15" w:rsidRPr="004A5227">
        <w:t>”</w:t>
      </w:r>
      <w:r w:rsidRPr="004A5227">
        <w:t xml:space="preserve"> or </w:t>
      </w:r>
      <w:r w:rsidR="00320D15" w:rsidRPr="004A5227">
        <w:t>“</w:t>
      </w:r>
      <w:r w:rsidRPr="004A5227">
        <w:t>1</w:t>
      </w:r>
      <w:r w:rsidR="00320D15" w:rsidRPr="004A5227">
        <w:t>”</w:t>
      </w:r>
      <w:r w:rsidRPr="004A5227">
        <w:t>, the originating access carriage service provider for a call to the number must not treat the call as a call to a special services number.</w:t>
      </w:r>
    </w:p>
    <w:p w:rsidR="006C3438" w:rsidRPr="004A5227" w:rsidRDefault="006C3438" w:rsidP="006C3438">
      <w:pPr>
        <w:pStyle w:val="subsection"/>
      </w:pPr>
      <w:r w:rsidRPr="004A5227">
        <w:tab/>
        <w:t>(3)</w:t>
      </w:r>
      <w:r w:rsidRPr="004A5227">
        <w:tab/>
        <w:t xml:space="preserve">If a number used in the private numbering scheme starts with </w:t>
      </w:r>
      <w:r w:rsidR="00320D15" w:rsidRPr="004A5227">
        <w:t>“</w:t>
      </w:r>
      <w:r w:rsidRPr="004A5227">
        <w:t>2</w:t>
      </w:r>
      <w:r w:rsidR="00320D15" w:rsidRPr="004A5227">
        <w:t>”</w:t>
      </w:r>
      <w:r w:rsidRPr="004A5227">
        <w:t xml:space="preserve">, </w:t>
      </w:r>
      <w:r w:rsidR="00320D15" w:rsidRPr="004A5227">
        <w:t>“</w:t>
      </w:r>
      <w:r w:rsidRPr="004A5227">
        <w:t>3</w:t>
      </w:r>
      <w:r w:rsidR="00320D15" w:rsidRPr="004A5227">
        <w:t>”</w:t>
      </w:r>
      <w:r w:rsidRPr="004A5227">
        <w:t xml:space="preserve">, </w:t>
      </w:r>
      <w:r w:rsidR="00320D15" w:rsidRPr="004A5227">
        <w:t>“</w:t>
      </w:r>
      <w:r w:rsidRPr="004A5227">
        <w:t>4</w:t>
      </w:r>
      <w:r w:rsidR="00320D15" w:rsidRPr="004A5227">
        <w:t>”</w:t>
      </w:r>
      <w:r w:rsidRPr="004A5227">
        <w:t xml:space="preserve">, </w:t>
      </w:r>
      <w:r w:rsidR="00320D15" w:rsidRPr="004A5227">
        <w:t>“</w:t>
      </w:r>
      <w:r w:rsidRPr="004A5227">
        <w:t>5</w:t>
      </w:r>
      <w:r w:rsidR="00320D15" w:rsidRPr="004A5227">
        <w:t>”</w:t>
      </w:r>
      <w:r w:rsidRPr="004A5227">
        <w:t xml:space="preserve">, </w:t>
      </w:r>
      <w:r w:rsidR="00320D15" w:rsidRPr="004A5227">
        <w:t>“</w:t>
      </w:r>
      <w:r w:rsidRPr="004A5227">
        <w:t>6</w:t>
      </w:r>
      <w:r w:rsidR="00320D15" w:rsidRPr="004A5227">
        <w:t>”</w:t>
      </w:r>
      <w:r w:rsidRPr="004A5227">
        <w:t xml:space="preserve">, </w:t>
      </w:r>
      <w:r w:rsidR="00320D15" w:rsidRPr="004A5227">
        <w:t>“</w:t>
      </w:r>
      <w:r w:rsidRPr="004A5227">
        <w:t>7</w:t>
      </w:r>
      <w:r w:rsidR="00320D15" w:rsidRPr="004A5227">
        <w:t>”</w:t>
      </w:r>
      <w:r w:rsidRPr="004A5227">
        <w:t xml:space="preserve">, </w:t>
      </w:r>
      <w:r w:rsidR="00320D15" w:rsidRPr="004A5227">
        <w:t>“</w:t>
      </w:r>
      <w:r w:rsidRPr="004A5227">
        <w:t>8</w:t>
      </w:r>
      <w:r w:rsidR="00320D15" w:rsidRPr="004A5227">
        <w:t>”</w:t>
      </w:r>
      <w:r w:rsidRPr="004A5227">
        <w:t xml:space="preserve"> or </w:t>
      </w:r>
      <w:r w:rsidR="00320D15" w:rsidRPr="004A5227">
        <w:t>“</w:t>
      </w:r>
      <w:r w:rsidRPr="004A5227">
        <w:t>9</w:t>
      </w:r>
      <w:r w:rsidR="00320D15" w:rsidRPr="004A5227">
        <w:t>”</w:t>
      </w:r>
      <w:r w:rsidRPr="004A5227">
        <w:t>, the number must not have more than 8 digits.</w:t>
      </w:r>
    </w:p>
    <w:p w:rsidR="006C3438" w:rsidRPr="004A5227" w:rsidRDefault="006C3438" w:rsidP="006C3438">
      <w:pPr>
        <w:pStyle w:val="subsection"/>
      </w:pPr>
      <w:r w:rsidRPr="004A5227">
        <w:tab/>
        <w:t>(4)</w:t>
      </w:r>
      <w:r w:rsidRPr="004A5227">
        <w:tab/>
      </w:r>
      <w:r w:rsidR="004A5227" w:rsidRPr="004A5227">
        <w:t>Subsections (</w:t>
      </w:r>
      <w:r w:rsidRPr="004A5227">
        <w:t>2) and (3) do not apply to a number issued to a customer if:</w:t>
      </w:r>
    </w:p>
    <w:p w:rsidR="006C3438" w:rsidRPr="004A5227" w:rsidRDefault="006C3438" w:rsidP="006C3438">
      <w:pPr>
        <w:pStyle w:val="paragraph"/>
      </w:pPr>
      <w:r w:rsidRPr="004A5227">
        <w:tab/>
        <w:t>(a)</w:t>
      </w:r>
      <w:r w:rsidRPr="004A5227">
        <w:tab/>
        <w:t>the number was issued at the customer’s request; and</w:t>
      </w:r>
    </w:p>
    <w:p w:rsidR="006C3438" w:rsidRPr="004A5227" w:rsidRDefault="006C3438" w:rsidP="006C3438">
      <w:pPr>
        <w:pStyle w:val="paragraph"/>
      </w:pPr>
      <w:r w:rsidRPr="004A5227">
        <w:tab/>
        <w:t>(b)</w:t>
      </w:r>
      <w:r w:rsidRPr="004A5227">
        <w:tab/>
        <w:t>before the number was issued, the carriage service provider holding the number told the customer, in writing, that use of the number in a private numbering scheme would be likely to affect the ability of end</w:t>
      </w:r>
      <w:r w:rsidR="004A5227">
        <w:noBreakHyphen/>
      </w:r>
      <w:r w:rsidRPr="004A5227">
        <w:t xml:space="preserve">users in the scheme to use the number in connection with the supply of other carriage services specified in </w:t>
      </w:r>
      <w:r w:rsidR="006F7CD2" w:rsidRPr="004A5227">
        <w:t>this instrument</w:t>
      </w:r>
      <w:r w:rsidRPr="004A5227">
        <w:t>; and</w:t>
      </w:r>
    </w:p>
    <w:p w:rsidR="006C3438" w:rsidRPr="004A5227" w:rsidRDefault="006C3438" w:rsidP="006C3438">
      <w:pPr>
        <w:pStyle w:val="paragraph"/>
      </w:pPr>
      <w:r w:rsidRPr="004A5227">
        <w:tab/>
        <w:t>(c)</w:t>
      </w:r>
      <w:r w:rsidRPr="004A5227">
        <w:tab/>
        <w:t>the number is not</w:t>
      </w:r>
      <w:r w:rsidR="00727022" w:rsidRPr="004A5227">
        <w:t xml:space="preserve"> an access code that is specified for use with </w:t>
      </w:r>
      <w:r w:rsidRPr="004A5227">
        <w:t>a calling number display override service; and</w:t>
      </w:r>
    </w:p>
    <w:p w:rsidR="006C3438" w:rsidRPr="004A5227" w:rsidRDefault="006C3438" w:rsidP="006C3438">
      <w:pPr>
        <w:pStyle w:val="paragraph"/>
      </w:pPr>
      <w:r w:rsidRPr="004A5227">
        <w:tab/>
        <w:t>(d)</w:t>
      </w:r>
      <w:r w:rsidRPr="004A5227">
        <w:tab/>
        <w:t>the number is not a number that has been issued to an emergency service organisation.</w:t>
      </w:r>
    </w:p>
    <w:p w:rsidR="00AE5537" w:rsidRPr="004A5227" w:rsidRDefault="002E3C64" w:rsidP="00AE5537">
      <w:pPr>
        <w:pStyle w:val="ActHead1"/>
        <w:pageBreakBefore/>
      </w:pPr>
      <w:bookmarkStart w:id="68" w:name="_Toc413419067"/>
      <w:r w:rsidRPr="004A5227">
        <w:rPr>
          <w:rStyle w:val="CharChapNo"/>
        </w:rPr>
        <w:lastRenderedPageBreak/>
        <w:t>Chapter</w:t>
      </w:r>
      <w:r w:rsidR="004A5227" w:rsidRPr="004A5227">
        <w:rPr>
          <w:rStyle w:val="CharChapNo"/>
        </w:rPr>
        <w:t> </w:t>
      </w:r>
      <w:r w:rsidRPr="004A5227">
        <w:rPr>
          <w:rStyle w:val="CharChapNo"/>
        </w:rPr>
        <w:t>5</w:t>
      </w:r>
      <w:r w:rsidRPr="004A5227">
        <w:t>—</w:t>
      </w:r>
      <w:r w:rsidR="006F610D" w:rsidRPr="004A5227">
        <w:rPr>
          <w:rStyle w:val="CharChapText"/>
        </w:rPr>
        <w:t>International signalling point codes and mobile network c</w:t>
      </w:r>
      <w:r w:rsidRPr="004A5227">
        <w:rPr>
          <w:rStyle w:val="CharChapText"/>
        </w:rPr>
        <w:t>odes</w:t>
      </w:r>
      <w:bookmarkEnd w:id="68"/>
    </w:p>
    <w:p w:rsidR="00AE5537" w:rsidRPr="004A5227" w:rsidRDefault="002E3C64" w:rsidP="007C40A1">
      <w:pPr>
        <w:pStyle w:val="ActHead2"/>
      </w:pPr>
      <w:r w:rsidRPr="004A5227">
        <w:rPr>
          <w:rStyle w:val="CharPartNo"/>
        </w:rPr>
        <w:t xml:space="preserve"> </w:t>
      </w:r>
      <w:bookmarkStart w:id="69" w:name="_Toc413419068"/>
      <w:r w:rsidR="00AE5537" w:rsidRPr="004A5227">
        <w:rPr>
          <w:rStyle w:val="CharPartNo"/>
        </w:rPr>
        <w:t>Part</w:t>
      </w:r>
      <w:r w:rsidR="004A5227" w:rsidRPr="004A5227">
        <w:rPr>
          <w:rStyle w:val="CharPartNo"/>
        </w:rPr>
        <w:t> </w:t>
      </w:r>
      <w:r w:rsidR="00AE5537" w:rsidRPr="004A5227">
        <w:rPr>
          <w:rStyle w:val="CharPartNo"/>
        </w:rPr>
        <w:t>1</w:t>
      </w:r>
      <w:r w:rsidR="00AE5537" w:rsidRPr="004A5227">
        <w:t>—</w:t>
      </w:r>
      <w:r w:rsidR="00AE5537" w:rsidRPr="004A5227">
        <w:rPr>
          <w:rStyle w:val="CharPartText"/>
        </w:rPr>
        <w:t>International signalling point codes</w:t>
      </w:r>
      <w:bookmarkEnd w:id="69"/>
    </w:p>
    <w:p w:rsidR="007C40A1" w:rsidRPr="004A5227" w:rsidRDefault="007C40A1" w:rsidP="007C40A1">
      <w:pPr>
        <w:pStyle w:val="Header"/>
      </w:pPr>
      <w:r w:rsidRPr="004A5227">
        <w:rPr>
          <w:rStyle w:val="CharDivNo"/>
        </w:rPr>
        <w:t xml:space="preserve"> </w:t>
      </w:r>
      <w:r w:rsidRPr="004A5227">
        <w:rPr>
          <w:rStyle w:val="CharDivText"/>
        </w:rPr>
        <w:t xml:space="preserve"> </w:t>
      </w:r>
    </w:p>
    <w:p w:rsidR="006F610D" w:rsidRPr="004A5227" w:rsidRDefault="00CA6815" w:rsidP="006F610D">
      <w:pPr>
        <w:pStyle w:val="ActHead5"/>
      </w:pPr>
      <w:bookmarkStart w:id="70" w:name="_Toc413419069"/>
      <w:r w:rsidRPr="004A5227">
        <w:rPr>
          <w:rStyle w:val="CharSectno"/>
        </w:rPr>
        <w:t>46</w:t>
      </w:r>
      <w:r w:rsidR="006F610D" w:rsidRPr="004A5227">
        <w:t xml:space="preserve">  Definition of </w:t>
      </w:r>
      <w:r w:rsidR="006F610D" w:rsidRPr="004A5227">
        <w:rPr>
          <w:i/>
        </w:rPr>
        <w:t>international signalling point code</w:t>
      </w:r>
      <w:bookmarkEnd w:id="70"/>
    </w:p>
    <w:p w:rsidR="006F610D" w:rsidRPr="004A5227" w:rsidRDefault="006F610D" w:rsidP="006F610D">
      <w:pPr>
        <w:pStyle w:val="subsection"/>
      </w:pPr>
      <w:r w:rsidRPr="004A5227">
        <w:tab/>
      </w:r>
      <w:r w:rsidRPr="004A5227">
        <w:tab/>
        <w:t xml:space="preserve">An </w:t>
      </w:r>
      <w:r w:rsidRPr="004A5227">
        <w:rPr>
          <w:b/>
          <w:i/>
        </w:rPr>
        <w:t>international signalling point code</w:t>
      </w:r>
      <w:r w:rsidRPr="004A5227">
        <w:t xml:space="preserve"> is a 5</w:t>
      </w:r>
      <w:r w:rsidR="004A5227">
        <w:noBreakHyphen/>
      </w:r>
      <w:r w:rsidRPr="004A5227">
        <w:t>digit number with the following components:</w:t>
      </w:r>
    </w:p>
    <w:p w:rsidR="006F610D" w:rsidRPr="004A5227" w:rsidRDefault="006F610D" w:rsidP="006F610D">
      <w:pPr>
        <w:pStyle w:val="paragraph"/>
      </w:pPr>
      <w:r w:rsidRPr="004A5227">
        <w:tab/>
        <w:t>(a)</w:t>
      </w:r>
      <w:r w:rsidRPr="004A5227">
        <w:tab/>
        <w:t>a 4</w:t>
      </w:r>
      <w:r w:rsidR="004A5227">
        <w:noBreakHyphen/>
      </w:r>
      <w:r w:rsidRPr="004A5227">
        <w:t xml:space="preserve">digit signalling area network code that has been allocated to the </w:t>
      </w:r>
      <w:proofErr w:type="spellStart"/>
      <w:r w:rsidRPr="004A5227">
        <w:t>ACMA</w:t>
      </w:r>
      <w:proofErr w:type="spellEnd"/>
      <w:r w:rsidRPr="004A5227">
        <w:t xml:space="preserve"> by the </w:t>
      </w:r>
      <w:proofErr w:type="spellStart"/>
      <w:r w:rsidRPr="004A5227">
        <w:t>ITU</w:t>
      </w:r>
      <w:proofErr w:type="spellEnd"/>
      <w:r w:rsidRPr="004A5227">
        <w:t>;</w:t>
      </w:r>
    </w:p>
    <w:p w:rsidR="00BB221F" w:rsidRPr="004A5227" w:rsidRDefault="006F610D" w:rsidP="006F610D">
      <w:pPr>
        <w:pStyle w:val="paragraph"/>
      </w:pPr>
      <w:r w:rsidRPr="004A5227">
        <w:tab/>
        <w:t>(b)</w:t>
      </w:r>
      <w:r w:rsidRPr="004A5227">
        <w:tab/>
        <w:t>a single digit between 0 and 7 (inclusive)</w:t>
      </w:r>
      <w:r w:rsidR="00BB221F" w:rsidRPr="004A5227">
        <w:t>;</w:t>
      </w:r>
    </w:p>
    <w:p w:rsidR="006F610D" w:rsidRPr="004A5227" w:rsidRDefault="00EA3C6B" w:rsidP="00BB221F">
      <w:pPr>
        <w:pStyle w:val="subsection2"/>
      </w:pPr>
      <w:r w:rsidRPr="004A5227">
        <w:t>other than</w:t>
      </w:r>
      <w:r w:rsidR="00BB221F" w:rsidRPr="004A5227">
        <w:t xml:space="preserve"> a special services number or an access code</w:t>
      </w:r>
      <w:r w:rsidR="006F610D" w:rsidRPr="004A5227">
        <w:t>.</w:t>
      </w:r>
    </w:p>
    <w:p w:rsidR="00BB221F" w:rsidRPr="004A5227" w:rsidRDefault="00BB221F" w:rsidP="00BB221F">
      <w:pPr>
        <w:pStyle w:val="notetext"/>
      </w:pPr>
      <w:r w:rsidRPr="004A5227">
        <w:t xml:space="preserve">Note: </w:t>
      </w:r>
      <w:r w:rsidRPr="004A5227">
        <w:tab/>
        <w:t xml:space="preserve">For the definitions of </w:t>
      </w:r>
      <w:r w:rsidRPr="004A5227">
        <w:rPr>
          <w:b/>
          <w:i/>
        </w:rPr>
        <w:t>special services number</w:t>
      </w:r>
      <w:r w:rsidRPr="004A5227">
        <w:t xml:space="preserve"> and </w:t>
      </w:r>
      <w:r w:rsidRPr="004A5227">
        <w:rPr>
          <w:b/>
          <w:i/>
        </w:rPr>
        <w:t>access code</w:t>
      </w:r>
      <w:r w:rsidRPr="004A5227">
        <w:t>, see sections</w:t>
      </w:r>
      <w:r w:rsidR="004A5227" w:rsidRPr="004A5227">
        <w:t> </w:t>
      </w:r>
      <w:r w:rsidR="00CA6815" w:rsidRPr="004A5227">
        <w:t>31</w:t>
      </w:r>
      <w:r w:rsidRPr="004A5227">
        <w:t xml:space="preserve"> and </w:t>
      </w:r>
      <w:r w:rsidR="00CA6815" w:rsidRPr="004A5227">
        <w:t>38</w:t>
      </w:r>
      <w:r w:rsidRPr="004A5227">
        <w:t>, which refer to Schedules</w:t>
      </w:r>
      <w:r w:rsidR="004A5227" w:rsidRPr="004A5227">
        <w:t> </w:t>
      </w:r>
      <w:r w:rsidRPr="004A5227">
        <w:t>5 and 6.</w:t>
      </w:r>
    </w:p>
    <w:p w:rsidR="00E03D86" w:rsidRPr="004A5227" w:rsidRDefault="00CA6815" w:rsidP="00E03D86">
      <w:pPr>
        <w:pStyle w:val="ActHead5"/>
      </w:pPr>
      <w:bookmarkStart w:id="71" w:name="_Toc413419070"/>
      <w:r w:rsidRPr="004A5227">
        <w:rPr>
          <w:rStyle w:val="CharSectno"/>
        </w:rPr>
        <w:t>47</w:t>
      </w:r>
      <w:r w:rsidR="00E03D86" w:rsidRPr="004A5227">
        <w:t xml:space="preserve">  Application for allocation of international signalling point code</w:t>
      </w:r>
      <w:bookmarkEnd w:id="71"/>
    </w:p>
    <w:p w:rsidR="00E03D86" w:rsidRPr="004A5227" w:rsidRDefault="00E03D86" w:rsidP="00E03D86">
      <w:pPr>
        <w:pStyle w:val="subsection"/>
      </w:pPr>
      <w:r w:rsidRPr="004A5227">
        <w:tab/>
        <w:t>(1)</w:t>
      </w:r>
      <w:r w:rsidRPr="004A5227">
        <w:tab/>
        <w:t xml:space="preserve">A </w:t>
      </w:r>
      <w:r w:rsidR="00370865" w:rsidRPr="004A5227">
        <w:t>registered</w:t>
      </w:r>
      <w:r w:rsidR="0023478A" w:rsidRPr="004A5227">
        <w:t xml:space="preserve"> carriage service provider that is a </w:t>
      </w:r>
      <w:r w:rsidRPr="004A5227">
        <w:t xml:space="preserve">signalling point operator may apply to the </w:t>
      </w:r>
      <w:proofErr w:type="spellStart"/>
      <w:r w:rsidRPr="004A5227">
        <w:t>ACMA</w:t>
      </w:r>
      <w:proofErr w:type="spellEnd"/>
      <w:r w:rsidRPr="004A5227">
        <w:t xml:space="preserve"> under this section for the allocation of an international signalling point code</w:t>
      </w:r>
      <w:r w:rsidRPr="004A5227">
        <w:rPr>
          <w:i/>
        </w:rPr>
        <w:t>.</w:t>
      </w:r>
    </w:p>
    <w:p w:rsidR="00C15430" w:rsidRPr="004A5227" w:rsidRDefault="00C15430" w:rsidP="00C15430">
      <w:pPr>
        <w:pStyle w:val="subsection"/>
      </w:pPr>
      <w:r w:rsidRPr="004A5227">
        <w:tab/>
        <w:t>(2)</w:t>
      </w:r>
      <w:r w:rsidRPr="004A5227">
        <w:tab/>
        <w:t xml:space="preserve">The application must be in a form approved by the </w:t>
      </w:r>
      <w:proofErr w:type="spellStart"/>
      <w:r w:rsidRPr="004A5227">
        <w:t>ACMA</w:t>
      </w:r>
      <w:proofErr w:type="spellEnd"/>
      <w:r w:rsidRPr="004A5227">
        <w:t>.</w:t>
      </w:r>
    </w:p>
    <w:p w:rsidR="00C15430" w:rsidRPr="004A5227" w:rsidRDefault="00C15430" w:rsidP="00C15430">
      <w:pPr>
        <w:pStyle w:val="subsection"/>
      </w:pPr>
      <w:r w:rsidRPr="004A5227">
        <w:tab/>
        <w:t>(3)</w:t>
      </w:r>
      <w:r w:rsidRPr="004A5227">
        <w:tab/>
        <w:t>Strict compliance with the approved form is required.</w:t>
      </w:r>
    </w:p>
    <w:p w:rsidR="00C15430" w:rsidRPr="004A5227" w:rsidRDefault="00C15430" w:rsidP="00C15430">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727022" w:rsidRPr="004A5227" w:rsidRDefault="00727022" w:rsidP="00727022">
      <w:pPr>
        <w:pStyle w:val="subsection"/>
      </w:pPr>
      <w:r w:rsidRPr="004A5227">
        <w:tab/>
        <w:t>(5)</w:t>
      </w:r>
      <w:r w:rsidRPr="004A5227">
        <w:tab/>
        <w:t>The registered carriage service provider must tender the amount of charge (if any) imposed on the allocation of the international signalling point code by Part</w:t>
      </w:r>
      <w:r w:rsidR="004A5227" w:rsidRPr="004A5227">
        <w:t> </w:t>
      </w:r>
      <w:r w:rsidRPr="004A5227">
        <w:t xml:space="preserve">2 of the </w:t>
      </w:r>
      <w:r w:rsidRPr="004A5227">
        <w:rPr>
          <w:i/>
        </w:rPr>
        <w:t>Telecommunications (Numbering Charges) Act 1997</w:t>
      </w:r>
      <w:r w:rsidRPr="004A5227">
        <w:t>.</w:t>
      </w:r>
    </w:p>
    <w:p w:rsidR="00727022" w:rsidRPr="004A5227" w:rsidRDefault="00727022" w:rsidP="00727022">
      <w:pPr>
        <w:pStyle w:val="notetext"/>
      </w:pPr>
      <w:r w:rsidRPr="004A5227">
        <w:t>Note:</w:t>
      </w:r>
      <w:r w:rsidRPr="004A5227">
        <w:tab/>
        <w:t>Subsection</w:t>
      </w:r>
      <w:r w:rsidR="004A5227" w:rsidRPr="004A5227">
        <w:t> </w:t>
      </w:r>
      <w:r w:rsidRPr="004A5227">
        <w:t xml:space="preserve">457(2) of the </w:t>
      </w:r>
      <w:r w:rsidRPr="004A5227">
        <w:rPr>
          <w:i/>
        </w:rPr>
        <w:t>Telecommunications Act 1997</w:t>
      </w:r>
      <w:r w:rsidRPr="004A5227">
        <w:t xml:space="preserve"> requires this amount to be refunded if the application is not successful.</w:t>
      </w:r>
    </w:p>
    <w:p w:rsidR="00C15430" w:rsidRPr="004A5227" w:rsidRDefault="00CA6815" w:rsidP="00C15430">
      <w:pPr>
        <w:pStyle w:val="ActHead5"/>
      </w:pPr>
      <w:bookmarkStart w:id="72" w:name="_Toc413419071"/>
      <w:r w:rsidRPr="004A5227">
        <w:rPr>
          <w:rStyle w:val="CharSectno"/>
        </w:rPr>
        <w:t>48</w:t>
      </w:r>
      <w:r w:rsidR="00C15430" w:rsidRPr="004A5227">
        <w:t xml:space="preserve">  Decision on application</w:t>
      </w:r>
      <w:bookmarkEnd w:id="72"/>
    </w:p>
    <w:p w:rsidR="00E65BE7" w:rsidRPr="004A5227" w:rsidRDefault="00C15430" w:rsidP="00C15430">
      <w:pPr>
        <w:pStyle w:val="subsection"/>
      </w:pPr>
      <w:r w:rsidRPr="004A5227">
        <w:tab/>
        <w:t>(1)</w:t>
      </w:r>
      <w:r w:rsidRPr="004A5227">
        <w:tab/>
      </w:r>
      <w:r w:rsidR="00E65BE7" w:rsidRPr="004A5227">
        <w:t xml:space="preserve">The </w:t>
      </w:r>
      <w:proofErr w:type="spellStart"/>
      <w:r w:rsidR="00E65BE7" w:rsidRPr="004A5227">
        <w:t>ACMA</w:t>
      </w:r>
      <w:proofErr w:type="spellEnd"/>
      <w:r w:rsidR="00E65BE7" w:rsidRPr="004A5227">
        <w:t xml:space="preserve"> may approve an application made by a registered carriage service provider under section</w:t>
      </w:r>
      <w:r w:rsidR="004A5227" w:rsidRPr="004A5227">
        <w:t> </w:t>
      </w:r>
      <w:r w:rsidR="00CA6815" w:rsidRPr="004A5227">
        <w:t>47</w:t>
      </w:r>
      <w:r w:rsidR="00E65BE7" w:rsidRPr="004A5227">
        <w:t xml:space="preserve"> if the </w:t>
      </w:r>
      <w:proofErr w:type="spellStart"/>
      <w:r w:rsidR="00E65BE7" w:rsidRPr="004A5227">
        <w:t>ACMA</w:t>
      </w:r>
      <w:proofErr w:type="spellEnd"/>
      <w:r w:rsidR="00E65BE7" w:rsidRPr="004A5227">
        <w:t xml:space="preserve"> is satisfied that it is appropriate to do so in all the circumstances.</w:t>
      </w:r>
    </w:p>
    <w:p w:rsidR="00E65BE7" w:rsidRPr="004A5227" w:rsidRDefault="00E65BE7" w:rsidP="00C15430">
      <w:pPr>
        <w:pStyle w:val="subsection"/>
      </w:pPr>
      <w:r w:rsidRPr="004A5227">
        <w:tab/>
        <w:t>(2)</w:t>
      </w:r>
      <w:r w:rsidRPr="004A5227">
        <w:tab/>
        <w:t>In</w:t>
      </w:r>
      <w:r w:rsidR="00EA3C6B" w:rsidRPr="004A5227">
        <w:t xml:space="preserve"> considering</w:t>
      </w:r>
      <w:r w:rsidRPr="004A5227">
        <w:t xml:space="preserve"> whether it is appropriate in all the circumstances to approve an application, the </w:t>
      </w:r>
      <w:proofErr w:type="spellStart"/>
      <w:r w:rsidRPr="004A5227">
        <w:t>ACMA</w:t>
      </w:r>
      <w:proofErr w:type="spellEnd"/>
      <w:r w:rsidRPr="004A5227">
        <w:t xml:space="preserve"> must take the following into account:</w:t>
      </w:r>
    </w:p>
    <w:p w:rsidR="00E65BE7" w:rsidRPr="004A5227" w:rsidRDefault="00E65BE7" w:rsidP="00E65BE7">
      <w:pPr>
        <w:pStyle w:val="paragraph"/>
      </w:pPr>
      <w:r w:rsidRPr="004A5227">
        <w:tab/>
        <w:t>(a)</w:t>
      </w:r>
      <w:r w:rsidRPr="004A5227">
        <w:tab/>
        <w:t>whether allocation of the international signalling point code to the registered carriage service provider would be consistent with the requirements of an international agreement that is relevant to the allocation;</w:t>
      </w:r>
    </w:p>
    <w:p w:rsidR="00AE5537" w:rsidRPr="004A5227" w:rsidRDefault="00E65BE7" w:rsidP="00AE5537">
      <w:pPr>
        <w:pStyle w:val="paragraph"/>
      </w:pPr>
      <w:r w:rsidRPr="004A5227">
        <w:lastRenderedPageBreak/>
        <w:tab/>
        <w:t>(b)</w:t>
      </w:r>
      <w:r w:rsidRPr="004A5227">
        <w:tab/>
      </w:r>
      <w:r w:rsidR="00AE5537" w:rsidRPr="004A5227">
        <w:t xml:space="preserve">if the international signalling point code to which the application relates has </w:t>
      </w:r>
      <w:r w:rsidR="00AD1680" w:rsidRPr="004A5227">
        <w:t xml:space="preserve">previously </w:t>
      </w:r>
      <w:r w:rsidR="00AE5537" w:rsidRPr="004A5227">
        <w:t>been withdrawn under section</w:t>
      </w:r>
      <w:r w:rsidR="004A5227" w:rsidRPr="004A5227">
        <w:t> </w:t>
      </w:r>
      <w:r w:rsidR="00CA6815" w:rsidRPr="004A5227">
        <w:t>53</w:t>
      </w:r>
      <w:r w:rsidR="00AE5537" w:rsidRPr="004A5227">
        <w:t>—</w:t>
      </w:r>
      <w:r w:rsidRPr="004A5227">
        <w:t xml:space="preserve">whether </w:t>
      </w:r>
      <w:r w:rsidR="00AE5537" w:rsidRPr="004A5227">
        <w:t>the allocation of the code will take effect at least 6 months after the withdrawal.</w:t>
      </w:r>
    </w:p>
    <w:p w:rsidR="00727022" w:rsidRPr="004A5227" w:rsidRDefault="00727022" w:rsidP="00727022">
      <w:pPr>
        <w:pStyle w:val="notetext"/>
      </w:pPr>
      <w:r w:rsidRPr="004A5227">
        <w:t>Note:</w:t>
      </w:r>
      <w:r w:rsidRPr="004A5227">
        <w:tab/>
        <w:t xml:space="preserve">In 2015, </w:t>
      </w:r>
      <w:proofErr w:type="spellStart"/>
      <w:r w:rsidR="00AC6AAD" w:rsidRPr="004A5227">
        <w:t>ITU</w:t>
      </w:r>
      <w:proofErr w:type="spellEnd"/>
      <w:r w:rsidR="004A5227">
        <w:noBreakHyphen/>
      </w:r>
      <w:r w:rsidR="00170402" w:rsidRPr="004A5227">
        <w:t>T</w:t>
      </w:r>
      <w:r w:rsidR="00AC6AAD" w:rsidRPr="004A5227">
        <w:t xml:space="preserve"> Recommendation Q.708</w:t>
      </w:r>
      <w:r w:rsidR="00D6165E" w:rsidRPr="004A5227">
        <w:t xml:space="preserve"> </w:t>
      </w:r>
      <w:r w:rsidR="00AC6AAD" w:rsidRPr="004A5227">
        <w:rPr>
          <w:i/>
        </w:rPr>
        <w:t>Assignment procedures for international signalling point codes</w:t>
      </w:r>
      <w:r w:rsidR="00AC6AAD" w:rsidRPr="004A5227">
        <w:t xml:space="preserve"> was an example of a relevant international agreement for </w:t>
      </w:r>
      <w:r w:rsidR="004A5227" w:rsidRPr="004A5227">
        <w:t>paragraph (</w:t>
      </w:r>
      <w:r w:rsidR="00E65BE7" w:rsidRPr="004A5227">
        <w:t>a</w:t>
      </w:r>
      <w:r w:rsidR="00AC6AAD" w:rsidRPr="004A5227">
        <w:t>).</w:t>
      </w:r>
    </w:p>
    <w:p w:rsidR="00E65BE7" w:rsidRPr="004A5227" w:rsidRDefault="00E65BE7" w:rsidP="00150544">
      <w:pPr>
        <w:pStyle w:val="subsection"/>
      </w:pPr>
      <w:r w:rsidRPr="004A5227">
        <w:tab/>
        <w:t>(3)</w:t>
      </w:r>
      <w:r w:rsidRPr="004A5227">
        <w:tab/>
        <w:t xml:space="preserve">The </w:t>
      </w:r>
      <w:proofErr w:type="spellStart"/>
      <w:r w:rsidRPr="004A5227">
        <w:t>ACMA</w:t>
      </w:r>
      <w:proofErr w:type="spellEnd"/>
      <w:r w:rsidRPr="004A5227">
        <w:t xml:space="preserve"> may take into account any other matter that it considers relevant.</w:t>
      </w:r>
    </w:p>
    <w:p w:rsidR="00150544" w:rsidRPr="004A5227" w:rsidRDefault="00E65BE7" w:rsidP="00150544">
      <w:pPr>
        <w:pStyle w:val="subsection"/>
      </w:pPr>
      <w:r w:rsidRPr="004A5227">
        <w:tab/>
        <w:t>(4)</w:t>
      </w:r>
      <w:r w:rsidRPr="004A5227">
        <w:tab/>
      </w:r>
      <w:r w:rsidR="00150544" w:rsidRPr="004A5227">
        <w:t xml:space="preserve">If the </w:t>
      </w:r>
      <w:proofErr w:type="spellStart"/>
      <w:r w:rsidR="00150544" w:rsidRPr="004A5227">
        <w:t>ACMA</w:t>
      </w:r>
      <w:proofErr w:type="spellEnd"/>
      <w:r w:rsidR="00150544" w:rsidRPr="004A5227">
        <w:t xml:space="preserve"> approves an application, the </w:t>
      </w:r>
      <w:proofErr w:type="spellStart"/>
      <w:r w:rsidR="00150544" w:rsidRPr="004A5227">
        <w:t>ACMA</w:t>
      </w:r>
      <w:proofErr w:type="spellEnd"/>
      <w:r w:rsidR="00150544" w:rsidRPr="004A5227">
        <w:t xml:space="preserve"> must allocate th</w:t>
      </w:r>
      <w:r w:rsidR="00AD1680" w:rsidRPr="004A5227">
        <w:t xml:space="preserve">e </w:t>
      </w:r>
      <w:r w:rsidR="00150544" w:rsidRPr="004A5227">
        <w:t xml:space="preserve">international signalling point code to the </w:t>
      </w:r>
      <w:r w:rsidR="00370865" w:rsidRPr="004A5227">
        <w:t>registered</w:t>
      </w:r>
      <w:r w:rsidR="0023478A" w:rsidRPr="004A5227">
        <w:t xml:space="preserve"> carriage service provider</w:t>
      </w:r>
      <w:r w:rsidR="00150544" w:rsidRPr="004A5227">
        <w:t>.</w:t>
      </w:r>
    </w:p>
    <w:p w:rsidR="00150544" w:rsidRPr="004A5227" w:rsidRDefault="00150544" w:rsidP="00150544">
      <w:pPr>
        <w:pStyle w:val="subsection"/>
      </w:pPr>
      <w:r w:rsidRPr="004A5227">
        <w:tab/>
        <w:t>(</w:t>
      </w:r>
      <w:r w:rsidR="00E65BE7" w:rsidRPr="004A5227">
        <w:t>5</w:t>
      </w:r>
      <w:r w:rsidRPr="004A5227">
        <w:t>)</w:t>
      </w:r>
      <w:r w:rsidRPr="004A5227">
        <w:tab/>
        <w:t xml:space="preserve">The </w:t>
      </w:r>
      <w:proofErr w:type="spellStart"/>
      <w:r w:rsidRPr="004A5227">
        <w:t>ACMA</w:t>
      </w:r>
      <w:proofErr w:type="spellEnd"/>
      <w:r w:rsidRPr="004A5227">
        <w:t xml:space="preserve"> must notify the </w:t>
      </w:r>
      <w:r w:rsidR="0023478A" w:rsidRPr="004A5227">
        <w:t>registered carriage service provider</w:t>
      </w:r>
      <w:r w:rsidRPr="004A5227">
        <w:t xml:space="preserve"> of the</w:t>
      </w:r>
      <w:r w:rsidR="008447D0" w:rsidRPr="004A5227">
        <w:t xml:space="preserve"> international signalling point code that has</w:t>
      </w:r>
      <w:r w:rsidRPr="004A5227">
        <w:t xml:space="preserve"> been allocated and the date of allocation.</w:t>
      </w:r>
    </w:p>
    <w:p w:rsidR="00E65BE7" w:rsidRPr="004A5227" w:rsidRDefault="00E65BE7" w:rsidP="00150544">
      <w:pPr>
        <w:pStyle w:val="subsection"/>
      </w:pPr>
      <w:r w:rsidRPr="004A5227">
        <w:tab/>
        <w:t>(6)</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 of the allocation of the international signalling point code and the date of allocation.</w:t>
      </w:r>
    </w:p>
    <w:p w:rsidR="00615DA5" w:rsidRPr="004A5227" w:rsidRDefault="00615DA5" w:rsidP="00150544">
      <w:pPr>
        <w:pStyle w:val="subsection"/>
      </w:pPr>
      <w:r w:rsidRPr="004A5227">
        <w:tab/>
        <w:t>(</w:t>
      </w:r>
      <w:r w:rsidR="00E65BE7" w:rsidRPr="004A5227">
        <w:t>7</w:t>
      </w:r>
      <w:r w:rsidRPr="004A5227">
        <w:t>)</w:t>
      </w:r>
      <w:r w:rsidRPr="004A5227">
        <w:tab/>
        <w:t xml:space="preserve">If the </w:t>
      </w:r>
      <w:proofErr w:type="spellStart"/>
      <w:r w:rsidRPr="004A5227">
        <w:t>ACMA</w:t>
      </w:r>
      <w:proofErr w:type="spellEnd"/>
      <w:r w:rsidRPr="004A5227">
        <w:t xml:space="preserve"> decides not to approve the application, the </w:t>
      </w:r>
      <w:proofErr w:type="spellStart"/>
      <w:r w:rsidRPr="004A5227">
        <w:t>ACMA</w:t>
      </w:r>
      <w:proofErr w:type="spellEnd"/>
      <w:r w:rsidRPr="004A5227">
        <w:t xml:space="preserve"> must notify the registered carriage service provider of its decision.</w:t>
      </w:r>
    </w:p>
    <w:p w:rsidR="0003079E" w:rsidRPr="004A5227" w:rsidRDefault="0003079E" w:rsidP="0003079E">
      <w:pPr>
        <w:pStyle w:val="ActHead2"/>
        <w:pageBreakBefore/>
      </w:pPr>
      <w:bookmarkStart w:id="73" w:name="_Toc413419072"/>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Mobile network codes</w:t>
      </w:r>
      <w:bookmarkEnd w:id="73"/>
    </w:p>
    <w:p w:rsidR="0003079E" w:rsidRPr="004A5227" w:rsidRDefault="0003079E" w:rsidP="0003079E">
      <w:pPr>
        <w:pStyle w:val="Header"/>
      </w:pPr>
      <w:r w:rsidRPr="004A5227">
        <w:rPr>
          <w:rStyle w:val="CharDivNo"/>
        </w:rPr>
        <w:t xml:space="preserve"> </w:t>
      </w:r>
      <w:r w:rsidRPr="004A5227">
        <w:rPr>
          <w:rStyle w:val="CharDivText"/>
        </w:rPr>
        <w:t xml:space="preserve"> </w:t>
      </w:r>
    </w:p>
    <w:p w:rsidR="0003079E" w:rsidRPr="004A5227" w:rsidRDefault="00CA6815" w:rsidP="0003079E">
      <w:pPr>
        <w:pStyle w:val="ActHead5"/>
      </w:pPr>
      <w:bookmarkStart w:id="74" w:name="_Toc413419073"/>
      <w:r w:rsidRPr="004A5227">
        <w:rPr>
          <w:rStyle w:val="CharSectno"/>
        </w:rPr>
        <w:t>49</w:t>
      </w:r>
      <w:r w:rsidR="0003079E" w:rsidRPr="004A5227">
        <w:t xml:space="preserve">  Definition of </w:t>
      </w:r>
      <w:r w:rsidR="0003079E" w:rsidRPr="004A5227">
        <w:rPr>
          <w:i/>
        </w:rPr>
        <w:t>mobile network code</w:t>
      </w:r>
      <w:bookmarkEnd w:id="74"/>
    </w:p>
    <w:p w:rsidR="0003079E" w:rsidRPr="004A5227" w:rsidRDefault="0003079E" w:rsidP="0003079E">
      <w:pPr>
        <w:pStyle w:val="subsection"/>
      </w:pPr>
      <w:r w:rsidRPr="004A5227">
        <w:tab/>
      </w:r>
      <w:r w:rsidRPr="004A5227">
        <w:tab/>
        <w:t xml:space="preserve">A </w:t>
      </w:r>
      <w:r w:rsidRPr="004A5227">
        <w:rPr>
          <w:b/>
          <w:i/>
        </w:rPr>
        <w:t>mobile network code</w:t>
      </w:r>
      <w:r w:rsidRPr="004A5227">
        <w:rPr>
          <w:b/>
        </w:rPr>
        <w:t xml:space="preserve"> </w:t>
      </w:r>
      <w:r w:rsidRPr="004A5227">
        <w:t>is a 2</w:t>
      </w:r>
      <w:r w:rsidR="004A5227">
        <w:noBreakHyphen/>
      </w:r>
      <w:r w:rsidRPr="004A5227">
        <w:t>digit number or a 3</w:t>
      </w:r>
      <w:r w:rsidR="004A5227">
        <w:noBreakHyphen/>
      </w:r>
      <w:r w:rsidRPr="004A5227">
        <w:t xml:space="preserve">digit number that is for use as one component of an international mobile </w:t>
      </w:r>
      <w:r w:rsidR="00400E63" w:rsidRPr="004A5227">
        <w:t>subscriber identity (</w:t>
      </w:r>
      <w:proofErr w:type="spellStart"/>
      <w:r w:rsidR="00400E63" w:rsidRPr="004A5227">
        <w:t>IMSI</w:t>
      </w:r>
      <w:proofErr w:type="spellEnd"/>
      <w:r w:rsidR="00400E63" w:rsidRPr="004A5227">
        <w:t>)</w:t>
      </w:r>
      <w:r w:rsidRPr="004A5227">
        <w:t>.</w:t>
      </w:r>
    </w:p>
    <w:p w:rsidR="0003079E" w:rsidRPr="004A5227" w:rsidRDefault="00CA6815" w:rsidP="0003079E">
      <w:pPr>
        <w:pStyle w:val="ActHead5"/>
      </w:pPr>
      <w:bookmarkStart w:id="75" w:name="_Toc413419074"/>
      <w:r w:rsidRPr="004A5227">
        <w:rPr>
          <w:rStyle w:val="CharSectno"/>
        </w:rPr>
        <w:t>50</w:t>
      </w:r>
      <w:r w:rsidR="0003079E" w:rsidRPr="004A5227">
        <w:t xml:space="preserve">  Application for allocation of mobile network code</w:t>
      </w:r>
      <w:bookmarkEnd w:id="75"/>
    </w:p>
    <w:p w:rsidR="0003079E" w:rsidRPr="004A5227" w:rsidRDefault="0003079E" w:rsidP="0003079E">
      <w:pPr>
        <w:pStyle w:val="subsection"/>
      </w:pPr>
      <w:r w:rsidRPr="004A5227">
        <w:tab/>
        <w:t>(1)</w:t>
      </w:r>
      <w:r w:rsidRPr="004A5227">
        <w:tab/>
        <w:t xml:space="preserve">A registered carriage service provider </w:t>
      </w:r>
      <w:r w:rsidR="00892D83" w:rsidRPr="004A5227">
        <w:t xml:space="preserve">may </w:t>
      </w:r>
      <w:r w:rsidRPr="004A5227">
        <w:t xml:space="preserve">apply to the </w:t>
      </w:r>
      <w:proofErr w:type="spellStart"/>
      <w:r w:rsidRPr="004A5227">
        <w:t>ACMA</w:t>
      </w:r>
      <w:proofErr w:type="spellEnd"/>
      <w:r w:rsidRPr="004A5227">
        <w:t xml:space="preserve"> under this section for the allocation of a mobile network code</w:t>
      </w:r>
      <w:r w:rsidRPr="004A5227">
        <w:rPr>
          <w:i/>
        </w:rPr>
        <w:t>.</w:t>
      </w:r>
    </w:p>
    <w:p w:rsidR="0003079E" w:rsidRPr="004A5227" w:rsidRDefault="0003079E" w:rsidP="0003079E">
      <w:pPr>
        <w:pStyle w:val="subsection"/>
      </w:pPr>
      <w:r w:rsidRPr="004A5227">
        <w:tab/>
        <w:t>(2)</w:t>
      </w:r>
      <w:r w:rsidRPr="004A5227">
        <w:tab/>
        <w:t xml:space="preserve">The application must be in a form approved by the </w:t>
      </w:r>
      <w:proofErr w:type="spellStart"/>
      <w:r w:rsidRPr="004A5227">
        <w:t>ACMA</w:t>
      </w:r>
      <w:proofErr w:type="spellEnd"/>
      <w:r w:rsidRPr="004A5227">
        <w:t>.</w:t>
      </w:r>
    </w:p>
    <w:p w:rsidR="0003079E" w:rsidRPr="004A5227" w:rsidRDefault="0003079E" w:rsidP="0003079E">
      <w:pPr>
        <w:pStyle w:val="subsection"/>
      </w:pPr>
      <w:r w:rsidRPr="004A5227">
        <w:tab/>
        <w:t>(3)</w:t>
      </w:r>
      <w:r w:rsidRPr="004A5227">
        <w:tab/>
        <w:t>Strict compliance with the approved form is required.</w:t>
      </w:r>
    </w:p>
    <w:p w:rsidR="0003079E" w:rsidRPr="004A5227" w:rsidRDefault="0003079E" w:rsidP="0003079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400E63" w:rsidRPr="004A5227" w:rsidRDefault="00400E63" w:rsidP="00400E63">
      <w:pPr>
        <w:pStyle w:val="subsection"/>
      </w:pPr>
      <w:r w:rsidRPr="004A5227">
        <w:tab/>
        <w:t>(5)</w:t>
      </w:r>
      <w:r w:rsidRPr="004A5227">
        <w:tab/>
        <w:t>The registered carriage service provider must tender the amount of charge (if any) imposed on the allocation of the mobile network code by Part</w:t>
      </w:r>
      <w:r w:rsidR="004A5227" w:rsidRPr="004A5227">
        <w:t> </w:t>
      </w:r>
      <w:r w:rsidRPr="004A5227">
        <w:t xml:space="preserve">2 of the </w:t>
      </w:r>
      <w:r w:rsidRPr="004A5227">
        <w:rPr>
          <w:i/>
        </w:rPr>
        <w:t>Telecommunications (Numbering Charges) Act 1997</w:t>
      </w:r>
      <w:r w:rsidRPr="004A5227">
        <w:t>.</w:t>
      </w:r>
    </w:p>
    <w:p w:rsidR="00400E63" w:rsidRPr="004A5227" w:rsidRDefault="00400E63" w:rsidP="00400E63">
      <w:pPr>
        <w:pStyle w:val="notetext"/>
      </w:pPr>
      <w:r w:rsidRPr="004A5227">
        <w:t>Note:</w:t>
      </w:r>
      <w:r w:rsidRPr="004A5227">
        <w:tab/>
        <w:t>Subsection</w:t>
      </w:r>
      <w:r w:rsidR="004A5227" w:rsidRPr="004A5227">
        <w:t> </w:t>
      </w:r>
      <w:r w:rsidRPr="004A5227">
        <w:t xml:space="preserve">457(2) of the </w:t>
      </w:r>
      <w:r w:rsidRPr="004A5227">
        <w:rPr>
          <w:i/>
        </w:rPr>
        <w:t>Telecommunications Act 1997</w:t>
      </w:r>
      <w:r w:rsidRPr="004A5227">
        <w:t xml:space="preserve"> requires this amount to be refunded if the application is not successful.</w:t>
      </w:r>
    </w:p>
    <w:p w:rsidR="0003079E" w:rsidRPr="004A5227" w:rsidRDefault="00CA6815" w:rsidP="0003079E">
      <w:pPr>
        <w:pStyle w:val="ActHead5"/>
      </w:pPr>
      <w:bookmarkStart w:id="76" w:name="_Toc413419075"/>
      <w:r w:rsidRPr="004A5227">
        <w:rPr>
          <w:rStyle w:val="CharSectno"/>
        </w:rPr>
        <w:t>51</w:t>
      </w:r>
      <w:r w:rsidR="0003079E" w:rsidRPr="004A5227">
        <w:t xml:space="preserve">  Decision on application</w:t>
      </w:r>
      <w:bookmarkEnd w:id="76"/>
    </w:p>
    <w:p w:rsidR="00E65BE7" w:rsidRPr="004A5227" w:rsidRDefault="00E65BE7" w:rsidP="00E65BE7">
      <w:pPr>
        <w:pStyle w:val="subsection"/>
      </w:pPr>
      <w:r w:rsidRPr="004A5227">
        <w:tab/>
        <w:t>(1)</w:t>
      </w:r>
      <w:r w:rsidRPr="004A5227">
        <w:tab/>
        <w:t xml:space="preserve">The </w:t>
      </w:r>
      <w:proofErr w:type="spellStart"/>
      <w:r w:rsidRPr="004A5227">
        <w:t>ACMA</w:t>
      </w:r>
      <w:proofErr w:type="spellEnd"/>
      <w:r w:rsidRPr="004A5227">
        <w:t xml:space="preserve"> may approve an application made by a registered carriage service provider under section</w:t>
      </w:r>
      <w:r w:rsidR="004A5227" w:rsidRPr="004A5227">
        <w:t> </w:t>
      </w:r>
      <w:r w:rsidR="00CA6815" w:rsidRPr="004A5227">
        <w:t>50</w:t>
      </w:r>
      <w:r w:rsidRPr="004A5227">
        <w:t xml:space="preserve"> if the </w:t>
      </w:r>
      <w:proofErr w:type="spellStart"/>
      <w:r w:rsidRPr="004A5227">
        <w:t>ACMA</w:t>
      </w:r>
      <w:proofErr w:type="spellEnd"/>
      <w:r w:rsidRPr="004A5227">
        <w:t xml:space="preserve"> is satisfied that it is appropriate to do so in all the circumstances.</w:t>
      </w:r>
    </w:p>
    <w:p w:rsidR="00E65BE7" w:rsidRPr="004A5227" w:rsidRDefault="00EA3C6B" w:rsidP="0003079E">
      <w:pPr>
        <w:pStyle w:val="subsection"/>
      </w:pPr>
      <w:r w:rsidRPr="004A5227">
        <w:tab/>
        <w:t>(2)</w:t>
      </w:r>
      <w:r w:rsidRPr="004A5227">
        <w:tab/>
        <w:t>In considerin</w:t>
      </w:r>
      <w:r w:rsidR="00E65BE7" w:rsidRPr="004A5227">
        <w:t xml:space="preserve">g whether it is appropriate in all the circumstances to approve an application, the </w:t>
      </w:r>
      <w:proofErr w:type="spellStart"/>
      <w:r w:rsidR="00E65BE7" w:rsidRPr="004A5227">
        <w:t>ACMA</w:t>
      </w:r>
      <w:proofErr w:type="spellEnd"/>
      <w:r w:rsidR="00E65BE7" w:rsidRPr="004A5227">
        <w:t xml:space="preserve"> must take into account whether allocation of the mobile network code to the registered carriage service provider </w:t>
      </w:r>
      <w:r w:rsidR="00AD5C52" w:rsidRPr="004A5227">
        <w:t>would be consistent with the requirements of an international agreement that is relevant to the allocation.</w:t>
      </w:r>
    </w:p>
    <w:p w:rsidR="00400E63" w:rsidRPr="004A5227" w:rsidRDefault="00400E63" w:rsidP="00400E63">
      <w:pPr>
        <w:pStyle w:val="notetext"/>
      </w:pPr>
      <w:r w:rsidRPr="004A5227">
        <w:t>Note:</w:t>
      </w:r>
      <w:r w:rsidRPr="004A5227">
        <w:tab/>
        <w:t xml:space="preserve">In 2015, </w:t>
      </w:r>
      <w:proofErr w:type="spellStart"/>
      <w:r w:rsidRPr="004A5227">
        <w:t>ITU</w:t>
      </w:r>
      <w:proofErr w:type="spellEnd"/>
      <w:r w:rsidR="004A5227">
        <w:noBreakHyphen/>
      </w:r>
      <w:r w:rsidRPr="004A5227">
        <w:t xml:space="preserve">T Recommendation E.212 </w:t>
      </w:r>
      <w:r w:rsidRPr="004A5227">
        <w:rPr>
          <w:i/>
        </w:rPr>
        <w:t>The international identification plan for public networks and subscriptions</w:t>
      </w:r>
      <w:r w:rsidRPr="004A5227">
        <w:t xml:space="preserve"> was an example of a r</w:t>
      </w:r>
      <w:r w:rsidR="00AD5C52" w:rsidRPr="004A5227">
        <w:t>elevant international agreement</w:t>
      </w:r>
      <w:r w:rsidRPr="004A5227">
        <w:t>.</w:t>
      </w:r>
    </w:p>
    <w:p w:rsidR="00AD5C52" w:rsidRPr="004A5227" w:rsidRDefault="00AD5C52" w:rsidP="0003079E">
      <w:pPr>
        <w:pStyle w:val="subsection"/>
      </w:pPr>
      <w:r w:rsidRPr="004A5227">
        <w:tab/>
        <w:t>(3)</w:t>
      </w:r>
      <w:r w:rsidRPr="004A5227">
        <w:tab/>
        <w:t xml:space="preserve">The </w:t>
      </w:r>
      <w:proofErr w:type="spellStart"/>
      <w:r w:rsidRPr="004A5227">
        <w:t>ACMA</w:t>
      </w:r>
      <w:proofErr w:type="spellEnd"/>
      <w:r w:rsidRPr="004A5227">
        <w:t xml:space="preserve"> may take into account any other matter that it considers relevant.</w:t>
      </w:r>
    </w:p>
    <w:p w:rsidR="0003079E" w:rsidRPr="004A5227" w:rsidRDefault="00AD5C52" w:rsidP="0003079E">
      <w:pPr>
        <w:pStyle w:val="subsection"/>
      </w:pPr>
      <w:r w:rsidRPr="004A5227">
        <w:tab/>
      </w:r>
      <w:r w:rsidR="0003079E" w:rsidRPr="004A5227">
        <w:t>(</w:t>
      </w:r>
      <w:r w:rsidRPr="004A5227">
        <w:t>4</w:t>
      </w:r>
      <w:r w:rsidR="0003079E" w:rsidRPr="004A5227">
        <w:t>)</w:t>
      </w:r>
      <w:r w:rsidR="0003079E" w:rsidRPr="004A5227">
        <w:tab/>
        <w:t xml:space="preserve">If the </w:t>
      </w:r>
      <w:proofErr w:type="spellStart"/>
      <w:r w:rsidR="0003079E" w:rsidRPr="004A5227">
        <w:t>ACMA</w:t>
      </w:r>
      <w:proofErr w:type="spellEnd"/>
      <w:r w:rsidR="0003079E" w:rsidRPr="004A5227">
        <w:t xml:space="preserve"> approves an application, the </w:t>
      </w:r>
      <w:proofErr w:type="spellStart"/>
      <w:r w:rsidR="0003079E" w:rsidRPr="004A5227">
        <w:t>ACMA</w:t>
      </w:r>
      <w:proofErr w:type="spellEnd"/>
      <w:r w:rsidR="0003079E" w:rsidRPr="004A5227">
        <w:t xml:space="preserve"> must allocate the mobile </w:t>
      </w:r>
      <w:r w:rsidR="00BA245A" w:rsidRPr="004A5227">
        <w:t>network code to the registered</w:t>
      </w:r>
      <w:r w:rsidR="0003079E" w:rsidRPr="004A5227">
        <w:t xml:space="preserve"> carriage service provider.</w:t>
      </w:r>
    </w:p>
    <w:p w:rsidR="0003079E" w:rsidRPr="004A5227" w:rsidRDefault="0003079E" w:rsidP="0003079E">
      <w:pPr>
        <w:pStyle w:val="subsection"/>
      </w:pPr>
      <w:r w:rsidRPr="004A5227">
        <w:tab/>
        <w:t>(</w:t>
      </w:r>
      <w:r w:rsidR="00AD5C52" w:rsidRPr="004A5227">
        <w:t>5</w:t>
      </w:r>
      <w:r w:rsidRPr="004A5227">
        <w:t>)</w:t>
      </w:r>
      <w:r w:rsidRPr="004A5227">
        <w:tab/>
        <w:t xml:space="preserve">The </w:t>
      </w:r>
      <w:proofErr w:type="spellStart"/>
      <w:r w:rsidRPr="004A5227">
        <w:t>ACMA</w:t>
      </w:r>
      <w:proofErr w:type="spellEnd"/>
      <w:r w:rsidRPr="004A5227">
        <w:t xml:space="preserve"> must notify the </w:t>
      </w:r>
      <w:r w:rsidR="00BA245A" w:rsidRPr="004A5227">
        <w:t>registered</w:t>
      </w:r>
      <w:r w:rsidRPr="004A5227">
        <w:t xml:space="preserve"> carriage service provider of the mobile network code that has been allocated and the date of allocation.</w:t>
      </w:r>
    </w:p>
    <w:p w:rsidR="00E65BE7" w:rsidRPr="004A5227" w:rsidRDefault="00E65BE7" w:rsidP="0003079E">
      <w:pPr>
        <w:pStyle w:val="subsection"/>
      </w:pPr>
      <w:r w:rsidRPr="004A5227">
        <w:tab/>
        <w:t>(</w:t>
      </w:r>
      <w:r w:rsidR="00AD5C52" w:rsidRPr="004A5227">
        <w:t>6</w:t>
      </w:r>
      <w:r w:rsidRPr="004A5227">
        <w:t>)</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 of the allocation of the mobile network code and the date of allocation.</w:t>
      </w:r>
    </w:p>
    <w:p w:rsidR="00615DA5" w:rsidRPr="004A5227" w:rsidRDefault="00615DA5" w:rsidP="0003079E">
      <w:pPr>
        <w:pStyle w:val="subsection"/>
      </w:pPr>
      <w:r w:rsidRPr="004A5227">
        <w:lastRenderedPageBreak/>
        <w:tab/>
        <w:t>(</w:t>
      </w:r>
      <w:r w:rsidR="00AD5C52" w:rsidRPr="004A5227">
        <w:t>7</w:t>
      </w:r>
      <w:r w:rsidRPr="004A5227">
        <w:t>)</w:t>
      </w:r>
      <w:r w:rsidRPr="004A5227">
        <w:tab/>
        <w:t xml:space="preserve">If the </w:t>
      </w:r>
      <w:proofErr w:type="spellStart"/>
      <w:r w:rsidRPr="004A5227">
        <w:t>ACMA</w:t>
      </w:r>
      <w:proofErr w:type="spellEnd"/>
      <w:r w:rsidRPr="004A5227">
        <w:t xml:space="preserve"> decides not to approve the application, the </w:t>
      </w:r>
      <w:proofErr w:type="spellStart"/>
      <w:r w:rsidRPr="004A5227">
        <w:t>ACMA</w:t>
      </w:r>
      <w:proofErr w:type="spellEnd"/>
      <w:r w:rsidRPr="004A5227">
        <w:t xml:space="preserve"> must notify the registered carriage service provider of its decision.</w:t>
      </w:r>
    </w:p>
    <w:p w:rsidR="0003079E" w:rsidRPr="004A5227" w:rsidRDefault="0003079E" w:rsidP="0003079E">
      <w:pPr>
        <w:pStyle w:val="ActHead2"/>
        <w:pageBreakBefore/>
      </w:pPr>
      <w:bookmarkStart w:id="77" w:name="_Toc413419076"/>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Transfer, surrender and withdrawal of international signalling point codes and mobile network codes</w:t>
      </w:r>
      <w:bookmarkEnd w:id="77"/>
    </w:p>
    <w:p w:rsidR="00D575E7" w:rsidRPr="004A5227" w:rsidRDefault="00D575E7" w:rsidP="00D575E7">
      <w:pPr>
        <w:pStyle w:val="Header"/>
      </w:pPr>
      <w:r w:rsidRPr="004A5227">
        <w:rPr>
          <w:rStyle w:val="CharDivNo"/>
        </w:rPr>
        <w:t xml:space="preserve"> </w:t>
      </w:r>
      <w:r w:rsidRPr="004A5227">
        <w:rPr>
          <w:rStyle w:val="CharDivText"/>
        </w:rPr>
        <w:t xml:space="preserve"> </w:t>
      </w:r>
    </w:p>
    <w:p w:rsidR="0003079E" w:rsidRPr="004A5227" w:rsidRDefault="00CA6815" w:rsidP="0003079E">
      <w:pPr>
        <w:pStyle w:val="ActHead5"/>
      </w:pPr>
      <w:bookmarkStart w:id="78" w:name="_Toc413419077"/>
      <w:r w:rsidRPr="004A5227">
        <w:rPr>
          <w:rStyle w:val="CharSectno"/>
        </w:rPr>
        <w:t>52</w:t>
      </w:r>
      <w:r w:rsidR="0003079E" w:rsidRPr="004A5227">
        <w:t xml:space="preserve">  Transfer of codes</w:t>
      </w:r>
      <w:bookmarkEnd w:id="78"/>
    </w:p>
    <w:p w:rsidR="00D474E8" w:rsidRPr="004A5227" w:rsidRDefault="0003079E" w:rsidP="0003079E">
      <w:pPr>
        <w:pStyle w:val="subsection"/>
      </w:pPr>
      <w:r w:rsidRPr="004A5227">
        <w:tab/>
        <w:t>(1)</w:t>
      </w:r>
      <w:r w:rsidRPr="004A5227">
        <w:tab/>
        <w:t>A carriage service provider that holds an international signalling point code or a mobile network code</w:t>
      </w:r>
      <w:r w:rsidR="00D474E8" w:rsidRPr="004A5227">
        <w:t>:</w:t>
      </w:r>
    </w:p>
    <w:p w:rsidR="00D474E8" w:rsidRPr="004A5227" w:rsidRDefault="00D474E8" w:rsidP="00D474E8">
      <w:pPr>
        <w:pStyle w:val="paragraph"/>
      </w:pPr>
      <w:r w:rsidRPr="004A5227">
        <w:tab/>
        <w:t>(a)</w:t>
      </w:r>
      <w:r w:rsidRPr="004A5227">
        <w:tab/>
        <w:t>may only transfer the code to a registered carriage service provider; and</w:t>
      </w:r>
    </w:p>
    <w:p w:rsidR="0003079E" w:rsidRPr="004A5227" w:rsidRDefault="00D474E8" w:rsidP="00D474E8">
      <w:pPr>
        <w:pStyle w:val="paragraph"/>
      </w:pPr>
      <w:r w:rsidRPr="004A5227">
        <w:tab/>
        <w:t>(b)</w:t>
      </w:r>
      <w:r w:rsidRPr="004A5227">
        <w:tab/>
        <w:t xml:space="preserve">must not transfer the code </w:t>
      </w:r>
      <w:r w:rsidR="0003079E" w:rsidRPr="004A5227">
        <w:t>other than in the case of a transfer of business involving the providers.</w:t>
      </w:r>
    </w:p>
    <w:p w:rsidR="0003079E" w:rsidRPr="004A5227" w:rsidRDefault="0003079E" w:rsidP="0003079E">
      <w:pPr>
        <w:pStyle w:val="subsection"/>
      </w:pPr>
      <w:r w:rsidRPr="004A5227">
        <w:tab/>
        <w:t>(2)</w:t>
      </w:r>
      <w:r w:rsidRPr="004A5227">
        <w:tab/>
        <w:t xml:space="preserve">The </w:t>
      </w:r>
      <w:proofErr w:type="spellStart"/>
      <w:r w:rsidRPr="004A5227">
        <w:t>ACMA</w:t>
      </w:r>
      <w:proofErr w:type="spellEnd"/>
      <w:r w:rsidRPr="004A5227">
        <w:t xml:space="preserve"> must be given notice of the transfer in a form approved by the </w:t>
      </w:r>
      <w:proofErr w:type="spellStart"/>
      <w:r w:rsidRPr="004A5227">
        <w:t>ACMA</w:t>
      </w:r>
      <w:proofErr w:type="spellEnd"/>
      <w:r w:rsidRPr="004A5227">
        <w:t>.</w:t>
      </w:r>
    </w:p>
    <w:p w:rsidR="0003079E" w:rsidRPr="004A5227" w:rsidRDefault="0003079E" w:rsidP="0003079E">
      <w:pPr>
        <w:pStyle w:val="subsection"/>
      </w:pPr>
      <w:r w:rsidRPr="004A5227">
        <w:tab/>
        <w:t>(3)</w:t>
      </w:r>
      <w:r w:rsidRPr="004A5227">
        <w:tab/>
        <w:t>Strict compliance with the approved form is required.</w:t>
      </w:r>
    </w:p>
    <w:p w:rsidR="00880D7C" w:rsidRPr="004A5227" w:rsidRDefault="00880D7C" w:rsidP="0003079E">
      <w:pPr>
        <w:pStyle w:val="subsection"/>
      </w:pPr>
      <w:r w:rsidRPr="004A5227">
        <w:tab/>
        <w:t>(4)</w:t>
      </w:r>
      <w:r w:rsidRPr="004A5227">
        <w:tab/>
        <w:t>The notice of transfer must be accompanied by the charge (if any) in relation to the notice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03079E" w:rsidRPr="004A5227" w:rsidRDefault="0003079E" w:rsidP="0003079E">
      <w:pPr>
        <w:pStyle w:val="subsection"/>
      </w:pPr>
      <w:r w:rsidRPr="004A5227">
        <w:tab/>
        <w:t>(</w:t>
      </w:r>
      <w:r w:rsidR="00880D7C" w:rsidRPr="004A5227">
        <w:t>5</w:t>
      </w:r>
      <w:r w:rsidRPr="004A5227">
        <w:t>)</w:t>
      </w:r>
      <w:r w:rsidRPr="004A5227">
        <w:tab/>
        <w:t xml:space="preserve">The transfer of the international signalling point code or the mobile network code takes effect when the </w:t>
      </w:r>
      <w:proofErr w:type="spellStart"/>
      <w:r w:rsidRPr="004A5227">
        <w:t>ACMA</w:t>
      </w:r>
      <w:proofErr w:type="spellEnd"/>
      <w:r w:rsidRPr="004A5227">
        <w:t xml:space="preserve"> acknowledges receipt of the completed notice of transfer.</w:t>
      </w:r>
    </w:p>
    <w:p w:rsidR="0003079E" w:rsidRPr="004A5227" w:rsidRDefault="0003079E" w:rsidP="0003079E">
      <w:pPr>
        <w:pStyle w:val="subsection"/>
      </w:pPr>
      <w:r w:rsidRPr="004A5227">
        <w:tab/>
        <w:t>(</w:t>
      </w:r>
      <w:r w:rsidR="00880D7C" w:rsidRPr="004A5227">
        <w:t>6</w:t>
      </w:r>
      <w:r w:rsidRPr="004A5227">
        <w:t>)</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 of the transfer of the </w:t>
      </w:r>
      <w:r w:rsidR="00830C77" w:rsidRPr="004A5227">
        <w:t>code</w:t>
      </w:r>
      <w:r w:rsidRPr="004A5227">
        <w:t xml:space="preserve"> and the date of transfer.</w:t>
      </w:r>
    </w:p>
    <w:p w:rsidR="0003079E" w:rsidRPr="004A5227" w:rsidRDefault="00CA6815" w:rsidP="0003079E">
      <w:pPr>
        <w:pStyle w:val="ActHead5"/>
      </w:pPr>
      <w:bookmarkStart w:id="79" w:name="_Toc413419078"/>
      <w:r w:rsidRPr="004A5227">
        <w:rPr>
          <w:rStyle w:val="CharSectno"/>
        </w:rPr>
        <w:t>53</w:t>
      </w:r>
      <w:r w:rsidR="0003079E" w:rsidRPr="004A5227">
        <w:t xml:space="preserve">  Withdrawal of codes</w:t>
      </w:r>
      <w:bookmarkEnd w:id="79"/>
    </w:p>
    <w:p w:rsidR="0003079E" w:rsidRPr="004A5227" w:rsidRDefault="0003079E" w:rsidP="0003079E">
      <w:pPr>
        <w:pStyle w:val="subsection"/>
      </w:pPr>
      <w:r w:rsidRPr="004A5227">
        <w:tab/>
      </w:r>
      <w:r w:rsidR="00615DA5" w:rsidRPr="004A5227">
        <w:t>(1)</w:t>
      </w:r>
      <w:r w:rsidRPr="004A5227">
        <w:tab/>
        <w:t xml:space="preserve">The </w:t>
      </w:r>
      <w:proofErr w:type="spellStart"/>
      <w:r w:rsidRPr="004A5227">
        <w:t>ACMA</w:t>
      </w:r>
      <w:proofErr w:type="spellEnd"/>
      <w:r w:rsidRPr="004A5227">
        <w:t xml:space="preserve"> may withdraw an international signalling point code or a mobile network code held by a carriage service provider if the </w:t>
      </w:r>
      <w:proofErr w:type="spellStart"/>
      <w:r w:rsidRPr="004A5227">
        <w:t>ACMA</w:t>
      </w:r>
      <w:proofErr w:type="spellEnd"/>
      <w:r w:rsidRPr="004A5227">
        <w:t xml:space="preserve"> is satisfied that:</w:t>
      </w:r>
    </w:p>
    <w:p w:rsidR="0003079E" w:rsidRPr="004A5227" w:rsidRDefault="0003079E" w:rsidP="0003079E">
      <w:pPr>
        <w:pStyle w:val="paragraph"/>
      </w:pPr>
      <w:r w:rsidRPr="004A5227">
        <w:tab/>
        <w:t>(a)</w:t>
      </w:r>
      <w:r w:rsidRPr="004A5227">
        <w:tab/>
        <w:t>withdrawal is appropriate in all the circumstances; and</w:t>
      </w:r>
    </w:p>
    <w:p w:rsidR="0003079E" w:rsidRPr="004A5227" w:rsidRDefault="0003079E" w:rsidP="0003079E">
      <w:pPr>
        <w:pStyle w:val="paragraph"/>
      </w:pPr>
      <w:r w:rsidRPr="004A5227">
        <w:tab/>
        <w:t>(b)</w:t>
      </w:r>
      <w:r w:rsidRPr="004A5227">
        <w:tab/>
        <w:t>withdrawal is consistent with Australia’s obligations under an international agreement that is relevant to the withdrawal.</w:t>
      </w:r>
    </w:p>
    <w:p w:rsidR="00615DA5" w:rsidRPr="004A5227" w:rsidRDefault="00615DA5" w:rsidP="00615DA5">
      <w:pPr>
        <w:pStyle w:val="subsection"/>
      </w:pPr>
      <w:r w:rsidRPr="004A5227">
        <w:tab/>
        <w:t>(</w:t>
      </w:r>
      <w:r w:rsidR="00F811D9" w:rsidRPr="004A5227">
        <w:t>2</w:t>
      </w:r>
      <w:r w:rsidRPr="004A5227">
        <w:t>)</w:t>
      </w:r>
      <w:r w:rsidRPr="004A5227">
        <w:tab/>
        <w:t xml:space="preserve">If the </w:t>
      </w:r>
      <w:proofErr w:type="spellStart"/>
      <w:r w:rsidRPr="004A5227">
        <w:t>ACMA</w:t>
      </w:r>
      <w:proofErr w:type="spellEnd"/>
      <w:r w:rsidRPr="004A5227">
        <w:t xml:space="preserve"> decides to withdraw an international signalling point code or a mobile network code held by a carriage service provider, the </w:t>
      </w:r>
      <w:proofErr w:type="spellStart"/>
      <w:r w:rsidRPr="004A5227">
        <w:t>ACMA</w:t>
      </w:r>
      <w:proofErr w:type="spellEnd"/>
      <w:r w:rsidRPr="004A5227">
        <w:t xml:space="preserve"> must notify the carriage service provider of its decision.</w:t>
      </w:r>
    </w:p>
    <w:p w:rsidR="00830C77" w:rsidRPr="004A5227" w:rsidRDefault="00830C77" w:rsidP="00615DA5">
      <w:pPr>
        <w:pStyle w:val="subsection"/>
      </w:pPr>
      <w:r w:rsidRPr="004A5227">
        <w:tab/>
        <w:t>(3)</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 of the withdrawal of the code and the date of withdrawal.</w:t>
      </w:r>
    </w:p>
    <w:p w:rsidR="000A6B24" w:rsidRPr="004A5227" w:rsidRDefault="000A6B24" w:rsidP="000A6B24">
      <w:pPr>
        <w:pStyle w:val="notetext"/>
      </w:pPr>
      <w:r w:rsidRPr="004A5227">
        <w:t>Note:</w:t>
      </w:r>
      <w:r w:rsidRPr="004A5227">
        <w:tab/>
        <w:t xml:space="preserve">The </w:t>
      </w:r>
      <w:proofErr w:type="spellStart"/>
      <w:r w:rsidRPr="004A5227">
        <w:t>ACMA</w:t>
      </w:r>
      <w:proofErr w:type="spellEnd"/>
      <w:r w:rsidRPr="004A5227">
        <w:t xml:space="preserve"> may also withdraw an international signalling point code or a mobile network code under section</w:t>
      </w:r>
      <w:r w:rsidR="004A5227" w:rsidRPr="004A5227">
        <w:t> </w:t>
      </w:r>
      <w:r w:rsidR="00CA6815" w:rsidRPr="004A5227">
        <w:t>93</w:t>
      </w:r>
      <w:r w:rsidRPr="004A5227">
        <w:t xml:space="preserve"> or </w:t>
      </w:r>
      <w:r w:rsidR="00CA6815" w:rsidRPr="004A5227">
        <w:t>95</w:t>
      </w:r>
      <w:r w:rsidRPr="004A5227">
        <w:t>.</w:t>
      </w:r>
    </w:p>
    <w:p w:rsidR="0003079E" w:rsidRPr="004A5227" w:rsidRDefault="00CA6815" w:rsidP="0003079E">
      <w:pPr>
        <w:pStyle w:val="ActHead5"/>
      </w:pPr>
      <w:bookmarkStart w:id="80" w:name="_Toc413419079"/>
      <w:r w:rsidRPr="004A5227">
        <w:rPr>
          <w:rStyle w:val="CharSectno"/>
        </w:rPr>
        <w:t>54</w:t>
      </w:r>
      <w:r w:rsidR="0003079E" w:rsidRPr="004A5227">
        <w:t xml:space="preserve">  Application to surrender </w:t>
      </w:r>
      <w:r w:rsidR="00DF2C84" w:rsidRPr="004A5227">
        <w:t>codes</w:t>
      </w:r>
      <w:bookmarkEnd w:id="80"/>
    </w:p>
    <w:p w:rsidR="0003079E" w:rsidRPr="004A5227" w:rsidRDefault="0003079E" w:rsidP="0003079E">
      <w:pPr>
        <w:pStyle w:val="subsection"/>
      </w:pPr>
      <w:r w:rsidRPr="004A5227">
        <w:tab/>
        <w:t>(1)</w:t>
      </w:r>
      <w:r w:rsidRPr="004A5227">
        <w:tab/>
        <w:t xml:space="preserve">A carriage service provider that </w:t>
      </w:r>
      <w:r w:rsidR="00DF10B3" w:rsidRPr="004A5227">
        <w:t>holds an international signalling point code or a mobile network code</w:t>
      </w:r>
      <w:r w:rsidRPr="004A5227">
        <w:t xml:space="preserve"> may apply to the </w:t>
      </w:r>
      <w:proofErr w:type="spellStart"/>
      <w:r w:rsidRPr="004A5227">
        <w:t>ACMA</w:t>
      </w:r>
      <w:proofErr w:type="spellEnd"/>
      <w:r w:rsidRPr="004A5227">
        <w:t xml:space="preserve"> to surrender the </w:t>
      </w:r>
      <w:r w:rsidR="00DF10B3" w:rsidRPr="004A5227">
        <w:t>code</w:t>
      </w:r>
      <w:r w:rsidRPr="004A5227">
        <w:t xml:space="preserve"> if no carriage service is being provided using the </w:t>
      </w:r>
      <w:r w:rsidR="00DF10B3" w:rsidRPr="004A5227">
        <w:t>code.</w:t>
      </w:r>
    </w:p>
    <w:p w:rsidR="0003079E" w:rsidRPr="004A5227" w:rsidRDefault="0003079E" w:rsidP="0003079E">
      <w:pPr>
        <w:pStyle w:val="subsection"/>
      </w:pPr>
      <w:r w:rsidRPr="004A5227">
        <w:lastRenderedPageBreak/>
        <w:tab/>
        <w:t>(2)</w:t>
      </w:r>
      <w:r w:rsidRPr="004A5227">
        <w:tab/>
        <w:t xml:space="preserve">The application must be in a form approved by the </w:t>
      </w:r>
      <w:proofErr w:type="spellStart"/>
      <w:r w:rsidRPr="004A5227">
        <w:t>ACMA</w:t>
      </w:r>
      <w:proofErr w:type="spellEnd"/>
      <w:r w:rsidRPr="004A5227">
        <w:t>.</w:t>
      </w:r>
    </w:p>
    <w:p w:rsidR="0003079E" w:rsidRPr="004A5227" w:rsidRDefault="0003079E" w:rsidP="0003079E">
      <w:pPr>
        <w:pStyle w:val="subsection"/>
      </w:pPr>
      <w:r w:rsidRPr="004A5227">
        <w:tab/>
        <w:t>(3)</w:t>
      </w:r>
      <w:r w:rsidRPr="004A5227">
        <w:tab/>
        <w:t>Strict compliance with the approved form is required.</w:t>
      </w:r>
    </w:p>
    <w:p w:rsidR="0003079E" w:rsidRPr="004A5227" w:rsidRDefault="0003079E" w:rsidP="0003079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03079E" w:rsidRPr="004A5227" w:rsidRDefault="00CA6815" w:rsidP="0003079E">
      <w:pPr>
        <w:pStyle w:val="ActHead5"/>
      </w:pPr>
      <w:bookmarkStart w:id="81" w:name="_Toc413419080"/>
      <w:r w:rsidRPr="004A5227">
        <w:rPr>
          <w:rStyle w:val="CharSectno"/>
        </w:rPr>
        <w:t>55</w:t>
      </w:r>
      <w:r w:rsidR="0003079E" w:rsidRPr="004A5227">
        <w:t xml:space="preserve">  Decision on application to surrender </w:t>
      </w:r>
      <w:r w:rsidR="00DF2C84" w:rsidRPr="004A5227">
        <w:t>code</w:t>
      </w:r>
      <w:r w:rsidR="0003079E" w:rsidRPr="004A5227">
        <w:t>s</w:t>
      </w:r>
      <w:bookmarkEnd w:id="81"/>
    </w:p>
    <w:p w:rsidR="0003079E" w:rsidRPr="004A5227" w:rsidRDefault="00DF2C84" w:rsidP="0003079E">
      <w:pPr>
        <w:pStyle w:val="subsection"/>
      </w:pPr>
      <w:r w:rsidRPr="004A5227">
        <w:tab/>
      </w:r>
      <w:r w:rsidR="0003079E" w:rsidRPr="004A5227">
        <w:tab/>
        <w:t xml:space="preserve">The </w:t>
      </w:r>
      <w:proofErr w:type="spellStart"/>
      <w:r w:rsidR="0003079E" w:rsidRPr="004A5227">
        <w:t>ACMA</w:t>
      </w:r>
      <w:proofErr w:type="spellEnd"/>
      <w:r w:rsidR="0003079E" w:rsidRPr="004A5227">
        <w:t xml:space="preserve"> must make a decision on an application made by a carriage service provider under section</w:t>
      </w:r>
      <w:r w:rsidR="004A5227" w:rsidRPr="004A5227">
        <w:t> </w:t>
      </w:r>
      <w:r w:rsidR="00CA6815" w:rsidRPr="004A5227">
        <w:t>54</w:t>
      </w:r>
      <w:r w:rsidR="0003079E" w:rsidRPr="004A5227">
        <w:t xml:space="preserve"> </w:t>
      </w:r>
      <w:r w:rsidR="00FC51CC" w:rsidRPr="004A5227">
        <w:t>no later than</w:t>
      </w:r>
      <w:r w:rsidR="0003079E" w:rsidRPr="004A5227">
        <w:t xml:space="preserve"> </w:t>
      </w:r>
      <w:r w:rsidR="009C3407" w:rsidRPr="004A5227">
        <w:t xml:space="preserve">10 </w:t>
      </w:r>
      <w:r w:rsidR="0003079E" w:rsidRPr="004A5227">
        <w:t>business days after receiving the application.</w:t>
      </w:r>
    </w:p>
    <w:p w:rsidR="0003079E" w:rsidRPr="004A5227" w:rsidRDefault="00CA6815" w:rsidP="00DF2C84">
      <w:pPr>
        <w:pStyle w:val="ActHead5"/>
      </w:pPr>
      <w:bookmarkStart w:id="82" w:name="_Toc413419081"/>
      <w:r w:rsidRPr="004A5227">
        <w:rPr>
          <w:rStyle w:val="CharSectno"/>
        </w:rPr>
        <w:t>56</w:t>
      </w:r>
      <w:r w:rsidR="0003079E" w:rsidRPr="004A5227">
        <w:t xml:space="preserve">  Notice of decision</w:t>
      </w:r>
      <w:bookmarkEnd w:id="82"/>
    </w:p>
    <w:p w:rsidR="0003079E" w:rsidRPr="004A5227" w:rsidRDefault="0003079E" w:rsidP="0003079E">
      <w:pPr>
        <w:pStyle w:val="subsection"/>
      </w:pPr>
      <w:r w:rsidRPr="004A5227">
        <w:tab/>
        <w:t>(1)</w:t>
      </w:r>
      <w:r w:rsidRPr="004A5227">
        <w:tab/>
        <w:t>As soon as practicable after making a decision on an application by a carriage service provider under section</w:t>
      </w:r>
      <w:r w:rsidR="004A5227" w:rsidRPr="004A5227">
        <w:t> </w:t>
      </w:r>
      <w:r w:rsidR="00CA6815" w:rsidRPr="004A5227">
        <w:t>54</w:t>
      </w:r>
      <w:r w:rsidRPr="004A5227">
        <w:t xml:space="preserve">, the </w:t>
      </w:r>
      <w:proofErr w:type="spellStart"/>
      <w:r w:rsidRPr="004A5227">
        <w:t>ACMA</w:t>
      </w:r>
      <w:proofErr w:type="spellEnd"/>
      <w:r w:rsidRPr="004A5227">
        <w:t xml:space="preserve"> must notify the carriage service provider of the decision in writing.</w:t>
      </w:r>
    </w:p>
    <w:p w:rsidR="0003079E" w:rsidRPr="004A5227" w:rsidRDefault="0003079E" w:rsidP="0003079E">
      <w:pPr>
        <w:pStyle w:val="subsection"/>
      </w:pPr>
      <w:r w:rsidRPr="004A5227">
        <w:tab/>
        <w:t>(2)</w:t>
      </w:r>
      <w:r w:rsidRPr="004A5227">
        <w:tab/>
        <w:t xml:space="preserve">If the </w:t>
      </w:r>
      <w:proofErr w:type="spellStart"/>
      <w:r w:rsidRPr="004A5227">
        <w:t>ACMA</w:t>
      </w:r>
      <w:proofErr w:type="spellEnd"/>
      <w:r w:rsidRPr="004A5227">
        <w:t xml:space="preserve"> approves the application, the </w:t>
      </w:r>
      <w:proofErr w:type="spellStart"/>
      <w:r w:rsidRPr="004A5227">
        <w:t>ACMA</w:t>
      </w:r>
      <w:proofErr w:type="spellEnd"/>
      <w:r w:rsidRPr="004A5227">
        <w:t xml:space="preserve"> must:</w:t>
      </w:r>
    </w:p>
    <w:p w:rsidR="0003079E" w:rsidRPr="004A5227" w:rsidRDefault="0003079E" w:rsidP="0003079E">
      <w:pPr>
        <w:pStyle w:val="paragraph"/>
      </w:pPr>
      <w:r w:rsidRPr="004A5227">
        <w:tab/>
        <w:t>(a)</w:t>
      </w:r>
      <w:r w:rsidRPr="004A5227">
        <w:tab/>
        <w:t>notify the carriage service provider of the date of surrender; and</w:t>
      </w:r>
    </w:p>
    <w:p w:rsidR="0003079E" w:rsidRPr="004A5227" w:rsidRDefault="0003079E" w:rsidP="0003079E">
      <w:pPr>
        <w:pStyle w:val="paragraph"/>
      </w:pPr>
      <w:r w:rsidRPr="004A5227">
        <w:tab/>
        <w:t>(b)</w:t>
      </w:r>
      <w:r w:rsidRPr="004A5227">
        <w:tab/>
        <w:t xml:space="preserve">if the </w:t>
      </w:r>
      <w:proofErr w:type="spellStart"/>
      <w:r w:rsidRPr="004A5227">
        <w:t>ACMA</w:t>
      </w:r>
      <w:proofErr w:type="spellEnd"/>
      <w:r w:rsidRPr="004A5227">
        <w:t xml:space="preserve"> is not the designated authority—notify the designated authority of the </w:t>
      </w:r>
      <w:r w:rsidR="00DF2C84" w:rsidRPr="004A5227">
        <w:t>code</w:t>
      </w:r>
      <w:r w:rsidRPr="004A5227">
        <w:t>s surrendered and the date of surrender.</w:t>
      </w:r>
    </w:p>
    <w:p w:rsidR="0003079E" w:rsidRPr="004A5227" w:rsidRDefault="0003079E" w:rsidP="007F21E0">
      <w:pPr>
        <w:pStyle w:val="subsection"/>
      </w:pPr>
      <w:r w:rsidRPr="004A5227">
        <w:tab/>
        <w:t>(3)</w:t>
      </w:r>
      <w:r w:rsidRPr="004A5227">
        <w:tab/>
        <w:t>The date of surrender must be</w:t>
      </w:r>
      <w:r w:rsidR="007F21E0" w:rsidRPr="004A5227">
        <w:t xml:space="preserve"> </w:t>
      </w:r>
      <w:r w:rsidRPr="004A5227">
        <w:t xml:space="preserve">the date of the </w:t>
      </w:r>
      <w:proofErr w:type="spellStart"/>
      <w:r w:rsidRPr="004A5227">
        <w:t>ACMA’s</w:t>
      </w:r>
      <w:proofErr w:type="spellEnd"/>
      <w:r w:rsidRPr="004A5227">
        <w:t xml:space="preserve"> decision</w:t>
      </w:r>
      <w:r w:rsidR="00DF2C84" w:rsidRPr="004A5227">
        <w:t>.</w:t>
      </w:r>
    </w:p>
    <w:p w:rsidR="00E0003B" w:rsidRPr="004A5227" w:rsidRDefault="001234C0" w:rsidP="00E0003B">
      <w:pPr>
        <w:pStyle w:val="ActHead1"/>
        <w:pageBreakBefore/>
      </w:pPr>
      <w:bookmarkStart w:id="83" w:name="_Toc413419082"/>
      <w:r w:rsidRPr="004A5227">
        <w:rPr>
          <w:rStyle w:val="CharChapNo"/>
        </w:rPr>
        <w:lastRenderedPageBreak/>
        <w:t>Chapter</w:t>
      </w:r>
      <w:r w:rsidR="004A5227" w:rsidRPr="004A5227">
        <w:rPr>
          <w:rStyle w:val="CharChapNo"/>
        </w:rPr>
        <w:t> </w:t>
      </w:r>
      <w:r w:rsidRPr="004A5227">
        <w:rPr>
          <w:rStyle w:val="CharChapNo"/>
        </w:rPr>
        <w:t>6</w:t>
      </w:r>
      <w:r w:rsidRPr="004A5227">
        <w:t>—</w:t>
      </w:r>
      <w:r w:rsidRPr="004A5227">
        <w:rPr>
          <w:rStyle w:val="CharChapText"/>
        </w:rPr>
        <w:t>Allocation of numbers</w:t>
      </w:r>
      <w:bookmarkEnd w:id="83"/>
    </w:p>
    <w:p w:rsidR="00674A2E" w:rsidRPr="004A5227" w:rsidRDefault="00674A2E" w:rsidP="00E0003B">
      <w:pPr>
        <w:pStyle w:val="ActHead2"/>
      </w:pPr>
      <w:bookmarkStart w:id="84" w:name="_Toc413419083"/>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Numbers able to be allocated</w:t>
      </w:r>
      <w:bookmarkEnd w:id="84"/>
    </w:p>
    <w:p w:rsidR="00674A2E" w:rsidRPr="004A5227" w:rsidRDefault="00674A2E" w:rsidP="00674A2E">
      <w:pPr>
        <w:pStyle w:val="Header"/>
      </w:pPr>
      <w:r w:rsidRPr="004A5227">
        <w:rPr>
          <w:rStyle w:val="CharDivNo"/>
        </w:rPr>
        <w:t xml:space="preserve"> </w:t>
      </w:r>
      <w:r w:rsidRPr="004A5227">
        <w:rPr>
          <w:rStyle w:val="CharDivText"/>
        </w:rPr>
        <w:t xml:space="preserve"> </w:t>
      </w:r>
    </w:p>
    <w:p w:rsidR="00674A2E" w:rsidRPr="004A5227" w:rsidRDefault="00CA6815" w:rsidP="00674A2E">
      <w:pPr>
        <w:pStyle w:val="ActHead5"/>
      </w:pPr>
      <w:bookmarkStart w:id="85" w:name="_Toc413419084"/>
      <w:r w:rsidRPr="004A5227">
        <w:rPr>
          <w:rStyle w:val="CharSectno"/>
        </w:rPr>
        <w:t>57</w:t>
      </w:r>
      <w:r w:rsidR="00674A2E" w:rsidRPr="004A5227">
        <w:t xml:space="preserve">  </w:t>
      </w:r>
      <w:proofErr w:type="spellStart"/>
      <w:r w:rsidR="00674A2E" w:rsidRPr="004A5227">
        <w:t>ACMA</w:t>
      </w:r>
      <w:proofErr w:type="spellEnd"/>
      <w:r w:rsidR="00674A2E" w:rsidRPr="004A5227">
        <w:t xml:space="preserve"> to list numbers able to be allocated</w:t>
      </w:r>
      <w:bookmarkEnd w:id="85"/>
    </w:p>
    <w:p w:rsidR="00674A2E" w:rsidRPr="004A5227" w:rsidRDefault="00674A2E" w:rsidP="00674A2E">
      <w:pPr>
        <w:pStyle w:val="subsection"/>
      </w:pPr>
      <w:r w:rsidRPr="004A5227">
        <w:tab/>
        <w:t>(1)</w:t>
      </w:r>
      <w:r w:rsidRPr="004A5227">
        <w:tab/>
        <w:t xml:space="preserve">For each of the following types of number, </w:t>
      </w:r>
      <w:r w:rsidR="00C70DF2" w:rsidRPr="004A5227">
        <w:t xml:space="preserve">the </w:t>
      </w:r>
      <w:proofErr w:type="spellStart"/>
      <w:r w:rsidRPr="004A5227">
        <w:t>ACMA</w:t>
      </w:r>
      <w:proofErr w:type="spellEnd"/>
      <w:r w:rsidRPr="004A5227">
        <w:t xml:space="preserve"> must create a list of the numbers of that type that are able to be allocated:</w:t>
      </w:r>
    </w:p>
    <w:p w:rsidR="00674A2E" w:rsidRPr="004A5227" w:rsidRDefault="00674A2E" w:rsidP="00674A2E">
      <w:pPr>
        <w:pStyle w:val="paragraph"/>
      </w:pPr>
      <w:r w:rsidRPr="004A5227">
        <w:tab/>
        <w:t>(a)</w:t>
      </w:r>
      <w:r w:rsidRPr="004A5227">
        <w:tab/>
        <w:t>geographic numbers;</w:t>
      </w:r>
    </w:p>
    <w:p w:rsidR="00674A2E" w:rsidRPr="004A5227" w:rsidRDefault="00674A2E" w:rsidP="00674A2E">
      <w:pPr>
        <w:pStyle w:val="paragraph"/>
      </w:pPr>
      <w:r w:rsidRPr="004A5227">
        <w:tab/>
        <w:t>(</w:t>
      </w:r>
      <w:r w:rsidR="00E81A8B" w:rsidRPr="004A5227">
        <w:t>b</w:t>
      </w:r>
      <w:r w:rsidRPr="004A5227">
        <w:t>)</w:t>
      </w:r>
      <w:r w:rsidRPr="004A5227">
        <w:tab/>
      </w:r>
      <w:proofErr w:type="spellStart"/>
      <w:r w:rsidRPr="004A5227">
        <w:t>freephone</w:t>
      </w:r>
      <w:proofErr w:type="spellEnd"/>
      <w:r w:rsidRPr="004A5227">
        <w:t xml:space="preserve"> numbers;</w:t>
      </w:r>
    </w:p>
    <w:p w:rsidR="00674A2E" w:rsidRPr="004A5227" w:rsidRDefault="00E81A8B" w:rsidP="00674A2E">
      <w:pPr>
        <w:pStyle w:val="paragraph"/>
      </w:pPr>
      <w:r w:rsidRPr="004A5227">
        <w:tab/>
        <w:t>(c</w:t>
      </w:r>
      <w:r w:rsidR="00674A2E" w:rsidRPr="004A5227">
        <w:t>)</w:t>
      </w:r>
      <w:r w:rsidR="00674A2E" w:rsidRPr="004A5227">
        <w:tab/>
        <w:t>local rate numbers</w:t>
      </w:r>
      <w:r w:rsidR="00060EC0" w:rsidRPr="004A5227">
        <w:t>;</w:t>
      </w:r>
    </w:p>
    <w:p w:rsidR="00674A2E" w:rsidRPr="004A5227" w:rsidRDefault="00674A2E" w:rsidP="00674A2E">
      <w:pPr>
        <w:pStyle w:val="paragraph"/>
      </w:pPr>
      <w:r w:rsidRPr="004A5227">
        <w:tab/>
        <w:t>(d)</w:t>
      </w:r>
      <w:r w:rsidRPr="004A5227">
        <w:tab/>
        <w:t>premium rate numbers;</w:t>
      </w:r>
    </w:p>
    <w:p w:rsidR="00674A2E" w:rsidRPr="004A5227" w:rsidRDefault="00674A2E" w:rsidP="00674A2E">
      <w:pPr>
        <w:pStyle w:val="paragraph"/>
      </w:pPr>
      <w:r w:rsidRPr="004A5227">
        <w:tab/>
        <w:t>(e)</w:t>
      </w:r>
      <w:r w:rsidRPr="004A5227">
        <w:tab/>
        <w:t>special services numbers;</w:t>
      </w:r>
    </w:p>
    <w:p w:rsidR="00674A2E" w:rsidRPr="004A5227" w:rsidRDefault="00674A2E" w:rsidP="00674A2E">
      <w:pPr>
        <w:pStyle w:val="paragraph"/>
      </w:pPr>
      <w:r w:rsidRPr="004A5227">
        <w:tab/>
        <w:t>(f)</w:t>
      </w:r>
      <w:r w:rsidRPr="004A5227">
        <w:tab/>
        <w:t>access codes.</w:t>
      </w:r>
    </w:p>
    <w:p w:rsidR="00674A2E" w:rsidRPr="004A5227" w:rsidRDefault="00674A2E" w:rsidP="00674A2E">
      <w:pPr>
        <w:pStyle w:val="subsection"/>
      </w:pPr>
      <w:r w:rsidRPr="004A5227">
        <w:tab/>
        <w:t>(2)</w:t>
      </w:r>
      <w:r w:rsidRPr="004A5227">
        <w:tab/>
        <w:t xml:space="preserve">The lists of </w:t>
      </w:r>
      <w:proofErr w:type="spellStart"/>
      <w:r w:rsidRPr="004A5227">
        <w:t>freephone</w:t>
      </w:r>
      <w:proofErr w:type="spellEnd"/>
      <w:r w:rsidRPr="004A5227">
        <w:t xml:space="preserve"> numbers and local rate numbers must specify, for each number, whether the number is a </w:t>
      </w:r>
      <w:proofErr w:type="spellStart"/>
      <w:r w:rsidRPr="004A5227">
        <w:t>smartnumber</w:t>
      </w:r>
      <w:proofErr w:type="spellEnd"/>
      <w:r w:rsidRPr="004A5227">
        <w:t>.</w:t>
      </w:r>
    </w:p>
    <w:p w:rsidR="00674A2E" w:rsidRPr="004A5227" w:rsidRDefault="00674A2E" w:rsidP="00674A2E">
      <w:pPr>
        <w:pStyle w:val="subsection"/>
      </w:pPr>
      <w:r w:rsidRPr="004A5227">
        <w:tab/>
        <w:t>(3)</w:t>
      </w:r>
      <w:r w:rsidRPr="004A5227">
        <w:tab/>
        <w:t xml:space="preserve">The </w:t>
      </w:r>
      <w:proofErr w:type="spellStart"/>
      <w:r w:rsidR="00A86F9E" w:rsidRPr="004A5227">
        <w:t>ACMA</w:t>
      </w:r>
      <w:proofErr w:type="spellEnd"/>
      <w:r w:rsidR="00A86F9E" w:rsidRPr="004A5227">
        <w:t xml:space="preserve"> must make the </w:t>
      </w:r>
      <w:r w:rsidRPr="004A5227">
        <w:t xml:space="preserve">list for each type of number </w:t>
      </w:r>
      <w:r w:rsidR="00A86F9E" w:rsidRPr="004A5227">
        <w:t>available to the public</w:t>
      </w:r>
      <w:r w:rsidR="001C4A7C" w:rsidRPr="004A5227">
        <w:t>.</w:t>
      </w:r>
    </w:p>
    <w:p w:rsidR="00674A2E" w:rsidRPr="004A5227" w:rsidRDefault="00674A2E" w:rsidP="00674A2E">
      <w:pPr>
        <w:pStyle w:val="subsection"/>
      </w:pPr>
      <w:r w:rsidRPr="004A5227">
        <w:tab/>
        <w:t>(4)</w:t>
      </w:r>
      <w:r w:rsidRPr="004A5227">
        <w:tab/>
        <w:t xml:space="preserve">The </w:t>
      </w:r>
      <w:proofErr w:type="spellStart"/>
      <w:r w:rsidRPr="004A5227">
        <w:t>ACMA</w:t>
      </w:r>
      <w:proofErr w:type="spellEnd"/>
      <w:r w:rsidRPr="004A5227">
        <w:t>:</w:t>
      </w:r>
    </w:p>
    <w:p w:rsidR="00674A2E" w:rsidRPr="004A5227" w:rsidRDefault="00674A2E" w:rsidP="00674A2E">
      <w:pPr>
        <w:pStyle w:val="paragraph"/>
      </w:pPr>
      <w:r w:rsidRPr="004A5227">
        <w:tab/>
        <w:t>(a)</w:t>
      </w:r>
      <w:r w:rsidRPr="004A5227">
        <w:tab/>
        <w:t xml:space="preserve">may list a number that is </w:t>
      </w:r>
      <w:r w:rsidR="00FD6DA2" w:rsidRPr="004A5227">
        <w:t>held by a carriage service provider</w:t>
      </w:r>
      <w:r w:rsidRPr="004A5227">
        <w:t>; and</w:t>
      </w:r>
    </w:p>
    <w:p w:rsidR="00674A2E" w:rsidRPr="004A5227" w:rsidRDefault="00674A2E" w:rsidP="00674A2E">
      <w:pPr>
        <w:pStyle w:val="paragraph"/>
      </w:pPr>
      <w:r w:rsidRPr="004A5227">
        <w:tab/>
        <w:t>(b)</w:t>
      </w:r>
      <w:r w:rsidRPr="004A5227">
        <w:tab/>
        <w:t xml:space="preserve">is not required to list a number that </w:t>
      </w:r>
      <w:r w:rsidR="00FD6DA2" w:rsidRPr="004A5227">
        <w:t>ha</w:t>
      </w:r>
      <w:r w:rsidRPr="004A5227">
        <w:t xml:space="preserve">s not </w:t>
      </w:r>
      <w:r w:rsidR="00FD6DA2" w:rsidRPr="004A5227">
        <w:t xml:space="preserve">been </w:t>
      </w:r>
      <w:r w:rsidRPr="004A5227">
        <w:t>allocated.</w:t>
      </w:r>
    </w:p>
    <w:p w:rsidR="00674A2E" w:rsidRPr="004A5227" w:rsidRDefault="00674A2E" w:rsidP="00674A2E">
      <w:pPr>
        <w:pStyle w:val="notetext"/>
      </w:pPr>
      <w:r w:rsidRPr="004A5227">
        <w:t>Note 1:</w:t>
      </w:r>
      <w:r w:rsidRPr="004A5227">
        <w:tab/>
        <w:t xml:space="preserve">If a number that is </w:t>
      </w:r>
      <w:r w:rsidR="00FD6DA2" w:rsidRPr="004A5227">
        <w:t>held by a carriage service provider</w:t>
      </w:r>
      <w:r w:rsidRPr="004A5227">
        <w:t xml:space="preserve"> is listed, it may be reallocated after it has been surrendered or withdrawn</w:t>
      </w:r>
      <w:r w:rsidR="008D71FF" w:rsidRPr="004A5227">
        <w:t xml:space="preserve"> (subject to any business rules about continuing to list </w:t>
      </w:r>
      <w:r w:rsidR="005919E6" w:rsidRPr="004A5227">
        <w:t xml:space="preserve">such </w:t>
      </w:r>
      <w:r w:rsidR="008D71FF" w:rsidRPr="004A5227">
        <w:t>a number</w:t>
      </w:r>
      <w:r w:rsidR="005919E6" w:rsidRPr="004A5227">
        <w:t>)</w:t>
      </w:r>
      <w:r w:rsidRPr="004A5227">
        <w:t>.</w:t>
      </w:r>
    </w:p>
    <w:p w:rsidR="00674A2E" w:rsidRPr="004A5227" w:rsidRDefault="00674A2E" w:rsidP="00674A2E">
      <w:pPr>
        <w:pStyle w:val="notetext"/>
      </w:pPr>
      <w:r w:rsidRPr="004A5227">
        <w:t>Note 2:</w:t>
      </w:r>
      <w:r w:rsidRPr="004A5227">
        <w:tab/>
        <w:t>Numbers that are not allocated and are not listed are reserved for allocation at some point in the future.</w:t>
      </w:r>
    </w:p>
    <w:p w:rsidR="00674A2E" w:rsidRPr="004A5227" w:rsidRDefault="00674A2E" w:rsidP="00674A2E">
      <w:pPr>
        <w:pStyle w:val="subsection"/>
      </w:pPr>
      <w:r w:rsidRPr="004A5227">
        <w:tab/>
        <w:t>(5)</w:t>
      </w:r>
      <w:r w:rsidRPr="004A5227">
        <w:tab/>
        <w:t xml:space="preserve">The </w:t>
      </w:r>
      <w:proofErr w:type="spellStart"/>
      <w:r w:rsidRPr="004A5227">
        <w:t>ACMA</w:t>
      </w:r>
      <w:proofErr w:type="spellEnd"/>
      <w:r w:rsidRPr="004A5227">
        <w:t xml:space="preserve"> must not list:</w:t>
      </w:r>
    </w:p>
    <w:p w:rsidR="00674A2E" w:rsidRPr="004A5227" w:rsidRDefault="00674A2E" w:rsidP="00674A2E">
      <w:pPr>
        <w:pStyle w:val="paragraph"/>
      </w:pPr>
      <w:r w:rsidRPr="004A5227">
        <w:tab/>
        <w:t>(a)</w:t>
      </w:r>
      <w:r w:rsidRPr="004A5227">
        <w:tab/>
        <w:t>a shared number; or</w:t>
      </w:r>
    </w:p>
    <w:p w:rsidR="00D474E8" w:rsidRPr="004A5227" w:rsidRDefault="00674A2E" w:rsidP="00674A2E">
      <w:pPr>
        <w:pStyle w:val="paragraph"/>
      </w:pPr>
      <w:r w:rsidRPr="004A5227">
        <w:tab/>
        <w:t>(b)</w:t>
      </w:r>
      <w:r w:rsidRPr="004A5227">
        <w:tab/>
        <w:t>a special services number that is specified for use with a location independent communications service</w:t>
      </w:r>
      <w:r w:rsidR="00D474E8" w:rsidRPr="004A5227">
        <w:t>.</w:t>
      </w:r>
    </w:p>
    <w:p w:rsidR="00A86F9E" w:rsidRPr="004A5227" w:rsidRDefault="00D474E8" w:rsidP="002D57CF">
      <w:pPr>
        <w:pStyle w:val="notetext"/>
      </w:pPr>
      <w:r w:rsidRPr="004A5227">
        <w:t>Note:</w:t>
      </w:r>
      <w:r w:rsidRPr="004A5227">
        <w:tab/>
        <w:t xml:space="preserve">Numbers referred to in </w:t>
      </w:r>
      <w:r w:rsidR="004A5227" w:rsidRPr="004A5227">
        <w:t>paragraph (</w:t>
      </w:r>
      <w:r w:rsidRPr="004A5227">
        <w:t>b) are to be phased out.</w:t>
      </w:r>
    </w:p>
    <w:p w:rsidR="00674A2E" w:rsidRPr="004A5227" w:rsidRDefault="00674A2E" w:rsidP="002E3C64">
      <w:pPr>
        <w:pStyle w:val="ActHead2"/>
        <w:pageBreakBefore/>
      </w:pPr>
      <w:bookmarkStart w:id="86" w:name="_Toc413419085"/>
      <w:r w:rsidRPr="004A5227">
        <w:rPr>
          <w:rStyle w:val="CharPartNo"/>
        </w:rPr>
        <w:lastRenderedPageBreak/>
        <w:t>Part</w:t>
      </w:r>
      <w:r w:rsidR="004A5227" w:rsidRPr="004A5227">
        <w:rPr>
          <w:rStyle w:val="CharPartNo"/>
        </w:rPr>
        <w:t> </w:t>
      </w:r>
      <w:r w:rsidR="007D3DBD" w:rsidRPr="004A5227">
        <w:rPr>
          <w:rStyle w:val="CharPartNo"/>
        </w:rPr>
        <w:t>2</w:t>
      </w:r>
      <w:r w:rsidRPr="004A5227">
        <w:t>—</w:t>
      </w:r>
      <w:r w:rsidRPr="004A5227">
        <w:rPr>
          <w:rStyle w:val="CharPartText"/>
        </w:rPr>
        <w:t>Standard procedure for allocation of numbers</w:t>
      </w:r>
      <w:bookmarkEnd w:id="86"/>
    </w:p>
    <w:p w:rsidR="00674A2E" w:rsidRPr="004A5227" w:rsidRDefault="00674A2E" w:rsidP="00674A2E">
      <w:pPr>
        <w:pStyle w:val="Header"/>
      </w:pPr>
      <w:r w:rsidRPr="004A5227">
        <w:rPr>
          <w:rStyle w:val="CharDivNo"/>
        </w:rPr>
        <w:t xml:space="preserve"> </w:t>
      </w:r>
      <w:r w:rsidRPr="004A5227">
        <w:rPr>
          <w:rStyle w:val="CharDivText"/>
        </w:rPr>
        <w:t xml:space="preserve"> </w:t>
      </w:r>
    </w:p>
    <w:p w:rsidR="00674A2E" w:rsidRPr="004A5227" w:rsidRDefault="00CA6815" w:rsidP="00674A2E">
      <w:pPr>
        <w:pStyle w:val="ActHead5"/>
      </w:pPr>
      <w:bookmarkStart w:id="87" w:name="_Toc413419086"/>
      <w:r w:rsidRPr="004A5227">
        <w:rPr>
          <w:rStyle w:val="CharSectno"/>
        </w:rPr>
        <w:t>58</w:t>
      </w:r>
      <w:r w:rsidR="00674A2E" w:rsidRPr="004A5227">
        <w:t xml:space="preserve">  Application for allocation of numbers</w:t>
      </w:r>
      <w:bookmarkEnd w:id="87"/>
    </w:p>
    <w:p w:rsidR="00674A2E" w:rsidRPr="004A5227" w:rsidRDefault="00674A2E" w:rsidP="00674A2E">
      <w:pPr>
        <w:pStyle w:val="subsection"/>
      </w:pPr>
      <w:r w:rsidRPr="004A5227">
        <w:tab/>
        <w:t>(1)</w:t>
      </w:r>
      <w:r w:rsidRPr="004A5227">
        <w:tab/>
        <w:t xml:space="preserve">A registered carriage service provider may apply to the </w:t>
      </w:r>
      <w:proofErr w:type="spellStart"/>
      <w:r w:rsidRPr="004A5227">
        <w:t>ACMA</w:t>
      </w:r>
      <w:proofErr w:type="spellEnd"/>
      <w:r w:rsidRPr="004A5227">
        <w:t xml:space="preserve"> under this section for the allocation of a number that:</w:t>
      </w:r>
    </w:p>
    <w:p w:rsidR="00674A2E" w:rsidRPr="004A5227" w:rsidRDefault="00674A2E" w:rsidP="00674A2E">
      <w:pPr>
        <w:pStyle w:val="paragraph"/>
      </w:pPr>
      <w:r w:rsidRPr="004A5227">
        <w:tab/>
        <w:t>(a)</w:t>
      </w:r>
      <w:r w:rsidRPr="004A5227">
        <w:tab/>
        <w:t xml:space="preserve">is listed by the </w:t>
      </w:r>
      <w:proofErr w:type="spellStart"/>
      <w:r w:rsidRPr="004A5227">
        <w:t>ACMA</w:t>
      </w:r>
      <w:proofErr w:type="spellEnd"/>
      <w:r w:rsidRPr="004A5227">
        <w:t xml:space="preserve"> under section</w:t>
      </w:r>
      <w:r w:rsidR="004A5227" w:rsidRPr="004A5227">
        <w:t> </w:t>
      </w:r>
      <w:r w:rsidR="00CA6815" w:rsidRPr="004A5227">
        <w:t>57</w:t>
      </w:r>
      <w:r w:rsidRPr="004A5227">
        <w:t xml:space="preserve"> as available for allocation; and</w:t>
      </w:r>
    </w:p>
    <w:p w:rsidR="00674A2E" w:rsidRPr="004A5227" w:rsidRDefault="000039CA" w:rsidP="00674A2E">
      <w:pPr>
        <w:pStyle w:val="paragraph"/>
      </w:pPr>
      <w:r w:rsidRPr="004A5227">
        <w:tab/>
        <w:t>(b)</w:t>
      </w:r>
      <w:r w:rsidRPr="004A5227">
        <w:tab/>
        <w:t>is not held by a carriage service provider</w:t>
      </w:r>
      <w:r w:rsidR="00674A2E" w:rsidRPr="004A5227">
        <w:t>; and</w:t>
      </w:r>
    </w:p>
    <w:p w:rsidR="00674A2E" w:rsidRPr="004A5227" w:rsidRDefault="00674A2E" w:rsidP="00674A2E">
      <w:pPr>
        <w:pStyle w:val="paragraph"/>
      </w:pPr>
      <w:r w:rsidRPr="004A5227">
        <w:tab/>
        <w:t>(c)</w:t>
      </w:r>
      <w:r w:rsidRPr="004A5227">
        <w:tab/>
      </w:r>
      <w:r w:rsidR="00FF35C6" w:rsidRPr="004A5227">
        <w:t xml:space="preserve">if the number is a </w:t>
      </w:r>
      <w:proofErr w:type="spellStart"/>
      <w:r w:rsidR="00FF35C6" w:rsidRPr="004A5227">
        <w:t>smartnumber</w:t>
      </w:r>
      <w:proofErr w:type="spellEnd"/>
      <w:r w:rsidR="00FF35C6" w:rsidRPr="004A5227">
        <w:t>—</w:t>
      </w:r>
      <w:r w:rsidRPr="004A5227">
        <w:t xml:space="preserve">is an </w:t>
      </w:r>
      <w:r w:rsidR="00FF35C6" w:rsidRPr="004A5227">
        <w:t xml:space="preserve">assigned unallocated </w:t>
      </w:r>
      <w:proofErr w:type="spellStart"/>
      <w:r w:rsidR="00FF35C6" w:rsidRPr="004A5227">
        <w:t>smartnumber</w:t>
      </w:r>
      <w:proofErr w:type="spellEnd"/>
      <w:r w:rsidRPr="004A5227">
        <w:t>.</w:t>
      </w:r>
    </w:p>
    <w:p w:rsidR="00674A2E" w:rsidRPr="004A5227" w:rsidRDefault="00674A2E" w:rsidP="00674A2E">
      <w:pPr>
        <w:pStyle w:val="notetext"/>
      </w:pPr>
      <w:r w:rsidRPr="004A5227">
        <w:t xml:space="preserve">Note: </w:t>
      </w:r>
      <w:r w:rsidRPr="004A5227">
        <w:tab/>
        <w:t>A</w:t>
      </w:r>
      <w:r w:rsidR="00E76272" w:rsidRPr="004A5227">
        <w:t>n assigned unallocated</w:t>
      </w:r>
      <w:r w:rsidRPr="004A5227">
        <w:t xml:space="preserve"> </w:t>
      </w:r>
      <w:proofErr w:type="spellStart"/>
      <w:r w:rsidRPr="004A5227">
        <w:t>smartnumber</w:t>
      </w:r>
      <w:proofErr w:type="spellEnd"/>
      <w:r w:rsidRPr="004A5227">
        <w:t xml:space="preserve"> </w:t>
      </w:r>
      <w:r w:rsidR="00E76272" w:rsidRPr="004A5227">
        <w:t xml:space="preserve">is </w:t>
      </w:r>
      <w:r w:rsidR="00DF2C84" w:rsidRPr="004A5227">
        <w:t xml:space="preserve">a </w:t>
      </w:r>
      <w:proofErr w:type="spellStart"/>
      <w:r w:rsidR="00DF2C84" w:rsidRPr="004A5227">
        <w:t>smartnumber</w:t>
      </w:r>
      <w:proofErr w:type="spellEnd"/>
      <w:r w:rsidR="00DF2C84" w:rsidRPr="004A5227">
        <w:t xml:space="preserve"> </w:t>
      </w:r>
      <w:r w:rsidR="00E76272" w:rsidRPr="004A5227">
        <w:t xml:space="preserve">for which there is an </w:t>
      </w:r>
      <w:proofErr w:type="spellStart"/>
      <w:r w:rsidR="00E76272" w:rsidRPr="004A5227">
        <w:t>EROU</w:t>
      </w:r>
      <w:proofErr w:type="spellEnd"/>
      <w:r w:rsidR="004A5227">
        <w:noBreakHyphen/>
      </w:r>
      <w:r w:rsidR="00E76272" w:rsidRPr="004A5227">
        <w:t>holder, but which is not allocated under section</w:t>
      </w:r>
      <w:r w:rsidR="004A5227" w:rsidRPr="004A5227">
        <w:t> </w:t>
      </w:r>
      <w:r w:rsidR="00CA6815" w:rsidRPr="004A5227">
        <w:t>61</w:t>
      </w:r>
      <w:r w:rsidRPr="004A5227">
        <w:t xml:space="preserve">: see </w:t>
      </w:r>
      <w:r w:rsidR="001C4A7C" w:rsidRPr="004A5227">
        <w:t>section</w:t>
      </w:r>
      <w:r w:rsidR="004A5227" w:rsidRPr="004A5227">
        <w:t> </w:t>
      </w:r>
      <w:r w:rsidR="00CA6815" w:rsidRPr="004A5227">
        <w:t>15</w:t>
      </w:r>
      <w:r w:rsidR="001C4A7C" w:rsidRPr="004A5227">
        <w:t>.</w:t>
      </w:r>
    </w:p>
    <w:p w:rsidR="00C2600B" w:rsidRPr="004A5227" w:rsidRDefault="00674A2E" w:rsidP="00674A2E">
      <w:pPr>
        <w:pStyle w:val="subsection"/>
      </w:pPr>
      <w:r w:rsidRPr="004A5227">
        <w:tab/>
      </w:r>
      <w:r w:rsidR="00C2600B" w:rsidRPr="004A5227">
        <w:t>(2)</w:t>
      </w:r>
      <w:r w:rsidR="00C2600B" w:rsidRPr="004A5227">
        <w:tab/>
        <w:t xml:space="preserve">A registered carriage service provider may also apply to the </w:t>
      </w:r>
      <w:proofErr w:type="spellStart"/>
      <w:r w:rsidR="00C2600B" w:rsidRPr="004A5227">
        <w:t>ACMA</w:t>
      </w:r>
      <w:proofErr w:type="spellEnd"/>
      <w:r w:rsidR="00C2600B" w:rsidRPr="004A5227">
        <w:t xml:space="preserve"> under this section for the allocation of a number that:</w:t>
      </w:r>
    </w:p>
    <w:p w:rsidR="00EA3C6B" w:rsidRPr="004A5227" w:rsidRDefault="00C2600B" w:rsidP="00C2600B">
      <w:pPr>
        <w:pStyle w:val="paragraph"/>
      </w:pPr>
      <w:r w:rsidRPr="004A5227">
        <w:tab/>
        <w:t>(a)</w:t>
      </w:r>
      <w:r w:rsidRPr="004A5227">
        <w:tab/>
        <w:t>is a</w:t>
      </w:r>
      <w:r w:rsidR="00EA3C6B" w:rsidRPr="004A5227">
        <w:t>ny of the following:</w:t>
      </w:r>
    </w:p>
    <w:p w:rsidR="00EA3C6B" w:rsidRPr="004A5227" w:rsidRDefault="00EA3C6B" w:rsidP="00EA3C6B">
      <w:pPr>
        <w:pStyle w:val="paragraphsub"/>
      </w:pPr>
      <w:r w:rsidRPr="004A5227">
        <w:tab/>
        <w:t>(</w:t>
      </w:r>
      <w:proofErr w:type="spellStart"/>
      <w:r w:rsidRPr="004A5227">
        <w:t>i</w:t>
      </w:r>
      <w:proofErr w:type="spellEnd"/>
      <w:r w:rsidRPr="004A5227">
        <w:t>)</w:t>
      </w:r>
      <w:r w:rsidRPr="004A5227">
        <w:tab/>
        <w:t>a</w:t>
      </w:r>
      <w:r w:rsidR="00C2600B" w:rsidRPr="004A5227">
        <w:t xml:space="preserve"> </w:t>
      </w:r>
      <w:proofErr w:type="spellStart"/>
      <w:r w:rsidR="00C2600B" w:rsidRPr="004A5227">
        <w:t>freephone</w:t>
      </w:r>
      <w:proofErr w:type="spellEnd"/>
      <w:r w:rsidR="00C2600B" w:rsidRPr="004A5227">
        <w:t xml:space="preserve"> number</w:t>
      </w:r>
      <w:r w:rsidR="00FE3D06" w:rsidRPr="004A5227">
        <w:t xml:space="preserve"> </w:t>
      </w:r>
      <w:r w:rsidRPr="004A5227">
        <w:t xml:space="preserve">that is not </w:t>
      </w:r>
      <w:r w:rsidR="00FE3D06" w:rsidRPr="004A5227">
        <w:t xml:space="preserve">a </w:t>
      </w:r>
      <w:proofErr w:type="spellStart"/>
      <w:r w:rsidR="00FE3D06" w:rsidRPr="004A5227">
        <w:t>smartnumber</w:t>
      </w:r>
      <w:proofErr w:type="spellEnd"/>
      <w:r w:rsidRPr="004A5227">
        <w:t>;</w:t>
      </w:r>
    </w:p>
    <w:p w:rsidR="00EA3C6B" w:rsidRPr="004A5227" w:rsidRDefault="00EA3C6B" w:rsidP="00EA3C6B">
      <w:pPr>
        <w:pStyle w:val="paragraphsub"/>
      </w:pPr>
      <w:r w:rsidRPr="004A5227">
        <w:tab/>
        <w:t>(ii)</w:t>
      </w:r>
      <w:r w:rsidRPr="004A5227">
        <w:tab/>
      </w:r>
      <w:r w:rsidR="00C2600B" w:rsidRPr="004A5227">
        <w:t>a local rate number</w:t>
      </w:r>
      <w:r w:rsidR="00FE3D06" w:rsidRPr="004A5227">
        <w:t xml:space="preserve"> that is not a </w:t>
      </w:r>
      <w:proofErr w:type="spellStart"/>
      <w:r w:rsidR="00FE3D06" w:rsidRPr="004A5227">
        <w:t>smartnumber</w:t>
      </w:r>
      <w:proofErr w:type="spellEnd"/>
      <w:r w:rsidRPr="004A5227">
        <w:t>;</w:t>
      </w:r>
    </w:p>
    <w:p w:rsidR="00C2600B" w:rsidRPr="004A5227" w:rsidRDefault="00EA3C6B" w:rsidP="00EA3C6B">
      <w:pPr>
        <w:pStyle w:val="paragraphsub"/>
      </w:pPr>
      <w:r w:rsidRPr="004A5227">
        <w:tab/>
        <w:t>(iii)</w:t>
      </w:r>
      <w:r w:rsidRPr="004A5227">
        <w:tab/>
      </w:r>
      <w:r w:rsidR="00C2600B" w:rsidRPr="004A5227">
        <w:t>a premium rate number; and</w:t>
      </w:r>
    </w:p>
    <w:p w:rsidR="00C2600B" w:rsidRPr="004A5227" w:rsidRDefault="00C2600B" w:rsidP="00C2600B">
      <w:pPr>
        <w:pStyle w:val="paragraph"/>
      </w:pPr>
      <w:r w:rsidRPr="004A5227">
        <w:tab/>
        <w:t>(b)</w:t>
      </w:r>
      <w:r w:rsidRPr="004A5227">
        <w:tab/>
        <w:t>is held by the carriage service provider; and</w:t>
      </w:r>
    </w:p>
    <w:p w:rsidR="00C2600B" w:rsidRPr="004A5227" w:rsidRDefault="00C2600B" w:rsidP="00C2600B">
      <w:pPr>
        <w:pStyle w:val="paragraph"/>
      </w:pPr>
      <w:r w:rsidRPr="004A5227">
        <w:tab/>
        <w:t>(c)</w:t>
      </w:r>
      <w:r w:rsidRPr="004A5227">
        <w:tab/>
        <w:t xml:space="preserve">was allocated </w:t>
      </w:r>
      <w:r w:rsidR="00692E14" w:rsidRPr="004A5227">
        <w:t>with effect for 14, 30 or 90 days</w:t>
      </w:r>
      <w:r w:rsidRPr="004A5227">
        <w:t>.</w:t>
      </w:r>
    </w:p>
    <w:p w:rsidR="00674A2E" w:rsidRPr="004A5227" w:rsidRDefault="00C2600B" w:rsidP="00674A2E">
      <w:pPr>
        <w:pStyle w:val="subsection"/>
      </w:pPr>
      <w:r w:rsidRPr="004A5227">
        <w:tab/>
      </w:r>
      <w:r w:rsidR="00674A2E" w:rsidRPr="004A5227">
        <w:t>(</w:t>
      </w:r>
      <w:r w:rsidRPr="004A5227">
        <w:t>3</w:t>
      </w:r>
      <w:r w:rsidR="00674A2E" w:rsidRPr="004A5227">
        <w:t>)</w:t>
      </w:r>
      <w:r w:rsidR="00674A2E" w:rsidRPr="004A5227">
        <w:tab/>
        <w:t>However, a registered carriage service provider may not apply if:</w:t>
      </w:r>
    </w:p>
    <w:p w:rsidR="00674A2E" w:rsidRPr="004A5227" w:rsidRDefault="00674A2E" w:rsidP="00674A2E">
      <w:pPr>
        <w:pStyle w:val="paragraph"/>
      </w:pPr>
      <w:r w:rsidRPr="004A5227">
        <w:tab/>
        <w:t>(a)</w:t>
      </w:r>
      <w:r w:rsidRPr="004A5227">
        <w:tab/>
        <w:t>the registered carriage service provider is liable to pay an annual charge or a late payment penalty; and</w:t>
      </w:r>
    </w:p>
    <w:p w:rsidR="00674A2E" w:rsidRPr="004A5227" w:rsidRDefault="00674A2E" w:rsidP="00674A2E">
      <w:pPr>
        <w:pStyle w:val="paragraph"/>
      </w:pPr>
      <w:r w:rsidRPr="004A5227">
        <w:tab/>
        <w:t>(b)</w:t>
      </w:r>
      <w:r w:rsidRPr="004A5227">
        <w:tab/>
        <w:t xml:space="preserve">it is at least 3 months after the annual charge became due or the liability to pay the late payment penalty </w:t>
      </w:r>
      <w:r w:rsidR="00E81A8B" w:rsidRPr="004A5227">
        <w:t>a</w:t>
      </w:r>
      <w:r w:rsidRPr="004A5227">
        <w:t>rose; and</w:t>
      </w:r>
    </w:p>
    <w:p w:rsidR="00674A2E" w:rsidRPr="004A5227" w:rsidRDefault="00674A2E" w:rsidP="00674A2E">
      <w:pPr>
        <w:pStyle w:val="paragraph"/>
      </w:pPr>
      <w:r w:rsidRPr="004A5227">
        <w:tab/>
        <w:t>(c)</w:t>
      </w:r>
      <w:r w:rsidRPr="004A5227">
        <w:tab/>
        <w:t>the annual charge or late payment penalty is unpaid.</w:t>
      </w:r>
    </w:p>
    <w:p w:rsidR="00674A2E" w:rsidRPr="004A5227" w:rsidRDefault="00C2600B" w:rsidP="00674A2E">
      <w:pPr>
        <w:pStyle w:val="subsection"/>
      </w:pPr>
      <w:r w:rsidRPr="004A5227">
        <w:tab/>
        <w:t>(4</w:t>
      </w:r>
      <w:r w:rsidR="00674A2E" w:rsidRPr="004A5227">
        <w:t>)</w:t>
      </w:r>
      <w:r w:rsidR="00674A2E" w:rsidRPr="004A5227">
        <w:tab/>
        <w:t xml:space="preserve">The application must be in a form approved by the </w:t>
      </w:r>
      <w:proofErr w:type="spellStart"/>
      <w:r w:rsidR="00674A2E" w:rsidRPr="004A5227">
        <w:t>ACMA</w:t>
      </w:r>
      <w:proofErr w:type="spellEnd"/>
      <w:r w:rsidR="00674A2E" w:rsidRPr="004A5227">
        <w:t>.</w:t>
      </w:r>
    </w:p>
    <w:p w:rsidR="00674A2E" w:rsidRPr="004A5227" w:rsidRDefault="00C2600B" w:rsidP="00674A2E">
      <w:pPr>
        <w:pStyle w:val="subsection"/>
      </w:pPr>
      <w:r w:rsidRPr="004A5227">
        <w:tab/>
        <w:t>(5</w:t>
      </w:r>
      <w:r w:rsidR="00674A2E" w:rsidRPr="004A5227">
        <w:t>)</w:t>
      </w:r>
      <w:r w:rsidR="00674A2E" w:rsidRPr="004A5227">
        <w:tab/>
        <w:t>Strict compliance with the approved form is required.</w:t>
      </w:r>
    </w:p>
    <w:p w:rsidR="00674A2E" w:rsidRPr="004A5227" w:rsidRDefault="00C2600B" w:rsidP="00674A2E">
      <w:pPr>
        <w:pStyle w:val="subsection"/>
      </w:pPr>
      <w:r w:rsidRPr="004A5227">
        <w:tab/>
        <w:t>(6</w:t>
      </w:r>
      <w:r w:rsidR="00674A2E" w:rsidRPr="004A5227">
        <w:t>)</w:t>
      </w:r>
      <w:r w:rsidR="00674A2E" w:rsidRPr="004A5227">
        <w:tab/>
        <w:t>The application must be accompanied by the charge (if any) for the application fixed by a determination under section</w:t>
      </w:r>
      <w:r w:rsidR="004A5227" w:rsidRPr="004A5227">
        <w:t> </w:t>
      </w:r>
      <w:r w:rsidR="00674A2E" w:rsidRPr="004A5227">
        <w:t xml:space="preserve">60 of the </w:t>
      </w:r>
      <w:r w:rsidR="00674A2E" w:rsidRPr="004A5227">
        <w:rPr>
          <w:i/>
        </w:rPr>
        <w:t>Australian Communications and Media Authority Act 2005</w:t>
      </w:r>
      <w:r w:rsidR="004F2705" w:rsidRPr="004A5227">
        <w:t>.</w:t>
      </w:r>
    </w:p>
    <w:p w:rsidR="00674A2E" w:rsidRPr="004A5227" w:rsidRDefault="00C2600B" w:rsidP="00674A2E">
      <w:pPr>
        <w:pStyle w:val="subsection"/>
      </w:pPr>
      <w:r w:rsidRPr="004A5227">
        <w:tab/>
        <w:t>(7</w:t>
      </w:r>
      <w:r w:rsidR="00674A2E" w:rsidRPr="004A5227">
        <w:t>)</w:t>
      </w:r>
      <w:r w:rsidR="00674A2E" w:rsidRPr="004A5227">
        <w:tab/>
        <w:t>The registered carriage service provider must tender the amount of charge (if any) imposed on the allocation of the numbers by Part</w:t>
      </w:r>
      <w:r w:rsidR="004A5227" w:rsidRPr="004A5227">
        <w:t> </w:t>
      </w:r>
      <w:r w:rsidR="00674A2E" w:rsidRPr="004A5227">
        <w:t xml:space="preserve">2 of the </w:t>
      </w:r>
      <w:r w:rsidR="00674A2E" w:rsidRPr="004A5227">
        <w:rPr>
          <w:i/>
        </w:rPr>
        <w:t>Telecommunications (Numbering Charges) Act 1997</w:t>
      </w:r>
      <w:r w:rsidR="00674A2E" w:rsidRPr="004A5227">
        <w:t>.</w:t>
      </w:r>
    </w:p>
    <w:p w:rsidR="00674A2E" w:rsidRPr="004A5227" w:rsidRDefault="00674A2E" w:rsidP="00674A2E">
      <w:pPr>
        <w:pStyle w:val="notetext"/>
      </w:pPr>
      <w:r w:rsidRPr="004A5227">
        <w:t>Note:</w:t>
      </w:r>
      <w:r w:rsidRPr="004A5227">
        <w:tab/>
        <w:t>Subsection</w:t>
      </w:r>
      <w:r w:rsidR="004A5227" w:rsidRPr="004A5227">
        <w:t> </w:t>
      </w:r>
      <w:r w:rsidRPr="004A5227">
        <w:t xml:space="preserve">457(2) of the </w:t>
      </w:r>
      <w:r w:rsidR="007155D6" w:rsidRPr="004A5227">
        <w:rPr>
          <w:i/>
        </w:rPr>
        <w:t>Telecommunications Act 1997</w:t>
      </w:r>
      <w:r w:rsidRPr="004A5227">
        <w:t xml:space="preserve"> requires this amount to be refunded if the application is not successful.</w:t>
      </w:r>
    </w:p>
    <w:p w:rsidR="00674A2E" w:rsidRPr="004A5227" w:rsidRDefault="00674A2E" w:rsidP="00674A2E">
      <w:pPr>
        <w:pStyle w:val="subsection"/>
      </w:pPr>
      <w:r w:rsidRPr="004A5227">
        <w:tab/>
        <w:t>(</w:t>
      </w:r>
      <w:r w:rsidR="00C2600B" w:rsidRPr="004A5227">
        <w:t>8</w:t>
      </w:r>
      <w:r w:rsidRPr="004A5227">
        <w:t>)</w:t>
      </w:r>
      <w:r w:rsidRPr="004A5227">
        <w:tab/>
        <w:t>An application is not complete unless it satisfies the requirements of this section and section</w:t>
      </w:r>
      <w:r w:rsidR="004A5227" w:rsidRPr="004A5227">
        <w:t> </w:t>
      </w:r>
      <w:r w:rsidR="00CA6815" w:rsidRPr="004A5227">
        <w:t>59</w:t>
      </w:r>
      <w:r w:rsidRPr="004A5227">
        <w:t>.</w:t>
      </w:r>
    </w:p>
    <w:p w:rsidR="00674A2E" w:rsidRPr="004A5227" w:rsidRDefault="00CA6815" w:rsidP="00674A2E">
      <w:pPr>
        <w:pStyle w:val="ActHead5"/>
      </w:pPr>
      <w:bookmarkStart w:id="88" w:name="_Toc413419087"/>
      <w:r w:rsidRPr="004A5227">
        <w:rPr>
          <w:rStyle w:val="CharSectno"/>
        </w:rPr>
        <w:t>59</w:t>
      </w:r>
      <w:r w:rsidR="00674A2E" w:rsidRPr="004A5227">
        <w:t xml:space="preserve">  Application for allocation of numbers—additional requirements</w:t>
      </w:r>
      <w:bookmarkEnd w:id="88"/>
    </w:p>
    <w:p w:rsidR="00674A2E" w:rsidRPr="004A5227" w:rsidRDefault="00674A2E" w:rsidP="00674A2E">
      <w:pPr>
        <w:pStyle w:val="subsection"/>
      </w:pPr>
      <w:r w:rsidRPr="004A5227">
        <w:tab/>
        <w:t>(1)</w:t>
      </w:r>
      <w:r w:rsidRPr="004A5227">
        <w:tab/>
        <w:t>This section sets out additional requirements for an application under section</w:t>
      </w:r>
      <w:r w:rsidR="004A5227" w:rsidRPr="004A5227">
        <w:t> </w:t>
      </w:r>
      <w:r w:rsidR="00CA6815" w:rsidRPr="004A5227">
        <w:t>58</w:t>
      </w:r>
      <w:r w:rsidRPr="004A5227">
        <w:t xml:space="preserve"> for an allocation of a number.</w:t>
      </w:r>
    </w:p>
    <w:p w:rsidR="00674A2E" w:rsidRPr="004A5227" w:rsidRDefault="00674A2E" w:rsidP="00674A2E">
      <w:pPr>
        <w:pStyle w:val="subsection"/>
      </w:pPr>
      <w:r w:rsidRPr="004A5227">
        <w:lastRenderedPageBreak/>
        <w:tab/>
        <w:t>(2)</w:t>
      </w:r>
      <w:r w:rsidRPr="004A5227">
        <w:tab/>
        <w:t>An application for a type of number must be for a multiple of standard units of that number.</w:t>
      </w:r>
    </w:p>
    <w:p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section</w:t>
      </w:r>
      <w:r w:rsidR="004A5227" w:rsidRPr="004A5227">
        <w:t> </w:t>
      </w:r>
      <w:r w:rsidR="00CA6815" w:rsidRPr="004A5227">
        <w:t>15</w:t>
      </w:r>
      <w:r w:rsidR="00D94548" w:rsidRPr="004A5227">
        <w:t xml:space="preserve">. The quantity of numbers in a standard unit, which depends on the type of number, </w:t>
      </w:r>
      <w:r w:rsidRPr="004A5227">
        <w:t>is set out in Schedule</w:t>
      </w:r>
      <w:r w:rsidR="004A5227" w:rsidRPr="004A5227">
        <w:t> </w:t>
      </w:r>
      <w:r w:rsidR="00790A2E" w:rsidRPr="004A5227">
        <w:t>7</w:t>
      </w:r>
      <w:r w:rsidRPr="004A5227">
        <w:t>.</w:t>
      </w:r>
    </w:p>
    <w:p w:rsidR="00674A2E" w:rsidRPr="004A5227" w:rsidRDefault="00674A2E" w:rsidP="00674A2E">
      <w:pPr>
        <w:pStyle w:val="subsection"/>
      </w:pPr>
      <w:r w:rsidRPr="004A5227">
        <w:tab/>
        <w:t>(3)</w:t>
      </w:r>
      <w:r w:rsidRPr="004A5227">
        <w:tab/>
        <w:t>An application for geographic numbers:</w:t>
      </w:r>
    </w:p>
    <w:p w:rsidR="00674A2E" w:rsidRPr="004A5227" w:rsidRDefault="00674A2E" w:rsidP="00674A2E">
      <w:pPr>
        <w:pStyle w:val="paragraph"/>
      </w:pPr>
      <w:r w:rsidRPr="004A5227">
        <w:tab/>
        <w:t>(a)</w:t>
      </w:r>
      <w:r w:rsidRPr="004A5227">
        <w:tab/>
        <w:t>must state the standard zone unit for which the numbers are requested; and</w:t>
      </w:r>
    </w:p>
    <w:p w:rsidR="00674A2E" w:rsidRPr="004A5227" w:rsidRDefault="00674A2E" w:rsidP="00674A2E">
      <w:pPr>
        <w:pStyle w:val="paragraph"/>
      </w:pPr>
      <w:r w:rsidRPr="004A5227">
        <w:tab/>
        <w:t>(b)</w:t>
      </w:r>
      <w:r w:rsidRPr="004A5227">
        <w:tab/>
        <w:t>if the application identifies the numbers that the registered carriage service provider wishes to be allocated—must be for numbers that are specified for use in that standard zone unit.</w:t>
      </w:r>
    </w:p>
    <w:p w:rsidR="00674A2E" w:rsidRPr="004A5227" w:rsidRDefault="00674A2E" w:rsidP="00674A2E">
      <w:pPr>
        <w:pStyle w:val="subsection"/>
      </w:pPr>
      <w:r w:rsidRPr="004A5227">
        <w:tab/>
        <w:t>(4)</w:t>
      </w:r>
      <w:r w:rsidRPr="004A5227">
        <w:tab/>
        <w:t>An application for a special services number or an access code:</w:t>
      </w:r>
    </w:p>
    <w:p w:rsidR="00674A2E" w:rsidRPr="004A5227" w:rsidRDefault="00674A2E" w:rsidP="00674A2E">
      <w:pPr>
        <w:pStyle w:val="paragraph"/>
      </w:pPr>
      <w:r w:rsidRPr="004A5227">
        <w:tab/>
        <w:t>(a)</w:t>
      </w:r>
      <w:r w:rsidRPr="004A5227">
        <w:tab/>
        <w:t>must specify the type of service for which the number is requested; and</w:t>
      </w:r>
    </w:p>
    <w:p w:rsidR="00674A2E" w:rsidRPr="004A5227" w:rsidRDefault="00674A2E" w:rsidP="00674A2E">
      <w:pPr>
        <w:pStyle w:val="paragraph"/>
      </w:pPr>
      <w:r w:rsidRPr="004A5227">
        <w:tab/>
        <w:t>(b)</w:t>
      </w:r>
      <w:r w:rsidRPr="004A5227">
        <w:tab/>
        <w:t>if the application identifies the number or numbers that the registered carriage service provider wishes to be allocated—must be for a number or numbers that are specified for use with that type of service.</w:t>
      </w:r>
    </w:p>
    <w:p w:rsidR="00EA3C6B" w:rsidRPr="004A5227" w:rsidRDefault="00EA3C6B" w:rsidP="00674A2E">
      <w:pPr>
        <w:pStyle w:val="subsection"/>
      </w:pPr>
      <w:r w:rsidRPr="004A5227">
        <w:tab/>
        <w:t>(5)</w:t>
      </w:r>
      <w:r w:rsidRPr="004A5227">
        <w:tab/>
        <w:t>An application for:</w:t>
      </w:r>
    </w:p>
    <w:p w:rsidR="00EA3C6B" w:rsidRPr="004A5227" w:rsidRDefault="00EA3C6B" w:rsidP="00EA3C6B">
      <w:pPr>
        <w:pStyle w:val="paragraph"/>
      </w:pPr>
      <w:r w:rsidRPr="004A5227">
        <w:tab/>
        <w:t>(a)</w:t>
      </w:r>
      <w:r w:rsidRPr="004A5227">
        <w:tab/>
        <w:t xml:space="preserve">a </w:t>
      </w:r>
      <w:proofErr w:type="spellStart"/>
      <w:r w:rsidR="00674A2E" w:rsidRPr="004A5227">
        <w:t>freephone</w:t>
      </w:r>
      <w:proofErr w:type="spellEnd"/>
      <w:r w:rsidR="00674A2E" w:rsidRPr="004A5227">
        <w:t xml:space="preserve"> number</w:t>
      </w:r>
      <w:r w:rsidR="00FE3D06" w:rsidRPr="004A5227">
        <w:t xml:space="preserve"> that is not a </w:t>
      </w:r>
      <w:proofErr w:type="spellStart"/>
      <w:r w:rsidR="00FE3D06" w:rsidRPr="004A5227">
        <w:t>smartnumber</w:t>
      </w:r>
      <w:proofErr w:type="spellEnd"/>
      <w:r w:rsidRPr="004A5227">
        <w:t>; or</w:t>
      </w:r>
    </w:p>
    <w:p w:rsidR="00EA3C6B" w:rsidRPr="004A5227" w:rsidRDefault="00EA3C6B" w:rsidP="00EA3C6B">
      <w:pPr>
        <w:pStyle w:val="paragraph"/>
      </w:pPr>
      <w:r w:rsidRPr="004A5227">
        <w:tab/>
        <w:t>(b)</w:t>
      </w:r>
      <w:r w:rsidRPr="004A5227">
        <w:tab/>
      </w:r>
      <w:r w:rsidR="00674A2E" w:rsidRPr="004A5227">
        <w:t xml:space="preserve">a local rate </w:t>
      </w:r>
      <w:r w:rsidR="005E1DD6" w:rsidRPr="004A5227">
        <w:t xml:space="preserve">number </w:t>
      </w:r>
      <w:r w:rsidR="00FE3D06" w:rsidRPr="004A5227">
        <w:t xml:space="preserve">that is not a </w:t>
      </w:r>
      <w:proofErr w:type="spellStart"/>
      <w:r w:rsidR="00FE3D06" w:rsidRPr="004A5227">
        <w:t>smartnumber</w:t>
      </w:r>
      <w:proofErr w:type="spellEnd"/>
      <w:r w:rsidRPr="004A5227">
        <w:t>; or</w:t>
      </w:r>
    </w:p>
    <w:p w:rsidR="00EA3C6B" w:rsidRPr="004A5227" w:rsidRDefault="00EA3C6B" w:rsidP="00EA3C6B">
      <w:pPr>
        <w:pStyle w:val="paragraph"/>
      </w:pPr>
      <w:r w:rsidRPr="004A5227">
        <w:tab/>
        <w:t>(c)</w:t>
      </w:r>
      <w:r w:rsidRPr="004A5227">
        <w:tab/>
        <w:t>a premium rate number;</w:t>
      </w:r>
    </w:p>
    <w:p w:rsidR="00EA3C6B" w:rsidRPr="004A5227" w:rsidRDefault="009F6390" w:rsidP="00EA3C6B">
      <w:pPr>
        <w:pStyle w:val="subsection2"/>
      </w:pPr>
      <w:r w:rsidRPr="004A5227">
        <w:t>must</w:t>
      </w:r>
      <w:r w:rsidR="00EA3C6B" w:rsidRPr="004A5227">
        <w:t xml:space="preserve"> specify the period of allocation being applied for, in accordance with </w:t>
      </w:r>
      <w:r w:rsidR="004A5227" w:rsidRPr="004A5227">
        <w:t>subsections (</w:t>
      </w:r>
      <w:r w:rsidR="00EA3C6B" w:rsidRPr="004A5227">
        <w:t>6) to (9).</w:t>
      </w:r>
    </w:p>
    <w:p w:rsidR="009F6390" w:rsidRPr="004A5227" w:rsidRDefault="009F6390" w:rsidP="009F6390">
      <w:pPr>
        <w:pStyle w:val="subsection"/>
      </w:pPr>
      <w:r w:rsidRPr="004A5227">
        <w:tab/>
        <w:t>(6)</w:t>
      </w:r>
      <w:r w:rsidRPr="004A5227">
        <w:tab/>
        <w:t>If the registered carriage service provider does not hold the number, the application may be for an allocation for 14 days</w:t>
      </w:r>
      <w:r w:rsidR="007466BE" w:rsidRPr="004A5227">
        <w:t xml:space="preserve">, </w:t>
      </w:r>
      <w:r w:rsidRPr="004A5227">
        <w:t>an allocation for 90 days</w:t>
      </w:r>
      <w:r w:rsidR="007466BE" w:rsidRPr="004A5227">
        <w:t xml:space="preserve"> or an allocation</w:t>
      </w:r>
      <w:r w:rsidR="00E06280" w:rsidRPr="004A5227">
        <w:t xml:space="preserve"> without a time limit</w:t>
      </w:r>
      <w:r w:rsidRPr="004A5227">
        <w:t>.</w:t>
      </w:r>
    </w:p>
    <w:p w:rsidR="009F6390" w:rsidRPr="004A5227" w:rsidRDefault="009F6390" w:rsidP="009F6390">
      <w:pPr>
        <w:pStyle w:val="subsection"/>
      </w:pPr>
      <w:r w:rsidRPr="004A5227">
        <w:tab/>
        <w:t>(7)</w:t>
      </w:r>
      <w:r w:rsidRPr="004A5227">
        <w:tab/>
        <w:t xml:space="preserve">If the registered carriage service provider holds the number and it was allocated </w:t>
      </w:r>
      <w:r w:rsidR="00C46EAE" w:rsidRPr="004A5227">
        <w:t>with effect for 14 days, the application may be for:</w:t>
      </w:r>
    </w:p>
    <w:p w:rsidR="007466BE" w:rsidRPr="004A5227" w:rsidRDefault="007466BE" w:rsidP="00C46EAE">
      <w:pPr>
        <w:pStyle w:val="paragraph"/>
      </w:pPr>
      <w:r w:rsidRPr="004A5227">
        <w:tab/>
        <w:t>(a)</w:t>
      </w:r>
      <w:r w:rsidRPr="004A5227">
        <w:tab/>
        <w:t>if the previous allocation was the first allocation of the number to the carriage service provider—an allocation for 14 days; or</w:t>
      </w:r>
    </w:p>
    <w:p w:rsidR="007466BE" w:rsidRPr="004A5227" w:rsidRDefault="007466BE" w:rsidP="00C46EAE">
      <w:pPr>
        <w:pStyle w:val="paragraph"/>
      </w:pPr>
      <w:r w:rsidRPr="004A5227">
        <w:tab/>
        <w:t>(b</w:t>
      </w:r>
      <w:r w:rsidR="00C46EAE" w:rsidRPr="004A5227">
        <w:t>)</w:t>
      </w:r>
      <w:r w:rsidR="00C46EAE" w:rsidRPr="004A5227">
        <w:tab/>
      </w:r>
      <w:r w:rsidRPr="004A5227">
        <w:t>an allocation for 90 days; or</w:t>
      </w:r>
    </w:p>
    <w:p w:rsidR="00C46EAE" w:rsidRPr="004A5227" w:rsidRDefault="007466BE" w:rsidP="00C46EAE">
      <w:pPr>
        <w:pStyle w:val="paragraph"/>
      </w:pPr>
      <w:r w:rsidRPr="004A5227">
        <w:tab/>
        <w:t>(c)</w:t>
      </w:r>
      <w:r w:rsidRPr="004A5227">
        <w:tab/>
        <w:t xml:space="preserve">an </w:t>
      </w:r>
      <w:r w:rsidR="00C46EAE" w:rsidRPr="004A5227">
        <w:t>allocation</w:t>
      </w:r>
      <w:r w:rsidR="00E06280" w:rsidRPr="004A5227">
        <w:t xml:space="preserve"> without a time limit</w:t>
      </w:r>
      <w:r w:rsidR="00C46EAE" w:rsidRPr="004A5227">
        <w:t>.</w:t>
      </w:r>
    </w:p>
    <w:p w:rsidR="007466BE" w:rsidRPr="004A5227" w:rsidRDefault="007466BE" w:rsidP="00C46EAE">
      <w:pPr>
        <w:pStyle w:val="subsection"/>
      </w:pPr>
      <w:r w:rsidRPr="004A5227">
        <w:tab/>
        <w:t>(8)</w:t>
      </w:r>
      <w:r w:rsidRPr="004A5227">
        <w:tab/>
        <w:t>If the registered carriage service provider holds the number and it was allocated with effect for 90 days, the application may be for an allocation for 30 days or an allocation</w:t>
      </w:r>
      <w:r w:rsidR="00E06280" w:rsidRPr="004A5227">
        <w:t xml:space="preserve"> without a time limit</w:t>
      </w:r>
      <w:r w:rsidRPr="004A5227">
        <w:t>.</w:t>
      </w:r>
    </w:p>
    <w:p w:rsidR="00C46EAE" w:rsidRPr="004A5227" w:rsidRDefault="007466BE" w:rsidP="00C46EAE">
      <w:pPr>
        <w:pStyle w:val="subsection"/>
      </w:pPr>
      <w:r w:rsidRPr="004A5227">
        <w:tab/>
        <w:t>(9</w:t>
      </w:r>
      <w:r w:rsidR="00C46EAE" w:rsidRPr="004A5227">
        <w:t>)</w:t>
      </w:r>
      <w:r w:rsidR="00C46EAE" w:rsidRPr="004A5227">
        <w:tab/>
        <w:t xml:space="preserve">If the registered carriage service provider holds the number and it was allocated with effect for 30 days, the application must be for </w:t>
      </w:r>
      <w:r w:rsidRPr="004A5227">
        <w:t xml:space="preserve">an </w:t>
      </w:r>
      <w:r w:rsidR="00C46EAE" w:rsidRPr="004A5227">
        <w:t>allocation</w:t>
      </w:r>
      <w:r w:rsidR="00E06280" w:rsidRPr="004A5227">
        <w:t xml:space="preserve"> without a time limit</w:t>
      </w:r>
      <w:r w:rsidR="00C46EAE" w:rsidRPr="004A5227">
        <w:t>.</w:t>
      </w:r>
    </w:p>
    <w:p w:rsidR="00674A2E" w:rsidRPr="004A5227" w:rsidRDefault="00CA6815" w:rsidP="00674A2E">
      <w:pPr>
        <w:pStyle w:val="ActHead5"/>
      </w:pPr>
      <w:bookmarkStart w:id="89" w:name="_Toc413419088"/>
      <w:r w:rsidRPr="004A5227">
        <w:rPr>
          <w:rStyle w:val="CharSectno"/>
        </w:rPr>
        <w:t>60</w:t>
      </w:r>
      <w:r w:rsidR="00674A2E" w:rsidRPr="004A5227">
        <w:t xml:space="preserve">  Decision on application</w:t>
      </w:r>
      <w:bookmarkEnd w:id="89"/>
    </w:p>
    <w:p w:rsidR="00674A2E" w:rsidRPr="004A5227" w:rsidRDefault="00674A2E" w:rsidP="00674A2E">
      <w:pPr>
        <w:pStyle w:val="subsection"/>
      </w:pPr>
      <w:r w:rsidRPr="004A5227">
        <w:tab/>
        <w:t>(1)</w:t>
      </w:r>
      <w:r w:rsidRPr="004A5227">
        <w:tab/>
        <w:t xml:space="preserve">The </w:t>
      </w:r>
      <w:proofErr w:type="spellStart"/>
      <w:r w:rsidRPr="004A5227">
        <w:t>ACMA</w:t>
      </w:r>
      <w:proofErr w:type="spellEnd"/>
      <w:r w:rsidRPr="004A5227">
        <w:t xml:space="preserve"> must approve an application made by a registered carriage service provider under section</w:t>
      </w:r>
      <w:r w:rsidR="004A5227" w:rsidRPr="004A5227">
        <w:t> </w:t>
      </w:r>
      <w:r w:rsidR="00CA6815" w:rsidRPr="004A5227">
        <w:t>58</w:t>
      </w:r>
      <w:r w:rsidRPr="004A5227">
        <w:t xml:space="preserve"> if:</w:t>
      </w:r>
    </w:p>
    <w:p w:rsidR="00674A2E" w:rsidRPr="004A5227" w:rsidRDefault="00674A2E" w:rsidP="00674A2E">
      <w:pPr>
        <w:pStyle w:val="paragraph"/>
      </w:pPr>
      <w:r w:rsidRPr="004A5227">
        <w:tab/>
        <w:t>(a)</w:t>
      </w:r>
      <w:r w:rsidRPr="004A5227">
        <w:tab/>
        <w:t>the application is complete; and</w:t>
      </w:r>
    </w:p>
    <w:p w:rsidR="00674A2E" w:rsidRPr="004A5227" w:rsidRDefault="00674A2E" w:rsidP="00674A2E">
      <w:pPr>
        <w:pStyle w:val="paragraph"/>
      </w:pPr>
      <w:r w:rsidRPr="004A5227">
        <w:tab/>
        <w:t>(b)</w:t>
      </w:r>
      <w:r w:rsidRPr="004A5227">
        <w:tab/>
        <w:t xml:space="preserve">none of the grounds set out in this section for </w:t>
      </w:r>
      <w:r w:rsidR="003B68E0" w:rsidRPr="004A5227">
        <w:t>not approving</w:t>
      </w:r>
      <w:r w:rsidRPr="004A5227">
        <w:t xml:space="preserve"> the application apply.</w:t>
      </w:r>
    </w:p>
    <w:p w:rsidR="00674A2E" w:rsidRPr="004A5227" w:rsidRDefault="00674A2E" w:rsidP="00674A2E">
      <w:pPr>
        <w:pStyle w:val="subsection"/>
      </w:pPr>
      <w:r w:rsidRPr="004A5227">
        <w:lastRenderedPageBreak/>
        <w:tab/>
        <w:t>(2)</w:t>
      </w:r>
      <w:r w:rsidRPr="004A5227">
        <w:tab/>
        <w:t xml:space="preserve">If the </w:t>
      </w:r>
      <w:proofErr w:type="spellStart"/>
      <w:r w:rsidRPr="004A5227">
        <w:t>ACMA</w:t>
      </w:r>
      <w:proofErr w:type="spellEnd"/>
      <w:r w:rsidRPr="004A5227">
        <w:t xml:space="preserve"> receives more than one application for allocation of the same number, the </w:t>
      </w:r>
      <w:proofErr w:type="spellStart"/>
      <w:r w:rsidRPr="004A5227">
        <w:t>ACMA</w:t>
      </w:r>
      <w:proofErr w:type="spellEnd"/>
      <w:r w:rsidRPr="004A5227">
        <w:t xml:space="preserve"> must:</w:t>
      </w:r>
    </w:p>
    <w:p w:rsidR="00674A2E" w:rsidRPr="004A5227" w:rsidRDefault="00674A2E" w:rsidP="00674A2E">
      <w:pPr>
        <w:pStyle w:val="paragraph"/>
      </w:pPr>
      <w:r w:rsidRPr="004A5227">
        <w:tab/>
        <w:t>(a)</w:t>
      </w:r>
      <w:r w:rsidRPr="004A5227">
        <w:tab/>
        <w:t>make a decision on the applications in the order that the applications were received; and</w:t>
      </w:r>
    </w:p>
    <w:p w:rsidR="00674A2E" w:rsidRPr="004A5227" w:rsidRDefault="00674A2E" w:rsidP="00674A2E">
      <w:pPr>
        <w:pStyle w:val="paragraph"/>
      </w:pPr>
      <w:r w:rsidRPr="004A5227">
        <w:tab/>
        <w:t>(b)</w:t>
      </w:r>
      <w:r w:rsidRPr="004A5227">
        <w:tab/>
        <w:t>if it approves an application—</w:t>
      </w:r>
      <w:r w:rsidR="00F811D9" w:rsidRPr="004A5227">
        <w:t>not approve</w:t>
      </w:r>
      <w:r w:rsidRPr="004A5227">
        <w:t xml:space="preserve"> any later applications.</w:t>
      </w:r>
    </w:p>
    <w:p w:rsidR="00674A2E" w:rsidRPr="004A5227" w:rsidRDefault="00674A2E" w:rsidP="00674A2E">
      <w:pPr>
        <w:pStyle w:val="subsection"/>
      </w:pPr>
      <w:r w:rsidRPr="004A5227">
        <w:tab/>
        <w:t>(3)</w:t>
      </w:r>
      <w:r w:rsidRPr="004A5227">
        <w:tab/>
        <w:t xml:space="preserve">The </w:t>
      </w:r>
      <w:proofErr w:type="spellStart"/>
      <w:r w:rsidRPr="004A5227">
        <w:t>ACMA</w:t>
      </w:r>
      <w:proofErr w:type="spellEnd"/>
      <w:r w:rsidRPr="004A5227">
        <w:t xml:space="preserve"> must </w:t>
      </w:r>
      <w:r w:rsidR="00F811D9" w:rsidRPr="004A5227">
        <w:t xml:space="preserve">not approve </w:t>
      </w:r>
      <w:r w:rsidRPr="004A5227">
        <w:t>an application for the allocation of a carriage service provider identification code if the registered carriage service provider holds a carriage service provider identification code that was allocated on or after 5</w:t>
      </w:r>
      <w:r w:rsidR="004A5227" w:rsidRPr="004A5227">
        <w:t> </w:t>
      </w:r>
      <w:r w:rsidRPr="004A5227">
        <w:t xml:space="preserve">September 2013, unless the </w:t>
      </w:r>
      <w:proofErr w:type="spellStart"/>
      <w:r w:rsidRPr="004A5227">
        <w:t>ACMA</w:t>
      </w:r>
      <w:proofErr w:type="spellEnd"/>
      <w:r w:rsidRPr="004A5227">
        <w:t xml:space="preserve"> is satisfied that special circumstances justify the allocation of the number.</w:t>
      </w:r>
    </w:p>
    <w:p w:rsidR="00674A2E" w:rsidRPr="004A5227" w:rsidRDefault="00674A2E" w:rsidP="00674A2E">
      <w:pPr>
        <w:pStyle w:val="subsection"/>
      </w:pPr>
      <w:r w:rsidRPr="004A5227">
        <w:tab/>
        <w:t>(4)</w:t>
      </w:r>
      <w:r w:rsidRPr="004A5227">
        <w:tab/>
      </w:r>
      <w:r w:rsidR="004A5227" w:rsidRPr="004A5227">
        <w:t>Subsection (</w:t>
      </w:r>
      <w:r w:rsidRPr="004A5227">
        <w:t xml:space="preserve">3) does not apply to a registered carriage service provider if there is a registered industry code that applies to the registered carriage service provider that the </w:t>
      </w:r>
      <w:proofErr w:type="spellStart"/>
      <w:r w:rsidRPr="004A5227">
        <w:t>ACMA</w:t>
      </w:r>
      <w:proofErr w:type="spellEnd"/>
      <w:r w:rsidRPr="004A5227">
        <w:t xml:space="preserve"> has declared is a replacement code for the purposes of this subsection.</w:t>
      </w:r>
    </w:p>
    <w:p w:rsidR="00CC1B80" w:rsidRPr="004A5227" w:rsidRDefault="00CC1B80" w:rsidP="00674A2E">
      <w:pPr>
        <w:pStyle w:val="subsection"/>
      </w:pPr>
      <w:r w:rsidRPr="004A5227">
        <w:tab/>
        <w:t>(5)</w:t>
      </w:r>
      <w:r w:rsidRPr="004A5227">
        <w:tab/>
        <w:t xml:space="preserve">If the </w:t>
      </w:r>
      <w:proofErr w:type="spellStart"/>
      <w:r w:rsidRPr="004A5227">
        <w:t>ACMA</w:t>
      </w:r>
      <w:proofErr w:type="spellEnd"/>
      <w:r w:rsidR="00F811D9" w:rsidRPr="004A5227">
        <w:t xml:space="preserve"> decides not to approve</w:t>
      </w:r>
      <w:r w:rsidRPr="004A5227">
        <w:t xml:space="preserve"> an application for the allocation of a carriage service provider identification code, the </w:t>
      </w:r>
      <w:proofErr w:type="spellStart"/>
      <w:r w:rsidRPr="004A5227">
        <w:t>ACMA</w:t>
      </w:r>
      <w:proofErr w:type="spellEnd"/>
      <w:r w:rsidRPr="004A5227">
        <w:t xml:space="preserve"> must give written</w:t>
      </w:r>
      <w:r w:rsidR="00E27372" w:rsidRPr="004A5227">
        <w:t xml:space="preserve"> notice of the decision to the registered carriage service provider concerned</w:t>
      </w:r>
      <w:r w:rsidRPr="004A5227">
        <w:t>.</w:t>
      </w:r>
    </w:p>
    <w:p w:rsidR="003025D2" w:rsidRPr="004A5227" w:rsidRDefault="002100A0" w:rsidP="002100A0">
      <w:pPr>
        <w:pStyle w:val="subsection"/>
      </w:pPr>
      <w:r w:rsidRPr="004A5227">
        <w:tab/>
        <w:t>(6)</w:t>
      </w:r>
      <w:r w:rsidRPr="004A5227">
        <w:tab/>
        <w:t>Despite subsections</w:t>
      </w:r>
      <w:r w:rsidR="004A5227" w:rsidRPr="004A5227">
        <w:t> </w:t>
      </w:r>
      <w:r w:rsidR="00CA6815" w:rsidRPr="004A5227">
        <w:t>58</w:t>
      </w:r>
      <w:r w:rsidRPr="004A5227">
        <w:t>(</w:t>
      </w:r>
      <w:r w:rsidR="00C2600B" w:rsidRPr="004A5227">
        <w:t>6</w:t>
      </w:r>
      <w:r w:rsidRPr="004A5227">
        <w:t>) and (</w:t>
      </w:r>
      <w:r w:rsidR="00C2600B" w:rsidRPr="004A5227">
        <w:t>7</w:t>
      </w:r>
      <w:r w:rsidRPr="004A5227">
        <w:t xml:space="preserve">), the </w:t>
      </w:r>
      <w:proofErr w:type="spellStart"/>
      <w:r w:rsidRPr="004A5227">
        <w:t>ACMA</w:t>
      </w:r>
      <w:proofErr w:type="spellEnd"/>
      <w:r w:rsidRPr="004A5227">
        <w:t xml:space="preserve"> may regard an application as complete for the purposes of </w:t>
      </w:r>
      <w:r w:rsidR="004A5227" w:rsidRPr="004A5227">
        <w:t>subsection (</w:t>
      </w:r>
      <w:r w:rsidRPr="004A5227">
        <w:t>1) if</w:t>
      </w:r>
      <w:r w:rsidR="003025D2" w:rsidRPr="004A5227">
        <w:t>:</w:t>
      </w:r>
    </w:p>
    <w:p w:rsidR="003025D2" w:rsidRPr="004A5227" w:rsidRDefault="003025D2" w:rsidP="003025D2">
      <w:pPr>
        <w:pStyle w:val="paragraph"/>
      </w:pPr>
      <w:r w:rsidRPr="004A5227">
        <w:tab/>
        <w:t>(a)</w:t>
      </w:r>
      <w:r w:rsidRPr="004A5227">
        <w:tab/>
      </w:r>
      <w:r w:rsidR="002100A0" w:rsidRPr="004A5227">
        <w:t xml:space="preserve">the </w:t>
      </w:r>
      <w:proofErr w:type="spellStart"/>
      <w:r w:rsidR="002100A0" w:rsidRPr="004A5227">
        <w:t>ACMA</w:t>
      </w:r>
      <w:proofErr w:type="spellEnd"/>
      <w:r w:rsidR="002100A0" w:rsidRPr="004A5227">
        <w:t xml:space="preserve"> has determined in writing that this subsection applies to the regis</w:t>
      </w:r>
      <w:r w:rsidR="00BA245A" w:rsidRPr="004A5227">
        <w:t>tered carriage service provider</w:t>
      </w:r>
      <w:r w:rsidRPr="004A5227">
        <w:t>; and</w:t>
      </w:r>
    </w:p>
    <w:p w:rsidR="002100A0" w:rsidRPr="004A5227" w:rsidRDefault="003025D2" w:rsidP="003025D2">
      <w:pPr>
        <w:pStyle w:val="paragraph"/>
      </w:pPr>
      <w:r w:rsidRPr="004A5227">
        <w:tab/>
        <w:t>(b)</w:t>
      </w:r>
      <w:r w:rsidRPr="004A5227">
        <w:tab/>
        <w:t xml:space="preserve">the </w:t>
      </w:r>
      <w:proofErr w:type="spellStart"/>
      <w:r w:rsidRPr="004A5227">
        <w:t>ACMA</w:t>
      </w:r>
      <w:proofErr w:type="spellEnd"/>
      <w:r w:rsidRPr="004A5227">
        <w:t xml:space="preserve"> has not revoked the determination</w:t>
      </w:r>
      <w:r w:rsidR="002100A0" w:rsidRPr="004A5227">
        <w:t>.</w:t>
      </w:r>
    </w:p>
    <w:p w:rsidR="00674A2E" w:rsidRPr="004A5227" w:rsidRDefault="00CA6815" w:rsidP="00674A2E">
      <w:pPr>
        <w:pStyle w:val="ActHead5"/>
      </w:pPr>
      <w:bookmarkStart w:id="90" w:name="_Toc413419089"/>
      <w:r w:rsidRPr="004A5227">
        <w:rPr>
          <w:rStyle w:val="CharSectno"/>
        </w:rPr>
        <w:t>61</w:t>
      </w:r>
      <w:r w:rsidR="00674A2E" w:rsidRPr="004A5227">
        <w:t xml:space="preserve">  Allocation of numbers</w:t>
      </w:r>
      <w:bookmarkEnd w:id="90"/>
    </w:p>
    <w:p w:rsidR="00674A2E" w:rsidRPr="004A5227" w:rsidRDefault="00674A2E" w:rsidP="00674A2E">
      <w:pPr>
        <w:pStyle w:val="subsection"/>
      </w:pPr>
      <w:r w:rsidRPr="004A5227">
        <w:tab/>
        <w:t>(1)</w:t>
      </w:r>
      <w:r w:rsidRPr="004A5227">
        <w:tab/>
        <w:t xml:space="preserve">If the </w:t>
      </w:r>
      <w:proofErr w:type="spellStart"/>
      <w:r w:rsidRPr="004A5227">
        <w:t>ACMA</w:t>
      </w:r>
      <w:proofErr w:type="spellEnd"/>
      <w:r w:rsidRPr="004A5227">
        <w:t xml:space="preserve"> approves an application made by a registered carriage service provider under </w:t>
      </w:r>
      <w:r w:rsidR="00E81A8B" w:rsidRPr="004A5227">
        <w:t>section</w:t>
      </w:r>
      <w:r w:rsidR="004A5227" w:rsidRPr="004A5227">
        <w:t> </w:t>
      </w:r>
      <w:r w:rsidR="00CA6815" w:rsidRPr="004A5227">
        <w:t>58</w:t>
      </w:r>
      <w:r w:rsidRPr="004A5227">
        <w:t xml:space="preserve"> that identifies the number or numbers that the registered carriage service provider wishes to be allocated, the </w:t>
      </w:r>
      <w:proofErr w:type="spellStart"/>
      <w:r w:rsidRPr="004A5227">
        <w:t>ACMA</w:t>
      </w:r>
      <w:proofErr w:type="spellEnd"/>
      <w:r w:rsidRPr="004A5227">
        <w:t xml:space="preserve"> must allocate those numbers to the registered carriage service provider.</w:t>
      </w:r>
    </w:p>
    <w:p w:rsidR="00674A2E" w:rsidRPr="004A5227" w:rsidRDefault="00674A2E" w:rsidP="00674A2E">
      <w:pPr>
        <w:pStyle w:val="subsection"/>
      </w:pPr>
      <w:r w:rsidRPr="004A5227">
        <w:tab/>
        <w:t>(2)</w:t>
      </w:r>
      <w:r w:rsidRPr="004A5227">
        <w:tab/>
        <w:t xml:space="preserve">If the </w:t>
      </w:r>
      <w:proofErr w:type="spellStart"/>
      <w:r w:rsidRPr="004A5227">
        <w:t>ACMA</w:t>
      </w:r>
      <w:proofErr w:type="spellEnd"/>
      <w:r w:rsidRPr="004A5227">
        <w:t xml:space="preserve"> approves an application that does not identify the number or numbers that the registered carriage service provider wishes to be allocated, the </w:t>
      </w:r>
      <w:proofErr w:type="spellStart"/>
      <w:r w:rsidRPr="004A5227">
        <w:t>ACMA</w:t>
      </w:r>
      <w:proofErr w:type="spellEnd"/>
      <w:r w:rsidRPr="004A5227">
        <w:t xml:space="preserve"> may select the number or numbers to allocate from the numbers that:</w:t>
      </w:r>
    </w:p>
    <w:p w:rsidR="00674A2E" w:rsidRPr="004A5227" w:rsidRDefault="00674A2E" w:rsidP="00674A2E">
      <w:pPr>
        <w:pStyle w:val="paragraph"/>
      </w:pPr>
      <w:r w:rsidRPr="004A5227">
        <w:tab/>
        <w:t>(a)</w:t>
      </w:r>
      <w:r w:rsidRPr="004A5227">
        <w:tab/>
        <w:t>are numbers of the type to which the application relates; and</w:t>
      </w:r>
    </w:p>
    <w:p w:rsidR="00674A2E" w:rsidRPr="004A5227" w:rsidRDefault="00674A2E" w:rsidP="00674A2E">
      <w:pPr>
        <w:pStyle w:val="paragraph"/>
      </w:pPr>
      <w:r w:rsidRPr="004A5227">
        <w:tab/>
        <w:t>(b)</w:t>
      </w:r>
      <w:r w:rsidRPr="004A5227">
        <w:tab/>
        <w:t>are listed under section</w:t>
      </w:r>
      <w:r w:rsidR="004A5227" w:rsidRPr="004A5227">
        <w:t> </w:t>
      </w:r>
      <w:r w:rsidR="00CA6815" w:rsidRPr="004A5227">
        <w:t>57</w:t>
      </w:r>
      <w:r w:rsidRPr="004A5227">
        <w:t xml:space="preserve"> as numbers that are able to be allocated; and</w:t>
      </w:r>
    </w:p>
    <w:p w:rsidR="00674A2E" w:rsidRPr="004A5227" w:rsidRDefault="00674A2E" w:rsidP="00674A2E">
      <w:pPr>
        <w:pStyle w:val="paragraph"/>
      </w:pPr>
      <w:r w:rsidRPr="004A5227">
        <w:tab/>
        <w:t>(c)</w:t>
      </w:r>
      <w:r w:rsidRPr="004A5227">
        <w:tab/>
        <w:t xml:space="preserve">are not already </w:t>
      </w:r>
      <w:r w:rsidR="000039CA" w:rsidRPr="004A5227">
        <w:t>held by a carriage service provider</w:t>
      </w:r>
      <w:r w:rsidRPr="004A5227">
        <w:t>; and</w:t>
      </w:r>
    </w:p>
    <w:p w:rsidR="00674A2E" w:rsidRPr="004A5227" w:rsidRDefault="00674A2E" w:rsidP="00674A2E">
      <w:pPr>
        <w:pStyle w:val="paragraph"/>
      </w:pPr>
      <w:r w:rsidRPr="004A5227">
        <w:tab/>
        <w:t>(d)</w:t>
      </w:r>
      <w:r w:rsidRPr="004A5227">
        <w:tab/>
        <w:t>in the case of geographic numbers—are specified for use in relation to the standard zone unit to which the application relates; and</w:t>
      </w:r>
    </w:p>
    <w:p w:rsidR="00674A2E" w:rsidRPr="004A5227" w:rsidRDefault="00674A2E" w:rsidP="00674A2E">
      <w:pPr>
        <w:pStyle w:val="paragraph"/>
      </w:pPr>
      <w:r w:rsidRPr="004A5227">
        <w:tab/>
        <w:t>(e)</w:t>
      </w:r>
      <w:r w:rsidRPr="004A5227">
        <w:tab/>
        <w:t>in the case of special services numbers or access codes—are specified for use with the type of service to which the application relates.</w:t>
      </w:r>
    </w:p>
    <w:p w:rsidR="001F3D5B" w:rsidRPr="004A5227" w:rsidRDefault="001F3D5B" w:rsidP="001F3D5B">
      <w:pPr>
        <w:pStyle w:val="subsection"/>
      </w:pPr>
      <w:r w:rsidRPr="004A5227">
        <w:tab/>
        <w:t>(3)</w:t>
      </w:r>
      <w:r w:rsidRPr="004A5227">
        <w:tab/>
        <w:t xml:space="preserve">An allocation under </w:t>
      </w:r>
      <w:r w:rsidR="004A5227" w:rsidRPr="004A5227">
        <w:t>subsection (</w:t>
      </w:r>
      <w:r w:rsidRPr="004A5227">
        <w:t>1) or (2) may be made subject to conditions.</w:t>
      </w:r>
    </w:p>
    <w:p w:rsidR="00396398" w:rsidRPr="004A5227" w:rsidRDefault="00396398" w:rsidP="00C2600B">
      <w:pPr>
        <w:pStyle w:val="subsection"/>
        <w:rPr>
          <w:szCs w:val="22"/>
        </w:rPr>
      </w:pPr>
      <w:r w:rsidRPr="004A5227">
        <w:rPr>
          <w:szCs w:val="22"/>
        </w:rPr>
        <w:tab/>
        <w:t>(4)</w:t>
      </w:r>
      <w:r w:rsidRPr="004A5227">
        <w:rPr>
          <w:szCs w:val="22"/>
        </w:rPr>
        <w:tab/>
        <w:t xml:space="preserve">The </w:t>
      </w:r>
      <w:proofErr w:type="spellStart"/>
      <w:r w:rsidRPr="004A5227">
        <w:rPr>
          <w:szCs w:val="22"/>
        </w:rPr>
        <w:t>ACMA</w:t>
      </w:r>
      <w:proofErr w:type="spellEnd"/>
      <w:r w:rsidRPr="004A5227">
        <w:rPr>
          <w:szCs w:val="22"/>
        </w:rPr>
        <w:t xml:space="preserve"> may decide to allocate a number </w:t>
      </w:r>
      <w:r w:rsidR="008452A2" w:rsidRPr="004A5227">
        <w:rPr>
          <w:szCs w:val="22"/>
        </w:rPr>
        <w:t>from a specified day or until a specified day</w:t>
      </w:r>
      <w:r w:rsidRPr="004A5227">
        <w:rPr>
          <w:szCs w:val="22"/>
        </w:rPr>
        <w:t>.</w:t>
      </w:r>
    </w:p>
    <w:p w:rsidR="001F3D5B" w:rsidRPr="004A5227" w:rsidRDefault="00674A2E" w:rsidP="001F3D5B">
      <w:pPr>
        <w:pStyle w:val="subsection"/>
      </w:pPr>
      <w:r w:rsidRPr="004A5227">
        <w:tab/>
      </w:r>
      <w:r w:rsidR="001F3D5B" w:rsidRPr="004A5227">
        <w:t>(</w:t>
      </w:r>
      <w:r w:rsidR="00C2600B" w:rsidRPr="004A5227">
        <w:t>5</w:t>
      </w:r>
      <w:r w:rsidR="001F3D5B" w:rsidRPr="004A5227">
        <w:t>)</w:t>
      </w:r>
      <w:r w:rsidR="001F3D5B" w:rsidRPr="004A5227">
        <w:tab/>
        <w:t xml:space="preserve">The </w:t>
      </w:r>
      <w:proofErr w:type="spellStart"/>
      <w:r w:rsidR="001F3D5B" w:rsidRPr="004A5227">
        <w:t>ACMA</w:t>
      </w:r>
      <w:proofErr w:type="spellEnd"/>
      <w:r w:rsidR="001F3D5B" w:rsidRPr="004A5227">
        <w:t xml:space="preserve"> must notify the registered carriage service provider</w:t>
      </w:r>
      <w:r w:rsidR="000D375F" w:rsidRPr="004A5227">
        <w:t>, in writing,</w:t>
      </w:r>
      <w:r w:rsidR="001F3D5B" w:rsidRPr="004A5227">
        <w:t xml:space="preserve"> of:</w:t>
      </w:r>
    </w:p>
    <w:p w:rsidR="001F3D5B" w:rsidRPr="004A5227" w:rsidRDefault="001F3D5B" w:rsidP="001F3D5B">
      <w:pPr>
        <w:pStyle w:val="paragraph"/>
      </w:pPr>
      <w:r w:rsidRPr="004A5227">
        <w:tab/>
        <w:t>(a)</w:t>
      </w:r>
      <w:r w:rsidRPr="004A5227">
        <w:tab/>
        <w:t>the numbers that have been allocated; and</w:t>
      </w:r>
    </w:p>
    <w:p w:rsidR="001F3D5B" w:rsidRPr="004A5227" w:rsidRDefault="001F3D5B" w:rsidP="001F3D5B">
      <w:pPr>
        <w:pStyle w:val="paragraph"/>
      </w:pPr>
      <w:r w:rsidRPr="004A5227">
        <w:lastRenderedPageBreak/>
        <w:tab/>
        <w:t>(b)</w:t>
      </w:r>
      <w:r w:rsidRPr="004A5227">
        <w:tab/>
        <w:t>the date of allocation; and</w:t>
      </w:r>
    </w:p>
    <w:p w:rsidR="00396398" w:rsidRPr="004A5227" w:rsidRDefault="00396398" w:rsidP="001F3D5B">
      <w:pPr>
        <w:pStyle w:val="paragraph"/>
      </w:pPr>
      <w:r w:rsidRPr="004A5227">
        <w:tab/>
        <w:t>(c)</w:t>
      </w:r>
      <w:r w:rsidRPr="004A5227">
        <w:tab/>
        <w:t xml:space="preserve">if applicable—the date </w:t>
      </w:r>
      <w:r w:rsidR="008452A2" w:rsidRPr="004A5227">
        <w:t>the allocation will end</w:t>
      </w:r>
      <w:r w:rsidRPr="004A5227">
        <w:t>; and</w:t>
      </w:r>
    </w:p>
    <w:p w:rsidR="001F3D5B" w:rsidRPr="004A5227" w:rsidRDefault="001F3D5B" w:rsidP="001F3D5B">
      <w:pPr>
        <w:pStyle w:val="paragraph"/>
      </w:pPr>
      <w:r w:rsidRPr="004A5227">
        <w:tab/>
      </w:r>
      <w:r w:rsidR="002F0C38" w:rsidRPr="004A5227">
        <w:t>(d</w:t>
      </w:r>
      <w:r w:rsidRPr="004A5227">
        <w:t>)</w:t>
      </w:r>
      <w:r w:rsidRPr="004A5227">
        <w:tab/>
        <w:t>any conditions to which the allocation is subject.</w:t>
      </w:r>
    </w:p>
    <w:p w:rsidR="00370E62" w:rsidRPr="004A5227" w:rsidRDefault="001F3D5B" w:rsidP="00396398">
      <w:pPr>
        <w:pStyle w:val="subsection"/>
      </w:pPr>
      <w:r w:rsidRPr="004A5227">
        <w:tab/>
        <w:t>(</w:t>
      </w:r>
      <w:r w:rsidR="00C2600B" w:rsidRPr="004A5227">
        <w:t>6</w:t>
      </w:r>
      <w:r w:rsidRPr="004A5227">
        <w:t>)</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w:t>
      </w:r>
      <w:r w:rsidR="000D375F" w:rsidRPr="004A5227">
        <w:t>, in writing, of</w:t>
      </w:r>
      <w:r w:rsidR="00396398" w:rsidRPr="004A5227">
        <w:t xml:space="preserve"> the matters mentioned in </w:t>
      </w:r>
      <w:r w:rsidR="004A5227" w:rsidRPr="004A5227">
        <w:t>subsection (</w:t>
      </w:r>
      <w:r w:rsidR="00F52599" w:rsidRPr="004A5227">
        <w:t>5</w:t>
      </w:r>
      <w:r w:rsidR="00396398" w:rsidRPr="004A5227">
        <w:t>).</w:t>
      </w:r>
    </w:p>
    <w:p w:rsidR="00984F69" w:rsidRPr="004A5227" w:rsidRDefault="00CA6815" w:rsidP="00984F69">
      <w:pPr>
        <w:pStyle w:val="ActHead5"/>
      </w:pPr>
      <w:bookmarkStart w:id="91" w:name="_Toc413419090"/>
      <w:r w:rsidRPr="004A5227">
        <w:rPr>
          <w:rStyle w:val="CharSectno"/>
        </w:rPr>
        <w:t>62</w:t>
      </w:r>
      <w:r w:rsidR="00984F69" w:rsidRPr="004A5227">
        <w:t xml:space="preserve">  Particular matters relating to </w:t>
      </w:r>
      <w:r w:rsidR="001F4B8F" w:rsidRPr="004A5227">
        <w:t xml:space="preserve">allocation of </w:t>
      </w:r>
      <w:proofErr w:type="spellStart"/>
      <w:r w:rsidR="001F4B8F" w:rsidRPr="004A5227">
        <w:t>freephone</w:t>
      </w:r>
      <w:proofErr w:type="spellEnd"/>
      <w:r w:rsidR="001F4B8F" w:rsidRPr="004A5227">
        <w:t>, local rate and premium rate numbers</w:t>
      </w:r>
      <w:bookmarkEnd w:id="91"/>
    </w:p>
    <w:p w:rsidR="00EA3C6B" w:rsidRPr="004A5227" w:rsidRDefault="00984F69" w:rsidP="00984F69">
      <w:pPr>
        <w:pStyle w:val="subsection"/>
      </w:pPr>
      <w:r w:rsidRPr="004A5227">
        <w:tab/>
        <w:t>(1)</w:t>
      </w:r>
      <w:r w:rsidRPr="004A5227">
        <w:tab/>
        <w:t xml:space="preserve">This section applies </w:t>
      </w:r>
      <w:r w:rsidR="00880E26" w:rsidRPr="004A5227">
        <w:t>to the allocation of the following kinds of numbers under section</w:t>
      </w:r>
      <w:r w:rsidR="004A5227" w:rsidRPr="004A5227">
        <w:t> </w:t>
      </w:r>
      <w:r w:rsidR="00880E26" w:rsidRPr="004A5227">
        <w:t xml:space="preserve">61 </w:t>
      </w:r>
      <w:r w:rsidR="00537C18" w:rsidRPr="004A5227">
        <w:t>(</w:t>
      </w:r>
      <w:r w:rsidR="00880E26" w:rsidRPr="004A5227">
        <w:t xml:space="preserve">when the </w:t>
      </w:r>
      <w:proofErr w:type="spellStart"/>
      <w:r w:rsidR="00880E26" w:rsidRPr="004A5227">
        <w:t>ACMA</w:t>
      </w:r>
      <w:proofErr w:type="spellEnd"/>
      <w:r w:rsidR="00880E26" w:rsidRPr="004A5227">
        <w:t xml:space="preserve"> approves an application </w:t>
      </w:r>
      <w:r w:rsidR="00537C18" w:rsidRPr="004A5227">
        <w:t xml:space="preserve">made </w:t>
      </w:r>
      <w:r w:rsidR="00880E26" w:rsidRPr="004A5227">
        <w:t>by a registered carriage service provider under section</w:t>
      </w:r>
      <w:r w:rsidR="004A5227" w:rsidRPr="004A5227">
        <w:t> </w:t>
      </w:r>
      <w:r w:rsidR="00880E26" w:rsidRPr="004A5227">
        <w:t>58</w:t>
      </w:r>
      <w:r w:rsidR="00537C18" w:rsidRPr="004A5227">
        <w:t>)</w:t>
      </w:r>
      <w:r w:rsidR="00EA3C6B" w:rsidRPr="004A5227">
        <w:t>:</w:t>
      </w:r>
    </w:p>
    <w:p w:rsidR="00EA3C6B" w:rsidRPr="004A5227" w:rsidRDefault="00EA3C6B" w:rsidP="00EA3C6B">
      <w:pPr>
        <w:pStyle w:val="paragraph"/>
      </w:pPr>
      <w:r w:rsidRPr="004A5227">
        <w:tab/>
        <w:t>(a)</w:t>
      </w:r>
      <w:r w:rsidRPr="004A5227">
        <w:tab/>
      </w:r>
      <w:r w:rsidR="00984F69" w:rsidRPr="004A5227">
        <w:t xml:space="preserve">a </w:t>
      </w:r>
      <w:proofErr w:type="spellStart"/>
      <w:r w:rsidR="00984F69" w:rsidRPr="004A5227">
        <w:t>freephone</w:t>
      </w:r>
      <w:proofErr w:type="spellEnd"/>
      <w:r w:rsidR="00984F69" w:rsidRPr="004A5227">
        <w:t xml:space="preserve"> number</w:t>
      </w:r>
      <w:r w:rsidR="00FE3D06" w:rsidRPr="004A5227">
        <w:t xml:space="preserve"> that is not a </w:t>
      </w:r>
      <w:proofErr w:type="spellStart"/>
      <w:r w:rsidR="00FE3D06" w:rsidRPr="004A5227">
        <w:t>smartnumber</w:t>
      </w:r>
      <w:proofErr w:type="spellEnd"/>
      <w:r w:rsidR="00026206" w:rsidRPr="004A5227">
        <w:t>;</w:t>
      </w:r>
    </w:p>
    <w:p w:rsidR="00EA3C6B" w:rsidRPr="004A5227" w:rsidRDefault="00EA3C6B" w:rsidP="00EA3C6B">
      <w:pPr>
        <w:pStyle w:val="paragraph"/>
      </w:pPr>
      <w:r w:rsidRPr="004A5227">
        <w:tab/>
        <w:t>(b)</w:t>
      </w:r>
      <w:r w:rsidRPr="004A5227">
        <w:tab/>
      </w:r>
      <w:r w:rsidR="00984F69" w:rsidRPr="004A5227">
        <w:t xml:space="preserve">a local rate number </w:t>
      </w:r>
      <w:r w:rsidR="00FE3D06" w:rsidRPr="004A5227">
        <w:t xml:space="preserve">that is not a </w:t>
      </w:r>
      <w:proofErr w:type="spellStart"/>
      <w:r w:rsidR="00FE3D06" w:rsidRPr="004A5227">
        <w:t>smartnumber</w:t>
      </w:r>
      <w:proofErr w:type="spellEnd"/>
      <w:r w:rsidRPr="004A5227">
        <w:t>;</w:t>
      </w:r>
    </w:p>
    <w:p w:rsidR="00984F69" w:rsidRPr="004A5227" w:rsidRDefault="00EA3C6B" w:rsidP="00EA3C6B">
      <w:pPr>
        <w:pStyle w:val="paragraph"/>
      </w:pPr>
      <w:r w:rsidRPr="004A5227">
        <w:tab/>
        <w:t>(c)</w:t>
      </w:r>
      <w:r w:rsidRPr="004A5227">
        <w:tab/>
      </w:r>
      <w:r w:rsidR="00984F69" w:rsidRPr="004A5227">
        <w:t>a premium rate number.</w:t>
      </w:r>
    </w:p>
    <w:p w:rsidR="00E06280" w:rsidRPr="004A5227" w:rsidRDefault="00E06280" w:rsidP="00E06280">
      <w:pPr>
        <w:pStyle w:val="subsection"/>
      </w:pPr>
      <w:r w:rsidRPr="004A5227">
        <w:tab/>
        <w:t>(2)</w:t>
      </w:r>
      <w:r w:rsidRPr="004A5227">
        <w:tab/>
        <w:t xml:space="preserve">If the application was for an allocation for a set period of time, the </w:t>
      </w:r>
      <w:proofErr w:type="spellStart"/>
      <w:r w:rsidRPr="004A5227">
        <w:t>ACMA</w:t>
      </w:r>
      <w:proofErr w:type="spellEnd"/>
      <w:r w:rsidRPr="004A5227">
        <w:t xml:space="preserve"> must allocate the number for that period.</w:t>
      </w:r>
    </w:p>
    <w:p w:rsidR="00E06280" w:rsidRPr="004A5227" w:rsidRDefault="00984F69" w:rsidP="00984F69">
      <w:pPr>
        <w:pStyle w:val="subsection"/>
      </w:pPr>
      <w:r w:rsidRPr="004A5227">
        <w:tab/>
        <w:t>(</w:t>
      </w:r>
      <w:r w:rsidR="00E06280" w:rsidRPr="004A5227">
        <w:t>3</w:t>
      </w:r>
      <w:r w:rsidRPr="004A5227">
        <w:t>)</w:t>
      </w:r>
      <w:r w:rsidRPr="004A5227">
        <w:tab/>
        <w:t xml:space="preserve">If the </w:t>
      </w:r>
      <w:r w:rsidR="00E06280" w:rsidRPr="004A5227">
        <w:t>application was for an allocation without a time limit:</w:t>
      </w:r>
    </w:p>
    <w:p w:rsidR="00E06280" w:rsidRPr="004A5227" w:rsidRDefault="00E06280" w:rsidP="00E06280">
      <w:pPr>
        <w:pStyle w:val="paragraph"/>
      </w:pPr>
      <w:r w:rsidRPr="004A5227">
        <w:tab/>
        <w:t>(a)</w:t>
      </w:r>
      <w:r w:rsidRPr="004A5227">
        <w:tab/>
        <w:t xml:space="preserve">the </w:t>
      </w:r>
      <w:proofErr w:type="spellStart"/>
      <w:r w:rsidRPr="004A5227">
        <w:t>ACMA</w:t>
      </w:r>
      <w:proofErr w:type="spellEnd"/>
      <w:r w:rsidRPr="004A5227">
        <w:t xml:space="preserve"> must not specify a day that the allocation ends; and</w:t>
      </w:r>
    </w:p>
    <w:p w:rsidR="00B54A2E" w:rsidRPr="004A5227" w:rsidRDefault="00E06280" w:rsidP="00B54A2E">
      <w:pPr>
        <w:pStyle w:val="paragraph"/>
      </w:pPr>
      <w:r w:rsidRPr="004A5227">
        <w:tab/>
        <w:t>(b)</w:t>
      </w:r>
      <w:r w:rsidRPr="004A5227">
        <w:tab/>
      </w:r>
      <w:r w:rsidR="00B54A2E" w:rsidRPr="004A5227">
        <w:t xml:space="preserve">the number must be allocated subject to a condition that the number must be issued to a customer or used by the registered carriage service provider </w:t>
      </w:r>
      <w:r w:rsidR="00FC51CC" w:rsidRPr="004A5227">
        <w:t>no later than</w:t>
      </w:r>
      <w:r w:rsidR="00B54A2E" w:rsidRPr="004A5227">
        <w:t xml:space="preserve"> 5 </w:t>
      </w:r>
      <w:r w:rsidR="001F4B8F" w:rsidRPr="004A5227">
        <w:t xml:space="preserve">business </w:t>
      </w:r>
      <w:r w:rsidR="00B54A2E" w:rsidRPr="004A5227">
        <w:t>days after the date of the notice under subsection</w:t>
      </w:r>
      <w:r w:rsidR="004A5227" w:rsidRPr="004A5227">
        <w:t> </w:t>
      </w:r>
      <w:r w:rsidR="00CA6815" w:rsidRPr="004A5227">
        <w:t>61</w:t>
      </w:r>
      <w:r w:rsidR="00B54A2E" w:rsidRPr="004A5227">
        <w:t>(</w:t>
      </w:r>
      <w:r w:rsidR="00311810" w:rsidRPr="004A5227">
        <w:t>5</w:t>
      </w:r>
      <w:r w:rsidR="00B54A2E" w:rsidRPr="004A5227">
        <w:t>);</w:t>
      </w:r>
      <w:r w:rsidR="00F52599" w:rsidRPr="004A5227">
        <w:t xml:space="preserve"> and</w:t>
      </w:r>
    </w:p>
    <w:p w:rsidR="00984F69" w:rsidRPr="004A5227" w:rsidRDefault="00B54A2E" w:rsidP="00FE3D06">
      <w:pPr>
        <w:pStyle w:val="paragraph"/>
      </w:pPr>
      <w:r w:rsidRPr="004A5227">
        <w:tab/>
        <w:t>(</w:t>
      </w:r>
      <w:r w:rsidR="00F52599" w:rsidRPr="004A5227">
        <w:t>c</w:t>
      </w:r>
      <w:r w:rsidRPr="004A5227">
        <w:t>)</w:t>
      </w:r>
      <w:r w:rsidRPr="004A5227">
        <w:tab/>
        <w:t xml:space="preserve">the notice must state that </w:t>
      </w:r>
      <w:r w:rsidR="00984F69" w:rsidRPr="004A5227">
        <w:t>if th</w:t>
      </w:r>
      <w:r w:rsidR="00880E26" w:rsidRPr="004A5227">
        <w:t>e number is not issued or used</w:t>
      </w:r>
      <w:r w:rsidR="00984F69" w:rsidRPr="004A5227">
        <w:t xml:space="preserve"> the </w:t>
      </w:r>
      <w:proofErr w:type="spellStart"/>
      <w:r w:rsidR="00984F69" w:rsidRPr="004A5227">
        <w:t>ACMA</w:t>
      </w:r>
      <w:proofErr w:type="spellEnd"/>
      <w:r w:rsidR="00984F69" w:rsidRPr="004A5227">
        <w:t xml:space="preserve"> may withdraw the number.</w:t>
      </w:r>
    </w:p>
    <w:p w:rsidR="00674A2E" w:rsidRPr="004A5227" w:rsidRDefault="00674A2E" w:rsidP="002E3C64">
      <w:pPr>
        <w:pStyle w:val="ActHead2"/>
        <w:pageBreakBefore/>
      </w:pPr>
      <w:bookmarkStart w:id="92" w:name="_Toc413419091"/>
      <w:r w:rsidRPr="004A5227">
        <w:rPr>
          <w:rStyle w:val="CharPartNo"/>
        </w:rPr>
        <w:lastRenderedPageBreak/>
        <w:t>Part</w:t>
      </w:r>
      <w:r w:rsidR="004A5227" w:rsidRPr="004A5227">
        <w:rPr>
          <w:rStyle w:val="CharPartNo"/>
        </w:rPr>
        <w:t> </w:t>
      </w:r>
      <w:r w:rsidR="007D3DBD" w:rsidRPr="004A5227">
        <w:rPr>
          <w:rStyle w:val="CharPartNo"/>
        </w:rPr>
        <w:t>3</w:t>
      </w:r>
      <w:r w:rsidRPr="004A5227">
        <w:t>—</w:t>
      </w:r>
      <w:r w:rsidRPr="004A5227">
        <w:rPr>
          <w:rStyle w:val="CharPartText"/>
        </w:rPr>
        <w:t>Application for allocation of numbers in special circumstances</w:t>
      </w:r>
      <w:bookmarkEnd w:id="92"/>
    </w:p>
    <w:p w:rsidR="00674A2E" w:rsidRPr="004A5227" w:rsidRDefault="00674A2E" w:rsidP="00674A2E">
      <w:pPr>
        <w:pStyle w:val="Header"/>
      </w:pPr>
      <w:r w:rsidRPr="004A5227">
        <w:rPr>
          <w:rStyle w:val="CharDivNo"/>
        </w:rPr>
        <w:t xml:space="preserve"> </w:t>
      </w:r>
      <w:r w:rsidRPr="004A5227">
        <w:rPr>
          <w:rStyle w:val="CharDivText"/>
        </w:rPr>
        <w:t xml:space="preserve"> </w:t>
      </w:r>
    </w:p>
    <w:p w:rsidR="00674A2E" w:rsidRPr="004A5227" w:rsidRDefault="00CA6815" w:rsidP="00674A2E">
      <w:pPr>
        <w:pStyle w:val="ActHead5"/>
      </w:pPr>
      <w:bookmarkStart w:id="93" w:name="_Toc413419092"/>
      <w:r w:rsidRPr="004A5227">
        <w:rPr>
          <w:rStyle w:val="CharSectno"/>
        </w:rPr>
        <w:t>63</w:t>
      </w:r>
      <w:r w:rsidR="00674A2E" w:rsidRPr="004A5227">
        <w:t xml:space="preserve">  Application for allocation of numbers</w:t>
      </w:r>
      <w:bookmarkEnd w:id="93"/>
    </w:p>
    <w:p w:rsidR="00674A2E" w:rsidRPr="004A5227" w:rsidRDefault="00674A2E" w:rsidP="00674A2E">
      <w:pPr>
        <w:pStyle w:val="subsection"/>
      </w:pPr>
      <w:r w:rsidRPr="004A5227">
        <w:tab/>
        <w:t>(1)</w:t>
      </w:r>
      <w:r w:rsidRPr="004A5227">
        <w:tab/>
        <w:t xml:space="preserve">A registered carriage service provider may apply to the </w:t>
      </w:r>
      <w:proofErr w:type="spellStart"/>
      <w:r w:rsidRPr="004A5227">
        <w:t>ACMA</w:t>
      </w:r>
      <w:proofErr w:type="spellEnd"/>
      <w:r w:rsidRPr="004A5227">
        <w:t xml:space="preserve"> under this section for the allocation of a number or numbers if:</w:t>
      </w:r>
    </w:p>
    <w:p w:rsidR="00674A2E" w:rsidRPr="004A5227" w:rsidRDefault="00674A2E" w:rsidP="00674A2E">
      <w:pPr>
        <w:pStyle w:val="paragraph"/>
      </w:pPr>
      <w:r w:rsidRPr="004A5227">
        <w:tab/>
        <w:t>(a)</w:t>
      </w:r>
      <w:r w:rsidRPr="004A5227">
        <w:tab/>
        <w:t xml:space="preserve">the number or numbers have not been listed by the </w:t>
      </w:r>
      <w:proofErr w:type="spellStart"/>
      <w:r w:rsidRPr="004A5227">
        <w:t>ACMA</w:t>
      </w:r>
      <w:proofErr w:type="spellEnd"/>
      <w:r w:rsidRPr="004A5227">
        <w:t xml:space="preserve"> under section</w:t>
      </w:r>
      <w:r w:rsidR="004A5227" w:rsidRPr="004A5227">
        <w:t> </w:t>
      </w:r>
      <w:r w:rsidR="00CA6815" w:rsidRPr="004A5227">
        <w:t>57</w:t>
      </w:r>
      <w:r w:rsidRPr="004A5227">
        <w:t xml:space="preserve"> as available for allocation; or</w:t>
      </w:r>
    </w:p>
    <w:p w:rsidR="00674A2E" w:rsidRPr="004A5227" w:rsidRDefault="00674A2E" w:rsidP="00674A2E">
      <w:pPr>
        <w:pStyle w:val="paragraph"/>
      </w:pPr>
      <w:r w:rsidRPr="004A5227">
        <w:tab/>
        <w:t>(b)</w:t>
      </w:r>
      <w:r w:rsidRPr="004A5227">
        <w:tab/>
        <w:t>the application is not for a multiple of standard units of the type of number applied for.</w:t>
      </w:r>
    </w:p>
    <w:p w:rsidR="00674A2E" w:rsidRPr="004A5227" w:rsidRDefault="00674A2E" w:rsidP="00674A2E">
      <w:pPr>
        <w:pStyle w:val="notetext"/>
      </w:pPr>
      <w:r w:rsidRPr="004A5227">
        <w:t>Note:</w:t>
      </w:r>
      <w:r w:rsidRPr="004A5227">
        <w:tab/>
      </w:r>
      <w:r w:rsidR="00D94548" w:rsidRPr="004A5227">
        <w:t xml:space="preserve">For the definition of </w:t>
      </w:r>
      <w:r w:rsidR="00D94548" w:rsidRPr="004A5227">
        <w:rPr>
          <w:b/>
          <w:i/>
        </w:rPr>
        <w:t>standard unit</w:t>
      </w:r>
      <w:r w:rsidR="00D94548" w:rsidRPr="004A5227">
        <w:t>, see section</w:t>
      </w:r>
      <w:r w:rsidR="004A5227" w:rsidRPr="004A5227">
        <w:t> </w:t>
      </w:r>
      <w:r w:rsidR="00CA6815" w:rsidRPr="004A5227">
        <w:t>15</w:t>
      </w:r>
      <w:r w:rsidR="00D94548" w:rsidRPr="004A5227">
        <w:t>. The quantity of numbers in a standard unit, which depends on the type of number, is set out in Schedule</w:t>
      </w:r>
      <w:r w:rsidR="004A5227" w:rsidRPr="004A5227">
        <w:t> </w:t>
      </w:r>
      <w:r w:rsidR="00D94548" w:rsidRPr="004A5227">
        <w:t>7.</w:t>
      </w:r>
    </w:p>
    <w:p w:rsidR="00674A2E" w:rsidRPr="004A5227" w:rsidRDefault="00674A2E" w:rsidP="00674A2E">
      <w:pPr>
        <w:pStyle w:val="subsection"/>
      </w:pPr>
      <w:r w:rsidRPr="004A5227">
        <w:tab/>
        <w:t>(2)</w:t>
      </w:r>
      <w:r w:rsidRPr="004A5227">
        <w:tab/>
      </w:r>
      <w:r w:rsidR="00E81A8B" w:rsidRPr="004A5227">
        <w:t>However, a</w:t>
      </w:r>
      <w:r w:rsidRPr="004A5227">
        <w:t xml:space="preserve"> registered carriage service provider may not apply if:</w:t>
      </w:r>
    </w:p>
    <w:p w:rsidR="00674A2E" w:rsidRPr="004A5227" w:rsidRDefault="00674A2E" w:rsidP="00674A2E">
      <w:pPr>
        <w:pStyle w:val="paragraph"/>
      </w:pPr>
      <w:r w:rsidRPr="004A5227">
        <w:tab/>
        <w:t>(a)</w:t>
      </w:r>
      <w:r w:rsidRPr="004A5227">
        <w:tab/>
        <w:t>the registered carriage service provider is liable to pay an annual charge or a late payment penalty; and</w:t>
      </w:r>
    </w:p>
    <w:p w:rsidR="00674A2E" w:rsidRPr="004A5227" w:rsidRDefault="00674A2E" w:rsidP="00674A2E">
      <w:pPr>
        <w:pStyle w:val="paragraph"/>
      </w:pPr>
      <w:r w:rsidRPr="004A5227">
        <w:tab/>
        <w:t>(b)</w:t>
      </w:r>
      <w:r w:rsidRPr="004A5227">
        <w:tab/>
        <w:t xml:space="preserve">it is at least 3 months after the annual charge became due or the liability to pay the late payment penalty </w:t>
      </w:r>
      <w:r w:rsidR="004D7339" w:rsidRPr="004A5227">
        <w:t>a</w:t>
      </w:r>
      <w:r w:rsidRPr="004A5227">
        <w:t>rose; and</w:t>
      </w:r>
    </w:p>
    <w:p w:rsidR="00674A2E" w:rsidRPr="004A5227" w:rsidRDefault="00674A2E" w:rsidP="00674A2E">
      <w:pPr>
        <w:pStyle w:val="paragraph"/>
      </w:pPr>
      <w:r w:rsidRPr="004A5227">
        <w:tab/>
        <w:t>(c)</w:t>
      </w:r>
      <w:r w:rsidRPr="004A5227">
        <w:tab/>
        <w:t>the annual charge or late payment penalty is unpaid.</w:t>
      </w:r>
    </w:p>
    <w:p w:rsidR="00A86F9E" w:rsidRPr="004A5227" w:rsidRDefault="00A86F9E" w:rsidP="00A86F9E">
      <w:pPr>
        <w:pStyle w:val="subsection"/>
      </w:pPr>
      <w:r w:rsidRPr="004A5227">
        <w:tab/>
        <w:t>(3)</w:t>
      </w:r>
      <w:r w:rsidRPr="004A5227">
        <w:tab/>
        <w:t>A registered carriage service provider may not apply for the allocation of a shared number.</w:t>
      </w:r>
    </w:p>
    <w:p w:rsidR="00674A2E" w:rsidRPr="004A5227" w:rsidRDefault="00674A2E" w:rsidP="00674A2E">
      <w:pPr>
        <w:pStyle w:val="subsection"/>
      </w:pPr>
      <w:r w:rsidRPr="004A5227">
        <w:tab/>
        <w:t>(</w:t>
      </w:r>
      <w:r w:rsidR="00A86F9E" w:rsidRPr="004A5227">
        <w:t>4</w:t>
      </w:r>
      <w:r w:rsidRPr="004A5227">
        <w:t>)</w:t>
      </w:r>
      <w:r w:rsidRPr="004A5227">
        <w:tab/>
        <w:t xml:space="preserve">The application must be in a form approved by the </w:t>
      </w:r>
      <w:proofErr w:type="spellStart"/>
      <w:r w:rsidRPr="004A5227">
        <w:t>ACMA</w:t>
      </w:r>
      <w:proofErr w:type="spellEnd"/>
      <w:r w:rsidRPr="004A5227">
        <w:t>.</w:t>
      </w:r>
    </w:p>
    <w:p w:rsidR="0054784A" w:rsidRPr="004A5227" w:rsidRDefault="0054784A" w:rsidP="0054784A">
      <w:pPr>
        <w:pStyle w:val="subsection"/>
      </w:pPr>
      <w:r w:rsidRPr="004A5227">
        <w:tab/>
        <w:t>(5)</w:t>
      </w:r>
      <w:r w:rsidRPr="004A5227">
        <w:tab/>
        <w:t xml:space="preserve">An application for a </w:t>
      </w:r>
      <w:proofErr w:type="spellStart"/>
      <w:r w:rsidRPr="004A5227">
        <w:t>freephone</w:t>
      </w:r>
      <w:proofErr w:type="spellEnd"/>
      <w:r w:rsidRPr="004A5227">
        <w:t xml:space="preserve"> number, a local rate number or a premium rate number must specify whether it is for</w:t>
      </w:r>
      <w:r w:rsidR="006063CB" w:rsidRPr="004A5227">
        <w:t>:</w:t>
      </w:r>
    </w:p>
    <w:p w:rsidR="006D004B" w:rsidRPr="004A5227" w:rsidRDefault="0054784A" w:rsidP="006D004B">
      <w:pPr>
        <w:pStyle w:val="paragraph"/>
      </w:pPr>
      <w:r w:rsidRPr="004A5227">
        <w:tab/>
      </w:r>
      <w:r w:rsidR="006D004B" w:rsidRPr="004A5227">
        <w:t>(</w:t>
      </w:r>
      <w:r w:rsidR="00E06280" w:rsidRPr="004A5227">
        <w:t>a</w:t>
      </w:r>
      <w:r w:rsidR="006D004B" w:rsidRPr="004A5227">
        <w:t>)</w:t>
      </w:r>
      <w:r w:rsidR="006D004B" w:rsidRPr="004A5227">
        <w:tab/>
      </w:r>
      <w:r w:rsidR="006063CB" w:rsidRPr="004A5227">
        <w:t>an allocation for 14 days</w:t>
      </w:r>
      <w:r w:rsidR="006D004B" w:rsidRPr="004A5227">
        <w:t>; or</w:t>
      </w:r>
    </w:p>
    <w:p w:rsidR="00E7311E" w:rsidRPr="004A5227" w:rsidRDefault="00E06280" w:rsidP="006063CB">
      <w:pPr>
        <w:pStyle w:val="paragraph"/>
      </w:pPr>
      <w:r w:rsidRPr="004A5227">
        <w:tab/>
        <w:t>(b</w:t>
      </w:r>
      <w:r w:rsidR="006D004B" w:rsidRPr="004A5227">
        <w:t>)</w:t>
      </w:r>
      <w:r w:rsidR="006D004B" w:rsidRPr="004A5227">
        <w:tab/>
      </w:r>
      <w:r w:rsidR="006063CB" w:rsidRPr="004A5227">
        <w:t>an allocation for 90 days</w:t>
      </w:r>
      <w:r w:rsidRPr="004A5227">
        <w:t>; or</w:t>
      </w:r>
    </w:p>
    <w:p w:rsidR="00E06280" w:rsidRPr="004A5227" w:rsidRDefault="00E06280" w:rsidP="0054784A">
      <w:pPr>
        <w:pStyle w:val="paragraph"/>
      </w:pPr>
      <w:r w:rsidRPr="004A5227">
        <w:tab/>
        <w:t>(c)</w:t>
      </w:r>
      <w:r w:rsidRPr="004A5227">
        <w:tab/>
        <w:t>an allocation without a time limit.</w:t>
      </w:r>
    </w:p>
    <w:p w:rsidR="00674A2E" w:rsidRPr="004A5227" w:rsidRDefault="00674A2E" w:rsidP="00674A2E">
      <w:pPr>
        <w:pStyle w:val="subsection"/>
      </w:pPr>
      <w:r w:rsidRPr="004A5227">
        <w:tab/>
        <w:t>(</w:t>
      </w:r>
      <w:r w:rsidR="0054784A" w:rsidRPr="004A5227">
        <w:t>6</w:t>
      </w:r>
      <w:r w:rsidRPr="004A5227">
        <w:t>)</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674A2E" w:rsidRPr="004A5227" w:rsidRDefault="00674A2E" w:rsidP="00674A2E">
      <w:pPr>
        <w:pStyle w:val="subsection"/>
      </w:pPr>
      <w:r w:rsidRPr="004A5227">
        <w:tab/>
        <w:t>(</w:t>
      </w:r>
      <w:r w:rsidR="0054784A" w:rsidRPr="004A5227">
        <w:t>7</w:t>
      </w:r>
      <w:r w:rsidRPr="004A5227">
        <w:t>)</w:t>
      </w:r>
      <w:r w:rsidRPr="004A5227">
        <w:tab/>
        <w:t>The registered carriage service provider must tender the amount of charge (if any) imposed on the allocation of the numbers by Part</w:t>
      </w:r>
      <w:r w:rsidR="004A5227" w:rsidRPr="004A5227">
        <w:t> </w:t>
      </w:r>
      <w:r w:rsidRPr="004A5227">
        <w:t xml:space="preserve">2 of the </w:t>
      </w:r>
      <w:r w:rsidRPr="004A5227">
        <w:rPr>
          <w:i/>
        </w:rPr>
        <w:t>Telecommunications (Numbering Charges) Act 1997</w:t>
      </w:r>
      <w:r w:rsidRPr="004A5227">
        <w:t>.</w:t>
      </w:r>
    </w:p>
    <w:p w:rsidR="00674A2E" w:rsidRPr="004A5227" w:rsidRDefault="00674A2E" w:rsidP="00674A2E">
      <w:pPr>
        <w:pStyle w:val="notetext"/>
      </w:pPr>
      <w:r w:rsidRPr="004A5227">
        <w:t>Note:</w:t>
      </w:r>
      <w:r w:rsidRPr="004A5227">
        <w:tab/>
        <w:t>Subsection</w:t>
      </w:r>
      <w:r w:rsidR="004A5227" w:rsidRPr="004A5227">
        <w:t> </w:t>
      </w:r>
      <w:r w:rsidRPr="004A5227">
        <w:t xml:space="preserve">457(2) of the </w:t>
      </w:r>
      <w:r w:rsidR="007155D6" w:rsidRPr="004A5227">
        <w:rPr>
          <w:i/>
        </w:rPr>
        <w:t>Telecommunications Act 1997</w:t>
      </w:r>
      <w:r w:rsidRPr="004A5227">
        <w:t xml:space="preserve"> requires this amount to be refunded if the application is not successful.</w:t>
      </w:r>
    </w:p>
    <w:p w:rsidR="00674A2E" w:rsidRPr="004A5227" w:rsidRDefault="00CA6815" w:rsidP="00674A2E">
      <w:pPr>
        <w:pStyle w:val="ActHead5"/>
      </w:pPr>
      <w:bookmarkStart w:id="94" w:name="_Toc413419093"/>
      <w:r w:rsidRPr="004A5227">
        <w:rPr>
          <w:rStyle w:val="CharSectno"/>
        </w:rPr>
        <w:t>64</w:t>
      </w:r>
      <w:r w:rsidR="00674A2E" w:rsidRPr="004A5227">
        <w:t xml:space="preserve">  Decision on application</w:t>
      </w:r>
      <w:bookmarkEnd w:id="94"/>
    </w:p>
    <w:p w:rsidR="00674A2E" w:rsidRPr="004A5227" w:rsidRDefault="00674A2E" w:rsidP="00674A2E">
      <w:pPr>
        <w:pStyle w:val="subsection"/>
      </w:pPr>
      <w:r w:rsidRPr="004A5227">
        <w:tab/>
        <w:t>(1)</w:t>
      </w:r>
      <w:r w:rsidRPr="004A5227">
        <w:tab/>
        <w:t xml:space="preserve">The </w:t>
      </w:r>
      <w:proofErr w:type="spellStart"/>
      <w:r w:rsidR="004D7339" w:rsidRPr="004A5227">
        <w:t>ACMA</w:t>
      </w:r>
      <w:proofErr w:type="spellEnd"/>
      <w:r w:rsidR="004D7339" w:rsidRPr="004A5227">
        <w:t xml:space="preserve"> </w:t>
      </w:r>
      <w:r w:rsidRPr="004A5227">
        <w:t>must make a decision to approve or</w:t>
      </w:r>
      <w:r w:rsidR="003B68E0" w:rsidRPr="004A5227">
        <w:t xml:space="preserve"> not to approve </w:t>
      </w:r>
      <w:r w:rsidRPr="004A5227">
        <w:t>an application made by a registered carriage service provider under section</w:t>
      </w:r>
      <w:r w:rsidR="004A5227" w:rsidRPr="004A5227">
        <w:t> </w:t>
      </w:r>
      <w:r w:rsidR="00CA6815" w:rsidRPr="004A5227">
        <w:t>63</w:t>
      </w:r>
      <w:r w:rsidRPr="004A5227">
        <w:t xml:space="preserve"> </w:t>
      </w:r>
      <w:r w:rsidR="00FC51CC" w:rsidRPr="004A5227">
        <w:t>no later than</w:t>
      </w:r>
      <w:r w:rsidRPr="004A5227">
        <w:t xml:space="preserve"> 60 business days after receiving the application.</w:t>
      </w:r>
    </w:p>
    <w:p w:rsidR="00674A2E" w:rsidRPr="004A5227" w:rsidRDefault="00674A2E" w:rsidP="00674A2E">
      <w:pPr>
        <w:pStyle w:val="subsection"/>
      </w:pPr>
      <w:r w:rsidRPr="004A5227">
        <w:lastRenderedPageBreak/>
        <w:tab/>
        <w:t>(2)</w:t>
      </w:r>
      <w:r w:rsidRPr="004A5227">
        <w:tab/>
        <w:t xml:space="preserve">The </w:t>
      </w:r>
      <w:proofErr w:type="spellStart"/>
      <w:r w:rsidRPr="004A5227">
        <w:t>ACMA</w:t>
      </w:r>
      <w:proofErr w:type="spellEnd"/>
      <w:r w:rsidRPr="004A5227">
        <w:t xml:space="preserve"> may approve an application if the </w:t>
      </w:r>
      <w:proofErr w:type="spellStart"/>
      <w:r w:rsidRPr="004A5227">
        <w:t>ACMA</w:t>
      </w:r>
      <w:proofErr w:type="spellEnd"/>
      <w:r w:rsidRPr="004A5227">
        <w:t xml:space="preserve"> is satisfied that it is appropriate to do so in all the circumstances.</w:t>
      </w:r>
    </w:p>
    <w:p w:rsidR="00674A2E" w:rsidRPr="004A5227" w:rsidRDefault="00674A2E" w:rsidP="00674A2E">
      <w:pPr>
        <w:pStyle w:val="subsection"/>
      </w:pPr>
      <w:r w:rsidRPr="004A5227">
        <w:tab/>
        <w:t>(3)</w:t>
      </w:r>
      <w:r w:rsidRPr="004A5227">
        <w:tab/>
        <w:t xml:space="preserve">However, the </w:t>
      </w:r>
      <w:proofErr w:type="spellStart"/>
      <w:r w:rsidRPr="004A5227">
        <w:t>ACMA</w:t>
      </w:r>
      <w:proofErr w:type="spellEnd"/>
      <w:r w:rsidRPr="004A5227">
        <w:t xml:space="preserve"> must </w:t>
      </w:r>
      <w:r w:rsidR="00F811D9" w:rsidRPr="004A5227">
        <w:t>decide not to approve</w:t>
      </w:r>
      <w:r w:rsidRPr="004A5227">
        <w:t xml:space="preserve"> an application that identifies the number or numbers that the registered carriage service provider wishes to be allocated if:</w:t>
      </w:r>
    </w:p>
    <w:p w:rsidR="00674A2E" w:rsidRPr="004A5227" w:rsidRDefault="00674A2E" w:rsidP="00674A2E">
      <w:pPr>
        <w:pStyle w:val="paragraph"/>
      </w:pPr>
      <w:r w:rsidRPr="004A5227">
        <w:tab/>
        <w:t>(a)</w:t>
      </w:r>
      <w:r w:rsidRPr="004A5227">
        <w:tab/>
        <w:t>the identified numbers are not numbers of the type to which the application relates; or</w:t>
      </w:r>
    </w:p>
    <w:p w:rsidR="00674A2E" w:rsidRPr="004A5227" w:rsidRDefault="00674A2E" w:rsidP="00674A2E">
      <w:pPr>
        <w:pStyle w:val="paragraph"/>
      </w:pPr>
      <w:r w:rsidRPr="004A5227">
        <w:tab/>
        <w:t>(b)</w:t>
      </w:r>
      <w:r w:rsidRPr="004A5227">
        <w:tab/>
        <w:t xml:space="preserve">the identified numbers are </w:t>
      </w:r>
      <w:r w:rsidR="00FD6DA2" w:rsidRPr="004A5227">
        <w:t>held by a carriage service provider</w:t>
      </w:r>
      <w:r w:rsidRPr="004A5227">
        <w:t>.</w:t>
      </w:r>
    </w:p>
    <w:p w:rsidR="00674A2E" w:rsidRPr="004A5227" w:rsidRDefault="00674A2E" w:rsidP="00674A2E">
      <w:pPr>
        <w:pStyle w:val="subsection"/>
      </w:pPr>
      <w:r w:rsidRPr="004A5227">
        <w:tab/>
        <w:t>(4)</w:t>
      </w:r>
      <w:r w:rsidRPr="004A5227">
        <w:tab/>
        <w:t xml:space="preserve">For </w:t>
      </w:r>
      <w:r w:rsidR="004A5227" w:rsidRPr="004A5227">
        <w:t>paragraph (</w:t>
      </w:r>
      <w:r w:rsidRPr="004A5227">
        <w:t xml:space="preserve">3)(b), if the </w:t>
      </w:r>
      <w:proofErr w:type="spellStart"/>
      <w:r w:rsidRPr="004A5227">
        <w:t>ACMA</w:t>
      </w:r>
      <w:proofErr w:type="spellEnd"/>
      <w:r w:rsidRPr="004A5227">
        <w:t xml:space="preserve"> receives more than one request for allocation of the same number, the </w:t>
      </w:r>
      <w:proofErr w:type="spellStart"/>
      <w:r w:rsidRPr="004A5227">
        <w:t>ACMA</w:t>
      </w:r>
      <w:proofErr w:type="spellEnd"/>
      <w:r w:rsidRPr="004A5227">
        <w:t xml:space="preserve"> must make a decision on the requests in the order that the requests were received.</w:t>
      </w:r>
    </w:p>
    <w:p w:rsidR="00674A2E" w:rsidRPr="004A5227" w:rsidRDefault="00CA6815" w:rsidP="00674A2E">
      <w:pPr>
        <w:pStyle w:val="ActHead5"/>
      </w:pPr>
      <w:bookmarkStart w:id="95" w:name="_Toc413419094"/>
      <w:r w:rsidRPr="004A5227">
        <w:rPr>
          <w:rStyle w:val="CharSectno"/>
        </w:rPr>
        <w:t>65</w:t>
      </w:r>
      <w:r w:rsidR="00674A2E" w:rsidRPr="004A5227">
        <w:t xml:space="preserve">  Matters to take into account</w:t>
      </w:r>
      <w:bookmarkEnd w:id="95"/>
    </w:p>
    <w:p w:rsidR="00674A2E" w:rsidRPr="004A5227" w:rsidRDefault="00674A2E" w:rsidP="00674A2E">
      <w:pPr>
        <w:pStyle w:val="subsection"/>
      </w:pPr>
      <w:r w:rsidRPr="004A5227">
        <w:tab/>
        <w:t>(1)</w:t>
      </w:r>
      <w:r w:rsidRPr="004A5227">
        <w:tab/>
        <w:t xml:space="preserve">In </w:t>
      </w:r>
      <w:r w:rsidR="00EA3C6B" w:rsidRPr="004A5227">
        <w:t>considering</w:t>
      </w:r>
      <w:r w:rsidRPr="004A5227">
        <w:t xml:space="preserve"> whether it is appropriate in all the circumstances to approve an application made by a registered carriage service provider under section</w:t>
      </w:r>
      <w:r w:rsidR="004A5227" w:rsidRPr="004A5227">
        <w:t> </w:t>
      </w:r>
      <w:r w:rsidR="00CA6815" w:rsidRPr="004A5227">
        <w:t>63</w:t>
      </w:r>
      <w:r w:rsidRPr="004A5227">
        <w:t xml:space="preserve">, the </w:t>
      </w:r>
      <w:proofErr w:type="spellStart"/>
      <w:r w:rsidRPr="004A5227">
        <w:t>ACMA</w:t>
      </w:r>
      <w:proofErr w:type="spellEnd"/>
      <w:r w:rsidRPr="004A5227">
        <w:t xml:space="preserve"> must take the following into account:</w:t>
      </w:r>
    </w:p>
    <w:p w:rsidR="00674A2E" w:rsidRPr="004A5227" w:rsidRDefault="00674A2E" w:rsidP="00674A2E">
      <w:pPr>
        <w:pStyle w:val="paragraph"/>
      </w:pPr>
      <w:r w:rsidRPr="004A5227">
        <w:tab/>
        <w:t>(a)</w:t>
      </w:r>
      <w:r w:rsidRPr="004A5227">
        <w:tab/>
        <w:t>the efficient use of a number, to enable future requirements for numbers to be met at the least cost to carriage service providers and customers;</w:t>
      </w:r>
    </w:p>
    <w:p w:rsidR="00674A2E" w:rsidRPr="004A5227" w:rsidRDefault="00674A2E" w:rsidP="00674A2E">
      <w:pPr>
        <w:pStyle w:val="paragraph"/>
      </w:pPr>
      <w:r w:rsidRPr="004A5227">
        <w:tab/>
        <w:t>(b)</w:t>
      </w:r>
      <w:r w:rsidRPr="004A5227">
        <w:tab/>
        <w:t>the desirability of promoting access by end</w:t>
      </w:r>
      <w:r w:rsidR="004A5227">
        <w:noBreakHyphen/>
      </w:r>
      <w:r w:rsidRPr="004A5227">
        <w:t>users to a range of carriage services and carriage service providers;</w:t>
      </w:r>
    </w:p>
    <w:p w:rsidR="00674A2E" w:rsidRPr="004A5227" w:rsidRDefault="00674A2E" w:rsidP="00674A2E">
      <w:pPr>
        <w:pStyle w:val="paragraph"/>
      </w:pPr>
      <w:r w:rsidRPr="004A5227">
        <w:tab/>
        <w:t>(c)</w:t>
      </w:r>
      <w:r w:rsidRPr="004A5227">
        <w:tab/>
        <w:t>the desirability of promoting flexible management by carriage service providers of any expansion in the use of numbers in connection with the supply of the carriage service for which the number is to be alloc</w:t>
      </w:r>
      <w:r w:rsidR="00C67E70" w:rsidRPr="004A5227">
        <w:t>ated;</w:t>
      </w:r>
    </w:p>
    <w:p w:rsidR="00C67E70" w:rsidRPr="004A5227" w:rsidRDefault="00C67E70" w:rsidP="00FE0F9D">
      <w:pPr>
        <w:pStyle w:val="paragraph"/>
      </w:pPr>
      <w:r w:rsidRPr="004A5227">
        <w:tab/>
        <w:t>(d)</w:t>
      </w:r>
      <w:r w:rsidRPr="004A5227">
        <w:tab/>
        <w:t xml:space="preserve">the objects of </w:t>
      </w:r>
      <w:r w:rsidR="006F7CD2" w:rsidRPr="004A5227">
        <w:t>this instrument</w:t>
      </w:r>
      <w:r w:rsidR="00FE0F9D" w:rsidRPr="004A5227">
        <w:t>.</w:t>
      </w:r>
    </w:p>
    <w:p w:rsidR="00674A2E" w:rsidRPr="004A5227" w:rsidRDefault="00674A2E" w:rsidP="00674A2E">
      <w:pPr>
        <w:pStyle w:val="subsection"/>
      </w:pPr>
      <w:r w:rsidRPr="004A5227">
        <w:tab/>
        <w:t>(2)</w:t>
      </w:r>
      <w:r w:rsidRPr="004A5227">
        <w:tab/>
        <w:t xml:space="preserve">The </w:t>
      </w:r>
      <w:proofErr w:type="spellStart"/>
      <w:r w:rsidRPr="004A5227">
        <w:t>ACMA</w:t>
      </w:r>
      <w:proofErr w:type="spellEnd"/>
      <w:r w:rsidRPr="004A5227">
        <w:t xml:space="preserve"> may take into account any other matter that it considers relevant.</w:t>
      </w:r>
    </w:p>
    <w:p w:rsidR="00674A2E" w:rsidRPr="004A5227" w:rsidRDefault="00CA6815" w:rsidP="00674A2E">
      <w:pPr>
        <w:pStyle w:val="ActHead5"/>
      </w:pPr>
      <w:bookmarkStart w:id="96" w:name="_Toc413419095"/>
      <w:r w:rsidRPr="004A5227">
        <w:rPr>
          <w:rStyle w:val="CharSectno"/>
        </w:rPr>
        <w:t>66</w:t>
      </w:r>
      <w:r w:rsidR="00674A2E" w:rsidRPr="004A5227">
        <w:t xml:space="preserve">  </w:t>
      </w:r>
      <w:proofErr w:type="spellStart"/>
      <w:r w:rsidR="00674A2E" w:rsidRPr="004A5227">
        <w:t>ACMA</w:t>
      </w:r>
      <w:proofErr w:type="spellEnd"/>
      <w:r w:rsidR="00674A2E" w:rsidRPr="004A5227">
        <w:t xml:space="preserve"> may ask for further information</w:t>
      </w:r>
      <w:bookmarkEnd w:id="96"/>
    </w:p>
    <w:p w:rsidR="00674A2E" w:rsidRPr="004A5227" w:rsidRDefault="00674A2E" w:rsidP="00674A2E">
      <w:pPr>
        <w:pStyle w:val="subsection"/>
      </w:pPr>
      <w:r w:rsidRPr="004A5227">
        <w:tab/>
        <w:t>(1)</w:t>
      </w:r>
      <w:r w:rsidRPr="004A5227">
        <w:tab/>
        <w:t xml:space="preserve">The </w:t>
      </w:r>
      <w:proofErr w:type="spellStart"/>
      <w:r w:rsidRPr="004A5227">
        <w:t>ACMA</w:t>
      </w:r>
      <w:proofErr w:type="spellEnd"/>
      <w:r w:rsidRPr="004A5227">
        <w:t xml:space="preserve"> may</w:t>
      </w:r>
      <w:r w:rsidR="004D7339" w:rsidRPr="004A5227">
        <w:t>, in writing,</w:t>
      </w:r>
      <w:r w:rsidRPr="004A5227">
        <w:t xml:space="preserve"> ask a registered carriage service provider who has made an application under section</w:t>
      </w:r>
      <w:r w:rsidR="004A5227" w:rsidRPr="004A5227">
        <w:t> </w:t>
      </w:r>
      <w:r w:rsidR="00CA6815" w:rsidRPr="004A5227">
        <w:t>63</w:t>
      </w:r>
      <w:r w:rsidRPr="004A5227">
        <w:t xml:space="preserve"> to give the </w:t>
      </w:r>
      <w:proofErr w:type="spellStart"/>
      <w:r w:rsidRPr="004A5227">
        <w:t>ACMA</w:t>
      </w:r>
      <w:proofErr w:type="spellEnd"/>
      <w:r w:rsidRPr="004A5227">
        <w:t xml:space="preserve"> further information about matters relevant to the application to a</w:t>
      </w:r>
      <w:r w:rsidR="004D7339" w:rsidRPr="004A5227">
        <w:t>ssist</w:t>
      </w:r>
      <w:r w:rsidRPr="004A5227">
        <w:t xml:space="preserve"> it to consider the application.</w:t>
      </w:r>
    </w:p>
    <w:p w:rsidR="00674A2E" w:rsidRPr="004A5227" w:rsidRDefault="00674A2E" w:rsidP="00674A2E">
      <w:pPr>
        <w:pStyle w:val="subsection"/>
      </w:pPr>
      <w:r w:rsidRPr="004A5227">
        <w:tab/>
        <w:t>(2)</w:t>
      </w:r>
      <w:r w:rsidRPr="004A5227">
        <w:tab/>
        <w:t>The 60 business days mentioned in subsection</w:t>
      </w:r>
      <w:r w:rsidR="004A5227" w:rsidRPr="004A5227">
        <w:t> </w:t>
      </w:r>
      <w:r w:rsidR="00CA6815" w:rsidRPr="004A5227">
        <w:t>64</w:t>
      </w:r>
      <w:r w:rsidRPr="004A5227">
        <w:t>(1) do not include a period:</w:t>
      </w:r>
    </w:p>
    <w:p w:rsidR="00674A2E" w:rsidRPr="004A5227" w:rsidRDefault="00674A2E" w:rsidP="00674A2E">
      <w:pPr>
        <w:pStyle w:val="paragraph"/>
      </w:pPr>
      <w:r w:rsidRPr="004A5227">
        <w:tab/>
        <w:t>(a)</w:t>
      </w:r>
      <w:r w:rsidRPr="004A5227">
        <w:tab/>
        <w:t xml:space="preserve">starting when the </w:t>
      </w:r>
      <w:proofErr w:type="spellStart"/>
      <w:r w:rsidRPr="004A5227">
        <w:t>ACMA</w:t>
      </w:r>
      <w:proofErr w:type="spellEnd"/>
      <w:r w:rsidRPr="004A5227">
        <w:t xml:space="preserve"> asks the </w:t>
      </w:r>
      <w:r w:rsidR="003E63E6" w:rsidRPr="004A5227">
        <w:t>registered</w:t>
      </w:r>
      <w:r w:rsidRPr="004A5227">
        <w:t xml:space="preserve"> carriage service provider for further information; and</w:t>
      </w:r>
    </w:p>
    <w:p w:rsidR="00674A2E" w:rsidRPr="004A5227" w:rsidRDefault="00674A2E" w:rsidP="00674A2E">
      <w:pPr>
        <w:pStyle w:val="paragraph"/>
      </w:pPr>
      <w:r w:rsidRPr="004A5227">
        <w:tab/>
        <w:t>(b)</w:t>
      </w:r>
      <w:r w:rsidRPr="004A5227">
        <w:tab/>
        <w:t xml:space="preserve">ending when the </w:t>
      </w:r>
      <w:proofErr w:type="spellStart"/>
      <w:r w:rsidRPr="004A5227">
        <w:t>ACMA</w:t>
      </w:r>
      <w:proofErr w:type="spellEnd"/>
      <w:r w:rsidRPr="004A5227">
        <w:t xml:space="preserve"> receives the information.</w:t>
      </w:r>
    </w:p>
    <w:p w:rsidR="00674A2E" w:rsidRPr="004A5227" w:rsidRDefault="00B12920" w:rsidP="00674A2E">
      <w:pPr>
        <w:pStyle w:val="subsection"/>
      </w:pPr>
      <w:r w:rsidRPr="004A5227">
        <w:tab/>
        <w:t>(3)</w:t>
      </w:r>
      <w:r w:rsidRPr="004A5227">
        <w:tab/>
        <w:t>The registered carriage service provider</w:t>
      </w:r>
      <w:r w:rsidR="00674A2E" w:rsidRPr="004A5227">
        <w:t xml:space="preserve"> must give the further information to the </w:t>
      </w:r>
      <w:proofErr w:type="spellStart"/>
      <w:r w:rsidR="00674A2E" w:rsidRPr="004A5227">
        <w:t>ACMA</w:t>
      </w:r>
      <w:proofErr w:type="spellEnd"/>
      <w:r w:rsidR="00674A2E" w:rsidRPr="004A5227">
        <w:t xml:space="preserve"> in writing unless the </w:t>
      </w:r>
      <w:proofErr w:type="spellStart"/>
      <w:r w:rsidR="00674A2E" w:rsidRPr="004A5227">
        <w:t>ACMA</w:t>
      </w:r>
      <w:proofErr w:type="spellEnd"/>
      <w:r w:rsidR="00674A2E" w:rsidRPr="004A5227">
        <w:t xml:space="preserve"> specifies in the request another form in which the information must be received.</w:t>
      </w:r>
    </w:p>
    <w:p w:rsidR="00674A2E" w:rsidRPr="004A5227" w:rsidRDefault="00674A2E" w:rsidP="00674A2E">
      <w:pPr>
        <w:pStyle w:val="subsection"/>
      </w:pPr>
      <w:r w:rsidRPr="004A5227">
        <w:tab/>
        <w:t>(4)</w:t>
      </w:r>
      <w:r w:rsidRPr="004A5227">
        <w:tab/>
        <w:t xml:space="preserve">If the registered carriage service provider does not give the </w:t>
      </w:r>
      <w:proofErr w:type="spellStart"/>
      <w:r w:rsidRPr="004A5227">
        <w:t>ACMA</w:t>
      </w:r>
      <w:proofErr w:type="spellEnd"/>
      <w:r w:rsidRPr="004A5227">
        <w:t xml:space="preserve"> the further information within </w:t>
      </w:r>
      <w:r w:rsidR="006C6E10" w:rsidRPr="004A5227">
        <w:t xml:space="preserve">the period of </w:t>
      </w:r>
      <w:r w:rsidRPr="004A5227">
        <w:t xml:space="preserve">40 business days </w:t>
      </w:r>
      <w:r w:rsidR="006C6E10" w:rsidRPr="004A5227">
        <w:t>after</w:t>
      </w:r>
      <w:r w:rsidRPr="004A5227">
        <w:t xml:space="preserve"> the </w:t>
      </w:r>
      <w:proofErr w:type="spellStart"/>
      <w:r w:rsidRPr="004A5227">
        <w:t>ACMA’s</w:t>
      </w:r>
      <w:proofErr w:type="spellEnd"/>
      <w:r w:rsidRPr="004A5227">
        <w:t xml:space="preserve"> request, the registered carriage service provider is taken to have withdrawn the application.</w:t>
      </w:r>
    </w:p>
    <w:p w:rsidR="00674A2E" w:rsidRPr="004A5227" w:rsidRDefault="00CA6815" w:rsidP="00674A2E">
      <w:pPr>
        <w:pStyle w:val="ActHead5"/>
      </w:pPr>
      <w:bookmarkStart w:id="97" w:name="_Toc413419096"/>
      <w:r w:rsidRPr="004A5227">
        <w:rPr>
          <w:rStyle w:val="CharSectno"/>
        </w:rPr>
        <w:lastRenderedPageBreak/>
        <w:t>67</w:t>
      </w:r>
      <w:r w:rsidR="00674A2E" w:rsidRPr="004A5227">
        <w:t xml:space="preserve">  Notice that application has </w:t>
      </w:r>
      <w:r w:rsidR="003B68E0" w:rsidRPr="004A5227">
        <w:t xml:space="preserve">not </w:t>
      </w:r>
      <w:r w:rsidR="00674A2E" w:rsidRPr="004A5227">
        <w:t xml:space="preserve">been </w:t>
      </w:r>
      <w:r w:rsidR="003B68E0" w:rsidRPr="004A5227">
        <w:t>approved</w:t>
      </w:r>
      <w:bookmarkEnd w:id="97"/>
    </w:p>
    <w:p w:rsidR="00674A2E" w:rsidRPr="004A5227" w:rsidRDefault="00674A2E" w:rsidP="00674A2E">
      <w:pPr>
        <w:pStyle w:val="subsection"/>
      </w:pPr>
      <w:r w:rsidRPr="004A5227">
        <w:tab/>
      </w:r>
      <w:r w:rsidRPr="004A5227">
        <w:tab/>
        <w:t xml:space="preserve">If the </w:t>
      </w:r>
      <w:proofErr w:type="spellStart"/>
      <w:r w:rsidRPr="004A5227">
        <w:t>ACMA</w:t>
      </w:r>
      <w:proofErr w:type="spellEnd"/>
      <w:r w:rsidRPr="004A5227">
        <w:t xml:space="preserve"> </w:t>
      </w:r>
      <w:r w:rsidR="003B68E0" w:rsidRPr="004A5227">
        <w:t>decides not to approve</w:t>
      </w:r>
      <w:r w:rsidRPr="004A5227">
        <w:t xml:space="preserve"> an application made by a registered carriage service provider under section</w:t>
      </w:r>
      <w:r w:rsidR="004A5227" w:rsidRPr="004A5227">
        <w:t> </w:t>
      </w:r>
      <w:r w:rsidR="00CA6815" w:rsidRPr="004A5227">
        <w:t>63</w:t>
      </w:r>
      <w:r w:rsidRPr="004A5227">
        <w:t xml:space="preserve">, the </w:t>
      </w:r>
      <w:proofErr w:type="spellStart"/>
      <w:r w:rsidRPr="004A5227">
        <w:t>ACMA</w:t>
      </w:r>
      <w:proofErr w:type="spellEnd"/>
      <w:r w:rsidRPr="004A5227">
        <w:t xml:space="preserve"> must notify the registered carriage service provider in writing.</w:t>
      </w:r>
    </w:p>
    <w:p w:rsidR="00674A2E" w:rsidRPr="004A5227" w:rsidRDefault="00CA6815" w:rsidP="00674A2E">
      <w:pPr>
        <w:pStyle w:val="ActHead5"/>
      </w:pPr>
      <w:bookmarkStart w:id="98" w:name="_Toc413419097"/>
      <w:r w:rsidRPr="004A5227">
        <w:rPr>
          <w:rStyle w:val="CharSectno"/>
        </w:rPr>
        <w:t>68</w:t>
      </w:r>
      <w:r w:rsidR="00674A2E" w:rsidRPr="004A5227">
        <w:t xml:space="preserve">  Allocation of numbers</w:t>
      </w:r>
      <w:bookmarkEnd w:id="98"/>
    </w:p>
    <w:p w:rsidR="00B071E0" w:rsidRPr="004A5227" w:rsidRDefault="00674A2E" w:rsidP="00674A2E">
      <w:pPr>
        <w:pStyle w:val="subsection"/>
      </w:pPr>
      <w:r w:rsidRPr="004A5227">
        <w:tab/>
        <w:t>(1)</w:t>
      </w:r>
      <w:r w:rsidRPr="004A5227">
        <w:tab/>
        <w:t xml:space="preserve">If the </w:t>
      </w:r>
      <w:proofErr w:type="spellStart"/>
      <w:r w:rsidRPr="004A5227">
        <w:t>ACMA</w:t>
      </w:r>
      <w:proofErr w:type="spellEnd"/>
      <w:r w:rsidRPr="004A5227">
        <w:t xml:space="preserve"> approves an application made by a registered carriage service provider under section</w:t>
      </w:r>
      <w:r w:rsidR="004A5227" w:rsidRPr="004A5227">
        <w:t> </w:t>
      </w:r>
      <w:r w:rsidR="00CA6815" w:rsidRPr="004A5227">
        <w:t>63</w:t>
      </w:r>
      <w:r w:rsidRPr="004A5227">
        <w:t xml:space="preserve"> that identifies the number or numbers that the registered carriage service provider wishes to be allocated, the </w:t>
      </w:r>
      <w:proofErr w:type="spellStart"/>
      <w:r w:rsidRPr="004A5227">
        <w:t>ACMA</w:t>
      </w:r>
      <w:proofErr w:type="spellEnd"/>
      <w:r w:rsidRPr="004A5227">
        <w:t xml:space="preserve"> must allocate those numbers to the registered carriage service pr</w:t>
      </w:r>
      <w:r w:rsidR="001F4B8F" w:rsidRPr="004A5227">
        <w:t>ovider.</w:t>
      </w:r>
    </w:p>
    <w:p w:rsidR="00674A2E" w:rsidRPr="004A5227" w:rsidRDefault="00674A2E" w:rsidP="00674A2E">
      <w:pPr>
        <w:pStyle w:val="subsection"/>
      </w:pPr>
      <w:r w:rsidRPr="004A5227">
        <w:tab/>
        <w:t>(</w:t>
      </w:r>
      <w:r w:rsidR="001F4B8F" w:rsidRPr="004A5227">
        <w:t>2</w:t>
      </w:r>
      <w:r w:rsidRPr="004A5227">
        <w:t>)</w:t>
      </w:r>
      <w:r w:rsidRPr="004A5227">
        <w:tab/>
        <w:t xml:space="preserve">If the </w:t>
      </w:r>
      <w:proofErr w:type="spellStart"/>
      <w:r w:rsidRPr="004A5227">
        <w:t>ACMA</w:t>
      </w:r>
      <w:proofErr w:type="spellEnd"/>
      <w:r w:rsidRPr="004A5227">
        <w:t xml:space="preserve"> approves an application that does not identify the number or numbers that the registered carriage service provider wishes to be allocated, the </w:t>
      </w:r>
      <w:proofErr w:type="spellStart"/>
      <w:r w:rsidRPr="004A5227">
        <w:t>ACMA</w:t>
      </w:r>
      <w:proofErr w:type="spellEnd"/>
      <w:r w:rsidRPr="004A5227">
        <w:t xml:space="preserve"> may select the number or numbers to allocate from the numbers that:</w:t>
      </w:r>
    </w:p>
    <w:p w:rsidR="00674A2E" w:rsidRPr="004A5227" w:rsidRDefault="00674A2E" w:rsidP="00674A2E">
      <w:pPr>
        <w:pStyle w:val="paragraph"/>
      </w:pPr>
      <w:r w:rsidRPr="004A5227">
        <w:tab/>
        <w:t>(a)</w:t>
      </w:r>
      <w:r w:rsidRPr="004A5227">
        <w:tab/>
        <w:t>are numbers of the type to which the application relates; and</w:t>
      </w:r>
    </w:p>
    <w:p w:rsidR="00674A2E" w:rsidRPr="004A5227" w:rsidRDefault="00674A2E" w:rsidP="00674A2E">
      <w:pPr>
        <w:pStyle w:val="paragraph"/>
      </w:pPr>
      <w:r w:rsidRPr="004A5227">
        <w:tab/>
        <w:t>(b)</w:t>
      </w:r>
      <w:r w:rsidRPr="004A5227">
        <w:tab/>
        <w:t xml:space="preserve">are not </w:t>
      </w:r>
      <w:r w:rsidR="00FD6DA2" w:rsidRPr="004A5227">
        <w:t>held by a carriage service provider</w:t>
      </w:r>
      <w:r w:rsidRPr="004A5227">
        <w:t>; and</w:t>
      </w:r>
    </w:p>
    <w:p w:rsidR="00674A2E" w:rsidRPr="004A5227" w:rsidRDefault="00674A2E" w:rsidP="00674A2E">
      <w:pPr>
        <w:pStyle w:val="paragraph"/>
      </w:pPr>
      <w:r w:rsidRPr="004A5227">
        <w:tab/>
        <w:t>(c)</w:t>
      </w:r>
      <w:r w:rsidRPr="004A5227">
        <w:tab/>
        <w:t>in the case of geographic numbers—are specified for use in the standard zone unit to which the application relates; and</w:t>
      </w:r>
    </w:p>
    <w:p w:rsidR="00674A2E" w:rsidRPr="004A5227" w:rsidRDefault="00674A2E" w:rsidP="00674A2E">
      <w:pPr>
        <w:pStyle w:val="paragraph"/>
      </w:pPr>
      <w:r w:rsidRPr="004A5227">
        <w:tab/>
        <w:t>(d)</w:t>
      </w:r>
      <w:r w:rsidRPr="004A5227">
        <w:tab/>
        <w:t>in the case of special services numbers or access codes—are specified for use with the type of service to which the application relates.</w:t>
      </w:r>
    </w:p>
    <w:p w:rsidR="001F4B8F" w:rsidRPr="004A5227" w:rsidRDefault="001F4B8F" w:rsidP="001F4B8F">
      <w:pPr>
        <w:pStyle w:val="subsection"/>
      </w:pPr>
      <w:r w:rsidRPr="004A5227">
        <w:tab/>
        <w:t>(3)</w:t>
      </w:r>
      <w:r w:rsidRPr="004A5227">
        <w:tab/>
        <w:t xml:space="preserve">An allocation under </w:t>
      </w:r>
      <w:r w:rsidR="004A5227" w:rsidRPr="004A5227">
        <w:t>subsection (</w:t>
      </w:r>
      <w:r w:rsidRPr="004A5227">
        <w:t>1) or (2) may be made subject to conditions.</w:t>
      </w:r>
    </w:p>
    <w:p w:rsidR="00396398" w:rsidRPr="004A5227" w:rsidRDefault="00674A2E" w:rsidP="00F52599">
      <w:pPr>
        <w:pStyle w:val="subsection"/>
      </w:pPr>
      <w:r w:rsidRPr="004A5227">
        <w:tab/>
      </w:r>
      <w:r w:rsidR="00396398" w:rsidRPr="004A5227">
        <w:t>(4)</w:t>
      </w:r>
      <w:r w:rsidR="00396398" w:rsidRPr="004A5227">
        <w:tab/>
        <w:t xml:space="preserve">The </w:t>
      </w:r>
      <w:proofErr w:type="spellStart"/>
      <w:r w:rsidR="00396398" w:rsidRPr="004A5227">
        <w:t>ACMA</w:t>
      </w:r>
      <w:proofErr w:type="spellEnd"/>
      <w:r w:rsidR="00396398" w:rsidRPr="004A5227">
        <w:t xml:space="preserve"> may decide to allocate a number with effect </w:t>
      </w:r>
      <w:r w:rsidR="00BA250D" w:rsidRPr="004A5227">
        <w:t xml:space="preserve">from or </w:t>
      </w:r>
      <w:r w:rsidR="00396398" w:rsidRPr="004A5227">
        <w:t xml:space="preserve">until a </w:t>
      </w:r>
      <w:r w:rsidR="00F52599" w:rsidRPr="004A5227">
        <w:t>date specified in the decision.</w:t>
      </w:r>
    </w:p>
    <w:p w:rsidR="00CA1995" w:rsidRPr="004A5227" w:rsidRDefault="00396398" w:rsidP="00674A2E">
      <w:pPr>
        <w:pStyle w:val="subsection"/>
      </w:pPr>
      <w:r w:rsidRPr="004A5227">
        <w:tab/>
      </w:r>
      <w:r w:rsidR="00674A2E" w:rsidRPr="004A5227">
        <w:t>(</w:t>
      </w:r>
      <w:r w:rsidR="00F52599" w:rsidRPr="004A5227">
        <w:t>5</w:t>
      </w:r>
      <w:r w:rsidRPr="004A5227">
        <w:t>)</w:t>
      </w:r>
      <w:r w:rsidR="00674A2E" w:rsidRPr="004A5227">
        <w:tab/>
        <w:t xml:space="preserve">The </w:t>
      </w:r>
      <w:proofErr w:type="spellStart"/>
      <w:r w:rsidR="00674A2E" w:rsidRPr="004A5227">
        <w:t>ACMA</w:t>
      </w:r>
      <w:proofErr w:type="spellEnd"/>
      <w:r w:rsidR="00674A2E" w:rsidRPr="004A5227">
        <w:t xml:space="preserve"> must notify the registered carriage service provider of</w:t>
      </w:r>
      <w:r w:rsidR="00CA1995" w:rsidRPr="004A5227">
        <w:t>:</w:t>
      </w:r>
    </w:p>
    <w:p w:rsidR="00CA1995" w:rsidRPr="004A5227" w:rsidRDefault="00CA1995" w:rsidP="00CA1995">
      <w:pPr>
        <w:pStyle w:val="paragraph"/>
      </w:pPr>
      <w:r w:rsidRPr="004A5227">
        <w:tab/>
        <w:t>(a)</w:t>
      </w:r>
      <w:r w:rsidRPr="004A5227">
        <w:tab/>
      </w:r>
      <w:r w:rsidR="00674A2E" w:rsidRPr="004A5227">
        <w:t>the numb</w:t>
      </w:r>
      <w:r w:rsidRPr="004A5227">
        <w:t>ers that have been allocated; and</w:t>
      </w:r>
    </w:p>
    <w:p w:rsidR="00CA1995" w:rsidRPr="004A5227" w:rsidRDefault="00CA1995" w:rsidP="00CA1995">
      <w:pPr>
        <w:pStyle w:val="paragraph"/>
      </w:pPr>
      <w:r w:rsidRPr="004A5227">
        <w:tab/>
        <w:t>(b)</w:t>
      </w:r>
      <w:r w:rsidRPr="004A5227">
        <w:tab/>
        <w:t>the date of allocation; and</w:t>
      </w:r>
    </w:p>
    <w:p w:rsidR="00396398" w:rsidRPr="004A5227" w:rsidRDefault="00396398" w:rsidP="00CA1995">
      <w:pPr>
        <w:pStyle w:val="paragraph"/>
      </w:pPr>
      <w:r w:rsidRPr="004A5227">
        <w:tab/>
        <w:t>(c)</w:t>
      </w:r>
      <w:r w:rsidRPr="004A5227">
        <w:tab/>
        <w:t>if applicable—th</w:t>
      </w:r>
      <w:r w:rsidR="002F0C38" w:rsidRPr="004A5227">
        <w:t>e date until which the allocation of the number is to have effect</w:t>
      </w:r>
      <w:r w:rsidRPr="004A5227">
        <w:t>; and</w:t>
      </w:r>
    </w:p>
    <w:p w:rsidR="00674A2E" w:rsidRPr="004A5227" w:rsidRDefault="00CA1995" w:rsidP="00CA1995">
      <w:pPr>
        <w:pStyle w:val="paragraph"/>
      </w:pPr>
      <w:r w:rsidRPr="004A5227">
        <w:tab/>
      </w:r>
      <w:r w:rsidR="00EC42C7" w:rsidRPr="004A5227">
        <w:t>(d</w:t>
      </w:r>
      <w:r w:rsidRPr="004A5227">
        <w:t>)</w:t>
      </w:r>
      <w:r w:rsidRPr="004A5227">
        <w:tab/>
        <w:t>any conditions to which the allocation is subject.</w:t>
      </w:r>
    </w:p>
    <w:p w:rsidR="00CA1995" w:rsidRPr="004A5227" w:rsidRDefault="00674A2E" w:rsidP="00674A2E">
      <w:pPr>
        <w:pStyle w:val="subsection"/>
      </w:pPr>
      <w:r w:rsidRPr="004A5227">
        <w:tab/>
        <w:t>(</w:t>
      </w:r>
      <w:r w:rsidR="00F52599" w:rsidRPr="004A5227">
        <w:t>6</w:t>
      </w:r>
      <w:r w:rsidRPr="004A5227">
        <w:t>)</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w:t>
      </w:r>
      <w:r w:rsidR="00396398" w:rsidRPr="004A5227">
        <w:t xml:space="preserve"> of the matters in </w:t>
      </w:r>
      <w:r w:rsidR="004A5227" w:rsidRPr="004A5227">
        <w:t>subsection (</w:t>
      </w:r>
      <w:r w:rsidR="00F52599" w:rsidRPr="004A5227">
        <w:t>5</w:t>
      </w:r>
      <w:r w:rsidR="00396398" w:rsidRPr="004A5227">
        <w:t>).</w:t>
      </w:r>
    </w:p>
    <w:p w:rsidR="00984F69" w:rsidRPr="004A5227" w:rsidRDefault="00CA6815" w:rsidP="00984F69">
      <w:pPr>
        <w:pStyle w:val="ActHead5"/>
      </w:pPr>
      <w:bookmarkStart w:id="99" w:name="_Toc413419098"/>
      <w:r w:rsidRPr="004A5227">
        <w:rPr>
          <w:rStyle w:val="CharSectno"/>
        </w:rPr>
        <w:t>69</w:t>
      </w:r>
      <w:r w:rsidR="00984F69" w:rsidRPr="004A5227">
        <w:t xml:space="preserve">  Particular matters relating to </w:t>
      </w:r>
      <w:r w:rsidR="001F4B8F" w:rsidRPr="004A5227">
        <w:t xml:space="preserve">allocation of </w:t>
      </w:r>
      <w:proofErr w:type="spellStart"/>
      <w:r w:rsidR="001F4B8F" w:rsidRPr="004A5227">
        <w:t>freephone</w:t>
      </w:r>
      <w:proofErr w:type="spellEnd"/>
      <w:r w:rsidR="001F4B8F" w:rsidRPr="004A5227">
        <w:t>, local rate and premium rate numbers</w:t>
      </w:r>
      <w:bookmarkEnd w:id="99"/>
    </w:p>
    <w:p w:rsidR="00880E26" w:rsidRPr="004A5227" w:rsidRDefault="00984F69" w:rsidP="00984F69">
      <w:pPr>
        <w:pStyle w:val="subsection"/>
      </w:pPr>
      <w:r w:rsidRPr="004A5227">
        <w:tab/>
        <w:t>(1)</w:t>
      </w:r>
      <w:r w:rsidRPr="004A5227">
        <w:tab/>
        <w:t>This section applies</w:t>
      </w:r>
      <w:r w:rsidR="00880E26" w:rsidRPr="004A5227">
        <w:t xml:space="preserve"> to the allocation of a </w:t>
      </w:r>
      <w:proofErr w:type="spellStart"/>
      <w:r w:rsidR="00880E26" w:rsidRPr="004A5227">
        <w:t>freephone</w:t>
      </w:r>
      <w:proofErr w:type="spellEnd"/>
      <w:r w:rsidR="00880E26" w:rsidRPr="004A5227">
        <w:t xml:space="preserve"> number, local rate number or premium rate number under section</w:t>
      </w:r>
      <w:r w:rsidR="004A5227" w:rsidRPr="004A5227">
        <w:t> </w:t>
      </w:r>
      <w:r w:rsidR="00880E26" w:rsidRPr="004A5227">
        <w:t xml:space="preserve">68 (when the </w:t>
      </w:r>
      <w:proofErr w:type="spellStart"/>
      <w:r w:rsidR="00880E26" w:rsidRPr="004A5227">
        <w:t>ACMA</w:t>
      </w:r>
      <w:proofErr w:type="spellEnd"/>
      <w:r w:rsidR="00880E26" w:rsidRPr="004A5227">
        <w:t xml:space="preserve"> approves an application </w:t>
      </w:r>
      <w:r w:rsidR="00537C18" w:rsidRPr="004A5227">
        <w:t xml:space="preserve">made </w:t>
      </w:r>
      <w:r w:rsidR="00880E26" w:rsidRPr="004A5227">
        <w:t>by a registered carriage service provider under section</w:t>
      </w:r>
      <w:r w:rsidR="004A5227" w:rsidRPr="004A5227">
        <w:t> </w:t>
      </w:r>
      <w:r w:rsidR="00880E26" w:rsidRPr="004A5227">
        <w:t>63).</w:t>
      </w:r>
    </w:p>
    <w:p w:rsidR="00F52599" w:rsidRPr="004A5227" w:rsidRDefault="00984F69" w:rsidP="00F52599">
      <w:pPr>
        <w:pStyle w:val="subsection"/>
      </w:pPr>
      <w:r w:rsidRPr="004A5227">
        <w:tab/>
      </w:r>
      <w:bookmarkStart w:id="100" w:name="f_Check_Lines_above"/>
      <w:bookmarkEnd w:id="100"/>
      <w:r w:rsidR="00F52599" w:rsidRPr="004A5227">
        <w:t>(2)</w:t>
      </w:r>
      <w:r w:rsidR="00F52599" w:rsidRPr="004A5227">
        <w:tab/>
        <w:t xml:space="preserve">If the application was for an allocation for a set period of time, the </w:t>
      </w:r>
      <w:proofErr w:type="spellStart"/>
      <w:r w:rsidR="00F52599" w:rsidRPr="004A5227">
        <w:t>ACMA</w:t>
      </w:r>
      <w:proofErr w:type="spellEnd"/>
      <w:r w:rsidR="00F52599" w:rsidRPr="004A5227">
        <w:t xml:space="preserve"> must allocate the number for that period.</w:t>
      </w:r>
    </w:p>
    <w:p w:rsidR="00F52599" w:rsidRPr="004A5227" w:rsidRDefault="00F52599" w:rsidP="00F52599">
      <w:pPr>
        <w:pStyle w:val="subsection"/>
      </w:pPr>
      <w:r w:rsidRPr="004A5227">
        <w:tab/>
        <w:t>(3)</w:t>
      </w:r>
      <w:r w:rsidRPr="004A5227">
        <w:tab/>
        <w:t>If the application was for an allocation without a time limit:</w:t>
      </w:r>
    </w:p>
    <w:p w:rsidR="00F52599" w:rsidRPr="004A5227" w:rsidRDefault="00F52599" w:rsidP="00F52599">
      <w:pPr>
        <w:pStyle w:val="paragraph"/>
      </w:pPr>
      <w:r w:rsidRPr="004A5227">
        <w:tab/>
        <w:t>(a)</w:t>
      </w:r>
      <w:r w:rsidRPr="004A5227">
        <w:tab/>
        <w:t xml:space="preserve">the </w:t>
      </w:r>
      <w:proofErr w:type="spellStart"/>
      <w:r w:rsidRPr="004A5227">
        <w:t>ACMA</w:t>
      </w:r>
      <w:proofErr w:type="spellEnd"/>
      <w:r w:rsidRPr="004A5227">
        <w:t xml:space="preserve"> must not specify a day that the allocation ends; and</w:t>
      </w:r>
    </w:p>
    <w:p w:rsidR="00F52599" w:rsidRPr="004A5227" w:rsidRDefault="00F52599" w:rsidP="00F52599">
      <w:pPr>
        <w:pStyle w:val="paragraph"/>
      </w:pPr>
      <w:r w:rsidRPr="004A5227">
        <w:tab/>
        <w:t>(b)</w:t>
      </w:r>
      <w:r w:rsidRPr="004A5227">
        <w:tab/>
        <w:t xml:space="preserve">the number must be allocated subject to a condition that the number must be issued to a customer or used by the registered carriage service provider </w:t>
      </w:r>
      <w:r w:rsidRPr="004A5227">
        <w:lastRenderedPageBreak/>
        <w:t xml:space="preserve">no later than 5 </w:t>
      </w:r>
      <w:r w:rsidR="001F4B8F" w:rsidRPr="004A5227">
        <w:t xml:space="preserve">business </w:t>
      </w:r>
      <w:r w:rsidRPr="004A5227">
        <w:t>days after the date of the notice under subsection</w:t>
      </w:r>
      <w:r w:rsidR="004A5227" w:rsidRPr="004A5227">
        <w:t> </w:t>
      </w:r>
      <w:r w:rsidR="00CA6815" w:rsidRPr="004A5227">
        <w:t>68</w:t>
      </w:r>
      <w:r w:rsidRPr="004A5227">
        <w:t>(5); and</w:t>
      </w:r>
    </w:p>
    <w:p w:rsidR="00F52599" w:rsidRPr="004A5227" w:rsidRDefault="00F52599" w:rsidP="00F52599">
      <w:pPr>
        <w:pStyle w:val="paragraph"/>
      </w:pPr>
      <w:r w:rsidRPr="004A5227">
        <w:tab/>
        <w:t>(c)</w:t>
      </w:r>
      <w:r w:rsidRPr="004A5227">
        <w:tab/>
        <w:t xml:space="preserve">the notice must state that if </w:t>
      </w:r>
      <w:r w:rsidR="00880E26" w:rsidRPr="004A5227">
        <w:t>the number is not issued or used</w:t>
      </w:r>
      <w:r w:rsidRPr="004A5227">
        <w:t xml:space="preserve"> the </w:t>
      </w:r>
      <w:proofErr w:type="spellStart"/>
      <w:r w:rsidRPr="004A5227">
        <w:t>ACMA</w:t>
      </w:r>
      <w:proofErr w:type="spellEnd"/>
      <w:r w:rsidRPr="004A5227">
        <w:t xml:space="preserve"> may withdraw the number.</w:t>
      </w:r>
    </w:p>
    <w:p w:rsidR="007D3DBD" w:rsidRPr="004A5227" w:rsidRDefault="007D3DBD" w:rsidP="00F52599">
      <w:pPr>
        <w:pStyle w:val="ActHead2"/>
        <w:pageBreakBefore/>
      </w:pPr>
      <w:bookmarkStart w:id="101" w:name="_Toc413419099"/>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 xml:space="preserve">Variation of </w:t>
      </w:r>
      <w:r w:rsidR="00E418E5" w:rsidRPr="004A5227">
        <w:rPr>
          <w:rStyle w:val="CharPartText"/>
        </w:rPr>
        <w:t>standard zone units to which geographic numbers are allocated</w:t>
      </w:r>
      <w:bookmarkEnd w:id="101"/>
    </w:p>
    <w:p w:rsidR="00D575E7" w:rsidRPr="004A5227" w:rsidRDefault="00D575E7" w:rsidP="00D575E7">
      <w:pPr>
        <w:pStyle w:val="Header"/>
      </w:pPr>
      <w:r w:rsidRPr="004A5227">
        <w:rPr>
          <w:rStyle w:val="CharDivNo"/>
        </w:rPr>
        <w:t xml:space="preserve"> </w:t>
      </w:r>
      <w:r w:rsidRPr="004A5227">
        <w:rPr>
          <w:rStyle w:val="CharDivText"/>
        </w:rPr>
        <w:t xml:space="preserve"> </w:t>
      </w:r>
    </w:p>
    <w:p w:rsidR="00291AD3" w:rsidRPr="004A5227" w:rsidRDefault="00CA6815" w:rsidP="00291AD3">
      <w:pPr>
        <w:pStyle w:val="ActHead5"/>
      </w:pPr>
      <w:bookmarkStart w:id="102" w:name="_Toc413419100"/>
      <w:r w:rsidRPr="004A5227">
        <w:rPr>
          <w:rStyle w:val="CharSectno"/>
        </w:rPr>
        <w:t>70</w:t>
      </w:r>
      <w:r w:rsidR="00291AD3" w:rsidRPr="004A5227">
        <w:t xml:space="preserve">  Application by carriage service provider for variation of allocation</w:t>
      </w:r>
      <w:bookmarkEnd w:id="102"/>
    </w:p>
    <w:p w:rsidR="00291AD3" w:rsidRPr="004A5227" w:rsidRDefault="00291AD3" w:rsidP="00291AD3">
      <w:pPr>
        <w:pStyle w:val="subsection"/>
        <w:rPr>
          <w:szCs w:val="22"/>
        </w:rPr>
      </w:pPr>
      <w:r w:rsidRPr="004A5227">
        <w:tab/>
      </w:r>
      <w:r w:rsidRPr="004A5227">
        <w:rPr>
          <w:szCs w:val="22"/>
        </w:rPr>
        <w:t>(1)</w:t>
      </w:r>
      <w:r w:rsidRPr="004A5227">
        <w:rPr>
          <w:szCs w:val="22"/>
        </w:rPr>
        <w:tab/>
        <w:t>A registered carriage service provider may</w:t>
      </w:r>
      <w:r w:rsidR="00452BBC" w:rsidRPr="004A5227">
        <w:rPr>
          <w:szCs w:val="22"/>
        </w:rPr>
        <w:t xml:space="preserve"> apply</w:t>
      </w:r>
      <w:r w:rsidRPr="004A5227">
        <w:rPr>
          <w:szCs w:val="22"/>
        </w:rPr>
        <w:t xml:space="preserve"> to the </w:t>
      </w:r>
      <w:proofErr w:type="spellStart"/>
      <w:r w:rsidRPr="004A5227">
        <w:rPr>
          <w:szCs w:val="22"/>
        </w:rPr>
        <w:t>ACMA</w:t>
      </w:r>
      <w:proofErr w:type="spellEnd"/>
      <w:r w:rsidR="00452BBC" w:rsidRPr="004A5227">
        <w:rPr>
          <w:szCs w:val="22"/>
        </w:rPr>
        <w:t>, in writing,</w:t>
      </w:r>
      <w:r w:rsidRPr="004A5227">
        <w:rPr>
          <w:szCs w:val="22"/>
        </w:rPr>
        <w:t xml:space="preserve"> to vary the standard zone unit to which one or more geographic numbers are allocated.</w:t>
      </w:r>
    </w:p>
    <w:p w:rsidR="00291AD3" w:rsidRPr="004A5227" w:rsidRDefault="00291AD3" w:rsidP="00291AD3">
      <w:pPr>
        <w:pStyle w:val="subsection"/>
        <w:rPr>
          <w:szCs w:val="22"/>
        </w:rPr>
      </w:pPr>
      <w:r w:rsidRPr="004A5227">
        <w:rPr>
          <w:szCs w:val="22"/>
        </w:rPr>
        <w:tab/>
        <w:t>(2)</w:t>
      </w:r>
      <w:r w:rsidRPr="004A5227">
        <w:rPr>
          <w:szCs w:val="22"/>
        </w:rPr>
        <w:tab/>
        <w:t xml:space="preserve">The application must be in a form approved by the </w:t>
      </w:r>
      <w:proofErr w:type="spellStart"/>
      <w:r w:rsidRPr="004A5227">
        <w:rPr>
          <w:szCs w:val="22"/>
        </w:rPr>
        <w:t>ACMA</w:t>
      </w:r>
      <w:proofErr w:type="spellEnd"/>
      <w:r w:rsidRPr="004A5227">
        <w:rPr>
          <w:szCs w:val="22"/>
        </w:rPr>
        <w:t>.</w:t>
      </w:r>
    </w:p>
    <w:p w:rsidR="00291AD3" w:rsidRPr="004A5227" w:rsidRDefault="00291AD3" w:rsidP="00291AD3">
      <w:pPr>
        <w:pStyle w:val="subsection"/>
        <w:rPr>
          <w:szCs w:val="22"/>
        </w:rPr>
      </w:pPr>
      <w:r w:rsidRPr="004A5227">
        <w:rPr>
          <w:szCs w:val="22"/>
        </w:rPr>
        <w:tab/>
        <w:t>(3)</w:t>
      </w:r>
      <w:r w:rsidRPr="004A5227">
        <w:rPr>
          <w:szCs w:val="22"/>
        </w:rPr>
        <w:tab/>
        <w:t>The application must:</w:t>
      </w:r>
    </w:p>
    <w:p w:rsidR="00291AD3" w:rsidRPr="004A5227" w:rsidRDefault="00291AD3" w:rsidP="00291AD3">
      <w:pPr>
        <w:pStyle w:val="paragraph"/>
        <w:rPr>
          <w:szCs w:val="22"/>
        </w:rPr>
      </w:pPr>
      <w:r w:rsidRPr="004A5227">
        <w:rPr>
          <w:szCs w:val="22"/>
        </w:rPr>
        <w:tab/>
        <w:t>(a)</w:t>
      </w:r>
      <w:r w:rsidRPr="004A5227">
        <w:rPr>
          <w:szCs w:val="22"/>
        </w:rPr>
        <w:tab/>
        <w:t>identify the standard zone unit to which the numbers are allocated; and</w:t>
      </w:r>
    </w:p>
    <w:p w:rsidR="00291AD3" w:rsidRPr="004A5227" w:rsidRDefault="00291AD3" w:rsidP="00291AD3">
      <w:pPr>
        <w:pStyle w:val="paragraph"/>
        <w:rPr>
          <w:szCs w:val="22"/>
        </w:rPr>
      </w:pPr>
      <w:r w:rsidRPr="004A5227">
        <w:rPr>
          <w:szCs w:val="22"/>
        </w:rPr>
        <w:tab/>
        <w:t>(b)</w:t>
      </w:r>
      <w:r w:rsidRPr="004A5227">
        <w:rPr>
          <w:szCs w:val="22"/>
        </w:rPr>
        <w:tab/>
        <w:t>be for a multiple of 100 numbers; and</w:t>
      </w:r>
    </w:p>
    <w:p w:rsidR="00291AD3" w:rsidRPr="004A5227" w:rsidRDefault="00291AD3" w:rsidP="00743F77">
      <w:pPr>
        <w:pStyle w:val="paragraph"/>
        <w:rPr>
          <w:szCs w:val="22"/>
        </w:rPr>
      </w:pPr>
      <w:r w:rsidRPr="004A5227">
        <w:rPr>
          <w:szCs w:val="22"/>
        </w:rPr>
        <w:tab/>
        <w:t>(c)</w:t>
      </w:r>
      <w:r w:rsidRPr="004A5227">
        <w:rPr>
          <w:szCs w:val="22"/>
        </w:rPr>
        <w:tab/>
        <w:t>include an explanation of how and why the stand</w:t>
      </w:r>
      <w:r w:rsidR="00743F77" w:rsidRPr="004A5227">
        <w:rPr>
          <w:szCs w:val="22"/>
        </w:rPr>
        <w:t>ard zone unit is inappropriate.</w:t>
      </w:r>
    </w:p>
    <w:p w:rsidR="00291AD3" w:rsidRPr="004A5227" w:rsidRDefault="00291AD3" w:rsidP="00291AD3">
      <w:pPr>
        <w:pStyle w:val="subsection"/>
        <w:rPr>
          <w:szCs w:val="22"/>
        </w:rPr>
      </w:pPr>
      <w:r w:rsidRPr="004A5227">
        <w:rPr>
          <w:szCs w:val="22"/>
        </w:rPr>
        <w:tab/>
        <w:t>(4)</w:t>
      </w:r>
      <w:r w:rsidRPr="004A5227">
        <w:rPr>
          <w:szCs w:val="22"/>
        </w:rPr>
        <w:tab/>
        <w:t>The application must be accompanied by the charge (if any) for the application fixed by a determination under section</w:t>
      </w:r>
      <w:r w:rsidR="004A5227" w:rsidRPr="004A5227">
        <w:rPr>
          <w:szCs w:val="22"/>
        </w:rPr>
        <w:t> </w:t>
      </w:r>
      <w:r w:rsidRPr="004A5227">
        <w:rPr>
          <w:szCs w:val="22"/>
        </w:rPr>
        <w:t xml:space="preserve">60 of the </w:t>
      </w:r>
      <w:r w:rsidRPr="004A5227">
        <w:rPr>
          <w:i/>
          <w:szCs w:val="22"/>
        </w:rPr>
        <w:t>Australian Communications and Media Authority Act 2005</w:t>
      </w:r>
      <w:r w:rsidRPr="004A5227">
        <w:rPr>
          <w:szCs w:val="22"/>
        </w:rPr>
        <w:t>.</w:t>
      </w:r>
    </w:p>
    <w:p w:rsidR="00291AD3" w:rsidRPr="004A5227" w:rsidRDefault="00CA6815" w:rsidP="0075291F">
      <w:pPr>
        <w:pStyle w:val="ActHead5"/>
      </w:pPr>
      <w:bookmarkStart w:id="103" w:name="_Toc413419101"/>
      <w:r w:rsidRPr="004A5227">
        <w:rPr>
          <w:rStyle w:val="CharSectno"/>
        </w:rPr>
        <w:t>71</w:t>
      </w:r>
      <w:r w:rsidR="00291AD3" w:rsidRPr="004A5227">
        <w:t xml:space="preserve">  Decision on application</w:t>
      </w:r>
      <w:bookmarkEnd w:id="103"/>
    </w:p>
    <w:p w:rsidR="0075291F" w:rsidRPr="004A5227" w:rsidRDefault="00291AD3" w:rsidP="00421E7D">
      <w:pPr>
        <w:pStyle w:val="subsection"/>
      </w:pPr>
      <w:r w:rsidRPr="004A5227">
        <w:tab/>
      </w:r>
      <w:r w:rsidR="0075291F" w:rsidRPr="004A5227">
        <w:rPr>
          <w:szCs w:val="22"/>
        </w:rPr>
        <w:t>(1)</w:t>
      </w:r>
      <w:r w:rsidR="0075291F" w:rsidRPr="004A5227">
        <w:rPr>
          <w:szCs w:val="22"/>
        </w:rPr>
        <w:tab/>
        <w:t xml:space="preserve">The </w:t>
      </w:r>
      <w:proofErr w:type="spellStart"/>
      <w:r w:rsidR="0075291F" w:rsidRPr="004A5227">
        <w:rPr>
          <w:szCs w:val="22"/>
        </w:rPr>
        <w:t>ACMA</w:t>
      </w:r>
      <w:proofErr w:type="spellEnd"/>
      <w:r w:rsidR="0075291F" w:rsidRPr="004A5227">
        <w:rPr>
          <w:szCs w:val="22"/>
        </w:rPr>
        <w:t xml:space="preserve"> must decide to approve or not to approve an application under section</w:t>
      </w:r>
      <w:r w:rsidR="004A5227" w:rsidRPr="004A5227">
        <w:rPr>
          <w:szCs w:val="22"/>
        </w:rPr>
        <w:t> </w:t>
      </w:r>
      <w:r w:rsidR="00CA6815" w:rsidRPr="004A5227">
        <w:rPr>
          <w:szCs w:val="22"/>
        </w:rPr>
        <w:t>70</w:t>
      </w:r>
      <w:r w:rsidR="0075291F" w:rsidRPr="004A5227">
        <w:rPr>
          <w:szCs w:val="22"/>
        </w:rPr>
        <w:t xml:space="preserve"> </w:t>
      </w:r>
      <w:r w:rsidR="006C6E10" w:rsidRPr="004A5227">
        <w:rPr>
          <w:szCs w:val="22"/>
        </w:rPr>
        <w:t>no later than</w:t>
      </w:r>
      <w:r w:rsidR="0075291F" w:rsidRPr="004A5227">
        <w:rPr>
          <w:szCs w:val="22"/>
        </w:rPr>
        <w:t xml:space="preserve"> 10 business days </w:t>
      </w:r>
      <w:r w:rsidR="006C6E10" w:rsidRPr="004A5227">
        <w:rPr>
          <w:szCs w:val="22"/>
        </w:rPr>
        <w:t>after</w:t>
      </w:r>
      <w:r w:rsidR="0075291F" w:rsidRPr="004A5227">
        <w:rPr>
          <w:szCs w:val="22"/>
        </w:rPr>
        <w:t xml:space="preserve"> the day on which the application is received by the </w:t>
      </w:r>
      <w:proofErr w:type="spellStart"/>
      <w:r w:rsidR="0075291F" w:rsidRPr="004A5227">
        <w:rPr>
          <w:szCs w:val="22"/>
        </w:rPr>
        <w:t>ACMA</w:t>
      </w:r>
      <w:proofErr w:type="spellEnd"/>
      <w:r w:rsidR="0075291F" w:rsidRPr="004A5227">
        <w:rPr>
          <w:szCs w:val="22"/>
        </w:rPr>
        <w:t xml:space="preserve">, but may, if the </w:t>
      </w:r>
      <w:proofErr w:type="spellStart"/>
      <w:r w:rsidR="0075291F" w:rsidRPr="004A5227">
        <w:rPr>
          <w:szCs w:val="22"/>
        </w:rPr>
        <w:t>ACMA</w:t>
      </w:r>
      <w:proofErr w:type="spellEnd"/>
      <w:r w:rsidR="0075291F" w:rsidRPr="004A5227">
        <w:rPr>
          <w:szCs w:val="22"/>
        </w:rPr>
        <w:t xml:space="preserve"> needs to consult on the application, extend that period </w:t>
      </w:r>
      <w:r w:rsidR="006C6E10" w:rsidRPr="004A5227">
        <w:rPr>
          <w:szCs w:val="22"/>
        </w:rPr>
        <w:t>to a total of</w:t>
      </w:r>
      <w:r w:rsidR="0075291F" w:rsidRPr="004A5227">
        <w:rPr>
          <w:szCs w:val="22"/>
        </w:rPr>
        <w:t xml:space="preserve"> no more than </w:t>
      </w:r>
      <w:r w:rsidR="006C6E10" w:rsidRPr="004A5227">
        <w:rPr>
          <w:szCs w:val="22"/>
        </w:rPr>
        <w:t>40</w:t>
      </w:r>
      <w:r w:rsidR="0075291F" w:rsidRPr="004A5227">
        <w:rPr>
          <w:szCs w:val="22"/>
        </w:rPr>
        <w:t xml:space="preserve"> business days by giving notice in writing of the extension to the applicant.</w:t>
      </w:r>
    </w:p>
    <w:p w:rsidR="00291AD3" w:rsidRPr="004A5227" w:rsidRDefault="0075291F" w:rsidP="00421E7D">
      <w:pPr>
        <w:pStyle w:val="subsection"/>
      </w:pPr>
      <w:r w:rsidRPr="004A5227">
        <w:tab/>
      </w:r>
      <w:r w:rsidR="00291AD3" w:rsidRPr="004A5227">
        <w:t>(</w:t>
      </w:r>
      <w:r w:rsidRPr="004A5227">
        <w:t>2</w:t>
      </w:r>
      <w:r w:rsidR="00291AD3" w:rsidRPr="004A5227">
        <w:t>)</w:t>
      </w:r>
      <w:r w:rsidR="00291AD3" w:rsidRPr="004A5227">
        <w:tab/>
        <w:t xml:space="preserve">The </w:t>
      </w:r>
      <w:proofErr w:type="spellStart"/>
      <w:r w:rsidR="00291AD3" w:rsidRPr="004A5227">
        <w:t>ACMA</w:t>
      </w:r>
      <w:proofErr w:type="spellEnd"/>
      <w:r w:rsidR="00291AD3" w:rsidRPr="004A5227">
        <w:t xml:space="preserve"> must </w:t>
      </w:r>
      <w:r w:rsidR="004072CB" w:rsidRPr="004A5227">
        <w:t>decide not to approve</w:t>
      </w:r>
      <w:r w:rsidR="00291AD3" w:rsidRPr="004A5227">
        <w:t xml:space="preserve"> an application under section</w:t>
      </w:r>
      <w:r w:rsidR="004A5227" w:rsidRPr="004A5227">
        <w:t> </w:t>
      </w:r>
      <w:r w:rsidR="00CA6815" w:rsidRPr="004A5227">
        <w:t>70</w:t>
      </w:r>
      <w:r w:rsidR="00291AD3" w:rsidRPr="004A5227">
        <w:t xml:space="preserve"> to vary the standard zone unit </w:t>
      </w:r>
      <w:r w:rsidR="00AD2645" w:rsidRPr="004A5227">
        <w:t xml:space="preserve">(the </w:t>
      </w:r>
      <w:r w:rsidR="00AD2645" w:rsidRPr="004A5227">
        <w:rPr>
          <w:b/>
          <w:i/>
        </w:rPr>
        <w:t>first standard zone unit</w:t>
      </w:r>
      <w:r w:rsidR="00AD2645" w:rsidRPr="004A5227">
        <w:t xml:space="preserve">) </w:t>
      </w:r>
      <w:r w:rsidR="00291AD3" w:rsidRPr="004A5227">
        <w:t xml:space="preserve">to which one or more geographic numbers are allocated if the </w:t>
      </w:r>
      <w:proofErr w:type="spellStart"/>
      <w:r w:rsidR="00291AD3" w:rsidRPr="004A5227">
        <w:t>ACMA</w:t>
      </w:r>
      <w:proofErr w:type="spellEnd"/>
      <w:r w:rsidR="00291AD3" w:rsidRPr="004A5227">
        <w:t xml:space="preserve"> is satisfied of any of the following:</w:t>
      </w:r>
    </w:p>
    <w:p w:rsidR="00291AD3" w:rsidRPr="004A5227" w:rsidRDefault="00291AD3" w:rsidP="00291AD3">
      <w:pPr>
        <w:pStyle w:val="paragraph"/>
        <w:rPr>
          <w:szCs w:val="22"/>
        </w:rPr>
      </w:pPr>
      <w:r w:rsidRPr="004A5227">
        <w:rPr>
          <w:szCs w:val="22"/>
        </w:rPr>
        <w:tab/>
        <w:t>(a)</w:t>
      </w:r>
      <w:r w:rsidRPr="004A5227">
        <w:rPr>
          <w:szCs w:val="22"/>
        </w:rPr>
        <w:tab/>
        <w:t>the numbers were deliberately issued for use in an inappropriate standard zone unit;</w:t>
      </w:r>
    </w:p>
    <w:p w:rsidR="00291AD3" w:rsidRPr="004A5227" w:rsidRDefault="00291AD3" w:rsidP="00291AD3">
      <w:pPr>
        <w:pStyle w:val="paragraph"/>
        <w:rPr>
          <w:szCs w:val="22"/>
        </w:rPr>
      </w:pPr>
      <w:r w:rsidRPr="004A5227">
        <w:rPr>
          <w:szCs w:val="22"/>
        </w:rPr>
        <w:tab/>
        <w:t>(b)</w:t>
      </w:r>
      <w:r w:rsidRPr="004A5227">
        <w:rPr>
          <w:szCs w:val="22"/>
        </w:rPr>
        <w:tab/>
        <w:t>the variation would be inconsistent with the number analysis capabilities of telecommunications networks operated in Australia;</w:t>
      </w:r>
    </w:p>
    <w:p w:rsidR="00AD2645" w:rsidRPr="004A5227" w:rsidRDefault="00BA245A" w:rsidP="00AD2645">
      <w:pPr>
        <w:pStyle w:val="paragraph"/>
        <w:rPr>
          <w:szCs w:val="22"/>
        </w:rPr>
      </w:pPr>
      <w:r w:rsidRPr="004A5227">
        <w:rPr>
          <w:szCs w:val="22"/>
        </w:rPr>
        <w:tab/>
        <w:t>(</w:t>
      </w:r>
      <w:r w:rsidR="00E86272" w:rsidRPr="004A5227">
        <w:rPr>
          <w:szCs w:val="22"/>
        </w:rPr>
        <w:t>c</w:t>
      </w:r>
      <w:r w:rsidRPr="004A5227">
        <w:rPr>
          <w:szCs w:val="22"/>
        </w:rPr>
        <w:t>)</w:t>
      </w:r>
      <w:r w:rsidRPr="004A5227">
        <w:rPr>
          <w:szCs w:val="22"/>
        </w:rPr>
        <w:tab/>
        <w:t>the numbers do not relate</w:t>
      </w:r>
      <w:r w:rsidR="00AD2645" w:rsidRPr="004A5227">
        <w:rPr>
          <w:szCs w:val="22"/>
        </w:rPr>
        <w:t xml:space="preserve"> to:</w:t>
      </w:r>
    </w:p>
    <w:p w:rsidR="00AD2645" w:rsidRPr="004A5227" w:rsidRDefault="00AD2645" w:rsidP="00AD2645">
      <w:pPr>
        <w:pStyle w:val="paragraphsub"/>
        <w:rPr>
          <w:szCs w:val="22"/>
        </w:rPr>
      </w:pPr>
      <w:r w:rsidRPr="004A5227">
        <w:rPr>
          <w:szCs w:val="22"/>
        </w:rPr>
        <w:tab/>
        <w:t>(</w:t>
      </w:r>
      <w:proofErr w:type="spellStart"/>
      <w:r w:rsidRPr="004A5227">
        <w:rPr>
          <w:szCs w:val="22"/>
        </w:rPr>
        <w:t>i</w:t>
      </w:r>
      <w:proofErr w:type="spellEnd"/>
      <w:r w:rsidRPr="004A5227">
        <w:rPr>
          <w:szCs w:val="22"/>
        </w:rPr>
        <w:t>)</w:t>
      </w:r>
      <w:r w:rsidRPr="004A5227">
        <w:rPr>
          <w:szCs w:val="22"/>
        </w:rPr>
        <w:tab/>
        <w:t>the charging district</w:t>
      </w:r>
      <w:r w:rsidR="00BA245A" w:rsidRPr="004A5227">
        <w:rPr>
          <w:szCs w:val="22"/>
        </w:rPr>
        <w:t xml:space="preserve"> </w:t>
      </w:r>
      <w:r w:rsidRPr="004A5227">
        <w:rPr>
          <w:szCs w:val="22"/>
        </w:rPr>
        <w:t xml:space="preserve">(the </w:t>
      </w:r>
      <w:r w:rsidRPr="004A5227">
        <w:rPr>
          <w:b/>
          <w:i/>
          <w:szCs w:val="22"/>
        </w:rPr>
        <w:t>terminating charging district</w:t>
      </w:r>
      <w:r w:rsidRPr="004A5227">
        <w:rPr>
          <w:szCs w:val="22"/>
        </w:rPr>
        <w:t>) in which calls to the numbers terminate, or appear to terminate, for charging purposes; or</w:t>
      </w:r>
    </w:p>
    <w:p w:rsidR="00AD2645" w:rsidRPr="004A5227" w:rsidRDefault="00AD2645" w:rsidP="00AD2645">
      <w:pPr>
        <w:pStyle w:val="paragraphsub"/>
        <w:rPr>
          <w:szCs w:val="22"/>
        </w:rPr>
      </w:pPr>
      <w:r w:rsidRPr="004A5227">
        <w:rPr>
          <w:szCs w:val="22"/>
        </w:rPr>
        <w:tab/>
        <w:t>(ii)</w:t>
      </w:r>
      <w:r w:rsidRPr="004A5227">
        <w:rPr>
          <w:szCs w:val="22"/>
        </w:rPr>
        <w:tab/>
        <w:t>a standard zone unit that is adjacent to the first standard zone unit and is in a charging district that has the same prefix as the t</w:t>
      </w:r>
      <w:r w:rsidR="00BA245A" w:rsidRPr="004A5227">
        <w:rPr>
          <w:szCs w:val="22"/>
        </w:rPr>
        <w:t>erminating charging district;</w:t>
      </w:r>
    </w:p>
    <w:p w:rsidR="00291AD3" w:rsidRPr="004A5227" w:rsidRDefault="00291AD3" w:rsidP="00291AD3">
      <w:pPr>
        <w:pStyle w:val="paragraph"/>
        <w:rPr>
          <w:szCs w:val="22"/>
        </w:rPr>
      </w:pPr>
      <w:r w:rsidRPr="004A5227">
        <w:rPr>
          <w:szCs w:val="22"/>
        </w:rPr>
        <w:tab/>
        <w:t>(</w:t>
      </w:r>
      <w:r w:rsidR="00E86272" w:rsidRPr="004A5227">
        <w:rPr>
          <w:szCs w:val="22"/>
        </w:rPr>
        <w:t>d</w:t>
      </w:r>
      <w:r w:rsidRPr="004A5227">
        <w:rPr>
          <w:szCs w:val="22"/>
        </w:rPr>
        <w:t>)</w:t>
      </w:r>
      <w:r w:rsidRPr="004A5227">
        <w:rPr>
          <w:szCs w:val="22"/>
        </w:rPr>
        <w:tab/>
        <w:t>the use of the numbers would substantially reduce the geographic significance of the numbers;</w:t>
      </w:r>
    </w:p>
    <w:p w:rsidR="00291AD3" w:rsidRPr="004A5227" w:rsidRDefault="00291AD3" w:rsidP="00291AD3">
      <w:pPr>
        <w:pStyle w:val="paragraph"/>
        <w:rPr>
          <w:szCs w:val="22"/>
        </w:rPr>
      </w:pPr>
      <w:r w:rsidRPr="004A5227">
        <w:rPr>
          <w:szCs w:val="22"/>
        </w:rPr>
        <w:lastRenderedPageBreak/>
        <w:tab/>
        <w:t>(</w:t>
      </w:r>
      <w:r w:rsidR="00E86272" w:rsidRPr="004A5227">
        <w:rPr>
          <w:szCs w:val="22"/>
        </w:rPr>
        <w:t>e</w:t>
      </w:r>
      <w:r w:rsidRPr="004A5227">
        <w:rPr>
          <w:szCs w:val="22"/>
        </w:rPr>
        <w:t>)</w:t>
      </w:r>
      <w:r w:rsidRPr="004A5227">
        <w:rPr>
          <w:szCs w:val="22"/>
        </w:rPr>
        <w:tab/>
        <w:t>the decision to vary the allocation would have disadvantages, for another carriage service provider, customer or end</w:t>
      </w:r>
      <w:r w:rsidR="004A5227">
        <w:rPr>
          <w:szCs w:val="22"/>
        </w:rPr>
        <w:noBreakHyphen/>
      </w:r>
      <w:r w:rsidRPr="004A5227">
        <w:rPr>
          <w:szCs w:val="22"/>
        </w:rPr>
        <w:t>user, that outweigh the advantages of varying the numbers.</w:t>
      </w:r>
    </w:p>
    <w:p w:rsidR="00291AD3" w:rsidRPr="004A5227" w:rsidRDefault="00291AD3" w:rsidP="00291AD3">
      <w:pPr>
        <w:pStyle w:val="subsection"/>
        <w:rPr>
          <w:szCs w:val="22"/>
        </w:rPr>
      </w:pPr>
      <w:r w:rsidRPr="004A5227">
        <w:rPr>
          <w:szCs w:val="22"/>
        </w:rPr>
        <w:tab/>
        <w:t>(</w:t>
      </w:r>
      <w:r w:rsidR="0075291F" w:rsidRPr="004A5227">
        <w:rPr>
          <w:szCs w:val="22"/>
        </w:rPr>
        <w:t>3</w:t>
      </w:r>
      <w:r w:rsidRPr="004A5227">
        <w:rPr>
          <w:szCs w:val="22"/>
        </w:rPr>
        <w:t>)</w:t>
      </w:r>
      <w:r w:rsidRPr="004A5227">
        <w:rPr>
          <w:szCs w:val="22"/>
        </w:rPr>
        <w:tab/>
        <w:t xml:space="preserve">The </w:t>
      </w:r>
      <w:proofErr w:type="spellStart"/>
      <w:r w:rsidRPr="004A5227">
        <w:rPr>
          <w:szCs w:val="22"/>
        </w:rPr>
        <w:t>ACMA</w:t>
      </w:r>
      <w:proofErr w:type="spellEnd"/>
      <w:r w:rsidRPr="004A5227">
        <w:rPr>
          <w:szCs w:val="22"/>
        </w:rPr>
        <w:t xml:space="preserve"> may approve an application </w:t>
      </w:r>
      <w:r w:rsidR="003B68E0" w:rsidRPr="004A5227">
        <w:rPr>
          <w:szCs w:val="22"/>
        </w:rPr>
        <w:t xml:space="preserve">to </w:t>
      </w:r>
      <w:r w:rsidRPr="004A5227">
        <w:rPr>
          <w:szCs w:val="22"/>
        </w:rPr>
        <w:t>vary the standard zone unit to which one or more geographic numbers are allocated if:</w:t>
      </w:r>
    </w:p>
    <w:p w:rsidR="00291AD3" w:rsidRPr="004A5227" w:rsidRDefault="00291AD3" w:rsidP="00291AD3">
      <w:pPr>
        <w:pStyle w:val="paragraph"/>
        <w:rPr>
          <w:szCs w:val="22"/>
        </w:rPr>
      </w:pPr>
      <w:r w:rsidRPr="004A5227">
        <w:rPr>
          <w:szCs w:val="22"/>
        </w:rPr>
        <w:tab/>
        <w:t>(a)</w:t>
      </w:r>
      <w:r w:rsidRPr="004A5227">
        <w:rPr>
          <w:szCs w:val="22"/>
        </w:rPr>
        <w:tab/>
        <w:t xml:space="preserve">the </w:t>
      </w:r>
      <w:proofErr w:type="spellStart"/>
      <w:r w:rsidRPr="004A5227">
        <w:rPr>
          <w:szCs w:val="22"/>
        </w:rPr>
        <w:t>ACMA</w:t>
      </w:r>
      <w:proofErr w:type="spellEnd"/>
      <w:r w:rsidRPr="004A5227">
        <w:rPr>
          <w:szCs w:val="22"/>
        </w:rPr>
        <w:t xml:space="preserve"> is satisfied that the carriage service provider making the application has issued the numbers; and</w:t>
      </w:r>
    </w:p>
    <w:p w:rsidR="003B68E0" w:rsidRPr="004A5227" w:rsidRDefault="00291AD3" w:rsidP="00291AD3">
      <w:pPr>
        <w:pStyle w:val="paragraph"/>
        <w:rPr>
          <w:szCs w:val="22"/>
        </w:rPr>
      </w:pPr>
      <w:r w:rsidRPr="004A5227">
        <w:rPr>
          <w:szCs w:val="22"/>
        </w:rPr>
        <w:tab/>
        <w:t>(b)</w:t>
      </w:r>
      <w:r w:rsidRPr="004A5227">
        <w:rPr>
          <w:szCs w:val="22"/>
        </w:rPr>
        <w:tab/>
        <w:t xml:space="preserve">the carriage service provider has given the </w:t>
      </w:r>
      <w:proofErr w:type="spellStart"/>
      <w:r w:rsidRPr="004A5227">
        <w:rPr>
          <w:szCs w:val="22"/>
        </w:rPr>
        <w:t>ACMA</w:t>
      </w:r>
      <w:proofErr w:type="spellEnd"/>
      <w:r w:rsidRPr="004A5227">
        <w:rPr>
          <w:szCs w:val="22"/>
        </w:rPr>
        <w:t xml:space="preserve"> adequate information to allow the </w:t>
      </w:r>
      <w:proofErr w:type="spellStart"/>
      <w:r w:rsidR="003B68E0" w:rsidRPr="004A5227">
        <w:rPr>
          <w:szCs w:val="22"/>
        </w:rPr>
        <w:t>ACMA</w:t>
      </w:r>
      <w:proofErr w:type="spellEnd"/>
      <w:r w:rsidR="003B68E0" w:rsidRPr="004A5227">
        <w:rPr>
          <w:szCs w:val="22"/>
        </w:rPr>
        <w:t xml:space="preserve"> to make the decision;</w:t>
      </w:r>
    </w:p>
    <w:p w:rsidR="00291AD3" w:rsidRPr="004A5227" w:rsidRDefault="003B68E0" w:rsidP="003B68E0">
      <w:pPr>
        <w:pStyle w:val="subsection2"/>
        <w:rPr>
          <w:szCs w:val="22"/>
        </w:rPr>
      </w:pPr>
      <w:r w:rsidRPr="004A5227">
        <w:rPr>
          <w:szCs w:val="22"/>
        </w:rPr>
        <w:t xml:space="preserve">unless the </w:t>
      </w:r>
      <w:proofErr w:type="spellStart"/>
      <w:r w:rsidRPr="004A5227">
        <w:rPr>
          <w:szCs w:val="22"/>
        </w:rPr>
        <w:t>ACMA</w:t>
      </w:r>
      <w:proofErr w:type="spellEnd"/>
      <w:r w:rsidRPr="004A5227">
        <w:rPr>
          <w:szCs w:val="22"/>
        </w:rPr>
        <w:t xml:space="preserve"> is required not to approve</w:t>
      </w:r>
      <w:r w:rsidR="00291AD3" w:rsidRPr="004A5227">
        <w:rPr>
          <w:szCs w:val="22"/>
        </w:rPr>
        <w:t xml:space="preserve"> the application under </w:t>
      </w:r>
      <w:r w:rsidR="004A5227" w:rsidRPr="004A5227">
        <w:rPr>
          <w:szCs w:val="22"/>
        </w:rPr>
        <w:t>subsection (</w:t>
      </w:r>
      <w:r w:rsidR="00291AD3" w:rsidRPr="004A5227">
        <w:rPr>
          <w:szCs w:val="22"/>
        </w:rPr>
        <w:t>1).</w:t>
      </w:r>
    </w:p>
    <w:p w:rsidR="00AD2645" w:rsidRPr="004A5227" w:rsidRDefault="00AD2645" w:rsidP="0075291F">
      <w:pPr>
        <w:pStyle w:val="subsection"/>
        <w:rPr>
          <w:szCs w:val="22"/>
        </w:rPr>
      </w:pPr>
      <w:r w:rsidRPr="004A5227">
        <w:rPr>
          <w:szCs w:val="22"/>
        </w:rPr>
        <w:tab/>
        <w:t>(</w:t>
      </w:r>
      <w:r w:rsidR="0075291F" w:rsidRPr="004A5227">
        <w:rPr>
          <w:szCs w:val="22"/>
        </w:rPr>
        <w:t>4</w:t>
      </w:r>
      <w:r w:rsidRPr="004A5227">
        <w:rPr>
          <w:szCs w:val="22"/>
        </w:rPr>
        <w:t>)</w:t>
      </w:r>
      <w:r w:rsidRPr="004A5227">
        <w:rPr>
          <w:szCs w:val="22"/>
        </w:rPr>
        <w:tab/>
        <w:t xml:space="preserve">The </w:t>
      </w:r>
      <w:proofErr w:type="spellStart"/>
      <w:r w:rsidRPr="004A5227">
        <w:rPr>
          <w:szCs w:val="22"/>
        </w:rPr>
        <w:t>ACMA</w:t>
      </w:r>
      <w:proofErr w:type="spellEnd"/>
      <w:r w:rsidRPr="004A5227">
        <w:rPr>
          <w:szCs w:val="22"/>
        </w:rPr>
        <w:t xml:space="preserve"> must notify the carriage service provider of its decision in writing.</w:t>
      </w:r>
    </w:p>
    <w:p w:rsidR="00291AD3" w:rsidRPr="004A5227" w:rsidRDefault="00AD2645" w:rsidP="007A2CA5">
      <w:pPr>
        <w:pStyle w:val="subsection"/>
        <w:rPr>
          <w:szCs w:val="22"/>
        </w:rPr>
      </w:pPr>
      <w:r w:rsidRPr="004A5227">
        <w:rPr>
          <w:szCs w:val="22"/>
        </w:rPr>
        <w:tab/>
        <w:t>(</w:t>
      </w:r>
      <w:r w:rsidR="0075291F" w:rsidRPr="004A5227">
        <w:rPr>
          <w:szCs w:val="22"/>
        </w:rPr>
        <w:t>5</w:t>
      </w:r>
      <w:r w:rsidRPr="004A5227">
        <w:rPr>
          <w:szCs w:val="22"/>
        </w:rPr>
        <w:t>)</w:t>
      </w:r>
      <w:r w:rsidRPr="004A5227">
        <w:rPr>
          <w:szCs w:val="22"/>
        </w:rPr>
        <w:tab/>
        <w:t xml:space="preserve">If the </w:t>
      </w:r>
      <w:proofErr w:type="spellStart"/>
      <w:r w:rsidRPr="004A5227">
        <w:rPr>
          <w:szCs w:val="22"/>
        </w:rPr>
        <w:t>ACMA</w:t>
      </w:r>
      <w:proofErr w:type="spellEnd"/>
      <w:r w:rsidRPr="004A5227">
        <w:rPr>
          <w:szCs w:val="22"/>
        </w:rPr>
        <w:t xml:space="preserve"> is not the designated authority, the </w:t>
      </w:r>
      <w:proofErr w:type="spellStart"/>
      <w:r w:rsidRPr="004A5227">
        <w:rPr>
          <w:szCs w:val="22"/>
        </w:rPr>
        <w:t>ACMA</w:t>
      </w:r>
      <w:proofErr w:type="spellEnd"/>
      <w:r w:rsidRPr="004A5227">
        <w:rPr>
          <w:szCs w:val="22"/>
        </w:rPr>
        <w:t xml:space="preserve"> must notify the designated author</w:t>
      </w:r>
      <w:r w:rsidR="007A2CA5" w:rsidRPr="004A5227">
        <w:rPr>
          <w:szCs w:val="22"/>
        </w:rPr>
        <w:t>ity of its decision.</w:t>
      </w:r>
    </w:p>
    <w:p w:rsidR="0075291F" w:rsidRPr="004A5227" w:rsidRDefault="00CA6815" w:rsidP="0075291F">
      <w:pPr>
        <w:pStyle w:val="ActHead5"/>
      </w:pPr>
      <w:bookmarkStart w:id="104" w:name="_Toc413419102"/>
      <w:r w:rsidRPr="004A5227">
        <w:rPr>
          <w:rStyle w:val="CharSectno"/>
        </w:rPr>
        <w:t>72</w:t>
      </w:r>
      <w:r w:rsidR="0075291F" w:rsidRPr="004A5227">
        <w:t xml:space="preserve">  Request for further information</w:t>
      </w:r>
      <w:bookmarkEnd w:id="104"/>
    </w:p>
    <w:p w:rsidR="0075291F" w:rsidRPr="004A5227" w:rsidRDefault="0075291F" w:rsidP="0075291F">
      <w:pPr>
        <w:pStyle w:val="subsection"/>
        <w:rPr>
          <w:szCs w:val="22"/>
        </w:rPr>
      </w:pPr>
      <w:r w:rsidRPr="004A5227">
        <w:rPr>
          <w:szCs w:val="22"/>
        </w:rPr>
        <w:tab/>
        <w:t>(1)</w:t>
      </w:r>
      <w:r w:rsidRPr="004A5227">
        <w:rPr>
          <w:szCs w:val="22"/>
        </w:rPr>
        <w:tab/>
        <w:t xml:space="preserve">The </w:t>
      </w:r>
      <w:proofErr w:type="spellStart"/>
      <w:r w:rsidRPr="004A5227">
        <w:rPr>
          <w:szCs w:val="22"/>
        </w:rPr>
        <w:t>ACMA</w:t>
      </w:r>
      <w:proofErr w:type="spellEnd"/>
      <w:r w:rsidRPr="004A5227">
        <w:rPr>
          <w:szCs w:val="22"/>
        </w:rPr>
        <w:t xml:space="preserve"> may, in writing, ask a registered carriage provider who has made an application under section</w:t>
      </w:r>
      <w:r w:rsidR="004A5227" w:rsidRPr="004A5227">
        <w:rPr>
          <w:szCs w:val="22"/>
        </w:rPr>
        <w:t> </w:t>
      </w:r>
      <w:r w:rsidR="00CA6815" w:rsidRPr="004A5227">
        <w:rPr>
          <w:szCs w:val="22"/>
        </w:rPr>
        <w:t>70</w:t>
      </w:r>
      <w:r w:rsidRPr="004A5227">
        <w:rPr>
          <w:szCs w:val="22"/>
        </w:rPr>
        <w:t xml:space="preserve"> to give the </w:t>
      </w:r>
      <w:proofErr w:type="spellStart"/>
      <w:r w:rsidRPr="004A5227">
        <w:rPr>
          <w:szCs w:val="22"/>
        </w:rPr>
        <w:t>ACMA</w:t>
      </w:r>
      <w:proofErr w:type="spellEnd"/>
      <w:r w:rsidRPr="004A5227">
        <w:rPr>
          <w:szCs w:val="22"/>
        </w:rPr>
        <w:t xml:space="preserve"> further information</w:t>
      </w:r>
      <w:r w:rsidR="00537C18" w:rsidRPr="004A5227">
        <w:rPr>
          <w:szCs w:val="22"/>
        </w:rPr>
        <w:t>,</w:t>
      </w:r>
      <w:r w:rsidRPr="004A5227">
        <w:rPr>
          <w:szCs w:val="22"/>
        </w:rPr>
        <w:t xml:space="preserve"> </w:t>
      </w:r>
      <w:r w:rsidR="006C6E10" w:rsidRPr="004A5227">
        <w:rPr>
          <w:szCs w:val="22"/>
        </w:rPr>
        <w:t>no later than</w:t>
      </w:r>
      <w:r w:rsidRPr="004A5227">
        <w:rPr>
          <w:szCs w:val="22"/>
        </w:rPr>
        <w:t xml:space="preserve"> 30 business days </w:t>
      </w:r>
      <w:r w:rsidR="006C6E10" w:rsidRPr="004A5227">
        <w:rPr>
          <w:szCs w:val="22"/>
        </w:rPr>
        <w:t>after</w:t>
      </w:r>
      <w:r w:rsidRPr="004A5227">
        <w:rPr>
          <w:szCs w:val="22"/>
        </w:rPr>
        <w:t xml:space="preserve"> the request</w:t>
      </w:r>
      <w:r w:rsidR="00537C18" w:rsidRPr="004A5227">
        <w:rPr>
          <w:szCs w:val="22"/>
        </w:rPr>
        <w:t>,</w:t>
      </w:r>
      <w:r w:rsidRPr="004A5227">
        <w:rPr>
          <w:szCs w:val="22"/>
        </w:rPr>
        <w:t xml:space="preserve"> on the matters to which the application relates, to allow the </w:t>
      </w:r>
      <w:proofErr w:type="spellStart"/>
      <w:r w:rsidRPr="004A5227">
        <w:rPr>
          <w:szCs w:val="22"/>
        </w:rPr>
        <w:t>ACMA</w:t>
      </w:r>
      <w:proofErr w:type="spellEnd"/>
      <w:r w:rsidRPr="004A5227">
        <w:rPr>
          <w:szCs w:val="22"/>
        </w:rPr>
        <w:t xml:space="preserve"> to consider the application.</w:t>
      </w:r>
    </w:p>
    <w:p w:rsidR="0075291F" w:rsidRPr="004A5227" w:rsidRDefault="0075291F" w:rsidP="0075291F">
      <w:pPr>
        <w:pStyle w:val="subsection"/>
        <w:rPr>
          <w:szCs w:val="22"/>
        </w:rPr>
      </w:pPr>
      <w:r w:rsidRPr="004A5227">
        <w:rPr>
          <w:szCs w:val="22"/>
        </w:rPr>
        <w:tab/>
        <w:t>(2)</w:t>
      </w:r>
      <w:r w:rsidRPr="004A5227">
        <w:rPr>
          <w:szCs w:val="22"/>
        </w:rPr>
        <w:tab/>
        <w:t>The period mentioned in subsection</w:t>
      </w:r>
      <w:r w:rsidR="004A5227" w:rsidRPr="004A5227">
        <w:rPr>
          <w:szCs w:val="22"/>
        </w:rPr>
        <w:t> </w:t>
      </w:r>
      <w:r w:rsidR="00CA6815" w:rsidRPr="004A5227">
        <w:rPr>
          <w:szCs w:val="22"/>
        </w:rPr>
        <w:t>71</w:t>
      </w:r>
      <w:r w:rsidRPr="004A5227">
        <w:rPr>
          <w:szCs w:val="22"/>
        </w:rPr>
        <w:t>(1) does not include a period:</w:t>
      </w:r>
    </w:p>
    <w:p w:rsidR="0075291F" w:rsidRPr="004A5227" w:rsidRDefault="0075291F" w:rsidP="0075291F">
      <w:pPr>
        <w:pStyle w:val="paragraph"/>
        <w:rPr>
          <w:szCs w:val="22"/>
        </w:rPr>
      </w:pPr>
      <w:r w:rsidRPr="004A5227">
        <w:rPr>
          <w:szCs w:val="22"/>
        </w:rPr>
        <w:tab/>
        <w:t>(a)</w:t>
      </w:r>
      <w:r w:rsidRPr="004A5227">
        <w:rPr>
          <w:szCs w:val="22"/>
        </w:rPr>
        <w:tab/>
        <w:t xml:space="preserve">starting when the </w:t>
      </w:r>
      <w:proofErr w:type="spellStart"/>
      <w:r w:rsidRPr="004A5227">
        <w:rPr>
          <w:szCs w:val="22"/>
        </w:rPr>
        <w:t>ACMA</w:t>
      </w:r>
      <w:proofErr w:type="spellEnd"/>
      <w:r w:rsidRPr="004A5227">
        <w:rPr>
          <w:szCs w:val="22"/>
        </w:rPr>
        <w:t xml:space="preserve"> asks the carriage service provider for further information; and</w:t>
      </w:r>
    </w:p>
    <w:p w:rsidR="0075291F" w:rsidRPr="004A5227" w:rsidRDefault="0075291F" w:rsidP="0075291F">
      <w:pPr>
        <w:pStyle w:val="paragraph"/>
        <w:rPr>
          <w:szCs w:val="22"/>
        </w:rPr>
      </w:pPr>
      <w:r w:rsidRPr="004A5227">
        <w:rPr>
          <w:szCs w:val="22"/>
        </w:rPr>
        <w:tab/>
        <w:t>(b)</w:t>
      </w:r>
      <w:r w:rsidRPr="004A5227">
        <w:rPr>
          <w:szCs w:val="22"/>
        </w:rPr>
        <w:tab/>
        <w:t xml:space="preserve">ending when the </w:t>
      </w:r>
      <w:proofErr w:type="spellStart"/>
      <w:r w:rsidRPr="004A5227">
        <w:rPr>
          <w:szCs w:val="22"/>
        </w:rPr>
        <w:t>ACMA</w:t>
      </w:r>
      <w:proofErr w:type="spellEnd"/>
      <w:r w:rsidRPr="004A5227">
        <w:rPr>
          <w:szCs w:val="22"/>
        </w:rPr>
        <w:t xml:space="preserve"> receives the information.</w:t>
      </w:r>
    </w:p>
    <w:p w:rsidR="0075291F" w:rsidRPr="004A5227" w:rsidRDefault="0075291F" w:rsidP="0075291F">
      <w:pPr>
        <w:pStyle w:val="subsection"/>
        <w:rPr>
          <w:szCs w:val="22"/>
        </w:rPr>
      </w:pPr>
      <w:r w:rsidRPr="004A5227">
        <w:rPr>
          <w:szCs w:val="22"/>
        </w:rPr>
        <w:tab/>
        <w:t>(3)</w:t>
      </w:r>
      <w:r w:rsidRPr="004A5227">
        <w:rPr>
          <w:szCs w:val="22"/>
        </w:rPr>
        <w:tab/>
        <w:t xml:space="preserve">If the applicant does not give the </w:t>
      </w:r>
      <w:proofErr w:type="spellStart"/>
      <w:r w:rsidRPr="004A5227">
        <w:rPr>
          <w:szCs w:val="22"/>
        </w:rPr>
        <w:t>ACMA</w:t>
      </w:r>
      <w:proofErr w:type="spellEnd"/>
      <w:r w:rsidRPr="004A5227">
        <w:rPr>
          <w:szCs w:val="22"/>
        </w:rPr>
        <w:t xml:space="preserve"> the information within </w:t>
      </w:r>
      <w:r w:rsidR="006C6E10" w:rsidRPr="004A5227">
        <w:rPr>
          <w:szCs w:val="22"/>
        </w:rPr>
        <w:t xml:space="preserve">the period of </w:t>
      </w:r>
      <w:r w:rsidRPr="004A5227">
        <w:rPr>
          <w:szCs w:val="22"/>
        </w:rPr>
        <w:t xml:space="preserve">30 business days </w:t>
      </w:r>
      <w:r w:rsidR="006C6E10" w:rsidRPr="004A5227">
        <w:rPr>
          <w:szCs w:val="22"/>
        </w:rPr>
        <w:t>after</w:t>
      </w:r>
      <w:r w:rsidRPr="004A5227">
        <w:rPr>
          <w:szCs w:val="22"/>
        </w:rPr>
        <w:t xml:space="preserve"> the request, the applicant is taken to have withdrawn the application at the end of that period.</w:t>
      </w:r>
    </w:p>
    <w:p w:rsidR="00042830" w:rsidRPr="004A5227" w:rsidRDefault="00042830" w:rsidP="00396398">
      <w:pPr>
        <w:pStyle w:val="ActHead1"/>
        <w:pageBreakBefore/>
      </w:pPr>
      <w:bookmarkStart w:id="105" w:name="_Toc413419103"/>
      <w:r w:rsidRPr="004A5227">
        <w:rPr>
          <w:rStyle w:val="CharChapNo"/>
        </w:rPr>
        <w:lastRenderedPageBreak/>
        <w:t>Chapter</w:t>
      </w:r>
      <w:r w:rsidR="004A5227" w:rsidRPr="004A5227">
        <w:rPr>
          <w:rStyle w:val="CharChapNo"/>
        </w:rPr>
        <w:t> </w:t>
      </w:r>
      <w:r w:rsidR="000D4B4E" w:rsidRPr="004A5227">
        <w:rPr>
          <w:rStyle w:val="CharChapNo"/>
        </w:rPr>
        <w:t>7</w:t>
      </w:r>
      <w:r w:rsidRPr="004A5227">
        <w:t>—</w:t>
      </w:r>
      <w:r w:rsidRPr="004A5227">
        <w:rPr>
          <w:rStyle w:val="CharChapText"/>
        </w:rPr>
        <w:t xml:space="preserve">Special rules about </w:t>
      </w:r>
      <w:proofErr w:type="spellStart"/>
      <w:r w:rsidRPr="004A5227">
        <w:rPr>
          <w:rStyle w:val="CharChapText"/>
        </w:rPr>
        <w:t>smartnumbers</w:t>
      </w:r>
      <w:bookmarkEnd w:id="105"/>
      <w:proofErr w:type="spellEnd"/>
    </w:p>
    <w:p w:rsidR="00674A2E" w:rsidRPr="004A5227" w:rsidRDefault="00674A2E" w:rsidP="00DB1CDB">
      <w:pPr>
        <w:pStyle w:val="ActHead2"/>
      </w:pPr>
      <w:bookmarkStart w:id="106" w:name="_Toc413419104"/>
      <w:r w:rsidRPr="004A5227">
        <w:rPr>
          <w:rStyle w:val="CharPartNo"/>
        </w:rPr>
        <w:t>Part</w:t>
      </w:r>
      <w:r w:rsidR="004A5227" w:rsidRPr="004A5227">
        <w:rPr>
          <w:rStyle w:val="CharPartNo"/>
        </w:rPr>
        <w:t> </w:t>
      </w:r>
      <w:r w:rsidR="00042830" w:rsidRPr="004A5227">
        <w:rPr>
          <w:rStyle w:val="CharPartNo"/>
        </w:rPr>
        <w:t>1</w:t>
      </w:r>
      <w:r w:rsidRPr="004A5227">
        <w:t>—</w:t>
      </w:r>
      <w:r w:rsidRPr="004A5227">
        <w:rPr>
          <w:rStyle w:val="CharPartText"/>
        </w:rPr>
        <w:t xml:space="preserve">Special procedure for initial allocation of </w:t>
      </w:r>
      <w:proofErr w:type="spellStart"/>
      <w:r w:rsidRPr="004A5227">
        <w:rPr>
          <w:rStyle w:val="CharPartText"/>
        </w:rPr>
        <w:t>smartnumbers</w:t>
      </w:r>
      <w:bookmarkEnd w:id="106"/>
      <w:proofErr w:type="spellEnd"/>
    </w:p>
    <w:p w:rsidR="009A4D8F" w:rsidRPr="004A5227" w:rsidRDefault="009A4D8F" w:rsidP="009A4D8F">
      <w:pPr>
        <w:pStyle w:val="Header"/>
      </w:pPr>
      <w:r w:rsidRPr="004A5227">
        <w:rPr>
          <w:rStyle w:val="CharDivNo"/>
        </w:rPr>
        <w:t xml:space="preserve"> </w:t>
      </w:r>
      <w:r w:rsidRPr="004A5227">
        <w:rPr>
          <w:rStyle w:val="CharDivText"/>
        </w:rPr>
        <w:t xml:space="preserve"> </w:t>
      </w:r>
    </w:p>
    <w:p w:rsidR="00674A2E" w:rsidRPr="004A5227" w:rsidRDefault="00CA6815" w:rsidP="00042830">
      <w:pPr>
        <w:pStyle w:val="ActHead5"/>
      </w:pPr>
      <w:bookmarkStart w:id="107" w:name="_Toc413419105"/>
      <w:r w:rsidRPr="004A5227">
        <w:rPr>
          <w:rStyle w:val="CharSectno"/>
        </w:rPr>
        <w:t>73</w:t>
      </w:r>
      <w:r w:rsidR="00674A2E" w:rsidRPr="004A5227">
        <w:t xml:space="preserve">  Application for </w:t>
      </w:r>
      <w:r w:rsidR="00042830" w:rsidRPr="004A5227">
        <w:t xml:space="preserve">initial </w:t>
      </w:r>
      <w:r w:rsidR="00674A2E" w:rsidRPr="004A5227">
        <w:t xml:space="preserve">allocation of </w:t>
      </w:r>
      <w:proofErr w:type="spellStart"/>
      <w:r w:rsidR="00042830" w:rsidRPr="004A5227">
        <w:t>smart</w:t>
      </w:r>
      <w:r w:rsidR="00674A2E" w:rsidRPr="004A5227">
        <w:t>numbers</w:t>
      </w:r>
      <w:bookmarkEnd w:id="107"/>
      <w:proofErr w:type="spellEnd"/>
    </w:p>
    <w:p w:rsidR="00674A2E" w:rsidRPr="004A5227" w:rsidRDefault="00674A2E" w:rsidP="00674A2E">
      <w:pPr>
        <w:pStyle w:val="subsection"/>
      </w:pPr>
      <w:r w:rsidRPr="004A5227">
        <w:tab/>
        <w:t>(1)</w:t>
      </w:r>
      <w:r w:rsidRPr="004A5227">
        <w:tab/>
        <w:t xml:space="preserve">A registered carriage service provider and a person (the </w:t>
      </w:r>
      <w:proofErr w:type="spellStart"/>
      <w:r w:rsidRPr="004A5227">
        <w:rPr>
          <w:b/>
          <w:i/>
        </w:rPr>
        <w:t>EROU</w:t>
      </w:r>
      <w:proofErr w:type="spellEnd"/>
      <w:r w:rsidRPr="004A5227">
        <w:rPr>
          <w:b/>
          <w:i/>
        </w:rPr>
        <w:t xml:space="preserve"> applicant</w:t>
      </w:r>
      <w:r w:rsidRPr="004A5227">
        <w:t xml:space="preserve">) may jointly apply to the </w:t>
      </w:r>
      <w:proofErr w:type="spellStart"/>
      <w:r w:rsidRPr="004A5227">
        <w:t>ACMA</w:t>
      </w:r>
      <w:proofErr w:type="spellEnd"/>
      <w:r w:rsidRPr="004A5227">
        <w:t xml:space="preserve"> under this section for the initial allocation of a</w:t>
      </w:r>
      <w:r w:rsidR="002B26E3" w:rsidRPr="004A5227">
        <w:t>n unassigned unallocated</w:t>
      </w:r>
      <w:r w:rsidRPr="004A5227">
        <w:t xml:space="preserve"> </w:t>
      </w:r>
      <w:proofErr w:type="spellStart"/>
      <w:r w:rsidRPr="004A5227">
        <w:t>smartnumber</w:t>
      </w:r>
      <w:proofErr w:type="spellEnd"/>
      <w:r w:rsidRPr="004A5227">
        <w:t>.</w:t>
      </w:r>
    </w:p>
    <w:p w:rsidR="00674A2E" w:rsidRPr="004A5227" w:rsidRDefault="00674A2E" w:rsidP="00674A2E">
      <w:pPr>
        <w:pStyle w:val="notetext"/>
      </w:pPr>
      <w:r w:rsidRPr="004A5227">
        <w:t>Note</w:t>
      </w:r>
      <w:r w:rsidR="002B26E3" w:rsidRPr="004A5227">
        <w:t xml:space="preserve"> 1:</w:t>
      </w:r>
      <w:r w:rsidR="002B26E3" w:rsidRPr="004A5227">
        <w:tab/>
        <w:t>Assigned u</w:t>
      </w:r>
      <w:r w:rsidRPr="004A5227">
        <w:t xml:space="preserve">nallocated </w:t>
      </w:r>
      <w:proofErr w:type="spellStart"/>
      <w:r w:rsidRPr="004A5227">
        <w:t>smartnumbers</w:t>
      </w:r>
      <w:proofErr w:type="spellEnd"/>
      <w:r w:rsidRPr="004A5227">
        <w:t xml:space="preserve"> are allocated under Part</w:t>
      </w:r>
      <w:r w:rsidR="004A5227" w:rsidRPr="004A5227">
        <w:t> </w:t>
      </w:r>
      <w:r w:rsidR="00A77971" w:rsidRPr="004A5227">
        <w:t>2</w:t>
      </w:r>
      <w:r w:rsidR="00FA0625" w:rsidRPr="004A5227">
        <w:t xml:space="preserve"> of Chapter</w:t>
      </w:r>
      <w:r w:rsidR="004A5227" w:rsidRPr="004A5227">
        <w:t> </w:t>
      </w:r>
      <w:r w:rsidR="00FA0625" w:rsidRPr="004A5227">
        <w:t>6</w:t>
      </w:r>
      <w:r w:rsidR="002B26E3" w:rsidRPr="004A5227">
        <w:t>: see sections</w:t>
      </w:r>
      <w:r w:rsidR="004A5227" w:rsidRPr="004A5227">
        <w:t> </w:t>
      </w:r>
      <w:r w:rsidR="00CA6815" w:rsidRPr="004A5227">
        <w:t>5</w:t>
      </w:r>
      <w:r w:rsidR="00A77971" w:rsidRPr="004A5227">
        <w:t>8</w:t>
      </w:r>
      <w:r w:rsidR="002B26E3" w:rsidRPr="004A5227">
        <w:t xml:space="preserve"> to </w:t>
      </w:r>
      <w:r w:rsidR="00CA6815" w:rsidRPr="004A5227">
        <w:t>6</w:t>
      </w:r>
      <w:r w:rsidR="00A77971" w:rsidRPr="004A5227">
        <w:t>2</w:t>
      </w:r>
      <w:r w:rsidRPr="004A5227">
        <w:t>.</w:t>
      </w:r>
    </w:p>
    <w:p w:rsidR="002B26E3" w:rsidRPr="004A5227" w:rsidRDefault="006455CC" w:rsidP="00674A2E">
      <w:pPr>
        <w:pStyle w:val="notetext"/>
      </w:pPr>
      <w:r w:rsidRPr="004A5227">
        <w:t>Note 2:</w:t>
      </w:r>
      <w:r w:rsidRPr="004A5227">
        <w:tab/>
        <w:t xml:space="preserve">A number </w:t>
      </w:r>
      <w:r w:rsidR="002B26E3" w:rsidRPr="004A5227">
        <w:t>allocated under section</w:t>
      </w:r>
      <w:r w:rsidR="004A5227" w:rsidRPr="004A5227">
        <w:t> </w:t>
      </w:r>
      <w:r w:rsidR="00CA6815" w:rsidRPr="004A5227">
        <w:t>75</w:t>
      </w:r>
      <w:r w:rsidR="002B26E3" w:rsidRPr="004A5227">
        <w:t xml:space="preserve"> as a result of an applicati</w:t>
      </w:r>
      <w:r w:rsidRPr="004A5227">
        <w:t xml:space="preserve">on under this section can </w:t>
      </w:r>
      <w:r w:rsidR="002B26E3" w:rsidRPr="004A5227">
        <w:t xml:space="preserve">become an unassigned unallocated </w:t>
      </w:r>
      <w:proofErr w:type="spellStart"/>
      <w:r w:rsidR="002B26E3" w:rsidRPr="004A5227">
        <w:t>smartnumber</w:t>
      </w:r>
      <w:proofErr w:type="spellEnd"/>
      <w:r w:rsidR="00A041A8" w:rsidRPr="004A5227">
        <w:t xml:space="preserve"> again (and a</w:t>
      </w:r>
      <w:r w:rsidRPr="004A5227">
        <w:t xml:space="preserve">nother application </w:t>
      </w:r>
      <w:r w:rsidR="00537C18" w:rsidRPr="004A5227">
        <w:t xml:space="preserve">may be </w:t>
      </w:r>
      <w:r w:rsidRPr="004A5227">
        <w:t>made in respect of it under this section)</w:t>
      </w:r>
      <w:r w:rsidR="002B26E3" w:rsidRPr="004A5227">
        <w:t xml:space="preserve"> if the enhanced rights of use are cancelled</w:t>
      </w:r>
      <w:r w:rsidR="00FA0625" w:rsidRPr="004A5227">
        <w:t xml:space="preserve">: </w:t>
      </w:r>
      <w:r w:rsidR="00A041A8" w:rsidRPr="004A5227">
        <w:t>see sections</w:t>
      </w:r>
      <w:r w:rsidR="004A5227" w:rsidRPr="004A5227">
        <w:t> </w:t>
      </w:r>
      <w:r w:rsidR="00CA6815" w:rsidRPr="004A5227">
        <w:t>84</w:t>
      </w:r>
      <w:r w:rsidR="00A041A8" w:rsidRPr="004A5227">
        <w:t xml:space="preserve"> and </w:t>
      </w:r>
      <w:r w:rsidR="00CA6815" w:rsidRPr="004A5227">
        <w:t>85</w:t>
      </w:r>
      <w:r w:rsidR="00FA0625" w:rsidRPr="004A5227">
        <w:t xml:space="preserve">, or waived: </w:t>
      </w:r>
      <w:r w:rsidR="00A041A8" w:rsidRPr="004A5227">
        <w:t>see section</w:t>
      </w:r>
      <w:r w:rsidR="004A5227" w:rsidRPr="004A5227">
        <w:t> </w:t>
      </w:r>
      <w:r w:rsidR="00CA6815" w:rsidRPr="004A5227">
        <w:t>83</w:t>
      </w:r>
      <w:r w:rsidR="002B26E3" w:rsidRPr="004A5227">
        <w:t>.</w:t>
      </w:r>
    </w:p>
    <w:p w:rsidR="00674A2E" w:rsidRPr="004A5227" w:rsidRDefault="00674A2E" w:rsidP="00674A2E">
      <w:pPr>
        <w:pStyle w:val="subsection"/>
      </w:pPr>
      <w:r w:rsidRPr="004A5227">
        <w:tab/>
        <w:t>(2)</w:t>
      </w:r>
      <w:r w:rsidRPr="004A5227">
        <w:tab/>
        <w:t xml:space="preserve">The application must be in a form approved by the </w:t>
      </w:r>
      <w:proofErr w:type="spellStart"/>
      <w:r w:rsidRPr="004A5227">
        <w:t>ACMA</w:t>
      </w:r>
      <w:proofErr w:type="spellEnd"/>
      <w:r w:rsidRPr="004A5227">
        <w:t>.</w:t>
      </w:r>
    </w:p>
    <w:p w:rsidR="00674A2E" w:rsidRPr="004A5227" w:rsidRDefault="00674A2E" w:rsidP="00674A2E">
      <w:pPr>
        <w:pStyle w:val="subsection"/>
      </w:pPr>
      <w:r w:rsidRPr="004A5227">
        <w:tab/>
        <w:t>(3)</w:t>
      </w:r>
      <w:r w:rsidRPr="004A5227">
        <w:tab/>
        <w:t>Strict compliance with the approved form is required.</w:t>
      </w:r>
    </w:p>
    <w:p w:rsidR="00674A2E" w:rsidRPr="004A5227" w:rsidRDefault="00674A2E" w:rsidP="00674A2E">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F322D5" w:rsidRPr="004A5227" w:rsidRDefault="00674A2E" w:rsidP="00EA3C6B">
      <w:pPr>
        <w:pStyle w:val="subsection"/>
      </w:pPr>
      <w:r w:rsidRPr="004A5227">
        <w:tab/>
        <w:t>(5)</w:t>
      </w:r>
      <w:r w:rsidRPr="004A5227">
        <w:tab/>
        <w:t xml:space="preserve">The amount of charge (if any) imposed on the allocation of the </w:t>
      </w:r>
      <w:proofErr w:type="spellStart"/>
      <w:r w:rsidRPr="004A5227">
        <w:t>smartnumbers</w:t>
      </w:r>
      <w:proofErr w:type="spellEnd"/>
      <w:r w:rsidRPr="004A5227">
        <w:t xml:space="preserve"> by Part</w:t>
      </w:r>
      <w:r w:rsidR="004A5227" w:rsidRPr="004A5227">
        <w:t> </w:t>
      </w:r>
      <w:r w:rsidRPr="004A5227">
        <w:t xml:space="preserve">2 of the </w:t>
      </w:r>
      <w:r w:rsidRPr="004A5227">
        <w:rPr>
          <w:i/>
        </w:rPr>
        <w:t>Telecommunications (Numbering Charges) Act 1997</w:t>
      </w:r>
      <w:r w:rsidRPr="004A5227">
        <w:t xml:space="preserve"> must be paid when the application is made. The charge may be paid by the </w:t>
      </w:r>
      <w:proofErr w:type="spellStart"/>
      <w:r w:rsidRPr="004A5227">
        <w:t>EROU</w:t>
      </w:r>
      <w:proofErr w:type="spellEnd"/>
      <w:r w:rsidRPr="004A5227">
        <w:t xml:space="preserve"> applicant on behalf of the regist</w:t>
      </w:r>
      <w:r w:rsidR="00F322D5" w:rsidRPr="004A5227">
        <w:t>ered carriage service provider.</w:t>
      </w:r>
    </w:p>
    <w:p w:rsidR="00674A2E" w:rsidRPr="004A5227" w:rsidRDefault="00674A2E" w:rsidP="00674A2E">
      <w:pPr>
        <w:pStyle w:val="subsection"/>
      </w:pPr>
      <w:r w:rsidRPr="004A5227">
        <w:tab/>
        <w:t>(6)</w:t>
      </w:r>
      <w:r w:rsidRPr="004A5227">
        <w:tab/>
        <w:t>An application is not complete unless it satisfies the requirements of this section.</w:t>
      </w:r>
    </w:p>
    <w:p w:rsidR="00674A2E" w:rsidRPr="004A5227" w:rsidRDefault="00CA6815" w:rsidP="00674A2E">
      <w:pPr>
        <w:pStyle w:val="ActHead5"/>
      </w:pPr>
      <w:bookmarkStart w:id="108" w:name="_Toc413419106"/>
      <w:r w:rsidRPr="004A5227">
        <w:rPr>
          <w:rStyle w:val="CharSectno"/>
        </w:rPr>
        <w:t>74</w:t>
      </w:r>
      <w:r w:rsidR="00674A2E" w:rsidRPr="004A5227">
        <w:t xml:space="preserve">  Decision on application</w:t>
      </w:r>
      <w:bookmarkEnd w:id="108"/>
    </w:p>
    <w:p w:rsidR="00674A2E" w:rsidRPr="004A5227" w:rsidRDefault="00674A2E" w:rsidP="000A5413">
      <w:pPr>
        <w:pStyle w:val="subsection"/>
      </w:pPr>
      <w:r w:rsidRPr="004A5227">
        <w:tab/>
        <w:t>(1)</w:t>
      </w:r>
      <w:r w:rsidRPr="004A5227">
        <w:tab/>
        <w:t xml:space="preserve">The </w:t>
      </w:r>
      <w:proofErr w:type="spellStart"/>
      <w:r w:rsidRPr="004A5227">
        <w:t>ACMA</w:t>
      </w:r>
      <w:proofErr w:type="spellEnd"/>
      <w:r w:rsidRPr="004A5227">
        <w:t xml:space="preserve"> must approve an application m</w:t>
      </w:r>
      <w:r w:rsidR="000A5413" w:rsidRPr="004A5227">
        <w:t>ade under subsection</w:t>
      </w:r>
      <w:r w:rsidR="004A5227" w:rsidRPr="004A5227">
        <w:t> </w:t>
      </w:r>
      <w:r w:rsidR="00CA6815" w:rsidRPr="004A5227">
        <w:t>73</w:t>
      </w:r>
      <w:r w:rsidR="000A5413" w:rsidRPr="004A5227">
        <w:t xml:space="preserve">(1) if </w:t>
      </w:r>
      <w:r w:rsidRPr="004A5227">
        <w:t>the application is complete</w:t>
      </w:r>
      <w:r w:rsidR="000A5413" w:rsidRPr="004A5227">
        <w:t xml:space="preserve">, unless </w:t>
      </w:r>
      <w:r w:rsidRPr="004A5227">
        <w:t xml:space="preserve">the ground set out in </w:t>
      </w:r>
      <w:r w:rsidR="004A5227" w:rsidRPr="004A5227">
        <w:t>paragraph (</w:t>
      </w:r>
      <w:r w:rsidRPr="004A5227">
        <w:t xml:space="preserve">2)(b) </w:t>
      </w:r>
      <w:r w:rsidR="000A5413" w:rsidRPr="004A5227">
        <w:t>applies</w:t>
      </w:r>
      <w:r w:rsidRPr="004A5227">
        <w:t>.</w:t>
      </w:r>
    </w:p>
    <w:p w:rsidR="00674A2E" w:rsidRPr="004A5227" w:rsidRDefault="00674A2E" w:rsidP="00674A2E">
      <w:pPr>
        <w:pStyle w:val="subsection"/>
      </w:pPr>
      <w:r w:rsidRPr="004A5227">
        <w:tab/>
        <w:t>(2)</w:t>
      </w:r>
      <w:r w:rsidRPr="004A5227">
        <w:tab/>
        <w:t xml:space="preserve">If the </w:t>
      </w:r>
      <w:proofErr w:type="spellStart"/>
      <w:r w:rsidRPr="004A5227">
        <w:t>ACMA</w:t>
      </w:r>
      <w:proofErr w:type="spellEnd"/>
      <w:r w:rsidRPr="004A5227">
        <w:t xml:space="preserve"> receives more than one application for allocation of the same </w:t>
      </w:r>
      <w:proofErr w:type="spellStart"/>
      <w:r w:rsidRPr="004A5227">
        <w:t>smartnumber</w:t>
      </w:r>
      <w:proofErr w:type="spellEnd"/>
      <w:r w:rsidRPr="004A5227">
        <w:t xml:space="preserve">, the </w:t>
      </w:r>
      <w:proofErr w:type="spellStart"/>
      <w:r w:rsidRPr="004A5227">
        <w:t>ACMA</w:t>
      </w:r>
      <w:proofErr w:type="spellEnd"/>
      <w:r w:rsidRPr="004A5227">
        <w:t xml:space="preserve"> must:</w:t>
      </w:r>
    </w:p>
    <w:p w:rsidR="00674A2E" w:rsidRPr="004A5227" w:rsidRDefault="00674A2E" w:rsidP="00674A2E">
      <w:pPr>
        <w:pStyle w:val="paragraph"/>
      </w:pPr>
      <w:r w:rsidRPr="004A5227">
        <w:tab/>
        <w:t>(a)</w:t>
      </w:r>
      <w:r w:rsidRPr="004A5227">
        <w:tab/>
        <w:t>make a decision on the applications in the order that the applications were received; and</w:t>
      </w:r>
    </w:p>
    <w:p w:rsidR="00674A2E" w:rsidRPr="004A5227" w:rsidRDefault="00674A2E" w:rsidP="00674A2E">
      <w:pPr>
        <w:pStyle w:val="paragraph"/>
      </w:pPr>
      <w:r w:rsidRPr="004A5227">
        <w:tab/>
        <w:t>(b)</w:t>
      </w:r>
      <w:r w:rsidRPr="004A5227">
        <w:tab/>
        <w:t>if it approves an application—</w:t>
      </w:r>
      <w:r w:rsidR="000A5413" w:rsidRPr="004A5227">
        <w:t>not approve</w:t>
      </w:r>
      <w:r w:rsidRPr="004A5227">
        <w:t xml:space="preserve"> any later applications.</w:t>
      </w:r>
    </w:p>
    <w:p w:rsidR="00654BDF" w:rsidRPr="004A5227" w:rsidRDefault="00654BDF" w:rsidP="00654BDF">
      <w:pPr>
        <w:pStyle w:val="subsection"/>
      </w:pPr>
      <w:r w:rsidRPr="004A5227">
        <w:tab/>
        <w:t>(</w:t>
      </w:r>
      <w:r w:rsidR="00E27372" w:rsidRPr="004A5227">
        <w:t>3</w:t>
      </w:r>
      <w:r w:rsidRPr="004A5227">
        <w:t>)</w:t>
      </w:r>
      <w:r w:rsidRPr="004A5227">
        <w:tab/>
        <w:t xml:space="preserve">If the </w:t>
      </w:r>
      <w:proofErr w:type="spellStart"/>
      <w:r w:rsidRPr="004A5227">
        <w:t>ACMA</w:t>
      </w:r>
      <w:proofErr w:type="spellEnd"/>
      <w:r w:rsidRPr="004A5227">
        <w:t xml:space="preserve"> </w:t>
      </w:r>
      <w:r w:rsidR="00F811D9" w:rsidRPr="004A5227">
        <w:t xml:space="preserve">decides not to approve </w:t>
      </w:r>
      <w:r w:rsidRPr="004A5227">
        <w:t>an application under subsection</w:t>
      </w:r>
      <w:r w:rsidR="004A5227" w:rsidRPr="004A5227">
        <w:t> </w:t>
      </w:r>
      <w:r w:rsidR="00CA6815" w:rsidRPr="004A5227">
        <w:t>73</w:t>
      </w:r>
      <w:r w:rsidRPr="004A5227">
        <w:t xml:space="preserve">(1), the </w:t>
      </w:r>
      <w:proofErr w:type="spellStart"/>
      <w:r w:rsidRPr="004A5227">
        <w:t>ACMA</w:t>
      </w:r>
      <w:proofErr w:type="spellEnd"/>
      <w:r w:rsidRPr="004A5227">
        <w:t xml:space="preserve"> must give written notice of the decision to the registered carriage service provider and the </w:t>
      </w:r>
      <w:proofErr w:type="spellStart"/>
      <w:r w:rsidR="00743F77" w:rsidRPr="004A5227">
        <w:t>EROU</w:t>
      </w:r>
      <w:proofErr w:type="spellEnd"/>
      <w:r w:rsidR="00743F77" w:rsidRPr="004A5227">
        <w:t xml:space="preserve"> applicant</w:t>
      </w:r>
      <w:r w:rsidRPr="004A5227">
        <w:t>.</w:t>
      </w:r>
    </w:p>
    <w:p w:rsidR="00674A2E" w:rsidRPr="004A5227" w:rsidRDefault="00CA6815" w:rsidP="00674A2E">
      <w:pPr>
        <w:pStyle w:val="ActHead5"/>
      </w:pPr>
      <w:bookmarkStart w:id="109" w:name="_Toc413419107"/>
      <w:r w:rsidRPr="004A5227">
        <w:rPr>
          <w:rStyle w:val="CharSectno"/>
        </w:rPr>
        <w:lastRenderedPageBreak/>
        <w:t>75</w:t>
      </w:r>
      <w:r w:rsidR="00674A2E" w:rsidRPr="004A5227">
        <w:t xml:space="preserve">  Initial allocation of </w:t>
      </w:r>
      <w:proofErr w:type="spellStart"/>
      <w:r w:rsidR="00674A2E" w:rsidRPr="004A5227">
        <w:t>smartnumbers</w:t>
      </w:r>
      <w:bookmarkEnd w:id="109"/>
      <w:proofErr w:type="spellEnd"/>
    </w:p>
    <w:p w:rsidR="00674A2E" w:rsidRPr="004A5227" w:rsidRDefault="00674A2E" w:rsidP="00674A2E">
      <w:pPr>
        <w:pStyle w:val="subsection"/>
      </w:pPr>
      <w:r w:rsidRPr="004A5227">
        <w:tab/>
        <w:t>(1)</w:t>
      </w:r>
      <w:r w:rsidRPr="004A5227">
        <w:tab/>
        <w:t xml:space="preserve">If the </w:t>
      </w:r>
      <w:proofErr w:type="spellStart"/>
      <w:r w:rsidRPr="004A5227">
        <w:t>ACMA</w:t>
      </w:r>
      <w:proofErr w:type="spellEnd"/>
      <w:r w:rsidRPr="004A5227">
        <w:t xml:space="preserve"> approves an application made under subsection</w:t>
      </w:r>
      <w:r w:rsidR="004A5227" w:rsidRPr="004A5227">
        <w:t> </w:t>
      </w:r>
      <w:r w:rsidR="00CA6815" w:rsidRPr="004A5227">
        <w:t>73</w:t>
      </w:r>
      <w:r w:rsidRPr="004A5227">
        <w:t xml:space="preserve">(1), the </w:t>
      </w:r>
      <w:proofErr w:type="spellStart"/>
      <w:r w:rsidRPr="004A5227">
        <w:t>ACMA</w:t>
      </w:r>
      <w:proofErr w:type="spellEnd"/>
      <w:r w:rsidRPr="004A5227">
        <w:t xml:space="preserve"> must allocate the </w:t>
      </w:r>
      <w:proofErr w:type="spellStart"/>
      <w:r w:rsidRPr="004A5227">
        <w:t>smartnumber</w:t>
      </w:r>
      <w:proofErr w:type="spellEnd"/>
      <w:r w:rsidRPr="004A5227">
        <w:t xml:space="preserve"> specified in the application to the registered carriage service provider that applied with the </w:t>
      </w:r>
      <w:proofErr w:type="spellStart"/>
      <w:r w:rsidRPr="004A5227">
        <w:t>EROU</w:t>
      </w:r>
      <w:proofErr w:type="spellEnd"/>
      <w:r w:rsidRPr="004A5227">
        <w:t xml:space="preserve"> applicant.</w:t>
      </w:r>
    </w:p>
    <w:p w:rsidR="00674A2E" w:rsidRPr="004A5227" w:rsidRDefault="00674A2E" w:rsidP="00674A2E">
      <w:pPr>
        <w:pStyle w:val="subsection"/>
      </w:pPr>
      <w:r w:rsidRPr="004A5227">
        <w:tab/>
        <w:t>(2)</w:t>
      </w:r>
      <w:r w:rsidRPr="004A5227">
        <w:tab/>
        <w:t xml:space="preserve">At the time when the </w:t>
      </w:r>
      <w:proofErr w:type="spellStart"/>
      <w:r w:rsidRPr="004A5227">
        <w:t>ACMA</w:t>
      </w:r>
      <w:proofErr w:type="spellEnd"/>
      <w:r w:rsidRPr="004A5227">
        <w:t xml:space="preserve"> allocates the </w:t>
      </w:r>
      <w:proofErr w:type="spellStart"/>
      <w:r w:rsidRPr="004A5227">
        <w:t>smartnumber</w:t>
      </w:r>
      <w:proofErr w:type="spellEnd"/>
      <w:r w:rsidRPr="004A5227">
        <w:t xml:space="preserve"> to the registered carriage service provider, the </w:t>
      </w:r>
      <w:proofErr w:type="spellStart"/>
      <w:r w:rsidR="00CE5650" w:rsidRPr="004A5227">
        <w:t>E</w:t>
      </w:r>
      <w:r w:rsidRPr="004A5227">
        <w:t>ROU</w:t>
      </w:r>
      <w:proofErr w:type="spellEnd"/>
      <w:r w:rsidRPr="004A5227">
        <w:t xml:space="preserve"> applicant becomes the </w:t>
      </w:r>
      <w:proofErr w:type="spellStart"/>
      <w:r w:rsidRPr="004A5227">
        <w:rPr>
          <w:b/>
          <w:i/>
        </w:rPr>
        <w:t>EROU</w:t>
      </w:r>
      <w:proofErr w:type="spellEnd"/>
      <w:r w:rsidR="004A5227">
        <w:rPr>
          <w:b/>
          <w:i/>
        </w:rPr>
        <w:noBreakHyphen/>
      </w:r>
      <w:r w:rsidRPr="004A5227">
        <w:rPr>
          <w:b/>
          <w:i/>
        </w:rPr>
        <w:t>holder</w:t>
      </w:r>
      <w:r w:rsidRPr="004A5227">
        <w:t xml:space="preserve"> for the </w:t>
      </w:r>
      <w:proofErr w:type="spellStart"/>
      <w:r w:rsidRPr="004A5227">
        <w:t>smartnumber</w:t>
      </w:r>
      <w:proofErr w:type="spellEnd"/>
      <w:r w:rsidRPr="004A5227">
        <w:t>.</w:t>
      </w:r>
    </w:p>
    <w:p w:rsidR="00674A2E" w:rsidRPr="004A5227" w:rsidRDefault="00674A2E" w:rsidP="00674A2E">
      <w:pPr>
        <w:pStyle w:val="subsection"/>
      </w:pPr>
      <w:r w:rsidRPr="004A5227">
        <w:tab/>
        <w:t>(3)</w:t>
      </w:r>
      <w:r w:rsidRPr="004A5227">
        <w:tab/>
        <w:t xml:space="preserve">Immediately after the </w:t>
      </w:r>
      <w:proofErr w:type="spellStart"/>
      <w:r w:rsidRPr="004A5227">
        <w:t>ACMA</w:t>
      </w:r>
      <w:proofErr w:type="spellEnd"/>
      <w:r w:rsidRPr="004A5227">
        <w:t xml:space="preserve"> allocates the </w:t>
      </w:r>
      <w:proofErr w:type="spellStart"/>
      <w:r w:rsidRPr="004A5227">
        <w:t>smartnumber</w:t>
      </w:r>
      <w:proofErr w:type="spellEnd"/>
      <w:r w:rsidRPr="004A5227">
        <w:t xml:space="preserve"> to the registered carriage service provider:</w:t>
      </w:r>
    </w:p>
    <w:p w:rsidR="00674A2E" w:rsidRPr="004A5227" w:rsidRDefault="00674A2E" w:rsidP="00674A2E">
      <w:pPr>
        <w:pStyle w:val="paragraph"/>
      </w:pPr>
      <w:r w:rsidRPr="004A5227">
        <w:tab/>
        <w:t>(a)</w:t>
      </w:r>
      <w:r w:rsidRPr="004A5227">
        <w:tab/>
        <w:t xml:space="preserve">the allocation </w:t>
      </w:r>
      <w:r w:rsidR="00084021" w:rsidRPr="004A5227">
        <w:t>is taken to have been surrendered</w:t>
      </w:r>
      <w:r w:rsidRPr="004A5227">
        <w:t>; and</w:t>
      </w:r>
    </w:p>
    <w:p w:rsidR="00674A2E" w:rsidRPr="004A5227" w:rsidRDefault="00674A2E" w:rsidP="00674A2E">
      <w:pPr>
        <w:pStyle w:val="paragraph"/>
      </w:pPr>
      <w:r w:rsidRPr="004A5227">
        <w:tab/>
        <w:t>(b)</w:t>
      </w:r>
      <w:r w:rsidRPr="004A5227">
        <w:tab/>
        <w:t xml:space="preserve">the </w:t>
      </w:r>
      <w:proofErr w:type="spellStart"/>
      <w:r w:rsidRPr="004A5227">
        <w:t>smartnumber</w:t>
      </w:r>
      <w:proofErr w:type="spellEnd"/>
      <w:r w:rsidRPr="004A5227">
        <w:t xml:space="preserve"> becomes an </w:t>
      </w:r>
      <w:r w:rsidR="009E301C" w:rsidRPr="004A5227">
        <w:t xml:space="preserve">assigned </w:t>
      </w:r>
      <w:r w:rsidRPr="004A5227">
        <w:t xml:space="preserve">unallocated </w:t>
      </w:r>
      <w:proofErr w:type="spellStart"/>
      <w:r w:rsidRPr="004A5227">
        <w:t>smartnumber</w:t>
      </w:r>
      <w:proofErr w:type="spellEnd"/>
      <w:r w:rsidRPr="004A5227">
        <w:t>.</w:t>
      </w:r>
    </w:p>
    <w:p w:rsidR="00674A2E" w:rsidRPr="004A5227" w:rsidRDefault="00F610B5" w:rsidP="00674A2E">
      <w:pPr>
        <w:pStyle w:val="subsection"/>
      </w:pPr>
      <w:r w:rsidRPr="004A5227">
        <w:tab/>
        <w:t>(4)</w:t>
      </w:r>
      <w:r w:rsidRPr="004A5227">
        <w:tab/>
        <w:t xml:space="preserve">The </w:t>
      </w:r>
      <w:proofErr w:type="spellStart"/>
      <w:r w:rsidRPr="004A5227">
        <w:t>ACMA</w:t>
      </w:r>
      <w:proofErr w:type="spellEnd"/>
      <w:r w:rsidRPr="004A5227">
        <w:t xml:space="preserve"> must notify</w:t>
      </w:r>
      <w:r w:rsidR="00674A2E" w:rsidRPr="004A5227">
        <w:t xml:space="preserve"> the </w:t>
      </w:r>
      <w:proofErr w:type="spellStart"/>
      <w:r w:rsidR="00674A2E" w:rsidRPr="004A5227">
        <w:t>EROU</w:t>
      </w:r>
      <w:proofErr w:type="spellEnd"/>
      <w:r w:rsidR="004A5227">
        <w:noBreakHyphen/>
      </w:r>
      <w:r w:rsidR="00674A2E" w:rsidRPr="004A5227">
        <w:t>holder:</w:t>
      </w:r>
    </w:p>
    <w:p w:rsidR="00674A2E" w:rsidRPr="004A5227" w:rsidRDefault="00674A2E" w:rsidP="00674A2E">
      <w:pPr>
        <w:pStyle w:val="paragraph"/>
      </w:pPr>
      <w:r w:rsidRPr="004A5227">
        <w:tab/>
        <w:t>(a)</w:t>
      </w:r>
      <w:r w:rsidRPr="004A5227">
        <w:tab/>
        <w:t xml:space="preserve">that the </w:t>
      </w:r>
      <w:proofErr w:type="spellStart"/>
      <w:r w:rsidRPr="004A5227">
        <w:t>smartnumber</w:t>
      </w:r>
      <w:proofErr w:type="spellEnd"/>
      <w:r w:rsidRPr="004A5227">
        <w:t xml:space="preserve"> was allocated to the registered carriage service provider and </w:t>
      </w:r>
      <w:r w:rsidR="00633BA9" w:rsidRPr="004A5227">
        <w:t xml:space="preserve">that </w:t>
      </w:r>
      <w:r w:rsidRPr="004A5227">
        <w:t xml:space="preserve">the allocation ceased immediately after the </w:t>
      </w:r>
      <w:proofErr w:type="spellStart"/>
      <w:r w:rsidRPr="004A5227">
        <w:t>smartnumber</w:t>
      </w:r>
      <w:proofErr w:type="spellEnd"/>
      <w:r w:rsidRPr="004A5227">
        <w:t xml:space="preserve"> was allocated; and</w:t>
      </w:r>
    </w:p>
    <w:p w:rsidR="00674A2E" w:rsidRPr="004A5227" w:rsidRDefault="00674A2E" w:rsidP="00674A2E">
      <w:pPr>
        <w:pStyle w:val="paragraph"/>
      </w:pPr>
      <w:r w:rsidRPr="004A5227">
        <w:tab/>
        <w:t>(b)</w:t>
      </w:r>
      <w:r w:rsidRPr="004A5227">
        <w:tab/>
        <w:t xml:space="preserve">that until the </w:t>
      </w:r>
      <w:proofErr w:type="spellStart"/>
      <w:r w:rsidRPr="004A5227">
        <w:t>smartnumber</w:t>
      </w:r>
      <w:proofErr w:type="spellEnd"/>
      <w:r w:rsidRPr="004A5227">
        <w:t xml:space="preserve"> is allocated under section</w:t>
      </w:r>
      <w:r w:rsidR="004A5227" w:rsidRPr="004A5227">
        <w:t> </w:t>
      </w:r>
      <w:r w:rsidR="00CA6815" w:rsidRPr="004A5227">
        <w:t>60</w:t>
      </w:r>
      <w:r w:rsidRPr="004A5227">
        <w:t xml:space="preserve">, the </w:t>
      </w:r>
      <w:proofErr w:type="spellStart"/>
      <w:r w:rsidRPr="004A5227">
        <w:t>smartnumber</w:t>
      </w:r>
      <w:proofErr w:type="spellEnd"/>
      <w:r w:rsidRPr="004A5227">
        <w:t xml:space="preserve"> is an </w:t>
      </w:r>
      <w:r w:rsidR="00633BA9" w:rsidRPr="004A5227">
        <w:t xml:space="preserve">assigned </w:t>
      </w:r>
      <w:r w:rsidRPr="004A5227">
        <w:t xml:space="preserve">unallocated </w:t>
      </w:r>
      <w:proofErr w:type="spellStart"/>
      <w:r w:rsidRPr="004A5227">
        <w:t>smartnumber</w:t>
      </w:r>
      <w:proofErr w:type="spellEnd"/>
      <w:r w:rsidRPr="004A5227">
        <w:t>; and</w:t>
      </w:r>
    </w:p>
    <w:p w:rsidR="00674A2E" w:rsidRPr="004A5227" w:rsidRDefault="00674A2E" w:rsidP="00674A2E">
      <w:pPr>
        <w:pStyle w:val="paragraph"/>
      </w:pPr>
      <w:r w:rsidRPr="004A5227">
        <w:tab/>
        <w:t>(c)</w:t>
      </w:r>
      <w:r w:rsidRPr="004A5227">
        <w:tab/>
      </w:r>
      <w:r w:rsidR="009670E8" w:rsidRPr="004A5227">
        <w:t xml:space="preserve">of </w:t>
      </w:r>
      <w:r w:rsidRPr="004A5227">
        <w:t>the date of the allocation and cessation.</w:t>
      </w:r>
    </w:p>
    <w:p w:rsidR="00674A2E" w:rsidRPr="004A5227" w:rsidRDefault="00674A2E" w:rsidP="00674A2E">
      <w:pPr>
        <w:pStyle w:val="subsection"/>
      </w:pPr>
      <w:r w:rsidRPr="004A5227">
        <w:tab/>
        <w:t>(5)</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 of the matters mentioned in </w:t>
      </w:r>
      <w:r w:rsidR="004A5227" w:rsidRPr="004A5227">
        <w:t>subsection (</w:t>
      </w:r>
      <w:r w:rsidRPr="004A5227">
        <w:t>4).</w:t>
      </w:r>
    </w:p>
    <w:p w:rsidR="009E301C" w:rsidRPr="004A5227" w:rsidRDefault="009E301C" w:rsidP="00674A2E">
      <w:pPr>
        <w:pStyle w:val="subsection"/>
      </w:pPr>
      <w:r w:rsidRPr="004A5227">
        <w:tab/>
        <w:t>(6)</w:t>
      </w:r>
      <w:r w:rsidRPr="004A5227">
        <w:tab/>
        <w:t xml:space="preserve">The </w:t>
      </w:r>
      <w:proofErr w:type="spellStart"/>
      <w:r w:rsidRPr="004A5227">
        <w:t>ACMA</w:t>
      </w:r>
      <w:proofErr w:type="spellEnd"/>
      <w:r w:rsidRPr="004A5227">
        <w:t xml:space="preserve"> must update the register </w:t>
      </w:r>
      <w:r w:rsidR="00277749" w:rsidRPr="004A5227">
        <w:t xml:space="preserve">of </w:t>
      </w:r>
      <w:proofErr w:type="spellStart"/>
      <w:r w:rsidR="00277749" w:rsidRPr="004A5227">
        <w:t>smartnumbers</w:t>
      </w:r>
      <w:proofErr w:type="spellEnd"/>
      <w:r w:rsidR="00277749" w:rsidRPr="004A5227">
        <w:t xml:space="preserve"> (see</w:t>
      </w:r>
      <w:r w:rsidRPr="004A5227">
        <w:t xml:space="preserve"> section</w:t>
      </w:r>
      <w:r w:rsidR="004A5227" w:rsidRPr="004A5227">
        <w:t> </w:t>
      </w:r>
      <w:r w:rsidR="00CA6815" w:rsidRPr="004A5227">
        <w:t>78</w:t>
      </w:r>
      <w:r w:rsidR="00277749" w:rsidRPr="004A5227">
        <w:t>)</w:t>
      </w:r>
      <w:r w:rsidRPr="004A5227">
        <w:t>.</w:t>
      </w:r>
    </w:p>
    <w:p w:rsidR="00042830" w:rsidRPr="004A5227" w:rsidRDefault="00042830" w:rsidP="00943F76">
      <w:pPr>
        <w:pStyle w:val="ActHead2"/>
        <w:pageBreakBefore/>
      </w:pPr>
      <w:bookmarkStart w:id="110" w:name="_Toc413419108"/>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Enhanced rights of use</w:t>
      </w:r>
      <w:bookmarkEnd w:id="110"/>
    </w:p>
    <w:p w:rsidR="009A4D8F" w:rsidRPr="004A5227" w:rsidRDefault="009A4D8F" w:rsidP="009A4D8F">
      <w:pPr>
        <w:pStyle w:val="Header"/>
      </w:pPr>
      <w:r w:rsidRPr="004A5227">
        <w:rPr>
          <w:rStyle w:val="CharDivNo"/>
        </w:rPr>
        <w:t xml:space="preserve"> </w:t>
      </w:r>
      <w:r w:rsidRPr="004A5227">
        <w:rPr>
          <w:rStyle w:val="CharDivText"/>
        </w:rPr>
        <w:t xml:space="preserve"> </w:t>
      </w:r>
    </w:p>
    <w:p w:rsidR="00042830" w:rsidRPr="004A5227" w:rsidRDefault="00CA6815" w:rsidP="00042830">
      <w:pPr>
        <w:pStyle w:val="ActHead5"/>
      </w:pPr>
      <w:bookmarkStart w:id="111" w:name="_Toc413419109"/>
      <w:r w:rsidRPr="004A5227">
        <w:rPr>
          <w:rStyle w:val="CharSectno"/>
        </w:rPr>
        <w:t>76</w:t>
      </w:r>
      <w:r w:rsidR="00042830" w:rsidRPr="004A5227">
        <w:t xml:space="preserve">  Enhanced rights of use</w:t>
      </w:r>
      <w:bookmarkEnd w:id="111"/>
    </w:p>
    <w:p w:rsidR="00042830" w:rsidRPr="004A5227" w:rsidRDefault="00042830" w:rsidP="00042830">
      <w:pPr>
        <w:pStyle w:val="subsection"/>
      </w:pPr>
      <w:r w:rsidRPr="004A5227">
        <w:tab/>
        <w:t>(1)</w:t>
      </w:r>
      <w:r w:rsidRPr="004A5227">
        <w:tab/>
        <w:t xml:space="preserve">The following enhanced rights of use for a </w:t>
      </w:r>
      <w:proofErr w:type="spellStart"/>
      <w:r w:rsidRPr="004A5227">
        <w:t>smartnumber</w:t>
      </w:r>
      <w:proofErr w:type="spellEnd"/>
      <w:r w:rsidRPr="004A5227">
        <w:t xml:space="preserve"> are conferred on the </w:t>
      </w:r>
      <w:proofErr w:type="spellStart"/>
      <w:r w:rsidRPr="004A5227">
        <w:t>EROU</w:t>
      </w:r>
      <w:proofErr w:type="spellEnd"/>
      <w:r w:rsidR="004A5227">
        <w:noBreakHyphen/>
      </w:r>
      <w:r w:rsidRPr="004A5227">
        <w:t xml:space="preserve">holder for the </w:t>
      </w:r>
      <w:proofErr w:type="spellStart"/>
      <w:r w:rsidRPr="004A5227">
        <w:t>smartnumber</w:t>
      </w:r>
      <w:proofErr w:type="spellEnd"/>
      <w:r w:rsidRPr="004A5227">
        <w:t>:</w:t>
      </w:r>
    </w:p>
    <w:p w:rsidR="00042830" w:rsidRPr="004A5227" w:rsidRDefault="00042830" w:rsidP="00042830">
      <w:pPr>
        <w:pStyle w:val="paragraph"/>
      </w:pPr>
      <w:r w:rsidRPr="004A5227">
        <w:tab/>
        <w:t>(a)</w:t>
      </w:r>
      <w:r w:rsidRPr="004A5227">
        <w:tab/>
        <w:t>the right to request a registered carriage service provider (which may be the provider that was the joint applicant under s</w:t>
      </w:r>
      <w:r w:rsidR="009E301C" w:rsidRPr="004A5227">
        <w:t>ection</w:t>
      </w:r>
      <w:r w:rsidR="004A5227" w:rsidRPr="004A5227">
        <w:t> </w:t>
      </w:r>
      <w:r w:rsidR="00CA6815" w:rsidRPr="004A5227">
        <w:t>73</w:t>
      </w:r>
      <w:r w:rsidR="009E301C" w:rsidRPr="004A5227">
        <w:t xml:space="preserve"> or another</w:t>
      </w:r>
      <w:r w:rsidRPr="004A5227">
        <w:t xml:space="preserve"> provider) to supply a carriage service on the </w:t>
      </w:r>
      <w:proofErr w:type="spellStart"/>
      <w:r w:rsidRPr="004A5227">
        <w:t>smartnumber</w:t>
      </w:r>
      <w:proofErr w:type="spellEnd"/>
      <w:r w:rsidRPr="004A5227">
        <w:t>;</w:t>
      </w:r>
    </w:p>
    <w:p w:rsidR="00042830" w:rsidRPr="004A5227" w:rsidRDefault="00042830" w:rsidP="00042830">
      <w:pPr>
        <w:pStyle w:val="paragraph"/>
      </w:pPr>
      <w:r w:rsidRPr="004A5227">
        <w:tab/>
        <w:t>(b)</w:t>
      </w:r>
      <w:r w:rsidRPr="004A5227">
        <w:tab/>
        <w:t>the right to trade the enhanced rights of use, as set out in section</w:t>
      </w:r>
      <w:r w:rsidR="004A5227" w:rsidRPr="004A5227">
        <w:t> </w:t>
      </w:r>
      <w:r w:rsidR="00CA6815" w:rsidRPr="004A5227">
        <w:t>79</w:t>
      </w:r>
      <w:r w:rsidRPr="004A5227">
        <w:t>;</w:t>
      </w:r>
    </w:p>
    <w:p w:rsidR="00042830" w:rsidRPr="004A5227" w:rsidRDefault="00370865" w:rsidP="00042830">
      <w:pPr>
        <w:pStyle w:val="paragraph"/>
      </w:pPr>
      <w:r w:rsidRPr="004A5227">
        <w:tab/>
        <w:t>(c)</w:t>
      </w:r>
      <w:r w:rsidRPr="004A5227">
        <w:tab/>
        <w:t xml:space="preserve">the right to ask a registered </w:t>
      </w:r>
      <w:r w:rsidR="00042830" w:rsidRPr="004A5227">
        <w:t xml:space="preserve">carriage service provider to surrender the </w:t>
      </w:r>
      <w:proofErr w:type="spellStart"/>
      <w:r w:rsidR="00042830" w:rsidRPr="004A5227">
        <w:t>smartnumber</w:t>
      </w:r>
      <w:proofErr w:type="spellEnd"/>
      <w:r w:rsidR="00042830" w:rsidRPr="004A5227">
        <w:t>, as set out in section</w:t>
      </w:r>
      <w:r w:rsidR="004A5227" w:rsidRPr="004A5227">
        <w:t> </w:t>
      </w:r>
      <w:r w:rsidR="00CA6815" w:rsidRPr="004A5227">
        <w:t>80</w:t>
      </w:r>
      <w:r w:rsidR="00042830" w:rsidRPr="004A5227">
        <w:t>;</w:t>
      </w:r>
    </w:p>
    <w:p w:rsidR="00042830" w:rsidRPr="004A5227" w:rsidRDefault="00042830" w:rsidP="00042830">
      <w:pPr>
        <w:pStyle w:val="paragraph"/>
      </w:pPr>
      <w:r w:rsidRPr="004A5227">
        <w:tab/>
        <w:t>(d)</w:t>
      </w:r>
      <w:r w:rsidRPr="004A5227">
        <w:tab/>
        <w:t xml:space="preserve">the right to give up all rights in relation to the </w:t>
      </w:r>
      <w:proofErr w:type="spellStart"/>
      <w:r w:rsidRPr="004A5227">
        <w:t>smartnumber</w:t>
      </w:r>
      <w:proofErr w:type="spellEnd"/>
      <w:r w:rsidRPr="004A5227">
        <w:t>;</w:t>
      </w:r>
    </w:p>
    <w:p w:rsidR="00042830" w:rsidRPr="004A5227" w:rsidRDefault="00042830" w:rsidP="00042830">
      <w:pPr>
        <w:pStyle w:val="paragraph"/>
      </w:pPr>
      <w:r w:rsidRPr="004A5227">
        <w:tab/>
        <w:t>(e)</w:t>
      </w:r>
      <w:r w:rsidRPr="004A5227">
        <w:tab/>
        <w:t>except as set out in section</w:t>
      </w:r>
      <w:r w:rsidR="004A5227" w:rsidRPr="004A5227">
        <w:t> </w:t>
      </w:r>
      <w:r w:rsidR="00CA6815" w:rsidRPr="004A5227">
        <w:t>85</w:t>
      </w:r>
      <w:r w:rsidR="0089269A" w:rsidRPr="004A5227">
        <w:t xml:space="preserve">, the right </w:t>
      </w:r>
      <w:r w:rsidR="009E029C" w:rsidRPr="004A5227">
        <w:t xml:space="preserve">to have no active service in place for the </w:t>
      </w:r>
      <w:proofErr w:type="spellStart"/>
      <w:r w:rsidR="009E029C" w:rsidRPr="004A5227">
        <w:t>smartnumber</w:t>
      </w:r>
      <w:proofErr w:type="spellEnd"/>
      <w:r w:rsidRPr="004A5227">
        <w:t>;</w:t>
      </w:r>
    </w:p>
    <w:p w:rsidR="00042830" w:rsidRPr="004A5227" w:rsidRDefault="00042830" w:rsidP="00042830">
      <w:pPr>
        <w:pStyle w:val="paragraph"/>
      </w:pPr>
      <w:r w:rsidRPr="004A5227">
        <w:tab/>
        <w:t>(f)</w:t>
      </w:r>
      <w:r w:rsidRPr="004A5227">
        <w:tab/>
        <w:t xml:space="preserve">the right to ask a registered carriage service provider to </w:t>
      </w:r>
      <w:r w:rsidR="00B94FEF" w:rsidRPr="004A5227">
        <w:t xml:space="preserve">apply for the allocation of the </w:t>
      </w:r>
      <w:proofErr w:type="spellStart"/>
      <w:r w:rsidRPr="004A5227">
        <w:t>smartnumber</w:t>
      </w:r>
      <w:proofErr w:type="spellEnd"/>
      <w:r w:rsidR="00581A5A" w:rsidRPr="004A5227">
        <w:t xml:space="preserve"> under section</w:t>
      </w:r>
      <w:r w:rsidR="004A5227" w:rsidRPr="004A5227">
        <w:t> </w:t>
      </w:r>
      <w:r w:rsidR="00CA6815" w:rsidRPr="004A5227">
        <w:t>58</w:t>
      </w:r>
      <w:r w:rsidRPr="004A5227">
        <w:t xml:space="preserve">, if it </w:t>
      </w:r>
      <w:r w:rsidR="00A86F9E" w:rsidRPr="004A5227">
        <w:t>is</w:t>
      </w:r>
      <w:r w:rsidRPr="004A5227">
        <w:t xml:space="preserve"> an </w:t>
      </w:r>
      <w:r w:rsidR="00A86F9E" w:rsidRPr="004A5227">
        <w:t>assigne</w:t>
      </w:r>
      <w:r w:rsidR="009E301C" w:rsidRPr="004A5227">
        <w:t xml:space="preserve">d </w:t>
      </w:r>
      <w:r w:rsidRPr="004A5227">
        <w:t>unallocated smart number;</w:t>
      </w:r>
    </w:p>
    <w:p w:rsidR="00042830" w:rsidRPr="004A5227" w:rsidRDefault="00042830" w:rsidP="00042830">
      <w:pPr>
        <w:pStyle w:val="paragraph"/>
      </w:pPr>
      <w:r w:rsidRPr="004A5227">
        <w:tab/>
        <w:t>(g)</w:t>
      </w:r>
      <w:r w:rsidRPr="004A5227">
        <w:tab/>
        <w:t xml:space="preserve">the right to disconnection of an active service on the </w:t>
      </w:r>
      <w:proofErr w:type="spellStart"/>
      <w:r w:rsidRPr="004A5227">
        <w:t>smartnumber</w:t>
      </w:r>
      <w:proofErr w:type="spellEnd"/>
      <w:r w:rsidRPr="004A5227">
        <w:t xml:space="preserve"> at any time.</w:t>
      </w:r>
    </w:p>
    <w:p w:rsidR="00042830" w:rsidRPr="004A5227" w:rsidRDefault="00042830" w:rsidP="00042830">
      <w:pPr>
        <w:pStyle w:val="subsection"/>
      </w:pPr>
      <w:r w:rsidRPr="004A5227">
        <w:tab/>
        <w:t>(2)</w:t>
      </w:r>
      <w:r w:rsidRPr="004A5227">
        <w:tab/>
        <w:t xml:space="preserve">The right to disconnection of an active service does not affect the validity of any agreement for the delivery of services between the </w:t>
      </w:r>
      <w:r w:rsidR="00743F77" w:rsidRPr="004A5227">
        <w:t>person</w:t>
      </w:r>
      <w:r w:rsidRPr="004A5227">
        <w:t xml:space="preserve"> to whom the services are provided and the carriage service provider</w:t>
      </w:r>
      <w:r w:rsidR="00370865" w:rsidRPr="004A5227">
        <w:t xml:space="preserve"> concerned</w:t>
      </w:r>
      <w:r w:rsidRPr="004A5227">
        <w:t>.</w:t>
      </w:r>
    </w:p>
    <w:p w:rsidR="00042830" w:rsidRPr="004A5227" w:rsidRDefault="00042830" w:rsidP="00042830">
      <w:pPr>
        <w:pStyle w:val="subsection"/>
      </w:pPr>
      <w:r w:rsidRPr="004A5227">
        <w:tab/>
        <w:t>(3)</w:t>
      </w:r>
      <w:r w:rsidRPr="004A5227">
        <w:tab/>
        <w:t xml:space="preserve">A carriage service provider need not act on a request by a person purporting to be the </w:t>
      </w:r>
      <w:proofErr w:type="spellStart"/>
      <w:r w:rsidRPr="004A5227">
        <w:t>EROU</w:t>
      </w:r>
      <w:proofErr w:type="spellEnd"/>
      <w:r w:rsidR="004A5227">
        <w:noBreakHyphen/>
      </w:r>
      <w:r w:rsidRPr="004A5227">
        <w:t xml:space="preserve">holder unless the carriage service provider is satisfied that the person who made the request is the current </w:t>
      </w:r>
      <w:proofErr w:type="spellStart"/>
      <w:r w:rsidRPr="004A5227">
        <w:t>EROU</w:t>
      </w:r>
      <w:proofErr w:type="spellEnd"/>
      <w:r w:rsidR="004A5227">
        <w:noBreakHyphen/>
      </w:r>
      <w:r w:rsidRPr="004A5227">
        <w:t xml:space="preserve">holder. For the purpose of being so satisfied, the carriage service provider is entitled to rely on the register of </w:t>
      </w:r>
      <w:proofErr w:type="spellStart"/>
      <w:r w:rsidRPr="004A5227">
        <w:t>smartnumbers</w:t>
      </w:r>
      <w:proofErr w:type="spellEnd"/>
      <w:r w:rsidRPr="004A5227">
        <w:t>.</w:t>
      </w:r>
    </w:p>
    <w:p w:rsidR="00042830" w:rsidRPr="004A5227" w:rsidRDefault="00CA6815" w:rsidP="00042830">
      <w:pPr>
        <w:pStyle w:val="ActHead5"/>
      </w:pPr>
      <w:bookmarkStart w:id="112" w:name="_Toc413419110"/>
      <w:r w:rsidRPr="004A5227">
        <w:rPr>
          <w:rStyle w:val="CharSectno"/>
        </w:rPr>
        <w:t>77</w:t>
      </w:r>
      <w:r w:rsidR="00042830" w:rsidRPr="004A5227">
        <w:t xml:space="preserve">  Reallocation and issue</w:t>
      </w:r>
      <w:bookmarkEnd w:id="112"/>
    </w:p>
    <w:p w:rsidR="00042830" w:rsidRPr="004A5227" w:rsidRDefault="00042830" w:rsidP="00042830">
      <w:pPr>
        <w:pStyle w:val="subsection"/>
      </w:pPr>
      <w:r w:rsidRPr="004A5227">
        <w:tab/>
        <w:t>(1)</w:t>
      </w:r>
      <w:r w:rsidRPr="004A5227">
        <w:tab/>
        <w:t>This section applies if:</w:t>
      </w:r>
    </w:p>
    <w:p w:rsidR="00042830" w:rsidRPr="004A5227" w:rsidRDefault="00042830" w:rsidP="00042830">
      <w:pPr>
        <w:pStyle w:val="paragraph"/>
      </w:pPr>
      <w:r w:rsidRPr="004A5227">
        <w:tab/>
        <w:t>(a)</w:t>
      </w:r>
      <w:r w:rsidRPr="004A5227">
        <w:tab/>
        <w:t xml:space="preserve">the allocation of a </w:t>
      </w:r>
      <w:proofErr w:type="spellStart"/>
      <w:r w:rsidRPr="004A5227">
        <w:t>smartnumber</w:t>
      </w:r>
      <w:proofErr w:type="spellEnd"/>
      <w:r w:rsidRPr="004A5227">
        <w:t>:</w:t>
      </w:r>
    </w:p>
    <w:p w:rsidR="00042830" w:rsidRPr="004A5227" w:rsidRDefault="00042830" w:rsidP="00042830">
      <w:pPr>
        <w:pStyle w:val="paragraphsub"/>
      </w:pPr>
      <w:r w:rsidRPr="004A5227">
        <w:tab/>
        <w:t>(</w:t>
      </w:r>
      <w:proofErr w:type="spellStart"/>
      <w:r w:rsidRPr="004A5227">
        <w:t>i</w:t>
      </w:r>
      <w:proofErr w:type="spellEnd"/>
      <w:r w:rsidRPr="004A5227">
        <w:t>)</w:t>
      </w:r>
      <w:r w:rsidRPr="004A5227">
        <w:tab/>
      </w:r>
      <w:r w:rsidR="00581A5A" w:rsidRPr="004A5227">
        <w:t>is taken to have been surrendered under paragraph</w:t>
      </w:r>
      <w:r w:rsidR="004A5227" w:rsidRPr="004A5227">
        <w:t> </w:t>
      </w:r>
      <w:r w:rsidR="00CA6815" w:rsidRPr="004A5227">
        <w:t>75</w:t>
      </w:r>
      <w:r w:rsidRPr="004A5227">
        <w:t>(3)</w:t>
      </w:r>
      <w:r w:rsidR="00581A5A" w:rsidRPr="004A5227">
        <w:t>(a)</w:t>
      </w:r>
      <w:r w:rsidRPr="004A5227">
        <w:t>; or</w:t>
      </w:r>
    </w:p>
    <w:p w:rsidR="00042830" w:rsidRPr="004A5227" w:rsidRDefault="00042830" w:rsidP="00042830">
      <w:pPr>
        <w:pStyle w:val="paragraphsub"/>
      </w:pPr>
      <w:r w:rsidRPr="004A5227">
        <w:tab/>
        <w:t>(ii)</w:t>
      </w:r>
      <w:r w:rsidRPr="004A5227">
        <w:tab/>
        <w:t>has bee</w:t>
      </w:r>
      <w:r w:rsidR="00233AC6" w:rsidRPr="004A5227">
        <w:t>n surrendered under section</w:t>
      </w:r>
      <w:r w:rsidR="004A5227" w:rsidRPr="004A5227">
        <w:t> </w:t>
      </w:r>
      <w:r w:rsidR="00CA6815" w:rsidRPr="004A5227">
        <w:t>80</w:t>
      </w:r>
      <w:r w:rsidRPr="004A5227">
        <w:t xml:space="preserve">; </w:t>
      </w:r>
      <w:r w:rsidR="00655B0D" w:rsidRPr="004A5227">
        <w:t>or</w:t>
      </w:r>
    </w:p>
    <w:p w:rsidR="00655B0D" w:rsidRPr="004A5227" w:rsidRDefault="00655B0D" w:rsidP="00042830">
      <w:pPr>
        <w:pStyle w:val="paragraphsub"/>
      </w:pPr>
      <w:r w:rsidRPr="004A5227">
        <w:tab/>
        <w:t>(iii)</w:t>
      </w:r>
      <w:r w:rsidRPr="004A5227">
        <w:tab/>
        <w:t>has been withdrawn under Part</w:t>
      </w:r>
      <w:r w:rsidR="004A5227" w:rsidRPr="004A5227">
        <w:t> </w:t>
      </w:r>
      <w:r w:rsidRPr="004A5227">
        <w:t>3 of Chapter</w:t>
      </w:r>
      <w:r w:rsidR="004A5227" w:rsidRPr="004A5227">
        <w:t> </w:t>
      </w:r>
      <w:r w:rsidRPr="004A5227">
        <w:t>8; and</w:t>
      </w:r>
    </w:p>
    <w:p w:rsidR="00042830" w:rsidRPr="004A5227" w:rsidRDefault="00042830" w:rsidP="00042830">
      <w:pPr>
        <w:pStyle w:val="paragraph"/>
      </w:pPr>
      <w:r w:rsidRPr="004A5227">
        <w:tab/>
        <w:t>(b)</w:t>
      </w:r>
      <w:r w:rsidRPr="004A5227">
        <w:tab/>
        <w:t xml:space="preserve">the </w:t>
      </w:r>
      <w:proofErr w:type="spellStart"/>
      <w:r w:rsidRPr="004A5227">
        <w:t>EROU</w:t>
      </w:r>
      <w:proofErr w:type="spellEnd"/>
      <w:r w:rsidR="004A5227">
        <w:noBreakHyphen/>
      </w:r>
      <w:r w:rsidRPr="004A5227">
        <w:t xml:space="preserve">holder for the </w:t>
      </w:r>
      <w:proofErr w:type="spellStart"/>
      <w:r w:rsidRPr="004A5227">
        <w:t>smartnumber</w:t>
      </w:r>
      <w:proofErr w:type="spellEnd"/>
      <w:r w:rsidRPr="004A5227">
        <w:t xml:space="preserve"> requests a </w:t>
      </w:r>
      <w:r w:rsidR="00233AC6" w:rsidRPr="004A5227">
        <w:t xml:space="preserve">registered </w:t>
      </w:r>
      <w:r w:rsidRPr="004A5227">
        <w:t xml:space="preserve">carriage service provider (which may be the </w:t>
      </w:r>
      <w:r w:rsidR="00084021" w:rsidRPr="004A5227">
        <w:t>p</w:t>
      </w:r>
      <w:r w:rsidRPr="004A5227">
        <w:t>rovider that was the joint applicant under section</w:t>
      </w:r>
      <w:r w:rsidR="004A5227" w:rsidRPr="004A5227">
        <w:t> </w:t>
      </w:r>
      <w:r w:rsidR="00CA6815" w:rsidRPr="004A5227">
        <w:t>73</w:t>
      </w:r>
      <w:r w:rsidRPr="004A5227">
        <w:t xml:space="preserve"> for the </w:t>
      </w:r>
      <w:proofErr w:type="spellStart"/>
      <w:r w:rsidRPr="004A5227">
        <w:t>smartnumber</w:t>
      </w:r>
      <w:proofErr w:type="spellEnd"/>
      <w:r w:rsidRPr="004A5227">
        <w:t xml:space="preserve">, or another provider) to apply to have the </w:t>
      </w:r>
      <w:proofErr w:type="spellStart"/>
      <w:r w:rsidRPr="004A5227">
        <w:t>smartnumber</w:t>
      </w:r>
      <w:proofErr w:type="spellEnd"/>
      <w:r w:rsidRPr="004A5227">
        <w:t xml:space="preserve"> allocated to the provider.</w:t>
      </w:r>
    </w:p>
    <w:p w:rsidR="00042830" w:rsidRPr="004A5227" w:rsidRDefault="00042830" w:rsidP="00042830">
      <w:pPr>
        <w:pStyle w:val="subsection"/>
      </w:pPr>
      <w:r w:rsidRPr="004A5227">
        <w:tab/>
        <w:t>(2)</w:t>
      </w:r>
      <w:r w:rsidRPr="004A5227">
        <w:tab/>
        <w:t xml:space="preserve">The registered carriage service provider must apply for the allocation of the </w:t>
      </w:r>
      <w:proofErr w:type="spellStart"/>
      <w:r w:rsidRPr="004A5227">
        <w:t>smartnumber</w:t>
      </w:r>
      <w:proofErr w:type="spellEnd"/>
      <w:r w:rsidRPr="004A5227">
        <w:t xml:space="preserve"> under section</w:t>
      </w:r>
      <w:r w:rsidR="004A5227" w:rsidRPr="004A5227">
        <w:t> </w:t>
      </w:r>
      <w:r w:rsidR="00CA6815" w:rsidRPr="004A5227">
        <w:t>58</w:t>
      </w:r>
      <w:r w:rsidRPr="004A5227">
        <w:t>.</w:t>
      </w:r>
    </w:p>
    <w:p w:rsidR="00042830" w:rsidRPr="004A5227" w:rsidRDefault="00042830" w:rsidP="00042830">
      <w:pPr>
        <w:pStyle w:val="subsection"/>
      </w:pPr>
      <w:r w:rsidRPr="004A5227">
        <w:tab/>
        <w:t>(3)</w:t>
      </w:r>
      <w:r w:rsidRPr="004A5227">
        <w:tab/>
        <w:t xml:space="preserve">The registered carriage service provider must issue the </w:t>
      </w:r>
      <w:proofErr w:type="spellStart"/>
      <w:r w:rsidRPr="004A5227">
        <w:t>smartnumber</w:t>
      </w:r>
      <w:proofErr w:type="spellEnd"/>
      <w:r w:rsidRPr="004A5227">
        <w:t xml:space="preserve"> to the </w:t>
      </w:r>
      <w:proofErr w:type="spellStart"/>
      <w:r w:rsidRPr="004A5227">
        <w:t>EROU</w:t>
      </w:r>
      <w:proofErr w:type="spellEnd"/>
      <w:r w:rsidR="004A5227">
        <w:noBreakHyphen/>
      </w:r>
      <w:r w:rsidRPr="004A5227">
        <w:t>holder as soon as practicable after:</w:t>
      </w:r>
    </w:p>
    <w:p w:rsidR="00042830" w:rsidRPr="004A5227" w:rsidRDefault="00042830" w:rsidP="00042830">
      <w:pPr>
        <w:pStyle w:val="paragraph"/>
      </w:pPr>
      <w:r w:rsidRPr="004A5227">
        <w:lastRenderedPageBreak/>
        <w:tab/>
        <w:t>(a)</w:t>
      </w:r>
      <w:r w:rsidRPr="004A5227">
        <w:tab/>
        <w:t xml:space="preserve">the </w:t>
      </w:r>
      <w:proofErr w:type="spellStart"/>
      <w:r w:rsidRPr="004A5227">
        <w:t>smartnumber</w:t>
      </w:r>
      <w:proofErr w:type="spellEnd"/>
      <w:r w:rsidRPr="004A5227">
        <w:t xml:space="preserve"> has been allocated to the carriage service provider; and</w:t>
      </w:r>
    </w:p>
    <w:p w:rsidR="00042830" w:rsidRPr="004A5227" w:rsidRDefault="00042830" w:rsidP="00042830">
      <w:pPr>
        <w:pStyle w:val="paragraph"/>
      </w:pPr>
      <w:r w:rsidRPr="004A5227">
        <w:tab/>
        <w:t>(b)</w:t>
      </w:r>
      <w:r w:rsidRPr="004A5227">
        <w:tab/>
        <w:t xml:space="preserve">the carriage service provider and the </w:t>
      </w:r>
      <w:proofErr w:type="spellStart"/>
      <w:r w:rsidRPr="004A5227">
        <w:t>EROU</w:t>
      </w:r>
      <w:proofErr w:type="spellEnd"/>
      <w:r w:rsidR="004A5227">
        <w:noBreakHyphen/>
      </w:r>
      <w:r w:rsidRPr="004A5227">
        <w:t xml:space="preserve">holder have agreed about the delivery of services for the </w:t>
      </w:r>
      <w:proofErr w:type="spellStart"/>
      <w:r w:rsidRPr="004A5227">
        <w:t>smartnumber</w:t>
      </w:r>
      <w:proofErr w:type="spellEnd"/>
      <w:r w:rsidRPr="004A5227">
        <w:t>.</w:t>
      </w:r>
    </w:p>
    <w:p w:rsidR="00042830" w:rsidRPr="004A5227" w:rsidRDefault="00CA6815" w:rsidP="00042830">
      <w:pPr>
        <w:pStyle w:val="ActHead5"/>
      </w:pPr>
      <w:bookmarkStart w:id="113" w:name="_Toc413419111"/>
      <w:r w:rsidRPr="004A5227">
        <w:rPr>
          <w:rStyle w:val="CharSectno"/>
        </w:rPr>
        <w:t>78</w:t>
      </w:r>
      <w:r w:rsidR="00042830" w:rsidRPr="004A5227">
        <w:t xml:space="preserve">  Register of </w:t>
      </w:r>
      <w:proofErr w:type="spellStart"/>
      <w:r w:rsidR="00042830" w:rsidRPr="004A5227">
        <w:t>smartnumbers</w:t>
      </w:r>
      <w:bookmarkEnd w:id="113"/>
      <w:proofErr w:type="spellEnd"/>
    </w:p>
    <w:p w:rsidR="00042830" w:rsidRPr="004A5227" w:rsidRDefault="009329B9" w:rsidP="00042830">
      <w:pPr>
        <w:pStyle w:val="subsection"/>
      </w:pPr>
      <w:r w:rsidRPr="004A5227">
        <w:tab/>
        <w:t>(1)</w:t>
      </w:r>
      <w:r w:rsidRPr="004A5227">
        <w:tab/>
        <w:t xml:space="preserve">The </w:t>
      </w:r>
      <w:proofErr w:type="spellStart"/>
      <w:r w:rsidRPr="004A5227">
        <w:t>ACMA</w:t>
      </w:r>
      <w:proofErr w:type="spellEnd"/>
      <w:r w:rsidRPr="004A5227">
        <w:t xml:space="preserve"> must maintain</w:t>
      </w:r>
      <w:r w:rsidR="00042830" w:rsidRPr="004A5227">
        <w:t xml:space="preserve"> a register of </w:t>
      </w:r>
      <w:proofErr w:type="spellStart"/>
      <w:r w:rsidR="00042830" w:rsidRPr="004A5227">
        <w:t>smartnumbers</w:t>
      </w:r>
      <w:proofErr w:type="spellEnd"/>
      <w:r w:rsidR="00042830" w:rsidRPr="004A5227">
        <w:t>.</w:t>
      </w:r>
    </w:p>
    <w:p w:rsidR="00042830" w:rsidRPr="004A5227" w:rsidRDefault="00042830" w:rsidP="00042830">
      <w:pPr>
        <w:pStyle w:val="subsection"/>
      </w:pPr>
      <w:r w:rsidRPr="004A5227">
        <w:tab/>
        <w:t>(2)</w:t>
      </w:r>
      <w:r w:rsidRPr="004A5227">
        <w:tab/>
        <w:t xml:space="preserve">The register is to contain the following information for each </w:t>
      </w:r>
      <w:proofErr w:type="spellStart"/>
      <w:r w:rsidRPr="004A5227">
        <w:t>smartnumber</w:t>
      </w:r>
      <w:proofErr w:type="spellEnd"/>
      <w:r w:rsidRPr="004A5227">
        <w:t xml:space="preserve"> for which there is an </w:t>
      </w:r>
      <w:proofErr w:type="spellStart"/>
      <w:r w:rsidRPr="004A5227">
        <w:t>EROU</w:t>
      </w:r>
      <w:proofErr w:type="spellEnd"/>
      <w:r w:rsidR="004A5227">
        <w:noBreakHyphen/>
      </w:r>
      <w:r w:rsidRPr="004A5227">
        <w:t>holder:</w:t>
      </w:r>
    </w:p>
    <w:p w:rsidR="00042830" w:rsidRPr="004A5227" w:rsidRDefault="00042830" w:rsidP="00042830">
      <w:pPr>
        <w:pStyle w:val="paragraph"/>
      </w:pPr>
      <w:r w:rsidRPr="004A5227">
        <w:tab/>
        <w:t>(a)</w:t>
      </w:r>
      <w:r w:rsidRPr="004A5227">
        <w:tab/>
        <w:t xml:space="preserve">the </w:t>
      </w:r>
      <w:proofErr w:type="spellStart"/>
      <w:r w:rsidRPr="004A5227">
        <w:t>smart</w:t>
      </w:r>
      <w:r w:rsidR="002270CD" w:rsidRPr="004A5227">
        <w:t>number</w:t>
      </w:r>
      <w:proofErr w:type="spellEnd"/>
      <w:r w:rsidR="002270CD" w:rsidRPr="004A5227">
        <w:t>;</w:t>
      </w:r>
    </w:p>
    <w:p w:rsidR="00042830" w:rsidRPr="004A5227" w:rsidRDefault="00042830" w:rsidP="00042830">
      <w:pPr>
        <w:pStyle w:val="paragraph"/>
      </w:pPr>
      <w:r w:rsidRPr="004A5227">
        <w:tab/>
        <w:t>(b)</w:t>
      </w:r>
      <w:r w:rsidRPr="004A5227">
        <w:tab/>
        <w:t xml:space="preserve">the name of the </w:t>
      </w:r>
      <w:proofErr w:type="spellStart"/>
      <w:r w:rsidRPr="004A5227">
        <w:t>EROU</w:t>
      </w:r>
      <w:proofErr w:type="spellEnd"/>
      <w:r w:rsidR="004A5227">
        <w:noBreakHyphen/>
      </w:r>
      <w:r w:rsidRPr="004A5227">
        <w:t xml:space="preserve">holder for the </w:t>
      </w:r>
      <w:proofErr w:type="spellStart"/>
      <w:r w:rsidRPr="004A5227">
        <w:t>smart</w:t>
      </w:r>
      <w:r w:rsidR="002270CD" w:rsidRPr="004A5227">
        <w:t>number</w:t>
      </w:r>
      <w:proofErr w:type="spellEnd"/>
      <w:r w:rsidR="002270CD" w:rsidRPr="004A5227">
        <w:t>;</w:t>
      </w:r>
    </w:p>
    <w:p w:rsidR="00042830" w:rsidRPr="004A5227" w:rsidRDefault="00042830" w:rsidP="00042830">
      <w:pPr>
        <w:pStyle w:val="paragraph"/>
      </w:pPr>
      <w:r w:rsidRPr="004A5227">
        <w:tab/>
        <w:t>(c)</w:t>
      </w:r>
      <w:r w:rsidRPr="004A5227">
        <w:tab/>
        <w:t xml:space="preserve">if the </w:t>
      </w:r>
      <w:proofErr w:type="spellStart"/>
      <w:r w:rsidRPr="004A5227">
        <w:t>EROU</w:t>
      </w:r>
      <w:proofErr w:type="spellEnd"/>
      <w:r w:rsidR="004A5227">
        <w:noBreakHyphen/>
      </w:r>
      <w:r w:rsidRPr="004A5227">
        <w:t xml:space="preserve">holder agrees, </w:t>
      </w:r>
      <w:r w:rsidR="00EB6A38" w:rsidRPr="004A5227">
        <w:t xml:space="preserve">the </w:t>
      </w:r>
      <w:proofErr w:type="spellStart"/>
      <w:r w:rsidR="00EB6A38" w:rsidRPr="004A5227">
        <w:t>EROU</w:t>
      </w:r>
      <w:proofErr w:type="spellEnd"/>
      <w:r w:rsidR="004A5227">
        <w:noBreakHyphen/>
      </w:r>
      <w:r w:rsidR="00EB6A38" w:rsidRPr="004A5227">
        <w:t xml:space="preserve">holder’s </w:t>
      </w:r>
      <w:r w:rsidRPr="004A5227">
        <w:t>address, telephone and fax numbers and email address.</w:t>
      </w:r>
    </w:p>
    <w:p w:rsidR="00042830" w:rsidRPr="004A5227" w:rsidRDefault="00042830" w:rsidP="00042830">
      <w:pPr>
        <w:pStyle w:val="subsection"/>
      </w:pPr>
      <w:r w:rsidRPr="004A5227">
        <w:tab/>
        <w:t>(3)</w:t>
      </w:r>
      <w:r w:rsidRPr="004A5227">
        <w:tab/>
        <w:t xml:space="preserve">The </w:t>
      </w:r>
      <w:proofErr w:type="spellStart"/>
      <w:r w:rsidRPr="004A5227">
        <w:t>EROU</w:t>
      </w:r>
      <w:proofErr w:type="spellEnd"/>
      <w:r w:rsidR="004A5227">
        <w:noBreakHyphen/>
      </w:r>
      <w:r w:rsidRPr="004A5227">
        <w:t xml:space="preserve">holder for a </w:t>
      </w:r>
      <w:proofErr w:type="spellStart"/>
      <w:r w:rsidRPr="004A5227">
        <w:t>smartnumber</w:t>
      </w:r>
      <w:proofErr w:type="spellEnd"/>
      <w:r w:rsidRPr="004A5227">
        <w:t xml:space="preserve"> must update the register, using the form made available by the </w:t>
      </w:r>
      <w:proofErr w:type="spellStart"/>
      <w:r w:rsidRPr="004A5227">
        <w:t>ACMA</w:t>
      </w:r>
      <w:proofErr w:type="spellEnd"/>
      <w:r w:rsidRPr="004A5227">
        <w:t xml:space="preserve">, with any change </w:t>
      </w:r>
      <w:r w:rsidR="00EB6A38" w:rsidRPr="004A5227">
        <w:t xml:space="preserve">in the </w:t>
      </w:r>
      <w:proofErr w:type="spellStart"/>
      <w:r w:rsidR="00EB6A38" w:rsidRPr="004A5227">
        <w:t>EROU</w:t>
      </w:r>
      <w:proofErr w:type="spellEnd"/>
      <w:r w:rsidR="004A5227">
        <w:noBreakHyphen/>
      </w:r>
      <w:r w:rsidR="00EB6A38" w:rsidRPr="004A5227">
        <w:t xml:space="preserve">holder’s </w:t>
      </w:r>
      <w:r w:rsidRPr="004A5227">
        <w:t>address, telephone and fax numbers or email address which are contained in the register.</w:t>
      </w:r>
    </w:p>
    <w:p w:rsidR="00042830" w:rsidRPr="004A5227" w:rsidRDefault="00042830" w:rsidP="00042830">
      <w:pPr>
        <w:pStyle w:val="subsection"/>
      </w:pPr>
      <w:r w:rsidRPr="004A5227">
        <w:tab/>
        <w:t>(4)</w:t>
      </w:r>
      <w:r w:rsidRPr="004A5227">
        <w:tab/>
        <w:t xml:space="preserve">A person who becomes the </w:t>
      </w:r>
      <w:proofErr w:type="spellStart"/>
      <w:r w:rsidRPr="004A5227">
        <w:t>EROU</w:t>
      </w:r>
      <w:proofErr w:type="spellEnd"/>
      <w:r w:rsidR="004A5227">
        <w:noBreakHyphen/>
      </w:r>
      <w:r w:rsidRPr="004A5227">
        <w:t xml:space="preserve">holder for a </w:t>
      </w:r>
      <w:proofErr w:type="spellStart"/>
      <w:r w:rsidRPr="004A5227">
        <w:t>smartnumber</w:t>
      </w:r>
      <w:proofErr w:type="spellEnd"/>
      <w:r w:rsidRPr="004A5227">
        <w:t xml:space="preserve"> as the result of a trade must update the register, using the form made available by the </w:t>
      </w:r>
      <w:proofErr w:type="spellStart"/>
      <w:r w:rsidRPr="004A5227">
        <w:t>ACMA</w:t>
      </w:r>
      <w:proofErr w:type="spellEnd"/>
      <w:r w:rsidRPr="004A5227">
        <w:t xml:space="preserve">, with </w:t>
      </w:r>
      <w:r w:rsidR="00EB6A38" w:rsidRPr="004A5227">
        <w:t xml:space="preserve">the </w:t>
      </w:r>
      <w:proofErr w:type="spellStart"/>
      <w:r w:rsidR="00EB6A38" w:rsidRPr="004A5227">
        <w:t>EROU</w:t>
      </w:r>
      <w:proofErr w:type="spellEnd"/>
      <w:r w:rsidR="004A5227">
        <w:noBreakHyphen/>
      </w:r>
      <w:r w:rsidR="00EB6A38" w:rsidRPr="004A5227">
        <w:t xml:space="preserve">holder’s </w:t>
      </w:r>
      <w:r w:rsidRPr="004A5227">
        <w:t xml:space="preserve">name and, if the </w:t>
      </w:r>
      <w:proofErr w:type="spellStart"/>
      <w:r w:rsidRPr="004A5227">
        <w:t>EROU</w:t>
      </w:r>
      <w:proofErr w:type="spellEnd"/>
      <w:r w:rsidR="004A5227">
        <w:noBreakHyphen/>
      </w:r>
      <w:r w:rsidRPr="004A5227">
        <w:t xml:space="preserve">holder agrees, </w:t>
      </w:r>
      <w:r w:rsidR="00EB6A38" w:rsidRPr="004A5227">
        <w:t xml:space="preserve">the </w:t>
      </w:r>
      <w:proofErr w:type="spellStart"/>
      <w:r w:rsidR="00EB6A38" w:rsidRPr="004A5227">
        <w:t>EROU</w:t>
      </w:r>
      <w:proofErr w:type="spellEnd"/>
      <w:r w:rsidR="004A5227">
        <w:noBreakHyphen/>
      </w:r>
      <w:r w:rsidR="00EB6A38" w:rsidRPr="004A5227">
        <w:t xml:space="preserve">holder’s </w:t>
      </w:r>
      <w:r w:rsidRPr="004A5227">
        <w:t>address, telephone and fax numbers and email address.</w:t>
      </w:r>
    </w:p>
    <w:p w:rsidR="00042830" w:rsidRPr="004A5227" w:rsidRDefault="00042830" w:rsidP="00042830">
      <w:pPr>
        <w:pStyle w:val="subsection"/>
      </w:pPr>
      <w:r w:rsidRPr="004A5227">
        <w:tab/>
        <w:t>(5)</w:t>
      </w:r>
      <w:r w:rsidRPr="004A5227">
        <w:tab/>
        <w:t xml:space="preserve">The </w:t>
      </w:r>
      <w:proofErr w:type="spellStart"/>
      <w:r w:rsidRPr="004A5227">
        <w:t>ACMA</w:t>
      </w:r>
      <w:proofErr w:type="spellEnd"/>
      <w:r w:rsidRPr="004A5227">
        <w:t xml:space="preserve"> must make the register available to the public.</w:t>
      </w:r>
    </w:p>
    <w:p w:rsidR="00042830" w:rsidRPr="004A5227" w:rsidRDefault="00042830" w:rsidP="00042830">
      <w:pPr>
        <w:pStyle w:val="subsection"/>
      </w:pPr>
      <w:r w:rsidRPr="004A5227">
        <w:tab/>
        <w:t>(6)</w:t>
      </w:r>
      <w:r w:rsidRPr="004A5227">
        <w:tab/>
        <w:t>The register may be in electronic form.</w:t>
      </w:r>
    </w:p>
    <w:p w:rsidR="00042830" w:rsidRPr="004A5227" w:rsidRDefault="00042830" w:rsidP="00042830">
      <w:pPr>
        <w:pStyle w:val="subsection"/>
      </w:pPr>
      <w:r w:rsidRPr="004A5227">
        <w:tab/>
        <w:t>(7)</w:t>
      </w:r>
      <w:r w:rsidRPr="004A5227">
        <w:tab/>
        <w:t xml:space="preserve">The </w:t>
      </w:r>
      <w:proofErr w:type="spellStart"/>
      <w:r w:rsidRPr="004A5227">
        <w:t>ACMA</w:t>
      </w:r>
      <w:proofErr w:type="spellEnd"/>
      <w:r w:rsidRPr="004A5227">
        <w:t xml:space="preserve"> may correct any error or omission in the register information about the </w:t>
      </w:r>
      <w:proofErr w:type="spellStart"/>
      <w:r w:rsidR="009670E8" w:rsidRPr="004A5227">
        <w:t>E</w:t>
      </w:r>
      <w:r w:rsidRPr="004A5227">
        <w:t>ROU</w:t>
      </w:r>
      <w:proofErr w:type="spellEnd"/>
      <w:r w:rsidR="004A5227">
        <w:noBreakHyphen/>
      </w:r>
      <w:r w:rsidRPr="004A5227">
        <w:t xml:space="preserve">holder for a </w:t>
      </w:r>
      <w:proofErr w:type="spellStart"/>
      <w:r w:rsidRPr="004A5227">
        <w:t>smartnumber</w:t>
      </w:r>
      <w:proofErr w:type="spellEnd"/>
      <w:r w:rsidRPr="004A5227">
        <w:t>.</w:t>
      </w:r>
    </w:p>
    <w:p w:rsidR="00042830" w:rsidRPr="004A5227" w:rsidRDefault="00CA6815" w:rsidP="00042830">
      <w:pPr>
        <w:pStyle w:val="ActHead5"/>
      </w:pPr>
      <w:bookmarkStart w:id="114" w:name="_Toc413419112"/>
      <w:r w:rsidRPr="004A5227">
        <w:rPr>
          <w:rStyle w:val="CharSectno"/>
        </w:rPr>
        <w:t>79</w:t>
      </w:r>
      <w:r w:rsidR="00042830" w:rsidRPr="004A5227">
        <w:t xml:space="preserve">  Trading the enhanced rights of use and licensing a </w:t>
      </w:r>
      <w:proofErr w:type="spellStart"/>
      <w:r w:rsidR="00042830" w:rsidRPr="004A5227">
        <w:t>smartnumber</w:t>
      </w:r>
      <w:bookmarkEnd w:id="114"/>
      <w:proofErr w:type="spellEnd"/>
    </w:p>
    <w:p w:rsidR="00042830" w:rsidRPr="004A5227" w:rsidRDefault="00042830" w:rsidP="00042830">
      <w:pPr>
        <w:pStyle w:val="subsection"/>
      </w:pPr>
      <w:r w:rsidRPr="004A5227">
        <w:tab/>
        <w:t>(1)</w:t>
      </w:r>
      <w:r w:rsidRPr="004A5227">
        <w:tab/>
        <w:t xml:space="preserve">The </w:t>
      </w:r>
      <w:proofErr w:type="spellStart"/>
      <w:r w:rsidRPr="004A5227">
        <w:t>EROU</w:t>
      </w:r>
      <w:proofErr w:type="spellEnd"/>
      <w:r w:rsidR="004A5227">
        <w:noBreakHyphen/>
      </w:r>
      <w:r w:rsidRPr="004A5227">
        <w:t xml:space="preserve">holder for a </w:t>
      </w:r>
      <w:proofErr w:type="spellStart"/>
      <w:r w:rsidRPr="004A5227">
        <w:t>smartnumber</w:t>
      </w:r>
      <w:proofErr w:type="spellEnd"/>
      <w:r w:rsidRPr="004A5227">
        <w:t xml:space="preserve"> may trade all </w:t>
      </w:r>
      <w:r w:rsidR="00EB6A38" w:rsidRPr="004A5227">
        <w:t xml:space="preserve">the </w:t>
      </w:r>
      <w:proofErr w:type="spellStart"/>
      <w:r w:rsidR="00EB6A38" w:rsidRPr="004A5227">
        <w:t>EROU</w:t>
      </w:r>
      <w:proofErr w:type="spellEnd"/>
      <w:r w:rsidR="004A5227">
        <w:noBreakHyphen/>
      </w:r>
      <w:r w:rsidR="00EB6A38" w:rsidRPr="004A5227">
        <w:t xml:space="preserve">holder’s </w:t>
      </w:r>
      <w:r w:rsidRPr="004A5227">
        <w:t xml:space="preserve">enhanced rights of use. However, this does not entitle the </w:t>
      </w:r>
      <w:proofErr w:type="spellStart"/>
      <w:r w:rsidRPr="004A5227">
        <w:t>EROU</w:t>
      </w:r>
      <w:proofErr w:type="spellEnd"/>
      <w:r w:rsidR="004A5227">
        <w:noBreakHyphen/>
      </w:r>
      <w:r w:rsidRPr="004A5227">
        <w:t>holder to trade only some of the enhanced rights of use.</w:t>
      </w:r>
    </w:p>
    <w:p w:rsidR="00042830" w:rsidRPr="004A5227" w:rsidRDefault="00042830" w:rsidP="00042830">
      <w:pPr>
        <w:pStyle w:val="notetext"/>
      </w:pPr>
      <w:r w:rsidRPr="004A5227">
        <w:t>Note:</w:t>
      </w:r>
      <w:r w:rsidRPr="004A5227">
        <w:tab/>
        <w:t xml:space="preserve">The surrender of the </w:t>
      </w:r>
      <w:proofErr w:type="spellStart"/>
      <w:r w:rsidRPr="004A5227">
        <w:t>smartnumber</w:t>
      </w:r>
      <w:proofErr w:type="spellEnd"/>
      <w:r w:rsidRPr="004A5227">
        <w:t xml:space="preserve"> does not prevent the </w:t>
      </w:r>
      <w:proofErr w:type="spellStart"/>
      <w:r w:rsidRPr="004A5227">
        <w:t>EROU</w:t>
      </w:r>
      <w:proofErr w:type="spellEnd"/>
      <w:r w:rsidR="004A5227">
        <w:noBreakHyphen/>
      </w:r>
      <w:r w:rsidRPr="004A5227">
        <w:t xml:space="preserve">holder from trading the </w:t>
      </w:r>
      <w:r w:rsidR="00A20844" w:rsidRPr="004A5227">
        <w:t xml:space="preserve">enhanced rights of use for the </w:t>
      </w:r>
      <w:proofErr w:type="spellStart"/>
      <w:r w:rsidRPr="004A5227">
        <w:t>smartnumber</w:t>
      </w:r>
      <w:proofErr w:type="spellEnd"/>
      <w:r w:rsidRPr="004A5227">
        <w:t>.</w:t>
      </w:r>
    </w:p>
    <w:p w:rsidR="00042830" w:rsidRPr="004A5227" w:rsidRDefault="00042830" w:rsidP="00042830">
      <w:pPr>
        <w:pStyle w:val="subsection"/>
      </w:pPr>
      <w:r w:rsidRPr="004A5227">
        <w:tab/>
        <w:t>(2)</w:t>
      </w:r>
      <w:r w:rsidRPr="004A5227">
        <w:tab/>
        <w:t xml:space="preserve">The </w:t>
      </w:r>
      <w:proofErr w:type="spellStart"/>
      <w:r w:rsidRPr="004A5227">
        <w:t>EROU</w:t>
      </w:r>
      <w:proofErr w:type="spellEnd"/>
      <w:r w:rsidR="004A5227">
        <w:noBreakHyphen/>
      </w:r>
      <w:r w:rsidRPr="004A5227">
        <w:t xml:space="preserve">holder for a </w:t>
      </w:r>
      <w:proofErr w:type="spellStart"/>
      <w:r w:rsidRPr="004A5227">
        <w:t>smartnumber</w:t>
      </w:r>
      <w:proofErr w:type="spellEnd"/>
      <w:r w:rsidRPr="004A5227">
        <w:t xml:space="preserve"> may license another person to have an active service on the </w:t>
      </w:r>
      <w:proofErr w:type="spellStart"/>
      <w:r w:rsidRPr="004A5227">
        <w:t>smartnumber</w:t>
      </w:r>
      <w:proofErr w:type="spellEnd"/>
      <w:r w:rsidRPr="004A5227">
        <w:t>.</w:t>
      </w:r>
    </w:p>
    <w:p w:rsidR="00042830" w:rsidRPr="004A5227" w:rsidRDefault="00042830" w:rsidP="00042830">
      <w:pPr>
        <w:pStyle w:val="notetext"/>
      </w:pPr>
      <w:r w:rsidRPr="004A5227">
        <w:t>Note:</w:t>
      </w:r>
      <w:r w:rsidRPr="004A5227">
        <w:tab/>
        <w:t>A carriage service provider must not hinde</w:t>
      </w:r>
      <w:r w:rsidR="007D43B4" w:rsidRPr="004A5227">
        <w:t xml:space="preserve">r the porting of a </w:t>
      </w:r>
      <w:proofErr w:type="spellStart"/>
      <w:r w:rsidR="007D43B4" w:rsidRPr="004A5227">
        <w:t>smartnumber</w:t>
      </w:r>
      <w:proofErr w:type="spellEnd"/>
      <w:r w:rsidR="008631B1" w:rsidRPr="004A5227">
        <w:t xml:space="preserve">: </w:t>
      </w:r>
      <w:r w:rsidRPr="004A5227">
        <w:t>see section</w:t>
      </w:r>
      <w:r w:rsidR="004A5227" w:rsidRPr="004A5227">
        <w:t> </w:t>
      </w:r>
      <w:r w:rsidR="00CA6815" w:rsidRPr="004A5227">
        <w:t>111</w:t>
      </w:r>
      <w:r w:rsidRPr="004A5227">
        <w:t>.</w:t>
      </w:r>
    </w:p>
    <w:p w:rsidR="00042830" w:rsidRPr="004A5227" w:rsidRDefault="00042830" w:rsidP="009A50CB">
      <w:pPr>
        <w:pStyle w:val="subsection"/>
      </w:pPr>
      <w:r w:rsidRPr="004A5227">
        <w:tab/>
        <w:t>(3)</w:t>
      </w:r>
      <w:r w:rsidRPr="004A5227">
        <w:tab/>
        <w:t>A trade of the enhanced rights of use</w:t>
      </w:r>
      <w:r w:rsidR="009A50CB" w:rsidRPr="004A5227">
        <w:t xml:space="preserve"> does not come into effect until the </w:t>
      </w:r>
      <w:proofErr w:type="spellStart"/>
      <w:r w:rsidR="009A50CB" w:rsidRPr="004A5227">
        <w:t>ACMA</w:t>
      </w:r>
      <w:proofErr w:type="spellEnd"/>
      <w:r w:rsidR="009A50CB" w:rsidRPr="004A5227">
        <w:t xml:space="preserve"> is notified of the trade in the form approved by the </w:t>
      </w:r>
      <w:proofErr w:type="spellStart"/>
      <w:r w:rsidR="009A50CB" w:rsidRPr="004A5227">
        <w:t>ACMA</w:t>
      </w:r>
      <w:proofErr w:type="spellEnd"/>
      <w:r w:rsidR="009A50CB" w:rsidRPr="004A5227">
        <w:t>.</w:t>
      </w:r>
    </w:p>
    <w:p w:rsidR="008631B1" w:rsidRPr="004A5227" w:rsidRDefault="00042830" w:rsidP="009A50CB">
      <w:pPr>
        <w:pStyle w:val="notetext"/>
      </w:pPr>
      <w:r w:rsidRPr="004A5227">
        <w:t>Note:</w:t>
      </w:r>
      <w:r w:rsidRPr="004A5227">
        <w:tab/>
        <w:t xml:space="preserve">A person who becomes the </w:t>
      </w:r>
      <w:proofErr w:type="spellStart"/>
      <w:r w:rsidRPr="004A5227">
        <w:t>EROU</w:t>
      </w:r>
      <w:proofErr w:type="spellEnd"/>
      <w:r w:rsidR="004A5227">
        <w:noBreakHyphen/>
      </w:r>
      <w:r w:rsidRPr="004A5227">
        <w:t>holder as the result of a trade must ensure that the Register contains accurate information</w:t>
      </w:r>
      <w:r w:rsidR="008631B1" w:rsidRPr="004A5227">
        <w:t xml:space="preserve">: </w:t>
      </w:r>
      <w:r w:rsidRPr="004A5227">
        <w:t>see section</w:t>
      </w:r>
      <w:r w:rsidR="004A5227" w:rsidRPr="004A5227">
        <w:t> </w:t>
      </w:r>
      <w:r w:rsidR="00CA6815" w:rsidRPr="004A5227">
        <w:t>78</w:t>
      </w:r>
      <w:r w:rsidR="009A50CB" w:rsidRPr="004A5227">
        <w:t>.</w:t>
      </w:r>
    </w:p>
    <w:p w:rsidR="00042830" w:rsidRPr="004A5227" w:rsidRDefault="008631B1" w:rsidP="007D43B4">
      <w:pPr>
        <w:pStyle w:val="subsection"/>
      </w:pPr>
      <w:r w:rsidRPr="004A5227">
        <w:tab/>
        <w:t>(</w:t>
      </w:r>
      <w:r w:rsidR="009A50CB" w:rsidRPr="004A5227">
        <w:t>4</w:t>
      </w:r>
      <w:r w:rsidRPr="004A5227">
        <w:t>)</w:t>
      </w:r>
      <w:r w:rsidRPr="004A5227">
        <w:tab/>
      </w:r>
      <w:r w:rsidR="00042830" w:rsidRPr="004A5227">
        <w:t xml:space="preserve">Strict compliance with the </w:t>
      </w:r>
      <w:r w:rsidRPr="004A5227">
        <w:t xml:space="preserve">approved </w:t>
      </w:r>
      <w:r w:rsidR="00042830" w:rsidRPr="004A5227">
        <w:t>form is required.</w:t>
      </w:r>
    </w:p>
    <w:p w:rsidR="00042830" w:rsidRPr="004A5227" w:rsidRDefault="00042830" w:rsidP="00042830">
      <w:pPr>
        <w:pStyle w:val="subsection"/>
      </w:pPr>
      <w:r w:rsidRPr="004A5227">
        <w:tab/>
        <w:t>(</w:t>
      </w:r>
      <w:r w:rsidR="009A50CB" w:rsidRPr="004A5227">
        <w:t>5</w:t>
      </w:r>
      <w:r w:rsidRPr="004A5227">
        <w:t>)</w:t>
      </w:r>
      <w:r w:rsidRPr="004A5227">
        <w:tab/>
        <w:t xml:space="preserve">The carriage service provider to which the </w:t>
      </w:r>
      <w:proofErr w:type="spellStart"/>
      <w:r w:rsidRPr="004A5227">
        <w:t>smartnumber</w:t>
      </w:r>
      <w:proofErr w:type="spellEnd"/>
      <w:r w:rsidRPr="004A5227">
        <w:t xml:space="preserve"> is allocated must not do anything to hinder the trading of the enhanced rights of use or </w:t>
      </w:r>
      <w:r w:rsidR="008631B1" w:rsidRPr="004A5227">
        <w:t xml:space="preserve">the </w:t>
      </w:r>
      <w:r w:rsidRPr="004A5227">
        <w:t xml:space="preserve">licensing </w:t>
      </w:r>
      <w:r w:rsidR="008631B1" w:rsidRPr="004A5227">
        <w:t xml:space="preserve">of </w:t>
      </w:r>
      <w:r w:rsidRPr="004A5227">
        <w:t xml:space="preserve">the </w:t>
      </w:r>
      <w:proofErr w:type="spellStart"/>
      <w:r w:rsidRPr="004A5227">
        <w:t>smartnumber</w:t>
      </w:r>
      <w:proofErr w:type="spellEnd"/>
      <w:r w:rsidRPr="004A5227">
        <w:t>.</w:t>
      </w:r>
    </w:p>
    <w:p w:rsidR="009A50CB" w:rsidRPr="004A5227" w:rsidRDefault="00CA6815" w:rsidP="00042830">
      <w:pPr>
        <w:pStyle w:val="ActHead5"/>
      </w:pPr>
      <w:bookmarkStart w:id="115" w:name="_Toc413419113"/>
      <w:r w:rsidRPr="004A5227">
        <w:rPr>
          <w:rStyle w:val="CharSectno"/>
        </w:rPr>
        <w:lastRenderedPageBreak/>
        <w:t>80</w:t>
      </w:r>
      <w:r w:rsidR="00D83E32" w:rsidRPr="004A5227">
        <w:t xml:space="preserve">  </w:t>
      </w:r>
      <w:r w:rsidR="009A50CB" w:rsidRPr="004A5227">
        <w:t>Application to s</w:t>
      </w:r>
      <w:r w:rsidR="00D83E32" w:rsidRPr="004A5227">
        <w:t xml:space="preserve">urrender </w:t>
      </w:r>
      <w:proofErr w:type="spellStart"/>
      <w:r w:rsidR="00D83E32" w:rsidRPr="004A5227">
        <w:t>smartnumber</w:t>
      </w:r>
      <w:bookmarkEnd w:id="115"/>
      <w:proofErr w:type="spellEnd"/>
    </w:p>
    <w:p w:rsidR="009A50CB" w:rsidRPr="004A5227" w:rsidRDefault="009A50CB" w:rsidP="009A50CB">
      <w:pPr>
        <w:pStyle w:val="subsection"/>
      </w:pPr>
      <w:r w:rsidRPr="004A5227">
        <w:tab/>
        <w:t>(1)</w:t>
      </w:r>
      <w:r w:rsidRPr="004A5227">
        <w:tab/>
        <w:t xml:space="preserve">A carriage service provider that holds a </w:t>
      </w:r>
      <w:proofErr w:type="spellStart"/>
      <w:r w:rsidRPr="004A5227">
        <w:t>smartnumber</w:t>
      </w:r>
      <w:proofErr w:type="spellEnd"/>
      <w:r w:rsidRPr="004A5227">
        <w:t xml:space="preserve"> may apply to the </w:t>
      </w:r>
      <w:proofErr w:type="spellStart"/>
      <w:r w:rsidRPr="004A5227">
        <w:t>ACMA</w:t>
      </w:r>
      <w:proofErr w:type="spellEnd"/>
      <w:r w:rsidRPr="004A5227">
        <w:t xml:space="preserve"> to surrender the </w:t>
      </w:r>
      <w:proofErr w:type="spellStart"/>
      <w:r w:rsidRPr="004A5227">
        <w:t>smartnumber</w:t>
      </w:r>
      <w:proofErr w:type="spellEnd"/>
      <w:r w:rsidRPr="004A5227">
        <w:t xml:space="preserve"> if there is no carriage service being provided using the </w:t>
      </w:r>
      <w:proofErr w:type="spellStart"/>
      <w:r w:rsidRPr="004A5227">
        <w:t>smartnumber</w:t>
      </w:r>
      <w:proofErr w:type="spellEnd"/>
      <w:r w:rsidRPr="004A5227">
        <w:t>.</w:t>
      </w:r>
    </w:p>
    <w:p w:rsidR="009A50CB" w:rsidRPr="004A5227" w:rsidRDefault="00E71E26" w:rsidP="009A50CB">
      <w:pPr>
        <w:pStyle w:val="subsection"/>
      </w:pPr>
      <w:r w:rsidRPr="004A5227">
        <w:tab/>
        <w:t>(2)</w:t>
      </w:r>
      <w:r w:rsidRPr="004A5227">
        <w:tab/>
      </w:r>
      <w:r w:rsidR="009A50CB" w:rsidRPr="004A5227">
        <w:t xml:space="preserve">If the </w:t>
      </w:r>
      <w:proofErr w:type="spellStart"/>
      <w:r w:rsidR="009A50CB" w:rsidRPr="004A5227">
        <w:t>EROU</w:t>
      </w:r>
      <w:proofErr w:type="spellEnd"/>
      <w:r w:rsidR="004A5227">
        <w:noBreakHyphen/>
      </w:r>
      <w:r w:rsidR="009A50CB" w:rsidRPr="004A5227">
        <w:t xml:space="preserve">holder for the </w:t>
      </w:r>
      <w:proofErr w:type="spellStart"/>
      <w:r w:rsidR="009A50CB" w:rsidRPr="004A5227">
        <w:t>smartnumber</w:t>
      </w:r>
      <w:proofErr w:type="spellEnd"/>
      <w:r w:rsidR="009A50CB" w:rsidRPr="004A5227">
        <w:t xml:space="preserve"> makes a request </w:t>
      </w:r>
      <w:r w:rsidRPr="004A5227">
        <w:t xml:space="preserve">to the carriage service provider to surrender the </w:t>
      </w:r>
      <w:proofErr w:type="spellStart"/>
      <w:r w:rsidRPr="004A5227">
        <w:t>smartnumber</w:t>
      </w:r>
      <w:proofErr w:type="spellEnd"/>
      <w:r w:rsidRPr="004A5227">
        <w:t xml:space="preserve">, and there is no carriage service being provided, the carriage service provider must make an application to the </w:t>
      </w:r>
      <w:proofErr w:type="spellStart"/>
      <w:r w:rsidRPr="004A5227">
        <w:t>ACMA</w:t>
      </w:r>
      <w:proofErr w:type="spellEnd"/>
      <w:r w:rsidRPr="004A5227">
        <w:t xml:space="preserve"> </w:t>
      </w:r>
      <w:r w:rsidR="006C6E10" w:rsidRPr="004A5227">
        <w:t>no later than</w:t>
      </w:r>
      <w:r w:rsidRPr="004A5227">
        <w:t xml:space="preserve"> 5 business days </w:t>
      </w:r>
      <w:r w:rsidR="006C6E10" w:rsidRPr="004A5227">
        <w:t>after</w:t>
      </w:r>
      <w:r w:rsidRPr="004A5227">
        <w:t xml:space="preserve"> receiving the request.</w:t>
      </w:r>
    </w:p>
    <w:p w:rsidR="009A50CB" w:rsidRPr="004A5227" w:rsidRDefault="00E71E26" w:rsidP="00E71E26">
      <w:pPr>
        <w:pStyle w:val="notetext"/>
      </w:pPr>
      <w:r w:rsidRPr="004A5227">
        <w:t>Note:</w:t>
      </w:r>
      <w:r w:rsidRPr="004A5227">
        <w:tab/>
        <w:t xml:space="preserve">The </w:t>
      </w:r>
      <w:proofErr w:type="spellStart"/>
      <w:r w:rsidRPr="004A5227">
        <w:t>EROU</w:t>
      </w:r>
      <w:proofErr w:type="spellEnd"/>
      <w:r w:rsidR="004A5227">
        <w:noBreakHyphen/>
      </w:r>
      <w:r w:rsidRPr="004A5227">
        <w:t xml:space="preserve">holder retains the rights to trade the enhanced rights of use for the </w:t>
      </w:r>
      <w:proofErr w:type="spellStart"/>
      <w:r w:rsidRPr="004A5227">
        <w:t>smartnumber</w:t>
      </w:r>
      <w:proofErr w:type="spellEnd"/>
      <w:r w:rsidRPr="004A5227">
        <w:t xml:space="preserve"> and to ask a carriage service provider to apply for allocation of the </w:t>
      </w:r>
      <w:proofErr w:type="spellStart"/>
      <w:r w:rsidRPr="004A5227">
        <w:t>smartnumber</w:t>
      </w:r>
      <w:proofErr w:type="spellEnd"/>
      <w:r w:rsidRPr="004A5227">
        <w:t>: see section</w:t>
      </w:r>
      <w:r w:rsidR="004A5227" w:rsidRPr="004A5227">
        <w:t> </w:t>
      </w:r>
      <w:r w:rsidR="00CA6815" w:rsidRPr="004A5227">
        <w:t>76</w:t>
      </w:r>
      <w:r w:rsidRPr="004A5227">
        <w:t>.</w:t>
      </w:r>
    </w:p>
    <w:p w:rsidR="009A50CB" w:rsidRPr="004A5227" w:rsidRDefault="009A50CB" w:rsidP="009A50CB">
      <w:pPr>
        <w:pStyle w:val="subsection"/>
      </w:pPr>
      <w:r w:rsidRPr="004A5227">
        <w:tab/>
      </w:r>
      <w:r w:rsidR="00E71E26" w:rsidRPr="004A5227">
        <w:t>(3</w:t>
      </w:r>
      <w:r w:rsidRPr="004A5227">
        <w:t>)</w:t>
      </w:r>
      <w:r w:rsidRPr="004A5227">
        <w:tab/>
        <w:t xml:space="preserve">The application must be in a form approved by the </w:t>
      </w:r>
      <w:proofErr w:type="spellStart"/>
      <w:r w:rsidRPr="004A5227">
        <w:t>ACMA</w:t>
      </w:r>
      <w:proofErr w:type="spellEnd"/>
      <w:r w:rsidRPr="004A5227">
        <w:t>.</w:t>
      </w:r>
    </w:p>
    <w:p w:rsidR="009A50CB" w:rsidRPr="004A5227" w:rsidRDefault="009A50CB" w:rsidP="009A50CB">
      <w:pPr>
        <w:pStyle w:val="subsection"/>
      </w:pPr>
      <w:r w:rsidRPr="004A5227">
        <w:tab/>
      </w:r>
      <w:r w:rsidR="00E71E26" w:rsidRPr="004A5227">
        <w:t>(4</w:t>
      </w:r>
      <w:r w:rsidRPr="004A5227">
        <w:t>)</w:t>
      </w:r>
      <w:r w:rsidRPr="004A5227">
        <w:tab/>
        <w:t>Strict compliance with the approved form is required.</w:t>
      </w:r>
    </w:p>
    <w:p w:rsidR="00E71E26" w:rsidRPr="004A5227" w:rsidRDefault="00E71E26" w:rsidP="009A50CB">
      <w:pPr>
        <w:pStyle w:val="subsection"/>
      </w:pPr>
      <w:r w:rsidRPr="004A5227">
        <w:tab/>
        <w:t>(5)</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E71E26" w:rsidRPr="004A5227" w:rsidRDefault="00CA6815" w:rsidP="00E71E26">
      <w:pPr>
        <w:pStyle w:val="ActHead5"/>
      </w:pPr>
      <w:bookmarkStart w:id="116" w:name="_Toc413419114"/>
      <w:r w:rsidRPr="004A5227">
        <w:rPr>
          <w:rStyle w:val="CharSectno"/>
        </w:rPr>
        <w:t>81</w:t>
      </w:r>
      <w:r w:rsidR="00E71E26" w:rsidRPr="004A5227">
        <w:t xml:space="preserve">  Decision on application to surrender </w:t>
      </w:r>
      <w:proofErr w:type="spellStart"/>
      <w:r w:rsidR="00E71E26" w:rsidRPr="004A5227">
        <w:t>smartnumber</w:t>
      </w:r>
      <w:bookmarkEnd w:id="116"/>
      <w:proofErr w:type="spellEnd"/>
    </w:p>
    <w:p w:rsidR="00E71E26" w:rsidRPr="004A5227" w:rsidRDefault="00E71E26" w:rsidP="00E71E26">
      <w:pPr>
        <w:pStyle w:val="subsection"/>
      </w:pPr>
      <w:r w:rsidRPr="004A5227">
        <w:tab/>
      </w:r>
      <w:r w:rsidRPr="004A5227">
        <w:tab/>
        <w:t xml:space="preserve">The </w:t>
      </w:r>
      <w:proofErr w:type="spellStart"/>
      <w:r w:rsidRPr="004A5227">
        <w:t>ACMA</w:t>
      </w:r>
      <w:proofErr w:type="spellEnd"/>
      <w:r w:rsidRPr="004A5227">
        <w:t xml:space="preserve"> must make a decision on an application made by a carriage service provider under section</w:t>
      </w:r>
      <w:r w:rsidR="004A5227" w:rsidRPr="004A5227">
        <w:t> </w:t>
      </w:r>
      <w:r w:rsidR="00CA6815" w:rsidRPr="004A5227">
        <w:t>80</w:t>
      </w:r>
      <w:r w:rsidRPr="004A5227">
        <w:t xml:space="preserve"> </w:t>
      </w:r>
      <w:r w:rsidR="006C6E10" w:rsidRPr="004A5227">
        <w:t>no later than</w:t>
      </w:r>
      <w:r w:rsidRPr="004A5227">
        <w:t xml:space="preserve"> 10 business days after receiving the application.</w:t>
      </w:r>
    </w:p>
    <w:p w:rsidR="00E71E26" w:rsidRPr="004A5227" w:rsidRDefault="00CA6815" w:rsidP="00E71E26">
      <w:pPr>
        <w:pStyle w:val="ActHead5"/>
      </w:pPr>
      <w:bookmarkStart w:id="117" w:name="_Toc413419115"/>
      <w:r w:rsidRPr="004A5227">
        <w:rPr>
          <w:rStyle w:val="CharSectno"/>
        </w:rPr>
        <w:t>82</w:t>
      </w:r>
      <w:r w:rsidR="00E71E26" w:rsidRPr="004A5227">
        <w:t xml:space="preserve">  Notice of decision</w:t>
      </w:r>
      <w:bookmarkEnd w:id="117"/>
    </w:p>
    <w:p w:rsidR="00E71E26" w:rsidRPr="004A5227" w:rsidRDefault="00E71E26" w:rsidP="00E71E26">
      <w:pPr>
        <w:pStyle w:val="subsection"/>
      </w:pPr>
      <w:r w:rsidRPr="004A5227">
        <w:tab/>
        <w:t>(1)</w:t>
      </w:r>
      <w:r w:rsidRPr="004A5227">
        <w:tab/>
        <w:t>As soon as practicable after making a decision on an application by a carriage service provider under section</w:t>
      </w:r>
      <w:r w:rsidR="004A5227" w:rsidRPr="004A5227">
        <w:t> </w:t>
      </w:r>
      <w:r w:rsidR="00CA6815" w:rsidRPr="004A5227">
        <w:t>80</w:t>
      </w:r>
      <w:r w:rsidRPr="004A5227">
        <w:t xml:space="preserve">, the </w:t>
      </w:r>
      <w:proofErr w:type="spellStart"/>
      <w:r w:rsidRPr="004A5227">
        <w:t>ACMA</w:t>
      </w:r>
      <w:proofErr w:type="spellEnd"/>
      <w:r w:rsidRPr="004A5227">
        <w:t xml:space="preserve"> must notify the carriage service provider of the decision in writing.</w:t>
      </w:r>
    </w:p>
    <w:p w:rsidR="00E71E26" w:rsidRPr="004A5227" w:rsidRDefault="00E71E26" w:rsidP="00E71E26">
      <w:pPr>
        <w:pStyle w:val="subsection"/>
      </w:pPr>
      <w:r w:rsidRPr="004A5227">
        <w:tab/>
        <w:t>(2)</w:t>
      </w:r>
      <w:r w:rsidRPr="004A5227">
        <w:tab/>
        <w:t xml:space="preserve">If the </w:t>
      </w:r>
      <w:proofErr w:type="spellStart"/>
      <w:r w:rsidRPr="004A5227">
        <w:t>ACMA</w:t>
      </w:r>
      <w:proofErr w:type="spellEnd"/>
      <w:r w:rsidRPr="004A5227">
        <w:t xml:space="preserve"> approves the application, the </w:t>
      </w:r>
      <w:proofErr w:type="spellStart"/>
      <w:r w:rsidRPr="004A5227">
        <w:t>ACMA</w:t>
      </w:r>
      <w:proofErr w:type="spellEnd"/>
      <w:r w:rsidRPr="004A5227">
        <w:t xml:space="preserve"> must:</w:t>
      </w:r>
    </w:p>
    <w:p w:rsidR="00E71E26" w:rsidRPr="004A5227" w:rsidRDefault="00E71E26" w:rsidP="00E71E26">
      <w:pPr>
        <w:pStyle w:val="paragraph"/>
      </w:pPr>
      <w:r w:rsidRPr="004A5227">
        <w:tab/>
        <w:t>(a)</w:t>
      </w:r>
      <w:r w:rsidRPr="004A5227">
        <w:tab/>
        <w:t>notify the carriage service provider of the date of surrender; and</w:t>
      </w:r>
    </w:p>
    <w:p w:rsidR="00E71E26" w:rsidRPr="004A5227" w:rsidRDefault="00E71E26" w:rsidP="00E71E26">
      <w:pPr>
        <w:pStyle w:val="paragraph"/>
      </w:pPr>
      <w:r w:rsidRPr="004A5227">
        <w:tab/>
        <w:t>(b)</w:t>
      </w:r>
      <w:r w:rsidRPr="004A5227">
        <w:tab/>
        <w:t xml:space="preserve">if the </w:t>
      </w:r>
      <w:proofErr w:type="spellStart"/>
      <w:r w:rsidRPr="004A5227">
        <w:t>ACMA</w:t>
      </w:r>
      <w:proofErr w:type="spellEnd"/>
      <w:r w:rsidRPr="004A5227">
        <w:t xml:space="preserve"> is not the designated authority—notify the designated authority of the </w:t>
      </w:r>
      <w:proofErr w:type="spellStart"/>
      <w:r w:rsidRPr="004A5227">
        <w:t>smartnumber</w:t>
      </w:r>
      <w:proofErr w:type="spellEnd"/>
      <w:r w:rsidRPr="004A5227">
        <w:t xml:space="preserve"> surrendered and the date of surrender.</w:t>
      </w:r>
    </w:p>
    <w:p w:rsidR="00E71E26" w:rsidRPr="004A5227" w:rsidRDefault="00E71E26" w:rsidP="00E71E26">
      <w:pPr>
        <w:pStyle w:val="subsection"/>
      </w:pPr>
      <w:r w:rsidRPr="004A5227">
        <w:tab/>
        <w:t>(3)</w:t>
      </w:r>
      <w:r w:rsidRPr="004A5227">
        <w:tab/>
        <w:t xml:space="preserve">The date of surrender must be the date of the </w:t>
      </w:r>
      <w:proofErr w:type="spellStart"/>
      <w:r w:rsidRPr="004A5227">
        <w:t>ACMA’s</w:t>
      </w:r>
      <w:proofErr w:type="spellEnd"/>
      <w:r w:rsidRPr="004A5227">
        <w:t xml:space="preserve"> decision.</w:t>
      </w:r>
    </w:p>
    <w:p w:rsidR="00042830" w:rsidRPr="004A5227" w:rsidRDefault="00CA6815" w:rsidP="00042830">
      <w:pPr>
        <w:pStyle w:val="ActHead5"/>
      </w:pPr>
      <w:bookmarkStart w:id="118" w:name="_Toc413419116"/>
      <w:r w:rsidRPr="004A5227">
        <w:rPr>
          <w:rStyle w:val="CharSectno"/>
        </w:rPr>
        <w:t>83</w:t>
      </w:r>
      <w:r w:rsidR="003032EE" w:rsidRPr="004A5227">
        <w:t xml:space="preserve">  Waiver of</w:t>
      </w:r>
      <w:r w:rsidR="00042830" w:rsidRPr="004A5227">
        <w:t xml:space="preserve"> enhanced rights of use</w:t>
      </w:r>
      <w:bookmarkEnd w:id="118"/>
    </w:p>
    <w:p w:rsidR="0013773B" w:rsidRPr="004A5227" w:rsidRDefault="00042830" w:rsidP="0013773B">
      <w:pPr>
        <w:pStyle w:val="subsection"/>
      </w:pPr>
      <w:r w:rsidRPr="004A5227">
        <w:tab/>
      </w:r>
      <w:r w:rsidR="006722CD" w:rsidRPr="004A5227">
        <w:t>(</w:t>
      </w:r>
      <w:r w:rsidR="0013773B" w:rsidRPr="004A5227">
        <w:t>1</w:t>
      </w:r>
      <w:r w:rsidR="006722CD" w:rsidRPr="004A5227">
        <w:t>)</w:t>
      </w:r>
      <w:r w:rsidR="006722CD" w:rsidRPr="004A5227">
        <w:tab/>
      </w:r>
      <w:r w:rsidR="004E7912" w:rsidRPr="004A5227">
        <w:t>The</w:t>
      </w:r>
      <w:r w:rsidR="0013773B" w:rsidRPr="004A5227">
        <w:t xml:space="preserve"> </w:t>
      </w:r>
      <w:proofErr w:type="spellStart"/>
      <w:r w:rsidR="006722CD" w:rsidRPr="004A5227">
        <w:t>EROU</w:t>
      </w:r>
      <w:proofErr w:type="spellEnd"/>
      <w:r w:rsidR="004A5227">
        <w:noBreakHyphen/>
      </w:r>
      <w:r w:rsidR="006722CD" w:rsidRPr="004A5227">
        <w:t xml:space="preserve">holder for </w:t>
      </w:r>
      <w:r w:rsidR="0013773B" w:rsidRPr="004A5227">
        <w:t>an assigned unallocated</w:t>
      </w:r>
      <w:r w:rsidR="006722CD" w:rsidRPr="004A5227">
        <w:t xml:space="preserve"> </w:t>
      </w:r>
      <w:proofErr w:type="spellStart"/>
      <w:r w:rsidR="006722CD" w:rsidRPr="004A5227">
        <w:t>smartnumber</w:t>
      </w:r>
      <w:proofErr w:type="spellEnd"/>
      <w:r w:rsidR="006722CD" w:rsidRPr="004A5227">
        <w:t xml:space="preserve"> </w:t>
      </w:r>
      <w:r w:rsidR="0013773B" w:rsidRPr="004A5227">
        <w:t>may</w:t>
      </w:r>
      <w:r w:rsidR="006722CD" w:rsidRPr="004A5227">
        <w:t xml:space="preserve"> notif</w:t>
      </w:r>
      <w:r w:rsidR="0013773B" w:rsidRPr="004A5227">
        <w:t>y</w:t>
      </w:r>
      <w:r w:rsidR="006722CD" w:rsidRPr="004A5227">
        <w:t xml:space="preserve"> the </w:t>
      </w:r>
      <w:proofErr w:type="spellStart"/>
      <w:r w:rsidR="006722CD" w:rsidRPr="004A5227">
        <w:t>ACMA</w:t>
      </w:r>
      <w:proofErr w:type="spellEnd"/>
      <w:r w:rsidR="0013773B" w:rsidRPr="004A5227">
        <w:t xml:space="preserve">, in </w:t>
      </w:r>
      <w:r w:rsidR="009329B9" w:rsidRPr="004A5227">
        <w:t xml:space="preserve">a form approved by the </w:t>
      </w:r>
      <w:proofErr w:type="spellStart"/>
      <w:r w:rsidR="009329B9" w:rsidRPr="004A5227">
        <w:t>ACMA</w:t>
      </w:r>
      <w:proofErr w:type="spellEnd"/>
      <w:r w:rsidR="0013773B" w:rsidRPr="004A5227">
        <w:t>,</w:t>
      </w:r>
      <w:r w:rsidR="006722CD" w:rsidRPr="004A5227">
        <w:t xml:space="preserve"> that the </w:t>
      </w:r>
      <w:proofErr w:type="spellStart"/>
      <w:r w:rsidR="006722CD" w:rsidRPr="004A5227">
        <w:t>EROU</w:t>
      </w:r>
      <w:proofErr w:type="spellEnd"/>
      <w:r w:rsidR="004A5227">
        <w:noBreakHyphen/>
      </w:r>
      <w:r w:rsidR="006722CD" w:rsidRPr="004A5227">
        <w:t>holder no longer wants the enhanced rights of use fo</w:t>
      </w:r>
      <w:r w:rsidR="0013773B" w:rsidRPr="004A5227">
        <w:t xml:space="preserve">r the </w:t>
      </w:r>
      <w:proofErr w:type="spellStart"/>
      <w:r w:rsidR="0013773B" w:rsidRPr="004A5227">
        <w:t>smartnumber</w:t>
      </w:r>
      <w:proofErr w:type="spellEnd"/>
      <w:r w:rsidR="0013773B" w:rsidRPr="004A5227">
        <w:t>.</w:t>
      </w:r>
    </w:p>
    <w:p w:rsidR="0013773B" w:rsidRPr="004A5227" w:rsidRDefault="0013773B" w:rsidP="0013773B">
      <w:pPr>
        <w:pStyle w:val="notetext"/>
      </w:pPr>
      <w:r w:rsidRPr="004A5227">
        <w:t>Note:</w:t>
      </w:r>
      <w:r w:rsidRPr="004A5227">
        <w:tab/>
        <w:t xml:space="preserve">If an </w:t>
      </w:r>
      <w:proofErr w:type="spellStart"/>
      <w:r w:rsidRPr="004A5227">
        <w:t>EROU</w:t>
      </w:r>
      <w:proofErr w:type="spellEnd"/>
      <w:r w:rsidR="004A5227">
        <w:noBreakHyphen/>
      </w:r>
      <w:r w:rsidR="009329B9" w:rsidRPr="004A5227">
        <w:t>holder</w:t>
      </w:r>
      <w:r w:rsidRPr="004A5227">
        <w:t xml:space="preserve"> wants to give a notice in respect of an allocated </w:t>
      </w:r>
      <w:proofErr w:type="spellStart"/>
      <w:r w:rsidRPr="004A5227">
        <w:t>smartnumber</w:t>
      </w:r>
      <w:proofErr w:type="spellEnd"/>
      <w:r w:rsidRPr="004A5227">
        <w:t xml:space="preserve">, the </w:t>
      </w:r>
      <w:proofErr w:type="spellStart"/>
      <w:r w:rsidRPr="004A5227">
        <w:t>EROU</w:t>
      </w:r>
      <w:proofErr w:type="spellEnd"/>
      <w:r w:rsidR="004A5227">
        <w:noBreakHyphen/>
      </w:r>
      <w:r w:rsidRPr="004A5227">
        <w:t xml:space="preserve">holder would need </w:t>
      </w:r>
      <w:r w:rsidR="007253AD" w:rsidRPr="004A5227">
        <w:t xml:space="preserve">to </w:t>
      </w:r>
      <w:r w:rsidRPr="004A5227">
        <w:t xml:space="preserve">request that the carriage service provider surrender the </w:t>
      </w:r>
      <w:proofErr w:type="spellStart"/>
      <w:r w:rsidRPr="004A5227">
        <w:t>smartnumber</w:t>
      </w:r>
      <w:proofErr w:type="spellEnd"/>
      <w:r w:rsidR="008631B1" w:rsidRPr="004A5227">
        <w:t xml:space="preserve">: </w:t>
      </w:r>
      <w:r w:rsidRPr="004A5227">
        <w:t>see section</w:t>
      </w:r>
      <w:r w:rsidR="004A5227" w:rsidRPr="004A5227">
        <w:t> </w:t>
      </w:r>
      <w:r w:rsidR="00CA6815" w:rsidRPr="004A5227">
        <w:t>80</w:t>
      </w:r>
      <w:r w:rsidRPr="004A5227">
        <w:t>.</w:t>
      </w:r>
    </w:p>
    <w:p w:rsidR="009329B9" w:rsidRPr="004A5227" w:rsidRDefault="0013773B" w:rsidP="0013773B">
      <w:pPr>
        <w:pStyle w:val="subsection"/>
      </w:pPr>
      <w:r w:rsidRPr="004A5227">
        <w:tab/>
      </w:r>
      <w:r w:rsidR="009329B9" w:rsidRPr="004A5227">
        <w:t>(2)</w:t>
      </w:r>
      <w:r w:rsidR="009329B9" w:rsidRPr="004A5227">
        <w:tab/>
        <w:t>Strict compliance with the approved form is required.</w:t>
      </w:r>
    </w:p>
    <w:p w:rsidR="006722CD" w:rsidRPr="004A5227" w:rsidRDefault="009329B9" w:rsidP="0013773B">
      <w:pPr>
        <w:pStyle w:val="subsection"/>
      </w:pPr>
      <w:r w:rsidRPr="004A5227">
        <w:tab/>
      </w:r>
      <w:r w:rsidR="0013773B" w:rsidRPr="004A5227">
        <w:t>(</w:t>
      </w:r>
      <w:r w:rsidRPr="004A5227">
        <w:t>3</w:t>
      </w:r>
      <w:r w:rsidR="0013773B" w:rsidRPr="004A5227">
        <w:t>)</w:t>
      </w:r>
      <w:r w:rsidR="0013773B" w:rsidRPr="004A5227">
        <w:tab/>
      </w:r>
      <w:r w:rsidR="00A041A8" w:rsidRPr="004A5227">
        <w:t xml:space="preserve">At the time when </w:t>
      </w:r>
      <w:r w:rsidR="008E23C5" w:rsidRPr="004A5227">
        <w:t xml:space="preserve">the </w:t>
      </w:r>
      <w:proofErr w:type="spellStart"/>
      <w:r w:rsidR="008E23C5" w:rsidRPr="004A5227">
        <w:t>ACMA</w:t>
      </w:r>
      <w:proofErr w:type="spellEnd"/>
      <w:r w:rsidR="008E23C5" w:rsidRPr="004A5227">
        <w:t xml:space="preserve"> </w:t>
      </w:r>
      <w:r w:rsidR="00A041A8" w:rsidRPr="004A5227">
        <w:t xml:space="preserve">receives a notice </w:t>
      </w:r>
      <w:r w:rsidR="008E23C5" w:rsidRPr="004A5227">
        <w:t xml:space="preserve">under </w:t>
      </w:r>
      <w:r w:rsidR="004A5227" w:rsidRPr="004A5227">
        <w:t>subsection (</w:t>
      </w:r>
      <w:r w:rsidR="008E23C5" w:rsidRPr="004A5227">
        <w:t>1)</w:t>
      </w:r>
      <w:r w:rsidR="006722CD" w:rsidRPr="004A5227">
        <w:t>:</w:t>
      </w:r>
    </w:p>
    <w:p w:rsidR="006722CD" w:rsidRPr="004A5227" w:rsidRDefault="007253AD" w:rsidP="006722CD">
      <w:pPr>
        <w:pStyle w:val="paragraph"/>
      </w:pPr>
      <w:r w:rsidRPr="004A5227">
        <w:tab/>
        <w:t>(a</w:t>
      </w:r>
      <w:r w:rsidR="006722CD" w:rsidRPr="004A5227">
        <w:t>)</w:t>
      </w:r>
      <w:r w:rsidR="003C0C2E" w:rsidRPr="004A5227">
        <w:tab/>
      </w:r>
      <w:r w:rsidR="008631B1" w:rsidRPr="004A5227">
        <w:t xml:space="preserve">the </w:t>
      </w:r>
      <w:proofErr w:type="spellStart"/>
      <w:r w:rsidR="008631B1" w:rsidRPr="004A5227">
        <w:t>smartnumber</w:t>
      </w:r>
      <w:proofErr w:type="spellEnd"/>
      <w:r w:rsidR="008631B1" w:rsidRPr="004A5227">
        <w:t xml:space="preserve"> </w:t>
      </w:r>
      <w:r w:rsidR="003C0C2E" w:rsidRPr="004A5227">
        <w:t>becomes</w:t>
      </w:r>
      <w:r w:rsidR="006722CD" w:rsidRPr="004A5227">
        <w:t xml:space="preserve"> an unassigned unallocated </w:t>
      </w:r>
      <w:proofErr w:type="spellStart"/>
      <w:r w:rsidR="006722CD" w:rsidRPr="004A5227">
        <w:t>smartnumber</w:t>
      </w:r>
      <w:proofErr w:type="spellEnd"/>
      <w:r w:rsidR="006722CD" w:rsidRPr="004A5227">
        <w:t>; and</w:t>
      </w:r>
    </w:p>
    <w:p w:rsidR="006722CD" w:rsidRPr="004A5227" w:rsidRDefault="007253AD" w:rsidP="003D01B7">
      <w:pPr>
        <w:pStyle w:val="paragraph"/>
      </w:pPr>
      <w:r w:rsidRPr="004A5227">
        <w:lastRenderedPageBreak/>
        <w:tab/>
        <w:t>(b</w:t>
      </w:r>
      <w:r w:rsidR="006722CD" w:rsidRPr="004A5227">
        <w:t>)</w:t>
      </w:r>
      <w:r w:rsidR="006722CD" w:rsidRPr="004A5227">
        <w:tab/>
        <w:t xml:space="preserve">the </w:t>
      </w:r>
      <w:proofErr w:type="spellStart"/>
      <w:r w:rsidR="006722CD" w:rsidRPr="004A5227">
        <w:t>EROU</w:t>
      </w:r>
      <w:proofErr w:type="spellEnd"/>
      <w:r w:rsidR="004A5227">
        <w:noBreakHyphen/>
      </w:r>
      <w:r w:rsidR="006722CD" w:rsidRPr="004A5227">
        <w:t xml:space="preserve">holder ceases to be the </w:t>
      </w:r>
      <w:proofErr w:type="spellStart"/>
      <w:r w:rsidR="006722CD" w:rsidRPr="004A5227">
        <w:t>EROU</w:t>
      </w:r>
      <w:proofErr w:type="spellEnd"/>
      <w:r w:rsidR="004A5227">
        <w:noBreakHyphen/>
      </w:r>
      <w:r w:rsidR="006722CD" w:rsidRPr="004A5227">
        <w:t xml:space="preserve">holder for the </w:t>
      </w:r>
      <w:proofErr w:type="spellStart"/>
      <w:r w:rsidR="006722CD" w:rsidRPr="004A5227">
        <w:t>smartnumber</w:t>
      </w:r>
      <w:proofErr w:type="spellEnd"/>
      <w:r w:rsidR="006722CD" w:rsidRPr="004A5227">
        <w:t>.</w:t>
      </w:r>
    </w:p>
    <w:p w:rsidR="003D01B7" w:rsidRPr="004A5227" w:rsidRDefault="003D01B7" w:rsidP="003D01B7">
      <w:pPr>
        <w:pStyle w:val="notetext"/>
      </w:pPr>
      <w:r w:rsidRPr="004A5227">
        <w:t xml:space="preserve">Note: </w:t>
      </w:r>
      <w:r w:rsidRPr="004A5227">
        <w:tab/>
        <w:t xml:space="preserve">An application for the initial allocation of an unassigned unallocated </w:t>
      </w:r>
      <w:proofErr w:type="spellStart"/>
      <w:r w:rsidRPr="004A5227">
        <w:t>smartnumber</w:t>
      </w:r>
      <w:proofErr w:type="spellEnd"/>
      <w:r w:rsidRPr="004A5227">
        <w:t xml:space="preserve"> must be made under </w:t>
      </w:r>
      <w:r w:rsidR="009A65C1" w:rsidRPr="004A5227">
        <w:t>section</w:t>
      </w:r>
      <w:r w:rsidR="004A5227" w:rsidRPr="004A5227">
        <w:t> </w:t>
      </w:r>
      <w:r w:rsidR="00CA6815" w:rsidRPr="004A5227">
        <w:t>73</w:t>
      </w:r>
      <w:r w:rsidRPr="004A5227">
        <w:t>.</w:t>
      </w:r>
    </w:p>
    <w:p w:rsidR="00042830" w:rsidRPr="004A5227" w:rsidRDefault="00CA6815" w:rsidP="00042830">
      <w:pPr>
        <w:pStyle w:val="ActHead5"/>
      </w:pPr>
      <w:bookmarkStart w:id="119" w:name="_Toc413419117"/>
      <w:r w:rsidRPr="004A5227">
        <w:rPr>
          <w:rStyle w:val="CharSectno"/>
        </w:rPr>
        <w:t>84</w:t>
      </w:r>
      <w:r w:rsidR="00042830" w:rsidRPr="004A5227">
        <w:t xml:space="preserve">  Cancellation of enhanced rights of </w:t>
      </w:r>
      <w:r w:rsidR="00060EC0" w:rsidRPr="004A5227">
        <w:t>use</w:t>
      </w:r>
      <w:r w:rsidR="00042830" w:rsidRPr="004A5227">
        <w:t>—false statement</w:t>
      </w:r>
      <w:bookmarkEnd w:id="119"/>
    </w:p>
    <w:p w:rsidR="00042830" w:rsidRPr="004A5227" w:rsidRDefault="00042830" w:rsidP="00042830">
      <w:pPr>
        <w:pStyle w:val="subsection"/>
      </w:pPr>
      <w:r w:rsidRPr="004A5227">
        <w:tab/>
        <w:t>(1)</w:t>
      </w:r>
      <w:r w:rsidRPr="004A5227">
        <w:tab/>
        <w:t xml:space="preserve">This section applies if the </w:t>
      </w:r>
      <w:proofErr w:type="spellStart"/>
      <w:r w:rsidRPr="004A5227">
        <w:t>EROU</w:t>
      </w:r>
      <w:proofErr w:type="spellEnd"/>
      <w:r w:rsidR="004A5227">
        <w:noBreakHyphen/>
      </w:r>
      <w:r w:rsidRPr="004A5227">
        <w:t xml:space="preserve">holder for a </w:t>
      </w:r>
      <w:proofErr w:type="spellStart"/>
      <w:r w:rsidRPr="004A5227">
        <w:t>smartnumber</w:t>
      </w:r>
      <w:proofErr w:type="spellEnd"/>
      <w:r w:rsidRPr="004A5227">
        <w:t xml:space="preserve"> was the joint applicant for the </w:t>
      </w:r>
      <w:proofErr w:type="spellStart"/>
      <w:r w:rsidRPr="004A5227">
        <w:t>smartnumber</w:t>
      </w:r>
      <w:proofErr w:type="spellEnd"/>
      <w:r w:rsidRPr="004A5227">
        <w:t xml:space="preserve"> and is convicted of making a false statement (within the meaning of subsection</w:t>
      </w:r>
      <w:r w:rsidR="004A5227" w:rsidRPr="004A5227">
        <w:t> </w:t>
      </w:r>
      <w:r w:rsidRPr="004A5227">
        <w:t xml:space="preserve">136(1) of the </w:t>
      </w:r>
      <w:r w:rsidRPr="004A5227">
        <w:rPr>
          <w:i/>
        </w:rPr>
        <w:t>Criminal Code</w:t>
      </w:r>
      <w:r w:rsidRPr="004A5227">
        <w:t>)</w:t>
      </w:r>
      <w:r w:rsidRPr="004A5227">
        <w:rPr>
          <w:i/>
        </w:rPr>
        <w:t xml:space="preserve"> </w:t>
      </w:r>
      <w:r w:rsidRPr="004A5227">
        <w:t>in the application.</w:t>
      </w:r>
    </w:p>
    <w:p w:rsidR="00042830" w:rsidRPr="004A5227" w:rsidRDefault="00042830" w:rsidP="00042830">
      <w:pPr>
        <w:pStyle w:val="subsection"/>
      </w:pPr>
      <w:r w:rsidRPr="004A5227">
        <w:tab/>
        <w:t>(2)</w:t>
      </w:r>
      <w:r w:rsidRPr="004A5227">
        <w:tab/>
        <w:t xml:space="preserve">The </w:t>
      </w:r>
      <w:proofErr w:type="spellStart"/>
      <w:r w:rsidRPr="004A5227">
        <w:t>ACMA</w:t>
      </w:r>
      <w:proofErr w:type="spellEnd"/>
      <w:r w:rsidRPr="004A5227">
        <w:t xml:space="preserve"> must:</w:t>
      </w:r>
    </w:p>
    <w:p w:rsidR="00042830" w:rsidRPr="004A5227" w:rsidRDefault="00042830" w:rsidP="00042830">
      <w:pPr>
        <w:pStyle w:val="paragraph"/>
      </w:pPr>
      <w:r w:rsidRPr="004A5227">
        <w:tab/>
        <w:t>(a)</w:t>
      </w:r>
      <w:r w:rsidRPr="004A5227">
        <w:tab/>
        <w:t>cancel the enhanced rights of use; and</w:t>
      </w:r>
    </w:p>
    <w:p w:rsidR="00277749" w:rsidRPr="004A5227" w:rsidRDefault="00042830" w:rsidP="00277749">
      <w:pPr>
        <w:pStyle w:val="paragraph"/>
      </w:pPr>
      <w:r w:rsidRPr="004A5227">
        <w:tab/>
        <w:t>(b)</w:t>
      </w:r>
      <w:r w:rsidRPr="004A5227">
        <w:tab/>
        <w:t xml:space="preserve">withdraw the </w:t>
      </w:r>
      <w:proofErr w:type="spellStart"/>
      <w:r w:rsidRPr="004A5227">
        <w:t>smartnumber</w:t>
      </w:r>
      <w:proofErr w:type="spellEnd"/>
      <w:r w:rsidRPr="004A5227">
        <w:t xml:space="preserve"> from the carriage service provider.</w:t>
      </w:r>
    </w:p>
    <w:p w:rsidR="002450E3" w:rsidRPr="004A5227" w:rsidRDefault="002450E3" w:rsidP="002450E3">
      <w:pPr>
        <w:pStyle w:val="subsection"/>
      </w:pPr>
      <w:r w:rsidRPr="004A5227">
        <w:tab/>
        <w:t>(3)</w:t>
      </w:r>
      <w:r w:rsidRPr="004A5227">
        <w:tab/>
        <w:t xml:space="preserve">The </w:t>
      </w:r>
      <w:proofErr w:type="spellStart"/>
      <w:r w:rsidRPr="004A5227">
        <w:t>ACMA</w:t>
      </w:r>
      <w:proofErr w:type="spellEnd"/>
      <w:r w:rsidRPr="004A5227">
        <w:t xml:space="preserve"> must notify the </w:t>
      </w:r>
      <w:proofErr w:type="spellStart"/>
      <w:r w:rsidRPr="004A5227">
        <w:t>EROU</w:t>
      </w:r>
      <w:proofErr w:type="spellEnd"/>
      <w:r w:rsidR="004A5227">
        <w:noBreakHyphen/>
      </w:r>
      <w:r w:rsidRPr="004A5227">
        <w:t xml:space="preserve">holder </w:t>
      </w:r>
      <w:r w:rsidR="00BA245A" w:rsidRPr="004A5227">
        <w:t xml:space="preserve">for the </w:t>
      </w:r>
      <w:proofErr w:type="spellStart"/>
      <w:r w:rsidR="00BA245A" w:rsidRPr="004A5227">
        <w:t>smartnumber</w:t>
      </w:r>
      <w:proofErr w:type="spellEnd"/>
      <w:r w:rsidR="00BA245A" w:rsidRPr="004A5227">
        <w:t xml:space="preserve"> </w:t>
      </w:r>
      <w:r w:rsidRPr="004A5227">
        <w:t>of its decision in writing.</w:t>
      </w:r>
    </w:p>
    <w:p w:rsidR="002450E3" w:rsidRPr="004A5227" w:rsidRDefault="002450E3" w:rsidP="002450E3">
      <w:pPr>
        <w:pStyle w:val="subsection"/>
      </w:pPr>
      <w:r w:rsidRPr="004A5227">
        <w:tab/>
        <w:t>(4)</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 of its decision.</w:t>
      </w:r>
    </w:p>
    <w:p w:rsidR="00042830" w:rsidRPr="004A5227" w:rsidRDefault="00CA6815" w:rsidP="00042830">
      <w:pPr>
        <w:pStyle w:val="ActHead5"/>
      </w:pPr>
      <w:bookmarkStart w:id="120" w:name="_Toc413419118"/>
      <w:r w:rsidRPr="004A5227">
        <w:rPr>
          <w:rStyle w:val="CharSectno"/>
        </w:rPr>
        <w:t>85</w:t>
      </w:r>
      <w:r w:rsidR="00042830" w:rsidRPr="004A5227">
        <w:t xml:space="preserve">  Cancellation of enhanced rights of </w:t>
      </w:r>
      <w:r w:rsidR="00060EC0" w:rsidRPr="004A5227">
        <w:t>use</w:t>
      </w:r>
      <w:r w:rsidR="009A65C1" w:rsidRPr="004A5227">
        <w:t>—</w:t>
      </w:r>
      <w:r w:rsidR="00E826E8" w:rsidRPr="004A5227">
        <w:t>no allocation for 3 years</w:t>
      </w:r>
      <w:bookmarkEnd w:id="120"/>
    </w:p>
    <w:p w:rsidR="00042830" w:rsidRPr="004A5227" w:rsidRDefault="00042830" w:rsidP="00042830">
      <w:pPr>
        <w:pStyle w:val="subsection"/>
      </w:pPr>
      <w:r w:rsidRPr="004A5227">
        <w:tab/>
      </w:r>
      <w:r w:rsidR="002450E3" w:rsidRPr="004A5227">
        <w:t>(1)</w:t>
      </w:r>
      <w:r w:rsidRPr="004A5227">
        <w:tab/>
        <w:t xml:space="preserve">The </w:t>
      </w:r>
      <w:proofErr w:type="spellStart"/>
      <w:r w:rsidRPr="004A5227">
        <w:t>ACMA</w:t>
      </w:r>
      <w:proofErr w:type="spellEnd"/>
      <w:r w:rsidRPr="004A5227">
        <w:t xml:space="preserve"> must cancel the enhanced rights of use for a </w:t>
      </w:r>
      <w:proofErr w:type="spellStart"/>
      <w:r w:rsidRPr="004A5227">
        <w:t>smartnumber</w:t>
      </w:r>
      <w:proofErr w:type="spellEnd"/>
      <w:r w:rsidRPr="004A5227">
        <w:t xml:space="preserve"> if </w:t>
      </w:r>
      <w:r w:rsidR="00E826E8" w:rsidRPr="004A5227">
        <w:t xml:space="preserve">it has been an assigned unallocated </w:t>
      </w:r>
      <w:proofErr w:type="spellStart"/>
      <w:r w:rsidR="00E826E8" w:rsidRPr="004A5227">
        <w:t>smartnumber</w:t>
      </w:r>
      <w:proofErr w:type="spellEnd"/>
      <w:r w:rsidR="00E826E8" w:rsidRPr="004A5227">
        <w:t xml:space="preserve"> for a</w:t>
      </w:r>
      <w:r w:rsidRPr="004A5227">
        <w:t xml:space="preserve"> continuous period of 3 years.</w:t>
      </w:r>
    </w:p>
    <w:p w:rsidR="002450E3" w:rsidRPr="004A5227" w:rsidRDefault="002450E3" w:rsidP="00042830">
      <w:pPr>
        <w:pStyle w:val="subsection"/>
      </w:pPr>
      <w:r w:rsidRPr="004A5227">
        <w:tab/>
        <w:t>(2)</w:t>
      </w:r>
      <w:r w:rsidRPr="004A5227">
        <w:tab/>
        <w:t xml:space="preserve">The </w:t>
      </w:r>
      <w:proofErr w:type="spellStart"/>
      <w:r w:rsidRPr="004A5227">
        <w:t>ACMA</w:t>
      </w:r>
      <w:proofErr w:type="spellEnd"/>
      <w:r w:rsidRPr="004A5227">
        <w:t xml:space="preserve"> must notify the </w:t>
      </w:r>
      <w:proofErr w:type="spellStart"/>
      <w:r w:rsidRPr="004A5227">
        <w:t>EROU</w:t>
      </w:r>
      <w:proofErr w:type="spellEnd"/>
      <w:r w:rsidR="004A5227">
        <w:noBreakHyphen/>
      </w:r>
      <w:r w:rsidRPr="004A5227">
        <w:t xml:space="preserve">holder for the </w:t>
      </w:r>
      <w:proofErr w:type="spellStart"/>
      <w:r w:rsidRPr="004A5227">
        <w:t>smartnumber</w:t>
      </w:r>
      <w:proofErr w:type="spellEnd"/>
      <w:r w:rsidRPr="004A5227">
        <w:t xml:space="preserve"> of i</w:t>
      </w:r>
      <w:r w:rsidR="00E826E8" w:rsidRPr="004A5227">
        <w:t>ts decision in writing.</w:t>
      </w:r>
    </w:p>
    <w:p w:rsidR="002E298A" w:rsidRPr="004A5227" w:rsidRDefault="002E298A" w:rsidP="002E3C64">
      <w:pPr>
        <w:pStyle w:val="ActHead1"/>
        <w:pageBreakBefore/>
      </w:pPr>
      <w:bookmarkStart w:id="121" w:name="_Toc413419119"/>
      <w:r w:rsidRPr="004A5227">
        <w:rPr>
          <w:rStyle w:val="CharChapNo"/>
        </w:rPr>
        <w:lastRenderedPageBreak/>
        <w:t>Chapter</w:t>
      </w:r>
      <w:r w:rsidR="004A5227" w:rsidRPr="004A5227">
        <w:rPr>
          <w:rStyle w:val="CharChapNo"/>
        </w:rPr>
        <w:t> </w:t>
      </w:r>
      <w:r w:rsidR="000D4B4E" w:rsidRPr="004A5227">
        <w:rPr>
          <w:rStyle w:val="CharChapNo"/>
        </w:rPr>
        <w:t>8</w:t>
      </w:r>
      <w:r w:rsidRPr="004A5227">
        <w:t>—</w:t>
      </w:r>
      <w:r w:rsidRPr="004A5227">
        <w:rPr>
          <w:rStyle w:val="CharChapText"/>
        </w:rPr>
        <w:t xml:space="preserve">Transfer, surrender </w:t>
      </w:r>
      <w:r w:rsidR="003C405D" w:rsidRPr="004A5227">
        <w:rPr>
          <w:rStyle w:val="CharChapText"/>
        </w:rPr>
        <w:t xml:space="preserve">and </w:t>
      </w:r>
      <w:r w:rsidRPr="004A5227">
        <w:rPr>
          <w:rStyle w:val="CharChapText"/>
        </w:rPr>
        <w:t>withdrawal of numbers</w:t>
      </w:r>
      <w:bookmarkEnd w:id="121"/>
    </w:p>
    <w:p w:rsidR="002E298A" w:rsidRPr="004A5227" w:rsidRDefault="002E298A" w:rsidP="002E298A">
      <w:pPr>
        <w:pStyle w:val="ActHead2"/>
      </w:pPr>
      <w:bookmarkStart w:id="122" w:name="_Toc413419120"/>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Transfer of numbers</w:t>
      </w:r>
      <w:bookmarkEnd w:id="122"/>
    </w:p>
    <w:p w:rsidR="002E298A" w:rsidRPr="004A5227" w:rsidRDefault="002E298A" w:rsidP="002E298A">
      <w:pPr>
        <w:pStyle w:val="Header"/>
      </w:pPr>
      <w:r w:rsidRPr="004A5227">
        <w:rPr>
          <w:rStyle w:val="CharDivNo"/>
        </w:rPr>
        <w:t xml:space="preserve"> </w:t>
      </w:r>
      <w:r w:rsidRPr="004A5227">
        <w:rPr>
          <w:rStyle w:val="CharDivText"/>
        </w:rPr>
        <w:t xml:space="preserve"> </w:t>
      </w:r>
    </w:p>
    <w:p w:rsidR="002E298A" w:rsidRPr="004A5227" w:rsidRDefault="00CA6815" w:rsidP="002E298A">
      <w:pPr>
        <w:pStyle w:val="ActHead5"/>
      </w:pPr>
      <w:bookmarkStart w:id="123" w:name="_Toc413419121"/>
      <w:r w:rsidRPr="004A5227">
        <w:rPr>
          <w:rStyle w:val="CharSectno"/>
        </w:rPr>
        <w:t>86</w:t>
      </w:r>
      <w:r w:rsidR="002E298A" w:rsidRPr="004A5227">
        <w:t xml:space="preserve">  Transfer process</w:t>
      </w:r>
      <w:bookmarkEnd w:id="123"/>
    </w:p>
    <w:p w:rsidR="002E298A" w:rsidRPr="004A5227" w:rsidRDefault="002E298A" w:rsidP="002E298A">
      <w:pPr>
        <w:pStyle w:val="subsection"/>
      </w:pPr>
      <w:r w:rsidRPr="004A5227">
        <w:tab/>
        <w:t>(1)</w:t>
      </w:r>
      <w:r w:rsidRPr="004A5227">
        <w:tab/>
        <w:t xml:space="preserve">A registered carriage service provider that holds a number </w:t>
      </w:r>
      <w:r w:rsidR="004E7912" w:rsidRPr="004A5227">
        <w:t>(other than an international signalling point code or a mobile n</w:t>
      </w:r>
      <w:r w:rsidR="007D3DBD" w:rsidRPr="004A5227">
        <w:t xml:space="preserve">etwork </w:t>
      </w:r>
      <w:r w:rsidR="004E7912" w:rsidRPr="004A5227">
        <w:t xml:space="preserve">code) </w:t>
      </w:r>
      <w:r w:rsidRPr="004A5227">
        <w:t>may transfer the number to another registered carriage service provider with the agreement of the receiving carriage service provider.</w:t>
      </w:r>
    </w:p>
    <w:p w:rsidR="00E826E8" w:rsidRPr="004A5227" w:rsidRDefault="002E298A" w:rsidP="002E298A">
      <w:pPr>
        <w:pStyle w:val="subsection"/>
      </w:pPr>
      <w:r w:rsidRPr="004A5227">
        <w:tab/>
      </w:r>
      <w:r w:rsidR="00E826E8" w:rsidRPr="004A5227">
        <w:t>(2)</w:t>
      </w:r>
      <w:r w:rsidR="00E826E8" w:rsidRPr="004A5227">
        <w:tab/>
        <w:t xml:space="preserve">However, a </w:t>
      </w:r>
      <w:proofErr w:type="spellStart"/>
      <w:r w:rsidR="00E826E8" w:rsidRPr="004A5227">
        <w:t>freephone</w:t>
      </w:r>
      <w:proofErr w:type="spellEnd"/>
      <w:r w:rsidR="00E826E8" w:rsidRPr="004A5227">
        <w:t xml:space="preserve"> number, local rate number or premium rate number that </w:t>
      </w:r>
      <w:r w:rsidR="002D57CF" w:rsidRPr="004A5227">
        <w:t>i</w:t>
      </w:r>
      <w:r w:rsidR="00E826E8" w:rsidRPr="004A5227">
        <w:t xml:space="preserve">s allocated with </w:t>
      </w:r>
      <w:r w:rsidR="006063CB" w:rsidRPr="004A5227">
        <w:t>effect for 14, 30 or 90 days m</w:t>
      </w:r>
      <w:r w:rsidR="00537C18" w:rsidRPr="004A5227">
        <w:t>ust</w:t>
      </w:r>
      <w:r w:rsidR="006063CB" w:rsidRPr="004A5227">
        <w:t xml:space="preserve"> not be transferred</w:t>
      </w:r>
      <w:r w:rsidR="00E826E8" w:rsidRPr="004A5227">
        <w:t>.</w:t>
      </w:r>
    </w:p>
    <w:p w:rsidR="002E298A" w:rsidRPr="004A5227" w:rsidRDefault="00E826E8" w:rsidP="002E298A">
      <w:pPr>
        <w:pStyle w:val="subsection"/>
      </w:pPr>
      <w:r w:rsidRPr="004A5227">
        <w:tab/>
      </w:r>
      <w:r w:rsidR="002E298A" w:rsidRPr="004A5227">
        <w:t>(</w:t>
      </w:r>
      <w:r w:rsidR="002D57CF" w:rsidRPr="004A5227">
        <w:t>3</w:t>
      </w:r>
      <w:r w:rsidR="002E298A" w:rsidRPr="004A5227">
        <w:t>)</w:t>
      </w:r>
      <w:r w:rsidR="002E298A" w:rsidRPr="004A5227">
        <w:tab/>
        <w:t xml:space="preserve">The </w:t>
      </w:r>
      <w:proofErr w:type="spellStart"/>
      <w:r w:rsidR="002E298A" w:rsidRPr="004A5227">
        <w:t>ACMA</w:t>
      </w:r>
      <w:proofErr w:type="spellEnd"/>
      <w:r w:rsidR="002E298A" w:rsidRPr="004A5227">
        <w:t xml:space="preserve"> must be given notice of the transfer in a form approved by the </w:t>
      </w:r>
      <w:proofErr w:type="spellStart"/>
      <w:r w:rsidR="002E298A" w:rsidRPr="004A5227">
        <w:t>ACMA</w:t>
      </w:r>
      <w:proofErr w:type="spellEnd"/>
      <w:r w:rsidR="002E298A" w:rsidRPr="004A5227">
        <w:t>.</w:t>
      </w:r>
    </w:p>
    <w:p w:rsidR="002E298A" w:rsidRPr="004A5227" w:rsidRDefault="002D57CF" w:rsidP="002E298A">
      <w:pPr>
        <w:pStyle w:val="subsection"/>
      </w:pPr>
      <w:r w:rsidRPr="004A5227">
        <w:tab/>
        <w:t>(4</w:t>
      </w:r>
      <w:r w:rsidR="002E298A" w:rsidRPr="004A5227">
        <w:t>)</w:t>
      </w:r>
      <w:r w:rsidR="002E298A" w:rsidRPr="004A5227">
        <w:tab/>
        <w:t>Strict compliance with the approved form is required.</w:t>
      </w:r>
    </w:p>
    <w:p w:rsidR="00880D7C" w:rsidRPr="004A5227" w:rsidRDefault="002D57CF" w:rsidP="00880D7C">
      <w:pPr>
        <w:pStyle w:val="subsection"/>
      </w:pPr>
      <w:r w:rsidRPr="004A5227">
        <w:tab/>
        <w:t>(5</w:t>
      </w:r>
      <w:r w:rsidR="00880D7C" w:rsidRPr="004A5227">
        <w:t>)</w:t>
      </w:r>
      <w:r w:rsidR="00880D7C" w:rsidRPr="004A5227">
        <w:tab/>
        <w:t>The notice of transfer must be accompanied by the charge (if any) in relation to the notice fixed by a determination under section</w:t>
      </w:r>
      <w:r w:rsidR="004A5227" w:rsidRPr="004A5227">
        <w:t> </w:t>
      </w:r>
      <w:r w:rsidR="00880D7C" w:rsidRPr="004A5227">
        <w:t xml:space="preserve">60 of the </w:t>
      </w:r>
      <w:r w:rsidR="00880D7C" w:rsidRPr="004A5227">
        <w:rPr>
          <w:i/>
        </w:rPr>
        <w:t>Australian Communications and Media Authority Act 2005</w:t>
      </w:r>
      <w:r w:rsidR="00880D7C" w:rsidRPr="004A5227">
        <w:t>.</w:t>
      </w:r>
    </w:p>
    <w:p w:rsidR="002E298A" w:rsidRPr="004A5227" w:rsidRDefault="002D57CF" w:rsidP="002E298A">
      <w:pPr>
        <w:pStyle w:val="subsection"/>
      </w:pPr>
      <w:r w:rsidRPr="004A5227">
        <w:tab/>
        <w:t>(6</w:t>
      </w:r>
      <w:r w:rsidR="002E298A" w:rsidRPr="004A5227">
        <w:t>)</w:t>
      </w:r>
      <w:r w:rsidR="002E298A" w:rsidRPr="004A5227">
        <w:tab/>
        <w:t xml:space="preserve">The transfer takes effect when the </w:t>
      </w:r>
      <w:proofErr w:type="spellStart"/>
      <w:r w:rsidR="002E298A" w:rsidRPr="004A5227">
        <w:t>ACMA</w:t>
      </w:r>
      <w:proofErr w:type="spellEnd"/>
      <w:r w:rsidR="002E298A" w:rsidRPr="004A5227">
        <w:t xml:space="preserve"> acknowledges receipt of the completed notice of transfer.</w:t>
      </w:r>
    </w:p>
    <w:p w:rsidR="002E298A" w:rsidRPr="004A5227" w:rsidRDefault="002E298A" w:rsidP="002E298A">
      <w:pPr>
        <w:pStyle w:val="subsection"/>
      </w:pPr>
      <w:r w:rsidRPr="004A5227">
        <w:tab/>
        <w:t>(</w:t>
      </w:r>
      <w:r w:rsidR="002D57CF" w:rsidRPr="004A5227">
        <w:t>7</w:t>
      </w:r>
      <w:r w:rsidRPr="004A5227">
        <w:t>)</w:t>
      </w:r>
      <w:r w:rsidRPr="004A5227">
        <w:tab/>
        <w:t xml:space="preserve">If the </w:t>
      </w:r>
      <w:proofErr w:type="spellStart"/>
      <w:r w:rsidRPr="004A5227">
        <w:t>ACMA</w:t>
      </w:r>
      <w:proofErr w:type="spellEnd"/>
      <w:r w:rsidRPr="004A5227">
        <w:t xml:space="preserve"> is not the designated authority, the </w:t>
      </w:r>
      <w:proofErr w:type="spellStart"/>
      <w:r w:rsidRPr="004A5227">
        <w:t>ACMA</w:t>
      </w:r>
      <w:proofErr w:type="spellEnd"/>
      <w:r w:rsidRPr="004A5227">
        <w:t xml:space="preserve"> must notify the designated authority of the transfer of the number and the date of transfer.</w:t>
      </w:r>
    </w:p>
    <w:p w:rsidR="002E298A" w:rsidRPr="004A5227" w:rsidRDefault="00CA6815" w:rsidP="002E298A">
      <w:pPr>
        <w:pStyle w:val="ActHead5"/>
      </w:pPr>
      <w:bookmarkStart w:id="124" w:name="_Toc413419122"/>
      <w:r w:rsidRPr="004A5227">
        <w:rPr>
          <w:rStyle w:val="CharSectno"/>
        </w:rPr>
        <w:t>87</w:t>
      </w:r>
      <w:r w:rsidR="002E298A" w:rsidRPr="004A5227">
        <w:t xml:space="preserve">  Transfer not to affect customer’s right </w:t>
      </w:r>
      <w:r w:rsidR="009A65C1" w:rsidRPr="004A5227">
        <w:t>to</w:t>
      </w:r>
      <w:r w:rsidR="002E298A" w:rsidRPr="004A5227">
        <w:t xml:space="preserve"> use number</w:t>
      </w:r>
      <w:bookmarkEnd w:id="124"/>
    </w:p>
    <w:p w:rsidR="002E298A" w:rsidRPr="004A5227" w:rsidRDefault="002E298A" w:rsidP="002E298A">
      <w:pPr>
        <w:pStyle w:val="subsection"/>
      </w:pPr>
      <w:r w:rsidRPr="004A5227">
        <w:tab/>
      </w:r>
      <w:r w:rsidRPr="004A5227">
        <w:tab/>
        <w:t xml:space="preserve">If a number is transferred from a carriage service provider to another carriage service provider, the providers must ensure that the transfer does not affect a customer’s </w:t>
      </w:r>
      <w:r w:rsidR="00990EE2" w:rsidRPr="004A5227">
        <w:t>ability</w:t>
      </w:r>
      <w:r w:rsidRPr="004A5227">
        <w:t xml:space="preserve"> to use the number.</w:t>
      </w:r>
    </w:p>
    <w:p w:rsidR="002E298A" w:rsidRPr="004A5227" w:rsidRDefault="002E298A" w:rsidP="002E298A">
      <w:pPr>
        <w:pStyle w:val="ActHead2"/>
        <w:pageBreakBefore/>
      </w:pPr>
      <w:bookmarkStart w:id="125" w:name="_Toc413419123"/>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Surrender of numbers</w:t>
      </w:r>
      <w:bookmarkEnd w:id="125"/>
    </w:p>
    <w:p w:rsidR="002E298A" w:rsidRPr="004A5227" w:rsidRDefault="002E298A" w:rsidP="002E298A">
      <w:pPr>
        <w:pStyle w:val="Header"/>
      </w:pPr>
      <w:r w:rsidRPr="004A5227">
        <w:rPr>
          <w:rStyle w:val="CharDivNo"/>
        </w:rPr>
        <w:t xml:space="preserve"> </w:t>
      </w:r>
      <w:r w:rsidRPr="004A5227">
        <w:rPr>
          <w:rStyle w:val="CharDivText"/>
        </w:rPr>
        <w:t xml:space="preserve"> </w:t>
      </w:r>
    </w:p>
    <w:p w:rsidR="002E298A" w:rsidRPr="004A5227" w:rsidRDefault="00CA6815" w:rsidP="002E298A">
      <w:pPr>
        <w:pStyle w:val="ActHead5"/>
      </w:pPr>
      <w:bookmarkStart w:id="126" w:name="_Toc413419124"/>
      <w:r w:rsidRPr="004A5227">
        <w:rPr>
          <w:rStyle w:val="CharSectno"/>
        </w:rPr>
        <w:t>88</w:t>
      </w:r>
      <w:r w:rsidR="002E298A" w:rsidRPr="004A5227">
        <w:t xml:space="preserve">  Application to surrender numbers</w:t>
      </w:r>
      <w:bookmarkEnd w:id="126"/>
    </w:p>
    <w:p w:rsidR="002E298A" w:rsidRPr="004A5227" w:rsidRDefault="002E298A" w:rsidP="002E298A">
      <w:pPr>
        <w:pStyle w:val="subsection"/>
      </w:pPr>
      <w:r w:rsidRPr="004A5227">
        <w:tab/>
        <w:t>(1)</w:t>
      </w:r>
      <w:r w:rsidRPr="004A5227">
        <w:tab/>
        <w:t xml:space="preserve">A carriage service provider that holds a number </w:t>
      </w:r>
      <w:r w:rsidR="004E7912" w:rsidRPr="004A5227">
        <w:t>(</w:t>
      </w:r>
      <w:r w:rsidR="00E27C72" w:rsidRPr="004A5227">
        <w:t xml:space="preserve">other than a </w:t>
      </w:r>
      <w:proofErr w:type="spellStart"/>
      <w:r w:rsidR="00E27C72" w:rsidRPr="004A5227">
        <w:t>smartnumber</w:t>
      </w:r>
      <w:proofErr w:type="spellEnd"/>
      <w:r w:rsidR="004E7912" w:rsidRPr="004A5227">
        <w:t>, an international signalling point code or a mobile n</w:t>
      </w:r>
      <w:r w:rsidR="007D3DBD" w:rsidRPr="004A5227">
        <w:t>etwork</w:t>
      </w:r>
      <w:r w:rsidR="004E7912" w:rsidRPr="004A5227">
        <w:t xml:space="preserve"> code) </w:t>
      </w:r>
      <w:r w:rsidRPr="004A5227">
        <w:t>may apply to th</w:t>
      </w:r>
      <w:r w:rsidR="00E27C72" w:rsidRPr="004A5227">
        <w:t xml:space="preserve">e </w:t>
      </w:r>
      <w:proofErr w:type="spellStart"/>
      <w:r w:rsidR="00E27C72" w:rsidRPr="004A5227">
        <w:t>ACMA</w:t>
      </w:r>
      <w:proofErr w:type="spellEnd"/>
      <w:r w:rsidR="00E27C72" w:rsidRPr="004A5227">
        <w:t xml:space="preserve"> to surrender the number </w:t>
      </w:r>
      <w:r w:rsidRPr="004A5227">
        <w:t xml:space="preserve">if no carriage service is </w:t>
      </w:r>
      <w:r w:rsidR="00E27C72" w:rsidRPr="004A5227">
        <w:t>being provided using the number</w:t>
      </w:r>
      <w:r w:rsidRPr="004A5227">
        <w:t>.</w:t>
      </w:r>
    </w:p>
    <w:p w:rsidR="00BD2AB9" w:rsidRPr="004A5227" w:rsidRDefault="003032EE" w:rsidP="00E27C72">
      <w:pPr>
        <w:pStyle w:val="notetext"/>
      </w:pPr>
      <w:r w:rsidRPr="004A5227">
        <w:t>Note</w:t>
      </w:r>
      <w:r w:rsidR="000F0EF0" w:rsidRPr="004A5227">
        <w:t xml:space="preserve"> 1</w:t>
      </w:r>
      <w:r w:rsidRPr="004A5227">
        <w:t xml:space="preserve">: </w:t>
      </w:r>
      <w:r w:rsidRPr="004A5227">
        <w:tab/>
        <w:t>Section</w:t>
      </w:r>
      <w:r w:rsidR="004A5227" w:rsidRPr="004A5227">
        <w:t> </w:t>
      </w:r>
      <w:r w:rsidR="00CA6815" w:rsidRPr="004A5227">
        <w:t>80</w:t>
      </w:r>
      <w:r w:rsidR="00E27C72" w:rsidRPr="004A5227">
        <w:t xml:space="preserve"> deal</w:t>
      </w:r>
      <w:r w:rsidRPr="004A5227">
        <w:t>s</w:t>
      </w:r>
      <w:r w:rsidR="00E27C72" w:rsidRPr="004A5227">
        <w:t xml:space="preserve"> with the surrender of </w:t>
      </w:r>
      <w:proofErr w:type="spellStart"/>
      <w:r w:rsidR="00E27C72" w:rsidRPr="004A5227">
        <w:t>smartnumbers</w:t>
      </w:r>
      <w:proofErr w:type="spellEnd"/>
      <w:r w:rsidR="00BD2AB9" w:rsidRPr="004A5227">
        <w:t>.</w:t>
      </w:r>
    </w:p>
    <w:p w:rsidR="00E27C72" w:rsidRPr="004A5227" w:rsidRDefault="00BD2AB9" w:rsidP="00E27C72">
      <w:pPr>
        <w:pStyle w:val="notetext"/>
      </w:pPr>
      <w:r w:rsidRPr="004A5227">
        <w:t>Note</w:t>
      </w:r>
      <w:r w:rsidR="008D5584" w:rsidRPr="004A5227">
        <w:t xml:space="preserve"> 2</w:t>
      </w:r>
      <w:r w:rsidRPr="004A5227">
        <w:t>:</w:t>
      </w:r>
      <w:r w:rsidRPr="004A5227">
        <w:tab/>
        <w:t>S</w:t>
      </w:r>
      <w:r w:rsidR="00007131" w:rsidRPr="004A5227">
        <w:t>ection</w:t>
      </w:r>
      <w:r w:rsidR="004A5227" w:rsidRPr="004A5227">
        <w:t> </w:t>
      </w:r>
      <w:r w:rsidR="00CA6815" w:rsidRPr="004A5227">
        <w:t>54</w:t>
      </w:r>
      <w:r w:rsidR="00007131" w:rsidRPr="004A5227">
        <w:t xml:space="preserve"> deals with the surrender of international signalling point codes and mobile </w:t>
      </w:r>
      <w:r w:rsidR="007D3DBD" w:rsidRPr="004A5227">
        <w:t xml:space="preserve">network </w:t>
      </w:r>
      <w:r w:rsidR="00007131" w:rsidRPr="004A5227">
        <w:t>codes</w:t>
      </w:r>
      <w:r w:rsidR="00E27C72" w:rsidRPr="004A5227">
        <w:t>.</w:t>
      </w:r>
    </w:p>
    <w:p w:rsidR="002E298A" w:rsidRPr="004A5227" w:rsidRDefault="002E298A" w:rsidP="002E298A">
      <w:pPr>
        <w:pStyle w:val="subsection"/>
      </w:pPr>
      <w:r w:rsidRPr="004A5227">
        <w:tab/>
        <w:t>(2)</w:t>
      </w:r>
      <w:r w:rsidRPr="004A5227">
        <w:tab/>
        <w:t xml:space="preserve">The application must be in a form approved by the </w:t>
      </w:r>
      <w:proofErr w:type="spellStart"/>
      <w:r w:rsidRPr="004A5227">
        <w:t>ACMA</w:t>
      </w:r>
      <w:proofErr w:type="spellEnd"/>
      <w:r w:rsidRPr="004A5227">
        <w:t>.</w:t>
      </w:r>
    </w:p>
    <w:p w:rsidR="002E298A" w:rsidRPr="004A5227" w:rsidRDefault="002E298A" w:rsidP="002E298A">
      <w:pPr>
        <w:pStyle w:val="subsection"/>
      </w:pPr>
      <w:r w:rsidRPr="004A5227">
        <w:tab/>
        <w:t>(3)</w:t>
      </w:r>
      <w:r w:rsidRPr="004A5227">
        <w:tab/>
        <w:t>Strict compliance with the approved form is required.</w:t>
      </w:r>
    </w:p>
    <w:p w:rsidR="002E298A" w:rsidRPr="004A5227" w:rsidRDefault="002E298A" w:rsidP="002E298A">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2E298A" w:rsidRPr="004A5227" w:rsidRDefault="00CA6815" w:rsidP="002E298A">
      <w:pPr>
        <w:pStyle w:val="ActHead5"/>
      </w:pPr>
      <w:bookmarkStart w:id="127" w:name="_Toc413419125"/>
      <w:r w:rsidRPr="004A5227">
        <w:rPr>
          <w:rStyle w:val="CharSectno"/>
        </w:rPr>
        <w:t>89</w:t>
      </w:r>
      <w:r w:rsidR="002E298A" w:rsidRPr="004A5227">
        <w:t xml:space="preserve">  Decision on application to surrender numbers</w:t>
      </w:r>
      <w:bookmarkEnd w:id="127"/>
    </w:p>
    <w:p w:rsidR="002E298A" w:rsidRPr="004A5227" w:rsidRDefault="002E298A" w:rsidP="002E298A">
      <w:pPr>
        <w:pStyle w:val="subsection"/>
      </w:pPr>
      <w:r w:rsidRPr="004A5227">
        <w:tab/>
        <w:t>(1)</w:t>
      </w:r>
      <w:r w:rsidRPr="004A5227">
        <w:tab/>
        <w:t xml:space="preserve">The </w:t>
      </w:r>
      <w:proofErr w:type="spellStart"/>
      <w:r w:rsidRPr="004A5227">
        <w:t>ACMA</w:t>
      </w:r>
      <w:proofErr w:type="spellEnd"/>
      <w:r w:rsidRPr="004A5227">
        <w:t xml:space="preserve"> must make a decision on an application made by a carriage service provider under section</w:t>
      </w:r>
      <w:r w:rsidR="004A5227" w:rsidRPr="004A5227">
        <w:t> </w:t>
      </w:r>
      <w:r w:rsidR="00CA6815" w:rsidRPr="004A5227">
        <w:t>88</w:t>
      </w:r>
      <w:r w:rsidRPr="004A5227">
        <w:t xml:space="preserve"> </w:t>
      </w:r>
      <w:r w:rsidR="006C6E10" w:rsidRPr="004A5227">
        <w:t>no later than</w:t>
      </w:r>
      <w:r w:rsidRPr="004A5227">
        <w:t xml:space="preserve"> </w:t>
      </w:r>
      <w:r w:rsidR="009F1EE6" w:rsidRPr="004A5227">
        <w:t>10</w:t>
      </w:r>
      <w:r w:rsidRPr="004A5227">
        <w:t xml:space="preserve"> business days after receiving the application.</w:t>
      </w:r>
    </w:p>
    <w:p w:rsidR="002E298A" w:rsidRPr="004A5227" w:rsidRDefault="002E298A" w:rsidP="002E298A">
      <w:pPr>
        <w:pStyle w:val="subsection"/>
      </w:pPr>
      <w:r w:rsidRPr="004A5227">
        <w:tab/>
        <w:t>(2)</w:t>
      </w:r>
      <w:r w:rsidRPr="004A5227">
        <w:tab/>
        <w:t xml:space="preserve">If the numbers to which the application relates are not a multiple of standard units for the type of number, the </w:t>
      </w:r>
      <w:proofErr w:type="spellStart"/>
      <w:r w:rsidRPr="004A5227">
        <w:t>ACMA</w:t>
      </w:r>
      <w:proofErr w:type="spellEnd"/>
      <w:r w:rsidRPr="004A5227">
        <w:t xml:space="preserve"> must </w:t>
      </w:r>
      <w:r w:rsidR="00F811D9" w:rsidRPr="004A5227">
        <w:t xml:space="preserve">decide not to approve </w:t>
      </w:r>
      <w:r w:rsidRPr="004A5227">
        <w:t xml:space="preserve">the application </w:t>
      </w:r>
      <w:r w:rsidR="00BA245A" w:rsidRPr="004A5227">
        <w:t>unless</w:t>
      </w:r>
      <w:r w:rsidRPr="004A5227">
        <w:t>:</w:t>
      </w:r>
    </w:p>
    <w:p w:rsidR="002E298A" w:rsidRPr="004A5227" w:rsidRDefault="002E298A" w:rsidP="002E298A">
      <w:pPr>
        <w:pStyle w:val="paragraph"/>
      </w:pPr>
      <w:r w:rsidRPr="004A5227">
        <w:tab/>
        <w:t>(a)</w:t>
      </w:r>
      <w:r w:rsidRPr="004A5227">
        <w:tab/>
        <w:t xml:space="preserve">the </w:t>
      </w:r>
      <w:proofErr w:type="spellStart"/>
      <w:r w:rsidRPr="004A5227">
        <w:t>ACMA</w:t>
      </w:r>
      <w:proofErr w:type="spellEnd"/>
      <w:r w:rsidRPr="004A5227">
        <w:t xml:space="preserve"> is satisfied that the surrender of the numbers is consistent with the current number analysis capabilities of telecommunications networks operated in Australia; or</w:t>
      </w:r>
    </w:p>
    <w:p w:rsidR="002E298A" w:rsidRPr="004A5227" w:rsidRDefault="002E298A" w:rsidP="002E298A">
      <w:pPr>
        <w:pStyle w:val="paragraph"/>
      </w:pPr>
      <w:r w:rsidRPr="004A5227">
        <w:tab/>
        <w:t>(b)</w:t>
      </w:r>
      <w:r w:rsidRPr="004A5227">
        <w:tab/>
        <w:t xml:space="preserve">the </w:t>
      </w:r>
      <w:proofErr w:type="spellStart"/>
      <w:r w:rsidRPr="004A5227">
        <w:t>ACMA</w:t>
      </w:r>
      <w:proofErr w:type="spellEnd"/>
      <w:r w:rsidRPr="004A5227">
        <w:t xml:space="preserve"> is satisfied that:</w:t>
      </w:r>
    </w:p>
    <w:p w:rsidR="002E298A" w:rsidRPr="004A5227" w:rsidRDefault="002E298A" w:rsidP="002E298A">
      <w:pPr>
        <w:pStyle w:val="paragraphsub"/>
      </w:pPr>
      <w:r w:rsidRPr="004A5227">
        <w:tab/>
        <w:t>(</w:t>
      </w:r>
      <w:proofErr w:type="spellStart"/>
      <w:r w:rsidRPr="004A5227">
        <w:t>i</w:t>
      </w:r>
      <w:proofErr w:type="spellEnd"/>
      <w:r w:rsidRPr="004A5227">
        <w:t>)</w:t>
      </w:r>
      <w:r w:rsidRPr="004A5227">
        <w:tab/>
        <w:t>the surrender of the numbers will not hinder the later allocation of the numbers; and</w:t>
      </w:r>
    </w:p>
    <w:p w:rsidR="002E298A" w:rsidRPr="004A5227" w:rsidRDefault="002E298A" w:rsidP="002E298A">
      <w:pPr>
        <w:pStyle w:val="paragraphsub"/>
      </w:pPr>
      <w:r w:rsidRPr="004A5227">
        <w:tab/>
        <w:t>(ii)</w:t>
      </w:r>
      <w:r w:rsidRPr="004A5227">
        <w:tab/>
        <w:t>the carriage service provider is unable to surrender numbers as a multiple of standard units, or would be significantly disadvantaged or inconvenienced by being required to surrender numbers as a multiple of standard units.</w:t>
      </w:r>
    </w:p>
    <w:p w:rsidR="002E298A" w:rsidRPr="004A5227" w:rsidRDefault="002E298A" w:rsidP="002E298A">
      <w:pPr>
        <w:pStyle w:val="subsection"/>
      </w:pPr>
      <w:r w:rsidRPr="004A5227">
        <w:tab/>
        <w:t>(3)</w:t>
      </w:r>
      <w:r w:rsidRPr="004A5227">
        <w:tab/>
        <w:t xml:space="preserve">The </w:t>
      </w:r>
      <w:proofErr w:type="spellStart"/>
      <w:r w:rsidRPr="004A5227">
        <w:t>ACMA</w:t>
      </w:r>
      <w:proofErr w:type="spellEnd"/>
      <w:r w:rsidRPr="004A5227">
        <w:t xml:space="preserve"> must approve an application </w:t>
      </w:r>
      <w:r w:rsidR="003B68E0" w:rsidRPr="004A5227">
        <w:t>unless it is required</w:t>
      </w:r>
      <w:r w:rsidRPr="004A5227">
        <w:t xml:space="preserve"> </w:t>
      </w:r>
      <w:r w:rsidR="003B68E0" w:rsidRPr="004A5227">
        <w:t xml:space="preserve">not to approve it </w:t>
      </w:r>
      <w:r w:rsidRPr="004A5227">
        <w:t xml:space="preserve">under </w:t>
      </w:r>
      <w:r w:rsidR="004A5227" w:rsidRPr="004A5227">
        <w:t>subsection (</w:t>
      </w:r>
      <w:r w:rsidRPr="004A5227">
        <w:t>2).</w:t>
      </w:r>
    </w:p>
    <w:p w:rsidR="002E298A" w:rsidRPr="004A5227" w:rsidRDefault="00CA6815" w:rsidP="002E298A">
      <w:pPr>
        <w:pStyle w:val="ActHead5"/>
      </w:pPr>
      <w:bookmarkStart w:id="128" w:name="_Toc413419126"/>
      <w:r w:rsidRPr="004A5227">
        <w:rPr>
          <w:rStyle w:val="CharSectno"/>
        </w:rPr>
        <w:t>90</w:t>
      </w:r>
      <w:r w:rsidR="002E298A" w:rsidRPr="004A5227">
        <w:t xml:space="preserve">  Notice of decision</w:t>
      </w:r>
      <w:bookmarkEnd w:id="128"/>
    </w:p>
    <w:p w:rsidR="002E298A" w:rsidRPr="004A5227" w:rsidRDefault="002E298A" w:rsidP="002E298A">
      <w:pPr>
        <w:pStyle w:val="subsection"/>
      </w:pPr>
      <w:r w:rsidRPr="004A5227">
        <w:tab/>
        <w:t>(1)</w:t>
      </w:r>
      <w:r w:rsidRPr="004A5227">
        <w:tab/>
        <w:t>As soon as practicable after making a decision on an application by a carriage service provider under section</w:t>
      </w:r>
      <w:r w:rsidR="004A5227" w:rsidRPr="004A5227">
        <w:t> </w:t>
      </w:r>
      <w:r w:rsidR="00CA6815" w:rsidRPr="004A5227">
        <w:t>88</w:t>
      </w:r>
      <w:r w:rsidRPr="004A5227">
        <w:t xml:space="preserve">, the </w:t>
      </w:r>
      <w:proofErr w:type="spellStart"/>
      <w:r w:rsidRPr="004A5227">
        <w:t>ACMA</w:t>
      </w:r>
      <w:proofErr w:type="spellEnd"/>
      <w:r w:rsidRPr="004A5227">
        <w:t xml:space="preserve"> must notify the carriage service provider of the decision in writing.</w:t>
      </w:r>
    </w:p>
    <w:p w:rsidR="002E298A" w:rsidRPr="004A5227" w:rsidRDefault="002E298A" w:rsidP="002E298A">
      <w:pPr>
        <w:pStyle w:val="subsection"/>
      </w:pPr>
      <w:r w:rsidRPr="004A5227">
        <w:tab/>
        <w:t>(2)</w:t>
      </w:r>
      <w:r w:rsidRPr="004A5227">
        <w:tab/>
        <w:t xml:space="preserve">If the </w:t>
      </w:r>
      <w:proofErr w:type="spellStart"/>
      <w:r w:rsidRPr="004A5227">
        <w:t>ACMA</w:t>
      </w:r>
      <w:proofErr w:type="spellEnd"/>
      <w:r w:rsidRPr="004A5227">
        <w:t xml:space="preserve"> approves the application, the </w:t>
      </w:r>
      <w:proofErr w:type="spellStart"/>
      <w:r w:rsidRPr="004A5227">
        <w:t>ACMA</w:t>
      </w:r>
      <w:proofErr w:type="spellEnd"/>
      <w:r w:rsidRPr="004A5227">
        <w:t xml:space="preserve"> must:</w:t>
      </w:r>
    </w:p>
    <w:p w:rsidR="002E298A" w:rsidRPr="004A5227" w:rsidRDefault="002E298A" w:rsidP="002E298A">
      <w:pPr>
        <w:pStyle w:val="paragraph"/>
      </w:pPr>
      <w:r w:rsidRPr="004A5227">
        <w:lastRenderedPageBreak/>
        <w:tab/>
        <w:t>(a)</w:t>
      </w:r>
      <w:r w:rsidRPr="004A5227">
        <w:tab/>
        <w:t xml:space="preserve">notify the carriage service </w:t>
      </w:r>
      <w:r w:rsidR="00370865" w:rsidRPr="004A5227">
        <w:t xml:space="preserve">provider </w:t>
      </w:r>
      <w:r w:rsidRPr="004A5227">
        <w:t>of the date of surrender; and</w:t>
      </w:r>
    </w:p>
    <w:p w:rsidR="002E298A" w:rsidRPr="004A5227" w:rsidRDefault="002E298A" w:rsidP="002E298A">
      <w:pPr>
        <w:pStyle w:val="paragraph"/>
      </w:pPr>
      <w:r w:rsidRPr="004A5227">
        <w:tab/>
        <w:t>(b)</w:t>
      </w:r>
      <w:r w:rsidRPr="004A5227">
        <w:tab/>
        <w:t xml:space="preserve">if the </w:t>
      </w:r>
      <w:proofErr w:type="spellStart"/>
      <w:r w:rsidRPr="004A5227">
        <w:t>ACMA</w:t>
      </w:r>
      <w:proofErr w:type="spellEnd"/>
      <w:r w:rsidRPr="004A5227">
        <w:t xml:space="preserve"> is not the designated authority—notify the designated authority of the numbers surrendered and the date of surrender.</w:t>
      </w:r>
    </w:p>
    <w:p w:rsidR="002E298A" w:rsidRPr="004A5227" w:rsidRDefault="002E298A" w:rsidP="00990EE2">
      <w:pPr>
        <w:pStyle w:val="subsection"/>
      </w:pPr>
      <w:r w:rsidRPr="004A5227">
        <w:tab/>
        <w:t>(3)</w:t>
      </w:r>
      <w:r w:rsidRPr="004A5227">
        <w:tab/>
        <w:t>The date of surrender must be</w:t>
      </w:r>
      <w:r w:rsidR="00990EE2" w:rsidRPr="004A5227">
        <w:t xml:space="preserve"> </w:t>
      </w:r>
      <w:r w:rsidRPr="004A5227">
        <w:t xml:space="preserve">the date of the </w:t>
      </w:r>
      <w:proofErr w:type="spellStart"/>
      <w:r w:rsidRPr="004A5227">
        <w:t>ACMA’s</w:t>
      </w:r>
      <w:proofErr w:type="spellEnd"/>
      <w:r w:rsidRPr="004A5227">
        <w:t xml:space="preserve"> decision</w:t>
      </w:r>
      <w:r w:rsidR="00990EE2" w:rsidRPr="004A5227">
        <w:t>.</w:t>
      </w:r>
    </w:p>
    <w:p w:rsidR="002E298A" w:rsidRPr="004A5227" w:rsidRDefault="002E298A" w:rsidP="002E3C64">
      <w:pPr>
        <w:pStyle w:val="ActHead2"/>
        <w:pageBreakBefore/>
      </w:pPr>
      <w:bookmarkStart w:id="129" w:name="_Toc413419127"/>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Withdrawal of numbers</w:t>
      </w:r>
      <w:bookmarkEnd w:id="129"/>
    </w:p>
    <w:p w:rsidR="00836277" w:rsidRPr="004A5227" w:rsidRDefault="00836277" w:rsidP="00836277">
      <w:pPr>
        <w:pStyle w:val="notemargin"/>
      </w:pPr>
      <w:r w:rsidRPr="004A5227">
        <w:t>Note:</w:t>
      </w:r>
      <w:r w:rsidRPr="004A5227">
        <w:tab/>
        <w:t>In addition to the provisions in this Part, section</w:t>
      </w:r>
      <w:r w:rsidR="004A5227" w:rsidRPr="004A5227">
        <w:t> </w:t>
      </w:r>
      <w:r w:rsidR="00CA6815" w:rsidRPr="004A5227">
        <w:t>84</w:t>
      </w:r>
      <w:r w:rsidRPr="004A5227">
        <w:t xml:space="preserve"> </w:t>
      </w:r>
      <w:r w:rsidR="00363011" w:rsidRPr="004A5227">
        <w:t xml:space="preserve">also </w:t>
      </w:r>
      <w:r w:rsidRPr="004A5227">
        <w:t>provides for the</w:t>
      </w:r>
      <w:r w:rsidR="00363011" w:rsidRPr="004A5227">
        <w:t xml:space="preserve"> withdrawal of a </w:t>
      </w:r>
      <w:proofErr w:type="spellStart"/>
      <w:r w:rsidR="00363011" w:rsidRPr="004A5227">
        <w:t>smartnumber</w:t>
      </w:r>
      <w:proofErr w:type="spellEnd"/>
      <w:r w:rsidR="000A6B24" w:rsidRPr="004A5227">
        <w:t xml:space="preserve"> and section</w:t>
      </w:r>
      <w:r w:rsidR="004A5227" w:rsidRPr="004A5227">
        <w:t> </w:t>
      </w:r>
      <w:r w:rsidR="00CA6815" w:rsidRPr="004A5227">
        <w:t>53</w:t>
      </w:r>
      <w:r w:rsidR="000A6B24" w:rsidRPr="004A5227">
        <w:t xml:space="preserve"> provides for the withdrawal of an international signalling point code or a mobile network code</w:t>
      </w:r>
      <w:r w:rsidR="00363011" w:rsidRPr="004A5227">
        <w:t>.</w:t>
      </w:r>
    </w:p>
    <w:p w:rsidR="002E298A" w:rsidRPr="004A5227" w:rsidRDefault="002E298A" w:rsidP="002E298A">
      <w:pPr>
        <w:pStyle w:val="Header"/>
      </w:pPr>
      <w:r w:rsidRPr="004A5227">
        <w:rPr>
          <w:rStyle w:val="CharDivNo"/>
        </w:rPr>
        <w:t xml:space="preserve"> </w:t>
      </w:r>
      <w:r w:rsidRPr="004A5227">
        <w:rPr>
          <w:rStyle w:val="CharDivText"/>
        </w:rPr>
        <w:t xml:space="preserve"> </w:t>
      </w:r>
    </w:p>
    <w:p w:rsidR="002E298A" w:rsidRPr="004A5227" w:rsidRDefault="00CA6815" w:rsidP="002E298A">
      <w:pPr>
        <w:pStyle w:val="ActHead5"/>
      </w:pPr>
      <w:bookmarkStart w:id="130" w:name="_Toc413419128"/>
      <w:r w:rsidRPr="004A5227">
        <w:rPr>
          <w:rStyle w:val="CharSectno"/>
        </w:rPr>
        <w:t>91</w:t>
      </w:r>
      <w:r w:rsidR="002E298A" w:rsidRPr="004A5227">
        <w:t xml:space="preserve">  Inconsistency with numbering plan</w:t>
      </w:r>
      <w:bookmarkEnd w:id="130"/>
    </w:p>
    <w:p w:rsidR="002E298A" w:rsidRPr="004A5227" w:rsidRDefault="002E298A" w:rsidP="002E298A">
      <w:pPr>
        <w:pStyle w:val="subsection"/>
      </w:pPr>
      <w:r w:rsidRPr="004A5227">
        <w:tab/>
        <w:t>(1)</w:t>
      </w:r>
      <w:r w:rsidRPr="004A5227">
        <w:tab/>
        <w:t xml:space="preserve">The </w:t>
      </w:r>
      <w:proofErr w:type="spellStart"/>
      <w:r w:rsidRPr="004A5227">
        <w:t>ACMA</w:t>
      </w:r>
      <w:proofErr w:type="spellEnd"/>
      <w:r w:rsidRPr="004A5227">
        <w:t xml:space="preserve"> may withdraw a number</w:t>
      </w:r>
      <w:r w:rsidR="008C087F" w:rsidRPr="004A5227">
        <w:t xml:space="preserve"> </w:t>
      </w:r>
      <w:r w:rsidR="00C923AE" w:rsidRPr="004A5227">
        <w:t>(other than an international signalling point code or a mobile n</w:t>
      </w:r>
      <w:r w:rsidR="007D3DBD" w:rsidRPr="004A5227">
        <w:t xml:space="preserve">etwork </w:t>
      </w:r>
      <w:r w:rsidR="00C923AE" w:rsidRPr="004A5227">
        <w:t xml:space="preserve">code) </w:t>
      </w:r>
      <w:r w:rsidRPr="004A5227">
        <w:t>if:</w:t>
      </w:r>
    </w:p>
    <w:p w:rsidR="002E298A" w:rsidRPr="004A5227" w:rsidRDefault="002E298A" w:rsidP="002E298A">
      <w:pPr>
        <w:pStyle w:val="paragraph"/>
      </w:pPr>
      <w:r w:rsidRPr="004A5227">
        <w:tab/>
        <w:t>(a)</w:t>
      </w:r>
      <w:r w:rsidRPr="004A5227">
        <w:tab/>
        <w:t xml:space="preserve">the number has been allocated, transferred, issued or used in a way that is inconsistent with </w:t>
      </w:r>
      <w:r w:rsidR="006F7CD2" w:rsidRPr="004A5227">
        <w:t>this instrument</w:t>
      </w:r>
      <w:r w:rsidRPr="004A5227">
        <w:t>; and</w:t>
      </w:r>
    </w:p>
    <w:p w:rsidR="002E298A" w:rsidRPr="004A5227" w:rsidRDefault="002E298A" w:rsidP="002E298A">
      <w:pPr>
        <w:pStyle w:val="paragraph"/>
      </w:pPr>
      <w:r w:rsidRPr="004A5227">
        <w:tab/>
        <w:t>(b)</w:t>
      </w:r>
      <w:r w:rsidRPr="004A5227">
        <w:tab/>
        <w:t xml:space="preserve">the </w:t>
      </w:r>
      <w:proofErr w:type="spellStart"/>
      <w:r w:rsidRPr="004A5227">
        <w:t>ACMA</w:t>
      </w:r>
      <w:proofErr w:type="spellEnd"/>
      <w:r w:rsidRPr="004A5227">
        <w:t xml:space="preserve">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rsidR="002E298A" w:rsidRPr="004A5227" w:rsidRDefault="002E298A" w:rsidP="002E298A">
      <w:pPr>
        <w:pStyle w:val="subsection"/>
      </w:pPr>
      <w:r w:rsidRPr="004A5227">
        <w:tab/>
        <w:t>(2)</w:t>
      </w:r>
      <w:r w:rsidRPr="004A5227">
        <w:tab/>
        <w:t xml:space="preserve">If the </w:t>
      </w:r>
      <w:proofErr w:type="spellStart"/>
      <w:r w:rsidRPr="004A5227">
        <w:t>ACMA</w:t>
      </w:r>
      <w:proofErr w:type="spellEnd"/>
      <w:r w:rsidRPr="004A5227">
        <w:t xml:space="preserve"> decides to withdraw a number under </w:t>
      </w:r>
      <w:r w:rsidR="004A5227" w:rsidRPr="004A5227">
        <w:t>subsection (</w:t>
      </w:r>
      <w:r w:rsidRPr="004A5227">
        <w:t xml:space="preserve">1), the </w:t>
      </w:r>
      <w:proofErr w:type="spellStart"/>
      <w:r w:rsidRPr="004A5227">
        <w:t>ACMA</w:t>
      </w:r>
      <w:proofErr w:type="spellEnd"/>
      <w:r w:rsidRPr="004A5227">
        <w:t xml:space="preserve"> must give written notice of the decision to the carriage service provider that holds the number.</w:t>
      </w:r>
    </w:p>
    <w:p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rsidR="002E298A" w:rsidRPr="004A5227" w:rsidRDefault="002E298A" w:rsidP="002E298A">
      <w:pPr>
        <w:pStyle w:val="subsection"/>
      </w:pPr>
      <w:r w:rsidRPr="004A5227">
        <w:tab/>
        <w:t>(4)</w:t>
      </w:r>
      <w:r w:rsidRPr="004A5227">
        <w:tab/>
        <w:t>The period between the date of the notice and the date on which the number is to be withdrawn must be at least the shorter of the following periods:</w:t>
      </w:r>
    </w:p>
    <w:p w:rsidR="002E298A" w:rsidRPr="004A5227" w:rsidRDefault="002E298A" w:rsidP="002E298A">
      <w:pPr>
        <w:pStyle w:val="paragraph"/>
      </w:pPr>
      <w:r w:rsidRPr="004A5227">
        <w:tab/>
        <w:t>(a)</w:t>
      </w:r>
      <w:r w:rsidRPr="004A5227">
        <w:tab/>
        <w:t>44 business days plus the period for which, at the date of the notice, the carriage service provider has held the number;</w:t>
      </w:r>
    </w:p>
    <w:p w:rsidR="002E298A" w:rsidRPr="004A5227" w:rsidRDefault="002E298A" w:rsidP="002E298A">
      <w:pPr>
        <w:pStyle w:val="paragraph"/>
      </w:pPr>
      <w:r w:rsidRPr="004A5227">
        <w:tab/>
        <w:t>(b)</w:t>
      </w:r>
      <w:r w:rsidRPr="004A5227">
        <w:tab/>
        <w:t>14 months.</w:t>
      </w:r>
    </w:p>
    <w:p w:rsidR="00830C77" w:rsidRPr="004A5227" w:rsidRDefault="00830C77" w:rsidP="00830C77">
      <w:pPr>
        <w:pStyle w:val="subsection"/>
      </w:pPr>
      <w:r w:rsidRPr="004A5227">
        <w:tab/>
        <w:t>(5)</w:t>
      </w:r>
      <w:r w:rsidRPr="004A5227">
        <w:tab/>
        <w:t xml:space="preserve">If the </w:t>
      </w:r>
      <w:proofErr w:type="spellStart"/>
      <w:r w:rsidRPr="004A5227">
        <w:t>ACMA</w:t>
      </w:r>
      <w:proofErr w:type="spellEnd"/>
      <w:r w:rsidRPr="004A5227">
        <w:t xml:space="preserve"> is not the designated authority, then the </w:t>
      </w:r>
      <w:proofErr w:type="spellStart"/>
      <w:r w:rsidRPr="004A5227">
        <w:t>ACMA</w:t>
      </w:r>
      <w:proofErr w:type="spellEnd"/>
      <w:r w:rsidRPr="004A5227">
        <w:t xml:space="preserve"> must notify the designated authority of a decision to withdraw a number as soon as reasonably practicable after the decision is made.</w:t>
      </w:r>
    </w:p>
    <w:p w:rsidR="002E298A" w:rsidRPr="004A5227" w:rsidRDefault="00CA6815" w:rsidP="002E298A">
      <w:pPr>
        <w:pStyle w:val="ActHead5"/>
      </w:pPr>
      <w:bookmarkStart w:id="131" w:name="_Toc413419129"/>
      <w:r w:rsidRPr="004A5227">
        <w:rPr>
          <w:rStyle w:val="CharSectno"/>
        </w:rPr>
        <w:t>92</w:t>
      </w:r>
      <w:r w:rsidR="002E298A" w:rsidRPr="004A5227">
        <w:t xml:space="preserve">  Inconsistency with conditions</w:t>
      </w:r>
      <w:bookmarkEnd w:id="131"/>
    </w:p>
    <w:p w:rsidR="002E298A" w:rsidRPr="004A5227" w:rsidRDefault="002E298A" w:rsidP="002E298A">
      <w:pPr>
        <w:pStyle w:val="subsection"/>
      </w:pPr>
      <w:r w:rsidRPr="004A5227">
        <w:tab/>
        <w:t>(1)</w:t>
      </w:r>
      <w:r w:rsidRPr="004A5227">
        <w:tab/>
        <w:t xml:space="preserve">The </w:t>
      </w:r>
      <w:proofErr w:type="spellStart"/>
      <w:r w:rsidRPr="004A5227">
        <w:t>ACMA</w:t>
      </w:r>
      <w:proofErr w:type="spellEnd"/>
      <w:r w:rsidRPr="004A5227">
        <w:t xml:space="preserve"> may withdraw a number</w:t>
      </w:r>
      <w:r w:rsidR="00846B68" w:rsidRPr="004A5227">
        <w:t xml:space="preserve"> (other than an international signalling point code or a mobile network code)</w:t>
      </w:r>
      <w:r w:rsidRPr="004A5227">
        <w:t xml:space="preserve"> if:</w:t>
      </w:r>
    </w:p>
    <w:p w:rsidR="002E298A" w:rsidRPr="004A5227" w:rsidRDefault="002E298A" w:rsidP="002E298A">
      <w:pPr>
        <w:pStyle w:val="paragraph"/>
      </w:pPr>
      <w:r w:rsidRPr="004A5227">
        <w:tab/>
        <w:t>(a)</w:t>
      </w:r>
      <w:r w:rsidRPr="004A5227">
        <w:tab/>
        <w:t xml:space="preserve">the number has been transferred, issued or used in a way that is inconsistent with conditions placed by the </w:t>
      </w:r>
      <w:proofErr w:type="spellStart"/>
      <w:r w:rsidRPr="004A5227">
        <w:t>ACMA</w:t>
      </w:r>
      <w:proofErr w:type="spellEnd"/>
      <w:r w:rsidRPr="004A5227">
        <w:t xml:space="preserve"> on the allocation of the number; and</w:t>
      </w:r>
    </w:p>
    <w:p w:rsidR="002E298A" w:rsidRPr="004A5227" w:rsidRDefault="002E298A" w:rsidP="002E298A">
      <w:pPr>
        <w:pStyle w:val="paragraph"/>
      </w:pPr>
      <w:r w:rsidRPr="004A5227">
        <w:tab/>
        <w:t>(b)</w:t>
      </w:r>
      <w:r w:rsidRPr="004A5227">
        <w:tab/>
        <w:t xml:space="preserve">the </w:t>
      </w:r>
      <w:proofErr w:type="spellStart"/>
      <w:r w:rsidRPr="004A5227">
        <w:t>ACMA</w:t>
      </w:r>
      <w:proofErr w:type="spellEnd"/>
      <w:r w:rsidRPr="004A5227">
        <w:t xml:space="preserve"> is satisfied that the benefits of withdrawing the number, or the problems to be avoided by withdrawing the number, are more significant for end</w:t>
      </w:r>
      <w:r w:rsidR="004A5227">
        <w:noBreakHyphen/>
      </w:r>
      <w:r w:rsidRPr="004A5227">
        <w:t>users and carriage service providers than the technical and financial consequences of withdrawing the number.</w:t>
      </w:r>
    </w:p>
    <w:p w:rsidR="002E298A" w:rsidRPr="004A5227" w:rsidRDefault="002E298A" w:rsidP="002E298A">
      <w:pPr>
        <w:pStyle w:val="subsection"/>
      </w:pPr>
      <w:r w:rsidRPr="004A5227">
        <w:tab/>
        <w:t>(2)</w:t>
      </w:r>
      <w:r w:rsidRPr="004A5227">
        <w:tab/>
        <w:t xml:space="preserve">If the </w:t>
      </w:r>
      <w:proofErr w:type="spellStart"/>
      <w:r w:rsidRPr="004A5227">
        <w:t>ACMA</w:t>
      </w:r>
      <w:proofErr w:type="spellEnd"/>
      <w:r w:rsidRPr="004A5227">
        <w:t xml:space="preserve"> decides to withdraw a number under </w:t>
      </w:r>
      <w:r w:rsidR="004A5227" w:rsidRPr="004A5227">
        <w:t>subsection (</w:t>
      </w:r>
      <w:r w:rsidRPr="004A5227">
        <w:t xml:space="preserve">1), the </w:t>
      </w:r>
      <w:proofErr w:type="spellStart"/>
      <w:r w:rsidRPr="004A5227">
        <w:t>ACMA</w:t>
      </w:r>
      <w:proofErr w:type="spellEnd"/>
      <w:r w:rsidRPr="004A5227">
        <w:t xml:space="preserve"> must give written notice of the decision to the carriage service provider that holds the number.</w:t>
      </w:r>
    </w:p>
    <w:p w:rsidR="002E298A" w:rsidRPr="004A5227" w:rsidRDefault="002E298A" w:rsidP="002E298A">
      <w:pPr>
        <w:pStyle w:val="subsection"/>
      </w:pPr>
      <w:r w:rsidRPr="004A5227">
        <w:lastRenderedPageBreak/>
        <w:tab/>
        <w:t>(3)</w:t>
      </w:r>
      <w:r w:rsidRPr="004A5227">
        <w:tab/>
        <w:t>The notice must set out the reasons for the decision and specify the date on which the number is to be withdrawn.</w:t>
      </w:r>
    </w:p>
    <w:p w:rsidR="002E298A" w:rsidRPr="004A5227" w:rsidRDefault="002E298A" w:rsidP="002E298A">
      <w:pPr>
        <w:pStyle w:val="subsection"/>
      </w:pPr>
      <w:r w:rsidRPr="004A5227">
        <w:tab/>
        <w:t>(4)</w:t>
      </w:r>
      <w:r w:rsidRPr="004A5227">
        <w:tab/>
        <w:t>The period between the date of the notice and the date on which the number is to be withdrawn must be at least the shorter of the following periods:</w:t>
      </w:r>
    </w:p>
    <w:p w:rsidR="002E298A" w:rsidRPr="004A5227" w:rsidRDefault="002E298A" w:rsidP="002E298A">
      <w:pPr>
        <w:pStyle w:val="paragraph"/>
      </w:pPr>
      <w:r w:rsidRPr="004A5227">
        <w:tab/>
        <w:t>(a)</w:t>
      </w:r>
      <w:r w:rsidRPr="004A5227">
        <w:tab/>
        <w:t>the period for which, at the date of the notice, the carriage service provider has held the number;</w:t>
      </w:r>
    </w:p>
    <w:p w:rsidR="002E298A" w:rsidRPr="004A5227" w:rsidRDefault="002E298A" w:rsidP="009A65C1">
      <w:pPr>
        <w:pStyle w:val="paragraph"/>
      </w:pPr>
      <w:r w:rsidRPr="004A5227">
        <w:tab/>
        <w:t>(b)</w:t>
      </w:r>
      <w:r w:rsidRPr="004A5227">
        <w:tab/>
        <w:t>1 year.</w:t>
      </w:r>
    </w:p>
    <w:p w:rsidR="00081B21" w:rsidRPr="004A5227" w:rsidRDefault="00830C77" w:rsidP="002D57CF">
      <w:pPr>
        <w:pStyle w:val="subsection"/>
      </w:pPr>
      <w:r w:rsidRPr="004A5227">
        <w:tab/>
        <w:t>(5)</w:t>
      </w:r>
      <w:r w:rsidRPr="004A5227">
        <w:tab/>
        <w:t xml:space="preserve">If the </w:t>
      </w:r>
      <w:proofErr w:type="spellStart"/>
      <w:r w:rsidRPr="004A5227">
        <w:t>ACMA</w:t>
      </w:r>
      <w:proofErr w:type="spellEnd"/>
      <w:r w:rsidRPr="004A5227">
        <w:t xml:space="preserve"> is not the designated authority, then the </w:t>
      </w:r>
      <w:proofErr w:type="spellStart"/>
      <w:r w:rsidRPr="004A5227">
        <w:t>ACMA</w:t>
      </w:r>
      <w:proofErr w:type="spellEnd"/>
      <w:r w:rsidRPr="004A5227">
        <w:t xml:space="preserve"> must notify the designated authority of a decision to withdraw a number as soon as reasonably practicable after the decision is made.</w:t>
      </w:r>
    </w:p>
    <w:p w:rsidR="002E298A" w:rsidRPr="004A5227" w:rsidRDefault="00CA6815" w:rsidP="002E298A">
      <w:pPr>
        <w:pStyle w:val="ActHead5"/>
      </w:pPr>
      <w:bookmarkStart w:id="132" w:name="_Toc413419130"/>
      <w:r w:rsidRPr="004A5227">
        <w:rPr>
          <w:rStyle w:val="CharSectno"/>
        </w:rPr>
        <w:t>93</w:t>
      </w:r>
      <w:r w:rsidR="002E298A" w:rsidRPr="004A5227">
        <w:t xml:space="preserve">  Non</w:t>
      </w:r>
      <w:r w:rsidR="004A5227">
        <w:noBreakHyphen/>
      </w:r>
      <w:r w:rsidR="00975E80" w:rsidRPr="004A5227">
        <w:t>payment of annual</w:t>
      </w:r>
      <w:r w:rsidR="002E298A" w:rsidRPr="004A5227">
        <w:t xml:space="preserve"> numbering charge</w:t>
      </w:r>
      <w:bookmarkEnd w:id="132"/>
    </w:p>
    <w:p w:rsidR="002E298A" w:rsidRPr="004A5227" w:rsidRDefault="002E298A" w:rsidP="002E298A">
      <w:pPr>
        <w:pStyle w:val="subsection"/>
      </w:pPr>
      <w:r w:rsidRPr="004A5227">
        <w:tab/>
        <w:t>(1)</w:t>
      </w:r>
      <w:r w:rsidRPr="004A5227">
        <w:tab/>
        <w:t>T</w:t>
      </w:r>
      <w:r w:rsidR="00975E80" w:rsidRPr="004A5227">
        <w:t xml:space="preserve">he </w:t>
      </w:r>
      <w:proofErr w:type="spellStart"/>
      <w:r w:rsidR="00975E80" w:rsidRPr="004A5227">
        <w:t>ACMA</w:t>
      </w:r>
      <w:proofErr w:type="spellEnd"/>
      <w:r w:rsidR="00975E80" w:rsidRPr="004A5227">
        <w:t xml:space="preserve"> may withdraw a number </w:t>
      </w:r>
      <w:r w:rsidRPr="004A5227">
        <w:t>held by a carriage service provider if:</w:t>
      </w:r>
    </w:p>
    <w:p w:rsidR="002E298A" w:rsidRPr="004A5227" w:rsidRDefault="002E298A" w:rsidP="002E298A">
      <w:pPr>
        <w:pStyle w:val="paragraph"/>
      </w:pPr>
      <w:r w:rsidRPr="004A5227">
        <w:tab/>
        <w:t>(a)</w:t>
      </w:r>
      <w:r w:rsidRPr="004A5227">
        <w:tab/>
      </w:r>
      <w:r w:rsidR="00E31C4C" w:rsidRPr="004A5227">
        <w:t>annual</w:t>
      </w:r>
      <w:r w:rsidR="00975E80" w:rsidRPr="004A5227">
        <w:t xml:space="preserve"> </w:t>
      </w:r>
      <w:r w:rsidRPr="004A5227">
        <w:t xml:space="preserve">charge is payable </w:t>
      </w:r>
      <w:r w:rsidR="00E83E78" w:rsidRPr="004A5227">
        <w:t xml:space="preserve">under the </w:t>
      </w:r>
      <w:r w:rsidR="00E83E78" w:rsidRPr="004A5227">
        <w:rPr>
          <w:i/>
        </w:rPr>
        <w:t xml:space="preserve">Telecommunications (Numbering Charges) Act 1997 </w:t>
      </w:r>
      <w:r w:rsidRPr="004A5227">
        <w:t>by the</w:t>
      </w:r>
      <w:r w:rsidR="00975E80" w:rsidRPr="004A5227">
        <w:t xml:space="preserve"> carriage service provider for </w:t>
      </w:r>
      <w:r w:rsidR="00E83E78" w:rsidRPr="004A5227">
        <w:t>any</w:t>
      </w:r>
      <w:r w:rsidR="00975E80" w:rsidRPr="004A5227">
        <w:t xml:space="preserve"> number </w:t>
      </w:r>
      <w:r w:rsidR="00E83E78" w:rsidRPr="004A5227">
        <w:t>held by the provider</w:t>
      </w:r>
      <w:r w:rsidRPr="004A5227">
        <w:t>; and</w:t>
      </w:r>
    </w:p>
    <w:p w:rsidR="002E298A" w:rsidRPr="004A5227" w:rsidRDefault="002E298A" w:rsidP="002E298A">
      <w:pPr>
        <w:pStyle w:val="paragraph"/>
      </w:pPr>
      <w:r w:rsidRPr="004A5227">
        <w:tab/>
        <w:t>(b)</w:t>
      </w:r>
      <w:r w:rsidRPr="004A5227">
        <w:tab/>
        <w:t>the charge remains unpaid at least 3 months after the charge became payable;</w:t>
      </w:r>
      <w:r w:rsidR="009A65C1" w:rsidRPr="004A5227">
        <w:t xml:space="preserve"> and</w:t>
      </w:r>
    </w:p>
    <w:p w:rsidR="002E298A" w:rsidRPr="004A5227" w:rsidRDefault="002E298A" w:rsidP="002E298A">
      <w:pPr>
        <w:pStyle w:val="paragraph"/>
      </w:pPr>
      <w:r w:rsidRPr="004A5227">
        <w:tab/>
        <w:t>(c)</w:t>
      </w:r>
      <w:r w:rsidRPr="004A5227">
        <w:tab/>
        <w:t xml:space="preserve">the </w:t>
      </w:r>
      <w:proofErr w:type="spellStart"/>
      <w:r w:rsidRPr="004A5227">
        <w:t>ACMA</w:t>
      </w:r>
      <w:proofErr w:type="spellEnd"/>
      <w:r w:rsidRPr="004A5227">
        <w:t xml:space="preserve"> is satisfied the carriage service provider is aware of the liability; and</w:t>
      </w:r>
    </w:p>
    <w:p w:rsidR="002E298A" w:rsidRPr="004A5227" w:rsidRDefault="002E298A" w:rsidP="002E298A">
      <w:pPr>
        <w:pStyle w:val="paragraph"/>
      </w:pPr>
      <w:r w:rsidRPr="004A5227">
        <w:tab/>
        <w:t>(d)</w:t>
      </w:r>
      <w:r w:rsidRPr="004A5227">
        <w:tab/>
        <w:t xml:space="preserve">the </w:t>
      </w:r>
      <w:proofErr w:type="spellStart"/>
      <w:r w:rsidRPr="004A5227">
        <w:t>ACMA</w:t>
      </w:r>
      <w:proofErr w:type="spellEnd"/>
      <w:r w:rsidRPr="004A5227">
        <w:t xml:space="preserve"> is satisfied the withdrawal of the number will not produce any significant adverse consequences for end</w:t>
      </w:r>
      <w:r w:rsidR="004A5227">
        <w:noBreakHyphen/>
      </w:r>
      <w:r w:rsidRPr="004A5227">
        <w:t>users.</w:t>
      </w:r>
    </w:p>
    <w:p w:rsidR="005F1BC5" w:rsidRPr="004A5227" w:rsidRDefault="000C2664" w:rsidP="000C2664">
      <w:pPr>
        <w:pStyle w:val="subsection"/>
      </w:pPr>
      <w:r w:rsidRPr="004A5227">
        <w:tab/>
        <w:t>(2)</w:t>
      </w:r>
      <w:r w:rsidRPr="004A5227">
        <w:tab/>
        <w:t xml:space="preserve">Despite </w:t>
      </w:r>
      <w:r w:rsidR="004A5227" w:rsidRPr="004A5227">
        <w:t>subsection (</w:t>
      </w:r>
      <w:r w:rsidRPr="004A5227">
        <w:t xml:space="preserve">1), the </w:t>
      </w:r>
      <w:proofErr w:type="spellStart"/>
      <w:r w:rsidRPr="004A5227">
        <w:t>ACMA</w:t>
      </w:r>
      <w:proofErr w:type="spellEnd"/>
      <w:r w:rsidRPr="004A5227">
        <w:t xml:space="preserve"> must not withdraw a number under </w:t>
      </w:r>
      <w:r w:rsidR="005F1BC5" w:rsidRPr="004A5227">
        <w:t>that subsection if:</w:t>
      </w:r>
    </w:p>
    <w:p w:rsidR="005F1BC5" w:rsidRPr="004A5227" w:rsidRDefault="005F1BC5" w:rsidP="005F1BC5">
      <w:pPr>
        <w:pStyle w:val="paragraph"/>
      </w:pPr>
      <w:r w:rsidRPr="004A5227">
        <w:tab/>
        <w:t>(a)</w:t>
      </w:r>
      <w:r w:rsidRPr="004A5227">
        <w:tab/>
      </w:r>
      <w:r w:rsidR="000C2664" w:rsidRPr="004A5227">
        <w:t>the number is exempt from annual charge under section</w:t>
      </w:r>
      <w:r w:rsidR="004A5227" w:rsidRPr="004A5227">
        <w:t> </w:t>
      </w:r>
      <w:r w:rsidR="000C2664" w:rsidRPr="004A5227">
        <w:t xml:space="preserve">22 of the </w:t>
      </w:r>
      <w:r w:rsidR="000C2664" w:rsidRPr="004A5227">
        <w:rPr>
          <w:i/>
        </w:rPr>
        <w:t>Telecommunications (Numbering Charges) Act 1997</w:t>
      </w:r>
      <w:r w:rsidR="000C2664" w:rsidRPr="004A5227">
        <w:t xml:space="preserve"> </w:t>
      </w:r>
      <w:r w:rsidRPr="004A5227">
        <w:t xml:space="preserve">(including under a determination under that section); </w:t>
      </w:r>
      <w:r w:rsidR="000C2664" w:rsidRPr="004A5227">
        <w:t>or</w:t>
      </w:r>
    </w:p>
    <w:p w:rsidR="000C2664" w:rsidRPr="004A5227" w:rsidRDefault="005F1BC5" w:rsidP="005F1BC5">
      <w:pPr>
        <w:pStyle w:val="paragraph"/>
      </w:pPr>
      <w:r w:rsidRPr="004A5227">
        <w:tab/>
        <w:t>(b)</w:t>
      </w:r>
      <w:r w:rsidRPr="004A5227">
        <w:tab/>
      </w:r>
      <w:r w:rsidR="000C2664" w:rsidRPr="004A5227">
        <w:t xml:space="preserve">the rate of annual charge for the number is </w:t>
      </w:r>
      <w:r w:rsidR="00EB62E7" w:rsidRPr="004A5227">
        <w:t>nil</w:t>
      </w:r>
      <w:r w:rsidR="000C2664" w:rsidRPr="004A5227">
        <w:t>.</w:t>
      </w:r>
    </w:p>
    <w:p w:rsidR="002E298A" w:rsidRPr="004A5227" w:rsidRDefault="002E298A" w:rsidP="002E298A">
      <w:pPr>
        <w:pStyle w:val="subsection"/>
      </w:pPr>
      <w:r w:rsidRPr="004A5227">
        <w:tab/>
        <w:t>(</w:t>
      </w:r>
      <w:r w:rsidR="000C2664" w:rsidRPr="004A5227">
        <w:t>3</w:t>
      </w:r>
      <w:r w:rsidRPr="004A5227">
        <w:t>)</w:t>
      </w:r>
      <w:r w:rsidRPr="004A5227">
        <w:tab/>
        <w:t xml:space="preserve">If the </w:t>
      </w:r>
      <w:proofErr w:type="spellStart"/>
      <w:r w:rsidRPr="004A5227">
        <w:t>ACMA</w:t>
      </w:r>
      <w:proofErr w:type="spellEnd"/>
      <w:r w:rsidRPr="004A5227">
        <w:t xml:space="preserve"> decides to withdraw a number under </w:t>
      </w:r>
      <w:r w:rsidR="004A5227" w:rsidRPr="004A5227">
        <w:t>subsection (</w:t>
      </w:r>
      <w:r w:rsidRPr="004A5227">
        <w:t xml:space="preserve">1), the </w:t>
      </w:r>
      <w:proofErr w:type="spellStart"/>
      <w:r w:rsidRPr="004A5227">
        <w:t>ACMA</w:t>
      </w:r>
      <w:proofErr w:type="spellEnd"/>
      <w:r w:rsidRPr="004A5227">
        <w:t xml:space="preserve"> must give written notice of the decision to the carriage service provider.</w:t>
      </w:r>
    </w:p>
    <w:p w:rsidR="002E298A" w:rsidRPr="004A5227" w:rsidRDefault="002E298A" w:rsidP="002E298A">
      <w:pPr>
        <w:pStyle w:val="subsection"/>
      </w:pPr>
      <w:r w:rsidRPr="004A5227">
        <w:tab/>
        <w:t>(</w:t>
      </w:r>
      <w:r w:rsidR="000C2664" w:rsidRPr="004A5227">
        <w:t>4</w:t>
      </w:r>
      <w:r w:rsidRPr="004A5227">
        <w:t>)</w:t>
      </w:r>
      <w:r w:rsidRPr="004A5227">
        <w:tab/>
        <w:t>The notice must set out the reasons for the decision and specify the date on which the number is to be withdrawn.</w:t>
      </w:r>
    </w:p>
    <w:p w:rsidR="002E298A" w:rsidRPr="004A5227" w:rsidRDefault="002E298A" w:rsidP="002E298A">
      <w:pPr>
        <w:pStyle w:val="subsection"/>
      </w:pPr>
      <w:r w:rsidRPr="004A5227">
        <w:tab/>
        <w:t>(</w:t>
      </w:r>
      <w:r w:rsidR="000C2664" w:rsidRPr="004A5227">
        <w:t>5</w:t>
      </w:r>
      <w:r w:rsidRPr="004A5227">
        <w:t>)</w:t>
      </w:r>
      <w:r w:rsidRPr="004A5227">
        <w:tab/>
        <w:t>The period between the date of the notice and the date on which the number is to be withdrawn must be at least 20 business days.</w:t>
      </w:r>
    </w:p>
    <w:p w:rsidR="00830C77" w:rsidRPr="004A5227" w:rsidRDefault="00830C77" w:rsidP="002E298A">
      <w:pPr>
        <w:pStyle w:val="subsection"/>
      </w:pPr>
      <w:r w:rsidRPr="004A5227">
        <w:tab/>
        <w:t>(6)</w:t>
      </w:r>
      <w:r w:rsidRPr="004A5227">
        <w:tab/>
        <w:t xml:space="preserve">If the </w:t>
      </w:r>
      <w:proofErr w:type="spellStart"/>
      <w:r w:rsidRPr="004A5227">
        <w:t>ACMA</w:t>
      </w:r>
      <w:proofErr w:type="spellEnd"/>
      <w:r w:rsidRPr="004A5227">
        <w:t xml:space="preserve"> is not the designated authority, then the </w:t>
      </w:r>
      <w:proofErr w:type="spellStart"/>
      <w:r w:rsidRPr="004A5227">
        <w:t>ACMA</w:t>
      </w:r>
      <w:proofErr w:type="spellEnd"/>
      <w:r w:rsidRPr="004A5227">
        <w:t xml:space="preserve"> must notify the designated authority of a decision to withdraw a number as soon as reasonably practicable after the decision is made.</w:t>
      </w:r>
    </w:p>
    <w:p w:rsidR="002E298A" w:rsidRPr="004A5227" w:rsidRDefault="00CA6815" w:rsidP="002E298A">
      <w:pPr>
        <w:pStyle w:val="ActHead5"/>
      </w:pPr>
      <w:bookmarkStart w:id="133" w:name="_Toc413419131"/>
      <w:r w:rsidRPr="004A5227">
        <w:rPr>
          <w:rStyle w:val="CharSectno"/>
        </w:rPr>
        <w:t>94</w:t>
      </w:r>
      <w:r w:rsidR="002E298A" w:rsidRPr="004A5227">
        <w:t xml:space="preserve">  Withdrawal of numbers not in use</w:t>
      </w:r>
      <w:bookmarkEnd w:id="133"/>
    </w:p>
    <w:p w:rsidR="002E298A" w:rsidRPr="004A5227" w:rsidRDefault="00901FDF" w:rsidP="002E298A">
      <w:pPr>
        <w:pStyle w:val="subsection"/>
      </w:pPr>
      <w:r w:rsidRPr="004A5227">
        <w:tab/>
        <w:t>(1)</w:t>
      </w:r>
      <w:r w:rsidRPr="004A5227">
        <w:tab/>
        <w:t xml:space="preserve">The </w:t>
      </w:r>
      <w:proofErr w:type="spellStart"/>
      <w:r w:rsidRPr="004A5227">
        <w:t>ACMA</w:t>
      </w:r>
      <w:proofErr w:type="spellEnd"/>
      <w:r w:rsidRPr="004A5227">
        <w:t xml:space="preserve"> may withdraw a number </w:t>
      </w:r>
      <w:r w:rsidR="00846B68" w:rsidRPr="004A5227">
        <w:t xml:space="preserve">(other than an international signalling point code or a mobile network code) </w:t>
      </w:r>
      <w:r w:rsidR="002E298A" w:rsidRPr="004A5227">
        <w:t>held by a carriage service provider if:</w:t>
      </w:r>
    </w:p>
    <w:p w:rsidR="002E298A" w:rsidRPr="004A5227" w:rsidRDefault="002E298A" w:rsidP="002E298A">
      <w:pPr>
        <w:pStyle w:val="paragraph"/>
      </w:pPr>
      <w:r w:rsidRPr="004A5227">
        <w:tab/>
        <w:t>(a)</w:t>
      </w:r>
      <w:r w:rsidRPr="004A5227">
        <w:tab/>
        <w:t>either:</w:t>
      </w:r>
    </w:p>
    <w:p w:rsidR="002E298A" w:rsidRPr="004A5227" w:rsidRDefault="002E298A" w:rsidP="002E298A">
      <w:pPr>
        <w:pStyle w:val="paragraphsub"/>
      </w:pPr>
      <w:r w:rsidRPr="004A5227">
        <w:lastRenderedPageBreak/>
        <w:tab/>
        <w:t>(</w:t>
      </w:r>
      <w:proofErr w:type="spellStart"/>
      <w:r w:rsidRPr="004A5227">
        <w:t>i</w:t>
      </w:r>
      <w:proofErr w:type="spellEnd"/>
      <w:r w:rsidRPr="004A5227">
        <w:t>)</w:t>
      </w:r>
      <w:r w:rsidRPr="004A5227">
        <w:tab/>
        <w:t>the number has been held by the carriage service provider for a period of at least 24 months, and the number has not been in use in that period; or</w:t>
      </w:r>
    </w:p>
    <w:p w:rsidR="002E298A" w:rsidRPr="004A5227" w:rsidRDefault="002E298A" w:rsidP="002E298A">
      <w:pPr>
        <w:pStyle w:val="paragraphsub"/>
      </w:pPr>
      <w:r w:rsidRPr="004A5227">
        <w:tab/>
        <w:t>(ii)</w:t>
      </w:r>
      <w:r w:rsidRPr="004A5227">
        <w:tab/>
        <w:t xml:space="preserve">the number has been held by the carriage service provider for a period of less than 24 months, and the </w:t>
      </w:r>
      <w:proofErr w:type="spellStart"/>
      <w:r w:rsidRPr="004A5227">
        <w:t>ACMA</w:t>
      </w:r>
      <w:proofErr w:type="spellEnd"/>
      <w:r w:rsidR="000378FB" w:rsidRPr="004A5227">
        <w:t xml:space="preserve"> reasonably believes</w:t>
      </w:r>
      <w:r w:rsidRPr="004A5227">
        <w:t xml:space="preserve"> that the number will not be in use before the number has been held for 24 months; and</w:t>
      </w:r>
    </w:p>
    <w:p w:rsidR="002E298A" w:rsidRPr="004A5227" w:rsidRDefault="002E298A" w:rsidP="002E298A">
      <w:pPr>
        <w:pStyle w:val="paragraph"/>
      </w:pPr>
      <w:r w:rsidRPr="004A5227">
        <w:tab/>
        <w:t>(b)</w:t>
      </w:r>
      <w:r w:rsidRPr="004A5227">
        <w:tab/>
        <w:t xml:space="preserve">the </w:t>
      </w:r>
      <w:proofErr w:type="spellStart"/>
      <w:r w:rsidRPr="004A5227">
        <w:t>ACMA</w:t>
      </w:r>
      <w:proofErr w:type="spellEnd"/>
      <w:r w:rsidR="000378FB" w:rsidRPr="004A5227">
        <w:t xml:space="preserve"> reasonably believes</w:t>
      </w:r>
      <w:r w:rsidRPr="004A5227">
        <w:t xml:space="preserve"> that the number is additional to those needed by the carriage service provider for its ongoing business needs; and</w:t>
      </w:r>
    </w:p>
    <w:p w:rsidR="002E298A" w:rsidRPr="004A5227" w:rsidRDefault="002E298A" w:rsidP="002E298A">
      <w:pPr>
        <w:pStyle w:val="paragraph"/>
      </w:pPr>
      <w:r w:rsidRPr="004A5227">
        <w:tab/>
        <w:t>(c)</w:t>
      </w:r>
      <w:r w:rsidRPr="004A5227">
        <w:tab/>
        <w:t xml:space="preserve">the </w:t>
      </w:r>
      <w:proofErr w:type="spellStart"/>
      <w:r w:rsidRPr="004A5227">
        <w:t>ACMA</w:t>
      </w:r>
      <w:proofErr w:type="spellEnd"/>
      <w:r w:rsidRPr="004A5227">
        <w:t xml:space="preserve"> </w:t>
      </w:r>
      <w:r w:rsidR="000378FB" w:rsidRPr="004A5227">
        <w:t>reasonably believes</w:t>
      </w:r>
      <w:r w:rsidRPr="004A5227">
        <w:t xml:space="preserve"> that the benefits of withdrawing the number, or the problems to be avoided by withdrawing the number, are greater than the costs of withdrawal.</w:t>
      </w:r>
    </w:p>
    <w:p w:rsidR="002E298A" w:rsidRPr="004A5227" w:rsidRDefault="002E298A" w:rsidP="002E298A">
      <w:pPr>
        <w:pStyle w:val="subsection"/>
      </w:pPr>
      <w:r w:rsidRPr="004A5227">
        <w:tab/>
        <w:t>(2)</w:t>
      </w:r>
      <w:r w:rsidRPr="004A5227">
        <w:tab/>
        <w:t xml:space="preserve">Before making a decision under </w:t>
      </w:r>
      <w:r w:rsidR="004A5227" w:rsidRPr="004A5227">
        <w:t>subsection (</w:t>
      </w:r>
      <w:r w:rsidRPr="004A5227">
        <w:t xml:space="preserve">1) to withdraw a number held by a carriage service provider, the </w:t>
      </w:r>
      <w:proofErr w:type="spellStart"/>
      <w:r w:rsidRPr="004A5227">
        <w:t>ACMA</w:t>
      </w:r>
      <w:proofErr w:type="spellEnd"/>
      <w:r w:rsidRPr="004A5227">
        <w:t xml:space="preserve"> must give the carriage service provider a notice in writing that:</w:t>
      </w:r>
    </w:p>
    <w:p w:rsidR="002E298A" w:rsidRPr="004A5227" w:rsidRDefault="002E298A" w:rsidP="002E298A">
      <w:pPr>
        <w:pStyle w:val="paragraph"/>
      </w:pPr>
      <w:r w:rsidRPr="004A5227">
        <w:tab/>
        <w:t>(a)</w:t>
      </w:r>
      <w:r w:rsidRPr="004A5227">
        <w:tab/>
        <w:t xml:space="preserve">states that the </w:t>
      </w:r>
      <w:proofErr w:type="spellStart"/>
      <w:r w:rsidRPr="004A5227">
        <w:t>ACMA</w:t>
      </w:r>
      <w:proofErr w:type="spellEnd"/>
      <w:r w:rsidRPr="004A5227">
        <w:t xml:space="preserve"> proposes withdrawing the number; and</w:t>
      </w:r>
    </w:p>
    <w:p w:rsidR="002E298A" w:rsidRPr="004A5227" w:rsidRDefault="002E298A" w:rsidP="002E298A">
      <w:pPr>
        <w:pStyle w:val="paragraph"/>
      </w:pPr>
      <w:r w:rsidRPr="004A5227">
        <w:tab/>
        <w:t>(b)</w:t>
      </w:r>
      <w:r w:rsidRPr="004A5227">
        <w:tab/>
        <w:t xml:space="preserve">states the reasons the </w:t>
      </w:r>
      <w:proofErr w:type="spellStart"/>
      <w:r w:rsidRPr="004A5227">
        <w:t>ACMA</w:t>
      </w:r>
      <w:proofErr w:type="spellEnd"/>
      <w:r w:rsidRPr="004A5227">
        <w:t xml:space="preserve"> proposes withdrawing the number; and</w:t>
      </w:r>
    </w:p>
    <w:p w:rsidR="002E298A" w:rsidRPr="004A5227" w:rsidRDefault="002E298A" w:rsidP="002E298A">
      <w:pPr>
        <w:pStyle w:val="paragraph"/>
      </w:pPr>
      <w:r w:rsidRPr="004A5227">
        <w:tab/>
        <w:t>(c)</w:t>
      </w:r>
      <w:r w:rsidRPr="004A5227">
        <w:tab/>
        <w:t xml:space="preserve">informs the carriage service provider that it may object, in writing, to the proposed withdrawal of the number in the period of 20 business days after the date of the </w:t>
      </w:r>
      <w:proofErr w:type="spellStart"/>
      <w:r w:rsidRPr="004A5227">
        <w:t>ACMA’s</w:t>
      </w:r>
      <w:proofErr w:type="spellEnd"/>
      <w:r w:rsidRPr="004A5227">
        <w:t xml:space="preserve"> notice of the proposed withdrawal (the </w:t>
      </w:r>
      <w:r w:rsidRPr="004A5227">
        <w:rPr>
          <w:b/>
          <w:i/>
        </w:rPr>
        <w:t>objection period</w:t>
      </w:r>
      <w:r w:rsidRPr="004A5227">
        <w:t>).</w:t>
      </w:r>
    </w:p>
    <w:p w:rsidR="002E298A" w:rsidRPr="004A5227" w:rsidRDefault="002E298A" w:rsidP="002E298A">
      <w:pPr>
        <w:pStyle w:val="subsection"/>
      </w:pPr>
      <w:r w:rsidRPr="004A5227">
        <w:tab/>
        <w:t>(3)</w:t>
      </w:r>
      <w:r w:rsidRPr="004A5227">
        <w:tab/>
        <w:t xml:space="preserve">In deciding whether to withdraw the number, the </w:t>
      </w:r>
      <w:proofErr w:type="spellStart"/>
      <w:r w:rsidRPr="004A5227">
        <w:t>ACMA</w:t>
      </w:r>
      <w:proofErr w:type="spellEnd"/>
      <w:r w:rsidRPr="004A5227">
        <w:t xml:space="preserve"> must consider any objection given to it by the carriage service provider</w:t>
      </w:r>
      <w:r w:rsidR="009A65C1" w:rsidRPr="004A5227">
        <w:t xml:space="preserve"> during the objection period</w:t>
      </w:r>
      <w:r w:rsidRPr="004A5227">
        <w:t>.</w:t>
      </w:r>
    </w:p>
    <w:p w:rsidR="002E298A" w:rsidRPr="004A5227" w:rsidRDefault="002E298A" w:rsidP="002E298A">
      <w:pPr>
        <w:pStyle w:val="subsection"/>
      </w:pPr>
      <w:r w:rsidRPr="004A5227">
        <w:tab/>
        <w:t>(4)</w:t>
      </w:r>
      <w:r w:rsidRPr="004A5227">
        <w:tab/>
        <w:t xml:space="preserve">The </w:t>
      </w:r>
      <w:proofErr w:type="spellStart"/>
      <w:r w:rsidRPr="004A5227">
        <w:t>ACMA</w:t>
      </w:r>
      <w:proofErr w:type="spellEnd"/>
      <w:r w:rsidRPr="004A5227">
        <w:t xml:space="preserve"> must make a decision whether to withdraw the number:</w:t>
      </w:r>
    </w:p>
    <w:p w:rsidR="002E298A" w:rsidRPr="004A5227" w:rsidRDefault="002E298A" w:rsidP="002E298A">
      <w:pPr>
        <w:pStyle w:val="paragraph"/>
      </w:pPr>
      <w:r w:rsidRPr="004A5227">
        <w:tab/>
        <w:t>(a)</w:t>
      </w:r>
      <w:r w:rsidRPr="004A5227">
        <w:tab/>
        <w:t xml:space="preserve">if the </w:t>
      </w:r>
      <w:proofErr w:type="spellStart"/>
      <w:r w:rsidRPr="004A5227">
        <w:t>ACMA</w:t>
      </w:r>
      <w:proofErr w:type="spellEnd"/>
      <w:r w:rsidRPr="004A5227">
        <w:t xml:space="preserve"> receives an objection during the objection period—within the period of 20 business days after the day the </w:t>
      </w:r>
      <w:proofErr w:type="spellStart"/>
      <w:r w:rsidRPr="004A5227">
        <w:t>ACMA</w:t>
      </w:r>
      <w:proofErr w:type="spellEnd"/>
      <w:r w:rsidRPr="004A5227">
        <w:t xml:space="preserve"> receives the objection; and</w:t>
      </w:r>
    </w:p>
    <w:p w:rsidR="002E298A" w:rsidRPr="004A5227" w:rsidRDefault="002E298A" w:rsidP="002E298A">
      <w:pPr>
        <w:pStyle w:val="paragraph"/>
      </w:pPr>
      <w:r w:rsidRPr="004A5227">
        <w:tab/>
        <w:t>(b)</w:t>
      </w:r>
      <w:r w:rsidRPr="004A5227">
        <w:tab/>
        <w:t xml:space="preserve">if the </w:t>
      </w:r>
      <w:proofErr w:type="spellStart"/>
      <w:r w:rsidRPr="004A5227">
        <w:t>ACMA</w:t>
      </w:r>
      <w:proofErr w:type="spellEnd"/>
      <w:r w:rsidRPr="004A5227">
        <w:t xml:space="preserve"> does not receive an objection during the objection period—within the period of 20 business days after the end of the objection period.</w:t>
      </w:r>
    </w:p>
    <w:p w:rsidR="002E298A" w:rsidRPr="004A5227" w:rsidRDefault="002E298A" w:rsidP="002E298A">
      <w:pPr>
        <w:pStyle w:val="subsection"/>
      </w:pPr>
      <w:r w:rsidRPr="004A5227">
        <w:tab/>
        <w:t>(5)</w:t>
      </w:r>
      <w:r w:rsidRPr="004A5227">
        <w:tab/>
        <w:t xml:space="preserve">The </w:t>
      </w:r>
      <w:proofErr w:type="spellStart"/>
      <w:r w:rsidRPr="004A5227">
        <w:t>ACMA</w:t>
      </w:r>
      <w:proofErr w:type="spellEnd"/>
      <w:r w:rsidRPr="004A5227">
        <w:t xml:space="preserve"> must notify the carriage service provider of its decision in writing.</w:t>
      </w:r>
    </w:p>
    <w:p w:rsidR="002E298A" w:rsidRPr="004A5227" w:rsidRDefault="002E298A" w:rsidP="002E298A">
      <w:pPr>
        <w:pStyle w:val="subsection"/>
      </w:pPr>
      <w:r w:rsidRPr="004A5227">
        <w:tab/>
        <w:t>(6)</w:t>
      </w:r>
      <w:r w:rsidRPr="004A5227">
        <w:tab/>
        <w:t xml:space="preserve">If the </w:t>
      </w:r>
      <w:proofErr w:type="spellStart"/>
      <w:r w:rsidRPr="004A5227">
        <w:t>ACMA</w:t>
      </w:r>
      <w:proofErr w:type="spellEnd"/>
      <w:r w:rsidRPr="004A5227">
        <w:t xml:space="preserve"> decides to withdraw the number, the notice must set out the reasons for the decision and specify the date on which the number is to be withdrawn.</w:t>
      </w:r>
    </w:p>
    <w:p w:rsidR="002E298A" w:rsidRPr="004A5227" w:rsidRDefault="002E298A" w:rsidP="002E298A">
      <w:pPr>
        <w:pStyle w:val="subsection"/>
      </w:pPr>
      <w:r w:rsidRPr="004A5227">
        <w:tab/>
        <w:t>(7)</w:t>
      </w:r>
      <w:r w:rsidRPr="004A5227">
        <w:tab/>
        <w:t xml:space="preserve">The period between the date of the notice </w:t>
      </w:r>
      <w:r w:rsidR="009A65C1" w:rsidRPr="004A5227">
        <w:t xml:space="preserve">under </w:t>
      </w:r>
      <w:r w:rsidR="004A5227" w:rsidRPr="004A5227">
        <w:t>subsection (</w:t>
      </w:r>
      <w:r w:rsidR="009A65C1" w:rsidRPr="004A5227">
        <w:t xml:space="preserve">5) </w:t>
      </w:r>
      <w:r w:rsidRPr="004A5227">
        <w:t>and the date on which the number is to be withdrawn must be at least 20 business days.</w:t>
      </w:r>
    </w:p>
    <w:p w:rsidR="00830C77" w:rsidRPr="004A5227" w:rsidRDefault="00830C77" w:rsidP="002E298A">
      <w:pPr>
        <w:pStyle w:val="subsection"/>
      </w:pPr>
      <w:r w:rsidRPr="004A5227">
        <w:tab/>
        <w:t>(8)</w:t>
      </w:r>
      <w:r w:rsidRPr="004A5227">
        <w:tab/>
        <w:t xml:space="preserve">If the </w:t>
      </w:r>
      <w:proofErr w:type="spellStart"/>
      <w:r w:rsidRPr="004A5227">
        <w:t>ACMA</w:t>
      </w:r>
      <w:proofErr w:type="spellEnd"/>
      <w:r w:rsidRPr="004A5227">
        <w:t xml:space="preserve"> is not the designated authority, then the </w:t>
      </w:r>
      <w:proofErr w:type="spellStart"/>
      <w:r w:rsidRPr="004A5227">
        <w:t>ACMA</w:t>
      </w:r>
      <w:proofErr w:type="spellEnd"/>
      <w:r w:rsidRPr="004A5227">
        <w:t xml:space="preserve"> must notify the designated authority of a decision to withdraw a number as soon as reasonably practicable after the decision is made.</w:t>
      </w:r>
    </w:p>
    <w:p w:rsidR="002E298A" w:rsidRPr="004A5227" w:rsidRDefault="00CA6815" w:rsidP="002E298A">
      <w:pPr>
        <w:pStyle w:val="ActHead5"/>
      </w:pPr>
      <w:bookmarkStart w:id="134" w:name="_Toc413419132"/>
      <w:r w:rsidRPr="004A5227">
        <w:rPr>
          <w:rStyle w:val="CharSectno"/>
        </w:rPr>
        <w:t>95</w:t>
      </w:r>
      <w:r w:rsidR="002E298A" w:rsidRPr="004A5227">
        <w:t xml:space="preserve">  Cessation of business</w:t>
      </w:r>
      <w:bookmarkEnd w:id="134"/>
    </w:p>
    <w:p w:rsidR="002E298A" w:rsidRPr="004A5227" w:rsidRDefault="002E298A" w:rsidP="002E298A">
      <w:pPr>
        <w:pStyle w:val="subsection"/>
      </w:pPr>
      <w:r w:rsidRPr="004A5227">
        <w:tab/>
        <w:t>(1)</w:t>
      </w:r>
      <w:r w:rsidRPr="004A5227">
        <w:tab/>
        <w:t xml:space="preserve">The </w:t>
      </w:r>
      <w:proofErr w:type="spellStart"/>
      <w:r w:rsidRPr="004A5227">
        <w:t>ACMA</w:t>
      </w:r>
      <w:proofErr w:type="spellEnd"/>
      <w:r w:rsidRPr="004A5227">
        <w:t xml:space="preserve"> </w:t>
      </w:r>
      <w:r w:rsidR="00381F6E" w:rsidRPr="004A5227">
        <w:t>may withdra</w:t>
      </w:r>
      <w:r w:rsidR="00621C90" w:rsidRPr="004A5227">
        <w:t>w a number</w:t>
      </w:r>
      <w:r w:rsidR="008C087F" w:rsidRPr="004A5227">
        <w:t xml:space="preserve"> </w:t>
      </w:r>
      <w:r w:rsidR="00381F6E" w:rsidRPr="004A5227">
        <w:t>hel</w:t>
      </w:r>
      <w:r w:rsidR="00F263BA" w:rsidRPr="004A5227">
        <w:t>d by an entity that was a carria</w:t>
      </w:r>
      <w:r w:rsidR="00381F6E" w:rsidRPr="004A5227">
        <w:t>ge service provider i</w:t>
      </w:r>
      <w:r w:rsidRPr="004A5227">
        <w:t xml:space="preserve">f the </w:t>
      </w:r>
      <w:proofErr w:type="spellStart"/>
      <w:r w:rsidRPr="004A5227">
        <w:t>ACMA</w:t>
      </w:r>
      <w:proofErr w:type="spellEnd"/>
      <w:r w:rsidRPr="004A5227">
        <w:t xml:space="preserve"> is satisfied that:</w:t>
      </w:r>
    </w:p>
    <w:p w:rsidR="002E298A" w:rsidRPr="004A5227" w:rsidRDefault="00381F6E" w:rsidP="002E298A">
      <w:pPr>
        <w:pStyle w:val="paragraph"/>
      </w:pPr>
      <w:r w:rsidRPr="004A5227">
        <w:tab/>
        <w:t>(a)</w:t>
      </w:r>
      <w:r w:rsidRPr="004A5227">
        <w:tab/>
        <w:t>the entity</w:t>
      </w:r>
      <w:r w:rsidR="002E298A" w:rsidRPr="004A5227">
        <w:t xml:space="preserve"> </w:t>
      </w:r>
      <w:r w:rsidRPr="004A5227">
        <w:t>is no longer a carriage service provider</w:t>
      </w:r>
      <w:r w:rsidR="002E298A" w:rsidRPr="004A5227">
        <w:t>; and</w:t>
      </w:r>
    </w:p>
    <w:p w:rsidR="002E298A" w:rsidRPr="004A5227" w:rsidRDefault="002E298A" w:rsidP="002E298A">
      <w:pPr>
        <w:pStyle w:val="paragraph"/>
      </w:pPr>
      <w:r w:rsidRPr="004A5227">
        <w:lastRenderedPageBreak/>
        <w:tab/>
        <w:t>(b)</w:t>
      </w:r>
      <w:r w:rsidRPr="004A5227">
        <w:tab/>
        <w:t xml:space="preserve">there are no proposed arrangements for the permanent transfer of the number to another </w:t>
      </w:r>
      <w:r w:rsidR="00370865" w:rsidRPr="004A5227">
        <w:t xml:space="preserve">registered </w:t>
      </w:r>
      <w:r w:rsidRPr="004A5227">
        <w:t>carriage service provider.</w:t>
      </w:r>
    </w:p>
    <w:p w:rsidR="002E298A" w:rsidRPr="004A5227" w:rsidRDefault="002E298A" w:rsidP="002E298A">
      <w:pPr>
        <w:pStyle w:val="subsection"/>
      </w:pPr>
      <w:r w:rsidRPr="004A5227">
        <w:tab/>
        <w:t>(2)</w:t>
      </w:r>
      <w:r w:rsidRPr="004A5227">
        <w:tab/>
        <w:t xml:space="preserve">If the </w:t>
      </w:r>
      <w:proofErr w:type="spellStart"/>
      <w:r w:rsidRPr="004A5227">
        <w:t>ACMA</w:t>
      </w:r>
      <w:proofErr w:type="spellEnd"/>
      <w:r w:rsidRPr="004A5227">
        <w:t xml:space="preserve"> decides to withdraw a number under </w:t>
      </w:r>
      <w:r w:rsidR="004A5227" w:rsidRPr="004A5227">
        <w:t>subsection (</w:t>
      </w:r>
      <w:r w:rsidRPr="004A5227">
        <w:t xml:space="preserve">1), the </w:t>
      </w:r>
      <w:proofErr w:type="spellStart"/>
      <w:r w:rsidRPr="004A5227">
        <w:t>ACMA</w:t>
      </w:r>
      <w:proofErr w:type="spellEnd"/>
      <w:r w:rsidRPr="004A5227">
        <w:t xml:space="preserve"> must give wri</w:t>
      </w:r>
      <w:r w:rsidR="007026CF" w:rsidRPr="004A5227">
        <w:t xml:space="preserve">tten notice of the decision to </w:t>
      </w:r>
      <w:r w:rsidRPr="004A5227">
        <w:t xml:space="preserve">the </w:t>
      </w:r>
      <w:r w:rsidR="007026CF" w:rsidRPr="004A5227">
        <w:t>entity</w:t>
      </w:r>
      <w:r w:rsidRPr="004A5227">
        <w:t>.</w:t>
      </w:r>
    </w:p>
    <w:p w:rsidR="002E298A" w:rsidRPr="004A5227" w:rsidRDefault="002E298A" w:rsidP="002E298A">
      <w:pPr>
        <w:pStyle w:val="subsection"/>
      </w:pPr>
      <w:r w:rsidRPr="004A5227">
        <w:tab/>
        <w:t>(3)</w:t>
      </w:r>
      <w:r w:rsidRPr="004A5227">
        <w:tab/>
        <w:t>The notice must set out the reasons for the decision and specify the date on which the number is to be withdrawn.</w:t>
      </w:r>
    </w:p>
    <w:p w:rsidR="00C14007" w:rsidRPr="004A5227" w:rsidRDefault="002E298A" w:rsidP="00C14007">
      <w:pPr>
        <w:pStyle w:val="subsection"/>
      </w:pPr>
      <w:r w:rsidRPr="004A5227">
        <w:tab/>
        <w:t>(4)</w:t>
      </w:r>
      <w:r w:rsidRPr="004A5227">
        <w:tab/>
        <w:t>The period between the date of the notice and the date on which the number is to be withdrawn must be at least 20 business days.</w:t>
      </w:r>
    </w:p>
    <w:p w:rsidR="007026CF" w:rsidRPr="004A5227" w:rsidRDefault="00C14007" w:rsidP="00C14007">
      <w:pPr>
        <w:pStyle w:val="subsection"/>
      </w:pPr>
      <w:r w:rsidRPr="004A5227">
        <w:tab/>
        <w:t>(5)</w:t>
      </w:r>
      <w:r w:rsidRPr="004A5227">
        <w:tab/>
        <w:t xml:space="preserve">If the </w:t>
      </w:r>
      <w:proofErr w:type="spellStart"/>
      <w:r w:rsidRPr="004A5227">
        <w:t>ACMA</w:t>
      </w:r>
      <w:proofErr w:type="spellEnd"/>
      <w:r w:rsidRPr="004A5227">
        <w:t xml:space="preserve"> is not the designated authority, then the </w:t>
      </w:r>
      <w:proofErr w:type="spellStart"/>
      <w:r w:rsidRPr="004A5227">
        <w:t>ACMA</w:t>
      </w:r>
      <w:proofErr w:type="spellEnd"/>
      <w:r w:rsidRPr="004A5227">
        <w:t xml:space="preserve"> must notify the designated authority of </w:t>
      </w:r>
      <w:r w:rsidR="009A65C1" w:rsidRPr="004A5227">
        <w:t>a</w:t>
      </w:r>
      <w:r w:rsidRPr="004A5227">
        <w:t xml:space="preserve"> decision to withdraw </w:t>
      </w:r>
      <w:r w:rsidR="009A65C1" w:rsidRPr="004A5227">
        <w:t xml:space="preserve">a number </w:t>
      </w:r>
      <w:r w:rsidRPr="004A5227">
        <w:t>as soon as reasonably practicable after</w:t>
      </w:r>
      <w:r w:rsidR="007026CF" w:rsidRPr="004A5227">
        <w:t xml:space="preserve"> the decision is made.</w:t>
      </w:r>
    </w:p>
    <w:p w:rsidR="002E298A" w:rsidRPr="004A5227" w:rsidRDefault="00CA6815" w:rsidP="007026CF">
      <w:pPr>
        <w:pStyle w:val="ActHead5"/>
      </w:pPr>
      <w:bookmarkStart w:id="135" w:name="_Toc413419133"/>
      <w:r w:rsidRPr="004A5227">
        <w:rPr>
          <w:rStyle w:val="CharSectno"/>
        </w:rPr>
        <w:t>96</w:t>
      </w:r>
      <w:r w:rsidR="007026CF" w:rsidRPr="004A5227">
        <w:t xml:space="preserve">  </w:t>
      </w:r>
      <w:r w:rsidR="002E298A" w:rsidRPr="004A5227">
        <w:t>End of allocation period</w:t>
      </w:r>
      <w:bookmarkEnd w:id="135"/>
    </w:p>
    <w:p w:rsidR="002E298A" w:rsidRPr="004A5227" w:rsidRDefault="002E298A" w:rsidP="001845D2">
      <w:pPr>
        <w:pStyle w:val="subsection"/>
      </w:pPr>
      <w:r w:rsidRPr="004A5227">
        <w:tab/>
      </w:r>
      <w:r w:rsidRPr="004A5227">
        <w:tab/>
        <w:t>If a number is allocated until a specified day, the number is wi</w:t>
      </w:r>
      <w:r w:rsidR="008C087F" w:rsidRPr="004A5227">
        <w:t>thdrawn at the end of that day.</w:t>
      </w:r>
    </w:p>
    <w:p w:rsidR="00537F41" w:rsidRPr="004A5227" w:rsidRDefault="002720DE" w:rsidP="00537F41">
      <w:pPr>
        <w:pStyle w:val="ActHead1"/>
        <w:pageBreakBefore/>
      </w:pPr>
      <w:bookmarkStart w:id="136" w:name="_Toc413419134"/>
      <w:r w:rsidRPr="004A5227">
        <w:rPr>
          <w:rStyle w:val="CharChapNo"/>
        </w:rPr>
        <w:lastRenderedPageBreak/>
        <w:t>Chapter</w:t>
      </w:r>
      <w:r w:rsidR="004A5227" w:rsidRPr="004A5227">
        <w:rPr>
          <w:rStyle w:val="CharChapNo"/>
        </w:rPr>
        <w:t> </w:t>
      </w:r>
      <w:r w:rsidR="000D4B4E" w:rsidRPr="004A5227">
        <w:rPr>
          <w:rStyle w:val="CharChapNo"/>
        </w:rPr>
        <w:t>9</w:t>
      </w:r>
      <w:r w:rsidRPr="004A5227">
        <w:t>—</w:t>
      </w:r>
      <w:r w:rsidR="001F4B8F" w:rsidRPr="004A5227">
        <w:rPr>
          <w:rStyle w:val="CharChapText"/>
        </w:rPr>
        <w:t>Obligations of carriage service providers</w:t>
      </w:r>
      <w:bookmarkEnd w:id="136"/>
    </w:p>
    <w:p w:rsidR="00042830" w:rsidRPr="004A5227" w:rsidRDefault="00042830" w:rsidP="00537F41">
      <w:pPr>
        <w:pStyle w:val="ActHead2"/>
      </w:pPr>
      <w:bookmarkStart w:id="137" w:name="_Toc413419135"/>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Recall and issue of replacement numbers</w:t>
      </w:r>
      <w:bookmarkEnd w:id="137"/>
    </w:p>
    <w:p w:rsidR="00F62B8B" w:rsidRPr="004A5227" w:rsidRDefault="00F62B8B" w:rsidP="00F62B8B">
      <w:pPr>
        <w:pStyle w:val="Header"/>
      </w:pPr>
      <w:r w:rsidRPr="004A5227">
        <w:rPr>
          <w:rStyle w:val="CharDivNo"/>
        </w:rPr>
        <w:t xml:space="preserve"> </w:t>
      </w:r>
      <w:r w:rsidRPr="004A5227">
        <w:rPr>
          <w:rStyle w:val="CharDivText"/>
        </w:rPr>
        <w:t xml:space="preserve"> </w:t>
      </w:r>
    </w:p>
    <w:p w:rsidR="00042830" w:rsidRPr="004A5227" w:rsidRDefault="00CA6815" w:rsidP="00042830">
      <w:pPr>
        <w:pStyle w:val="ActHead5"/>
      </w:pPr>
      <w:bookmarkStart w:id="138" w:name="_Toc413419136"/>
      <w:r w:rsidRPr="004A5227">
        <w:rPr>
          <w:rStyle w:val="CharSectno"/>
        </w:rPr>
        <w:t>97</w:t>
      </w:r>
      <w:r w:rsidR="00042830" w:rsidRPr="004A5227">
        <w:t xml:space="preserve">  Recall of issued number and issue of replacement number</w:t>
      </w:r>
      <w:bookmarkEnd w:id="138"/>
    </w:p>
    <w:p w:rsidR="00042830" w:rsidRPr="004A5227" w:rsidRDefault="00042830" w:rsidP="00042830">
      <w:pPr>
        <w:pStyle w:val="subsection"/>
      </w:pPr>
      <w:r w:rsidRPr="004A5227">
        <w:tab/>
        <w:t>(1)</w:t>
      </w:r>
      <w:r w:rsidRPr="004A5227">
        <w:tab/>
        <w:t>A car</w:t>
      </w:r>
      <w:r w:rsidR="00621C90" w:rsidRPr="004A5227">
        <w:t xml:space="preserve">riage service provider may </w:t>
      </w:r>
      <w:r w:rsidRPr="004A5227">
        <w:t xml:space="preserve">recall an issued number (the </w:t>
      </w:r>
      <w:r w:rsidRPr="004A5227">
        <w:rPr>
          <w:b/>
          <w:i/>
        </w:rPr>
        <w:t>current number</w:t>
      </w:r>
      <w:r w:rsidR="00621C90" w:rsidRPr="004A5227">
        <w:t xml:space="preserve">), </w:t>
      </w:r>
      <w:r w:rsidRPr="004A5227">
        <w:t xml:space="preserve">from a customer and issue the customer with a replacement number </w:t>
      </w:r>
      <w:r w:rsidR="00990EE2" w:rsidRPr="004A5227">
        <w:t xml:space="preserve">only </w:t>
      </w:r>
      <w:r w:rsidRPr="004A5227">
        <w:t>if:</w:t>
      </w:r>
    </w:p>
    <w:p w:rsidR="00042830" w:rsidRPr="004A5227" w:rsidRDefault="00042830" w:rsidP="00042830">
      <w:pPr>
        <w:pStyle w:val="paragraph"/>
      </w:pPr>
      <w:r w:rsidRPr="004A5227">
        <w:tab/>
        <w:t>(a)</w:t>
      </w:r>
      <w:r w:rsidRPr="004A5227">
        <w:tab/>
        <w:t>recall and replacement is required by law; or</w:t>
      </w:r>
    </w:p>
    <w:p w:rsidR="00042830" w:rsidRPr="004A5227" w:rsidRDefault="00042830" w:rsidP="00042830">
      <w:pPr>
        <w:pStyle w:val="paragraph"/>
      </w:pPr>
      <w:r w:rsidRPr="004A5227">
        <w:tab/>
        <w:t>(b)</w:t>
      </w:r>
      <w:r w:rsidRPr="004A5227">
        <w:tab/>
        <w:t>the customer asks for recall and replacement in writing; or</w:t>
      </w:r>
    </w:p>
    <w:p w:rsidR="00042830" w:rsidRPr="004A5227" w:rsidRDefault="00042830" w:rsidP="00042830">
      <w:pPr>
        <w:pStyle w:val="paragraph"/>
      </w:pPr>
      <w:r w:rsidRPr="004A5227">
        <w:tab/>
        <w:t>(c)</w:t>
      </w:r>
      <w:r w:rsidRPr="004A5227">
        <w:tab/>
        <w:t>the customer agrees to recall and replacement in writing; or</w:t>
      </w:r>
    </w:p>
    <w:p w:rsidR="00042830" w:rsidRPr="004A5227" w:rsidRDefault="00042830" w:rsidP="00042830">
      <w:pPr>
        <w:pStyle w:val="paragraph"/>
      </w:pPr>
      <w:r w:rsidRPr="004A5227">
        <w:tab/>
        <w:t>(d)</w:t>
      </w:r>
      <w:r w:rsidRPr="004A5227">
        <w:tab/>
        <w:t>recall and replacement would avoid the need to modify or replace plant or equipment in a way that would:</w:t>
      </w:r>
    </w:p>
    <w:p w:rsidR="00042830" w:rsidRPr="004A5227" w:rsidRDefault="00042830" w:rsidP="00042830">
      <w:pPr>
        <w:pStyle w:val="paragraphsub"/>
      </w:pPr>
      <w:r w:rsidRPr="004A5227">
        <w:tab/>
        <w:t>(</w:t>
      </w:r>
      <w:proofErr w:type="spellStart"/>
      <w:r w:rsidRPr="004A5227">
        <w:t>i</w:t>
      </w:r>
      <w:proofErr w:type="spellEnd"/>
      <w:r w:rsidRPr="004A5227">
        <w:t>)</w:t>
      </w:r>
      <w:r w:rsidRPr="004A5227">
        <w:tab/>
        <w:t>have significant technical and financial consequences for the carriage service provider or its customers; or</w:t>
      </w:r>
    </w:p>
    <w:p w:rsidR="00042830" w:rsidRPr="004A5227" w:rsidRDefault="00042830" w:rsidP="00042830">
      <w:pPr>
        <w:pStyle w:val="paragraphsub"/>
      </w:pPr>
      <w:r w:rsidRPr="004A5227">
        <w:tab/>
        <w:t>(ii)</w:t>
      </w:r>
      <w:r w:rsidRPr="004A5227">
        <w:tab/>
        <w:t>cause significant difficulties for the customer; or</w:t>
      </w:r>
    </w:p>
    <w:p w:rsidR="00042830" w:rsidRPr="004A5227" w:rsidRDefault="00042830" w:rsidP="00042830">
      <w:pPr>
        <w:pStyle w:val="paragraph"/>
      </w:pPr>
      <w:r w:rsidRPr="004A5227">
        <w:tab/>
        <w:t>(e)</w:t>
      </w:r>
      <w:r w:rsidRPr="004A5227">
        <w:tab/>
        <w:t xml:space="preserve">the </w:t>
      </w:r>
      <w:proofErr w:type="spellStart"/>
      <w:r w:rsidRPr="004A5227">
        <w:t>ACMA</w:t>
      </w:r>
      <w:proofErr w:type="spellEnd"/>
      <w:r w:rsidRPr="004A5227">
        <w:t xml:space="preserve"> approves an application by the carriage service provider under section</w:t>
      </w:r>
      <w:r w:rsidR="004A5227" w:rsidRPr="004A5227">
        <w:t> </w:t>
      </w:r>
      <w:r w:rsidR="00CA6815" w:rsidRPr="004A5227">
        <w:t>98</w:t>
      </w:r>
      <w:r w:rsidRPr="004A5227">
        <w:t>.</w:t>
      </w:r>
    </w:p>
    <w:p w:rsidR="00042830" w:rsidRPr="004A5227" w:rsidRDefault="00042830" w:rsidP="00042830">
      <w:pPr>
        <w:pStyle w:val="subsection"/>
      </w:pPr>
      <w:r w:rsidRPr="004A5227">
        <w:tab/>
        <w:t>(2)</w:t>
      </w:r>
      <w:r w:rsidRPr="004A5227">
        <w:tab/>
        <w:t>The carriage service provider must notify the customer of:</w:t>
      </w:r>
    </w:p>
    <w:p w:rsidR="00042830" w:rsidRPr="004A5227" w:rsidRDefault="00042830" w:rsidP="00042830">
      <w:pPr>
        <w:pStyle w:val="paragraph"/>
      </w:pPr>
      <w:r w:rsidRPr="004A5227">
        <w:tab/>
        <w:t>(a)</w:t>
      </w:r>
      <w:r w:rsidRPr="004A5227">
        <w:tab/>
        <w:t>the carriage service provider’s intention to recall the current number and issue the customer with a replacement number; and</w:t>
      </w:r>
    </w:p>
    <w:p w:rsidR="00042830" w:rsidRPr="004A5227" w:rsidRDefault="00042830" w:rsidP="00042830">
      <w:pPr>
        <w:pStyle w:val="paragraph"/>
      </w:pPr>
      <w:r w:rsidRPr="004A5227">
        <w:tab/>
        <w:t>(b)</w:t>
      </w:r>
      <w:r w:rsidRPr="004A5227">
        <w:tab/>
        <w:t>the date on which recall and replacement will occur.</w:t>
      </w:r>
    </w:p>
    <w:p w:rsidR="00042830" w:rsidRPr="004A5227" w:rsidRDefault="00042830" w:rsidP="00042830">
      <w:pPr>
        <w:pStyle w:val="subsection"/>
      </w:pPr>
      <w:r w:rsidRPr="004A5227">
        <w:tab/>
        <w:t>(3)</w:t>
      </w:r>
      <w:r w:rsidRPr="004A5227">
        <w:tab/>
        <w:t>The period between the date of the notice and the date on which recall and replacement will occur must be:</w:t>
      </w:r>
    </w:p>
    <w:p w:rsidR="00042830" w:rsidRPr="004A5227" w:rsidRDefault="00042830" w:rsidP="00042830">
      <w:pPr>
        <w:pStyle w:val="paragraph"/>
      </w:pPr>
      <w:r w:rsidRPr="004A5227">
        <w:tab/>
        <w:t>(a)</w:t>
      </w:r>
      <w:r w:rsidRPr="004A5227">
        <w:tab/>
        <w:t>if the current number has been issued to the customer for a period of less than 1 year—at least as long as that period; or</w:t>
      </w:r>
    </w:p>
    <w:p w:rsidR="00042830" w:rsidRPr="004A5227" w:rsidRDefault="00042830" w:rsidP="00042830">
      <w:pPr>
        <w:pStyle w:val="paragraph"/>
      </w:pPr>
      <w:r w:rsidRPr="004A5227">
        <w:tab/>
        <w:t>(b)</w:t>
      </w:r>
      <w:r w:rsidRPr="004A5227">
        <w:tab/>
        <w:t>otherwise—at least 1 year.</w:t>
      </w:r>
    </w:p>
    <w:p w:rsidR="00042830" w:rsidRPr="004A5227" w:rsidRDefault="00042830" w:rsidP="00042830">
      <w:pPr>
        <w:pStyle w:val="subsection"/>
      </w:pPr>
      <w:r w:rsidRPr="004A5227">
        <w:tab/>
        <w:t>(4)</w:t>
      </w:r>
      <w:r w:rsidRPr="004A5227">
        <w:tab/>
        <w:t>However, the period may be a shorter reasonable period if:</w:t>
      </w:r>
    </w:p>
    <w:p w:rsidR="00042830" w:rsidRPr="004A5227" w:rsidRDefault="00042830" w:rsidP="00042830">
      <w:pPr>
        <w:pStyle w:val="paragraph"/>
      </w:pPr>
      <w:r w:rsidRPr="004A5227">
        <w:tab/>
        <w:t>(a)</w:t>
      </w:r>
      <w:r w:rsidRPr="004A5227">
        <w:tab/>
        <w:t>the customer asked for recall and replacement in writing; or</w:t>
      </w:r>
    </w:p>
    <w:p w:rsidR="00042830" w:rsidRPr="004A5227" w:rsidRDefault="00042830" w:rsidP="00042830">
      <w:pPr>
        <w:pStyle w:val="paragraph"/>
      </w:pPr>
      <w:r w:rsidRPr="004A5227">
        <w:tab/>
        <w:t>(b)</w:t>
      </w:r>
      <w:r w:rsidRPr="004A5227">
        <w:tab/>
        <w:t>the customer agreed to a shorter period in writing; or</w:t>
      </w:r>
    </w:p>
    <w:p w:rsidR="00042830" w:rsidRPr="004A5227" w:rsidRDefault="00042830" w:rsidP="00042830">
      <w:pPr>
        <w:pStyle w:val="paragraph"/>
      </w:pPr>
      <w:r w:rsidRPr="004A5227">
        <w:tab/>
        <w:t>(c)</w:t>
      </w:r>
      <w:r w:rsidRPr="004A5227">
        <w:tab/>
        <w:t>the numbe</w:t>
      </w:r>
      <w:r w:rsidR="000C5F4F" w:rsidRPr="004A5227">
        <w:t>r is recalled under section</w:t>
      </w:r>
      <w:r w:rsidR="004A5227" w:rsidRPr="004A5227">
        <w:t> </w:t>
      </w:r>
      <w:r w:rsidR="00CA6815" w:rsidRPr="004A5227">
        <w:t>98</w:t>
      </w:r>
      <w:r w:rsidRPr="004A5227">
        <w:t xml:space="preserve">, and it is not reasonably practicable to give the period of notice required by </w:t>
      </w:r>
      <w:r w:rsidR="004A5227" w:rsidRPr="004A5227">
        <w:t>subsection (</w:t>
      </w:r>
      <w:r w:rsidRPr="004A5227">
        <w:t>3).</w:t>
      </w:r>
    </w:p>
    <w:p w:rsidR="00042830" w:rsidRPr="004A5227" w:rsidRDefault="00CA6815" w:rsidP="00042830">
      <w:pPr>
        <w:pStyle w:val="ActHead5"/>
      </w:pPr>
      <w:bookmarkStart w:id="139" w:name="_Toc413419137"/>
      <w:r w:rsidRPr="004A5227">
        <w:rPr>
          <w:rStyle w:val="CharSectno"/>
        </w:rPr>
        <w:t>98</w:t>
      </w:r>
      <w:r w:rsidR="00042830" w:rsidRPr="004A5227">
        <w:t xml:space="preserve">  Application to recall issued number and issue replacement number</w:t>
      </w:r>
      <w:bookmarkEnd w:id="139"/>
    </w:p>
    <w:p w:rsidR="00042830" w:rsidRPr="004A5227" w:rsidRDefault="00042830" w:rsidP="00042830">
      <w:pPr>
        <w:pStyle w:val="subsection"/>
      </w:pPr>
      <w:r w:rsidRPr="004A5227">
        <w:tab/>
        <w:t>(1)</w:t>
      </w:r>
      <w:r w:rsidRPr="004A5227">
        <w:tab/>
        <w:t xml:space="preserve">A carriage service provider may apply to the </w:t>
      </w:r>
      <w:proofErr w:type="spellStart"/>
      <w:r w:rsidRPr="004A5227">
        <w:t>ACMA</w:t>
      </w:r>
      <w:proofErr w:type="spellEnd"/>
      <w:r w:rsidRPr="004A5227">
        <w:t xml:space="preserve"> for appr</w:t>
      </w:r>
      <w:r w:rsidR="00621C90" w:rsidRPr="004A5227">
        <w:t>oval to recall an issued number</w:t>
      </w:r>
      <w:r w:rsidR="00A041A8" w:rsidRPr="004A5227">
        <w:t xml:space="preserve"> </w:t>
      </w:r>
      <w:r w:rsidRPr="004A5227">
        <w:t>from a customer and issue the customer with a replacement number.</w:t>
      </w:r>
    </w:p>
    <w:p w:rsidR="00042830" w:rsidRPr="004A5227" w:rsidRDefault="00042830" w:rsidP="00042830">
      <w:pPr>
        <w:pStyle w:val="subsection"/>
      </w:pPr>
      <w:r w:rsidRPr="004A5227">
        <w:tab/>
        <w:t>(2)</w:t>
      </w:r>
      <w:r w:rsidRPr="004A5227">
        <w:tab/>
        <w:t>The application must be in writing and include the reasons the carriage service provider wishes to recall a number and issue a replacement number.</w:t>
      </w:r>
    </w:p>
    <w:p w:rsidR="00042830" w:rsidRPr="004A5227" w:rsidRDefault="00042830" w:rsidP="00042830">
      <w:pPr>
        <w:pStyle w:val="subsection"/>
      </w:pPr>
      <w:r w:rsidRPr="004A5227">
        <w:tab/>
        <w:t>(</w:t>
      </w:r>
      <w:r w:rsidR="009A65C1" w:rsidRPr="004A5227">
        <w:t>3</w:t>
      </w:r>
      <w:r w:rsidRPr="004A5227">
        <w:t>)</w:t>
      </w:r>
      <w:r w:rsidRPr="004A5227">
        <w:tab/>
        <w:t xml:space="preserve">The </w:t>
      </w:r>
      <w:proofErr w:type="spellStart"/>
      <w:r w:rsidRPr="004A5227">
        <w:t>ACMA</w:t>
      </w:r>
      <w:proofErr w:type="spellEnd"/>
      <w:r w:rsidRPr="004A5227">
        <w:t xml:space="preserve"> must make a decision to approve or</w:t>
      </w:r>
      <w:r w:rsidR="000A5413" w:rsidRPr="004A5227">
        <w:t xml:space="preserve"> not </w:t>
      </w:r>
      <w:r w:rsidRPr="004A5227">
        <w:t xml:space="preserve">to approve recall and replacement </w:t>
      </w:r>
      <w:r w:rsidR="006C6E10" w:rsidRPr="004A5227">
        <w:t>no later than</w:t>
      </w:r>
      <w:r w:rsidRPr="004A5227">
        <w:t xml:space="preserve"> 65 business days after receiving the application.</w:t>
      </w:r>
    </w:p>
    <w:p w:rsidR="00042830" w:rsidRPr="004A5227" w:rsidRDefault="009A65C1" w:rsidP="00042830">
      <w:pPr>
        <w:pStyle w:val="subsection"/>
      </w:pPr>
      <w:r w:rsidRPr="004A5227">
        <w:lastRenderedPageBreak/>
        <w:tab/>
        <w:t>(4</w:t>
      </w:r>
      <w:r w:rsidR="00042830" w:rsidRPr="004A5227">
        <w:t>)</w:t>
      </w:r>
      <w:r w:rsidR="00042830" w:rsidRPr="004A5227">
        <w:tab/>
        <w:t xml:space="preserve">The </w:t>
      </w:r>
      <w:proofErr w:type="spellStart"/>
      <w:r w:rsidR="00042830" w:rsidRPr="004A5227">
        <w:t>ACMA</w:t>
      </w:r>
      <w:proofErr w:type="spellEnd"/>
      <w:r w:rsidR="00042830" w:rsidRPr="004A5227">
        <w:t xml:space="preserve"> may ask the carriage service provider, in writing, to give it further information on any matters relevant to the </w:t>
      </w:r>
      <w:proofErr w:type="spellStart"/>
      <w:r w:rsidR="00042830" w:rsidRPr="004A5227">
        <w:t>ACMA’s</w:t>
      </w:r>
      <w:proofErr w:type="spellEnd"/>
      <w:r w:rsidR="00042830" w:rsidRPr="004A5227">
        <w:t xml:space="preserve"> consideration of the application.</w:t>
      </w:r>
    </w:p>
    <w:p w:rsidR="00042830" w:rsidRPr="004A5227" w:rsidRDefault="009A65C1" w:rsidP="00042830">
      <w:pPr>
        <w:pStyle w:val="subsection"/>
      </w:pPr>
      <w:r w:rsidRPr="004A5227">
        <w:tab/>
        <w:t>(5</w:t>
      </w:r>
      <w:r w:rsidR="00042830" w:rsidRPr="004A5227">
        <w:t>)</w:t>
      </w:r>
      <w:r w:rsidR="00042830" w:rsidRPr="004A5227">
        <w:tab/>
        <w:t xml:space="preserve">The 65 business days mentioned in </w:t>
      </w:r>
      <w:r w:rsidR="004A5227" w:rsidRPr="004A5227">
        <w:t>subsection (</w:t>
      </w:r>
      <w:r w:rsidRPr="004A5227">
        <w:t>3</w:t>
      </w:r>
      <w:r w:rsidR="00042830" w:rsidRPr="004A5227">
        <w:t>) do not include a period:</w:t>
      </w:r>
    </w:p>
    <w:p w:rsidR="00042830" w:rsidRPr="004A5227" w:rsidRDefault="00042830" w:rsidP="00042830">
      <w:pPr>
        <w:pStyle w:val="paragraph"/>
      </w:pPr>
      <w:r w:rsidRPr="004A5227">
        <w:tab/>
        <w:t>(a)</w:t>
      </w:r>
      <w:r w:rsidRPr="004A5227">
        <w:tab/>
        <w:t xml:space="preserve">starting when the </w:t>
      </w:r>
      <w:proofErr w:type="spellStart"/>
      <w:r w:rsidRPr="004A5227">
        <w:t>ACMA</w:t>
      </w:r>
      <w:proofErr w:type="spellEnd"/>
      <w:r w:rsidRPr="004A5227">
        <w:t xml:space="preserve"> asks the carriage service provider for further information; and</w:t>
      </w:r>
    </w:p>
    <w:p w:rsidR="00042830" w:rsidRPr="004A5227" w:rsidRDefault="00042830" w:rsidP="00042830">
      <w:pPr>
        <w:pStyle w:val="paragraph"/>
      </w:pPr>
      <w:r w:rsidRPr="004A5227">
        <w:tab/>
        <w:t>(b)</w:t>
      </w:r>
      <w:r w:rsidRPr="004A5227">
        <w:tab/>
        <w:t xml:space="preserve">ending when the </w:t>
      </w:r>
      <w:proofErr w:type="spellStart"/>
      <w:r w:rsidRPr="004A5227">
        <w:t>ACMA</w:t>
      </w:r>
      <w:proofErr w:type="spellEnd"/>
      <w:r w:rsidRPr="004A5227">
        <w:t xml:space="preserve"> receives the information.</w:t>
      </w:r>
    </w:p>
    <w:p w:rsidR="00042830" w:rsidRPr="004A5227" w:rsidRDefault="009A65C1" w:rsidP="00042830">
      <w:pPr>
        <w:pStyle w:val="subsection"/>
      </w:pPr>
      <w:r w:rsidRPr="004A5227">
        <w:tab/>
        <w:t>(6</w:t>
      </w:r>
      <w:r w:rsidR="00042830" w:rsidRPr="004A5227">
        <w:t>)</w:t>
      </w:r>
      <w:r w:rsidR="00042830" w:rsidRPr="004A5227">
        <w:tab/>
        <w:t xml:space="preserve">In considering the application, the </w:t>
      </w:r>
      <w:proofErr w:type="spellStart"/>
      <w:r w:rsidR="00042830" w:rsidRPr="004A5227">
        <w:t>ACMA</w:t>
      </w:r>
      <w:proofErr w:type="spellEnd"/>
      <w:r w:rsidR="00042830" w:rsidRPr="004A5227">
        <w:t xml:space="preserve"> may have regard to any matter that the </w:t>
      </w:r>
      <w:proofErr w:type="spellStart"/>
      <w:r w:rsidR="00042830" w:rsidRPr="004A5227">
        <w:t>ACMA</w:t>
      </w:r>
      <w:proofErr w:type="spellEnd"/>
      <w:r w:rsidR="00042830" w:rsidRPr="004A5227">
        <w:t xml:space="preserve"> considers relevant.</w:t>
      </w:r>
    </w:p>
    <w:p w:rsidR="00042830" w:rsidRPr="004A5227" w:rsidRDefault="009A65C1" w:rsidP="00042830">
      <w:pPr>
        <w:pStyle w:val="subsection"/>
      </w:pPr>
      <w:r w:rsidRPr="004A5227">
        <w:tab/>
        <w:t>(7</w:t>
      </w:r>
      <w:r w:rsidR="00042830" w:rsidRPr="004A5227">
        <w:t>)</w:t>
      </w:r>
      <w:r w:rsidR="00042830" w:rsidRPr="004A5227">
        <w:tab/>
        <w:t xml:space="preserve">The </w:t>
      </w:r>
      <w:proofErr w:type="spellStart"/>
      <w:r w:rsidR="00042830" w:rsidRPr="004A5227">
        <w:t>ACMA</w:t>
      </w:r>
      <w:proofErr w:type="spellEnd"/>
      <w:r w:rsidR="00042830" w:rsidRPr="004A5227">
        <w:t xml:space="preserve"> may consult </w:t>
      </w:r>
      <w:r w:rsidR="00990EE2" w:rsidRPr="004A5227">
        <w:t>an</w:t>
      </w:r>
      <w:r w:rsidR="00042830" w:rsidRPr="004A5227">
        <w:t xml:space="preserve"> advisory committee or the </w:t>
      </w:r>
      <w:proofErr w:type="spellStart"/>
      <w:r w:rsidR="00042830" w:rsidRPr="004A5227">
        <w:t>ACCC</w:t>
      </w:r>
      <w:proofErr w:type="spellEnd"/>
      <w:r w:rsidR="00042830" w:rsidRPr="004A5227">
        <w:t xml:space="preserve"> about the application.</w:t>
      </w:r>
    </w:p>
    <w:p w:rsidR="00BA3712" w:rsidRPr="004A5227" w:rsidRDefault="00BA3712" w:rsidP="00042830">
      <w:pPr>
        <w:pStyle w:val="subsection"/>
      </w:pPr>
      <w:r w:rsidRPr="004A5227">
        <w:tab/>
        <w:t>(</w:t>
      </w:r>
      <w:r w:rsidR="009A65C1" w:rsidRPr="004A5227">
        <w:t>8</w:t>
      </w:r>
      <w:r w:rsidRPr="004A5227">
        <w:t>)</w:t>
      </w:r>
      <w:r w:rsidRPr="004A5227">
        <w:tab/>
      </w:r>
      <w:r w:rsidR="007968F3" w:rsidRPr="004A5227">
        <w:t>T</w:t>
      </w:r>
      <w:r w:rsidRPr="004A5227">
        <w:t xml:space="preserve">he </w:t>
      </w:r>
      <w:proofErr w:type="spellStart"/>
      <w:r w:rsidRPr="004A5227">
        <w:t>ACMA</w:t>
      </w:r>
      <w:proofErr w:type="spellEnd"/>
      <w:r w:rsidRPr="004A5227">
        <w:t xml:space="preserve"> must give written notice of the </w:t>
      </w:r>
      <w:proofErr w:type="spellStart"/>
      <w:r w:rsidR="007968F3" w:rsidRPr="004A5227">
        <w:t>ACMA’s</w:t>
      </w:r>
      <w:proofErr w:type="spellEnd"/>
      <w:r w:rsidR="007968F3" w:rsidRPr="004A5227">
        <w:t xml:space="preserve"> </w:t>
      </w:r>
      <w:r w:rsidRPr="004A5227">
        <w:t>decision to the carriage service provider concerned</w:t>
      </w:r>
      <w:r w:rsidR="007968F3" w:rsidRPr="004A5227">
        <w:t>.</w:t>
      </w:r>
    </w:p>
    <w:p w:rsidR="00042830" w:rsidRPr="004A5227" w:rsidRDefault="00CA6815" w:rsidP="00042830">
      <w:pPr>
        <w:pStyle w:val="ActHead5"/>
      </w:pPr>
      <w:bookmarkStart w:id="140" w:name="_Toc413419138"/>
      <w:r w:rsidRPr="004A5227">
        <w:rPr>
          <w:rStyle w:val="CharSectno"/>
        </w:rPr>
        <w:t>99</w:t>
      </w:r>
      <w:r w:rsidR="009A4D8F" w:rsidRPr="004A5227">
        <w:t xml:space="preserve"> </w:t>
      </w:r>
      <w:r w:rsidR="00042830" w:rsidRPr="004A5227">
        <w:t xml:space="preserve"> Recall of issued number without issue of replacement number</w:t>
      </w:r>
      <w:bookmarkEnd w:id="140"/>
    </w:p>
    <w:p w:rsidR="00042830" w:rsidRPr="004A5227" w:rsidRDefault="00042830" w:rsidP="00042830">
      <w:pPr>
        <w:pStyle w:val="subsection"/>
      </w:pPr>
      <w:r w:rsidRPr="004A5227">
        <w:tab/>
      </w:r>
      <w:r w:rsidRPr="004A5227">
        <w:tab/>
        <w:t>A</w:t>
      </w:r>
      <w:r w:rsidR="00621C90" w:rsidRPr="004A5227">
        <w:t xml:space="preserve"> carriage service provider may </w:t>
      </w:r>
      <w:r w:rsidRPr="004A5227">
        <w:t>recall an issued number</w:t>
      </w:r>
      <w:r w:rsidR="00A041A8" w:rsidRPr="004A5227">
        <w:t xml:space="preserve"> </w:t>
      </w:r>
      <w:r w:rsidRPr="004A5227">
        <w:t xml:space="preserve">from a customer without issuing a replacement number </w:t>
      </w:r>
      <w:r w:rsidR="00990EE2" w:rsidRPr="004A5227">
        <w:t xml:space="preserve">only </w:t>
      </w:r>
      <w:r w:rsidRPr="004A5227">
        <w:t>if:</w:t>
      </w:r>
    </w:p>
    <w:p w:rsidR="00042830" w:rsidRPr="004A5227" w:rsidRDefault="00042830" w:rsidP="00042830">
      <w:pPr>
        <w:pStyle w:val="paragraph"/>
      </w:pPr>
      <w:r w:rsidRPr="004A5227">
        <w:tab/>
        <w:t>(a)</w:t>
      </w:r>
      <w:r w:rsidRPr="004A5227">
        <w:tab/>
        <w:t>the customer asks in writing for the number to be recalled; or</w:t>
      </w:r>
    </w:p>
    <w:p w:rsidR="00042830" w:rsidRPr="004A5227" w:rsidRDefault="00042830" w:rsidP="00042830">
      <w:pPr>
        <w:pStyle w:val="paragraph"/>
      </w:pPr>
      <w:r w:rsidRPr="004A5227">
        <w:tab/>
        <w:t>(b)</w:t>
      </w:r>
      <w:r w:rsidRPr="004A5227">
        <w:tab/>
        <w:t>the customer agrees in writing to the number being recalled; or</w:t>
      </w:r>
    </w:p>
    <w:p w:rsidR="00042830" w:rsidRPr="004A5227" w:rsidRDefault="00042830" w:rsidP="00042830">
      <w:pPr>
        <w:pStyle w:val="paragraph"/>
      </w:pPr>
      <w:r w:rsidRPr="004A5227">
        <w:tab/>
        <w:t>(c)</w:t>
      </w:r>
      <w:r w:rsidRPr="004A5227">
        <w:tab/>
        <w:t>the customer asks in writing for the number to be issued to another customer; or</w:t>
      </w:r>
    </w:p>
    <w:p w:rsidR="00042830" w:rsidRPr="004A5227" w:rsidRDefault="00042830" w:rsidP="00042830">
      <w:pPr>
        <w:pStyle w:val="paragraph"/>
      </w:pPr>
      <w:r w:rsidRPr="004A5227">
        <w:tab/>
        <w:t>(d)</w:t>
      </w:r>
      <w:r w:rsidRPr="004A5227">
        <w:tab/>
        <w:t>the customer agrees in writing to the number being issued to another customer; or</w:t>
      </w:r>
    </w:p>
    <w:p w:rsidR="00042830" w:rsidRPr="004A5227" w:rsidRDefault="00042830" w:rsidP="00042830">
      <w:pPr>
        <w:pStyle w:val="paragraph"/>
      </w:pPr>
      <w:r w:rsidRPr="004A5227">
        <w:tab/>
        <w:t>(e)</w:t>
      </w:r>
      <w:r w:rsidRPr="004A5227">
        <w:tab/>
        <w:t>the carriage service provider ceases to offer the kind of carriage service associated with the number; or</w:t>
      </w:r>
    </w:p>
    <w:p w:rsidR="00042830" w:rsidRPr="004A5227" w:rsidRDefault="00042830" w:rsidP="00042830">
      <w:pPr>
        <w:pStyle w:val="paragraph"/>
      </w:pPr>
      <w:r w:rsidRPr="004A5227">
        <w:tab/>
        <w:t>(f)</w:t>
      </w:r>
      <w:r w:rsidRPr="004A5227">
        <w:tab/>
        <w:t>the carriage service provider ceases to offer the carriage service in the customer’s location; or</w:t>
      </w:r>
    </w:p>
    <w:p w:rsidR="00042830" w:rsidRPr="004A5227" w:rsidRDefault="00042830" w:rsidP="00042830">
      <w:pPr>
        <w:pStyle w:val="paragraph"/>
      </w:pPr>
      <w:r w:rsidRPr="004A5227">
        <w:tab/>
        <w:t>(g)</w:t>
      </w:r>
      <w:r w:rsidRPr="004A5227">
        <w:tab/>
        <w:t>the supply of the carriage service to the customer is otherwise terminated; or</w:t>
      </w:r>
    </w:p>
    <w:p w:rsidR="00042830" w:rsidRPr="004A5227" w:rsidRDefault="00042830" w:rsidP="00042830">
      <w:pPr>
        <w:pStyle w:val="paragraph"/>
      </w:pPr>
      <w:r w:rsidRPr="004A5227">
        <w:tab/>
        <w:t>(h)</w:t>
      </w:r>
      <w:r w:rsidRPr="004A5227">
        <w:tab/>
        <w:t>the customer has not subscribed, within a reasonable time, to the carriage service for which the number was issued; or</w:t>
      </w:r>
    </w:p>
    <w:p w:rsidR="00042830" w:rsidRPr="004A5227" w:rsidRDefault="00042830" w:rsidP="00042830">
      <w:pPr>
        <w:pStyle w:val="paragraph"/>
      </w:pPr>
      <w:r w:rsidRPr="004A5227">
        <w:tab/>
        <w:t>(</w:t>
      </w:r>
      <w:proofErr w:type="spellStart"/>
      <w:r w:rsidRPr="004A5227">
        <w:t>i</w:t>
      </w:r>
      <w:proofErr w:type="spellEnd"/>
      <w:r w:rsidRPr="004A5227">
        <w:t>)</w:t>
      </w:r>
      <w:r w:rsidRPr="004A5227">
        <w:tab/>
        <w:t>the number was issued to the customer on the condition that it would be recalled on or from a specified date; or</w:t>
      </w:r>
    </w:p>
    <w:p w:rsidR="00042830" w:rsidRPr="004A5227" w:rsidRDefault="00042830" w:rsidP="00042830">
      <w:pPr>
        <w:pStyle w:val="paragraph"/>
      </w:pPr>
      <w:r w:rsidRPr="004A5227">
        <w:tab/>
        <w:t>(j)</w:t>
      </w:r>
      <w:r w:rsidRPr="004A5227">
        <w:tab/>
        <w:t xml:space="preserve">the </w:t>
      </w:r>
      <w:proofErr w:type="spellStart"/>
      <w:r w:rsidRPr="004A5227">
        <w:t>ACMA</w:t>
      </w:r>
      <w:proofErr w:type="spellEnd"/>
      <w:r w:rsidRPr="004A5227">
        <w:t xml:space="preserve"> directs the carriage service provider to recall the number.</w:t>
      </w:r>
    </w:p>
    <w:p w:rsidR="00042830" w:rsidRPr="004A5227" w:rsidRDefault="00042830" w:rsidP="00042830">
      <w:pPr>
        <w:pStyle w:val="notetext"/>
      </w:pPr>
      <w:r w:rsidRPr="004A5227">
        <w:t>Note:</w:t>
      </w:r>
      <w:r w:rsidRPr="004A5227">
        <w:tab/>
        <w:t xml:space="preserve">The </w:t>
      </w:r>
      <w:proofErr w:type="spellStart"/>
      <w:r w:rsidRPr="004A5227">
        <w:t>ACMA</w:t>
      </w:r>
      <w:proofErr w:type="spellEnd"/>
      <w:r w:rsidRPr="004A5227">
        <w:t xml:space="preserve"> may give written directions to a carriage service provider</w:t>
      </w:r>
      <w:r w:rsidR="008631B1" w:rsidRPr="004A5227">
        <w:t xml:space="preserve">: </w:t>
      </w:r>
      <w:r w:rsidRPr="004A5227">
        <w:t>see section</w:t>
      </w:r>
      <w:r w:rsidR="004A5227" w:rsidRPr="004A5227">
        <w:t> </w:t>
      </w:r>
      <w:r w:rsidRPr="004A5227">
        <w:t>581 of the Act.</w:t>
      </w:r>
    </w:p>
    <w:p w:rsidR="00042830" w:rsidRPr="004A5227" w:rsidRDefault="00CA6815" w:rsidP="00042830">
      <w:pPr>
        <w:pStyle w:val="ActHead5"/>
      </w:pPr>
      <w:bookmarkStart w:id="141" w:name="_Toc413419139"/>
      <w:r w:rsidRPr="004A5227">
        <w:rPr>
          <w:rStyle w:val="CharSectno"/>
        </w:rPr>
        <w:t>100</w:t>
      </w:r>
      <w:r w:rsidR="00042830" w:rsidRPr="004A5227">
        <w:t xml:space="preserve">  Restriction on reissuing recalled number</w:t>
      </w:r>
      <w:bookmarkEnd w:id="141"/>
    </w:p>
    <w:p w:rsidR="00042830" w:rsidRPr="004A5227" w:rsidRDefault="00042830" w:rsidP="00042830">
      <w:pPr>
        <w:pStyle w:val="subsection"/>
      </w:pPr>
      <w:r w:rsidRPr="004A5227">
        <w:tab/>
        <w:t>(1)</w:t>
      </w:r>
      <w:r w:rsidRPr="004A5227">
        <w:tab/>
        <w:t>A number that was recalled from a customer by a carriage service provider because of nuisance calls must not be issued to another customer for a period of 1 year from the day it was recalled.</w:t>
      </w:r>
    </w:p>
    <w:p w:rsidR="00042830" w:rsidRPr="004A5227" w:rsidRDefault="00042830" w:rsidP="00042830">
      <w:pPr>
        <w:pStyle w:val="subsection"/>
      </w:pPr>
      <w:r w:rsidRPr="004A5227">
        <w:tab/>
        <w:t>(2)</w:t>
      </w:r>
      <w:r w:rsidRPr="004A5227">
        <w:tab/>
        <w:t xml:space="preserve">A number that was recalled from a customer (the </w:t>
      </w:r>
      <w:r w:rsidRPr="004A5227">
        <w:rPr>
          <w:b/>
          <w:i/>
        </w:rPr>
        <w:t>previous customer</w:t>
      </w:r>
      <w:r w:rsidRPr="004A5227">
        <w:t xml:space="preserve">) for any other reason must not be issued to another customer (the </w:t>
      </w:r>
      <w:r w:rsidRPr="004A5227">
        <w:rPr>
          <w:b/>
          <w:i/>
        </w:rPr>
        <w:t>new customer</w:t>
      </w:r>
      <w:r w:rsidRPr="004A5227">
        <w:t>) for a period of 6 months from the day it was recalled, unless:</w:t>
      </w:r>
    </w:p>
    <w:p w:rsidR="00042830" w:rsidRPr="004A5227" w:rsidRDefault="00042830" w:rsidP="00042830">
      <w:pPr>
        <w:pStyle w:val="paragraph"/>
      </w:pPr>
      <w:r w:rsidRPr="004A5227">
        <w:lastRenderedPageBreak/>
        <w:tab/>
        <w:t>(a)</w:t>
      </w:r>
      <w:r w:rsidRPr="004A5227">
        <w:tab/>
        <w:t>the carriage service provider does not hold any other suitable numbers and the new customer:</w:t>
      </w:r>
    </w:p>
    <w:p w:rsidR="00042830" w:rsidRPr="004A5227" w:rsidRDefault="00042830" w:rsidP="00042830">
      <w:pPr>
        <w:pStyle w:val="paragraphsub"/>
      </w:pPr>
      <w:r w:rsidRPr="004A5227">
        <w:tab/>
        <w:t>(</w:t>
      </w:r>
      <w:proofErr w:type="spellStart"/>
      <w:r w:rsidRPr="004A5227">
        <w:t>i</w:t>
      </w:r>
      <w:proofErr w:type="spellEnd"/>
      <w:r w:rsidRPr="004A5227">
        <w:t>)</w:t>
      </w:r>
      <w:r w:rsidRPr="004A5227">
        <w:tab/>
        <w:t>is informed that the number has been recalled from the previous customer within the previous 6 months; and</w:t>
      </w:r>
    </w:p>
    <w:p w:rsidR="00042830" w:rsidRPr="004A5227" w:rsidRDefault="00042830" w:rsidP="00042830">
      <w:pPr>
        <w:pStyle w:val="paragraphsub"/>
      </w:pPr>
      <w:r w:rsidRPr="004A5227">
        <w:tab/>
        <w:t>(ii)</w:t>
      </w:r>
      <w:r w:rsidRPr="004A5227">
        <w:tab/>
        <w:t>agrees to be issued the number; or</w:t>
      </w:r>
    </w:p>
    <w:p w:rsidR="00042830" w:rsidRPr="004A5227" w:rsidRDefault="00042830" w:rsidP="00042830">
      <w:pPr>
        <w:pStyle w:val="paragraph"/>
      </w:pPr>
      <w:r w:rsidRPr="004A5227">
        <w:tab/>
        <w:t>(b)</w:t>
      </w:r>
      <w:r w:rsidRPr="004A5227">
        <w:tab/>
        <w:t>for a geographic number—the new customer moves into premises at which calls to the number previously terminated, and does not ask for a new number when service is established; or</w:t>
      </w:r>
    </w:p>
    <w:p w:rsidR="00042830" w:rsidRPr="004A5227" w:rsidRDefault="00042830" w:rsidP="00042830">
      <w:pPr>
        <w:pStyle w:val="paragraph"/>
      </w:pPr>
      <w:r w:rsidRPr="004A5227">
        <w:tab/>
        <w:t>(</w:t>
      </w:r>
      <w:r w:rsidR="00370865" w:rsidRPr="004A5227">
        <w:t>c</w:t>
      </w:r>
      <w:r w:rsidRPr="004A5227">
        <w:t>)</w:t>
      </w:r>
      <w:r w:rsidRPr="004A5227">
        <w:tab/>
        <w:t>the number is to be moved from the previous customer to the new customer, and the new customer and the carriage service provider agree to the issue of the number.</w:t>
      </w:r>
    </w:p>
    <w:p w:rsidR="00042830" w:rsidRPr="004A5227" w:rsidRDefault="00042830" w:rsidP="00042830">
      <w:pPr>
        <w:pStyle w:val="ActHead2"/>
        <w:pageBreakBefore/>
      </w:pPr>
      <w:bookmarkStart w:id="142" w:name="_Toc413419140"/>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General obligations of carriage service providers</w:t>
      </w:r>
      <w:bookmarkEnd w:id="142"/>
    </w:p>
    <w:p w:rsidR="009A4D8F" w:rsidRPr="004A5227" w:rsidRDefault="009A4D8F" w:rsidP="009A4D8F">
      <w:pPr>
        <w:pStyle w:val="Header"/>
      </w:pPr>
      <w:r w:rsidRPr="004A5227">
        <w:rPr>
          <w:rStyle w:val="CharDivNo"/>
        </w:rPr>
        <w:t xml:space="preserve"> </w:t>
      </w:r>
      <w:r w:rsidRPr="004A5227">
        <w:rPr>
          <w:rStyle w:val="CharDivText"/>
        </w:rPr>
        <w:t xml:space="preserve"> </w:t>
      </w:r>
    </w:p>
    <w:p w:rsidR="00CC1B80" w:rsidRPr="004A5227" w:rsidRDefault="00CA6815" w:rsidP="00CC1B80">
      <w:pPr>
        <w:pStyle w:val="ActHead5"/>
      </w:pPr>
      <w:bookmarkStart w:id="143" w:name="_Toc413419141"/>
      <w:r w:rsidRPr="004A5227">
        <w:rPr>
          <w:rStyle w:val="CharSectno"/>
        </w:rPr>
        <w:t>101</w:t>
      </w:r>
      <w:r w:rsidR="00CC1B80" w:rsidRPr="004A5227">
        <w:t xml:space="preserve">  Use of numbers not to be subject to certain conditions</w:t>
      </w:r>
      <w:bookmarkEnd w:id="143"/>
    </w:p>
    <w:p w:rsidR="00CC1B80" w:rsidRPr="004A5227" w:rsidRDefault="00CC1B80" w:rsidP="00CC1B80">
      <w:pPr>
        <w:pStyle w:val="subsection"/>
      </w:pPr>
      <w:r w:rsidRPr="004A5227">
        <w:tab/>
      </w:r>
      <w:r w:rsidRPr="004A5227">
        <w:tab/>
        <w:t>A carriage service provider must not make the use of a number by a customer subject to any of the following conditions:</w:t>
      </w:r>
    </w:p>
    <w:p w:rsidR="00CC1B80" w:rsidRPr="004A5227" w:rsidRDefault="00CC1B80" w:rsidP="00CC1B80">
      <w:pPr>
        <w:pStyle w:val="paragraph"/>
      </w:pPr>
      <w:r w:rsidRPr="004A5227">
        <w:tab/>
        <w:t>(a)</w:t>
      </w:r>
      <w:r w:rsidRPr="004A5227">
        <w:tab/>
        <w:t>a condition that the customer must discharge a debt owed to the carriage service provider by a customer who was previously issued the number;</w:t>
      </w:r>
    </w:p>
    <w:p w:rsidR="00CC1B80" w:rsidRPr="004A5227" w:rsidRDefault="00CC1B80" w:rsidP="00CC1B80">
      <w:pPr>
        <w:pStyle w:val="paragraph"/>
      </w:pPr>
      <w:r w:rsidRPr="004A5227">
        <w:tab/>
        <w:t>(b)</w:t>
      </w:r>
      <w:r w:rsidRPr="004A5227">
        <w:tab/>
        <w:t>a condition that the customer must not request to port the number to another carriage service provider;</w:t>
      </w:r>
    </w:p>
    <w:p w:rsidR="00CC1B80" w:rsidRPr="004A5227" w:rsidRDefault="00CC1B80" w:rsidP="00CC1B80">
      <w:pPr>
        <w:pStyle w:val="paragraph"/>
      </w:pPr>
      <w:r w:rsidRPr="004A5227">
        <w:tab/>
        <w:t>(c)</w:t>
      </w:r>
      <w:r w:rsidRPr="004A5227">
        <w:tab/>
        <w:t>a condition that the customer must not change carriage service providers.</w:t>
      </w:r>
    </w:p>
    <w:p w:rsidR="00FD4869" w:rsidRPr="004A5227" w:rsidRDefault="00CA6815" w:rsidP="00FD4869">
      <w:pPr>
        <w:pStyle w:val="ActHead5"/>
      </w:pPr>
      <w:bookmarkStart w:id="144" w:name="_Toc413419142"/>
      <w:r w:rsidRPr="004A5227">
        <w:rPr>
          <w:rStyle w:val="CharSectno"/>
        </w:rPr>
        <w:t>102</w:t>
      </w:r>
      <w:r w:rsidR="00FD4869" w:rsidRPr="004A5227">
        <w:t xml:space="preserve">  Carriage service provider must not issue a number that it has not been allocated</w:t>
      </w:r>
      <w:bookmarkEnd w:id="144"/>
    </w:p>
    <w:p w:rsidR="00FD4869" w:rsidRPr="004A5227" w:rsidRDefault="00FD4869" w:rsidP="00FD4869">
      <w:pPr>
        <w:pStyle w:val="subsection"/>
      </w:pPr>
      <w:r w:rsidRPr="004A5227">
        <w:tab/>
      </w:r>
      <w:r w:rsidRPr="004A5227">
        <w:tab/>
        <w:t xml:space="preserve">A carriage service provider must not issue a number to a customer unless the carriage service provider </w:t>
      </w:r>
      <w:r w:rsidR="00990EE2" w:rsidRPr="004A5227">
        <w:t>holds</w:t>
      </w:r>
      <w:r w:rsidRPr="004A5227">
        <w:t xml:space="preserve"> the number.</w:t>
      </w:r>
    </w:p>
    <w:p w:rsidR="00042830" w:rsidRPr="004A5227" w:rsidRDefault="00CA6815" w:rsidP="00042830">
      <w:pPr>
        <w:pStyle w:val="ActHead5"/>
      </w:pPr>
      <w:bookmarkStart w:id="145" w:name="_Toc413419143"/>
      <w:r w:rsidRPr="004A5227">
        <w:rPr>
          <w:rStyle w:val="CharSectno"/>
        </w:rPr>
        <w:t>103</w:t>
      </w:r>
      <w:r w:rsidR="00042830" w:rsidRPr="004A5227">
        <w:t xml:space="preserve">  Notice of carriage service provider’s obligations</w:t>
      </w:r>
      <w:bookmarkEnd w:id="145"/>
    </w:p>
    <w:p w:rsidR="00042830" w:rsidRPr="004A5227" w:rsidRDefault="00042830" w:rsidP="00042830">
      <w:pPr>
        <w:pStyle w:val="subsection"/>
      </w:pPr>
      <w:r w:rsidRPr="004A5227">
        <w:tab/>
        <w:t>(1)</w:t>
      </w:r>
      <w:r w:rsidRPr="004A5227">
        <w:tab/>
        <w:t>A carriage service provider must notify a customer, in writing, within 6 months of issuing a number to the customer:</w:t>
      </w:r>
    </w:p>
    <w:p w:rsidR="00042830" w:rsidRPr="004A5227" w:rsidRDefault="00042830" w:rsidP="00042830">
      <w:pPr>
        <w:pStyle w:val="paragraph"/>
      </w:pPr>
      <w:r w:rsidRPr="004A5227">
        <w:tab/>
        <w:t>(a)</w:t>
      </w:r>
      <w:r w:rsidRPr="004A5227">
        <w:tab/>
        <w:t>that the carriage service provider has obligations in relation to the use of the number; and</w:t>
      </w:r>
    </w:p>
    <w:p w:rsidR="00042830" w:rsidRPr="004A5227" w:rsidRDefault="00042830" w:rsidP="00042830">
      <w:pPr>
        <w:pStyle w:val="paragraph"/>
      </w:pPr>
      <w:r w:rsidRPr="004A5227">
        <w:tab/>
        <w:t>(b)</w:t>
      </w:r>
      <w:r w:rsidRPr="004A5227">
        <w:tab/>
        <w:t>that the customer can obtain information about the obligations; and</w:t>
      </w:r>
    </w:p>
    <w:p w:rsidR="00042830" w:rsidRPr="004A5227" w:rsidRDefault="00042830" w:rsidP="00042830">
      <w:pPr>
        <w:pStyle w:val="paragraph"/>
      </w:pPr>
      <w:r w:rsidRPr="004A5227">
        <w:tab/>
        <w:t>(c)</w:t>
      </w:r>
      <w:r w:rsidRPr="004A5227">
        <w:tab/>
      </w:r>
      <w:r w:rsidR="0020388B" w:rsidRPr="004A5227">
        <w:t xml:space="preserve">of </w:t>
      </w:r>
      <w:r w:rsidRPr="004A5227">
        <w:t>how to obtain the information.</w:t>
      </w:r>
    </w:p>
    <w:p w:rsidR="00042830" w:rsidRPr="004A5227" w:rsidRDefault="00042830" w:rsidP="00042830">
      <w:pPr>
        <w:pStyle w:val="subsection"/>
      </w:pPr>
      <w:r w:rsidRPr="004A5227">
        <w:tab/>
        <w:t>(2)</w:t>
      </w:r>
      <w:r w:rsidRPr="004A5227">
        <w:tab/>
      </w:r>
      <w:r w:rsidR="004A5227" w:rsidRPr="004A5227">
        <w:t>Subsection (</w:t>
      </w:r>
      <w:r w:rsidRPr="004A5227">
        <w:t>1) does not apply if:</w:t>
      </w:r>
    </w:p>
    <w:p w:rsidR="00042830" w:rsidRPr="004A5227" w:rsidRDefault="00042830" w:rsidP="00042830">
      <w:pPr>
        <w:pStyle w:val="paragraph"/>
      </w:pPr>
      <w:r w:rsidRPr="004A5227">
        <w:tab/>
        <w:t>(a)</w:t>
      </w:r>
      <w:r w:rsidRPr="004A5227">
        <w:tab/>
        <w:t>the customer has previously been issued a number by the carriage service provider; and</w:t>
      </w:r>
    </w:p>
    <w:p w:rsidR="00042830" w:rsidRPr="004A5227" w:rsidRDefault="00042830" w:rsidP="00042830">
      <w:pPr>
        <w:pStyle w:val="paragraph"/>
      </w:pPr>
      <w:r w:rsidRPr="004A5227">
        <w:tab/>
        <w:t>(b)</w:t>
      </w:r>
      <w:r w:rsidRPr="004A5227">
        <w:tab/>
        <w:t>the information that the customer can obtain has not changed since the carriage service provider last issued a number to the customer.</w:t>
      </w:r>
    </w:p>
    <w:p w:rsidR="00042830" w:rsidRPr="004A5227" w:rsidRDefault="00042830" w:rsidP="00042830">
      <w:pPr>
        <w:pStyle w:val="subsection"/>
      </w:pPr>
      <w:r w:rsidRPr="004A5227">
        <w:tab/>
        <w:t>(3)</w:t>
      </w:r>
      <w:r w:rsidRPr="004A5227">
        <w:tab/>
        <w:t>The information that customers of the carriage service provider can obtain must explain the carriage service provider’s obligations under this Chapter.</w:t>
      </w:r>
    </w:p>
    <w:p w:rsidR="00042830" w:rsidRPr="004A5227" w:rsidRDefault="00042830" w:rsidP="00042830">
      <w:pPr>
        <w:pStyle w:val="subsection"/>
      </w:pPr>
      <w:r w:rsidRPr="004A5227">
        <w:tab/>
        <w:t>(4)</w:t>
      </w:r>
      <w:r w:rsidRPr="004A5227">
        <w:tab/>
        <w:t>The information must be included in any telephone directory published by the carriage service provider.</w:t>
      </w:r>
    </w:p>
    <w:p w:rsidR="001F4B8F" w:rsidRPr="004A5227" w:rsidRDefault="001F4B8F" w:rsidP="001F4B8F">
      <w:pPr>
        <w:pStyle w:val="ActHead2"/>
        <w:pageBreakBefore/>
      </w:pPr>
      <w:bookmarkStart w:id="146" w:name="_Toc413419144"/>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Exemptions</w:t>
      </w:r>
      <w:bookmarkEnd w:id="146"/>
    </w:p>
    <w:p w:rsidR="001F4B8F" w:rsidRPr="004A5227" w:rsidRDefault="001F4B8F" w:rsidP="001F4B8F">
      <w:pPr>
        <w:pStyle w:val="Header"/>
      </w:pPr>
      <w:r w:rsidRPr="004A5227">
        <w:rPr>
          <w:rStyle w:val="CharDivNo"/>
        </w:rPr>
        <w:t xml:space="preserve"> </w:t>
      </w:r>
      <w:r w:rsidRPr="004A5227">
        <w:rPr>
          <w:rStyle w:val="CharDivText"/>
        </w:rPr>
        <w:t xml:space="preserve"> </w:t>
      </w:r>
    </w:p>
    <w:p w:rsidR="00042830" w:rsidRPr="004A5227" w:rsidRDefault="00CA6815" w:rsidP="00042830">
      <w:pPr>
        <w:pStyle w:val="ActHead5"/>
      </w:pPr>
      <w:bookmarkStart w:id="147" w:name="_Toc413419145"/>
      <w:r w:rsidRPr="004A5227">
        <w:rPr>
          <w:rStyle w:val="CharSectno"/>
        </w:rPr>
        <w:t>104</w:t>
      </w:r>
      <w:r w:rsidR="00042830" w:rsidRPr="004A5227">
        <w:t xml:space="preserve">  Application for exemption from obligation in </w:t>
      </w:r>
      <w:r w:rsidR="0020388B" w:rsidRPr="004A5227">
        <w:t xml:space="preserve">this </w:t>
      </w:r>
      <w:r w:rsidR="00042830" w:rsidRPr="004A5227">
        <w:t>Chapter</w:t>
      </w:r>
      <w:bookmarkEnd w:id="147"/>
    </w:p>
    <w:p w:rsidR="00042830" w:rsidRPr="004A5227" w:rsidRDefault="00042830" w:rsidP="00042830">
      <w:pPr>
        <w:pStyle w:val="subsection"/>
      </w:pPr>
      <w:r w:rsidRPr="004A5227">
        <w:tab/>
        <w:t>(1)</w:t>
      </w:r>
      <w:r w:rsidRPr="004A5227">
        <w:tab/>
        <w:t xml:space="preserve">A carriage service provider may apply to the </w:t>
      </w:r>
      <w:proofErr w:type="spellStart"/>
      <w:r w:rsidRPr="004A5227">
        <w:t>ACMA</w:t>
      </w:r>
      <w:proofErr w:type="spellEnd"/>
      <w:r w:rsidRPr="004A5227">
        <w:t xml:space="preserve"> for an exemption from a provision of this Chapter.</w:t>
      </w:r>
    </w:p>
    <w:p w:rsidR="00042830" w:rsidRPr="004A5227" w:rsidRDefault="00042830" w:rsidP="00042830">
      <w:pPr>
        <w:pStyle w:val="subsection"/>
      </w:pPr>
      <w:r w:rsidRPr="004A5227">
        <w:tab/>
        <w:t>(2)</w:t>
      </w:r>
      <w:r w:rsidRPr="004A5227">
        <w:tab/>
        <w:t>The application may be for an exemption from complying with an obligation in relation to:</w:t>
      </w:r>
    </w:p>
    <w:p w:rsidR="00042830" w:rsidRPr="004A5227" w:rsidRDefault="00042830" w:rsidP="00042830">
      <w:pPr>
        <w:pStyle w:val="paragraph"/>
      </w:pPr>
      <w:r w:rsidRPr="004A5227">
        <w:tab/>
        <w:t>(a)</w:t>
      </w:r>
      <w:r w:rsidRPr="004A5227">
        <w:tab/>
        <w:t>all customers; or</w:t>
      </w:r>
    </w:p>
    <w:p w:rsidR="00042830" w:rsidRPr="004A5227" w:rsidRDefault="00042830" w:rsidP="00042830">
      <w:pPr>
        <w:pStyle w:val="paragraph"/>
      </w:pPr>
      <w:r w:rsidRPr="004A5227">
        <w:tab/>
        <w:t>(b)</w:t>
      </w:r>
      <w:r w:rsidRPr="004A5227">
        <w:tab/>
        <w:t>a class of customers.</w:t>
      </w:r>
    </w:p>
    <w:p w:rsidR="00042830" w:rsidRPr="004A5227" w:rsidRDefault="00042830" w:rsidP="00042830">
      <w:pPr>
        <w:pStyle w:val="subsection"/>
      </w:pPr>
      <w:r w:rsidRPr="004A5227">
        <w:tab/>
        <w:t>(3)</w:t>
      </w:r>
      <w:r w:rsidRPr="004A5227">
        <w:tab/>
        <w:t>The application must be in writing.</w:t>
      </w:r>
    </w:p>
    <w:p w:rsidR="00042830" w:rsidRPr="004A5227" w:rsidRDefault="00042830" w:rsidP="00042830">
      <w:pPr>
        <w:pStyle w:val="subsection"/>
      </w:pPr>
      <w:r w:rsidRPr="004A5227">
        <w:tab/>
        <w:t>(4)</w:t>
      </w:r>
      <w:r w:rsidRPr="004A5227">
        <w:tab/>
        <w:t xml:space="preserve">The </w:t>
      </w:r>
      <w:proofErr w:type="spellStart"/>
      <w:r w:rsidRPr="004A5227">
        <w:t>ACMA</w:t>
      </w:r>
      <w:proofErr w:type="spellEnd"/>
      <w:r w:rsidRPr="004A5227">
        <w:t xml:space="preserve"> must make a decision to grant or </w:t>
      </w:r>
      <w:r w:rsidR="00F811D9" w:rsidRPr="004A5227">
        <w:t>not</w:t>
      </w:r>
      <w:r w:rsidRPr="004A5227">
        <w:t xml:space="preserve"> to grant the exemption </w:t>
      </w:r>
      <w:r w:rsidR="006C6E10" w:rsidRPr="004A5227">
        <w:t>no later than</w:t>
      </w:r>
      <w:r w:rsidRPr="004A5227">
        <w:t xml:space="preserve"> 65 business days after receiving the application.</w:t>
      </w:r>
    </w:p>
    <w:p w:rsidR="00042830" w:rsidRPr="004A5227" w:rsidRDefault="00042830" w:rsidP="00042830">
      <w:pPr>
        <w:pStyle w:val="subsection"/>
      </w:pPr>
      <w:r w:rsidRPr="004A5227">
        <w:tab/>
        <w:t>(5)</w:t>
      </w:r>
      <w:r w:rsidRPr="004A5227">
        <w:tab/>
        <w:t xml:space="preserve">The </w:t>
      </w:r>
      <w:proofErr w:type="spellStart"/>
      <w:r w:rsidRPr="004A5227">
        <w:t>ACMA</w:t>
      </w:r>
      <w:proofErr w:type="spellEnd"/>
      <w:r w:rsidRPr="004A5227">
        <w:t xml:space="preserve"> may ask the carriage service provider, in writing, to give it further information on matters relevant to its consideration of the application.</w:t>
      </w:r>
    </w:p>
    <w:p w:rsidR="00042830" w:rsidRPr="004A5227" w:rsidRDefault="00042830" w:rsidP="00042830">
      <w:pPr>
        <w:pStyle w:val="subsection"/>
      </w:pPr>
      <w:r w:rsidRPr="004A5227">
        <w:tab/>
        <w:t>(6)</w:t>
      </w:r>
      <w:r w:rsidRPr="004A5227">
        <w:tab/>
        <w:t xml:space="preserve">The 65 business days mentioned in </w:t>
      </w:r>
      <w:r w:rsidR="004A5227" w:rsidRPr="004A5227">
        <w:t>subsection (</w:t>
      </w:r>
      <w:r w:rsidRPr="004A5227">
        <w:t>4) do not include a period:</w:t>
      </w:r>
    </w:p>
    <w:p w:rsidR="00042830" w:rsidRPr="004A5227" w:rsidRDefault="00042830" w:rsidP="00042830">
      <w:pPr>
        <w:pStyle w:val="paragraph"/>
      </w:pPr>
      <w:r w:rsidRPr="004A5227">
        <w:tab/>
        <w:t>(a)</w:t>
      </w:r>
      <w:r w:rsidRPr="004A5227">
        <w:tab/>
        <w:t xml:space="preserve">starting when the </w:t>
      </w:r>
      <w:proofErr w:type="spellStart"/>
      <w:r w:rsidRPr="004A5227">
        <w:t>ACMA</w:t>
      </w:r>
      <w:proofErr w:type="spellEnd"/>
      <w:r w:rsidRPr="004A5227">
        <w:t xml:space="preserve"> asks the carriage service provider for further information; and</w:t>
      </w:r>
    </w:p>
    <w:p w:rsidR="00042830" w:rsidRPr="004A5227" w:rsidRDefault="00042830" w:rsidP="00042830">
      <w:pPr>
        <w:pStyle w:val="paragraph"/>
      </w:pPr>
      <w:r w:rsidRPr="004A5227">
        <w:tab/>
        <w:t>(b)</w:t>
      </w:r>
      <w:r w:rsidRPr="004A5227">
        <w:tab/>
        <w:t xml:space="preserve">ending when the </w:t>
      </w:r>
      <w:proofErr w:type="spellStart"/>
      <w:r w:rsidRPr="004A5227">
        <w:t>ACMA</w:t>
      </w:r>
      <w:proofErr w:type="spellEnd"/>
      <w:r w:rsidRPr="004A5227">
        <w:t xml:space="preserve"> receives the information.</w:t>
      </w:r>
    </w:p>
    <w:p w:rsidR="00042830" w:rsidRPr="004A5227" w:rsidRDefault="00042830" w:rsidP="00042830">
      <w:pPr>
        <w:pStyle w:val="subsection"/>
      </w:pPr>
      <w:r w:rsidRPr="004A5227">
        <w:tab/>
        <w:t>(7)</w:t>
      </w:r>
      <w:r w:rsidRPr="004A5227">
        <w:tab/>
        <w:t xml:space="preserve">In considering the application, the </w:t>
      </w:r>
      <w:proofErr w:type="spellStart"/>
      <w:r w:rsidRPr="004A5227">
        <w:t>ACMA</w:t>
      </w:r>
      <w:proofErr w:type="spellEnd"/>
      <w:r w:rsidRPr="004A5227">
        <w:t xml:space="preserve"> may have regard to any matter that the </w:t>
      </w:r>
      <w:proofErr w:type="spellStart"/>
      <w:r w:rsidRPr="004A5227">
        <w:t>ACMA</w:t>
      </w:r>
      <w:proofErr w:type="spellEnd"/>
      <w:r w:rsidRPr="004A5227">
        <w:t xml:space="preserve"> considers relevant.</w:t>
      </w:r>
    </w:p>
    <w:p w:rsidR="00042830" w:rsidRPr="004A5227" w:rsidRDefault="00042830" w:rsidP="00042830">
      <w:pPr>
        <w:pStyle w:val="subsection"/>
      </w:pPr>
      <w:r w:rsidRPr="004A5227">
        <w:tab/>
        <w:t>(8)</w:t>
      </w:r>
      <w:r w:rsidRPr="004A5227">
        <w:tab/>
        <w:t xml:space="preserve">The </w:t>
      </w:r>
      <w:proofErr w:type="spellStart"/>
      <w:r w:rsidRPr="004A5227">
        <w:t>ACMA</w:t>
      </w:r>
      <w:proofErr w:type="spellEnd"/>
      <w:r w:rsidRPr="004A5227">
        <w:t xml:space="preserve"> may consult </w:t>
      </w:r>
      <w:r w:rsidR="00990EE2" w:rsidRPr="004A5227">
        <w:t>an</w:t>
      </w:r>
      <w:r w:rsidRPr="004A5227">
        <w:t xml:space="preserve"> advisory committee or the </w:t>
      </w:r>
      <w:proofErr w:type="spellStart"/>
      <w:r w:rsidRPr="004A5227">
        <w:t>ACCC</w:t>
      </w:r>
      <w:proofErr w:type="spellEnd"/>
      <w:r w:rsidRPr="004A5227">
        <w:t xml:space="preserve"> about the application.</w:t>
      </w:r>
    </w:p>
    <w:p w:rsidR="00D764B5" w:rsidRPr="004A5227" w:rsidRDefault="00D764B5" w:rsidP="00042830">
      <w:pPr>
        <w:pStyle w:val="subsection"/>
      </w:pPr>
      <w:r w:rsidRPr="004A5227">
        <w:tab/>
        <w:t>(9)</w:t>
      </w:r>
      <w:r w:rsidRPr="004A5227">
        <w:tab/>
        <w:t xml:space="preserve">The </w:t>
      </w:r>
      <w:proofErr w:type="spellStart"/>
      <w:r w:rsidRPr="004A5227">
        <w:t>ACMA</w:t>
      </w:r>
      <w:proofErr w:type="spellEnd"/>
      <w:r w:rsidRPr="004A5227">
        <w:t xml:space="preserve"> must give written notice of the </w:t>
      </w:r>
      <w:proofErr w:type="spellStart"/>
      <w:r w:rsidRPr="004A5227">
        <w:t>ACMA’s</w:t>
      </w:r>
      <w:proofErr w:type="spellEnd"/>
      <w:r w:rsidRPr="004A5227">
        <w:t xml:space="preserve"> decision to the carriage service provider concerned.</w:t>
      </w:r>
    </w:p>
    <w:p w:rsidR="00042830" w:rsidRPr="004A5227" w:rsidRDefault="00CA6815" w:rsidP="00042830">
      <w:pPr>
        <w:pStyle w:val="ActHead5"/>
      </w:pPr>
      <w:bookmarkStart w:id="148" w:name="_Toc413419146"/>
      <w:r w:rsidRPr="004A5227">
        <w:rPr>
          <w:rStyle w:val="CharSectno"/>
        </w:rPr>
        <w:t>105</w:t>
      </w:r>
      <w:r w:rsidR="00042830" w:rsidRPr="004A5227">
        <w:t xml:space="preserve">  Replacement of provisions by industry code</w:t>
      </w:r>
      <w:bookmarkEnd w:id="148"/>
    </w:p>
    <w:p w:rsidR="00042830" w:rsidRPr="004A5227" w:rsidRDefault="00042830" w:rsidP="00042830">
      <w:pPr>
        <w:pStyle w:val="subsection"/>
      </w:pPr>
      <w:r w:rsidRPr="004A5227">
        <w:tab/>
      </w:r>
      <w:r w:rsidRPr="004A5227">
        <w:tab/>
        <w:t xml:space="preserve">Each of the following provisions does not apply to a carriage service provider if there is a registered industry code that applies to the carriage service provider that in the </w:t>
      </w:r>
      <w:proofErr w:type="spellStart"/>
      <w:r w:rsidRPr="004A5227">
        <w:t>ACMA’s</w:t>
      </w:r>
      <w:proofErr w:type="spellEnd"/>
      <w:r w:rsidRPr="004A5227">
        <w:t xml:space="preserve"> opinion has substantially the same effect as the provision:</w:t>
      </w:r>
    </w:p>
    <w:p w:rsidR="00042830" w:rsidRPr="004A5227" w:rsidRDefault="00042830" w:rsidP="00042830">
      <w:pPr>
        <w:pStyle w:val="paragraph"/>
      </w:pPr>
      <w:r w:rsidRPr="004A5227">
        <w:tab/>
        <w:t>(a)</w:t>
      </w:r>
      <w:r w:rsidRPr="004A5227">
        <w:tab/>
        <w:t>section</w:t>
      </w:r>
      <w:r w:rsidR="004A5227" w:rsidRPr="004A5227">
        <w:t> </w:t>
      </w:r>
      <w:r w:rsidR="00CA6815" w:rsidRPr="004A5227">
        <w:t>97</w:t>
      </w:r>
      <w:r w:rsidRPr="004A5227">
        <w:t>;</w:t>
      </w:r>
    </w:p>
    <w:p w:rsidR="00042830" w:rsidRPr="004A5227" w:rsidRDefault="00042830" w:rsidP="00042830">
      <w:pPr>
        <w:pStyle w:val="paragraph"/>
      </w:pPr>
      <w:r w:rsidRPr="004A5227">
        <w:tab/>
        <w:t>(b)</w:t>
      </w:r>
      <w:r w:rsidRPr="004A5227">
        <w:tab/>
        <w:t>section</w:t>
      </w:r>
      <w:r w:rsidR="004A5227" w:rsidRPr="004A5227">
        <w:t> </w:t>
      </w:r>
      <w:r w:rsidR="00CA6815" w:rsidRPr="004A5227">
        <w:t>99</w:t>
      </w:r>
      <w:r w:rsidRPr="004A5227">
        <w:t>;</w:t>
      </w:r>
    </w:p>
    <w:p w:rsidR="00042830" w:rsidRPr="004A5227" w:rsidRDefault="00042830" w:rsidP="00042830">
      <w:pPr>
        <w:pStyle w:val="paragraph"/>
      </w:pPr>
      <w:r w:rsidRPr="004A5227">
        <w:tab/>
        <w:t>(c)</w:t>
      </w:r>
      <w:r w:rsidRPr="004A5227">
        <w:tab/>
        <w:t>section</w:t>
      </w:r>
      <w:r w:rsidR="004A5227" w:rsidRPr="004A5227">
        <w:t> </w:t>
      </w:r>
      <w:r w:rsidR="00CA6815" w:rsidRPr="004A5227">
        <w:t>100</w:t>
      </w:r>
      <w:r w:rsidRPr="004A5227">
        <w:t>;</w:t>
      </w:r>
    </w:p>
    <w:p w:rsidR="00042830" w:rsidRPr="004A5227" w:rsidRDefault="00042830" w:rsidP="00042830">
      <w:pPr>
        <w:pStyle w:val="paragraph"/>
      </w:pPr>
      <w:r w:rsidRPr="004A5227">
        <w:tab/>
        <w:t>(d)</w:t>
      </w:r>
      <w:r w:rsidRPr="004A5227">
        <w:tab/>
        <w:t>section</w:t>
      </w:r>
      <w:r w:rsidR="004A5227" w:rsidRPr="004A5227">
        <w:t> </w:t>
      </w:r>
      <w:r w:rsidR="00CA6815" w:rsidRPr="004A5227">
        <w:t>101</w:t>
      </w:r>
      <w:r w:rsidRPr="004A5227">
        <w:t>;</w:t>
      </w:r>
    </w:p>
    <w:p w:rsidR="00042830" w:rsidRPr="004A5227" w:rsidRDefault="00042830" w:rsidP="00042830">
      <w:pPr>
        <w:pStyle w:val="paragraph"/>
      </w:pPr>
      <w:r w:rsidRPr="004A5227">
        <w:tab/>
        <w:t>(e)</w:t>
      </w:r>
      <w:r w:rsidRPr="004A5227">
        <w:tab/>
        <w:t>section</w:t>
      </w:r>
      <w:r w:rsidR="004A5227" w:rsidRPr="004A5227">
        <w:t> </w:t>
      </w:r>
      <w:r w:rsidR="00CA6815" w:rsidRPr="004A5227">
        <w:t>103</w:t>
      </w:r>
      <w:r w:rsidRPr="004A5227">
        <w:t>.</w:t>
      </w:r>
    </w:p>
    <w:p w:rsidR="002720DE" w:rsidRPr="004A5227" w:rsidRDefault="002720DE" w:rsidP="002E3C64">
      <w:pPr>
        <w:pStyle w:val="ActHead1"/>
        <w:pageBreakBefore/>
      </w:pPr>
      <w:bookmarkStart w:id="149" w:name="_Toc413419147"/>
      <w:r w:rsidRPr="004A5227">
        <w:rPr>
          <w:rStyle w:val="CharChapNo"/>
        </w:rPr>
        <w:lastRenderedPageBreak/>
        <w:t>Chapter</w:t>
      </w:r>
      <w:r w:rsidR="004A5227" w:rsidRPr="004A5227">
        <w:rPr>
          <w:rStyle w:val="CharChapNo"/>
        </w:rPr>
        <w:t> </w:t>
      </w:r>
      <w:r w:rsidR="000D4B4E" w:rsidRPr="004A5227">
        <w:rPr>
          <w:rStyle w:val="CharChapNo"/>
        </w:rPr>
        <w:t>10</w:t>
      </w:r>
      <w:r w:rsidRPr="004A5227">
        <w:t>—</w:t>
      </w:r>
      <w:r w:rsidRPr="004A5227">
        <w:rPr>
          <w:rStyle w:val="CharChapText"/>
        </w:rPr>
        <w:t>Number portability</w:t>
      </w:r>
      <w:bookmarkEnd w:id="149"/>
    </w:p>
    <w:p w:rsidR="002720DE" w:rsidRPr="004A5227" w:rsidRDefault="002720DE" w:rsidP="002720DE">
      <w:pPr>
        <w:pStyle w:val="ActHead2"/>
      </w:pPr>
      <w:bookmarkStart w:id="150" w:name="_Toc413419148"/>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Implementation dates</w:t>
      </w:r>
      <w:bookmarkEnd w:id="150"/>
    </w:p>
    <w:p w:rsidR="002720DE" w:rsidRPr="004A5227" w:rsidRDefault="002720DE" w:rsidP="002720DE">
      <w:pPr>
        <w:pStyle w:val="Header"/>
      </w:pPr>
      <w:r w:rsidRPr="004A5227">
        <w:rPr>
          <w:rStyle w:val="CharDivNo"/>
        </w:rPr>
        <w:t xml:space="preserve"> </w:t>
      </w:r>
      <w:r w:rsidRPr="004A5227">
        <w:rPr>
          <w:rStyle w:val="CharDivText"/>
        </w:rPr>
        <w:t xml:space="preserve"> </w:t>
      </w:r>
    </w:p>
    <w:p w:rsidR="002720DE" w:rsidRPr="004A5227" w:rsidRDefault="00CA6815" w:rsidP="002720DE">
      <w:pPr>
        <w:pStyle w:val="ActHead5"/>
      </w:pPr>
      <w:bookmarkStart w:id="151" w:name="_Toc413419149"/>
      <w:r w:rsidRPr="004A5227">
        <w:rPr>
          <w:rStyle w:val="CharSectno"/>
        </w:rPr>
        <w:t>106</w:t>
      </w:r>
      <w:r w:rsidR="002720DE" w:rsidRPr="004A5227">
        <w:t xml:space="preserve">  Determining implementation dates</w:t>
      </w:r>
      <w:bookmarkEnd w:id="151"/>
    </w:p>
    <w:p w:rsidR="002720DE" w:rsidRPr="004A5227" w:rsidRDefault="002720DE" w:rsidP="002720DE">
      <w:pPr>
        <w:pStyle w:val="subsection"/>
      </w:pPr>
      <w:r w:rsidRPr="004A5227">
        <w:tab/>
        <w:t>(1)</w:t>
      </w:r>
      <w:r w:rsidRPr="004A5227">
        <w:tab/>
        <w:t xml:space="preserve">The </w:t>
      </w:r>
      <w:proofErr w:type="spellStart"/>
      <w:r w:rsidRPr="004A5227">
        <w:t>ACMA</w:t>
      </w:r>
      <w:proofErr w:type="spellEnd"/>
      <w:r w:rsidRPr="004A5227">
        <w:t xml:space="preserve"> may determine the date (an </w:t>
      </w:r>
      <w:r w:rsidRPr="004A5227">
        <w:rPr>
          <w:b/>
          <w:i/>
        </w:rPr>
        <w:t>implementation date</w:t>
      </w:r>
      <w:r w:rsidRPr="004A5227">
        <w:t xml:space="preserve">) by which a carrier or carriage service provider must implement number portability for portable services in relation to </w:t>
      </w:r>
      <w:r w:rsidR="0020388B" w:rsidRPr="004A5227">
        <w:t>one</w:t>
      </w:r>
      <w:r w:rsidRPr="004A5227">
        <w:t xml:space="preserve"> or more customers.</w:t>
      </w:r>
    </w:p>
    <w:p w:rsidR="002720DE" w:rsidRPr="004A5227" w:rsidRDefault="002720DE" w:rsidP="002720DE">
      <w:pPr>
        <w:pStyle w:val="subsection"/>
      </w:pPr>
      <w:r w:rsidRPr="004A5227">
        <w:tab/>
        <w:t>(2)</w:t>
      </w:r>
      <w:r w:rsidRPr="004A5227">
        <w:tab/>
        <w:t xml:space="preserve">In making a determination under </w:t>
      </w:r>
      <w:r w:rsidR="004A5227" w:rsidRPr="004A5227">
        <w:t>subsection (</w:t>
      </w:r>
      <w:r w:rsidRPr="004A5227">
        <w:t xml:space="preserve">1), the </w:t>
      </w:r>
      <w:proofErr w:type="spellStart"/>
      <w:r w:rsidRPr="004A5227">
        <w:t>ACMA</w:t>
      </w:r>
      <w:proofErr w:type="spellEnd"/>
      <w:r w:rsidRPr="004A5227">
        <w:t xml:space="preserve"> must have regard to the following matters:</w:t>
      </w:r>
    </w:p>
    <w:p w:rsidR="002720DE" w:rsidRPr="004A5227" w:rsidRDefault="002720DE" w:rsidP="002720DE">
      <w:pPr>
        <w:pStyle w:val="paragraph"/>
      </w:pPr>
      <w:r w:rsidRPr="004A5227">
        <w:tab/>
        <w:t>(a)</w:t>
      </w:r>
      <w:r w:rsidRPr="004A5227">
        <w:tab/>
        <w:t>the network capacity of the carrier or carriage service provider;</w:t>
      </w:r>
    </w:p>
    <w:p w:rsidR="002720DE" w:rsidRPr="004A5227" w:rsidRDefault="002720DE" w:rsidP="002720DE">
      <w:pPr>
        <w:pStyle w:val="paragraph"/>
      </w:pPr>
      <w:r w:rsidRPr="004A5227">
        <w:tab/>
        <w:t>(b)</w:t>
      </w:r>
      <w:r w:rsidRPr="004A5227">
        <w:tab/>
        <w:t>the support systems available to the carrier or carriage service provider;</w:t>
      </w:r>
    </w:p>
    <w:p w:rsidR="002720DE" w:rsidRPr="004A5227" w:rsidRDefault="002720DE" w:rsidP="002720DE">
      <w:pPr>
        <w:pStyle w:val="paragraph"/>
      </w:pPr>
      <w:r w:rsidRPr="004A5227">
        <w:tab/>
        <w:t>(c)</w:t>
      </w:r>
      <w:r w:rsidRPr="004A5227">
        <w:tab/>
        <w:t>other matters that are relevant to giving effect to number portability.</w:t>
      </w:r>
    </w:p>
    <w:p w:rsidR="002720DE" w:rsidRPr="004A5227" w:rsidRDefault="00CA6815" w:rsidP="002720DE">
      <w:pPr>
        <w:pStyle w:val="ActHead5"/>
      </w:pPr>
      <w:bookmarkStart w:id="152" w:name="_Toc413419150"/>
      <w:r w:rsidRPr="004A5227">
        <w:rPr>
          <w:rStyle w:val="CharSectno"/>
        </w:rPr>
        <w:t>107</w:t>
      </w:r>
      <w:r w:rsidR="002720DE" w:rsidRPr="004A5227">
        <w:t xml:space="preserve">  Public notice period for implementation date</w:t>
      </w:r>
      <w:bookmarkEnd w:id="152"/>
    </w:p>
    <w:p w:rsidR="002720DE" w:rsidRPr="004A5227" w:rsidRDefault="002720DE" w:rsidP="002720DE">
      <w:pPr>
        <w:pStyle w:val="subsection"/>
      </w:pPr>
      <w:r w:rsidRPr="004A5227">
        <w:tab/>
      </w:r>
      <w:r w:rsidRPr="004A5227">
        <w:tab/>
        <w:t xml:space="preserve">At least 44 business days before an implementation date, the </w:t>
      </w:r>
      <w:proofErr w:type="spellStart"/>
      <w:r w:rsidRPr="004A5227">
        <w:t>ACMA</w:t>
      </w:r>
      <w:proofErr w:type="spellEnd"/>
      <w:r w:rsidRPr="004A5227">
        <w:t xml:space="preserve"> must cause to be published on the </w:t>
      </w:r>
      <w:proofErr w:type="spellStart"/>
      <w:r w:rsidRPr="004A5227">
        <w:t>ACMA’s</w:t>
      </w:r>
      <w:proofErr w:type="spellEnd"/>
      <w:r w:rsidRPr="004A5227">
        <w:t xml:space="preserve"> website a notice stating:</w:t>
      </w:r>
    </w:p>
    <w:p w:rsidR="002720DE" w:rsidRPr="004A5227" w:rsidRDefault="002720DE" w:rsidP="002720DE">
      <w:pPr>
        <w:pStyle w:val="paragraph"/>
      </w:pPr>
      <w:r w:rsidRPr="004A5227">
        <w:tab/>
        <w:t>(a)</w:t>
      </w:r>
      <w:r w:rsidRPr="004A5227">
        <w:tab/>
        <w:t>the implementation date; and</w:t>
      </w:r>
    </w:p>
    <w:p w:rsidR="002720DE" w:rsidRPr="004A5227" w:rsidRDefault="002720DE" w:rsidP="002720DE">
      <w:pPr>
        <w:pStyle w:val="paragraph"/>
      </w:pPr>
      <w:r w:rsidRPr="004A5227">
        <w:tab/>
        <w:t>(b)</w:t>
      </w:r>
      <w:r w:rsidRPr="004A5227">
        <w:tab/>
        <w:t>the portable services to which the implementation date relates.</w:t>
      </w:r>
    </w:p>
    <w:p w:rsidR="002720DE" w:rsidRPr="004A5227" w:rsidRDefault="00CA6815" w:rsidP="002720DE">
      <w:pPr>
        <w:pStyle w:val="ActHead5"/>
      </w:pPr>
      <w:bookmarkStart w:id="153" w:name="_Toc413419151"/>
      <w:r w:rsidRPr="004A5227">
        <w:rPr>
          <w:rStyle w:val="CharSectno"/>
        </w:rPr>
        <w:t>108</w:t>
      </w:r>
      <w:r w:rsidR="002720DE" w:rsidRPr="004A5227">
        <w:t xml:space="preserve">  Application of Chapter to carriage service providers and carriers</w:t>
      </w:r>
      <w:bookmarkEnd w:id="153"/>
    </w:p>
    <w:p w:rsidR="002720DE" w:rsidRPr="004A5227" w:rsidRDefault="002720DE" w:rsidP="002720DE">
      <w:pPr>
        <w:pStyle w:val="subsection"/>
      </w:pPr>
      <w:r w:rsidRPr="004A5227">
        <w:tab/>
      </w:r>
      <w:r w:rsidRPr="004A5227">
        <w:tab/>
        <w:t>The obligations under this Chapter imposed on a carriage service provider or carrier in relation to a portable number apply on and after the implementation date for the portable service to which the number relates.</w:t>
      </w:r>
    </w:p>
    <w:p w:rsidR="002720DE" w:rsidRPr="004A5227" w:rsidRDefault="002720DE" w:rsidP="002720DE">
      <w:pPr>
        <w:pStyle w:val="ActHead2"/>
        <w:pageBreakBefore/>
      </w:pPr>
      <w:bookmarkStart w:id="154" w:name="_Toc413419152"/>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Providing portability</w:t>
      </w:r>
      <w:bookmarkEnd w:id="154"/>
    </w:p>
    <w:p w:rsidR="009A4D8F" w:rsidRPr="004A5227" w:rsidRDefault="009A4D8F" w:rsidP="009A4D8F">
      <w:pPr>
        <w:pStyle w:val="Header"/>
      </w:pPr>
      <w:r w:rsidRPr="004A5227">
        <w:rPr>
          <w:rStyle w:val="CharDivNo"/>
        </w:rPr>
        <w:t xml:space="preserve"> </w:t>
      </w:r>
      <w:r w:rsidRPr="004A5227">
        <w:rPr>
          <w:rStyle w:val="CharDivText"/>
        </w:rPr>
        <w:t xml:space="preserve"> </w:t>
      </w:r>
    </w:p>
    <w:p w:rsidR="002720DE" w:rsidRPr="004A5227" w:rsidRDefault="00CA6815" w:rsidP="002720DE">
      <w:pPr>
        <w:pStyle w:val="ActHead5"/>
      </w:pPr>
      <w:bookmarkStart w:id="155" w:name="_Toc413419153"/>
      <w:r w:rsidRPr="004A5227">
        <w:rPr>
          <w:rStyle w:val="CharSectno"/>
        </w:rPr>
        <w:t>109</w:t>
      </w:r>
      <w:r w:rsidR="002720DE" w:rsidRPr="004A5227">
        <w:t xml:space="preserve">  Technical capability and technology</w:t>
      </w:r>
      <w:bookmarkEnd w:id="155"/>
    </w:p>
    <w:p w:rsidR="002720DE" w:rsidRPr="004A5227" w:rsidRDefault="002720DE" w:rsidP="002720DE">
      <w:pPr>
        <w:pStyle w:val="subsection"/>
      </w:pPr>
      <w:r w:rsidRPr="004A5227">
        <w:tab/>
      </w:r>
      <w:r w:rsidRPr="004A5227">
        <w:tab/>
        <w:t>A carriage service provider or carrier that is involved with providing a portable service must ensure that:</w:t>
      </w:r>
    </w:p>
    <w:p w:rsidR="002720DE" w:rsidRPr="004A5227" w:rsidRDefault="002720DE" w:rsidP="002720DE">
      <w:pPr>
        <w:pStyle w:val="paragraph"/>
      </w:pPr>
      <w:r w:rsidRPr="004A5227">
        <w:tab/>
        <w:t>(a)</w:t>
      </w:r>
      <w:r w:rsidRPr="004A5227">
        <w:tab/>
        <w:t>it has the technical capability required to give effect to number portability for the portable service; and</w:t>
      </w:r>
    </w:p>
    <w:p w:rsidR="002720DE" w:rsidRPr="004A5227" w:rsidRDefault="002720DE" w:rsidP="002720DE">
      <w:pPr>
        <w:pStyle w:val="paragraph"/>
      </w:pPr>
      <w:r w:rsidRPr="004A5227">
        <w:tab/>
        <w:t>(b)</w:t>
      </w:r>
      <w:r w:rsidRPr="004A5227">
        <w:tab/>
        <w:t xml:space="preserve">it has technology available for use within its network to give effect to the requirements of </w:t>
      </w:r>
      <w:r w:rsidR="006F7CD2" w:rsidRPr="004A5227">
        <w:t>this instrument</w:t>
      </w:r>
      <w:r w:rsidRPr="004A5227">
        <w:t xml:space="preserve"> relating to number portability in a way that provides equivalent service and enables end</w:t>
      </w:r>
      <w:r w:rsidR="004A5227">
        <w:noBreakHyphen/>
      </w:r>
      <w:r w:rsidRPr="004A5227">
        <w:t>to</w:t>
      </w:r>
      <w:r w:rsidR="004A5227">
        <w:noBreakHyphen/>
      </w:r>
      <w:r w:rsidRPr="004A5227">
        <w:t>end connectivity.</w:t>
      </w:r>
    </w:p>
    <w:p w:rsidR="002720DE" w:rsidRPr="004A5227" w:rsidRDefault="00CA6815" w:rsidP="002720DE">
      <w:pPr>
        <w:pStyle w:val="ActHead5"/>
      </w:pPr>
      <w:bookmarkStart w:id="156" w:name="_Toc413419154"/>
      <w:r w:rsidRPr="004A5227">
        <w:rPr>
          <w:rStyle w:val="CharSectno"/>
        </w:rPr>
        <w:t>110</w:t>
      </w:r>
      <w:r w:rsidR="002720DE" w:rsidRPr="004A5227">
        <w:t xml:space="preserve">  Meaning of </w:t>
      </w:r>
      <w:r w:rsidR="002720DE" w:rsidRPr="004A5227">
        <w:rPr>
          <w:i/>
        </w:rPr>
        <w:t>equivalent service</w:t>
      </w:r>
      <w:bookmarkEnd w:id="156"/>
    </w:p>
    <w:p w:rsidR="002720DE" w:rsidRPr="004A5227" w:rsidRDefault="002720DE" w:rsidP="002720DE">
      <w:pPr>
        <w:pStyle w:val="subsection"/>
      </w:pPr>
      <w:r w:rsidRPr="004A5227">
        <w:tab/>
      </w:r>
      <w:r w:rsidR="00F679EA" w:rsidRPr="004A5227">
        <w:t>(1)</w:t>
      </w:r>
      <w:r w:rsidRPr="004A5227">
        <w:tab/>
        <w:t xml:space="preserve">A carriage service provider provides an </w:t>
      </w:r>
      <w:r w:rsidRPr="004A5227">
        <w:rPr>
          <w:b/>
          <w:i/>
        </w:rPr>
        <w:t>equivalent service</w:t>
      </w:r>
      <w:r w:rsidRPr="004A5227">
        <w:t xml:space="preserve"> in relation to a ported number only if any differences in quality, reliability, service or features, between that service and the service provided by the carriage service provider in relation to a number that has not been ported, are not apparent to end</w:t>
      </w:r>
      <w:r w:rsidR="004A5227">
        <w:noBreakHyphen/>
      </w:r>
      <w:r w:rsidRPr="004A5227">
        <w:t>users using or calling the ported number to the extent that they might affect a person’s choice of carriage service provider.</w:t>
      </w:r>
    </w:p>
    <w:p w:rsidR="00F679EA" w:rsidRPr="004A5227" w:rsidRDefault="00F679EA" w:rsidP="00F679EA">
      <w:pPr>
        <w:pStyle w:val="subsection"/>
      </w:pPr>
      <w:r w:rsidRPr="004A5227">
        <w:tab/>
        <w:t>(2)</w:t>
      </w:r>
      <w:r w:rsidRPr="004A5227">
        <w:tab/>
        <w:t>In determining whether a carriage service is an equivalent service, regard may be had to the following matters:</w:t>
      </w:r>
    </w:p>
    <w:p w:rsidR="00F679EA" w:rsidRPr="004A5227" w:rsidRDefault="00F679EA" w:rsidP="00F679EA">
      <w:pPr>
        <w:pStyle w:val="paragraph"/>
      </w:pPr>
      <w:r w:rsidRPr="004A5227">
        <w:tab/>
        <w:t>(a)</w:t>
      </w:r>
      <w:r w:rsidRPr="004A5227">
        <w:tab/>
        <w:t xml:space="preserve">any relevant criteria that have been specified by the </w:t>
      </w:r>
      <w:proofErr w:type="spellStart"/>
      <w:r w:rsidRPr="004A5227">
        <w:t>ACMA</w:t>
      </w:r>
      <w:proofErr w:type="spellEnd"/>
      <w:r w:rsidRPr="004A5227">
        <w:t xml:space="preserve"> for the purpose of identifying an equivalent service;</w:t>
      </w:r>
    </w:p>
    <w:p w:rsidR="00F679EA" w:rsidRPr="004A5227" w:rsidRDefault="00F679EA" w:rsidP="00F679EA">
      <w:pPr>
        <w:pStyle w:val="paragraph"/>
      </w:pPr>
      <w:r w:rsidRPr="004A5227">
        <w:tab/>
        <w:t>(b)</w:t>
      </w:r>
      <w:r w:rsidRPr="004A5227">
        <w:tab/>
        <w:t>the network capacity of the carriage service providers and carriers concerned;</w:t>
      </w:r>
    </w:p>
    <w:p w:rsidR="00F679EA" w:rsidRPr="004A5227" w:rsidRDefault="00F679EA" w:rsidP="00F679EA">
      <w:pPr>
        <w:pStyle w:val="paragraph"/>
      </w:pPr>
      <w:r w:rsidRPr="004A5227">
        <w:tab/>
        <w:t>(c)</w:t>
      </w:r>
      <w:r w:rsidRPr="004A5227">
        <w:tab/>
        <w:t>the support systems available to carriers and carriage service providers;</w:t>
      </w:r>
    </w:p>
    <w:p w:rsidR="00F679EA" w:rsidRPr="004A5227" w:rsidRDefault="00F679EA" w:rsidP="00F679EA">
      <w:pPr>
        <w:pStyle w:val="paragraph"/>
      </w:pPr>
      <w:r w:rsidRPr="004A5227">
        <w:tab/>
        <w:t>(d)</w:t>
      </w:r>
      <w:r w:rsidRPr="004A5227">
        <w:tab/>
        <w:t>any other matters relevant to providing number portability.</w:t>
      </w:r>
    </w:p>
    <w:p w:rsidR="002720DE" w:rsidRPr="004A5227" w:rsidRDefault="00CA6815" w:rsidP="002720DE">
      <w:pPr>
        <w:pStyle w:val="ActHead5"/>
      </w:pPr>
      <w:bookmarkStart w:id="157" w:name="_Toc413419155"/>
      <w:r w:rsidRPr="004A5227">
        <w:rPr>
          <w:rStyle w:val="CharSectno"/>
        </w:rPr>
        <w:t>111</w:t>
      </w:r>
      <w:r w:rsidR="002720DE" w:rsidRPr="004A5227">
        <w:t xml:space="preserve">  Obligation to provide number portability to customers</w:t>
      </w:r>
      <w:bookmarkEnd w:id="157"/>
    </w:p>
    <w:p w:rsidR="002720DE" w:rsidRPr="004A5227" w:rsidRDefault="002720DE" w:rsidP="002720DE">
      <w:pPr>
        <w:pStyle w:val="subsection"/>
      </w:pPr>
      <w:r w:rsidRPr="004A5227">
        <w:tab/>
        <w:t>(1)</w:t>
      </w:r>
      <w:r w:rsidRPr="004A5227">
        <w:tab/>
        <w:t xml:space="preserve">A carriage service provider or carrier that is involved with providing a portable service to a customer must ensure that the customer is able to exercise </w:t>
      </w:r>
      <w:r w:rsidR="00EB6A38" w:rsidRPr="004A5227">
        <w:t>the customer’s</w:t>
      </w:r>
      <w:r w:rsidRPr="004A5227">
        <w:t xml:space="preserve"> rights in relation to number portability.</w:t>
      </w:r>
    </w:p>
    <w:p w:rsidR="002720DE" w:rsidRPr="004A5227" w:rsidRDefault="002720DE" w:rsidP="002720DE">
      <w:pPr>
        <w:pStyle w:val="subsection"/>
      </w:pPr>
      <w:r w:rsidRPr="004A5227">
        <w:tab/>
        <w:t>(2)</w:t>
      </w:r>
      <w:r w:rsidRPr="004A5227">
        <w:tab/>
        <w:t>The carriage service provider or carrier must do everything that is necessary to port the customer’s number to another carriage service provider or carrier if the other carriage service provider or carrier asks, at the customer’s request, for the number to be ported.</w:t>
      </w:r>
    </w:p>
    <w:p w:rsidR="002720DE" w:rsidRPr="004A5227" w:rsidRDefault="002720DE" w:rsidP="002720DE">
      <w:pPr>
        <w:pStyle w:val="subsection"/>
      </w:pPr>
      <w:r w:rsidRPr="004A5227">
        <w:tab/>
        <w:t>(</w:t>
      </w:r>
      <w:r w:rsidR="00250104" w:rsidRPr="004A5227">
        <w:t>3</w:t>
      </w:r>
      <w:r w:rsidRPr="004A5227">
        <w:t>)</w:t>
      </w:r>
      <w:r w:rsidRPr="004A5227">
        <w:tab/>
        <w:t>The carriage service provider or carrier must port the number:</w:t>
      </w:r>
    </w:p>
    <w:p w:rsidR="002720DE" w:rsidRPr="004A5227" w:rsidRDefault="002720DE" w:rsidP="002720DE">
      <w:pPr>
        <w:pStyle w:val="paragraph"/>
      </w:pPr>
      <w:r w:rsidRPr="004A5227">
        <w:tab/>
        <w:t>(a)</w:t>
      </w:r>
      <w:r w:rsidRPr="004A5227">
        <w:tab/>
        <w:t>if a time is agreed with the customer or the new carriage service provider or carrier—at the agreed time; or</w:t>
      </w:r>
    </w:p>
    <w:p w:rsidR="002720DE" w:rsidRPr="004A5227" w:rsidRDefault="002720DE" w:rsidP="002720DE">
      <w:pPr>
        <w:pStyle w:val="paragraph"/>
      </w:pPr>
      <w:r w:rsidRPr="004A5227">
        <w:tab/>
        <w:t>(b)</w:t>
      </w:r>
      <w:r w:rsidRPr="004A5227">
        <w:tab/>
        <w:t xml:space="preserve">if no time is agreed but a determination made under </w:t>
      </w:r>
      <w:r w:rsidR="004A5227" w:rsidRPr="004A5227">
        <w:t>subsection (</w:t>
      </w:r>
      <w:r w:rsidR="007F4286" w:rsidRPr="004A5227">
        <w:t>5</w:t>
      </w:r>
      <w:r w:rsidRPr="004A5227">
        <w:t xml:space="preserve">) applies—within the period determined by the </w:t>
      </w:r>
      <w:proofErr w:type="spellStart"/>
      <w:r w:rsidRPr="004A5227">
        <w:t>ACMA</w:t>
      </w:r>
      <w:proofErr w:type="spellEnd"/>
      <w:r w:rsidRPr="004A5227">
        <w:t>; or</w:t>
      </w:r>
    </w:p>
    <w:p w:rsidR="002720DE" w:rsidRPr="004A5227" w:rsidRDefault="002720DE" w:rsidP="002720DE">
      <w:pPr>
        <w:pStyle w:val="paragraph"/>
      </w:pPr>
      <w:r w:rsidRPr="004A5227">
        <w:tab/>
        <w:t>(c)</w:t>
      </w:r>
      <w:r w:rsidRPr="004A5227">
        <w:tab/>
        <w:t xml:space="preserve">if </w:t>
      </w:r>
      <w:r w:rsidR="004A5227" w:rsidRPr="004A5227">
        <w:t>paragraphs (</w:t>
      </w:r>
      <w:r w:rsidRPr="004A5227">
        <w:t>a) and (b) do not apply, but a registered industry code applying to the carriage service provider or carrier determines the period within which the number must be ported—within th</w:t>
      </w:r>
      <w:r w:rsidR="0020388B" w:rsidRPr="004A5227">
        <w:t>at</w:t>
      </w:r>
      <w:r w:rsidRPr="004A5227">
        <w:t xml:space="preserve"> period; or</w:t>
      </w:r>
    </w:p>
    <w:p w:rsidR="002720DE" w:rsidRPr="004A5227" w:rsidRDefault="002720DE" w:rsidP="002720DE">
      <w:pPr>
        <w:pStyle w:val="paragraph"/>
      </w:pPr>
      <w:r w:rsidRPr="004A5227">
        <w:lastRenderedPageBreak/>
        <w:tab/>
        <w:t>(d)</w:t>
      </w:r>
      <w:r w:rsidRPr="004A5227">
        <w:tab/>
        <w:t>in any other case—as soon as practicable.</w:t>
      </w:r>
    </w:p>
    <w:p w:rsidR="002720DE" w:rsidRPr="004A5227" w:rsidRDefault="002720DE" w:rsidP="002720DE">
      <w:pPr>
        <w:pStyle w:val="subsection"/>
      </w:pPr>
      <w:r w:rsidRPr="004A5227">
        <w:tab/>
        <w:t>(</w:t>
      </w:r>
      <w:r w:rsidR="00250104" w:rsidRPr="004A5227">
        <w:t>4</w:t>
      </w:r>
      <w:r w:rsidRPr="004A5227">
        <w:t>)</w:t>
      </w:r>
      <w:r w:rsidRPr="004A5227">
        <w:tab/>
        <w:t>The carriage service provider or carrier must ensure that no action or inaction on its part prevents the customer from keeping the same portable number when changing to the new provider or carrier.</w:t>
      </w:r>
    </w:p>
    <w:p w:rsidR="002720DE" w:rsidRPr="004A5227" w:rsidRDefault="002720DE" w:rsidP="002720DE">
      <w:pPr>
        <w:pStyle w:val="subsection"/>
      </w:pPr>
      <w:r w:rsidRPr="004A5227">
        <w:tab/>
        <w:t>(</w:t>
      </w:r>
      <w:r w:rsidR="00250104" w:rsidRPr="004A5227">
        <w:t>5</w:t>
      </w:r>
      <w:r w:rsidRPr="004A5227">
        <w:t>)</w:t>
      </w:r>
      <w:r w:rsidRPr="004A5227">
        <w:tab/>
        <w:t xml:space="preserve">The </w:t>
      </w:r>
      <w:proofErr w:type="spellStart"/>
      <w:r w:rsidRPr="004A5227">
        <w:t>ACMA</w:t>
      </w:r>
      <w:proofErr w:type="spellEnd"/>
      <w:r w:rsidRPr="004A5227">
        <w:t xml:space="preserve"> may determine, in relation to a particular case or a class of cases, the period of time after a request within which a number must be ported.</w:t>
      </w:r>
    </w:p>
    <w:p w:rsidR="002720DE" w:rsidRPr="004A5227" w:rsidRDefault="002720DE" w:rsidP="002720DE">
      <w:pPr>
        <w:pStyle w:val="subsection"/>
      </w:pPr>
      <w:r w:rsidRPr="004A5227">
        <w:tab/>
        <w:t>(</w:t>
      </w:r>
      <w:r w:rsidR="00250104" w:rsidRPr="004A5227">
        <w:t>6</w:t>
      </w:r>
      <w:r w:rsidRPr="004A5227">
        <w:t>)</w:t>
      </w:r>
      <w:r w:rsidRPr="004A5227">
        <w:tab/>
        <w:t xml:space="preserve">In making a determination, the </w:t>
      </w:r>
      <w:proofErr w:type="spellStart"/>
      <w:r w:rsidRPr="004A5227">
        <w:t>ACMA</w:t>
      </w:r>
      <w:proofErr w:type="spellEnd"/>
      <w:r w:rsidRPr="004A5227">
        <w:t xml:space="preserve"> must have regard to the following:</w:t>
      </w:r>
    </w:p>
    <w:p w:rsidR="002720DE" w:rsidRPr="004A5227" w:rsidRDefault="002720DE" w:rsidP="002720DE">
      <w:pPr>
        <w:pStyle w:val="paragraph"/>
      </w:pPr>
      <w:r w:rsidRPr="004A5227">
        <w:tab/>
        <w:t>(a)</w:t>
      </w:r>
      <w:r w:rsidRPr="004A5227">
        <w:tab/>
        <w:t>the network capacity of the carriage service providers and carriers concerned;</w:t>
      </w:r>
    </w:p>
    <w:p w:rsidR="002720DE" w:rsidRPr="004A5227" w:rsidRDefault="002720DE" w:rsidP="002720DE">
      <w:pPr>
        <w:pStyle w:val="paragraph"/>
      </w:pPr>
      <w:r w:rsidRPr="004A5227">
        <w:tab/>
        <w:t>(b)</w:t>
      </w:r>
      <w:r w:rsidRPr="004A5227">
        <w:tab/>
        <w:t>the support systems available to the carriage service providers and carriers concerned;</w:t>
      </w:r>
    </w:p>
    <w:p w:rsidR="002720DE" w:rsidRPr="004A5227" w:rsidRDefault="002720DE" w:rsidP="002720DE">
      <w:pPr>
        <w:pStyle w:val="paragraph"/>
      </w:pPr>
      <w:r w:rsidRPr="004A5227">
        <w:tab/>
        <w:t>(c)</w:t>
      </w:r>
      <w:r w:rsidRPr="004A5227">
        <w:tab/>
        <w:t>any other matters relevant to ensure that customers are able to exercise their rights in relation to number portability.</w:t>
      </w:r>
    </w:p>
    <w:p w:rsidR="002720DE" w:rsidRPr="004A5227" w:rsidRDefault="00CA6815" w:rsidP="002720DE">
      <w:pPr>
        <w:pStyle w:val="ActHead5"/>
      </w:pPr>
      <w:bookmarkStart w:id="158" w:name="_Toc413419156"/>
      <w:r w:rsidRPr="004A5227">
        <w:rPr>
          <w:rStyle w:val="CharSectno"/>
        </w:rPr>
        <w:t>112</w:t>
      </w:r>
      <w:r w:rsidR="002720DE" w:rsidRPr="004A5227">
        <w:t xml:space="preserve">  Obligation to ensure that equivalent service is provided</w:t>
      </w:r>
      <w:bookmarkEnd w:id="158"/>
    </w:p>
    <w:p w:rsidR="002720DE" w:rsidRPr="004A5227" w:rsidRDefault="002720DE" w:rsidP="002720DE">
      <w:pPr>
        <w:pStyle w:val="subsection"/>
      </w:pPr>
      <w:r w:rsidRPr="004A5227">
        <w:tab/>
        <w:t>(1)</w:t>
      </w:r>
      <w:r w:rsidRPr="004A5227">
        <w:tab/>
        <w:t>A carriage service provider must provide an equivalent service to a person to whom a ported number has been issued, to the extent that it is within the carriage service provider’s control.</w:t>
      </w:r>
    </w:p>
    <w:p w:rsidR="002720DE" w:rsidRPr="004A5227" w:rsidRDefault="002720DE" w:rsidP="002720DE">
      <w:pPr>
        <w:pStyle w:val="subsection"/>
      </w:pPr>
      <w:r w:rsidRPr="004A5227">
        <w:tab/>
        <w:t>(2)</w:t>
      </w:r>
      <w:r w:rsidRPr="004A5227">
        <w:tab/>
        <w:t>A carriage service provider or carrier involved in routing a call to or from a ported number must, to the extent that it is within the carriage service provider’s or carrier’s control, ensure that:</w:t>
      </w:r>
    </w:p>
    <w:p w:rsidR="002720DE" w:rsidRPr="004A5227" w:rsidRDefault="002720DE" w:rsidP="002720DE">
      <w:pPr>
        <w:pStyle w:val="paragraph"/>
      </w:pPr>
      <w:r w:rsidRPr="004A5227">
        <w:tab/>
        <w:t>(a)</w:t>
      </w:r>
      <w:r w:rsidRPr="004A5227">
        <w:tab/>
        <w:t>no action or inaction prevents the carriage service provider from providing an equivalent service, in relation to the ported number, to the customer to whom the ported number has been issued; and</w:t>
      </w:r>
    </w:p>
    <w:p w:rsidR="002720DE" w:rsidRPr="004A5227" w:rsidRDefault="002720DE" w:rsidP="002720DE">
      <w:pPr>
        <w:pStyle w:val="paragraph"/>
      </w:pPr>
      <w:r w:rsidRPr="004A5227">
        <w:tab/>
        <w:t>(b)</w:t>
      </w:r>
      <w:r w:rsidRPr="004A5227">
        <w:tab/>
        <w:t>no action or inaction prevents an end</w:t>
      </w:r>
      <w:r w:rsidR="004A5227">
        <w:noBreakHyphen/>
      </w:r>
      <w:r w:rsidRPr="004A5227">
        <w:t>user, when using or calling the ported number, from receiving a carriage service that is an equivalent service.</w:t>
      </w:r>
    </w:p>
    <w:p w:rsidR="002720DE" w:rsidRPr="004A5227" w:rsidRDefault="00CA6815" w:rsidP="00F679EA">
      <w:pPr>
        <w:pStyle w:val="ActHead5"/>
      </w:pPr>
      <w:bookmarkStart w:id="159" w:name="_Toc413419157"/>
      <w:r w:rsidRPr="004A5227">
        <w:rPr>
          <w:rStyle w:val="CharSectno"/>
        </w:rPr>
        <w:t>113</w:t>
      </w:r>
      <w:r w:rsidR="002720DE" w:rsidRPr="004A5227">
        <w:t xml:space="preserve">  Routing arrangements</w:t>
      </w:r>
      <w:bookmarkEnd w:id="159"/>
    </w:p>
    <w:p w:rsidR="002720DE" w:rsidRPr="004A5227" w:rsidRDefault="002720DE" w:rsidP="002720DE">
      <w:pPr>
        <w:pStyle w:val="subsection"/>
      </w:pPr>
      <w:r w:rsidRPr="004A5227">
        <w:tab/>
        <w:t>(1)</w:t>
      </w:r>
      <w:r w:rsidRPr="004A5227">
        <w:tab/>
        <w:t>A carriage service provider or carrier must not prevent, by its action or inaction in routing calls to or from a ported number, the provision of an equivalent service in relation to the number.</w:t>
      </w:r>
    </w:p>
    <w:p w:rsidR="002720DE" w:rsidRPr="004A5227" w:rsidRDefault="002720DE" w:rsidP="002720DE">
      <w:pPr>
        <w:pStyle w:val="subsection"/>
      </w:pPr>
      <w:r w:rsidRPr="004A5227">
        <w:tab/>
        <w:t>(2)</w:t>
      </w:r>
      <w:r w:rsidRPr="004A5227">
        <w:tab/>
        <w:t xml:space="preserve">If a carriage service provider or carrier has </w:t>
      </w:r>
      <w:r w:rsidRPr="004A5227">
        <w:rPr>
          <w:b/>
          <w:i/>
        </w:rPr>
        <w:t xml:space="preserve">routing responsibility </w:t>
      </w:r>
      <w:r w:rsidRPr="004A5227">
        <w:t>in relation to a call to a portable number, the carriage service provider or carrier must enable call completion to the number by:</w:t>
      </w:r>
    </w:p>
    <w:p w:rsidR="002720DE" w:rsidRPr="004A5227" w:rsidRDefault="002720DE" w:rsidP="002720DE">
      <w:pPr>
        <w:pStyle w:val="paragraph"/>
      </w:pPr>
      <w:r w:rsidRPr="004A5227">
        <w:tab/>
        <w:t>(a)</w:t>
      </w:r>
      <w:r w:rsidRPr="004A5227">
        <w:tab/>
        <w:t>routing the call appropriately; or</w:t>
      </w:r>
    </w:p>
    <w:p w:rsidR="002720DE" w:rsidRPr="004A5227" w:rsidRDefault="002720DE" w:rsidP="002720DE">
      <w:pPr>
        <w:pStyle w:val="paragraph"/>
      </w:pPr>
      <w:r w:rsidRPr="004A5227">
        <w:tab/>
        <w:t>(b)</w:t>
      </w:r>
      <w:r w:rsidRPr="004A5227">
        <w:tab/>
        <w:t>ensuring correct routing of the call</w:t>
      </w:r>
      <w:r w:rsidR="000D7FA0" w:rsidRPr="004A5227">
        <w:t>s</w:t>
      </w:r>
      <w:r w:rsidRPr="004A5227">
        <w:t xml:space="preserve"> to the appropriate carriage service provider or carrier for call</w:t>
      </w:r>
      <w:r w:rsidR="00EB62E7" w:rsidRPr="004A5227">
        <w:t>s</w:t>
      </w:r>
      <w:r w:rsidRPr="004A5227">
        <w:t xml:space="preserve"> to the number.</w:t>
      </w:r>
    </w:p>
    <w:p w:rsidR="002720DE" w:rsidRPr="004A5227" w:rsidRDefault="002720DE" w:rsidP="002720DE">
      <w:pPr>
        <w:pStyle w:val="subsection"/>
      </w:pPr>
      <w:r w:rsidRPr="004A5227">
        <w:tab/>
        <w:t>(3)</w:t>
      </w:r>
      <w:r w:rsidRPr="004A5227">
        <w:tab/>
        <w:t xml:space="preserve">The originating access carriage service provider has routing responsibility in relation to a call to a portable number except to the extent that one of </w:t>
      </w:r>
      <w:r w:rsidR="004A5227" w:rsidRPr="004A5227">
        <w:t>subsections (</w:t>
      </w:r>
      <w:r w:rsidRPr="004A5227">
        <w:t>4) to (7) applies.</w:t>
      </w:r>
    </w:p>
    <w:p w:rsidR="002720DE" w:rsidRPr="004A5227" w:rsidRDefault="002720DE" w:rsidP="002720DE">
      <w:pPr>
        <w:pStyle w:val="subsection"/>
      </w:pPr>
      <w:r w:rsidRPr="004A5227">
        <w:tab/>
        <w:t>(4)</w:t>
      </w:r>
      <w:r w:rsidRPr="004A5227">
        <w:tab/>
        <w:t xml:space="preserve">If </w:t>
      </w:r>
      <w:proofErr w:type="spellStart"/>
      <w:r w:rsidRPr="004A5227">
        <w:t>preselection</w:t>
      </w:r>
      <w:proofErr w:type="spellEnd"/>
      <w:r w:rsidRPr="004A5227">
        <w:t xml:space="preserve"> of a carriage service provider, or use of a </w:t>
      </w:r>
      <w:r w:rsidR="0017435B" w:rsidRPr="004A5227">
        <w:t>carriage service provider identification code</w:t>
      </w:r>
      <w:r w:rsidRPr="004A5227">
        <w:t>, was applied to the call, the calling party’s preselected carriage service provider has routing responsibility.</w:t>
      </w:r>
    </w:p>
    <w:p w:rsidR="002720DE" w:rsidRPr="004A5227" w:rsidRDefault="002720DE" w:rsidP="002720DE">
      <w:pPr>
        <w:pStyle w:val="subsection"/>
      </w:pPr>
      <w:r w:rsidRPr="004A5227">
        <w:lastRenderedPageBreak/>
        <w:tab/>
        <w:t>(5)</w:t>
      </w:r>
      <w:r w:rsidRPr="004A5227">
        <w:tab/>
        <w:t>If the call originated outside Australia, the first carriage service provider or carrier in Australia receiving the call has routing responsibility.</w:t>
      </w:r>
    </w:p>
    <w:p w:rsidR="002720DE" w:rsidRPr="004A5227" w:rsidRDefault="002720DE" w:rsidP="002720DE">
      <w:pPr>
        <w:pStyle w:val="subsection"/>
      </w:pPr>
      <w:r w:rsidRPr="004A5227">
        <w:tab/>
        <w:t>(6)</w:t>
      </w:r>
      <w:r w:rsidRPr="004A5227">
        <w:tab/>
        <w:t xml:space="preserve">If the call involves number translation from the dialled number to the appropriate network address to enable correct routing (for example, in connection with the supply of a </w:t>
      </w:r>
      <w:proofErr w:type="spellStart"/>
      <w:r w:rsidRPr="004A5227">
        <w:t>freephone</w:t>
      </w:r>
      <w:proofErr w:type="spellEnd"/>
      <w:r w:rsidRPr="004A5227">
        <w:t xml:space="preserve"> or local rate service), the carriage service provider or carrier providing the translation service has routing responsibility from the point at which the translation is applied.</w:t>
      </w:r>
    </w:p>
    <w:p w:rsidR="002720DE" w:rsidRPr="004A5227" w:rsidRDefault="002720DE" w:rsidP="002720DE">
      <w:pPr>
        <w:pStyle w:val="subsection"/>
      </w:pPr>
      <w:r w:rsidRPr="004A5227">
        <w:tab/>
        <w:t>(7)</w:t>
      </w:r>
      <w:r w:rsidRPr="004A5227">
        <w:tab/>
        <w:t>If the call is being diverted from one number to another, the carriage service provider or carrier providing the diversion service has routing responsibility from the point at which the diversion begins.</w:t>
      </w:r>
    </w:p>
    <w:p w:rsidR="002720DE" w:rsidRPr="004A5227" w:rsidRDefault="00CA6815" w:rsidP="002720DE">
      <w:pPr>
        <w:pStyle w:val="ActHead5"/>
      </w:pPr>
      <w:bookmarkStart w:id="160" w:name="_Toc413419158"/>
      <w:r w:rsidRPr="004A5227">
        <w:rPr>
          <w:rStyle w:val="CharSectno"/>
        </w:rPr>
        <w:t>114</w:t>
      </w:r>
      <w:r w:rsidR="002720DE" w:rsidRPr="004A5227">
        <w:t xml:space="preserve">  Cancellation of service to ported number</w:t>
      </w:r>
      <w:bookmarkEnd w:id="160"/>
    </w:p>
    <w:p w:rsidR="002720DE" w:rsidRPr="004A5227" w:rsidRDefault="002720DE" w:rsidP="002720DE">
      <w:pPr>
        <w:pStyle w:val="subsection"/>
      </w:pPr>
      <w:r w:rsidRPr="004A5227">
        <w:tab/>
        <w:t>(1)</w:t>
      </w:r>
      <w:r w:rsidRPr="004A5227">
        <w:tab/>
        <w:t>This section applies if:</w:t>
      </w:r>
    </w:p>
    <w:p w:rsidR="002720DE" w:rsidRPr="004A5227" w:rsidRDefault="002720DE" w:rsidP="002720DE">
      <w:pPr>
        <w:pStyle w:val="paragraph"/>
      </w:pPr>
      <w:r w:rsidRPr="004A5227">
        <w:tab/>
        <w:t>(a)</w:t>
      </w:r>
      <w:r w:rsidRPr="004A5227">
        <w:tab/>
        <w:t>a number was ported from one carriage service provider to another; and</w:t>
      </w:r>
    </w:p>
    <w:p w:rsidR="002720DE" w:rsidRPr="004A5227" w:rsidRDefault="002720DE" w:rsidP="002720DE">
      <w:pPr>
        <w:pStyle w:val="paragraph"/>
      </w:pPr>
      <w:r w:rsidRPr="004A5227">
        <w:tab/>
        <w:t>(b)</w:t>
      </w:r>
      <w:r w:rsidRPr="004A5227">
        <w:tab/>
        <w:t>the customer cancels the service to which the ported number relates.</w:t>
      </w:r>
    </w:p>
    <w:p w:rsidR="002720DE" w:rsidRPr="004A5227" w:rsidRDefault="002720DE" w:rsidP="002720DE">
      <w:pPr>
        <w:pStyle w:val="subsection"/>
      </w:pPr>
      <w:r w:rsidRPr="004A5227">
        <w:tab/>
        <w:t>(2)</w:t>
      </w:r>
      <w:r w:rsidRPr="004A5227">
        <w:tab/>
        <w:t>The carriage service provider to which the number was ported must:</w:t>
      </w:r>
    </w:p>
    <w:p w:rsidR="002720DE" w:rsidRPr="004A5227" w:rsidRDefault="002720DE" w:rsidP="002720DE">
      <w:pPr>
        <w:pStyle w:val="paragraph"/>
      </w:pPr>
      <w:r w:rsidRPr="004A5227">
        <w:tab/>
        <w:t>(a)</w:t>
      </w:r>
      <w:r w:rsidRPr="004A5227">
        <w:tab/>
        <w:t xml:space="preserve">if the number is a </w:t>
      </w:r>
      <w:proofErr w:type="spellStart"/>
      <w:r w:rsidRPr="004A5227">
        <w:t>freephone</w:t>
      </w:r>
      <w:proofErr w:type="spellEnd"/>
      <w:r w:rsidRPr="004A5227">
        <w:t xml:space="preserve"> number or a local rate number—surrender the number to the </w:t>
      </w:r>
      <w:proofErr w:type="spellStart"/>
      <w:r w:rsidRPr="004A5227">
        <w:t>ACMA</w:t>
      </w:r>
      <w:proofErr w:type="spellEnd"/>
      <w:r w:rsidRPr="004A5227">
        <w:t>; or</w:t>
      </w:r>
    </w:p>
    <w:p w:rsidR="002720DE" w:rsidRPr="004A5227" w:rsidRDefault="002720DE" w:rsidP="002720DE">
      <w:pPr>
        <w:pStyle w:val="paragraph"/>
      </w:pPr>
      <w:r w:rsidRPr="004A5227">
        <w:tab/>
        <w:t>(b)</w:t>
      </w:r>
      <w:r w:rsidRPr="004A5227">
        <w:tab/>
        <w:t xml:space="preserve">in any other case—give the number back to the carriage service provider that </w:t>
      </w:r>
      <w:r w:rsidR="000378FB" w:rsidRPr="004A5227">
        <w:t>holds the number</w:t>
      </w:r>
      <w:r w:rsidRPr="004A5227">
        <w:t>.</w:t>
      </w:r>
    </w:p>
    <w:p w:rsidR="002720DE" w:rsidRPr="004A5227" w:rsidRDefault="002720DE" w:rsidP="002720DE">
      <w:pPr>
        <w:pStyle w:val="subsection"/>
      </w:pPr>
      <w:r w:rsidRPr="004A5227">
        <w:tab/>
        <w:t>(3)</w:t>
      </w:r>
      <w:r w:rsidRPr="004A5227">
        <w:tab/>
        <w:t xml:space="preserve">The carriage service provider </w:t>
      </w:r>
      <w:r w:rsidR="000378FB" w:rsidRPr="004A5227">
        <w:t xml:space="preserve">that holds the number </w:t>
      </w:r>
      <w:r w:rsidRPr="004A5227">
        <w:t>must notify each relevant carriage service provider and carrier:</w:t>
      </w:r>
    </w:p>
    <w:p w:rsidR="002720DE" w:rsidRPr="004A5227" w:rsidRDefault="002720DE" w:rsidP="002720DE">
      <w:pPr>
        <w:pStyle w:val="paragraph"/>
      </w:pPr>
      <w:r w:rsidRPr="004A5227">
        <w:tab/>
        <w:t>(a)</w:t>
      </w:r>
      <w:r w:rsidRPr="004A5227">
        <w:tab/>
        <w:t>that the number is no longer ported; and</w:t>
      </w:r>
    </w:p>
    <w:p w:rsidR="002720DE" w:rsidRPr="004A5227" w:rsidRDefault="002720DE" w:rsidP="002720DE">
      <w:pPr>
        <w:pStyle w:val="paragraph"/>
      </w:pPr>
      <w:r w:rsidRPr="004A5227">
        <w:tab/>
        <w:t>(b)</w:t>
      </w:r>
      <w:r w:rsidRPr="004A5227">
        <w:tab/>
      </w:r>
      <w:r w:rsidR="00CD3D32" w:rsidRPr="004A5227">
        <w:t xml:space="preserve">of </w:t>
      </w:r>
      <w:r w:rsidRPr="004A5227">
        <w:t>the carrier it nominates as the carrier that will terminate calls to the number.</w:t>
      </w:r>
    </w:p>
    <w:p w:rsidR="002720DE" w:rsidRPr="004A5227" w:rsidRDefault="002720DE" w:rsidP="002720DE">
      <w:pPr>
        <w:pStyle w:val="ActHead2"/>
        <w:pageBreakBefore/>
      </w:pPr>
      <w:bookmarkStart w:id="161" w:name="_Toc413419159"/>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Exemptions from obligations</w:t>
      </w:r>
      <w:bookmarkEnd w:id="161"/>
    </w:p>
    <w:p w:rsidR="009A4D8F" w:rsidRPr="004A5227" w:rsidRDefault="009A4D8F" w:rsidP="009A4D8F">
      <w:pPr>
        <w:pStyle w:val="Header"/>
      </w:pPr>
      <w:r w:rsidRPr="004A5227">
        <w:rPr>
          <w:rStyle w:val="CharDivNo"/>
        </w:rPr>
        <w:t xml:space="preserve"> </w:t>
      </w:r>
      <w:r w:rsidRPr="004A5227">
        <w:rPr>
          <w:rStyle w:val="CharDivText"/>
        </w:rPr>
        <w:t xml:space="preserve"> </w:t>
      </w:r>
    </w:p>
    <w:p w:rsidR="002720DE" w:rsidRPr="004A5227" w:rsidRDefault="00CA6815" w:rsidP="002720DE">
      <w:pPr>
        <w:pStyle w:val="ActHead5"/>
      </w:pPr>
      <w:bookmarkStart w:id="162" w:name="_Toc413419160"/>
      <w:r w:rsidRPr="004A5227">
        <w:rPr>
          <w:rStyle w:val="CharSectno"/>
        </w:rPr>
        <w:t>115</w:t>
      </w:r>
      <w:r w:rsidR="002720DE" w:rsidRPr="004A5227">
        <w:t xml:space="preserve">  Application for exemption from obligations in this Chapter</w:t>
      </w:r>
      <w:bookmarkEnd w:id="162"/>
    </w:p>
    <w:p w:rsidR="002720DE" w:rsidRPr="004A5227" w:rsidRDefault="002720DE" w:rsidP="002720DE">
      <w:pPr>
        <w:pStyle w:val="subsection"/>
      </w:pPr>
      <w:r w:rsidRPr="004A5227">
        <w:tab/>
        <w:t>(1)</w:t>
      </w:r>
      <w:r w:rsidRPr="004A5227">
        <w:tab/>
        <w:t xml:space="preserve">A carriage service provider or carrier may apply to the </w:t>
      </w:r>
      <w:proofErr w:type="spellStart"/>
      <w:r w:rsidRPr="004A5227">
        <w:t>ACMA</w:t>
      </w:r>
      <w:proofErr w:type="spellEnd"/>
      <w:r w:rsidRPr="004A5227">
        <w:t>, in writing, for an exemption from an obligation in this Chapter.</w:t>
      </w:r>
    </w:p>
    <w:p w:rsidR="002720DE" w:rsidRPr="004A5227" w:rsidRDefault="002720DE" w:rsidP="002720DE">
      <w:pPr>
        <w:pStyle w:val="subsection"/>
      </w:pPr>
      <w:r w:rsidRPr="004A5227">
        <w:tab/>
        <w:t>(2)</w:t>
      </w:r>
      <w:r w:rsidRPr="004A5227">
        <w:tab/>
        <w:t>The application must identify:</w:t>
      </w:r>
    </w:p>
    <w:p w:rsidR="002720DE" w:rsidRPr="004A5227" w:rsidRDefault="002720DE" w:rsidP="002720DE">
      <w:pPr>
        <w:pStyle w:val="paragraph"/>
      </w:pPr>
      <w:r w:rsidRPr="004A5227">
        <w:tab/>
        <w:t>(a)</w:t>
      </w:r>
      <w:r w:rsidRPr="004A5227">
        <w:tab/>
        <w:t>the obligation or obligations for which the applicant is seeking an exemption; and</w:t>
      </w:r>
    </w:p>
    <w:p w:rsidR="002720DE" w:rsidRPr="004A5227" w:rsidRDefault="002720DE" w:rsidP="002720DE">
      <w:pPr>
        <w:pStyle w:val="paragraph"/>
      </w:pPr>
      <w:r w:rsidRPr="004A5227">
        <w:tab/>
        <w:t>(b)</w:t>
      </w:r>
      <w:r w:rsidRPr="004A5227">
        <w:tab/>
        <w:t>the period for which the applicant wishes the exemption to be granted.</w:t>
      </w:r>
    </w:p>
    <w:p w:rsidR="002720DE" w:rsidRPr="004A5227" w:rsidRDefault="002720DE" w:rsidP="002720DE">
      <w:pPr>
        <w:pStyle w:val="subsection"/>
      </w:pPr>
      <w:r w:rsidRPr="004A5227">
        <w:tab/>
        <w:t>(3)</w:t>
      </w:r>
      <w:r w:rsidRPr="004A5227">
        <w:tab/>
        <w:t>If the exemption is sought only in relation to particular exchanges or areas, the application must identify the exchanges or areas.</w:t>
      </w:r>
    </w:p>
    <w:p w:rsidR="002720DE" w:rsidRPr="004A5227" w:rsidRDefault="002720DE" w:rsidP="002720DE">
      <w:pPr>
        <w:pStyle w:val="subsection"/>
      </w:pPr>
      <w:r w:rsidRPr="004A5227">
        <w:tab/>
        <w:t>(4)</w:t>
      </w:r>
      <w:r w:rsidRPr="004A5227">
        <w:tab/>
        <w:t>The application must include reasons (supported by documented evidence if practicable) why the applicant is seeking the exemption.</w:t>
      </w:r>
    </w:p>
    <w:p w:rsidR="002720DE" w:rsidRPr="004A5227" w:rsidRDefault="002720DE" w:rsidP="002720DE">
      <w:pPr>
        <w:pStyle w:val="subsection"/>
      </w:pPr>
      <w:r w:rsidRPr="004A5227">
        <w:tab/>
        <w:t>(5)</w:t>
      </w:r>
      <w:r w:rsidRPr="004A5227">
        <w:tab/>
        <w:t>If the request for an exemption relates to an inability to meet the obligations of the carriage service provider or the carrier, the application must</w:t>
      </w:r>
      <w:r w:rsidR="00CD3D32" w:rsidRPr="004A5227">
        <w:t xml:space="preserve"> include</w:t>
      </w:r>
      <w:r w:rsidRPr="004A5227">
        <w:t>:</w:t>
      </w:r>
    </w:p>
    <w:p w:rsidR="002720DE" w:rsidRPr="004A5227" w:rsidRDefault="002720DE" w:rsidP="002720DE">
      <w:pPr>
        <w:pStyle w:val="paragraph"/>
      </w:pPr>
      <w:r w:rsidRPr="004A5227">
        <w:tab/>
        <w:t>(a)</w:t>
      </w:r>
      <w:r w:rsidRPr="004A5227">
        <w:tab/>
        <w:t>a detailed statement of the actions the applica</w:t>
      </w:r>
      <w:r w:rsidR="00EB62E7" w:rsidRPr="004A5227">
        <w:t>nt</w:t>
      </w:r>
      <w:r w:rsidRPr="004A5227">
        <w:t xml:space="preserve"> has taken to try to meet its obligations; and</w:t>
      </w:r>
    </w:p>
    <w:p w:rsidR="002720DE" w:rsidRPr="004A5227" w:rsidRDefault="002720DE" w:rsidP="002720DE">
      <w:pPr>
        <w:pStyle w:val="paragraph"/>
      </w:pPr>
      <w:r w:rsidRPr="004A5227">
        <w:tab/>
        <w:t>(b)</w:t>
      </w:r>
      <w:r w:rsidRPr="004A5227">
        <w:tab/>
        <w:t xml:space="preserve">the time by which the applicant believes it can complete any network or other requirements to meet its obligations </w:t>
      </w:r>
      <w:r w:rsidR="00CD3D32" w:rsidRPr="004A5227">
        <w:t>and</w:t>
      </w:r>
      <w:r w:rsidRPr="004A5227">
        <w:t xml:space="preserve"> a list of proposed key dates before that time.</w:t>
      </w:r>
    </w:p>
    <w:p w:rsidR="002720DE" w:rsidRPr="004A5227" w:rsidRDefault="00CA6815" w:rsidP="002720DE">
      <w:pPr>
        <w:pStyle w:val="ActHead5"/>
      </w:pPr>
      <w:bookmarkStart w:id="163" w:name="_Toc413419161"/>
      <w:r w:rsidRPr="004A5227">
        <w:rPr>
          <w:rStyle w:val="CharSectno"/>
        </w:rPr>
        <w:t>116</w:t>
      </w:r>
      <w:r w:rsidR="002720DE" w:rsidRPr="004A5227">
        <w:t xml:space="preserve">  Compliance not required while application is considered</w:t>
      </w:r>
      <w:bookmarkEnd w:id="163"/>
    </w:p>
    <w:p w:rsidR="002720DE" w:rsidRPr="004A5227" w:rsidRDefault="002720DE" w:rsidP="002720DE">
      <w:pPr>
        <w:pStyle w:val="subsection"/>
      </w:pPr>
      <w:r w:rsidRPr="004A5227">
        <w:tab/>
      </w:r>
      <w:r w:rsidRPr="004A5227">
        <w:tab/>
        <w:t>If a carriage service provider or carrier applies for an exemption from an obligation under section</w:t>
      </w:r>
      <w:r w:rsidR="004A5227" w:rsidRPr="004A5227">
        <w:t> </w:t>
      </w:r>
      <w:r w:rsidR="00CA6815" w:rsidRPr="004A5227">
        <w:t>115</w:t>
      </w:r>
      <w:r w:rsidRPr="004A5227">
        <w:t xml:space="preserve">, the carriage service provider or carrier does not have to comply with the obligation until the </w:t>
      </w:r>
      <w:proofErr w:type="spellStart"/>
      <w:r w:rsidRPr="004A5227">
        <w:t>ACMA</w:t>
      </w:r>
      <w:proofErr w:type="spellEnd"/>
      <w:r w:rsidRPr="004A5227">
        <w:t xml:space="preserve"> notifies the carriage service provider or carrier of its decision under section</w:t>
      </w:r>
      <w:r w:rsidR="004A5227" w:rsidRPr="004A5227">
        <w:t> </w:t>
      </w:r>
      <w:r w:rsidR="00CA6815" w:rsidRPr="004A5227">
        <w:t>120</w:t>
      </w:r>
      <w:r w:rsidRPr="004A5227">
        <w:t>.</w:t>
      </w:r>
    </w:p>
    <w:p w:rsidR="002720DE" w:rsidRPr="004A5227" w:rsidRDefault="00CA6815" w:rsidP="002720DE">
      <w:pPr>
        <w:pStyle w:val="ActHead5"/>
      </w:pPr>
      <w:bookmarkStart w:id="164" w:name="_Toc413419162"/>
      <w:r w:rsidRPr="004A5227">
        <w:rPr>
          <w:rStyle w:val="CharSectno"/>
        </w:rPr>
        <w:t>117</w:t>
      </w:r>
      <w:r w:rsidR="002720DE" w:rsidRPr="004A5227">
        <w:t xml:space="preserve">  Consultation with </w:t>
      </w:r>
      <w:proofErr w:type="spellStart"/>
      <w:r w:rsidR="002720DE" w:rsidRPr="004A5227">
        <w:t>ACCC</w:t>
      </w:r>
      <w:bookmarkEnd w:id="164"/>
      <w:proofErr w:type="spellEnd"/>
    </w:p>
    <w:p w:rsidR="002720DE" w:rsidRPr="004A5227" w:rsidRDefault="002720DE" w:rsidP="002720DE">
      <w:pPr>
        <w:pStyle w:val="subsection"/>
      </w:pPr>
      <w:r w:rsidRPr="004A5227">
        <w:tab/>
        <w:t>(1)</w:t>
      </w:r>
      <w:r w:rsidRPr="004A5227">
        <w:tab/>
        <w:t xml:space="preserve">If the </w:t>
      </w:r>
      <w:proofErr w:type="spellStart"/>
      <w:r w:rsidRPr="004A5227">
        <w:t>ACMA</w:t>
      </w:r>
      <w:proofErr w:type="spellEnd"/>
      <w:r w:rsidRPr="004A5227">
        <w:t xml:space="preserve"> receives an application under section</w:t>
      </w:r>
      <w:r w:rsidR="004A5227" w:rsidRPr="004A5227">
        <w:t> </w:t>
      </w:r>
      <w:r w:rsidR="00CA6815" w:rsidRPr="004A5227">
        <w:t>115</w:t>
      </w:r>
      <w:r w:rsidRPr="004A5227">
        <w:t xml:space="preserve">, the </w:t>
      </w:r>
      <w:proofErr w:type="spellStart"/>
      <w:r w:rsidRPr="004A5227">
        <w:t>ACMA</w:t>
      </w:r>
      <w:proofErr w:type="spellEnd"/>
      <w:r w:rsidRPr="004A5227">
        <w:t xml:space="preserve"> may consult the </w:t>
      </w:r>
      <w:proofErr w:type="spellStart"/>
      <w:r w:rsidRPr="004A5227">
        <w:t>ACCC</w:t>
      </w:r>
      <w:proofErr w:type="spellEnd"/>
      <w:r w:rsidRPr="004A5227">
        <w:t xml:space="preserve"> in relation to whether or not it would be in the long</w:t>
      </w:r>
      <w:r w:rsidR="004A5227">
        <w:noBreakHyphen/>
      </w:r>
      <w:r w:rsidRPr="004A5227">
        <w:t>term interests of end</w:t>
      </w:r>
      <w:r w:rsidR="004A5227">
        <w:noBreakHyphen/>
      </w:r>
      <w:r w:rsidRPr="004A5227">
        <w:t>users to grant the application.</w:t>
      </w:r>
    </w:p>
    <w:p w:rsidR="002720DE" w:rsidRPr="004A5227" w:rsidRDefault="002720DE" w:rsidP="002720DE">
      <w:pPr>
        <w:pStyle w:val="subsection"/>
      </w:pPr>
      <w:r w:rsidRPr="004A5227">
        <w:tab/>
        <w:t>(2)</w:t>
      </w:r>
      <w:r w:rsidRPr="004A5227">
        <w:tab/>
        <w:t xml:space="preserve">If the </w:t>
      </w:r>
      <w:proofErr w:type="spellStart"/>
      <w:r w:rsidRPr="004A5227">
        <w:t>ACMA</w:t>
      </w:r>
      <w:proofErr w:type="spellEnd"/>
      <w:r w:rsidRPr="004A5227">
        <w:t xml:space="preserve"> decides to consult the </w:t>
      </w:r>
      <w:proofErr w:type="spellStart"/>
      <w:r w:rsidRPr="004A5227">
        <w:t>ACCC</w:t>
      </w:r>
      <w:proofErr w:type="spellEnd"/>
      <w:r w:rsidRPr="004A5227">
        <w:t xml:space="preserve">, the </w:t>
      </w:r>
      <w:proofErr w:type="spellStart"/>
      <w:r w:rsidRPr="004A5227">
        <w:t>ACMA</w:t>
      </w:r>
      <w:proofErr w:type="spellEnd"/>
      <w:r w:rsidRPr="004A5227">
        <w:t xml:space="preserve"> must:</w:t>
      </w:r>
    </w:p>
    <w:p w:rsidR="002720DE" w:rsidRPr="004A5227" w:rsidRDefault="002720DE" w:rsidP="002720DE">
      <w:pPr>
        <w:pStyle w:val="paragraph"/>
      </w:pPr>
      <w:r w:rsidRPr="004A5227">
        <w:tab/>
        <w:t>(a)</w:t>
      </w:r>
      <w:r w:rsidRPr="004A5227">
        <w:tab/>
        <w:t xml:space="preserve">give the </w:t>
      </w:r>
      <w:proofErr w:type="spellStart"/>
      <w:r w:rsidRPr="004A5227">
        <w:t>ACCC</w:t>
      </w:r>
      <w:proofErr w:type="spellEnd"/>
      <w:r w:rsidRPr="004A5227">
        <w:t xml:space="preserve"> a copy of the application no later than 5 business days after receiving it; and</w:t>
      </w:r>
    </w:p>
    <w:p w:rsidR="002720DE" w:rsidRPr="004A5227" w:rsidRDefault="002720DE" w:rsidP="002720DE">
      <w:pPr>
        <w:pStyle w:val="paragraph"/>
      </w:pPr>
      <w:r w:rsidRPr="004A5227">
        <w:tab/>
        <w:t>(b)</w:t>
      </w:r>
      <w:r w:rsidRPr="004A5227">
        <w:tab/>
        <w:t xml:space="preserve">give the </w:t>
      </w:r>
      <w:proofErr w:type="spellStart"/>
      <w:r w:rsidRPr="004A5227">
        <w:t>ACCC</w:t>
      </w:r>
      <w:proofErr w:type="spellEnd"/>
      <w:r w:rsidRPr="004A5227">
        <w:t xml:space="preserve"> all relevant information, documents and records in relation to the application.</w:t>
      </w:r>
    </w:p>
    <w:p w:rsidR="002720DE" w:rsidRPr="004A5227" w:rsidRDefault="00CA6815" w:rsidP="002720DE">
      <w:pPr>
        <w:pStyle w:val="ActHead5"/>
      </w:pPr>
      <w:bookmarkStart w:id="165" w:name="_Toc413419163"/>
      <w:r w:rsidRPr="004A5227">
        <w:rPr>
          <w:rStyle w:val="CharSectno"/>
        </w:rPr>
        <w:t>118</w:t>
      </w:r>
      <w:r w:rsidR="002720DE" w:rsidRPr="004A5227">
        <w:t xml:space="preserve">  Deciding application for exemption</w:t>
      </w:r>
      <w:bookmarkEnd w:id="165"/>
    </w:p>
    <w:p w:rsidR="002720DE" w:rsidRPr="004A5227" w:rsidRDefault="002720DE" w:rsidP="002720DE">
      <w:pPr>
        <w:pStyle w:val="subsection"/>
      </w:pPr>
      <w:r w:rsidRPr="004A5227">
        <w:tab/>
        <w:t>(1)</w:t>
      </w:r>
      <w:r w:rsidRPr="004A5227">
        <w:tab/>
        <w:t xml:space="preserve">If the </w:t>
      </w:r>
      <w:proofErr w:type="spellStart"/>
      <w:r w:rsidRPr="004A5227">
        <w:t>ACMA</w:t>
      </w:r>
      <w:proofErr w:type="spellEnd"/>
      <w:r w:rsidRPr="004A5227">
        <w:t xml:space="preserve"> receives an application for an exemption from an obligation under section</w:t>
      </w:r>
      <w:r w:rsidR="004A5227" w:rsidRPr="004A5227">
        <w:t> </w:t>
      </w:r>
      <w:r w:rsidR="00CA6815" w:rsidRPr="004A5227">
        <w:t>115</w:t>
      </w:r>
      <w:r w:rsidRPr="004A5227">
        <w:t xml:space="preserve">, the </w:t>
      </w:r>
      <w:proofErr w:type="spellStart"/>
      <w:r w:rsidRPr="004A5227">
        <w:t>ACMA</w:t>
      </w:r>
      <w:proofErr w:type="spellEnd"/>
      <w:r w:rsidRPr="004A5227">
        <w:t xml:space="preserve"> must decide whether to grant </w:t>
      </w:r>
      <w:r w:rsidR="003B68E0" w:rsidRPr="004A5227">
        <w:t xml:space="preserve">or not to grant </w:t>
      </w:r>
      <w:r w:rsidRPr="004A5227">
        <w:t xml:space="preserve">the exemption </w:t>
      </w:r>
      <w:r w:rsidR="006C6E10" w:rsidRPr="004A5227">
        <w:t>no later than</w:t>
      </w:r>
      <w:r w:rsidRPr="004A5227">
        <w:t xml:space="preserve"> 65 business days </w:t>
      </w:r>
      <w:r w:rsidR="006C6E10" w:rsidRPr="004A5227">
        <w:t>after</w:t>
      </w:r>
      <w:r w:rsidRPr="004A5227">
        <w:t xml:space="preserve"> receiving the application.</w:t>
      </w:r>
    </w:p>
    <w:p w:rsidR="002720DE" w:rsidRPr="004A5227" w:rsidRDefault="002720DE" w:rsidP="002720DE">
      <w:pPr>
        <w:pStyle w:val="subsection"/>
      </w:pPr>
      <w:r w:rsidRPr="004A5227">
        <w:lastRenderedPageBreak/>
        <w:tab/>
        <w:t>(2)</w:t>
      </w:r>
      <w:r w:rsidRPr="004A5227">
        <w:tab/>
      </w:r>
      <w:r w:rsidR="00CD3D32" w:rsidRPr="004A5227">
        <w:t xml:space="preserve">The </w:t>
      </w:r>
      <w:proofErr w:type="spellStart"/>
      <w:r w:rsidRPr="004A5227">
        <w:t>ACMA</w:t>
      </w:r>
      <w:proofErr w:type="spellEnd"/>
      <w:r w:rsidRPr="004A5227">
        <w:t xml:space="preserve"> may have regard to the following matters in considering the application:</w:t>
      </w:r>
    </w:p>
    <w:p w:rsidR="002720DE" w:rsidRPr="004A5227" w:rsidRDefault="002720DE" w:rsidP="002720DE">
      <w:pPr>
        <w:pStyle w:val="paragraph"/>
      </w:pPr>
      <w:r w:rsidRPr="004A5227">
        <w:tab/>
        <w:t>(a)</w:t>
      </w:r>
      <w:r w:rsidRPr="004A5227">
        <w:tab/>
        <w:t>the network capacity of a carriage service provider or carrier;</w:t>
      </w:r>
    </w:p>
    <w:p w:rsidR="002720DE" w:rsidRPr="004A5227" w:rsidRDefault="002720DE" w:rsidP="002720DE">
      <w:pPr>
        <w:pStyle w:val="paragraph"/>
      </w:pPr>
      <w:r w:rsidRPr="004A5227">
        <w:tab/>
        <w:t>(b)</w:t>
      </w:r>
      <w:r w:rsidRPr="004A5227">
        <w:tab/>
        <w:t>the support systems available to a carriage service provider or carrier.</w:t>
      </w:r>
    </w:p>
    <w:p w:rsidR="002720DE" w:rsidRPr="004A5227" w:rsidRDefault="002720DE" w:rsidP="002720DE">
      <w:pPr>
        <w:pStyle w:val="subsection"/>
      </w:pPr>
      <w:r w:rsidRPr="004A5227">
        <w:tab/>
        <w:t>(3)</w:t>
      </w:r>
      <w:r w:rsidRPr="004A5227">
        <w:tab/>
        <w:t xml:space="preserve">The </w:t>
      </w:r>
      <w:proofErr w:type="spellStart"/>
      <w:r w:rsidRPr="004A5227">
        <w:t>ACMA</w:t>
      </w:r>
      <w:proofErr w:type="spellEnd"/>
      <w:r w:rsidRPr="004A5227">
        <w:t xml:space="preserve"> may consider any other matters it considers relevant to providing number portability.</w:t>
      </w:r>
    </w:p>
    <w:p w:rsidR="002720DE" w:rsidRPr="004A5227" w:rsidRDefault="002720DE" w:rsidP="002720DE">
      <w:pPr>
        <w:pStyle w:val="subsection"/>
      </w:pPr>
      <w:r w:rsidRPr="004A5227">
        <w:tab/>
        <w:t>(4)</w:t>
      </w:r>
      <w:r w:rsidRPr="004A5227">
        <w:tab/>
        <w:t xml:space="preserve">If the </w:t>
      </w:r>
      <w:proofErr w:type="spellStart"/>
      <w:r w:rsidRPr="004A5227">
        <w:t>ACMA</w:t>
      </w:r>
      <w:proofErr w:type="spellEnd"/>
      <w:r w:rsidRPr="004A5227">
        <w:t xml:space="preserve"> consulted the </w:t>
      </w:r>
      <w:proofErr w:type="spellStart"/>
      <w:r w:rsidRPr="004A5227">
        <w:t>ACCC</w:t>
      </w:r>
      <w:proofErr w:type="spellEnd"/>
      <w:r w:rsidRPr="004A5227">
        <w:t xml:space="preserve"> under section</w:t>
      </w:r>
      <w:r w:rsidR="004A5227" w:rsidRPr="004A5227">
        <w:t> </w:t>
      </w:r>
      <w:r w:rsidR="00CA6815" w:rsidRPr="004A5227">
        <w:t>117</w:t>
      </w:r>
      <w:r w:rsidRPr="004A5227">
        <w:t xml:space="preserve">, the </w:t>
      </w:r>
      <w:proofErr w:type="spellStart"/>
      <w:r w:rsidRPr="004A5227">
        <w:t>ACMA</w:t>
      </w:r>
      <w:proofErr w:type="spellEnd"/>
      <w:r w:rsidRPr="004A5227">
        <w:t xml:space="preserve"> must have regard to the </w:t>
      </w:r>
      <w:proofErr w:type="spellStart"/>
      <w:r w:rsidRPr="004A5227">
        <w:t>ACCC’s</w:t>
      </w:r>
      <w:proofErr w:type="spellEnd"/>
      <w:r w:rsidRPr="004A5227">
        <w:t xml:space="preserve"> comments on the long</w:t>
      </w:r>
      <w:r w:rsidR="004A5227">
        <w:noBreakHyphen/>
      </w:r>
      <w:r w:rsidRPr="004A5227">
        <w:t>term interests of end</w:t>
      </w:r>
      <w:r w:rsidR="004A5227">
        <w:noBreakHyphen/>
      </w:r>
      <w:r w:rsidRPr="004A5227">
        <w:t>users.</w:t>
      </w:r>
    </w:p>
    <w:p w:rsidR="002720DE" w:rsidRPr="004A5227" w:rsidRDefault="002720DE" w:rsidP="002720DE">
      <w:pPr>
        <w:pStyle w:val="subsection"/>
      </w:pPr>
      <w:r w:rsidRPr="004A5227">
        <w:tab/>
        <w:t>(5)</w:t>
      </w:r>
      <w:r w:rsidRPr="004A5227">
        <w:tab/>
        <w:t xml:space="preserve">The </w:t>
      </w:r>
      <w:proofErr w:type="spellStart"/>
      <w:r w:rsidRPr="004A5227">
        <w:t>ACMA</w:t>
      </w:r>
      <w:proofErr w:type="spellEnd"/>
      <w:r w:rsidRPr="004A5227">
        <w:t xml:space="preserve"> must grant the exemption if it is satisfied that it is not practicable for the applicant to meet the obligation.</w:t>
      </w:r>
    </w:p>
    <w:p w:rsidR="002720DE" w:rsidRPr="004A5227" w:rsidRDefault="002720DE" w:rsidP="002720DE">
      <w:pPr>
        <w:pStyle w:val="subsection"/>
      </w:pPr>
      <w:r w:rsidRPr="004A5227">
        <w:tab/>
        <w:t>(6)</w:t>
      </w:r>
      <w:r w:rsidRPr="004A5227">
        <w:tab/>
        <w:t xml:space="preserve">The </w:t>
      </w:r>
      <w:proofErr w:type="spellStart"/>
      <w:r w:rsidRPr="004A5227">
        <w:t>ACMA</w:t>
      </w:r>
      <w:proofErr w:type="spellEnd"/>
      <w:r w:rsidRPr="004A5227">
        <w:t xml:space="preserve"> may grant the exemption if it </w:t>
      </w:r>
      <w:r w:rsidR="00CD3D32" w:rsidRPr="004A5227">
        <w:t xml:space="preserve">is </w:t>
      </w:r>
      <w:r w:rsidRPr="004A5227">
        <w:t>satisfied that it would be in the long</w:t>
      </w:r>
      <w:r w:rsidR="004A5227">
        <w:noBreakHyphen/>
      </w:r>
      <w:r w:rsidRPr="004A5227">
        <w:t>term interests of end</w:t>
      </w:r>
      <w:r w:rsidR="004A5227">
        <w:noBreakHyphen/>
      </w:r>
      <w:r w:rsidRPr="004A5227">
        <w:t>users to exempt the applicant from the obligation.</w:t>
      </w:r>
    </w:p>
    <w:p w:rsidR="002720DE" w:rsidRPr="004A5227" w:rsidRDefault="002720DE" w:rsidP="002720DE">
      <w:pPr>
        <w:pStyle w:val="subsection"/>
      </w:pPr>
      <w:r w:rsidRPr="004A5227">
        <w:tab/>
        <w:t>(7)</w:t>
      </w:r>
      <w:r w:rsidRPr="004A5227">
        <w:tab/>
        <w:t xml:space="preserve">The </w:t>
      </w:r>
      <w:proofErr w:type="spellStart"/>
      <w:r w:rsidRPr="004A5227">
        <w:t>ACMA</w:t>
      </w:r>
      <w:proofErr w:type="spellEnd"/>
      <w:r w:rsidRPr="004A5227">
        <w:t xml:space="preserve"> must otherwise </w:t>
      </w:r>
      <w:r w:rsidR="000A5413" w:rsidRPr="004A5227">
        <w:t xml:space="preserve">decide not </w:t>
      </w:r>
      <w:r w:rsidRPr="004A5227">
        <w:t>to grant the exemption.</w:t>
      </w:r>
    </w:p>
    <w:p w:rsidR="002720DE" w:rsidRPr="004A5227" w:rsidRDefault="002720DE" w:rsidP="002720DE">
      <w:pPr>
        <w:pStyle w:val="subsection"/>
      </w:pPr>
      <w:r w:rsidRPr="004A5227">
        <w:tab/>
        <w:t>(8)</w:t>
      </w:r>
      <w:r w:rsidRPr="004A5227">
        <w:tab/>
        <w:t xml:space="preserve">The </w:t>
      </w:r>
      <w:proofErr w:type="spellStart"/>
      <w:r w:rsidRPr="004A5227">
        <w:t>ACMA</w:t>
      </w:r>
      <w:proofErr w:type="spellEnd"/>
      <w:r w:rsidRPr="004A5227">
        <w:t xml:space="preserve"> may grant an exemption:</w:t>
      </w:r>
    </w:p>
    <w:p w:rsidR="002720DE" w:rsidRPr="004A5227" w:rsidRDefault="002720DE" w:rsidP="002720DE">
      <w:pPr>
        <w:pStyle w:val="paragraph"/>
      </w:pPr>
      <w:r w:rsidRPr="004A5227">
        <w:tab/>
        <w:t>(a)</w:t>
      </w:r>
      <w:r w:rsidRPr="004A5227">
        <w:tab/>
        <w:t>for a specified period; or</w:t>
      </w:r>
    </w:p>
    <w:p w:rsidR="002720DE" w:rsidRPr="004A5227" w:rsidRDefault="002720DE" w:rsidP="002720DE">
      <w:pPr>
        <w:pStyle w:val="paragraph"/>
      </w:pPr>
      <w:r w:rsidRPr="004A5227">
        <w:tab/>
        <w:t>(b)</w:t>
      </w:r>
      <w:r w:rsidRPr="004A5227">
        <w:tab/>
        <w:t>for specified purposes; or</w:t>
      </w:r>
    </w:p>
    <w:p w:rsidR="002720DE" w:rsidRPr="004A5227" w:rsidRDefault="002720DE" w:rsidP="002720DE">
      <w:pPr>
        <w:pStyle w:val="paragraph"/>
      </w:pPr>
      <w:r w:rsidRPr="004A5227">
        <w:tab/>
        <w:t>(c)</w:t>
      </w:r>
      <w:r w:rsidRPr="004A5227">
        <w:tab/>
        <w:t>in relation to a specified customer or class of customers; or</w:t>
      </w:r>
    </w:p>
    <w:p w:rsidR="002720DE" w:rsidRPr="004A5227" w:rsidRDefault="002720DE" w:rsidP="002720DE">
      <w:pPr>
        <w:pStyle w:val="paragraph"/>
      </w:pPr>
      <w:r w:rsidRPr="004A5227">
        <w:tab/>
        <w:t>(d)</w:t>
      </w:r>
      <w:r w:rsidRPr="004A5227">
        <w:tab/>
        <w:t>subject to specified conditions.</w:t>
      </w:r>
    </w:p>
    <w:p w:rsidR="002720DE" w:rsidRPr="004A5227" w:rsidRDefault="00CA6815" w:rsidP="002720DE">
      <w:pPr>
        <w:pStyle w:val="ActHead5"/>
      </w:pPr>
      <w:bookmarkStart w:id="166" w:name="_Toc413419164"/>
      <w:r w:rsidRPr="004A5227">
        <w:rPr>
          <w:rStyle w:val="CharSectno"/>
        </w:rPr>
        <w:t>119</w:t>
      </w:r>
      <w:r w:rsidR="002720DE" w:rsidRPr="004A5227">
        <w:t xml:space="preserve">  Request for further information</w:t>
      </w:r>
      <w:bookmarkEnd w:id="166"/>
    </w:p>
    <w:p w:rsidR="002720DE" w:rsidRPr="004A5227" w:rsidRDefault="002720DE" w:rsidP="002720DE">
      <w:pPr>
        <w:pStyle w:val="subsection"/>
      </w:pPr>
      <w:r w:rsidRPr="004A5227">
        <w:tab/>
        <w:t>(1)</w:t>
      </w:r>
      <w:r w:rsidRPr="004A5227">
        <w:tab/>
        <w:t xml:space="preserve">The </w:t>
      </w:r>
      <w:proofErr w:type="spellStart"/>
      <w:r w:rsidRPr="004A5227">
        <w:t>ACMA</w:t>
      </w:r>
      <w:proofErr w:type="spellEnd"/>
      <w:r w:rsidRPr="004A5227">
        <w:t xml:space="preserve"> may, at any time while considering an application made under section</w:t>
      </w:r>
      <w:r w:rsidR="004A5227" w:rsidRPr="004A5227">
        <w:t> </w:t>
      </w:r>
      <w:r w:rsidR="00CA6815" w:rsidRPr="004A5227">
        <w:t>115</w:t>
      </w:r>
      <w:r w:rsidRPr="004A5227">
        <w:t>, request further information from the applicant.</w:t>
      </w:r>
    </w:p>
    <w:p w:rsidR="002720DE" w:rsidRPr="004A5227" w:rsidRDefault="002720DE" w:rsidP="002720DE">
      <w:pPr>
        <w:pStyle w:val="subsection"/>
      </w:pPr>
      <w:r w:rsidRPr="004A5227">
        <w:tab/>
        <w:t>(2)</w:t>
      </w:r>
      <w:r w:rsidRPr="004A5227">
        <w:tab/>
        <w:t>The 65 business days mentioned in subsection</w:t>
      </w:r>
      <w:r w:rsidR="004A5227" w:rsidRPr="004A5227">
        <w:t> </w:t>
      </w:r>
      <w:r w:rsidR="00CA6815" w:rsidRPr="004A5227">
        <w:t>118</w:t>
      </w:r>
      <w:r w:rsidRPr="004A5227">
        <w:t>(1) do not include a period:</w:t>
      </w:r>
    </w:p>
    <w:p w:rsidR="002720DE" w:rsidRPr="004A5227" w:rsidRDefault="002720DE" w:rsidP="002720DE">
      <w:pPr>
        <w:pStyle w:val="paragraph"/>
      </w:pPr>
      <w:r w:rsidRPr="004A5227">
        <w:tab/>
        <w:t>(a)</w:t>
      </w:r>
      <w:r w:rsidRPr="004A5227">
        <w:tab/>
        <w:t xml:space="preserve">starting when the </w:t>
      </w:r>
      <w:proofErr w:type="spellStart"/>
      <w:r w:rsidRPr="004A5227">
        <w:t>ACMA</w:t>
      </w:r>
      <w:proofErr w:type="spellEnd"/>
      <w:r w:rsidRPr="004A5227">
        <w:t xml:space="preserve"> asks the applicant for further information; and</w:t>
      </w:r>
    </w:p>
    <w:p w:rsidR="002720DE" w:rsidRPr="004A5227" w:rsidRDefault="002720DE" w:rsidP="002720DE">
      <w:pPr>
        <w:pStyle w:val="paragraph"/>
      </w:pPr>
      <w:r w:rsidRPr="004A5227">
        <w:tab/>
        <w:t>(b)</w:t>
      </w:r>
      <w:r w:rsidRPr="004A5227">
        <w:tab/>
        <w:t xml:space="preserve">ending when the </w:t>
      </w:r>
      <w:proofErr w:type="spellStart"/>
      <w:r w:rsidRPr="004A5227">
        <w:t>ACMA</w:t>
      </w:r>
      <w:proofErr w:type="spellEnd"/>
      <w:r w:rsidRPr="004A5227">
        <w:t xml:space="preserve"> receives the information.</w:t>
      </w:r>
    </w:p>
    <w:p w:rsidR="002720DE" w:rsidRPr="004A5227" w:rsidRDefault="002720DE" w:rsidP="002720DE">
      <w:pPr>
        <w:pStyle w:val="subsection"/>
      </w:pPr>
      <w:r w:rsidRPr="004A5227">
        <w:tab/>
        <w:t>(3)</w:t>
      </w:r>
      <w:r w:rsidRPr="004A5227">
        <w:tab/>
        <w:t xml:space="preserve">The </w:t>
      </w:r>
      <w:proofErr w:type="spellStart"/>
      <w:r w:rsidRPr="004A5227">
        <w:t>ACMA</w:t>
      </w:r>
      <w:proofErr w:type="spellEnd"/>
      <w:r w:rsidRPr="004A5227">
        <w:t xml:space="preserve"> may nominate a date by which the information it requests must be provided.</w:t>
      </w:r>
    </w:p>
    <w:p w:rsidR="002720DE" w:rsidRPr="004A5227" w:rsidRDefault="002720DE" w:rsidP="002720DE">
      <w:pPr>
        <w:pStyle w:val="subsection"/>
      </w:pPr>
      <w:r w:rsidRPr="004A5227">
        <w:tab/>
        <w:t>(4)</w:t>
      </w:r>
      <w:r w:rsidRPr="004A5227">
        <w:tab/>
        <w:t xml:space="preserve">The </w:t>
      </w:r>
      <w:proofErr w:type="spellStart"/>
      <w:r w:rsidRPr="004A5227">
        <w:t>ACMA</w:t>
      </w:r>
      <w:proofErr w:type="spellEnd"/>
      <w:r w:rsidRPr="004A5227">
        <w:t xml:space="preserve"> may, at any time, replace a nominated date with a later nominated date.</w:t>
      </w:r>
    </w:p>
    <w:p w:rsidR="002720DE" w:rsidRPr="004A5227" w:rsidRDefault="002720DE" w:rsidP="002720DE">
      <w:pPr>
        <w:pStyle w:val="subsection"/>
      </w:pPr>
      <w:r w:rsidRPr="004A5227">
        <w:tab/>
        <w:t>(5)</w:t>
      </w:r>
      <w:r w:rsidRPr="004A5227">
        <w:tab/>
        <w:t>The application lapses if the applicant fails to provide the requested information by the nominated date.</w:t>
      </w:r>
    </w:p>
    <w:p w:rsidR="002720DE" w:rsidRPr="004A5227" w:rsidRDefault="00CA6815" w:rsidP="002720DE">
      <w:pPr>
        <w:pStyle w:val="ActHead5"/>
      </w:pPr>
      <w:bookmarkStart w:id="167" w:name="_Toc413419165"/>
      <w:r w:rsidRPr="004A5227">
        <w:rPr>
          <w:rStyle w:val="CharSectno"/>
        </w:rPr>
        <w:t>120</w:t>
      </w:r>
      <w:r w:rsidR="002720DE" w:rsidRPr="004A5227">
        <w:t xml:space="preserve">  Notice of decision about exemption</w:t>
      </w:r>
      <w:bookmarkEnd w:id="167"/>
    </w:p>
    <w:p w:rsidR="002720DE" w:rsidRPr="004A5227" w:rsidRDefault="002720DE" w:rsidP="002720DE">
      <w:pPr>
        <w:pStyle w:val="subsection"/>
      </w:pPr>
      <w:r w:rsidRPr="004A5227">
        <w:tab/>
        <w:t>(1)</w:t>
      </w:r>
      <w:r w:rsidRPr="004A5227">
        <w:tab/>
        <w:t xml:space="preserve">The </w:t>
      </w:r>
      <w:proofErr w:type="spellStart"/>
      <w:r w:rsidRPr="004A5227">
        <w:t>ACMA</w:t>
      </w:r>
      <w:proofErr w:type="spellEnd"/>
      <w:r w:rsidRPr="004A5227">
        <w:t xml:space="preserve"> must notify the applicant in writing of its decision under section</w:t>
      </w:r>
      <w:r w:rsidR="004A5227" w:rsidRPr="004A5227">
        <w:t> </w:t>
      </w:r>
      <w:r w:rsidR="00CA6815" w:rsidRPr="004A5227">
        <w:t>118</w:t>
      </w:r>
      <w:r w:rsidRPr="004A5227">
        <w:t>.</w:t>
      </w:r>
    </w:p>
    <w:p w:rsidR="002720DE" w:rsidRPr="004A5227" w:rsidRDefault="002720DE" w:rsidP="002720DE">
      <w:pPr>
        <w:pStyle w:val="subsection"/>
      </w:pPr>
      <w:r w:rsidRPr="004A5227">
        <w:tab/>
        <w:t>(2)</w:t>
      </w:r>
      <w:r w:rsidRPr="004A5227">
        <w:tab/>
        <w:t xml:space="preserve">If the </w:t>
      </w:r>
      <w:proofErr w:type="spellStart"/>
      <w:r w:rsidRPr="004A5227">
        <w:t>ACMA</w:t>
      </w:r>
      <w:proofErr w:type="spellEnd"/>
      <w:r w:rsidRPr="004A5227">
        <w:t xml:space="preserve"> decides to grant an exemption, the notice must:</w:t>
      </w:r>
    </w:p>
    <w:p w:rsidR="002720DE" w:rsidRPr="004A5227" w:rsidRDefault="002720DE" w:rsidP="002720DE">
      <w:pPr>
        <w:pStyle w:val="paragraph"/>
      </w:pPr>
      <w:r w:rsidRPr="004A5227">
        <w:tab/>
        <w:t>(a)</w:t>
      </w:r>
      <w:r w:rsidRPr="004A5227">
        <w:tab/>
        <w:t>describe each obligation from which the applicant is exempted; and</w:t>
      </w:r>
    </w:p>
    <w:p w:rsidR="002720DE" w:rsidRPr="004A5227" w:rsidRDefault="002720DE" w:rsidP="002720DE">
      <w:pPr>
        <w:pStyle w:val="paragraph"/>
      </w:pPr>
      <w:r w:rsidRPr="004A5227">
        <w:tab/>
        <w:t>(b)</w:t>
      </w:r>
      <w:r w:rsidRPr="004A5227">
        <w:tab/>
        <w:t>describe the scope of the exemption (such as the period of the exemption or the class of customers to which the exemption relates); and</w:t>
      </w:r>
    </w:p>
    <w:p w:rsidR="002720DE" w:rsidRPr="004A5227" w:rsidRDefault="002720DE" w:rsidP="002720DE">
      <w:pPr>
        <w:pStyle w:val="paragraph"/>
      </w:pPr>
      <w:r w:rsidRPr="004A5227">
        <w:tab/>
        <w:t>(c)</w:t>
      </w:r>
      <w:r w:rsidRPr="004A5227">
        <w:tab/>
        <w:t>include any conditions to which the grant of the exemption is subject.</w:t>
      </w:r>
    </w:p>
    <w:p w:rsidR="002720DE" w:rsidRPr="004A5227" w:rsidRDefault="002720DE" w:rsidP="002720DE">
      <w:pPr>
        <w:pStyle w:val="subsection"/>
      </w:pPr>
      <w:r w:rsidRPr="004A5227">
        <w:lastRenderedPageBreak/>
        <w:tab/>
        <w:t>(3)</w:t>
      </w:r>
      <w:r w:rsidRPr="004A5227">
        <w:tab/>
        <w:t xml:space="preserve">If the </w:t>
      </w:r>
      <w:proofErr w:type="spellStart"/>
      <w:r w:rsidRPr="004A5227">
        <w:t>ACMA</w:t>
      </w:r>
      <w:proofErr w:type="spellEnd"/>
      <w:r w:rsidRPr="004A5227">
        <w:t xml:space="preserve"> decides to grant an exemption, the </w:t>
      </w:r>
      <w:proofErr w:type="spellStart"/>
      <w:r w:rsidRPr="004A5227">
        <w:t>ACMA</w:t>
      </w:r>
      <w:proofErr w:type="spellEnd"/>
      <w:r w:rsidRPr="004A5227">
        <w:t xml:space="preserve"> must publish a notice on the </w:t>
      </w:r>
      <w:proofErr w:type="spellStart"/>
      <w:r w:rsidRPr="004A5227">
        <w:t>ACMA’s</w:t>
      </w:r>
      <w:proofErr w:type="spellEnd"/>
      <w:r w:rsidRPr="004A5227">
        <w:t xml:space="preserve"> website stating:</w:t>
      </w:r>
    </w:p>
    <w:p w:rsidR="002720DE" w:rsidRPr="004A5227" w:rsidRDefault="002720DE" w:rsidP="002720DE">
      <w:pPr>
        <w:pStyle w:val="paragraph"/>
      </w:pPr>
      <w:r w:rsidRPr="004A5227">
        <w:tab/>
        <w:t>(a)</w:t>
      </w:r>
      <w:r w:rsidRPr="004A5227">
        <w:tab/>
        <w:t xml:space="preserve">that the </w:t>
      </w:r>
      <w:proofErr w:type="spellStart"/>
      <w:r w:rsidRPr="004A5227">
        <w:t>ACMA</w:t>
      </w:r>
      <w:proofErr w:type="spellEnd"/>
      <w:r w:rsidRPr="004A5227">
        <w:t xml:space="preserve"> has granted </w:t>
      </w:r>
      <w:r w:rsidR="00CD3D32" w:rsidRPr="004A5227">
        <w:t>the</w:t>
      </w:r>
      <w:r w:rsidRPr="004A5227">
        <w:t xml:space="preserve"> exemption; and</w:t>
      </w:r>
    </w:p>
    <w:p w:rsidR="002720DE" w:rsidRPr="004A5227" w:rsidRDefault="002720DE" w:rsidP="002720DE">
      <w:pPr>
        <w:pStyle w:val="paragraph"/>
      </w:pPr>
      <w:r w:rsidRPr="004A5227">
        <w:tab/>
        <w:t>(b)</w:t>
      </w:r>
      <w:r w:rsidRPr="004A5227">
        <w:tab/>
        <w:t xml:space="preserve">how a copy of the text of the </w:t>
      </w:r>
      <w:proofErr w:type="spellStart"/>
      <w:r w:rsidRPr="004A5227">
        <w:t>ACMA’s</w:t>
      </w:r>
      <w:proofErr w:type="spellEnd"/>
      <w:r w:rsidRPr="004A5227">
        <w:t xml:space="preserve"> decision to grant the exemption can be obtained.</w:t>
      </w:r>
    </w:p>
    <w:p w:rsidR="00D47E78" w:rsidRPr="004A5227" w:rsidRDefault="002720DE" w:rsidP="00D47E78">
      <w:pPr>
        <w:pStyle w:val="subsection"/>
      </w:pPr>
      <w:r w:rsidRPr="004A5227">
        <w:tab/>
        <w:t>(4)</w:t>
      </w:r>
      <w:r w:rsidRPr="004A5227">
        <w:tab/>
        <w:t xml:space="preserve">If the </w:t>
      </w:r>
      <w:proofErr w:type="spellStart"/>
      <w:r w:rsidRPr="004A5227">
        <w:t>ACMA</w:t>
      </w:r>
      <w:proofErr w:type="spellEnd"/>
      <w:r w:rsidRPr="004A5227">
        <w:t xml:space="preserve"> decides to grant an exemption, it must give notice of the decision to grant </w:t>
      </w:r>
      <w:r w:rsidR="00CD3D32" w:rsidRPr="004A5227">
        <w:t>the</w:t>
      </w:r>
      <w:r w:rsidRPr="004A5227">
        <w:t xml:space="preserve"> exemption to any person whom the </w:t>
      </w:r>
      <w:proofErr w:type="spellStart"/>
      <w:r w:rsidRPr="004A5227">
        <w:t>ACMA</w:t>
      </w:r>
      <w:proofErr w:type="spellEnd"/>
      <w:r w:rsidRPr="004A5227">
        <w:t xml:space="preserve"> believes may have an interest in the decision</w:t>
      </w:r>
      <w:r w:rsidR="00D47E78" w:rsidRPr="004A5227">
        <w:t>.</w:t>
      </w:r>
    </w:p>
    <w:p w:rsidR="00D47E78" w:rsidRPr="004A5227" w:rsidRDefault="00D47E78" w:rsidP="00D47E78">
      <w:pPr>
        <w:pStyle w:val="ActHead1"/>
        <w:pageBreakBefore/>
      </w:pPr>
      <w:bookmarkStart w:id="168" w:name="_Toc413419166"/>
      <w:r w:rsidRPr="004A5227">
        <w:rPr>
          <w:rStyle w:val="CharChapNo"/>
        </w:rPr>
        <w:lastRenderedPageBreak/>
        <w:t>Chapter</w:t>
      </w:r>
      <w:r w:rsidR="004A5227" w:rsidRPr="004A5227">
        <w:rPr>
          <w:rStyle w:val="CharChapNo"/>
        </w:rPr>
        <w:t> </w:t>
      </w:r>
      <w:r w:rsidR="000D4B4E" w:rsidRPr="004A5227">
        <w:rPr>
          <w:rStyle w:val="CharChapNo"/>
        </w:rPr>
        <w:t>11</w:t>
      </w:r>
      <w:r w:rsidRPr="004A5227">
        <w:t>—</w:t>
      </w:r>
      <w:r w:rsidR="00F1676D" w:rsidRPr="004A5227">
        <w:rPr>
          <w:rStyle w:val="CharChapText"/>
        </w:rPr>
        <w:t>General matters relating to a</w:t>
      </w:r>
      <w:r w:rsidRPr="004A5227">
        <w:rPr>
          <w:rStyle w:val="CharChapText"/>
        </w:rPr>
        <w:t>dministration</w:t>
      </w:r>
      <w:r w:rsidR="00F1676D" w:rsidRPr="004A5227">
        <w:rPr>
          <w:rStyle w:val="CharChapText"/>
        </w:rPr>
        <w:t>, review and reporting</w:t>
      </w:r>
      <w:bookmarkEnd w:id="168"/>
    </w:p>
    <w:p w:rsidR="00244AD0" w:rsidRPr="004A5227" w:rsidRDefault="00244AD0" w:rsidP="00244AD0">
      <w:pPr>
        <w:pStyle w:val="ActHead2"/>
      </w:pPr>
      <w:bookmarkStart w:id="169" w:name="_Toc413419167"/>
      <w:r w:rsidRPr="004A5227">
        <w:rPr>
          <w:rStyle w:val="CharPartNo"/>
        </w:rPr>
        <w:t>Part</w:t>
      </w:r>
      <w:r w:rsidR="004A5227" w:rsidRPr="004A5227">
        <w:rPr>
          <w:rStyle w:val="CharPartNo"/>
        </w:rPr>
        <w:t> </w:t>
      </w:r>
      <w:r w:rsidRPr="004A5227">
        <w:rPr>
          <w:rStyle w:val="CharPartNo"/>
        </w:rPr>
        <w:t>1</w:t>
      </w:r>
      <w:r w:rsidRPr="004A5227">
        <w:t>—</w:t>
      </w:r>
      <w:r w:rsidRPr="004A5227">
        <w:rPr>
          <w:rStyle w:val="CharPartText"/>
        </w:rPr>
        <w:t>Registration of carriage service providers</w:t>
      </w:r>
      <w:bookmarkEnd w:id="169"/>
    </w:p>
    <w:p w:rsidR="009A4D8F" w:rsidRPr="004A5227" w:rsidRDefault="009A4D8F" w:rsidP="009A4D8F">
      <w:pPr>
        <w:pStyle w:val="Header"/>
      </w:pPr>
      <w:r w:rsidRPr="004A5227">
        <w:rPr>
          <w:rStyle w:val="CharDivNo"/>
        </w:rPr>
        <w:t xml:space="preserve"> </w:t>
      </w:r>
      <w:r w:rsidRPr="004A5227">
        <w:rPr>
          <w:rStyle w:val="CharDivText"/>
        </w:rPr>
        <w:t xml:space="preserve"> </w:t>
      </w:r>
    </w:p>
    <w:p w:rsidR="00244AD0" w:rsidRPr="004A5227" w:rsidRDefault="00CA6815" w:rsidP="00244AD0">
      <w:pPr>
        <w:pStyle w:val="ActHead5"/>
      </w:pPr>
      <w:bookmarkStart w:id="170" w:name="_Toc413419168"/>
      <w:r w:rsidRPr="004A5227">
        <w:rPr>
          <w:rStyle w:val="CharSectno"/>
        </w:rPr>
        <w:t>121</w:t>
      </w:r>
      <w:r w:rsidR="00244AD0" w:rsidRPr="004A5227">
        <w:t xml:space="preserve">  Application for registration</w:t>
      </w:r>
      <w:bookmarkEnd w:id="170"/>
    </w:p>
    <w:p w:rsidR="00244AD0" w:rsidRPr="004A5227" w:rsidRDefault="00244AD0" w:rsidP="00244AD0">
      <w:pPr>
        <w:pStyle w:val="subsection"/>
      </w:pPr>
      <w:r w:rsidRPr="004A5227">
        <w:tab/>
        <w:t>(1)</w:t>
      </w:r>
      <w:r w:rsidRPr="004A5227">
        <w:tab/>
        <w:t xml:space="preserve">A carriage service provider may apply to the </w:t>
      </w:r>
      <w:proofErr w:type="spellStart"/>
      <w:r w:rsidRPr="004A5227">
        <w:t>ACMA</w:t>
      </w:r>
      <w:proofErr w:type="spellEnd"/>
      <w:r w:rsidRPr="004A5227">
        <w:t xml:space="preserve"> to be registered under </w:t>
      </w:r>
      <w:r w:rsidR="00F418CF" w:rsidRPr="004A5227">
        <w:t>section</w:t>
      </w:r>
      <w:r w:rsidR="004A5227" w:rsidRPr="004A5227">
        <w:t> </w:t>
      </w:r>
      <w:r w:rsidR="00CA6815" w:rsidRPr="004A5227">
        <w:t>122</w:t>
      </w:r>
      <w:r w:rsidRPr="004A5227">
        <w:t>.</w:t>
      </w:r>
    </w:p>
    <w:p w:rsidR="00244AD0" w:rsidRPr="004A5227" w:rsidRDefault="00244AD0" w:rsidP="00244AD0">
      <w:pPr>
        <w:pStyle w:val="subsection"/>
      </w:pPr>
      <w:r w:rsidRPr="004A5227">
        <w:tab/>
        <w:t>(2)</w:t>
      </w:r>
      <w:r w:rsidRPr="004A5227">
        <w:tab/>
        <w:t xml:space="preserve">The application must be in a form approved by the </w:t>
      </w:r>
      <w:proofErr w:type="spellStart"/>
      <w:r w:rsidRPr="004A5227">
        <w:t>ACMA</w:t>
      </w:r>
      <w:proofErr w:type="spellEnd"/>
      <w:r w:rsidRPr="004A5227">
        <w:t>.</w:t>
      </w:r>
    </w:p>
    <w:p w:rsidR="00244AD0" w:rsidRPr="004A5227" w:rsidRDefault="00244AD0" w:rsidP="00244AD0">
      <w:pPr>
        <w:pStyle w:val="subsection"/>
      </w:pPr>
      <w:r w:rsidRPr="004A5227">
        <w:tab/>
        <w:t>(3)</w:t>
      </w:r>
      <w:r w:rsidRPr="004A5227">
        <w:tab/>
        <w:t>Strict compliance with the approved form is required.</w:t>
      </w:r>
    </w:p>
    <w:p w:rsidR="00244AD0" w:rsidRPr="004A5227" w:rsidRDefault="00244AD0" w:rsidP="00244AD0">
      <w:pPr>
        <w:pStyle w:val="subsection"/>
      </w:pPr>
      <w:r w:rsidRPr="004A5227">
        <w:tab/>
        <w:t>(4)</w:t>
      </w:r>
      <w:r w:rsidRPr="004A5227">
        <w:tab/>
        <w:t>The application must be accompanied by the charge (if any) for the application fixed by a determination under section</w:t>
      </w:r>
      <w:r w:rsidR="004A5227" w:rsidRPr="004A5227">
        <w:t> </w:t>
      </w:r>
      <w:r w:rsidRPr="004A5227">
        <w:t xml:space="preserve">60 of the </w:t>
      </w:r>
      <w:r w:rsidRPr="004A5227">
        <w:rPr>
          <w:i/>
        </w:rPr>
        <w:t>Australian Communications and Media Authority Act 2005</w:t>
      </w:r>
      <w:r w:rsidRPr="004A5227">
        <w:t>.</w:t>
      </w:r>
    </w:p>
    <w:p w:rsidR="00244AD0" w:rsidRPr="004A5227" w:rsidRDefault="00CA6815" w:rsidP="00244AD0">
      <w:pPr>
        <w:pStyle w:val="ActHead5"/>
      </w:pPr>
      <w:bookmarkStart w:id="171" w:name="_Toc413419169"/>
      <w:r w:rsidRPr="004A5227">
        <w:rPr>
          <w:rStyle w:val="CharSectno"/>
        </w:rPr>
        <w:t>122</w:t>
      </w:r>
      <w:r w:rsidR="00244AD0" w:rsidRPr="004A5227">
        <w:t xml:space="preserve">  Registration of carriage service provider</w:t>
      </w:r>
      <w:bookmarkEnd w:id="171"/>
    </w:p>
    <w:p w:rsidR="00244AD0" w:rsidRPr="004A5227" w:rsidRDefault="00FE3BEE" w:rsidP="00244AD0">
      <w:pPr>
        <w:pStyle w:val="subsection"/>
      </w:pPr>
      <w:r w:rsidRPr="004A5227">
        <w:tab/>
      </w:r>
      <w:r w:rsidR="00244AD0" w:rsidRPr="004A5227">
        <w:tab/>
        <w:t xml:space="preserve">The </w:t>
      </w:r>
      <w:proofErr w:type="spellStart"/>
      <w:r w:rsidR="00244AD0" w:rsidRPr="004A5227">
        <w:t>ACMA</w:t>
      </w:r>
      <w:proofErr w:type="spellEnd"/>
      <w:r w:rsidR="00244AD0" w:rsidRPr="004A5227">
        <w:t xml:space="preserve"> must register a carriage service provider if:</w:t>
      </w:r>
    </w:p>
    <w:p w:rsidR="00244AD0" w:rsidRPr="004A5227" w:rsidRDefault="00244AD0" w:rsidP="00244AD0">
      <w:pPr>
        <w:pStyle w:val="paragraph"/>
      </w:pPr>
      <w:r w:rsidRPr="004A5227">
        <w:tab/>
        <w:t>(a)</w:t>
      </w:r>
      <w:r w:rsidRPr="004A5227">
        <w:tab/>
        <w:t>the carriage service provider has made a complete application under section</w:t>
      </w:r>
      <w:r w:rsidR="004A5227" w:rsidRPr="004A5227">
        <w:t> </w:t>
      </w:r>
      <w:r w:rsidR="00CA6815" w:rsidRPr="004A5227">
        <w:t>121</w:t>
      </w:r>
      <w:r w:rsidRPr="004A5227">
        <w:t>; and</w:t>
      </w:r>
    </w:p>
    <w:p w:rsidR="00244AD0" w:rsidRPr="004A5227" w:rsidRDefault="00244AD0" w:rsidP="00244AD0">
      <w:pPr>
        <w:pStyle w:val="paragraph"/>
      </w:pPr>
      <w:r w:rsidRPr="004A5227">
        <w:tab/>
        <w:t>(b)</w:t>
      </w:r>
      <w:r w:rsidRPr="004A5227">
        <w:tab/>
        <w:t>the carriage service provider has paid any required charge.</w:t>
      </w:r>
    </w:p>
    <w:p w:rsidR="00244AD0" w:rsidRPr="004A5227" w:rsidRDefault="00CA6815" w:rsidP="00FE3BEE">
      <w:pPr>
        <w:pStyle w:val="ActHead5"/>
      </w:pPr>
      <w:bookmarkStart w:id="172" w:name="_Toc413419170"/>
      <w:r w:rsidRPr="004A5227">
        <w:rPr>
          <w:rStyle w:val="CharSectno"/>
        </w:rPr>
        <w:t>123</w:t>
      </w:r>
      <w:r w:rsidR="00244AD0" w:rsidRPr="004A5227">
        <w:t xml:space="preserve">  Registered carriage service provider must update information</w:t>
      </w:r>
      <w:bookmarkEnd w:id="172"/>
    </w:p>
    <w:p w:rsidR="00244AD0" w:rsidRPr="004A5227" w:rsidRDefault="00244AD0" w:rsidP="00244AD0">
      <w:pPr>
        <w:pStyle w:val="subsection"/>
      </w:pPr>
      <w:r w:rsidRPr="004A5227">
        <w:tab/>
      </w:r>
      <w:r w:rsidRPr="004A5227">
        <w:tab/>
        <w:t xml:space="preserve">A registered carriage service provider must ensure that the </w:t>
      </w:r>
      <w:proofErr w:type="spellStart"/>
      <w:r w:rsidRPr="004A5227">
        <w:t>ACMA</w:t>
      </w:r>
      <w:proofErr w:type="spellEnd"/>
      <w:r w:rsidRPr="004A5227">
        <w:t xml:space="preserve"> has up to date information about the provider’s name, </w:t>
      </w:r>
      <w:proofErr w:type="spellStart"/>
      <w:r w:rsidRPr="004A5227">
        <w:t>ACN</w:t>
      </w:r>
      <w:proofErr w:type="spellEnd"/>
      <w:r w:rsidRPr="004A5227">
        <w:t xml:space="preserve"> or </w:t>
      </w:r>
      <w:proofErr w:type="spellStart"/>
      <w:r w:rsidRPr="004A5227">
        <w:t>ARBN</w:t>
      </w:r>
      <w:proofErr w:type="spellEnd"/>
      <w:r w:rsidRPr="004A5227">
        <w:t xml:space="preserve"> (if any) and contact details.</w:t>
      </w:r>
    </w:p>
    <w:p w:rsidR="00244AD0" w:rsidRPr="004A5227" w:rsidRDefault="00CA6815" w:rsidP="00244AD0">
      <w:pPr>
        <w:pStyle w:val="ActHead5"/>
      </w:pPr>
      <w:bookmarkStart w:id="173" w:name="_Toc413419171"/>
      <w:r w:rsidRPr="004A5227">
        <w:rPr>
          <w:rStyle w:val="CharSectno"/>
        </w:rPr>
        <w:t>124</w:t>
      </w:r>
      <w:r w:rsidR="009A4D8F" w:rsidRPr="004A5227">
        <w:t xml:space="preserve"> </w:t>
      </w:r>
      <w:r w:rsidR="00244AD0" w:rsidRPr="004A5227">
        <w:t xml:space="preserve"> Transitional—</w:t>
      </w:r>
      <w:r w:rsidR="00CD3D32" w:rsidRPr="004A5227">
        <w:t>r</w:t>
      </w:r>
      <w:r w:rsidR="00244AD0" w:rsidRPr="004A5227">
        <w:t>egistration under previous numbering plan</w:t>
      </w:r>
      <w:bookmarkEnd w:id="173"/>
    </w:p>
    <w:p w:rsidR="00244AD0" w:rsidRPr="004A5227" w:rsidRDefault="00244AD0" w:rsidP="00FE3BEE">
      <w:pPr>
        <w:pStyle w:val="subsection"/>
      </w:pPr>
      <w:r w:rsidRPr="004A5227">
        <w:tab/>
      </w:r>
      <w:r w:rsidRPr="004A5227">
        <w:tab/>
        <w:t xml:space="preserve">A carriage service provider that was a registered carriage service provider under the </w:t>
      </w:r>
      <w:r w:rsidRPr="004A5227">
        <w:rPr>
          <w:i/>
        </w:rPr>
        <w:t xml:space="preserve">Telecommunications Numbering Plan 1997 </w:t>
      </w:r>
      <w:r w:rsidRPr="004A5227">
        <w:t xml:space="preserve">immediately before the commencement of this </w:t>
      </w:r>
      <w:r w:rsidR="008D5584" w:rsidRPr="004A5227">
        <w:t>Part</w:t>
      </w:r>
      <w:r w:rsidRPr="004A5227">
        <w:t xml:space="preserve"> is taken to have been registered under section</w:t>
      </w:r>
      <w:r w:rsidR="004A5227" w:rsidRPr="004A5227">
        <w:t> </w:t>
      </w:r>
      <w:r w:rsidR="00CA6815" w:rsidRPr="004A5227">
        <w:t>122</w:t>
      </w:r>
      <w:r w:rsidRPr="004A5227">
        <w:t xml:space="preserve"> immediately after the commencement of this </w:t>
      </w:r>
      <w:r w:rsidR="008D5584" w:rsidRPr="004A5227">
        <w:t>Part</w:t>
      </w:r>
      <w:r w:rsidRPr="004A5227">
        <w:t>.</w:t>
      </w:r>
    </w:p>
    <w:p w:rsidR="00244AD0" w:rsidRPr="004A5227" w:rsidRDefault="00244AD0" w:rsidP="00181576">
      <w:pPr>
        <w:pStyle w:val="ActHead2"/>
        <w:pageBreakBefore/>
      </w:pPr>
      <w:bookmarkStart w:id="174" w:name="_Toc413419172"/>
      <w:r w:rsidRPr="004A5227">
        <w:rPr>
          <w:rStyle w:val="CharPartNo"/>
        </w:rPr>
        <w:lastRenderedPageBreak/>
        <w:t>Part</w:t>
      </w:r>
      <w:r w:rsidR="004A5227" w:rsidRPr="004A5227">
        <w:rPr>
          <w:rStyle w:val="CharPartNo"/>
        </w:rPr>
        <w:t> </w:t>
      </w:r>
      <w:r w:rsidRPr="004A5227">
        <w:rPr>
          <w:rStyle w:val="CharPartNo"/>
        </w:rPr>
        <w:t>2</w:t>
      </w:r>
      <w:r w:rsidRPr="004A5227">
        <w:t>—</w:t>
      </w:r>
      <w:r w:rsidRPr="004A5227">
        <w:rPr>
          <w:rStyle w:val="CharPartText"/>
        </w:rPr>
        <w:t>Monitoring and reporting</w:t>
      </w:r>
      <w:bookmarkEnd w:id="174"/>
    </w:p>
    <w:p w:rsidR="009A4D8F" w:rsidRPr="004A5227" w:rsidRDefault="009A4D8F" w:rsidP="009A4D8F">
      <w:pPr>
        <w:pStyle w:val="Header"/>
      </w:pPr>
      <w:r w:rsidRPr="004A5227">
        <w:rPr>
          <w:rStyle w:val="CharDivNo"/>
        </w:rPr>
        <w:t xml:space="preserve"> </w:t>
      </w:r>
      <w:r w:rsidRPr="004A5227">
        <w:rPr>
          <w:rStyle w:val="CharDivText"/>
        </w:rPr>
        <w:t xml:space="preserve"> </w:t>
      </w:r>
    </w:p>
    <w:p w:rsidR="00244AD0" w:rsidRPr="004A5227" w:rsidRDefault="00CA6815" w:rsidP="00244AD0">
      <w:pPr>
        <w:pStyle w:val="ActHead5"/>
      </w:pPr>
      <w:bookmarkStart w:id="175" w:name="_Toc413419173"/>
      <w:r w:rsidRPr="004A5227">
        <w:rPr>
          <w:rStyle w:val="CharSectno"/>
        </w:rPr>
        <w:t>125</w:t>
      </w:r>
      <w:r w:rsidR="00244AD0" w:rsidRPr="004A5227">
        <w:t xml:space="preserve">  Report on numbers transferred for purposes of numbering charge</w:t>
      </w:r>
      <w:bookmarkEnd w:id="175"/>
    </w:p>
    <w:p w:rsidR="00244AD0" w:rsidRPr="004A5227" w:rsidRDefault="00244AD0" w:rsidP="00244AD0">
      <w:pPr>
        <w:pStyle w:val="subsection"/>
      </w:pPr>
      <w:r w:rsidRPr="004A5227">
        <w:tab/>
        <w:t>(1)</w:t>
      </w:r>
      <w:r w:rsidRPr="004A5227">
        <w:tab/>
        <w:t>This section applies to a carriage service provider (the</w:t>
      </w:r>
      <w:r w:rsidRPr="004A5227">
        <w:rPr>
          <w:b/>
          <w:i/>
        </w:rPr>
        <w:t xml:space="preserve"> reporting carriage service provider</w:t>
      </w:r>
      <w:r w:rsidRPr="004A5227">
        <w:t>) who:</w:t>
      </w:r>
    </w:p>
    <w:p w:rsidR="00244AD0" w:rsidRPr="004A5227" w:rsidRDefault="00244AD0" w:rsidP="00244AD0">
      <w:pPr>
        <w:pStyle w:val="paragraph"/>
      </w:pPr>
      <w:r w:rsidRPr="004A5227">
        <w:tab/>
        <w:t>(a)</w:t>
      </w:r>
      <w:r w:rsidRPr="004A5227">
        <w:tab/>
        <w:t xml:space="preserve">holds (within the meaning of </w:t>
      </w:r>
      <w:r w:rsidR="006F7CD2" w:rsidRPr="004A5227">
        <w:t>this instrument</w:t>
      </w:r>
      <w:r w:rsidRPr="004A5227">
        <w:t>) a digital mobile number; and</w:t>
      </w:r>
    </w:p>
    <w:p w:rsidR="00244AD0" w:rsidRPr="004A5227" w:rsidRDefault="00244AD0" w:rsidP="00244AD0">
      <w:pPr>
        <w:pStyle w:val="paragraph"/>
      </w:pPr>
      <w:r w:rsidRPr="004A5227">
        <w:tab/>
        <w:t>(b)</w:t>
      </w:r>
      <w:r w:rsidRPr="004A5227">
        <w:tab/>
        <w:t>is a carrier in relation to a digital mobile service.</w:t>
      </w:r>
    </w:p>
    <w:p w:rsidR="00244AD0" w:rsidRPr="004A5227" w:rsidRDefault="00244AD0" w:rsidP="00244AD0">
      <w:pPr>
        <w:pStyle w:val="subsection"/>
      </w:pPr>
      <w:r w:rsidRPr="004A5227">
        <w:tab/>
        <w:t>(2)</w:t>
      </w:r>
      <w:r w:rsidRPr="004A5227">
        <w:tab/>
        <w:t xml:space="preserve">The reporting carriage service provider must give a report to the </w:t>
      </w:r>
      <w:proofErr w:type="spellStart"/>
      <w:r w:rsidRPr="004A5227">
        <w:t>ACMA</w:t>
      </w:r>
      <w:proofErr w:type="spellEnd"/>
      <w:r w:rsidRPr="004A5227">
        <w:t xml:space="preserve"> at the following times:</w:t>
      </w:r>
    </w:p>
    <w:p w:rsidR="00244AD0" w:rsidRPr="004A5227" w:rsidRDefault="00244AD0" w:rsidP="00244AD0">
      <w:pPr>
        <w:pStyle w:val="paragraph"/>
      </w:pPr>
      <w:r w:rsidRPr="004A5227">
        <w:tab/>
        <w:t>(a)</w:t>
      </w:r>
      <w:r w:rsidRPr="004A5227">
        <w:tab/>
        <w:t>each time a day is determined under subsection</w:t>
      </w:r>
      <w:r w:rsidR="004A5227" w:rsidRPr="004A5227">
        <w:t> </w:t>
      </w:r>
      <w:r w:rsidRPr="004A5227">
        <w:t xml:space="preserve">18(2) of the </w:t>
      </w:r>
      <w:r w:rsidRPr="004A5227">
        <w:rPr>
          <w:i/>
        </w:rPr>
        <w:t>Telecommunications (Numbering Charges) Act 1997—</w:t>
      </w:r>
      <w:r w:rsidR="006C6E10" w:rsidRPr="004A5227">
        <w:t>no later than</w:t>
      </w:r>
      <w:r w:rsidRPr="004A5227">
        <w:t xml:space="preserve"> 10 business days after the day that is determined;</w:t>
      </w:r>
    </w:p>
    <w:p w:rsidR="00244AD0" w:rsidRPr="004A5227" w:rsidRDefault="00244AD0" w:rsidP="00244AD0">
      <w:pPr>
        <w:pStyle w:val="paragraph"/>
      </w:pPr>
      <w:r w:rsidRPr="004A5227">
        <w:tab/>
        <w:t>(b)</w:t>
      </w:r>
      <w:r w:rsidRPr="004A5227">
        <w:tab/>
        <w:t xml:space="preserve">if the </w:t>
      </w:r>
      <w:proofErr w:type="spellStart"/>
      <w:r w:rsidRPr="004A5227">
        <w:t>AC</w:t>
      </w:r>
      <w:r w:rsidR="00C95EE9" w:rsidRPr="004A5227">
        <w:t>MA</w:t>
      </w:r>
      <w:proofErr w:type="spellEnd"/>
      <w:r w:rsidR="00C95EE9" w:rsidRPr="004A5227">
        <w:t xml:space="preserve"> requests a report in writing</w:t>
      </w:r>
      <w:r w:rsidRPr="004A5227">
        <w:t>—</w:t>
      </w:r>
      <w:r w:rsidR="006C6E10" w:rsidRPr="004A5227">
        <w:t>no later than</w:t>
      </w:r>
      <w:r w:rsidRPr="004A5227">
        <w:t xml:space="preserve"> 20 business days after the request is given.</w:t>
      </w:r>
    </w:p>
    <w:p w:rsidR="00244AD0" w:rsidRPr="004A5227" w:rsidRDefault="00244AD0" w:rsidP="00244AD0">
      <w:pPr>
        <w:pStyle w:val="subsection"/>
      </w:pPr>
      <w:r w:rsidRPr="004A5227">
        <w:tab/>
        <w:t>(3)</w:t>
      </w:r>
      <w:r w:rsidRPr="004A5227">
        <w:tab/>
        <w:t>The report must include the following:</w:t>
      </w:r>
    </w:p>
    <w:p w:rsidR="00244AD0" w:rsidRPr="004A5227" w:rsidRDefault="00244AD0" w:rsidP="00244AD0">
      <w:pPr>
        <w:pStyle w:val="paragraph"/>
      </w:pPr>
      <w:r w:rsidRPr="004A5227">
        <w:tab/>
        <w:t>(a)</w:t>
      </w:r>
      <w:r w:rsidRPr="004A5227">
        <w:tab/>
        <w:t>the name of the reporting carriage service provider;</w:t>
      </w:r>
    </w:p>
    <w:p w:rsidR="00244AD0" w:rsidRPr="004A5227" w:rsidRDefault="00244AD0" w:rsidP="00244AD0">
      <w:pPr>
        <w:pStyle w:val="paragraph"/>
      </w:pPr>
      <w:r w:rsidRPr="004A5227">
        <w:tab/>
        <w:t>(b)</w:t>
      </w:r>
      <w:r w:rsidRPr="004A5227">
        <w:tab/>
        <w:t>the digital mobile numbers that the reporting carriage service provider holds at the time of the report;</w:t>
      </w:r>
    </w:p>
    <w:p w:rsidR="00244AD0" w:rsidRPr="004A5227" w:rsidRDefault="002270CD" w:rsidP="002270CD">
      <w:pPr>
        <w:pStyle w:val="paragraph"/>
      </w:pPr>
      <w:r w:rsidRPr="004A5227">
        <w:tab/>
        <w:t>(c)</w:t>
      </w:r>
      <w:r w:rsidRPr="004A5227">
        <w:tab/>
        <w:t>f</w:t>
      </w:r>
      <w:r w:rsidR="00244AD0" w:rsidRPr="004A5227">
        <w:t xml:space="preserve">or each number mentioned in </w:t>
      </w:r>
      <w:r w:rsidR="004A5227" w:rsidRPr="004A5227">
        <w:t>paragraph (</w:t>
      </w:r>
      <w:r w:rsidR="00244AD0" w:rsidRPr="004A5227">
        <w:t xml:space="preserve">b)—the name of each other carriage service </w:t>
      </w:r>
      <w:r w:rsidR="003E041F" w:rsidRPr="004A5227">
        <w:t xml:space="preserve">provider that holds the number </w:t>
      </w:r>
      <w:r w:rsidR="00244AD0" w:rsidRPr="004A5227">
        <w:t>within the meaning of section</w:t>
      </w:r>
      <w:r w:rsidR="004A5227" w:rsidRPr="004A5227">
        <w:t> </w:t>
      </w:r>
      <w:r w:rsidR="00244AD0" w:rsidRPr="004A5227">
        <w:t xml:space="preserve">17 of the </w:t>
      </w:r>
      <w:r w:rsidR="00244AD0" w:rsidRPr="004A5227">
        <w:rPr>
          <w:i/>
        </w:rPr>
        <w:t>Telecommunications (Numbering Charges) Act 1997</w:t>
      </w:r>
      <w:r w:rsidR="00CD3D32" w:rsidRPr="004A5227">
        <w:t>;</w:t>
      </w:r>
    </w:p>
    <w:p w:rsidR="00244AD0" w:rsidRPr="004A5227" w:rsidRDefault="00244AD0" w:rsidP="00244AD0">
      <w:pPr>
        <w:pStyle w:val="paragraph"/>
      </w:pPr>
      <w:r w:rsidRPr="004A5227">
        <w:tab/>
        <w:t>(d)</w:t>
      </w:r>
      <w:r w:rsidRPr="004A5227">
        <w:tab/>
        <w:t xml:space="preserve">any other information required by the </w:t>
      </w:r>
      <w:proofErr w:type="spellStart"/>
      <w:r w:rsidRPr="004A5227">
        <w:t>ACMA</w:t>
      </w:r>
      <w:proofErr w:type="spellEnd"/>
      <w:r w:rsidRPr="004A5227">
        <w:t xml:space="preserve"> that relates to the administration of annual numbering charge.</w:t>
      </w:r>
    </w:p>
    <w:p w:rsidR="003570BB" w:rsidRPr="004A5227" w:rsidRDefault="003570BB" w:rsidP="003570BB">
      <w:pPr>
        <w:pStyle w:val="notetext"/>
      </w:pPr>
      <w:r w:rsidRPr="004A5227">
        <w:t xml:space="preserve">Note: </w:t>
      </w:r>
      <w:r w:rsidRPr="004A5227">
        <w:tab/>
        <w:t xml:space="preserve">The </w:t>
      </w:r>
      <w:r w:rsidRPr="004A5227">
        <w:rPr>
          <w:i/>
        </w:rPr>
        <w:t>Telecommunications (Numbering Charges) Act 1997</w:t>
      </w:r>
      <w:r w:rsidRPr="004A5227">
        <w:t xml:space="preserve"> </w:t>
      </w:r>
      <w:r w:rsidR="008632AB" w:rsidRPr="004A5227">
        <w:t>sets out</w:t>
      </w:r>
      <w:r w:rsidR="00EA2E6C" w:rsidRPr="004A5227">
        <w:t>,</w:t>
      </w:r>
      <w:r w:rsidR="008632AB" w:rsidRPr="004A5227">
        <w:t xml:space="preserve"> in section</w:t>
      </w:r>
      <w:r w:rsidR="004A5227" w:rsidRPr="004A5227">
        <w:t> </w:t>
      </w:r>
      <w:r w:rsidR="008632AB" w:rsidRPr="004A5227">
        <w:t>17</w:t>
      </w:r>
      <w:r w:rsidR="00EA2E6C" w:rsidRPr="004A5227">
        <w:t>,</w:t>
      </w:r>
      <w:r w:rsidR="00224C0E" w:rsidRPr="004A5227">
        <w:t xml:space="preserve"> </w:t>
      </w:r>
      <w:r w:rsidR="008632AB" w:rsidRPr="004A5227">
        <w:t>when a provider holds</w:t>
      </w:r>
      <w:r w:rsidR="001F704A" w:rsidRPr="004A5227">
        <w:t xml:space="preserve"> a number </w:t>
      </w:r>
      <w:r w:rsidRPr="004A5227">
        <w:t xml:space="preserve">for the purposes of the annual numbering charge. A different carriage service provider </w:t>
      </w:r>
      <w:r w:rsidR="00AA42F6" w:rsidRPr="004A5227">
        <w:t>may hold</w:t>
      </w:r>
      <w:r w:rsidRPr="004A5227">
        <w:t xml:space="preserve"> the number within the meaning of section</w:t>
      </w:r>
      <w:r w:rsidR="004A5227" w:rsidRPr="004A5227">
        <w:t> </w:t>
      </w:r>
      <w:r w:rsidR="00CA6815" w:rsidRPr="004A5227">
        <w:t>15</w:t>
      </w:r>
      <w:r w:rsidR="008D5584" w:rsidRPr="004A5227">
        <w:t xml:space="preserve"> of this instrument</w:t>
      </w:r>
      <w:r w:rsidRPr="004A5227">
        <w:t>.</w:t>
      </w:r>
    </w:p>
    <w:p w:rsidR="00244AD0" w:rsidRPr="004A5227" w:rsidRDefault="00244AD0" w:rsidP="00244AD0">
      <w:pPr>
        <w:pStyle w:val="subsection"/>
      </w:pPr>
      <w:r w:rsidRPr="004A5227">
        <w:tab/>
        <w:t>(4)</w:t>
      </w:r>
      <w:r w:rsidRPr="004A5227">
        <w:tab/>
        <w:t xml:space="preserve">The report must be in a form approved by the </w:t>
      </w:r>
      <w:proofErr w:type="spellStart"/>
      <w:r w:rsidRPr="004A5227">
        <w:t>ACMA</w:t>
      </w:r>
      <w:proofErr w:type="spellEnd"/>
      <w:r w:rsidRPr="004A5227">
        <w:t xml:space="preserve"> and must be given to the </w:t>
      </w:r>
      <w:proofErr w:type="spellStart"/>
      <w:r w:rsidRPr="004A5227">
        <w:t>ACMA</w:t>
      </w:r>
      <w:proofErr w:type="spellEnd"/>
      <w:r w:rsidRPr="004A5227">
        <w:t xml:space="preserve"> by a method approved by the </w:t>
      </w:r>
      <w:proofErr w:type="spellStart"/>
      <w:r w:rsidRPr="004A5227">
        <w:t>ACMA</w:t>
      </w:r>
      <w:proofErr w:type="spellEnd"/>
      <w:r w:rsidRPr="004A5227">
        <w:t>.</w:t>
      </w:r>
    </w:p>
    <w:p w:rsidR="00244AD0" w:rsidRPr="004A5227" w:rsidRDefault="00CA6815" w:rsidP="00244AD0">
      <w:pPr>
        <w:pStyle w:val="ActHead5"/>
      </w:pPr>
      <w:bookmarkStart w:id="176" w:name="_Toc413419174"/>
      <w:r w:rsidRPr="004A5227">
        <w:rPr>
          <w:rStyle w:val="CharSectno"/>
        </w:rPr>
        <w:t>126</w:t>
      </w:r>
      <w:r w:rsidR="00244AD0" w:rsidRPr="004A5227">
        <w:t xml:space="preserve">  </w:t>
      </w:r>
      <w:proofErr w:type="spellStart"/>
      <w:r w:rsidR="00244AD0" w:rsidRPr="004A5227">
        <w:t>ACMA</w:t>
      </w:r>
      <w:proofErr w:type="spellEnd"/>
      <w:r w:rsidR="00244AD0" w:rsidRPr="004A5227">
        <w:t xml:space="preserve"> usage of reports</w:t>
      </w:r>
      <w:bookmarkEnd w:id="176"/>
    </w:p>
    <w:p w:rsidR="00244AD0" w:rsidRPr="004A5227" w:rsidRDefault="00244AD0" w:rsidP="00244AD0">
      <w:pPr>
        <w:pStyle w:val="subsection"/>
      </w:pPr>
      <w:r w:rsidRPr="004A5227">
        <w:tab/>
        <w:t>(1)</w:t>
      </w:r>
      <w:r w:rsidRPr="004A5227">
        <w:tab/>
        <w:t xml:space="preserve">The </w:t>
      </w:r>
      <w:proofErr w:type="spellStart"/>
      <w:r w:rsidRPr="004A5227">
        <w:t>ACMA</w:t>
      </w:r>
      <w:proofErr w:type="spellEnd"/>
      <w:r w:rsidRPr="004A5227">
        <w:t xml:space="preserve"> must only use a report given by a carriage service provider under section</w:t>
      </w:r>
      <w:r w:rsidR="004A5227" w:rsidRPr="004A5227">
        <w:t> </w:t>
      </w:r>
      <w:r w:rsidR="00CA6815" w:rsidRPr="004A5227">
        <w:t>125</w:t>
      </w:r>
      <w:r w:rsidRPr="004A5227">
        <w:t xml:space="preserve"> to:</w:t>
      </w:r>
    </w:p>
    <w:p w:rsidR="00244AD0" w:rsidRPr="004A5227" w:rsidRDefault="00244AD0" w:rsidP="00244AD0">
      <w:pPr>
        <w:pStyle w:val="paragraph"/>
      </w:pPr>
      <w:r w:rsidRPr="004A5227">
        <w:tab/>
        <w:t>(a)</w:t>
      </w:r>
      <w:r w:rsidRPr="004A5227">
        <w:tab/>
        <w:t>identify the holder of a number within the meaning of section</w:t>
      </w:r>
      <w:r w:rsidR="004A5227" w:rsidRPr="004A5227">
        <w:t> </w:t>
      </w:r>
      <w:r w:rsidRPr="004A5227">
        <w:t xml:space="preserve">17 </w:t>
      </w:r>
      <w:r w:rsidR="00CD3D32" w:rsidRPr="004A5227">
        <w:t xml:space="preserve">of </w:t>
      </w:r>
      <w:r w:rsidRPr="004A5227">
        <w:t xml:space="preserve">the </w:t>
      </w:r>
      <w:r w:rsidRPr="004A5227">
        <w:rPr>
          <w:i/>
        </w:rPr>
        <w:t>Telecommunications (Numbering Charges) Act 1997</w:t>
      </w:r>
      <w:r w:rsidRPr="004A5227">
        <w:t>; or</w:t>
      </w:r>
    </w:p>
    <w:p w:rsidR="00244AD0" w:rsidRPr="004A5227" w:rsidRDefault="00244AD0" w:rsidP="00244AD0">
      <w:pPr>
        <w:pStyle w:val="paragraph"/>
      </w:pPr>
      <w:r w:rsidRPr="004A5227">
        <w:tab/>
        <w:t>(b)</w:t>
      </w:r>
      <w:r w:rsidRPr="004A5227">
        <w:tab/>
        <w:t>work out an amount of annual numbering charge; or</w:t>
      </w:r>
    </w:p>
    <w:p w:rsidR="00244AD0" w:rsidRPr="004A5227" w:rsidRDefault="00244AD0" w:rsidP="00244AD0">
      <w:pPr>
        <w:pStyle w:val="paragraph"/>
      </w:pPr>
      <w:r w:rsidRPr="004A5227">
        <w:tab/>
        <w:t>(c)</w:t>
      </w:r>
      <w:r w:rsidRPr="004A5227">
        <w:tab/>
        <w:t>otherwise administer annual numbering charge.</w:t>
      </w:r>
    </w:p>
    <w:p w:rsidR="00244AD0" w:rsidRPr="004A5227" w:rsidRDefault="00244AD0" w:rsidP="00244AD0">
      <w:pPr>
        <w:pStyle w:val="subsection"/>
      </w:pPr>
      <w:r w:rsidRPr="004A5227">
        <w:tab/>
        <w:t>(2)</w:t>
      </w:r>
      <w:r w:rsidRPr="004A5227">
        <w:tab/>
        <w:t xml:space="preserve">If the </w:t>
      </w:r>
      <w:proofErr w:type="spellStart"/>
      <w:r w:rsidRPr="004A5227">
        <w:t>ACMA</w:t>
      </w:r>
      <w:proofErr w:type="spellEnd"/>
      <w:r w:rsidRPr="004A5227">
        <w:t xml:space="preserve"> is not given a report by a carriage service provider by the time required under section</w:t>
      </w:r>
      <w:r w:rsidR="004A5227" w:rsidRPr="004A5227">
        <w:t> </w:t>
      </w:r>
      <w:r w:rsidR="00CA6815" w:rsidRPr="004A5227">
        <w:t>125</w:t>
      </w:r>
      <w:r w:rsidRPr="004A5227">
        <w:t xml:space="preserve">, the </w:t>
      </w:r>
      <w:proofErr w:type="spellStart"/>
      <w:r w:rsidRPr="004A5227">
        <w:t>ACMA</w:t>
      </w:r>
      <w:proofErr w:type="spellEnd"/>
      <w:r w:rsidRPr="004A5227">
        <w:t xml:space="preserve"> may rely on available information to:</w:t>
      </w:r>
    </w:p>
    <w:p w:rsidR="00244AD0" w:rsidRPr="004A5227" w:rsidRDefault="00244AD0" w:rsidP="00244AD0">
      <w:pPr>
        <w:pStyle w:val="paragraph"/>
      </w:pPr>
      <w:r w:rsidRPr="004A5227">
        <w:tab/>
        <w:t>(a)</w:t>
      </w:r>
      <w:r w:rsidRPr="004A5227">
        <w:tab/>
        <w:t>identify the holder of a number within the meaning of section</w:t>
      </w:r>
      <w:r w:rsidR="004A5227" w:rsidRPr="004A5227">
        <w:t> </w:t>
      </w:r>
      <w:r w:rsidRPr="004A5227">
        <w:t xml:space="preserve">17 of the </w:t>
      </w:r>
      <w:r w:rsidRPr="004A5227">
        <w:rPr>
          <w:i/>
        </w:rPr>
        <w:t>Telecommunications (Numbering Charges) Act 1997</w:t>
      </w:r>
      <w:r w:rsidRPr="004A5227">
        <w:t>; or</w:t>
      </w:r>
    </w:p>
    <w:p w:rsidR="00244AD0" w:rsidRPr="004A5227" w:rsidRDefault="00244AD0" w:rsidP="00244AD0">
      <w:pPr>
        <w:pStyle w:val="paragraph"/>
      </w:pPr>
      <w:r w:rsidRPr="004A5227">
        <w:tab/>
        <w:t>(b)</w:t>
      </w:r>
      <w:r w:rsidRPr="004A5227">
        <w:tab/>
        <w:t>work out an amount of annual numbering charge; or</w:t>
      </w:r>
    </w:p>
    <w:p w:rsidR="00244AD0" w:rsidRPr="004A5227" w:rsidRDefault="00244AD0" w:rsidP="00293747">
      <w:pPr>
        <w:pStyle w:val="paragraph"/>
      </w:pPr>
      <w:r w:rsidRPr="004A5227">
        <w:lastRenderedPageBreak/>
        <w:tab/>
        <w:t>(c)</w:t>
      </w:r>
      <w:r w:rsidRPr="004A5227">
        <w:tab/>
        <w:t>otherwise administer annual numbering charge.</w:t>
      </w:r>
    </w:p>
    <w:p w:rsidR="00244AD0" w:rsidRPr="004A5227" w:rsidRDefault="00244AD0" w:rsidP="00244AD0">
      <w:pPr>
        <w:pStyle w:val="ActHead2"/>
        <w:pageBreakBefore/>
      </w:pPr>
      <w:bookmarkStart w:id="177" w:name="_Toc413419175"/>
      <w:r w:rsidRPr="004A5227">
        <w:rPr>
          <w:rStyle w:val="CharPartNo"/>
        </w:rPr>
        <w:lastRenderedPageBreak/>
        <w:t>Part</w:t>
      </w:r>
      <w:r w:rsidR="004A5227" w:rsidRPr="004A5227">
        <w:rPr>
          <w:rStyle w:val="CharPartNo"/>
        </w:rPr>
        <w:t> </w:t>
      </w:r>
      <w:r w:rsidRPr="004A5227">
        <w:rPr>
          <w:rStyle w:val="CharPartNo"/>
        </w:rPr>
        <w:t>3</w:t>
      </w:r>
      <w:r w:rsidRPr="004A5227">
        <w:t>—</w:t>
      </w:r>
      <w:r w:rsidRPr="004A5227">
        <w:rPr>
          <w:rStyle w:val="CharPartText"/>
        </w:rPr>
        <w:t>Review of decisions</w:t>
      </w:r>
      <w:bookmarkEnd w:id="177"/>
    </w:p>
    <w:p w:rsidR="00E31C4C" w:rsidRPr="004A5227" w:rsidRDefault="00E31C4C" w:rsidP="00E31C4C">
      <w:pPr>
        <w:pStyle w:val="Header"/>
      </w:pPr>
      <w:r w:rsidRPr="004A5227">
        <w:rPr>
          <w:rStyle w:val="CharDivNo"/>
        </w:rPr>
        <w:t xml:space="preserve"> </w:t>
      </w:r>
      <w:r w:rsidRPr="004A5227">
        <w:rPr>
          <w:rStyle w:val="CharDivText"/>
        </w:rPr>
        <w:t xml:space="preserve"> </w:t>
      </w:r>
    </w:p>
    <w:p w:rsidR="00545827" w:rsidRPr="004A5227" w:rsidRDefault="00CA6815" w:rsidP="00545827">
      <w:pPr>
        <w:pStyle w:val="ActHead5"/>
      </w:pPr>
      <w:bookmarkStart w:id="178" w:name="_Toc413419176"/>
      <w:r w:rsidRPr="004A5227">
        <w:rPr>
          <w:rStyle w:val="CharSectno"/>
        </w:rPr>
        <w:t>127</w:t>
      </w:r>
      <w:r w:rsidR="00545827" w:rsidRPr="004A5227">
        <w:t xml:space="preserve">  Reviewable decisions</w:t>
      </w:r>
      <w:bookmarkEnd w:id="178"/>
    </w:p>
    <w:p w:rsidR="00545827" w:rsidRPr="004A5227" w:rsidRDefault="00545827" w:rsidP="00545827">
      <w:pPr>
        <w:pStyle w:val="subsection"/>
      </w:pPr>
      <w:r w:rsidRPr="004A5227">
        <w:tab/>
      </w:r>
      <w:r w:rsidRPr="004A5227">
        <w:tab/>
        <w:t xml:space="preserve">Each of the following is a </w:t>
      </w:r>
      <w:r w:rsidRPr="004A5227">
        <w:rPr>
          <w:b/>
          <w:i/>
        </w:rPr>
        <w:t>reviewable decision</w:t>
      </w:r>
      <w:r w:rsidRPr="004A5227">
        <w:t>:</w:t>
      </w:r>
    </w:p>
    <w:p w:rsidR="00545827" w:rsidRPr="004A5227" w:rsidRDefault="003F12E8" w:rsidP="00545827">
      <w:pPr>
        <w:pStyle w:val="paragraph"/>
      </w:pPr>
      <w:r w:rsidRPr="004A5227">
        <w:tab/>
        <w:t>(a)</w:t>
      </w:r>
      <w:r w:rsidRPr="004A5227">
        <w:tab/>
      </w:r>
      <w:r w:rsidR="00545827" w:rsidRPr="004A5227">
        <w:t>a decision under subsection</w:t>
      </w:r>
      <w:r w:rsidR="004A5227" w:rsidRPr="004A5227">
        <w:t> </w:t>
      </w:r>
      <w:r w:rsidR="00CA6815" w:rsidRPr="004A5227">
        <w:t>34</w:t>
      </w:r>
      <w:r w:rsidR="00545827" w:rsidRPr="004A5227">
        <w:t xml:space="preserve">(4) </w:t>
      </w:r>
      <w:r w:rsidR="00DF1C4C" w:rsidRPr="004A5227">
        <w:t>not</w:t>
      </w:r>
      <w:r w:rsidR="00545827" w:rsidRPr="004A5227">
        <w:t xml:space="preserve"> to approve an operation plan;</w:t>
      </w:r>
    </w:p>
    <w:p w:rsidR="00545827" w:rsidRPr="004A5227" w:rsidRDefault="003F12E8" w:rsidP="00545827">
      <w:pPr>
        <w:pStyle w:val="paragraph"/>
      </w:pPr>
      <w:r w:rsidRPr="004A5227">
        <w:tab/>
        <w:t>(b)</w:t>
      </w:r>
      <w:r w:rsidRPr="004A5227">
        <w:tab/>
      </w:r>
      <w:r w:rsidR="00545827" w:rsidRPr="004A5227">
        <w:t xml:space="preserve">a </w:t>
      </w:r>
      <w:r w:rsidR="009D3900" w:rsidRPr="004A5227">
        <w:t>decision under subsection</w:t>
      </w:r>
      <w:r w:rsidR="004A5227" w:rsidRPr="004A5227">
        <w:t> </w:t>
      </w:r>
      <w:r w:rsidR="00CA6815" w:rsidRPr="004A5227">
        <w:t>35</w:t>
      </w:r>
      <w:r w:rsidR="009D3900" w:rsidRPr="004A5227">
        <w:t>(3</w:t>
      </w:r>
      <w:r w:rsidR="00545827" w:rsidRPr="004A5227">
        <w:t xml:space="preserve">) </w:t>
      </w:r>
      <w:r w:rsidR="00DF1C4C" w:rsidRPr="004A5227">
        <w:t>not</w:t>
      </w:r>
      <w:r w:rsidR="00545827" w:rsidRPr="004A5227">
        <w:t xml:space="preserve"> to approve:</w:t>
      </w:r>
    </w:p>
    <w:p w:rsidR="00545827" w:rsidRPr="004A5227" w:rsidRDefault="00545827" w:rsidP="00545827">
      <w:pPr>
        <w:pStyle w:val="paragraphsub"/>
      </w:pPr>
      <w:r w:rsidRPr="004A5227">
        <w:tab/>
        <w:t>(</w:t>
      </w:r>
      <w:proofErr w:type="spellStart"/>
      <w:r w:rsidRPr="004A5227">
        <w:t>i</w:t>
      </w:r>
      <w:proofErr w:type="spellEnd"/>
      <w:r w:rsidRPr="004A5227">
        <w:t>)</w:t>
      </w:r>
      <w:r w:rsidRPr="004A5227">
        <w:tab/>
        <w:t>an amendment of an operation plan; or</w:t>
      </w:r>
    </w:p>
    <w:p w:rsidR="00545827" w:rsidRPr="004A5227" w:rsidRDefault="00545827" w:rsidP="00545827">
      <w:pPr>
        <w:pStyle w:val="paragraphsub"/>
      </w:pPr>
      <w:r w:rsidRPr="004A5227">
        <w:tab/>
        <w:t>(ii)</w:t>
      </w:r>
      <w:r w:rsidRPr="004A5227">
        <w:tab/>
        <w:t>a replacement operation plan;</w:t>
      </w:r>
    </w:p>
    <w:p w:rsidR="00545827" w:rsidRPr="004A5227" w:rsidRDefault="003F12E8" w:rsidP="00545827">
      <w:pPr>
        <w:pStyle w:val="paragraph"/>
      </w:pPr>
      <w:r w:rsidRPr="004A5227">
        <w:tab/>
        <w:t>(c)</w:t>
      </w:r>
      <w:r w:rsidRPr="004A5227">
        <w:tab/>
      </w:r>
      <w:r w:rsidR="00545827" w:rsidRPr="004A5227">
        <w:t>a decision under subsection</w:t>
      </w:r>
      <w:r w:rsidR="004A5227" w:rsidRPr="004A5227">
        <w:t> </w:t>
      </w:r>
      <w:r w:rsidR="00CA6815" w:rsidRPr="004A5227">
        <w:t>36</w:t>
      </w:r>
      <w:r w:rsidR="00545827" w:rsidRPr="004A5227">
        <w:t>(1) to direct a carriage service provider to amend or replace an approved operation plan;</w:t>
      </w:r>
    </w:p>
    <w:p w:rsidR="00DF1C4C" w:rsidRPr="004A5227" w:rsidRDefault="003F12E8" w:rsidP="00545827">
      <w:pPr>
        <w:pStyle w:val="paragraph"/>
      </w:pPr>
      <w:r w:rsidRPr="004A5227">
        <w:tab/>
        <w:t>(d)</w:t>
      </w:r>
      <w:r w:rsidRPr="004A5227">
        <w:tab/>
      </w:r>
      <w:r w:rsidR="00DF1C4C" w:rsidRPr="004A5227">
        <w:t>a decision under subsection</w:t>
      </w:r>
      <w:r w:rsidR="004A5227" w:rsidRPr="004A5227">
        <w:t> </w:t>
      </w:r>
      <w:r w:rsidR="00CA6815" w:rsidRPr="004A5227">
        <w:t>36</w:t>
      </w:r>
      <w:r w:rsidR="00DF1C4C" w:rsidRPr="004A5227">
        <w:t>(4) that a carriage service provider has not complied with a direction;</w:t>
      </w:r>
    </w:p>
    <w:p w:rsidR="003B5ACA" w:rsidRPr="004A5227" w:rsidRDefault="003F12E8" w:rsidP="003B5ACA">
      <w:pPr>
        <w:pStyle w:val="paragraph"/>
      </w:pPr>
      <w:r w:rsidRPr="004A5227">
        <w:tab/>
        <w:t>(e)</w:t>
      </w:r>
      <w:r w:rsidRPr="004A5227">
        <w:tab/>
      </w:r>
      <w:r w:rsidR="003B5ACA" w:rsidRPr="004A5227">
        <w:t>a decision under subsection</w:t>
      </w:r>
      <w:r w:rsidR="004A5227" w:rsidRPr="004A5227">
        <w:t> </w:t>
      </w:r>
      <w:r w:rsidR="00CA6815" w:rsidRPr="004A5227">
        <w:t>48</w:t>
      </w:r>
      <w:r w:rsidR="003B5ACA" w:rsidRPr="004A5227">
        <w:t>(</w:t>
      </w:r>
      <w:r w:rsidR="00E65BE7" w:rsidRPr="004A5227">
        <w:t>7</w:t>
      </w:r>
      <w:r w:rsidR="003B5ACA" w:rsidRPr="004A5227">
        <w:t>) not to approve an application for allocation of an international signalling point code;</w:t>
      </w:r>
    </w:p>
    <w:p w:rsidR="00DF1C4C" w:rsidRPr="004A5227" w:rsidRDefault="003F12E8" w:rsidP="003B5ACA">
      <w:pPr>
        <w:pStyle w:val="paragraph"/>
      </w:pPr>
      <w:r w:rsidRPr="004A5227">
        <w:tab/>
        <w:t>(f)</w:t>
      </w:r>
      <w:r w:rsidRPr="004A5227">
        <w:tab/>
      </w:r>
      <w:r w:rsidR="00DF1C4C" w:rsidRPr="004A5227">
        <w:t>a decision under subsection</w:t>
      </w:r>
      <w:r w:rsidR="004A5227" w:rsidRPr="004A5227">
        <w:t> </w:t>
      </w:r>
      <w:r w:rsidR="00CA6815" w:rsidRPr="004A5227">
        <w:t>51</w:t>
      </w:r>
      <w:r w:rsidR="00AD5C52" w:rsidRPr="004A5227">
        <w:t>(7</w:t>
      </w:r>
      <w:r w:rsidR="00DF1C4C" w:rsidRPr="004A5227">
        <w:t xml:space="preserve">) not to approve an </w:t>
      </w:r>
      <w:r w:rsidR="00D575E7" w:rsidRPr="004A5227">
        <w:t>application for allocation of a</w:t>
      </w:r>
      <w:r w:rsidR="00DF1C4C" w:rsidRPr="004A5227">
        <w:t xml:space="preserve"> mobile network code;</w:t>
      </w:r>
    </w:p>
    <w:p w:rsidR="0066556A" w:rsidRPr="004A5227" w:rsidRDefault="003F12E8" w:rsidP="003B5ACA">
      <w:pPr>
        <w:pStyle w:val="paragraph"/>
      </w:pPr>
      <w:r w:rsidRPr="004A5227">
        <w:tab/>
        <w:t>(g)</w:t>
      </w:r>
      <w:r w:rsidRPr="004A5227">
        <w:tab/>
      </w:r>
      <w:r w:rsidR="0066556A" w:rsidRPr="004A5227">
        <w:t>a decision under subsection</w:t>
      </w:r>
      <w:r w:rsidR="004A5227" w:rsidRPr="004A5227">
        <w:t> </w:t>
      </w:r>
      <w:r w:rsidR="00CA6815" w:rsidRPr="004A5227">
        <w:t>53</w:t>
      </w:r>
      <w:r w:rsidR="0066556A" w:rsidRPr="004A5227">
        <w:t>(1) to withdraw an international signalling point code</w:t>
      </w:r>
      <w:r w:rsidR="0044177D" w:rsidRPr="004A5227">
        <w:t xml:space="preserve"> or a mobile network code</w:t>
      </w:r>
      <w:r w:rsidR="0066556A" w:rsidRPr="004A5227">
        <w:t>;</w:t>
      </w:r>
    </w:p>
    <w:p w:rsidR="00545827" w:rsidRPr="004A5227" w:rsidRDefault="003F12E8" w:rsidP="00545827">
      <w:pPr>
        <w:pStyle w:val="paragraph"/>
      </w:pPr>
      <w:r w:rsidRPr="004A5227">
        <w:tab/>
        <w:t>(</w:t>
      </w:r>
      <w:r w:rsidR="0044177D" w:rsidRPr="004A5227">
        <w:t>h</w:t>
      </w:r>
      <w:r w:rsidRPr="004A5227">
        <w:t>)</w:t>
      </w:r>
      <w:r w:rsidRPr="004A5227">
        <w:tab/>
      </w:r>
      <w:r w:rsidR="00F811D9" w:rsidRPr="004A5227">
        <w:t xml:space="preserve">a decision under </w:t>
      </w:r>
      <w:r w:rsidR="00DF1C4C" w:rsidRPr="004A5227">
        <w:t>s</w:t>
      </w:r>
      <w:r w:rsidR="00696764" w:rsidRPr="004A5227">
        <w:t>ection</w:t>
      </w:r>
      <w:r w:rsidR="004A5227" w:rsidRPr="004A5227">
        <w:t> </w:t>
      </w:r>
      <w:r w:rsidR="00CA6815" w:rsidRPr="004A5227">
        <w:t>60</w:t>
      </w:r>
      <w:r w:rsidR="00545827" w:rsidRPr="004A5227">
        <w:t xml:space="preserve"> </w:t>
      </w:r>
      <w:r w:rsidR="00696764" w:rsidRPr="004A5227">
        <w:t>not to approve</w:t>
      </w:r>
      <w:r w:rsidR="00545827" w:rsidRPr="004A5227">
        <w:t xml:space="preserve"> an applicat</w:t>
      </w:r>
      <w:r w:rsidR="004947BE" w:rsidRPr="004A5227">
        <w:t xml:space="preserve">ion for allocation of </w:t>
      </w:r>
      <w:r w:rsidR="0044177D" w:rsidRPr="004A5227">
        <w:t>a carriage service provider identification code because of the ground in subsection</w:t>
      </w:r>
      <w:r w:rsidR="004A5227" w:rsidRPr="004A5227">
        <w:t> </w:t>
      </w:r>
      <w:r w:rsidR="00CA6815" w:rsidRPr="004A5227">
        <w:t>60</w:t>
      </w:r>
      <w:r w:rsidR="0044177D" w:rsidRPr="004A5227">
        <w:t>(3)</w:t>
      </w:r>
      <w:r w:rsidR="004947BE" w:rsidRPr="004A5227">
        <w:t>;</w:t>
      </w:r>
    </w:p>
    <w:p w:rsidR="00545827" w:rsidRPr="004A5227" w:rsidRDefault="0044177D" w:rsidP="00545827">
      <w:pPr>
        <w:pStyle w:val="paragraph"/>
      </w:pPr>
      <w:r w:rsidRPr="004A5227">
        <w:tab/>
        <w:t>(</w:t>
      </w:r>
      <w:proofErr w:type="spellStart"/>
      <w:r w:rsidRPr="004A5227">
        <w:t>i</w:t>
      </w:r>
      <w:proofErr w:type="spellEnd"/>
      <w:r w:rsidR="003F12E8" w:rsidRPr="004A5227">
        <w:t>)</w:t>
      </w:r>
      <w:r w:rsidR="003F12E8" w:rsidRPr="004A5227">
        <w:tab/>
      </w:r>
      <w:r w:rsidR="00545827" w:rsidRPr="004A5227">
        <w:t xml:space="preserve">a decision under </w:t>
      </w:r>
      <w:r w:rsidR="00696764" w:rsidRPr="004A5227">
        <w:t>subsection</w:t>
      </w:r>
      <w:r w:rsidR="004A5227" w:rsidRPr="004A5227">
        <w:t> </w:t>
      </w:r>
      <w:r w:rsidR="00CA6815" w:rsidRPr="004A5227">
        <w:t>61</w:t>
      </w:r>
      <w:r w:rsidR="00696764" w:rsidRPr="004A5227">
        <w:t xml:space="preserve">(3) </w:t>
      </w:r>
      <w:r w:rsidR="00545827" w:rsidRPr="004A5227">
        <w:t>to allocate a</w:t>
      </w:r>
      <w:r w:rsidR="00696764" w:rsidRPr="004A5227">
        <w:t xml:space="preserve"> number subject to a condition;</w:t>
      </w:r>
    </w:p>
    <w:p w:rsidR="00545827" w:rsidRPr="004A5227" w:rsidRDefault="0044177D" w:rsidP="00545827">
      <w:pPr>
        <w:pStyle w:val="paragraph"/>
      </w:pPr>
      <w:r w:rsidRPr="004A5227">
        <w:tab/>
        <w:t>(j</w:t>
      </w:r>
      <w:r w:rsidR="003F12E8" w:rsidRPr="004A5227">
        <w:t>)</w:t>
      </w:r>
      <w:r w:rsidR="003F12E8" w:rsidRPr="004A5227">
        <w:tab/>
      </w:r>
      <w:r w:rsidR="00D61E6A" w:rsidRPr="004A5227">
        <w:t>a decision under subsection</w:t>
      </w:r>
      <w:r w:rsidR="004A5227" w:rsidRPr="004A5227">
        <w:t> </w:t>
      </w:r>
      <w:r w:rsidR="00CA6815" w:rsidRPr="004A5227">
        <w:t>61</w:t>
      </w:r>
      <w:r w:rsidR="00D61E6A" w:rsidRPr="004A5227">
        <w:t xml:space="preserve">(4) </w:t>
      </w:r>
      <w:r w:rsidR="00545827" w:rsidRPr="004A5227">
        <w:t>to allocate a number with effect fro</w:t>
      </w:r>
      <w:r w:rsidR="00D61E6A" w:rsidRPr="004A5227">
        <w:t>m, or until, a particular date;</w:t>
      </w:r>
    </w:p>
    <w:p w:rsidR="00D61E6A" w:rsidRPr="004A5227" w:rsidRDefault="0044177D" w:rsidP="00545827">
      <w:pPr>
        <w:pStyle w:val="paragraph"/>
      </w:pPr>
      <w:r w:rsidRPr="004A5227">
        <w:tab/>
        <w:t>(k</w:t>
      </w:r>
      <w:r w:rsidR="003F12E8" w:rsidRPr="004A5227">
        <w:t>)</w:t>
      </w:r>
      <w:r w:rsidR="003F12E8" w:rsidRPr="004A5227">
        <w:tab/>
      </w:r>
      <w:r w:rsidR="00D61E6A" w:rsidRPr="004A5227">
        <w:t>a decision under s</w:t>
      </w:r>
      <w:r w:rsidR="00DF1C4C" w:rsidRPr="004A5227">
        <w:t>ubs</w:t>
      </w:r>
      <w:r w:rsidR="00D61E6A" w:rsidRPr="004A5227">
        <w:t>ection</w:t>
      </w:r>
      <w:r w:rsidR="004A5227" w:rsidRPr="004A5227">
        <w:t> </w:t>
      </w:r>
      <w:r w:rsidR="00CA6815" w:rsidRPr="004A5227">
        <w:t>64</w:t>
      </w:r>
      <w:r w:rsidR="00DF1C4C" w:rsidRPr="004A5227">
        <w:t>(1)</w:t>
      </w:r>
      <w:r w:rsidR="00D61E6A" w:rsidRPr="004A5227">
        <w:t xml:space="preserve"> not to approve an application for allocation of a number;</w:t>
      </w:r>
    </w:p>
    <w:p w:rsidR="00D61E6A" w:rsidRPr="004A5227" w:rsidRDefault="0044177D" w:rsidP="00D61E6A">
      <w:pPr>
        <w:pStyle w:val="paragraph"/>
      </w:pPr>
      <w:r w:rsidRPr="004A5227">
        <w:tab/>
        <w:t>(l</w:t>
      </w:r>
      <w:r w:rsidR="003F12E8" w:rsidRPr="004A5227">
        <w:t>)</w:t>
      </w:r>
      <w:r w:rsidR="003F12E8" w:rsidRPr="004A5227">
        <w:tab/>
      </w:r>
      <w:r w:rsidR="00D61E6A" w:rsidRPr="004A5227">
        <w:t>a decision under subsection</w:t>
      </w:r>
      <w:r w:rsidR="004A5227" w:rsidRPr="004A5227">
        <w:t> </w:t>
      </w:r>
      <w:r w:rsidR="00CA6815" w:rsidRPr="004A5227">
        <w:t>68</w:t>
      </w:r>
      <w:r w:rsidR="00D61E6A" w:rsidRPr="004A5227">
        <w:t>(2) to allocate a number subject to a condition;</w:t>
      </w:r>
    </w:p>
    <w:p w:rsidR="00172E11" w:rsidRPr="004A5227" w:rsidRDefault="0044177D" w:rsidP="00172E11">
      <w:pPr>
        <w:pStyle w:val="paragraph"/>
      </w:pPr>
      <w:r w:rsidRPr="004A5227">
        <w:tab/>
        <w:t>(m</w:t>
      </w:r>
      <w:r w:rsidR="003F12E8" w:rsidRPr="004A5227">
        <w:t>)</w:t>
      </w:r>
      <w:r w:rsidR="003F12E8" w:rsidRPr="004A5227">
        <w:tab/>
      </w:r>
      <w:r w:rsidR="00D61E6A" w:rsidRPr="004A5227">
        <w:t>a decision under subsection</w:t>
      </w:r>
      <w:r w:rsidR="004A5227" w:rsidRPr="004A5227">
        <w:t> </w:t>
      </w:r>
      <w:r w:rsidR="00CA6815" w:rsidRPr="004A5227">
        <w:t>68</w:t>
      </w:r>
      <w:r w:rsidR="00D61E6A" w:rsidRPr="004A5227">
        <w:t>(4) to allocate a number with effect from, or until, a particular date;</w:t>
      </w:r>
    </w:p>
    <w:p w:rsidR="00DF1C4C" w:rsidRPr="004A5227" w:rsidRDefault="0044177D" w:rsidP="00172E11">
      <w:pPr>
        <w:pStyle w:val="paragraph"/>
      </w:pPr>
      <w:r w:rsidRPr="004A5227">
        <w:tab/>
        <w:t>(n</w:t>
      </w:r>
      <w:r w:rsidR="003F12E8" w:rsidRPr="004A5227">
        <w:t>)</w:t>
      </w:r>
      <w:r w:rsidR="003F12E8" w:rsidRPr="004A5227">
        <w:tab/>
      </w:r>
      <w:r w:rsidR="00DF1C4C" w:rsidRPr="004A5227">
        <w:t>a decision under subsection</w:t>
      </w:r>
      <w:r w:rsidR="004A5227" w:rsidRPr="004A5227">
        <w:t> </w:t>
      </w:r>
      <w:r w:rsidR="00CA6815" w:rsidRPr="004A5227">
        <w:t>85</w:t>
      </w:r>
      <w:r w:rsidR="00DF1C4C" w:rsidRPr="004A5227">
        <w:t xml:space="preserve">(1) to cancel the enhanced rights of use for a </w:t>
      </w:r>
      <w:proofErr w:type="spellStart"/>
      <w:r w:rsidR="00DF1C4C" w:rsidRPr="004A5227">
        <w:t>smartnumber</w:t>
      </w:r>
      <w:proofErr w:type="spellEnd"/>
      <w:r w:rsidR="00DF1C4C" w:rsidRPr="004A5227">
        <w:t>;</w:t>
      </w:r>
    </w:p>
    <w:p w:rsidR="00545827" w:rsidRPr="004A5227" w:rsidRDefault="0044177D" w:rsidP="00172E11">
      <w:pPr>
        <w:pStyle w:val="paragraph"/>
      </w:pPr>
      <w:r w:rsidRPr="004A5227">
        <w:tab/>
        <w:t>(o</w:t>
      </w:r>
      <w:r w:rsidR="003F12E8" w:rsidRPr="004A5227">
        <w:t>)</w:t>
      </w:r>
      <w:r w:rsidR="003F12E8" w:rsidRPr="004A5227">
        <w:tab/>
      </w:r>
      <w:r w:rsidR="00545827" w:rsidRPr="004A5227">
        <w:t>a decision under subsection</w:t>
      </w:r>
      <w:r w:rsidR="004A5227" w:rsidRPr="004A5227">
        <w:t> </w:t>
      </w:r>
      <w:r w:rsidR="00CA6815" w:rsidRPr="004A5227">
        <w:t>89</w:t>
      </w:r>
      <w:r w:rsidR="00545827" w:rsidRPr="004A5227">
        <w:t xml:space="preserve">(1) </w:t>
      </w:r>
      <w:r w:rsidR="00F811D9" w:rsidRPr="004A5227">
        <w:t>not to approve an</w:t>
      </w:r>
      <w:r w:rsidR="00545827" w:rsidRPr="004A5227">
        <w:t xml:space="preserve"> application to surrender a number;</w:t>
      </w:r>
    </w:p>
    <w:p w:rsidR="00545827" w:rsidRPr="004A5227" w:rsidRDefault="0044177D" w:rsidP="00545827">
      <w:pPr>
        <w:pStyle w:val="paragraph"/>
      </w:pPr>
      <w:r w:rsidRPr="004A5227">
        <w:tab/>
        <w:t>(p</w:t>
      </w:r>
      <w:r w:rsidR="003F12E8" w:rsidRPr="004A5227">
        <w:t>)</w:t>
      </w:r>
      <w:r w:rsidR="003F12E8" w:rsidRPr="004A5227">
        <w:tab/>
      </w:r>
      <w:r w:rsidR="00545827" w:rsidRPr="004A5227">
        <w:t>a decision under subsection</w:t>
      </w:r>
      <w:r w:rsidR="004A5227" w:rsidRPr="004A5227">
        <w:t> </w:t>
      </w:r>
      <w:r w:rsidR="00CA6815" w:rsidRPr="004A5227">
        <w:t>91</w:t>
      </w:r>
      <w:r w:rsidR="00545827" w:rsidRPr="004A5227">
        <w:t>(1) to withdraw a number;</w:t>
      </w:r>
    </w:p>
    <w:p w:rsidR="00545827" w:rsidRPr="004A5227" w:rsidRDefault="0044177D" w:rsidP="00545827">
      <w:pPr>
        <w:pStyle w:val="paragraph"/>
      </w:pPr>
      <w:r w:rsidRPr="004A5227">
        <w:tab/>
        <w:t>(q</w:t>
      </w:r>
      <w:r w:rsidR="003F12E8" w:rsidRPr="004A5227">
        <w:t>)</w:t>
      </w:r>
      <w:r w:rsidR="003F12E8" w:rsidRPr="004A5227">
        <w:tab/>
      </w:r>
      <w:r w:rsidR="00545827" w:rsidRPr="004A5227">
        <w:t>a decision under subsection</w:t>
      </w:r>
      <w:r w:rsidR="004A5227" w:rsidRPr="004A5227">
        <w:t> </w:t>
      </w:r>
      <w:r w:rsidR="00CA6815" w:rsidRPr="004A5227">
        <w:t>92</w:t>
      </w:r>
      <w:r w:rsidR="00545827" w:rsidRPr="004A5227">
        <w:t>(1) to withdraw a number;</w:t>
      </w:r>
    </w:p>
    <w:p w:rsidR="00545827" w:rsidRPr="004A5227" w:rsidRDefault="0044177D" w:rsidP="00545827">
      <w:pPr>
        <w:pStyle w:val="paragraph"/>
      </w:pPr>
      <w:r w:rsidRPr="004A5227">
        <w:tab/>
        <w:t>(r</w:t>
      </w:r>
      <w:r w:rsidR="003F12E8" w:rsidRPr="004A5227">
        <w:t>)</w:t>
      </w:r>
      <w:r w:rsidR="003F12E8" w:rsidRPr="004A5227">
        <w:tab/>
      </w:r>
      <w:r w:rsidR="00545827" w:rsidRPr="004A5227">
        <w:t>a decision under subsection</w:t>
      </w:r>
      <w:r w:rsidR="004A5227" w:rsidRPr="004A5227">
        <w:t> </w:t>
      </w:r>
      <w:r w:rsidR="00CA6815" w:rsidRPr="004A5227">
        <w:t>93</w:t>
      </w:r>
      <w:r w:rsidR="00545827" w:rsidRPr="004A5227">
        <w:t>(1) to withdraw a number;</w:t>
      </w:r>
    </w:p>
    <w:p w:rsidR="00545827" w:rsidRPr="004A5227" w:rsidRDefault="0044177D" w:rsidP="00545827">
      <w:pPr>
        <w:pStyle w:val="paragraph"/>
      </w:pPr>
      <w:r w:rsidRPr="004A5227">
        <w:tab/>
        <w:t>(s</w:t>
      </w:r>
      <w:r w:rsidR="003F12E8" w:rsidRPr="004A5227">
        <w:t>)</w:t>
      </w:r>
      <w:r w:rsidR="003F12E8" w:rsidRPr="004A5227">
        <w:tab/>
      </w:r>
      <w:r w:rsidR="00545827" w:rsidRPr="004A5227">
        <w:t>a decision under subsection</w:t>
      </w:r>
      <w:r w:rsidR="004A5227" w:rsidRPr="004A5227">
        <w:t> </w:t>
      </w:r>
      <w:r w:rsidR="00CA6815" w:rsidRPr="004A5227">
        <w:t>94</w:t>
      </w:r>
      <w:r w:rsidR="00545827" w:rsidRPr="004A5227">
        <w:t>(1) to withdraw a number;</w:t>
      </w:r>
    </w:p>
    <w:p w:rsidR="00545827" w:rsidRPr="004A5227" w:rsidRDefault="0044177D" w:rsidP="00545827">
      <w:pPr>
        <w:pStyle w:val="paragraph"/>
      </w:pPr>
      <w:r w:rsidRPr="004A5227">
        <w:tab/>
        <w:t>(t</w:t>
      </w:r>
      <w:r w:rsidR="003F12E8" w:rsidRPr="004A5227">
        <w:t>)</w:t>
      </w:r>
      <w:r w:rsidR="003F12E8" w:rsidRPr="004A5227">
        <w:tab/>
      </w:r>
      <w:r w:rsidR="00545827" w:rsidRPr="004A5227">
        <w:t>a decision under subsection</w:t>
      </w:r>
      <w:r w:rsidR="004A5227" w:rsidRPr="004A5227">
        <w:t> </w:t>
      </w:r>
      <w:r w:rsidR="00CA6815" w:rsidRPr="004A5227">
        <w:t>98</w:t>
      </w:r>
      <w:r w:rsidR="00545827" w:rsidRPr="004A5227">
        <w:t>(</w:t>
      </w:r>
      <w:r w:rsidR="009A65C1" w:rsidRPr="004A5227">
        <w:t>3</w:t>
      </w:r>
      <w:r w:rsidR="00545827" w:rsidRPr="004A5227">
        <w:t xml:space="preserve">) </w:t>
      </w:r>
      <w:r w:rsidR="008C73B9" w:rsidRPr="004A5227">
        <w:t xml:space="preserve">not </w:t>
      </w:r>
      <w:r w:rsidR="00545827" w:rsidRPr="004A5227">
        <w:t>to approve recall and replacement of a number;</w:t>
      </w:r>
    </w:p>
    <w:p w:rsidR="00545827" w:rsidRPr="004A5227" w:rsidRDefault="0044177D" w:rsidP="00545827">
      <w:pPr>
        <w:pStyle w:val="paragraph"/>
      </w:pPr>
      <w:r w:rsidRPr="004A5227">
        <w:tab/>
        <w:t>(u</w:t>
      </w:r>
      <w:r w:rsidR="003F12E8" w:rsidRPr="004A5227">
        <w:t>)</w:t>
      </w:r>
      <w:r w:rsidR="003F12E8" w:rsidRPr="004A5227">
        <w:tab/>
      </w:r>
      <w:r w:rsidR="00545827" w:rsidRPr="004A5227">
        <w:t>a decision under s</w:t>
      </w:r>
      <w:r w:rsidR="008C73B9" w:rsidRPr="004A5227">
        <w:t>ubsection</w:t>
      </w:r>
      <w:r w:rsidR="004A5227" w:rsidRPr="004A5227">
        <w:t> </w:t>
      </w:r>
      <w:r w:rsidR="00CA6815" w:rsidRPr="004A5227">
        <w:t>104</w:t>
      </w:r>
      <w:r w:rsidR="008C73B9" w:rsidRPr="004A5227">
        <w:t xml:space="preserve">(4) not to </w:t>
      </w:r>
      <w:r w:rsidR="00545827" w:rsidRPr="004A5227">
        <w:t>grant an exemption;</w:t>
      </w:r>
    </w:p>
    <w:p w:rsidR="00545827" w:rsidRPr="004A5227" w:rsidRDefault="0044177D" w:rsidP="00545827">
      <w:pPr>
        <w:pStyle w:val="paragraph"/>
      </w:pPr>
      <w:r w:rsidRPr="004A5227">
        <w:tab/>
        <w:t>(v</w:t>
      </w:r>
      <w:r w:rsidR="003F12E8" w:rsidRPr="004A5227">
        <w:t>)</w:t>
      </w:r>
      <w:r w:rsidR="003F12E8" w:rsidRPr="004A5227">
        <w:tab/>
      </w:r>
      <w:r w:rsidR="00545827" w:rsidRPr="004A5227">
        <w:t>a decision under subsection</w:t>
      </w:r>
      <w:r w:rsidR="004A5227" w:rsidRPr="004A5227">
        <w:t> </w:t>
      </w:r>
      <w:r w:rsidR="00CA6815" w:rsidRPr="004A5227">
        <w:t>118</w:t>
      </w:r>
      <w:r w:rsidR="00545827" w:rsidRPr="004A5227">
        <w:t xml:space="preserve">(1) </w:t>
      </w:r>
      <w:r w:rsidR="008C73B9" w:rsidRPr="004A5227">
        <w:t xml:space="preserve">not </w:t>
      </w:r>
      <w:r w:rsidR="00545827" w:rsidRPr="004A5227">
        <w:t>to grant an exemption.</w:t>
      </w:r>
    </w:p>
    <w:p w:rsidR="00545827" w:rsidRPr="004A5227" w:rsidRDefault="00CA6815" w:rsidP="00545827">
      <w:pPr>
        <w:pStyle w:val="ActHead5"/>
      </w:pPr>
      <w:bookmarkStart w:id="179" w:name="_Toc413419177"/>
      <w:r w:rsidRPr="004A5227">
        <w:rPr>
          <w:rStyle w:val="CharSectno"/>
        </w:rPr>
        <w:lastRenderedPageBreak/>
        <w:t>128</w:t>
      </w:r>
      <w:r w:rsidR="00545827" w:rsidRPr="004A5227">
        <w:t xml:space="preserve">  Statement to accompany notice of reviewable decision</w:t>
      </w:r>
      <w:bookmarkEnd w:id="179"/>
    </w:p>
    <w:p w:rsidR="00545827" w:rsidRPr="004A5227" w:rsidRDefault="00545827" w:rsidP="00545827">
      <w:pPr>
        <w:pStyle w:val="subsection"/>
      </w:pPr>
      <w:r w:rsidRPr="004A5227">
        <w:tab/>
        <w:t>(1)</w:t>
      </w:r>
      <w:r w:rsidRPr="004A5227">
        <w:tab/>
        <w:t xml:space="preserve">If the </w:t>
      </w:r>
      <w:proofErr w:type="spellStart"/>
      <w:r w:rsidRPr="004A5227">
        <w:t>ACMA</w:t>
      </w:r>
      <w:proofErr w:type="spellEnd"/>
      <w:r w:rsidRPr="004A5227">
        <w:t xml:space="preserve"> makes a reviewable decision, the notice </w:t>
      </w:r>
      <w:r w:rsidR="009D3900" w:rsidRPr="004A5227">
        <w:t xml:space="preserve">that the </w:t>
      </w:r>
      <w:proofErr w:type="spellStart"/>
      <w:r w:rsidR="009D3900" w:rsidRPr="004A5227">
        <w:t>ACMA</w:t>
      </w:r>
      <w:proofErr w:type="spellEnd"/>
      <w:r w:rsidR="009D3900" w:rsidRPr="004A5227">
        <w:t xml:space="preserve"> is required to give of the decision to a person</w:t>
      </w:r>
      <w:r w:rsidR="00A45D8C" w:rsidRPr="004A5227">
        <w:t xml:space="preserve"> (the </w:t>
      </w:r>
      <w:r w:rsidR="00A45D8C" w:rsidRPr="004A5227">
        <w:rPr>
          <w:b/>
          <w:i/>
        </w:rPr>
        <w:t>affected person</w:t>
      </w:r>
      <w:r w:rsidR="00A45D8C" w:rsidRPr="004A5227">
        <w:t xml:space="preserve">) </w:t>
      </w:r>
      <w:r w:rsidRPr="004A5227">
        <w:t>must include a statement to the ef</w:t>
      </w:r>
      <w:r w:rsidR="009D3900" w:rsidRPr="004A5227">
        <w:t xml:space="preserve">fect that the </w:t>
      </w:r>
      <w:r w:rsidR="007D3DB2" w:rsidRPr="004A5227">
        <w:t xml:space="preserve">affected </w:t>
      </w:r>
      <w:r w:rsidR="009D3900" w:rsidRPr="004A5227">
        <w:t>person</w:t>
      </w:r>
      <w:r w:rsidRPr="004A5227">
        <w:t xml:space="preserve"> may, if </w:t>
      </w:r>
      <w:r w:rsidR="00BE3094" w:rsidRPr="004A5227">
        <w:t xml:space="preserve">the affected person is </w:t>
      </w:r>
      <w:r w:rsidRPr="004A5227">
        <w:t xml:space="preserve">dissatisfied with the decision, </w:t>
      </w:r>
      <w:r w:rsidR="00CD3D32" w:rsidRPr="004A5227">
        <w:t>apply for</w:t>
      </w:r>
      <w:r w:rsidRPr="004A5227">
        <w:t xml:space="preserve"> reconsideration of the decision by the </w:t>
      </w:r>
      <w:proofErr w:type="spellStart"/>
      <w:r w:rsidRPr="004A5227">
        <w:t>ACMA</w:t>
      </w:r>
      <w:proofErr w:type="spellEnd"/>
      <w:r w:rsidRPr="004A5227">
        <w:t xml:space="preserve"> under section</w:t>
      </w:r>
      <w:r w:rsidR="004A5227" w:rsidRPr="004A5227">
        <w:t> </w:t>
      </w:r>
      <w:r w:rsidR="00CA6815" w:rsidRPr="004A5227">
        <w:t>129</w:t>
      </w:r>
      <w:r w:rsidRPr="004A5227">
        <w:t>.</w:t>
      </w:r>
    </w:p>
    <w:p w:rsidR="00545827" w:rsidRPr="004A5227" w:rsidRDefault="00545827" w:rsidP="00545827">
      <w:pPr>
        <w:pStyle w:val="subsection"/>
      </w:pPr>
      <w:r w:rsidRPr="004A5227">
        <w:tab/>
      </w:r>
      <w:r w:rsidR="00E6510F" w:rsidRPr="004A5227">
        <w:t>(2)</w:t>
      </w:r>
      <w:r w:rsidR="00E6510F" w:rsidRPr="004A5227">
        <w:tab/>
        <w:t>The</w:t>
      </w:r>
      <w:r w:rsidRPr="004A5227">
        <w:t xml:space="preserve"> </w:t>
      </w:r>
      <w:r w:rsidR="007D3DB2" w:rsidRPr="004A5227">
        <w:t xml:space="preserve">affected </w:t>
      </w:r>
      <w:r w:rsidRPr="004A5227">
        <w:t xml:space="preserve">person may apply to the </w:t>
      </w:r>
      <w:proofErr w:type="spellStart"/>
      <w:r w:rsidRPr="004A5227">
        <w:t>ACMA</w:t>
      </w:r>
      <w:proofErr w:type="spellEnd"/>
      <w:r w:rsidRPr="004A5227">
        <w:t xml:space="preserve"> for reconsideration of the decision.</w:t>
      </w:r>
    </w:p>
    <w:p w:rsidR="00545827" w:rsidRPr="004A5227" w:rsidRDefault="00545827" w:rsidP="00545827">
      <w:pPr>
        <w:pStyle w:val="subsection"/>
      </w:pPr>
      <w:r w:rsidRPr="004A5227">
        <w:tab/>
        <w:t>(</w:t>
      </w:r>
      <w:r w:rsidR="00A81C6E" w:rsidRPr="004A5227">
        <w:t>3</w:t>
      </w:r>
      <w:r w:rsidRPr="004A5227">
        <w:t>)</w:t>
      </w:r>
      <w:r w:rsidRPr="004A5227">
        <w:tab/>
        <w:t>The application must be made within:</w:t>
      </w:r>
    </w:p>
    <w:p w:rsidR="00545827" w:rsidRPr="004A5227" w:rsidRDefault="00545827" w:rsidP="00545827">
      <w:pPr>
        <w:pStyle w:val="paragraph"/>
      </w:pPr>
      <w:r w:rsidRPr="004A5227">
        <w:tab/>
        <w:t>(a)</w:t>
      </w:r>
      <w:r w:rsidRPr="004A5227">
        <w:tab/>
      </w:r>
      <w:r w:rsidR="006C6E10" w:rsidRPr="004A5227">
        <w:t xml:space="preserve">the period of </w:t>
      </w:r>
      <w:r w:rsidRPr="004A5227">
        <w:t xml:space="preserve">20 business days after the </w:t>
      </w:r>
      <w:r w:rsidR="007D3DB2" w:rsidRPr="004A5227">
        <w:t>affected</w:t>
      </w:r>
      <w:r w:rsidR="00A81C6E" w:rsidRPr="004A5227">
        <w:t xml:space="preserve"> </w:t>
      </w:r>
      <w:r w:rsidRPr="004A5227">
        <w:t xml:space="preserve">person is </w:t>
      </w:r>
      <w:r w:rsidR="00CD3D32" w:rsidRPr="004A5227">
        <w:t>notified</w:t>
      </w:r>
      <w:r w:rsidRPr="004A5227">
        <w:t xml:space="preserve"> of the decision; or</w:t>
      </w:r>
    </w:p>
    <w:p w:rsidR="00545827" w:rsidRPr="004A5227" w:rsidRDefault="00545827" w:rsidP="00545827">
      <w:pPr>
        <w:pStyle w:val="paragraph"/>
      </w:pPr>
      <w:r w:rsidRPr="004A5227">
        <w:tab/>
        <w:t>(b)</w:t>
      </w:r>
      <w:r w:rsidRPr="004A5227">
        <w:tab/>
        <w:t xml:space="preserve">if the </w:t>
      </w:r>
      <w:proofErr w:type="spellStart"/>
      <w:r w:rsidRPr="004A5227">
        <w:t>ACMA</w:t>
      </w:r>
      <w:proofErr w:type="spellEnd"/>
      <w:r w:rsidRPr="004A5227">
        <w:t xml:space="preserve"> extends the period within which the application may be made—the extended period.</w:t>
      </w:r>
    </w:p>
    <w:p w:rsidR="00545827" w:rsidRPr="004A5227" w:rsidRDefault="00545827" w:rsidP="00545827">
      <w:pPr>
        <w:pStyle w:val="subsection"/>
      </w:pPr>
      <w:r w:rsidRPr="004A5227">
        <w:tab/>
        <w:t>(</w:t>
      </w:r>
      <w:r w:rsidR="00A81C6E" w:rsidRPr="004A5227">
        <w:t>4</w:t>
      </w:r>
      <w:r w:rsidRPr="004A5227">
        <w:t>)</w:t>
      </w:r>
      <w:r w:rsidRPr="004A5227">
        <w:tab/>
        <w:t xml:space="preserve">The </w:t>
      </w:r>
      <w:proofErr w:type="spellStart"/>
      <w:r w:rsidRPr="004A5227">
        <w:t>ACMA</w:t>
      </w:r>
      <w:proofErr w:type="spellEnd"/>
      <w:r w:rsidRPr="004A5227">
        <w:t xml:space="preserve"> may extend the period for making an application before or after the period in </w:t>
      </w:r>
      <w:r w:rsidR="004A5227" w:rsidRPr="004A5227">
        <w:t>paragraph (</w:t>
      </w:r>
      <w:r w:rsidR="00CD3D32" w:rsidRPr="004A5227">
        <w:t>3</w:t>
      </w:r>
      <w:r w:rsidRPr="004A5227">
        <w:t>)(a) has ended.</w:t>
      </w:r>
    </w:p>
    <w:p w:rsidR="00545827" w:rsidRPr="004A5227" w:rsidRDefault="00545827" w:rsidP="00545827">
      <w:pPr>
        <w:pStyle w:val="subsection"/>
      </w:pPr>
      <w:r w:rsidRPr="004A5227">
        <w:tab/>
        <w:t>(</w:t>
      </w:r>
      <w:r w:rsidR="00A81C6E" w:rsidRPr="004A5227">
        <w:t>5</w:t>
      </w:r>
      <w:r w:rsidRPr="004A5227">
        <w:t>)</w:t>
      </w:r>
      <w:r w:rsidRPr="004A5227">
        <w:tab/>
        <w:t>The application must:</w:t>
      </w:r>
    </w:p>
    <w:p w:rsidR="00545827" w:rsidRPr="004A5227" w:rsidRDefault="00545827" w:rsidP="00545827">
      <w:pPr>
        <w:pStyle w:val="paragraph"/>
      </w:pPr>
      <w:r w:rsidRPr="004A5227">
        <w:tab/>
        <w:t>(a)</w:t>
      </w:r>
      <w:r w:rsidRPr="004A5227">
        <w:tab/>
        <w:t xml:space="preserve">be in a form approved by the </w:t>
      </w:r>
      <w:proofErr w:type="spellStart"/>
      <w:r w:rsidRPr="004A5227">
        <w:t>ACMA</w:t>
      </w:r>
      <w:proofErr w:type="spellEnd"/>
      <w:r w:rsidRPr="004A5227">
        <w:t>; and</w:t>
      </w:r>
    </w:p>
    <w:p w:rsidR="00545827" w:rsidRPr="004A5227" w:rsidRDefault="00545827" w:rsidP="00545827">
      <w:pPr>
        <w:pStyle w:val="paragraph"/>
      </w:pPr>
      <w:r w:rsidRPr="004A5227">
        <w:tab/>
        <w:t>(b)</w:t>
      </w:r>
      <w:r w:rsidRPr="004A5227">
        <w:tab/>
        <w:t>set out the reasons for the application.</w:t>
      </w:r>
    </w:p>
    <w:p w:rsidR="00E6510F" w:rsidRPr="004A5227" w:rsidRDefault="00E6510F" w:rsidP="007D3DB2">
      <w:pPr>
        <w:pStyle w:val="subsection"/>
      </w:pPr>
      <w:r w:rsidRPr="004A5227">
        <w:tab/>
        <w:t>(</w:t>
      </w:r>
      <w:r w:rsidR="00A81C6E" w:rsidRPr="004A5227">
        <w:t>6</w:t>
      </w:r>
      <w:r w:rsidRPr="004A5227">
        <w:t>)</w:t>
      </w:r>
      <w:r w:rsidRPr="004A5227">
        <w:tab/>
        <w:t xml:space="preserve">Failure </w:t>
      </w:r>
      <w:r w:rsidR="00CD3D32" w:rsidRPr="004A5227">
        <w:t xml:space="preserve">by the </w:t>
      </w:r>
      <w:proofErr w:type="spellStart"/>
      <w:r w:rsidR="00CD3D32" w:rsidRPr="004A5227">
        <w:t>ACMA</w:t>
      </w:r>
      <w:proofErr w:type="spellEnd"/>
      <w:r w:rsidR="00CD3D32" w:rsidRPr="004A5227">
        <w:t xml:space="preserve"> </w:t>
      </w:r>
      <w:r w:rsidRPr="004A5227">
        <w:t xml:space="preserve">to comply with </w:t>
      </w:r>
      <w:r w:rsidR="004A5227" w:rsidRPr="004A5227">
        <w:t>subsection (</w:t>
      </w:r>
      <w:r w:rsidR="00CD3D32" w:rsidRPr="004A5227">
        <w:t>1)</w:t>
      </w:r>
      <w:r w:rsidRPr="004A5227">
        <w:t xml:space="preserve"> does not affect the validity of a r</w:t>
      </w:r>
      <w:r w:rsidR="007D3DB2" w:rsidRPr="004A5227">
        <w:t>eviewable decision.</w:t>
      </w:r>
    </w:p>
    <w:p w:rsidR="00640B56" w:rsidRPr="004A5227" w:rsidRDefault="00CC1B80" w:rsidP="007D3DB2">
      <w:pPr>
        <w:pStyle w:val="subsection"/>
      </w:pPr>
      <w:r w:rsidRPr="004A5227">
        <w:tab/>
        <w:t>(7)</w:t>
      </w:r>
      <w:r w:rsidRPr="004A5227">
        <w:tab/>
      </w:r>
      <w:r w:rsidR="00640B56" w:rsidRPr="004A5227">
        <w:t xml:space="preserve">In </w:t>
      </w:r>
      <w:r w:rsidR="004A5227" w:rsidRPr="004A5227">
        <w:t>subsection (</w:t>
      </w:r>
      <w:r w:rsidR="00640B56" w:rsidRPr="004A5227">
        <w:t>1):</w:t>
      </w:r>
    </w:p>
    <w:p w:rsidR="00640B56" w:rsidRPr="004A5227" w:rsidRDefault="00640B56" w:rsidP="00640B56">
      <w:pPr>
        <w:pStyle w:val="paragraph"/>
      </w:pPr>
      <w:r w:rsidRPr="004A5227">
        <w:tab/>
        <w:t>(a)</w:t>
      </w:r>
      <w:r w:rsidRPr="004A5227">
        <w:tab/>
      </w:r>
      <w:r w:rsidR="00D26F5E" w:rsidRPr="004A5227">
        <w:t xml:space="preserve">a </w:t>
      </w:r>
      <w:r w:rsidRPr="004A5227">
        <w:t xml:space="preserve">reference to a person does not include a reference to the </w:t>
      </w:r>
      <w:r w:rsidR="00990EE2" w:rsidRPr="004A5227">
        <w:t>d</w:t>
      </w:r>
      <w:r w:rsidRPr="004A5227">
        <w:t xml:space="preserve">esignated </w:t>
      </w:r>
      <w:r w:rsidR="00990EE2" w:rsidRPr="004A5227">
        <w:t>a</w:t>
      </w:r>
      <w:r w:rsidRPr="004A5227">
        <w:t>uthority; and</w:t>
      </w:r>
    </w:p>
    <w:p w:rsidR="00CC1B80" w:rsidRPr="004A5227" w:rsidRDefault="00640B56" w:rsidP="00640B56">
      <w:pPr>
        <w:pStyle w:val="paragraph"/>
      </w:pPr>
      <w:r w:rsidRPr="004A5227">
        <w:tab/>
        <w:t>(b)</w:t>
      </w:r>
      <w:r w:rsidRPr="004A5227">
        <w:tab/>
        <w:t>i</w:t>
      </w:r>
      <w:r w:rsidR="00CC1B80" w:rsidRPr="004A5227">
        <w:t>f the reviewable decision is a decision to give a direction</w:t>
      </w:r>
      <w:r w:rsidRPr="004A5227">
        <w:t>—</w:t>
      </w:r>
      <w:r w:rsidR="00D26F5E" w:rsidRPr="004A5227">
        <w:t>a</w:t>
      </w:r>
      <w:r w:rsidR="00CC1B80" w:rsidRPr="004A5227">
        <w:t xml:space="preserve"> reference</w:t>
      </w:r>
      <w:r w:rsidRPr="004A5227">
        <w:t xml:space="preserve"> </w:t>
      </w:r>
      <w:r w:rsidR="00CC1B80" w:rsidRPr="004A5227">
        <w:t xml:space="preserve">to the notice that the </w:t>
      </w:r>
      <w:proofErr w:type="spellStart"/>
      <w:r w:rsidR="00CC1B80" w:rsidRPr="004A5227">
        <w:t>ACMA</w:t>
      </w:r>
      <w:proofErr w:type="spellEnd"/>
      <w:r w:rsidR="00CC1B80" w:rsidRPr="004A5227">
        <w:t xml:space="preserve"> is required to give </w:t>
      </w:r>
      <w:r w:rsidR="007B588F" w:rsidRPr="004A5227">
        <w:t>include</w:t>
      </w:r>
      <w:r w:rsidRPr="004A5227">
        <w:t>s</w:t>
      </w:r>
      <w:r w:rsidR="00CC1B80" w:rsidRPr="004A5227">
        <w:t xml:space="preserve"> a reference to </w:t>
      </w:r>
      <w:r w:rsidR="00D26F5E" w:rsidRPr="004A5227">
        <w:t>a</w:t>
      </w:r>
      <w:r w:rsidR="00CC1B80" w:rsidRPr="004A5227">
        <w:t xml:space="preserve"> direction.</w:t>
      </w:r>
    </w:p>
    <w:p w:rsidR="00545827" w:rsidRPr="004A5227" w:rsidRDefault="00CA6815" w:rsidP="00545827">
      <w:pPr>
        <w:pStyle w:val="ActHead5"/>
      </w:pPr>
      <w:bookmarkStart w:id="180" w:name="_Toc413419178"/>
      <w:r w:rsidRPr="004A5227">
        <w:rPr>
          <w:rStyle w:val="CharSectno"/>
        </w:rPr>
        <w:t>129</w:t>
      </w:r>
      <w:r w:rsidR="00545827" w:rsidRPr="004A5227">
        <w:t xml:space="preserve">  Reconsideration by </w:t>
      </w:r>
      <w:proofErr w:type="spellStart"/>
      <w:r w:rsidR="00545827" w:rsidRPr="004A5227">
        <w:t>ACMA</w:t>
      </w:r>
      <w:bookmarkEnd w:id="180"/>
      <w:proofErr w:type="spellEnd"/>
    </w:p>
    <w:p w:rsidR="00545827" w:rsidRPr="004A5227" w:rsidRDefault="00545827" w:rsidP="00545827">
      <w:pPr>
        <w:pStyle w:val="subsection"/>
      </w:pPr>
      <w:r w:rsidRPr="004A5227">
        <w:tab/>
        <w:t>(1)</w:t>
      </w:r>
      <w:r w:rsidRPr="004A5227">
        <w:tab/>
        <w:t>If t</w:t>
      </w:r>
      <w:r w:rsidR="00BE7558" w:rsidRPr="004A5227">
        <w:t xml:space="preserve">he </w:t>
      </w:r>
      <w:proofErr w:type="spellStart"/>
      <w:r w:rsidR="00BE7558" w:rsidRPr="004A5227">
        <w:t>ACMA</w:t>
      </w:r>
      <w:proofErr w:type="spellEnd"/>
      <w:r w:rsidR="00BE7558" w:rsidRPr="004A5227">
        <w:t xml:space="preserve"> receives an application </w:t>
      </w:r>
      <w:r w:rsidRPr="004A5227">
        <w:t>under section</w:t>
      </w:r>
      <w:r w:rsidR="004A5227" w:rsidRPr="004A5227">
        <w:t> </w:t>
      </w:r>
      <w:r w:rsidR="00CA6815" w:rsidRPr="004A5227">
        <w:t>128</w:t>
      </w:r>
      <w:r w:rsidRPr="004A5227">
        <w:t xml:space="preserve"> for reconsideration of a reviewable decision, the </w:t>
      </w:r>
      <w:proofErr w:type="spellStart"/>
      <w:r w:rsidRPr="004A5227">
        <w:t>ACMA</w:t>
      </w:r>
      <w:proofErr w:type="spellEnd"/>
      <w:r w:rsidRPr="004A5227">
        <w:t xml:space="preserve"> must reconsider the decision and make a decision (an </w:t>
      </w:r>
      <w:r w:rsidRPr="004A5227">
        <w:rPr>
          <w:b/>
          <w:i/>
        </w:rPr>
        <w:t>internal review decision</w:t>
      </w:r>
      <w:r w:rsidRPr="004A5227">
        <w:t>) whether to affirm, vary or revoke the reviewable decision.</w:t>
      </w:r>
    </w:p>
    <w:p w:rsidR="00545827" w:rsidRPr="004A5227" w:rsidRDefault="00545827" w:rsidP="00545827">
      <w:pPr>
        <w:pStyle w:val="subsection"/>
      </w:pPr>
      <w:r w:rsidRPr="004A5227">
        <w:tab/>
        <w:t>(2)</w:t>
      </w:r>
      <w:r w:rsidRPr="004A5227">
        <w:tab/>
        <w:t xml:space="preserve">The </w:t>
      </w:r>
      <w:proofErr w:type="spellStart"/>
      <w:r w:rsidRPr="004A5227">
        <w:t>ACMA</w:t>
      </w:r>
      <w:proofErr w:type="spellEnd"/>
      <w:r w:rsidRPr="004A5227">
        <w:t xml:space="preserve"> must notify the applicant of an internal review decision and the reasons for it </w:t>
      </w:r>
      <w:r w:rsidR="006C6E10" w:rsidRPr="004A5227">
        <w:t>no later than</w:t>
      </w:r>
      <w:r w:rsidRPr="004A5227">
        <w:t xml:space="preserve"> 65 business days after receiving the application.</w:t>
      </w:r>
    </w:p>
    <w:p w:rsidR="00545827" w:rsidRPr="004A5227" w:rsidRDefault="00545827" w:rsidP="00545827">
      <w:pPr>
        <w:pStyle w:val="subsection"/>
      </w:pPr>
      <w:r w:rsidRPr="004A5227">
        <w:tab/>
        <w:t>(3)</w:t>
      </w:r>
      <w:r w:rsidRPr="004A5227">
        <w:tab/>
        <w:t xml:space="preserve">If the </w:t>
      </w:r>
      <w:proofErr w:type="spellStart"/>
      <w:r w:rsidRPr="004A5227">
        <w:t>ACMA</w:t>
      </w:r>
      <w:proofErr w:type="spellEnd"/>
      <w:r w:rsidRPr="004A5227">
        <w:t xml:space="preserve"> does not notify the applicant as required by </w:t>
      </w:r>
      <w:r w:rsidR="004A5227" w:rsidRPr="004A5227">
        <w:t>subsection (</w:t>
      </w:r>
      <w:r w:rsidRPr="004A5227">
        <w:t xml:space="preserve">2), the </w:t>
      </w:r>
      <w:proofErr w:type="spellStart"/>
      <w:r w:rsidRPr="004A5227">
        <w:t>ACMA</w:t>
      </w:r>
      <w:proofErr w:type="spellEnd"/>
      <w:r w:rsidRPr="004A5227">
        <w:t xml:space="preserve"> is taken to have affirmed the reviewable decision.</w:t>
      </w:r>
    </w:p>
    <w:p w:rsidR="00545827" w:rsidRPr="004A5227" w:rsidRDefault="00CA6815" w:rsidP="00545827">
      <w:pPr>
        <w:pStyle w:val="ActHead5"/>
      </w:pPr>
      <w:bookmarkStart w:id="181" w:name="_Toc413419179"/>
      <w:r w:rsidRPr="004A5227">
        <w:rPr>
          <w:rStyle w:val="CharSectno"/>
        </w:rPr>
        <w:t>130</w:t>
      </w:r>
      <w:r w:rsidR="00545827" w:rsidRPr="004A5227">
        <w:t xml:space="preserve">  Statements to accompany notice of decision on reconsideration</w:t>
      </w:r>
      <w:bookmarkEnd w:id="181"/>
    </w:p>
    <w:p w:rsidR="00545827" w:rsidRPr="004A5227" w:rsidRDefault="00545827" w:rsidP="00545827">
      <w:pPr>
        <w:pStyle w:val="subsection"/>
      </w:pPr>
      <w:r w:rsidRPr="004A5227">
        <w:tab/>
        <w:t>(1)</w:t>
      </w:r>
      <w:r w:rsidRPr="004A5227">
        <w:tab/>
        <w:t>A notice under subsection</w:t>
      </w:r>
      <w:r w:rsidR="004A5227" w:rsidRPr="004A5227">
        <w:t> </w:t>
      </w:r>
      <w:r w:rsidR="00CA6815" w:rsidRPr="004A5227">
        <w:t>129</w:t>
      </w:r>
      <w:r w:rsidRPr="004A5227">
        <w:t xml:space="preserve">(2) that the </w:t>
      </w:r>
      <w:proofErr w:type="spellStart"/>
      <w:r w:rsidRPr="004A5227">
        <w:t>ACMA</w:t>
      </w:r>
      <w:proofErr w:type="spellEnd"/>
      <w:r w:rsidRPr="004A5227">
        <w:t xml:space="preserve"> has made an internal review decision must include:</w:t>
      </w:r>
    </w:p>
    <w:p w:rsidR="00545827" w:rsidRPr="004A5227" w:rsidRDefault="00545827" w:rsidP="00545827">
      <w:pPr>
        <w:pStyle w:val="paragraph"/>
      </w:pPr>
      <w:r w:rsidRPr="004A5227">
        <w:tab/>
        <w:t>(a)</w:t>
      </w:r>
      <w:r w:rsidRPr="004A5227">
        <w:tab/>
        <w:t xml:space="preserve">a statement to the effect that </w:t>
      </w:r>
      <w:r w:rsidR="003F12E8" w:rsidRPr="004A5227">
        <w:t>the person notified of</w:t>
      </w:r>
      <w:r w:rsidRPr="004A5227">
        <w:t xml:space="preserve"> the internal review decision may, subject to the </w:t>
      </w:r>
      <w:r w:rsidRPr="004A5227">
        <w:rPr>
          <w:i/>
        </w:rPr>
        <w:t>Administrative Appeals Tribunal Act 1975</w:t>
      </w:r>
      <w:r w:rsidRPr="004A5227">
        <w:t xml:space="preserve">, </w:t>
      </w:r>
      <w:r w:rsidRPr="004A5227">
        <w:lastRenderedPageBreak/>
        <w:t>apply to the Administrative Appeals Tribunal for review of the internal review decision; and</w:t>
      </w:r>
    </w:p>
    <w:p w:rsidR="00545827" w:rsidRPr="004A5227" w:rsidRDefault="00545827" w:rsidP="00545827">
      <w:pPr>
        <w:pStyle w:val="paragraph"/>
      </w:pPr>
      <w:r w:rsidRPr="004A5227">
        <w:tab/>
        <w:t>(b)</w:t>
      </w:r>
      <w:r w:rsidRPr="004A5227">
        <w:tab/>
        <w:t>a statement to the effect that the person may request a statement under section</w:t>
      </w:r>
      <w:r w:rsidR="004A5227" w:rsidRPr="004A5227">
        <w:t> </w:t>
      </w:r>
      <w:r w:rsidRPr="004A5227">
        <w:t>28 of that Act in relation to the internal review decision.</w:t>
      </w:r>
    </w:p>
    <w:p w:rsidR="00545827" w:rsidRPr="004A5227" w:rsidRDefault="00545827" w:rsidP="00545827">
      <w:pPr>
        <w:pStyle w:val="subsection"/>
      </w:pPr>
      <w:r w:rsidRPr="004A5227">
        <w:tab/>
        <w:t>(2)</w:t>
      </w:r>
      <w:r w:rsidRPr="004A5227">
        <w:tab/>
        <w:t xml:space="preserve">Failure </w:t>
      </w:r>
      <w:r w:rsidR="006163AE" w:rsidRPr="004A5227">
        <w:t xml:space="preserve">by the </w:t>
      </w:r>
      <w:proofErr w:type="spellStart"/>
      <w:r w:rsidR="006163AE" w:rsidRPr="004A5227">
        <w:t>ACMA</w:t>
      </w:r>
      <w:proofErr w:type="spellEnd"/>
      <w:r w:rsidR="006163AE" w:rsidRPr="004A5227">
        <w:t xml:space="preserve"> </w:t>
      </w:r>
      <w:r w:rsidRPr="004A5227">
        <w:t>to comply with this section does not affect the validity of the internal review decision.</w:t>
      </w:r>
    </w:p>
    <w:p w:rsidR="00545827" w:rsidRPr="004A5227" w:rsidRDefault="00CA6815" w:rsidP="00545827">
      <w:pPr>
        <w:pStyle w:val="ActHead5"/>
      </w:pPr>
      <w:bookmarkStart w:id="182" w:name="_Toc413419180"/>
      <w:r w:rsidRPr="004A5227">
        <w:rPr>
          <w:rStyle w:val="CharSectno"/>
        </w:rPr>
        <w:t>131</w:t>
      </w:r>
      <w:r w:rsidR="00545827" w:rsidRPr="004A5227">
        <w:t xml:space="preserve">  Review by Administrative Appeals Tribunal</w:t>
      </w:r>
      <w:bookmarkEnd w:id="182"/>
    </w:p>
    <w:p w:rsidR="009A4D8F" w:rsidRPr="004A5227" w:rsidRDefault="00545827" w:rsidP="006163AE">
      <w:pPr>
        <w:pStyle w:val="subsection"/>
      </w:pPr>
      <w:r w:rsidRPr="004A5227">
        <w:tab/>
      </w:r>
      <w:r w:rsidRPr="004A5227">
        <w:tab/>
        <w:t>Application may be made to the Administrative Appeals Tribunal to revi</w:t>
      </w:r>
      <w:r w:rsidR="006163AE" w:rsidRPr="004A5227">
        <w:t>ew an internal review decision.</w:t>
      </w:r>
    </w:p>
    <w:p w:rsidR="00244AD0" w:rsidRPr="004A5227" w:rsidRDefault="00244AD0" w:rsidP="009A4D8F">
      <w:pPr>
        <w:pStyle w:val="ActHead2"/>
        <w:pageBreakBefore/>
      </w:pPr>
      <w:bookmarkStart w:id="183" w:name="_Toc413419181"/>
      <w:r w:rsidRPr="004A5227">
        <w:rPr>
          <w:rStyle w:val="CharPartNo"/>
        </w:rPr>
        <w:lastRenderedPageBreak/>
        <w:t>Part</w:t>
      </w:r>
      <w:r w:rsidR="004A5227" w:rsidRPr="004A5227">
        <w:rPr>
          <w:rStyle w:val="CharPartNo"/>
        </w:rPr>
        <w:t> </w:t>
      </w:r>
      <w:r w:rsidRPr="004A5227">
        <w:rPr>
          <w:rStyle w:val="CharPartNo"/>
        </w:rPr>
        <w:t>4</w:t>
      </w:r>
      <w:r w:rsidRPr="004A5227">
        <w:t>—</w:t>
      </w:r>
      <w:r w:rsidRPr="004A5227">
        <w:rPr>
          <w:rStyle w:val="CharPartText"/>
        </w:rPr>
        <w:t>General matters</w:t>
      </w:r>
      <w:bookmarkEnd w:id="183"/>
    </w:p>
    <w:p w:rsidR="009A4D8F" w:rsidRPr="004A5227" w:rsidRDefault="009A4D8F" w:rsidP="009A4D8F">
      <w:pPr>
        <w:pStyle w:val="Header"/>
      </w:pPr>
      <w:r w:rsidRPr="004A5227">
        <w:rPr>
          <w:rStyle w:val="CharDivNo"/>
        </w:rPr>
        <w:t xml:space="preserve"> </w:t>
      </w:r>
      <w:r w:rsidRPr="004A5227">
        <w:rPr>
          <w:rStyle w:val="CharDivText"/>
        </w:rPr>
        <w:t xml:space="preserve"> </w:t>
      </w:r>
    </w:p>
    <w:p w:rsidR="00244AD0" w:rsidRPr="004A5227" w:rsidRDefault="00CA6815" w:rsidP="00244AD0">
      <w:pPr>
        <w:pStyle w:val="ActHead5"/>
      </w:pPr>
      <w:bookmarkStart w:id="184" w:name="_Toc413419182"/>
      <w:r w:rsidRPr="004A5227">
        <w:rPr>
          <w:rStyle w:val="CharSectno"/>
        </w:rPr>
        <w:t>132</w:t>
      </w:r>
      <w:r w:rsidR="00244AD0" w:rsidRPr="004A5227">
        <w:t xml:space="preserve">  Use of computer program to make decisions</w:t>
      </w:r>
      <w:bookmarkEnd w:id="184"/>
    </w:p>
    <w:p w:rsidR="00244AD0" w:rsidRPr="004A5227" w:rsidRDefault="00244AD0" w:rsidP="00244AD0">
      <w:pPr>
        <w:pStyle w:val="subsection"/>
      </w:pPr>
      <w:r w:rsidRPr="004A5227">
        <w:tab/>
        <w:t>(1)</w:t>
      </w:r>
      <w:r w:rsidRPr="004A5227">
        <w:tab/>
        <w:t xml:space="preserve">The </w:t>
      </w:r>
      <w:proofErr w:type="spellStart"/>
      <w:r w:rsidRPr="004A5227">
        <w:t>ACMA</w:t>
      </w:r>
      <w:proofErr w:type="spellEnd"/>
      <w:r w:rsidRPr="004A5227">
        <w:t xml:space="preserve"> may </w:t>
      </w:r>
      <w:r w:rsidR="00295B95" w:rsidRPr="004A5227">
        <w:t xml:space="preserve">use, or </w:t>
      </w:r>
      <w:r w:rsidRPr="004A5227">
        <w:t xml:space="preserve">arrange for the use, under the </w:t>
      </w:r>
      <w:proofErr w:type="spellStart"/>
      <w:r w:rsidRPr="004A5227">
        <w:t>ACMA’s</w:t>
      </w:r>
      <w:proofErr w:type="spellEnd"/>
      <w:r w:rsidRPr="004A5227">
        <w:t xml:space="preserve"> control, of computer programs for any purposes for which the </w:t>
      </w:r>
      <w:proofErr w:type="spellStart"/>
      <w:r w:rsidRPr="004A5227">
        <w:t>ACMA</w:t>
      </w:r>
      <w:proofErr w:type="spellEnd"/>
      <w:r w:rsidRPr="004A5227">
        <w:t xml:space="preserve"> may make decisions under </w:t>
      </w:r>
      <w:r w:rsidR="006F7CD2" w:rsidRPr="004A5227">
        <w:t>this instrument</w:t>
      </w:r>
      <w:r w:rsidRPr="004A5227">
        <w:t>.</w:t>
      </w:r>
    </w:p>
    <w:p w:rsidR="00244AD0" w:rsidRPr="004A5227" w:rsidRDefault="00244AD0" w:rsidP="00244AD0">
      <w:pPr>
        <w:pStyle w:val="subsection"/>
      </w:pPr>
      <w:r w:rsidRPr="004A5227">
        <w:tab/>
        <w:t>(2)</w:t>
      </w:r>
      <w:r w:rsidRPr="004A5227">
        <w:tab/>
        <w:t xml:space="preserve">A decision made by the operation of a computer program under an arrangement made under </w:t>
      </w:r>
      <w:r w:rsidR="004A5227" w:rsidRPr="004A5227">
        <w:t>subsection (</w:t>
      </w:r>
      <w:r w:rsidRPr="004A5227">
        <w:t xml:space="preserve">1) is taken to be a decision made by the </w:t>
      </w:r>
      <w:proofErr w:type="spellStart"/>
      <w:r w:rsidRPr="004A5227">
        <w:t>ACMA</w:t>
      </w:r>
      <w:proofErr w:type="spellEnd"/>
      <w:r w:rsidRPr="004A5227">
        <w:t>.</w:t>
      </w:r>
    </w:p>
    <w:p w:rsidR="00244AD0" w:rsidRPr="004A5227" w:rsidRDefault="00307324" w:rsidP="00026206">
      <w:pPr>
        <w:pStyle w:val="subsection"/>
      </w:pPr>
      <w:r w:rsidRPr="004A5227">
        <w:tab/>
        <w:t>(3)</w:t>
      </w:r>
      <w:r w:rsidRPr="004A5227">
        <w:tab/>
        <w:t xml:space="preserve">A reference to a decision in this section includes, but is not limited to, a reference to the </w:t>
      </w:r>
      <w:r w:rsidR="00E070F4" w:rsidRPr="004A5227">
        <w:t>creation</w:t>
      </w:r>
      <w:r w:rsidR="0070665F" w:rsidRPr="004A5227">
        <w:t xml:space="preserve"> of a list.</w:t>
      </w:r>
    </w:p>
    <w:p w:rsidR="00CD4202" w:rsidRPr="004A5227" w:rsidRDefault="00CD4202" w:rsidP="00CD4202">
      <w:pPr>
        <w:pStyle w:val="ActHead1"/>
        <w:pageBreakBefore/>
      </w:pPr>
      <w:bookmarkStart w:id="185" w:name="_Toc413419183"/>
      <w:r w:rsidRPr="004A5227">
        <w:rPr>
          <w:rStyle w:val="CharChapNo"/>
        </w:rPr>
        <w:lastRenderedPageBreak/>
        <w:t>Chapter</w:t>
      </w:r>
      <w:r w:rsidR="004A5227" w:rsidRPr="004A5227">
        <w:rPr>
          <w:rStyle w:val="CharChapNo"/>
        </w:rPr>
        <w:t> </w:t>
      </w:r>
      <w:r w:rsidRPr="004A5227">
        <w:rPr>
          <w:rStyle w:val="CharChapNo"/>
        </w:rPr>
        <w:t>12</w:t>
      </w:r>
      <w:r w:rsidRPr="004A5227">
        <w:t>—</w:t>
      </w:r>
      <w:r w:rsidRPr="004A5227">
        <w:rPr>
          <w:rStyle w:val="CharChapText"/>
        </w:rPr>
        <w:t>Transitional provisions</w:t>
      </w:r>
      <w:bookmarkEnd w:id="185"/>
    </w:p>
    <w:p w:rsidR="00CD4202" w:rsidRPr="004A5227" w:rsidRDefault="00CD4202" w:rsidP="00CD4202">
      <w:pPr>
        <w:pStyle w:val="Header"/>
      </w:pPr>
      <w:r w:rsidRPr="004A5227">
        <w:rPr>
          <w:rStyle w:val="CharPartNo"/>
        </w:rPr>
        <w:t xml:space="preserve"> </w:t>
      </w:r>
      <w:r w:rsidRPr="004A5227">
        <w:rPr>
          <w:rStyle w:val="CharPartText"/>
        </w:rPr>
        <w:t xml:space="preserve"> </w:t>
      </w:r>
    </w:p>
    <w:p w:rsidR="00CD4202" w:rsidRPr="004A5227" w:rsidRDefault="00CD4202" w:rsidP="00CD4202">
      <w:pPr>
        <w:pStyle w:val="Header"/>
      </w:pPr>
      <w:r w:rsidRPr="004A5227">
        <w:rPr>
          <w:rStyle w:val="CharDivNo"/>
        </w:rPr>
        <w:t xml:space="preserve"> </w:t>
      </w:r>
      <w:r w:rsidRPr="004A5227">
        <w:rPr>
          <w:rStyle w:val="CharDivText"/>
        </w:rPr>
        <w:t xml:space="preserve"> </w:t>
      </w:r>
    </w:p>
    <w:p w:rsidR="00B64D32" w:rsidRPr="004A5227" w:rsidRDefault="00CA6815" w:rsidP="00EC13E2">
      <w:pPr>
        <w:pStyle w:val="ActHead5"/>
      </w:pPr>
      <w:bookmarkStart w:id="186" w:name="_Toc413419184"/>
      <w:r w:rsidRPr="004A5227">
        <w:rPr>
          <w:rStyle w:val="CharSectno"/>
        </w:rPr>
        <w:t>133</w:t>
      </w:r>
      <w:r w:rsidR="00B64D32" w:rsidRPr="004A5227">
        <w:t xml:space="preserve">  Previous allocations not affected by repeal</w:t>
      </w:r>
      <w:bookmarkEnd w:id="186"/>
    </w:p>
    <w:p w:rsidR="00B64D32" w:rsidRPr="004A5227" w:rsidRDefault="00B64D32" w:rsidP="00B64D32">
      <w:pPr>
        <w:pStyle w:val="subsection"/>
      </w:pPr>
      <w:r w:rsidRPr="004A5227">
        <w:tab/>
      </w:r>
      <w:r w:rsidRPr="004A5227">
        <w:tab/>
        <w:t xml:space="preserve">The repeal of the </w:t>
      </w:r>
      <w:r w:rsidRPr="004A5227">
        <w:rPr>
          <w:i/>
        </w:rPr>
        <w:t xml:space="preserve">Telecommunications Numbering Plan 1997 </w:t>
      </w:r>
      <w:r w:rsidRPr="004A5227">
        <w:t>does not affect any allocation, transfer, surrender or withdrawal of a number that occurred under that instrument.</w:t>
      </w:r>
    </w:p>
    <w:p w:rsidR="00CD4202" w:rsidRPr="004A5227" w:rsidRDefault="00CA6815" w:rsidP="00E15A44">
      <w:pPr>
        <w:pStyle w:val="ActHead5"/>
      </w:pPr>
      <w:bookmarkStart w:id="187" w:name="_Toc413419185"/>
      <w:r w:rsidRPr="004A5227">
        <w:rPr>
          <w:rStyle w:val="CharSectno"/>
        </w:rPr>
        <w:t>134</w:t>
      </w:r>
      <w:r w:rsidR="00E15A44" w:rsidRPr="004A5227">
        <w:t xml:space="preserve">  Mobile network codes </w:t>
      </w:r>
      <w:r w:rsidR="00EF771B" w:rsidRPr="004A5227">
        <w:t>assigned</w:t>
      </w:r>
      <w:r w:rsidR="00E15A44" w:rsidRPr="004A5227">
        <w:t xml:space="preserve"> before commencement</w:t>
      </w:r>
      <w:bookmarkEnd w:id="187"/>
    </w:p>
    <w:p w:rsidR="00E15A44" w:rsidRPr="004A5227" w:rsidRDefault="00E15A44" w:rsidP="00E15A44">
      <w:pPr>
        <w:pStyle w:val="subsection"/>
      </w:pPr>
      <w:r w:rsidRPr="004A5227">
        <w:tab/>
        <w:t>(1)</w:t>
      </w:r>
      <w:r w:rsidRPr="004A5227">
        <w:tab/>
        <w:t>This section applies if:</w:t>
      </w:r>
    </w:p>
    <w:p w:rsidR="00E15A44" w:rsidRPr="004A5227" w:rsidRDefault="00E15A44" w:rsidP="00E15A44">
      <w:pPr>
        <w:pStyle w:val="paragraph"/>
      </w:pPr>
      <w:r w:rsidRPr="004A5227">
        <w:tab/>
        <w:t>(a)</w:t>
      </w:r>
      <w:r w:rsidRPr="004A5227">
        <w:tab/>
        <w:t>before the commencement of this section, a person has been assigned a mobile network code for use; and</w:t>
      </w:r>
    </w:p>
    <w:p w:rsidR="0089269A" w:rsidRPr="004A5227" w:rsidRDefault="00E15A44" w:rsidP="0089269A">
      <w:pPr>
        <w:pStyle w:val="paragraph"/>
      </w:pPr>
      <w:r w:rsidRPr="004A5227">
        <w:tab/>
        <w:t>(b)</w:t>
      </w:r>
      <w:r w:rsidRPr="004A5227">
        <w:tab/>
        <w:t>the mobile network code has not been transferred, surrendered or withdrawn before the commencement of this section</w:t>
      </w:r>
      <w:r w:rsidR="0089269A" w:rsidRPr="004A5227">
        <w:t>.</w:t>
      </w:r>
    </w:p>
    <w:p w:rsidR="00E15A44" w:rsidRPr="004A5227" w:rsidRDefault="00E15A44" w:rsidP="0089269A">
      <w:pPr>
        <w:pStyle w:val="subsection"/>
      </w:pPr>
      <w:r w:rsidRPr="004A5227">
        <w:tab/>
        <w:t>(2)</w:t>
      </w:r>
      <w:r w:rsidRPr="004A5227">
        <w:tab/>
        <w:t>The person is taken, for the purposes of Part</w:t>
      </w:r>
      <w:r w:rsidR="004A5227" w:rsidRPr="004A5227">
        <w:t> </w:t>
      </w:r>
      <w:r w:rsidRPr="004A5227">
        <w:t>3 of Chapter</w:t>
      </w:r>
      <w:r w:rsidR="004A5227" w:rsidRPr="004A5227">
        <w:t> </w:t>
      </w:r>
      <w:r w:rsidRPr="004A5227">
        <w:t>5</w:t>
      </w:r>
      <w:r w:rsidR="004E3B20" w:rsidRPr="004A5227">
        <w:t xml:space="preserve"> and Part</w:t>
      </w:r>
      <w:r w:rsidR="004A5227" w:rsidRPr="004A5227">
        <w:t> </w:t>
      </w:r>
      <w:r w:rsidR="004E3B20" w:rsidRPr="004A5227">
        <w:t>3 of Chapter</w:t>
      </w:r>
      <w:r w:rsidR="004A5227" w:rsidRPr="004A5227">
        <w:t> </w:t>
      </w:r>
      <w:r w:rsidR="004E3B20" w:rsidRPr="004A5227">
        <w:t>8</w:t>
      </w:r>
      <w:r w:rsidRPr="004A5227">
        <w:t>, to be a carriage service provider that holds the mobile network code.</w:t>
      </w:r>
    </w:p>
    <w:p w:rsidR="00E15A44" w:rsidRPr="004A5227" w:rsidRDefault="004E3B20" w:rsidP="00E15A44">
      <w:pPr>
        <w:pStyle w:val="subsection"/>
      </w:pPr>
      <w:r w:rsidRPr="004A5227">
        <w:tab/>
        <w:t>(3)</w:t>
      </w:r>
      <w:r w:rsidRPr="004A5227">
        <w:tab/>
      </w:r>
      <w:r w:rsidR="0089269A" w:rsidRPr="004A5227">
        <w:t>If t</w:t>
      </w:r>
      <w:r w:rsidRPr="004A5227">
        <w:t>he person is not</w:t>
      </w:r>
      <w:r w:rsidR="00DE43E3" w:rsidRPr="004A5227">
        <w:t xml:space="preserve"> a carriage service provider within the meaning of section</w:t>
      </w:r>
      <w:r w:rsidR="004A5227" w:rsidRPr="004A5227">
        <w:t> </w:t>
      </w:r>
      <w:r w:rsidR="00DE43E3" w:rsidRPr="004A5227">
        <w:t>87 of the Act,</w:t>
      </w:r>
      <w:r w:rsidRPr="004A5227">
        <w:t xml:space="preserve"> </w:t>
      </w:r>
      <w:r w:rsidR="004A5227" w:rsidRPr="004A5227">
        <w:t>subsection (</w:t>
      </w:r>
      <w:r w:rsidR="00DE43E3" w:rsidRPr="004A5227">
        <w:t xml:space="preserve">2) does not enable the person </w:t>
      </w:r>
      <w:r w:rsidRPr="004A5227">
        <w:t>to apply as a carriage service provider for the allocation of another mobile network code or other number.</w:t>
      </w:r>
    </w:p>
    <w:p w:rsidR="00DE43E3" w:rsidRPr="004A5227" w:rsidRDefault="00CA6815" w:rsidP="004E3B20">
      <w:pPr>
        <w:pStyle w:val="ActHead5"/>
      </w:pPr>
      <w:bookmarkStart w:id="188" w:name="_Toc413419186"/>
      <w:r w:rsidRPr="004A5227">
        <w:rPr>
          <w:rStyle w:val="CharSectno"/>
        </w:rPr>
        <w:t>135</w:t>
      </w:r>
      <w:r w:rsidR="00DE43E3" w:rsidRPr="004A5227">
        <w:t xml:space="preserve">  Applications not </w:t>
      </w:r>
      <w:r w:rsidR="00F66251" w:rsidRPr="004A5227">
        <w:t>dealt with</w:t>
      </w:r>
      <w:r w:rsidR="00DE43E3" w:rsidRPr="004A5227">
        <w:t xml:space="preserve"> under 1997 numbering plan</w:t>
      </w:r>
      <w:bookmarkEnd w:id="188"/>
    </w:p>
    <w:p w:rsidR="00DE43E3" w:rsidRPr="004A5227" w:rsidRDefault="00DE43E3" w:rsidP="00DE43E3">
      <w:pPr>
        <w:pStyle w:val="subsection"/>
      </w:pPr>
      <w:r w:rsidRPr="004A5227">
        <w:tab/>
      </w:r>
      <w:r w:rsidRPr="004A5227">
        <w:tab/>
      </w:r>
      <w:r w:rsidR="00F66251" w:rsidRPr="004A5227">
        <w:t>I</w:t>
      </w:r>
      <w:r w:rsidRPr="004A5227">
        <w:t>f:</w:t>
      </w:r>
    </w:p>
    <w:p w:rsidR="00DE43E3" w:rsidRPr="004A5227" w:rsidRDefault="00DE43E3" w:rsidP="00DE43E3">
      <w:pPr>
        <w:pStyle w:val="paragraph"/>
      </w:pPr>
      <w:r w:rsidRPr="004A5227">
        <w:tab/>
        <w:t>(a)</w:t>
      </w:r>
      <w:r w:rsidRPr="004A5227">
        <w:tab/>
        <w:t xml:space="preserve">an application was made under the </w:t>
      </w:r>
      <w:r w:rsidRPr="004A5227">
        <w:rPr>
          <w:i/>
        </w:rPr>
        <w:t>Telecommunications Numbering Plan 1997</w:t>
      </w:r>
      <w:r w:rsidRPr="004A5227">
        <w:t>; and</w:t>
      </w:r>
    </w:p>
    <w:p w:rsidR="00DE43E3" w:rsidRPr="004A5227" w:rsidRDefault="00DE43E3" w:rsidP="00DE43E3">
      <w:pPr>
        <w:pStyle w:val="paragraph"/>
      </w:pPr>
      <w:r w:rsidRPr="004A5227">
        <w:tab/>
        <w:t>(b)</w:t>
      </w:r>
      <w:r w:rsidRPr="004A5227">
        <w:tab/>
      </w:r>
      <w:r w:rsidR="00F66251" w:rsidRPr="004A5227">
        <w:t xml:space="preserve">a decision had not been made on </w:t>
      </w:r>
      <w:r w:rsidRPr="004A5227">
        <w:t>the application when that instrument was repealed under Schedule</w:t>
      </w:r>
      <w:r w:rsidR="004A5227" w:rsidRPr="004A5227">
        <w:t> </w:t>
      </w:r>
      <w:r w:rsidRPr="004A5227">
        <w:t xml:space="preserve">8 </w:t>
      </w:r>
      <w:r w:rsidR="00537C18" w:rsidRPr="004A5227">
        <w:t>to</w:t>
      </w:r>
      <w:r w:rsidRPr="004A5227">
        <w:t xml:space="preserve"> this instrument</w:t>
      </w:r>
      <w:r w:rsidR="00537C18" w:rsidRPr="004A5227">
        <w:t>;</w:t>
      </w:r>
    </w:p>
    <w:p w:rsidR="00DE43E3" w:rsidRPr="004A5227" w:rsidRDefault="00F66251" w:rsidP="00F66251">
      <w:pPr>
        <w:pStyle w:val="subsection2"/>
      </w:pPr>
      <w:r w:rsidRPr="004A5227">
        <w:t xml:space="preserve">the application must be dealt with in accordance with the </w:t>
      </w:r>
      <w:r w:rsidRPr="004A5227">
        <w:rPr>
          <w:i/>
        </w:rPr>
        <w:t>Telecommunications Numbering Plan 1997</w:t>
      </w:r>
      <w:r w:rsidRPr="004A5227">
        <w:t xml:space="preserve"> as if that instrument had not been repealed.</w:t>
      </w:r>
    </w:p>
    <w:p w:rsidR="004E3B20" w:rsidRPr="004A5227" w:rsidRDefault="00CA6815" w:rsidP="004E3B20">
      <w:pPr>
        <w:pStyle w:val="ActHead5"/>
      </w:pPr>
      <w:bookmarkStart w:id="189" w:name="_Toc413419187"/>
      <w:r w:rsidRPr="004A5227">
        <w:rPr>
          <w:rStyle w:val="CharSectno"/>
        </w:rPr>
        <w:t>136</w:t>
      </w:r>
      <w:r w:rsidR="004E3B20" w:rsidRPr="004A5227">
        <w:t xml:space="preserve">  References to declarations in 1997 numbering plan</w:t>
      </w:r>
      <w:bookmarkEnd w:id="189"/>
    </w:p>
    <w:p w:rsidR="00DE43E3" w:rsidRPr="004A5227" w:rsidRDefault="004E3B20" w:rsidP="00B77FA7">
      <w:pPr>
        <w:pStyle w:val="subsection"/>
      </w:pPr>
      <w:r w:rsidRPr="004A5227">
        <w:tab/>
      </w:r>
      <w:r w:rsidRPr="004A5227">
        <w:tab/>
      </w:r>
      <w:r w:rsidR="00710E68" w:rsidRPr="004A5227">
        <w:t>Between 1</w:t>
      </w:r>
      <w:r w:rsidR="004A5227" w:rsidRPr="004A5227">
        <w:t> </w:t>
      </w:r>
      <w:r w:rsidR="00710E68" w:rsidRPr="004A5227">
        <w:t xml:space="preserve">April 2015 and the repeal of </w:t>
      </w:r>
      <w:r w:rsidRPr="004A5227">
        <w:t xml:space="preserve">the </w:t>
      </w:r>
      <w:r w:rsidRPr="004A5227">
        <w:rPr>
          <w:i/>
        </w:rPr>
        <w:t xml:space="preserve">Telecommunications Numbering Plan 1997 </w:t>
      </w:r>
      <w:r w:rsidRPr="004A5227">
        <w:t>under Schedule</w:t>
      </w:r>
      <w:r w:rsidR="004A5227" w:rsidRPr="004A5227">
        <w:t> </w:t>
      </w:r>
      <w:r w:rsidRPr="004A5227">
        <w:t xml:space="preserve">8 </w:t>
      </w:r>
      <w:r w:rsidR="00537C18" w:rsidRPr="004A5227">
        <w:t>to</w:t>
      </w:r>
      <w:r w:rsidRPr="004A5227">
        <w:t xml:space="preserve"> this instrument, the </w:t>
      </w:r>
      <w:r w:rsidRPr="004A5227">
        <w:rPr>
          <w:i/>
        </w:rPr>
        <w:t>Telecommunications Numbering Plan 1997</w:t>
      </w:r>
      <w:r w:rsidRPr="004A5227">
        <w:t xml:space="preserve"> has effect as if a reference in that instrument to a declaration that is in force under section</w:t>
      </w:r>
      <w:r w:rsidR="004A5227" w:rsidRPr="004A5227">
        <w:t> </w:t>
      </w:r>
      <w:r w:rsidRPr="004A5227">
        <w:t>3.39 were a reference to a declaration that was in force under section</w:t>
      </w:r>
      <w:r w:rsidR="004A5227" w:rsidRPr="004A5227">
        <w:t> </w:t>
      </w:r>
      <w:r w:rsidRPr="004A5227">
        <w:t>3.39 immediately before 1</w:t>
      </w:r>
      <w:r w:rsidR="004A5227" w:rsidRPr="004A5227">
        <w:t> </w:t>
      </w:r>
      <w:r w:rsidRPr="004A5227">
        <w:t>April 2015.</w:t>
      </w:r>
    </w:p>
    <w:p w:rsidR="00CD4202" w:rsidRPr="004A5227" w:rsidRDefault="00CD4202" w:rsidP="00CD4202">
      <w:pPr>
        <w:rPr>
          <w:lang w:eastAsia="en-AU"/>
        </w:rPr>
        <w:sectPr w:rsidR="00CD4202" w:rsidRPr="004A5227" w:rsidSect="007F616C">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p>
    <w:p w:rsidR="004C3E58" w:rsidRPr="004A5227" w:rsidRDefault="004C3E58" w:rsidP="004C3E58">
      <w:pPr>
        <w:pStyle w:val="ActHead1"/>
        <w:pageBreakBefore/>
      </w:pPr>
      <w:bookmarkStart w:id="190" w:name="_Toc413419188"/>
      <w:r w:rsidRPr="004A5227">
        <w:rPr>
          <w:rStyle w:val="CharChapNo"/>
        </w:rPr>
        <w:lastRenderedPageBreak/>
        <w:t>Schedule</w:t>
      </w:r>
      <w:r w:rsidR="004A5227" w:rsidRPr="004A5227">
        <w:rPr>
          <w:rStyle w:val="CharChapNo"/>
        </w:rPr>
        <w:t> </w:t>
      </w:r>
      <w:r w:rsidR="00790A2E" w:rsidRPr="004A5227">
        <w:rPr>
          <w:rStyle w:val="CharChapNo"/>
        </w:rPr>
        <w:t>1</w:t>
      </w:r>
      <w:r w:rsidRPr="004A5227">
        <w:t>—</w:t>
      </w:r>
      <w:r w:rsidRPr="004A5227">
        <w:rPr>
          <w:rStyle w:val="CharChapText"/>
        </w:rPr>
        <w:t>Geographic numbers</w:t>
      </w:r>
      <w:bookmarkEnd w:id="190"/>
    </w:p>
    <w:p w:rsidR="004C3E58" w:rsidRPr="004A5227" w:rsidRDefault="004C3E58" w:rsidP="004C3E58">
      <w:pPr>
        <w:pStyle w:val="notemargin"/>
      </w:pPr>
      <w:r w:rsidRPr="004A5227">
        <w:t>Note:</w:t>
      </w:r>
      <w:r w:rsidRPr="004A5227">
        <w:tab/>
        <w:t>See section</w:t>
      </w:r>
      <w:r w:rsidR="004A5227" w:rsidRPr="004A5227">
        <w:t> </w:t>
      </w:r>
      <w:r w:rsidR="00CA6815" w:rsidRPr="004A5227">
        <w:t>18</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4C3E58" w:rsidRPr="004A5227" w:rsidRDefault="004C3E58" w:rsidP="004C3E58">
      <w:pPr>
        <w:pStyle w:val="ActHead5"/>
      </w:pPr>
      <w:bookmarkStart w:id="191" w:name="_Toc413419189"/>
      <w:r w:rsidRPr="004A5227">
        <w:rPr>
          <w:rStyle w:val="CharSectno"/>
        </w:rPr>
        <w:t>1</w:t>
      </w:r>
      <w:r w:rsidRPr="004A5227">
        <w:t xml:space="preserve">  Central East Region</w:t>
      </w:r>
      <w:bookmarkEnd w:id="191"/>
    </w:p>
    <w:p w:rsidR="004C3E58" w:rsidRPr="004A5227" w:rsidRDefault="004C3E58" w:rsidP="004C3E58">
      <w:pPr>
        <w:pStyle w:val="subsection"/>
      </w:pPr>
      <w:r w:rsidRPr="004A5227">
        <w:tab/>
      </w:r>
      <w:r w:rsidRPr="004A5227">
        <w:tab/>
        <w:t>The following table sets out the form of geographic numbers for use in most of New South Wales, the Australian Capital Territory and parts of northern Victoria.</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Central East Region</w:t>
            </w:r>
          </w:p>
        </w:tc>
      </w:tr>
      <w:tr w:rsidR="004C3E58" w:rsidRPr="004A5227" w:rsidTr="00ED71A4">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ED71A4">
        <w:tc>
          <w:tcPr>
            <w:tcW w:w="714" w:type="dxa"/>
            <w:tcBorders>
              <w:top w:val="single" w:sz="12" w:space="0" w:color="auto"/>
            </w:tcBorders>
            <w:shd w:val="clear" w:color="auto" w:fill="auto"/>
          </w:tcPr>
          <w:p w:rsidR="004C3E58" w:rsidRPr="004A5227" w:rsidRDefault="00366B9C"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(02) 33</w:t>
            </w:r>
          </w:p>
        </w:tc>
        <w:tc>
          <w:tcPr>
            <w:tcW w:w="4773" w:type="dxa"/>
            <w:tcBorders>
              <w:top w:val="single" w:sz="12" w:space="0" w:color="auto"/>
            </w:tcBorders>
            <w:shd w:val="clear" w:color="auto" w:fill="auto"/>
          </w:tcPr>
          <w:p w:rsidR="004C3E58" w:rsidRPr="004A5227" w:rsidRDefault="004C3E58" w:rsidP="00ED71A4">
            <w:pPr>
              <w:pStyle w:val="Tabletext"/>
            </w:pPr>
            <w:r w:rsidRPr="004A5227">
              <w:t>Gosford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(02) 37</w:t>
            </w:r>
          </w:p>
        </w:tc>
        <w:tc>
          <w:tcPr>
            <w:tcW w:w="4773" w:type="dxa"/>
            <w:shd w:val="clear" w:color="auto" w:fill="auto"/>
          </w:tcPr>
          <w:p w:rsidR="004C3E58" w:rsidRPr="004A5227" w:rsidRDefault="004C3E58" w:rsidP="00ED71A4">
            <w:pPr>
              <w:pStyle w:val="Tabletext"/>
            </w:pPr>
            <w:r w:rsidRPr="004A5227">
              <w:t>The following charging districts:</w:t>
            </w:r>
          </w:p>
          <w:p w:rsidR="000F0EF0" w:rsidRPr="004A5227" w:rsidRDefault="004C3E58" w:rsidP="00ED71A4">
            <w:pPr>
              <w:pStyle w:val="Tabletext"/>
            </w:pPr>
            <w:r w:rsidRPr="004A5227">
              <w:t>Armidale</w:t>
            </w:r>
          </w:p>
          <w:p w:rsidR="004C3E58" w:rsidRPr="004A5227" w:rsidRDefault="004C3E58" w:rsidP="00ED71A4">
            <w:pPr>
              <w:pStyle w:val="Tabletext"/>
            </w:pPr>
            <w:r w:rsidRPr="004A5227">
              <w:t>Barraba</w:t>
            </w:r>
          </w:p>
          <w:p w:rsidR="004C3E58" w:rsidRPr="004A5227" w:rsidRDefault="004C3E58" w:rsidP="00ED71A4">
            <w:pPr>
              <w:pStyle w:val="Tabletext"/>
            </w:pPr>
            <w:r w:rsidRPr="004A5227">
              <w:t>Glen Innes</w:t>
            </w:r>
          </w:p>
          <w:p w:rsidR="004C3E58" w:rsidRPr="004A5227" w:rsidRDefault="004C3E58" w:rsidP="00ED71A4">
            <w:pPr>
              <w:pStyle w:val="Tabletext"/>
            </w:pPr>
            <w:r w:rsidRPr="004A5227">
              <w:t>Gunnedah</w:t>
            </w:r>
          </w:p>
          <w:p w:rsidR="004C3E58" w:rsidRPr="004A5227" w:rsidRDefault="004C3E58" w:rsidP="00ED71A4">
            <w:pPr>
              <w:pStyle w:val="Tabletext"/>
            </w:pPr>
            <w:r w:rsidRPr="004A5227">
              <w:t>Inverell</w:t>
            </w:r>
          </w:p>
          <w:p w:rsidR="004C3E58" w:rsidRPr="004A5227" w:rsidRDefault="004C3E58" w:rsidP="00ED71A4">
            <w:pPr>
              <w:pStyle w:val="Tabletext"/>
            </w:pPr>
            <w:r w:rsidRPr="004A5227">
              <w:t>Narrabri</w:t>
            </w:r>
          </w:p>
          <w:p w:rsidR="004C3E58" w:rsidRPr="004A5227" w:rsidRDefault="004C3E58" w:rsidP="00ED71A4">
            <w:pPr>
              <w:pStyle w:val="Tabletext"/>
            </w:pPr>
            <w:r w:rsidRPr="004A5227">
              <w:t>Tamworth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Boomi, </w:t>
            </w:r>
            <w:proofErr w:type="spellStart"/>
            <w:r w:rsidRPr="004A5227">
              <w:t>Bunnor</w:t>
            </w:r>
            <w:proofErr w:type="spellEnd"/>
            <w:r w:rsidRPr="004A5227">
              <w:t xml:space="preserve">, </w:t>
            </w:r>
            <w:proofErr w:type="spellStart"/>
            <w:r w:rsidRPr="004A5227">
              <w:t>Careunga</w:t>
            </w:r>
            <w:proofErr w:type="spellEnd"/>
            <w:r w:rsidRPr="004A5227">
              <w:t xml:space="preserve">, Collarenebri, </w:t>
            </w:r>
            <w:proofErr w:type="spellStart"/>
            <w:r w:rsidRPr="004A5227">
              <w:t>Croppa</w:t>
            </w:r>
            <w:proofErr w:type="spellEnd"/>
            <w:r w:rsidRPr="004A5227">
              <w:t xml:space="preserve"> Creek, Garah, </w:t>
            </w:r>
            <w:proofErr w:type="spellStart"/>
            <w:r w:rsidRPr="004A5227">
              <w:t>Gundabloui</w:t>
            </w:r>
            <w:proofErr w:type="spellEnd"/>
            <w:r w:rsidRPr="004A5227">
              <w:t xml:space="preserve">, Gurley, </w:t>
            </w:r>
            <w:proofErr w:type="spellStart"/>
            <w:r w:rsidRPr="004A5227">
              <w:t>Mirriadool</w:t>
            </w:r>
            <w:proofErr w:type="spellEnd"/>
            <w:r w:rsidRPr="004A5227">
              <w:t xml:space="preserve">, Moree, Mungindi, Pallamallawa, Weemelah, </w:t>
            </w:r>
            <w:proofErr w:type="spellStart"/>
            <w:r w:rsidRPr="004A5227">
              <w:t>Wenna</w:t>
            </w:r>
            <w:proofErr w:type="spellEnd"/>
          </w:p>
        </w:tc>
      </w:tr>
      <w:tr w:rsidR="004C3E58" w:rsidRPr="004A5227" w:rsidTr="00ED71A4">
        <w:tc>
          <w:tcPr>
            <w:tcW w:w="714" w:type="dxa"/>
            <w:shd w:val="clear" w:color="auto" w:fill="auto"/>
          </w:tcPr>
          <w:p w:rsidR="004C3E58" w:rsidRPr="004A5227" w:rsidRDefault="00366B9C" w:rsidP="00ED71A4">
            <w:pPr>
              <w:pStyle w:val="Tabletext"/>
            </w:pPr>
            <w:r w:rsidRPr="004A5227">
              <w:t>3</w:t>
            </w:r>
          </w:p>
        </w:tc>
        <w:tc>
          <w:tcPr>
            <w:tcW w:w="2825" w:type="dxa"/>
            <w:shd w:val="clear" w:color="auto" w:fill="auto"/>
          </w:tcPr>
          <w:p w:rsidR="004C3E58" w:rsidRPr="004A5227" w:rsidRDefault="004C3E58" w:rsidP="00ED71A4">
            <w:pPr>
              <w:pStyle w:val="Tabletext"/>
            </w:pPr>
            <w:r w:rsidRPr="004A5227">
              <w:t>(02) 38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Bowral</w:t>
            </w:r>
          </w:p>
          <w:p w:rsidR="004C3E58" w:rsidRPr="004A5227" w:rsidRDefault="004C3E58" w:rsidP="00ED71A4">
            <w:pPr>
              <w:pStyle w:val="Tabletext"/>
            </w:pPr>
            <w:r w:rsidRPr="004A5227">
              <w:t>Crookwell</w:t>
            </w:r>
          </w:p>
          <w:p w:rsidR="004C3E58" w:rsidRPr="004A5227" w:rsidRDefault="004C3E58" w:rsidP="00ED71A4">
            <w:pPr>
              <w:pStyle w:val="Tabletext"/>
            </w:pPr>
            <w:r w:rsidRPr="004A5227">
              <w:t>Goulburn</w:t>
            </w:r>
          </w:p>
          <w:p w:rsidR="004C3E58" w:rsidRPr="004A5227" w:rsidRDefault="004C3E58" w:rsidP="00ED71A4">
            <w:pPr>
              <w:pStyle w:val="Tabletext"/>
            </w:pPr>
            <w:r w:rsidRPr="004A5227">
              <w:t>Marulan</w:t>
            </w:r>
          </w:p>
        </w:tc>
      </w:tr>
      <w:tr w:rsidR="004C3E58" w:rsidRPr="004A5227" w:rsidTr="00ED71A4">
        <w:tc>
          <w:tcPr>
            <w:tcW w:w="714" w:type="dxa"/>
            <w:shd w:val="clear" w:color="auto" w:fill="auto"/>
          </w:tcPr>
          <w:p w:rsidR="004C3E58" w:rsidRPr="004A5227" w:rsidRDefault="00366B9C" w:rsidP="00ED71A4">
            <w:pPr>
              <w:pStyle w:val="Tabletext"/>
            </w:pPr>
            <w:r w:rsidRPr="004A5227">
              <w:t>4</w:t>
            </w:r>
          </w:p>
        </w:tc>
        <w:tc>
          <w:tcPr>
            <w:tcW w:w="2825" w:type="dxa"/>
            <w:shd w:val="clear" w:color="auto" w:fill="auto"/>
          </w:tcPr>
          <w:p w:rsidR="004C3E58" w:rsidRPr="004A5227" w:rsidRDefault="004C3E58" w:rsidP="00ED71A4">
            <w:pPr>
              <w:pStyle w:val="Tabletext"/>
            </w:pPr>
            <w:r w:rsidRPr="004A5227">
              <w:t>(02) 39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Adelong</w:t>
            </w:r>
          </w:p>
          <w:p w:rsidR="004C3E58" w:rsidRPr="004A5227" w:rsidRDefault="004C3E58" w:rsidP="00ED71A4">
            <w:pPr>
              <w:pStyle w:val="Tabletext"/>
            </w:pPr>
            <w:r w:rsidRPr="004A5227">
              <w:t>Griffith</w:t>
            </w:r>
          </w:p>
          <w:p w:rsidR="004C3E58" w:rsidRPr="004A5227" w:rsidRDefault="004C3E58" w:rsidP="00ED71A4">
            <w:pPr>
              <w:pStyle w:val="Tabletext"/>
            </w:pPr>
            <w:r w:rsidRPr="004A5227">
              <w:t>Hay</w:t>
            </w:r>
          </w:p>
          <w:p w:rsidR="004C3E58" w:rsidRPr="004A5227" w:rsidRDefault="004C3E58" w:rsidP="00ED71A4">
            <w:pPr>
              <w:pStyle w:val="Tabletext"/>
            </w:pPr>
            <w:r w:rsidRPr="004A5227">
              <w:t>Narrandera</w:t>
            </w:r>
          </w:p>
          <w:p w:rsidR="004C3E58" w:rsidRPr="004A5227" w:rsidRDefault="004C3E58" w:rsidP="00ED71A4">
            <w:pPr>
              <w:pStyle w:val="Tabletext"/>
            </w:pPr>
            <w:r w:rsidRPr="004A5227">
              <w:t>Temora</w:t>
            </w:r>
          </w:p>
          <w:p w:rsidR="004C3E58" w:rsidRPr="004A5227" w:rsidRDefault="004C3E58" w:rsidP="00ED71A4">
            <w:pPr>
              <w:pStyle w:val="Tabletext"/>
            </w:pPr>
            <w:r w:rsidRPr="004A5227">
              <w:t>Wagga Wagga</w:t>
            </w:r>
          </w:p>
          <w:p w:rsidR="004C3E58" w:rsidRPr="004A5227" w:rsidRDefault="004C3E58" w:rsidP="00ED71A4">
            <w:pPr>
              <w:pStyle w:val="Tabletext"/>
            </w:pPr>
            <w:r w:rsidRPr="004A5227">
              <w:t>West Wyalong</w:t>
            </w:r>
          </w:p>
        </w:tc>
      </w:tr>
      <w:tr w:rsidR="004C3E58" w:rsidRPr="004A5227" w:rsidTr="00ED71A4">
        <w:tc>
          <w:tcPr>
            <w:tcW w:w="714" w:type="dxa"/>
            <w:shd w:val="clear" w:color="auto" w:fill="auto"/>
          </w:tcPr>
          <w:p w:rsidR="004C3E58" w:rsidRPr="004A5227" w:rsidRDefault="00366B9C" w:rsidP="00ED71A4">
            <w:pPr>
              <w:pStyle w:val="Tabletext"/>
            </w:pPr>
            <w:r w:rsidRPr="004A5227">
              <w:t>5</w:t>
            </w:r>
          </w:p>
        </w:tc>
        <w:tc>
          <w:tcPr>
            <w:tcW w:w="2825" w:type="dxa"/>
            <w:shd w:val="clear" w:color="auto" w:fill="auto"/>
          </w:tcPr>
          <w:p w:rsidR="004C3E58" w:rsidRPr="004A5227" w:rsidRDefault="004C3E58" w:rsidP="00ED71A4">
            <w:pPr>
              <w:pStyle w:val="Tabletext"/>
            </w:pPr>
            <w:r w:rsidRPr="004A5227">
              <w:t>(02) 40</w:t>
            </w:r>
          </w:p>
        </w:tc>
        <w:tc>
          <w:tcPr>
            <w:tcW w:w="4773" w:type="dxa"/>
            <w:shd w:val="clear" w:color="auto" w:fill="auto"/>
          </w:tcPr>
          <w:p w:rsidR="004C3E58" w:rsidRPr="004A5227" w:rsidRDefault="004C3E58" w:rsidP="00ED71A4">
            <w:pPr>
              <w:pStyle w:val="Tabletext"/>
            </w:pPr>
            <w:r w:rsidRPr="004A5227">
              <w:t>Newcastle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6</w:t>
            </w:r>
          </w:p>
        </w:tc>
        <w:tc>
          <w:tcPr>
            <w:tcW w:w="2825" w:type="dxa"/>
            <w:shd w:val="clear" w:color="auto" w:fill="auto"/>
          </w:tcPr>
          <w:p w:rsidR="004C3E58" w:rsidRPr="004A5227" w:rsidRDefault="004C3E58" w:rsidP="00ED71A4">
            <w:pPr>
              <w:pStyle w:val="Tabletext"/>
            </w:pPr>
            <w:r w:rsidRPr="004A5227">
              <w:t>(02) 41</w:t>
            </w:r>
          </w:p>
        </w:tc>
        <w:tc>
          <w:tcPr>
            <w:tcW w:w="4773" w:type="dxa"/>
            <w:shd w:val="clear" w:color="auto" w:fill="auto"/>
          </w:tcPr>
          <w:p w:rsidR="004C3E58" w:rsidRPr="004A5227" w:rsidRDefault="004C3E58" w:rsidP="00ED71A4">
            <w:pPr>
              <w:pStyle w:val="Tabletext"/>
            </w:pPr>
            <w:r w:rsidRPr="004A5227">
              <w:t>Newcastle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7</w:t>
            </w:r>
          </w:p>
        </w:tc>
        <w:tc>
          <w:tcPr>
            <w:tcW w:w="2825" w:type="dxa"/>
            <w:shd w:val="clear" w:color="auto" w:fill="auto"/>
          </w:tcPr>
          <w:p w:rsidR="004C3E58" w:rsidRPr="004A5227" w:rsidRDefault="004C3E58" w:rsidP="00ED71A4">
            <w:pPr>
              <w:pStyle w:val="Tabletext"/>
            </w:pPr>
            <w:r w:rsidRPr="004A5227">
              <w:t>(02) 42</w:t>
            </w:r>
          </w:p>
        </w:tc>
        <w:tc>
          <w:tcPr>
            <w:tcW w:w="4773" w:type="dxa"/>
            <w:shd w:val="clear" w:color="auto" w:fill="auto"/>
          </w:tcPr>
          <w:p w:rsidR="004C3E58" w:rsidRPr="004A5227" w:rsidRDefault="00583FEB" w:rsidP="005E05AB">
            <w:pPr>
              <w:pStyle w:val="Tabletext"/>
            </w:pPr>
            <w:r w:rsidRPr="004A5227">
              <w:t>Wollongong charging district and Helensburgh standard zone unit in the Campbelltown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8</w:t>
            </w:r>
          </w:p>
        </w:tc>
        <w:tc>
          <w:tcPr>
            <w:tcW w:w="2825" w:type="dxa"/>
            <w:shd w:val="clear" w:color="auto" w:fill="auto"/>
          </w:tcPr>
          <w:p w:rsidR="004C3E58" w:rsidRPr="004A5227" w:rsidRDefault="004C3E58" w:rsidP="00ED71A4">
            <w:pPr>
              <w:pStyle w:val="Tabletext"/>
            </w:pPr>
            <w:r w:rsidRPr="004A5227">
              <w:t>(02) 43</w:t>
            </w:r>
          </w:p>
        </w:tc>
        <w:tc>
          <w:tcPr>
            <w:tcW w:w="4773" w:type="dxa"/>
            <w:shd w:val="clear" w:color="auto" w:fill="auto"/>
          </w:tcPr>
          <w:p w:rsidR="004C3E58" w:rsidRPr="004A5227" w:rsidRDefault="004C3E58" w:rsidP="00ED71A4">
            <w:pPr>
              <w:pStyle w:val="Tabletext"/>
            </w:pPr>
            <w:r w:rsidRPr="004A5227">
              <w:t>Gosford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(02) 44</w:t>
            </w:r>
          </w:p>
        </w:tc>
        <w:tc>
          <w:tcPr>
            <w:tcW w:w="4773" w:type="dxa"/>
            <w:shd w:val="clear" w:color="auto" w:fill="auto"/>
          </w:tcPr>
          <w:p w:rsidR="004C3E58" w:rsidRPr="004A5227" w:rsidRDefault="004C3E58" w:rsidP="00ED71A4">
            <w:pPr>
              <w:pStyle w:val="Tabletext"/>
            </w:pPr>
            <w:r w:rsidRPr="004A5227">
              <w:t>Moruya and Nowra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10</w:t>
            </w:r>
          </w:p>
        </w:tc>
        <w:tc>
          <w:tcPr>
            <w:tcW w:w="2825" w:type="dxa"/>
            <w:shd w:val="clear" w:color="auto" w:fill="auto"/>
          </w:tcPr>
          <w:p w:rsidR="004C3E58" w:rsidRPr="004A5227" w:rsidRDefault="004C3E58" w:rsidP="00ED71A4">
            <w:pPr>
              <w:pStyle w:val="Tabletext"/>
            </w:pPr>
            <w:r w:rsidRPr="004A5227">
              <w:t>(02) 45</w:t>
            </w:r>
          </w:p>
        </w:tc>
        <w:tc>
          <w:tcPr>
            <w:tcW w:w="4773" w:type="dxa"/>
            <w:shd w:val="clear" w:color="auto" w:fill="auto"/>
          </w:tcPr>
          <w:p w:rsidR="004C3E58" w:rsidRPr="004A5227" w:rsidRDefault="004C3E58" w:rsidP="00ED71A4">
            <w:pPr>
              <w:pStyle w:val="Tabletext"/>
            </w:pPr>
            <w:r w:rsidRPr="004A5227">
              <w:t>Windsor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11</w:t>
            </w:r>
          </w:p>
        </w:tc>
        <w:tc>
          <w:tcPr>
            <w:tcW w:w="2825" w:type="dxa"/>
            <w:shd w:val="clear" w:color="auto" w:fill="auto"/>
          </w:tcPr>
          <w:p w:rsidR="004C3E58" w:rsidRPr="004A5227" w:rsidRDefault="004C3E58" w:rsidP="00ED71A4">
            <w:pPr>
              <w:pStyle w:val="Tabletext"/>
            </w:pPr>
            <w:r w:rsidRPr="004A5227">
              <w:t>(02) 46</w:t>
            </w:r>
          </w:p>
        </w:tc>
        <w:tc>
          <w:tcPr>
            <w:tcW w:w="4773" w:type="dxa"/>
            <w:shd w:val="clear" w:color="auto" w:fill="auto"/>
          </w:tcPr>
          <w:p w:rsidR="004C3E58" w:rsidRPr="004A5227" w:rsidRDefault="009A63CC" w:rsidP="001152C0">
            <w:pPr>
              <w:pStyle w:val="Tabletext"/>
            </w:pPr>
            <w:r w:rsidRPr="004A5227">
              <w:t xml:space="preserve">Camden, </w:t>
            </w:r>
            <w:r w:rsidR="002236FB" w:rsidRPr="004A5227">
              <w:t>Campbelltown</w:t>
            </w:r>
            <w:r w:rsidRPr="004A5227">
              <w:t xml:space="preserve"> and Picton </w:t>
            </w:r>
            <w:r w:rsidR="002236FB" w:rsidRPr="004A5227">
              <w:t>standard zone unit</w:t>
            </w:r>
            <w:r w:rsidRPr="004A5227">
              <w:t>s</w:t>
            </w:r>
            <w:r w:rsidR="001152C0" w:rsidRPr="004A5227">
              <w:t xml:space="preserve"> in the Campbelltown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12</w:t>
            </w:r>
          </w:p>
        </w:tc>
        <w:tc>
          <w:tcPr>
            <w:tcW w:w="2825" w:type="dxa"/>
            <w:shd w:val="clear" w:color="auto" w:fill="auto"/>
          </w:tcPr>
          <w:p w:rsidR="004C3E58" w:rsidRPr="004A5227" w:rsidRDefault="004C3E58" w:rsidP="00ED71A4">
            <w:pPr>
              <w:pStyle w:val="Tabletext"/>
            </w:pPr>
            <w:r w:rsidRPr="004A5227">
              <w:t>(02) 47</w:t>
            </w:r>
          </w:p>
        </w:tc>
        <w:tc>
          <w:tcPr>
            <w:tcW w:w="4773" w:type="dxa"/>
            <w:shd w:val="clear" w:color="auto" w:fill="auto"/>
          </w:tcPr>
          <w:p w:rsidR="004C3E58" w:rsidRPr="004A5227" w:rsidRDefault="004C3E58" w:rsidP="00ED71A4">
            <w:pPr>
              <w:pStyle w:val="Tabletext"/>
            </w:pPr>
            <w:r w:rsidRPr="004A5227">
              <w:t>Penrith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(02) 48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Bowral</w:t>
            </w:r>
          </w:p>
          <w:p w:rsidR="004C3E58" w:rsidRPr="004A5227" w:rsidRDefault="004C3E58" w:rsidP="00ED71A4">
            <w:pPr>
              <w:pStyle w:val="Tabletext"/>
            </w:pPr>
            <w:r w:rsidRPr="004A5227">
              <w:t>Crookwell</w:t>
            </w:r>
          </w:p>
          <w:p w:rsidR="004C3E58" w:rsidRPr="004A5227" w:rsidRDefault="004C3E58" w:rsidP="00ED71A4">
            <w:pPr>
              <w:pStyle w:val="Tabletext"/>
            </w:pPr>
            <w:r w:rsidRPr="004A5227">
              <w:t>Goulburn</w:t>
            </w:r>
          </w:p>
          <w:p w:rsidR="004C3E58" w:rsidRPr="004A5227" w:rsidRDefault="004C3E58" w:rsidP="00ED71A4">
            <w:pPr>
              <w:pStyle w:val="Tabletext"/>
            </w:pPr>
            <w:r w:rsidRPr="004A5227">
              <w:t>Marulan</w:t>
            </w:r>
          </w:p>
        </w:tc>
      </w:tr>
      <w:tr w:rsidR="004C3E58" w:rsidRPr="004A5227" w:rsidTr="00ED71A4">
        <w:tc>
          <w:tcPr>
            <w:tcW w:w="714" w:type="dxa"/>
            <w:shd w:val="clear" w:color="auto" w:fill="auto"/>
          </w:tcPr>
          <w:p w:rsidR="004C3E58" w:rsidRPr="004A5227" w:rsidRDefault="00366B9C"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(02) 49</w:t>
            </w:r>
          </w:p>
        </w:tc>
        <w:tc>
          <w:tcPr>
            <w:tcW w:w="4773" w:type="dxa"/>
            <w:shd w:val="clear" w:color="auto" w:fill="auto"/>
          </w:tcPr>
          <w:p w:rsidR="004C3E58" w:rsidRPr="004A5227" w:rsidRDefault="004C3E58" w:rsidP="00ED71A4">
            <w:pPr>
              <w:pStyle w:val="Tabletext"/>
            </w:pPr>
            <w:r w:rsidRPr="004A5227">
              <w:t>Newcastle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(02) 50</w:t>
            </w:r>
          </w:p>
        </w:tc>
        <w:tc>
          <w:tcPr>
            <w:tcW w:w="4773" w:type="dxa"/>
            <w:shd w:val="clear" w:color="auto" w:fill="auto"/>
          </w:tcPr>
          <w:p w:rsidR="004C3E58" w:rsidRPr="004A5227" w:rsidRDefault="004C3E58" w:rsidP="00ED71A4">
            <w:pPr>
              <w:pStyle w:val="Tabletext"/>
            </w:pPr>
            <w:r w:rsidRPr="004A5227">
              <w:t>Albury and Corryong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(02) 51</w:t>
            </w:r>
          </w:p>
        </w:tc>
        <w:tc>
          <w:tcPr>
            <w:tcW w:w="4773" w:type="dxa"/>
            <w:shd w:val="clear" w:color="auto" w:fill="auto"/>
          </w:tcPr>
          <w:p w:rsidR="004C3E58" w:rsidRPr="004A5227" w:rsidRDefault="004C3E58" w:rsidP="00ED71A4">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(02) 52</w:t>
            </w:r>
          </w:p>
        </w:tc>
        <w:tc>
          <w:tcPr>
            <w:tcW w:w="4773" w:type="dxa"/>
            <w:shd w:val="clear" w:color="auto" w:fill="auto"/>
          </w:tcPr>
          <w:p w:rsidR="004C3E58" w:rsidRPr="004A5227" w:rsidRDefault="004C3E58" w:rsidP="00ED71A4">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(02) 53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Bathurst</w:t>
            </w:r>
          </w:p>
          <w:p w:rsidR="004C3E58" w:rsidRPr="004A5227" w:rsidRDefault="004C3E58" w:rsidP="00ED71A4">
            <w:pPr>
              <w:pStyle w:val="Tabletext"/>
            </w:pPr>
            <w:r w:rsidRPr="004A5227">
              <w:t>Cowra</w:t>
            </w:r>
          </w:p>
          <w:p w:rsidR="004C3E58" w:rsidRPr="004A5227" w:rsidRDefault="004C3E58" w:rsidP="00ED71A4">
            <w:pPr>
              <w:pStyle w:val="Tabletext"/>
            </w:pPr>
            <w:r w:rsidRPr="004A5227">
              <w:t>Lithgow</w:t>
            </w:r>
          </w:p>
          <w:p w:rsidR="004C3E58" w:rsidRPr="004A5227" w:rsidRDefault="004C3E58" w:rsidP="00ED71A4">
            <w:pPr>
              <w:pStyle w:val="Tabletext"/>
            </w:pPr>
            <w:r w:rsidRPr="004A5227">
              <w:t>Mudgee</w:t>
            </w:r>
          </w:p>
          <w:p w:rsidR="004C3E58" w:rsidRPr="004A5227" w:rsidRDefault="004C3E58" w:rsidP="00ED71A4">
            <w:pPr>
              <w:pStyle w:val="Tabletext"/>
            </w:pPr>
            <w:r w:rsidRPr="004A5227">
              <w:t>Orange</w:t>
            </w:r>
          </w:p>
          <w:p w:rsidR="004C3E58" w:rsidRPr="004A5227" w:rsidRDefault="004C3E58" w:rsidP="00ED71A4">
            <w:pPr>
              <w:pStyle w:val="Tabletext"/>
            </w:pPr>
            <w:r w:rsidRPr="004A5227">
              <w:t>Rylstone</w:t>
            </w:r>
          </w:p>
          <w:p w:rsidR="004C3E58" w:rsidRPr="004A5227" w:rsidRDefault="004C3E58" w:rsidP="00ED71A4">
            <w:pPr>
              <w:pStyle w:val="Tabletext"/>
            </w:pPr>
            <w:r w:rsidRPr="004A5227">
              <w:t>Young</w:t>
            </w:r>
          </w:p>
        </w:tc>
      </w:tr>
      <w:tr w:rsidR="004C3E58" w:rsidRPr="004A5227" w:rsidTr="00ED71A4">
        <w:tc>
          <w:tcPr>
            <w:tcW w:w="714" w:type="dxa"/>
            <w:shd w:val="clear" w:color="auto" w:fill="auto"/>
          </w:tcPr>
          <w:p w:rsidR="004C3E58" w:rsidRPr="004A5227" w:rsidRDefault="00366B9C" w:rsidP="00ED71A4">
            <w:pPr>
              <w:pStyle w:val="Tabletext"/>
            </w:pPr>
            <w:r w:rsidRPr="004A5227">
              <w:t>19</w:t>
            </w:r>
          </w:p>
        </w:tc>
        <w:tc>
          <w:tcPr>
            <w:tcW w:w="2825" w:type="dxa"/>
            <w:shd w:val="clear" w:color="auto" w:fill="auto"/>
          </w:tcPr>
          <w:p w:rsidR="004C3E58" w:rsidRPr="004A5227" w:rsidRDefault="004C3E58" w:rsidP="00ED71A4">
            <w:pPr>
              <w:pStyle w:val="Tabletext"/>
            </w:pPr>
            <w:r w:rsidRPr="004A5227">
              <w:t>(02) 54</w:t>
            </w:r>
          </w:p>
        </w:tc>
        <w:tc>
          <w:tcPr>
            <w:tcW w:w="4773" w:type="dxa"/>
            <w:shd w:val="clear" w:color="auto" w:fill="auto"/>
          </w:tcPr>
          <w:p w:rsidR="004C3E58" w:rsidRPr="004A5227" w:rsidRDefault="004C3E58" w:rsidP="00ED71A4">
            <w:pPr>
              <w:pStyle w:val="Tabletext"/>
            </w:pPr>
            <w:r w:rsidRPr="004A5227">
              <w:t>Bega and Cooma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20</w:t>
            </w:r>
          </w:p>
        </w:tc>
        <w:tc>
          <w:tcPr>
            <w:tcW w:w="2825" w:type="dxa"/>
            <w:shd w:val="clear" w:color="auto" w:fill="auto"/>
          </w:tcPr>
          <w:p w:rsidR="004C3E58" w:rsidRPr="004A5227" w:rsidRDefault="004C3E58" w:rsidP="00ED71A4">
            <w:pPr>
              <w:pStyle w:val="Tabletext"/>
            </w:pPr>
            <w:r w:rsidRPr="004A5227">
              <w:t>(02) 55</w:t>
            </w:r>
          </w:p>
          <w:p w:rsidR="004C3E58" w:rsidRPr="004A5227" w:rsidRDefault="004C3E58" w:rsidP="00ED71A4">
            <w:pPr>
              <w:pStyle w:val="Tabletext"/>
            </w:pPr>
            <w:r w:rsidRPr="004A5227">
              <w:t>(except (02) 5550)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Kempsey</w:t>
            </w:r>
          </w:p>
          <w:p w:rsidR="004C3E58" w:rsidRPr="004A5227" w:rsidRDefault="004C3E58" w:rsidP="00ED71A4">
            <w:pPr>
              <w:pStyle w:val="Tabletext"/>
            </w:pPr>
            <w:r w:rsidRPr="004A5227">
              <w:t>Lord Howe Island</w:t>
            </w:r>
          </w:p>
          <w:p w:rsidR="004C3E58" w:rsidRPr="004A5227" w:rsidRDefault="004C3E58" w:rsidP="00ED71A4">
            <w:pPr>
              <w:pStyle w:val="Tabletext"/>
            </w:pPr>
            <w:r w:rsidRPr="004A5227">
              <w:t>Muswellbrook</w:t>
            </w:r>
          </w:p>
          <w:p w:rsidR="004C3E58" w:rsidRPr="004A5227" w:rsidRDefault="004C3E58" w:rsidP="00ED71A4">
            <w:pPr>
              <w:pStyle w:val="Tabletext"/>
            </w:pPr>
            <w:r w:rsidRPr="004A5227">
              <w:t>Singleton</w:t>
            </w:r>
          </w:p>
          <w:p w:rsidR="004C3E58" w:rsidRPr="004A5227" w:rsidRDefault="004C3E58" w:rsidP="00ED71A4">
            <w:pPr>
              <w:pStyle w:val="Tabletext"/>
            </w:pPr>
            <w:r w:rsidRPr="004A5227">
              <w:t>Taree</w:t>
            </w:r>
          </w:p>
          <w:p w:rsidR="004C3E58" w:rsidRPr="004A5227" w:rsidRDefault="004C3E58" w:rsidP="00ED71A4">
            <w:pPr>
              <w:pStyle w:val="Tabletext"/>
            </w:pPr>
            <w:r w:rsidRPr="004A5227">
              <w:t>Wauchope</w:t>
            </w:r>
          </w:p>
        </w:tc>
      </w:tr>
      <w:tr w:rsidR="004C3E58" w:rsidRPr="004A5227" w:rsidTr="00ED71A4">
        <w:tc>
          <w:tcPr>
            <w:tcW w:w="714" w:type="dxa"/>
            <w:shd w:val="clear" w:color="auto" w:fill="auto"/>
          </w:tcPr>
          <w:p w:rsidR="004C3E58" w:rsidRPr="004A5227" w:rsidRDefault="00366B9C"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(02) 56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Casino</w:t>
            </w:r>
          </w:p>
          <w:p w:rsidR="004C3E58" w:rsidRPr="004A5227" w:rsidRDefault="004C3E58" w:rsidP="00ED71A4">
            <w:pPr>
              <w:pStyle w:val="Tabletext"/>
            </w:pPr>
            <w:r w:rsidRPr="004A5227">
              <w:t>Coffs Harbour</w:t>
            </w:r>
          </w:p>
          <w:p w:rsidR="004C3E58" w:rsidRPr="004A5227" w:rsidRDefault="004C3E58" w:rsidP="00ED71A4">
            <w:pPr>
              <w:pStyle w:val="Tabletext"/>
            </w:pPr>
            <w:r w:rsidRPr="004A5227">
              <w:t>Grafton</w:t>
            </w:r>
          </w:p>
          <w:p w:rsidR="004C3E58" w:rsidRPr="004A5227" w:rsidRDefault="004C3E58" w:rsidP="00ED71A4">
            <w:pPr>
              <w:pStyle w:val="Tabletext"/>
            </w:pPr>
            <w:r w:rsidRPr="004A5227">
              <w:t>Kyogle</w:t>
            </w:r>
          </w:p>
          <w:p w:rsidR="004C3E58" w:rsidRPr="004A5227" w:rsidRDefault="004C3E58" w:rsidP="00ED71A4">
            <w:pPr>
              <w:pStyle w:val="Tabletext"/>
            </w:pPr>
            <w:r w:rsidRPr="004A5227">
              <w:t>Lismore</w:t>
            </w:r>
          </w:p>
          <w:p w:rsidR="004C3E58" w:rsidRPr="004A5227" w:rsidRDefault="004C3E58" w:rsidP="00ED71A4">
            <w:pPr>
              <w:pStyle w:val="Tabletext"/>
            </w:pPr>
            <w:r w:rsidRPr="004A5227">
              <w:lastRenderedPageBreak/>
              <w:t>Murwillumbah</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22</w:t>
            </w:r>
          </w:p>
        </w:tc>
        <w:tc>
          <w:tcPr>
            <w:tcW w:w="2825" w:type="dxa"/>
            <w:shd w:val="clear" w:color="auto" w:fill="auto"/>
          </w:tcPr>
          <w:p w:rsidR="004C3E58" w:rsidRPr="004A5227" w:rsidRDefault="004C3E58" w:rsidP="00ED71A4">
            <w:pPr>
              <w:pStyle w:val="Tabletext"/>
            </w:pPr>
            <w:r w:rsidRPr="004A5227">
              <w:t>(02) 57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Armidale</w:t>
            </w:r>
          </w:p>
          <w:p w:rsidR="004C3E58" w:rsidRPr="004A5227" w:rsidRDefault="004C3E58" w:rsidP="00ED71A4">
            <w:pPr>
              <w:pStyle w:val="Tabletext"/>
            </w:pPr>
            <w:r w:rsidRPr="004A5227">
              <w:t>Barraba</w:t>
            </w:r>
          </w:p>
          <w:p w:rsidR="004C3E58" w:rsidRPr="004A5227" w:rsidRDefault="004C3E58" w:rsidP="00ED71A4">
            <w:pPr>
              <w:pStyle w:val="Tabletext"/>
            </w:pPr>
            <w:r w:rsidRPr="004A5227">
              <w:t>Glen Innes</w:t>
            </w:r>
          </w:p>
          <w:p w:rsidR="004C3E58" w:rsidRPr="004A5227" w:rsidRDefault="004C3E58" w:rsidP="00ED71A4">
            <w:pPr>
              <w:pStyle w:val="Tabletext"/>
            </w:pPr>
            <w:r w:rsidRPr="004A5227">
              <w:t>Gunnedah</w:t>
            </w:r>
          </w:p>
          <w:p w:rsidR="004C3E58" w:rsidRPr="004A5227" w:rsidRDefault="004C3E58" w:rsidP="00ED71A4">
            <w:pPr>
              <w:pStyle w:val="Tabletext"/>
            </w:pPr>
            <w:r w:rsidRPr="004A5227">
              <w:t>Inverell</w:t>
            </w:r>
          </w:p>
          <w:p w:rsidR="004C3E58" w:rsidRPr="004A5227" w:rsidRDefault="004C3E58" w:rsidP="00ED71A4">
            <w:pPr>
              <w:pStyle w:val="Tabletext"/>
            </w:pPr>
            <w:r w:rsidRPr="004A5227">
              <w:t>Narrabri</w:t>
            </w:r>
          </w:p>
          <w:p w:rsidR="004C3E58" w:rsidRPr="004A5227" w:rsidRDefault="004C3E58" w:rsidP="00ED71A4">
            <w:pPr>
              <w:pStyle w:val="Tabletext"/>
            </w:pPr>
            <w:r w:rsidRPr="004A5227">
              <w:t>Tamworth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Boomi, </w:t>
            </w:r>
            <w:proofErr w:type="spellStart"/>
            <w:r w:rsidRPr="004A5227">
              <w:t>Bunnor</w:t>
            </w:r>
            <w:proofErr w:type="spellEnd"/>
            <w:r w:rsidRPr="004A5227">
              <w:t xml:space="preserve">, </w:t>
            </w:r>
            <w:proofErr w:type="spellStart"/>
            <w:r w:rsidRPr="004A5227">
              <w:t>Careunga</w:t>
            </w:r>
            <w:proofErr w:type="spellEnd"/>
            <w:r w:rsidRPr="004A5227">
              <w:t xml:space="preserve">, Collarenebri, </w:t>
            </w:r>
            <w:proofErr w:type="spellStart"/>
            <w:r w:rsidRPr="004A5227">
              <w:t>Croppa</w:t>
            </w:r>
            <w:proofErr w:type="spellEnd"/>
            <w:r w:rsidRPr="004A5227">
              <w:t xml:space="preserve"> Creek, Garah, </w:t>
            </w:r>
            <w:proofErr w:type="spellStart"/>
            <w:r w:rsidRPr="004A5227">
              <w:t>Gundabloui</w:t>
            </w:r>
            <w:proofErr w:type="spellEnd"/>
            <w:r w:rsidRPr="004A5227">
              <w:t xml:space="preserve">, Gurley, </w:t>
            </w:r>
            <w:proofErr w:type="spellStart"/>
            <w:r w:rsidRPr="004A5227">
              <w:t>Mirriadool</w:t>
            </w:r>
            <w:proofErr w:type="spellEnd"/>
            <w:r w:rsidRPr="004A5227">
              <w:t xml:space="preserve">, Moree, Mungindi, Pallamallawa, Weemelah, </w:t>
            </w:r>
            <w:proofErr w:type="spellStart"/>
            <w:r w:rsidRPr="004A5227">
              <w:t>Wenna</w:t>
            </w:r>
            <w:proofErr w:type="spellEnd"/>
          </w:p>
        </w:tc>
      </w:tr>
      <w:tr w:rsidR="004C3E58" w:rsidRPr="004A5227" w:rsidTr="00ED71A4">
        <w:tc>
          <w:tcPr>
            <w:tcW w:w="714" w:type="dxa"/>
            <w:shd w:val="clear" w:color="auto" w:fill="auto"/>
          </w:tcPr>
          <w:p w:rsidR="004C3E58" w:rsidRPr="004A5227" w:rsidRDefault="00366B9C"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(02) 58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Bourke</w:t>
            </w:r>
          </w:p>
          <w:p w:rsidR="004C3E58" w:rsidRPr="004A5227" w:rsidRDefault="004C3E58" w:rsidP="00ED71A4">
            <w:pPr>
              <w:pStyle w:val="Tabletext"/>
            </w:pPr>
            <w:proofErr w:type="spellStart"/>
            <w:r w:rsidRPr="004A5227">
              <w:t>Condoblin</w:t>
            </w:r>
            <w:proofErr w:type="spellEnd"/>
          </w:p>
          <w:p w:rsidR="004C3E58" w:rsidRPr="004A5227" w:rsidRDefault="004C3E58" w:rsidP="00ED71A4">
            <w:pPr>
              <w:pStyle w:val="Tabletext"/>
            </w:pPr>
            <w:r w:rsidRPr="004A5227">
              <w:t>Coonamble</w:t>
            </w:r>
          </w:p>
          <w:p w:rsidR="004C3E58" w:rsidRPr="004A5227" w:rsidRDefault="004C3E58" w:rsidP="00ED71A4">
            <w:pPr>
              <w:pStyle w:val="Tabletext"/>
            </w:pPr>
            <w:r w:rsidRPr="004A5227">
              <w:t>Dubbo</w:t>
            </w:r>
          </w:p>
          <w:p w:rsidR="004C3E58" w:rsidRPr="004A5227" w:rsidRDefault="004C3E58" w:rsidP="00ED71A4">
            <w:pPr>
              <w:pStyle w:val="Tabletext"/>
            </w:pPr>
            <w:r w:rsidRPr="004A5227">
              <w:t>Forbes</w:t>
            </w:r>
          </w:p>
          <w:p w:rsidR="004C3E58" w:rsidRPr="004A5227" w:rsidRDefault="004C3E58" w:rsidP="00ED71A4">
            <w:pPr>
              <w:pStyle w:val="Tabletext"/>
            </w:pPr>
            <w:r w:rsidRPr="004A5227">
              <w:t>Nyngan</w:t>
            </w:r>
          </w:p>
          <w:p w:rsidR="004C3E58" w:rsidRPr="004A5227" w:rsidRDefault="004C3E58" w:rsidP="00ED71A4">
            <w:pPr>
              <w:pStyle w:val="Tabletext"/>
            </w:pPr>
            <w:proofErr w:type="spellStart"/>
            <w:r w:rsidRPr="004A5227">
              <w:t>Parkes</w:t>
            </w:r>
            <w:proofErr w:type="spellEnd"/>
          </w:p>
          <w:p w:rsidR="004C3E58" w:rsidRPr="004A5227" w:rsidRDefault="004C3E58" w:rsidP="00ED71A4">
            <w:pPr>
              <w:pStyle w:val="Tabletext"/>
            </w:pPr>
            <w:r w:rsidRPr="004A5227">
              <w:t>Wellington</w:t>
            </w: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Berkley Downs, </w:t>
            </w:r>
            <w:proofErr w:type="spellStart"/>
            <w:r w:rsidRPr="004A5227">
              <w:t>Bonnay</w:t>
            </w:r>
            <w:proofErr w:type="spellEnd"/>
            <w:r w:rsidRPr="004A5227">
              <w:t xml:space="preserve">, </w:t>
            </w:r>
            <w:proofErr w:type="spellStart"/>
            <w:r w:rsidRPr="004A5227">
              <w:t>Boorooma</w:t>
            </w:r>
            <w:proofErr w:type="spellEnd"/>
            <w:r w:rsidRPr="004A5227">
              <w:t xml:space="preserve">, Borah Tank, </w:t>
            </w:r>
            <w:proofErr w:type="spellStart"/>
            <w:r w:rsidRPr="004A5227">
              <w:t>Cumborah</w:t>
            </w:r>
            <w:proofErr w:type="spellEnd"/>
            <w:r w:rsidRPr="004A5227">
              <w:t>, Goodooga, Grawin, Lightning Ridge, Walgett</w:t>
            </w:r>
          </w:p>
        </w:tc>
      </w:tr>
      <w:tr w:rsidR="004C3E58" w:rsidRPr="004A5227" w:rsidTr="00ED71A4">
        <w:tc>
          <w:tcPr>
            <w:tcW w:w="714" w:type="dxa"/>
            <w:shd w:val="clear" w:color="auto" w:fill="auto"/>
          </w:tcPr>
          <w:p w:rsidR="004C3E58" w:rsidRPr="004A5227" w:rsidRDefault="00366B9C"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(02) 59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Adelong</w:t>
            </w:r>
          </w:p>
          <w:p w:rsidR="004C3E58" w:rsidRPr="004A5227" w:rsidRDefault="004C3E58" w:rsidP="00ED71A4">
            <w:pPr>
              <w:pStyle w:val="Tabletext"/>
            </w:pPr>
            <w:r w:rsidRPr="004A5227">
              <w:t>Griffith</w:t>
            </w:r>
          </w:p>
          <w:p w:rsidR="004C3E58" w:rsidRPr="004A5227" w:rsidRDefault="004C3E58" w:rsidP="00ED71A4">
            <w:pPr>
              <w:pStyle w:val="Tabletext"/>
            </w:pPr>
            <w:r w:rsidRPr="004A5227">
              <w:t>Hay</w:t>
            </w:r>
          </w:p>
          <w:p w:rsidR="004C3E58" w:rsidRPr="004A5227" w:rsidRDefault="004C3E58" w:rsidP="00ED71A4">
            <w:pPr>
              <w:pStyle w:val="Tabletext"/>
            </w:pPr>
            <w:r w:rsidRPr="004A5227">
              <w:t>Narrandera</w:t>
            </w:r>
          </w:p>
          <w:p w:rsidR="004C3E58" w:rsidRPr="004A5227" w:rsidRDefault="004C3E58" w:rsidP="00ED71A4">
            <w:pPr>
              <w:pStyle w:val="Tabletext"/>
            </w:pPr>
            <w:r w:rsidRPr="004A5227">
              <w:t>Temora</w:t>
            </w:r>
          </w:p>
          <w:p w:rsidR="004C3E58" w:rsidRPr="004A5227" w:rsidRDefault="004C3E58" w:rsidP="00ED71A4">
            <w:pPr>
              <w:pStyle w:val="Tabletext"/>
            </w:pPr>
            <w:r w:rsidRPr="004A5227">
              <w:t>Wagga Wagga</w:t>
            </w:r>
          </w:p>
          <w:p w:rsidR="004C3E58" w:rsidRPr="004A5227" w:rsidRDefault="004C3E58" w:rsidP="00ED71A4">
            <w:pPr>
              <w:pStyle w:val="Tabletext"/>
            </w:pPr>
            <w:r w:rsidRPr="004A5227">
              <w:t>West Wyalong</w:t>
            </w:r>
          </w:p>
        </w:tc>
      </w:tr>
      <w:tr w:rsidR="004C3E58" w:rsidRPr="004A5227" w:rsidTr="00ED71A4">
        <w:tc>
          <w:tcPr>
            <w:tcW w:w="714" w:type="dxa"/>
            <w:shd w:val="clear" w:color="auto" w:fill="auto"/>
          </w:tcPr>
          <w:p w:rsidR="004C3E58" w:rsidRPr="004A5227" w:rsidRDefault="00366B9C"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(02) 60</w:t>
            </w:r>
          </w:p>
        </w:tc>
        <w:tc>
          <w:tcPr>
            <w:tcW w:w="4773" w:type="dxa"/>
            <w:shd w:val="clear" w:color="auto" w:fill="auto"/>
          </w:tcPr>
          <w:p w:rsidR="004C3E58" w:rsidRPr="004A5227" w:rsidRDefault="004C3E58" w:rsidP="00ED71A4">
            <w:pPr>
              <w:pStyle w:val="Tabletext"/>
            </w:pPr>
            <w:r w:rsidRPr="004A5227">
              <w:t>Albury and Corryong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(02) 61</w:t>
            </w:r>
          </w:p>
        </w:tc>
        <w:tc>
          <w:tcPr>
            <w:tcW w:w="4773" w:type="dxa"/>
            <w:shd w:val="clear" w:color="auto" w:fill="auto"/>
          </w:tcPr>
          <w:p w:rsidR="004C3E58" w:rsidRPr="004A5227" w:rsidRDefault="004C3E58" w:rsidP="00ED71A4">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CE24F1">
            <w:pPr>
              <w:pStyle w:val="Tabletext"/>
            </w:pPr>
            <w:r w:rsidRPr="004A5227">
              <w:t>27</w:t>
            </w:r>
          </w:p>
        </w:tc>
        <w:tc>
          <w:tcPr>
            <w:tcW w:w="2825" w:type="dxa"/>
            <w:shd w:val="clear" w:color="auto" w:fill="auto"/>
          </w:tcPr>
          <w:p w:rsidR="004C3E58" w:rsidRPr="004A5227" w:rsidRDefault="004C3E58" w:rsidP="00CE24F1">
            <w:pPr>
              <w:pStyle w:val="Tabletext"/>
            </w:pPr>
            <w:r w:rsidRPr="004A5227">
              <w:t>(02) 62</w:t>
            </w:r>
          </w:p>
        </w:tc>
        <w:tc>
          <w:tcPr>
            <w:tcW w:w="4773" w:type="dxa"/>
            <w:shd w:val="clear" w:color="auto" w:fill="auto"/>
          </w:tcPr>
          <w:p w:rsidR="004C3E58" w:rsidRPr="004A5227" w:rsidRDefault="004C3E58" w:rsidP="00CE24F1">
            <w:pPr>
              <w:pStyle w:val="Tabletext"/>
            </w:pPr>
            <w:r w:rsidRPr="004A5227">
              <w:t>Canberra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28</w:t>
            </w:r>
          </w:p>
        </w:tc>
        <w:tc>
          <w:tcPr>
            <w:tcW w:w="2825" w:type="dxa"/>
            <w:shd w:val="clear" w:color="auto" w:fill="auto"/>
          </w:tcPr>
          <w:p w:rsidR="004C3E58" w:rsidRPr="004A5227" w:rsidRDefault="004C3E58" w:rsidP="00ED71A4">
            <w:pPr>
              <w:pStyle w:val="Tabletext"/>
            </w:pPr>
            <w:r w:rsidRPr="004A5227">
              <w:t>(02) 63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Bathurst</w:t>
            </w:r>
          </w:p>
          <w:p w:rsidR="004C3E58" w:rsidRPr="004A5227" w:rsidRDefault="004C3E58" w:rsidP="00ED71A4">
            <w:pPr>
              <w:pStyle w:val="Tabletext"/>
            </w:pPr>
            <w:r w:rsidRPr="004A5227">
              <w:t>Cowra</w:t>
            </w:r>
          </w:p>
          <w:p w:rsidR="004C3E58" w:rsidRPr="004A5227" w:rsidRDefault="004C3E58" w:rsidP="00ED71A4">
            <w:pPr>
              <w:pStyle w:val="Tabletext"/>
            </w:pPr>
            <w:r w:rsidRPr="004A5227">
              <w:t>Lithgow</w:t>
            </w:r>
          </w:p>
          <w:p w:rsidR="004C3E58" w:rsidRPr="004A5227" w:rsidRDefault="004C3E58" w:rsidP="00ED71A4">
            <w:pPr>
              <w:pStyle w:val="Tabletext"/>
            </w:pPr>
            <w:r w:rsidRPr="004A5227">
              <w:t>Mudgee</w:t>
            </w:r>
          </w:p>
          <w:p w:rsidR="004C3E58" w:rsidRPr="004A5227" w:rsidRDefault="004C3E58" w:rsidP="00ED71A4">
            <w:pPr>
              <w:pStyle w:val="Tabletext"/>
            </w:pPr>
            <w:r w:rsidRPr="004A5227">
              <w:t>Orange</w:t>
            </w:r>
          </w:p>
          <w:p w:rsidR="004C3E58" w:rsidRPr="004A5227" w:rsidRDefault="004C3E58" w:rsidP="00ED71A4">
            <w:pPr>
              <w:pStyle w:val="Tabletext"/>
            </w:pPr>
            <w:r w:rsidRPr="004A5227">
              <w:t>Rylstone</w:t>
            </w:r>
          </w:p>
          <w:p w:rsidR="004C3E58" w:rsidRPr="004A5227" w:rsidRDefault="004C3E58" w:rsidP="00ED71A4">
            <w:pPr>
              <w:pStyle w:val="Tabletext"/>
            </w:pPr>
            <w:r w:rsidRPr="004A5227">
              <w:t>Young</w:t>
            </w:r>
          </w:p>
        </w:tc>
      </w:tr>
      <w:tr w:rsidR="004C3E58" w:rsidRPr="004A5227" w:rsidTr="00ED71A4">
        <w:tc>
          <w:tcPr>
            <w:tcW w:w="714" w:type="dxa"/>
            <w:shd w:val="clear" w:color="auto" w:fill="auto"/>
          </w:tcPr>
          <w:p w:rsidR="004C3E58" w:rsidRPr="004A5227" w:rsidRDefault="00366B9C"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(02) 64</w:t>
            </w:r>
          </w:p>
        </w:tc>
        <w:tc>
          <w:tcPr>
            <w:tcW w:w="4773" w:type="dxa"/>
            <w:shd w:val="clear" w:color="auto" w:fill="auto"/>
          </w:tcPr>
          <w:p w:rsidR="004C3E58" w:rsidRPr="004A5227" w:rsidRDefault="004C3E58" w:rsidP="00ED71A4">
            <w:pPr>
              <w:pStyle w:val="Tabletext"/>
            </w:pPr>
            <w:r w:rsidRPr="004A5227">
              <w:t>Bega and Cooma charging districts</w:t>
            </w:r>
          </w:p>
        </w:tc>
      </w:tr>
      <w:tr w:rsidR="004C3E58" w:rsidRPr="004A5227" w:rsidTr="00ED71A4">
        <w:tc>
          <w:tcPr>
            <w:tcW w:w="714" w:type="dxa"/>
            <w:shd w:val="clear" w:color="auto" w:fill="auto"/>
          </w:tcPr>
          <w:p w:rsidR="004C3E58" w:rsidRPr="004A5227" w:rsidRDefault="00366B9C"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(02) 65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Kempsey</w:t>
            </w:r>
          </w:p>
          <w:p w:rsidR="004C3E58" w:rsidRPr="004A5227" w:rsidRDefault="004C3E58" w:rsidP="00ED71A4">
            <w:pPr>
              <w:pStyle w:val="Tabletext"/>
            </w:pPr>
            <w:r w:rsidRPr="004A5227">
              <w:t>Lord Howe Island</w:t>
            </w:r>
          </w:p>
          <w:p w:rsidR="004C3E58" w:rsidRPr="004A5227" w:rsidRDefault="004C3E58" w:rsidP="00ED71A4">
            <w:pPr>
              <w:pStyle w:val="Tabletext"/>
            </w:pPr>
            <w:r w:rsidRPr="004A5227">
              <w:t>Muswellbrook</w:t>
            </w:r>
          </w:p>
          <w:p w:rsidR="004C3E58" w:rsidRPr="004A5227" w:rsidRDefault="004C3E58" w:rsidP="00ED71A4">
            <w:pPr>
              <w:pStyle w:val="Tabletext"/>
            </w:pPr>
            <w:r w:rsidRPr="004A5227">
              <w:t>Singleton</w:t>
            </w:r>
          </w:p>
          <w:p w:rsidR="004C3E58" w:rsidRPr="004A5227" w:rsidRDefault="004C3E58" w:rsidP="00ED71A4">
            <w:pPr>
              <w:pStyle w:val="Tabletext"/>
            </w:pPr>
            <w:r w:rsidRPr="004A5227">
              <w:t>Taree</w:t>
            </w:r>
          </w:p>
          <w:p w:rsidR="004C3E58" w:rsidRPr="004A5227" w:rsidRDefault="004C3E58" w:rsidP="00ED71A4">
            <w:pPr>
              <w:pStyle w:val="Tabletext"/>
            </w:pPr>
            <w:r w:rsidRPr="004A5227">
              <w:t>Wauchope</w:t>
            </w:r>
          </w:p>
        </w:tc>
      </w:tr>
      <w:tr w:rsidR="004C3E58" w:rsidRPr="004A5227" w:rsidTr="00ED71A4">
        <w:tc>
          <w:tcPr>
            <w:tcW w:w="714" w:type="dxa"/>
            <w:shd w:val="clear" w:color="auto" w:fill="auto"/>
          </w:tcPr>
          <w:p w:rsidR="004C3E58" w:rsidRPr="004A5227" w:rsidRDefault="00366B9C"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(02) 66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Casino</w:t>
            </w:r>
          </w:p>
          <w:p w:rsidR="004C3E58" w:rsidRPr="004A5227" w:rsidRDefault="004C3E58" w:rsidP="00ED71A4">
            <w:pPr>
              <w:pStyle w:val="Tabletext"/>
            </w:pPr>
            <w:r w:rsidRPr="004A5227">
              <w:t>Coffs Harbour</w:t>
            </w:r>
          </w:p>
          <w:p w:rsidR="004C3E58" w:rsidRPr="004A5227" w:rsidRDefault="004C3E58" w:rsidP="00ED71A4">
            <w:pPr>
              <w:pStyle w:val="Tabletext"/>
            </w:pPr>
            <w:r w:rsidRPr="004A5227">
              <w:t>Grafton</w:t>
            </w:r>
          </w:p>
          <w:p w:rsidR="004C3E58" w:rsidRPr="004A5227" w:rsidRDefault="004C3E58" w:rsidP="00ED71A4">
            <w:pPr>
              <w:pStyle w:val="Tabletext"/>
            </w:pPr>
            <w:r w:rsidRPr="004A5227">
              <w:t>Kyogle</w:t>
            </w:r>
          </w:p>
          <w:p w:rsidR="004C3E58" w:rsidRPr="004A5227" w:rsidRDefault="004C3E58" w:rsidP="00ED71A4">
            <w:pPr>
              <w:pStyle w:val="Tabletext"/>
            </w:pPr>
            <w:r w:rsidRPr="004A5227">
              <w:t>Lismore</w:t>
            </w:r>
          </w:p>
          <w:p w:rsidR="004C3E58" w:rsidRPr="004A5227" w:rsidRDefault="004C3E58" w:rsidP="00ED71A4">
            <w:pPr>
              <w:pStyle w:val="Tabletext"/>
            </w:pPr>
            <w:r w:rsidRPr="004A5227">
              <w:t>Murwillumbah</w:t>
            </w:r>
          </w:p>
        </w:tc>
      </w:tr>
      <w:tr w:rsidR="004C3E58" w:rsidRPr="004A5227" w:rsidTr="00ED71A4">
        <w:tc>
          <w:tcPr>
            <w:tcW w:w="714" w:type="dxa"/>
            <w:shd w:val="clear" w:color="auto" w:fill="auto"/>
          </w:tcPr>
          <w:p w:rsidR="004C3E58" w:rsidRPr="004A5227" w:rsidRDefault="00366B9C"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(02) 67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Armidale</w:t>
            </w:r>
          </w:p>
          <w:p w:rsidR="004C3E58" w:rsidRPr="004A5227" w:rsidRDefault="004C3E58" w:rsidP="00ED71A4">
            <w:pPr>
              <w:pStyle w:val="Tabletext"/>
            </w:pPr>
            <w:r w:rsidRPr="004A5227">
              <w:t>Barraba</w:t>
            </w:r>
          </w:p>
          <w:p w:rsidR="004C3E58" w:rsidRPr="004A5227" w:rsidRDefault="004C3E58" w:rsidP="00ED71A4">
            <w:pPr>
              <w:pStyle w:val="Tabletext"/>
            </w:pPr>
            <w:r w:rsidRPr="004A5227">
              <w:t>Glen Innes</w:t>
            </w:r>
          </w:p>
          <w:p w:rsidR="004C3E58" w:rsidRPr="004A5227" w:rsidRDefault="004C3E58" w:rsidP="00ED71A4">
            <w:pPr>
              <w:pStyle w:val="Tabletext"/>
            </w:pPr>
            <w:r w:rsidRPr="004A5227">
              <w:t>Gunnedah</w:t>
            </w:r>
          </w:p>
          <w:p w:rsidR="004C3E58" w:rsidRPr="004A5227" w:rsidRDefault="004C3E58" w:rsidP="00ED71A4">
            <w:pPr>
              <w:pStyle w:val="Tabletext"/>
            </w:pPr>
            <w:r w:rsidRPr="004A5227">
              <w:t>Inverell</w:t>
            </w:r>
          </w:p>
          <w:p w:rsidR="004C3E58" w:rsidRPr="004A5227" w:rsidRDefault="004C3E58" w:rsidP="00ED71A4">
            <w:pPr>
              <w:pStyle w:val="Tabletext"/>
            </w:pPr>
            <w:r w:rsidRPr="004A5227">
              <w:t>Narrabri</w:t>
            </w:r>
          </w:p>
          <w:p w:rsidR="004C3E58" w:rsidRPr="004A5227" w:rsidRDefault="004C3E58" w:rsidP="00ED71A4">
            <w:pPr>
              <w:pStyle w:val="Tabletext"/>
            </w:pPr>
            <w:r w:rsidRPr="004A5227">
              <w:t>Tamworth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Boomi, </w:t>
            </w:r>
            <w:proofErr w:type="spellStart"/>
            <w:r w:rsidRPr="004A5227">
              <w:t>Bunnor</w:t>
            </w:r>
            <w:proofErr w:type="spellEnd"/>
            <w:r w:rsidRPr="004A5227">
              <w:t xml:space="preserve">, </w:t>
            </w:r>
            <w:proofErr w:type="spellStart"/>
            <w:r w:rsidRPr="004A5227">
              <w:t>Careunga</w:t>
            </w:r>
            <w:proofErr w:type="spellEnd"/>
            <w:r w:rsidRPr="004A5227">
              <w:t xml:space="preserve">, Collarenebri, </w:t>
            </w:r>
            <w:proofErr w:type="spellStart"/>
            <w:r w:rsidRPr="004A5227">
              <w:t>Croppa</w:t>
            </w:r>
            <w:proofErr w:type="spellEnd"/>
            <w:r w:rsidRPr="004A5227">
              <w:t xml:space="preserve"> Creek, Garah, </w:t>
            </w:r>
            <w:proofErr w:type="spellStart"/>
            <w:r w:rsidRPr="004A5227">
              <w:t>Gundabloui</w:t>
            </w:r>
            <w:proofErr w:type="spellEnd"/>
            <w:r w:rsidRPr="004A5227">
              <w:t xml:space="preserve">, Gurley, </w:t>
            </w:r>
            <w:proofErr w:type="spellStart"/>
            <w:r w:rsidRPr="004A5227">
              <w:t>Mirriadool</w:t>
            </w:r>
            <w:proofErr w:type="spellEnd"/>
            <w:r w:rsidRPr="004A5227">
              <w:t xml:space="preserve">, Moree, Mungindi, Pallamallawa, Weemelah, </w:t>
            </w:r>
            <w:proofErr w:type="spellStart"/>
            <w:r w:rsidRPr="004A5227">
              <w:t>Wenna</w:t>
            </w:r>
            <w:proofErr w:type="spellEnd"/>
          </w:p>
        </w:tc>
      </w:tr>
      <w:tr w:rsidR="004C3E58" w:rsidRPr="004A5227" w:rsidTr="00ED71A4">
        <w:tc>
          <w:tcPr>
            <w:tcW w:w="714" w:type="dxa"/>
            <w:shd w:val="clear" w:color="auto" w:fill="auto"/>
          </w:tcPr>
          <w:p w:rsidR="004C3E58" w:rsidRPr="004A5227" w:rsidRDefault="00366B9C"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(02) 68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Bourke</w:t>
            </w:r>
          </w:p>
          <w:p w:rsidR="004C3E58" w:rsidRPr="004A5227" w:rsidRDefault="004C3E58" w:rsidP="00ED71A4">
            <w:pPr>
              <w:pStyle w:val="Tabletext"/>
            </w:pPr>
            <w:proofErr w:type="spellStart"/>
            <w:r w:rsidRPr="004A5227">
              <w:t>Condoblin</w:t>
            </w:r>
            <w:proofErr w:type="spellEnd"/>
          </w:p>
          <w:p w:rsidR="004C3E58" w:rsidRPr="004A5227" w:rsidRDefault="004C3E58" w:rsidP="00ED71A4">
            <w:pPr>
              <w:pStyle w:val="Tabletext"/>
            </w:pPr>
            <w:r w:rsidRPr="004A5227">
              <w:lastRenderedPageBreak/>
              <w:t>Coonamble</w:t>
            </w:r>
          </w:p>
          <w:p w:rsidR="004C3E58" w:rsidRPr="004A5227" w:rsidRDefault="004C3E58" w:rsidP="00ED71A4">
            <w:pPr>
              <w:pStyle w:val="Tabletext"/>
            </w:pPr>
            <w:r w:rsidRPr="004A5227">
              <w:t>Dubbo</w:t>
            </w:r>
          </w:p>
          <w:p w:rsidR="004C3E58" w:rsidRPr="004A5227" w:rsidRDefault="004C3E58" w:rsidP="00ED71A4">
            <w:pPr>
              <w:pStyle w:val="Tabletext"/>
            </w:pPr>
            <w:r w:rsidRPr="004A5227">
              <w:t>Forbes</w:t>
            </w:r>
          </w:p>
          <w:p w:rsidR="004C3E58" w:rsidRPr="004A5227" w:rsidRDefault="004C3E58" w:rsidP="00ED71A4">
            <w:pPr>
              <w:pStyle w:val="Tabletext"/>
            </w:pPr>
            <w:r w:rsidRPr="004A5227">
              <w:t>Nyngan</w:t>
            </w:r>
          </w:p>
          <w:p w:rsidR="004C3E58" w:rsidRPr="004A5227" w:rsidRDefault="004C3E58" w:rsidP="00ED71A4">
            <w:pPr>
              <w:pStyle w:val="Tabletext"/>
            </w:pPr>
            <w:proofErr w:type="spellStart"/>
            <w:r w:rsidRPr="004A5227">
              <w:t>Parkes</w:t>
            </w:r>
            <w:proofErr w:type="spellEnd"/>
          </w:p>
          <w:p w:rsidR="004C3E58" w:rsidRPr="004A5227" w:rsidRDefault="004C3E58" w:rsidP="00ED71A4">
            <w:pPr>
              <w:pStyle w:val="Tabletext"/>
            </w:pPr>
            <w:r w:rsidRPr="004A5227">
              <w:t>Wellington</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2236FB" w:rsidRPr="004A5227">
              <w:t>standard zone units</w:t>
            </w:r>
            <w:r w:rsidRPr="004A5227">
              <w:t xml:space="preserve"> in Moree charging district:</w:t>
            </w:r>
          </w:p>
          <w:p w:rsidR="004C3E58" w:rsidRPr="004A5227" w:rsidRDefault="004C3E58" w:rsidP="00ED71A4">
            <w:pPr>
              <w:pStyle w:val="Tabletext"/>
            </w:pPr>
            <w:r w:rsidRPr="004A5227">
              <w:t xml:space="preserve">Berkley Downs, </w:t>
            </w:r>
            <w:proofErr w:type="spellStart"/>
            <w:r w:rsidRPr="004A5227">
              <w:t>Bonnay</w:t>
            </w:r>
            <w:proofErr w:type="spellEnd"/>
            <w:r w:rsidRPr="004A5227">
              <w:t xml:space="preserve">, </w:t>
            </w:r>
            <w:proofErr w:type="spellStart"/>
            <w:r w:rsidRPr="004A5227">
              <w:t>Boorooma</w:t>
            </w:r>
            <w:proofErr w:type="spellEnd"/>
            <w:r w:rsidRPr="004A5227">
              <w:t xml:space="preserve">, Borah Tank, </w:t>
            </w:r>
            <w:proofErr w:type="spellStart"/>
            <w:r w:rsidRPr="004A5227">
              <w:t>Cumborah</w:t>
            </w:r>
            <w:proofErr w:type="spellEnd"/>
            <w:r w:rsidRPr="004A5227">
              <w:t>, Goodooga, Grawin, Lightning Ridge, Walgett</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34</w:t>
            </w:r>
          </w:p>
        </w:tc>
        <w:tc>
          <w:tcPr>
            <w:tcW w:w="2825" w:type="dxa"/>
            <w:shd w:val="clear" w:color="auto" w:fill="auto"/>
          </w:tcPr>
          <w:p w:rsidR="004C3E58" w:rsidRPr="004A5227" w:rsidRDefault="004C3E58" w:rsidP="00ED71A4">
            <w:pPr>
              <w:pStyle w:val="Tabletext"/>
            </w:pPr>
            <w:r w:rsidRPr="004A5227">
              <w:t>(02) 69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Adelong</w:t>
            </w:r>
          </w:p>
          <w:p w:rsidR="004C3E58" w:rsidRPr="004A5227" w:rsidRDefault="004C3E58" w:rsidP="00ED71A4">
            <w:pPr>
              <w:pStyle w:val="Tabletext"/>
            </w:pPr>
            <w:r w:rsidRPr="004A5227">
              <w:t>Griffith</w:t>
            </w:r>
          </w:p>
          <w:p w:rsidR="004C3E58" w:rsidRPr="004A5227" w:rsidRDefault="004C3E58" w:rsidP="00ED71A4">
            <w:pPr>
              <w:pStyle w:val="Tabletext"/>
            </w:pPr>
            <w:r w:rsidRPr="004A5227">
              <w:t>Hay</w:t>
            </w:r>
          </w:p>
          <w:p w:rsidR="004C3E58" w:rsidRPr="004A5227" w:rsidRDefault="004C3E58" w:rsidP="00ED71A4">
            <w:pPr>
              <w:pStyle w:val="Tabletext"/>
            </w:pPr>
            <w:r w:rsidRPr="004A5227">
              <w:t>Narrandera</w:t>
            </w:r>
          </w:p>
          <w:p w:rsidR="004C3E58" w:rsidRPr="004A5227" w:rsidRDefault="004C3E58" w:rsidP="00ED71A4">
            <w:pPr>
              <w:pStyle w:val="Tabletext"/>
            </w:pPr>
            <w:r w:rsidRPr="004A5227">
              <w:t>Temora</w:t>
            </w:r>
          </w:p>
          <w:p w:rsidR="004C3E58" w:rsidRPr="004A5227" w:rsidRDefault="004C3E58" w:rsidP="00ED71A4">
            <w:pPr>
              <w:pStyle w:val="Tabletext"/>
            </w:pPr>
            <w:r w:rsidRPr="004A5227">
              <w:t>Wagga Wagga</w:t>
            </w:r>
          </w:p>
          <w:p w:rsidR="004C3E58" w:rsidRPr="004A5227" w:rsidRDefault="004C3E58" w:rsidP="00ED71A4">
            <w:pPr>
              <w:pStyle w:val="Tabletext"/>
            </w:pPr>
            <w:r w:rsidRPr="004A5227">
              <w:t>West Wyalong</w:t>
            </w:r>
          </w:p>
        </w:tc>
      </w:tr>
      <w:tr w:rsidR="004C3E58" w:rsidRPr="004A5227" w:rsidTr="00ED71A4">
        <w:tc>
          <w:tcPr>
            <w:tcW w:w="714" w:type="dxa"/>
            <w:shd w:val="clear" w:color="auto" w:fill="auto"/>
          </w:tcPr>
          <w:p w:rsidR="004C3E58" w:rsidRPr="004A5227" w:rsidRDefault="00366B9C"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(02) 72</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(02) 73</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(02) 74</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(02) 75</w:t>
            </w:r>
          </w:p>
        </w:tc>
        <w:tc>
          <w:tcPr>
            <w:tcW w:w="4773" w:type="dxa"/>
            <w:shd w:val="clear" w:color="auto" w:fill="auto"/>
          </w:tcPr>
          <w:p w:rsidR="004C3E58" w:rsidRPr="004A5227" w:rsidRDefault="004C3E58" w:rsidP="002236FB">
            <w:pPr>
              <w:pStyle w:val="Tabletext"/>
            </w:pPr>
            <w:r w:rsidRPr="004A5227">
              <w:t xml:space="preserve">Engadine </w:t>
            </w:r>
            <w:r w:rsidR="002236FB" w:rsidRPr="004A5227">
              <w:t>and Sutherland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(02) 76</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40</w:t>
            </w:r>
          </w:p>
        </w:tc>
        <w:tc>
          <w:tcPr>
            <w:tcW w:w="2825" w:type="dxa"/>
            <w:shd w:val="clear" w:color="auto" w:fill="auto"/>
          </w:tcPr>
          <w:p w:rsidR="004C3E58" w:rsidRPr="004A5227" w:rsidRDefault="004C3E58" w:rsidP="00ED71A4">
            <w:pPr>
              <w:pStyle w:val="Tabletext"/>
            </w:pPr>
            <w:r w:rsidRPr="004A5227">
              <w:t>(02) 77</w:t>
            </w:r>
          </w:p>
        </w:tc>
        <w:tc>
          <w:tcPr>
            <w:tcW w:w="4773" w:type="dxa"/>
            <w:shd w:val="clear" w:color="auto" w:fill="auto"/>
          </w:tcPr>
          <w:p w:rsidR="004C3E58" w:rsidRPr="004A5227" w:rsidRDefault="004C3E58" w:rsidP="002236FB">
            <w:pPr>
              <w:pStyle w:val="Tabletext"/>
            </w:pPr>
            <w:r w:rsidRPr="004A5227">
              <w:t xml:space="preserve">Sydney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41</w:t>
            </w:r>
          </w:p>
        </w:tc>
        <w:tc>
          <w:tcPr>
            <w:tcW w:w="2825" w:type="dxa"/>
            <w:shd w:val="clear" w:color="auto" w:fill="auto"/>
          </w:tcPr>
          <w:p w:rsidR="004C3E58" w:rsidRPr="004A5227" w:rsidRDefault="004C3E58" w:rsidP="00ED71A4">
            <w:pPr>
              <w:pStyle w:val="Tabletext"/>
            </w:pPr>
            <w:r w:rsidRPr="004A5227">
              <w:t>(02) 78</w:t>
            </w:r>
          </w:p>
        </w:tc>
        <w:tc>
          <w:tcPr>
            <w:tcW w:w="4773" w:type="dxa"/>
            <w:shd w:val="clear" w:color="auto" w:fill="auto"/>
          </w:tcPr>
          <w:p w:rsidR="004C3E58" w:rsidRPr="004A5227" w:rsidRDefault="004C3E58" w:rsidP="002236FB">
            <w:pPr>
              <w:pStyle w:val="Tabletext"/>
            </w:pPr>
            <w:r w:rsidRPr="004A5227">
              <w:t xml:space="preserve">Parramatta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(02) 79</w:t>
            </w:r>
          </w:p>
        </w:tc>
        <w:tc>
          <w:tcPr>
            <w:tcW w:w="4773" w:type="dxa"/>
            <w:shd w:val="clear" w:color="auto" w:fill="auto"/>
          </w:tcPr>
          <w:p w:rsidR="004C3E58" w:rsidRPr="004A5227" w:rsidRDefault="004C3E58" w:rsidP="00ED71A4">
            <w:pPr>
              <w:pStyle w:val="Tabletext"/>
            </w:pPr>
            <w:r w:rsidRPr="004A5227">
              <w:t>Sydney charging district</w:t>
            </w:r>
          </w:p>
        </w:tc>
      </w:tr>
      <w:tr w:rsidR="004C3E58" w:rsidRPr="004A5227" w:rsidTr="00ED71A4">
        <w:tc>
          <w:tcPr>
            <w:tcW w:w="714" w:type="dxa"/>
            <w:shd w:val="clear" w:color="auto" w:fill="auto"/>
          </w:tcPr>
          <w:p w:rsidR="004C3E58" w:rsidRPr="004A5227" w:rsidRDefault="00366B9C"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(02) 80</w:t>
            </w:r>
          </w:p>
        </w:tc>
        <w:tc>
          <w:tcPr>
            <w:tcW w:w="4773" w:type="dxa"/>
            <w:shd w:val="clear" w:color="auto" w:fill="auto"/>
          </w:tcPr>
          <w:p w:rsidR="004C3E58" w:rsidRPr="004A5227" w:rsidRDefault="004C3E58" w:rsidP="002236FB">
            <w:pPr>
              <w:pStyle w:val="Tabletext"/>
            </w:pPr>
            <w:r w:rsidRPr="004A5227">
              <w:t xml:space="preserve">Sydney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(02) 81</w:t>
            </w:r>
          </w:p>
        </w:tc>
        <w:tc>
          <w:tcPr>
            <w:tcW w:w="4773" w:type="dxa"/>
            <w:shd w:val="clear" w:color="auto" w:fill="auto"/>
          </w:tcPr>
          <w:p w:rsidR="004C3E58" w:rsidRPr="004A5227" w:rsidRDefault="002236FB" w:rsidP="00ED71A4">
            <w:pPr>
              <w:pStyle w:val="Tabletext"/>
            </w:pPr>
            <w:r w:rsidRPr="004A5227">
              <w:t>Bankstown and Liverpool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(02) 82</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(02) 83</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(02) 84</w:t>
            </w:r>
          </w:p>
        </w:tc>
        <w:tc>
          <w:tcPr>
            <w:tcW w:w="4773" w:type="dxa"/>
            <w:shd w:val="clear" w:color="auto" w:fill="auto"/>
          </w:tcPr>
          <w:p w:rsidR="004C3E58" w:rsidRPr="004A5227" w:rsidRDefault="004C3E58" w:rsidP="002236FB">
            <w:pPr>
              <w:pStyle w:val="Tabletext"/>
            </w:pPr>
            <w:r w:rsidRPr="004A5227">
              <w:t>Avalon Beach</w:t>
            </w:r>
            <w:r w:rsidR="002236FB" w:rsidRPr="004A5227">
              <w:t>, Dural and Terrey Hills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(02) 85</w:t>
            </w:r>
          </w:p>
        </w:tc>
        <w:tc>
          <w:tcPr>
            <w:tcW w:w="4773" w:type="dxa"/>
            <w:shd w:val="clear" w:color="auto" w:fill="auto"/>
          </w:tcPr>
          <w:p w:rsidR="004C3E58" w:rsidRPr="004A5227" w:rsidRDefault="004C3E58" w:rsidP="002236FB">
            <w:pPr>
              <w:pStyle w:val="Tabletext"/>
            </w:pPr>
            <w:r w:rsidRPr="004A5227">
              <w:t>Engadine</w:t>
            </w:r>
            <w:r w:rsidR="002236FB" w:rsidRPr="004A5227">
              <w:t>, Sutherland and Sydney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(02) 86</w:t>
            </w:r>
          </w:p>
        </w:tc>
        <w:tc>
          <w:tcPr>
            <w:tcW w:w="4773" w:type="dxa"/>
            <w:shd w:val="clear" w:color="auto" w:fill="auto"/>
          </w:tcPr>
          <w:p w:rsidR="004C3E58" w:rsidRPr="004A5227" w:rsidRDefault="004C3E58" w:rsidP="002236FB">
            <w:pPr>
              <w:pStyle w:val="Tabletext"/>
            </w:pPr>
            <w:r w:rsidRPr="004A5227">
              <w:t xml:space="preserve">Blacktown </w:t>
            </w:r>
            <w:r w:rsidR="002236FB" w:rsidRPr="004A5227">
              <w:t>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50</w:t>
            </w:r>
          </w:p>
        </w:tc>
        <w:tc>
          <w:tcPr>
            <w:tcW w:w="2825" w:type="dxa"/>
            <w:shd w:val="clear" w:color="auto" w:fill="auto"/>
          </w:tcPr>
          <w:p w:rsidR="004C3E58" w:rsidRPr="004A5227" w:rsidRDefault="004C3E58" w:rsidP="00ED71A4">
            <w:pPr>
              <w:pStyle w:val="Tabletext"/>
            </w:pPr>
            <w:r w:rsidRPr="004A5227">
              <w:t>(02) 87</w:t>
            </w:r>
          </w:p>
        </w:tc>
        <w:tc>
          <w:tcPr>
            <w:tcW w:w="4773" w:type="dxa"/>
            <w:shd w:val="clear" w:color="auto" w:fill="auto"/>
          </w:tcPr>
          <w:p w:rsidR="004C3E58" w:rsidRPr="004A5227" w:rsidRDefault="002236FB" w:rsidP="002236FB">
            <w:pPr>
              <w:pStyle w:val="Tabletext"/>
            </w:pPr>
            <w:r w:rsidRPr="004A5227">
              <w:t xml:space="preserve">Bankstown and </w:t>
            </w:r>
            <w:r w:rsidR="004C3E58" w:rsidRPr="004A5227">
              <w:t xml:space="preserve">Liverpool </w:t>
            </w:r>
            <w:r w:rsidRPr="004A5227">
              <w:t>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51</w:t>
            </w:r>
          </w:p>
        </w:tc>
        <w:tc>
          <w:tcPr>
            <w:tcW w:w="2825" w:type="dxa"/>
            <w:shd w:val="clear" w:color="auto" w:fill="auto"/>
          </w:tcPr>
          <w:p w:rsidR="004C3E58" w:rsidRPr="004A5227" w:rsidRDefault="004C3E58" w:rsidP="00ED71A4">
            <w:pPr>
              <w:pStyle w:val="Tabletext"/>
            </w:pPr>
            <w:r w:rsidRPr="004A5227">
              <w:t>(02) 88</w:t>
            </w:r>
          </w:p>
        </w:tc>
        <w:tc>
          <w:tcPr>
            <w:tcW w:w="4773" w:type="dxa"/>
            <w:shd w:val="clear" w:color="auto" w:fill="auto"/>
          </w:tcPr>
          <w:p w:rsidR="004C3E58" w:rsidRPr="004A5227" w:rsidRDefault="004C3E58" w:rsidP="002236FB">
            <w:pPr>
              <w:pStyle w:val="Tabletext"/>
            </w:pPr>
            <w:r w:rsidRPr="004A5227">
              <w:t>Blacktown</w:t>
            </w:r>
            <w:r w:rsidR="002236FB" w:rsidRPr="004A5227">
              <w:t>, Parramatta and Sydney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52</w:t>
            </w:r>
          </w:p>
        </w:tc>
        <w:tc>
          <w:tcPr>
            <w:tcW w:w="2825" w:type="dxa"/>
            <w:shd w:val="clear" w:color="auto" w:fill="auto"/>
          </w:tcPr>
          <w:p w:rsidR="004C3E58" w:rsidRPr="004A5227" w:rsidRDefault="004C3E58" w:rsidP="00ED71A4">
            <w:pPr>
              <w:pStyle w:val="Tabletext"/>
            </w:pPr>
            <w:r w:rsidRPr="004A5227">
              <w:t>(02) 89</w:t>
            </w:r>
          </w:p>
        </w:tc>
        <w:tc>
          <w:tcPr>
            <w:tcW w:w="4773" w:type="dxa"/>
            <w:shd w:val="clear" w:color="auto" w:fill="auto"/>
          </w:tcPr>
          <w:p w:rsidR="004C3E58" w:rsidRPr="004A5227" w:rsidRDefault="004C3E58" w:rsidP="002236FB">
            <w:pPr>
              <w:pStyle w:val="Tabletext"/>
            </w:pPr>
            <w:r w:rsidRPr="004A5227">
              <w:t>Avalon Beach</w:t>
            </w:r>
            <w:r w:rsidR="002236FB" w:rsidRPr="004A5227">
              <w:t>, Dural and Terrey Hills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lastRenderedPageBreak/>
              <w:t>53</w:t>
            </w:r>
          </w:p>
        </w:tc>
        <w:tc>
          <w:tcPr>
            <w:tcW w:w="2825" w:type="dxa"/>
            <w:shd w:val="clear" w:color="auto" w:fill="auto"/>
          </w:tcPr>
          <w:p w:rsidR="004C3E58" w:rsidRPr="004A5227" w:rsidRDefault="004C3E58" w:rsidP="00ED71A4">
            <w:pPr>
              <w:pStyle w:val="Tabletext"/>
            </w:pPr>
            <w:r w:rsidRPr="004A5227">
              <w:t>(02) 90</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(02) 91</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55</w:t>
            </w:r>
          </w:p>
        </w:tc>
        <w:tc>
          <w:tcPr>
            <w:tcW w:w="2825" w:type="dxa"/>
            <w:shd w:val="clear" w:color="auto" w:fill="auto"/>
          </w:tcPr>
          <w:p w:rsidR="004C3E58" w:rsidRPr="004A5227" w:rsidRDefault="004C3E58" w:rsidP="00ED71A4">
            <w:pPr>
              <w:pStyle w:val="Tabletext"/>
            </w:pPr>
            <w:r w:rsidRPr="004A5227">
              <w:t>(02) 92</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(02) 93</w:t>
            </w:r>
          </w:p>
        </w:tc>
        <w:tc>
          <w:tcPr>
            <w:tcW w:w="4773" w:type="dxa"/>
            <w:shd w:val="clear" w:color="auto" w:fill="auto"/>
          </w:tcPr>
          <w:p w:rsidR="004C3E58" w:rsidRPr="004A5227" w:rsidRDefault="002236FB" w:rsidP="00ED71A4">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57</w:t>
            </w:r>
          </w:p>
        </w:tc>
        <w:tc>
          <w:tcPr>
            <w:tcW w:w="2825" w:type="dxa"/>
            <w:shd w:val="clear" w:color="auto" w:fill="auto"/>
          </w:tcPr>
          <w:p w:rsidR="004C3E58" w:rsidRPr="004A5227" w:rsidRDefault="004C3E58" w:rsidP="00ED71A4">
            <w:pPr>
              <w:pStyle w:val="Tabletext"/>
            </w:pPr>
            <w:r w:rsidRPr="004A5227">
              <w:t>(02) 94</w:t>
            </w:r>
          </w:p>
        </w:tc>
        <w:tc>
          <w:tcPr>
            <w:tcW w:w="4773" w:type="dxa"/>
            <w:shd w:val="clear" w:color="auto" w:fill="auto"/>
          </w:tcPr>
          <w:p w:rsidR="004C3E58" w:rsidRPr="004A5227" w:rsidRDefault="004C3E58" w:rsidP="002236FB">
            <w:pPr>
              <w:pStyle w:val="Tabletext"/>
            </w:pPr>
            <w:r w:rsidRPr="004A5227">
              <w:t>Avalon Beach</w:t>
            </w:r>
            <w:r w:rsidR="002236FB" w:rsidRPr="004A5227">
              <w:t>, Dural, Sydney and Terrey Hills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58</w:t>
            </w:r>
          </w:p>
        </w:tc>
        <w:tc>
          <w:tcPr>
            <w:tcW w:w="2825" w:type="dxa"/>
            <w:shd w:val="clear" w:color="auto" w:fill="auto"/>
          </w:tcPr>
          <w:p w:rsidR="004C3E58" w:rsidRPr="004A5227" w:rsidRDefault="004C3E58" w:rsidP="00ED71A4">
            <w:pPr>
              <w:pStyle w:val="Tabletext"/>
            </w:pPr>
            <w:r w:rsidRPr="004A5227">
              <w:t>(02) 95</w:t>
            </w:r>
          </w:p>
        </w:tc>
        <w:tc>
          <w:tcPr>
            <w:tcW w:w="4773" w:type="dxa"/>
            <w:shd w:val="clear" w:color="auto" w:fill="auto"/>
          </w:tcPr>
          <w:p w:rsidR="004C3E58" w:rsidRPr="004A5227" w:rsidRDefault="004C3E58" w:rsidP="002236FB">
            <w:pPr>
              <w:pStyle w:val="Tabletext"/>
            </w:pPr>
            <w:r w:rsidRPr="004A5227">
              <w:t>Engadine</w:t>
            </w:r>
            <w:r w:rsidR="002236FB" w:rsidRPr="004A5227">
              <w:t>, Sutherland and Sydney standard zone units</w:t>
            </w:r>
          </w:p>
        </w:tc>
      </w:tr>
      <w:tr w:rsidR="004C3E58" w:rsidRPr="004A5227" w:rsidTr="00ED71A4">
        <w:tc>
          <w:tcPr>
            <w:tcW w:w="714" w:type="dxa"/>
            <w:shd w:val="clear" w:color="auto" w:fill="auto"/>
          </w:tcPr>
          <w:p w:rsidR="004C3E58" w:rsidRPr="004A5227" w:rsidRDefault="00366B9C" w:rsidP="00ED71A4">
            <w:pPr>
              <w:pStyle w:val="Tabletext"/>
            </w:pPr>
            <w:r w:rsidRPr="004A5227">
              <w:t>59</w:t>
            </w:r>
          </w:p>
        </w:tc>
        <w:tc>
          <w:tcPr>
            <w:tcW w:w="2825" w:type="dxa"/>
            <w:shd w:val="clear" w:color="auto" w:fill="auto"/>
          </w:tcPr>
          <w:p w:rsidR="004C3E58" w:rsidRPr="004A5227" w:rsidRDefault="004C3E58" w:rsidP="00ED71A4">
            <w:pPr>
              <w:pStyle w:val="Tabletext"/>
            </w:pPr>
            <w:r w:rsidRPr="004A5227">
              <w:t>(02) 96</w:t>
            </w:r>
          </w:p>
        </w:tc>
        <w:tc>
          <w:tcPr>
            <w:tcW w:w="4773" w:type="dxa"/>
            <w:shd w:val="clear" w:color="auto" w:fill="auto"/>
          </w:tcPr>
          <w:p w:rsidR="004C3E58" w:rsidRPr="004A5227" w:rsidRDefault="00030EE3" w:rsidP="00030EE3">
            <w:pPr>
              <w:pStyle w:val="Tabletext"/>
            </w:pPr>
            <w:r w:rsidRPr="004A5227">
              <w:t>Sydney standard zone unit</w:t>
            </w:r>
          </w:p>
        </w:tc>
      </w:tr>
      <w:tr w:rsidR="004C3E58" w:rsidRPr="004A5227" w:rsidTr="00ED71A4">
        <w:tc>
          <w:tcPr>
            <w:tcW w:w="714" w:type="dxa"/>
            <w:shd w:val="clear" w:color="auto" w:fill="auto"/>
          </w:tcPr>
          <w:p w:rsidR="004C3E58" w:rsidRPr="004A5227" w:rsidRDefault="00366B9C" w:rsidP="00ED71A4">
            <w:pPr>
              <w:pStyle w:val="Tabletext"/>
            </w:pPr>
            <w:r w:rsidRPr="004A5227">
              <w:t>60</w:t>
            </w:r>
          </w:p>
        </w:tc>
        <w:tc>
          <w:tcPr>
            <w:tcW w:w="2825" w:type="dxa"/>
            <w:shd w:val="clear" w:color="auto" w:fill="auto"/>
          </w:tcPr>
          <w:p w:rsidR="004C3E58" w:rsidRPr="004A5227" w:rsidRDefault="004C3E58" w:rsidP="00ED71A4">
            <w:pPr>
              <w:pStyle w:val="Tabletext"/>
            </w:pPr>
            <w:r w:rsidRPr="004A5227">
              <w:t>(02) 97</w:t>
            </w:r>
          </w:p>
        </w:tc>
        <w:tc>
          <w:tcPr>
            <w:tcW w:w="4773" w:type="dxa"/>
            <w:shd w:val="clear" w:color="auto" w:fill="auto"/>
          </w:tcPr>
          <w:p w:rsidR="004C3E58" w:rsidRPr="004A5227" w:rsidRDefault="00030EE3" w:rsidP="00030EE3">
            <w:pPr>
              <w:pStyle w:val="Tabletext"/>
            </w:pPr>
            <w:r w:rsidRPr="004A5227">
              <w:t xml:space="preserve">Bankstown, </w:t>
            </w:r>
            <w:r w:rsidR="004C3E58" w:rsidRPr="004A5227">
              <w:t xml:space="preserve">Liverpool </w:t>
            </w:r>
            <w:r w:rsidRPr="004A5227">
              <w:t>and Sydney standard zone units</w:t>
            </w:r>
          </w:p>
        </w:tc>
      </w:tr>
      <w:tr w:rsidR="004C3E58" w:rsidRPr="004A5227" w:rsidTr="00ED71A4">
        <w:tc>
          <w:tcPr>
            <w:tcW w:w="714" w:type="dxa"/>
            <w:tcBorders>
              <w:bottom w:val="single" w:sz="4" w:space="0" w:color="auto"/>
            </w:tcBorders>
            <w:shd w:val="clear" w:color="auto" w:fill="auto"/>
          </w:tcPr>
          <w:p w:rsidR="004C3E58" w:rsidRPr="004A5227" w:rsidRDefault="00366B9C" w:rsidP="00ED71A4">
            <w:pPr>
              <w:pStyle w:val="Tabletext"/>
            </w:pPr>
            <w:r w:rsidRPr="004A5227">
              <w:t>61</w:t>
            </w:r>
          </w:p>
        </w:tc>
        <w:tc>
          <w:tcPr>
            <w:tcW w:w="2825" w:type="dxa"/>
            <w:tcBorders>
              <w:bottom w:val="single" w:sz="4" w:space="0" w:color="auto"/>
            </w:tcBorders>
            <w:shd w:val="clear" w:color="auto" w:fill="auto"/>
          </w:tcPr>
          <w:p w:rsidR="004C3E58" w:rsidRPr="004A5227" w:rsidRDefault="004C3E58" w:rsidP="00ED71A4">
            <w:pPr>
              <w:pStyle w:val="Tabletext"/>
            </w:pPr>
            <w:r w:rsidRPr="004A5227">
              <w:t>(02) 98</w:t>
            </w:r>
          </w:p>
        </w:tc>
        <w:tc>
          <w:tcPr>
            <w:tcW w:w="4773" w:type="dxa"/>
            <w:tcBorders>
              <w:bottom w:val="single" w:sz="4" w:space="0" w:color="auto"/>
            </w:tcBorders>
            <w:shd w:val="clear" w:color="auto" w:fill="auto"/>
          </w:tcPr>
          <w:p w:rsidR="004C3E58" w:rsidRPr="004A5227" w:rsidRDefault="004C3E58" w:rsidP="00030EE3">
            <w:pPr>
              <w:pStyle w:val="Tabletext"/>
            </w:pPr>
            <w:r w:rsidRPr="004A5227">
              <w:t>Blacktown</w:t>
            </w:r>
            <w:r w:rsidR="00030EE3" w:rsidRPr="004A5227">
              <w:t>, Parramatta and Sydney standard zone units</w:t>
            </w:r>
          </w:p>
        </w:tc>
      </w:tr>
      <w:tr w:rsidR="00030EE3" w:rsidRPr="004A5227" w:rsidTr="00ED71A4">
        <w:tc>
          <w:tcPr>
            <w:tcW w:w="714" w:type="dxa"/>
            <w:tcBorders>
              <w:bottom w:val="single" w:sz="12" w:space="0" w:color="auto"/>
            </w:tcBorders>
            <w:shd w:val="clear" w:color="auto" w:fill="auto"/>
          </w:tcPr>
          <w:p w:rsidR="00030EE3" w:rsidRPr="004A5227" w:rsidRDefault="00366B9C" w:rsidP="00ED71A4">
            <w:pPr>
              <w:pStyle w:val="Tabletext"/>
            </w:pPr>
            <w:r w:rsidRPr="004A5227">
              <w:t>62</w:t>
            </w:r>
          </w:p>
        </w:tc>
        <w:tc>
          <w:tcPr>
            <w:tcW w:w="2825" w:type="dxa"/>
            <w:tcBorders>
              <w:bottom w:val="single" w:sz="12" w:space="0" w:color="auto"/>
            </w:tcBorders>
            <w:shd w:val="clear" w:color="auto" w:fill="auto"/>
          </w:tcPr>
          <w:p w:rsidR="00030EE3" w:rsidRPr="004A5227" w:rsidRDefault="00030EE3" w:rsidP="00ED71A4">
            <w:pPr>
              <w:pStyle w:val="Tabletext"/>
            </w:pPr>
            <w:r w:rsidRPr="004A5227">
              <w:t>(02) 99</w:t>
            </w:r>
          </w:p>
        </w:tc>
        <w:tc>
          <w:tcPr>
            <w:tcW w:w="4773" w:type="dxa"/>
            <w:tcBorders>
              <w:bottom w:val="single" w:sz="12" w:space="0" w:color="auto"/>
            </w:tcBorders>
            <w:shd w:val="clear" w:color="auto" w:fill="auto"/>
          </w:tcPr>
          <w:p w:rsidR="00030EE3" w:rsidRPr="004A5227" w:rsidRDefault="00030EE3" w:rsidP="001E66CB">
            <w:pPr>
              <w:pStyle w:val="Tabletext"/>
            </w:pPr>
            <w:r w:rsidRPr="004A5227">
              <w:t>Avalon Beach, Dural, Sydney and Terrey Hills standard zone units</w:t>
            </w:r>
          </w:p>
        </w:tc>
      </w:tr>
    </w:tbl>
    <w:p w:rsidR="004C3E58" w:rsidRPr="004A5227" w:rsidRDefault="004C3E58" w:rsidP="004C3E58">
      <w:pPr>
        <w:pStyle w:val="ActHead5"/>
      </w:pPr>
      <w:bookmarkStart w:id="192" w:name="_Toc413419190"/>
      <w:r w:rsidRPr="004A5227">
        <w:rPr>
          <w:rStyle w:val="CharSectno"/>
        </w:rPr>
        <w:t>2</w:t>
      </w:r>
      <w:r w:rsidRPr="004A5227">
        <w:t xml:space="preserve">  South East Region</w:t>
      </w:r>
      <w:bookmarkEnd w:id="192"/>
    </w:p>
    <w:p w:rsidR="004C3E58" w:rsidRPr="004A5227" w:rsidRDefault="004C3E58" w:rsidP="004C3E58">
      <w:pPr>
        <w:pStyle w:val="subsection"/>
      </w:pPr>
      <w:r w:rsidRPr="004A5227">
        <w:tab/>
      </w:r>
      <w:r w:rsidRPr="004A5227">
        <w:tab/>
        <w:t>The following table sets out the form of geographic numbers for use in Tasmania, most of Victoria and parts of southern New South Wales.</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South East Region</w:t>
            </w:r>
          </w:p>
        </w:tc>
      </w:tr>
      <w:tr w:rsidR="004C3E58" w:rsidRPr="004A5227" w:rsidTr="00ED71A4">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ED71A4">
        <w:tc>
          <w:tcPr>
            <w:tcW w:w="714" w:type="dxa"/>
            <w:tcBorders>
              <w:top w:val="single" w:sz="12" w:space="0" w:color="auto"/>
            </w:tcBorders>
            <w:shd w:val="clear" w:color="auto" w:fill="auto"/>
          </w:tcPr>
          <w:p w:rsidR="004C3E58" w:rsidRPr="004A5227" w:rsidRDefault="004C3E58"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(03) 32</w:t>
            </w:r>
          </w:p>
        </w:tc>
        <w:tc>
          <w:tcPr>
            <w:tcW w:w="4773" w:type="dxa"/>
            <w:tcBorders>
              <w:top w:val="single" w:sz="12" w:space="0" w:color="auto"/>
            </w:tcBorders>
            <w:shd w:val="clear" w:color="auto" w:fill="auto"/>
          </w:tcPr>
          <w:p w:rsidR="004C3E58" w:rsidRPr="004A5227" w:rsidRDefault="004C3E58" w:rsidP="00ED71A4">
            <w:pPr>
              <w:pStyle w:val="Tabletext"/>
            </w:pPr>
            <w:r w:rsidRPr="004A5227">
              <w:t>Colac and Geelong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(03) 33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Ararat</w:t>
            </w:r>
          </w:p>
          <w:p w:rsidR="004C3E58" w:rsidRPr="004A5227" w:rsidRDefault="004C3E58" w:rsidP="00ED71A4">
            <w:pPr>
              <w:pStyle w:val="Tabletext"/>
            </w:pPr>
            <w:r w:rsidRPr="004A5227">
              <w:t>Ballarat</w:t>
            </w:r>
          </w:p>
          <w:p w:rsidR="004C3E58" w:rsidRPr="004A5227" w:rsidRDefault="004C3E58" w:rsidP="00ED71A4">
            <w:pPr>
              <w:pStyle w:val="Tabletext"/>
            </w:pPr>
            <w:r w:rsidRPr="004A5227">
              <w:t>Horsham</w:t>
            </w:r>
          </w:p>
          <w:p w:rsidR="004C3E58" w:rsidRPr="004A5227" w:rsidRDefault="004C3E58" w:rsidP="00ED71A4">
            <w:pPr>
              <w:pStyle w:val="Tabletext"/>
            </w:pPr>
            <w:r w:rsidRPr="004A5227">
              <w:t>Nhill</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27142E">
            <w:pPr>
              <w:pStyle w:val="Tabletext"/>
            </w:pPr>
            <w:r w:rsidRPr="004A5227">
              <w:t>Bacchus Marsh, Ballan, Balliang, Mount Wallace</w:t>
            </w:r>
          </w:p>
        </w:tc>
      </w:tr>
      <w:tr w:rsidR="004C3E58" w:rsidRPr="004A5227" w:rsidTr="00ED71A4">
        <w:tc>
          <w:tcPr>
            <w:tcW w:w="714" w:type="dxa"/>
            <w:shd w:val="clear" w:color="auto" w:fill="auto"/>
          </w:tcPr>
          <w:p w:rsidR="004C3E58" w:rsidRPr="004A5227" w:rsidRDefault="004C3E58" w:rsidP="00ED71A4">
            <w:pPr>
              <w:pStyle w:val="Tabletext"/>
            </w:pPr>
            <w:r w:rsidRPr="004A5227">
              <w:t>3</w:t>
            </w:r>
          </w:p>
        </w:tc>
        <w:tc>
          <w:tcPr>
            <w:tcW w:w="2825" w:type="dxa"/>
            <w:shd w:val="clear" w:color="auto" w:fill="auto"/>
          </w:tcPr>
          <w:p w:rsidR="004C3E58" w:rsidRPr="004A5227" w:rsidRDefault="004C3E58" w:rsidP="00ED71A4">
            <w:pPr>
              <w:pStyle w:val="Tabletext"/>
            </w:pPr>
            <w:r w:rsidRPr="004A5227">
              <w:t>(03) 34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Bendigo</w:t>
            </w:r>
          </w:p>
          <w:p w:rsidR="004C3E58" w:rsidRPr="004A5227" w:rsidRDefault="004C3E58" w:rsidP="00ED71A4">
            <w:pPr>
              <w:pStyle w:val="Tabletext"/>
            </w:pPr>
            <w:r w:rsidRPr="004A5227">
              <w:t>Charlton</w:t>
            </w:r>
          </w:p>
          <w:p w:rsidR="004C3E58" w:rsidRPr="004A5227" w:rsidRDefault="004C3E58" w:rsidP="00ED71A4">
            <w:pPr>
              <w:pStyle w:val="Tabletext"/>
            </w:pPr>
            <w:r w:rsidRPr="004A5227">
              <w:t>Echuca</w:t>
            </w:r>
          </w:p>
          <w:p w:rsidR="004C3E58" w:rsidRPr="004A5227" w:rsidRDefault="004C3E58" w:rsidP="00ED71A4">
            <w:pPr>
              <w:pStyle w:val="Tabletext"/>
            </w:pPr>
            <w:r w:rsidRPr="004A5227">
              <w:t>Kerang</w:t>
            </w:r>
          </w:p>
          <w:p w:rsidR="004C3E58" w:rsidRPr="004A5227" w:rsidRDefault="004C3E58" w:rsidP="00ED71A4">
            <w:pPr>
              <w:pStyle w:val="Tabletext"/>
            </w:pPr>
            <w:r w:rsidRPr="004A5227">
              <w:t>Maryborough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w:t>
            </w:r>
            <w:r w:rsidRPr="004A5227">
              <w:lastRenderedPageBreak/>
              <w:t>district:</w:t>
            </w:r>
          </w:p>
          <w:p w:rsidR="004C3E58" w:rsidRPr="004A5227" w:rsidRDefault="004C3E58" w:rsidP="00ED71A4">
            <w:pPr>
              <w:pStyle w:val="Tabletext"/>
            </w:pPr>
            <w:r w:rsidRPr="004A5227">
              <w:t>Gisborne, Kyneton, Redesdale, Romsey, Trentham, Woodend</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4</w:t>
            </w:r>
          </w:p>
        </w:tc>
        <w:tc>
          <w:tcPr>
            <w:tcW w:w="2825" w:type="dxa"/>
            <w:shd w:val="clear" w:color="auto" w:fill="auto"/>
          </w:tcPr>
          <w:p w:rsidR="004C3E58" w:rsidRPr="004A5227" w:rsidRDefault="004C3E58" w:rsidP="00ED71A4">
            <w:pPr>
              <w:pStyle w:val="Tabletext"/>
            </w:pPr>
            <w:r w:rsidRPr="004A5227">
              <w:t>(03) 40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Balranald</w:t>
            </w:r>
          </w:p>
          <w:p w:rsidR="004C3E58" w:rsidRPr="004A5227" w:rsidRDefault="004C3E58" w:rsidP="00ED71A4">
            <w:pPr>
              <w:pStyle w:val="Tabletext"/>
            </w:pPr>
            <w:r w:rsidRPr="004A5227">
              <w:t>Hopetoun</w:t>
            </w:r>
          </w:p>
          <w:p w:rsidR="004C3E58" w:rsidRPr="004A5227" w:rsidRDefault="004C3E58" w:rsidP="00ED71A4">
            <w:pPr>
              <w:pStyle w:val="Tabletext"/>
            </w:pPr>
            <w:r w:rsidRPr="004A5227">
              <w:t>Mildura</w:t>
            </w:r>
          </w:p>
          <w:p w:rsidR="004C3E58" w:rsidRPr="004A5227" w:rsidRDefault="004C3E58" w:rsidP="00ED71A4">
            <w:pPr>
              <w:pStyle w:val="Tabletext"/>
            </w:pPr>
            <w:r w:rsidRPr="004A5227">
              <w:t>Ouyen</w:t>
            </w:r>
          </w:p>
          <w:p w:rsidR="004C3E58" w:rsidRPr="004A5227" w:rsidRDefault="004C3E58" w:rsidP="00ED71A4">
            <w:pPr>
              <w:pStyle w:val="Tabletext"/>
            </w:pPr>
            <w:r w:rsidRPr="004A5227">
              <w:t>Swan Hill</w:t>
            </w:r>
          </w:p>
        </w:tc>
      </w:tr>
      <w:tr w:rsidR="004C3E58" w:rsidRPr="004A5227" w:rsidTr="00ED71A4">
        <w:tc>
          <w:tcPr>
            <w:tcW w:w="714" w:type="dxa"/>
            <w:shd w:val="clear" w:color="auto" w:fill="auto"/>
          </w:tcPr>
          <w:p w:rsidR="004C3E58" w:rsidRPr="004A5227" w:rsidRDefault="004C3E58" w:rsidP="00ED71A4">
            <w:pPr>
              <w:pStyle w:val="Tabletext"/>
            </w:pPr>
            <w:r w:rsidRPr="004A5227">
              <w:t>5</w:t>
            </w:r>
          </w:p>
        </w:tc>
        <w:tc>
          <w:tcPr>
            <w:tcW w:w="2825" w:type="dxa"/>
            <w:shd w:val="clear" w:color="auto" w:fill="auto"/>
          </w:tcPr>
          <w:p w:rsidR="004C3E58" w:rsidRPr="004A5227" w:rsidRDefault="004C3E58" w:rsidP="00ED71A4">
            <w:pPr>
              <w:pStyle w:val="Tabletext"/>
            </w:pPr>
            <w:r w:rsidRPr="004A5227">
              <w:t>(03) 41</w:t>
            </w:r>
          </w:p>
        </w:tc>
        <w:tc>
          <w:tcPr>
            <w:tcW w:w="4773" w:type="dxa"/>
            <w:shd w:val="clear" w:color="auto" w:fill="auto"/>
          </w:tcPr>
          <w:p w:rsidR="004C3E58" w:rsidRPr="004A5227" w:rsidRDefault="004C3E58" w:rsidP="00ED71A4">
            <w:pPr>
              <w:pStyle w:val="Tabletext"/>
            </w:pPr>
            <w:r w:rsidRPr="004A5227">
              <w:t>Bairnsdale, Morwell and Sale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6</w:t>
            </w:r>
          </w:p>
        </w:tc>
        <w:tc>
          <w:tcPr>
            <w:tcW w:w="2825" w:type="dxa"/>
            <w:shd w:val="clear" w:color="auto" w:fill="auto"/>
          </w:tcPr>
          <w:p w:rsidR="004C3E58" w:rsidRPr="004A5227" w:rsidRDefault="004C3E58" w:rsidP="00ED71A4">
            <w:pPr>
              <w:pStyle w:val="Tabletext"/>
            </w:pPr>
            <w:r w:rsidRPr="004A5227">
              <w:t>(03) 42</w:t>
            </w:r>
          </w:p>
        </w:tc>
        <w:tc>
          <w:tcPr>
            <w:tcW w:w="4773" w:type="dxa"/>
            <w:shd w:val="clear" w:color="auto" w:fill="auto"/>
          </w:tcPr>
          <w:p w:rsidR="004C3E58" w:rsidRPr="004A5227" w:rsidRDefault="004C3E58" w:rsidP="00ED71A4">
            <w:pPr>
              <w:pStyle w:val="Tabletext"/>
            </w:pPr>
            <w:r w:rsidRPr="004A5227">
              <w:t>Colac and Geelong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7</w:t>
            </w:r>
          </w:p>
        </w:tc>
        <w:tc>
          <w:tcPr>
            <w:tcW w:w="2825" w:type="dxa"/>
            <w:shd w:val="clear" w:color="auto" w:fill="auto"/>
          </w:tcPr>
          <w:p w:rsidR="004C3E58" w:rsidRPr="004A5227" w:rsidRDefault="004C3E58" w:rsidP="00ED71A4">
            <w:pPr>
              <w:pStyle w:val="Tabletext"/>
            </w:pPr>
            <w:r w:rsidRPr="004A5227">
              <w:t>(03) 43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Ararat</w:t>
            </w:r>
          </w:p>
          <w:p w:rsidR="004C3E58" w:rsidRPr="004A5227" w:rsidRDefault="004C3E58" w:rsidP="00ED71A4">
            <w:pPr>
              <w:pStyle w:val="Tabletext"/>
            </w:pPr>
            <w:r w:rsidRPr="004A5227">
              <w:t>Ballarat</w:t>
            </w:r>
          </w:p>
          <w:p w:rsidR="004C3E58" w:rsidRPr="004A5227" w:rsidRDefault="004C3E58" w:rsidP="00ED71A4">
            <w:pPr>
              <w:pStyle w:val="Tabletext"/>
            </w:pPr>
            <w:r w:rsidRPr="004A5227">
              <w:t>Horsham</w:t>
            </w:r>
          </w:p>
          <w:p w:rsidR="004C3E58" w:rsidRPr="004A5227" w:rsidRDefault="004C3E58" w:rsidP="00ED71A4">
            <w:pPr>
              <w:pStyle w:val="Tabletext"/>
            </w:pPr>
            <w:r w:rsidRPr="004A5227">
              <w:t>Nhill</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ED71A4">
            <w:pPr>
              <w:pStyle w:val="Tabletext"/>
            </w:pPr>
            <w:r w:rsidRPr="004A5227">
              <w:t xml:space="preserve">Bacchus Marsh, </w:t>
            </w:r>
            <w:r w:rsidR="00366B9C" w:rsidRPr="004A5227">
              <w:t>Ballan, Balliang, Mount Wallace</w:t>
            </w:r>
          </w:p>
        </w:tc>
      </w:tr>
      <w:tr w:rsidR="004C3E58" w:rsidRPr="004A5227" w:rsidTr="00ED71A4">
        <w:tc>
          <w:tcPr>
            <w:tcW w:w="714" w:type="dxa"/>
            <w:shd w:val="clear" w:color="auto" w:fill="auto"/>
          </w:tcPr>
          <w:p w:rsidR="004C3E58" w:rsidRPr="004A5227" w:rsidRDefault="004C3E58" w:rsidP="00ED71A4">
            <w:pPr>
              <w:pStyle w:val="Tabletext"/>
            </w:pPr>
            <w:r w:rsidRPr="004A5227">
              <w:t>8</w:t>
            </w:r>
          </w:p>
        </w:tc>
        <w:tc>
          <w:tcPr>
            <w:tcW w:w="2825" w:type="dxa"/>
            <w:shd w:val="clear" w:color="auto" w:fill="auto"/>
          </w:tcPr>
          <w:p w:rsidR="004C3E58" w:rsidRPr="004A5227" w:rsidRDefault="004C3E58" w:rsidP="00ED71A4">
            <w:pPr>
              <w:pStyle w:val="Tabletext"/>
            </w:pPr>
            <w:r w:rsidRPr="004A5227">
              <w:t>(03) 44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Bendigo</w:t>
            </w:r>
          </w:p>
          <w:p w:rsidR="004C3E58" w:rsidRPr="004A5227" w:rsidRDefault="004C3E58" w:rsidP="00ED71A4">
            <w:pPr>
              <w:pStyle w:val="Tabletext"/>
            </w:pPr>
            <w:r w:rsidRPr="004A5227">
              <w:t>Charlton</w:t>
            </w:r>
          </w:p>
          <w:p w:rsidR="004C3E58" w:rsidRPr="004A5227" w:rsidRDefault="004C3E58" w:rsidP="00ED71A4">
            <w:pPr>
              <w:pStyle w:val="Tabletext"/>
            </w:pPr>
            <w:r w:rsidRPr="004A5227">
              <w:t>Echuca</w:t>
            </w:r>
          </w:p>
          <w:p w:rsidR="004C3E58" w:rsidRPr="004A5227" w:rsidRDefault="004C3E58" w:rsidP="00ED71A4">
            <w:pPr>
              <w:pStyle w:val="Tabletext"/>
            </w:pPr>
            <w:r w:rsidRPr="004A5227">
              <w:t>Kerang</w:t>
            </w:r>
          </w:p>
          <w:p w:rsidR="004C3E58" w:rsidRPr="004A5227" w:rsidRDefault="004C3E58" w:rsidP="00ED71A4">
            <w:pPr>
              <w:pStyle w:val="Tabletext"/>
            </w:pPr>
            <w:r w:rsidRPr="004A5227">
              <w:t>Maryborough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ED71A4">
            <w:pPr>
              <w:pStyle w:val="Tabletext"/>
            </w:pPr>
            <w:r w:rsidRPr="004A5227">
              <w:t>Gisborne, Kyneton, Redesdale, Romsey, Trentham, Woodend</w:t>
            </w:r>
          </w:p>
        </w:tc>
      </w:tr>
      <w:tr w:rsidR="004C3E58" w:rsidRPr="004A5227" w:rsidTr="00ED71A4">
        <w:tc>
          <w:tcPr>
            <w:tcW w:w="714" w:type="dxa"/>
            <w:shd w:val="clear" w:color="auto" w:fill="auto"/>
          </w:tcPr>
          <w:p w:rsidR="004C3E58" w:rsidRPr="004A5227" w:rsidRDefault="004C3E58"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(03) 45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Camperdown</w:t>
            </w:r>
          </w:p>
          <w:p w:rsidR="004C3E58" w:rsidRPr="004A5227" w:rsidRDefault="004C3E58" w:rsidP="00ED71A4">
            <w:pPr>
              <w:pStyle w:val="Tabletext"/>
            </w:pPr>
            <w:r w:rsidRPr="004A5227">
              <w:t>Casterton</w:t>
            </w:r>
          </w:p>
          <w:p w:rsidR="004C3E58" w:rsidRPr="004A5227" w:rsidRDefault="004C3E58" w:rsidP="00ED71A4">
            <w:pPr>
              <w:pStyle w:val="Tabletext"/>
            </w:pPr>
            <w:r w:rsidRPr="004A5227">
              <w:t>Edenhope</w:t>
            </w:r>
          </w:p>
          <w:p w:rsidR="004C3E58" w:rsidRPr="004A5227" w:rsidRDefault="004C3E58" w:rsidP="00ED71A4">
            <w:pPr>
              <w:pStyle w:val="Tabletext"/>
            </w:pPr>
            <w:r w:rsidRPr="004A5227">
              <w:t>Hamilton</w:t>
            </w:r>
          </w:p>
          <w:p w:rsidR="004C3E58" w:rsidRPr="004A5227" w:rsidRDefault="004C3E58" w:rsidP="00ED71A4">
            <w:pPr>
              <w:pStyle w:val="Tabletext"/>
            </w:pPr>
            <w:r w:rsidRPr="004A5227">
              <w:t>Portland</w:t>
            </w:r>
          </w:p>
          <w:p w:rsidR="004C3E58" w:rsidRPr="004A5227" w:rsidRDefault="004C3E58" w:rsidP="00ED71A4">
            <w:pPr>
              <w:pStyle w:val="Tabletext"/>
            </w:pPr>
            <w:r w:rsidRPr="004A5227">
              <w:t>Warrnambool</w:t>
            </w:r>
          </w:p>
        </w:tc>
      </w:tr>
      <w:tr w:rsidR="004C3E58" w:rsidRPr="004A5227" w:rsidTr="00ED71A4">
        <w:tc>
          <w:tcPr>
            <w:tcW w:w="714" w:type="dxa"/>
            <w:shd w:val="clear" w:color="auto" w:fill="auto"/>
          </w:tcPr>
          <w:p w:rsidR="004C3E58" w:rsidRPr="004A5227" w:rsidRDefault="004C3E58" w:rsidP="00ED71A4">
            <w:pPr>
              <w:pStyle w:val="Tabletext"/>
            </w:pPr>
            <w:r w:rsidRPr="004A5227">
              <w:t>10</w:t>
            </w:r>
          </w:p>
        </w:tc>
        <w:tc>
          <w:tcPr>
            <w:tcW w:w="2825" w:type="dxa"/>
            <w:shd w:val="clear" w:color="auto" w:fill="auto"/>
          </w:tcPr>
          <w:p w:rsidR="004C3E58" w:rsidRPr="004A5227" w:rsidRDefault="004C3E58" w:rsidP="00ED71A4">
            <w:pPr>
              <w:pStyle w:val="Tabletext"/>
            </w:pPr>
            <w:r w:rsidRPr="004A5227">
              <w:t>(03) 47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Alexandra</w:t>
            </w:r>
          </w:p>
          <w:p w:rsidR="004C3E58" w:rsidRPr="004A5227" w:rsidRDefault="004C3E58" w:rsidP="00ED71A4">
            <w:pPr>
              <w:pStyle w:val="Tabletext"/>
            </w:pPr>
            <w:r w:rsidRPr="004A5227">
              <w:lastRenderedPageBreak/>
              <w:t>Myrtleford</w:t>
            </w:r>
          </w:p>
          <w:p w:rsidR="004C3E58" w:rsidRPr="004A5227" w:rsidRDefault="004C3E58" w:rsidP="00ED71A4">
            <w:pPr>
              <w:pStyle w:val="Tabletext"/>
            </w:pPr>
            <w:r w:rsidRPr="004A5227">
              <w:t>Seymour</w:t>
            </w:r>
          </w:p>
          <w:p w:rsidR="004C3E58" w:rsidRPr="004A5227" w:rsidRDefault="004C3E58" w:rsidP="00ED71A4">
            <w:pPr>
              <w:pStyle w:val="Tabletext"/>
            </w:pPr>
            <w:r w:rsidRPr="004A5227">
              <w:t>Wangaratta</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11</w:t>
            </w:r>
          </w:p>
        </w:tc>
        <w:tc>
          <w:tcPr>
            <w:tcW w:w="2825" w:type="dxa"/>
            <w:shd w:val="clear" w:color="auto" w:fill="auto"/>
          </w:tcPr>
          <w:p w:rsidR="004C3E58" w:rsidRPr="004A5227" w:rsidRDefault="004C3E58" w:rsidP="00ED71A4">
            <w:pPr>
              <w:pStyle w:val="Tabletext"/>
            </w:pPr>
            <w:r w:rsidRPr="004A5227">
              <w:t>(03) 48</w:t>
            </w:r>
          </w:p>
        </w:tc>
        <w:tc>
          <w:tcPr>
            <w:tcW w:w="4773" w:type="dxa"/>
            <w:shd w:val="clear" w:color="auto" w:fill="auto"/>
          </w:tcPr>
          <w:p w:rsidR="004C3E58" w:rsidRPr="004A5227" w:rsidRDefault="004C3E58" w:rsidP="00ED71A4">
            <w:pPr>
              <w:pStyle w:val="Tabletext"/>
            </w:pPr>
            <w:r w:rsidRPr="004A5227">
              <w:t>Deniliquin, Numurkah and Shepparton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12</w:t>
            </w:r>
          </w:p>
        </w:tc>
        <w:tc>
          <w:tcPr>
            <w:tcW w:w="2825" w:type="dxa"/>
            <w:shd w:val="clear" w:color="auto" w:fill="auto"/>
          </w:tcPr>
          <w:p w:rsidR="004C3E58" w:rsidRPr="004A5227" w:rsidRDefault="004C3E58" w:rsidP="00ED71A4">
            <w:pPr>
              <w:pStyle w:val="Tabletext"/>
            </w:pPr>
            <w:r w:rsidRPr="004A5227">
              <w:t>(03) 49</w:t>
            </w:r>
          </w:p>
        </w:tc>
        <w:tc>
          <w:tcPr>
            <w:tcW w:w="4773" w:type="dxa"/>
            <w:shd w:val="clear" w:color="auto" w:fill="auto"/>
          </w:tcPr>
          <w:p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rsidR="004C3E58" w:rsidRPr="004A5227" w:rsidRDefault="004C3E58" w:rsidP="00ED71A4">
            <w:pPr>
              <w:pStyle w:val="Tabletext"/>
            </w:pPr>
            <w:r w:rsidRPr="004A5227">
              <w:t>Cranbourne, Emerald (Victoria), Healesville, Koo Wee Rup, Marysville, Pakenham, Warburton</w:t>
            </w:r>
          </w:p>
        </w:tc>
      </w:tr>
      <w:tr w:rsidR="004C3E58" w:rsidRPr="004A5227" w:rsidTr="00ED71A4">
        <w:tc>
          <w:tcPr>
            <w:tcW w:w="714" w:type="dxa"/>
            <w:shd w:val="clear" w:color="auto" w:fill="auto"/>
          </w:tcPr>
          <w:p w:rsidR="004C3E58" w:rsidRPr="004A5227" w:rsidRDefault="004C3E58"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(03) 50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Balranald</w:t>
            </w:r>
          </w:p>
          <w:p w:rsidR="004C3E58" w:rsidRPr="004A5227" w:rsidRDefault="004C3E58" w:rsidP="00ED71A4">
            <w:pPr>
              <w:pStyle w:val="Tabletext"/>
            </w:pPr>
            <w:r w:rsidRPr="004A5227">
              <w:t>Hopetoun</w:t>
            </w:r>
          </w:p>
          <w:p w:rsidR="004C3E58" w:rsidRPr="004A5227" w:rsidRDefault="004C3E58" w:rsidP="00ED71A4">
            <w:pPr>
              <w:pStyle w:val="Tabletext"/>
            </w:pPr>
            <w:r w:rsidRPr="004A5227">
              <w:t>Mildura</w:t>
            </w:r>
          </w:p>
          <w:p w:rsidR="004C3E58" w:rsidRPr="004A5227" w:rsidRDefault="004C3E58" w:rsidP="00ED71A4">
            <w:pPr>
              <w:pStyle w:val="Tabletext"/>
            </w:pPr>
            <w:r w:rsidRPr="004A5227">
              <w:t>Ouyen</w:t>
            </w:r>
          </w:p>
          <w:p w:rsidR="004C3E58" w:rsidRPr="004A5227" w:rsidRDefault="004C3E58" w:rsidP="00ED71A4">
            <w:pPr>
              <w:pStyle w:val="Tabletext"/>
            </w:pPr>
            <w:r w:rsidRPr="004A5227">
              <w:t>Swan Hill</w:t>
            </w:r>
          </w:p>
        </w:tc>
      </w:tr>
      <w:tr w:rsidR="004C3E58" w:rsidRPr="004A5227" w:rsidTr="00ED71A4">
        <w:tc>
          <w:tcPr>
            <w:tcW w:w="714" w:type="dxa"/>
            <w:shd w:val="clear" w:color="auto" w:fill="auto"/>
          </w:tcPr>
          <w:p w:rsidR="004C3E58" w:rsidRPr="004A5227" w:rsidRDefault="004C3E58"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(03) 51</w:t>
            </w:r>
          </w:p>
        </w:tc>
        <w:tc>
          <w:tcPr>
            <w:tcW w:w="4773" w:type="dxa"/>
            <w:shd w:val="clear" w:color="auto" w:fill="auto"/>
          </w:tcPr>
          <w:p w:rsidR="004C3E58" w:rsidRPr="004A5227" w:rsidRDefault="004C3E58" w:rsidP="00ED71A4">
            <w:pPr>
              <w:pStyle w:val="Tabletext"/>
            </w:pPr>
            <w:r w:rsidRPr="004A5227">
              <w:t>Bairnsdale, Morwell and Sale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(03) 52</w:t>
            </w:r>
          </w:p>
        </w:tc>
        <w:tc>
          <w:tcPr>
            <w:tcW w:w="4773" w:type="dxa"/>
            <w:shd w:val="clear" w:color="auto" w:fill="auto"/>
          </w:tcPr>
          <w:p w:rsidR="004C3E58" w:rsidRPr="004A5227" w:rsidRDefault="004C3E58" w:rsidP="00ED71A4">
            <w:pPr>
              <w:pStyle w:val="Tabletext"/>
            </w:pPr>
            <w:r w:rsidRPr="004A5227">
              <w:t>Colac and Geelong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(03) 53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Ararat</w:t>
            </w:r>
          </w:p>
          <w:p w:rsidR="004C3E58" w:rsidRPr="004A5227" w:rsidRDefault="004C3E58" w:rsidP="00ED71A4">
            <w:pPr>
              <w:pStyle w:val="Tabletext"/>
            </w:pPr>
            <w:r w:rsidRPr="004A5227">
              <w:t>Ballarat</w:t>
            </w:r>
          </w:p>
          <w:p w:rsidR="004C3E58" w:rsidRPr="004A5227" w:rsidRDefault="004C3E58" w:rsidP="00ED71A4">
            <w:pPr>
              <w:pStyle w:val="Tabletext"/>
            </w:pPr>
            <w:r w:rsidRPr="004A5227">
              <w:t>Horsham</w:t>
            </w:r>
          </w:p>
          <w:p w:rsidR="004C3E58" w:rsidRPr="004A5227" w:rsidRDefault="004C3E58" w:rsidP="00ED71A4">
            <w:pPr>
              <w:pStyle w:val="Tabletext"/>
            </w:pPr>
            <w:r w:rsidRPr="004A5227">
              <w:t>Nhill</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27142E">
            <w:pPr>
              <w:pStyle w:val="Tabletext"/>
            </w:pPr>
            <w:r w:rsidRPr="004A5227">
              <w:t>Bacchus Marsh, Ballan, Balliang, Mount Wallace</w:t>
            </w:r>
          </w:p>
        </w:tc>
      </w:tr>
      <w:tr w:rsidR="004C3E58" w:rsidRPr="004A5227" w:rsidTr="00ED71A4">
        <w:tc>
          <w:tcPr>
            <w:tcW w:w="714" w:type="dxa"/>
            <w:shd w:val="clear" w:color="auto" w:fill="auto"/>
          </w:tcPr>
          <w:p w:rsidR="004C3E58" w:rsidRPr="004A5227" w:rsidRDefault="004C3E58"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(03) 54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Bendigo</w:t>
            </w:r>
          </w:p>
          <w:p w:rsidR="004C3E58" w:rsidRPr="004A5227" w:rsidRDefault="004C3E58" w:rsidP="00ED71A4">
            <w:pPr>
              <w:pStyle w:val="Tabletext"/>
            </w:pPr>
            <w:r w:rsidRPr="004A5227">
              <w:t>Charlton</w:t>
            </w:r>
          </w:p>
          <w:p w:rsidR="004C3E58" w:rsidRPr="004A5227" w:rsidRDefault="004C3E58" w:rsidP="00ED71A4">
            <w:pPr>
              <w:pStyle w:val="Tabletext"/>
            </w:pPr>
            <w:r w:rsidRPr="004A5227">
              <w:t>Echuca</w:t>
            </w:r>
          </w:p>
          <w:p w:rsidR="004C3E58" w:rsidRPr="004A5227" w:rsidRDefault="004C3E58" w:rsidP="00ED71A4">
            <w:pPr>
              <w:pStyle w:val="Tabletext"/>
            </w:pPr>
            <w:r w:rsidRPr="004A5227">
              <w:t>Kerang</w:t>
            </w:r>
          </w:p>
          <w:p w:rsidR="004C3E58" w:rsidRPr="004A5227" w:rsidRDefault="004C3E58" w:rsidP="00ED71A4">
            <w:pPr>
              <w:pStyle w:val="Tabletext"/>
            </w:pPr>
            <w:r w:rsidRPr="004A5227">
              <w:t>Maryborough</w:t>
            </w:r>
          </w:p>
          <w:p w:rsidR="004C3E58" w:rsidRPr="004A5227" w:rsidRDefault="004C3E58" w:rsidP="00ED71A4">
            <w:pPr>
              <w:pStyle w:val="Tabletext"/>
            </w:pPr>
          </w:p>
          <w:p w:rsidR="004C3E58" w:rsidRPr="004A5227" w:rsidRDefault="004C3E58" w:rsidP="00ED71A4">
            <w:pPr>
              <w:pStyle w:val="Tabletext"/>
            </w:pPr>
            <w:r w:rsidRPr="004A5227">
              <w:t xml:space="preserve">The following </w:t>
            </w:r>
            <w:r w:rsidR="001E66CB" w:rsidRPr="004A5227">
              <w:t>standard zone units</w:t>
            </w:r>
            <w:r w:rsidRPr="004A5227">
              <w:t xml:space="preserve"> in Kyneton charging district:</w:t>
            </w:r>
          </w:p>
          <w:p w:rsidR="004C3E58" w:rsidRPr="004A5227" w:rsidRDefault="004C3E58" w:rsidP="00ED71A4">
            <w:pPr>
              <w:pStyle w:val="Tabletext"/>
            </w:pPr>
            <w:r w:rsidRPr="004A5227">
              <w:t>Gisborne, Kyneton, Redesdale, Romsey, Trentham, Woodend</w:t>
            </w:r>
          </w:p>
        </w:tc>
      </w:tr>
      <w:tr w:rsidR="004C3E58" w:rsidRPr="004A5227" w:rsidTr="00ED71A4">
        <w:tc>
          <w:tcPr>
            <w:tcW w:w="714" w:type="dxa"/>
            <w:shd w:val="clear" w:color="auto" w:fill="auto"/>
          </w:tcPr>
          <w:p w:rsidR="004C3E58" w:rsidRPr="004A5227" w:rsidRDefault="004C3E58"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(03) 55 (except (03) 5550)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Camperdown</w:t>
            </w:r>
          </w:p>
          <w:p w:rsidR="004C3E58" w:rsidRPr="004A5227" w:rsidRDefault="004C3E58" w:rsidP="00ED71A4">
            <w:pPr>
              <w:pStyle w:val="Tabletext"/>
            </w:pPr>
            <w:r w:rsidRPr="004A5227">
              <w:t>Casterton</w:t>
            </w:r>
          </w:p>
          <w:p w:rsidR="004C3E58" w:rsidRPr="004A5227" w:rsidRDefault="004C3E58" w:rsidP="00ED71A4">
            <w:pPr>
              <w:pStyle w:val="Tabletext"/>
            </w:pPr>
            <w:r w:rsidRPr="004A5227">
              <w:t>Edenhope</w:t>
            </w:r>
          </w:p>
          <w:p w:rsidR="004C3E58" w:rsidRPr="004A5227" w:rsidRDefault="004C3E58" w:rsidP="00ED71A4">
            <w:pPr>
              <w:pStyle w:val="Tabletext"/>
            </w:pPr>
            <w:r w:rsidRPr="004A5227">
              <w:lastRenderedPageBreak/>
              <w:t>Hamilton</w:t>
            </w:r>
          </w:p>
          <w:p w:rsidR="004C3E58" w:rsidRPr="004A5227" w:rsidRDefault="004C3E58" w:rsidP="00ED71A4">
            <w:pPr>
              <w:pStyle w:val="Tabletext"/>
            </w:pPr>
            <w:r w:rsidRPr="004A5227">
              <w:t>Portland</w:t>
            </w:r>
          </w:p>
          <w:p w:rsidR="004C3E58" w:rsidRPr="004A5227" w:rsidRDefault="004C3E58" w:rsidP="00ED71A4">
            <w:pPr>
              <w:pStyle w:val="Tabletext"/>
            </w:pPr>
            <w:r w:rsidRPr="004A5227">
              <w:t>Warrnambool</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19</w:t>
            </w:r>
          </w:p>
        </w:tc>
        <w:tc>
          <w:tcPr>
            <w:tcW w:w="2825" w:type="dxa"/>
            <w:shd w:val="clear" w:color="auto" w:fill="auto"/>
          </w:tcPr>
          <w:p w:rsidR="004C3E58" w:rsidRPr="004A5227" w:rsidRDefault="004C3E58" w:rsidP="00ED71A4">
            <w:pPr>
              <w:pStyle w:val="Tabletext"/>
            </w:pPr>
            <w:r w:rsidRPr="004A5227">
              <w:t>(03) 56</w:t>
            </w:r>
          </w:p>
        </w:tc>
        <w:tc>
          <w:tcPr>
            <w:tcW w:w="4773" w:type="dxa"/>
            <w:shd w:val="clear" w:color="auto" w:fill="auto"/>
          </w:tcPr>
          <w:p w:rsidR="004C3E58" w:rsidRPr="004A5227" w:rsidRDefault="004C3E58" w:rsidP="00ED71A4">
            <w:pPr>
              <w:pStyle w:val="Tabletext"/>
            </w:pPr>
            <w:r w:rsidRPr="004A5227">
              <w:t xml:space="preserve">Foster and Korumburra charging districts, and the following </w:t>
            </w:r>
            <w:r w:rsidR="001E66CB" w:rsidRPr="004A5227">
              <w:t>standard zone units</w:t>
            </w:r>
            <w:r w:rsidRPr="004A5227">
              <w:t xml:space="preserve"> in Warragul charging district:</w:t>
            </w:r>
          </w:p>
          <w:p w:rsidR="004C3E58" w:rsidRPr="004A5227" w:rsidRDefault="004C3E58" w:rsidP="00ED71A4">
            <w:pPr>
              <w:pStyle w:val="Tabletext"/>
            </w:pPr>
            <w:r w:rsidRPr="004A5227">
              <w:t>Bunyip, Hill End (Victoria), Icy Creek, Neerim South, Trafalgar, Warragul</w:t>
            </w:r>
          </w:p>
        </w:tc>
      </w:tr>
      <w:tr w:rsidR="004C3E58" w:rsidRPr="004A5227" w:rsidTr="00ED71A4">
        <w:tc>
          <w:tcPr>
            <w:tcW w:w="714" w:type="dxa"/>
            <w:shd w:val="clear" w:color="auto" w:fill="auto"/>
          </w:tcPr>
          <w:p w:rsidR="004C3E58" w:rsidRPr="004A5227" w:rsidRDefault="004C3E58" w:rsidP="00ED71A4">
            <w:pPr>
              <w:pStyle w:val="Tabletext"/>
            </w:pPr>
            <w:r w:rsidRPr="004A5227">
              <w:t>20</w:t>
            </w:r>
          </w:p>
        </w:tc>
        <w:tc>
          <w:tcPr>
            <w:tcW w:w="2825" w:type="dxa"/>
            <w:shd w:val="clear" w:color="auto" w:fill="auto"/>
          </w:tcPr>
          <w:p w:rsidR="004C3E58" w:rsidRPr="004A5227" w:rsidRDefault="004C3E58" w:rsidP="00ED71A4">
            <w:pPr>
              <w:pStyle w:val="Tabletext"/>
            </w:pPr>
            <w:r w:rsidRPr="004A5227">
              <w:t>(03) 57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Alexandra</w:t>
            </w:r>
          </w:p>
          <w:p w:rsidR="004C3E58" w:rsidRPr="004A5227" w:rsidRDefault="004C3E58" w:rsidP="00ED71A4">
            <w:pPr>
              <w:pStyle w:val="Tabletext"/>
            </w:pPr>
            <w:r w:rsidRPr="004A5227">
              <w:t>Myrtleford</w:t>
            </w:r>
          </w:p>
          <w:p w:rsidR="004C3E58" w:rsidRPr="004A5227" w:rsidRDefault="004C3E58" w:rsidP="00ED71A4">
            <w:pPr>
              <w:pStyle w:val="Tabletext"/>
            </w:pPr>
            <w:r w:rsidRPr="004A5227">
              <w:t>Seymour</w:t>
            </w:r>
          </w:p>
          <w:p w:rsidR="004C3E58" w:rsidRPr="004A5227" w:rsidRDefault="004C3E58" w:rsidP="00ED71A4">
            <w:pPr>
              <w:pStyle w:val="Tabletext"/>
            </w:pPr>
            <w:r w:rsidRPr="004A5227">
              <w:t>Wangaratta</w:t>
            </w:r>
          </w:p>
        </w:tc>
      </w:tr>
      <w:tr w:rsidR="004C3E58" w:rsidRPr="004A5227" w:rsidTr="00ED71A4">
        <w:tc>
          <w:tcPr>
            <w:tcW w:w="714" w:type="dxa"/>
            <w:shd w:val="clear" w:color="auto" w:fill="auto"/>
          </w:tcPr>
          <w:p w:rsidR="004C3E58" w:rsidRPr="004A5227" w:rsidRDefault="004C3E58"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(03) 58</w:t>
            </w:r>
          </w:p>
        </w:tc>
        <w:tc>
          <w:tcPr>
            <w:tcW w:w="4773" w:type="dxa"/>
            <w:shd w:val="clear" w:color="auto" w:fill="auto"/>
          </w:tcPr>
          <w:p w:rsidR="004C3E58" w:rsidRPr="004A5227" w:rsidRDefault="004C3E58" w:rsidP="00ED71A4">
            <w:pPr>
              <w:pStyle w:val="Tabletext"/>
            </w:pPr>
            <w:r w:rsidRPr="004A5227">
              <w:t>Deniliquin, Numurkah and Shepparton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22</w:t>
            </w:r>
          </w:p>
        </w:tc>
        <w:tc>
          <w:tcPr>
            <w:tcW w:w="2825" w:type="dxa"/>
            <w:shd w:val="clear" w:color="auto" w:fill="auto"/>
          </w:tcPr>
          <w:p w:rsidR="004C3E58" w:rsidRPr="004A5227" w:rsidRDefault="004C3E58" w:rsidP="00ED71A4">
            <w:pPr>
              <w:pStyle w:val="Tabletext"/>
            </w:pPr>
            <w:r w:rsidRPr="004A5227">
              <w:t>(03) 59</w:t>
            </w:r>
          </w:p>
        </w:tc>
        <w:tc>
          <w:tcPr>
            <w:tcW w:w="4773" w:type="dxa"/>
            <w:shd w:val="clear" w:color="auto" w:fill="auto"/>
          </w:tcPr>
          <w:p w:rsidR="004C3E58" w:rsidRPr="004A5227" w:rsidRDefault="004C3E58" w:rsidP="00ED71A4">
            <w:pPr>
              <w:pStyle w:val="Tabletext"/>
            </w:pPr>
            <w:r w:rsidRPr="004A5227">
              <w:t xml:space="preserve">Mornington charging district and the following </w:t>
            </w:r>
            <w:r w:rsidR="001E66CB" w:rsidRPr="004A5227">
              <w:t>standard zone units</w:t>
            </w:r>
            <w:r w:rsidRPr="004A5227">
              <w:t xml:space="preserve"> in Warragul charging district:</w:t>
            </w:r>
          </w:p>
          <w:p w:rsidR="004C3E58" w:rsidRPr="004A5227" w:rsidRDefault="004C3E58" w:rsidP="00ED71A4">
            <w:pPr>
              <w:pStyle w:val="Tabletext"/>
            </w:pPr>
            <w:r w:rsidRPr="004A5227">
              <w:t>Cranbourne, Emerald (Victoria), Healesville, Koo Wee Rup, Marysville, Pakenham, Warburton</w:t>
            </w:r>
          </w:p>
        </w:tc>
      </w:tr>
      <w:tr w:rsidR="004C3E58" w:rsidRPr="004A5227" w:rsidTr="00ED71A4">
        <w:tc>
          <w:tcPr>
            <w:tcW w:w="714" w:type="dxa"/>
            <w:shd w:val="clear" w:color="auto" w:fill="auto"/>
          </w:tcPr>
          <w:p w:rsidR="004C3E58" w:rsidRPr="004A5227" w:rsidRDefault="004C3E58"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(03) 61</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Geeveston</w:t>
            </w:r>
          </w:p>
          <w:p w:rsidR="004C3E58" w:rsidRPr="004A5227" w:rsidRDefault="004C3E58" w:rsidP="00ED71A4">
            <w:pPr>
              <w:pStyle w:val="Tabletext"/>
            </w:pPr>
            <w:r w:rsidRPr="004A5227">
              <w:t>Hobart</w:t>
            </w:r>
          </w:p>
          <w:p w:rsidR="004C3E58" w:rsidRPr="004A5227" w:rsidRDefault="004C3E58" w:rsidP="00ED71A4">
            <w:pPr>
              <w:pStyle w:val="Tabletext"/>
            </w:pPr>
            <w:r w:rsidRPr="004A5227">
              <w:t>Oatlands</w:t>
            </w:r>
          </w:p>
          <w:p w:rsidR="004C3E58" w:rsidRPr="004A5227" w:rsidRDefault="004C3E58" w:rsidP="00ED71A4">
            <w:pPr>
              <w:pStyle w:val="Tabletext"/>
            </w:pPr>
            <w:r w:rsidRPr="004A5227">
              <w:t>Ouse</w:t>
            </w:r>
          </w:p>
        </w:tc>
      </w:tr>
      <w:tr w:rsidR="004C3E58" w:rsidRPr="004A5227" w:rsidTr="00ED71A4">
        <w:tc>
          <w:tcPr>
            <w:tcW w:w="714" w:type="dxa"/>
            <w:shd w:val="clear" w:color="auto" w:fill="auto"/>
          </w:tcPr>
          <w:p w:rsidR="004C3E58" w:rsidRPr="004A5227" w:rsidRDefault="004C3E58"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(03) 62</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Geeveston</w:t>
            </w:r>
          </w:p>
          <w:p w:rsidR="004C3E58" w:rsidRPr="004A5227" w:rsidRDefault="004C3E58" w:rsidP="00ED71A4">
            <w:pPr>
              <w:pStyle w:val="Tabletext"/>
            </w:pPr>
            <w:r w:rsidRPr="004A5227">
              <w:t>Hobart</w:t>
            </w:r>
          </w:p>
          <w:p w:rsidR="004C3E58" w:rsidRPr="004A5227" w:rsidRDefault="004C3E58" w:rsidP="00ED71A4">
            <w:pPr>
              <w:pStyle w:val="Tabletext"/>
            </w:pPr>
            <w:r w:rsidRPr="004A5227">
              <w:t>Oatlands</w:t>
            </w:r>
          </w:p>
          <w:p w:rsidR="004C3E58" w:rsidRPr="004A5227" w:rsidRDefault="004C3E58" w:rsidP="00ED71A4">
            <w:pPr>
              <w:pStyle w:val="Tabletext"/>
            </w:pPr>
            <w:r w:rsidRPr="004A5227">
              <w:t>Ouse</w:t>
            </w:r>
          </w:p>
        </w:tc>
      </w:tr>
      <w:tr w:rsidR="004C3E58" w:rsidRPr="004A5227" w:rsidTr="00ED71A4">
        <w:tc>
          <w:tcPr>
            <w:tcW w:w="714" w:type="dxa"/>
            <w:shd w:val="clear" w:color="auto" w:fill="auto"/>
          </w:tcPr>
          <w:p w:rsidR="004C3E58" w:rsidRPr="004A5227" w:rsidRDefault="004C3E58"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(03) 63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Deloraine</w:t>
            </w:r>
          </w:p>
          <w:p w:rsidR="004C3E58" w:rsidRPr="004A5227" w:rsidRDefault="004C3E58" w:rsidP="00ED71A4">
            <w:pPr>
              <w:pStyle w:val="Tabletext"/>
            </w:pPr>
            <w:r w:rsidRPr="004A5227">
              <w:t>Flinders Island</w:t>
            </w:r>
          </w:p>
          <w:p w:rsidR="004C3E58" w:rsidRPr="004A5227" w:rsidRDefault="004C3E58" w:rsidP="00ED71A4">
            <w:pPr>
              <w:pStyle w:val="Tabletext"/>
            </w:pPr>
            <w:r w:rsidRPr="004A5227">
              <w:t>Launceston</w:t>
            </w:r>
          </w:p>
          <w:p w:rsidR="004C3E58" w:rsidRPr="004A5227" w:rsidRDefault="004C3E58" w:rsidP="00ED71A4">
            <w:pPr>
              <w:pStyle w:val="Tabletext"/>
            </w:pPr>
            <w:r w:rsidRPr="004A5227">
              <w:t>Scottsdale</w:t>
            </w:r>
          </w:p>
          <w:p w:rsidR="004C3E58" w:rsidRPr="004A5227" w:rsidRDefault="004C3E58" w:rsidP="00ED71A4">
            <w:pPr>
              <w:pStyle w:val="Tabletext"/>
            </w:pPr>
            <w:r w:rsidRPr="004A5227">
              <w:t>St Mary’s</w:t>
            </w:r>
          </w:p>
        </w:tc>
      </w:tr>
      <w:tr w:rsidR="004C3E58" w:rsidRPr="004A5227" w:rsidTr="00ED71A4">
        <w:tc>
          <w:tcPr>
            <w:tcW w:w="714" w:type="dxa"/>
            <w:shd w:val="clear" w:color="auto" w:fill="auto"/>
          </w:tcPr>
          <w:p w:rsidR="004C3E58" w:rsidRPr="004A5227" w:rsidRDefault="004C3E58"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(03) 64</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Burnie</w:t>
            </w:r>
          </w:p>
          <w:p w:rsidR="004C3E58" w:rsidRPr="004A5227" w:rsidRDefault="004C3E58" w:rsidP="00ED71A4">
            <w:pPr>
              <w:pStyle w:val="Tabletext"/>
            </w:pPr>
            <w:r w:rsidRPr="004A5227">
              <w:t>Devonport</w:t>
            </w:r>
          </w:p>
          <w:p w:rsidR="004C3E58" w:rsidRPr="004A5227" w:rsidRDefault="004C3E58" w:rsidP="00ED71A4">
            <w:pPr>
              <w:pStyle w:val="Tabletext"/>
            </w:pPr>
            <w:r w:rsidRPr="004A5227">
              <w:t>King Island</w:t>
            </w:r>
          </w:p>
          <w:p w:rsidR="004C3E58" w:rsidRPr="004A5227" w:rsidRDefault="004C3E58" w:rsidP="00ED71A4">
            <w:pPr>
              <w:pStyle w:val="Tabletext"/>
            </w:pPr>
            <w:r w:rsidRPr="004A5227">
              <w:t>Queenstown</w:t>
            </w:r>
          </w:p>
          <w:p w:rsidR="004C3E58" w:rsidRPr="004A5227" w:rsidRDefault="004C3E58" w:rsidP="00ED71A4">
            <w:pPr>
              <w:pStyle w:val="Tabletext"/>
            </w:pPr>
            <w:r w:rsidRPr="004A5227">
              <w:t>Smithton</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27</w:t>
            </w:r>
          </w:p>
        </w:tc>
        <w:tc>
          <w:tcPr>
            <w:tcW w:w="2825" w:type="dxa"/>
            <w:shd w:val="clear" w:color="auto" w:fill="auto"/>
          </w:tcPr>
          <w:p w:rsidR="004C3E58" w:rsidRPr="004A5227" w:rsidRDefault="004C3E58" w:rsidP="00ED71A4">
            <w:pPr>
              <w:pStyle w:val="Tabletext"/>
            </w:pPr>
            <w:r w:rsidRPr="004A5227">
              <w:t>(03) 65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Burnie</w:t>
            </w:r>
          </w:p>
          <w:p w:rsidR="004C3E58" w:rsidRPr="004A5227" w:rsidRDefault="004C3E58" w:rsidP="00ED71A4">
            <w:pPr>
              <w:pStyle w:val="Tabletext"/>
            </w:pPr>
            <w:r w:rsidRPr="004A5227">
              <w:t>Devonport</w:t>
            </w:r>
          </w:p>
          <w:p w:rsidR="004C3E58" w:rsidRPr="004A5227" w:rsidRDefault="004C3E58" w:rsidP="00ED71A4">
            <w:pPr>
              <w:pStyle w:val="Tabletext"/>
            </w:pPr>
            <w:r w:rsidRPr="004A5227">
              <w:t>King Island</w:t>
            </w:r>
          </w:p>
          <w:p w:rsidR="004C3E58" w:rsidRPr="004A5227" w:rsidRDefault="004C3E58" w:rsidP="00ED71A4">
            <w:pPr>
              <w:pStyle w:val="Tabletext"/>
            </w:pPr>
            <w:r w:rsidRPr="004A5227">
              <w:t>Queenstown</w:t>
            </w:r>
          </w:p>
          <w:p w:rsidR="004C3E58" w:rsidRPr="004A5227" w:rsidRDefault="004C3E58" w:rsidP="00ED71A4">
            <w:pPr>
              <w:pStyle w:val="Tabletext"/>
            </w:pPr>
            <w:r w:rsidRPr="004A5227">
              <w:t>Smithton</w:t>
            </w:r>
          </w:p>
        </w:tc>
      </w:tr>
      <w:tr w:rsidR="004C3E58" w:rsidRPr="004A5227" w:rsidTr="00ED71A4">
        <w:tc>
          <w:tcPr>
            <w:tcW w:w="714" w:type="dxa"/>
            <w:shd w:val="clear" w:color="auto" w:fill="auto"/>
          </w:tcPr>
          <w:p w:rsidR="004C3E58" w:rsidRPr="004A5227" w:rsidRDefault="004C3E58" w:rsidP="00ED71A4">
            <w:pPr>
              <w:pStyle w:val="Tabletext"/>
            </w:pPr>
            <w:r w:rsidRPr="004A5227">
              <w:t>28</w:t>
            </w:r>
          </w:p>
        </w:tc>
        <w:tc>
          <w:tcPr>
            <w:tcW w:w="2825" w:type="dxa"/>
            <w:shd w:val="clear" w:color="auto" w:fill="auto"/>
          </w:tcPr>
          <w:p w:rsidR="004C3E58" w:rsidRPr="004A5227" w:rsidRDefault="004C3E58" w:rsidP="00ED71A4">
            <w:pPr>
              <w:pStyle w:val="Tabletext"/>
            </w:pPr>
            <w:r w:rsidRPr="004A5227">
              <w:t>(03) 67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Deloraine</w:t>
            </w:r>
          </w:p>
          <w:p w:rsidR="004C3E58" w:rsidRPr="004A5227" w:rsidRDefault="004C3E58" w:rsidP="00ED71A4">
            <w:pPr>
              <w:pStyle w:val="Tabletext"/>
            </w:pPr>
            <w:r w:rsidRPr="004A5227">
              <w:t>Flinders Island</w:t>
            </w:r>
          </w:p>
          <w:p w:rsidR="004C3E58" w:rsidRPr="004A5227" w:rsidRDefault="004C3E58" w:rsidP="00ED71A4">
            <w:pPr>
              <w:pStyle w:val="Tabletext"/>
            </w:pPr>
            <w:r w:rsidRPr="004A5227">
              <w:t>Launceston</w:t>
            </w:r>
          </w:p>
          <w:p w:rsidR="004C3E58" w:rsidRPr="004A5227" w:rsidRDefault="004C3E58" w:rsidP="00ED71A4">
            <w:pPr>
              <w:pStyle w:val="Tabletext"/>
            </w:pPr>
            <w:r w:rsidRPr="004A5227">
              <w:t>Scottsdale</w:t>
            </w:r>
          </w:p>
          <w:p w:rsidR="004C3E58" w:rsidRPr="004A5227" w:rsidRDefault="004C3E58" w:rsidP="00ED71A4">
            <w:pPr>
              <w:pStyle w:val="Tabletext"/>
            </w:pPr>
            <w:r w:rsidRPr="004A5227">
              <w:t>St Mary’s</w:t>
            </w:r>
          </w:p>
        </w:tc>
      </w:tr>
      <w:tr w:rsidR="004C3E58" w:rsidRPr="004A5227" w:rsidTr="00ED71A4">
        <w:tc>
          <w:tcPr>
            <w:tcW w:w="714" w:type="dxa"/>
            <w:shd w:val="clear" w:color="auto" w:fill="auto"/>
          </w:tcPr>
          <w:p w:rsidR="004C3E58" w:rsidRPr="004A5227" w:rsidRDefault="004C3E58"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(03) 70</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(03) 71</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(03) 72</w:t>
            </w:r>
          </w:p>
        </w:tc>
        <w:tc>
          <w:tcPr>
            <w:tcW w:w="4773" w:type="dxa"/>
            <w:shd w:val="clear" w:color="auto" w:fill="auto"/>
          </w:tcPr>
          <w:p w:rsidR="004C3E58" w:rsidRPr="004A5227" w:rsidRDefault="004C3E58" w:rsidP="00ED71A4">
            <w:pPr>
              <w:pStyle w:val="Tabletext"/>
            </w:pPr>
            <w:r w:rsidRPr="004A5227">
              <w:t>Melbourne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(03) 73</w:t>
            </w:r>
          </w:p>
        </w:tc>
        <w:tc>
          <w:tcPr>
            <w:tcW w:w="4773" w:type="dxa"/>
            <w:shd w:val="clear" w:color="auto" w:fill="auto"/>
          </w:tcPr>
          <w:p w:rsidR="004C3E58" w:rsidRPr="004A5227" w:rsidRDefault="004C3E58" w:rsidP="001E66CB">
            <w:pPr>
              <w:pStyle w:val="Tabletext"/>
            </w:pPr>
            <w:r w:rsidRPr="004A5227">
              <w:t xml:space="preserve">Craigieburn, Point Cook and Sydenham </w:t>
            </w:r>
            <w:r w:rsidR="001E66CB" w:rsidRPr="004A5227">
              <w:t>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(03) 74</w:t>
            </w:r>
          </w:p>
        </w:tc>
        <w:tc>
          <w:tcPr>
            <w:tcW w:w="4773" w:type="dxa"/>
            <w:shd w:val="clear" w:color="auto" w:fill="auto"/>
          </w:tcPr>
          <w:p w:rsidR="004C3E58" w:rsidRPr="004A5227" w:rsidRDefault="004C3E58" w:rsidP="00ED71A4">
            <w:pPr>
              <w:pStyle w:val="Tabletext"/>
            </w:pPr>
            <w:r w:rsidRPr="004A5227">
              <w:t>Melbourne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34</w:t>
            </w:r>
          </w:p>
        </w:tc>
        <w:tc>
          <w:tcPr>
            <w:tcW w:w="2825" w:type="dxa"/>
            <w:shd w:val="clear" w:color="auto" w:fill="auto"/>
          </w:tcPr>
          <w:p w:rsidR="004C3E58" w:rsidRPr="004A5227" w:rsidRDefault="004C3E58" w:rsidP="00ED71A4">
            <w:pPr>
              <w:pStyle w:val="Tabletext"/>
            </w:pPr>
            <w:r w:rsidRPr="004A5227">
              <w:t>(03) 75</w:t>
            </w:r>
          </w:p>
        </w:tc>
        <w:tc>
          <w:tcPr>
            <w:tcW w:w="4773" w:type="dxa"/>
            <w:shd w:val="clear" w:color="auto" w:fill="auto"/>
          </w:tcPr>
          <w:p w:rsidR="004C3E58" w:rsidRPr="004A5227" w:rsidRDefault="001E66CB" w:rsidP="001E66CB">
            <w:pPr>
              <w:pStyle w:val="Tabletext"/>
            </w:pPr>
            <w:r w:rsidRPr="004A5227">
              <w:t>Clayton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(03) 76</w:t>
            </w:r>
          </w:p>
        </w:tc>
        <w:tc>
          <w:tcPr>
            <w:tcW w:w="4773" w:type="dxa"/>
            <w:shd w:val="clear" w:color="auto" w:fill="auto"/>
          </w:tcPr>
          <w:p w:rsidR="004C3E58" w:rsidRPr="004A5227" w:rsidRDefault="004C3E58" w:rsidP="00ED71A4">
            <w:pPr>
              <w:pStyle w:val="Tabletext"/>
            </w:pPr>
            <w:r w:rsidRPr="004A5227">
              <w:t>Melbourne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(03) 77</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(03) 78</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(03) 79</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(03) 80</w:t>
            </w:r>
          </w:p>
        </w:tc>
        <w:tc>
          <w:tcPr>
            <w:tcW w:w="4773" w:type="dxa"/>
            <w:shd w:val="clear" w:color="auto" w:fill="auto"/>
          </w:tcPr>
          <w:p w:rsidR="004C3E58" w:rsidRPr="004A5227" w:rsidRDefault="004C3E58" w:rsidP="001E66CB">
            <w:pPr>
              <w:pStyle w:val="Tabletext"/>
            </w:pPr>
            <w:r w:rsidRPr="004A5227">
              <w:t xml:space="preserve">Sunbury and Werribee </w:t>
            </w:r>
            <w:r w:rsidR="001E66CB" w:rsidRPr="004A5227">
              <w:t>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40</w:t>
            </w:r>
          </w:p>
        </w:tc>
        <w:tc>
          <w:tcPr>
            <w:tcW w:w="2825" w:type="dxa"/>
            <w:shd w:val="clear" w:color="auto" w:fill="auto"/>
          </w:tcPr>
          <w:p w:rsidR="004C3E58" w:rsidRPr="004A5227" w:rsidRDefault="004C3E58" w:rsidP="00ED71A4">
            <w:pPr>
              <w:pStyle w:val="Tabletext"/>
            </w:pPr>
            <w:r w:rsidRPr="004A5227">
              <w:t>(03) 81</w:t>
            </w:r>
          </w:p>
        </w:tc>
        <w:tc>
          <w:tcPr>
            <w:tcW w:w="4773" w:type="dxa"/>
            <w:shd w:val="clear" w:color="auto" w:fill="auto"/>
          </w:tcPr>
          <w:p w:rsidR="004C3E58" w:rsidRPr="004A5227" w:rsidRDefault="001E66CB" w:rsidP="001E66CB">
            <w:pPr>
              <w:pStyle w:val="Tabletext"/>
            </w:pPr>
            <w:r w:rsidRPr="004A5227">
              <w:t>Kalkallo and Whittlesea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41</w:t>
            </w:r>
          </w:p>
        </w:tc>
        <w:tc>
          <w:tcPr>
            <w:tcW w:w="2825" w:type="dxa"/>
            <w:shd w:val="clear" w:color="auto" w:fill="auto"/>
          </w:tcPr>
          <w:p w:rsidR="004C3E58" w:rsidRPr="004A5227" w:rsidRDefault="004C3E58" w:rsidP="00ED71A4">
            <w:pPr>
              <w:pStyle w:val="Tabletext"/>
            </w:pPr>
            <w:r w:rsidRPr="004A5227">
              <w:t>(03) 82</w:t>
            </w:r>
          </w:p>
        </w:tc>
        <w:tc>
          <w:tcPr>
            <w:tcW w:w="4773" w:type="dxa"/>
            <w:shd w:val="clear" w:color="auto" w:fill="auto"/>
          </w:tcPr>
          <w:p w:rsidR="004C3E58" w:rsidRPr="004A5227" w:rsidRDefault="004C3E58" w:rsidP="001E66CB">
            <w:pPr>
              <w:pStyle w:val="Tabletext"/>
            </w:pPr>
            <w:r w:rsidRPr="004A5227">
              <w:t xml:space="preserve">Croydon </w:t>
            </w:r>
            <w:r w:rsidR="00366B9C"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(03) 83</w:t>
            </w:r>
          </w:p>
        </w:tc>
        <w:tc>
          <w:tcPr>
            <w:tcW w:w="4773" w:type="dxa"/>
            <w:shd w:val="clear" w:color="auto" w:fill="auto"/>
          </w:tcPr>
          <w:p w:rsidR="004C3E58" w:rsidRPr="004A5227" w:rsidRDefault="001E66CB" w:rsidP="00ED71A4">
            <w:pPr>
              <w:pStyle w:val="Tabletext"/>
            </w:pPr>
            <w:r w:rsidRPr="004A5227">
              <w:t>Craigieburn, Melbourne, Point Cook and Sydenham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(03) 84</w:t>
            </w:r>
          </w:p>
        </w:tc>
        <w:tc>
          <w:tcPr>
            <w:tcW w:w="4773" w:type="dxa"/>
            <w:shd w:val="clear" w:color="auto" w:fill="auto"/>
          </w:tcPr>
          <w:p w:rsidR="004C3E58" w:rsidRPr="004A5227" w:rsidRDefault="004C3E58" w:rsidP="001E66CB">
            <w:pPr>
              <w:pStyle w:val="Tabletext"/>
            </w:pPr>
            <w:r w:rsidRPr="004A5227">
              <w:t xml:space="preserve">Eltham </w:t>
            </w:r>
            <w:r w:rsidR="00366B9C"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(03) 85</w:t>
            </w:r>
          </w:p>
        </w:tc>
        <w:tc>
          <w:tcPr>
            <w:tcW w:w="4773" w:type="dxa"/>
            <w:shd w:val="clear" w:color="auto" w:fill="auto"/>
          </w:tcPr>
          <w:p w:rsidR="004C3E58" w:rsidRPr="004A5227" w:rsidRDefault="001E66CB" w:rsidP="00ED71A4">
            <w:pPr>
              <w:pStyle w:val="Tabletext"/>
            </w:pPr>
            <w:r w:rsidRPr="004A5227">
              <w:t>Clayton and Melbourne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(03) 86</w:t>
            </w:r>
          </w:p>
        </w:tc>
        <w:tc>
          <w:tcPr>
            <w:tcW w:w="4773" w:type="dxa"/>
            <w:shd w:val="clear" w:color="auto" w:fill="auto"/>
          </w:tcPr>
          <w:p w:rsidR="004C3E58" w:rsidRPr="004A5227" w:rsidRDefault="00366B9C"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(03) 87</w:t>
            </w:r>
          </w:p>
        </w:tc>
        <w:tc>
          <w:tcPr>
            <w:tcW w:w="4773" w:type="dxa"/>
            <w:shd w:val="clear" w:color="auto" w:fill="auto"/>
          </w:tcPr>
          <w:p w:rsidR="001E66CB" w:rsidRPr="004A5227" w:rsidRDefault="001E66CB" w:rsidP="00ED71A4">
            <w:pPr>
              <w:pStyle w:val="Tabletext"/>
            </w:pPr>
            <w:r w:rsidRPr="004A5227">
              <w:t>The following standard zone units in Melbourne charging district:</w:t>
            </w:r>
          </w:p>
          <w:p w:rsidR="004C3E58" w:rsidRPr="004A5227" w:rsidRDefault="001E66CB" w:rsidP="00366B9C">
            <w:pPr>
              <w:pStyle w:val="Tabletext"/>
            </w:pPr>
            <w:r w:rsidRPr="004A5227">
              <w:t xml:space="preserve">Clayton, </w:t>
            </w:r>
            <w:proofErr w:type="spellStart"/>
            <w:r w:rsidRPr="004A5227">
              <w:t>Cragieburn</w:t>
            </w:r>
            <w:proofErr w:type="spellEnd"/>
            <w:r w:rsidRPr="004A5227">
              <w:t xml:space="preserve">, </w:t>
            </w:r>
            <w:r w:rsidR="005E05AB" w:rsidRPr="004A5227">
              <w:t xml:space="preserve">Dandenong, </w:t>
            </w:r>
            <w:r w:rsidRPr="004A5227">
              <w:t xml:space="preserve">Eltham, Point Cook, </w:t>
            </w:r>
            <w:r w:rsidR="005E05AB" w:rsidRPr="004A5227">
              <w:t>Ringwood</w:t>
            </w:r>
          </w:p>
        </w:tc>
      </w:tr>
      <w:tr w:rsidR="004C3E58" w:rsidRPr="004A5227" w:rsidTr="00ED71A4">
        <w:tc>
          <w:tcPr>
            <w:tcW w:w="714" w:type="dxa"/>
            <w:shd w:val="clear" w:color="auto" w:fill="auto"/>
          </w:tcPr>
          <w:p w:rsidR="004C3E58" w:rsidRPr="004A5227" w:rsidRDefault="004C3E58"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(03) 88</w:t>
            </w:r>
          </w:p>
        </w:tc>
        <w:tc>
          <w:tcPr>
            <w:tcW w:w="4773" w:type="dxa"/>
            <w:shd w:val="clear" w:color="auto" w:fill="auto"/>
          </w:tcPr>
          <w:p w:rsidR="004C3E58" w:rsidRPr="004A5227" w:rsidRDefault="004C3E58" w:rsidP="001E66CB">
            <w:pPr>
              <w:pStyle w:val="Tabletext"/>
            </w:pPr>
            <w:r w:rsidRPr="004A5227">
              <w:t>Ringwood</w:t>
            </w:r>
            <w:r w:rsidR="001E66CB" w:rsidRPr="004A5227">
              <w:t xml:space="preserv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(03) 89</w:t>
            </w:r>
          </w:p>
        </w:tc>
        <w:tc>
          <w:tcPr>
            <w:tcW w:w="4773" w:type="dxa"/>
            <w:shd w:val="clear" w:color="auto" w:fill="auto"/>
          </w:tcPr>
          <w:p w:rsidR="004C3E58" w:rsidRPr="004A5227" w:rsidRDefault="004C3E58" w:rsidP="001E66CB">
            <w:pPr>
              <w:pStyle w:val="Tabletext"/>
            </w:pPr>
            <w:r w:rsidRPr="004A5227">
              <w:t>Dandenong</w:t>
            </w:r>
            <w:r w:rsidR="001E66CB" w:rsidRPr="004A5227">
              <w:t xml:space="preserv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(03) 90</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50</w:t>
            </w:r>
          </w:p>
        </w:tc>
        <w:tc>
          <w:tcPr>
            <w:tcW w:w="2825" w:type="dxa"/>
            <w:shd w:val="clear" w:color="auto" w:fill="auto"/>
          </w:tcPr>
          <w:p w:rsidR="004C3E58" w:rsidRPr="004A5227" w:rsidRDefault="004C3E58" w:rsidP="00ED71A4">
            <w:pPr>
              <w:pStyle w:val="Tabletext"/>
            </w:pPr>
            <w:r w:rsidRPr="004A5227">
              <w:t>(03) 91</w:t>
            </w:r>
          </w:p>
        </w:tc>
        <w:tc>
          <w:tcPr>
            <w:tcW w:w="4773" w:type="dxa"/>
            <w:shd w:val="clear" w:color="auto" w:fill="auto"/>
          </w:tcPr>
          <w:p w:rsidR="004C3E58" w:rsidRPr="004A5227" w:rsidRDefault="001E66CB"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51</w:t>
            </w:r>
          </w:p>
        </w:tc>
        <w:tc>
          <w:tcPr>
            <w:tcW w:w="2825" w:type="dxa"/>
            <w:shd w:val="clear" w:color="auto" w:fill="auto"/>
          </w:tcPr>
          <w:p w:rsidR="004C3E58" w:rsidRPr="004A5227" w:rsidRDefault="004C3E58" w:rsidP="00ED71A4">
            <w:pPr>
              <w:pStyle w:val="Tabletext"/>
            </w:pPr>
            <w:r w:rsidRPr="004A5227">
              <w:t>(03) 92</w:t>
            </w:r>
          </w:p>
        </w:tc>
        <w:tc>
          <w:tcPr>
            <w:tcW w:w="4773" w:type="dxa"/>
            <w:shd w:val="clear" w:color="auto" w:fill="auto"/>
          </w:tcPr>
          <w:p w:rsidR="004C3E58" w:rsidRPr="004A5227" w:rsidRDefault="004C3E58" w:rsidP="00ED71A4">
            <w:pPr>
              <w:pStyle w:val="Tabletext"/>
            </w:pPr>
            <w:r w:rsidRPr="004A5227">
              <w:t>Melbourne charging district</w:t>
            </w:r>
          </w:p>
        </w:tc>
      </w:tr>
      <w:tr w:rsidR="001E66CB" w:rsidRPr="004A5227" w:rsidTr="00ED71A4">
        <w:tc>
          <w:tcPr>
            <w:tcW w:w="714" w:type="dxa"/>
            <w:shd w:val="clear" w:color="auto" w:fill="auto"/>
          </w:tcPr>
          <w:p w:rsidR="001E66CB" w:rsidRPr="004A5227" w:rsidRDefault="001E66CB" w:rsidP="00ED71A4">
            <w:pPr>
              <w:pStyle w:val="Tabletext"/>
            </w:pPr>
            <w:r w:rsidRPr="004A5227">
              <w:t>52</w:t>
            </w:r>
          </w:p>
        </w:tc>
        <w:tc>
          <w:tcPr>
            <w:tcW w:w="2825" w:type="dxa"/>
            <w:shd w:val="clear" w:color="auto" w:fill="auto"/>
          </w:tcPr>
          <w:p w:rsidR="001E66CB" w:rsidRPr="004A5227" w:rsidRDefault="001E66CB" w:rsidP="00ED71A4">
            <w:pPr>
              <w:pStyle w:val="Tabletext"/>
            </w:pPr>
            <w:r w:rsidRPr="004A5227">
              <w:t>(03) 93</w:t>
            </w:r>
          </w:p>
        </w:tc>
        <w:tc>
          <w:tcPr>
            <w:tcW w:w="4773" w:type="dxa"/>
            <w:shd w:val="clear" w:color="auto" w:fill="auto"/>
          </w:tcPr>
          <w:p w:rsidR="001E66CB" w:rsidRPr="004A5227" w:rsidRDefault="001E66CB" w:rsidP="001E66CB">
            <w:pPr>
              <w:pStyle w:val="Tabletext"/>
            </w:pPr>
            <w:r w:rsidRPr="004A5227">
              <w:t>Craigieburn, Melbourne, Point Cook and Sydenham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53</w:t>
            </w:r>
          </w:p>
        </w:tc>
        <w:tc>
          <w:tcPr>
            <w:tcW w:w="2825" w:type="dxa"/>
            <w:shd w:val="clear" w:color="auto" w:fill="auto"/>
          </w:tcPr>
          <w:p w:rsidR="004C3E58" w:rsidRPr="004A5227" w:rsidRDefault="004C3E58" w:rsidP="00ED71A4">
            <w:pPr>
              <w:pStyle w:val="Tabletext"/>
            </w:pPr>
            <w:r w:rsidRPr="004A5227">
              <w:t>(03) 94</w:t>
            </w:r>
          </w:p>
        </w:tc>
        <w:tc>
          <w:tcPr>
            <w:tcW w:w="4773" w:type="dxa"/>
            <w:shd w:val="clear" w:color="auto" w:fill="auto"/>
          </w:tcPr>
          <w:p w:rsidR="004C3E58" w:rsidRPr="004A5227" w:rsidRDefault="0099128F" w:rsidP="00ED71A4">
            <w:pPr>
              <w:pStyle w:val="Tabletext"/>
            </w:pPr>
            <w:r w:rsidRPr="004A5227">
              <w:t>Eltham and Melbourne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(03) 95</w:t>
            </w:r>
          </w:p>
        </w:tc>
        <w:tc>
          <w:tcPr>
            <w:tcW w:w="4773" w:type="dxa"/>
            <w:shd w:val="clear" w:color="auto" w:fill="auto"/>
          </w:tcPr>
          <w:p w:rsidR="004C3E58" w:rsidRPr="004A5227" w:rsidRDefault="0099128F" w:rsidP="00ED71A4">
            <w:pPr>
              <w:pStyle w:val="Tabletext"/>
            </w:pPr>
            <w:r w:rsidRPr="004A5227">
              <w:t>Clayton and Melbourne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55</w:t>
            </w:r>
          </w:p>
        </w:tc>
        <w:tc>
          <w:tcPr>
            <w:tcW w:w="2825" w:type="dxa"/>
            <w:shd w:val="clear" w:color="auto" w:fill="auto"/>
          </w:tcPr>
          <w:p w:rsidR="004C3E58" w:rsidRPr="004A5227" w:rsidRDefault="004C3E58" w:rsidP="00ED71A4">
            <w:pPr>
              <w:pStyle w:val="Tabletext"/>
            </w:pPr>
            <w:r w:rsidRPr="004A5227">
              <w:t>(03) 96</w:t>
            </w:r>
          </w:p>
        </w:tc>
        <w:tc>
          <w:tcPr>
            <w:tcW w:w="4773" w:type="dxa"/>
            <w:shd w:val="clear" w:color="auto" w:fill="auto"/>
          </w:tcPr>
          <w:p w:rsidR="004C3E58" w:rsidRPr="004A5227" w:rsidRDefault="0099128F" w:rsidP="00ED71A4">
            <w:pPr>
              <w:pStyle w:val="Tabletext"/>
            </w:pPr>
            <w:r w:rsidRPr="004A5227">
              <w:t>Melbourne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(03) 97</w:t>
            </w:r>
          </w:p>
        </w:tc>
        <w:tc>
          <w:tcPr>
            <w:tcW w:w="4773" w:type="dxa"/>
            <w:shd w:val="clear" w:color="auto" w:fill="auto"/>
          </w:tcPr>
          <w:p w:rsidR="0099128F" w:rsidRPr="004A5227" w:rsidRDefault="0099128F" w:rsidP="0099128F">
            <w:pPr>
              <w:pStyle w:val="Tabletext"/>
            </w:pPr>
            <w:r w:rsidRPr="004A5227">
              <w:t>The following standard zone units in Melbourne charging district:</w:t>
            </w:r>
          </w:p>
          <w:p w:rsidR="004C3E58" w:rsidRPr="004A5227" w:rsidRDefault="005E05AB" w:rsidP="005E05AB">
            <w:pPr>
              <w:pStyle w:val="Tabletext"/>
            </w:pPr>
            <w:r w:rsidRPr="004A5227">
              <w:t>Croydon, Dandenong, Kalkallo, Sunbury, Werribee, Whittlesea</w:t>
            </w:r>
          </w:p>
        </w:tc>
      </w:tr>
      <w:tr w:rsidR="004C3E58" w:rsidRPr="004A5227" w:rsidTr="00ED71A4">
        <w:tc>
          <w:tcPr>
            <w:tcW w:w="714" w:type="dxa"/>
            <w:tcBorders>
              <w:bottom w:val="single" w:sz="4" w:space="0" w:color="auto"/>
            </w:tcBorders>
            <w:shd w:val="clear" w:color="auto" w:fill="auto"/>
          </w:tcPr>
          <w:p w:rsidR="004C3E58" w:rsidRPr="004A5227" w:rsidRDefault="004C3E58" w:rsidP="00ED71A4">
            <w:pPr>
              <w:pStyle w:val="Tabletext"/>
            </w:pPr>
            <w:r w:rsidRPr="004A5227">
              <w:t>57</w:t>
            </w:r>
          </w:p>
        </w:tc>
        <w:tc>
          <w:tcPr>
            <w:tcW w:w="2825" w:type="dxa"/>
            <w:tcBorders>
              <w:bottom w:val="single" w:sz="4" w:space="0" w:color="auto"/>
            </w:tcBorders>
            <w:shd w:val="clear" w:color="auto" w:fill="auto"/>
          </w:tcPr>
          <w:p w:rsidR="004C3E58" w:rsidRPr="004A5227" w:rsidRDefault="004C3E58" w:rsidP="00ED71A4">
            <w:pPr>
              <w:pStyle w:val="Tabletext"/>
            </w:pPr>
            <w:r w:rsidRPr="004A5227">
              <w:t>(03) 98</w:t>
            </w:r>
          </w:p>
        </w:tc>
        <w:tc>
          <w:tcPr>
            <w:tcW w:w="4773" w:type="dxa"/>
            <w:tcBorders>
              <w:bottom w:val="single" w:sz="4" w:space="0" w:color="auto"/>
            </w:tcBorders>
            <w:shd w:val="clear" w:color="auto" w:fill="auto"/>
          </w:tcPr>
          <w:p w:rsidR="004C3E58" w:rsidRPr="004A5227" w:rsidRDefault="0099128F" w:rsidP="00ED71A4">
            <w:pPr>
              <w:pStyle w:val="Tabletext"/>
            </w:pPr>
            <w:r w:rsidRPr="004A5227">
              <w:t>Melbourne and Ringwood standard zone units</w:t>
            </w:r>
          </w:p>
        </w:tc>
      </w:tr>
      <w:tr w:rsidR="004C3E58" w:rsidRPr="004A5227" w:rsidTr="00ED71A4">
        <w:tc>
          <w:tcPr>
            <w:tcW w:w="714" w:type="dxa"/>
            <w:tcBorders>
              <w:bottom w:val="single" w:sz="12" w:space="0" w:color="auto"/>
            </w:tcBorders>
            <w:shd w:val="clear" w:color="auto" w:fill="auto"/>
          </w:tcPr>
          <w:p w:rsidR="004C3E58" w:rsidRPr="004A5227" w:rsidRDefault="004C3E58" w:rsidP="00ED71A4">
            <w:pPr>
              <w:pStyle w:val="Tabletext"/>
            </w:pPr>
            <w:r w:rsidRPr="004A5227">
              <w:t>58</w:t>
            </w:r>
          </w:p>
        </w:tc>
        <w:tc>
          <w:tcPr>
            <w:tcW w:w="2825" w:type="dxa"/>
            <w:tcBorders>
              <w:bottom w:val="single" w:sz="12" w:space="0" w:color="auto"/>
            </w:tcBorders>
            <w:shd w:val="clear" w:color="auto" w:fill="auto"/>
          </w:tcPr>
          <w:p w:rsidR="004C3E58" w:rsidRPr="004A5227" w:rsidRDefault="004C3E58" w:rsidP="00ED71A4">
            <w:pPr>
              <w:pStyle w:val="Tabletext"/>
            </w:pPr>
            <w:r w:rsidRPr="004A5227">
              <w:t>(03) 99</w:t>
            </w:r>
          </w:p>
        </w:tc>
        <w:tc>
          <w:tcPr>
            <w:tcW w:w="4773" w:type="dxa"/>
            <w:tcBorders>
              <w:bottom w:val="single" w:sz="12" w:space="0" w:color="auto"/>
            </w:tcBorders>
            <w:shd w:val="clear" w:color="auto" w:fill="auto"/>
          </w:tcPr>
          <w:p w:rsidR="004C3E58" w:rsidRPr="004A5227" w:rsidRDefault="004C3E58" w:rsidP="00ED71A4">
            <w:pPr>
              <w:pStyle w:val="Tabletext"/>
            </w:pPr>
            <w:r w:rsidRPr="004A5227">
              <w:t>Melbourne charging district</w:t>
            </w:r>
          </w:p>
        </w:tc>
      </w:tr>
    </w:tbl>
    <w:p w:rsidR="004C3E58" w:rsidRPr="004A5227" w:rsidRDefault="004C3E58" w:rsidP="004C3E58">
      <w:pPr>
        <w:pStyle w:val="ActHead5"/>
      </w:pPr>
      <w:bookmarkStart w:id="193" w:name="_Toc413419191"/>
      <w:r w:rsidRPr="004A5227">
        <w:rPr>
          <w:rStyle w:val="CharSectno"/>
        </w:rPr>
        <w:t>3</w:t>
      </w:r>
      <w:r w:rsidRPr="004A5227">
        <w:t xml:space="preserve">  North East Region</w:t>
      </w:r>
      <w:bookmarkEnd w:id="193"/>
    </w:p>
    <w:p w:rsidR="004C3E58" w:rsidRPr="004A5227" w:rsidRDefault="004C3E58" w:rsidP="004C3E58">
      <w:pPr>
        <w:pStyle w:val="subsection"/>
      </w:pPr>
      <w:r w:rsidRPr="004A5227">
        <w:tab/>
      </w:r>
      <w:r w:rsidRPr="004A5227">
        <w:tab/>
        <w:t>The following table sets out the form of geographic numbers for use in Queensland.</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North East Region</w:t>
            </w:r>
          </w:p>
        </w:tc>
      </w:tr>
      <w:tr w:rsidR="004C3E58" w:rsidRPr="004A5227" w:rsidTr="00ED71A4">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ED71A4">
        <w:tc>
          <w:tcPr>
            <w:tcW w:w="714" w:type="dxa"/>
            <w:tcBorders>
              <w:top w:val="single" w:sz="12" w:space="0" w:color="auto"/>
            </w:tcBorders>
            <w:shd w:val="clear" w:color="auto" w:fill="auto"/>
          </w:tcPr>
          <w:p w:rsidR="004C3E58" w:rsidRPr="004A5227" w:rsidRDefault="004C3E58"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(07) 20</w:t>
            </w:r>
          </w:p>
        </w:tc>
        <w:tc>
          <w:tcPr>
            <w:tcW w:w="4773" w:type="dxa"/>
            <w:tcBorders>
              <w:top w:val="single" w:sz="12" w:space="0" w:color="auto"/>
            </w:tcBorders>
            <w:shd w:val="clear" w:color="auto" w:fill="auto"/>
          </w:tcPr>
          <w:p w:rsidR="004C3E58" w:rsidRPr="004A5227" w:rsidRDefault="004C3E58" w:rsidP="0099128F">
            <w:pPr>
              <w:pStyle w:val="Tabletext"/>
            </w:pPr>
            <w:r w:rsidRPr="004A5227">
              <w:t xml:space="preserve">Redcliffe and Samford </w:t>
            </w:r>
            <w:r w:rsidR="0099128F" w:rsidRPr="004A5227">
              <w:t>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(07) 21</w:t>
            </w:r>
          </w:p>
        </w:tc>
        <w:tc>
          <w:tcPr>
            <w:tcW w:w="4773" w:type="dxa"/>
            <w:shd w:val="clear" w:color="auto" w:fill="auto"/>
          </w:tcPr>
          <w:p w:rsidR="004C3E58" w:rsidRPr="004A5227" w:rsidRDefault="0099128F" w:rsidP="0099128F">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w:t>
            </w:r>
          </w:p>
        </w:tc>
        <w:tc>
          <w:tcPr>
            <w:tcW w:w="2825" w:type="dxa"/>
            <w:shd w:val="clear" w:color="auto" w:fill="auto"/>
          </w:tcPr>
          <w:p w:rsidR="004C3E58" w:rsidRPr="004A5227" w:rsidRDefault="004C3E58" w:rsidP="00ED71A4">
            <w:pPr>
              <w:pStyle w:val="Tabletext"/>
            </w:pPr>
            <w:r w:rsidRPr="004A5227">
              <w:t>(07) 22</w:t>
            </w:r>
          </w:p>
        </w:tc>
        <w:tc>
          <w:tcPr>
            <w:tcW w:w="4773" w:type="dxa"/>
            <w:shd w:val="clear" w:color="auto" w:fill="auto"/>
          </w:tcPr>
          <w:p w:rsidR="004C3E58" w:rsidRPr="004A5227" w:rsidRDefault="004C3E58" w:rsidP="0027142E">
            <w:pPr>
              <w:pStyle w:val="Tabletext"/>
            </w:pPr>
            <w:r w:rsidRPr="004A5227">
              <w:t xml:space="preserve">Bribie Island and Brisbane charging districts and Dayboro </w:t>
            </w:r>
            <w:r w:rsidR="0099128F"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w:t>
            </w:r>
          </w:p>
        </w:tc>
        <w:tc>
          <w:tcPr>
            <w:tcW w:w="2825" w:type="dxa"/>
            <w:shd w:val="clear" w:color="auto" w:fill="auto"/>
          </w:tcPr>
          <w:p w:rsidR="004C3E58" w:rsidRPr="004A5227" w:rsidRDefault="004C3E58" w:rsidP="00ED71A4">
            <w:pPr>
              <w:pStyle w:val="Tabletext"/>
            </w:pPr>
            <w:r w:rsidRPr="004A5227">
              <w:t>(07) 23</w:t>
            </w:r>
          </w:p>
        </w:tc>
        <w:tc>
          <w:tcPr>
            <w:tcW w:w="4773" w:type="dxa"/>
            <w:shd w:val="clear" w:color="auto" w:fill="auto"/>
          </w:tcPr>
          <w:p w:rsidR="004C3E58" w:rsidRPr="004A5227" w:rsidRDefault="004C3E58" w:rsidP="0099128F">
            <w:pPr>
              <w:pStyle w:val="Tabletext"/>
            </w:pPr>
            <w:r w:rsidRPr="004A5227">
              <w:t xml:space="preserve">Bribie Island and Brisbane charging districts and Dayboro </w:t>
            </w:r>
            <w:r w:rsidR="005E05AB" w:rsidRPr="004A5227">
              <w:t xml:space="preserve">and </w:t>
            </w:r>
            <w:proofErr w:type="spellStart"/>
            <w:r w:rsidR="005E05AB" w:rsidRPr="004A5227">
              <w:t>Esk</w:t>
            </w:r>
            <w:proofErr w:type="spellEnd"/>
            <w:r w:rsidR="005E05AB" w:rsidRPr="004A5227">
              <w:t xml:space="preserve"> </w:t>
            </w:r>
            <w:r w:rsidR="0099128F" w:rsidRPr="004A5227">
              <w:t>standard zone unit</w:t>
            </w:r>
            <w:r w:rsidR="005E05AB" w:rsidRPr="004A5227">
              <w:t>s</w:t>
            </w:r>
          </w:p>
        </w:tc>
      </w:tr>
      <w:tr w:rsidR="005E05AB" w:rsidRPr="004A5227" w:rsidTr="00ED71A4">
        <w:tc>
          <w:tcPr>
            <w:tcW w:w="714" w:type="dxa"/>
            <w:shd w:val="clear" w:color="auto" w:fill="auto"/>
          </w:tcPr>
          <w:p w:rsidR="005E05AB" w:rsidRPr="004A5227" w:rsidRDefault="005E05AB" w:rsidP="00ED71A4">
            <w:pPr>
              <w:pStyle w:val="Tabletext"/>
            </w:pPr>
            <w:r w:rsidRPr="004A5227">
              <w:t>5</w:t>
            </w:r>
          </w:p>
        </w:tc>
        <w:tc>
          <w:tcPr>
            <w:tcW w:w="2825" w:type="dxa"/>
            <w:shd w:val="clear" w:color="auto" w:fill="auto"/>
          </w:tcPr>
          <w:p w:rsidR="005E05AB" w:rsidRPr="004A5227" w:rsidRDefault="005E05AB" w:rsidP="00ED71A4">
            <w:pPr>
              <w:pStyle w:val="Tabletext"/>
            </w:pPr>
            <w:r w:rsidRPr="004A5227">
              <w:t>(07) 24</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6</w:t>
            </w:r>
          </w:p>
        </w:tc>
        <w:tc>
          <w:tcPr>
            <w:tcW w:w="2825" w:type="dxa"/>
            <w:shd w:val="clear" w:color="auto" w:fill="auto"/>
          </w:tcPr>
          <w:p w:rsidR="005E05AB" w:rsidRPr="004A5227" w:rsidRDefault="005E05AB" w:rsidP="00ED71A4">
            <w:pPr>
              <w:pStyle w:val="Tabletext"/>
            </w:pPr>
            <w:r w:rsidRPr="004A5227">
              <w:t>(07) 25</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7</w:t>
            </w:r>
          </w:p>
        </w:tc>
        <w:tc>
          <w:tcPr>
            <w:tcW w:w="2825" w:type="dxa"/>
            <w:shd w:val="clear" w:color="auto" w:fill="auto"/>
          </w:tcPr>
          <w:p w:rsidR="005E05AB" w:rsidRPr="004A5227" w:rsidRDefault="005E05AB" w:rsidP="00ED71A4">
            <w:pPr>
              <w:pStyle w:val="Tabletext"/>
            </w:pPr>
            <w:r w:rsidRPr="004A5227">
              <w:t>(07) 26</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8</w:t>
            </w:r>
          </w:p>
        </w:tc>
        <w:tc>
          <w:tcPr>
            <w:tcW w:w="2825" w:type="dxa"/>
            <w:shd w:val="clear" w:color="auto" w:fill="auto"/>
          </w:tcPr>
          <w:p w:rsidR="005E05AB" w:rsidRPr="004A5227" w:rsidRDefault="005E05AB" w:rsidP="00ED71A4">
            <w:pPr>
              <w:pStyle w:val="Tabletext"/>
            </w:pPr>
            <w:r w:rsidRPr="004A5227">
              <w:t>(07) 27</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(07) 28</w:t>
            </w:r>
          </w:p>
        </w:tc>
        <w:tc>
          <w:tcPr>
            <w:tcW w:w="4773" w:type="dxa"/>
            <w:shd w:val="clear" w:color="auto" w:fill="auto"/>
          </w:tcPr>
          <w:p w:rsidR="004C3E58" w:rsidRPr="004A5227" w:rsidRDefault="004C3E58" w:rsidP="0099128F">
            <w:pPr>
              <w:pStyle w:val="Tabletext"/>
            </w:pPr>
            <w:r w:rsidRPr="004A5227">
              <w:t xml:space="preserve">Beenleigh, Cleveland and Ipswich </w:t>
            </w:r>
            <w:r w:rsidR="0099128F" w:rsidRPr="004A5227">
              <w:t>standard zone units</w:t>
            </w:r>
          </w:p>
        </w:tc>
      </w:tr>
      <w:tr w:rsidR="005E05AB" w:rsidRPr="004A5227" w:rsidTr="00ED71A4">
        <w:tc>
          <w:tcPr>
            <w:tcW w:w="714" w:type="dxa"/>
            <w:shd w:val="clear" w:color="auto" w:fill="auto"/>
          </w:tcPr>
          <w:p w:rsidR="005E05AB" w:rsidRPr="004A5227" w:rsidRDefault="005E05AB" w:rsidP="00ED71A4">
            <w:pPr>
              <w:pStyle w:val="Tabletext"/>
            </w:pPr>
            <w:r w:rsidRPr="004A5227">
              <w:t>10</w:t>
            </w:r>
          </w:p>
        </w:tc>
        <w:tc>
          <w:tcPr>
            <w:tcW w:w="2825" w:type="dxa"/>
            <w:shd w:val="clear" w:color="auto" w:fill="auto"/>
          </w:tcPr>
          <w:p w:rsidR="005E05AB" w:rsidRPr="004A5227" w:rsidRDefault="005E05AB" w:rsidP="00ED71A4">
            <w:pPr>
              <w:pStyle w:val="Tabletext"/>
            </w:pPr>
            <w:r w:rsidRPr="004A5227">
              <w:t>(07) 29</w:t>
            </w:r>
          </w:p>
        </w:tc>
        <w:tc>
          <w:tcPr>
            <w:tcW w:w="4773" w:type="dxa"/>
            <w:shd w:val="clear" w:color="auto" w:fill="auto"/>
          </w:tcPr>
          <w:p w:rsidR="005E05AB" w:rsidRPr="004A5227" w:rsidRDefault="005E05AB" w:rsidP="006B034C">
            <w:pPr>
              <w:pStyle w:val="Tabletext"/>
            </w:pPr>
            <w:r w:rsidRPr="004A5227">
              <w:t xml:space="preserve">Bribie Island and Brisbane charging districts and Dayboro and </w:t>
            </w:r>
            <w:proofErr w:type="spellStart"/>
            <w:r w:rsidRPr="004A5227">
              <w:t>Esk</w:t>
            </w:r>
            <w:proofErr w:type="spellEnd"/>
            <w:r w:rsidRPr="004A5227">
              <w:t xml:space="preserv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11</w:t>
            </w:r>
          </w:p>
        </w:tc>
        <w:tc>
          <w:tcPr>
            <w:tcW w:w="2825" w:type="dxa"/>
            <w:shd w:val="clear" w:color="auto" w:fill="auto"/>
          </w:tcPr>
          <w:p w:rsidR="004C3E58" w:rsidRPr="004A5227" w:rsidRDefault="004C3E58" w:rsidP="00ED71A4">
            <w:pPr>
              <w:pStyle w:val="Tabletext"/>
            </w:pPr>
            <w:r w:rsidRPr="004A5227">
              <w:t>(07) 30</w:t>
            </w:r>
          </w:p>
        </w:tc>
        <w:tc>
          <w:tcPr>
            <w:tcW w:w="4773" w:type="dxa"/>
            <w:shd w:val="clear" w:color="auto" w:fill="auto"/>
          </w:tcPr>
          <w:p w:rsidR="004C3E58" w:rsidRPr="004A5227" w:rsidRDefault="0099128F" w:rsidP="00ED71A4">
            <w:pPr>
              <w:pStyle w:val="Tabletext"/>
            </w:pPr>
            <w:r w:rsidRPr="004A5227">
              <w:t>The following standard zone units in Brisbane charging district:</w:t>
            </w:r>
          </w:p>
          <w:p w:rsidR="0099128F" w:rsidRPr="004A5227" w:rsidRDefault="0099128F" w:rsidP="00ED71A4">
            <w:pPr>
              <w:pStyle w:val="Tabletext"/>
            </w:pPr>
            <w:r w:rsidRPr="004A5227">
              <w:t xml:space="preserve">Beenleigh, Brisbane, Cleveland, Ipswich, Redcliffe, </w:t>
            </w:r>
            <w:r w:rsidRPr="004A5227">
              <w:lastRenderedPageBreak/>
              <w:t>Samford</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12</w:t>
            </w:r>
          </w:p>
        </w:tc>
        <w:tc>
          <w:tcPr>
            <w:tcW w:w="2825" w:type="dxa"/>
            <w:shd w:val="clear" w:color="auto" w:fill="auto"/>
          </w:tcPr>
          <w:p w:rsidR="004C3E58" w:rsidRPr="004A5227" w:rsidRDefault="004C3E58" w:rsidP="00ED71A4">
            <w:pPr>
              <w:pStyle w:val="Tabletext"/>
            </w:pPr>
            <w:r w:rsidRPr="004A5227">
              <w:t>(07) 31</w:t>
            </w:r>
          </w:p>
        </w:tc>
        <w:tc>
          <w:tcPr>
            <w:tcW w:w="4773" w:type="dxa"/>
            <w:shd w:val="clear" w:color="auto" w:fill="auto"/>
          </w:tcPr>
          <w:p w:rsidR="004C3E58" w:rsidRPr="004A5227" w:rsidRDefault="004C3E58" w:rsidP="00ED71A4">
            <w:pPr>
              <w:pStyle w:val="Tabletext"/>
            </w:pPr>
            <w:r w:rsidRPr="004A5227">
              <w:t>Brisbane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(07) 320</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(07) 321</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(07) 322</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(07) 323</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(07) 324</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(07) 325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19</w:t>
            </w:r>
          </w:p>
        </w:tc>
        <w:tc>
          <w:tcPr>
            <w:tcW w:w="2825" w:type="dxa"/>
            <w:shd w:val="clear" w:color="auto" w:fill="auto"/>
          </w:tcPr>
          <w:p w:rsidR="004C3E58" w:rsidRPr="004A5227" w:rsidRDefault="004C3E58" w:rsidP="00ED71A4">
            <w:pPr>
              <w:pStyle w:val="Tabletext"/>
            </w:pPr>
            <w:r w:rsidRPr="004A5227">
              <w:t>(07) 326</w:t>
            </w:r>
          </w:p>
        </w:tc>
        <w:tc>
          <w:tcPr>
            <w:tcW w:w="4773" w:type="dxa"/>
            <w:shd w:val="clear" w:color="auto" w:fill="auto"/>
          </w:tcPr>
          <w:p w:rsidR="004C3E58" w:rsidRPr="004A5227" w:rsidRDefault="0099128F" w:rsidP="00ED71A4">
            <w:pPr>
              <w:pStyle w:val="Tabletext"/>
            </w:pPr>
            <w:r w:rsidRPr="004A5227">
              <w:t>Brisbane and Sandgate standard zone units</w:t>
            </w:r>
          </w:p>
        </w:tc>
      </w:tr>
      <w:tr w:rsidR="004C3E58" w:rsidRPr="004A5227" w:rsidTr="00ED71A4">
        <w:tc>
          <w:tcPr>
            <w:tcW w:w="714" w:type="dxa"/>
            <w:shd w:val="clear" w:color="auto" w:fill="auto"/>
          </w:tcPr>
          <w:p w:rsidR="004C3E58" w:rsidRPr="004A5227" w:rsidRDefault="004C3E58" w:rsidP="00ED71A4">
            <w:pPr>
              <w:pStyle w:val="Tabletext"/>
            </w:pPr>
            <w:r w:rsidRPr="004A5227">
              <w:t>20</w:t>
            </w:r>
          </w:p>
        </w:tc>
        <w:tc>
          <w:tcPr>
            <w:tcW w:w="2825" w:type="dxa"/>
            <w:shd w:val="clear" w:color="auto" w:fill="auto"/>
          </w:tcPr>
          <w:p w:rsidR="004C3E58" w:rsidRPr="004A5227" w:rsidRDefault="004C3E58" w:rsidP="00ED71A4">
            <w:pPr>
              <w:pStyle w:val="Tabletext"/>
            </w:pPr>
            <w:r w:rsidRPr="004A5227">
              <w:t>(07) 327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(07) 328</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22</w:t>
            </w:r>
          </w:p>
        </w:tc>
        <w:tc>
          <w:tcPr>
            <w:tcW w:w="2825" w:type="dxa"/>
            <w:shd w:val="clear" w:color="auto" w:fill="auto"/>
          </w:tcPr>
          <w:p w:rsidR="004C3E58" w:rsidRPr="004A5227" w:rsidRDefault="004C3E58" w:rsidP="00ED71A4">
            <w:pPr>
              <w:pStyle w:val="Tabletext"/>
            </w:pPr>
            <w:r w:rsidRPr="004A5227">
              <w:t>(07) 329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(07) 330</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(07) 331</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(07) 332</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(07) 333</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27</w:t>
            </w:r>
          </w:p>
        </w:tc>
        <w:tc>
          <w:tcPr>
            <w:tcW w:w="2825" w:type="dxa"/>
            <w:shd w:val="clear" w:color="auto" w:fill="auto"/>
          </w:tcPr>
          <w:p w:rsidR="004C3E58" w:rsidRPr="004A5227" w:rsidRDefault="004C3E58" w:rsidP="00ED71A4">
            <w:pPr>
              <w:pStyle w:val="Tabletext"/>
            </w:pPr>
            <w:r w:rsidRPr="004A5227">
              <w:t>(07) 334</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28</w:t>
            </w:r>
          </w:p>
        </w:tc>
        <w:tc>
          <w:tcPr>
            <w:tcW w:w="2825" w:type="dxa"/>
            <w:shd w:val="clear" w:color="auto" w:fill="auto"/>
          </w:tcPr>
          <w:p w:rsidR="004C3E58" w:rsidRPr="004A5227" w:rsidRDefault="004C3E58" w:rsidP="00ED71A4">
            <w:pPr>
              <w:pStyle w:val="Tabletext"/>
            </w:pPr>
            <w:r w:rsidRPr="004A5227">
              <w:t>(07) 335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(07) 336</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(07) 337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(07) 338</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(07) 339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(07) 34</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Brisbane,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34</w:t>
            </w:r>
          </w:p>
        </w:tc>
        <w:tc>
          <w:tcPr>
            <w:tcW w:w="2825" w:type="dxa"/>
            <w:shd w:val="clear" w:color="auto" w:fill="auto"/>
          </w:tcPr>
          <w:p w:rsidR="004C3E58" w:rsidRPr="004A5227" w:rsidRDefault="004C3E58" w:rsidP="00ED71A4">
            <w:pPr>
              <w:pStyle w:val="Tabletext"/>
            </w:pPr>
            <w:r w:rsidRPr="004A5227">
              <w:t>(07) 35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(07) 36</w:t>
            </w:r>
          </w:p>
        </w:tc>
        <w:tc>
          <w:tcPr>
            <w:tcW w:w="4773" w:type="dxa"/>
            <w:shd w:val="clear" w:color="auto" w:fill="auto"/>
          </w:tcPr>
          <w:p w:rsidR="004C3E58" w:rsidRPr="004A5227" w:rsidRDefault="004C3E58" w:rsidP="0099128F">
            <w:pPr>
              <w:pStyle w:val="Tabletext"/>
            </w:pPr>
            <w:r w:rsidRPr="004A5227">
              <w:t xml:space="preserve">Sandgate </w:t>
            </w:r>
            <w:r w:rsidR="0099128F"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(07) 37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(07) 380</w:t>
            </w:r>
          </w:p>
        </w:tc>
        <w:tc>
          <w:tcPr>
            <w:tcW w:w="4773" w:type="dxa"/>
            <w:shd w:val="clear" w:color="auto" w:fill="auto"/>
          </w:tcPr>
          <w:p w:rsidR="004C3E58" w:rsidRPr="004A5227" w:rsidRDefault="004C3E58" w:rsidP="0099128F">
            <w:pPr>
              <w:pStyle w:val="Tabletext"/>
            </w:pPr>
            <w:r w:rsidRPr="004A5227">
              <w:t xml:space="preserve">Beenleigh </w:t>
            </w:r>
            <w:r w:rsidR="0099128F" w:rsidRPr="004A5227">
              <w:t>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(07) 381</w:t>
            </w:r>
          </w:p>
        </w:tc>
        <w:tc>
          <w:tcPr>
            <w:tcW w:w="4773" w:type="dxa"/>
            <w:shd w:val="clear" w:color="auto" w:fill="auto"/>
          </w:tcPr>
          <w:p w:rsidR="004C3E58" w:rsidRPr="004A5227" w:rsidRDefault="004C3E58" w:rsidP="00ED71A4">
            <w:pPr>
              <w:pStyle w:val="Tabletext"/>
            </w:pPr>
            <w:r w:rsidRPr="004A5227">
              <w:t>Brisbane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(07) 382</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40</w:t>
            </w:r>
          </w:p>
        </w:tc>
        <w:tc>
          <w:tcPr>
            <w:tcW w:w="2825" w:type="dxa"/>
            <w:shd w:val="clear" w:color="auto" w:fill="auto"/>
          </w:tcPr>
          <w:p w:rsidR="004C3E58" w:rsidRPr="004A5227" w:rsidRDefault="004C3E58" w:rsidP="00ED71A4">
            <w:pPr>
              <w:pStyle w:val="Tabletext"/>
            </w:pPr>
            <w:r w:rsidRPr="004A5227">
              <w:t>(07) 383</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41</w:t>
            </w:r>
          </w:p>
        </w:tc>
        <w:tc>
          <w:tcPr>
            <w:tcW w:w="2825" w:type="dxa"/>
            <w:shd w:val="clear" w:color="auto" w:fill="auto"/>
          </w:tcPr>
          <w:p w:rsidR="004C3E58" w:rsidRPr="004A5227" w:rsidRDefault="004C3E58" w:rsidP="00ED71A4">
            <w:pPr>
              <w:pStyle w:val="Tabletext"/>
            </w:pPr>
            <w:r w:rsidRPr="004A5227">
              <w:t>(07) 384</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(07) 385</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(07) 386</w:t>
            </w:r>
          </w:p>
        </w:tc>
        <w:tc>
          <w:tcPr>
            <w:tcW w:w="4773" w:type="dxa"/>
            <w:shd w:val="clear" w:color="auto" w:fill="auto"/>
          </w:tcPr>
          <w:p w:rsidR="004C3E58" w:rsidRPr="004A5227" w:rsidRDefault="0099128F" w:rsidP="00ED71A4">
            <w:pPr>
              <w:pStyle w:val="Tabletext"/>
            </w:pPr>
            <w:r w:rsidRPr="004A5227">
              <w:t>Brisbane</w:t>
            </w:r>
            <w:r w:rsidR="005E05AB" w:rsidRPr="004A5227">
              <w:t xml:space="preserve"> and Sandgate</w:t>
            </w:r>
            <w:r w:rsidRPr="004A5227">
              <w:t xml:space="preserve"> standard zone unit</w:t>
            </w:r>
            <w:r w:rsidR="005E05AB" w:rsidRPr="004A5227">
              <w:t>s</w:t>
            </w:r>
          </w:p>
        </w:tc>
      </w:tr>
      <w:tr w:rsidR="004C3E58" w:rsidRPr="004A5227" w:rsidTr="00ED71A4">
        <w:tc>
          <w:tcPr>
            <w:tcW w:w="714" w:type="dxa"/>
            <w:shd w:val="clear" w:color="auto" w:fill="auto"/>
          </w:tcPr>
          <w:p w:rsidR="004C3E58" w:rsidRPr="004A5227" w:rsidRDefault="004C3E58"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(07) 387</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(07) 388</w:t>
            </w:r>
          </w:p>
        </w:tc>
        <w:tc>
          <w:tcPr>
            <w:tcW w:w="4773" w:type="dxa"/>
            <w:shd w:val="clear" w:color="auto" w:fill="auto"/>
          </w:tcPr>
          <w:p w:rsidR="0099128F" w:rsidRPr="004A5227" w:rsidRDefault="0099128F" w:rsidP="0099128F">
            <w:pPr>
              <w:pStyle w:val="Tabletext"/>
            </w:pPr>
            <w:r w:rsidRPr="004A5227">
              <w:t>The following standard zone units in Brisbane charging district:</w:t>
            </w:r>
          </w:p>
          <w:p w:rsidR="004C3E58" w:rsidRPr="004A5227" w:rsidRDefault="0099128F" w:rsidP="0099128F">
            <w:pPr>
              <w:pStyle w:val="Tabletext"/>
            </w:pPr>
            <w:r w:rsidRPr="004A5227">
              <w:t>Beenleigh, Cleveland, Ipswich, Redcliffe, Samford</w:t>
            </w:r>
          </w:p>
        </w:tc>
      </w:tr>
      <w:tr w:rsidR="004C3E58" w:rsidRPr="004A5227" w:rsidTr="00ED71A4">
        <w:tc>
          <w:tcPr>
            <w:tcW w:w="714" w:type="dxa"/>
            <w:shd w:val="clear" w:color="auto" w:fill="auto"/>
          </w:tcPr>
          <w:p w:rsidR="004C3E58" w:rsidRPr="004A5227" w:rsidRDefault="004C3E58"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(07) 389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(07) 39</w:t>
            </w:r>
          </w:p>
        </w:tc>
        <w:tc>
          <w:tcPr>
            <w:tcW w:w="4773" w:type="dxa"/>
            <w:shd w:val="clear" w:color="auto" w:fill="auto"/>
          </w:tcPr>
          <w:p w:rsidR="004C3E58" w:rsidRPr="004A5227" w:rsidRDefault="0099128F" w:rsidP="00ED71A4">
            <w:pPr>
              <w:pStyle w:val="Tabletext"/>
            </w:pPr>
            <w:r w:rsidRPr="004A5227">
              <w:t>Brisbane standard zone unit</w:t>
            </w:r>
          </w:p>
        </w:tc>
      </w:tr>
      <w:tr w:rsidR="004C3E58" w:rsidRPr="004A5227" w:rsidTr="00ED71A4">
        <w:tc>
          <w:tcPr>
            <w:tcW w:w="714" w:type="dxa"/>
            <w:shd w:val="clear" w:color="auto" w:fill="auto"/>
          </w:tcPr>
          <w:p w:rsidR="004C3E58" w:rsidRPr="004A5227" w:rsidRDefault="004C3E58"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(07) 40</w:t>
            </w:r>
          </w:p>
        </w:tc>
        <w:tc>
          <w:tcPr>
            <w:tcW w:w="4773" w:type="dxa"/>
            <w:shd w:val="clear" w:color="auto" w:fill="auto"/>
          </w:tcPr>
          <w:p w:rsidR="004C3E58" w:rsidRPr="004A5227" w:rsidRDefault="004C3E58" w:rsidP="00ED71A4">
            <w:pPr>
              <w:pStyle w:val="Tabletext"/>
            </w:pPr>
            <w:r w:rsidRPr="004A5227">
              <w:t>Cairns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(07) 41</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Bundaberg</w:t>
            </w:r>
          </w:p>
          <w:p w:rsidR="004C3E58" w:rsidRPr="004A5227" w:rsidRDefault="004C3E58" w:rsidP="00ED71A4">
            <w:pPr>
              <w:pStyle w:val="Tabletext"/>
            </w:pPr>
            <w:r w:rsidRPr="004A5227">
              <w:t>Gayndah</w:t>
            </w:r>
          </w:p>
          <w:p w:rsidR="004C3E58" w:rsidRPr="004A5227" w:rsidRDefault="004C3E58" w:rsidP="00ED71A4">
            <w:pPr>
              <w:pStyle w:val="Tabletext"/>
            </w:pPr>
            <w:r w:rsidRPr="004A5227">
              <w:t>Kingaroy</w:t>
            </w:r>
          </w:p>
          <w:p w:rsidR="004C3E58" w:rsidRPr="004A5227" w:rsidRDefault="004C3E58" w:rsidP="00ED71A4">
            <w:pPr>
              <w:pStyle w:val="Tabletext"/>
            </w:pPr>
            <w:r w:rsidRPr="004A5227">
              <w:t>Maryborough</w:t>
            </w:r>
          </w:p>
          <w:p w:rsidR="004C3E58" w:rsidRPr="004A5227" w:rsidRDefault="004C3E58" w:rsidP="00ED71A4">
            <w:pPr>
              <w:pStyle w:val="Tabletext"/>
            </w:pPr>
            <w:r w:rsidRPr="004A5227">
              <w:t>Murgon</w:t>
            </w:r>
          </w:p>
        </w:tc>
      </w:tr>
      <w:tr w:rsidR="004C3E58" w:rsidRPr="004A5227" w:rsidTr="00ED71A4">
        <w:tc>
          <w:tcPr>
            <w:tcW w:w="714" w:type="dxa"/>
            <w:shd w:val="clear" w:color="auto" w:fill="auto"/>
          </w:tcPr>
          <w:p w:rsidR="004C3E58" w:rsidRPr="004A5227" w:rsidRDefault="004C3E58" w:rsidP="00ED71A4">
            <w:pPr>
              <w:pStyle w:val="Tabletext"/>
            </w:pPr>
            <w:r w:rsidRPr="004A5227">
              <w:t>50</w:t>
            </w:r>
          </w:p>
        </w:tc>
        <w:tc>
          <w:tcPr>
            <w:tcW w:w="2825" w:type="dxa"/>
            <w:shd w:val="clear" w:color="auto" w:fill="auto"/>
          </w:tcPr>
          <w:p w:rsidR="004C3E58" w:rsidRPr="004A5227" w:rsidRDefault="004C3E58" w:rsidP="00ED71A4">
            <w:pPr>
              <w:pStyle w:val="Tabletext"/>
            </w:pPr>
            <w:r w:rsidRPr="004A5227">
              <w:t>(07) 42</w:t>
            </w:r>
          </w:p>
        </w:tc>
        <w:tc>
          <w:tcPr>
            <w:tcW w:w="4773" w:type="dxa"/>
            <w:shd w:val="clear" w:color="auto" w:fill="auto"/>
          </w:tcPr>
          <w:p w:rsidR="004C3E58" w:rsidRPr="004A5227" w:rsidRDefault="004C3E58" w:rsidP="00ED71A4">
            <w:pPr>
              <w:pStyle w:val="Tabletext"/>
            </w:pPr>
            <w:r w:rsidRPr="004A5227">
              <w:t>Cairns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51</w:t>
            </w:r>
          </w:p>
        </w:tc>
        <w:tc>
          <w:tcPr>
            <w:tcW w:w="2825" w:type="dxa"/>
            <w:shd w:val="clear" w:color="auto" w:fill="auto"/>
          </w:tcPr>
          <w:p w:rsidR="004C3E58" w:rsidRPr="004A5227" w:rsidRDefault="004C3E58" w:rsidP="00ED71A4">
            <w:pPr>
              <w:pStyle w:val="Tabletext"/>
            </w:pPr>
            <w:r w:rsidRPr="004A5227">
              <w:t>(07) 43</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Bundaberg</w:t>
            </w:r>
          </w:p>
          <w:p w:rsidR="004C3E58" w:rsidRPr="004A5227" w:rsidRDefault="004C3E58" w:rsidP="00ED71A4">
            <w:pPr>
              <w:pStyle w:val="Tabletext"/>
            </w:pPr>
            <w:r w:rsidRPr="004A5227">
              <w:t>Gayndah</w:t>
            </w:r>
          </w:p>
          <w:p w:rsidR="004C3E58" w:rsidRPr="004A5227" w:rsidRDefault="004C3E58" w:rsidP="00ED71A4">
            <w:pPr>
              <w:pStyle w:val="Tabletext"/>
            </w:pPr>
            <w:r w:rsidRPr="004A5227">
              <w:t>Kingaroy</w:t>
            </w:r>
          </w:p>
          <w:p w:rsidR="004C3E58" w:rsidRPr="004A5227" w:rsidRDefault="004C3E58" w:rsidP="00ED71A4">
            <w:pPr>
              <w:pStyle w:val="Tabletext"/>
            </w:pPr>
            <w:r w:rsidRPr="004A5227">
              <w:t>Maryborough</w:t>
            </w:r>
          </w:p>
          <w:p w:rsidR="004C3E58" w:rsidRPr="004A5227" w:rsidRDefault="004C3E58" w:rsidP="00ED71A4">
            <w:pPr>
              <w:pStyle w:val="Tabletext"/>
            </w:pPr>
            <w:r w:rsidRPr="004A5227">
              <w:t>Murgon</w:t>
            </w:r>
          </w:p>
        </w:tc>
      </w:tr>
      <w:tr w:rsidR="004C3E58" w:rsidRPr="004A5227" w:rsidTr="00ED71A4">
        <w:tc>
          <w:tcPr>
            <w:tcW w:w="714" w:type="dxa"/>
            <w:shd w:val="clear" w:color="auto" w:fill="auto"/>
          </w:tcPr>
          <w:p w:rsidR="004C3E58" w:rsidRPr="004A5227" w:rsidRDefault="004C3E58" w:rsidP="00ED71A4">
            <w:pPr>
              <w:pStyle w:val="Tabletext"/>
            </w:pPr>
            <w:r w:rsidRPr="004A5227">
              <w:t>52</w:t>
            </w:r>
          </w:p>
        </w:tc>
        <w:tc>
          <w:tcPr>
            <w:tcW w:w="2825" w:type="dxa"/>
            <w:shd w:val="clear" w:color="auto" w:fill="auto"/>
          </w:tcPr>
          <w:p w:rsidR="004C3E58" w:rsidRPr="004A5227" w:rsidRDefault="004C3E58" w:rsidP="00ED71A4">
            <w:pPr>
              <w:pStyle w:val="Tabletext"/>
            </w:pPr>
            <w:r w:rsidRPr="004A5227">
              <w:t>(07) 44</w:t>
            </w:r>
          </w:p>
        </w:tc>
        <w:tc>
          <w:tcPr>
            <w:tcW w:w="4773" w:type="dxa"/>
            <w:shd w:val="clear" w:color="auto" w:fill="auto"/>
          </w:tcPr>
          <w:p w:rsidR="004C3E58" w:rsidRPr="004A5227" w:rsidRDefault="004C3E58" w:rsidP="00ED71A4">
            <w:pPr>
              <w:pStyle w:val="Tabletext"/>
            </w:pPr>
            <w:r w:rsidRPr="004A5227">
              <w:t>Cloncurry, Hughenden and Townsville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53</w:t>
            </w:r>
          </w:p>
        </w:tc>
        <w:tc>
          <w:tcPr>
            <w:tcW w:w="2825" w:type="dxa"/>
            <w:shd w:val="clear" w:color="auto" w:fill="auto"/>
          </w:tcPr>
          <w:p w:rsidR="004C3E58" w:rsidRPr="004A5227" w:rsidRDefault="004C3E58" w:rsidP="00ED71A4">
            <w:pPr>
              <w:pStyle w:val="Tabletext"/>
            </w:pPr>
            <w:r w:rsidRPr="004A5227">
              <w:t>(07) 45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t>Dalby</w:t>
            </w:r>
          </w:p>
          <w:p w:rsidR="004C3E58" w:rsidRPr="004A5227" w:rsidRDefault="004C3E58" w:rsidP="00ED71A4">
            <w:pPr>
              <w:pStyle w:val="Tabletext"/>
            </w:pPr>
            <w:r w:rsidRPr="004A5227">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t>Toowoomba</w:t>
            </w:r>
          </w:p>
          <w:p w:rsidR="004C3E58" w:rsidRPr="004A5227" w:rsidRDefault="004C3E58" w:rsidP="00ED71A4">
            <w:pPr>
              <w:pStyle w:val="Tabletext"/>
            </w:pPr>
            <w:r w:rsidRPr="004A5227">
              <w:t>Warwick</w:t>
            </w:r>
          </w:p>
        </w:tc>
      </w:tr>
      <w:tr w:rsidR="004C3E58" w:rsidRPr="004A5227" w:rsidTr="00ED71A4">
        <w:tc>
          <w:tcPr>
            <w:tcW w:w="714" w:type="dxa"/>
            <w:shd w:val="clear" w:color="auto" w:fill="auto"/>
          </w:tcPr>
          <w:p w:rsidR="004C3E58" w:rsidRPr="004A5227" w:rsidRDefault="004C3E58"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(07) 46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t>Dalby</w:t>
            </w:r>
          </w:p>
          <w:p w:rsidR="004C3E58" w:rsidRPr="004A5227" w:rsidRDefault="004C3E58" w:rsidP="00ED71A4">
            <w:pPr>
              <w:pStyle w:val="Tabletext"/>
            </w:pPr>
            <w:r w:rsidRPr="004A5227">
              <w:lastRenderedPageBreak/>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t>Toowoomba</w:t>
            </w:r>
          </w:p>
          <w:p w:rsidR="004C3E58" w:rsidRPr="004A5227" w:rsidRDefault="004C3E58" w:rsidP="00ED71A4">
            <w:pPr>
              <w:pStyle w:val="Tabletext"/>
            </w:pPr>
            <w:r w:rsidRPr="004A5227">
              <w:t>Warwick</w:t>
            </w:r>
          </w:p>
        </w:tc>
      </w:tr>
      <w:tr w:rsidR="004C3E58" w:rsidRPr="004A5227" w:rsidTr="00ED71A4">
        <w:tc>
          <w:tcPr>
            <w:tcW w:w="714" w:type="dxa"/>
            <w:shd w:val="clear" w:color="auto" w:fill="auto"/>
          </w:tcPr>
          <w:p w:rsidR="004C3E58" w:rsidRPr="004A5227" w:rsidRDefault="004C3E58" w:rsidP="00ED71A4">
            <w:pPr>
              <w:pStyle w:val="Tabletext"/>
            </w:pPr>
            <w:r w:rsidRPr="004A5227">
              <w:lastRenderedPageBreak/>
              <w:t>55</w:t>
            </w:r>
          </w:p>
        </w:tc>
        <w:tc>
          <w:tcPr>
            <w:tcW w:w="2825" w:type="dxa"/>
            <w:shd w:val="clear" w:color="auto" w:fill="auto"/>
          </w:tcPr>
          <w:p w:rsidR="004C3E58" w:rsidRPr="004A5227" w:rsidRDefault="004C3E58" w:rsidP="00ED71A4">
            <w:pPr>
              <w:pStyle w:val="Tabletext"/>
            </w:pPr>
            <w:r w:rsidRPr="004A5227">
              <w:t>(07) 47</w:t>
            </w:r>
          </w:p>
        </w:tc>
        <w:tc>
          <w:tcPr>
            <w:tcW w:w="4773" w:type="dxa"/>
            <w:shd w:val="clear" w:color="auto" w:fill="auto"/>
          </w:tcPr>
          <w:p w:rsidR="004C3E58" w:rsidRPr="004A5227" w:rsidRDefault="004C3E58" w:rsidP="00ED71A4">
            <w:pPr>
              <w:pStyle w:val="Tabletext"/>
            </w:pPr>
            <w:r w:rsidRPr="004A5227">
              <w:t>Cloncurry, Hughenden and Townsville charging districts</w:t>
            </w:r>
          </w:p>
        </w:tc>
      </w:tr>
      <w:tr w:rsidR="004C3E58" w:rsidRPr="004A5227" w:rsidTr="00ED71A4">
        <w:tc>
          <w:tcPr>
            <w:tcW w:w="714" w:type="dxa"/>
            <w:shd w:val="clear" w:color="auto" w:fill="auto"/>
          </w:tcPr>
          <w:p w:rsidR="004C3E58" w:rsidRPr="004A5227" w:rsidRDefault="004C3E58"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(07) 48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Biloela</w:t>
            </w:r>
          </w:p>
          <w:p w:rsidR="004C3E58" w:rsidRPr="004A5227" w:rsidRDefault="004C3E58" w:rsidP="00ED71A4">
            <w:pPr>
              <w:pStyle w:val="Tabletext"/>
            </w:pPr>
            <w:r w:rsidRPr="004A5227">
              <w:t>Emerald</w:t>
            </w:r>
          </w:p>
          <w:p w:rsidR="004C3E58" w:rsidRPr="004A5227" w:rsidRDefault="004C3E58" w:rsidP="00ED71A4">
            <w:pPr>
              <w:pStyle w:val="Tabletext"/>
            </w:pPr>
            <w:r w:rsidRPr="004A5227">
              <w:t>Gladstone</w:t>
            </w:r>
          </w:p>
          <w:p w:rsidR="004C3E58" w:rsidRPr="004A5227" w:rsidRDefault="004C3E58" w:rsidP="00ED71A4">
            <w:pPr>
              <w:pStyle w:val="Tabletext"/>
            </w:pPr>
            <w:r w:rsidRPr="004A5227">
              <w:t>Mackay</w:t>
            </w:r>
          </w:p>
          <w:p w:rsidR="004C3E58" w:rsidRPr="004A5227" w:rsidRDefault="004C3E58" w:rsidP="00ED71A4">
            <w:pPr>
              <w:pStyle w:val="Tabletext"/>
            </w:pPr>
            <w:r w:rsidRPr="004A5227">
              <w:t>Rockhampton</w:t>
            </w:r>
          </w:p>
        </w:tc>
      </w:tr>
      <w:tr w:rsidR="004C3E58" w:rsidRPr="004A5227" w:rsidTr="00ED71A4">
        <w:tc>
          <w:tcPr>
            <w:tcW w:w="714" w:type="dxa"/>
            <w:shd w:val="clear" w:color="auto" w:fill="auto"/>
          </w:tcPr>
          <w:p w:rsidR="004C3E58" w:rsidRPr="004A5227" w:rsidRDefault="004C3E58" w:rsidP="00CE24F1">
            <w:pPr>
              <w:pStyle w:val="Tabletext"/>
            </w:pPr>
            <w:r w:rsidRPr="004A5227">
              <w:t>57</w:t>
            </w:r>
          </w:p>
        </w:tc>
        <w:tc>
          <w:tcPr>
            <w:tcW w:w="2825" w:type="dxa"/>
            <w:shd w:val="clear" w:color="auto" w:fill="auto"/>
          </w:tcPr>
          <w:p w:rsidR="004C3E58" w:rsidRPr="004A5227" w:rsidRDefault="004C3E58" w:rsidP="00CE24F1">
            <w:pPr>
              <w:pStyle w:val="Tabletext"/>
            </w:pPr>
            <w:r w:rsidRPr="004A5227">
              <w:t>(07) 49</w:t>
            </w:r>
          </w:p>
        </w:tc>
        <w:tc>
          <w:tcPr>
            <w:tcW w:w="4773" w:type="dxa"/>
            <w:shd w:val="clear" w:color="auto" w:fill="auto"/>
          </w:tcPr>
          <w:p w:rsidR="004C3E58" w:rsidRPr="004A5227" w:rsidRDefault="004C3E58" w:rsidP="00CE24F1">
            <w:pPr>
              <w:pStyle w:val="Tabletext"/>
            </w:pPr>
            <w:r w:rsidRPr="004A5227">
              <w:t>The following charging districts:</w:t>
            </w:r>
          </w:p>
          <w:p w:rsidR="004C3E58" w:rsidRPr="004A5227" w:rsidRDefault="004C3E58" w:rsidP="00CE24F1">
            <w:pPr>
              <w:pStyle w:val="Tabletext"/>
            </w:pPr>
            <w:r w:rsidRPr="004A5227">
              <w:t>Biloela</w:t>
            </w:r>
          </w:p>
          <w:p w:rsidR="004C3E58" w:rsidRPr="004A5227" w:rsidRDefault="004C3E58" w:rsidP="00CE24F1">
            <w:pPr>
              <w:pStyle w:val="Tabletext"/>
            </w:pPr>
            <w:r w:rsidRPr="004A5227">
              <w:t>Emerald</w:t>
            </w:r>
          </w:p>
          <w:p w:rsidR="004C3E58" w:rsidRPr="004A5227" w:rsidRDefault="004C3E58" w:rsidP="00CE24F1">
            <w:pPr>
              <w:pStyle w:val="Tabletext"/>
            </w:pPr>
            <w:r w:rsidRPr="004A5227">
              <w:t>Gladstone</w:t>
            </w:r>
          </w:p>
          <w:p w:rsidR="004C3E58" w:rsidRPr="004A5227" w:rsidRDefault="004C3E58" w:rsidP="00CE24F1">
            <w:pPr>
              <w:pStyle w:val="Tabletext"/>
            </w:pPr>
            <w:r w:rsidRPr="004A5227">
              <w:t>Mackay</w:t>
            </w:r>
          </w:p>
          <w:p w:rsidR="004C3E58" w:rsidRPr="004A5227" w:rsidRDefault="004C3E58" w:rsidP="00CE24F1">
            <w:pPr>
              <w:pStyle w:val="Tabletext"/>
            </w:pPr>
            <w:r w:rsidRPr="004A5227">
              <w:t>Rockhampton</w:t>
            </w:r>
          </w:p>
        </w:tc>
      </w:tr>
      <w:tr w:rsidR="004C3E58" w:rsidRPr="004A5227" w:rsidTr="00ED71A4">
        <w:tc>
          <w:tcPr>
            <w:tcW w:w="714" w:type="dxa"/>
            <w:shd w:val="clear" w:color="auto" w:fill="auto"/>
          </w:tcPr>
          <w:p w:rsidR="004C3E58" w:rsidRPr="004A5227" w:rsidRDefault="004C3E58" w:rsidP="00ED71A4">
            <w:pPr>
              <w:pStyle w:val="Tabletext"/>
            </w:pPr>
            <w:r w:rsidRPr="004A5227">
              <w:t>58</w:t>
            </w:r>
          </w:p>
        </w:tc>
        <w:tc>
          <w:tcPr>
            <w:tcW w:w="2825" w:type="dxa"/>
            <w:shd w:val="clear" w:color="auto" w:fill="auto"/>
          </w:tcPr>
          <w:p w:rsidR="004C3E58" w:rsidRPr="004A5227" w:rsidRDefault="004C3E58" w:rsidP="00ED71A4">
            <w:pPr>
              <w:pStyle w:val="Tabletext"/>
            </w:pPr>
            <w:r w:rsidRPr="004A5227">
              <w:t>(07) 52</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Caboolture</w:t>
            </w:r>
          </w:p>
          <w:p w:rsidR="004C3E58" w:rsidRPr="004A5227" w:rsidRDefault="004C3E58" w:rsidP="00ED71A4">
            <w:pPr>
              <w:pStyle w:val="Tabletext"/>
            </w:pPr>
            <w:r w:rsidRPr="004A5227">
              <w:t>Gatton</w:t>
            </w:r>
          </w:p>
          <w:p w:rsidR="004C3E58" w:rsidRPr="004A5227" w:rsidRDefault="004C3E58" w:rsidP="00ED71A4">
            <w:pPr>
              <w:pStyle w:val="Tabletext"/>
            </w:pPr>
            <w:r w:rsidRPr="004A5227">
              <w:t>Gympie</w:t>
            </w:r>
          </w:p>
          <w:p w:rsidR="004C3E58" w:rsidRPr="004A5227" w:rsidRDefault="004C3E58" w:rsidP="00ED71A4">
            <w:pPr>
              <w:pStyle w:val="Tabletext"/>
            </w:pPr>
            <w:r w:rsidRPr="004A5227">
              <w:t>Nambour</w:t>
            </w:r>
          </w:p>
          <w:p w:rsidR="0099128F" w:rsidRPr="004A5227" w:rsidRDefault="0099128F" w:rsidP="00ED71A4">
            <w:pPr>
              <w:pStyle w:val="Tabletext"/>
            </w:pPr>
          </w:p>
          <w:p w:rsidR="0099128F" w:rsidRPr="004A5227" w:rsidRDefault="0099128F" w:rsidP="00ED71A4">
            <w:pPr>
              <w:pStyle w:val="Tabletext"/>
            </w:pPr>
            <w:r w:rsidRPr="004A5227">
              <w:t xml:space="preserve">The following standard zone units in </w:t>
            </w:r>
            <w:proofErr w:type="spellStart"/>
            <w:r w:rsidRPr="004A5227">
              <w:t>Esk</w:t>
            </w:r>
            <w:proofErr w:type="spellEnd"/>
            <w:r w:rsidRPr="004A5227">
              <w:t xml:space="preserve"> charging district:</w:t>
            </w:r>
          </w:p>
          <w:p w:rsidR="0099128F" w:rsidRPr="004A5227" w:rsidRDefault="0099128F" w:rsidP="00ED71A4">
            <w:pPr>
              <w:pStyle w:val="Tabletext"/>
            </w:pPr>
            <w:r w:rsidRPr="004A5227">
              <w:t xml:space="preserve">Coominya, </w:t>
            </w:r>
            <w:proofErr w:type="spellStart"/>
            <w:r w:rsidRPr="004A5227">
              <w:t>Crossdale</w:t>
            </w:r>
            <w:proofErr w:type="spellEnd"/>
            <w:r w:rsidRPr="004A5227">
              <w:t xml:space="preserve">, </w:t>
            </w:r>
            <w:proofErr w:type="spellStart"/>
            <w:r w:rsidRPr="004A5227">
              <w:t>Esk</w:t>
            </w:r>
            <w:proofErr w:type="spellEnd"/>
            <w:r w:rsidRPr="004A5227">
              <w:t>, Lowood, Moore, Toogoolawah</w:t>
            </w:r>
          </w:p>
        </w:tc>
      </w:tr>
      <w:tr w:rsidR="004C3E58" w:rsidRPr="004A5227" w:rsidTr="00ED71A4">
        <w:tc>
          <w:tcPr>
            <w:tcW w:w="714" w:type="dxa"/>
            <w:shd w:val="clear" w:color="auto" w:fill="auto"/>
          </w:tcPr>
          <w:p w:rsidR="004C3E58" w:rsidRPr="004A5227" w:rsidRDefault="004C3E58" w:rsidP="00ED71A4">
            <w:pPr>
              <w:pStyle w:val="Tabletext"/>
            </w:pPr>
            <w:r w:rsidRPr="004A5227">
              <w:t>59</w:t>
            </w:r>
          </w:p>
        </w:tc>
        <w:tc>
          <w:tcPr>
            <w:tcW w:w="2825" w:type="dxa"/>
            <w:shd w:val="clear" w:color="auto" w:fill="auto"/>
          </w:tcPr>
          <w:p w:rsidR="004C3E58" w:rsidRPr="004A5227" w:rsidRDefault="004C3E58" w:rsidP="00ED71A4">
            <w:pPr>
              <w:pStyle w:val="Tabletext"/>
            </w:pPr>
            <w:r w:rsidRPr="004A5227">
              <w:t>(07) 53</w:t>
            </w:r>
          </w:p>
        </w:tc>
        <w:tc>
          <w:tcPr>
            <w:tcW w:w="4773" w:type="dxa"/>
            <w:shd w:val="clear" w:color="auto" w:fill="auto"/>
          </w:tcPr>
          <w:p w:rsidR="0099128F" w:rsidRPr="004A5227" w:rsidRDefault="0099128F" w:rsidP="0099128F">
            <w:pPr>
              <w:pStyle w:val="Tabletext"/>
            </w:pPr>
            <w:r w:rsidRPr="004A5227">
              <w:t>The following charging districts:</w:t>
            </w:r>
          </w:p>
          <w:p w:rsidR="0099128F" w:rsidRPr="004A5227" w:rsidRDefault="0099128F" w:rsidP="0099128F">
            <w:pPr>
              <w:pStyle w:val="Tabletext"/>
            </w:pPr>
            <w:r w:rsidRPr="004A5227">
              <w:t>Caboolture</w:t>
            </w:r>
          </w:p>
          <w:p w:rsidR="0099128F" w:rsidRPr="004A5227" w:rsidRDefault="0099128F" w:rsidP="0099128F">
            <w:pPr>
              <w:pStyle w:val="Tabletext"/>
            </w:pPr>
            <w:r w:rsidRPr="004A5227">
              <w:t>Gatton</w:t>
            </w:r>
          </w:p>
          <w:p w:rsidR="0099128F" w:rsidRPr="004A5227" w:rsidRDefault="0099128F" w:rsidP="0099128F">
            <w:pPr>
              <w:pStyle w:val="Tabletext"/>
            </w:pPr>
            <w:r w:rsidRPr="004A5227">
              <w:t>Gympie</w:t>
            </w:r>
          </w:p>
          <w:p w:rsidR="0099128F" w:rsidRPr="004A5227" w:rsidRDefault="0099128F" w:rsidP="0099128F">
            <w:pPr>
              <w:pStyle w:val="Tabletext"/>
            </w:pPr>
            <w:r w:rsidRPr="004A5227">
              <w:t>Nambour</w:t>
            </w:r>
          </w:p>
          <w:p w:rsidR="0099128F" w:rsidRPr="004A5227" w:rsidRDefault="0099128F" w:rsidP="0099128F">
            <w:pPr>
              <w:pStyle w:val="Tabletext"/>
            </w:pPr>
          </w:p>
          <w:p w:rsidR="0099128F" w:rsidRPr="004A5227" w:rsidRDefault="0099128F" w:rsidP="0099128F">
            <w:pPr>
              <w:pStyle w:val="Tabletext"/>
            </w:pPr>
            <w:r w:rsidRPr="004A5227">
              <w:t xml:space="preserve">The following standard zone units in </w:t>
            </w:r>
            <w:proofErr w:type="spellStart"/>
            <w:r w:rsidRPr="004A5227">
              <w:t>Esk</w:t>
            </w:r>
            <w:proofErr w:type="spellEnd"/>
            <w:r w:rsidRPr="004A5227">
              <w:t xml:space="preserve"> charging district:</w:t>
            </w:r>
          </w:p>
          <w:p w:rsidR="004C3E58" w:rsidRPr="004A5227" w:rsidRDefault="0099128F" w:rsidP="0099128F">
            <w:pPr>
              <w:pStyle w:val="Tabletext"/>
            </w:pPr>
            <w:r w:rsidRPr="004A5227">
              <w:lastRenderedPageBreak/>
              <w:t xml:space="preserve">Coominya, </w:t>
            </w:r>
            <w:proofErr w:type="spellStart"/>
            <w:r w:rsidRPr="004A5227">
              <w:t>Crossdale</w:t>
            </w:r>
            <w:proofErr w:type="spellEnd"/>
            <w:r w:rsidRPr="004A5227">
              <w:t xml:space="preserve">, </w:t>
            </w:r>
            <w:proofErr w:type="spellStart"/>
            <w:r w:rsidRPr="004A5227">
              <w:t>Esk</w:t>
            </w:r>
            <w:proofErr w:type="spellEnd"/>
            <w:r w:rsidRPr="004A5227">
              <w:t>, Lowood, Moore, Toogoolawah</w:t>
            </w:r>
          </w:p>
        </w:tc>
      </w:tr>
      <w:tr w:rsidR="004C3E58" w:rsidRPr="004A5227" w:rsidTr="00ED71A4">
        <w:tc>
          <w:tcPr>
            <w:tcW w:w="714" w:type="dxa"/>
            <w:shd w:val="clear" w:color="auto" w:fill="auto"/>
          </w:tcPr>
          <w:p w:rsidR="004C3E58" w:rsidRPr="004A5227" w:rsidRDefault="004C3E58" w:rsidP="00CE24F1">
            <w:pPr>
              <w:pStyle w:val="Tabletext"/>
            </w:pPr>
            <w:r w:rsidRPr="004A5227">
              <w:lastRenderedPageBreak/>
              <w:t>60</w:t>
            </w:r>
          </w:p>
        </w:tc>
        <w:tc>
          <w:tcPr>
            <w:tcW w:w="2825" w:type="dxa"/>
            <w:shd w:val="clear" w:color="auto" w:fill="auto"/>
          </w:tcPr>
          <w:p w:rsidR="004C3E58" w:rsidRPr="004A5227" w:rsidRDefault="004C3E58" w:rsidP="00CE24F1">
            <w:pPr>
              <w:pStyle w:val="Tabletext"/>
            </w:pPr>
            <w:r w:rsidRPr="004A5227">
              <w:t>(07) 54</w:t>
            </w:r>
          </w:p>
        </w:tc>
        <w:tc>
          <w:tcPr>
            <w:tcW w:w="4773" w:type="dxa"/>
            <w:shd w:val="clear" w:color="auto" w:fill="auto"/>
          </w:tcPr>
          <w:p w:rsidR="0099128F" w:rsidRPr="004A5227" w:rsidRDefault="0099128F" w:rsidP="0099128F">
            <w:pPr>
              <w:pStyle w:val="Tabletext"/>
            </w:pPr>
            <w:r w:rsidRPr="004A5227">
              <w:t>The following charging districts:</w:t>
            </w:r>
          </w:p>
          <w:p w:rsidR="0099128F" w:rsidRPr="004A5227" w:rsidRDefault="0099128F" w:rsidP="0099128F">
            <w:pPr>
              <w:pStyle w:val="Tabletext"/>
            </w:pPr>
            <w:r w:rsidRPr="004A5227">
              <w:t>Caboolture</w:t>
            </w:r>
          </w:p>
          <w:p w:rsidR="0099128F" w:rsidRPr="004A5227" w:rsidRDefault="0099128F" w:rsidP="0099128F">
            <w:pPr>
              <w:pStyle w:val="Tabletext"/>
            </w:pPr>
            <w:r w:rsidRPr="004A5227">
              <w:t>Gatton</w:t>
            </w:r>
          </w:p>
          <w:p w:rsidR="0099128F" w:rsidRPr="004A5227" w:rsidRDefault="0099128F" w:rsidP="0099128F">
            <w:pPr>
              <w:pStyle w:val="Tabletext"/>
            </w:pPr>
            <w:r w:rsidRPr="004A5227">
              <w:t>Gympie</w:t>
            </w:r>
          </w:p>
          <w:p w:rsidR="0099128F" w:rsidRPr="004A5227" w:rsidRDefault="0099128F" w:rsidP="0099128F">
            <w:pPr>
              <w:pStyle w:val="Tabletext"/>
            </w:pPr>
            <w:r w:rsidRPr="004A5227">
              <w:t>Nambour</w:t>
            </w:r>
          </w:p>
          <w:p w:rsidR="0099128F" w:rsidRPr="004A5227" w:rsidRDefault="0099128F" w:rsidP="0099128F">
            <w:pPr>
              <w:pStyle w:val="Tabletext"/>
            </w:pPr>
          </w:p>
          <w:p w:rsidR="0099128F" w:rsidRPr="004A5227" w:rsidRDefault="0099128F" w:rsidP="0099128F">
            <w:pPr>
              <w:pStyle w:val="Tabletext"/>
            </w:pPr>
            <w:r w:rsidRPr="004A5227">
              <w:t xml:space="preserve">The following standard zone units in </w:t>
            </w:r>
            <w:proofErr w:type="spellStart"/>
            <w:r w:rsidRPr="004A5227">
              <w:t>Esk</w:t>
            </w:r>
            <w:proofErr w:type="spellEnd"/>
            <w:r w:rsidRPr="004A5227">
              <w:t xml:space="preserve"> charging district:</w:t>
            </w:r>
          </w:p>
          <w:p w:rsidR="004C3E58" w:rsidRPr="004A5227" w:rsidRDefault="0099128F" w:rsidP="0099128F">
            <w:pPr>
              <w:pStyle w:val="Tabletext"/>
            </w:pPr>
            <w:r w:rsidRPr="004A5227">
              <w:t xml:space="preserve">Coominya, </w:t>
            </w:r>
            <w:proofErr w:type="spellStart"/>
            <w:r w:rsidRPr="004A5227">
              <w:t>Crossdale</w:t>
            </w:r>
            <w:proofErr w:type="spellEnd"/>
            <w:r w:rsidRPr="004A5227">
              <w:t xml:space="preserve">, </w:t>
            </w:r>
            <w:proofErr w:type="spellStart"/>
            <w:r w:rsidRPr="004A5227">
              <w:t>Esk</w:t>
            </w:r>
            <w:proofErr w:type="spellEnd"/>
            <w:r w:rsidRPr="004A5227">
              <w:t>, Lowood, Moore, Toogoolawah</w:t>
            </w:r>
          </w:p>
        </w:tc>
      </w:tr>
      <w:tr w:rsidR="004C3E58" w:rsidRPr="004A5227" w:rsidTr="00ED71A4">
        <w:tc>
          <w:tcPr>
            <w:tcW w:w="714" w:type="dxa"/>
            <w:shd w:val="clear" w:color="auto" w:fill="auto"/>
          </w:tcPr>
          <w:p w:rsidR="004C3E58" w:rsidRPr="004A5227" w:rsidRDefault="004C3E58" w:rsidP="00CE24F1">
            <w:pPr>
              <w:pStyle w:val="Tabletext"/>
            </w:pPr>
            <w:r w:rsidRPr="004A5227">
              <w:t>61</w:t>
            </w:r>
          </w:p>
        </w:tc>
        <w:tc>
          <w:tcPr>
            <w:tcW w:w="2825" w:type="dxa"/>
            <w:shd w:val="clear" w:color="auto" w:fill="auto"/>
          </w:tcPr>
          <w:p w:rsidR="004C3E58" w:rsidRPr="004A5227" w:rsidRDefault="004C3E58" w:rsidP="00CE24F1">
            <w:pPr>
              <w:pStyle w:val="Tabletext"/>
            </w:pPr>
            <w:r w:rsidRPr="004A5227">
              <w:t>(07) 55 (except (07) 5550)</w:t>
            </w:r>
          </w:p>
        </w:tc>
        <w:tc>
          <w:tcPr>
            <w:tcW w:w="4773" w:type="dxa"/>
            <w:shd w:val="clear" w:color="auto" w:fill="auto"/>
          </w:tcPr>
          <w:p w:rsidR="004C3E58" w:rsidRPr="004A5227" w:rsidRDefault="004C3E58" w:rsidP="00CE24F1">
            <w:pPr>
              <w:pStyle w:val="Tabletext"/>
            </w:pPr>
            <w:r w:rsidRPr="004A5227">
              <w:t>Beaudesert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62</w:t>
            </w:r>
          </w:p>
        </w:tc>
        <w:tc>
          <w:tcPr>
            <w:tcW w:w="2825" w:type="dxa"/>
            <w:shd w:val="clear" w:color="auto" w:fill="auto"/>
          </w:tcPr>
          <w:p w:rsidR="004C3E58" w:rsidRPr="004A5227" w:rsidRDefault="004C3E58" w:rsidP="00ED71A4">
            <w:pPr>
              <w:pStyle w:val="Tabletext"/>
            </w:pPr>
            <w:r w:rsidRPr="004A5227">
              <w:t>(07) 56</w:t>
            </w:r>
          </w:p>
        </w:tc>
        <w:tc>
          <w:tcPr>
            <w:tcW w:w="4773" w:type="dxa"/>
            <w:shd w:val="clear" w:color="auto" w:fill="auto"/>
          </w:tcPr>
          <w:p w:rsidR="004C3E58" w:rsidRPr="004A5227" w:rsidRDefault="004C3E58" w:rsidP="00ED71A4">
            <w:pPr>
              <w:pStyle w:val="Tabletext"/>
            </w:pPr>
            <w:r w:rsidRPr="004A5227">
              <w:t>Beaudesert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63</w:t>
            </w:r>
          </w:p>
        </w:tc>
        <w:tc>
          <w:tcPr>
            <w:tcW w:w="2825" w:type="dxa"/>
            <w:shd w:val="clear" w:color="auto" w:fill="auto"/>
          </w:tcPr>
          <w:p w:rsidR="004C3E58" w:rsidRPr="004A5227" w:rsidRDefault="004C3E58" w:rsidP="00ED71A4">
            <w:pPr>
              <w:pStyle w:val="Tabletext"/>
            </w:pPr>
            <w:r w:rsidRPr="004A5227">
              <w:t>(07) 57</w:t>
            </w:r>
          </w:p>
        </w:tc>
        <w:tc>
          <w:tcPr>
            <w:tcW w:w="4773" w:type="dxa"/>
            <w:shd w:val="clear" w:color="auto" w:fill="auto"/>
          </w:tcPr>
          <w:p w:rsidR="004C3E58" w:rsidRPr="004A5227" w:rsidRDefault="004C3E58" w:rsidP="00ED71A4">
            <w:pPr>
              <w:pStyle w:val="Tabletext"/>
            </w:pPr>
            <w:r w:rsidRPr="004A5227">
              <w:t>Beaudesert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64</w:t>
            </w:r>
          </w:p>
        </w:tc>
        <w:tc>
          <w:tcPr>
            <w:tcW w:w="2825" w:type="dxa"/>
            <w:shd w:val="clear" w:color="auto" w:fill="auto"/>
          </w:tcPr>
          <w:p w:rsidR="004C3E58" w:rsidRPr="004A5227" w:rsidRDefault="004C3E58" w:rsidP="00ED71A4">
            <w:pPr>
              <w:pStyle w:val="Tabletext"/>
            </w:pPr>
            <w:r w:rsidRPr="004A5227">
              <w:t>(07) 70</w:t>
            </w:r>
          </w:p>
        </w:tc>
        <w:tc>
          <w:tcPr>
            <w:tcW w:w="4773" w:type="dxa"/>
            <w:shd w:val="clear" w:color="auto" w:fill="auto"/>
          </w:tcPr>
          <w:p w:rsidR="004C3E58" w:rsidRPr="004A5227" w:rsidRDefault="004C3E58" w:rsidP="00ED71A4">
            <w:pPr>
              <w:pStyle w:val="Tabletext"/>
            </w:pPr>
            <w:r w:rsidRPr="004A5227">
              <w:t>Cairns charging district</w:t>
            </w:r>
          </w:p>
        </w:tc>
      </w:tr>
      <w:tr w:rsidR="004C3E58" w:rsidRPr="004A5227" w:rsidTr="00ED71A4">
        <w:tc>
          <w:tcPr>
            <w:tcW w:w="714" w:type="dxa"/>
            <w:shd w:val="clear" w:color="auto" w:fill="auto"/>
          </w:tcPr>
          <w:p w:rsidR="004C3E58" w:rsidRPr="004A5227" w:rsidRDefault="004C3E58" w:rsidP="00ED71A4">
            <w:pPr>
              <w:pStyle w:val="Tabletext"/>
            </w:pPr>
            <w:r w:rsidRPr="004A5227">
              <w:t>65</w:t>
            </w:r>
          </w:p>
        </w:tc>
        <w:tc>
          <w:tcPr>
            <w:tcW w:w="2825" w:type="dxa"/>
            <w:shd w:val="clear" w:color="auto" w:fill="auto"/>
          </w:tcPr>
          <w:p w:rsidR="004C3E58" w:rsidRPr="004A5227" w:rsidRDefault="004C3E58" w:rsidP="00ED71A4">
            <w:pPr>
              <w:pStyle w:val="Tabletext"/>
            </w:pPr>
            <w:r w:rsidRPr="004A5227">
              <w:t>(07) 75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t>Dalby</w:t>
            </w:r>
          </w:p>
          <w:p w:rsidR="004C3E58" w:rsidRPr="004A5227" w:rsidRDefault="004C3E58" w:rsidP="00ED71A4">
            <w:pPr>
              <w:pStyle w:val="Tabletext"/>
            </w:pPr>
            <w:r w:rsidRPr="004A5227">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t>Toowoomba</w:t>
            </w:r>
          </w:p>
          <w:p w:rsidR="004C3E58" w:rsidRPr="004A5227" w:rsidRDefault="004C3E58" w:rsidP="00ED71A4">
            <w:pPr>
              <w:pStyle w:val="Tabletext"/>
            </w:pPr>
            <w:r w:rsidRPr="004A5227">
              <w:t>Warwick</w:t>
            </w:r>
          </w:p>
        </w:tc>
      </w:tr>
      <w:tr w:rsidR="004C3E58" w:rsidRPr="004A5227" w:rsidTr="00ED71A4">
        <w:tc>
          <w:tcPr>
            <w:tcW w:w="714" w:type="dxa"/>
            <w:shd w:val="clear" w:color="auto" w:fill="auto"/>
          </w:tcPr>
          <w:p w:rsidR="004C3E58" w:rsidRPr="004A5227" w:rsidRDefault="004C3E58" w:rsidP="00ED71A4">
            <w:pPr>
              <w:pStyle w:val="Tabletext"/>
            </w:pPr>
            <w:r w:rsidRPr="004A5227">
              <w:t>66</w:t>
            </w:r>
          </w:p>
        </w:tc>
        <w:tc>
          <w:tcPr>
            <w:tcW w:w="2825" w:type="dxa"/>
            <w:shd w:val="clear" w:color="auto" w:fill="auto"/>
          </w:tcPr>
          <w:p w:rsidR="004C3E58" w:rsidRPr="004A5227" w:rsidRDefault="004C3E58" w:rsidP="00ED71A4">
            <w:pPr>
              <w:pStyle w:val="Tabletext"/>
            </w:pPr>
            <w:r w:rsidRPr="004A5227">
              <w:t>(07) 76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Charleville</w:t>
            </w:r>
          </w:p>
          <w:p w:rsidR="004C3E58" w:rsidRPr="004A5227" w:rsidRDefault="004C3E58" w:rsidP="00ED71A4">
            <w:pPr>
              <w:pStyle w:val="Tabletext"/>
            </w:pPr>
            <w:r w:rsidRPr="004A5227">
              <w:t>Dalby</w:t>
            </w:r>
          </w:p>
          <w:p w:rsidR="004C3E58" w:rsidRPr="004A5227" w:rsidRDefault="004C3E58" w:rsidP="00ED71A4">
            <w:pPr>
              <w:pStyle w:val="Tabletext"/>
            </w:pPr>
            <w:r w:rsidRPr="004A5227">
              <w:t>Dirranbandi</w:t>
            </w:r>
          </w:p>
          <w:p w:rsidR="004C3E58" w:rsidRPr="004A5227" w:rsidRDefault="004C3E58" w:rsidP="00ED71A4">
            <w:pPr>
              <w:pStyle w:val="Tabletext"/>
            </w:pPr>
            <w:r w:rsidRPr="004A5227">
              <w:t>Goondiwindi</w:t>
            </w:r>
          </w:p>
          <w:p w:rsidR="004C3E58" w:rsidRPr="004A5227" w:rsidRDefault="004C3E58" w:rsidP="00ED71A4">
            <w:pPr>
              <w:pStyle w:val="Tabletext"/>
            </w:pPr>
            <w:r w:rsidRPr="004A5227">
              <w:t>Inglewood</w:t>
            </w:r>
          </w:p>
          <w:p w:rsidR="004C3E58" w:rsidRPr="004A5227" w:rsidRDefault="004C3E58" w:rsidP="00ED71A4">
            <w:pPr>
              <w:pStyle w:val="Tabletext"/>
            </w:pPr>
            <w:r w:rsidRPr="004A5227">
              <w:t>Longreach</w:t>
            </w:r>
          </w:p>
          <w:p w:rsidR="004C3E58" w:rsidRPr="004A5227" w:rsidRDefault="004C3E58" w:rsidP="00ED71A4">
            <w:pPr>
              <w:pStyle w:val="Tabletext"/>
            </w:pPr>
            <w:r w:rsidRPr="004A5227">
              <w:t>Miles</w:t>
            </w:r>
          </w:p>
          <w:p w:rsidR="004C3E58" w:rsidRPr="004A5227" w:rsidRDefault="004C3E58" w:rsidP="00ED71A4">
            <w:pPr>
              <w:pStyle w:val="Tabletext"/>
            </w:pPr>
            <w:r w:rsidRPr="004A5227">
              <w:t>Roma</w:t>
            </w:r>
          </w:p>
          <w:p w:rsidR="004C3E58" w:rsidRPr="004A5227" w:rsidRDefault="004C3E58" w:rsidP="00ED71A4">
            <w:pPr>
              <w:pStyle w:val="Tabletext"/>
            </w:pPr>
            <w:r w:rsidRPr="004A5227">
              <w:t>Stanthorpe</w:t>
            </w:r>
          </w:p>
          <w:p w:rsidR="004C3E58" w:rsidRPr="004A5227" w:rsidRDefault="004C3E58" w:rsidP="00ED71A4">
            <w:pPr>
              <w:pStyle w:val="Tabletext"/>
            </w:pPr>
            <w:r w:rsidRPr="004A5227">
              <w:t>Toowoomba</w:t>
            </w:r>
          </w:p>
          <w:p w:rsidR="004C3E58" w:rsidRPr="004A5227" w:rsidRDefault="004C3E58" w:rsidP="00ED71A4">
            <w:pPr>
              <w:pStyle w:val="Tabletext"/>
            </w:pPr>
            <w:r w:rsidRPr="004A5227">
              <w:t>Warwick</w:t>
            </w:r>
          </w:p>
        </w:tc>
      </w:tr>
      <w:tr w:rsidR="004C3E58" w:rsidRPr="004A5227" w:rsidTr="00ED71A4">
        <w:tc>
          <w:tcPr>
            <w:tcW w:w="714" w:type="dxa"/>
            <w:tcBorders>
              <w:bottom w:val="single" w:sz="4" w:space="0" w:color="auto"/>
            </w:tcBorders>
            <w:shd w:val="clear" w:color="auto" w:fill="auto"/>
          </w:tcPr>
          <w:p w:rsidR="004C3E58" w:rsidRPr="004A5227" w:rsidRDefault="004C3E58" w:rsidP="00ED71A4">
            <w:pPr>
              <w:pStyle w:val="Tabletext"/>
            </w:pPr>
            <w:r w:rsidRPr="004A5227">
              <w:lastRenderedPageBreak/>
              <w:t>67</w:t>
            </w:r>
          </w:p>
        </w:tc>
        <w:tc>
          <w:tcPr>
            <w:tcW w:w="2825" w:type="dxa"/>
            <w:tcBorders>
              <w:bottom w:val="single" w:sz="4" w:space="0" w:color="auto"/>
            </w:tcBorders>
            <w:shd w:val="clear" w:color="auto" w:fill="auto"/>
          </w:tcPr>
          <w:p w:rsidR="004C3E58" w:rsidRPr="004A5227" w:rsidRDefault="004C3E58" w:rsidP="00ED71A4">
            <w:pPr>
              <w:pStyle w:val="Tabletext"/>
            </w:pPr>
            <w:r w:rsidRPr="004A5227">
              <w:t>(07) 77</w:t>
            </w:r>
          </w:p>
        </w:tc>
        <w:tc>
          <w:tcPr>
            <w:tcW w:w="4773" w:type="dxa"/>
            <w:tcBorders>
              <w:bottom w:val="single" w:sz="4" w:space="0" w:color="auto"/>
            </w:tcBorders>
            <w:shd w:val="clear" w:color="auto" w:fill="auto"/>
          </w:tcPr>
          <w:p w:rsidR="004C3E58" w:rsidRPr="004A5227" w:rsidRDefault="004C3E58" w:rsidP="00ED71A4">
            <w:pPr>
              <w:pStyle w:val="Tabletext"/>
            </w:pPr>
            <w:r w:rsidRPr="004A5227">
              <w:t>Cloncurry, Hughenden and Townsville charging districts</w:t>
            </w:r>
          </w:p>
        </w:tc>
      </w:tr>
      <w:tr w:rsidR="004C3E58" w:rsidRPr="004A5227" w:rsidTr="00ED71A4">
        <w:tc>
          <w:tcPr>
            <w:tcW w:w="714" w:type="dxa"/>
            <w:tcBorders>
              <w:bottom w:val="single" w:sz="12" w:space="0" w:color="auto"/>
            </w:tcBorders>
            <w:shd w:val="clear" w:color="auto" w:fill="auto"/>
          </w:tcPr>
          <w:p w:rsidR="004C3E58" w:rsidRPr="004A5227" w:rsidRDefault="004C3E58" w:rsidP="00ED71A4">
            <w:pPr>
              <w:pStyle w:val="Tabletext"/>
            </w:pPr>
            <w:r w:rsidRPr="004A5227">
              <w:t>68</w:t>
            </w:r>
          </w:p>
        </w:tc>
        <w:tc>
          <w:tcPr>
            <w:tcW w:w="2825" w:type="dxa"/>
            <w:tcBorders>
              <w:bottom w:val="single" w:sz="12" w:space="0" w:color="auto"/>
            </w:tcBorders>
            <w:shd w:val="clear" w:color="auto" w:fill="auto"/>
          </w:tcPr>
          <w:p w:rsidR="004C3E58" w:rsidRPr="004A5227" w:rsidRDefault="004C3E58" w:rsidP="00ED71A4">
            <w:pPr>
              <w:pStyle w:val="Tabletext"/>
            </w:pPr>
            <w:r w:rsidRPr="004A5227">
              <w:t>(07) 79</w:t>
            </w:r>
          </w:p>
        </w:tc>
        <w:tc>
          <w:tcPr>
            <w:tcW w:w="4773" w:type="dxa"/>
            <w:tcBorders>
              <w:bottom w:val="single" w:sz="12" w:space="0" w:color="auto"/>
            </w:tcBorders>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Biloela</w:t>
            </w:r>
          </w:p>
          <w:p w:rsidR="004C3E58" w:rsidRPr="004A5227" w:rsidRDefault="004C3E58" w:rsidP="00ED71A4">
            <w:pPr>
              <w:pStyle w:val="Tabletext"/>
            </w:pPr>
            <w:r w:rsidRPr="004A5227">
              <w:t>Emerald</w:t>
            </w:r>
          </w:p>
          <w:p w:rsidR="004C3E58" w:rsidRPr="004A5227" w:rsidRDefault="004C3E58" w:rsidP="00ED71A4">
            <w:pPr>
              <w:pStyle w:val="Tabletext"/>
            </w:pPr>
            <w:r w:rsidRPr="004A5227">
              <w:t>Gladstone</w:t>
            </w:r>
          </w:p>
          <w:p w:rsidR="004C3E58" w:rsidRPr="004A5227" w:rsidRDefault="004C3E58" w:rsidP="00ED71A4">
            <w:pPr>
              <w:pStyle w:val="Tabletext"/>
            </w:pPr>
            <w:r w:rsidRPr="004A5227">
              <w:t>Mackay</w:t>
            </w:r>
          </w:p>
          <w:p w:rsidR="004C3E58" w:rsidRPr="004A5227" w:rsidRDefault="004C3E58" w:rsidP="00ED71A4">
            <w:pPr>
              <w:pStyle w:val="Tabletext"/>
            </w:pPr>
            <w:r w:rsidRPr="004A5227">
              <w:t>Rockhampton</w:t>
            </w:r>
          </w:p>
        </w:tc>
      </w:tr>
    </w:tbl>
    <w:p w:rsidR="004C3E58" w:rsidRPr="004A5227" w:rsidRDefault="004C3E58" w:rsidP="004C3E58">
      <w:pPr>
        <w:pStyle w:val="ActHead5"/>
      </w:pPr>
      <w:bookmarkStart w:id="194" w:name="_Toc413419192"/>
      <w:r w:rsidRPr="004A5227">
        <w:rPr>
          <w:rStyle w:val="CharSectno"/>
        </w:rPr>
        <w:t>4</w:t>
      </w:r>
      <w:r w:rsidRPr="004A5227">
        <w:t xml:space="preserve">  Central and West Region</w:t>
      </w:r>
      <w:bookmarkEnd w:id="194"/>
    </w:p>
    <w:p w:rsidR="004C3E58" w:rsidRPr="004A5227" w:rsidRDefault="004C3E58" w:rsidP="004C3E58">
      <w:pPr>
        <w:pStyle w:val="subsection"/>
      </w:pPr>
      <w:r w:rsidRPr="004A5227">
        <w:tab/>
      </w:r>
      <w:r w:rsidRPr="004A5227">
        <w:tab/>
        <w:t>The following table sets out the form of geographic numbers for use in Western Australia, South Australia, the Northern Territory and parts of western New South Wales.</w:t>
      </w:r>
    </w:p>
    <w:p w:rsidR="004C3E58" w:rsidRPr="004A5227" w:rsidRDefault="004C3E58" w:rsidP="004C3E5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3E58" w:rsidRPr="004A5227" w:rsidTr="00ED71A4">
        <w:trPr>
          <w:tblHeader/>
        </w:trPr>
        <w:tc>
          <w:tcPr>
            <w:tcW w:w="8312" w:type="dxa"/>
            <w:gridSpan w:val="3"/>
            <w:tcBorders>
              <w:top w:val="single" w:sz="12" w:space="0" w:color="auto"/>
              <w:bottom w:val="single" w:sz="6" w:space="0" w:color="auto"/>
            </w:tcBorders>
            <w:shd w:val="clear" w:color="auto" w:fill="auto"/>
          </w:tcPr>
          <w:p w:rsidR="004C3E58" w:rsidRPr="004A5227" w:rsidRDefault="004C3E58" w:rsidP="00ED71A4">
            <w:pPr>
              <w:pStyle w:val="TableHeading"/>
            </w:pPr>
            <w:r w:rsidRPr="004A5227">
              <w:t>Geographic numbers for Central and West Region</w:t>
            </w:r>
          </w:p>
        </w:tc>
      </w:tr>
      <w:tr w:rsidR="004C3E58" w:rsidRPr="004A5227" w:rsidTr="0027142E">
        <w:trPr>
          <w:tblHeader/>
        </w:trPr>
        <w:tc>
          <w:tcPr>
            <w:tcW w:w="714"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Item</w:t>
            </w:r>
          </w:p>
        </w:tc>
        <w:tc>
          <w:tcPr>
            <w:tcW w:w="2825"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1</w:t>
            </w:r>
          </w:p>
          <w:p w:rsidR="004C3E58" w:rsidRPr="004A5227" w:rsidRDefault="004C3E58" w:rsidP="00ED71A4">
            <w:pPr>
              <w:pStyle w:val="TableHeading"/>
            </w:pPr>
            <w:r w:rsidRPr="004A5227">
              <w:t>Area code and first digits of local number</w:t>
            </w:r>
          </w:p>
        </w:tc>
        <w:tc>
          <w:tcPr>
            <w:tcW w:w="4773" w:type="dxa"/>
            <w:tcBorders>
              <w:top w:val="single" w:sz="6" w:space="0" w:color="auto"/>
              <w:bottom w:val="single" w:sz="12" w:space="0" w:color="auto"/>
            </w:tcBorders>
            <w:shd w:val="clear" w:color="auto" w:fill="auto"/>
          </w:tcPr>
          <w:p w:rsidR="004C3E58" w:rsidRPr="004A5227" w:rsidRDefault="004C3E58" w:rsidP="00ED71A4">
            <w:pPr>
              <w:pStyle w:val="TableHeading"/>
            </w:pPr>
            <w:r w:rsidRPr="004A5227">
              <w:t>Column 2</w:t>
            </w:r>
          </w:p>
          <w:p w:rsidR="004C3E58" w:rsidRPr="004A5227" w:rsidRDefault="004C3E58" w:rsidP="00ED71A4">
            <w:pPr>
              <w:pStyle w:val="TableHeading"/>
            </w:pPr>
            <w:r w:rsidRPr="004A5227">
              <w:t>Localities</w:t>
            </w:r>
          </w:p>
        </w:tc>
      </w:tr>
      <w:tr w:rsidR="004C3E58" w:rsidRPr="004A5227" w:rsidTr="0027142E">
        <w:tc>
          <w:tcPr>
            <w:tcW w:w="714" w:type="dxa"/>
            <w:tcBorders>
              <w:top w:val="single" w:sz="12" w:space="0" w:color="auto"/>
            </w:tcBorders>
            <w:shd w:val="clear" w:color="auto" w:fill="auto"/>
          </w:tcPr>
          <w:p w:rsidR="004C3E58" w:rsidRPr="004A5227" w:rsidRDefault="004C3E58" w:rsidP="00ED71A4">
            <w:pPr>
              <w:pStyle w:val="Tabletext"/>
            </w:pPr>
            <w:r w:rsidRPr="004A5227">
              <w:t>1</w:t>
            </w:r>
          </w:p>
        </w:tc>
        <w:tc>
          <w:tcPr>
            <w:tcW w:w="2825" w:type="dxa"/>
            <w:tcBorders>
              <w:top w:val="single" w:sz="12" w:space="0" w:color="auto"/>
            </w:tcBorders>
            <w:shd w:val="clear" w:color="auto" w:fill="auto"/>
          </w:tcPr>
          <w:p w:rsidR="004C3E58" w:rsidRPr="004A5227" w:rsidRDefault="004C3E58" w:rsidP="00ED71A4">
            <w:pPr>
              <w:pStyle w:val="Tabletext"/>
            </w:pPr>
            <w:r w:rsidRPr="004A5227">
              <w:t>(08) 25</w:t>
            </w:r>
          </w:p>
        </w:tc>
        <w:tc>
          <w:tcPr>
            <w:tcW w:w="4773" w:type="dxa"/>
            <w:tcBorders>
              <w:top w:val="single" w:sz="12" w:space="0" w:color="auto"/>
            </w:tcBorders>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Berri</w:t>
            </w:r>
          </w:p>
          <w:p w:rsidR="004C3E58" w:rsidRPr="004A5227" w:rsidRDefault="004C3E58" w:rsidP="00ED71A4">
            <w:pPr>
              <w:pStyle w:val="Tabletext"/>
            </w:pPr>
            <w:r w:rsidRPr="004A5227">
              <w:t>Gawler</w:t>
            </w:r>
          </w:p>
          <w:p w:rsidR="004C3E58" w:rsidRPr="004A5227" w:rsidRDefault="004C3E58" w:rsidP="00ED71A4">
            <w:pPr>
              <w:pStyle w:val="Tabletext"/>
            </w:pPr>
            <w:r w:rsidRPr="004A5227">
              <w:t>Kangaroo Island</w:t>
            </w:r>
          </w:p>
          <w:p w:rsidR="004C3E58" w:rsidRPr="004A5227" w:rsidRDefault="004C3E58" w:rsidP="00ED71A4">
            <w:pPr>
              <w:pStyle w:val="Tabletext"/>
            </w:pPr>
            <w:proofErr w:type="spellStart"/>
            <w:r w:rsidRPr="004A5227">
              <w:t>Malalla</w:t>
            </w:r>
            <w:proofErr w:type="spellEnd"/>
          </w:p>
          <w:p w:rsidR="004C3E58" w:rsidRPr="004A5227" w:rsidRDefault="004C3E58" w:rsidP="00ED71A4">
            <w:pPr>
              <w:pStyle w:val="Tabletext"/>
            </w:pPr>
            <w:r w:rsidRPr="004A5227">
              <w:t>Murray Bridge</w:t>
            </w:r>
          </w:p>
          <w:p w:rsidR="004C3E58" w:rsidRPr="004A5227" w:rsidRDefault="004C3E58" w:rsidP="00ED71A4">
            <w:pPr>
              <w:pStyle w:val="Tabletext"/>
            </w:pPr>
            <w:proofErr w:type="spellStart"/>
            <w:r w:rsidRPr="004A5227">
              <w:t>Nurioopta</w:t>
            </w:r>
            <w:proofErr w:type="spellEnd"/>
          </w:p>
          <w:p w:rsidR="004C3E58" w:rsidRPr="004A5227" w:rsidRDefault="004C3E58" w:rsidP="00ED71A4">
            <w:pPr>
              <w:pStyle w:val="Tabletext"/>
            </w:pPr>
            <w:r w:rsidRPr="004A5227">
              <w:t>Tailem Bend</w:t>
            </w:r>
          </w:p>
          <w:p w:rsidR="004C3E58" w:rsidRPr="004A5227" w:rsidRDefault="004C3E58" w:rsidP="00ED71A4">
            <w:pPr>
              <w:pStyle w:val="Tabletext"/>
            </w:pPr>
            <w:r w:rsidRPr="004A5227">
              <w:t>Victor Harbour</w:t>
            </w:r>
          </w:p>
          <w:p w:rsidR="004C3E58" w:rsidRPr="004A5227" w:rsidRDefault="004C3E58" w:rsidP="00ED71A4">
            <w:pPr>
              <w:pStyle w:val="Tabletext"/>
            </w:pPr>
            <w:r w:rsidRPr="004A5227">
              <w:t>Waikerie</w:t>
            </w:r>
          </w:p>
        </w:tc>
      </w:tr>
      <w:tr w:rsidR="004C3E58" w:rsidRPr="004A5227" w:rsidTr="0027142E">
        <w:tc>
          <w:tcPr>
            <w:tcW w:w="714" w:type="dxa"/>
            <w:shd w:val="clear" w:color="auto" w:fill="auto"/>
          </w:tcPr>
          <w:p w:rsidR="004C3E58" w:rsidRPr="004A5227" w:rsidRDefault="004C3E58" w:rsidP="00ED71A4">
            <w:pPr>
              <w:pStyle w:val="Tabletext"/>
            </w:pPr>
            <w:r w:rsidRPr="004A5227">
              <w:t>2</w:t>
            </w:r>
          </w:p>
        </w:tc>
        <w:tc>
          <w:tcPr>
            <w:tcW w:w="2825" w:type="dxa"/>
            <w:shd w:val="clear" w:color="auto" w:fill="auto"/>
          </w:tcPr>
          <w:p w:rsidR="004C3E58" w:rsidRPr="004A5227" w:rsidRDefault="004C3E58" w:rsidP="00ED71A4">
            <w:pPr>
              <w:pStyle w:val="Tabletext"/>
            </w:pPr>
            <w:r w:rsidRPr="004A5227">
              <w:t>(08) 26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Ceduna</w:t>
            </w:r>
          </w:p>
          <w:p w:rsidR="004C3E58" w:rsidRPr="004A5227" w:rsidRDefault="004C3E58" w:rsidP="00ED71A4">
            <w:pPr>
              <w:pStyle w:val="Tabletext"/>
            </w:pPr>
            <w:r w:rsidRPr="004A5227">
              <w:t>Cook</w:t>
            </w:r>
          </w:p>
          <w:p w:rsidR="004C3E58" w:rsidRPr="004A5227" w:rsidRDefault="004C3E58" w:rsidP="00ED71A4">
            <w:pPr>
              <w:pStyle w:val="Tabletext"/>
            </w:pPr>
            <w:r w:rsidRPr="004A5227">
              <w:t>Gladstone</w:t>
            </w:r>
          </w:p>
          <w:p w:rsidR="004C3E58" w:rsidRPr="004A5227" w:rsidRDefault="004C3E58" w:rsidP="00ED71A4">
            <w:pPr>
              <w:pStyle w:val="Tabletext"/>
            </w:pPr>
            <w:r w:rsidRPr="004A5227">
              <w:t>Peterborough</w:t>
            </w:r>
          </w:p>
          <w:p w:rsidR="004C3E58" w:rsidRPr="004A5227" w:rsidRDefault="004C3E58" w:rsidP="00ED71A4">
            <w:pPr>
              <w:pStyle w:val="Tabletext"/>
            </w:pPr>
            <w:r w:rsidRPr="004A5227">
              <w:t>Port Augusta</w:t>
            </w:r>
          </w:p>
          <w:p w:rsidR="004C3E58" w:rsidRPr="004A5227" w:rsidRDefault="004C3E58" w:rsidP="00ED71A4">
            <w:pPr>
              <w:pStyle w:val="Tabletext"/>
            </w:pPr>
            <w:r w:rsidRPr="004A5227">
              <w:t>Port Pirie</w:t>
            </w:r>
          </w:p>
          <w:p w:rsidR="004C3E58" w:rsidRPr="004A5227" w:rsidRDefault="004C3E58" w:rsidP="00ED71A4">
            <w:pPr>
              <w:pStyle w:val="Tabletext"/>
            </w:pPr>
            <w:r w:rsidRPr="004A5227">
              <w:t>Woomera</w:t>
            </w:r>
          </w:p>
          <w:p w:rsidR="00AA7A37" w:rsidRPr="004A5227" w:rsidRDefault="00AA7A37" w:rsidP="00ED71A4">
            <w:pPr>
              <w:pStyle w:val="Tabletext"/>
            </w:pPr>
          </w:p>
          <w:p w:rsidR="00AA7A37" w:rsidRPr="004A5227" w:rsidRDefault="00AA7A37" w:rsidP="00ED71A4">
            <w:pPr>
              <w:pStyle w:val="Tabletext"/>
            </w:pPr>
            <w:r w:rsidRPr="004A5227">
              <w:t>The following standard zone units in Port Lincoln charging district:</w:t>
            </w:r>
          </w:p>
          <w:p w:rsidR="00AA7A37" w:rsidRPr="004A5227" w:rsidRDefault="00AA7A37" w:rsidP="0027142E">
            <w:pPr>
              <w:pStyle w:val="Tabletext"/>
            </w:pPr>
            <w:r w:rsidRPr="004A5227">
              <w:t xml:space="preserve">Arno Bay, </w:t>
            </w:r>
            <w:proofErr w:type="spellStart"/>
            <w:r w:rsidRPr="004A5227">
              <w:t>Bayley</w:t>
            </w:r>
            <w:proofErr w:type="spellEnd"/>
            <w:r w:rsidRPr="004A5227">
              <w:t xml:space="preserve"> Plains, Cleve, Coffin Bay, Coulta, </w:t>
            </w:r>
            <w:r w:rsidRPr="004A5227">
              <w:lastRenderedPageBreak/>
              <w:t xml:space="preserve">Cowell, Cummins, </w:t>
            </w:r>
            <w:proofErr w:type="spellStart"/>
            <w:r w:rsidRPr="004A5227">
              <w:t>Darke</w:t>
            </w:r>
            <w:proofErr w:type="spellEnd"/>
            <w:r w:rsidRPr="004A5227">
              <w:t xml:space="preserve"> Peak, Elliston, </w:t>
            </w:r>
            <w:proofErr w:type="spellStart"/>
            <w:r w:rsidRPr="004A5227">
              <w:t>Kapinnie</w:t>
            </w:r>
            <w:proofErr w:type="spellEnd"/>
            <w:r w:rsidRPr="004A5227">
              <w:t xml:space="preserve">, </w:t>
            </w:r>
            <w:proofErr w:type="spellStart"/>
            <w:r w:rsidRPr="004A5227">
              <w:t>Koongawa</w:t>
            </w:r>
            <w:proofErr w:type="spellEnd"/>
            <w:r w:rsidRPr="004A5227">
              <w:t xml:space="preserve">, </w:t>
            </w:r>
            <w:proofErr w:type="spellStart"/>
            <w:r w:rsidRPr="004A5227">
              <w:t>Koppio</w:t>
            </w:r>
            <w:proofErr w:type="spellEnd"/>
            <w:r w:rsidRPr="004A5227">
              <w:t xml:space="preserve">, Kyancutta, Lock, </w:t>
            </w:r>
            <w:proofErr w:type="spellStart"/>
            <w:r w:rsidRPr="004A5227">
              <w:t>Miltalie</w:t>
            </w:r>
            <w:proofErr w:type="spellEnd"/>
            <w:r w:rsidRPr="004A5227">
              <w:t xml:space="preserve">, Minnipa, Mount Hope, Port Lincoln, Port Neill, Rudall, Sheringa, Sleaford Mere, </w:t>
            </w:r>
            <w:proofErr w:type="spellStart"/>
            <w:r w:rsidRPr="004A5227">
              <w:t>Spilsby</w:t>
            </w:r>
            <w:proofErr w:type="spellEnd"/>
            <w:r w:rsidRPr="004A5227">
              <w:t xml:space="preserve">, </w:t>
            </w:r>
            <w:proofErr w:type="spellStart"/>
            <w:r w:rsidRPr="004A5227">
              <w:t>Tooligie</w:t>
            </w:r>
            <w:proofErr w:type="spellEnd"/>
            <w:r w:rsidRPr="004A5227">
              <w:t xml:space="preserve"> Hill, Tumby Bay, Ungarra, Wanilla, Wharminda, Wudinna, </w:t>
            </w:r>
            <w:proofErr w:type="spellStart"/>
            <w:r w:rsidRPr="004A5227">
              <w:t>Yabmana</w:t>
            </w:r>
            <w:proofErr w:type="spellEnd"/>
            <w:r w:rsidRPr="004A5227">
              <w:t>, Yeelanna</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3</w:t>
            </w:r>
          </w:p>
        </w:tc>
        <w:tc>
          <w:tcPr>
            <w:tcW w:w="2825" w:type="dxa"/>
            <w:shd w:val="clear" w:color="auto" w:fill="auto"/>
          </w:tcPr>
          <w:p w:rsidR="004C3E58" w:rsidRPr="004A5227" w:rsidRDefault="004C3E58" w:rsidP="00ED71A4">
            <w:pPr>
              <w:pStyle w:val="Tabletext"/>
            </w:pPr>
            <w:r w:rsidRPr="004A5227">
              <w:t>(08) 51</w:t>
            </w:r>
          </w:p>
        </w:tc>
        <w:tc>
          <w:tcPr>
            <w:tcW w:w="4773" w:type="dxa"/>
            <w:shd w:val="clear" w:color="auto" w:fill="auto"/>
          </w:tcPr>
          <w:p w:rsidR="004C3E58" w:rsidRPr="004A5227" w:rsidRDefault="004C3E58" w:rsidP="00ED71A4">
            <w:pPr>
              <w:pStyle w:val="Tabletext"/>
            </w:pPr>
            <w:r w:rsidRPr="004A5227">
              <w:t>The following charging districts</w:t>
            </w:r>
            <w:r w:rsidR="00AA7A37" w:rsidRPr="004A5227">
              <w:t>:</w:t>
            </w:r>
          </w:p>
          <w:p w:rsidR="004C3E58" w:rsidRPr="004A5227" w:rsidRDefault="004C3E58" w:rsidP="00ED71A4">
            <w:pPr>
              <w:pStyle w:val="Tabletext"/>
            </w:pPr>
            <w:r w:rsidRPr="004A5227">
              <w:t>Christmas Island</w:t>
            </w:r>
          </w:p>
          <w:p w:rsidR="004C3E58" w:rsidRPr="004A5227" w:rsidRDefault="004C3E58" w:rsidP="00ED71A4">
            <w:pPr>
              <w:pStyle w:val="Tabletext"/>
            </w:pPr>
            <w:r w:rsidRPr="004A5227">
              <w:t>Cocos (Keeling) Islands</w:t>
            </w:r>
          </w:p>
          <w:p w:rsidR="004C3E58" w:rsidRPr="004A5227" w:rsidRDefault="004C3E58" w:rsidP="00ED71A4">
            <w:pPr>
              <w:pStyle w:val="Tabletext"/>
            </w:pPr>
            <w:r w:rsidRPr="004A5227">
              <w:t>Derby</w:t>
            </w:r>
          </w:p>
          <w:p w:rsidR="004C3E58" w:rsidRPr="004A5227" w:rsidRDefault="004C3E58" w:rsidP="00ED71A4">
            <w:pPr>
              <w:pStyle w:val="Tabletext"/>
            </w:pPr>
            <w:r w:rsidRPr="004A5227">
              <w:t>Great Sandy</w:t>
            </w:r>
          </w:p>
          <w:p w:rsidR="004C3E58" w:rsidRPr="004A5227" w:rsidRDefault="004C3E58" w:rsidP="00ED71A4">
            <w:pPr>
              <w:pStyle w:val="Tabletext"/>
            </w:pPr>
            <w:r w:rsidRPr="004A5227">
              <w:t>Port Hedland</w:t>
            </w:r>
          </w:p>
        </w:tc>
      </w:tr>
      <w:tr w:rsidR="004C3E58" w:rsidRPr="004A5227" w:rsidTr="0027142E">
        <w:tc>
          <w:tcPr>
            <w:tcW w:w="714" w:type="dxa"/>
            <w:shd w:val="clear" w:color="auto" w:fill="auto"/>
          </w:tcPr>
          <w:p w:rsidR="004C3E58" w:rsidRPr="004A5227" w:rsidRDefault="004C3E58" w:rsidP="00ED71A4">
            <w:pPr>
              <w:pStyle w:val="Tabletext"/>
            </w:pPr>
            <w:r w:rsidRPr="004A5227">
              <w:t>4</w:t>
            </w:r>
          </w:p>
        </w:tc>
        <w:tc>
          <w:tcPr>
            <w:tcW w:w="2825" w:type="dxa"/>
            <w:shd w:val="clear" w:color="auto" w:fill="auto"/>
          </w:tcPr>
          <w:p w:rsidR="004C3E58" w:rsidRPr="004A5227" w:rsidRDefault="004C3E58" w:rsidP="00ED71A4">
            <w:pPr>
              <w:pStyle w:val="Tabletext"/>
            </w:pPr>
            <w:r w:rsidRPr="004A5227">
              <w:t>(08) 52</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w:t>
            </w:r>
          </w:p>
        </w:tc>
        <w:tc>
          <w:tcPr>
            <w:tcW w:w="2825" w:type="dxa"/>
            <w:shd w:val="clear" w:color="auto" w:fill="auto"/>
          </w:tcPr>
          <w:p w:rsidR="004C3E58" w:rsidRPr="004A5227" w:rsidRDefault="004C3E58" w:rsidP="00ED71A4">
            <w:pPr>
              <w:pStyle w:val="Tabletext"/>
            </w:pPr>
            <w:r w:rsidRPr="004A5227">
              <w:t>(08) 53</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w:t>
            </w:r>
          </w:p>
        </w:tc>
        <w:tc>
          <w:tcPr>
            <w:tcW w:w="2825" w:type="dxa"/>
            <w:shd w:val="clear" w:color="auto" w:fill="auto"/>
          </w:tcPr>
          <w:p w:rsidR="004C3E58" w:rsidRPr="004A5227" w:rsidRDefault="004C3E58" w:rsidP="00ED71A4">
            <w:pPr>
              <w:pStyle w:val="Tabletext"/>
            </w:pPr>
            <w:r w:rsidRPr="004A5227">
              <w:t>(08) 54</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w:t>
            </w:r>
          </w:p>
        </w:tc>
        <w:tc>
          <w:tcPr>
            <w:tcW w:w="2825" w:type="dxa"/>
            <w:shd w:val="clear" w:color="auto" w:fill="auto"/>
          </w:tcPr>
          <w:p w:rsidR="004C3E58" w:rsidRPr="004A5227" w:rsidRDefault="004C3E58" w:rsidP="00ED71A4">
            <w:pPr>
              <w:pStyle w:val="Tabletext"/>
            </w:pPr>
            <w:r w:rsidRPr="004A5227">
              <w:t>(08) 55</w:t>
            </w:r>
          </w:p>
        </w:tc>
        <w:tc>
          <w:tcPr>
            <w:tcW w:w="4773" w:type="dxa"/>
            <w:shd w:val="clear" w:color="auto" w:fill="auto"/>
          </w:tcPr>
          <w:p w:rsidR="004C3E58" w:rsidRPr="004A5227" w:rsidRDefault="004C3E58" w:rsidP="00AA7A37">
            <w:pPr>
              <w:pStyle w:val="Tabletext"/>
            </w:pPr>
            <w:r w:rsidRPr="004A5227">
              <w:t xml:space="preserve">Bullsbrook East and Pinjarra charging districts, and Bakers Hill and Toodyay </w:t>
            </w:r>
            <w:r w:rsidR="00AA7A37" w:rsidRPr="004A5227">
              <w:t>standard zone units</w:t>
            </w:r>
            <w:r w:rsidRPr="004A5227">
              <w:t xml:space="preserve"> in Northam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w:t>
            </w:r>
          </w:p>
        </w:tc>
        <w:tc>
          <w:tcPr>
            <w:tcW w:w="2825" w:type="dxa"/>
            <w:shd w:val="clear" w:color="auto" w:fill="auto"/>
          </w:tcPr>
          <w:p w:rsidR="004C3E58" w:rsidRPr="004A5227" w:rsidRDefault="004C3E58" w:rsidP="00ED71A4">
            <w:pPr>
              <w:pStyle w:val="Tabletext"/>
            </w:pPr>
            <w:r w:rsidRPr="004A5227">
              <w:t>(08) 58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Albany</w:t>
            </w:r>
          </w:p>
          <w:p w:rsidR="004C3E58" w:rsidRPr="004A5227" w:rsidRDefault="004C3E58" w:rsidP="00ED71A4">
            <w:pPr>
              <w:pStyle w:val="Tabletext"/>
            </w:pPr>
            <w:r w:rsidRPr="004A5227">
              <w:t>Katanning</w:t>
            </w:r>
          </w:p>
          <w:p w:rsidR="004C3E58" w:rsidRPr="004A5227" w:rsidRDefault="004C3E58" w:rsidP="00ED71A4">
            <w:pPr>
              <w:pStyle w:val="Tabletext"/>
            </w:pPr>
            <w:r w:rsidRPr="004A5227">
              <w:t>Kondinin</w:t>
            </w:r>
          </w:p>
          <w:p w:rsidR="004C3E58" w:rsidRPr="004A5227" w:rsidRDefault="004C3E58" w:rsidP="00ED71A4">
            <w:pPr>
              <w:pStyle w:val="Tabletext"/>
            </w:pPr>
            <w:r w:rsidRPr="004A5227">
              <w:t>Narrogin</w:t>
            </w:r>
          </w:p>
          <w:p w:rsidR="004C3E58" w:rsidRPr="004A5227" w:rsidRDefault="004C3E58" w:rsidP="00ED71A4">
            <w:pPr>
              <w:pStyle w:val="Tabletext"/>
            </w:pPr>
            <w:r w:rsidRPr="004A5227">
              <w:t>Wagin</w:t>
            </w:r>
          </w:p>
        </w:tc>
      </w:tr>
      <w:tr w:rsidR="004C3E58" w:rsidRPr="004A5227" w:rsidTr="0027142E">
        <w:tc>
          <w:tcPr>
            <w:tcW w:w="714" w:type="dxa"/>
            <w:shd w:val="clear" w:color="auto" w:fill="auto"/>
          </w:tcPr>
          <w:p w:rsidR="004C3E58" w:rsidRPr="004A5227" w:rsidRDefault="004C3E58" w:rsidP="00ED71A4">
            <w:pPr>
              <w:pStyle w:val="Tabletext"/>
            </w:pPr>
            <w:r w:rsidRPr="004A5227">
              <w:t>9</w:t>
            </w:r>
          </w:p>
        </w:tc>
        <w:tc>
          <w:tcPr>
            <w:tcW w:w="2825" w:type="dxa"/>
            <w:shd w:val="clear" w:color="auto" w:fill="auto"/>
          </w:tcPr>
          <w:p w:rsidR="004C3E58" w:rsidRPr="004A5227" w:rsidRDefault="004C3E58" w:rsidP="00ED71A4">
            <w:pPr>
              <w:pStyle w:val="Tabletext"/>
            </w:pPr>
            <w:r w:rsidRPr="004A5227">
              <w:t>(08) 60</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Bruce Rock</w:t>
            </w:r>
          </w:p>
          <w:p w:rsidR="004C3E58" w:rsidRPr="004A5227" w:rsidRDefault="004C3E58" w:rsidP="00ED71A4">
            <w:pPr>
              <w:pStyle w:val="Tabletext"/>
            </w:pPr>
            <w:r w:rsidRPr="004A5227">
              <w:t>Great Victoria</w:t>
            </w:r>
          </w:p>
          <w:p w:rsidR="004C3E58" w:rsidRPr="004A5227" w:rsidRDefault="004C3E58" w:rsidP="00ED71A4">
            <w:pPr>
              <w:pStyle w:val="Tabletext"/>
            </w:pPr>
            <w:r w:rsidRPr="004A5227">
              <w:t>Kalgoorlie</w:t>
            </w:r>
          </w:p>
          <w:p w:rsidR="004C3E58" w:rsidRPr="004A5227" w:rsidRDefault="004C3E58" w:rsidP="00ED71A4">
            <w:pPr>
              <w:pStyle w:val="Tabletext"/>
            </w:pPr>
            <w:r w:rsidRPr="004A5227">
              <w:t xml:space="preserve">Merredin </w:t>
            </w:r>
          </w:p>
        </w:tc>
      </w:tr>
      <w:tr w:rsidR="004C3E58" w:rsidRPr="004A5227" w:rsidTr="0027142E">
        <w:tc>
          <w:tcPr>
            <w:tcW w:w="714" w:type="dxa"/>
            <w:shd w:val="clear" w:color="auto" w:fill="auto"/>
          </w:tcPr>
          <w:p w:rsidR="004C3E58" w:rsidRPr="004A5227" w:rsidRDefault="004C3E58" w:rsidP="00ED71A4">
            <w:pPr>
              <w:pStyle w:val="Tabletext"/>
            </w:pPr>
            <w:r w:rsidRPr="004A5227">
              <w:t>10</w:t>
            </w:r>
          </w:p>
        </w:tc>
        <w:tc>
          <w:tcPr>
            <w:tcW w:w="2825" w:type="dxa"/>
            <w:shd w:val="clear" w:color="auto" w:fill="auto"/>
          </w:tcPr>
          <w:p w:rsidR="004C3E58" w:rsidRPr="004A5227" w:rsidRDefault="004C3E58" w:rsidP="00ED71A4">
            <w:pPr>
              <w:pStyle w:val="Tabletext"/>
            </w:pPr>
            <w:r w:rsidRPr="004A5227">
              <w:t>(08) 610</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w:t>
            </w:r>
          </w:p>
        </w:tc>
        <w:tc>
          <w:tcPr>
            <w:tcW w:w="2825" w:type="dxa"/>
            <w:shd w:val="clear" w:color="auto" w:fill="auto"/>
          </w:tcPr>
          <w:p w:rsidR="004C3E58" w:rsidRPr="004A5227" w:rsidRDefault="004C3E58" w:rsidP="00ED71A4">
            <w:pPr>
              <w:pStyle w:val="Tabletext"/>
            </w:pPr>
            <w:r w:rsidRPr="004A5227">
              <w:t>(08) 611</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12</w:t>
            </w:r>
          </w:p>
        </w:tc>
        <w:tc>
          <w:tcPr>
            <w:tcW w:w="2825" w:type="dxa"/>
            <w:shd w:val="clear" w:color="auto" w:fill="auto"/>
          </w:tcPr>
          <w:p w:rsidR="004C3E58" w:rsidRPr="004A5227" w:rsidRDefault="004C3E58" w:rsidP="00ED71A4">
            <w:pPr>
              <w:pStyle w:val="Tabletext"/>
            </w:pPr>
            <w:r w:rsidRPr="004A5227">
              <w:t>(08) 612</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13</w:t>
            </w:r>
          </w:p>
        </w:tc>
        <w:tc>
          <w:tcPr>
            <w:tcW w:w="2825" w:type="dxa"/>
            <w:shd w:val="clear" w:color="auto" w:fill="auto"/>
          </w:tcPr>
          <w:p w:rsidR="004C3E58" w:rsidRPr="004A5227" w:rsidRDefault="004C3E58" w:rsidP="00ED71A4">
            <w:pPr>
              <w:pStyle w:val="Tabletext"/>
            </w:pPr>
            <w:r w:rsidRPr="004A5227">
              <w:t>(08) 613</w:t>
            </w:r>
          </w:p>
        </w:tc>
        <w:tc>
          <w:tcPr>
            <w:tcW w:w="4773" w:type="dxa"/>
            <w:shd w:val="clear" w:color="auto" w:fill="auto"/>
          </w:tcPr>
          <w:p w:rsidR="004C3E58" w:rsidRPr="004A5227" w:rsidRDefault="004C3E58" w:rsidP="00AA7A37">
            <w:pPr>
              <w:pStyle w:val="Tabletext"/>
            </w:pPr>
            <w:r w:rsidRPr="004A5227">
              <w:t xml:space="preserve">Rottnest Island and Spearwood </w:t>
            </w:r>
            <w:r w:rsidR="00AA7A37" w:rsidRPr="004A5227">
              <w:t>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14</w:t>
            </w:r>
          </w:p>
        </w:tc>
        <w:tc>
          <w:tcPr>
            <w:tcW w:w="2825" w:type="dxa"/>
            <w:shd w:val="clear" w:color="auto" w:fill="auto"/>
          </w:tcPr>
          <w:p w:rsidR="004C3E58" w:rsidRPr="004A5227" w:rsidRDefault="004C3E58" w:rsidP="00ED71A4">
            <w:pPr>
              <w:pStyle w:val="Tabletext"/>
            </w:pPr>
            <w:r w:rsidRPr="004A5227">
              <w:t>(08) 614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15</w:t>
            </w:r>
          </w:p>
        </w:tc>
        <w:tc>
          <w:tcPr>
            <w:tcW w:w="2825" w:type="dxa"/>
            <w:shd w:val="clear" w:color="auto" w:fill="auto"/>
          </w:tcPr>
          <w:p w:rsidR="004C3E58" w:rsidRPr="004A5227" w:rsidRDefault="004C3E58" w:rsidP="00ED71A4">
            <w:pPr>
              <w:pStyle w:val="Tabletext"/>
            </w:pPr>
            <w:r w:rsidRPr="004A5227">
              <w:t>(08) 615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16</w:t>
            </w:r>
          </w:p>
        </w:tc>
        <w:tc>
          <w:tcPr>
            <w:tcW w:w="2825" w:type="dxa"/>
            <w:shd w:val="clear" w:color="auto" w:fill="auto"/>
          </w:tcPr>
          <w:p w:rsidR="004C3E58" w:rsidRPr="004A5227" w:rsidRDefault="004C3E58" w:rsidP="00ED71A4">
            <w:pPr>
              <w:pStyle w:val="Tabletext"/>
            </w:pPr>
            <w:r w:rsidRPr="004A5227">
              <w:t>(08) 616</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17</w:t>
            </w:r>
          </w:p>
        </w:tc>
        <w:tc>
          <w:tcPr>
            <w:tcW w:w="2825" w:type="dxa"/>
            <w:shd w:val="clear" w:color="auto" w:fill="auto"/>
          </w:tcPr>
          <w:p w:rsidR="004C3E58" w:rsidRPr="004A5227" w:rsidRDefault="004C3E58" w:rsidP="00ED71A4">
            <w:pPr>
              <w:pStyle w:val="Tabletext"/>
            </w:pPr>
            <w:r w:rsidRPr="004A5227">
              <w:t>(08) 617</w:t>
            </w:r>
          </w:p>
        </w:tc>
        <w:tc>
          <w:tcPr>
            <w:tcW w:w="4773" w:type="dxa"/>
            <w:shd w:val="clear" w:color="auto" w:fill="auto"/>
          </w:tcPr>
          <w:p w:rsidR="004C3E58" w:rsidRPr="004A5227" w:rsidRDefault="004C3E58" w:rsidP="00CD5576">
            <w:pPr>
              <w:pStyle w:val="Tabletext"/>
            </w:pPr>
            <w:r w:rsidRPr="004A5227">
              <w:t xml:space="preserve">Rottnest and Spearwood </w:t>
            </w:r>
            <w:r w:rsidR="00CD5576" w:rsidRPr="004A5227">
              <w:t>standard zone unit</w:t>
            </w:r>
            <w:r w:rsidRPr="004A5227">
              <w:t>s</w:t>
            </w:r>
          </w:p>
        </w:tc>
      </w:tr>
      <w:tr w:rsidR="004C3E58" w:rsidRPr="004A5227" w:rsidTr="0027142E">
        <w:tc>
          <w:tcPr>
            <w:tcW w:w="714" w:type="dxa"/>
            <w:shd w:val="clear" w:color="auto" w:fill="auto"/>
          </w:tcPr>
          <w:p w:rsidR="004C3E58" w:rsidRPr="004A5227" w:rsidRDefault="004C3E58" w:rsidP="00ED71A4">
            <w:pPr>
              <w:pStyle w:val="Tabletext"/>
            </w:pPr>
            <w:r w:rsidRPr="004A5227">
              <w:t>18</w:t>
            </w:r>
          </w:p>
        </w:tc>
        <w:tc>
          <w:tcPr>
            <w:tcW w:w="2825" w:type="dxa"/>
            <w:shd w:val="clear" w:color="auto" w:fill="auto"/>
          </w:tcPr>
          <w:p w:rsidR="004C3E58" w:rsidRPr="004A5227" w:rsidRDefault="004C3E58" w:rsidP="00ED71A4">
            <w:pPr>
              <w:pStyle w:val="Tabletext"/>
            </w:pPr>
            <w:r w:rsidRPr="004A5227">
              <w:t>(08) 618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19</w:t>
            </w:r>
          </w:p>
        </w:tc>
        <w:tc>
          <w:tcPr>
            <w:tcW w:w="2825" w:type="dxa"/>
            <w:shd w:val="clear" w:color="auto" w:fill="auto"/>
          </w:tcPr>
          <w:p w:rsidR="004C3E58" w:rsidRPr="004A5227" w:rsidRDefault="004C3E58" w:rsidP="00ED71A4">
            <w:pPr>
              <w:pStyle w:val="Tabletext"/>
            </w:pPr>
            <w:r w:rsidRPr="004A5227">
              <w:t>(08) 619</w:t>
            </w:r>
          </w:p>
        </w:tc>
        <w:tc>
          <w:tcPr>
            <w:tcW w:w="4773" w:type="dxa"/>
            <w:shd w:val="clear" w:color="auto" w:fill="auto"/>
          </w:tcPr>
          <w:p w:rsidR="004C3E58" w:rsidRPr="004A5227" w:rsidRDefault="00AA7A37" w:rsidP="00ED71A4">
            <w:pPr>
              <w:pStyle w:val="Tabletext"/>
            </w:pPr>
            <w:r w:rsidRPr="004A5227">
              <w:t>The following standard zone units in Perth charging district:</w:t>
            </w:r>
          </w:p>
          <w:p w:rsidR="00AA7A37" w:rsidRPr="004A5227" w:rsidRDefault="00AA7A37" w:rsidP="00ED71A4">
            <w:pPr>
              <w:pStyle w:val="Tabletext"/>
            </w:pPr>
            <w:r w:rsidRPr="004A5227">
              <w:lastRenderedPageBreak/>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20</w:t>
            </w:r>
          </w:p>
        </w:tc>
        <w:tc>
          <w:tcPr>
            <w:tcW w:w="2825" w:type="dxa"/>
            <w:shd w:val="clear" w:color="auto" w:fill="auto"/>
          </w:tcPr>
          <w:p w:rsidR="004C3E58" w:rsidRPr="004A5227" w:rsidRDefault="004C3E58" w:rsidP="00ED71A4">
            <w:pPr>
              <w:pStyle w:val="Tabletext"/>
            </w:pPr>
            <w:r w:rsidRPr="004A5227">
              <w:t>(08) 620</w:t>
            </w:r>
          </w:p>
        </w:tc>
        <w:tc>
          <w:tcPr>
            <w:tcW w:w="4773" w:type="dxa"/>
            <w:shd w:val="clear" w:color="auto" w:fill="auto"/>
          </w:tcPr>
          <w:p w:rsidR="004C3E58" w:rsidRPr="004A5227" w:rsidRDefault="004C3E58" w:rsidP="00AA7A37">
            <w:pPr>
              <w:pStyle w:val="Tabletext"/>
            </w:pPr>
            <w:r w:rsidRPr="004A5227">
              <w:t xml:space="preserve">Wanneroo </w:t>
            </w:r>
            <w:r w:rsidR="00AA7A37"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21</w:t>
            </w:r>
          </w:p>
        </w:tc>
        <w:tc>
          <w:tcPr>
            <w:tcW w:w="2825" w:type="dxa"/>
            <w:shd w:val="clear" w:color="auto" w:fill="auto"/>
          </w:tcPr>
          <w:p w:rsidR="004C3E58" w:rsidRPr="004A5227" w:rsidRDefault="004C3E58" w:rsidP="00ED71A4">
            <w:pPr>
              <w:pStyle w:val="Tabletext"/>
            </w:pPr>
            <w:r w:rsidRPr="004A5227">
              <w:t>(08) 621</w:t>
            </w:r>
          </w:p>
        </w:tc>
        <w:tc>
          <w:tcPr>
            <w:tcW w:w="4773" w:type="dxa"/>
            <w:shd w:val="clear" w:color="auto" w:fill="auto"/>
          </w:tcPr>
          <w:p w:rsidR="004C3E58" w:rsidRPr="004A5227" w:rsidRDefault="00AA7A37" w:rsidP="00AA7A37">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22</w:t>
            </w:r>
          </w:p>
        </w:tc>
        <w:tc>
          <w:tcPr>
            <w:tcW w:w="2825" w:type="dxa"/>
            <w:shd w:val="clear" w:color="auto" w:fill="auto"/>
          </w:tcPr>
          <w:p w:rsidR="004C3E58" w:rsidRPr="004A5227" w:rsidRDefault="004C3E58" w:rsidP="00ED71A4">
            <w:pPr>
              <w:pStyle w:val="Tabletext"/>
            </w:pPr>
            <w:r w:rsidRPr="004A5227">
              <w:t>(08) 622</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23</w:t>
            </w:r>
          </w:p>
        </w:tc>
        <w:tc>
          <w:tcPr>
            <w:tcW w:w="2825" w:type="dxa"/>
            <w:shd w:val="clear" w:color="auto" w:fill="auto"/>
          </w:tcPr>
          <w:p w:rsidR="004C3E58" w:rsidRPr="004A5227" w:rsidRDefault="004C3E58" w:rsidP="00ED71A4">
            <w:pPr>
              <w:pStyle w:val="Tabletext"/>
            </w:pPr>
            <w:r w:rsidRPr="004A5227">
              <w:t>(08) 623</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24</w:t>
            </w:r>
          </w:p>
        </w:tc>
        <w:tc>
          <w:tcPr>
            <w:tcW w:w="2825" w:type="dxa"/>
            <w:shd w:val="clear" w:color="auto" w:fill="auto"/>
          </w:tcPr>
          <w:p w:rsidR="004C3E58" w:rsidRPr="004A5227" w:rsidRDefault="004C3E58" w:rsidP="00ED71A4">
            <w:pPr>
              <w:pStyle w:val="Tabletext"/>
            </w:pPr>
            <w:r w:rsidRPr="004A5227">
              <w:t>(08) 624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25</w:t>
            </w:r>
          </w:p>
        </w:tc>
        <w:tc>
          <w:tcPr>
            <w:tcW w:w="2825" w:type="dxa"/>
            <w:shd w:val="clear" w:color="auto" w:fill="auto"/>
          </w:tcPr>
          <w:p w:rsidR="004C3E58" w:rsidRPr="004A5227" w:rsidRDefault="004C3E58" w:rsidP="00ED71A4">
            <w:pPr>
              <w:pStyle w:val="Tabletext"/>
            </w:pPr>
            <w:r w:rsidRPr="004A5227">
              <w:t>(08) 625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26</w:t>
            </w:r>
          </w:p>
        </w:tc>
        <w:tc>
          <w:tcPr>
            <w:tcW w:w="2825" w:type="dxa"/>
            <w:shd w:val="clear" w:color="auto" w:fill="auto"/>
          </w:tcPr>
          <w:p w:rsidR="004C3E58" w:rsidRPr="004A5227" w:rsidRDefault="004C3E58" w:rsidP="00ED71A4">
            <w:pPr>
              <w:pStyle w:val="Tabletext"/>
            </w:pPr>
            <w:r w:rsidRPr="004A5227">
              <w:t>(08) 626</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27</w:t>
            </w:r>
          </w:p>
        </w:tc>
        <w:tc>
          <w:tcPr>
            <w:tcW w:w="2825" w:type="dxa"/>
            <w:shd w:val="clear" w:color="auto" w:fill="auto"/>
          </w:tcPr>
          <w:p w:rsidR="004C3E58" w:rsidRPr="004A5227" w:rsidRDefault="004C3E58" w:rsidP="00ED71A4">
            <w:pPr>
              <w:pStyle w:val="Tabletext"/>
            </w:pPr>
            <w:r w:rsidRPr="004A5227">
              <w:t>(08) 627</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28</w:t>
            </w:r>
          </w:p>
        </w:tc>
        <w:tc>
          <w:tcPr>
            <w:tcW w:w="2825" w:type="dxa"/>
            <w:shd w:val="clear" w:color="auto" w:fill="auto"/>
          </w:tcPr>
          <w:p w:rsidR="004C3E58" w:rsidRPr="004A5227" w:rsidRDefault="004C3E58" w:rsidP="00ED71A4">
            <w:pPr>
              <w:pStyle w:val="Tabletext"/>
            </w:pPr>
            <w:r w:rsidRPr="004A5227">
              <w:t>(08) 628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29</w:t>
            </w:r>
          </w:p>
        </w:tc>
        <w:tc>
          <w:tcPr>
            <w:tcW w:w="2825" w:type="dxa"/>
            <w:shd w:val="clear" w:color="auto" w:fill="auto"/>
          </w:tcPr>
          <w:p w:rsidR="004C3E58" w:rsidRPr="004A5227" w:rsidRDefault="004C3E58" w:rsidP="00ED71A4">
            <w:pPr>
              <w:pStyle w:val="Tabletext"/>
            </w:pPr>
            <w:r w:rsidRPr="004A5227">
              <w:t>(08) 629</w:t>
            </w:r>
          </w:p>
        </w:tc>
        <w:tc>
          <w:tcPr>
            <w:tcW w:w="4773" w:type="dxa"/>
            <w:shd w:val="clear" w:color="auto" w:fill="auto"/>
          </w:tcPr>
          <w:p w:rsidR="00AA7A37" w:rsidRPr="004A5227" w:rsidRDefault="00AA7A37" w:rsidP="00AA7A37">
            <w:pPr>
              <w:pStyle w:val="Tabletext"/>
            </w:pPr>
            <w:r w:rsidRPr="004A5227">
              <w:t>The following standard zone units in Perth charging district:</w:t>
            </w:r>
          </w:p>
          <w:p w:rsidR="004C3E58" w:rsidRPr="004A5227" w:rsidRDefault="00AA7A37" w:rsidP="00AA7A37">
            <w:pPr>
              <w:pStyle w:val="Tabletext"/>
            </w:pPr>
            <w:r w:rsidRPr="004A5227">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t>30</w:t>
            </w:r>
          </w:p>
        </w:tc>
        <w:tc>
          <w:tcPr>
            <w:tcW w:w="2825" w:type="dxa"/>
            <w:shd w:val="clear" w:color="auto" w:fill="auto"/>
          </w:tcPr>
          <w:p w:rsidR="004C3E58" w:rsidRPr="004A5227" w:rsidRDefault="004C3E58" w:rsidP="00ED71A4">
            <w:pPr>
              <w:pStyle w:val="Tabletext"/>
            </w:pPr>
            <w:r w:rsidRPr="004A5227">
              <w:t>(08) 630</w:t>
            </w:r>
          </w:p>
        </w:tc>
        <w:tc>
          <w:tcPr>
            <w:tcW w:w="4773" w:type="dxa"/>
            <w:shd w:val="clear" w:color="auto" w:fill="auto"/>
          </w:tcPr>
          <w:p w:rsidR="004C3E58" w:rsidRPr="004A5227" w:rsidRDefault="00AA7A37" w:rsidP="00AA7A37">
            <w:pPr>
              <w:pStyle w:val="Tabletext"/>
            </w:pPr>
            <w:r w:rsidRPr="004A5227">
              <w:t>Wanneroo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31</w:t>
            </w:r>
          </w:p>
        </w:tc>
        <w:tc>
          <w:tcPr>
            <w:tcW w:w="2825" w:type="dxa"/>
            <w:shd w:val="clear" w:color="auto" w:fill="auto"/>
          </w:tcPr>
          <w:p w:rsidR="004C3E58" w:rsidRPr="004A5227" w:rsidRDefault="004C3E58" w:rsidP="00ED71A4">
            <w:pPr>
              <w:pStyle w:val="Tabletext"/>
            </w:pPr>
            <w:r w:rsidRPr="004A5227">
              <w:t>(08) 631</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32</w:t>
            </w:r>
          </w:p>
        </w:tc>
        <w:tc>
          <w:tcPr>
            <w:tcW w:w="2825" w:type="dxa"/>
            <w:shd w:val="clear" w:color="auto" w:fill="auto"/>
          </w:tcPr>
          <w:p w:rsidR="004C3E58" w:rsidRPr="004A5227" w:rsidRDefault="004C3E58" w:rsidP="00ED71A4">
            <w:pPr>
              <w:pStyle w:val="Tabletext"/>
            </w:pPr>
            <w:r w:rsidRPr="004A5227">
              <w:t>(08) 632</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33</w:t>
            </w:r>
          </w:p>
        </w:tc>
        <w:tc>
          <w:tcPr>
            <w:tcW w:w="2825" w:type="dxa"/>
            <w:shd w:val="clear" w:color="auto" w:fill="auto"/>
          </w:tcPr>
          <w:p w:rsidR="004C3E58" w:rsidRPr="004A5227" w:rsidRDefault="004C3E58" w:rsidP="00ED71A4">
            <w:pPr>
              <w:pStyle w:val="Tabletext"/>
            </w:pPr>
            <w:r w:rsidRPr="004A5227">
              <w:t>(08) 633</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34</w:t>
            </w:r>
          </w:p>
        </w:tc>
        <w:tc>
          <w:tcPr>
            <w:tcW w:w="2825" w:type="dxa"/>
            <w:shd w:val="clear" w:color="auto" w:fill="auto"/>
          </w:tcPr>
          <w:p w:rsidR="004C3E58" w:rsidRPr="004A5227" w:rsidRDefault="004C3E58" w:rsidP="00ED71A4">
            <w:pPr>
              <w:pStyle w:val="Tabletext"/>
            </w:pPr>
            <w:r w:rsidRPr="004A5227">
              <w:t>(08) 634</w:t>
            </w:r>
          </w:p>
        </w:tc>
        <w:tc>
          <w:tcPr>
            <w:tcW w:w="4773" w:type="dxa"/>
            <w:shd w:val="clear" w:color="auto" w:fill="auto"/>
          </w:tcPr>
          <w:p w:rsidR="004C3E58" w:rsidRPr="004A5227" w:rsidRDefault="00AA7A37" w:rsidP="00AA7A37">
            <w:pPr>
              <w:pStyle w:val="Tabletext"/>
            </w:pPr>
            <w:r w:rsidRPr="004A5227">
              <w:t>Wanneroo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35</w:t>
            </w:r>
          </w:p>
        </w:tc>
        <w:tc>
          <w:tcPr>
            <w:tcW w:w="2825" w:type="dxa"/>
            <w:shd w:val="clear" w:color="auto" w:fill="auto"/>
          </w:tcPr>
          <w:p w:rsidR="004C3E58" w:rsidRPr="004A5227" w:rsidRDefault="004C3E58" w:rsidP="00ED71A4">
            <w:pPr>
              <w:pStyle w:val="Tabletext"/>
            </w:pPr>
            <w:r w:rsidRPr="004A5227">
              <w:t>(08) 635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36</w:t>
            </w:r>
          </w:p>
        </w:tc>
        <w:tc>
          <w:tcPr>
            <w:tcW w:w="2825" w:type="dxa"/>
            <w:shd w:val="clear" w:color="auto" w:fill="auto"/>
          </w:tcPr>
          <w:p w:rsidR="004C3E58" w:rsidRPr="004A5227" w:rsidRDefault="004C3E58" w:rsidP="00ED71A4">
            <w:pPr>
              <w:pStyle w:val="Tabletext"/>
            </w:pPr>
            <w:r w:rsidRPr="004A5227">
              <w:t>(08) 636</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37</w:t>
            </w:r>
          </w:p>
        </w:tc>
        <w:tc>
          <w:tcPr>
            <w:tcW w:w="2825" w:type="dxa"/>
            <w:shd w:val="clear" w:color="auto" w:fill="auto"/>
          </w:tcPr>
          <w:p w:rsidR="004C3E58" w:rsidRPr="004A5227" w:rsidRDefault="004C3E58" w:rsidP="00ED71A4">
            <w:pPr>
              <w:pStyle w:val="Tabletext"/>
            </w:pPr>
            <w:r w:rsidRPr="004A5227">
              <w:t>(08) 637</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38</w:t>
            </w:r>
          </w:p>
        </w:tc>
        <w:tc>
          <w:tcPr>
            <w:tcW w:w="2825" w:type="dxa"/>
            <w:shd w:val="clear" w:color="auto" w:fill="auto"/>
          </w:tcPr>
          <w:p w:rsidR="004C3E58" w:rsidRPr="004A5227" w:rsidRDefault="004C3E58" w:rsidP="00ED71A4">
            <w:pPr>
              <w:pStyle w:val="Tabletext"/>
            </w:pPr>
            <w:r w:rsidRPr="004A5227">
              <w:t>(08) 638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39</w:t>
            </w:r>
          </w:p>
        </w:tc>
        <w:tc>
          <w:tcPr>
            <w:tcW w:w="2825" w:type="dxa"/>
            <w:shd w:val="clear" w:color="auto" w:fill="auto"/>
          </w:tcPr>
          <w:p w:rsidR="004C3E58" w:rsidRPr="004A5227" w:rsidRDefault="004C3E58" w:rsidP="00ED71A4">
            <w:pPr>
              <w:pStyle w:val="Tabletext"/>
            </w:pPr>
            <w:r w:rsidRPr="004A5227">
              <w:t>(08) 639</w:t>
            </w:r>
          </w:p>
        </w:tc>
        <w:tc>
          <w:tcPr>
            <w:tcW w:w="4773" w:type="dxa"/>
            <w:shd w:val="clear" w:color="auto" w:fill="auto"/>
          </w:tcPr>
          <w:p w:rsidR="00AA7A37" w:rsidRPr="004A5227" w:rsidRDefault="00AA7A37" w:rsidP="00AA7A37">
            <w:pPr>
              <w:pStyle w:val="Tabletext"/>
            </w:pPr>
            <w:r w:rsidRPr="004A5227">
              <w:t>The following standard zone units in Perth charging district:</w:t>
            </w:r>
          </w:p>
          <w:p w:rsidR="004C3E58" w:rsidRPr="004A5227" w:rsidRDefault="00AA7A37" w:rsidP="00AA7A37">
            <w:pPr>
              <w:pStyle w:val="Tabletext"/>
            </w:pPr>
            <w:r w:rsidRPr="004A5227">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t>40</w:t>
            </w:r>
          </w:p>
        </w:tc>
        <w:tc>
          <w:tcPr>
            <w:tcW w:w="2825" w:type="dxa"/>
            <w:shd w:val="clear" w:color="auto" w:fill="auto"/>
          </w:tcPr>
          <w:p w:rsidR="004C3E58" w:rsidRPr="004A5227" w:rsidRDefault="004C3E58" w:rsidP="00ED71A4">
            <w:pPr>
              <w:pStyle w:val="Tabletext"/>
            </w:pPr>
            <w:r w:rsidRPr="004A5227">
              <w:t>(08) 640</w:t>
            </w:r>
          </w:p>
        </w:tc>
        <w:tc>
          <w:tcPr>
            <w:tcW w:w="4773" w:type="dxa"/>
            <w:shd w:val="clear" w:color="auto" w:fill="auto"/>
          </w:tcPr>
          <w:p w:rsidR="004C3E58" w:rsidRPr="004A5227" w:rsidRDefault="00AA7A37" w:rsidP="00AA7A37">
            <w:pPr>
              <w:pStyle w:val="Tabletext"/>
            </w:pPr>
            <w:r w:rsidRPr="004A5227">
              <w:t>Perth and Wanneroo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41</w:t>
            </w:r>
          </w:p>
        </w:tc>
        <w:tc>
          <w:tcPr>
            <w:tcW w:w="2825" w:type="dxa"/>
            <w:shd w:val="clear" w:color="auto" w:fill="auto"/>
          </w:tcPr>
          <w:p w:rsidR="004C3E58" w:rsidRPr="004A5227" w:rsidRDefault="004C3E58" w:rsidP="00ED71A4">
            <w:pPr>
              <w:pStyle w:val="Tabletext"/>
            </w:pPr>
            <w:r w:rsidRPr="004A5227">
              <w:t>(08) 641</w:t>
            </w:r>
          </w:p>
        </w:tc>
        <w:tc>
          <w:tcPr>
            <w:tcW w:w="4773" w:type="dxa"/>
            <w:shd w:val="clear" w:color="auto" w:fill="auto"/>
          </w:tcPr>
          <w:p w:rsidR="004C3E58" w:rsidRPr="004A5227" w:rsidRDefault="004C3E58" w:rsidP="00AA7A37">
            <w:pPr>
              <w:pStyle w:val="Tabletext"/>
            </w:pPr>
            <w:r w:rsidRPr="004A5227">
              <w:t xml:space="preserve">Fremantle </w:t>
            </w:r>
            <w:r w:rsidR="00AA7A37" w:rsidRPr="004A5227">
              <w:t>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42</w:t>
            </w:r>
          </w:p>
        </w:tc>
        <w:tc>
          <w:tcPr>
            <w:tcW w:w="2825" w:type="dxa"/>
            <w:shd w:val="clear" w:color="auto" w:fill="auto"/>
          </w:tcPr>
          <w:p w:rsidR="004C3E58" w:rsidRPr="004A5227" w:rsidRDefault="004C3E58" w:rsidP="00ED71A4">
            <w:pPr>
              <w:pStyle w:val="Tabletext"/>
            </w:pPr>
            <w:r w:rsidRPr="004A5227">
              <w:t>(08) 642</w:t>
            </w:r>
          </w:p>
        </w:tc>
        <w:tc>
          <w:tcPr>
            <w:tcW w:w="4773" w:type="dxa"/>
            <w:shd w:val="clear" w:color="auto" w:fill="auto"/>
          </w:tcPr>
          <w:p w:rsidR="004C3E58" w:rsidRPr="004A5227" w:rsidRDefault="00AA7A37" w:rsidP="00ED71A4">
            <w:pPr>
              <w:pStyle w:val="Tabletext"/>
            </w:pPr>
            <w:r w:rsidRPr="004A5227">
              <w:t>Fremantle and Perth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43</w:t>
            </w:r>
          </w:p>
        </w:tc>
        <w:tc>
          <w:tcPr>
            <w:tcW w:w="2825" w:type="dxa"/>
            <w:shd w:val="clear" w:color="auto" w:fill="auto"/>
          </w:tcPr>
          <w:p w:rsidR="004C3E58" w:rsidRPr="004A5227" w:rsidRDefault="004C3E58" w:rsidP="00ED71A4">
            <w:pPr>
              <w:pStyle w:val="Tabletext"/>
            </w:pPr>
            <w:r w:rsidRPr="004A5227">
              <w:t>(08) 643</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44</w:t>
            </w:r>
          </w:p>
        </w:tc>
        <w:tc>
          <w:tcPr>
            <w:tcW w:w="2825" w:type="dxa"/>
            <w:shd w:val="clear" w:color="auto" w:fill="auto"/>
          </w:tcPr>
          <w:p w:rsidR="004C3E58" w:rsidRPr="004A5227" w:rsidRDefault="004C3E58" w:rsidP="00ED71A4">
            <w:pPr>
              <w:pStyle w:val="Tabletext"/>
            </w:pPr>
            <w:r w:rsidRPr="004A5227">
              <w:t>(08) 644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45</w:t>
            </w:r>
          </w:p>
        </w:tc>
        <w:tc>
          <w:tcPr>
            <w:tcW w:w="2825" w:type="dxa"/>
            <w:shd w:val="clear" w:color="auto" w:fill="auto"/>
          </w:tcPr>
          <w:p w:rsidR="004C3E58" w:rsidRPr="004A5227" w:rsidRDefault="004C3E58" w:rsidP="00ED71A4">
            <w:pPr>
              <w:pStyle w:val="Tabletext"/>
            </w:pPr>
            <w:r w:rsidRPr="004A5227">
              <w:t>(08) 645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46</w:t>
            </w:r>
          </w:p>
        </w:tc>
        <w:tc>
          <w:tcPr>
            <w:tcW w:w="2825" w:type="dxa"/>
            <w:shd w:val="clear" w:color="auto" w:fill="auto"/>
          </w:tcPr>
          <w:p w:rsidR="004C3E58" w:rsidRPr="004A5227" w:rsidRDefault="004C3E58" w:rsidP="00ED71A4">
            <w:pPr>
              <w:pStyle w:val="Tabletext"/>
            </w:pPr>
            <w:r w:rsidRPr="004A5227">
              <w:t>(08) 646</w:t>
            </w:r>
          </w:p>
        </w:tc>
        <w:tc>
          <w:tcPr>
            <w:tcW w:w="4773" w:type="dxa"/>
            <w:shd w:val="clear" w:color="auto" w:fill="auto"/>
          </w:tcPr>
          <w:p w:rsidR="004C3E58" w:rsidRPr="004A5227" w:rsidRDefault="004C3E58" w:rsidP="00ED71A4">
            <w:pPr>
              <w:pStyle w:val="Tabletext"/>
            </w:pPr>
            <w:r w:rsidRPr="004A5227">
              <w:t>Perth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47</w:t>
            </w:r>
          </w:p>
        </w:tc>
        <w:tc>
          <w:tcPr>
            <w:tcW w:w="2825" w:type="dxa"/>
            <w:shd w:val="clear" w:color="auto" w:fill="auto"/>
          </w:tcPr>
          <w:p w:rsidR="004C3E58" w:rsidRPr="004A5227" w:rsidRDefault="004C3E58" w:rsidP="00ED71A4">
            <w:pPr>
              <w:pStyle w:val="Tabletext"/>
            </w:pPr>
            <w:r w:rsidRPr="004A5227">
              <w:t>(08) 647</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48</w:t>
            </w:r>
          </w:p>
        </w:tc>
        <w:tc>
          <w:tcPr>
            <w:tcW w:w="2825" w:type="dxa"/>
            <w:shd w:val="clear" w:color="auto" w:fill="auto"/>
          </w:tcPr>
          <w:p w:rsidR="004C3E58" w:rsidRPr="004A5227" w:rsidRDefault="004C3E58" w:rsidP="00ED71A4">
            <w:pPr>
              <w:pStyle w:val="Tabletext"/>
            </w:pPr>
            <w:r w:rsidRPr="004A5227">
              <w:t>(08) 648</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49</w:t>
            </w:r>
          </w:p>
        </w:tc>
        <w:tc>
          <w:tcPr>
            <w:tcW w:w="2825" w:type="dxa"/>
            <w:shd w:val="clear" w:color="auto" w:fill="auto"/>
          </w:tcPr>
          <w:p w:rsidR="004C3E58" w:rsidRPr="004A5227" w:rsidRDefault="004C3E58" w:rsidP="00ED71A4">
            <w:pPr>
              <w:pStyle w:val="Tabletext"/>
            </w:pPr>
            <w:r w:rsidRPr="004A5227">
              <w:t>(08) 649</w:t>
            </w:r>
          </w:p>
        </w:tc>
        <w:tc>
          <w:tcPr>
            <w:tcW w:w="4773" w:type="dxa"/>
            <w:shd w:val="clear" w:color="auto" w:fill="auto"/>
          </w:tcPr>
          <w:p w:rsidR="00D35606" w:rsidRPr="004A5227" w:rsidRDefault="00D35606" w:rsidP="00D35606">
            <w:pPr>
              <w:pStyle w:val="Tabletext"/>
            </w:pPr>
            <w:r w:rsidRPr="004A5227">
              <w:t>The following standard zone units in Perth charging district:</w:t>
            </w:r>
          </w:p>
          <w:p w:rsidR="004C3E58" w:rsidRPr="004A5227" w:rsidRDefault="00D35606" w:rsidP="00D35606">
            <w:pPr>
              <w:pStyle w:val="Tabletext"/>
            </w:pPr>
            <w:r w:rsidRPr="004A5227">
              <w:t>Armadale, Herne Hill, Kalamunda, Rottnest, Spearwood</w:t>
            </w:r>
          </w:p>
        </w:tc>
      </w:tr>
      <w:tr w:rsidR="004C3E58" w:rsidRPr="004A5227" w:rsidTr="0027142E">
        <w:tc>
          <w:tcPr>
            <w:tcW w:w="714" w:type="dxa"/>
            <w:shd w:val="clear" w:color="auto" w:fill="auto"/>
          </w:tcPr>
          <w:p w:rsidR="004C3E58" w:rsidRPr="004A5227" w:rsidRDefault="004C3E58" w:rsidP="00ED71A4">
            <w:pPr>
              <w:pStyle w:val="Tabletext"/>
            </w:pPr>
            <w:r w:rsidRPr="004A5227">
              <w:t>50</w:t>
            </w:r>
          </w:p>
        </w:tc>
        <w:tc>
          <w:tcPr>
            <w:tcW w:w="2825" w:type="dxa"/>
            <w:shd w:val="clear" w:color="auto" w:fill="auto"/>
          </w:tcPr>
          <w:p w:rsidR="004C3E58" w:rsidRPr="004A5227" w:rsidRDefault="004C3E58" w:rsidP="00ED71A4">
            <w:pPr>
              <w:pStyle w:val="Tabletext"/>
            </w:pPr>
            <w:r w:rsidRPr="004A5227">
              <w:t>(08) 650</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51</w:t>
            </w:r>
          </w:p>
        </w:tc>
        <w:tc>
          <w:tcPr>
            <w:tcW w:w="2825" w:type="dxa"/>
            <w:shd w:val="clear" w:color="auto" w:fill="auto"/>
          </w:tcPr>
          <w:p w:rsidR="004C3E58" w:rsidRPr="004A5227" w:rsidRDefault="004C3E58" w:rsidP="00ED71A4">
            <w:pPr>
              <w:pStyle w:val="Tabletext"/>
            </w:pPr>
            <w:r w:rsidRPr="004A5227">
              <w:t>(08) 651</w:t>
            </w:r>
          </w:p>
        </w:tc>
        <w:tc>
          <w:tcPr>
            <w:tcW w:w="4773" w:type="dxa"/>
            <w:shd w:val="clear" w:color="auto" w:fill="auto"/>
          </w:tcPr>
          <w:p w:rsidR="004C3E58" w:rsidRPr="004A5227" w:rsidRDefault="004C3E58" w:rsidP="00D35606">
            <w:pPr>
              <w:pStyle w:val="Tabletext"/>
            </w:pPr>
            <w:r w:rsidRPr="004A5227">
              <w:t xml:space="preserve">Fremantle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52</w:t>
            </w:r>
          </w:p>
        </w:tc>
        <w:tc>
          <w:tcPr>
            <w:tcW w:w="2825" w:type="dxa"/>
            <w:shd w:val="clear" w:color="auto" w:fill="auto"/>
          </w:tcPr>
          <w:p w:rsidR="004C3E58" w:rsidRPr="004A5227" w:rsidRDefault="004C3E58" w:rsidP="00ED71A4">
            <w:pPr>
              <w:pStyle w:val="Tabletext"/>
            </w:pPr>
            <w:r w:rsidRPr="004A5227">
              <w:t>(08) 652</w:t>
            </w:r>
          </w:p>
        </w:tc>
        <w:tc>
          <w:tcPr>
            <w:tcW w:w="4773" w:type="dxa"/>
            <w:shd w:val="clear" w:color="auto" w:fill="auto"/>
          </w:tcPr>
          <w:p w:rsidR="004C3E58" w:rsidRPr="004A5227" w:rsidRDefault="004C3E58" w:rsidP="00D35606">
            <w:pPr>
              <w:pStyle w:val="Tabletext"/>
            </w:pPr>
            <w:r w:rsidRPr="004A5227">
              <w:t xml:space="preserve">Herne Hill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53</w:t>
            </w:r>
          </w:p>
        </w:tc>
        <w:tc>
          <w:tcPr>
            <w:tcW w:w="2825" w:type="dxa"/>
            <w:shd w:val="clear" w:color="auto" w:fill="auto"/>
          </w:tcPr>
          <w:p w:rsidR="004C3E58" w:rsidRPr="004A5227" w:rsidRDefault="004C3E58" w:rsidP="00ED71A4">
            <w:pPr>
              <w:pStyle w:val="Tabletext"/>
            </w:pPr>
            <w:r w:rsidRPr="004A5227">
              <w:t>(08) 653</w:t>
            </w:r>
          </w:p>
        </w:tc>
        <w:tc>
          <w:tcPr>
            <w:tcW w:w="4773" w:type="dxa"/>
            <w:shd w:val="clear" w:color="auto" w:fill="auto"/>
          </w:tcPr>
          <w:p w:rsidR="004C3E58" w:rsidRPr="004A5227" w:rsidRDefault="004C3E58" w:rsidP="00D35606">
            <w:pPr>
              <w:pStyle w:val="Tabletext"/>
            </w:pPr>
            <w:r w:rsidRPr="004A5227">
              <w:t xml:space="preserve">Herne Hill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54</w:t>
            </w:r>
          </w:p>
        </w:tc>
        <w:tc>
          <w:tcPr>
            <w:tcW w:w="2825" w:type="dxa"/>
            <w:shd w:val="clear" w:color="auto" w:fill="auto"/>
          </w:tcPr>
          <w:p w:rsidR="004C3E58" w:rsidRPr="004A5227" w:rsidRDefault="004C3E58" w:rsidP="00ED71A4">
            <w:pPr>
              <w:pStyle w:val="Tabletext"/>
            </w:pPr>
            <w:r w:rsidRPr="004A5227">
              <w:t>(08) 654</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55</w:t>
            </w:r>
          </w:p>
        </w:tc>
        <w:tc>
          <w:tcPr>
            <w:tcW w:w="2825" w:type="dxa"/>
            <w:shd w:val="clear" w:color="auto" w:fill="auto"/>
          </w:tcPr>
          <w:p w:rsidR="004C3E58" w:rsidRPr="004A5227" w:rsidRDefault="004C3E58" w:rsidP="00ED71A4">
            <w:pPr>
              <w:pStyle w:val="Tabletext"/>
            </w:pPr>
            <w:r w:rsidRPr="004A5227">
              <w:t>(08) 655</w:t>
            </w:r>
          </w:p>
        </w:tc>
        <w:tc>
          <w:tcPr>
            <w:tcW w:w="4773" w:type="dxa"/>
            <w:shd w:val="clear" w:color="auto" w:fill="auto"/>
          </w:tcPr>
          <w:p w:rsidR="004C3E58" w:rsidRPr="004A5227" w:rsidRDefault="00AA7A37" w:rsidP="00ED71A4">
            <w:pPr>
              <w:pStyle w:val="Tabletext"/>
            </w:pPr>
            <w:r w:rsidRPr="004A5227">
              <w:t>Perth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56</w:t>
            </w:r>
          </w:p>
        </w:tc>
        <w:tc>
          <w:tcPr>
            <w:tcW w:w="2825" w:type="dxa"/>
            <w:shd w:val="clear" w:color="auto" w:fill="auto"/>
          </w:tcPr>
          <w:p w:rsidR="004C3E58" w:rsidRPr="004A5227" w:rsidRDefault="004C3E58" w:rsidP="00ED71A4">
            <w:pPr>
              <w:pStyle w:val="Tabletext"/>
            </w:pPr>
            <w:r w:rsidRPr="004A5227">
              <w:t>(08) 656</w:t>
            </w:r>
          </w:p>
        </w:tc>
        <w:tc>
          <w:tcPr>
            <w:tcW w:w="4773" w:type="dxa"/>
            <w:shd w:val="clear" w:color="auto" w:fill="auto"/>
          </w:tcPr>
          <w:p w:rsidR="004C3E58" w:rsidRPr="004A5227" w:rsidRDefault="004C3E58" w:rsidP="00D35606">
            <w:pPr>
              <w:pStyle w:val="Tabletext"/>
            </w:pPr>
            <w:r w:rsidRPr="004A5227">
              <w:t xml:space="preserve">Kalamunda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57</w:t>
            </w:r>
          </w:p>
        </w:tc>
        <w:tc>
          <w:tcPr>
            <w:tcW w:w="2825" w:type="dxa"/>
            <w:shd w:val="clear" w:color="auto" w:fill="auto"/>
          </w:tcPr>
          <w:p w:rsidR="004C3E58" w:rsidRPr="004A5227" w:rsidRDefault="004C3E58" w:rsidP="00ED71A4">
            <w:pPr>
              <w:pStyle w:val="Tabletext"/>
            </w:pPr>
            <w:r w:rsidRPr="004A5227">
              <w:t>(08) 657</w:t>
            </w:r>
          </w:p>
        </w:tc>
        <w:tc>
          <w:tcPr>
            <w:tcW w:w="4773" w:type="dxa"/>
            <w:shd w:val="clear" w:color="auto" w:fill="auto"/>
          </w:tcPr>
          <w:p w:rsidR="004C3E58" w:rsidRPr="004A5227" w:rsidRDefault="004C3E58" w:rsidP="00D35606">
            <w:pPr>
              <w:pStyle w:val="Tabletext"/>
            </w:pPr>
            <w:r w:rsidRPr="004A5227">
              <w:t xml:space="preserve">Kalamunda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58</w:t>
            </w:r>
          </w:p>
        </w:tc>
        <w:tc>
          <w:tcPr>
            <w:tcW w:w="2825" w:type="dxa"/>
            <w:shd w:val="clear" w:color="auto" w:fill="auto"/>
          </w:tcPr>
          <w:p w:rsidR="004C3E58" w:rsidRPr="004A5227" w:rsidRDefault="004C3E58" w:rsidP="00ED71A4">
            <w:pPr>
              <w:pStyle w:val="Tabletext"/>
            </w:pPr>
            <w:r w:rsidRPr="004A5227">
              <w:t>(08) 658</w:t>
            </w:r>
          </w:p>
        </w:tc>
        <w:tc>
          <w:tcPr>
            <w:tcW w:w="4773" w:type="dxa"/>
            <w:shd w:val="clear" w:color="auto" w:fill="auto"/>
          </w:tcPr>
          <w:p w:rsidR="004C3E58" w:rsidRPr="004A5227" w:rsidRDefault="004C3E58" w:rsidP="00D35606">
            <w:pPr>
              <w:pStyle w:val="Tabletext"/>
            </w:pPr>
            <w:r w:rsidRPr="004A5227">
              <w:t xml:space="preserve">Armadale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59</w:t>
            </w:r>
          </w:p>
        </w:tc>
        <w:tc>
          <w:tcPr>
            <w:tcW w:w="2825" w:type="dxa"/>
            <w:shd w:val="clear" w:color="auto" w:fill="auto"/>
          </w:tcPr>
          <w:p w:rsidR="004C3E58" w:rsidRPr="004A5227" w:rsidRDefault="004C3E58" w:rsidP="00ED71A4">
            <w:pPr>
              <w:pStyle w:val="Tabletext"/>
            </w:pPr>
            <w:r w:rsidRPr="004A5227">
              <w:t>(08) 659</w:t>
            </w:r>
          </w:p>
        </w:tc>
        <w:tc>
          <w:tcPr>
            <w:tcW w:w="4773" w:type="dxa"/>
            <w:shd w:val="clear" w:color="auto" w:fill="auto"/>
          </w:tcPr>
          <w:p w:rsidR="004C3E58" w:rsidRPr="004A5227" w:rsidRDefault="004C3E58" w:rsidP="00D35606">
            <w:pPr>
              <w:pStyle w:val="Tabletext"/>
            </w:pPr>
            <w:r w:rsidRPr="004A5227">
              <w:t xml:space="preserve">Armadale </w:t>
            </w:r>
            <w:r w:rsidR="00D35606"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60</w:t>
            </w:r>
          </w:p>
        </w:tc>
        <w:tc>
          <w:tcPr>
            <w:tcW w:w="2825" w:type="dxa"/>
            <w:shd w:val="clear" w:color="auto" w:fill="auto"/>
          </w:tcPr>
          <w:p w:rsidR="004C3E58" w:rsidRPr="004A5227" w:rsidRDefault="004C3E58" w:rsidP="00ED71A4">
            <w:pPr>
              <w:pStyle w:val="Tabletext"/>
            </w:pPr>
            <w:r w:rsidRPr="004A5227">
              <w:t>(08) 66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Moora</w:t>
            </w:r>
          </w:p>
          <w:p w:rsidR="004C3E58" w:rsidRPr="004A5227" w:rsidRDefault="004C3E58" w:rsidP="00ED71A4">
            <w:pPr>
              <w:pStyle w:val="Tabletext"/>
            </w:pPr>
            <w:proofErr w:type="spellStart"/>
            <w:r w:rsidRPr="004A5227">
              <w:t>Wongan</w:t>
            </w:r>
            <w:proofErr w:type="spellEnd"/>
            <w:r w:rsidRPr="004A5227">
              <w:t xml:space="preserve"> Hills</w:t>
            </w:r>
          </w:p>
          <w:p w:rsidR="004C3E58" w:rsidRPr="004A5227" w:rsidRDefault="004C3E58" w:rsidP="00ED71A4">
            <w:pPr>
              <w:pStyle w:val="Tabletext"/>
            </w:pPr>
            <w:r w:rsidRPr="004A5227">
              <w:t>Wyalkatchem</w:t>
            </w:r>
          </w:p>
          <w:p w:rsidR="004C3E58" w:rsidRPr="004A5227" w:rsidRDefault="004C3E58" w:rsidP="00ED71A4">
            <w:pPr>
              <w:pStyle w:val="Tabletext"/>
            </w:pPr>
            <w:r w:rsidRPr="004A5227">
              <w:t>York</w:t>
            </w:r>
          </w:p>
          <w:p w:rsidR="006A229B" w:rsidRPr="004A5227" w:rsidRDefault="006A229B" w:rsidP="00ED71A4">
            <w:pPr>
              <w:pStyle w:val="Tabletext"/>
            </w:pPr>
          </w:p>
          <w:p w:rsidR="006A229B" w:rsidRPr="004A5227" w:rsidRDefault="006A229B" w:rsidP="00ED71A4">
            <w:pPr>
              <w:pStyle w:val="Tabletext"/>
            </w:pPr>
            <w:r w:rsidRPr="004A5227">
              <w:t>The following standard zone units in Northam charging district:</w:t>
            </w:r>
          </w:p>
          <w:p w:rsidR="006A229B" w:rsidRPr="004A5227" w:rsidRDefault="006A229B" w:rsidP="0027142E">
            <w:pPr>
              <w:pStyle w:val="Tabletext"/>
            </w:pPr>
            <w:r w:rsidRPr="004A5227">
              <w:t xml:space="preserve">Bolgart, Calingiri, Cunderdin, Cunderdin North, Dowerin, Ejanding, Goomalling, Jennacubbine, Konnongorring, Meckering, Northam, </w:t>
            </w:r>
            <w:proofErr w:type="spellStart"/>
            <w:r w:rsidRPr="004A5227">
              <w:t>Studleigh</w:t>
            </w:r>
            <w:proofErr w:type="spellEnd"/>
            <w:r w:rsidRPr="004A5227">
              <w:t>, Tammin, Yorkrakine</w:t>
            </w:r>
          </w:p>
        </w:tc>
      </w:tr>
      <w:tr w:rsidR="004C3E58" w:rsidRPr="004A5227" w:rsidTr="0027142E">
        <w:tc>
          <w:tcPr>
            <w:tcW w:w="714" w:type="dxa"/>
            <w:shd w:val="clear" w:color="auto" w:fill="auto"/>
          </w:tcPr>
          <w:p w:rsidR="004C3E58" w:rsidRPr="004A5227" w:rsidRDefault="004C3E58" w:rsidP="00ED71A4">
            <w:pPr>
              <w:pStyle w:val="Tabletext"/>
            </w:pPr>
            <w:r w:rsidRPr="004A5227">
              <w:t>61</w:t>
            </w:r>
          </w:p>
        </w:tc>
        <w:tc>
          <w:tcPr>
            <w:tcW w:w="2825" w:type="dxa"/>
            <w:shd w:val="clear" w:color="auto" w:fill="auto"/>
          </w:tcPr>
          <w:p w:rsidR="004C3E58" w:rsidRPr="004A5227" w:rsidRDefault="004C3E58" w:rsidP="00ED71A4">
            <w:pPr>
              <w:pStyle w:val="Tabletext"/>
            </w:pPr>
            <w:r w:rsidRPr="004A5227">
              <w:t>(08) 67</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Bridgetown</w:t>
            </w:r>
          </w:p>
          <w:p w:rsidR="004C3E58" w:rsidRPr="004A5227" w:rsidRDefault="004C3E58" w:rsidP="00ED71A4">
            <w:pPr>
              <w:pStyle w:val="Tabletext"/>
            </w:pPr>
            <w:r w:rsidRPr="004A5227">
              <w:t>Bunbury</w:t>
            </w:r>
          </w:p>
          <w:p w:rsidR="004C3E58" w:rsidRPr="004A5227" w:rsidRDefault="004C3E58" w:rsidP="00ED71A4">
            <w:pPr>
              <w:pStyle w:val="Tabletext"/>
            </w:pPr>
            <w:r w:rsidRPr="004A5227">
              <w:t>Busselton</w:t>
            </w:r>
          </w:p>
          <w:p w:rsidR="004C3E58" w:rsidRPr="004A5227" w:rsidRDefault="004C3E58" w:rsidP="00ED71A4">
            <w:pPr>
              <w:pStyle w:val="Tabletext"/>
            </w:pPr>
          </w:p>
          <w:p w:rsidR="004C3E58" w:rsidRPr="004A5227" w:rsidRDefault="004C3E58" w:rsidP="00863921">
            <w:pPr>
              <w:pStyle w:val="Tabletext"/>
            </w:pPr>
            <w:r w:rsidRPr="004A5227">
              <w:t xml:space="preserve">Lake Clifton and Waroona </w:t>
            </w:r>
            <w:r w:rsidR="00863921" w:rsidRPr="004A5227">
              <w:t>standard zone units</w:t>
            </w:r>
            <w:r w:rsidRPr="004A5227">
              <w:t xml:space="preserve"> in Pinjarra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62</w:t>
            </w:r>
          </w:p>
        </w:tc>
        <w:tc>
          <w:tcPr>
            <w:tcW w:w="2825" w:type="dxa"/>
            <w:shd w:val="clear" w:color="auto" w:fill="auto"/>
          </w:tcPr>
          <w:p w:rsidR="004C3E58" w:rsidRPr="004A5227" w:rsidRDefault="004C3E58" w:rsidP="00ED71A4">
            <w:pPr>
              <w:pStyle w:val="Tabletext"/>
            </w:pPr>
            <w:r w:rsidRPr="004A5227">
              <w:t>(08) 68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Albany</w:t>
            </w:r>
          </w:p>
          <w:p w:rsidR="004C3E58" w:rsidRPr="004A5227" w:rsidRDefault="004C3E58" w:rsidP="00ED71A4">
            <w:pPr>
              <w:pStyle w:val="Tabletext"/>
            </w:pPr>
            <w:r w:rsidRPr="004A5227">
              <w:t>Katanning</w:t>
            </w:r>
          </w:p>
          <w:p w:rsidR="004C3E58" w:rsidRPr="004A5227" w:rsidRDefault="004C3E58" w:rsidP="00ED71A4">
            <w:pPr>
              <w:pStyle w:val="Tabletext"/>
            </w:pPr>
            <w:r w:rsidRPr="004A5227">
              <w:t>Kondinin</w:t>
            </w:r>
          </w:p>
          <w:p w:rsidR="004C3E58" w:rsidRPr="004A5227" w:rsidRDefault="004C3E58" w:rsidP="00ED71A4">
            <w:pPr>
              <w:pStyle w:val="Tabletext"/>
            </w:pPr>
            <w:r w:rsidRPr="004A5227">
              <w:t>Narrogin</w:t>
            </w:r>
          </w:p>
          <w:p w:rsidR="004C3E58" w:rsidRPr="004A5227" w:rsidRDefault="004C3E58" w:rsidP="00ED71A4">
            <w:pPr>
              <w:pStyle w:val="Tabletext"/>
            </w:pPr>
            <w:r w:rsidRPr="004A5227">
              <w:t>Wagin</w:t>
            </w:r>
          </w:p>
        </w:tc>
      </w:tr>
      <w:tr w:rsidR="004C3E58" w:rsidRPr="004A5227" w:rsidTr="0027142E">
        <w:tc>
          <w:tcPr>
            <w:tcW w:w="714" w:type="dxa"/>
            <w:shd w:val="clear" w:color="auto" w:fill="auto"/>
          </w:tcPr>
          <w:p w:rsidR="004C3E58" w:rsidRPr="004A5227" w:rsidRDefault="004C3E58" w:rsidP="00ED71A4">
            <w:pPr>
              <w:pStyle w:val="Tabletext"/>
            </w:pPr>
            <w:r w:rsidRPr="004A5227">
              <w:t>63</w:t>
            </w:r>
          </w:p>
        </w:tc>
        <w:tc>
          <w:tcPr>
            <w:tcW w:w="2825" w:type="dxa"/>
            <w:shd w:val="clear" w:color="auto" w:fill="auto"/>
          </w:tcPr>
          <w:p w:rsidR="004C3E58" w:rsidRPr="004A5227" w:rsidRDefault="004C3E58" w:rsidP="00ED71A4">
            <w:pPr>
              <w:pStyle w:val="Tabletext"/>
            </w:pPr>
            <w:r w:rsidRPr="004A5227">
              <w:t>(08) 69</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Carnamah</w:t>
            </w:r>
          </w:p>
          <w:p w:rsidR="004C3E58" w:rsidRPr="004A5227" w:rsidRDefault="004C3E58" w:rsidP="00ED71A4">
            <w:pPr>
              <w:pStyle w:val="Tabletext"/>
            </w:pPr>
            <w:r w:rsidRPr="004A5227">
              <w:t>Carnarvon</w:t>
            </w:r>
          </w:p>
          <w:p w:rsidR="004C3E58" w:rsidRPr="004A5227" w:rsidRDefault="004C3E58" w:rsidP="00ED71A4">
            <w:pPr>
              <w:pStyle w:val="Tabletext"/>
            </w:pPr>
            <w:r w:rsidRPr="004A5227">
              <w:t>Geraldton</w:t>
            </w:r>
          </w:p>
          <w:p w:rsidR="004C3E58" w:rsidRPr="004A5227" w:rsidRDefault="004C3E58" w:rsidP="00ED71A4">
            <w:pPr>
              <w:pStyle w:val="Tabletext"/>
            </w:pPr>
            <w:r w:rsidRPr="004A5227">
              <w:t>Meekatharra</w:t>
            </w:r>
          </w:p>
          <w:p w:rsidR="004C3E58" w:rsidRPr="004A5227" w:rsidRDefault="004C3E58" w:rsidP="00ED71A4">
            <w:pPr>
              <w:pStyle w:val="Tabletext"/>
            </w:pPr>
            <w:r w:rsidRPr="004A5227">
              <w:t>Morawa</w:t>
            </w:r>
          </w:p>
          <w:p w:rsidR="004C3E58" w:rsidRPr="004A5227" w:rsidRDefault="004C3E58" w:rsidP="00ED71A4">
            <w:pPr>
              <w:pStyle w:val="Tabletext"/>
            </w:pPr>
            <w:r w:rsidRPr="004A5227">
              <w:t>Mullewa</w:t>
            </w:r>
          </w:p>
          <w:p w:rsidR="004C3E58" w:rsidRPr="004A5227" w:rsidRDefault="004C3E58" w:rsidP="00ED71A4">
            <w:pPr>
              <w:pStyle w:val="Tabletext"/>
            </w:pPr>
          </w:p>
          <w:p w:rsidR="004C3E58" w:rsidRPr="004A5227" w:rsidRDefault="004C3E58" w:rsidP="00863921">
            <w:pPr>
              <w:pStyle w:val="Tabletext"/>
            </w:pPr>
            <w:proofErr w:type="spellStart"/>
            <w:r w:rsidRPr="004A5227">
              <w:t>Paynes</w:t>
            </w:r>
            <w:proofErr w:type="spellEnd"/>
            <w:r w:rsidRPr="004A5227">
              <w:t xml:space="preserve"> Find (Extended) </w:t>
            </w:r>
            <w:r w:rsidR="00863921" w:rsidRPr="004A5227">
              <w:t>standard zone unit</w:t>
            </w:r>
            <w:r w:rsidRPr="004A5227">
              <w:t xml:space="preserve"> in </w:t>
            </w:r>
            <w:proofErr w:type="spellStart"/>
            <w:r w:rsidRPr="004A5227">
              <w:t>Wongan</w:t>
            </w:r>
            <w:proofErr w:type="spellEnd"/>
            <w:r w:rsidRPr="004A5227">
              <w:t xml:space="preserve"> Hills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64</w:t>
            </w:r>
          </w:p>
        </w:tc>
        <w:tc>
          <w:tcPr>
            <w:tcW w:w="2825" w:type="dxa"/>
            <w:shd w:val="clear" w:color="auto" w:fill="auto"/>
          </w:tcPr>
          <w:p w:rsidR="004C3E58" w:rsidRPr="004A5227" w:rsidRDefault="004C3E58" w:rsidP="00ED71A4">
            <w:pPr>
              <w:pStyle w:val="Tabletext"/>
            </w:pPr>
            <w:r w:rsidRPr="004A5227">
              <w:t>(08) 700</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65</w:t>
            </w:r>
          </w:p>
        </w:tc>
        <w:tc>
          <w:tcPr>
            <w:tcW w:w="2825" w:type="dxa"/>
            <w:shd w:val="clear" w:color="auto" w:fill="auto"/>
          </w:tcPr>
          <w:p w:rsidR="004C3E58" w:rsidRPr="004A5227" w:rsidRDefault="004C3E58" w:rsidP="00ED71A4">
            <w:pPr>
              <w:pStyle w:val="Tabletext"/>
            </w:pPr>
            <w:r w:rsidRPr="004A5227">
              <w:t>(08) 701</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66</w:t>
            </w:r>
          </w:p>
        </w:tc>
        <w:tc>
          <w:tcPr>
            <w:tcW w:w="2825" w:type="dxa"/>
            <w:shd w:val="clear" w:color="auto" w:fill="auto"/>
          </w:tcPr>
          <w:p w:rsidR="004C3E58" w:rsidRPr="004A5227" w:rsidRDefault="004C3E58" w:rsidP="00ED71A4">
            <w:pPr>
              <w:pStyle w:val="Tabletext"/>
            </w:pPr>
            <w:r w:rsidRPr="004A5227">
              <w:t>(08) 702</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67</w:t>
            </w:r>
          </w:p>
        </w:tc>
        <w:tc>
          <w:tcPr>
            <w:tcW w:w="2825" w:type="dxa"/>
            <w:shd w:val="clear" w:color="auto" w:fill="auto"/>
          </w:tcPr>
          <w:p w:rsidR="004C3E58" w:rsidRPr="004A5227" w:rsidRDefault="004C3E58" w:rsidP="00ED71A4">
            <w:pPr>
              <w:pStyle w:val="Tabletext"/>
            </w:pPr>
            <w:r w:rsidRPr="004A5227">
              <w:t>(08) 703</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68</w:t>
            </w:r>
          </w:p>
        </w:tc>
        <w:tc>
          <w:tcPr>
            <w:tcW w:w="2825" w:type="dxa"/>
            <w:shd w:val="clear" w:color="auto" w:fill="auto"/>
          </w:tcPr>
          <w:p w:rsidR="004C3E58" w:rsidRPr="004A5227" w:rsidRDefault="004C3E58" w:rsidP="00ED71A4">
            <w:pPr>
              <w:pStyle w:val="Tabletext"/>
            </w:pPr>
            <w:r w:rsidRPr="004A5227">
              <w:t>(08) 704</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69</w:t>
            </w:r>
          </w:p>
        </w:tc>
        <w:tc>
          <w:tcPr>
            <w:tcW w:w="2825" w:type="dxa"/>
            <w:shd w:val="clear" w:color="auto" w:fill="auto"/>
          </w:tcPr>
          <w:p w:rsidR="004C3E58" w:rsidRPr="004A5227" w:rsidRDefault="004C3E58" w:rsidP="00ED71A4">
            <w:pPr>
              <w:pStyle w:val="Tabletext"/>
            </w:pPr>
            <w:r w:rsidRPr="004A5227">
              <w:t>(08) 705</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70</w:t>
            </w:r>
          </w:p>
        </w:tc>
        <w:tc>
          <w:tcPr>
            <w:tcW w:w="2825" w:type="dxa"/>
            <w:shd w:val="clear" w:color="auto" w:fill="auto"/>
          </w:tcPr>
          <w:p w:rsidR="004C3E58" w:rsidRPr="004A5227" w:rsidRDefault="004C3E58" w:rsidP="00ED71A4">
            <w:pPr>
              <w:pStyle w:val="Tabletext"/>
            </w:pPr>
            <w:r w:rsidRPr="004A5227">
              <w:t>(08) 706</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71</w:t>
            </w:r>
          </w:p>
        </w:tc>
        <w:tc>
          <w:tcPr>
            <w:tcW w:w="2825" w:type="dxa"/>
            <w:shd w:val="clear" w:color="auto" w:fill="auto"/>
          </w:tcPr>
          <w:p w:rsidR="004C3E58" w:rsidRPr="004A5227" w:rsidRDefault="004C3E58" w:rsidP="00ED71A4">
            <w:pPr>
              <w:pStyle w:val="Tabletext"/>
            </w:pPr>
            <w:r w:rsidRPr="004A5227">
              <w:t>(08) 707</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72</w:t>
            </w:r>
          </w:p>
        </w:tc>
        <w:tc>
          <w:tcPr>
            <w:tcW w:w="2825" w:type="dxa"/>
            <w:shd w:val="clear" w:color="auto" w:fill="auto"/>
          </w:tcPr>
          <w:p w:rsidR="004C3E58" w:rsidRPr="004A5227" w:rsidRDefault="004C3E58" w:rsidP="00ED71A4">
            <w:pPr>
              <w:pStyle w:val="Tabletext"/>
            </w:pPr>
            <w:r w:rsidRPr="004A5227">
              <w:t>(08) 708</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73</w:t>
            </w:r>
          </w:p>
        </w:tc>
        <w:tc>
          <w:tcPr>
            <w:tcW w:w="2825" w:type="dxa"/>
            <w:shd w:val="clear" w:color="auto" w:fill="auto"/>
          </w:tcPr>
          <w:p w:rsidR="004C3E58" w:rsidRPr="004A5227" w:rsidRDefault="004C3E58" w:rsidP="00ED71A4">
            <w:pPr>
              <w:pStyle w:val="Tabletext"/>
            </w:pPr>
            <w:r w:rsidRPr="004A5227">
              <w:t>(08) 709</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74</w:t>
            </w:r>
          </w:p>
        </w:tc>
        <w:tc>
          <w:tcPr>
            <w:tcW w:w="2825" w:type="dxa"/>
            <w:shd w:val="clear" w:color="auto" w:fill="auto"/>
          </w:tcPr>
          <w:p w:rsidR="004C3E58" w:rsidRPr="004A5227" w:rsidRDefault="004C3E58" w:rsidP="00ED71A4">
            <w:pPr>
              <w:pStyle w:val="Tabletext"/>
            </w:pPr>
            <w:r w:rsidRPr="004A5227">
              <w:t>(08) 710</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75</w:t>
            </w:r>
          </w:p>
        </w:tc>
        <w:tc>
          <w:tcPr>
            <w:tcW w:w="2825" w:type="dxa"/>
            <w:shd w:val="clear" w:color="auto" w:fill="auto"/>
          </w:tcPr>
          <w:p w:rsidR="004C3E58" w:rsidRPr="004A5227" w:rsidRDefault="004C3E58" w:rsidP="00ED71A4">
            <w:pPr>
              <w:pStyle w:val="Tabletext"/>
            </w:pPr>
            <w:r w:rsidRPr="004A5227">
              <w:t>(08) 711</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76</w:t>
            </w:r>
          </w:p>
        </w:tc>
        <w:tc>
          <w:tcPr>
            <w:tcW w:w="2825" w:type="dxa"/>
            <w:shd w:val="clear" w:color="auto" w:fill="auto"/>
          </w:tcPr>
          <w:p w:rsidR="004C3E58" w:rsidRPr="004A5227" w:rsidRDefault="004C3E58" w:rsidP="00ED71A4">
            <w:pPr>
              <w:pStyle w:val="Tabletext"/>
            </w:pPr>
            <w:r w:rsidRPr="004A5227">
              <w:t>(08) 712</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77</w:t>
            </w:r>
          </w:p>
        </w:tc>
        <w:tc>
          <w:tcPr>
            <w:tcW w:w="2825" w:type="dxa"/>
            <w:shd w:val="clear" w:color="auto" w:fill="auto"/>
          </w:tcPr>
          <w:p w:rsidR="004C3E58" w:rsidRPr="004A5227" w:rsidRDefault="004C3E58" w:rsidP="00ED71A4">
            <w:pPr>
              <w:pStyle w:val="Tabletext"/>
            </w:pPr>
            <w:r w:rsidRPr="004A5227">
              <w:t>(08) 713</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78</w:t>
            </w:r>
          </w:p>
        </w:tc>
        <w:tc>
          <w:tcPr>
            <w:tcW w:w="2825" w:type="dxa"/>
            <w:shd w:val="clear" w:color="auto" w:fill="auto"/>
          </w:tcPr>
          <w:p w:rsidR="004C3E58" w:rsidRPr="004A5227" w:rsidRDefault="004C3E58" w:rsidP="00ED71A4">
            <w:pPr>
              <w:pStyle w:val="Tabletext"/>
            </w:pPr>
            <w:r w:rsidRPr="004A5227">
              <w:t>(08) 714</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79</w:t>
            </w:r>
          </w:p>
        </w:tc>
        <w:tc>
          <w:tcPr>
            <w:tcW w:w="2825" w:type="dxa"/>
            <w:shd w:val="clear" w:color="auto" w:fill="auto"/>
          </w:tcPr>
          <w:p w:rsidR="004C3E58" w:rsidRPr="004A5227" w:rsidRDefault="004C3E58" w:rsidP="00ED71A4">
            <w:pPr>
              <w:pStyle w:val="Tabletext"/>
            </w:pPr>
            <w:r w:rsidRPr="004A5227">
              <w:t>(08) 715</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80</w:t>
            </w:r>
          </w:p>
        </w:tc>
        <w:tc>
          <w:tcPr>
            <w:tcW w:w="2825" w:type="dxa"/>
            <w:shd w:val="clear" w:color="auto" w:fill="auto"/>
          </w:tcPr>
          <w:p w:rsidR="004C3E58" w:rsidRPr="004A5227" w:rsidRDefault="004C3E58" w:rsidP="00ED71A4">
            <w:pPr>
              <w:pStyle w:val="Tabletext"/>
            </w:pPr>
            <w:r w:rsidRPr="004A5227">
              <w:t>(08) 716</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81</w:t>
            </w:r>
          </w:p>
        </w:tc>
        <w:tc>
          <w:tcPr>
            <w:tcW w:w="2825" w:type="dxa"/>
            <w:shd w:val="clear" w:color="auto" w:fill="auto"/>
          </w:tcPr>
          <w:p w:rsidR="004C3E58" w:rsidRPr="004A5227" w:rsidRDefault="004C3E58" w:rsidP="00ED71A4">
            <w:pPr>
              <w:pStyle w:val="Tabletext"/>
            </w:pPr>
            <w:r w:rsidRPr="004A5227">
              <w:t>(08) 717</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82</w:t>
            </w:r>
          </w:p>
        </w:tc>
        <w:tc>
          <w:tcPr>
            <w:tcW w:w="2825" w:type="dxa"/>
            <w:shd w:val="clear" w:color="auto" w:fill="auto"/>
          </w:tcPr>
          <w:p w:rsidR="004C3E58" w:rsidRPr="004A5227" w:rsidRDefault="004C3E58" w:rsidP="00ED71A4">
            <w:pPr>
              <w:pStyle w:val="Tabletext"/>
            </w:pPr>
            <w:r w:rsidRPr="004A5227">
              <w:t>(08) 718</w:t>
            </w:r>
          </w:p>
        </w:tc>
        <w:tc>
          <w:tcPr>
            <w:tcW w:w="4773" w:type="dxa"/>
            <w:shd w:val="clear" w:color="auto" w:fill="auto"/>
          </w:tcPr>
          <w:p w:rsidR="004C3E58" w:rsidRPr="004A5227" w:rsidRDefault="00863921" w:rsidP="00ED71A4">
            <w:pPr>
              <w:pStyle w:val="Tabletext"/>
            </w:pPr>
            <w:r w:rsidRPr="004A5227">
              <w:t>McLaren Vale, Mount Barker (South Australia), Salisbury and Woodside (South Australia)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83</w:t>
            </w:r>
          </w:p>
        </w:tc>
        <w:tc>
          <w:tcPr>
            <w:tcW w:w="2825" w:type="dxa"/>
            <w:shd w:val="clear" w:color="auto" w:fill="auto"/>
          </w:tcPr>
          <w:p w:rsidR="004C3E58" w:rsidRPr="004A5227" w:rsidRDefault="004C3E58" w:rsidP="00ED71A4">
            <w:pPr>
              <w:pStyle w:val="Tabletext"/>
            </w:pPr>
            <w:r w:rsidRPr="004A5227">
              <w:t>(08) 719</w:t>
            </w:r>
          </w:p>
        </w:tc>
        <w:tc>
          <w:tcPr>
            <w:tcW w:w="4773" w:type="dxa"/>
            <w:shd w:val="clear" w:color="auto" w:fill="auto"/>
          </w:tcPr>
          <w:p w:rsidR="004C3E58" w:rsidRPr="004A5227" w:rsidRDefault="004C3E58" w:rsidP="00863921">
            <w:pPr>
              <w:pStyle w:val="Tabletext"/>
            </w:pPr>
            <w:r w:rsidRPr="004A5227">
              <w:t xml:space="preserve">Mount Barker (South Australia)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84</w:t>
            </w:r>
          </w:p>
        </w:tc>
        <w:tc>
          <w:tcPr>
            <w:tcW w:w="2825" w:type="dxa"/>
            <w:shd w:val="clear" w:color="auto" w:fill="auto"/>
          </w:tcPr>
          <w:p w:rsidR="004C3E58" w:rsidRPr="004A5227" w:rsidRDefault="004C3E58" w:rsidP="00ED71A4">
            <w:pPr>
              <w:pStyle w:val="Tabletext"/>
            </w:pPr>
            <w:r w:rsidRPr="004A5227">
              <w:t>(08) 720</w:t>
            </w:r>
          </w:p>
        </w:tc>
        <w:tc>
          <w:tcPr>
            <w:tcW w:w="4773" w:type="dxa"/>
            <w:shd w:val="clear" w:color="auto" w:fill="auto"/>
          </w:tcPr>
          <w:p w:rsidR="004C3E58" w:rsidRPr="004A5227" w:rsidRDefault="00863921" w:rsidP="0027142E">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85</w:t>
            </w:r>
          </w:p>
        </w:tc>
        <w:tc>
          <w:tcPr>
            <w:tcW w:w="2825" w:type="dxa"/>
            <w:shd w:val="clear" w:color="auto" w:fill="auto"/>
          </w:tcPr>
          <w:p w:rsidR="004C3E58" w:rsidRPr="004A5227" w:rsidRDefault="004C3E58" w:rsidP="00ED71A4">
            <w:pPr>
              <w:pStyle w:val="Tabletext"/>
            </w:pPr>
            <w:r w:rsidRPr="004A5227">
              <w:t>(08) 721</w:t>
            </w:r>
          </w:p>
        </w:tc>
        <w:tc>
          <w:tcPr>
            <w:tcW w:w="4773" w:type="dxa"/>
            <w:shd w:val="clear" w:color="auto" w:fill="auto"/>
          </w:tcPr>
          <w:p w:rsidR="004C3E58" w:rsidRPr="004A5227" w:rsidRDefault="00863921" w:rsidP="0027142E">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86</w:t>
            </w:r>
          </w:p>
        </w:tc>
        <w:tc>
          <w:tcPr>
            <w:tcW w:w="2825" w:type="dxa"/>
            <w:shd w:val="clear" w:color="auto" w:fill="auto"/>
          </w:tcPr>
          <w:p w:rsidR="004C3E58" w:rsidRPr="004A5227" w:rsidRDefault="004C3E58" w:rsidP="00ED71A4">
            <w:pPr>
              <w:pStyle w:val="Tabletext"/>
            </w:pPr>
            <w:r w:rsidRPr="004A5227">
              <w:t>(08) 722</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87</w:t>
            </w:r>
          </w:p>
        </w:tc>
        <w:tc>
          <w:tcPr>
            <w:tcW w:w="2825" w:type="dxa"/>
            <w:shd w:val="clear" w:color="auto" w:fill="auto"/>
          </w:tcPr>
          <w:p w:rsidR="004C3E58" w:rsidRPr="004A5227" w:rsidRDefault="004C3E58" w:rsidP="00ED71A4">
            <w:pPr>
              <w:pStyle w:val="Tabletext"/>
            </w:pPr>
            <w:r w:rsidRPr="004A5227">
              <w:t>(08) 723</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88</w:t>
            </w:r>
          </w:p>
        </w:tc>
        <w:tc>
          <w:tcPr>
            <w:tcW w:w="2825" w:type="dxa"/>
            <w:shd w:val="clear" w:color="auto" w:fill="auto"/>
          </w:tcPr>
          <w:p w:rsidR="004C3E58" w:rsidRPr="004A5227" w:rsidRDefault="004C3E58" w:rsidP="00ED71A4">
            <w:pPr>
              <w:pStyle w:val="Tabletext"/>
            </w:pPr>
            <w:r w:rsidRPr="004A5227">
              <w:t>(08) 724</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89</w:t>
            </w:r>
          </w:p>
        </w:tc>
        <w:tc>
          <w:tcPr>
            <w:tcW w:w="2825" w:type="dxa"/>
            <w:shd w:val="clear" w:color="auto" w:fill="auto"/>
          </w:tcPr>
          <w:p w:rsidR="004C3E58" w:rsidRPr="004A5227" w:rsidRDefault="004C3E58" w:rsidP="00ED71A4">
            <w:pPr>
              <w:pStyle w:val="Tabletext"/>
            </w:pPr>
            <w:r w:rsidRPr="004A5227">
              <w:t>(08) 725</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90</w:t>
            </w:r>
          </w:p>
        </w:tc>
        <w:tc>
          <w:tcPr>
            <w:tcW w:w="2825" w:type="dxa"/>
            <w:shd w:val="clear" w:color="auto" w:fill="auto"/>
          </w:tcPr>
          <w:p w:rsidR="004C3E58" w:rsidRPr="004A5227" w:rsidRDefault="004C3E58" w:rsidP="00ED71A4">
            <w:pPr>
              <w:pStyle w:val="Tabletext"/>
            </w:pPr>
            <w:r w:rsidRPr="004A5227">
              <w:t>(08) 726</w:t>
            </w:r>
          </w:p>
        </w:tc>
        <w:tc>
          <w:tcPr>
            <w:tcW w:w="4773" w:type="dxa"/>
            <w:shd w:val="clear" w:color="auto" w:fill="auto"/>
          </w:tcPr>
          <w:p w:rsidR="004C3E58" w:rsidRPr="004A5227" w:rsidRDefault="004C3E58" w:rsidP="00863921">
            <w:pPr>
              <w:pStyle w:val="Tabletext"/>
            </w:pPr>
            <w:r w:rsidRPr="004A5227">
              <w:t xml:space="preserve">McLaren Vale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91</w:t>
            </w:r>
          </w:p>
        </w:tc>
        <w:tc>
          <w:tcPr>
            <w:tcW w:w="2825" w:type="dxa"/>
            <w:shd w:val="clear" w:color="auto" w:fill="auto"/>
          </w:tcPr>
          <w:p w:rsidR="004C3E58" w:rsidRPr="004A5227" w:rsidRDefault="004C3E58" w:rsidP="00ED71A4">
            <w:pPr>
              <w:pStyle w:val="Tabletext"/>
            </w:pPr>
            <w:r w:rsidRPr="004A5227">
              <w:t>(08) 727</w:t>
            </w:r>
          </w:p>
        </w:tc>
        <w:tc>
          <w:tcPr>
            <w:tcW w:w="4773" w:type="dxa"/>
            <w:shd w:val="clear" w:color="auto" w:fill="auto"/>
          </w:tcPr>
          <w:p w:rsidR="004C3E58" w:rsidRPr="004A5227" w:rsidRDefault="004C3E58" w:rsidP="00863921">
            <w:pPr>
              <w:pStyle w:val="Tabletext"/>
            </w:pPr>
            <w:r w:rsidRPr="004A5227">
              <w:t xml:space="preserve">McLaren Vale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92</w:t>
            </w:r>
          </w:p>
        </w:tc>
        <w:tc>
          <w:tcPr>
            <w:tcW w:w="2825" w:type="dxa"/>
            <w:shd w:val="clear" w:color="auto" w:fill="auto"/>
          </w:tcPr>
          <w:p w:rsidR="004C3E58" w:rsidRPr="004A5227" w:rsidRDefault="004C3E58" w:rsidP="00ED71A4">
            <w:pPr>
              <w:pStyle w:val="Tabletext"/>
            </w:pPr>
            <w:r w:rsidRPr="004A5227">
              <w:t>(08) 728</w:t>
            </w:r>
          </w:p>
        </w:tc>
        <w:tc>
          <w:tcPr>
            <w:tcW w:w="4773" w:type="dxa"/>
            <w:shd w:val="clear" w:color="auto" w:fill="auto"/>
          </w:tcPr>
          <w:p w:rsidR="004C3E58" w:rsidRPr="004A5227" w:rsidRDefault="00863921" w:rsidP="00ED71A4">
            <w:pPr>
              <w:pStyle w:val="Tabletext"/>
            </w:pPr>
            <w:r w:rsidRPr="004A5227">
              <w:t>McLaren Vale, Mount Barker (South Australia), Salisbury and Woodside (South Australia) standard zone units</w:t>
            </w:r>
          </w:p>
        </w:tc>
      </w:tr>
      <w:tr w:rsidR="004C3E58" w:rsidRPr="004A5227" w:rsidTr="0027142E">
        <w:tc>
          <w:tcPr>
            <w:tcW w:w="714" w:type="dxa"/>
            <w:shd w:val="clear" w:color="auto" w:fill="auto"/>
          </w:tcPr>
          <w:p w:rsidR="004C3E58" w:rsidRPr="004A5227" w:rsidRDefault="004C3E58" w:rsidP="00ED71A4">
            <w:pPr>
              <w:pStyle w:val="Tabletext"/>
            </w:pPr>
            <w:r w:rsidRPr="004A5227">
              <w:t>93</w:t>
            </w:r>
          </w:p>
        </w:tc>
        <w:tc>
          <w:tcPr>
            <w:tcW w:w="2825" w:type="dxa"/>
            <w:shd w:val="clear" w:color="auto" w:fill="auto"/>
          </w:tcPr>
          <w:p w:rsidR="004C3E58" w:rsidRPr="004A5227" w:rsidRDefault="004C3E58" w:rsidP="00ED71A4">
            <w:pPr>
              <w:pStyle w:val="Tabletext"/>
            </w:pPr>
            <w:r w:rsidRPr="004A5227">
              <w:t>(08) 729</w:t>
            </w:r>
          </w:p>
        </w:tc>
        <w:tc>
          <w:tcPr>
            <w:tcW w:w="4773" w:type="dxa"/>
            <w:shd w:val="clear" w:color="auto" w:fill="auto"/>
          </w:tcPr>
          <w:p w:rsidR="004C3E58" w:rsidRPr="004A5227" w:rsidRDefault="004C3E58" w:rsidP="00ED71A4">
            <w:pPr>
              <w:pStyle w:val="Tabletext"/>
            </w:pPr>
            <w:r w:rsidRPr="004A5227">
              <w:t>Mount Barker</w:t>
            </w:r>
            <w:r w:rsidR="00863921" w:rsidRPr="004A5227">
              <w:t xml:space="preserve"> (South Australia)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94</w:t>
            </w:r>
          </w:p>
        </w:tc>
        <w:tc>
          <w:tcPr>
            <w:tcW w:w="2825" w:type="dxa"/>
            <w:shd w:val="clear" w:color="auto" w:fill="auto"/>
          </w:tcPr>
          <w:p w:rsidR="004C3E58" w:rsidRPr="004A5227" w:rsidRDefault="004C3E58" w:rsidP="00ED71A4">
            <w:pPr>
              <w:pStyle w:val="Tabletext"/>
            </w:pPr>
            <w:r w:rsidRPr="004A5227">
              <w:t>(08) 730</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95</w:t>
            </w:r>
          </w:p>
        </w:tc>
        <w:tc>
          <w:tcPr>
            <w:tcW w:w="2825" w:type="dxa"/>
            <w:shd w:val="clear" w:color="auto" w:fill="auto"/>
          </w:tcPr>
          <w:p w:rsidR="004C3E58" w:rsidRPr="004A5227" w:rsidRDefault="004C3E58" w:rsidP="00ED71A4">
            <w:pPr>
              <w:pStyle w:val="Tabletext"/>
            </w:pPr>
            <w:r w:rsidRPr="004A5227">
              <w:t>(08) 731</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96</w:t>
            </w:r>
          </w:p>
        </w:tc>
        <w:tc>
          <w:tcPr>
            <w:tcW w:w="2825" w:type="dxa"/>
            <w:shd w:val="clear" w:color="auto" w:fill="auto"/>
          </w:tcPr>
          <w:p w:rsidR="004C3E58" w:rsidRPr="004A5227" w:rsidRDefault="004C3E58" w:rsidP="00ED71A4">
            <w:pPr>
              <w:pStyle w:val="Tabletext"/>
            </w:pPr>
            <w:r w:rsidRPr="004A5227">
              <w:t>(08) 732</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97</w:t>
            </w:r>
          </w:p>
        </w:tc>
        <w:tc>
          <w:tcPr>
            <w:tcW w:w="2825" w:type="dxa"/>
            <w:shd w:val="clear" w:color="auto" w:fill="auto"/>
          </w:tcPr>
          <w:p w:rsidR="004C3E58" w:rsidRPr="004A5227" w:rsidRDefault="004C3E58" w:rsidP="00ED71A4">
            <w:pPr>
              <w:pStyle w:val="Tabletext"/>
            </w:pPr>
            <w:r w:rsidRPr="004A5227">
              <w:t>(08) 733</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98</w:t>
            </w:r>
          </w:p>
        </w:tc>
        <w:tc>
          <w:tcPr>
            <w:tcW w:w="2825" w:type="dxa"/>
            <w:shd w:val="clear" w:color="auto" w:fill="auto"/>
          </w:tcPr>
          <w:p w:rsidR="004C3E58" w:rsidRPr="004A5227" w:rsidRDefault="004C3E58" w:rsidP="00ED71A4">
            <w:pPr>
              <w:pStyle w:val="Tabletext"/>
            </w:pPr>
            <w:r w:rsidRPr="004A5227">
              <w:t>(08) 734</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99</w:t>
            </w:r>
          </w:p>
        </w:tc>
        <w:tc>
          <w:tcPr>
            <w:tcW w:w="2825" w:type="dxa"/>
            <w:shd w:val="clear" w:color="auto" w:fill="auto"/>
          </w:tcPr>
          <w:p w:rsidR="004C3E58" w:rsidRPr="004A5227" w:rsidRDefault="004C3E58" w:rsidP="00ED71A4">
            <w:pPr>
              <w:pStyle w:val="Tabletext"/>
            </w:pPr>
            <w:r w:rsidRPr="004A5227">
              <w:t>(08) 735</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100</w:t>
            </w:r>
          </w:p>
        </w:tc>
        <w:tc>
          <w:tcPr>
            <w:tcW w:w="2825" w:type="dxa"/>
            <w:shd w:val="clear" w:color="auto" w:fill="auto"/>
          </w:tcPr>
          <w:p w:rsidR="004C3E58" w:rsidRPr="004A5227" w:rsidRDefault="004C3E58" w:rsidP="00ED71A4">
            <w:pPr>
              <w:pStyle w:val="Tabletext"/>
            </w:pPr>
            <w:r w:rsidRPr="004A5227">
              <w:t>(08) 736</w:t>
            </w:r>
          </w:p>
        </w:tc>
        <w:tc>
          <w:tcPr>
            <w:tcW w:w="4773" w:type="dxa"/>
            <w:shd w:val="clear" w:color="auto" w:fill="auto"/>
          </w:tcPr>
          <w:p w:rsidR="004C3E58" w:rsidRPr="004A5227" w:rsidRDefault="004C3E58" w:rsidP="0027142E">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101</w:t>
            </w:r>
          </w:p>
        </w:tc>
        <w:tc>
          <w:tcPr>
            <w:tcW w:w="2825" w:type="dxa"/>
            <w:shd w:val="clear" w:color="auto" w:fill="auto"/>
          </w:tcPr>
          <w:p w:rsidR="004C3E58" w:rsidRPr="004A5227" w:rsidRDefault="004C3E58" w:rsidP="00ED71A4">
            <w:pPr>
              <w:pStyle w:val="Tabletext"/>
            </w:pPr>
            <w:r w:rsidRPr="004A5227">
              <w:t>(08) 737</w:t>
            </w:r>
          </w:p>
        </w:tc>
        <w:tc>
          <w:tcPr>
            <w:tcW w:w="4773" w:type="dxa"/>
            <w:shd w:val="clear" w:color="auto" w:fill="auto"/>
          </w:tcPr>
          <w:p w:rsidR="004C3E58" w:rsidRPr="004A5227" w:rsidRDefault="004C3E58" w:rsidP="00863921">
            <w:pPr>
              <w:pStyle w:val="Tabletext"/>
            </w:pPr>
            <w:r w:rsidRPr="004A5227">
              <w:t xml:space="preserve">Salisbury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102</w:t>
            </w:r>
          </w:p>
        </w:tc>
        <w:tc>
          <w:tcPr>
            <w:tcW w:w="2825" w:type="dxa"/>
            <w:shd w:val="clear" w:color="auto" w:fill="auto"/>
          </w:tcPr>
          <w:p w:rsidR="004C3E58" w:rsidRPr="004A5227" w:rsidRDefault="004C3E58" w:rsidP="00ED71A4">
            <w:pPr>
              <w:pStyle w:val="Tabletext"/>
            </w:pPr>
            <w:r w:rsidRPr="004A5227">
              <w:t>(08) 738</w:t>
            </w:r>
          </w:p>
        </w:tc>
        <w:tc>
          <w:tcPr>
            <w:tcW w:w="4773" w:type="dxa"/>
            <w:shd w:val="clear" w:color="auto" w:fill="auto"/>
          </w:tcPr>
          <w:p w:rsidR="004C3E58" w:rsidRPr="004A5227" w:rsidRDefault="004C3E58" w:rsidP="0027142E">
            <w:pPr>
              <w:pStyle w:val="Tabletext"/>
            </w:pPr>
            <w:r w:rsidRPr="004A5227">
              <w:t xml:space="preserve">Salisbury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103</w:t>
            </w:r>
          </w:p>
        </w:tc>
        <w:tc>
          <w:tcPr>
            <w:tcW w:w="2825" w:type="dxa"/>
            <w:shd w:val="clear" w:color="auto" w:fill="auto"/>
          </w:tcPr>
          <w:p w:rsidR="004C3E58" w:rsidRPr="004A5227" w:rsidRDefault="004C3E58" w:rsidP="00ED71A4">
            <w:pPr>
              <w:pStyle w:val="Tabletext"/>
            </w:pPr>
            <w:r w:rsidRPr="004A5227">
              <w:t>(08) 739</w:t>
            </w:r>
          </w:p>
        </w:tc>
        <w:tc>
          <w:tcPr>
            <w:tcW w:w="4773" w:type="dxa"/>
            <w:shd w:val="clear" w:color="auto" w:fill="auto"/>
          </w:tcPr>
          <w:p w:rsidR="004C3E58" w:rsidRPr="004A5227" w:rsidRDefault="004C3E58" w:rsidP="0027142E">
            <w:pPr>
              <w:pStyle w:val="Tabletext"/>
            </w:pPr>
            <w:r w:rsidRPr="004A5227">
              <w:t xml:space="preserve">Salisbury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104</w:t>
            </w:r>
          </w:p>
        </w:tc>
        <w:tc>
          <w:tcPr>
            <w:tcW w:w="2825" w:type="dxa"/>
            <w:shd w:val="clear" w:color="auto" w:fill="auto"/>
          </w:tcPr>
          <w:p w:rsidR="004C3E58" w:rsidRPr="004A5227" w:rsidRDefault="004C3E58" w:rsidP="00ED71A4">
            <w:pPr>
              <w:pStyle w:val="Tabletext"/>
            </w:pPr>
            <w:r w:rsidRPr="004A5227">
              <w:t>(08) 740</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105</w:t>
            </w:r>
          </w:p>
        </w:tc>
        <w:tc>
          <w:tcPr>
            <w:tcW w:w="2825" w:type="dxa"/>
            <w:shd w:val="clear" w:color="auto" w:fill="auto"/>
          </w:tcPr>
          <w:p w:rsidR="004C3E58" w:rsidRPr="004A5227" w:rsidRDefault="004C3E58" w:rsidP="00ED71A4">
            <w:pPr>
              <w:pStyle w:val="Tabletext"/>
            </w:pPr>
            <w:r w:rsidRPr="004A5227">
              <w:t>(08) 741</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106</w:t>
            </w:r>
          </w:p>
        </w:tc>
        <w:tc>
          <w:tcPr>
            <w:tcW w:w="2825" w:type="dxa"/>
            <w:shd w:val="clear" w:color="auto" w:fill="auto"/>
          </w:tcPr>
          <w:p w:rsidR="004C3E58" w:rsidRPr="004A5227" w:rsidRDefault="004C3E58" w:rsidP="00ED71A4">
            <w:pPr>
              <w:pStyle w:val="Tabletext"/>
            </w:pPr>
            <w:r w:rsidRPr="004A5227">
              <w:t>(08) 742</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107</w:t>
            </w:r>
          </w:p>
        </w:tc>
        <w:tc>
          <w:tcPr>
            <w:tcW w:w="2825" w:type="dxa"/>
            <w:shd w:val="clear" w:color="auto" w:fill="auto"/>
          </w:tcPr>
          <w:p w:rsidR="004C3E58" w:rsidRPr="004A5227" w:rsidRDefault="004C3E58" w:rsidP="00ED71A4">
            <w:pPr>
              <w:pStyle w:val="Tabletext"/>
            </w:pPr>
            <w:r w:rsidRPr="004A5227">
              <w:t>(08) 743</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108</w:t>
            </w:r>
          </w:p>
        </w:tc>
        <w:tc>
          <w:tcPr>
            <w:tcW w:w="2825" w:type="dxa"/>
            <w:shd w:val="clear" w:color="auto" w:fill="auto"/>
          </w:tcPr>
          <w:p w:rsidR="004C3E58" w:rsidRPr="004A5227" w:rsidRDefault="004C3E58" w:rsidP="00ED71A4">
            <w:pPr>
              <w:pStyle w:val="Tabletext"/>
            </w:pPr>
            <w:r w:rsidRPr="004A5227">
              <w:t>(08) 744</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109</w:t>
            </w:r>
          </w:p>
        </w:tc>
        <w:tc>
          <w:tcPr>
            <w:tcW w:w="2825" w:type="dxa"/>
            <w:shd w:val="clear" w:color="auto" w:fill="auto"/>
          </w:tcPr>
          <w:p w:rsidR="004C3E58" w:rsidRPr="004A5227" w:rsidRDefault="004C3E58" w:rsidP="00ED71A4">
            <w:pPr>
              <w:pStyle w:val="Tabletext"/>
            </w:pPr>
            <w:r w:rsidRPr="004A5227">
              <w:t>(08) 745</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110</w:t>
            </w:r>
          </w:p>
        </w:tc>
        <w:tc>
          <w:tcPr>
            <w:tcW w:w="2825" w:type="dxa"/>
            <w:shd w:val="clear" w:color="auto" w:fill="auto"/>
          </w:tcPr>
          <w:p w:rsidR="004C3E58" w:rsidRPr="004A5227" w:rsidRDefault="004C3E58" w:rsidP="00ED71A4">
            <w:pPr>
              <w:pStyle w:val="Tabletext"/>
            </w:pPr>
            <w:r w:rsidRPr="004A5227">
              <w:t>(08) 746</w:t>
            </w:r>
          </w:p>
        </w:tc>
        <w:tc>
          <w:tcPr>
            <w:tcW w:w="4773" w:type="dxa"/>
            <w:shd w:val="clear" w:color="auto" w:fill="auto"/>
          </w:tcPr>
          <w:p w:rsidR="004C3E58" w:rsidRPr="004A5227" w:rsidRDefault="004C3E58" w:rsidP="00ED71A4">
            <w:pPr>
              <w:pStyle w:val="Tabletext"/>
            </w:pPr>
            <w:r w:rsidRPr="004A5227">
              <w:t>Adelaide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111</w:t>
            </w:r>
          </w:p>
        </w:tc>
        <w:tc>
          <w:tcPr>
            <w:tcW w:w="2825" w:type="dxa"/>
            <w:shd w:val="clear" w:color="auto" w:fill="auto"/>
          </w:tcPr>
          <w:p w:rsidR="004C3E58" w:rsidRPr="004A5227" w:rsidRDefault="004C3E58" w:rsidP="00ED71A4">
            <w:pPr>
              <w:pStyle w:val="Tabletext"/>
            </w:pPr>
            <w:r w:rsidRPr="004A5227">
              <w:t>(08) 747</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112</w:t>
            </w:r>
          </w:p>
        </w:tc>
        <w:tc>
          <w:tcPr>
            <w:tcW w:w="2825" w:type="dxa"/>
            <w:shd w:val="clear" w:color="auto" w:fill="auto"/>
          </w:tcPr>
          <w:p w:rsidR="004C3E58" w:rsidRPr="004A5227" w:rsidRDefault="004C3E58" w:rsidP="00ED71A4">
            <w:pPr>
              <w:pStyle w:val="Tabletext"/>
            </w:pPr>
            <w:r w:rsidRPr="004A5227">
              <w:t>(08) 748</w:t>
            </w:r>
          </w:p>
        </w:tc>
        <w:tc>
          <w:tcPr>
            <w:tcW w:w="4773" w:type="dxa"/>
            <w:shd w:val="clear" w:color="auto" w:fill="auto"/>
          </w:tcPr>
          <w:p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113</w:t>
            </w:r>
          </w:p>
        </w:tc>
        <w:tc>
          <w:tcPr>
            <w:tcW w:w="2825" w:type="dxa"/>
            <w:shd w:val="clear" w:color="auto" w:fill="auto"/>
          </w:tcPr>
          <w:p w:rsidR="004C3E58" w:rsidRPr="004A5227" w:rsidRDefault="004C3E58" w:rsidP="00ED71A4">
            <w:pPr>
              <w:pStyle w:val="Tabletext"/>
            </w:pPr>
            <w:r w:rsidRPr="004A5227">
              <w:t>(08) 749</w:t>
            </w:r>
          </w:p>
        </w:tc>
        <w:tc>
          <w:tcPr>
            <w:tcW w:w="4773" w:type="dxa"/>
            <w:shd w:val="clear" w:color="auto" w:fill="auto"/>
          </w:tcPr>
          <w:p w:rsidR="004C3E58" w:rsidRPr="004A5227" w:rsidRDefault="004C3E58" w:rsidP="00863921">
            <w:pPr>
              <w:pStyle w:val="Tabletext"/>
            </w:pPr>
            <w:r w:rsidRPr="004A5227">
              <w:t xml:space="preserve">Woodside (South Australia) </w:t>
            </w:r>
            <w:r w:rsidR="00863921" w:rsidRPr="004A5227">
              <w:t>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114</w:t>
            </w:r>
          </w:p>
        </w:tc>
        <w:tc>
          <w:tcPr>
            <w:tcW w:w="2825" w:type="dxa"/>
            <w:shd w:val="clear" w:color="auto" w:fill="auto"/>
          </w:tcPr>
          <w:p w:rsidR="004C3E58" w:rsidRPr="004A5227" w:rsidRDefault="004C3E58" w:rsidP="00ED71A4">
            <w:pPr>
              <w:pStyle w:val="Tabletext"/>
            </w:pPr>
            <w:r w:rsidRPr="004A5227">
              <w:t>(08) 75</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Berri</w:t>
            </w:r>
          </w:p>
          <w:p w:rsidR="004C3E58" w:rsidRPr="004A5227" w:rsidRDefault="004C3E58" w:rsidP="00ED71A4">
            <w:pPr>
              <w:pStyle w:val="Tabletext"/>
            </w:pPr>
            <w:r w:rsidRPr="004A5227">
              <w:t>Gawler</w:t>
            </w:r>
          </w:p>
          <w:p w:rsidR="004C3E58" w:rsidRPr="004A5227" w:rsidRDefault="004C3E58" w:rsidP="00ED71A4">
            <w:pPr>
              <w:pStyle w:val="Tabletext"/>
            </w:pPr>
            <w:r w:rsidRPr="004A5227">
              <w:t>Kangaroo Island</w:t>
            </w:r>
          </w:p>
          <w:p w:rsidR="004C3E58" w:rsidRPr="004A5227" w:rsidRDefault="004C3E58" w:rsidP="00ED71A4">
            <w:pPr>
              <w:pStyle w:val="Tabletext"/>
            </w:pPr>
            <w:proofErr w:type="spellStart"/>
            <w:r w:rsidRPr="004A5227">
              <w:t>Malalla</w:t>
            </w:r>
            <w:proofErr w:type="spellEnd"/>
          </w:p>
          <w:p w:rsidR="004C3E58" w:rsidRPr="004A5227" w:rsidRDefault="004C3E58" w:rsidP="00ED71A4">
            <w:pPr>
              <w:pStyle w:val="Tabletext"/>
            </w:pPr>
            <w:r w:rsidRPr="004A5227">
              <w:t>Murray Bridge</w:t>
            </w:r>
          </w:p>
          <w:p w:rsidR="004C3E58" w:rsidRPr="004A5227" w:rsidRDefault="004C3E58" w:rsidP="00ED71A4">
            <w:pPr>
              <w:pStyle w:val="Tabletext"/>
            </w:pPr>
            <w:proofErr w:type="spellStart"/>
            <w:r w:rsidRPr="004A5227">
              <w:t>Nurioopta</w:t>
            </w:r>
            <w:proofErr w:type="spellEnd"/>
          </w:p>
          <w:p w:rsidR="004C3E58" w:rsidRPr="004A5227" w:rsidRDefault="004C3E58" w:rsidP="00ED71A4">
            <w:pPr>
              <w:pStyle w:val="Tabletext"/>
            </w:pPr>
            <w:r w:rsidRPr="004A5227">
              <w:t>Tailem Bend</w:t>
            </w:r>
          </w:p>
          <w:p w:rsidR="004C3E58" w:rsidRPr="004A5227" w:rsidRDefault="004C3E58" w:rsidP="00ED71A4">
            <w:pPr>
              <w:pStyle w:val="Tabletext"/>
            </w:pPr>
            <w:r w:rsidRPr="004A5227">
              <w:t>Victor Harbour</w:t>
            </w:r>
          </w:p>
          <w:p w:rsidR="004C3E58" w:rsidRPr="004A5227" w:rsidRDefault="004C3E58" w:rsidP="00ED71A4">
            <w:pPr>
              <w:pStyle w:val="Tabletext"/>
            </w:pPr>
            <w:r w:rsidRPr="004A5227">
              <w:t>Waikerie</w:t>
            </w:r>
          </w:p>
        </w:tc>
      </w:tr>
      <w:tr w:rsidR="004C3E58" w:rsidRPr="004A5227" w:rsidTr="0027142E">
        <w:tc>
          <w:tcPr>
            <w:tcW w:w="714" w:type="dxa"/>
            <w:shd w:val="clear" w:color="auto" w:fill="auto"/>
          </w:tcPr>
          <w:p w:rsidR="004C3E58" w:rsidRPr="004A5227" w:rsidRDefault="004C3E58" w:rsidP="00ED71A4">
            <w:pPr>
              <w:pStyle w:val="Tabletext"/>
            </w:pPr>
            <w:r w:rsidRPr="004A5227">
              <w:t>115</w:t>
            </w:r>
          </w:p>
        </w:tc>
        <w:tc>
          <w:tcPr>
            <w:tcW w:w="2825" w:type="dxa"/>
            <w:shd w:val="clear" w:color="auto" w:fill="auto"/>
          </w:tcPr>
          <w:p w:rsidR="004C3E58" w:rsidRPr="004A5227" w:rsidRDefault="004C3E58" w:rsidP="00ED71A4">
            <w:pPr>
              <w:pStyle w:val="Tabletext"/>
            </w:pPr>
            <w:r w:rsidRPr="004A5227">
              <w:t>(08) 76</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Ceduna</w:t>
            </w:r>
          </w:p>
          <w:p w:rsidR="004C3E58" w:rsidRPr="004A5227" w:rsidRDefault="004C3E58" w:rsidP="00ED71A4">
            <w:pPr>
              <w:pStyle w:val="Tabletext"/>
            </w:pPr>
            <w:r w:rsidRPr="004A5227">
              <w:t>Cook</w:t>
            </w:r>
          </w:p>
          <w:p w:rsidR="004C3E58" w:rsidRPr="004A5227" w:rsidRDefault="004C3E58" w:rsidP="00ED71A4">
            <w:pPr>
              <w:pStyle w:val="Tabletext"/>
            </w:pPr>
            <w:r w:rsidRPr="004A5227">
              <w:t>Gladstone</w:t>
            </w:r>
          </w:p>
          <w:p w:rsidR="004C3E58" w:rsidRPr="004A5227" w:rsidRDefault="004C3E58" w:rsidP="00ED71A4">
            <w:pPr>
              <w:pStyle w:val="Tabletext"/>
            </w:pPr>
            <w:r w:rsidRPr="004A5227">
              <w:t>Peterborough</w:t>
            </w:r>
          </w:p>
          <w:p w:rsidR="004C3E58" w:rsidRPr="004A5227" w:rsidRDefault="004C3E58" w:rsidP="00ED71A4">
            <w:pPr>
              <w:pStyle w:val="Tabletext"/>
            </w:pPr>
            <w:r w:rsidRPr="004A5227">
              <w:t>Port Augusta</w:t>
            </w:r>
          </w:p>
          <w:p w:rsidR="004C3E58" w:rsidRPr="004A5227" w:rsidRDefault="004C3E58" w:rsidP="00ED71A4">
            <w:pPr>
              <w:pStyle w:val="Tabletext"/>
            </w:pPr>
            <w:r w:rsidRPr="004A5227">
              <w:t>Port Pirie</w:t>
            </w:r>
          </w:p>
          <w:p w:rsidR="004C3E58" w:rsidRPr="004A5227" w:rsidRDefault="004C3E58" w:rsidP="00ED71A4">
            <w:pPr>
              <w:pStyle w:val="Tabletext"/>
            </w:pPr>
            <w:r w:rsidRPr="004A5227">
              <w:t>Woomera</w:t>
            </w:r>
          </w:p>
          <w:p w:rsidR="00863921" w:rsidRPr="004A5227" w:rsidRDefault="00863921" w:rsidP="00ED71A4">
            <w:pPr>
              <w:pStyle w:val="Tabletext"/>
            </w:pPr>
          </w:p>
          <w:p w:rsidR="00863921" w:rsidRPr="004A5227" w:rsidRDefault="00863921" w:rsidP="00863921">
            <w:pPr>
              <w:pStyle w:val="Tabletext"/>
            </w:pPr>
            <w:r w:rsidRPr="004A5227">
              <w:t>The following standard zone units in Port Lincoln charging district:</w:t>
            </w:r>
          </w:p>
          <w:p w:rsidR="00863921" w:rsidRPr="004A5227" w:rsidRDefault="00863921" w:rsidP="0027142E">
            <w:pPr>
              <w:pStyle w:val="Tabletext"/>
            </w:pPr>
            <w:r w:rsidRPr="004A5227">
              <w:lastRenderedPageBreak/>
              <w:t xml:space="preserve">Arno Bay, </w:t>
            </w:r>
            <w:proofErr w:type="spellStart"/>
            <w:r w:rsidRPr="004A5227">
              <w:t>Bayley</w:t>
            </w:r>
            <w:proofErr w:type="spellEnd"/>
            <w:r w:rsidRPr="004A5227">
              <w:t xml:space="preserve"> Plains, Cleve, Coffin Bay, Coulta, Cowell, Cummins, </w:t>
            </w:r>
            <w:proofErr w:type="spellStart"/>
            <w:r w:rsidRPr="004A5227">
              <w:t>Darke</w:t>
            </w:r>
            <w:proofErr w:type="spellEnd"/>
            <w:r w:rsidRPr="004A5227">
              <w:t xml:space="preserve"> Peak, Elliston, </w:t>
            </w:r>
            <w:proofErr w:type="spellStart"/>
            <w:r w:rsidRPr="004A5227">
              <w:t>Kapinnie</w:t>
            </w:r>
            <w:proofErr w:type="spellEnd"/>
            <w:r w:rsidRPr="004A5227">
              <w:t xml:space="preserve">, </w:t>
            </w:r>
            <w:proofErr w:type="spellStart"/>
            <w:r w:rsidRPr="004A5227">
              <w:t>Koongawa</w:t>
            </w:r>
            <w:proofErr w:type="spellEnd"/>
            <w:r w:rsidRPr="004A5227">
              <w:t xml:space="preserve">, </w:t>
            </w:r>
            <w:proofErr w:type="spellStart"/>
            <w:r w:rsidRPr="004A5227">
              <w:t>Koppio</w:t>
            </w:r>
            <w:proofErr w:type="spellEnd"/>
            <w:r w:rsidRPr="004A5227">
              <w:t xml:space="preserve">, Kyancutta, Lock, </w:t>
            </w:r>
            <w:proofErr w:type="spellStart"/>
            <w:r w:rsidRPr="004A5227">
              <w:t>Miltalie</w:t>
            </w:r>
            <w:proofErr w:type="spellEnd"/>
            <w:r w:rsidRPr="004A5227">
              <w:t xml:space="preserve">, Minnipa, Mount Hope, Port Lincoln, Port Neill, Rudall, Sheringa, Sleaford Mere, </w:t>
            </w:r>
            <w:proofErr w:type="spellStart"/>
            <w:r w:rsidRPr="004A5227">
              <w:t>Spilsby</w:t>
            </w:r>
            <w:proofErr w:type="spellEnd"/>
            <w:r w:rsidRPr="004A5227">
              <w:t xml:space="preserve">, </w:t>
            </w:r>
            <w:proofErr w:type="spellStart"/>
            <w:r w:rsidRPr="004A5227">
              <w:t>Tooligie</w:t>
            </w:r>
            <w:proofErr w:type="spellEnd"/>
            <w:r w:rsidRPr="004A5227">
              <w:t xml:space="preserve"> Hill, Tumby Bay, Ungarra, Wanilla, Wharminda, Wudinna, </w:t>
            </w:r>
            <w:proofErr w:type="spellStart"/>
            <w:r w:rsidRPr="004A5227">
              <w:t>Yabmana</w:t>
            </w:r>
            <w:proofErr w:type="spellEnd"/>
            <w:r w:rsidRPr="004A5227">
              <w:t>, Yeelanna</w:t>
            </w:r>
          </w:p>
        </w:tc>
      </w:tr>
      <w:tr w:rsidR="004C3E58" w:rsidRPr="004A5227" w:rsidTr="0027142E">
        <w:tc>
          <w:tcPr>
            <w:tcW w:w="714" w:type="dxa"/>
            <w:shd w:val="clear" w:color="auto" w:fill="auto"/>
          </w:tcPr>
          <w:p w:rsidR="004C3E58" w:rsidRPr="004A5227" w:rsidRDefault="004C3E58" w:rsidP="00ED71A4">
            <w:pPr>
              <w:pStyle w:val="Tabletext"/>
            </w:pPr>
            <w:r w:rsidRPr="004A5227">
              <w:lastRenderedPageBreak/>
              <w:t>116</w:t>
            </w:r>
          </w:p>
        </w:tc>
        <w:tc>
          <w:tcPr>
            <w:tcW w:w="2825" w:type="dxa"/>
            <w:shd w:val="clear" w:color="auto" w:fill="auto"/>
          </w:tcPr>
          <w:p w:rsidR="004C3E58" w:rsidRPr="004A5227" w:rsidRDefault="004C3E58" w:rsidP="00ED71A4">
            <w:pPr>
              <w:pStyle w:val="Tabletext"/>
            </w:pPr>
            <w:r w:rsidRPr="004A5227">
              <w:t>(08) 77</w:t>
            </w:r>
          </w:p>
        </w:tc>
        <w:tc>
          <w:tcPr>
            <w:tcW w:w="4773" w:type="dxa"/>
            <w:shd w:val="clear" w:color="auto" w:fill="auto"/>
          </w:tcPr>
          <w:p w:rsidR="004C3E58" w:rsidRPr="004A5227" w:rsidRDefault="004C3E58" w:rsidP="00ED71A4">
            <w:pPr>
              <w:pStyle w:val="Tabletext"/>
            </w:pPr>
            <w:r w:rsidRPr="004A5227">
              <w:t>Bordertown, Mount Gambier and Naracoorte charging districts</w:t>
            </w:r>
          </w:p>
        </w:tc>
      </w:tr>
      <w:tr w:rsidR="004C3E58" w:rsidRPr="004A5227" w:rsidTr="0027142E">
        <w:tc>
          <w:tcPr>
            <w:tcW w:w="714" w:type="dxa"/>
            <w:shd w:val="clear" w:color="auto" w:fill="auto"/>
          </w:tcPr>
          <w:p w:rsidR="004C3E58" w:rsidRPr="004A5227" w:rsidRDefault="004C3E58" w:rsidP="00ED71A4">
            <w:pPr>
              <w:pStyle w:val="Tabletext"/>
            </w:pPr>
            <w:r w:rsidRPr="004A5227">
              <w:t>117</w:t>
            </w:r>
          </w:p>
        </w:tc>
        <w:tc>
          <w:tcPr>
            <w:tcW w:w="2825" w:type="dxa"/>
            <w:shd w:val="clear" w:color="auto" w:fill="auto"/>
          </w:tcPr>
          <w:p w:rsidR="004C3E58" w:rsidRPr="004A5227" w:rsidRDefault="004C3E58" w:rsidP="00ED71A4">
            <w:pPr>
              <w:pStyle w:val="Tabletext"/>
            </w:pPr>
            <w:r w:rsidRPr="004A5227">
              <w:t>(08) 78</w:t>
            </w:r>
          </w:p>
        </w:tc>
        <w:tc>
          <w:tcPr>
            <w:tcW w:w="4773" w:type="dxa"/>
            <w:shd w:val="clear" w:color="auto" w:fill="auto"/>
          </w:tcPr>
          <w:p w:rsidR="004C3E58" w:rsidRPr="004A5227" w:rsidRDefault="004C3E58" w:rsidP="00ED71A4">
            <w:pPr>
              <w:pStyle w:val="Tabletext"/>
            </w:pPr>
            <w:r w:rsidRPr="004A5227">
              <w:t>The following charging districts:</w:t>
            </w:r>
          </w:p>
          <w:p w:rsidR="004C3E58" w:rsidRPr="004A5227" w:rsidRDefault="004C3E58" w:rsidP="00ED71A4">
            <w:pPr>
              <w:pStyle w:val="Tabletext"/>
            </w:pPr>
            <w:r w:rsidRPr="004A5227">
              <w:t>Balaklava</w:t>
            </w:r>
          </w:p>
          <w:p w:rsidR="004C3E58" w:rsidRPr="004A5227" w:rsidRDefault="004C3E58" w:rsidP="00ED71A4">
            <w:pPr>
              <w:pStyle w:val="Tabletext"/>
            </w:pPr>
            <w:r w:rsidRPr="004A5227">
              <w:t>Burra</w:t>
            </w:r>
          </w:p>
          <w:p w:rsidR="004C3E58" w:rsidRPr="004A5227" w:rsidRDefault="004C3E58" w:rsidP="00ED71A4">
            <w:pPr>
              <w:pStyle w:val="Tabletext"/>
            </w:pPr>
            <w:r w:rsidRPr="004A5227">
              <w:t>Clare</w:t>
            </w:r>
          </w:p>
          <w:p w:rsidR="004C3E58" w:rsidRPr="004A5227" w:rsidRDefault="004C3E58" w:rsidP="00ED71A4">
            <w:pPr>
              <w:pStyle w:val="Tabletext"/>
            </w:pPr>
            <w:r w:rsidRPr="004A5227">
              <w:t>Gawler</w:t>
            </w:r>
          </w:p>
          <w:p w:rsidR="004C3E58" w:rsidRPr="004A5227" w:rsidRDefault="004C3E58" w:rsidP="00ED71A4">
            <w:pPr>
              <w:pStyle w:val="Tabletext"/>
            </w:pPr>
            <w:r w:rsidRPr="004A5227">
              <w:t>Kadina</w:t>
            </w:r>
          </w:p>
          <w:p w:rsidR="004C3E58" w:rsidRPr="004A5227" w:rsidRDefault="004C3E58" w:rsidP="00ED71A4">
            <w:pPr>
              <w:pStyle w:val="Tabletext"/>
            </w:pPr>
            <w:r w:rsidRPr="004A5227">
              <w:t>Maitland</w:t>
            </w:r>
          </w:p>
          <w:p w:rsidR="004C3E58" w:rsidRPr="004A5227" w:rsidRDefault="004C3E58" w:rsidP="00ED71A4">
            <w:pPr>
              <w:pStyle w:val="Tabletext"/>
            </w:pPr>
            <w:r w:rsidRPr="004A5227">
              <w:t>Yorketown</w:t>
            </w:r>
          </w:p>
          <w:p w:rsidR="004C3E58" w:rsidRPr="004A5227" w:rsidRDefault="004C3E58" w:rsidP="00ED71A4">
            <w:pPr>
              <w:pStyle w:val="Tabletext"/>
            </w:pPr>
          </w:p>
          <w:p w:rsidR="004C3E58" w:rsidRPr="004A5227" w:rsidRDefault="004C3E58" w:rsidP="0027142E">
            <w:pPr>
              <w:pStyle w:val="Tabletext"/>
            </w:pPr>
            <w:r w:rsidRPr="004A5227">
              <w:t xml:space="preserve">Thistle and Wedge </w:t>
            </w:r>
            <w:r w:rsidR="00863921" w:rsidRPr="004A5227">
              <w:t>standard zone units</w:t>
            </w:r>
            <w:r w:rsidRPr="004A5227">
              <w:t xml:space="preserve"> in Port Lincoln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118</w:t>
            </w:r>
          </w:p>
        </w:tc>
        <w:tc>
          <w:tcPr>
            <w:tcW w:w="2825" w:type="dxa"/>
            <w:shd w:val="clear" w:color="auto" w:fill="auto"/>
          </w:tcPr>
          <w:p w:rsidR="004C3E58" w:rsidRPr="004A5227" w:rsidRDefault="004C3E58" w:rsidP="00ED71A4">
            <w:pPr>
              <w:pStyle w:val="Tabletext"/>
            </w:pPr>
            <w:r w:rsidRPr="004A5227">
              <w:t>(08) 79</w:t>
            </w:r>
          </w:p>
        </w:tc>
        <w:tc>
          <w:tcPr>
            <w:tcW w:w="4773" w:type="dxa"/>
            <w:shd w:val="clear" w:color="auto" w:fill="auto"/>
          </w:tcPr>
          <w:p w:rsidR="004C3E58" w:rsidRPr="004A5227" w:rsidRDefault="004C3E58" w:rsidP="00ED71A4">
            <w:pPr>
              <w:pStyle w:val="Tabletext"/>
            </w:pPr>
            <w:r w:rsidRPr="004A5227">
              <w:t>Alice Springs and Darwin charging districts</w:t>
            </w:r>
          </w:p>
        </w:tc>
      </w:tr>
      <w:tr w:rsidR="004C3E58" w:rsidRPr="004A5227" w:rsidTr="0027142E">
        <w:tc>
          <w:tcPr>
            <w:tcW w:w="714" w:type="dxa"/>
            <w:shd w:val="clear" w:color="auto" w:fill="auto"/>
          </w:tcPr>
          <w:p w:rsidR="004C3E58" w:rsidRPr="004A5227" w:rsidRDefault="004C3E58" w:rsidP="00ED71A4">
            <w:pPr>
              <w:pStyle w:val="Tabletext"/>
            </w:pPr>
            <w:r w:rsidRPr="004A5227">
              <w:t>119</w:t>
            </w:r>
          </w:p>
        </w:tc>
        <w:tc>
          <w:tcPr>
            <w:tcW w:w="2825" w:type="dxa"/>
            <w:shd w:val="clear" w:color="auto" w:fill="auto"/>
          </w:tcPr>
          <w:p w:rsidR="004C3E58" w:rsidRPr="004A5227" w:rsidRDefault="004C3E58" w:rsidP="00ED71A4">
            <w:pPr>
              <w:pStyle w:val="Tabletext"/>
            </w:pPr>
            <w:r w:rsidRPr="004A5227">
              <w:t>(08) 80</w:t>
            </w:r>
          </w:p>
        </w:tc>
        <w:tc>
          <w:tcPr>
            <w:tcW w:w="4773" w:type="dxa"/>
            <w:shd w:val="clear" w:color="auto" w:fill="auto"/>
          </w:tcPr>
          <w:p w:rsidR="004C3E58" w:rsidRPr="004A5227" w:rsidRDefault="004C3E58" w:rsidP="00ED71A4">
            <w:pPr>
              <w:pStyle w:val="Tabletext"/>
            </w:pPr>
            <w:r w:rsidRPr="004A5227">
              <w:t>Broken Hill charging district</w:t>
            </w:r>
          </w:p>
        </w:tc>
      </w:tr>
      <w:tr w:rsidR="004C3E58" w:rsidRPr="004A5227" w:rsidTr="0027142E">
        <w:tc>
          <w:tcPr>
            <w:tcW w:w="714" w:type="dxa"/>
            <w:shd w:val="clear" w:color="auto" w:fill="auto"/>
          </w:tcPr>
          <w:p w:rsidR="004C3E58" w:rsidRPr="004A5227" w:rsidRDefault="004C3E58" w:rsidP="00ED71A4">
            <w:pPr>
              <w:pStyle w:val="Tabletext"/>
            </w:pPr>
            <w:r w:rsidRPr="004A5227">
              <w:t>120</w:t>
            </w:r>
          </w:p>
        </w:tc>
        <w:tc>
          <w:tcPr>
            <w:tcW w:w="2825" w:type="dxa"/>
            <w:shd w:val="clear" w:color="auto" w:fill="auto"/>
          </w:tcPr>
          <w:p w:rsidR="004C3E58" w:rsidRPr="004A5227" w:rsidRDefault="004C3E58" w:rsidP="00ED71A4">
            <w:pPr>
              <w:pStyle w:val="Tabletext"/>
            </w:pPr>
            <w:r w:rsidRPr="004A5227">
              <w:t>(08) 810</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121</w:t>
            </w:r>
          </w:p>
        </w:tc>
        <w:tc>
          <w:tcPr>
            <w:tcW w:w="2825" w:type="dxa"/>
            <w:shd w:val="clear" w:color="auto" w:fill="auto"/>
          </w:tcPr>
          <w:p w:rsidR="004C3E58" w:rsidRPr="004A5227" w:rsidRDefault="004C3E58" w:rsidP="00ED71A4">
            <w:pPr>
              <w:pStyle w:val="Tabletext"/>
            </w:pPr>
            <w:r w:rsidRPr="004A5227">
              <w:t>(08) 811</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122</w:t>
            </w:r>
          </w:p>
        </w:tc>
        <w:tc>
          <w:tcPr>
            <w:tcW w:w="2825" w:type="dxa"/>
            <w:shd w:val="clear" w:color="auto" w:fill="auto"/>
          </w:tcPr>
          <w:p w:rsidR="004C3E58" w:rsidRPr="004A5227" w:rsidRDefault="004C3E58" w:rsidP="00ED71A4">
            <w:pPr>
              <w:pStyle w:val="Tabletext"/>
            </w:pPr>
            <w:r w:rsidRPr="004A5227">
              <w:t>(08) 812</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123</w:t>
            </w:r>
          </w:p>
        </w:tc>
        <w:tc>
          <w:tcPr>
            <w:tcW w:w="2825" w:type="dxa"/>
            <w:shd w:val="clear" w:color="auto" w:fill="auto"/>
          </w:tcPr>
          <w:p w:rsidR="004C3E58" w:rsidRPr="004A5227" w:rsidRDefault="004C3E58" w:rsidP="00ED71A4">
            <w:pPr>
              <w:pStyle w:val="Tabletext"/>
            </w:pPr>
            <w:r w:rsidRPr="004A5227">
              <w:t>(08) 813</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124</w:t>
            </w:r>
          </w:p>
        </w:tc>
        <w:tc>
          <w:tcPr>
            <w:tcW w:w="2825" w:type="dxa"/>
            <w:shd w:val="clear" w:color="auto" w:fill="auto"/>
          </w:tcPr>
          <w:p w:rsidR="004C3E58" w:rsidRPr="004A5227" w:rsidRDefault="004C3E58" w:rsidP="00ED71A4">
            <w:pPr>
              <w:pStyle w:val="Tabletext"/>
            </w:pPr>
            <w:r w:rsidRPr="004A5227">
              <w:t>(08) 814</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125</w:t>
            </w:r>
          </w:p>
        </w:tc>
        <w:tc>
          <w:tcPr>
            <w:tcW w:w="2825" w:type="dxa"/>
            <w:shd w:val="clear" w:color="auto" w:fill="auto"/>
          </w:tcPr>
          <w:p w:rsidR="004C3E58" w:rsidRPr="004A5227" w:rsidRDefault="004C3E58" w:rsidP="00ED71A4">
            <w:pPr>
              <w:pStyle w:val="Tabletext"/>
            </w:pPr>
            <w:r w:rsidRPr="004A5227">
              <w:t>(08) 815</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126</w:t>
            </w:r>
          </w:p>
        </w:tc>
        <w:tc>
          <w:tcPr>
            <w:tcW w:w="2825" w:type="dxa"/>
            <w:shd w:val="clear" w:color="auto" w:fill="auto"/>
          </w:tcPr>
          <w:p w:rsidR="004C3E58" w:rsidRPr="004A5227" w:rsidRDefault="004C3E58" w:rsidP="00ED71A4">
            <w:pPr>
              <w:pStyle w:val="Tabletext"/>
            </w:pPr>
            <w:r w:rsidRPr="004A5227">
              <w:t>(08) 816</w:t>
            </w:r>
          </w:p>
        </w:tc>
        <w:tc>
          <w:tcPr>
            <w:tcW w:w="4773" w:type="dxa"/>
            <w:shd w:val="clear" w:color="auto" w:fill="auto"/>
          </w:tcPr>
          <w:p w:rsidR="004C3E58" w:rsidRPr="004A5227" w:rsidRDefault="00863921" w:rsidP="00ED71A4">
            <w:pPr>
              <w:pStyle w:val="Tabletext"/>
            </w:pPr>
            <w:r w:rsidRPr="004A5227">
              <w:t>Adelaide standard zone unit</w:t>
            </w:r>
          </w:p>
        </w:tc>
      </w:tr>
      <w:tr w:rsidR="004C3E58" w:rsidRPr="004A5227" w:rsidTr="0027142E">
        <w:tc>
          <w:tcPr>
            <w:tcW w:w="714" w:type="dxa"/>
            <w:shd w:val="clear" w:color="auto" w:fill="auto"/>
          </w:tcPr>
          <w:p w:rsidR="004C3E58" w:rsidRPr="004A5227" w:rsidRDefault="004C3E58" w:rsidP="00ED71A4">
            <w:pPr>
              <w:pStyle w:val="Tabletext"/>
            </w:pPr>
            <w:r w:rsidRPr="004A5227">
              <w:t>127</w:t>
            </w:r>
          </w:p>
        </w:tc>
        <w:tc>
          <w:tcPr>
            <w:tcW w:w="2825" w:type="dxa"/>
            <w:shd w:val="clear" w:color="auto" w:fill="auto"/>
          </w:tcPr>
          <w:p w:rsidR="004C3E58" w:rsidRPr="004A5227" w:rsidRDefault="004C3E58" w:rsidP="00ED71A4">
            <w:pPr>
              <w:pStyle w:val="Tabletext"/>
            </w:pPr>
            <w:r w:rsidRPr="004A5227">
              <w:t>(08) 817</w:t>
            </w:r>
          </w:p>
        </w:tc>
        <w:tc>
          <w:tcPr>
            <w:tcW w:w="4773" w:type="dxa"/>
            <w:shd w:val="clear" w:color="auto" w:fill="auto"/>
          </w:tcPr>
          <w:p w:rsidR="004C3E58"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128</w:t>
            </w:r>
          </w:p>
        </w:tc>
        <w:tc>
          <w:tcPr>
            <w:tcW w:w="2825" w:type="dxa"/>
            <w:shd w:val="clear" w:color="auto" w:fill="auto"/>
          </w:tcPr>
          <w:p w:rsidR="00863921" w:rsidRPr="004A5227" w:rsidRDefault="00863921" w:rsidP="00ED71A4">
            <w:pPr>
              <w:pStyle w:val="Tabletext"/>
            </w:pPr>
            <w:r w:rsidRPr="004A5227">
              <w:t>(08) 818</w:t>
            </w:r>
          </w:p>
        </w:tc>
        <w:tc>
          <w:tcPr>
            <w:tcW w:w="4773" w:type="dxa"/>
            <w:shd w:val="clear" w:color="auto" w:fill="auto"/>
          </w:tcPr>
          <w:p w:rsidR="00863921" w:rsidRPr="004A5227" w:rsidRDefault="00863921" w:rsidP="00E73746">
            <w:pPr>
              <w:pStyle w:val="Tabletext"/>
            </w:pPr>
            <w:r w:rsidRPr="004A5227">
              <w:t>McLaren Vale, Mount Barker (South Australia), Salisbury and Woodside (South Australia)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129</w:t>
            </w:r>
          </w:p>
        </w:tc>
        <w:tc>
          <w:tcPr>
            <w:tcW w:w="2825" w:type="dxa"/>
            <w:shd w:val="clear" w:color="auto" w:fill="auto"/>
          </w:tcPr>
          <w:p w:rsidR="00863921" w:rsidRPr="004A5227" w:rsidRDefault="00863921" w:rsidP="00ED71A4">
            <w:pPr>
              <w:pStyle w:val="Tabletext"/>
            </w:pPr>
            <w:r w:rsidRPr="004A5227">
              <w:t>(08) 819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130</w:t>
            </w:r>
          </w:p>
        </w:tc>
        <w:tc>
          <w:tcPr>
            <w:tcW w:w="2825" w:type="dxa"/>
            <w:shd w:val="clear" w:color="auto" w:fill="auto"/>
          </w:tcPr>
          <w:p w:rsidR="00863921" w:rsidRPr="004A5227" w:rsidRDefault="00863921" w:rsidP="00ED71A4">
            <w:pPr>
              <w:pStyle w:val="Tabletext"/>
            </w:pPr>
            <w:r w:rsidRPr="004A5227">
              <w:t>(08) 820</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131</w:t>
            </w:r>
          </w:p>
        </w:tc>
        <w:tc>
          <w:tcPr>
            <w:tcW w:w="2825" w:type="dxa"/>
            <w:shd w:val="clear" w:color="auto" w:fill="auto"/>
          </w:tcPr>
          <w:p w:rsidR="00863921" w:rsidRPr="004A5227" w:rsidRDefault="00863921" w:rsidP="00ED71A4">
            <w:pPr>
              <w:pStyle w:val="Tabletext"/>
            </w:pPr>
            <w:r w:rsidRPr="004A5227">
              <w:t>(08) 821</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132</w:t>
            </w:r>
          </w:p>
        </w:tc>
        <w:tc>
          <w:tcPr>
            <w:tcW w:w="2825" w:type="dxa"/>
            <w:shd w:val="clear" w:color="auto" w:fill="auto"/>
          </w:tcPr>
          <w:p w:rsidR="00863921" w:rsidRPr="004A5227" w:rsidRDefault="00863921" w:rsidP="00ED71A4">
            <w:pPr>
              <w:pStyle w:val="Tabletext"/>
            </w:pPr>
            <w:r w:rsidRPr="004A5227">
              <w:t>(08) 822</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133</w:t>
            </w:r>
          </w:p>
        </w:tc>
        <w:tc>
          <w:tcPr>
            <w:tcW w:w="2825" w:type="dxa"/>
            <w:shd w:val="clear" w:color="auto" w:fill="auto"/>
          </w:tcPr>
          <w:p w:rsidR="00863921" w:rsidRPr="004A5227" w:rsidRDefault="00863921" w:rsidP="00ED71A4">
            <w:pPr>
              <w:pStyle w:val="Tabletext"/>
            </w:pPr>
            <w:r w:rsidRPr="004A5227">
              <w:t>(08) 823</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134</w:t>
            </w:r>
          </w:p>
        </w:tc>
        <w:tc>
          <w:tcPr>
            <w:tcW w:w="2825" w:type="dxa"/>
            <w:shd w:val="clear" w:color="auto" w:fill="auto"/>
          </w:tcPr>
          <w:p w:rsidR="00863921" w:rsidRPr="004A5227" w:rsidRDefault="00863921" w:rsidP="00ED71A4">
            <w:pPr>
              <w:pStyle w:val="Tabletext"/>
            </w:pPr>
            <w:r w:rsidRPr="004A5227">
              <w:t>(08) 824</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135</w:t>
            </w:r>
          </w:p>
        </w:tc>
        <w:tc>
          <w:tcPr>
            <w:tcW w:w="2825" w:type="dxa"/>
            <w:shd w:val="clear" w:color="auto" w:fill="auto"/>
          </w:tcPr>
          <w:p w:rsidR="00863921" w:rsidRPr="004A5227" w:rsidRDefault="00863921" w:rsidP="00ED71A4">
            <w:pPr>
              <w:pStyle w:val="Tabletext"/>
            </w:pPr>
            <w:r w:rsidRPr="004A5227">
              <w:t>(08) 825</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136</w:t>
            </w:r>
          </w:p>
        </w:tc>
        <w:tc>
          <w:tcPr>
            <w:tcW w:w="2825" w:type="dxa"/>
            <w:shd w:val="clear" w:color="auto" w:fill="auto"/>
          </w:tcPr>
          <w:p w:rsidR="00863921" w:rsidRPr="004A5227" w:rsidRDefault="00863921" w:rsidP="00ED71A4">
            <w:pPr>
              <w:pStyle w:val="Tabletext"/>
            </w:pPr>
            <w:r w:rsidRPr="004A5227">
              <w:t>(08) 826</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137</w:t>
            </w:r>
          </w:p>
        </w:tc>
        <w:tc>
          <w:tcPr>
            <w:tcW w:w="2825" w:type="dxa"/>
            <w:shd w:val="clear" w:color="auto" w:fill="auto"/>
          </w:tcPr>
          <w:p w:rsidR="00863921" w:rsidRPr="004A5227" w:rsidRDefault="00863921" w:rsidP="00ED71A4">
            <w:pPr>
              <w:pStyle w:val="Tabletext"/>
            </w:pPr>
            <w:r w:rsidRPr="004A5227">
              <w:t>(08) 827</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138</w:t>
            </w:r>
          </w:p>
        </w:tc>
        <w:tc>
          <w:tcPr>
            <w:tcW w:w="2825" w:type="dxa"/>
            <w:shd w:val="clear" w:color="auto" w:fill="auto"/>
          </w:tcPr>
          <w:p w:rsidR="00863921" w:rsidRPr="004A5227" w:rsidRDefault="00863921" w:rsidP="00ED71A4">
            <w:pPr>
              <w:pStyle w:val="Tabletext"/>
            </w:pPr>
            <w:r w:rsidRPr="004A5227">
              <w:t>(08) 828</w:t>
            </w:r>
          </w:p>
        </w:tc>
        <w:tc>
          <w:tcPr>
            <w:tcW w:w="4773" w:type="dxa"/>
            <w:shd w:val="clear" w:color="auto" w:fill="auto"/>
          </w:tcPr>
          <w:p w:rsidR="00863921" w:rsidRPr="004A5227" w:rsidRDefault="00863921" w:rsidP="00863921">
            <w:pPr>
              <w:pStyle w:val="Tabletext"/>
            </w:pPr>
            <w:r w:rsidRPr="004A5227">
              <w:t>Salisbury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139</w:t>
            </w:r>
          </w:p>
        </w:tc>
        <w:tc>
          <w:tcPr>
            <w:tcW w:w="2825" w:type="dxa"/>
            <w:shd w:val="clear" w:color="auto" w:fill="auto"/>
          </w:tcPr>
          <w:p w:rsidR="00863921" w:rsidRPr="004A5227" w:rsidRDefault="00863921" w:rsidP="00ED71A4">
            <w:pPr>
              <w:pStyle w:val="Tabletext"/>
            </w:pPr>
            <w:r w:rsidRPr="004A5227">
              <w:t>(08) 829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140</w:t>
            </w:r>
          </w:p>
        </w:tc>
        <w:tc>
          <w:tcPr>
            <w:tcW w:w="2825" w:type="dxa"/>
            <w:shd w:val="clear" w:color="auto" w:fill="auto"/>
          </w:tcPr>
          <w:p w:rsidR="00863921" w:rsidRPr="004A5227" w:rsidRDefault="00863921" w:rsidP="00ED71A4">
            <w:pPr>
              <w:pStyle w:val="Tabletext"/>
            </w:pPr>
            <w:r w:rsidRPr="004A5227">
              <w:t>(08) 830</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141</w:t>
            </w:r>
          </w:p>
        </w:tc>
        <w:tc>
          <w:tcPr>
            <w:tcW w:w="2825" w:type="dxa"/>
            <w:shd w:val="clear" w:color="auto" w:fill="auto"/>
          </w:tcPr>
          <w:p w:rsidR="00863921" w:rsidRPr="004A5227" w:rsidRDefault="00863921" w:rsidP="00ED71A4">
            <w:pPr>
              <w:pStyle w:val="Tabletext"/>
            </w:pPr>
            <w:r w:rsidRPr="004A5227">
              <w:t>(08) 831</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142</w:t>
            </w:r>
          </w:p>
        </w:tc>
        <w:tc>
          <w:tcPr>
            <w:tcW w:w="2825" w:type="dxa"/>
            <w:shd w:val="clear" w:color="auto" w:fill="auto"/>
          </w:tcPr>
          <w:p w:rsidR="00863921" w:rsidRPr="004A5227" w:rsidRDefault="00863921" w:rsidP="00ED71A4">
            <w:pPr>
              <w:pStyle w:val="Tabletext"/>
            </w:pPr>
            <w:r w:rsidRPr="004A5227">
              <w:t>(08) 832</w:t>
            </w:r>
          </w:p>
        </w:tc>
        <w:tc>
          <w:tcPr>
            <w:tcW w:w="4773" w:type="dxa"/>
            <w:shd w:val="clear" w:color="auto" w:fill="auto"/>
          </w:tcPr>
          <w:p w:rsidR="00863921" w:rsidRPr="004A5227" w:rsidRDefault="00863921" w:rsidP="00ED71A4">
            <w:pPr>
              <w:pStyle w:val="Tabletext"/>
            </w:pPr>
            <w:r w:rsidRPr="004A5227">
              <w:t>Adelaide charging district</w:t>
            </w:r>
          </w:p>
        </w:tc>
      </w:tr>
      <w:tr w:rsidR="00863921" w:rsidRPr="004A5227" w:rsidTr="0027142E">
        <w:tc>
          <w:tcPr>
            <w:tcW w:w="714" w:type="dxa"/>
            <w:shd w:val="clear" w:color="auto" w:fill="auto"/>
          </w:tcPr>
          <w:p w:rsidR="00863921" w:rsidRPr="004A5227" w:rsidRDefault="00863921" w:rsidP="00ED71A4">
            <w:pPr>
              <w:pStyle w:val="Tabletext"/>
            </w:pPr>
            <w:r w:rsidRPr="004A5227">
              <w:t>143</w:t>
            </w:r>
          </w:p>
        </w:tc>
        <w:tc>
          <w:tcPr>
            <w:tcW w:w="2825" w:type="dxa"/>
            <w:shd w:val="clear" w:color="auto" w:fill="auto"/>
          </w:tcPr>
          <w:p w:rsidR="00863921" w:rsidRPr="004A5227" w:rsidRDefault="00863921" w:rsidP="00ED71A4">
            <w:pPr>
              <w:pStyle w:val="Tabletext"/>
            </w:pPr>
            <w:r w:rsidRPr="004A5227">
              <w:t>(08) 833</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144</w:t>
            </w:r>
          </w:p>
        </w:tc>
        <w:tc>
          <w:tcPr>
            <w:tcW w:w="2825" w:type="dxa"/>
            <w:shd w:val="clear" w:color="auto" w:fill="auto"/>
          </w:tcPr>
          <w:p w:rsidR="00863921" w:rsidRPr="004A5227" w:rsidRDefault="00863921" w:rsidP="00ED71A4">
            <w:pPr>
              <w:pStyle w:val="Tabletext"/>
            </w:pPr>
            <w:r w:rsidRPr="004A5227">
              <w:t>(08) 834</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145</w:t>
            </w:r>
          </w:p>
        </w:tc>
        <w:tc>
          <w:tcPr>
            <w:tcW w:w="2825" w:type="dxa"/>
            <w:shd w:val="clear" w:color="auto" w:fill="auto"/>
          </w:tcPr>
          <w:p w:rsidR="00863921" w:rsidRPr="004A5227" w:rsidRDefault="00863921" w:rsidP="00ED71A4">
            <w:pPr>
              <w:pStyle w:val="Tabletext"/>
            </w:pPr>
            <w:r w:rsidRPr="004A5227">
              <w:t>(08) 835</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146</w:t>
            </w:r>
          </w:p>
        </w:tc>
        <w:tc>
          <w:tcPr>
            <w:tcW w:w="2825" w:type="dxa"/>
            <w:shd w:val="clear" w:color="auto" w:fill="auto"/>
          </w:tcPr>
          <w:p w:rsidR="00863921" w:rsidRPr="004A5227" w:rsidRDefault="00863921" w:rsidP="00ED71A4">
            <w:pPr>
              <w:pStyle w:val="Tabletext"/>
            </w:pPr>
            <w:r w:rsidRPr="004A5227">
              <w:t>(08) 836</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147</w:t>
            </w:r>
          </w:p>
        </w:tc>
        <w:tc>
          <w:tcPr>
            <w:tcW w:w="2825" w:type="dxa"/>
            <w:shd w:val="clear" w:color="auto" w:fill="auto"/>
          </w:tcPr>
          <w:p w:rsidR="00863921" w:rsidRPr="004A5227" w:rsidRDefault="00863921" w:rsidP="00ED71A4">
            <w:pPr>
              <w:pStyle w:val="Tabletext"/>
            </w:pPr>
            <w:r w:rsidRPr="004A5227">
              <w:t>(08) 837</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148</w:t>
            </w:r>
          </w:p>
        </w:tc>
        <w:tc>
          <w:tcPr>
            <w:tcW w:w="2825" w:type="dxa"/>
            <w:shd w:val="clear" w:color="auto" w:fill="auto"/>
          </w:tcPr>
          <w:p w:rsidR="00863921" w:rsidRPr="004A5227" w:rsidRDefault="00863921" w:rsidP="00ED71A4">
            <w:pPr>
              <w:pStyle w:val="Tabletext"/>
            </w:pPr>
            <w:r w:rsidRPr="004A5227">
              <w:t>(08) 838</w:t>
            </w:r>
          </w:p>
        </w:tc>
        <w:tc>
          <w:tcPr>
            <w:tcW w:w="4773" w:type="dxa"/>
            <w:shd w:val="clear" w:color="auto" w:fill="auto"/>
          </w:tcPr>
          <w:p w:rsidR="00863921" w:rsidRPr="004A5227" w:rsidRDefault="00863921" w:rsidP="00E73746">
            <w:pPr>
              <w:pStyle w:val="Tabletext"/>
            </w:pPr>
            <w:r w:rsidRPr="004A5227">
              <w:t>McLaren Vale, Mount Barker (South Australia), Salisbury and Woodside (South Australia)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149</w:t>
            </w:r>
          </w:p>
        </w:tc>
        <w:tc>
          <w:tcPr>
            <w:tcW w:w="2825" w:type="dxa"/>
            <w:shd w:val="clear" w:color="auto" w:fill="auto"/>
          </w:tcPr>
          <w:p w:rsidR="00863921" w:rsidRPr="004A5227" w:rsidRDefault="00863921" w:rsidP="00ED71A4">
            <w:pPr>
              <w:pStyle w:val="Tabletext"/>
            </w:pPr>
            <w:r w:rsidRPr="004A5227">
              <w:t>(08) 839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150</w:t>
            </w:r>
          </w:p>
        </w:tc>
        <w:tc>
          <w:tcPr>
            <w:tcW w:w="2825" w:type="dxa"/>
            <w:shd w:val="clear" w:color="auto" w:fill="auto"/>
          </w:tcPr>
          <w:p w:rsidR="00863921" w:rsidRPr="004A5227" w:rsidRDefault="00863921" w:rsidP="00ED71A4">
            <w:pPr>
              <w:pStyle w:val="Tabletext"/>
            </w:pPr>
            <w:r w:rsidRPr="004A5227">
              <w:t>(08) 840</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151</w:t>
            </w:r>
          </w:p>
        </w:tc>
        <w:tc>
          <w:tcPr>
            <w:tcW w:w="2825" w:type="dxa"/>
            <w:shd w:val="clear" w:color="auto" w:fill="auto"/>
          </w:tcPr>
          <w:p w:rsidR="00863921" w:rsidRPr="004A5227" w:rsidRDefault="00863921" w:rsidP="00ED71A4">
            <w:pPr>
              <w:pStyle w:val="Tabletext"/>
            </w:pPr>
            <w:r w:rsidRPr="004A5227">
              <w:t>(08) 841</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152</w:t>
            </w:r>
          </w:p>
        </w:tc>
        <w:tc>
          <w:tcPr>
            <w:tcW w:w="2825" w:type="dxa"/>
            <w:shd w:val="clear" w:color="auto" w:fill="auto"/>
          </w:tcPr>
          <w:p w:rsidR="00863921" w:rsidRPr="004A5227" w:rsidRDefault="00863921" w:rsidP="00ED71A4">
            <w:pPr>
              <w:pStyle w:val="Tabletext"/>
            </w:pPr>
            <w:r w:rsidRPr="004A5227">
              <w:t>(08) 842</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153</w:t>
            </w:r>
          </w:p>
        </w:tc>
        <w:tc>
          <w:tcPr>
            <w:tcW w:w="2825" w:type="dxa"/>
            <w:shd w:val="clear" w:color="auto" w:fill="auto"/>
          </w:tcPr>
          <w:p w:rsidR="00863921" w:rsidRPr="004A5227" w:rsidRDefault="00863921" w:rsidP="00ED71A4">
            <w:pPr>
              <w:pStyle w:val="Tabletext"/>
            </w:pPr>
            <w:r w:rsidRPr="004A5227">
              <w:t>(08) 843</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154</w:t>
            </w:r>
          </w:p>
        </w:tc>
        <w:tc>
          <w:tcPr>
            <w:tcW w:w="2825" w:type="dxa"/>
            <w:shd w:val="clear" w:color="auto" w:fill="auto"/>
          </w:tcPr>
          <w:p w:rsidR="00863921" w:rsidRPr="004A5227" w:rsidRDefault="00863921" w:rsidP="00ED71A4">
            <w:pPr>
              <w:pStyle w:val="Tabletext"/>
            </w:pPr>
            <w:r w:rsidRPr="004A5227">
              <w:t>(08) 844</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155</w:t>
            </w:r>
          </w:p>
        </w:tc>
        <w:tc>
          <w:tcPr>
            <w:tcW w:w="2825" w:type="dxa"/>
            <w:shd w:val="clear" w:color="auto" w:fill="auto"/>
          </w:tcPr>
          <w:p w:rsidR="00863921" w:rsidRPr="004A5227" w:rsidRDefault="00863921" w:rsidP="00ED71A4">
            <w:pPr>
              <w:pStyle w:val="Tabletext"/>
            </w:pPr>
            <w:r w:rsidRPr="004A5227">
              <w:t>(08) 845</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156</w:t>
            </w:r>
          </w:p>
        </w:tc>
        <w:tc>
          <w:tcPr>
            <w:tcW w:w="2825" w:type="dxa"/>
            <w:shd w:val="clear" w:color="auto" w:fill="auto"/>
          </w:tcPr>
          <w:p w:rsidR="00863921" w:rsidRPr="004A5227" w:rsidRDefault="00863921" w:rsidP="00ED71A4">
            <w:pPr>
              <w:pStyle w:val="Tabletext"/>
            </w:pPr>
            <w:r w:rsidRPr="004A5227">
              <w:t>(08) 846</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157</w:t>
            </w:r>
          </w:p>
        </w:tc>
        <w:tc>
          <w:tcPr>
            <w:tcW w:w="2825" w:type="dxa"/>
            <w:shd w:val="clear" w:color="auto" w:fill="auto"/>
          </w:tcPr>
          <w:p w:rsidR="00863921" w:rsidRPr="004A5227" w:rsidRDefault="00863921" w:rsidP="00ED71A4">
            <w:pPr>
              <w:pStyle w:val="Tabletext"/>
            </w:pPr>
            <w:r w:rsidRPr="004A5227">
              <w:t>(08) 847</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158</w:t>
            </w:r>
          </w:p>
        </w:tc>
        <w:tc>
          <w:tcPr>
            <w:tcW w:w="2825" w:type="dxa"/>
            <w:shd w:val="clear" w:color="auto" w:fill="auto"/>
          </w:tcPr>
          <w:p w:rsidR="00863921" w:rsidRPr="004A5227" w:rsidRDefault="00863921" w:rsidP="00ED71A4">
            <w:pPr>
              <w:pStyle w:val="Tabletext"/>
            </w:pPr>
            <w:r w:rsidRPr="004A5227">
              <w:t>(08) 848</w:t>
            </w:r>
          </w:p>
        </w:tc>
        <w:tc>
          <w:tcPr>
            <w:tcW w:w="4773" w:type="dxa"/>
            <w:shd w:val="clear" w:color="auto" w:fill="auto"/>
          </w:tcPr>
          <w:p w:rsidR="00863921" w:rsidRPr="004A5227" w:rsidRDefault="00863921" w:rsidP="00E73746">
            <w:pPr>
              <w:pStyle w:val="Tabletext"/>
            </w:pPr>
            <w:r w:rsidRPr="004A5227">
              <w:t>McLaren Vale, Mount Barker (South Australia), Salisbury and Woodside (South Australia)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159</w:t>
            </w:r>
          </w:p>
        </w:tc>
        <w:tc>
          <w:tcPr>
            <w:tcW w:w="2825" w:type="dxa"/>
            <w:shd w:val="clear" w:color="auto" w:fill="auto"/>
          </w:tcPr>
          <w:p w:rsidR="00863921" w:rsidRPr="004A5227" w:rsidRDefault="00863921" w:rsidP="00ED71A4">
            <w:pPr>
              <w:pStyle w:val="Tabletext"/>
            </w:pPr>
            <w:r w:rsidRPr="004A5227">
              <w:t>(08) 849</w:t>
            </w:r>
          </w:p>
        </w:tc>
        <w:tc>
          <w:tcPr>
            <w:tcW w:w="4773" w:type="dxa"/>
            <w:shd w:val="clear" w:color="auto" w:fill="auto"/>
          </w:tcPr>
          <w:p w:rsidR="00863921" w:rsidRPr="004A5227" w:rsidRDefault="00863921" w:rsidP="00ED71A4">
            <w:pPr>
              <w:pStyle w:val="Tabletext"/>
            </w:pPr>
            <w:r w:rsidRPr="004A5227">
              <w:t>Adelaide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160</w:t>
            </w:r>
          </w:p>
        </w:tc>
        <w:tc>
          <w:tcPr>
            <w:tcW w:w="2825" w:type="dxa"/>
            <w:shd w:val="clear" w:color="auto" w:fill="auto"/>
          </w:tcPr>
          <w:p w:rsidR="00863921" w:rsidRPr="004A5227" w:rsidRDefault="00863921" w:rsidP="00ED71A4">
            <w:pPr>
              <w:pStyle w:val="Tabletext"/>
            </w:pPr>
            <w:r w:rsidRPr="004A5227">
              <w:t>(08) 85</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Berri</w:t>
            </w:r>
          </w:p>
          <w:p w:rsidR="00863921" w:rsidRPr="004A5227" w:rsidRDefault="00863921" w:rsidP="00ED71A4">
            <w:pPr>
              <w:pStyle w:val="Tabletext"/>
            </w:pPr>
            <w:r w:rsidRPr="004A5227">
              <w:t>Gawler</w:t>
            </w:r>
          </w:p>
          <w:p w:rsidR="00863921" w:rsidRPr="004A5227" w:rsidRDefault="00863921" w:rsidP="00ED71A4">
            <w:pPr>
              <w:pStyle w:val="Tabletext"/>
            </w:pPr>
            <w:r w:rsidRPr="004A5227">
              <w:t>Kangaroo Island</w:t>
            </w:r>
          </w:p>
          <w:p w:rsidR="00863921" w:rsidRPr="004A5227" w:rsidRDefault="00863921" w:rsidP="00ED71A4">
            <w:pPr>
              <w:pStyle w:val="Tabletext"/>
            </w:pPr>
            <w:proofErr w:type="spellStart"/>
            <w:r w:rsidRPr="004A5227">
              <w:t>Malalla</w:t>
            </w:r>
            <w:proofErr w:type="spellEnd"/>
          </w:p>
          <w:p w:rsidR="00863921" w:rsidRPr="004A5227" w:rsidRDefault="00863921" w:rsidP="00ED71A4">
            <w:pPr>
              <w:pStyle w:val="Tabletext"/>
            </w:pPr>
            <w:r w:rsidRPr="004A5227">
              <w:t>Murray Bridge</w:t>
            </w:r>
          </w:p>
          <w:p w:rsidR="00863921" w:rsidRPr="004A5227" w:rsidRDefault="00863921" w:rsidP="00ED71A4">
            <w:pPr>
              <w:pStyle w:val="Tabletext"/>
            </w:pPr>
            <w:proofErr w:type="spellStart"/>
            <w:r w:rsidRPr="004A5227">
              <w:t>Nurioopta</w:t>
            </w:r>
            <w:proofErr w:type="spellEnd"/>
          </w:p>
          <w:p w:rsidR="00863921" w:rsidRPr="004A5227" w:rsidRDefault="00863921" w:rsidP="00ED71A4">
            <w:pPr>
              <w:pStyle w:val="Tabletext"/>
            </w:pPr>
            <w:r w:rsidRPr="004A5227">
              <w:t>Tailem Bend</w:t>
            </w:r>
          </w:p>
          <w:p w:rsidR="00863921" w:rsidRPr="004A5227" w:rsidRDefault="00863921" w:rsidP="00ED71A4">
            <w:pPr>
              <w:pStyle w:val="Tabletext"/>
            </w:pPr>
            <w:r w:rsidRPr="004A5227">
              <w:t>Victor Harbour</w:t>
            </w:r>
          </w:p>
          <w:p w:rsidR="00863921" w:rsidRPr="004A5227" w:rsidRDefault="00863921" w:rsidP="00ED71A4">
            <w:pPr>
              <w:pStyle w:val="Tabletext"/>
            </w:pPr>
            <w:r w:rsidRPr="004A5227">
              <w:t>Waikerie</w:t>
            </w:r>
          </w:p>
        </w:tc>
      </w:tr>
      <w:tr w:rsidR="00863921" w:rsidRPr="004A5227" w:rsidTr="0027142E">
        <w:tc>
          <w:tcPr>
            <w:tcW w:w="714" w:type="dxa"/>
            <w:shd w:val="clear" w:color="auto" w:fill="auto"/>
          </w:tcPr>
          <w:p w:rsidR="00863921" w:rsidRPr="004A5227" w:rsidRDefault="00863921" w:rsidP="00ED71A4">
            <w:pPr>
              <w:pStyle w:val="Tabletext"/>
            </w:pPr>
            <w:r w:rsidRPr="004A5227">
              <w:t>161</w:t>
            </w:r>
          </w:p>
        </w:tc>
        <w:tc>
          <w:tcPr>
            <w:tcW w:w="2825" w:type="dxa"/>
            <w:shd w:val="clear" w:color="auto" w:fill="auto"/>
          </w:tcPr>
          <w:p w:rsidR="00863921" w:rsidRPr="004A5227" w:rsidRDefault="00863921" w:rsidP="00ED71A4">
            <w:pPr>
              <w:pStyle w:val="Tabletext"/>
            </w:pPr>
            <w:r w:rsidRPr="004A5227">
              <w:t>(08) 86</w:t>
            </w:r>
          </w:p>
        </w:tc>
        <w:tc>
          <w:tcPr>
            <w:tcW w:w="4773" w:type="dxa"/>
            <w:shd w:val="clear" w:color="auto" w:fill="auto"/>
          </w:tcPr>
          <w:p w:rsidR="00863921" w:rsidRPr="004A5227" w:rsidRDefault="00863921" w:rsidP="00863921">
            <w:pPr>
              <w:pStyle w:val="Tabletext"/>
            </w:pPr>
            <w:r w:rsidRPr="004A5227">
              <w:t>The following charging districts:</w:t>
            </w:r>
          </w:p>
          <w:p w:rsidR="00863921" w:rsidRPr="004A5227" w:rsidRDefault="00863921" w:rsidP="00863921">
            <w:pPr>
              <w:pStyle w:val="Tabletext"/>
            </w:pPr>
            <w:r w:rsidRPr="004A5227">
              <w:lastRenderedPageBreak/>
              <w:t>Ceduna</w:t>
            </w:r>
          </w:p>
          <w:p w:rsidR="00863921" w:rsidRPr="004A5227" w:rsidRDefault="00863921" w:rsidP="00863921">
            <w:pPr>
              <w:pStyle w:val="Tabletext"/>
            </w:pPr>
            <w:r w:rsidRPr="004A5227">
              <w:t>Cook</w:t>
            </w:r>
          </w:p>
          <w:p w:rsidR="00863921" w:rsidRPr="004A5227" w:rsidRDefault="00863921" w:rsidP="00863921">
            <w:pPr>
              <w:pStyle w:val="Tabletext"/>
            </w:pPr>
            <w:r w:rsidRPr="004A5227">
              <w:t>Gladstone</w:t>
            </w:r>
          </w:p>
          <w:p w:rsidR="00863921" w:rsidRPr="004A5227" w:rsidRDefault="00863921" w:rsidP="00863921">
            <w:pPr>
              <w:pStyle w:val="Tabletext"/>
            </w:pPr>
            <w:r w:rsidRPr="004A5227">
              <w:t>Peterborough</w:t>
            </w:r>
          </w:p>
          <w:p w:rsidR="00863921" w:rsidRPr="004A5227" w:rsidRDefault="00863921" w:rsidP="00863921">
            <w:pPr>
              <w:pStyle w:val="Tabletext"/>
            </w:pPr>
            <w:r w:rsidRPr="004A5227">
              <w:t>Port Augusta</w:t>
            </w:r>
          </w:p>
          <w:p w:rsidR="00863921" w:rsidRPr="004A5227" w:rsidRDefault="00863921" w:rsidP="00863921">
            <w:pPr>
              <w:pStyle w:val="Tabletext"/>
            </w:pPr>
            <w:r w:rsidRPr="004A5227">
              <w:t>Port Pirie</w:t>
            </w:r>
          </w:p>
          <w:p w:rsidR="00863921" w:rsidRPr="004A5227" w:rsidRDefault="00863921" w:rsidP="00863921">
            <w:pPr>
              <w:pStyle w:val="Tabletext"/>
            </w:pPr>
            <w:r w:rsidRPr="004A5227">
              <w:t>Woomera</w:t>
            </w:r>
          </w:p>
          <w:p w:rsidR="00863921" w:rsidRPr="004A5227" w:rsidRDefault="00863921" w:rsidP="00863921">
            <w:pPr>
              <w:pStyle w:val="Tabletext"/>
            </w:pPr>
          </w:p>
          <w:p w:rsidR="00863921" w:rsidRPr="004A5227" w:rsidRDefault="00863921" w:rsidP="00863921">
            <w:pPr>
              <w:pStyle w:val="Tabletext"/>
            </w:pPr>
            <w:r w:rsidRPr="004A5227">
              <w:t>The following standard zone units in Port Lincoln charging district:</w:t>
            </w:r>
          </w:p>
          <w:p w:rsidR="00863921" w:rsidRPr="004A5227" w:rsidRDefault="00863921" w:rsidP="0027142E">
            <w:pPr>
              <w:pStyle w:val="Tabletext"/>
            </w:pPr>
            <w:r w:rsidRPr="004A5227">
              <w:t xml:space="preserve">Arno Bay, </w:t>
            </w:r>
            <w:proofErr w:type="spellStart"/>
            <w:r w:rsidRPr="004A5227">
              <w:t>Bayley</w:t>
            </w:r>
            <w:proofErr w:type="spellEnd"/>
            <w:r w:rsidRPr="004A5227">
              <w:t xml:space="preserve"> Plains, Cleve, Coffin Bay, Coulta, Cowell, Cummins, </w:t>
            </w:r>
            <w:proofErr w:type="spellStart"/>
            <w:r w:rsidRPr="004A5227">
              <w:t>Darke</w:t>
            </w:r>
            <w:proofErr w:type="spellEnd"/>
            <w:r w:rsidRPr="004A5227">
              <w:t xml:space="preserve"> Peak, Elliston, </w:t>
            </w:r>
            <w:proofErr w:type="spellStart"/>
            <w:r w:rsidRPr="004A5227">
              <w:t>Kapinnie</w:t>
            </w:r>
            <w:proofErr w:type="spellEnd"/>
            <w:r w:rsidRPr="004A5227">
              <w:t xml:space="preserve">, </w:t>
            </w:r>
            <w:proofErr w:type="spellStart"/>
            <w:r w:rsidRPr="004A5227">
              <w:t>Koongawa</w:t>
            </w:r>
            <w:proofErr w:type="spellEnd"/>
            <w:r w:rsidRPr="004A5227">
              <w:t xml:space="preserve">, </w:t>
            </w:r>
            <w:proofErr w:type="spellStart"/>
            <w:r w:rsidRPr="004A5227">
              <w:t>Koppio</w:t>
            </w:r>
            <w:proofErr w:type="spellEnd"/>
            <w:r w:rsidRPr="004A5227">
              <w:t xml:space="preserve">, Kyancutta, Lock, </w:t>
            </w:r>
            <w:proofErr w:type="spellStart"/>
            <w:r w:rsidRPr="004A5227">
              <w:t>Miltalie</w:t>
            </w:r>
            <w:proofErr w:type="spellEnd"/>
            <w:r w:rsidRPr="004A5227">
              <w:t xml:space="preserve">, Minnipa, Mount Hope, Port Lincoln, Port Neill, Rudall, Sheringa, Sleaford Mere, </w:t>
            </w:r>
            <w:proofErr w:type="spellStart"/>
            <w:r w:rsidRPr="004A5227">
              <w:t>Spilsby</w:t>
            </w:r>
            <w:proofErr w:type="spellEnd"/>
            <w:r w:rsidRPr="004A5227">
              <w:t xml:space="preserve">, </w:t>
            </w:r>
            <w:proofErr w:type="spellStart"/>
            <w:r w:rsidRPr="004A5227">
              <w:t>Tooligie</w:t>
            </w:r>
            <w:proofErr w:type="spellEnd"/>
            <w:r w:rsidRPr="004A5227">
              <w:t xml:space="preserve"> Hill, Tumby Bay, Ungarra, Wanilla, Wharminda, Wudinna, </w:t>
            </w:r>
            <w:proofErr w:type="spellStart"/>
            <w:r w:rsidRPr="004A5227">
              <w:t>Yabmana</w:t>
            </w:r>
            <w:proofErr w:type="spellEnd"/>
            <w:r w:rsidRPr="004A5227">
              <w:t>, Yeelanna</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162</w:t>
            </w:r>
          </w:p>
        </w:tc>
        <w:tc>
          <w:tcPr>
            <w:tcW w:w="2825" w:type="dxa"/>
            <w:shd w:val="clear" w:color="auto" w:fill="auto"/>
          </w:tcPr>
          <w:p w:rsidR="00863921" w:rsidRPr="004A5227" w:rsidRDefault="00863921" w:rsidP="00ED71A4">
            <w:pPr>
              <w:pStyle w:val="Tabletext"/>
            </w:pPr>
            <w:r w:rsidRPr="004A5227">
              <w:t>(08) 87</w:t>
            </w:r>
          </w:p>
        </w:tc>
        <w:tc>
          <w:tcPr>
            <w:tcW w:w="4773" w:type="dxa"/>
            <w:shd w:val="clear" w:color="auto" w:fill="auto"/>
          </w:tcPr>
          <w:p w:rsidR="00863921" w:rsidRPr="004A5227" w:rsidRDefault="00863921" w:rsidP="00ED71A4">
            <w:pPr>
              <w:pStyle w:val="Tabletext"/>
            </w:pPr>
            <w:r w:rsidRPr="004A5227">
              <w:t>Bordertown, Mount Gambier and Naracoorte charging districts</w:t>
            </w:r>
          </w:p>
        </w:tc>
      </w:tr>
      <w:tr w:rsidR="00863921" w:rsidRPr="004A5227" w:rsidTr="0027142E">
        <w:tc>
          <w:tcPr>
            <w:tcW w:w="714" w:type="dxa"/>
            <w:shd w:val="clear" w:color="auto" w:fill="auto"/>
          </w:tcPr>
          <w:p w:rsidR="00863921" w:rsidRPr="004A5227" w:rsidRDefault="00863921" w:rsidP="00ED71A4">
            <w:pPr>
              <w:pStyle w:val="Tabletext"/>
            </w:pPr>
            <w:r w:rsidRPr="004A5227">
              <w:t>163</w:t>
            </w:r>
          </w:p>
        </w:tc>
        <w:tc>
          <w:tcPr>
            <w:tcW w:w="2825" w:type="dxa"/>
            <w:shd w:val="clear" w:color="auto" w:fill="auto"/>
          </w:tcPr>
          <w:p w:rsidR="00863921" w:rsidRPr="004A5227" w:rsidRDefault="00863921" w:rsidP="00ED71A4">
            <w:pPr>
              <w:pStyle w:val="Tabletext"/>
            </w:pPr>
            <w:r w:rsidRPr="004A5227">
              <w:t>(08) 88</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Balaklava</w:t>
            </w:r>
          </w:p>
          <w:p w:rsidR="00863921" w:rsidRPr="004A5227" w:rsidRDefault="00863921" w:rsidP="00ED71A4">
            <w:pPr>
              <w:pStyle w:val="Tabletext"/>
            </w:pPr>
            <w:r w:rsidRPr="004A5227">
              <w:t>Burra</w:t>
            </w:r>
          </w:p>
          <w:p w:rsidR="00863921" w:rsidRPr="004A5227" w:rsidRDefault="00863921" w:rsidP="00ED71A4">
            <w:pPr>
              <w:pStyle w:val="Tabletext"/>
            </w:pPr>
            <w:r w:rsidRPr="004A5227">
              <w:t>Clare</w:t>
            </w:r>
          </w:p>
          <w:p w:rsidR="00863921" w:rsidRPr="004A5227" w:rsidRDefault="00863921" w:rsidP="00ED71A4">
            <w:pPr>
              <w:pStyle w:val="Tabletext"/>
            </w:pPr>
            <w:r w:rsidRPr="004A5227">
              <w:t>Gawler</w:t>
            </w:r>
          </w:p>
          <w:p w:rsidR="00863921" w:rsidRPr="004A5227" w:rsidRDefault="00863921" w:rsidP="00ED71A4">
            <w:pPr>
              <w:pStyle w:val="Tabletext"/>
            </w:pPr>
            <w:r w:rsidRPr="004A5227">
              <w:t>Kadina</w:t>
            </w:r>
          </w:p>
          <w:p w:rsidR="00863921" w:rsidRPr="004A5227" w:rsidRDefault="00863921" w:rsidP="00ED71A4">
            <w:pPr>
              <w:pStyle w:val="Tabletext"/>
            </w:pPr>
            <w:r w:rsidRPr="004A5227">
              <w:t>Maitland</w:t>
            </w:r>
          </w:p>
          <w:p w:rsidR="00863921" w:rsidRPr="004A5227" w:rsidRDefault="00863921" w:rsidP="00ED71A4">
            <w:pPr>
              <w:pStyle w:val="Tabletext"/>
            </w:pPr>
            <w:r w:rsidRPr="004A5227">
              <w:t>Yorketown</w:t>
            </w:r>
          </w:p>
          <w:p w:rsidR="00863921" w:rsidRPr="004A5227" w:rsidRDefault="00863921" w:rsidP="00ED71A4">
            <w:pPr>
              <w:pStyle w:val="Tabletext"/>
            </w:pPr>
          </w:p>
          <w:p w:rsidR="00863921" w:rsidRPr="004A5227" w:rsidRDefault="00863921" w:rsidP="0027142E">
            <w:pPr>
              <w:pStyle w:val="Tabletext"/>
            </w:pPr>
            <w:r w:rsidRPr="004A5227">
              <w:t xml:space="preserve">Thistle and Wedge </w:t>
            </w:r>
            <w:r w:rsidR="00CD5576" w:rsidRPr="004A5227">
              <w:t>standard zone unit</w:t>
            </w:r>
            <w:r w:rsidRPr="004A5227">
              <w:t>s in Port Lincoln charging district</w:t>
            </w:r>
          </w:p>
        </w:tc>
      </w:tr>
      <w:tr w:rsidR="00863921" w:rsidRPr="004A5227" w:rsidTr="0027142E">
        <w:tc>
          <w:tcPr>
            <w:tcW w:w="714" w:type="dxa"/>
            <w:shd w:val="clear" w:color="auto" w:fill="auto"/>
          </w:tcPr>
          <w:p w:rsidR="00863921" w:rsidRPr="004A5227" w:rsidRDefault="00863921" w:rsidP="00ED71A4">
            <w:pPr>
              <w:pStyle w:val="Tabletext"/>
            </w:pPr>
            <w:r w:rsidRPr="004A5227">
              <w:t>164</w:t>
            </w:r>
          </w:p>
        </w:tc>
        <w:tc>
          <w:tcPr>
            <w:tcW w:w="2825" w:type="dxa"/>
            <w:shd w:val="clear" w:color="auto" w:fill="auto"/>
          </w:tcPr>
          <w:p w:rsidR="00863921" w:rsidRPr="004A5227" w:rsidRDefault="00863921" w:rsidP="00ED71A4">
            <w:pPr>
              <w:pStyle w:val="Tabletext"/>
            </w:pPr>
            <w:r w:rsidRPr="004A5227">
              <w:t>(08) 89</w:t>
            </w:r>
          </w:p>
        </w:tc>
        <w:tc>
          <w:tcPr>
            <w:tcW w:w="4773" w:type="dxa"/>
            <w:shd w:val="clear" w:color="auto" w:fill="auto"/>
          </w:tcPr>
          <w:p w:rsidR="00863921" w:rsidRPr="004A5227" w:rsidRDefault="00863921" w:rsidP="00ED71A4">
            <w:pPr>
              <w:pStyle w:val="Tabletext"/>
            </w:pPr>
            <w:r w:rsidRPr="004A5227">
              <w:t>Alice Springs and Darwin charging districts</w:t>
            </w:r>
          </w:p>
        </w:tc>
      </w:tr>
      <w:tr w:rsidR="00863921" w:rsidRPr="004A5227" w:rsidTr="0027142E">
        <w:tc>
          <w:tcPr>
            <w:tcW w:w="714" w:type="dxa"/>
            <w:shd w:val="clear" w:color="auto" w:fill="auto"/>
          </w:tcPr>
          <w:p w:rsidR="00863921" w:rsidRPr="004A5227" w:rsidRDefault="00863921" w:rsidP="00ED71A4">
            <w:pPr>
              <w:pStyle w:val="Tabletext"/>
            </w:pPr>
            <w:r w:rsidRPr="004A5227">
              <w:t>165</w:t>
            </w:r>
          </w:p>
        </w:tc>
        <w:tc>
          <w:tcPr>
            <w:tcW w:w="2825" w:type="dxa"/>
            <w:shd w:val="clear" w:color="auto" w:fill="auto"/>
          </w:tcPr>
          <w:p w:rsidR="00863921" w:rsidRPr="004A5227" w:rsidRDefault="00863921" w:rsidP="00ED71A4">
            <w:pPr>
              <w:pStyle w:val="Tabletext"/>
            </w:pPr>
            <w:r w:rsidRPr="004A5227">
              <w:t>(08) 90</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Bruce Rock</w:t>
            </w:r>
          </w:p>
          <w:p w:rsidR="00863921" w:rsidRPr="004A5227" w:rsidRDefault="00863921" w:rsidP="00ED71A4">
            <w:pPr>
              <w:pStyle w:val="Tabletext"/>
            </w:pPr>
            <w:r w:rsidRPr="004A5227">
              <w:t>Great Victoria</w:t>
            </w:r>
          </w:p>
          <w:p w:rsidR="00863921" w:rsidRPr="004A5227" w:rsidRDefault="00863921" w:rsidP="00ED71A4">
            <w:pPr>
              <w:pStyle w:val="Tabletext"/>
            </w:pPr>
            <w:r w:rsidRPr="004A5227">
              <w:t>Kalgoorlie</w:t>
            </w:r>
          </w:p>
          <w:p w:rsidR="00863921" w:rsidRPr="004A5227" w:rsidRDefault="00863921" w:rsidP="00ED71A4">
            <w:pPr>
              <w:pStyle w:val="Tabletext"/>
            </w:pPr>
            <w:r w:rsidRPr="004A5227">
              <w:t>Merredin</w:t>
            </w:r>
          </w:p>
        </w:tc>
      </w:tr>
      <w:tr w:rsidR="00863921" w:rsidRPr="004A5227" w:rsidTr="0027142E">
        <w:tc>
          <w:tcPr>
            <w:tcW w:w="714" w:type="dxa"/>
            <w:shd w:val="clear" w:color="auto" w:fill="auto"/>
          </w:tcPr>
          <w:p w:rsidR="00863921" w:rsidRPr="004A5227" w:rsidRDefault="00863921" w:rsidP="00ED71A4">
            <w:pPr>
              <w:pStyle w:val="Tabletext"/>
            </w:pPr>
            <w:r w:rsidRPr="004A5227">
              <w:t>166</w:t>
            </w:r>
          </w:p>
        </w:tc>
        <w:tc>
          <w:tcPr>
            <w:tcW w:w="2825" w:type="dxa"/>
            <w:shd w:val="clear" w:color="auto" w:fill="auto"/>
          </w:tcPr>
          <w:p w:rsidR="00863921" w:rsidRPr="004A5227" w:rsidRDefault="00863921" w:rsidP="00ED71A4">
            <w:pPr>
              <w:pStyle w:val="Tabletext"/>
            </w:pPr>
            <w:r w:rsidRPr="004A5227">
              <w:t>(08) 91</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Christmas Island</w:t>
            </w:r>
          </w:p>
          <w:p w:rsidR="00863921" w:rsidRPr="004A5227" w:rsidRDefault="00863921" w:rsidP="00ED71A4">
            <w:pPr>
              <w:pStyle w:val="Tabletext"/>
            </w:pPr>
            <w:r w:rsidRPr="004A5227">
              <w:t>Cocos (Keeling) Islands</w:t>
            </w:r>
          </w:p>
          <w:p w:rsidR="00863921" w:rsidRPr="004A5227" w:rsidRDefault="00863921" w:rsidP="00ED71A4">
            <w:pPr>
              <w:pStyle w:val="Tabletext"/>
            </w:pPr>
            <w:r w:rsidRPr="004A5227">
              <w:t>Derby</w:t>
            </w:r>
          </w:p>
          <w:p w:rsidR="00863921" w:rsidRPr="004A5227" w:rsidRDefault="00863921" w:rsidP="00ED71A4">
            <w:pPr>
              <w:pStyle w:val="Tabletext"/>
            </w:pPr>
            <w:r w:rsidRPr="004A5227">
              <w:t>Great Sandy</w:t>
            </w:r>
          </w:p>
          <w:p w:rsidR="00863921" w:rsidRPr="004A5227" w:rsidRDefault="00863921" w:rsidP="00ED71A4">
            <w:pPr>
              <w:pStyle w:val="Tabletext"/>
            </w:pPr>
            <w:r w:rsidRPr="004A5227">
              <w:lastRenderedPageBreak/>
              <w:t>Port Hedland</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167</w:t>
            </w:r>
          </w:p>
        </w:tc>
        <w:tc>
          <w:tcPr>
            <w:tcW w:w="2825" w:type="dxa"/>
            <w:shd w:val="clear" w:color="auto" w:fill="auto"/>
          </w:tcPr>
          <w:p w:rsidR="00863921" w:rsidRPr="004A5227" w:rsidRDefault="00863921" w:rsidP="00ED71A4">
            <w:pPr>
              <w:pStyle w:val="Tabletext"/>
            </w:pPr>
            <w:r w:rsidRPr="004A5227">
              <w:t>(08) 920</w:t>
            </w:r>
          </w:p>
        </w:tc>
        <w:tc>
          <w:tcPr>
            <w:tcW w:w="4773" w:type="dxa"/>
            <w:shd w:val="clear" w:color="auto" w:fill="auto"/>
          </w:tcPr>
          <w:p w:rsidR="00863921" w:rsidRPr="004A5227" w:rsidRDefault="00863921" w:rsidP="00ED71A4">
            <w:pPr>
              <w:pStyle w:val="Tabletext"/>
            </w:pPr>
            <w:r w:rsidRPr="004A5227">
              <w:t>Perth and Wanneroo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168</w:t>
            </w:r>
          </w:p>
        </w:tc>
        <w:tc>
          <w:tcPr>
            <w:tcW w:w="2825" w:type="dxa"/>
            <w:shd w:val="clear" w:color="auto" w:fill="auto"/>
          </w:tcPr>
          <w:p w:rsidR="00863921" w:rsidRPr="004A5227" w:rsidRDefault="00863921" w:rsidP="00ED71A4">
            <w:pPr>
              <w:pStyle w:val="Tabletext"/>
            </w:pPr>
            <w:r w:rsidRPr="004A5227">
              <w:t>(08) 921</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169</w:t>
            </w:r>
          </w:p>
        </w:tc>
        <w:tc>
          <w:tcPr>
            <w:tcW w:w="2825" w:type="dxa"/>
            <w:shd w:val="clear" w:color="auto" w:fill="auto"/>
          </w:tcPr>
          <w:p w:rsidR="00863921" w:rsidRPr="004A5227" w:rsidRDefault="00863921" w:rsidP="00ED71A4">
            <w:pPr>
              <w:pStyle w:val="Tabletext"/>
            </w:pPr>
            <w:r w:rsidRPr="004A5227">
              <w:t>(08) 922</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170</w:t>
            </w:r>
          </w:p>
        </w:tc>
        <w:tc>
          <w:tcPr>
            <w:tcW w:w="2825" w:type="dxa"/>
            <w:shd w:val="clear" w:color="auto" w:fill="auto"/>
          </w:tcPr>
          <w:p w:rsidR="00863921" w:rsidRPr="004A5227" w:rsidRDefault="00863921" w:rsidP="00ED71A4">
            <w:pPr>
              <w:pStyle w:val="Tabletext"/>
            </w:pPr>
            <w:r w:rsidRPr="004A5227">
              <w:t>(08) 923</w:t>
            </w:r>
          </w:p>
        </w:tc>
        <w:tc>
          <w:tcPr>
            <w:tcW w:w="4773" w:type="dxa"/>
            <w:shd w:val="clear" w:color="auto" w:fill="auto"/>
          </w:tcPr>
          <w:p w:rsidR="00863921" w:rsidRPr="004A5227" w:rsidRDefault="00863921" w:rsidP="00ED71A4">
            <w:pPr>
              <w:pStyle w:val="Tabletext"/>
            </w:pPr>
            <w:r w:rsidRPr="004A5227">
              <w:t>Fremantle and Perth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171</w:t>
            </w:r>
          </w:p>
        </w:tc>
        <w:tc>
          <w:tcPr>
            <w:tcW w:w="2825" w:type="dxa"/>
            <w:shd w:val="clear" w:color="auto" w:fill="auto"/>
          </w:tcPr>
          <w:p w:rsidR="00863921" w:rsidRPr="004A5227" w:rsidRDefault="00863921" w:rsidP="00ED71A4">
            <w:pPr>
              <w:pStyle w:val="Tabletext"/>
            </w:pPr>
            <w:r w:rsidRPr="004A5227">
              <w:t>(08) 924</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172</w:t>
            </w:r>
          </w:p>
        </w:tc>
        <w:tc>
          <w:tcPr>
            <w:tcW w:w="2825" w:type="dxa"/>
            <w:shd w:val="clear" w:color="auto" w:fill="auto"/>
          </w:tcPr>
          <w:p w:rsidR="00863921" w:rsidRPr="004A5227" w:rsidRDefault="00863921" w:rsidP="00ED71A4">
            <w:pPr>
              <w:pStyle w:val="Tabletext"/>
            </w:pPr>
            <w:r w:rsidRPr="004A5227">
              <w:t>(08) 925</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173</w:t>
            </w:r>
          </w:p>
        </w:tc>
        <w:tc>
          <w:tcPr>
            <w:tcW w:w="2825" w:type="dxa"/>
            <w:shd w:val="clear" w:color="auto" w:fill="auto"/>
          </w:tcPr>
          <w:p w:rsidR="00863921" w:rsidRPr="004A5227" w:rsidRDefault="00863921" w:rsidP="00ED71A4">
            <w:pPr>
              <w:pStyle w:val="Tabletext"/>
            </w:pPr>
            <w:r w:rsidRPr="004A5227">
              <w:t>(08) 926</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174</w:t>
            </w:r>
          </w:p>
        </w:tc>
        <w:tc>
          <w:tcPr>
            <w:tcW w:w="2825" w:type="dxa"/>
            <w:shd w:val="clear" w:color="auto" w:fill="auto"/>
          </w:tcPr>
          <w:p w:rsidR="00863921" w:rsidRPr="004A5227" w:rsidRDefault="00863921" w:rsidP="00ED71A4">
            <w:pPr>
              <w:pStyle w:val="Tabletext"/>
            </w:pPr>
            <w:r w:rsidRPr="004A5227">
              <w:t>(08) 927</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175</w:t>
            </w:r>
          </w:p>
        </w:tc>
        <w:tc>
          <w:tcPr>
            <w:tcW w:w="2825" w:type="dxa"/>
            <w:shd w:val="clear" w:color="auto" w:fill="auto"/>
          </w:tcPr>
          <w:p w:rsidR="00863921" w:rsidRPr="004A5227" w:rsidRDefault="00863921" w:rsidP="00ED71A4">
            <w:pPr>
              <w:pStyle w:val="Tabletext"/>
            </w:pPr>
            <w:r w:rsidRPr="004A5227">
              <w:t>(08) 928</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176</w:t>
            </w:r>
          </w:p>
        </w:tc>
        <w:tc>
          <w:tcPr>
            <w:tcW w:w="2825" w:type="dxa"/>
            <w:shd w:val="clear" w:color="auto" w:fill="auto"/>
          </w:tcPr>
          <w:p w:rsidR="00863921" w:rsidRPr="004A5227" w:rsidRDefault="00863921" w:rsidP="00ED71A4">
            <w:pPr>
              <w:pStyle w:val="Tabletext"/>
            </w:pPr>
            <w:r w:rsidRPr="004A5227">
              <w:t>(08) 929</w:t>
            </w:r>
          </w:p>
        </w:tc>
        <w:tc>
          <w:tcPr>
            <w:tcW w:w="4773" w:type="dxa"/>
            <w:shd w:val="clear" w:color="auto" w:fill="auto"/>
          </w:tcPr>
          <w:p w:rsidR="00863921" w:rsidRPr="004A5227" w:rsidRDefault="00863921" w:rsidP="00863921">
            <w:pPr>
              <w:pStyle w:val="Tabletext"/>
            </w:pPr>
            <w:r w:rsidRPr="004A5227">
              <w:t>The following standard zone units in Perth charging district:</w:t>
            </w:r>
          </w:p>
          <w:p w:rsidR="00863921" w:rsidRPr="004A5227" w:rsidRDefault="00863921" w:rsidP="00863921">
            <w:pPr>
              <w:pStyle w:val="Tabletext"/>
            </w:pPr>
            <w:r w:rsidRPr="004A5227">
              <w:t>Armadale, Herne Hill, Kalamunda, Rottnest, Spearwood</w:t>
            </w:r>
          </w:p>
        </w:tc>
      </w:tr>
      <w:tr w:rsidR="00863921" w:rsidRPr="004A5227" w:rsidTr="0027142E">
        <w:tc>
          <w:tcPr>
            <w:tcW w:w="714" w:type="dxa"/>
            <w:shd w:val="clear" w:color="auto" w:fill="auto"/>
          </w:tcPr>
          <w:p w:rsidR="00863921" w:rsidRPr="004A5227" w:rsidRDefault="00863921" w:rsidP="00ED71A4">
            <w:pPr>
              <w:pStyle w:val="Tabletext"/>
            </w:pPr>
            <w:r w:rsidRPr="004A5227">
              <w:t>177</w:t>
            </w:r>
          </w:p>
        </w:tc>
        <w:tc>
          <w:tcPr>
            <w:tcW w:w="2825" w:type="dxa"/>
            <w:shd w:val="clear" w:color="auto" w:fill="auto"/>
          </w:tcPr>
          <w:p w:rsidR="00863921" w:rsidRPr="004A5227" w:rsidRDefault="00863921" w:rsidP="00ED71A4">
            <w:pPr>
              <w:pStyle w:val="Tabletext"/>
            </w:pPr>
            <w:r w:rsidRPr="004A5227">
              <w:t>(08) 930</w:t>
            </w:r>
          </w:p>
        </w:tc>
        <w:tc>
          <w:tcPr>
            <w:tcW w:w="4773" w:type="dxa"/>
            <w:shd w:val="clear" w:color="auto" w:fill="auto"/>
          </w:tcPr>
          <w:p w:rsidR="00863921" w:rsidRPr="004A5227" w:rsidRDefault="00863921" w:rsidP="00863921">
            <w:pPr>
              <w:pStyle w:val="Tabletext"/>
            </w:pPr>
            <w:r w:rsidRPr="004A5227">
              <w:t>Wanneroo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178</w:t>
            </w:r>
          </w:p>
        </w:tc>
        <w:tc>
          <w:tcPr>
            <w:tcW w:w="2825" w:type="dxa"/>
            <w:shd w:val="clear" w:color="auto" w:fill="auto"/>
          </w:tcPr>
          <w:p w:rsidR="00863921" w:rsidRPr="004A5227" w:rsidRDefault="00863921" w:rsidP="00ED71A4">
            <w:pPr>
              <w:pStyle w:val="Tabletext"/>
            </w:pPr>
            <w:r w:rsidRPr="004A5227">
              <w:t>(08) 931</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179</w:t>
            </w:r>
          </w:p>
        </w:tc>
        <w:tc>
          <w:tcPr>
            <w:tcW w:w="2825" w:type="dxa"/>
            <w:shd w:val="clear" w:color="auto" w:fill="auto"/>
          </w:tcPr>
          <w:p w:rsidR="00863921" w:rsidRPr="004A5227" w:rsidRDefault="00863921" w:rsidP="00ED71A4">
            <w:pPr>
              <w:pStyle w:val="Tabletext"/>
            </w:pPr>
            <w:r w:rsidRPr="004A5227">
              <w:t>(08) 932</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180</w:t>
            </w:r>
          </w:p>
        </w:tc>
        <w:tc>
          <w:tcPr>
            <w:tcW w:w="2825" w:type="dxa"/>
            <w:shd w:val="clear" w:color="auto" w:fill="auto"/>
          </w:tcPr>
          <w:p w:rsidR="00863921" w:rsidRPr="004A5227" w:rsidRDefault="00863921" w:rsidP="00ED71A4">
            <w:pPr>
              <w:pStyle w:val="Tabletext"/>
            </w:pPr>
            <w:r w:rsidRPr="004A5227">
              <w:t>(08) 933</w:t>
            </w:r>
          </w:p>
        </w:tc>
        <w:tc>
          <w:tcPr>
            <w:tcW w:w="4773" w:type="dxa"/>
            <w:shd w:val="clear" w:color="auto" w:fill="auto"/>
          </w:tcPr>
          <w:p w:rsidR="00863921" w:rsidRPr="004A5227" w:rsidRDefault="00863921" w:rsidP="00ED71A4">
            <w:pPr>
              <w:pStyle w:val="Tabletext"/>
            </w:pPr>
            <w:r w:rsidRPr="004A5227">
              <w:t>Fremantle and Perth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181</w:t>
            </w:r>
          </w:p>
        </w:tc>
        <w:tc>
          <w:tcPr>
            <w:tcW w:w="2825" w:type="dxa"/>
            <w:shd w:val="clear" w:color="auto" w:fill="auto"/>
          </w:tcPr>
          <w:p w:rsidR="00863921" w:rsidRPr="004A5227" w:rsidRDefault="00863921" w:rsidP="00ED71A4">
            <w:pPr>
              <w:pStyle w:val="Tabletext"/>
            </w:pPr>
            <w:r w:rsidRPr="004A5227">
              <w:t>(08) 934</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182</w:t>
            </w:r>
          </w:p>
        </w:tc>
        <w:tc>
          <w:tcPr>
            <w:tcW w:w="2825" w:type="dxa"/>
            <w:shd w:val="clear" w:color="auto" w:fill="auto"/>
          </w:tcPr>
          <w:p w:rsidR="00863921" w:rsidRPr="004A5227" w:rsidRDefault="00863921" w:rsidP="00ED71A4">
            <w:pPr>
              <w:pStyle w:val="Tabletext"/>
            </w:pPr>
            <w:r w:rsidRPr="004A5227">
              <w:t>(08) 935</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183</w:t>
            </w:r>
          </w:p>
        </w:tc>
        <w:tc>
          <w:tcPr>
            <w:tcW w:w="2825" w:type="dxa"/>
            <w:shd w:val="clear" w:color="auto" w:fill="auto"/>
          </w:tcPr>
          <w:p w:rsidR="00863921" w:rsidRPr="004A5227" w:rsidRDefault="00863921" w:rsidP="00ED71A4">
            <w:pPr>
              <w:pStyle w:val="Tabletext"/>
            </w:pPr>
            <w:r w:rsidRPr="004A5227">
              <w:t>(08) 936</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184</w:t>
            </w:r>
          </w:p>
        </w:tc>
        <w:tc>
          <w:tcPr>
            <w:tcW w:w="2825" w:type="dxa"/>
            <w:shd w:val="clear" w:color="auto" w:fill="auto"/>
          </w:tcPr>
          <w:p w:rsidR="00863921" w:rsidRPr="004A5227" w:rsidRDefault="00863921" w:rsidP="00ED71A4">
            <w:pPr>
              <w:pStyle w:val="Tabletext"/>
            </w:pPr>
            <w:r w:rsidRPr="004A5227">
              <w:t>(08) 937</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185</w:t>
            </w:r>
          </w:p>
        </w:tc>
        <w:tc>
          <w:tcPr>
            <w:tcW w:w="2825" w:type="dxa"/>
            <w:shd w:val="clear" w:color="auto" w:fill="auto"/>
          </w:tcPr>
          <w:p w:rsidR="00863921" w:rsidRPr="004A5227" w:rsidRDefault="00863921" w:rsidP="00ED71A4">
            <w:pPr>
              <w:pStyle w:val="Tabletext"/>
            </w:pPr>
            <w:r w:rsidRPr="004A5227">
              <w:t>(08) 938</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186</w:t>
            </w:r>
          </w:p>
        </w:tc>
        <w:tc>
          <w:tcPr>
            <w:tcW w:w="2825" w:type="dxa"/>
            <w:shd w:val="clear" w:color="auto" w:fill="auto"/>
          </w:tcPr>
          <w:p w:rsidR="00863921" w:rsidRPr="004A5227" w:rsidRDefault="00863921" w:rsidP="00ED71A4">
            <w:pPr>
              <w:pStyle w:val="Tabletext"/>
            </w:pPr>
            <w:r w:rsidRPr="004A5227">
              <w:t>(08) 939</w:t>
            </w:r>
          </w:p>
        </w:tc>
        <w:tc>
          <w:tcPr>
            <w:tcW w:w="4773" w:type="dxa"/>
            <w:shd w:val="clear" w:color="auto" w:fill="auto"/>
          </w:tcPr>
          <w:p w:rsidR="00863921" w:rsidRPr="004A5227" w:rsidRDefault="00863921" w:rsidP="00863921">
            <w:pPr>
              <w:pStyle w:val="Tabletext"/>
            </w:pPr>
            <w:r w:rsidRPr="004A5227">
              <w:t>The following standard zone units in Perth charging district:</w:t>
            </w:r>
          </w:p>
          <w:p w:rsidR="00863921" w:rsidRPr="004A5227" w:rsidRDefault="00863921" w:rsidP="00863921">
            <w:pPr>
              <w:pStyle w:val="Tabletext"/>
            </w:pPr>
            <w:r w:rsidRPr="004A5227">
              <w:t>Armadale, Herne Hill, Kalamunda, Rottnest, Spearwood</w:t>
            </w:r>
          </w:p>
        </w:tc>
      </w:tr>
      <w:tr w:rsidR="00863921" w:rsidRPr="004A5227" w:rsidTr="0027142E">
        <w:tc>
          <w:tcPr>
            <w:tcW w:w="714" w:type="dxa"/>
            <w:shd w:val="clear" w:color="auto" w:fill="auto"/>
          </w:tcPr>
          <w:p w:rsidR="00863921" w:rsidRPr="004A5227" w:rsidRDefault="00863921" w:rsidP="00ED71A4">
            <w:pPr>
              <w:pStyle w:val="Tabletext"/>
            </w:pPr>
            <w:r w:rsidRPr="004A5227">
              <w:t>187</w:t>
            </w:r>
          </w:p>
        </w:tc>
        <w:tc>
          <w:tcPr>
            <w:tcW w:w="2825" w:type="dxa"/>
            <w:shd w:val="clear" w:color="auto" w:fill="auto"/>
          </w:tcPr>
          <w:p w:rsidR="00863921" w:rsidRPr="004A5227" w:rsidRDefault="00863921" w:rsidP="00ED71A4">
            <w:pPr>
              <w:pStyle w:val="Tabletext"/>
            </w:pPr>
            <w:r w:rsidRPr="004A5227">
              <w:t>(08) 940</w:t>
            </w:r>
          </w:p>
        </w:tc>
        <w:tc>
          <w:tcPr>
            <w:tcW w:w="4773" w:type="dxa"/>
            <w:shd w:val="clear" w:color="auto" w:fill="auto"/>
          </w:tcPr>
          <w:p w:rsidR="00863921" w:rsidRPr="004A5227" w:rsidRDefault="00CD5576" w:rsidP="00CD5576">
            <w:pPr>
              <w:pStyle w:val="Tabletext"/>
            </w:pPr>
            <w:r w:rsidRPr="004A5227">
              <w:t>Wanneroo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188</w:t>
            </w:r>
          </w:p>
        </w:tc>
        <w:tc>
          <w:tcPr>
            <w:tcW w:w="2825" w:type="dxa"/>
            <w:shd w:val="clear" w:color="auto" w:fill="auto"/>
          </w:tcPr>
          <w:p w:rsidR="00863921" w:rsidRPr="004A5227" w:rsidRDefault="00863921" w:rsidP="00ED71A4">
            <w:pPr>
              <w:pStyle w:val="Tabletext"/>
            </w:pPr>
            <w:r w:rsidRPr="004A5227">
              <w:t>(08) 941</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189</w:t>
            </w:r>
          </w:p>
        </w:tc>
        <w:tc>
          <w:tcPr>
            <w:tcW w:w="2825" w:type="dxa"/>
            <w:shd w:val="clear" w:color="auto" w:fill="auto"/>
          </w:tcPr>
          <w:p w:rsidR="00863921" w:rsidRPr="004A5227" w:rsidRDefault="00863921" w:rsidP="00ED71A4">
            <w:pPr>
              <w:pStyle w:val="Tabletext"/>
            </w:pPr>
            <w:r w:rsidRPr="004A5227">
              <w:t>(08) 942</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190</w:t>
            </w:r>
          </w:p>
        </w:tc>
        <w:tc>
          <w:tcPr>
            <w:tcW w:w="2825" w:type="dxa"/>
            <w:shd w:val="clear" w:color="auto" w:fill="auto"/>
          </w:tcPr>
          <w:p w:rsidR="00863921" w:rsidRPr="004A5227" w:rsidRDefault="00863921" w:rsidP="00ED71A4">
            <w:pPr>
              <w:pStyle w:val="Tabletext"/>
            </w:pPr>
            <w:r w:rsidRPr="004A5227">
              <w:t>(08) 943</w:t>
            </w:r>
          </w:p>
        </w:tc>
        <w:tc>
          <w:tcPr>
            <w:tcW w:w="4773" w:type="dxa"/>
            <w:shd w:val="clear" w:color="auto" w:fill="auto"/>
          </w:tcPr>
          <w:p w:rsidR="00863921" w:rsidRPr="004A5227" w:rsidRDefault="00863921" w:rsidP="00ED71A4">
            <w:pPr>
              <w:pStyle w:val="Tabletext"/>
            </w:pPr>
            <w:r w:rsidRPr="004A5227">
              <w:t>Fremantle and Perth standard zone units</w:t>
            </w:r>
          </w:p>
        </w:tc>
      </w:tr>
      <w:tr w:rsidR="00863921" w:rsidRPr="004A5227" w:rsidTr="0027142E">
        <w:tc>
          <w:tcPr>
            <w:tcW w:w="714" w:type="dxa"/>
            <w:shd w:val="clear" w:color="auto" w:fill="auto"/>
          </w:tcPr>
          <w:p w:rsidR="00863921" w:rsidRPr="004A5227" w:rsidRDefault="00863921" w:rsidP="00ED71A4">
            <w:pPr>
              <w:pStyle w:val="Tabletext"/>
            </w:pPr>
            <w:r w:rsidRPr="004A5227">
              <w:t>191</w:t>
            </w:r>
          </w:p>
        </w:tc>
        <w:tc>
          <w:tcPr>
            <w:tcW w:w="2825" w:type="dxa"/>
            <w:shd w:val="clear" w:color="auto" w:fill="auto"/>
          </w:tcPr>
          <w:p w:rsidR="00863921" w:rsidRPr="004A5227" w:rsidRDefault="00863921" w:rsidP="00ED71A4">
            <w:pPr>
              <w:pStyle w:val="Tabletext"/>
            </w:pPr>
            <w:r w:rsidRPr="004A5227">
              <w:t>(08) 944</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192</w:t>
            </w:r>
          </w:p>
        </w:tc>
        <w:tc>
          <w:tcPr>
            <w:tcW w:w="2825" w:type="dxa"/>
            <w:shd w:val="clear" w:color="auto" w:fill="auto"/>
          </w:tcPr>
          <w:p w:rsidR="00863921" w:rsidRPr="004A5227" w:rsidRDefault="00863921" w:rsidP="00ED71A4">
            <w:pPr>
              <w:pStyle w:val="Tabletext"/>
            </w:pPr>
            <w:r w:rsidRPr="004A5227">
              <w:t>(08) 945</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193</w:t>
            </w:r>
          </w:p>
        </w:tc>
        <w:tc>
          <w:tcPr>
            <w:tcW w:w="2825" w:type="dxa"/>
            <w:shd w:val="clear" w:color="auto" w:fill="auto"/>
          </w:tcPr>
          <w:p w:rsidR="00863921" w:rsidRPr="004A5227" w:rsidRDefault="00863921" w:rsidP="00ED71A4">
            <w:pPr>
              <w:pStyle w:val="Tabletext"/>
            </w:pPr>
            <w:r w:rsidRPr="004A5227">
              <w:t>(08) 946</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194</w:t>
            </w:r>
          </w:p>
        </w:tc>
        <w:tc>
          <w:tcPr>
            <w:tcW w:w="2825" w:type="dxa"/>
            <w:shd w:val="clear" w:color="auto" w:fill="auto"/>
          </w:tcPr>
          <w:p w:rsidR="00863921" w:rsidRPr="004A5227" w:rsidRDefault="00863921" w:rsidP="00ED71A4">
            <w:pPr>
              <w:pStyle w:val="Tabletext"/>
            </w:pPr>
            <w:r w:rsidRPr="004A5227">
              <w:t>(08) 947</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195</w:t>
            </w:r>
          </w:p>
        </w:tc>
        <w:tc>
          <w:tcPr>
            <w:tcW w:w="2825" w:type="dxa"/>
            <w:shd w:val="clear" w:color="auto" w:fill="auto"/>
          </w:tcPr>
          <w:p w:rsidR="00863921" w:rsidRPr="004A5227" w:rsidRDefault="00863921" w:rsidP="00ED71A4">
            <w:pPr>
              <w:pStyle w:val="Tabletext"/>
            </w:pPr>
            <w:r w:rsidRPr="004A5227">
              <w:t>(08) 948</w:t>
            </w:r>
          </w:p>
        </w:tc>
        <w:tc>
          <w:tcPr>
            <w:tcW w:w="4773" w:type="dxa"/>
            <w:shd w:val="clear" w:color="auto" w:fill="auto"/>
          </w:tcPr>
          <w:p w:rsidR="00863921" w:rsidRPr="004A5227" w:rsidRDefault="00863921" w:rsidP="00ED71A4">
            <w:pPr>
              <w:pStyle w:val="Tabletext"/>
            </w:pPr>
            <w:r w:rsidRPr="004A5227">
              <w:t>Perth standard zone unit</w:t>
            </w:r>
          </w:p>
        </w:tc>
      </w:tr>
      <w:tr w:rsidR="00863921" w:rsidRPr="004A5227" w:rsidTr="0027142E">
        <w:tc>
          <w:tcPr>
            <w:tcW w:w="714" w:type="dxa"/>
            <w:shd w:val="clear" w:color="auto" w:fill="auto"/>
          </w:tcPr>
          <w:p w:rsidR="00863921" w:rsidRPr="004A5227" w:rsidRDefault="00863921" w:rsidP="00ED71A4">
            <w:pPr>
              <w:pStyle w:val="Tabletext"/>
            </w:pPr>
            <w:r w:rsidRPr="004A5227">
              <w:t>196</w:t>
            </w:r>
          </w:p>
        </w:tc>
        <w:tc>
          <w:tcPr>
            <w:tcW w:w="2825" w:type="dxa"/>
            <w:shd w:val="clear" w:color="auto" w:fill="auto"/>
          </w:tcPr>
          <w:p w:rsidR="00863921" w:rsidRPr="004A5227" w:rsidRDefault="00863921" w:rsidP="00ED71A4">
            <w:pPr>
              <w:pStyle w:val="Tabletext"/>
            </w:pPr>
            <w:r w:rsidRPr="004A5227">
              <w:t>(08) 949</w:t>
            </w:r>
          </w:p>
        </w:tc>
        <w:tc>
          <w:tcPr>
            <w:tcW w:w="4773" w:type="dxa"/>
            <w:shd w:val="clear" w:color="auto" w:fill="auto"/>
          </w:tcPr>
          <w:p w:rsidR="00CD5576" w:rsidRPr="004A5227" w:rsidRDefault="00CD5576" w:rsidP="00CD5576">
            <w:pPr>
              <w:pStyle w:val="Tabletext"/>
            </w:pPr>
            <w:r w:rsidRPr="004A5227">
              <w:t>The following standard zone units in Perth charging district:</w:t>
            </w:r>
          </w:p>
          <w:p w:rsidR="00863921" w:rsidRPr="004A5227" w:rsidRDefault="00CD5576" w:rsidP="00CD5576">
            <w:pPr>
              <w:pStyle w:val="Tabletext"/>
            </w:pPr>
            <w:r w:rsidRPr="004A5227">
              <w:t>Armadale, Herne Hill, Kalamunda, Rottnest, Spearwood</w:t>
            </w:r>
          </w:p>
        </w:tc>
      </w:tr>
      <w:tr w:rsidR="00863921" w:rsidRPr="004A5227" w:rsidTr="0027142E">
        <w:tc>
          <w:tcPr>
            <w:tcW w:w="714" w:type="dxa"/>
            <w:shd w:val="clear" w:color="auto" w:fill="auto"/>
          </w:tcPr>
          <w:p w:rsidR="00863921" w:rsidRPr="004A5227" w:rsidRDefault="00863921" w:rsidP="00ED71A4">
            <w:pPr>
              <w:pStyle w:val="Tabletext"/>
            </w:pPr>
            <w:r w:rsidRPr="004A5227">
              <w:t>197</w:t>
            </w:r>
          </w:p>
        </w:tc>
        <w:tc>
          <w:tcPr>
            <w:tcW w:w="2825" w:type="dxa"/>
            <w:shd w:val="clear" w:color="auto" w:fill="auto"/>
          </w:tcPr>
          <w:p w:rsidR="00863921" w:rsidRPr="004A5227" w:rsidRDefault="00863921" w:rsidP="00ED71A4">
            <w:pPr>
              <w:pStyle w:val="Tabletext"/>
            </w:pPr>
            <w:r w:rsidRPr="004A5227">
              <w:t>(08) 95</w:t>
            </w:r>
          </w:p>
        </w:tc>
        <w:tc>
          <w:tcPr>
            <w:tcW w:w="4773" w:type="dxa"/>
            <w:shd w:val="clear" w:color="auto" w:fill="auto"/>
          </w:tcPr>
          <w:p w:rsidR="00863921" w:rsidRPr="004A5227" w:rsidRDefault="00863921" w:rsidP="00CD5576">
            <w:pPr>
              <w:pStyle w:val="Tabletext"/>
            </w:pPr>
            <w:r w:rsidRPr="004A5227">
              <w:t xml:space="preserve">Bullsbrook East and Pinjarra charging districts, and Bakers Hill and Toodyay </w:t>
            </w:r>
            <w:r w:rsidR="00CD5576" w:rsidRPr="004A5227">
              <w:t>standard zone unit</w:t>
            </w:r>
            <w:r w:rsidRPr="004A5227">
              <w:t xml:space="preserve">s in </w:t>
            </w:r>
            <w:r w:rsidRPr="004A5227">
              <w:lastRenderedPageBreak/>
              <w:t>Northam charging district</w:t>
            </w:r>
          </w:p>
        </w:tc>
      </w:tr>
      <w:tr w:rsidR="00863921" w:rsidRPr="004A5227" w:rsidTr="0027142E">
        <w:tc>
          <w:tcPr>
            <w:tcW w:w="714" w:type="dxa"/>
            <w:shd w:val="clear" w:color="auto" w:fill="auto"/>
          </w:tcPr>
          <w:p w:rsidR="00863921" w:rsidRPr="004A5227" w:rsidRDefault="00863921" w:rsidP="00ED71A4">
            <w:pPr>
              <w:pStyle w:val="Tabletext"/>
            </w:pPr>
            <w:r w:rsidRPr="004A5227">
              <w:lastRenderedPageBreak/>
              <w:t>198</w:t>
            </w:r>
          </w:p>
        </w:tc>
        <w:tc>
          <w:tcPr>
            <w:tcW w:w="2825" w:type="dxa"/>
            <w:shd w:val="clear" w:color="auto" w:fill="auto"/>
          </w:tcPr>
          <w:p w:rsidR="00863921" w:rsidRPr="004A5227" w:rsidRDefault="00863921" w:rsidP="00ED71A4">
            <w:pPr>
              <w:pStyle w:val="Tabletext"/>
            </w:pPr>
            <w:r w:rsidRPr="004A5227">
              <w:t>(08) 96</w:t>
            </w:r>
          </w:p>
        </w:tc>
        <w:tc>
          <w:tcPr>
            <w:tcW w:w="4773" w:type="dxa"/>
            <w:shd w:val="clear" w:color="auto" w:fill="auto"/>
          </w:tcPr>
          <w:p w:rsidR="00CD5576" w:rsidRPr="004A5227" w:rsidRDefault="00CD5576" w:rsidP="00CD5576">
            <w:pPr>
              <w:pStyle w:val="Tabletext"/>
            </w:pPr>
            <w:r w:rsidRPr="004A5227">
              <w:t>The following charging districts:</w:t>
            </w:r>
          </w:p>
          <w:p w:rsidR="00CD5576" w:rsidRPr="004A5227" w:rsidRDefault="00CD5576" w:rsidP="00CD5576">
            <w:pPr>
              <w:pStyle w:val="Tabletext"/>
            </w:pPr>
            <w:r w:rsidRPr="004A5227">
              <w:t>Moora</w:t>
            </w:r>
          </w:p>
          <w:p w:rsidR="00CD5576" w:rsidRPr="004A5227" w:rsidRDefault="00CD5576" w:rsidP="00CD5576">
            <w:pPr>
              <w:pStyle w:val="Tabletext"/>
            </w:pPr>
            <w:proofErr w:type="spellStart"/>
            <w:r w:rsidRPr="004A5227">
              <w:t>Wongan</w:t>
            </w:r>
            <w:proofErr w:type="spellEnd"/>
            <w:r w:rsidRPr="004A5227">
              <w:t xml:space="preserve"> Hills</w:t>
            </w:r>
          </w:p>
          <w:p w:rsidR="00CD5576" w:rsidRPr="004A5227" w:rsidRDefault="00CD5576" w:rsidP="00CD5576">
            <w:pPr>
              <w:pStyle w:val="Tabletext"/>
            </w:pPr>
            <w:r w:rsidRPr="004A5227">
              <w:t>Wyalkatchem</w:t>
            </w:r>
          </w:p>
          <w:p w:rsidR="00CD5576" w:rsidRPr="004A5227" w:rsidRDefault="00CD5576" w:rsidP="00CD5576">
            <w:pPr>
              <w:pStyle w:val="Tabletext"/>
            </w:pPr>
            <w:r w:rsidRPr="004A5227">
              <w:t>York</w:t>
            </w:r>
          </w:p>
          <w:p w:rsidR="00CD5576" w:rsidRPr="004A5227" w:rsidRDefault="00CD5576" w:rsidP="00CD5576">
            <w:pPr>
              <w:pStyle w:val="Tabletext"/>
            </w:pPr>
          </w:p>
          <w:p w:rsidR="00CD5576" w:rsidRPr="004A5227" w:rsidRDefault="00CD5576" w:rsidP="00CD5576">
            <w:pPr>
              <w:pStyle w:val="Tabletext"/>
            </w:pPr>
            <w:r w:rsidRPr="004A5227">
              <w:t>The following standard zone units in Northam charging district:</w:t>
            </w:r>
          </w:p>
          <w:p w:rsidR="00863921" w:rsidRPr="004A5227" w:rsidRDefault="00CD5576" w:rsidP="0027142E">
            <w:pPr>
              <w:pStyle w:val="Tabletext"/>
            </w:pPr>
            <w:r w:rsidRPr="004A5227">
              <w:t xml:space="preserve">Bolgart, Calingiri, Cunderdin, Cunderdin North, Dowerin, Ejanding, Goomalling, Jennacubbine, Konnongorring, Meckering, Northam, </w:t>
            </w:r>
            <w:proofErr w:type="spellStart"/>
            <w:r w:rsidRPr="004A5227">
              <w:t>Studleigh</w:t>
            </w:r>
            <w:proofErr w:type="spellEnd"/>
            <w:r w:rsidRPr="004A5227">
              <w:t>, Tammin, Yorkrakine</w:t>
            </w:r>
          </w:p>
        </w:tc>
      </w:tr>
      <w:tr w:rsidR="00863921" w:rsidRPr="004A5227" w:rsidTr="0027142E">
        <w:tc>
          <w:tcPr>
            <w:tcW w:w="714" w:type="dxa"/>
            <w:shd w:val="clear" w:color="auto" w:fill="auto"/>
          </w:tcPr>
          <w:p w:rsidR="00863921" w:rsidRPr="004A5227" w:rsidRDefault="00863921" w:rsidP="00ED71A4">
            <w:pPr>
              <w:pStyle w:val="Tabletext"/>
            </w:pPr>
            <w:r w:rsidRPr="004A5227">
              <w:t>199</w:t>
            </w:r>
          </w:p>
        </w:tc>
        <w:tc>
          <w:tcPr>
            <w:tcW w:w="2825" w:type="dxa"/>
            <w:shd w:val="clear" w:color="auto" w:fill="auto"/>
          </w:tcPr>
          <w:p w:rsidR="00863921" w:rsidRPr="004A5227" w:rsidRDefault="00863921" w:rsidP="00ED71A4">
            <w:pPr>
              <w:pStyle w:val="Tabletext"/>
            </w:pPr>
            <w:r w:rsidRPr="004A5227">
              <w:t>(08) 97</w:t>
            </w:r>
          </w:p>
        </w:tc>
        <w:tc>
          <w:tcPr>
            <w:tcW w:w="4773" w:type="dxa"/>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Bridgetown</w:t>
            </w:r>
          </w:p>
          <w:p w:rsidR="00863921" w:rsidRPr="004A5227" w:rsidRDefault="00863921" w:rsidP="00ED71A4">
            <w:pPr>
              <w:pStyle w:val="Tabletext"/>
            </w:pPr>
            <w:r w:rsidRPr="004A5227">
              <w:t>Bunbury</w:t>
            </w:r>
          </w:p>
          <w:p w:rsidR="00863921" w:rsidRPr="004A5227" w:rsidRDefault="00863921" w:rsidP="00ED71A4">
            <w:pPr>
              <w:pStyle w:val="Tabletext"/>
            </w:pPr>
            <w:r w:rsidRPr="004A5227">
              <w:t>Busselton</w:t>
            </w:r>
          </w:p>
          <w:p w:rsidR="00863921" w:rsidRPr="004A5227" w:rsidRDefault="00863921" w:rsidP="00ED71A4">
            <w:pPr>
              <w:pStyle w:val="Tabletext"/>
            </w:pPr>
          </w:p>
          <w:p w:rsidR="00863921" w:rsidRPr="004A5227" w:rsidRDefault="00863921" w:rsidP="00CD5576">
            <w:pPr>
              <w:pStyle w:val="Tabletext"/>
            </w:pPr>
            <w:r w:rsidRPr="004A5227">
              <w:t xml:space="preserve">Lake Clifton and Waroona </w:t>
            </w:r>
            <w:r w:rsidR="00CD5576" w:rsidRPr="004A5227">
              <w:t>standard zone units</w:t>
            </w:r>
            <w:r w:rsidRPr="004A5227">
              <w:t xml:space="preserve"> in Pinjarra charging district</w:t>
            </w:r>
          </w:p>
        </w:tc>
      </w:tr>
      <w:tr w:rsidR="00863921" w:rsidRPr="004A5227" w:rsidTr="0027142E">
        <w:tc>
          <w:tcPr>
            <w:tcW w:w="714" w:type="dxa"/>
            <w:tcBorders>
              <w:bottom w:val="single" w:sz="4" w:space="0" w:color="auto"/>
            </w:tcBorders>
            <w:shd w:val="clear" w:color="auto" w:fill="auto"/>
          </w:tcPr>
          <w:p w:rsidR="00863921" w:rsidRPr="004A5227" w:rsidRDefault="00863921" w:rsidP="00ED71A4">
            <w:pPr>
              <w:pStyle w:val="Tabletext"/>
            </w:pPr>
            <w:r w:rsidRPr="004A5227">
              <w:t>200</w:t>
            </w:r>
          </w:p>
        </w:tc>
        <w:tc>
          <w:tcPr>
            <w:tcW w:w="2825" w:type="dxa"/>
            <w:tcBorders>
              <w:bottom w:val="single" w:sz="4" w:space="0" w:color="auto"/>
            </w:tcBorders>
            <w:shd w:val="clear" w:color="auto" w:fill="auto"/>
          </w:tcPr>
          <w:p w:rsidR="00863921" w:rsidRPr="004A5227" w:rsidRDefault="00863921" w:rsidP="00ED71A4">
            <w:pPr>
              <w:pStyle w:val="Tabletext"/>
            </w:pPr>
            <w:r w:rsidRPr="004A5227">
              <w:t>(08) 98</w:t>
            </w:r>
          </w:p>
        </w:tc>
        <w:tc>
          <w:tcPr>
            <w:tcW w:w="4773" w:type="dxa"/>
            <w:tcBorders>
              <w:bottom w:val="single" w:sz="4" w:space="0" w:color="auto"/>
            </w:tcBorders>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Albany</w:t>
            </w:r>
          </w:p>
          <w:p w:rsidR="00863921" w:rsidRPr="004A5227" w:rsidRDefault="00863921" w:rsidP="00ED71A4">
            <w:pPr>
              <w:pStyle w:val="Tabletext"/>
            </w:pPr>
            <w:r w:rsidRPr="004A5227">
              <w:t>Katanning</w:t>
            </w:r>
          </w:p>
          <w:p w:rsidR="00863921" w:rsidRPr="004A5227" w:rsidRDefault="00863921" w:rsidP="00ED71A4">
            <w:pPr>
              <w:pStyle w:val="Tabletext"/>
            </w:pPr>
            <w:r w:rsidRPr="004A5227">
              <w:t>Kondinin</w:t>
            </w:r>
          </w:p>
          <w:p w:rsidR="00863921" w:rsidRPr="004A5227" w:rsidRDefault="00863921" w:rsidP="00ED71A4">
            <w:pPr>
              <w:pStyle w:val="Tabletext"/>
            </w:pPr>
            <w:r w:rsidRPr="004A5227">
              <w:t>Narrogin</w:t>
            </w:r>
          </w:p>
          <w:p w:rsidR="00863921" w:rsidRPr="004A5227" w:rsidRDefault="00863921" w:rsidP="00ED71A4">
            <w:pPr>
              <w:pStyle w:val="Tabletext"/>
            </w:pPr>
            <w:r w:rsidRPr="004A5227">
              <w:t>Wagin</w:t>
            </w:r>
          </w:p>
        </w:tc>
      </w:tr>
      <w:tr w:rsidR="00863921" w:rsidRPr="004A5227" w:rsidTr="0027142E">
        <w:tc>
          <w:tcPr>
            <w:tcW w:w="714" w:type="dxa"/>
            <w:tcBorders>
              <w:bottom w:val="single" w:sz="12" w:space="0" w:color="auto"/>
            </w:tcBorders>
            <w:shd w:val="clear" w:color="auto" w:fill="auto"/>
          </w:tcPr>
          <w:p w:rsidR="00863921" w:rsidRPr="004A5227" w:rsidRDefault="00863921" w:rsidP="00ED71A4">
            <w:pPr>
              <w:pStyle w:val="Tabletext"/>
            </w:pPr>
            <w:r w:rsidRPr="004A5227">
              <w:t>201</w:t>
            </w:r>
          </w:p>
        </w:tc>
        <w:tc>
          <w:tcPr>
            <w:tcW w:w="2825" w:type="dxa"/>
            <w:tcBorders>
              <w:bottom w:val="single" w:sz="12" w:space="0" w:color="auto"/>
            </w:tcBorders>
            <w:shd w:val="clear" w:color="auto" w:fill="auto"/>
          </w:tcPr>
          <w:p w:rsidR="00863921" w:rsidRPr="004A5227" w:rsidRDefault="00863921" w:rsidP="00ED71A4">
            <w:pPr>
              <w:pStyle w:val="Tabletext"/>
            </w:pPr>
            <w:r w:rsidRPr="004A5227">
              <w:t>(08) 99</w:t>
            </w:r>
          </w:p>
        </w:tc>
        <w:tc>
          <w:tcPr>
            <w:tcW w:w="4773" w:type="dxa"/>
            <w:tcBorders>
              <w:bottom w:val="single" w:sz="12" w:space="0" w:color="auto"/>
            </w:tcBorders>
            <w:shd w:val="clear" w:color="auto" w:fill="auto"/>
          </w:tcPr>
          <w:p w:rsidR="00863921" w:rsidRPr="004A5227" w:rsidRDefault="00863921" w:rsidP="00ED71A4">
            <w:pPr>
              <w:pStyle w:val="Tabletext"/>
            </w:pPr>
            <w:r w:rsidRPr="004A5227">
              <w:t>The following charging districts:</w:t>
            </w:r>
          </w:p>
          <w:p w:rsidR="00863921" w:rsidRPr="004A5227" w:rsidRDefault="00863921" w:rsidP="00ED71A4">
            <w:pPr>
              <w:pStyle w:val="Tabletext"/>
            </w:pPr>
            <w:r w:rsidRPr="004A5227">
              <w:t>Carnamah</w:t>
            </w:r>
          </w:p>
          <w:p w:rsidR="00863921" w:rsidRPr="004A5227" w:rsidRDefault="00863921" w:rsidP="00ED71A4">
            <w:pPr>
              <w:pStyle w:val="Tabletext"/>
            </w:pPr>
            <w:r w:rsidRPr="004A5227">
              <w:t>Carnarvon</w:t>
            </w:r>
          </w:p>
          <w:p w:rsidR="00863921" w:rsidRPr="004A5227" w:rsidRDefault="00863921" w:rsidP="00ED71A4">
            <w:pPr>
              <w:pStyle w:val="Tabletext"/>
            </w:pPr>
            <w:r w:rsidRPr="004A5227">
              <w:t>Geraldton</w:t>
            </w:r>
          </w:p>
          <w:p w:rsidR="00863921" w:rsidRPr="004A5227" w:rsidRDefault="00863921" w:rsidP="00ED71A4">
            <w:pPr>
              <w:pStyle w:val="Tabletext"/>
            </w:pPr>
            <w:r w:rsidRPr="004A5227">
              <w:t>Meekatharra</w:t>
            </w:r>
          </w:p>
          <w:p w:rsidR="00863921" w:rsidRPr="004A5227" w:rsidRDefault="00863921" w:rsidP="00ED71A4">
            <w:pPr>
              <w:pStyle w:val="Tabletext"/>
            </w:pPr>
            <w:r w:rsidRPr="004A5227">
              <w:t>Morawa</w:t>
            </w:r>
          </w:p>
          <w:p w:rsidR="00863921" w:rsidRPr="004A5227" w:rsidRDefault="00863921" w:rsidP="00ED71A4">
            <w:pPr>
              <w:pStyle w:val="Tabletext"/>
            </w:pPr>
            <w:r w:rsidRPr="004A5227">
              <w:t>Mullewa</w:t>
            </w:r>
          </w:p>
          <w:p w:rsidR="00863921" w:rsidRPr="004A5227" w:rsidRDefault="00863921" w:rsidP="00ED71A4">
            <w:pPr>
              <w:pStyle w:val="Tabletext"/>
            </w:pPr>
          </w:p>
          <w:p w:rsidR="00863921" w:rsidRPr="004A5227" w:rsidRDefault="00863921" w:rsidP="00CD5576">
            <w:pPr>
              <w:pStyle w:val="Tabletext"/>
            </w:pPr>
            <w:proofErr w:type="spellStart"/>
            <w:r w:rsidRPr="004A5227">
              <w:t>Paynes</w:t>
            </w:r>
            <w:proofErr w:type="spellEnd"/>
            <w:r w:rsidRPr="004A5227">
              <w:t xml:space="preserve"> Find (Extended) </w:t>
            </w:r>
            <w:r w:rsidR="00CD5576" w:rsidRPr="004A5227">
              <w:t>standard zone unit</w:t>
            </w:r>
            <w:r w:rsidRPr="004A5227">
              <w:t xml:space="preserve"> in</w:t>
            </w:r>
            <w:r w:rsidR="00CD5576" w:rsidRPr="004A5227">
              <w:t xml:space="preserve"> </w:t>
            </w:r>
            <w:proofErr w:type="spellStart"/>
            <w:r w:rsidR="00CD5576" w:rsidRPr="004A5227">
              <w:t>Wongan</w:t>
            </w:r>
            <w:proofErr w:type="spellEnd"/>
            <w:r w:rsidR="00CD5576" w:rsidRPr="004A5227">
              <w:t xml:space="preserve"> Hills charging district</w:t>
            </w:r>
          </w:p>
        </w:tc>
      </w:tr>
    </w:tbl>
    <w:p w:rsidR="006C3438" w:rsidRPr="004A5227" w:rsidRDefault="006C3438" w:rsidP="006C3438">
      <w:pPr>
        <w:pStyle w:val="ActHead1"/>
        <w:pageBreakBefore/>
      </w:pPr>
      <w:bookmarkStart w:id="195" w:name="_Toc413419193"/>
      <w:r w:rsidRPr="004A5227">
        <w:rPr>
          <w:rStyle w:val="CharChapNo"/>
        </w:rPr>
        <w:lastRenderedPageBreak/>
        <w:t>Schedule</w:t>
      </w:r>
      <w:r w:rsidR="004A5227" w:rsidRPr="004A5227">
        <w:rPr>
          <w:rStyle w:val="CharChapNo"/>
        </w:rPr>
        <w:t> </w:t>
      </w:r>
      <w:r w:rsidR="00790A2E" w:rsidRPr="004A5227">
        <w:rPr>
          <w:rStyle w:val="CharChapNo"/>
        </w:rPr>
        <w:t>2</w:t>
      </w:r>
      <w:r w:rsidRPr="004A5227">
        <w:t>—</w:t>
      </w:r>
      <w:proofErr w:type="spellStart"/>
      <w:r w:rsidRPr="004A5227">
        <w:rPr>
          <w:rStyle w:val="CharChapText"/>
        </w:rPr>
        <w:t>Freephone</w:t>
      </w:r>
      <w:proofErr w:type="spellEnd"/>
      <w:r w:rsidRPr="004A5227">
        <w:rPr>
          <w:rStyle w:val="CharChapText"/>
        </w:rPr>
        <w:t xml:space="preserve"> numbers</w:t>
      </w:r>
      <w:bookmarkEnd w:id="195"/>
    </w:p>
    <w:p w:rsidR="006C3438" w:rsidRPr="004A5227" w:rsidRDefault="006C3438" w:rsidP="006C3438">
      <w:pPr>
        <w:pStyle w:val="notemargin"/>
      </w:pPr>
      <w:r w:rsidRPr="004A5227">
        <w:t>Note:</w:t>
      </w:r>
      <w:r w:rsidRPr="004A5227">
        <w:tab/>
        <w:t>See section</w:t>
      </w:r>
      <w:r w:rsidR="004A5227" w:rsidRPr="004A5227">
        <w:t> </w:t>
      </w:r>
      <w:r w:rsidR="00CA6815" w:rsidRPr="004A5227">
        <w:t>22</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6C3438" w:rsidRPr="004A5227" w:rsidRDefault="006C3438" w:rsidP="006C3438">
      <w:pPr>
        <w:pStyle w:val="ActHead5"/>
      </w:pPr>
      <w:bookmarkStart w:id="196" w:name="_Toc413419194"/>
      <w:r w:rsidRPr="004A5227">
        <w:rPr>
          <w:rStyle w:val="CharSectno"/>
        </w:rPr>
        <w:t>1</w:t>
      </w:r>
      <w:r w:rsidRPr="004A5227">
        <w:t xml:space="preserve">  </w:t>
      </w:r>
      <w:proofErr w:type="spellStart"/>
      <w:r w:rsidR="00D86814" w:rsidRPr="004A5227">
        <w:t>F</w:t>
      </w:r>
      <w:r w:rsidRPr="004A5227">
        <w:t>reephone</w:t>
      </w:r>
      <w:proofErr w:type="spellEnd"/>
      <w:r w:rsidRPr="004A5227">
        <w:t xml:space="preserve"> numbers</w:t>
      </w:r>
      <w:bookmarkEnd w:id="196"/>
    </w:p>
    <w:p w:rsidR="006C3438" w:rsidRPr="004A5227" w:rsidRDefault="006C3438" w:rsidP="006C3438">
      <w:pPr>
        <w:pStyle w:val="subsection"/>
      </w:pPr>
      <w:r w:rsidRPr="004A5227">
        <w:tab/>
      </w:r>
      <w:r w:rsidRPr="004A5227">
        <w:tab/>
        <w:t xml:space="preserve">The following table sets out the form of </w:t>
      </w:r>
      <w:proofErr w:type="spellStart"/>
      <w:r w:rsidRPr="004A5227">
        <w:t>freephone</w:t>
      </w:r>
      <w:proofErr w:type="spellEnd"/>
      <w:r w:rsidRPr="004A5227">
        <w:t xml:space="preserve"> numbers and indicates whether incoming international access is available.</w:t>
      </w:r>
    </w:p>
    <w:p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5"/>
      </w:tblGrid>
      <w:tr w:rsidR="006C3438" w:rsidRPr="004A5227" w:rsidTr="002A71A7">
        <w:trPr>
          <w:tblHeader/>
        </w:trPr>
        <w:tc>
          <w:tcPr>
            <w:tcW w:w="8313" w:type="dxa"/>
            <w:gridSpan w:val="4"/>
            <w:tcBorders>
              <w:top w:val="single" w:sz="12" w:space="0" w:color="auto"/>
              <w:bottom w:val="single" w:sz="6" w:space="0" w:color="auto"/>
            </w:tcBorders>
            <w:shd w:val="clear" w:color="auto" w:fill="auto"/>
          </w:tcPr>
          <w:p w:rsidR="006C3438" w:rsidRPr="004A5227" w:rsidRDefault="006C3438" w:rsidP="002A71A7">
            <w:pPr>
              <w:pStyle w:val="TableHeading"/>
            </w:pPr>
            <w:proofErr w:type="spellStart"/>
            <w:r w:rsidRPr="004A5227">
              <w:t>Freephone</w:t>
            </w:r>
            <w:proofErr w:type="spellEnd"/>
            <w:r w:rsidRPr="004A5227">
              <w:t xml:space="preserve"> numbers</w:t>
            </w:r>
          </w:p>
        </w:tc>
      </w:tr>
      <w:tr w:rsidR="006C3438" w:rsidRPr="004A5227" w:rsidTr="002A71A7">
        <w:trPr>
          <w:tblHeader/>
        </w:trPr>
        <w:tc>
          <w:tcPr>
            <w:tcW w:w="714"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1</w:t>
            </w:r>
          </w:p>
          <w:p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2</w:t>
            </w:r>
          </w:p>
          <w:p w:rsidR="006C3438" w:rsidRPr="004A5227" w:rsidRDefault="006C3438" w:rsidP="002A71A7">
            <w:pPr>
              <w:pStyle w:val="TableHeading"/>
            </w:pPr>
            <w:r w:rsidRPr="004A5227">
              <w:t>Number of digits</w:t>
            </w:r>
          </w:p>
        </w:tc>
        <w:tc>
          <w:tcPr>
            <w:tcW w:w="321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3</w:t>
            </w:r>
          </w:p>
          <w:p w:rsidR="006C3438" w:rsidRPr="004A5227" w:rsidRDefault="006C3438" w:rsidP="002A71A7">
            <w:pPr>
              <w:pStyle w:val="TableHeading"/>
            </w:pPr>
            <w:r w:rsidRPr="004A5227">
              <w:t>Is incoming international access available?</w:t>
            </w:r>
          </w:p>
        </w:tc>
      </w:tr>
      <w:tr w:rsidR="006C3438" w:rsidRPr="004A5227" w:rsidTr="002A71A7">
        <w:tc>
          <w:tcPr>
            <w:tcW w:w="714" w:type="dxa"/>
            <w:tcBorders>
              <w:top w:val="single" w:sz="12" w:space="0" w:color="auto"/>
            </w:tcBorders>
            <w:shd w:val="clear" w:color="auto" w:fill="auto"/>
          </w:tcPr>
          <w:p w:rsidR="006C3438" w:rsidRPr="004A5227" w:rsidRDefault="006C3438" w:rsidP="002A71A7">
            <w:pPr>
              <w:pStyle w:val="Tabletext"/>
            </w:pPr>
            <w:r w:rsidRPr="004A5227">
              <w:t>1</w:t>
            </w:r>
          </w:p>
        </w:tc>
        <w:tc>
          <w:tcPr>
            <w:tcW w:w="1975" w:type="dxa"/>
            <w:tcBorders>
              <w:top w:val="single" w:sz="12" w:space="0" w:color="auto"/>
            </w:tcBorders>
            <w:shd w:val="clear" w:color="auto" w:fill="auto"/>
          </w:tcPr>
          <w:p w:rsidR="006C3438" w:rsidRPr="004A5227" w:rsidRDefault="006C3438" w:rsidP="002A71A7">
            <w:pPr>
              <w:pStyle w:val="Tabletext"/>
            </w:pPr>
            <w:r w:rsidRPr="004A5227">
              <w:t>18</w:t>
            </w:r>
            <w:r w:rsidR="004A5227" w:rsidRPr="004A5227">
              <w:t> </w:t>
            </w:r>
            <w:r w:rsidRPr="004A5227">
              <w:t>00</w:t>
            </w:r>
          </w:p>
        </w:tc>
        <w:tc>
          <w:tcPr>
            <w:tcW w:w="2409" w:type="dxa"/>
            <w:tcBorders>
              <w:top w:val="single" w:sz="12" w:space="0" w:color="auto"/>
            </w:tcBorders>
            <w:shd w:val="clear" w:color="auto" w:fill="auto"/>
          </w:tcPr>
          <w:p w:rsidR="006C3438" w:rsidRPr="004A5227" w:rsidRDefault="006C3438" w:rsidP="002A71A7">
            <w:pPr>
              <w:pStyle w:val="Tabletext"/>
            </w:pPr>
            <w:r w:rsidRPr="004A5227">
              <w:t>10</w:t>
            </w:r>
          </w:p>
        </w:tc>
        <w:tc>
          <w:tcPr>
            <w:tcW w:w="3215" w:type="dxa"/>
            <w:tcBorders>
              <w:top w:val="single" w:sz="12"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2</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01</w:t>
            </w:r>
          </w:p>
        </w:tc>
        <w:tc>
          <w:tcPr>
            <w:tcW w:w="2409" w:type="dxa"/>
            <w:shd w:val="clear" w:color="auto" w:fill="auto"/>
          </w:tcPr>
          <w:p w:rsidR="006C3438" w:rsidRPr="004A5227" w:rsidRDefault="006C3438" w:rsidP="002A71A7">
            <w:pPr>
              <w:pStyle w:val="Tabletext"/>
            </w:pPr>
            <w:r w:rsidRPr="004A5227">
              <w:t>10</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3</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02</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4</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03</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5</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04</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6</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 xml:space="preserve">05 </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7</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06</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shd w:val="clear" w:color="auto" w:fill="auto"/>
          </w:tcPr>
          <w:p w:rsidR="006C3438" w:rsidRPr="004A5227" w:rsidRDefault="006C3438" w:rsidP="002A71A7">
            <w:pPr>
              <w:pStyle w:val="Tabletext"/>
            </w:pPr>
            <w:r w:rsidRPr="004A5227">
              <w:t>8</w:t>
            </w:r>
          </w:p>
        </w:tc>
        <w:tc>
          <w:tcPr>
            <w:tcW w:w="1975" w:type="dxa"/>
            <w:shd w:val="clear" w:color="auto" w:fill="auto"/>
          </w:tcPr>
          <w:p w:rsidR="006C3438" w:rsidRPr="004A5227" w:rsidRDefault="006C3438" w:rsidP="002A71A7">
            <w:pPr>
              <w:pStyle w:val="Tabletext"/>
            </w:pPr>
            <w:r w:rsidRPr="004A5227">
              <w:t>18</w:t>
            </w:r>
            <w:r w:rsidR="004A5227" w:rsidRPr="004A5227">
              <w:t> </w:t>
            </w:r>
            <w:r w:rsidRPr="004A5227">
              <w:t>07</w:t>
            </w:r>
          </w:p>
        </w:tc>
        <w:tc>
          <w:tcPr>
            <w:tcW w:w="2409" w:type="dxa"/>
            <w:shd w:val="clear" w:color="auto" w:fill="auto"/>
          </w:tcPr>
          <w:p w:rsidR="006C3438" w:rsidRPr="004A5227" w:rsidRDefault="006C3438" w:rsidP="002A71A7">
            <w:pPr>
              <w:pStyle w:val="Tabletext"/>
            </w:pPr>
            <w:r w:rsidRPr="004A5227">
              <w:t>7</w:t>
            </w:r>
          </w:p>
        </w:tc>
        <w:tc>
          <w:tcPr>
            <w:tcW w:w="3215" w:type="dxa"/>
            <w:shd w:val="clear" w:color="auto" w:fill="auto"/>
          </w:tcPr>
          <w:p w:rsidR="006C3438" w:rsidRPr="004A5227" w:rsidRDefault="006C3438" w:rsidP="002A71A7">
            <w:pPr>
              <w:pStyle w:val="Tabletext"/>
            </w:pPr>
            <w:r w:rsidRPr="004A5227">
              <w:t>No</w:t>
            </w:r>
          </w:p>
        </w:tc>
      </w:tr>
      <w:tr w:rsidR="006C3438" w:rsidRPr="004A5227" w:rsidTr="002A71A7">
        <w:tc>
          <w:tcPr>
            <w:tcW w:w="714" w:type="dxa"/>
            <w:tcBorders>
              <w:bottom w:val="single" w:sz="4" w:space="0" w:color="auto"/>
            </w:tcBorders>
            <w:shd w:val="clear" w:color="auto" w:fill="auto"/>
          </w:tcPr>
          <w:p w:rsidR="006C3438" w:rsidRPr="004A5227" w:rsidRDefault="006C3438" w:rsidP="002A71A7">
            <w:pPr>
              <w:pStyle w:val="Tabletext"/>
            </w:pPr>
            <w:r w:rsidRPr="004A5227">
              <w:t>9</w:t>
            </w:r>
          </w:p>
        </w:tc>
        <w:tc>
          <w:tcPr>
            <w:tcW w:w="1975" w:type="dxa"/>
            <w:tcBorders>
              <w:bottom w:val="single" w:sz="4" w:space="0" w:color="auto"/>
            </w:tcBorders>
            <w:shd w:val="clear" w:color="auto" w:fill="auto"/>
          </w:tcPr>
          <w:p w:rsidR="006C3438" w:rsidRPr="004A5227" w:rsidRDefault="006C3438" w:rsidP="002A71A7">
            <w:pPr>
              <w:pStyle w:val="Tabletext"/>
            </w:pPr>
            <w:r w:rsidRPr="004A5227">
              <w:t>18</w:t>
            </w:r>
            <w:r w:rsidR="004A5227" w:rsidRPr="004A5227">
              <w:t> </w:t>
            </w:r>
            <w:r w:rsidRPr="004A5227">
              <w:t>08</w:t>
            </w:r>
          </w:p>
        </w:tc>
        <w:tc>
          <w:tcPr>
            <w:tcW w:w="2409" w:type="dxa"/>
            <w:tcBorders>
              <w:bottom w:val="single" w:sz="4" w:space="0" w:color="auto"/>
            </w:tcBorders>
            <w:shd w:val="clear" w:color="auto" w:fill="auto"/>
          </w:tcPr>
          <w:p w:rsidR="006C3438" w:rsidRPr="004A5227" w:rsidRDefault="006C3438" w:rsidP="002A71A7">
            <w:pPr>
              <w:pStyle w:val="Tabletext"/>
            </w:pPr>
            <w:r w:rsidRPr="004A5227">
              <w:t>7</w:t>
            </w:r>
          </w:p>
        </w:tc>
        <w:tc>
          <w:tcPr>
            <w:tcW w:w="3215" w:type="dxa"/>
            <w:tcBorders>
              <w:bottom w:val="single" w:sz="4" w:space="0" w:color="auto"/>
            </w:tcBorders>
            <w:shd w:val="clear" w:color="auto" w:fill="auto"/>
          </w:tcPr>
          <w:p w:rsidR="006C3438" w:rsidRPr="004A5227" w:rsidRDefault="006C3438" w:rsidP="002A71A7">
            <w:pPr>
              <w:pStyle w:val="Tabletext"/>
            </w:pPr>
            <w:r w:rsidRPr="004A5227">
              <w:t>No</w:t>
            </w:r>
          </w:p>
        </w:tc>
      </w:tr>
      <w:tr w:rsidR="006C3438" w:rsidRPr="004A5227" w:rsidTr="002A71A7">
        <w:tc>
          <w:tcPr>
            <w:tcW w:w="714" w:type="dxa"/>
            <w:tcBorders>
              <w:bottom w:val="single" w:sz="12" w:space="0" w:color="auto"/>
            </w:tcBorders>
            <w:shd w:val="clear" w:color="auto" w:fill="auto"/>
          </w:tcPr>
          <w:p w:rsidR="006C3438" w:rsidRPr="004A5227" w:rsidRDefault="006C3438" w:rsidP="002A71A7">
            <w:pPr>
              <w:pStyle w:val="Tabletext"/>
            </w:pPr>
            <w:r w:rsidRPr="004A5227">
              <w:t>10</w:t>
            </w:r>
          </w:p>
        </w:tc>
        <w:tc>
          <w:tcPr>
            <w:tcW w:w="1975" w:type="dxa"/>
            <w:tcBorders>
              <w:bottom w:val="single" w:sz="12" w:space="0" w:color="auto"/>
            </w:tcBorders>
            <w:shd w:val="clear" w:color="auto" w:fill="auto"/>
          </w:tcPr>
          <w:p w:rsidR="006C3438" w:rsidRPr="004A5227" w:rsidRDefault="006C3438" w:rsidP="002A71A7">
            <w:pPr>
              <w:pStyle w:val="Tabletext"/>
            </w:pPr>
            <w:r w:rsidRPr="004A5227">
              <w:t>18</w:t>
            </w:r>
            <w:r w:rsidR="004A5227" w:rsidRPr="004A5227">
              <w:t> </w:t>
            </w:r>
            <w:r w:rsidRPr="004A5227">
              <w:t>09</w:t>
            </w:r>
          </w:p>
        </w:tc>
        <w:tc>
          <w:tcPr>
            <w:tcW w:w="2409" w:type="dxa"/>
            <w:tcBorders>
              <w:bottom w:val="single" w:sz="12" w:space="0" w:color="auto"/>
            </w:tcBorders>
            <w:shd w:val="clear" w:color="auto" w:fill="auto"/>
          </w:tcPr>
          <w:p w:rsidR="006C3438" w:rsidRPr="004A5227" w:rsidRDefault="006C3438" w:rsidP="002A71A7">
            <w:pPr>
              <w:pStyle w:val="Tabletext"/>
            </w:pPr>
            <w:r w:rsidRPr="004A5227">
              <w:t>7</w:t>
            </w:r>
          </w:p>
        </w:tc>
        <w:tc>
          <w:tcPr>
            <w:tcW w:w="3215" w:type="dxa"/>
            <w:tcBorders>
              <w:bottom w:val="single" w:sz="12" w:space="0" w:color="auto"/>
            </w:tcBorders>
            <w:shd w:val="clear" w:color="auto" w:fill="auto"/>
          </w:tcPr>
          <w:p w:rsidR="006C3438" w:rsidRPr="004A5227" w:rsidRDefault="006C3438" w:rsidP="002A71A7">
            <w:pPr>
              <w:pStyle w:val="Tabletext"/>
            </w:pPr>
            <w:r w:rsidRPr="004A5227">
              <w:t>No</w:t>
            </w:r>
          </w:p>
        </w:tc>
      </w:tr>
    </w:tbl>
    <w:p w:rsidR="006C3438" w:rsidRPr="004A5227" w:rsidRDefault="006C3438" w:rsidP="006C3438">
      <w:pPr>
        <w:pStyle w:val="ActHead1"/>
        <w:pageBreakBefore/>
      </w:pPr>
      <w:bookmarkStart w:id="197" w:name="_Toc413419195"/>
      <w:r w:rsidRPr="004A5227">
        <w:rPr>
          <w:rStyle w:val="CharChapNo"/>
        </w:rPr>
        <w:lastRenderedPageBreak/>
        <w:t>Schedule</w:t>
      </w:r>
      <w:r w:rsidR="004A5227" w:rsidRPr="004A5227">
        <w:rPr>
          <w:rStyle w:val="CharChapNo"/>
        </w:rPr>
        <w:t> </w:t>
      </w:r>
      <w:r w:rsidR="00790A2E" w:rsidRPr="004A5227">
        <w:rPr>
          <w:rStyle w:val="CharChapNo"/>
        </w:rPr>
        <w:t>3</w:t>
      </w:r>
      <w:r w:rsidRPr="004A5227">
        <w:t>—</w:t>
      </w:r>
      <w:r w:rsidRPr="004A5227">
        <w:rPr>
          <w:rStyle w:val="CharChapText"/>
        </w:rPr>
        <w:t>Local rate numbers</w:t>
      </w:r>
      <w:bookmarkEnd w:id="197"/>
    </w:p>
    <w:p w:rsidR="006C3438" w:rsidRPr="004A5227" w:rsidRDefault="006C3438" w:rsidP="006C3438">
      <w:pPr>
        <w:pStyle w:val="notemargin"/>
      </w:pPr>
      <w:r w:rsidRPr="004A5227">
        <w:t>Note:</w:t>
      </w:r>
      <w:r w:rsidRPr="004A5227">
        <w:tab/>
        <w:t>See section</w:t>
      </w:r>
      <w:r w:rsidR="004A5227" w:rsidRPr="004A5227">
        <w:t> </w:t>
      </w:r>
      <w:r w:rsidR="00CA6815" w:rsidRPr="004A5227">
        <w:t>24</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6C3438" w:rsidRPr="004A5227" w:rsidRDefault="006C3438" w:rsidP="006C3438">
      <w:pPr>
        <w:pStyle w:val="ActHead5"/>
      </w:pPr>
      <w:bookmarkStart w:id="198" w:name="_Toc413419196"/>
      <w:r w:rsidRPr="004A5227">
        <w:rPr>
          <w:rStyle w:val="CharSectno"/>
        </w:rPr>
        <w:t>1</w:t>
      </w:r>
      <w:r w:rsidR="0037652C" w:rsidRPr="004A5227">
        <w:t xml:space="preserve">  </w:t>
      </w:r>
      <w:r w:rsidR="00D86814" w:rsidRPr="004A5227">
        <w:t>L</w:t>
      </w:r>
      <w:r w:rsidRPr="004A5227">
        <w:t>ocal rate numbers</w:t>
      </w:r>
      <w:bookmarkEnd w:id="198"/>
    </w:p>
    <w:p w:rsidR="006C3438" w:rsidRPr="004A5227" w:rsidRDefault="006C3438" w:rsidP="006C3438">
      <w:pPr>
        <w:pStyle w:val="subsection"/>
      </w:pPr>
      <w:r w:rsidRPr="004A5227">
        <w:tab/>
      </w:r>
      <w:r w:rsidRPr="004A5227">
        <w:tab/>
        <w:t>The following table sets out the form of local rate numbers and indicates whether incoming international access is available.</w:t>
      </w:r>
    </w:p>
    <w:p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6"/>
      </w:tblGrid>
      <w:tr w:rsidR="006C3438" w:rsidRPr="004A5227" w:rsidTr="002A71A7">
        <w:trPr>
          <w:tblHeader/>
        </w:trPr>
        <w:tc>
          <w:tcPr>
            <w:tcW w:w="8314" w:type="dxa"/>
            <w:gridSpan w:val="4"/>
            <w:tcBorders>
              <w:top w:val="single" w:sz="12" w:space="0" w:color="auto"/>
              <w:bottom w:val="single" w:sz="6" w:space="0" w:color="auto"/>
            </w:tcBorders>
            <w:shd w:val="clear" w:color="auto" w:fill="auto"/>
          </w:tcPr>
          <w:p w:rsidR="006C3438" w:rsidRPr="004A5227" w:rsidRDefault="006C3438" w:rsidP="002A71A7">
            <w:pPr>
              <w:pStyle w:val="TableHeading"/>
            </w:pPr>
            <w:r w:rsidRPr="004A5227">
              <w:t>Local rate numbers</w:t>
            </w:r>
          </w:p>
        </w:tc>
      </w:tr>
      <w:tr w:rsidR="006C3438" w:rsidRPr="004A5227" w:rsidTr="002A71A7">
        <w:trPr>
          <w:tblHeader/>
        </w:trPr>
        <w:tc>
          <w:tcPr>
            <w:tcW w:w="714"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1</w:t>
            </w:r>
          </w:p>
          <w:p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2</w:t>
            </w:r>
          </w:p>
          <w:p w:rsidR="006C3438" w:rsidRPr="004A5227" w:rsidRDefault="006C3438" w:rsidP="002A71A7">
            <w:pPr>
              <w:pStyle w:val="TableHeading"/>
            </w:pPr>
            <w:r w:rsidRPr="004A5227">
              <w:t>Number of digits</w:t>
            </w:r>
          </w:p>
        </w:tc>
        <w:tc>
          <w:tcPr>
            <w:tcW w:w="3216"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3</w:t>
            </w:r>
          </w:p>
          <w:p w:rsidR="006C3438" w:rsidRPr="004A5227" w:rsidRDefault="006C3438" w:rsidP="002A71A7">
            <w:pPr>
              <w:pStyle w:val="TableHeading"/>
            </w:pPr>
            <w:r w:rsidRPr="004A5227">
              <w:t>Is incoming international access available?</w:t>
            </w:r>
          </w:p>
        </w:tc>
      </w:tr>
      <w:tr w:rsidR="006C3438" w:rsidRPr="004A5227" w:rsidTr="002A71A7">
        <w:tc>
          <w:tcPr>
            <w:tcW w:w="714" w:type="dxa"/>
            <w:tcBorders>
              <w:top w:val="single" w:sz="12" w:space="0" w:color="auto"/>
            </w:tcBorders>
            <w:shd w:val="clear" w:color="auto" w:fill="auto"/>
          </w:tcPr>
          <w:p w:rsidR="006C3438" w:rsidRPr="004A5227" w:rsidRDefault="006C3438" w:rsidP="002A71A7">
            <w:pPr>
              <w:pStyle w:val="Tabletext"/>
            </w:pPr>
            <w:r w:rsidRPr="004A5227">
              <w:t>1</w:t>
            </w:r>
          </w:p>
        </w:tc>
        <w:tc>
          <w:tcPr>
            <w:tcW w:w="1975" w:type="dxa"/>
            <w:tcBorders>
              <w:top w:val="single" w:sz="12" w:space="0" w:color="auto"/>
            </w:tcBorders>
            <w:shd w:val="clear" w:color="auto" w:fill="auto"/>
          </w:tcPr>
          <w:p w:rsidR="006C3438" w:rsidRPr="004A5227" w:rsidRDefault="006C3438" w:rsidP="002A71A7">
            <w:pPr>
              <w:pStyle w:val="Tabletext"/>
            </w:pPr>
            <w:r w:rsidRPr="004A5227">
              <w:t>13</w:t>
            </w:r>
            <w:r w:rsidR="004A5227" w:rsidRPr="004A5227">
              <w:t> </w:t>
            </w:r>
            <w:r w:rsidRPr="004A5227">
              <w:t>0</w:t>
            </w:r>
          </w:p>
        </w:tc>
        <w:tc>
          <w:tcPr>
            <w:tcW w:w="2409" w:type="dxa"/>
            <w:tcBorders>
              <w:top w:val="single" w:sz="12" w:space="0" w:color="auto"/>
            </w:tcBorders>
            <w:shd w:val="clear" w:color="auto" w:fill="auto"/>
          </w:tcPr>
          <w:p w:rsidR="006C3438" w:rsidRPr="004A5227" w:rsidRDefault="006C3438" w:rsidP="002A71A7">
            <w:pPr>
              <w:pStyle w:val="Tabletext"/>
            </w:pPr>
            <w:r w:rsidRPr="004A5227">
              <w:t>10</w:t>
            </w:r>
          </w:p>
        </w:tc>
        <w:tc>
          <w:tcPr>
            <w:tcW w:w="3216" w:type="dxa"/>
            <w:tcBorders>
              <w:top w:val="single" w:sz="12"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2</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1</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3</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2</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4</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3</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5</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40</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6</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41</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7</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42</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8</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43</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9</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44</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10</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45</w:t>
            </w:r>
          </w:p>
        </w:tc>
        <w:tc>
          <w:tcPr>
            <w:tcW w:w="2409" w:type="dxa"/>
            <w:shd w:val="clear" w:color="auto" w:fill="auto"/>
          </w:tcPr>
          <w:p w:rsidR="006C3438" w:rsidRPr="004A5227" w:rsidRDefault="006C3438" w:rsidP="002A71A7">
            <w:pPr>
              <w:pStyle w:val="Tabletext"/>
            </w:pPr>
            <w:r w:rsidRPr="004A5227">
              <w:t>8</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11</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46</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12</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47</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13</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48</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14</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49</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15</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5</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16</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6</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17</w:t>
            </w:r>
          </w:p>
        </w:tc>
        <w:tc>
          <w:tcPr>
            <w:tcW w:w="1975" w:type="dxa"/>
            <w:shd w:val="clear" w:color="auto" w:fill="auto"/>
          </w:tcPr>
          <w:p w:rsidR="006C3438" w:rsidRPr="004A5227" w:rsidRDefault="006C3438" w:rsidP="002A71A7">
            <w:pPr>
              <w:pStyle w:val="Tabletext"/>
            </w:pPr>
            <w:r w:rsidRPr="004A5227">
              <w:t>13</w:t>
            </w:r>
            <w:r w:rsidR="004A5227" w:rsidRPr="004A5227">
              <w:t> </w:t>
            </w:r>
            <w:r w:rsidRPr="004A5227">
              <w:t>7</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tcBorders>
              <w:bottom w:val="single" w:sz="4" w:space="0" w:color="auto"/>
            </w:tcBorders>
            <w:shd w:val="clear" w:color="auto" w:fill="auto"/>
          </w:tcPr>
          <w:p w:rsidR="006C3438" w:rsidRPr="004A5227" w:rsidRDefault="006C3438" w:rsidP="002A71A7">
            <w:pPr>
              <w:pStyle w:val="Tabletext"/>
            </w:pPr>
            <w:r w:rsidRPr="004A5227">
              <w:t>18</w:t>
            </w:r>
          </w:p>
        </w:tc>
        <w:tc>
          <w:tcPr>
            <w:tcW w:w="1975" w:type="dxa"/>
            <w:tcBorders>
              <w:bottom w:val="single" w:sz="4" w:space="0" w:color="auto"/>
            </w:tcBorders>
            <w:shd w:val="clear" w:color="auto" w:fill="auto"/>
          </w:tcPr>
          <w:p w:rsidR="006C3438" w:rsidRPr="004A5227" w:rsidRDefault="006C3438" w:rsidP="002A71A7">
            <w:pPr>
              <w:pStyle w:val="Tabletext"/>
            </w:pPr>
            <w:r w:rsidRPr="004A5227">
              <w:t>13</w:t>
            </w:r>
            <w:r w:rsidR="004A5227" w:rsidRPr="004A5227">
              <w:t> </w:t>
            </w:r>
            <w:r w:rsidRPr="004A5227">
              <w:t>8</w:t>
            </w:r>
          </w:p>
        </w:tc>
        <w:tc>
          <w:tcPr>
            <w:tcW w:w="2409" w:type="dxa"/>
            <w:tcBorders>
              <w:bottom w:val="single" w:sz="4" w:space="0" w:color="auto"/>
            </w:tcBorders>
            <w:shd w:val="clear" w:color="auto" w:fill="auto"/>
          </w:tcPr>
          <w:p w:rsidR="006C3438" w:rsidRPr="004A5227" w:rsidRDefault="006C3438" w:rsidP="002A71A7">
            <w:pPr>
              <w:pStyle w:val="Tabletext"/>
            </w:pPr>
            <w:r w:rsidRPr="004A5227">
              <w:t>6</w:t>
            </w:r>
          </w:p>
        </w:tc>
        <w:tc>
          <w:tcPr>
            <w:tcW w:w="3216" w:type="dxa"/>
            <w:tcBorders>
              <w:bottom w:val="single" w:sz="4"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tcBorders>
              <w:bottom w:val="single" w:sz="12" w:space="0" w:color="auto"/>
            </w:tcBorders>
            <w:shd w:val="clear" w:color="auto" w:fill="auto"/>
          </w:tcPr>
          <w:p w:rsidR="006C3438" w:rsidRPr="004A5227" w:rsidRDefault="006C3438" w:rsidP="002A71A7">
            <w:pPr>
              <w:pStyle w:val="Tabletext"/>
            </w:pPr>
            <w:r w:rsidRPr="004A5227">
              <w:t>19</w:t>
            </w:r>
          </w:p>
        </w:tc>
        <w:tc>
          <w:tcPr>
            <w:tcW w:w="1975" w:type="dxa"/>
            <w:tcBorders>
              <w:bottom w:val="single" w:sz="12" w:space="0" w:color="auto"/>
            </w:tcBorders>
            <w:shd w:val="clear" w:color="auto" w:fill="auto"/>
          </w:tcPr>
          <w:p w:rsidR="006C3438" w:rsidRPr="004A5227" w:rsidRDefault="006C3438" w:rsidP="002A71A7">
            <w:pPr>
              <w:pStyle w:val="Tabletext"/>
            </w:pPr>
            <w:r w:rsidRPr="004A5227">
              <w:t>13</w:t>
            </w:r>
            <w:r w:rsidR="004A5227" w:rsidRPr="004A5227">
              <w:t> </w:t>
            </w:r>
            <w:r w:rsidRPr="004A5227">
              <w:t>9</w:t>
            </w:r>
          </w:p>
        </w:tc>
        <w:tc>
          <w:tcPr>
            <w:tcW w:w="2409" w:type="dxa"/>
            <w:tcBorders>
              <w:bottom w:val="single" w:sz="12" w:space="0" w:color="auto"/>
            </w:tcBorders>
            <w:shd w:val="clear" w:color="auto" w:fill="auto"/>
          </w:tcPr>
          <w:p w:rsidR="006C3438" w:rsidRPr="004A5227" w:rsidRDefault="006C3438" w:rsidP="002A71A7">
            <w:pPr>
              <w:pStyle w:val="Tabletext"/>
            </w:pPr>
            <w:r w:rsidRPr="004A5227">
              <w:t>6</w:t>
            </w:r>
          </w:p>
        </w:tc>
        <w:tc>
          <w:tcPr>
            <w:tcW w:w="3216" w:type="dxa"/>
            <w:tcBorders>
              <w:bottom w:val="single" w:sz="12" w:space="0" w:color="auto"/>
            </w:tcBorders>
            <w:shd w:val="clear" w:color="auto" w:fill="auto"/>
          </w:tcPr>
          <w:p w:rsidR="006C3438" w:rsidRPr="004A5227" w:rsidRDefault="006C3438" w:rsidP="002A71A7">
            <w:pPr>
              <w:pStyle w:val="Tabletext"/>
            </w:pPr>
            <w:r w:rsidRPr="004A5227">
              <w:t>Yes</w:t>
            </w:r>
          </w:p>
        </w:tc>
      </w:tr>
    </w:tbl>
    <w:p w:rsidR="006C3438" w:rsidRPr="004A5227" w:rsidRDefault="006C3438" w:rsidP="006C3438">
      <w:pPr>
        <w:pStyle w:val="ActHead1"/>
        <w:pageBreakBefore/>
      </w:pPr>
      <w:bookmarkStart w:id="199" w:name="_Toc413419197"/>
      <w:r w:rsidRPr="004A5227">
        <w:rPr>
          <w:rStyle w:val="CharChapNo"/>
        </w:rPr>
        <w:lastRenderedPageBreak/>
        <w:t>Schedule</w:t>
      </w:r>
      <w:r w:rsidR="004A5227" w:rsidRPr="004A5227">
        <w:rPr>
          <w:rStyle w:val="CharChapNo"/>
        </w:rPr>
        <w:t> </w:t>
      </w:r>
      <w:r w:rsidR="00790A2E" w:rsidRPr="004A5227">
        <w:rPr>
          <w:rStyle w:val="CharChapNo"/>
        </w:rPr>
        <w:t>4</w:t>
      </w:r>
      <w:r w:rsidRPr="004A5227">
        <w:t>—</w:t>
      </w:r>
      <w:r w:rsidRPr="004A5227">
        <w:rPr>
          <w:rStyle w:val="CharChapText"/>
        </w:rPr>
        <w:t>Premium rate numbers</w:t>
      </w:r>
      <w:bookmarkEnd w:id="199"/>
    </w:p>
    <w:p w:rsidR="006C3438" w:rsidRPr="004A5227" w:rsidRDefault="006C3438" w:rsidP="006C3438">
      <w:pPr>
        <w:pStyle w:val="notemargin"/>
      </w:pPr>
      <w:r w:rsidRPr="004A5227">
        <w:t>Note:</w:t>
      </w:r>
      <w:r w:rsidRPr="004A5227">
        <w:tab/>
        <w:t>See section</w:t>
      </w:r>
      <w:r w:rsidR="004A5227" w:rsidRPr="004A5227">
        <w:t> </w:t>
      </w:r>
      <w:r w:rsidR="00CA6815" w:rsidRPr="004A5227">
        <w:t>26</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6C3438" w:rsidRPr="004A5227" w:rsidRDefault="006C3438" w:rsidP="006C3438">
      <w:pPr>
        <w:pStyle w:val="ActHead5"/>
      </w:pPr>
      <w:bookmarkStart w:id="200" w:name="_Toc413419198"/>
      <w:r w:rsidRPr="004A5227">
        <w:rPr>
          <w:rStyle w:val="CharSectno"/>
        </w:rPr>
        <w:t>1</w:t>
      </w:r>
      <w:r w:rsidRPr="004A5227">
        <w:t xml:space="preserve">  </w:t>
      </w:r>
      <w:r w:rsidR="00D86814" w:rsidRPr="004A5227">
        <w:t>P</w:t>
      </w:r>
      <w:r w:rsidRPr="004A5227">
        <w:t>remium rate numbers</w:t>
      </w:r>
      <w:bookmarkEnd w:id="200"/>
    </w:p>
    <w:p w:rsidR="006C3438" w:rsidRPr="004A5227" w:rsidRDefault="006C3438" w:rsidP="006C3438">
      <w:pPr>
        <w:pStyle w:val="subsection"/>
      </w:pPr>
      <w:r w:rsidRPr="004A5227">
        <w:tab/>
      </w:r>
      <w:r w:rsidRPr="004A5227">
        <w:tab/>
        <w:t>The following table sets out the form of premium rate numbers and indicates whether incoming international access is available.</w:t>
      </w:r>
    </w:p>
    <w:p w:rsidR="006C3438" w:rsidRPr="004A5227" w:rsidRDefault="006C3438" w:rsidP="006C34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409"/>
        <w:gridCol w:w="3216"/>
      </w:tblGrid>
      <w:tr w:rsidR="006C3438" w:rsidRPr="004A5227" w:rsidTr="002A71A7">
        <w:trPr>
          <w:tblHeader/>
        </w:trPr>
        <w:tc>
          <w:tcPr>
            <w:tcW w:w="8314" w:type="dxa"/>
            <w:gridSpan w:val="4"/>
            <w:tcBorders>
              <w:top w:val="single" w:sz="12" w:space="0" w:color="auto"/>
              <w:bottom w:val="single" w:sz="6" w:space="0" w:color="auto"/>
            </w:tcBorders>
            <w:shd w:val="clear" w:color="auto" w:fill="auto"/>
          </w:tcPr>
          <w:p w:rsidR="006C3438" w:rsidRPr="004A5227" w:rsidRDefault="006C3438" w:rsidP="002A71A7">
            <w:pPr>
              <w:pStyle w:val="TableHeading"/>
            </w:pPr>
            <w:r w:rsidRPr="004A5227">
              <w:t>Premium rate numbers</w:t>
            </w:r>
          </w:p>
        </w:tc>
      </w:tr>
      <w:tr w:rsidR="006C3438" w:rsidRPr="004A5227" w:rsidTr="002A71A7">
        <w:trPr>
          <w:tblHeader/>
        </w:trPr>
        <w:tc>
          <w:tcPr>
            <w:tcW w:w="714"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Item</w:t>
            </w:r>
          </w:p>
        </w:tc>
        <w:tc>
          <w:tcPr>
            <w:tcW w:w="1975"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1</w:t>
            </w:r>
          </w:p>
          <w:p w:rsidR="006C3438" w:rsidRPr="004A5227" w:rsidRDefault="006C3438" w:rsidP="002A71A7">
            <w:pPr>
              <w:pStyle w:val="TableHeading"/>
            </w:pPr>
            <w:r w:rsidRPr="004A5227">
              <w:t>First digits</w:t>
            </w:r>
          </w:p>
        </w:tc>
        <w:tc>
          <w:tcPr>
            <w:tcW w:w="2409"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Column 2</w:t>
            </w:r>
          </w:p>
          <w:p w:rsidR="006C3438" w:rsidRPr="004A5227" w:rsidRDefault="006C3438" w:rsidP="002A71A7">
            <w:pPr>
              <w:pStyle w:val="TableHeading"/>
            </w:pPr>
            <w:r w:rsidRPr="004A5227">
              <w:t>Number of digits</w:t>
            </w:r>
          </w:p>
        </w:tc>
        <w:tc>
          <w:tcPr>
            <w:tcW w:w="3216" w:type="dxa"/>
            <w:tcBorders>
              <w:top w:val="single" w:sz="6" w:space="0" w:color="auto"/>
              <w:bottom w:val="single" w:sz="12" w:space="0" w:color="auto"/>
            </w:tcBorders>
            <w:shd w:val="clear" w:color="auto" w:fill="auto"/>
          </w:tcPr>
          <w:p w:rsidR="006C3438" w:rsidRPr="004A5227" w:rsidRDefault="006C3438" w:rsidP="002A71A7">
            <w:pPr>
              <w:pStyle w:val="TableHeading"/>
            </w:pPr>
            <w:r w:rsidRPr="004A5227">
              <w:t xml:space="preserve">Column </w:t>
            </w:r>
            <w:r w:rsidR="00B41481" w:rsidRPr="004A5227">
              <w:t>3</w:t>
            </w:r>
          </w:p>
          <w:p w:rsidR="006C3438" w:rsidRPr="004A5227" w:rsidRDefault="006C3438" w:rsidP="002A71A7">
            <w:pPr>
              <w:pStyle w:val="TableHeading"/>
            </w:pPr>
            <w:r w:rsidRPr="004A5227">
              <w:t>Is incoming international access available?</w:t>
            </w:r>
          </w:p>
        </w:tc>
      </w:tr>
      <w:tr w:rsidR="006C3438" w:rsidRPr="004A5227" w:rsidTr="002A71A7">
        <w:tc>
          <w:tcPr>
            <w:tcW w:w="714" w:type="dxa"/>
            <w:tcBorders>
              <w:top w:val="single" w:sz="12" w:space="0" w:color="auto"/>
            </w:tcBorders>
            <w:shd w:val="clear" w:color="auto" w:fill="auto"/>
          </w:tcPr>
          <w:p w:rsidR="006C3438" w:rsidRPr="004A5227" w:rsidRDefault="006C3438" w:rsidP="002A71A7">
            <w:pPr>
              <w:pStyle w:val="Tabletext"/>
            </w:pPr>
            <w:r w:rsidRPr="004A5227">
              <w:t>1</w:t>
            </w:r>
          </w:p>
        </w:tc>
        <w:tc>
          <w:tcPr>
            <w:tcW w:w="1975" w:type="dxa"/>
            <w:tcBorders>
              <w:top w:val="single" w:sz="12" w:space="0" w:color="auto"/>
            </w:tcBorders>
            <w:shd w:val="clear" w:color="auto" w:fill="auto"/>
          </w:tcPr>
          <w:p w:rsidR="006C3438" w:rsidRPr="004A5227" w:rsidRDefault="006C3438" w:rsidP="002A71A7">
            <w:pPr>
              <w:pStyle w:val="Tabletext"/>
            </w:pPr>
            <w:r w:rsidRPr="004A5227">
              <w:t>19</w:t>
            </w:r>
            <w:r w:rsidR="004A5227" w:rsidRPr="004A5227">
              <w:t> </w:t>
            </w:r>
            <w:r w:rsidRPr="004A5227">
              <w:t>00</w:t>
            </w:r>
          </w:p>
        </w:tc>
        <w:tc>
          <w:tcPr>
            <w:tcW w:w="2409" w:type="dxa"/>
            <w:tcBorders>
              <w:top w:val="single" w:sz="12" w:space="0" w:color="auto"/>
            </w:tcBorders>
            <w:shd w:val="clear" w:color="auto" w:fill="auto"/>
          </w:tcPr>
          <w:p w:rsidR="006C3438" w:rsidRPr="004A5227" w:rsidRDefault="006C3438" w:rsidP="002A71A7">
            <w:pPr>
              <w:pStyle w:val="Tabletext"/>
            </w:pPr>
            <w:r w:rsidRPr="004A5227">
              <w:t>10</w:t>
            </w:r>
          </w:p>
        </w:tc>
        <w:tc>
          <w:tcPr>
            <w:tcW w:w="3216" w:type="dxa"/>
            <w:tcBorders>
              <w:top w:val="single" w:sz="12"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2</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01</w:t>
            </w:r>
          </w:p>
        </w:tc>
        <w:tc>
          <w:tcPr>
            <w:tcW w:w="2409" w:type="dxa"/>
            <w:shd w:val="clear" w:color="auto" w:fill="auto"/>
          </w:tcPr>
          <w:p w:rsidR="006C3438" w:rsidRPr="004A5227" w:rsidRDefault="006C3438" w:rsidP="002A71A7">
            <w:pPr>
              <w:pStyle w:val="Tabletext"/>
            </w:pPr>
            <w:r w:rsidRPr="004A5227">
              <w:t>10</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3</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02</w:t>
            </w:r>
          </w:p>
        </w:tc>
        <w:tc>
          <w:tcPr>
            <w:tcW w:w="2409" w:type="dxa"/>
            <w:shd w:val="clear" w:color="auto" w:fill="auto"/>
          </w:tcPr>
          <w:p w:rsidR="006C3438" w:rsidRPr="004A5227" w:rsidRDefault="006C3438" w:rsidP="002A71A7">
            <w:pPr>
              <w:pStyle w:val="Tabletext"/>
            </w:pPr>
            <w:r w:rsidRPr="004A5227">
              <w:t>10</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4</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06</w:t>
            </w:r>
          </w:p>
        </w:tc>
        <w:tc>
          <w:tcPr>
            <w:tcW w:w="2409" w:type="dxa"/>
            <w:shd w:val="clear" w:color="auto" w:fill="auto"/>
          </w:tcPr>
          <w:p w:rsidR="006C3438" w:rsidRPr="004A5227" w:rsidRDefault="006C3438" w:rsidP="002A71A7">
            <w:pPr>
              <w:pStyle w:val="Tabletext"/>
            </w:pPr>
            <w:r w:rsidRPr="004A5227">
              <w:t>10</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5</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1</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6</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3</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7</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4</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8</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5</w:t>
            </w:r>
          </w:p>
        </w:tc>
        <w:tc>
          <w:tcPr>
            <w:tcW w:w="2409" w:type="dxa"/>
            <w:shd w:val="clear" w:color="auto" w:fill="auto"/>
          </w:tcPr>
          <w:p w:rsidR="006C3438" w:rsidRPr="004A5227" w:rsidRDefault="006C3438" w:rsidP="002A71A7">
            <w:pPr>
              <w:pStyle w:val="Tabletext"/>
            </w:pPr>
            <w:r w:rsidRPr="004A5227">
              <w:t>6</w:t>
            </w:r>
          </w:p>
        </w:tc>
        <w:tc>
          <w:tcPr>
            <w:tcW w:w="3216" w:type="dxa"/>
            <w:shd w:val="clear" w:color="auto" w:fill="auto"/>
          </w:tcPr>
          <w:p w:rsidR="006C3438" w:rsidRPr="004A5227" w:rsidRDefault="006C3438" w:rsidP="002A71A7">
            <w:pPr>
              <w:pStyle w:val="Tabletext"/>
            </w:pPr>
            <w:r w:rsidRPr="004A5227">
              <w:t>Yes</w:t>
            </w:r>
          </w:p>
        </w:tc>
      </w:tr>
      <w:tr w:rsidR="006C3438" w:rsidRPr="004A5227" w:rsidTr="002A71A7">
        <w:tc>
          <w:tcPr>
            <w:tcW w:w="714" w:type="dxa"/>
            <w:shd w:val="clear" w:color="auto" w:fill="auto"/>
          </w:tcPr>
          <w:p w:rsidR="006C3438" w:rsidRPr="004A5227" w:rsidRDefault="006C3438" w:rsidP="002A71A7">
            <w:pPr>
              <w:pStyle w:val="Tabletext"/>
            </w:pPr>
            <w:r w:rsidRPr="004A5227">
              <w:t>9</w:t>
            </w:r>
          </w:p>
        </w:tc>
        <w:tc>
          <w:tcPr>
            <w:tcW w:w="1975" w:type="dxa"/>
            <w:shd w:val="clear" w:color="auto" w:fill="auto"/>
          </w:tcPr>
          <w:p w:rsidR="006C3438" w:rsidRPr="004A5227" w:rsidRDefault="006C3438" w:rsidP="002A71A7">
            <w:pPr>
              <w:pStyle w:val="Tabletext"/>
            </w:pPr>
            <w:r w:rsidRPr="004A5227">
              <w:t>19</w:t>
            </w:r>
            <w:r w:rsidR="004A5227" w:rsidRPr="004A5227">
              <w:t> </w:t>
            </w:r>
            <w:r w:rsidRPr="004A5227">
              <w:t>6</w:t>
            </w:r>
          </w:p>
        </w:tc>
        <w:tc>
          <w:tcPr>
            <w:tcW w:w="2409" w:type="dxa"/>
            <w:shd w:val="clear" w:color="auto" w:fill="auto"/>
          </w:tcPr>
          <w:p w:rsidR="006C3438" w:rsidRPr="004A5227" w:rsidRDefault="006C3438" w:rsidP="002A71A7">
            <w:pPr>
              <w:pStyle w:val="Tabletext"/>
            </w:pPr>
            <w:r w:rsidRPr="004A5227">
              <w:t>8</w:t>
            </w:r>
          </w:p>
        </w:tc>
        <w:tc>
          <w:tcPr>
            <w:tcW w:w="3216" w:type="dxa"/>
            <w:shd w:val="clear" w:color="auto" w:fill="auto"/>
          </w:tcPr>
          <w:p w:rsidR="006C3438" w:rsidRPr="004A5227" w:rsidRDefault="006C3438" w:rsidP="000F0EF0">
            <w:pPr>
              <w:pStyle w:val="Tabletext"/>
            </w:pPr>
            <w:r w:rsidRPr="004A5227">
              <w:t>Yes</w:t>
            </w:r>
          </w:p>
        </w:tc>
      </w:tr>
      <w:tr w:rsidR="006C3438" w:rsidRPr="004A5227" w:rsidTr="002A71A7">
        <w:tc>
          <w:tcPr>
            <w:tcW w:w="714" w:type="dxa"/>
            <w:tcBorders>
              <w:bottom w:val="single" w:sz="4" w:space="0" w:color="auto"/>
            </w:tcBorders>
            <w:shd w:val="clear" w:color="auto" w:fill="auto"/>
          </w:tcPr>
          <w:p w:rsidR="006C3438" w:rsidRPr="004A5227" w:rsidRDefault="006C3438" w:rsidP="002A71A7">
            <w:pPr>
              <w:pStyle w:val="Tabletext"/>
            </w:pPr>
            <w:r w:rsidRPr="004A5227">
              <w:t>10</w:t>
            </w:r>
          </w:p>
        </w:tc>
        <w:tc>
          <w:tcPr>
            <w:tcW w:w="1975" w:type="dxa"/>
            <w:tcBorders>
              <w:bottom w:val="single" w:sz="4" w:space="0" w:color="auto"/>
            </w:tcBorders>
            <w:shd w:val="clear" w:color="auto" w:fill="auto"/>
          </w:tcPr>
          <w:p w:rsidR="006C3438" w:rsidRPr="004A5227" w:rsidRDefault="006C3438" w:rsidP="002A71A7">
            <w:pPr>
              <w:pStyle w:val="Tabletext"/>
            </w:pPr>
            <w:r w:rsidRPr="004A5227">
              <w:t>19</w:t>
            </w:r>
            <w:r w:rsidR="004A5227" w:rsidRPr="004A5227">
              <w:t> </w:t>
            </w:r>
            <w:r w:rsidRPr="004A5227">
              <w:t>7</w:t>
            </w:r>
          </w:p>
        </w:tc>
        <w:tc>
          <w:tcPr>
            <w:tcW w:w="2409" w:type="dxa"/>
            <w:tcBorders>
              <w:bottom w:val="single" w:sz="4" w:space="0" w:color="auto"/>
            </w:tcBorders>
            <w:shd w:val="clear" w:color="auto" w:fill="auto"/>
          </w:tcPr>
          <w:p w:rsidR="006C3438" w:rsidRPr="004A5227" w:rsidRDefault="006C3438" w:rsidP="002A71A7">
            <w:pPr>
              <w:pStyle w:val="Tabletext"/>
            </w:pPr>
            <w:r w:rsidRPr="004A5227">
              <w:t>8</w:t>
            </w:r>
          </w:p>
        </w:tc>
        <w:tc>
          <w:tcPr>
            <w:tcW w:w="3216" w:type="dxa"/>
            <w:tcBorders>
              <w:bottom w:val="single" w:sz="4" w:space="0" w:color="auto"/>
            </w:tcBorders>
            <w:shd w:val="clear" w:color="auto" w:fill="auto"/>
          </w:tcPr>
          <w:p w:rsidR="006C3438" w:rsidRPr="004A5227" w:rsidRDefault="006C3438" w:rsidP="002A71A7">
            <w:pPr>
              <w:pStyle w:val="Tabletext"/>
            </w:pPr>
            <w:r w:rsidRPr="004A5227">
              <w:t>Yes</w:t>
            </w:r>
          </w:p>
        </w:tc>
      </w:tr>
      <w:tr w:rsidR="006C3438" w:rsidRPr="004A5227" w:rsidTr="002A71A7">
        <w:tc>
          <w:tcPr>
            <w:tcW w:w="714" w:type="dxa"/>
            <w:tcBorders>
              <w:bottom w:val="single" w:sz="12" w:space="0" w:color="auto"/>
            </w:tcBorders>
            <w:shd w:val="clear" w:color="auto" w:fill="auto"/>
          </w:tcPr>
          <w:p w:rsidR="006C3438" w:rsidRPr="004A5227" w:rsidRDefault="006C3438" w:rsidP="002A71A7">
            <w:pPr>
              <w:pStyle w:val="Tabletext"/>
            </w:pPr>
            <w:r w:rsidRPr="004A5227">
              <w:t>11</w:t>
            </w:r>
          </w:p>
        </w:tc>
        <w:tc>
          <w:tcPr>
            <w:tcW w:w="1975" w:type="dxa"/>
            <w:tcBorders>
              <w:bottom w:val="single" w:sz="12" w:space="0" w:color="auto"/>
            </w:tcBorders>
            <w:shd w:val="clear" w:color="auto" w:fill="auto"/>
          </w:tcPr>
          <w:p w:rsidR="006C3438" w:rsidRPr="004A5227" w:rsidRDefault="006C3438" w:rsidP="002A71A7">
            <w:pPr>
              <w:pStyle w:val="Tabletext"/>
            </w:pPr>
            <w:r w:rsidRPr="004A5227">
              <w:t>19</w:t>
            </w:r>
            <w:r w:rsidR="004A5227" w:rsidRPr="004A5227">
              <w:t> </w:t>
            </w:r>
            <w:r w:rsidRPr="004A5227">
              <w:t>9</w:t>
            </w:r>
          </w:p>
        </w:tc>
        <w:tc>
          <w:tcPr>
            <w:tcW w:w="2409" w:type="dxa"/>
            <w:tcBorders>
              <w:bottom w:val="single" w:sz="12" w:space="0" w:color="auto"/>
            </w:tcBorders>
            <w:shd w:val="clear" w:color="auto" w:fill="auto"/>
          </w:tcPr>
          <w:p w:rsidR="006C3438" w:rsidRPr="004A5227" w:rsidRDefault="006C3438" w:rsidP="002A71A7">
            <w:pPr>
              <w:pStyle w:val="Tabletext"/>
            </w:pPr>
            <w:r w:rsidRPr="004A5227">
              <w:t>8</w:t>
            </w:r>
          </w:p>
        </w:tc>
        <w:tc>
          <w:tcPr>
            <w:tcW w:w="3216" w:type="dxa"/>
            <w:tcBorders>
              <w:bottom w:val="single" w:sz="12" w:space="0" w:color="auto"/>
            </w:tcBorders>
            <w:shd w:val="clear" w:color="auto" w:fill="auto"/>
          </w:tcPr>
          <w:p w:rsidR="006C3438" w:rsidRPr="004A5227" w:rsidRDefault="006C3438" w:rsidP="002A71A7">
            <w:pPr>
              <w:pStyle w:val="Tabletext"/>
            </w:pPr>
            <w:r w:rsidRPr="004A5227">
              <w:t>Yes</w:t>
            </w:r>
          </w:p>
        </w:tc>
      </w:tr>
    </w:tbl>
    <w:p w:rsidR="001A6E69" w:rsidRPr="004A5227" w:rsidRDefault="001A6E69" w:rsidP="0037652C">
      <w:pPr>
        <w:pStyle w:val="ActHead1"/>
        <w:pageBreakBefore/>
      </w:pPr>
      <w:bookmarkStart w:id="201" w:name="_Toc413419199"/>
      <w:r w:rsidRPr="004A5227">
        <w:rPr>
          <w:rStyle w:val="CharChapNo"/>
        </w:rPr>
        <w:lastRenderedPageBreak/>
        <w:t>Schedule</w:t>
      </w:r>
      <w:r w:rsidR="004A5227" w:rsidRPr="004A5227">
        <w:rPr>
          <w:rStyle w:val="CharChapNo"/>
        </w:rPr>
        <w:t> </w:t>
      </w:r>
      <w:r w:rsidR="00790A2E" w:rsidRPr="004A5227">
        <w:rPr>
          <w:rStyle w:val="CharChapNo"/>
        </w:rPr>
        <w:t>5</w:t>
      </w:r>
      <w:r w:rsidRPr="004A5227">
        <w:t>—</w:t>
      </w:r>
      <w:r w:rsidRPr="004A5227">
        <w:rPr>
          <w:rStyle w:val="CharChapText"/>
        </w:rPr>
        <w:t>Special services numbers</w:t>
      </w:r>
      <w:bookmarkEnd w:id="201"/>
    </w:p>
    <w:p w:rsidR="001A6E69" w:rsidRPr="004A5227" w:rsidRDefault="001A6E69" w:rsidP="001A6E69">
      <w:pPr>
        <w:pStyle w:val="notemargin"/>
      </w:pPr>
      <w:r w:rsidRPr="004A5227">
        <w:t>Note:</w:t>
      </w:r>
      <w:r w:rsidR="00980E0C" w:rsidRPr="004A5227">
        <w:tab/>
      </w:r>
      <w:r w:rsidR="00D86814" w:rsidRPr="004A5227">
        <w:t>S</w:t>
      </w:r>
      <w:r w:rsidRPr="004A5227">
        <w:t>ee sections</w:t>
      </w:r>
      <w:r w:rsidR="004A5227" w:rsidRPr="004A5227">
        <w:t> </w:t>
      </w:r>
      <w:r w:rsidR="00CA6815" w:rsidRPr="004A5227">
        <w:t>31</w:t>
      </w:r>
      <w:r w:rsidR="000F0EF0" w:rsidRPr="004A5227">
        <w:t xml:space="preserve">, </w:t>
      </w:r>
      <w:r w:rsidR="00CA6815" w:rsidRPr="004A5227">
        <w:t>32</w:t>
      </w:r>
      <w:r w:rsidR="000F0EF0" w:rsidRPr="004A5227">
        <w:t xml:space="preserve"> and 41</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1A6E69" w:rsidRPr="004A5227" w:rsidRDefault="001A6E69" w:rsidP="001A6E69">
      <w:pPr>
        <w:pStyle w:val="ActHead5"/>
      </w:pPr>
      <w:bookmarkStart w:id="202" w:name="_Toc413419200"/>
      <w:r w:rsidRPr="004A5227">
        <w:rPr>
          <w:rStyle w:val="CharSectno"/>
        </w:rPr>
        <w:t>1</w:t>
      </w:r>
      <w:r w:rsidRPr="004A5227">
        <w:t xml:space="preserve">  </w:t>
      </w:r>
      <w:r w:rsidR="00D86814" w:rsidRPr="004A5227">
        <w:t>S</w:t>
      </w:r>
      <w:r w:rsidRPr="004A5227">
        <w:t>pecial services numbers that are not shared</w:t>
      </w:r>
      <w:bookmarkEnd w:id="202"/>
    </w:p>
    <w:p w:rsidR="001A6E69" w:rsidRPr="004A5227" w:rsidRDefault="001A6E69" w:rsidP="00067FDC">
      <w:pPr>
        <w:pStyle w:val="subsection"/>
      </w:pPr>
      <w:r w:rsidRPr="004A5227">
        <w:tab/>
      </w:r>
      <w:r w:rsidRPr="004A5227">
        <w:tab/>
        <w:t>The following table sets out the form of special services numbers that are not shared numbers, and provides information on the way in</w:t>
      </w:r>
      <w:r w:rsidR="00067FDC" w:rsidRPr="004A5227">
        <w:t xml:space="preserve"> which the numbers can be used.</w:t>
      </w:r>
    </w:p>
    <w:p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628"/>
        <w:gridCol w:w="1701"/>
        <w:gridCol w:w="1231"/>
      </w:tblGrid>
      <w:tr w:rsidR="001A6E69" w:rsidRPr="004A5227" w:rsidTr="002A71A7">
        <w:trPr>
          <w:tblHeader/>
        </w:trPr>
        <w:tc>
          <w:tcPr>
            <w:tcW w:w="8314" w:type="dxa"/>
            <w:gridSpan w:val="6"/>
            <w:tcBorders>
              <w:top w:val="single" w:sz="12" w:space="0" w:color="auto"/>
              <w:bottom w:val="single" w:sz="6" w:space="0" w:color="auto"/>
            </w:tcBorders>
            <w:shd w:val="clear" w:color="auto" w:fill="auto"/>
          </w:tcPr>
          <w:p w:rsidR="001A6E69" w:rsidRPr="004A5227" w:rsidRDefault="001A6E69" w:rsidP="002A71A7">
            <w:pPr>
              <w:pStyle w:val="TableHeading"/>
            </w:pPr>
            <w:r w:rsidRPr="004A5227">
              <w:t>Special services numbers (not shared)</w:t>
            </w:r>
          </w:p>
        </w:tc>
      </w:tr>
      <w:tr w:rsidR="001A6E69" w:rsidRPr="004A5227" w:rsidTr="002A71A7">
        <w:trPr>
          <w:tblHeader/>
        </w:trPr>
        <w:tc>
          <w:tcPr>
            <w:tcW w:w="714"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Item</w:t>
            </w:r>
          </w:p>
        </w:tc>
        <w:tc>
          <w:tcPr>
            <w:tcW w:w="1520"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1</w:t>
            </w:r>
          </w:p>
          <w:p w:rsidR="001A6E69" w:rsidRPr="004A5227" w:rsidRDefault="001A6E69" w:rsidP="002A71A7">
            <w:pPr>
              <w:pStyle w:val="TableHeading"/>
            </w:pPr>
            <w:r w:rsidRPr="004A5227">
              <w:t>First digits</w:t>
            </w:r>
          </w:p>
        </w:tc>
        <w:tc>
          <w:tcPr>
            <w:tcW w:w="1520"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2</w:t>
            </w:r>
          </w:p>
          <w:p w:rsidR="001A6E69" w:rsidRPr="004A5227" w:rsidRDefault="001A6E69" w:rsidP="002A71A7">
            <w:pPr>
              <w:pStyle w:val="TableHeading"/>
            </w:pPr>
            <w:r w:rsidRPr="004A5227">
              <w:t>Number of digits</w:t>
            </w:r>
          </w:p>
        </w:tc>
        <w:tc>
          <w:tcPr>
            <w:tcW w:w="1628"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3</w:t>
            </w:r>
          </w:p>
          <w:p w:rsidR="001A6E69" w:rsidRPr="004A5227" w:rsidRDefault="001A6E69" w:rsidP="002A71A7">
            <w:pPr>
              <w:pStyle w:val="TableHeading"/>
            </w:pPr>
            <w:r w:rsidRPr="004A5227">
              <w:t>Type of service</w:t>
            </w:r>
          </w:p>
        </w:tc>
        <w:tc>
          <w:tcPr>
            <w:tcW w:w="1701"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4</w:t>
            </w:r>
          </w:p>
          <w:p w:rsidR="001A6E69" w:rsidRPr="004A5227" w:rsidRDefault="001A6E69" w:rsidP="002A71A7">
            <w:pPr>
              <w:pStyle w:val="TableHeading"/>
            </w:pPr>
            <w:r w:rsidRPr="004A5227">
              <w:t>Is incoming international access available?</w:t>
            </w:r>
          </w:p>
        </w:tc>
        <w:tc>
          <w:tcPr>
            <w:tcW w:w="1231" w:type="dxa"/>
            <w:tcBorders>
              <w:top w:val="single" w:sz="6" w:space="0" w:color="auto"/>
              <w:bottom w:val="single" w:sz="12" w:space="0" w:color="auto"/>
            </w:tcBorders>
            <w:shd w:val="clear" w:color="auto" w:fill="auto"/>
          </w:tcPr>
          <w:p w:rsidR="001A6E69" w:rsidRPr="004A5227" w:rsidRDefault="001A6E69" w:rsidP="002A71A7">
            <w:pPr>
              <w:pStyle w:val="TableHeading"/>
            </w:pPr>
            <w:r w:rsidRPr="004A5227">
              <w:t>Column 5</w:t>
            </w:r>
          </w:p>
          <w:p w:rsidR="001A6E69" w:rsidRPr="004A5227" w:rsidRDefault="001A6E69" w:rsidP="002A71A7">
            <w:pPr>
              <w:pStyle w:val="TableHeading"/>
            </w:pPr>
            <w:r w:rsidRPr="004A5227">
              <w:t>Low charge number?</w:t>
            </w:r>
          </w:p>
        </w:tc>
      </w:tr>
      <w:tr w:rsidR="001A6E69" w:rsidRPr="004A5227" w:rsidTr="002A71A7">
        <w:tc>
          <w:tcPr>
            <w:tcW w:w="714" w:type="dxa"/>
            <w:tcBorders>
              <w:top w:val="single" w:sz="12" w:space="0" w:color="auto"/>
            </w:tcBorders>
            <w:shd w:val="clear" w:color="auto" w:fill="auto"/>
          </w:tcPr>
          <w:p w:rsidR="001A6E69" w:rsidRPr="004A5227" w:rsidRDefault="001A6E69" w:rsidP="002A71A7">
            <w:pPr>
              <w:pStyle w:val="Tabletext"/>
            </w:pPr>
            <w:r w:rsidRPr="004A5227">
              <w:t>1</w:t>
            </w:r>
          </w:p>
        </w:tc>
        <w:tc>
          <w:tcPr>
            <w:tcW w:w="1520" w:type="dxa"/>
            <w:tcBorders>
              <w:top w:val="single" w:sz="12" w:space="0" w:color="auto"/>
            </w:tcBorders>
            <w:shd w:val="clear" w:color="auto" w:fill="auto"/>
          </w:tcPr>
          <w:p w:rsidR="001A6E69" w:rsidRPr="004A5227" w:rsidRDefault="001A6E69" w:rsidP="002A71A7">
            <w:pPr>
              <w:pStyle w:val="Tabletext"/>
            </w:pPr>
            <w:r w:rsidRPr="004A5227">
              <w:t>014</w:t>
            </w:r>
            <w:r w:rsidR="004A5227" w:rsidRPr="004A5227">
              <w:t> </w:t>
            </w:r>
            <w:r w:rsidRPr="004A5227">
              <w:t>1</w:t>
            </w:r>
          </w:p>
        </w:tc>
        <w:tc>
          <w:tcPr>
            <w:tcW w:w="1520" w:type="dxa"/>
            <w:tcBorders>
              <w:top w:val="single" w:sz="12" w:space="0" w:color="auto"/>
            </w:tcBorders>
            <w:shd w:val="clear" w:color="auto" w:fill="auto"/>
          </w:tcPr>
          <w:p w:rsidR="001A6E69" w:rsidRPr="004A5227" w:rsidRDefault="001A6E69" w:rsidP="002A71A7">
            <w:pPr>
              <w:pStyle w:val="Tabletext"/>
            </w:pPr>
            <w:r w:rsidRPr="004A5227">
              <w:t>10</w:t>
            </w:r>
          </w:p>
        </w:tc>
        <w:tc>
          <w:tcPr>
            <w:tcW w:w="1628" w:type="dxa"/>
            <w:tcBorders>
              <w:top w:val="single" w:sz="12" w:space="0" w:color="auto"/>
            </w:tcBorders>
            <w:shd w:val="clear" w:color="auto" w:fill="auto"/>
          </w:tcPr>
          <w:p w:rsidR="001A6E69" w:rsidRPr="004A5227" w:rsidRDefault="001A6E69" w:rsidP="002A71A7">
            <w:pPr>
              <w:pStyle w:val="Tabletext"/>
            </w:pPr>
            <w:r w:rsidRPr="004A5227">
              <w:t>Satellite telephone service</w:t>
            </w:r>
          </w:p>
        </w:tc>
        <w:tc>
          <w:tcPr>
            <w:tcW w:w="1701" w:type="dxa"/>
            <w:tcBorders>
              <w:top w:val="single" w:sz="12" w:space="0" w:color="auto"/>
            </w:tcBorders>
            <w:shd w:val="clear" w:color="auto" w:fill="auto"/>
          </w:tcPr>
          <w:p w:rsidR="001A6E69" w:rsidRPr="004A5227" w:rsidRDefault="001A6E69" w:rsidP="002A71A7">
            <w:pPr>
              <w:pStyle w:val="Tabletext"/>
            </w:pPr>
            <w:r w:rsidRPr="004A5227">
              <w:t>Yes</w:t>
            </w:r>
          </w:p>
        </w:tc>
        <w:tc>
          <w:tcPr>
            <w:tcW w:w="1231" w:type="dxa"/>
            <w:tcBorders>
              <w:top w:val="single" w:sz="12" w:space="0" w:color="auto"/>
            </w:tcBorders>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2</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3</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3</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4</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5</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5</w:t>
            </w:r>
          </w:p>
        </w:tc>
        <w:tc>
          <w:tcPr>
            <w:tcW w:w="1520" w:type="dxa"/>
            <w:shd w:val="clear" w:color="auto" w:fill="auto"/>
          </w:tcPr>
          <w:p w:rsidR="001A6E69" w:rsidRPr="004A5227" w:rsidRDefault="001A6E69" w:rsidP="002A71A7">
            <w:pPr>
              <w:pStyle w:val="Tabletext"/>
            </w:pPr>
            <w:r w:rsidRPr="004A5227">
              <w:t>014</w:t>
            </w:r>
            <w:r w:rsidR="004A5227" w:rsidRPr="004A5227">
              <w:t> </w:t>
            </w:r>
            <w:r w:rsidRPr="004A5227">
              <w:t>7</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Satellite telephone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6</w:t>
            </w:r>
          </w:p>
        </w:tc>
        <w:tc>
          <w:tcPr>
            <w:tcW w:w="1520" w:type="dxa"/>
            <w:shd w:val="clear" w:color="auto" w:fill="auto"/>
          </w:tcPr>
          <w:p w:rsidR="001A6E69" w:rsidRPr="004A5227" w:rsidRDefault="001A6E69" w:rsidP="002A71A7">
            <w:pPr>
              <w:pStyle w:val="Tabletext"/>
            </w:pPr>
            <w:r w:rsidRPr="004A5227">
              <w:t>016</w:t>
            </w:r>
            <w:r w:rsidR="004A5227" w:rsidRPr="004A5227">
              <w:t> </w:t>
            </w:r>
            <w:r w:rsidRPr="004A5227">
              <w:t>3</w:t>
            </w:r>
          </w:p>
        </w:tc>
        <w:tc>
          <w:tcPr>
            <w:tcW w:w="1520" w:type="dxa"/>
            <w:shd w:val="clear" w:color="auto" w:fill="auto"/>
          </w:tcPr>
          <w:p w:rsidR="001A6E69" w:rsidRPr="004A5227" w:rsidRDefault="001A6E69" w:rsidP="002A71A7">
            <w:pPr>
              <w:pStyle w:val="Tabletext"/>
            </w:pPr>
            <w:r w:rsidRPr="004A5227">
              <w:t>9</w:t>
            </w:r>
          </w:p>
        </w:tc>
        <w:tc>
          <w:tcPr>
            <w:tcW w:w="1628" w:type="dxa"/>
            <w:shd w:val="clear" w:color="auto" w:fill="auto"/>
          </w:tcPr>
          <w:p w:rsidR="001A6E69" w:rsidRPr="004A5227" w:rsidRDefault="001A6E69" w:rsidP="002A71A7">
            <w:pPr>
              <w:pStyle w:val="Tabletext"/>
            </w:pPr>
            <w:r w:rsidRPr="004A5227">
              <w:t>Paging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7</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2</w:t>
            </w:r>
          </w:p>
        </w:tc>
        <w:tc>
          <w:tcPr>
            <w:tcW w:w="1520" w:type="dxa"/>
            <w:shd w:val="clear" w:color="auto" w:fill="auto"/>
          </w:tcPr>
          <w:p w:rsidR="001A6E69" w:rsidRPr="004A5227" w:rsidRDefault="001A6E69" w:rsidP="002A71A7">
            <w:pPr>
              <w:pStyle w:val="Tabletext"/>
            </w:pPr>
            <w:r w:rsidRPr="004A5227">
              <w:t>5</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8</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80</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9</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82</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10</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83</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11</w:t>
            </w:r>
          </w:p>
        </w:tc>
        <w:tc>
          <w:tcPr>
            <w:tcW w:w="1520" w:type="dxa"/>
            <w:shd w:val="clear" w:color="auto" w:fill="auto"/>
          </w:tcPr>
          <w:p w:rsidR="001A6E69" w:rsidRPr="004A5227" w:rsidRDefault="001A6E69" w:rsidP="002A71A7">
            <w:pPr>
              <w:pStyle w:val="Tabletext"/>
            </w:pPr>
            <w:r w:rsidRPr="004A5227">
              <w:t>019</w:t>
            </w:r>
            <w:r w:rsidR="004A5227" w:rsidRPr="004A5227">
              <w:t> </w:t>
            </w:r>
            <w:r w:rsidRPr="004A5227">
              <w:t>89</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Data network access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12</w:t>
            </w:r>
          </w:p>
        </w:tc>
        <w:tc>
          <w:tcPr>
            <w:tcW w:w="1520" w:type="dxa"/>
            <w:shd w:val="clear" w:color="auto" w:fill="auto"/>
          </w:tcPr>
          <w:p w:rsidR="001A6E69" w:rsidRPr="004A5227" w:rsidRDefault="001A6E69" w:rsidP="002A71A7">
            <w:pPr>
              <w:pStyle w:val="Tabletext"/>
            </w:pPr>
            <w:r w:rsidRPr="004A5227">
              <w:t>04</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Digital mobile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13</w:t>
            </w:r>
          </w:p>
        </w:tc>
        <w:tc>
          <w:tcPr>
            <w:tcW w:w="1520" w:type="dxa"/>
            <w:shd w:val="clear" w:color="auto" w:fill="auto"/>
          </w:tcPr>
          <w:p w:rsidR="001A6E69" w:rsidRPr="004A5227" w:rsidRDefault="001A6E69" w:rsidP="002A71A7">
            <w:pPr>
              <w:pStyle w:val="Tabletext"/>
            </w:pPr>
            <w:r w:rsidRPr="004A5227">
              <w:t>05 (except 0550)</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Digital mobile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14</w:t>
            </w:r>
          </w:p>
        </w:tc>
        <w:tc>
          <w:tcPr>
            <w:tcW w:w="1520" w:type="dxa"/>
            <w:shd w:val="clear" w:color="auto" w:fill="auto"/>
          </w:tcPr>
          <w:p w:rsidR="001A6E69" w:rsidRPr="004A5227" w:rsidRDefault="001A6E69" w:rsidP="002A71A7">
            <w:pPr>
              <w:pStyle w:val="Tabletext"/>
            </w:pPr>
            <w:r w:rsidRPr="004A5227">
              <w:t>0550</w:t>
            </w:r>
          </w:p>
        </w:tc>
        <w:tc>
          <w:tcPr>
            <w:tcW w:w="1520" w:type="dxa"/>
            <w:shd w:val="clear" w:color="auto" w:fill="auto"/>
          </w:tcPr>
          <w:p w:rsidR="001A6E69" w:rsidRPr="004A5227" w:rsidRDefault="001A6E69" w:rsidP="002A71A7">
            <w:pPr>
              <w:pStyle w:val="Tabletext"/>
            </w:pPr>
            <w:r w:rsidRPr="004A5227">
              <w:t>10</w:t>
            </w:r>
          </w:p>
        </w:tc>
        <w:tc>
          <w:tcPr>
            <w:tcW w:w="1628" w:type="dxa"/>
            <w:shd w:val="clear" w:color="auto" w:fill="auto"/>
          </w:tcPr>
          <w:p w:rsidR="001A6E69" w:rsidRPr="004A5227" w:rsidRDefault="001A6E69" w:rsidP="002A71A7">
            <w:pPr>
              <w:pStyle w:val="Tabletext"/>
            </w:pPr>
            <w:r w:rsidRPr="004A5227">
              <w:t>Location independent communications service</w:t>
            </w:r>
          </w:p>
        </w:tc>
        <w:tc>
          <w:tcPr>
            <w:tcW w:w="1701" w:type="dxa"/>
            <w:shd w:val="clear" w:color="auto" w:fill="auto"/>
          </w:tcPr>
          <w:p w:rsidR="001A6E69" w:rsidRPr="004A5227" w:rsidRDefault="001A6E69" w:rsidP="002A71A7">
            <w:pPr>
              <w:pStyle w:val="Tabletext"/>
            </w:pPr>
            <w:r w:rsidRPr="004A5227">
              <w:t>Yes</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15</w:t>
            </w:r>
          </w:p>
        </w:tc>
        <w:tc>
          <w:tcPr>
            <w:tcW w:w="1520" w:type="dxa"/>
            <w:shd w:val="clear" w:color="auto" w:fill="auto"/>
          </w:tcPr>
          <w:p w:rsidR="001A6E69" w:rsidRPr="004A5227" w:rsidRDefault="001A6E69" w:rsidP="002A71A7">
            <w:pPr>
              <w:pStyle w:val="Tabletext"/>
            </w:pPr>
            <w:r w:rsidRPr="004A5227">
              <w:t>11</w:t>
            </w:r>
            <w:r w:rsidR="004A5227" w:rsidRPr="004A5227">
              <w:t> </w:t>
            </w:r>
            <w:r w:rsidRPr="004A5227">
              <w:t>00</w:t>
            </w:r>
          </w:p>
        </w:tc>
        <w:tc>
          <w:tcPr>
            <w:tcW w:w="1520" w:type="dxa"/>
            <w:shd w:val="clear" w:color="auto" w:fill="auto"/>
          </w:tcPr>
          <w:p w:rsidR="001A6E69" w:rsidRPr="004A5227" w:rsidRDefault="001A6E69" w:rsidP="002A71A7">
            <w:pPr>
              <w:pStyle w:val="Tabletext"/>
            </w:pPr>
            <w:r w:rsidRPr="004A5227">
              <w:t>4</w:t>
            </w:r>
          </w:p>
        </w:tc>
        <w:tc>
          <w:tcPr>
            <w:tcW w:w="1628" w:type="dxa"/>
            <w:shd w:val="clear" w:color="auto" w:fill="auto"/>
          </w:tcPr>
          <w:p w:rsidR="001A6E69" w:rsidRPr="004A5227" w:rsidRDefault="001A6E69" w:rsidP="002A71A7">
            <w:pPr>
              <w:pStyle w:val="Tabletext"/>
            </w:pPr>
            <w:r w:rsidRPr="004A5227">
              <w:t>Community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16</w:t>
            </w:r>
          </w:p>
        </w:tc>
        <w:tc>
          <w:tcPr>
            <w:tcW w:w="1520" w:type="dxa"/>
            <w:shd w:val="clear" w:color="auto" w:fill="auto"/>
          </w:tcPr>
          <w:p w:rsidR="001A6E69" w:rsidRPr="004A5227" w:rsidRDefault="001A6E69" w:rsidP="002A71A7">
            <w:pPr>
              <w:pStyle w:val="Tabletext"/>
            </w:pPr>
            <w:r w:rsidRPr="004A5227">
              <w:t>11</w:t>
            </w:r>
            <w:r w:rsidR="004A5227" w:rsidRPr="004A5227">
              <w:t> </w:t>
            </w:r>
            <w:r w:rsidRPr="004A5227">
              <w:t>9</w:t>
            </w:r>
          </w:p>
        </w:tc>
        <w:tc>
          <w:tcPr>
            <w:tcW w:w="1520" w:type="dxa"/>
            <w:shd w:val="clear" w:color="auto" w:fill="auto"/>
          </w:tcPr>
          <w:p w:rsidR="001A6E69" w:rsidRPr="004A5227" w:rsidRDefault="001A6E69" w:rsidP="002A71A7">
            <w:pPr>
              <w:pStyle w:val="Tabletext"/>
            </w:pPr>
            <w:r w:rsidRPr="004A5227">
              <w:t>4</w:t>
            </w:r>
          </w:p>
        </w:tc>
        <w:tc>
          <w:tcPr>
            <w:tcW w:w="1628" w:type="dxa"/>
            <w:shd w:val="clear" w:color="auto" w:fill="auto"/>
          </w:tcPr>
          <w:p w:rsidR="001A6E69" w:rsidRPr="004A5227" w:rsidRDefault="001A6E69" w:rsidP="002A71A7">
            <w:pPr>
              <w:pStyle w:val="Tabletext"/>
            </w:pPr>
            <w:r w:rsidRPr="004A5227">
              <w:t xml:space="preserve">Community </w:t>
            </w:r>
            <w:r w:rsidRPr="004A5227">
              <w:lastRenderedPageBreak/>
              <w:t>service</w:t>
            </w:r>
          </w:p>
        </w:tc>
        <w:tc>
          <w:tcPr>
            <w:tcW w:w="1701" w:type="dxa"/>
            <w:shd w:val="clear" w:color="auto" w:fill="auto"/>
          </w:tcPr>
          <w:p w:rsidR="001A6E69" w:rsidRPr="004A5227" w:rsidRDefault="001A6E69" w:rsidP="002A71A7">
            <w:pPr>
              <w:pStyle w:val="Tabletext"/>
            </w:pPr>
            <w:r w:rsidRPr="004A5227">
              <w:lastRenderedPageBreak/>
              <w:t>No</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lastRenderedPageBreak/>
              <w:t>17</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4</w:t>
            </w:r>
          </w:p>
        </w:tc>
        <w:tc>
          <w:tcPr>
            <w:tcW w:w="1520" w:type="dxa"/>
            <w:shd w:val="clear" w:color="auto" w:fill="auto"/>
          </w:tcPr>
          <w:p w:rsidR="001A6E69" w:rsidRPr="004A5227" w:rsidRDefault="00565631" w:rsidP="00565631">
            <w:pPr>
              <w:pStyle w:val="Tabletext"/>
            </w:pPr>
            <w:r w:rsidRPr="004A5227">
              <w:t>5 to 7</w:t>
            </w:r>
          </w:p>
        </w:tc>
        <w:tc>
          <w:tcPr>
            <w:tcW w:w="1628" w:type="dxa"/>
            <w:shd w:val="clear" w:color="auto" w:fill="auto"/>
          </w:tcPr>
          <w:p w:rsidR="001A6E69" w:rsidRPr="004A5227" w:rsidRDefault="001A6E69" w:rsidP="002A71A7">
            <w:pPr>
              <w:pStyle w:val="Tabletext"/>
            </w:pPr>
            <w:r w:rsidRPr="004A5227">
              <w:t>Operator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18</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5</w:t>
            </w:r>
          </w:p>
        </w:tc>
        <w:tc>
          <w:tcPr>
            <w:tcW w:w="1520" w:type="dxa"/>
            <w:shd w:val="clear" w:color="auto" w:fill="auto"/>
          </w:tcPr>
          <w:p w:rsidR="001A6E69" w:rsidRPr="004A5227" w:rsidRDefault="00565631" w:rsidP="00565631">
            <w:pPr>
              <w:pStyle w:val="Tabletext"/>
            </w:pPr>
            <w:r w:rsidRPr="004A5227">
              <w:t>5 to 7</w:t>
            </w:r>
          </w:p>
        </w:tc>
        <w:tc>
          <w:tcPr>
            <w:tcW w:w="1628" w:type="dxa"/>
            <w:shd w:val="clear" w:color="auto" w:fill="auto"/>
          </w:tcPr>
          <w:p w:rsidR="001A6E69" w:rsidRPr="004A5227" w:rsidRDefault="001A6E69" w:rsidP="002A71A7">
            <w:pPr>
              <w:pStyle w:val="Tabletext"/>
            </w:pPr>
            <w:r w:rsidRPr="004A5227">
              <w:t>Operator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Yes</w:t>
            </w:r>
          </w:p>
        </w:tc>
      </w:tr>
      <w:tr w:rsidR="001A6E69" w:rsidRPr="004A5227" w:rsidTr="002A71A7">
        <w:tc>
          <w:tcPr>
            <w:tcW w:w="714" w:type="dxa"/>
            <w:shd w:val="clear" w:color="auto" w:fill="auto"/>
          </w:tcPr>
          <w:p w:rsidR="001A6E69" w:rsidRPr="004A5227" w:rsidRDefault="001A6E69" w:rsidP="002A71A7">
            <w:pPr>
              <w:pStyle w:val="Tabletext"/>
            </w:pPr>
            <w:r w:rsidRPr="004A5227">
              <w:t>19</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61</w:t>
            </w:r>
          </w:p>
        </w:tc>
        <w:tc>
          <w:tcPr>
            <w:tcW w:w="1520" w:type="dxa"/>
            <w:shd w:val="clear" w:color="auto" w:fill="auto"/>
          </w:tcPr>
          <w:p w:rsidR="001A6E69" w:rsidRPr="004A5227" w:rsidRDefault="00565631" w:rsidP="00565631">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20</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62</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21</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63</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22</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64</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23</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65</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24</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66</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25</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67</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shd w:val="clear" w:color="auto" w:fill="auto"/>
          </w:tcPr>
          <w:p w:rsidR="001A6E69" w:rsidRPr="004A5227" w:rsidRDefault="001A6E69" w:rsidP="002A71A7">
            <w:pPr>
              <w:pStyle w:val="Tabletext"/>
            </w:pPr>
            <w:r w:rsidRPr="004A5227">
              <w:t>26</w:t>
            </w:r>
          </w:p>
        </w:tc>
        <w:tc>
          <w:tcPr>
            <w:tcW w:w="1520" w:type="dxa"/>
            <w:shd w:val="clear" w:color="auto" w:fill="auto"/>
          </w:tcPr>
          <w:p w:rsidR="001A6E69" w:rsidRPr="004A5227" w:rsidRDefault="001A6E69" w:rsidP="002A71A7">
            <w:pPr>
              <w:pStyle w:val="Tabletext"/>
            </w:pPr>
            <w:r w:rsidRPr="004A5227">
              <w:t>12</w:t>
            </w:r>
            <w:r w:rsidR="004A5227" w:rsidRPr="004A5227">
              <w:t> </w:t>
            </w:r>
            <w:r w:rsidRPr="004A5227">
              <w:t>68</w:t>
            </w:r>
          </w:p>
        </w:tc>
        <w:tc>
          <w:tcPr>
            <w:tcW w:w="1520" w:type="dxa"/>
            <w:shd w:val="clear" w:color="auto" w:fill="auto"/>
          </w:tcPr>
          <w:p w:rsidR="001A6E69" w:rsidRPr="004A5227" w:rsidRDefault="001A6E69" w:rsidP="002A71A7">
            <w:pPr>
              <w:pStyle w:val="Tabletext"/>
            </w:pPr>
            <w:r w:rsidRPr="004A5227">
              <w:t>4 to 10</w:t>
            </w:r>
          </w:p>
        </w:tc>
        <w:tc>
          <w:tcPr>
            <w:tcW w:w="1628" w:type="dxa"/>
            <w:shd w:val="clear" w:color="auto" w:fill="auto"/>
          </w:tcPr>
          <w:p w:rsidR="001A6E69" w:rsidRPr="004A5227" w:rsidRDefault="001A6E69" w:rsidP="002A71A7">
            <w:pPr>
              <w:pStyle w:val="Tabletext"/>
            </w:pPr>
            <w:r w:rsidRPr="004A5227">
              <w:t>Internal network service</w:t>
            </w:r>
          </w:p>
        </w:tc>
        <w:tc>
          <w:tcPr>
            <w:tcW w:w="1701" w:type="dxa"/>
            <w:shd w:val="clear" w:color="auto" w:fill="auto"/>
          </w:tcPr>
          <w:p w:rsidR="001A6E69" w:rsidRPr="004A5227" w:rsidRDefault="001A6E69" w:rsidP="002A71A7">
            <w:pPr>
              <w:pStyle w:val="Tabletext"/>
            </w:pPr>
            <w:r w:rsidRPr="004A5227">
              <w:t>No</w:t>
            </w:r>
          </w:p>
        </w:tc>
        <w:tc>
          <w:tcPr>
            <w:tcW w:w="1231" w:type="dxa"/>
            <w:shd w:val="clear" w:color="auto" w:fill="auto"/>
          </w:tcPr>
          <w:p w:rsidR="001A6E69" w:rsidRPr="004A5227" w:rsidRDefault="001A6E69" w:rsidP="002A71A7">
            <w:pPr>
              <w:pStyle w:val="Tabletext"/>
            </w:pPr>
            <w:r w:rsidRPr="004A5227">
              <w:t>No</w:t>
            </w:r>
          </w:p>
        </w:tc>
      </w:tr>
      <w:tr w:rsidR="001A6E69" w:rsidRPr="004A5227" w:rsidTr="002A71A7">
        <w:tc>
          <w:tcPr>
            <w:tcW w:w="714" w:type="dxa"/>
            <w:tcBorders>
              <w:bottom w:val="single" w:sz="4" w:space="0" w:color="auto"/>
            </w:tcBorders>
            <w:shd w:val="clear" w:color="auto" w:fill="auto"/>
          </w:tcPr>
          <w:p w:rsidR="001A6E69" w:rsidRPr="004A5227" w:rsidRDefault="001A6E69" w:rsidP="002A71A7">
            <w:pPr>
              <w:pStyle w:val="Tabletext"/>
            </w:pPr>
            <w:r w:rsidRPr="004A5227">
              <w:t>27</w:t>
            </w:r>
          </w:p>
        </w:tc>
        <w:tc>
          <w:tcPr>
            <w:tcW w:w="1520" w:type="dxa"/>
            <w:tcBorders>
              <w:bottom w:val="single" w:sz="4" w:space="0" w:color="auto"/>
            </w:tcBorders>
            <w:shd w:val="clear" w:color="auto" w:fill="auto"/>
          </w:tcPr>
          <w:p w:rsidR="001A6E69" w:rsidRPr="004A5227" w:rsidRDefault="001A6E69" w:rsidP="002A71A7">
            <w:pPr>
              <w:pStyle w:val="Tabletext"/>
            </w:pPr>
            <w:r w:rsidRPr="004A5227">
              <w:t>12</w:t>
            </w:r>
            <w:r w:rsidR="004A5227" w:rsidRPr="004A5227">
              <w:t> </w:t>
            </w:r>
            <w:r w:rsidRPr="004A5227">
              <w:t>72</w:t>
            </w:r>
          </w:p>
        </w:tc>
        <w:tc>
          <w:tcPr>
            <w:tcW w:w="1520" w:type="dxa"/>
            <w:tcBorders>
              <w:bottom w:val="single" w:sz="4" w:space="0" w:color="auto"/>
            </w:tcBorders>
            <w:shd w:val="clear" w:color="auto" w:fill="auto"/>
          </w:tcPr>
          <w:p w:rsidR="001A6E69" w:rsidRPr="004A5227" w:rsidRDefault="00565631" w:rsidP="00565631">
            <w:pPr>
              <w:pStyle w:val="Tabletext"/>
            </w:pPr>
            <w:r w:rsidRPr="004A5227">
              <w:t>6 to 10</w:t>
            </w:r>
          </w:p>
        </w:tc>
        <w:tc>
          <w:tcPr>
            <w:tcW w:w="1628" w:type="dxa"/>
            <w:tcBorders>
              <w:bottom w:val="single" w:sz="4" w:space="0" w:color="auto"/>
            </w:tcBorders>
            <w:shd w:val="clear" w:color="auto" w:fill="auto"/>
          </w:tcPr>
          <w:p w:rsidR="001A6E69" w:rsidRPr="004A5227" w:rsidRDefault="001A6E69" w:rsidP="002A71A7">
            <w:pPr>
              <w:pStyle w:val="Tabletext"/>
            </w:pPr>
            <w:r w:rsidRPr="004A5227">
              <w:t>Testing service</w:t>
            </w:r>
          </w:p>
        </w:tc>
        <w:tc>
          <w:tcPr>
            <w:tcW w:w="1701" w:type="dxa"/>
            <w:tcBorders>
              <w:bottom w:val="single" w:sz="4" w:space="0" w:color="auto"/>
            </w:tcBorders>
            <w:shd w:val="clear" w:color="auto" w:fill="auto"/>
          </w:tcPr>
          <w:p w:rsidR="001A6E69" w:rsidRPr="004A5227" w:rsidRDefault="001A6E69" w:rsidP="002A71A7">
            <w:pPr>
              <w:pStyle w:val="Tabletext"/>
            </w:pPr>
            <w:r w:rsidRPr="004A5227">
              <w:t>No</w:t>
            </w:r>
          </w:p>
        </w:tc>
        <w:tc>
          <w:tcPr>
            <w:tcW w:w="1231" w:type="dxa"/>
            <w:tcBorders>
              <w:bottom w:val="single" w:sz="4" w:space="0" w:color="auto"/>
            </w:tcBorders>
            <w:shd w:val="clear" w:color="auto" w:fill="auto"/>
          </w:tcPr>
          <w:p w:rsidR="001A6E69" w:rsidRPr="004A5227" w:rsidRDefault="001A6E69" w:rsidP="002A71A7">
            <w:pPr>
              <w:pStyle w:val="Tabletext"/>
            </w:pPr>
            <w:r w:rsidRPr="004A5227">
              <w:t>Yes</w:t>
            </w:r>
          </w:p>
        </w:tc>
      </w:tr>
      <w:tr w:rsidR="001A6E69" w:rsidRPr="004A5227" w:rsidTr="002A71A7">
        <w:tc>
          <w:tcPr>
            <w:tcW w:w="714" w:type="dxa"/>
            <w:tcBorders>
              <w:bottom w:val="single" w:sz="12" w:space="0" w:color="auto"/>
            </w:tcBorders>
            <w:shd w:val="clear" w:color="auto" w:fill="auto"/>
          </w:tcPr>
          <w:p w:rsidR="001A6E69" w:rsidRPr="004A5227" w:rsidRDefault="001A6E69" w:rsidP="002A71A7">
            <w:pPr>
              <w:pStyle w:val="Tabletext"/>
            </w:pPr>
            <w:r w:rsidRPr="004A5227">
              <w:t>28</w:t>
            </w:r>
          </w:p>
        </w:tc>
        <w:tc>
          <w:tcPr>
            <w:tcW w:w="1520" w:type="dxa"/>
            <w:tcBorders>
              <w:bottom w:val="single" w:sz="12" w:space="0" w:color="auto"/>
            </w:tcBorders>
            <w:shd w:val="clear" w:color="auto" w:fill="auto"/>
          </w:tcPr>
          <w:p w:rsidR="001A6E69" w:rsidRPr="004A5227" w:rsidRDefault="001A6E69" w:rsidP="002A71A7">
            <w:pPr>
              <w:pStyle w:val="Tabletext"/>
            </w:pPr>
            <w:r w:rsidRPr="004A5227">
              <w:t>18</w:t>
            </w:r>
            <w:r w:rsidR="004A5227" w:rsidRPr="004A5227">
              <w:t> </w:t>
            </w:r>
            <w:r w:rsidRPr="004A5227">
              <w:t>9</w:t>
            </w:r>
          </w:p>
        </w:tc>
        <w:tc>
          <w:tcPr>
            <w:tcW w:w="1520" w:type="dxa"/>
            <w:tcBorders>
              <w:bottom w:val="single" w:sz="12" w:space="0" w:color="auto"/>
            </w:tcBorders>
            <w:shd w:val="clear" w:color="auto" w:fill="auto"/>
          </w:tcPr>
          <w:p w:rsidR="001A6E69" w:rsidRPr="004A5227" w:rsidRDefault="001A6E69" w:rsidP="002A71A7">
            <w:pPr>
              <w:pStyle w:val="Tabletext"/>
            </w:pPr>
            <w:r w:rsidRPr="004A5227">
              <w:t>5</w:t>
            </w:r>
          </w:p>
        </w:tc>
        <w:tc>
          <w:tcPr>
            <w:tcW w:w="1628" w:type="dxa"/>
            <w:tcBorders>
              <w:bottom w:val="single" w:sz="12" w:space="0" w:color="auto"/>
            </w:tcBorders>
            <w:shd w:val="clear" w:color="auto" w:fill="auto"/>
          </w:tcPr>
          <w:p w:rsidR="001A6E69" w:rsidRPr="004A5227" w:rsidRDefault="001A6E69" w:rsidP="002A71A7">
            <w:pPr>
              <w:pStyle w:val="Tabletext"/>
            </w:pPr>
            <w:r w:rsidRPr="004A5227">
              <w:t>Calling card service</w:t>
            </w:r>
          </w:p>
        </w:tc>
        <w:tc>
          <w:tcPr>
            <w:tcW w:w="1701" w:type="dxa"/>
            <w:tcBorders>
              <w:bottom w:val="single" w:sz="12" w:space="0" w:color="auto"/>
            </w:tcBorders>
            <w:shd w:val="clear" w:color="auto" w:fill="auto"/>
          </w:tcPr>
          <w:p w:rsidR="001A6E69" w:rsidRPr="004A5227" w:rsidRDefault="001A6E69" w:rsidP="002A71A7">
            <w:pPr>
              <w:pStyle w:val="Tabletext"/>
            </w:pPr>
            <w:r w:rsidRPr="004A5227">
              <w:t>No</w:t>
            </w:r>
          </w:p>
        </w:tc>
        <w:tc>
          <w:tcPr>
            <w:tcW w:w="1231" w:type="dxa"/>
            <w:tcBorders>
              <w:bottom w:val="single" w:sz="12" w:space="0" w:color="auto"/>
            </w:tcBorders>
            <w:shd w:val="clear" w:color="auto" w:fill="auto"/>
          </w:tcPr>
          <w:p w:rsidR="001A6E69" w:rsidRPr="004A5227" w:rsidRDefault="001A6E69" w:rsidP="002A71A7">
            <w:pPr>
              <w:pStyle w:val="Tabletext"/>
            </w:pPr>
            <w:r w:rsidRPr="004A5227">
              <w:t>Yes</w:t>
            </w:r>
          </w:p>
        </w:tc>
      </w:tr>
    </w:tbl>
    <w:p w:rsidR="001A6E69" w:rsidRPr="004A5227" w:rsidRDefault="001A6E69" w:rsidP="001A6E69">
      <w:pPr>
        <w:pStyle w:val="ActHead5"/>
      </w:pPr>
      <w:bookmarkStart w:id="203" w:name="_Toc413419201"/>
      <w:r w:rsidRPr="004A5227">
        <w:rPr>
          <w:rStyle w:val="CharSectno"/>
        </w:rPr>
        <w:t>2</w:t>
      </w:r>
      <w:r w:rsidRPr="004A5227">
        <w:t xml:space="preserve">  </w:t>
      </w:r>
      <w:r w:rsidR="00D86814" w:rsidRPr="004A5227">
        <w:t>S</w:t>
      </w:r>
      <w:r w:rsidRPr="004A5227">
        <w:t>pecial services numbers that are shared</w:t>
      </w:r>
      <w:bookmarkEnd w:id="203"/>
    </w:p>
    <w:p w:rsidR="001A6E69" w:rsidRPr="004A5227" w:rsidRDefault="001A6E69" w:rsidP="001A6E69">
      <w:pPr>
        <w:pStyle w:val="subsection"/>
      </w:pPr>
      <w:r w:rsidRPr="004A5227">
        <w:tab/>
      </w:r>
      <w:r w:rsidRPr="004A5227">
        <w:tab/>
        <w:t>The following table sets out the form of special services numbers that are shared numbers, and provides information on the way in which the numbers can be used.</w:t>
      </w:r>
    </w:p>
    <w:p w:rsidR="00B41481" w:rsidRPr="004A5227" w:rsidRDefault="00B41481" w:rsidP="00B414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124"/>
        <w:gridCol w:w="1134"/>
        <w:gridCol w:w="1701"/>
        <w:gridCol w:w="1418"/>
        <w:gridCol w:w="1134"/>
        <w:gridCol w:w="1089"/>
      </w:tblGrid>
      <w:tr w:rsidR="001A6E69" w:rsidRPr="004A5227" w:rsidTr="000224CB">
        <w:trPr>
          <w:tblHeader/>
        </w:trPr>
        <w:tc>
          <w:tcPr>
            <w:tcW w:w="8314" w:type="dxa"/>
            <w:gridSpan w:val="7"/>
            <w:tcBorders>
              <w:top w:val="single" w:sz="12" w:space="0" w:color="auto"/>
              <w:bottom w:val="single" w:sz="6" w:space="0" w:color="auto"/>
            </w:tcBorders>
            <w:shd w:val="clear" w:color="auto" w:fill="auto"/>
          </w:tcPr>
          <w:p w:rsidR="001A6E69" w:rsidRPr="004A5227" w:rsidRDefault="001A6E69" w:rsidP="00D00F96">
            <w:pPr>
              <w:pStyle w:val="TableHeading"/>
            </w:pPr>
            <w:r w:rsidRPr="004A5227">
              <w:t>Special services numbers (shared)</w:t>
            </w:r>
          </w:p>
        </w:tc>
      </w:tr>
      <w:tr w:rsidR="001A6E69" w:rsidRPr="004A5227" w:rsidTr="000224CB">
        <w:trPr>
          <w:tblHeader/>
        </w:trPr>
        <w:tc>
          <w:tcPr>
            <w:tcW w:w="71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Item</w:t>
            </w:r>
          </w:p>
        </w:tc>
        <w:tc>
          <w:tcPr>
            <w:tcW w:w="112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1</w:t>
            </w:r>
          </w:p>
          <w:p w:rsidR="001A6E69" w:rsidRPr="004A5227" w:rsidRDefault="001A6E69" w:rsidP="00D00F96">
            <w:pPr>
              <w:pStyle w:val="TableHeading"/>
            </w:pPr>
            <w:r w:rsidRPr="004A5227">
              <w:t>First digits</w:t>
            </w:r>
          </w:p>
        </w:tc>
        <w:tc>
          <w:tcPr>
            <w:tcW w:w="113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2</w:t>
            </w:r>
          </w:p>
          <w:p w:rsidR="001A6E69" w:rsidRPr="004A5227" w:rsidRDefault="001A6E69" w:rsidP="00D00F96">
            <w:pPr>
              <w:pStyle w:val="TableHeading"/>
            </w:pPr>
            <w:r w:rsidRPr="004A5227">
              <w:t>Number of digits</w:t>
            </w:r>
          </w:p>
        </w:tc>
        <w:tc>
          <w:tcPr>
            <w:tcW w:w="1701"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3</w:t>
            </w:r>
          </w:p>
          <w:p w:rsidR="001A6E69" w:rsidRPr="004A5227" w:rsidRDefault="001A6E69" w:rsidP="00D00F96">
            <w:pPr>
              <w:pStyle w:val="TableHeading"/>
            </w:pPr>
            <w:r w:rsidRPr="004A5227">
              <w:t>Type of service</w:t>
            </w:r>
          </w:p>
        </w:tc>
        <w:tc>
          <w:tcPr>
            <w:tcW w:w="1418"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4</w:t>
            </w:r>
          </w:p>
          <w:p w:rsidR="001A6E69" w:rsidRPr="004A5227" w:rsidRDefault="001A6E69" w:rsidP="00D00F96">
            <w:pPr>
              <w:pStyle w:val="TableHeading"/>
            </w:pPr>
            <w:r w:rsidRPr="004A5227">
              <w:t>Is incoming international access available?</w:t>
            </w:r>
          </w:p>
        </w:tc>
        <w:tc>
          <w:tcPr>
            <w:tcW w:w="113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5</w:t>
            </w:r>
          </w:p>
          <w:p w:rsidR="001A6E69" w:rsidRPr="004A5227" w:rsidRDefault="001A6E69" w:rsidP="00D00F96">
            <w:pPr>
              <w:pStyle w:val="TableHeading"/>
            </w:pPr>
            <w:r w:rsidRPr="004A5227">
              <w:t>Low charge number?</w:t>
            </w:r>
          </w:p>
        </w:tc>
        <w:tc>
          <w:tcPr>
            <w:tcW w:w="1089"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6</w:t>
            </w:r>
          </w:p>
          <w:p w:rsidR="001A6E69" w:rsidRPr="004A5227" w:rsidRDefault="001A6E69" w:rsidP="00D00F96">
            <w:pPr>
              <w:pStyle w:val="TableHeading"/>
            </w:pPr>
            <w:r w:rsidRPr="004A5227">
              <w:t>Selectable number?</w:t>
            </w:r>
          </w:p>
        </w:tc>
      </w:tr>
      <w:tr w:rsidR="001A6E69" w:rsidRPr="004A5227" w:rsidTr="000224CB">
        <w:tc>
          <w:tcPr>
            <w:tcW w:w="714" w:type="dxa"/>
            <w:tcBorders>
              <w:top w:val="single" w:sz="12" w:space="0" w:color="auto"/>
            </w:tcBorders>
            <w:shd w:val="clear" w:color="auto" w:fill="auto"/>
          </w:tcPr>
          <w:p w:rsidR="001A6E69" w:rsidRPr="004A5227" w:rsidRDefault="001A6E69" w:rsidP="002A71A7">
            <w:pPr>
              <w:pStyle w:val="Tabletext"/>
            </w:pPr>
            <w:r w:rsidRPr="004A5227">
              <w:t>1</w:t>
            </w:r>
          </w:p>
        </w:tc>
        <w:tc>
          <w:tcPr>
            <w:tcW w:w="1124" w:type="dxa"/>
            <w:tcBorders>
              <w:top w:val="single" w:sz="12" w:space="0" w:color="auto"/>
            </w:tcBorders>
            <w:shd w:val="clear" w:color="auto" w:fill="auto"/>
          </w:tcPr>
          <w:p w:rsidR="001A6E69" w:rsidRPr="004A5227" w:rsidRDefault="001A6E69" w:rsidP="002A71A7">
            <w:pPr>
              <w:pStyle w:val="Tabletext"/>
            </w:pPr>
            <w:r w:rsidRPr="004A5227">
              <w:t>12</w:t>
            </w:r>
            <w:r w:rsidR="004A5227" w:rsidRPr="004A5227">
              <w:t> </w:t>
            </w:r>
            <w:r w:rsidRPr="004A5227">
              <w:t>21</w:t>
            </w:r>
          </w:p>
        </w:tc>
        <w:tc>
          <w:tcPr>
            <w:tcW w:w="1134" w:type="dxa"/>
            <w:tcBorders>
              <w:top w:val="single" w:sz="12" w:space="0" w:color="auto"/>
            </w:tcBorders>
            <w:shd w:val="clear" w:color="auto" w:fill="auto"/>
          </w:tcPr>
          <w:p w:rsidR="001A6E69" w:rsidRPr="004A5227" w:rsidRDefault="001A6E69" w:rsidP="002A71A7">
            <w:pPr>
              <w:pStyle w:val="Tabletext"/>
            </w:pPr>
            <w:r w:rsidRPr="004A5227">
              <w:t>4</w:t>
            </w:r>
          </w:p>
        </w:tc>
        <w:tc>
          <w:tcPr>
            <w:tcW w:w="1701" w:type="dxa"/>
            <w:tcBorders>
              <w:top w:val="single" w:sz="12" w:space="0" w:color="auto"/>
            </w:tcBorders>
            <w:shd w:val="clear" w:color="auto" w:fill="auto"/>
          </w:tcPr>
          <w:p w:rsidR="001A6E69" w:rsidRPr="004A5227" w:rsidRDefault="001A6E69" w:rsidP="002A71A7">
            <w:pPr>
              <w:pStyle w:val="Tabletext"/>
            </w:pPr>
            <w:r w:rsidRPr="004A5227">
              <w:t>International faults and difficulties service</w:t>
            </w:r>
          </w:p>
        </w:tc>
        <w:tc>
          <w:tcPr>
            <w:tcW w:w="1418" w:type="dxa"/>
            <w:tcBorders>
              <w:top w:val="single" w:sz="12" w:space="0" w:color="auto"/>
            </w:tcBorders>
            <w:shd w:val="clear" w:color="auto" w:fill="auto"/>
          </w:tcPr>
          <w:p w:rsidR="001A6E69" w:rsidRPr="004A5227" w:rsidRDefault="001A6E69" w:rsidP="002A71A7">
            <w:pPr>
              <w:pStyle w:val="Tabletext"/>
            </w:pPr>
            <w:r w:rsidRPr="004A5227">
              <w:t>No</w:t>
            </w:r>
          </w:p>
        </w:tc>
        <w:tc>
          <w:tcPr>
            <w:tcW w:w="1134" w:type="dxa"/>
            <w:tcBorders>
              <w:top w:val="single" w:sz="12" w:space="0" w:color="auto"/>
            </w:tcBorders>
            <w:shd w:val="clear" w:color="auto" w:fill="auto"/>
          </w:tcPr>
          <w:p w:rsidR="001A6E69" w:rsidRPr="004A5227" w:rsidRDefault="001A6E69" w:rsidP="002A71A7">
            <w:pPr>
              <w:pStyle w:val="Tabletext"/>
            </w:pPr>
            <w:r w:rsidRPr="004A5227">
              <w:t>Yes</w:t>
            </w:r>
          </w:p>
        </w:tc>
        <w:tc>
          <w:tcPr>
            <w:tcW w:w="1089" w:type="dxa"/>
            <w:tcBorders>
              <w:top w:val="single" w:sz="12" w:space="0" w:color="auto"/>
            </w:tcBorders>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t>2</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22</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 xml:space="preserve">Call costs and enquiries (national and international) </w:t>
            </w:r>
            <w:r w:rsidRPr="004A5227">
              <w:lastRenderedPageBreak/>
              <w:t>service</w:t>
            </w:r>
          </w:p>
        </w:tc>
        <w:tc>
          <w:tcPr>
            <w:tcW w:w="1418" w:type="dxa"/>
            <w:shd w:val="clear" w:color="auto" w:fill="auto"/>
          </w:tcPr>
          <w:p w:rsidR="001A6E69" w:rsidRPr="004A5227" w:rsidRDefault="001A6E69" w:rsidP="002A71A7">
            <w:pPr>
              <w:pStyle w:val="Tabletext"/>
            </w:pPr>
            <w:r w:rsidRPr="004A5227">
              <w:lastRenderedPageBreak/>
              <w:t>No</w:t>
            </w:r>
          </w:p>
        </w:tc>
        <w:tc>
          <w:tcPr>
            <w:tcW w:w="1134" w:type="dxa"/>
            <w:shd w:val="clear" w:color="auto" w:fill="auto"/>
          </w:tcPr>
          <w:p w:rsidR="001A6E69" w:rsidRPr="004A5227" w:rsidRDefault="001A6E69" w:rsidP="002A71A7">
            <w:pPr>
              <w:pStyle w:val="Tabletext"/>
            </w:pPr>
            <w:r w:rsidRPr="004A5227">
              <w:t>Yes</w:t>
            </w:r>
          </w:p>
        </w:tc>
        <w:tc>
          <w:tcPr>
            <w:tcW w:w="1089" w:type="dxa"/>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lastRenderedPageBreak/>
              <w:t>3</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23</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Directory assistance services within the meaning of the Act, or other operator service</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Yes for directory assistance services, no for other services</w:t>
            </w:r>
          </w:p>
        </w:tc>
        <w:tc>
          <w:tcPr>
            <w:tcW w:w="1089" w:type="dxa"/>
            <w:shd w:val="clear" w:color="auto" w:fill="auto"/>
          </w:tcPr>
          <w:p w:rsidR="001A6E69" w:rsidRPr="004A5227" w:rsidRDefault="001A6E69" w:rsidP="002A71A7">
            <w:pPr>
              <w:pStyle w:val="Tabletext"/>
            </w:pPr>
            <w:r w:rsidRPr="004A5227">
              <w:t>No</w:t>
            </w:r>
          </w:p>
        </w:tc>
      </w:tr>
      <w:tr w:rsidR="001A6E69" w:rsidRPr="004A5227" w:rsidTr="000224CB">
        <w:tc>
          <w:tcPr>
            <w:tcW w:w="714" w:type="dxa"/>
            <w:shd w:val="clear" w:color="auto" w:fill="auto"/>
          </w:tcPr>
          <w:p w:rsidR="001A6E69" w:rsidRPr="004A5227" w:rsidRDefault="001A6E69" w:rsidP="002A71A7">
            <w:pPr>
              <w:pStyle w:val="Tabletext"/>
            </w:pPr>
            <w:r w:rsidRPr="004A5227">
              <w:t>4</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25</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International directory assistance service</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Yes</w:t>
            </w:r>
          </w:p>
        </w:tc>
        <w:tc>
          <w:tcPr>
            <w:tcW w:w="1089" w:type="dxa"/>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t>5</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34</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80D62">
            <w:pPr>
              <w:pStyle w:val="Tabletext"/>
            </w:pPr>
            <w:r w:rsidRPr="004A5227">
              <w:t xml:space="preserve">National and international operator call </w:t>
            </w:r>
            <w:r w:rsidR="00280D62" w:rsidRPr="004A5227">
              <w:t xml:space="preserve">connection </w:t>
            </w:r>
            <w:r w:rsidRPr="004A5227">
              <w:t>service</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No</w:t>
            </w:r>
          </w:p>
        </w:tc>
        <w:tc>
          <w:tcPr>
            <w:tcW w:w="1089" w:type="dxa"/>
            <w:shd w:val="clear" w:color="auto" w:fill="auto"/>
          </w:tcPr>
          <w:p w:rsidR="001A6E69" w:rsidRPr="004A5227" w:rsidRDefault="001A6E69" w:rsidP="002A71A7">
            <w:pPr>
              <w:pStyle w:val="Tabletext"/>
            </w:pPr>
            <w:r w:rsidRPr="004A5227">
              <w:t>Yes</w:t>
            </w:r>
          </w:p>
        </w:tc>
      </w:tr>
      <w:tr w:rsidR="001A6E69" w:rsidRPr="004A5227" w:rsidTr="000224CB">
        <w:tc>
          <w:tcPr>
            <w:tcW w:w="714" w:type="dxa"/>
            <w:shd w:val="clear" w:color="auto" w:fill="auto"/>
          </w:tcPr>
          <w:p w:rsidR="001A6E69" w:rsidRPr="004A5227" w:rsidRDefault="001A6E69" w:rsidP="002A71A7">
            <w:pPr>
              <w:pStyle w:val="Tabletext"/>
            </w:pPr>
            <w:r w:rsidRPr="004A5227">
              <w:t>6</w:t>
            </w:r>
          </w:p>
        </w:tc>
        <w:tc>
          <w:tcPr>
            <w:tcW w:w="1124" w:type="dxa"/>
            <w:shd w:val="clear" w:color="auto" w:fill="auto"/>
          </w:tcPr>
          <w:p w:rsidR="001A6E69" w:rsidRPr="004A5227" w:rsidRDefault="001A6E69" w:rsidP="002A71A7">
            <w:pPr>
              <w:pStyle w:val="Tabletext"/>
            </w:pPr>
            <w:r w:rsidRPr="004A5227">
              <w:t>12</w:t>
            </w:r>
            <w:r w:rsidR="004A5227" w:rsidRPr="004A5227">
              <w:t> </w:t>
            </w:r>
            <w:r w:rsidRPr="004A5227">
              <w:t>36</w:t>
            </w:r>
          </w:p>
        </w:tc>
        <w:tc>
          <w:tcPr>
            <w:tcW w:w="1134" w:type="dxa"/>
            <w:shd w:val="clear" w:color="auto" w:fill="auto"/>
          </w:tcPr>
          <w:p w:rsidR="001A6E69" w:rsidRPr="004A5227" w:rsidRDefault="001A6E69" w:rsidP="002A71A7">
            <w:pPr>
              <w:pStyle w:val="Tabletext"/>
            </w:pPr>
            <w:r w:rsidRPr="004A5227">
              <w:t>4</w:t>
            </w:r>
          </w:p>
        </w:tc>
        <w:tc>
          <w:tcPr>
            <w:tcW w:w="1701" w:type="dxa"/>
            <w:shd w:val="clear" w:color="auto" w:fill="auto"/>
          </w:tcPr>
          <w:p w:rsidR="001A6E69" w:rsidRPr="004A5227" w:rsidRDefault="001A6E69" w:rsidP="002A71A7">
            <w:pPr>
              <w:pStyle w:val="Tabletext"/>
            </w:pPr>
            <w:r w:rsidRPr="004A5227">
              <w:t>Directory assistance services within the meaning of the Act</w:t>
            </w:r>
          </w:p>
        </w:tc>
        <w:tc>
          <w:tcPr>
            <w:tcW w:w="1418" w:type="dxa"/>
            <w:shd w:val="clear" w:color="auto" w:fill="auto"/>
          </w:tcPr>
          <w:p w:rsidR="001A6E69" w:rsidRPr="004A5227" w:rsidRDefault="001A6E69" w:rsidP="002A71A7">
            <w:pPr>
              <w:pStyle w:val="Tabletext"/>
            </w:pPr>
            <w:r w:rsidRPr="004A5227">
              <w:t>No</w:t>
            </w:r>
          </w:p>
        </w:tc>
        <w:tc>
          <w:tcPr>
            <w:tcW w:w="1134" w:type="dxa"/>
            <w:shd w:val="clear" w:color="auto" w:fill="auto"/>
          </w:tcPr>
          <w:p w:rsidR="001A6E69" w:rsidRPr="004A5227" w:rsidRDefault="001A6E69" w:rsidP="002A71A7">
            <w:pPr>
              <w:pStyle w:val="Tabletext"/>
            </w:pPr>
            <w:r w:rsidRPr="004A5227">
              <w:t>No</w:t>
            </w:r>
          </w:p>
        </w:tc>
        <w:tc>
          <w:tcPr>
            <w:tcW w:w="1089" w:type="dxa"/>
            <w:shd w:val="clear" w:color="auto" w:fill="auto"/>
          </w:tcPr>
          <w:p w:rsidR="001A6E69" w:rsidRPr="004A5227" w:rsidRDefault="001A6E69" w:rsidP="002A71A7">
            <w:pPr>
              <w:pStyle w:val="Tabletext"/>
            </w:pPr>
            <w:r w:rsidRPr="004A5227">
              <w:t>No</w:t>
            </w:r>
          </w:p>
        </w:tc>
      </w:tr>
      <w:tr w:rsidR="000224CB" w:rsidRPr="004A5227" w:rsidTr="000224CB">
        <w:tc>
          <w:tcPr>
            <w:tcW w:w="714" w:type="dxa"/>
            <w:shd w:val="clear" w:color="auto" w:fill="auto"/>
          </w:tcPr>
          <w:p w:rsidR="000224CB" w:rsidRPr="004A5227" w:rsidRDefault="000224CB" w:rsidP="000224CB">
            <w:pPr>
              <w:pStyle w:val="Tabletext"/>
            </w:pPr>
            <w:r w:rsidRPr="004A5227">
              <w:t>7</w:t>
            </w:r>
          </w:p>
        </w:tc>
        <w:tc>
          <w:tcPr>
            <w:tcW w:w="1124" w:type="dxa"/>
            <w:shd w:val="clear" w:color="auto" w:fill="auto"/>
          </w:tcPr>
          <w:p w:rsidR="000224CB" w:rsidRPr="004A5227" w:rsidRDefault="000224CB" w:rsidP="000224CB">
            <w:pPr>
              <w:pStyle w:val="Tabletext"/>
            </w:pPr>
            <w:r w:rsidRPr="004A5227">
              <w:t>12</w:t>
            </w:r>
            <w:r w:rsidR="004A5227" w:rsidRPr="004A5227">
              <w:t> </w:t>
            </w:r>
            <w:r w:rsidRPr="004A5227">
              <w:t>711</w:t>
            </w:r>
          </w:p>
        </w:tc>
        <w:tc>
          <w:tcPr>
            <w:tcW w:w="1134" w:type="dxa"/>
            <w:shd w:val="clear" w:color="auto" w:fill="auto"/>
          </w:tcPr>
          <w:p w:rsidR="000224CB" w:rsidRPr="004A5227" w:rsidRDefault="000224CB" w:rsidP="000224CB">
            <w:pPr>
              <w:pStyle w:val="Tabletext"/>
            </w:pPr>
            <w:r w:rsidRPr="004A5227">
              <w:t>5</w:t>
            </w:r>
          </w:p>
        </w:tc>
        <w:tc>
          <w:tcPr>
            <w:tcW w:w="1701" w:type="dxa"/>
            <w:shd w:val="clear" w:color="auto" w:fill="auto"/>
          </w:tcPr>
          <w:p w:rsidR="000224CB" w:rsidRPr="004A5227" w:rsidRDefault="000224CB" w:rsidP="000224CB">
            <w:pPr>
              <w:pStyle w:val="Tabletext"/>
            </w:pPr>
            <w:proofErr w:type="spellStart"/>
            <w:r w:rsidRPr="004A5227">
              <w:t>Preselection</w:t>
            </w:r>
            <w:proofErr w:type="spellEnd"/>
            <w:r w:rsidRPr="004A5227">
              <w:t xml:space="preserve"> verification service</w:t>
            </w:r>
          </w:p>
        </w:tc>
        <w:tc>
          <w:tcPr>
            <w:tcW w:w="1418" w:type="dxa"/>
            <w:shd w:val="clear" w:color="auto" w:fill="auto"/>
          </w:tcPr>
          <w:p w:rsidR="000224CB" w:rsidRPr="004A5227" w:rsidRDefault="000224CB" w:rsidP="000224CB">
            <w:pPr>
              <w:pStyle w:val="Tabletext"/>
            </w:pPr>
            <w:r w:rsidRPr="004A5227">
              <w:t>No</w:t>
            </w:r>
          </w:p>
        </w:tc>
        <w:tc>
          <w:tcPr>
            <w:tcW w:w="1134" w:type="dxa"/>
            <w:shd w:val="clear" w:color="auto" w:fill="auto"/>
          </w:tcPr>
          <w:p w:rsidR="000224CB" w:rsidRPr="004A5227" w:rsidRDefault="000224CB" w:rsidP="000224CB">
            <w:pPr>
              <w:pStyle w:val="Tabletext"/>
            </w:pPr>
            <w:r w:rsidRPr="004A5227">
              <w:t>Yes</w:t>
            </w:r>
          </w:p>
        </w:tc>
        <w:tc>
          <w:tcPr>
            <w:tcW w:w="1089" w:type="dxa"/>
            <w:shd w:val="clear" w:color="auto" w:fill="auto"/>
          </w:tcPr>
          <w:p w:rsidR="000224CB" w:rsidRPr="004A5227" w:rsidRDefault="000224CB" w:rsidP="000224CB">
            <w:pPr>
              <w:pStyle w:val="Tabletext"/>
            </w:pPr>
            <w:r w:rsidRPr="004A5227">
              <w:t>Yes</w:t>
            </w:r>
          </w:p>
        </w:tc>
      </w:tr>
      <w:tr w:rsidR="000224CB" w:rsidRPr="004A5227" w:rsidTr="000224CB">
        <w:tc>
          <w:tcPr>
            <w:tcW w:w="714" w:type="dxa"/>
            <w:shd w:val="clear" w:color="auto" w:fill="auto"/>
          </w:tcPr>
          <w:p w:rsidR="000224CB" w:rsidRPr="004A5227" w:rsidRDefault="000224CB" w:rsidP="002A71A7">
            <w:pPr>
              <w:pStyle w:val="Tabletext"/>
            </w:pPr>
            <w:r w:rsidRPr="004A5227">
              <w:t>8</w:t>
            </w:r>
          </w:p>
        </w:tc>
        <w:tc>
          <w:tcPr>
            <w:tcW w:w="1124" w:type="dxa"/>
            <w:shd w:val="clear" w:color="auto" w:fill="auto"/>
          </w:tcPr>
          <w:p w:rsidR="000224CB" w:rsidRPr="004A5227" w:rsidRDefault="000224CB" w:rsidP="000224CB">
            <w:pPr>
              <w:pStyle w:val="Tabletext"/>
            </w:pPr>
            <w:r w:rsidRPr="004A5227">
              <w:t>2001</w:t>
            </w:r>
          </w:p>
        </w:tc>
        <w:tc>
          <w:tcPr>
            <w:tcW w:w="1134" w:type="dxa"/>
            <w:shd w:val="clear" w:color="auto" w:fill="auto"/>
          </w:tcPr>
          <w:p w:rsidR="000224CB" w:rsidRPr="004A5227" w:rsidRDefault="000224CB" w:rsidP="002A71A7">
            <w:pPr>
              <w:pStyle w:val="Tabletext"/>
            </w:pPr>
            <w:r w:rsidRPr="004A5227">
              <w:t>4</w:t>
            </w:r>
          </w:p>
        </w:tc>
        <w:tc>
          <w:tcPr>
            <w:tcW w:w="1701" w:type="dxa"/>
            <w:shd w:val="clear" w:color="auto" w:fill="auto"/>
          </w:tcPr>
          <w:p w:rsidR="000224CB" w:rsidRPr="004A5227" w:rsidRDefault="000224CB" w:rsidP="002A71A7">
            <w:pPr>
              <w:pStyle w:val="Tabletext"/>
            </w:pPr>
            <w:r w:rsidRPr="004A5227">
              <w:t>Incoming international assistance operator service</w:t>
            </w:r>
          </w:p>
        </w:tc>
        <w:tc>
          <w:tcPr>
            <w:tcW w:w="1418" w:type="dxa"/>
            <w:shd w:val="clear" w:color="auto" w:fill="auto"/>
          </w:tcPr>
          <w:p w:rsidR="000224CB" w:rsidRPr="004A5227" w:rsidRDefault="000224CB" w:rsidP="002A71A7">
            <w:pPr>
              <w:pStyle w:val="Tabletext"/>
            </w:pPr>
            <w:r w:rsidRPr="004A5227">
              <w:t>Yes</w:t>
            </w:r>
          </w:p>
        </w:tc>
        <w:tc>
          <w:tcPr>
            <w:tcW w:w="1134" w:type="dxa"/>
            <w:shd w:val="clear" w:color="auto" w:fill="auto"/>
          </w:tcPr>
          <w:p w:rsidR="000224CB" w:rsidRPr="004A5227" w:rsidRDefault="000224CB" w:rsidP="002A71A7">
            <w:pPr>
              <w:pStyle w:val="Tabletext"/>
            </w:pPr>
            <w:r w:rsidRPr="004A5227">
              <w:t>No</w:t>
            </w:r>
          </w:p>
        </w:tc>
        <w:tc>
          <w:tcPr>
            <w:tcW w:w="1089" w:type="dxa"/>
            <w:shd w:val="clear" w:color="auto" w:fill="auto"/>
          </w:tcPr>
          <w:p w:rsidR="000224CB" w:rsidRPr="004A5227" w:rsidRDefault="000224CB" w:rsidP="002A71A7">
            <w:pPr>
              <w:pStyle w:val="Tabletext"/>
            </w:pPr>
            <w:r w:rsidRPr="004A5227">
              <w:t>No</w:t>
            </w:r>
          </w:p>
        </w:tc>
      </w:tr>
      <w:tr w:rsidR="000224CB" w:rsidRPr="004A5227" w:rsidTr="000224CB">
        <w:tc>
          <w:tcPr>
            <w:tcW w:w="714" w:type="dxa"/>
            <w:tcBorders>
              <w:bottom w:val="single" w:sz="4" w:space="0" w:color="auto"/>
            </w:tcBorders>
            <w:shd w:val="clear" w:color="auto" w:fill="auto"/>
          </w:tcPr>
          <w:p w:rsidR="000224CB" w:rsidRPr="004A5227" w:rsidRDefault="000224CB" w:rsidP="002A71A7">
            <w:pPr>
              <w:pStyle w:val="Tabletext"/>
            </w:pPr>
            <w:r w:rsidRPr="004A5227">
              <w:t>9</w:t>
            </w:r>
          </w:p>
        </w:tc>
        <w:tc>
          <w:tcPr>
            <w:tcW w:w="1124" w:type="dxa"/>
            <w:tcBorders>
              <w:bottom w:val="single" w:sz="4" w:space="0" w:color="auto"/>
            </w:tcBorders>
            <w:shd w:val="clear" w:color="auto" w:fill="auto"/>
          </w:tcPr>
          <w:p w:rsidR="000224CB" w:rsidRPr="004A5227" w:rsidRDefault="000224CB" w:rsidP="000224CB">
            <w:pPr>
              <w:pStyle w:val="Tabletext"/>
            </w:pPr>
            <w:r w:rsidRPr="004A5227">
              <w:t>2002</w:t>
            </w:r>
          </w:p>
        </w:tc>
        <w:tc>
          <w:tcPr>
            <w:tcW w:w="1134" w:type="dxa"/>
            <w:tcBorders>
              <w:bottom w:val="single" w:sz="4" w:space="0" w:color="auto"/>
            </w:tcBorders>
            <w:shd w:val="clear" w:color="auto" w:fill="auto"/>
          </w:tcPr>
          <w:p w:rsidR="000224CB" w:rsidRPr="004A5227" w:rsidRDefault="000224CB" w:rsidP="002A71A7">
            <w:pPr>
              <w:pStyle w:val="Tabletext"/>
            </w:pPr>
            <w:r w:rsidRPr="004A5227">
              <w:t>4</w:t>
            </w:r>
          </w:p>
        </w:tc>
        <w:tc>
          <w:tcPr>
            <w:tcW w:w="1701" w:type="dxa"/>
            <w:tcBorders>
              <w:bottom w:val="single" w:sz="4" w:space="0" w:color="auto"/>
            </w:tcBorders>
            <w:shd w:val="clear" w:color="auto" w:fill="auto"/>
          </w:tcPr>
          <w:p w:rsidR="000224CB" w:rsidRPr="004A5227" w:rsidRDefault="000224CB" w:rsidP="002A71A7">
            <w:pPr>
              <w:pStyle w:val="Tabletext"/>
            </w:pPr>
            <w:r w:rsidRPr="004A5227">
              <w:t>Incoming international delay operator service</w:t>
            </w:r>
          </w:p>
        </w:tc>
        <w:tc>
          <w:tcPr>
            <w:tcW w:w="1418" w:type="dxa"/>
            <w:tcBorders>
              <w:bottom w:val="single" w:sz="4" w:space="0" w:color="auto"/>
            </w:tcBorders>
            <w:shd w:val="clear" w:color="auto" w:fill="auto"/>
          </w:tcPr>
          <w:p w:rsidR="000224CB" w:rsidRPr="004A5227" w:rsidRDefault="000224CB" w:rsidP="002A71A7">
            <w:pPr>
              <w:pStyle w:val="Tabletext"/>
            </w:pPr>
            <w:r w:rsidRPr="004A5227">
              <w:t>Yes</w:t>
            </w:r>
          </w:p>
        </w:tc>
        <w:tc>
          <w:tcPr>
            <w:tcW w:w="1134" w:type="dxa"/>
            <w:tcBorders>
              <w:bottom w:val="single" w:sz="4" w:space="0" w:color="auto"/>
            </w:tcBorders>
            <w:shd w:val="clear" w:color="auto" w:fill="auto"/>
          </w:tcPr>
          <w:p w:rsidR="000224CB" w:rsidRPr="004A5227" w:rsidRDefault="000224CB" w:rsidP="002A71A7">
            <w:pPr>
              <w:pStyle w:val="Tabletext"/>
            </w:pPr>
            <w:r w:rsidRPr="004A5227">
              <w:t>No</w:t>
            </w:r>
          </w:p>
        </w:tc>
        <w:tc>
          <w:tcPr>
            <w:tcW w:w="1089" w:type="dxa"/>
            <w:tcBorders>
              <w:bottom w:val="single" w:sz="4" w:space="0" w:color="auto"/>
            </w:tcBorders>
            <w:shd w:val="clear" w:color="auto" w:fill="auto"/>
          </w:tcPr>
          <w:p w:rsidR="000224CB" w:rsidRPr="004A5227" w:rsidRDefault="000224CB" w:rsidP="002A71A7">
            <w:pPr>
              <w:pStyle w:val="Tabletext"/>
            </w:pPr>
            <w:r w:rsidRPr="004A5227">
              <w:t>No</w:t>
            </w:r>
          </w:p>
        </w:tc>
      </w:tr>
      <w:tr w:rsidR="000224CB" w:rsidRPr="004A5227" w:rsidTr="000224CB">
        <w:tc>
          <w:tcPr>
            <w:tcW w:w="714" w:type="dxa"/>
            <w:tcBorders>
              <w:bottom w:val="single" w:sz="12" w:space="0" w:color="auto"/>
            </w:tcBorders>
            <w:shd w:val="clear" w:color="auto" w:fill="auto"/>
          </w:tcPr>
          <w:p w:rsidR="000224CB" w:rsidRPr="004A5227" w:rsidRDefault="000224CB" w:rsidP="002A71A7">
            <w:pPr>
              <w:pStyle w:val="Tabletext"/>
            </w:pPr>
            <w:r w:rsidRPr="004A5227">
              <w:t>10</w:t>
            </w:r>
          </w:p>
        </w:tc>
        <w:tc>
          <w:tcPr>
            <w:tcW w:w="1124" w:type="dxa"/>
            <w:tcBorders>
              <w:bottom w:val="single" w:sz="12" w:space="0" w:color="auto"/>
            </w:tcBorders>
            <w:shd w:val="clear" w:color="auto" w:fill="auto"/>
          </w:tcPr>
          <w:p w:rsidR="000224CB" w:rsidRPr="004A5227" w:rsidRDefault="000224CB" w:rsidP="002A71A7">
            <w:pPr>
              <w:pStyle w:val="Tabletext"/>
            </w:pPr>
            <w:r w:rsidRPr="004A5227">
              <w:t>2003</w:t>
            </w:r>
          </w:p>
        </w:tc>
        <w:tc>
          <w:tcPr>
            <w:tcW w:w="1134" w:type="dxa"/>
            <w:tcBorders>
              <w:bottom w:val="single" w:sz="12" w:space="0" w:color="auto"/>
            </w:tcBorders>
            <w:shd w:val="clear" w:color="auto" w:fill="auto"/>
          </w:tcPr>
          <w:p w:rsidR="000224CB" w:rsidRPr="004A5227" w:rsidRDefault="000224CB" w:rsidP="002A71A7">
            <w:pPr>
              <w:pStyle w:val="Tabletext"/>
            </w:pPr>
            <w:r w:rsidRPr="004A5227">
              <w:t>4</w:t>
            </w:r>
          </w:p>
        </w:tc>
        <w:tc>
          <w:tcPr>
            <w:tcW w:w="1701" w:type="dxa"/>
            <w:tcBorders>
              <w:bottom w:val="single" w:sz="12" w:space="0" w:color="auto"/>
            </w:tcBorders>
            <w:shd w:val="clear" w:color="auto" w:fill="auto"/>
          </w:tcPr>
          <w:p w:rsidR="000224CB" w:rsidRPr="004A5227" w:rsidRDefault="000224CB" w:rsidP="002A71A7">
            <w:pPr>
              <w:pStyle w:val="Tabletext"/>
            </w:pPr>
            <w:r w:rsidRPr="004A5227">
              <w:t>Incoming international directory enquiries service</w:t>
            </w:r>
          </w:p>
        </w:tc>
        <w:tc>
          <w:tcPr>
            <w:tcW w:w="1418" w:type="dxa"/>
            <w:tcBorders>
              <w:bottom w:val="single" w:sz="12" w:space="0" w:color="auto"/>
            </w:tcBorders>
            <w:shd w:val="clear" w:color="auto" w:fill="auto"/>
          </w:tcPr>
          <w:p w:rsidR="000224CB" w:rsidRPr="004A5227" w:rsidRDefault="000224CB" w:rsidP="002A71A7">
            <w:pPr>
              <w:pStyle w:val="Tabletext"/>
            </w:pPr>
            <w:r w:rsidRPr="004A5227">
              <w:t>Yes</w:t>
            </w:r>
          </w:p>
        </w:tc>
        <w:tc>
          <w:tcPr>
            <w:tcW w:w="1134" w:type="dxa"/>
            <w:tcBorders>
              <w:bottom w:val="single" w:sz="12" w:space="0" w:color="auto"/>
            </w:tcBorders>
            <w:shd w:val="clear" w:color="auto" w:fill="auto"/>
          </w:tcPr>
          <w:p w:rsidR="000224CB" w:rsidRPr="004A5227" w:rsidRDefault="000224CB" w:rsidP="002A71A7">
            <w:pPr>
              <w:pStyle w:val="Tabletext"/>
            </w:pPr>
            <w:r w:rsidRPr="004A5227">
              <w:t>No</w:t>
            </w:r>
          </w:p>
        </w:tc>
        <w:tc>
          <w:tcPr>
            <w:tcW w:w="1089" w:type="dxa"/>
            <w:tcBorders>
              <w:bottom w:val="single" w:sz="12" w:space="0" w:color="auto"/>
            </w:tcBorders>
            <w:shd w:val="clear" w:color="auto" w:fill="auto"/>
          </w:tcPr>
          <w:p w:rsidR="000224CB" w:rsidRPr="004A5227" w:rsidRDefault="000224CB" w:rsidP="002A71A7">
            <w:pPr>
              <w:pStyle w:val="Tabletext"/>
            </w:pPr>
            <w:r w:rsidRPr="004A5227">
              <w:t>No</w:t>
            </w:r>
          </w:p>
        </w:tc>
      </w:tr>
    </w:tbl>
    <w:p w:rsidR="001A6E69" w:rsidRPr="004A5227" w:rsidRDefault="001A6E69" w:rsidP="0037652C">
      <w:pPr>
        <w:pStyle w:val="ActHead1"/>
        <w:pageBreakBefore/>
      </w:pPr>
      <w:bookmarkStart w:id="204" w:name="_Toc413419202"/>
      <w:r w:rsidRPr="004A5227">
        <w:rPr>
          <w:rStyle w:val="CharChapNo"/>
        </w:rPr>
        <w:lastRenderedPageBreak/>
        <w:t>Schedule</w:t>
      </w:r>
      <w:r w:rsidR="004A5227" w:rsidRPr="004A5227">
        <w:rPr>
          <w:rStyle w:val="CharChapNo"/>
        </w:rPr>
        <w:t> </w:t>
      </w:r>
      <w:r w:rsidR="00790A2E" w:rsidRPr="004A5227">
        <w:rPr>
          <w:rStyle w:val="CharChapNo"/>
        </w:rPr>
        <w:t>6</w:t>
      </w:r>
      <w:r w:rsidRPr="004A5227">
        <w:t>—</w:t>
      </w:r>
      <w:r w:rsidRPr="004A5227">
        <w:rPr>
          <w:rStyle w:val="CharChapText"/>
        </w:rPr>
        <w:t>Access codes</w:t>
      </w:r>
      <w:bookmarkEnd w:id="204"/>
    </w:p>
    <w:p w:rsidR="001A6E69" w:rsidRPr="004A5227" w:rsidRDefault="001A6E69" w:rsidP="001A6E69">
      <w:pPr>
        <w:pStyle w:val="notemargin"/>
      </w:pPr>
      <w:r w:rsidRPr="004A5227">
        <w:t>Note:</w:t>
      </w:r>
      <w:r w:rsidR="00980E0C" w:rsidRPr="004A5227">
        <w:tab/>
      </w:r>
      <w:r w:rsidRPr="004A5227">
        <w:t>See sections</w:t>
      </w:r>
      <w:r w:rsidR="004A5227" w:rsidRPr="004A5227">
        <w:t> </w:t>
      </w:r>
      <w:r w:rsidR="00CA6815" w:rsidRPr="004A5227">
        <w:t>38</w:t>
      </w:r>
      <w:r w:rsidR="000F0EF0" w:rsidRPr="004A5227">
        <w:t xml:space="preserve">, </w:t>
      </w:r>
      <w:r w:rsidR="00CA6815" w:rsidRPr="004A5227">
        <w:t>39</w:t>
      </w:r>
      <w:r w:rsidR="000F0EF0" w:rsidRPr="004A5227">
        <w:t xml:space="preserve"> and 41</w:t>
      </w:r>
      <w:r w:rsidRPr="004A5227">
        <w:t>.</w:t>
      </w:r>
    </w:p>
    <w:p w:rsidR="00980E0C" w:rsidRPr="004A5227" w:rsidRDefault="00980E0C" w:rsidP="00980E0C">
      <w:pPr>
        <w:pStyle w:val="Header"/>
      </w:pPr>
      <w:r w:rsidRPr="004A5227">
        <w:rPr>
          <w:rStyle w:val="CharPartNo"/>
        </w:rPr>
        <w:t xml:space="preserve"> </w:t>
      </w:r>
      <w:r w:rsidRPr="004A5227">
        <w:rPr>
          <w:rStyle w:val="CharPartText"/>
        </w:rPr>
        <w:t xml:space="preserve"> </w:t>
      </w:r>
    </w:p>
    <w:p w:rsidR="00980E0C" w:rsidRPr="004A5227" w:rsidRDefault="00980E0C" w:rsidP="00980E0C">
      <w:pPr>
        <w:pStyle w:val="Header"/>
      </w:pPr>
      <w:r w:rsidRPr="004A5227">
        <w:rPr>
          <w:rStyle w:val="CharDivNo"/>
        </w:rPr>
        <w:t xml:space="preserve"> </w:t>
      </w:r>
      <w:r w:rsidRPr="004A5227">
        <w:rPr>
          <w:rStyle w:val="CharDivText"/>
        </w:rPr>
        <w:t xml:space="preserve"> </w:t>
      </w:r>
    </w:p>
    <w:p w:rsidR="001A6E69" w:rsidRPr="004A5227" w:rsidRDefault="001A6E69" w:rsidP="001A6E69">
      <w:pPr>
        <w:pStyle w:val="ActHead5"/>
      </w:pPr>
      <w:bookmarkStart w:id="205" w:name="_Toc413419203"/>
      <w:r w:rsidRPr="004A5227">
        <w:rPr>
          <w:rStyle w:val="CharSectno"/>
        </w:rPr>
        <w:t>1</w:t>
      </w:r>
      <w:r w:rsidRPr="004A5227">
        <w:t xml:space="preserve">  </w:t>
      </w:r>
      <w:r w:rsidR="00D86814" w:rsidRPr="004A5227">
        <w:t>A</w:t>
      </w:r>
      <w:r w:rsidRPr="004A5227">
        <w:t>ccess codes that are not shared</w:t>
      </w:r>
      <w:bookmarkEnd w:id="205"/>
    </w:p>
    <w:p w:rsidR="001A6E69" w:rsidRPr="004A5227" w:rsidRDefault="001A6E69" w:rsidP="001A6E69">
      <w:pPr>
        <w:pStyle w:val="subsection"/>
      </w:pPr>
      <w:r w:rsidRPr="004A5227">
        <w:tab/>
      </w:r>
      <w:r w:rsidRPr="004A5227">
        <w:tab/>
        <w:t>The following table sets out the form of access codes that are not shared numbers, and provides information on the way in which the numbers can be used.</w:t>
      </w:r>
    </w:p>
    <w:p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rsidTr="002A71A7">
        <w:trPr>
          <w:tblHeader/>
        </w:trPr>
        <w:tc>
          <w:tcPr>
            <w:tcW w:w="8314" w:type="dxa"/>
            <w:gridSpan w:val="5"/>
            <w:tcBorders>
              <w:top w:val="single" w:sz="12" w:space="0" w:color="auto"/>
              <w:bottom w:val="single" w:sz="6" w:space="0" w:color="auto"/>
            </w:tcBorders>
            <w:shd w:val="clear" w:color="auto" w:fill="auto"/>
          </w:tcPr>
          <w:p w:rsidR="001A6E69" w:rsidRPr="004A5227" w:rsidRDefault="001A6E69" w:rsidP="00D00F96">
            <w:pPr>
              <w:pStyle w:val="TableHeading"/>
            </w:pPr>
            <w:r w:rsidRPr="004A5227">
              <w:t>Access codes</w:t>
            </w:r>
          </w:p>
        </w:tc>
      </w:tr>
      <w:tr w:rsidR="001A6E69" w:rsidRPr="004A5227" w:rsidTr="002A71A7">
        <w:trPr>
          <w:tblHeader/>
        </w:trPr>
        <w:tc>
          <w:tcPr>
            <w:tcW w:w="71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1</w:t>
            </w:r>
          </w:p>
          <w:p w:rsidR="001A6E69" w:rsidRPr="004A5227" w:rsidRDefault="001A6E69" w:rsidP="00D00F96">
            <w:pPr>
              <w:pStyle w:val="TableHeading"/>
            </w:pPr>
            <w:r w:rsidRPr="004A5227">
              <w:t>First digits</w:t>
            </w:r>
          </w:p>
        </w:tc>
        <w:tc>
          <w:tcPr>
            <w:tcW w:w="127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2</w:t>
            </w:r>
          </w:p>
          <w:p w:rsidR="001A6E69" w:rsidRPr="004A5227" w:rsidRDefault="001A6E69" w:rsidP="00D00F96">
            <w:pPr>
              <w:pStyle w:val="TableHeading"/>
            </w:pPr>
            <w:r w:rsidRPr="004A5227">
              <w:t>Number of digits</w:t>
            </w:r>
          </w:p>
        </w:tc>
        <w:tc>
          <w:tcPr>
            <w:tcW w:w="2268"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3</w:t>
            </w:r>
          </w:p>
          <w:p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4</w:t>
            </w:r>
          </w:p>
          <w:p w:rsidR="001A6E69" w:rsidRPr="004A5227" w:rsidRDefault="001A6E69" w:rsidP="00D00F96">
            <w:pPr>
              <w:pStyle w:val="TableHeading"/>
            </w:pPr>
            <w:r w:rsidRPr="004A5227">
              <w:t>Numbers that can be prefixed</w:t>
            </w:r>
          </w:p>
        </w:tc>
      </w:tr>
      <w:tr w:rsidR="001A6E69" w:rsidRPr="004A5227" w:rsidTr="002A71A7">
        <w:tc>
          <w:tcPr>
            <w:tcW w:w="714" w:type="dxa"/>
            <w:tcBorders>
              <w:top w:val="single" w:sz="12" w:space="0" w:color="auto"/>
            </w:tcBorders>
            <w:shd w:val="clear" w:color="auto" w:fill="auto"/>
          </w:tcPr>
          <w:p w:rsidR="001A6E69" w:rsidRPr="004A5227" w:rsidRDefault="000224CB" w:rsidP="002A71A7">
            <w:pPr>
              <w:pStyle w:val="Tabletext"/>
            </w:pPr>
            <w:r w:rsidRPr="004A5227">
              <w:t>1</w:t>
            </w:r>
          </w:p>
        </w:tc>
        <w:tc>
          <w:tcPr>
            <w:tcW w:w="1266" w:type="dxa"/>
            <w:tcBorders>
              <w:top w:val="single" w:sz="12" w:space="0" w:color="auto"/>
            </w:tcBorders>
            <w:shd w:val="clear" w:color="auto" w:fill="auto"/>
          </w:tcPr>
          <w:p w:rsidR="001A6E69" w:rsidRPr="004A5227" w:rsidRDefault="001A6E69" w:rsidP="002A71A7">
            <w:pPr>
              <w:pStyle w:val="Tabletext"/>
            </w:pPr>
            <w:r w:rsidRPr="004A5227">
              <w:t>0010</w:t>
            </w:r>
          </w:p>
        </w:tc>
        <w:tc>
          <w:tcPr>
            <w:tcW w:w="1276" w:type="dxa"/>
            <w:tcBorders>
              <w:top w:val="single" w:sz="12" w:space="0" w:color="auto"/>
            </w:tcBorders>
            <w:shd w:val="clear" w:color="auto" w:fill="auto"/>
          </w:tcPr>
          <w:p w:rsidR="001A6E69" w:rsidRPr="004A5227" w:rsidRDefault="001A6E69" w:rsidP="002A71A7">
            <w:pPr>
              <w:pStyle w:val="Tabletext"/>
            </w:pPr>
            <w:r w:rsidRPr="004A5227">
              <w:t>4</w:t>
            </w:r>
          </w:p>
        </w:tc>
        <w:tc>
          <w:tcPr>
            <w:tcW w:w="2268" w:type="dxa"/>
            <w:tcBorders>
              <w:top w:val="single" w:sz="12" w:space="0" w:color="auto"/>
            </w:tcBorders>
            <w:shd w:val="clear" w:color="auto" w:fill="auto"/>
          </w:tcPr>
          <w:p w:rsidR="001A6E69" w:rsidRPr="004A5227" w:rsidRDefault="001A6E69" w:rsidP="002A71A7">
            <w:pPr>
              <w:pStyle w:val="Tabletext"/>
            </w:pPr>
            <w:r w:rsidRPr="004A5227">
              <w:t>International service</w:t>
            </w:r>
          </w:p>
        </w:tc>
        <w:tc>
          <w:tcPr>
            <w:tcW w:w="2790" w:type="dxa"/>
            <w:tcBorders>
              <w:top w:val="single" w:sz="12" w:space="0" w:color="auto"/>
            </w:tcBorders>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2</w:t>
            </w:r>
          </w:p>
        </w:tc>
        <w:tc>
          <w:tcPr>
            <w:tcW w:w="1266" w:type="dxa"/>
            <w:shd w:val="clear" w:color="auto" w:fill="auto"/>
          </w:tcPr>
          <w:p w:rsidR="001A6E69" w:rsidRPr="004A5227" w:rsidRDefault="001A6E69" w:rsidP="002A71A7">
            <w:pPr>
              <w:pStyle w:val="Tabletext"/>
            </w:pPr>
            <w:r w:rsidRPr="004A5227">
              <w:t>0013</w:t>
            </w:r>
          </w:p>
        </w:tc>
        <w:tc>
          <w:tcPr>
            <w:tcW w:w="1276" w:type="dxa"/>
            <w:shd w:val="clear" w:color="auto" w:fill="auto"/>
          </w:tcPr>
          <w:p w:rsidR="001A6E69" w:rsidRPr="004A5227" w:rsidRDefault="001A6E69" w:rsidP="002A71A7">
            <w:pPr>
              <w:pStyle w:val="Tabletext"/>
            </w:pPr>
            <w:r w:rsidRPr="004A5227">
              <w:t>5</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3</w:t>
            </w:r>
          </w:p>
        </w:tc>
        <w:tc>
          <w:tcPr>
            <w:tcW w:w="1266" w:type="dxa"/>
            <w:shd w:val="clear" w:color="auto" w:fill="auto"/>
          </w:tcPr>
          <w:p w:rsidR="001A6E69" w:rsidRPr="004A5227" w:rsidRDefault="001A6E69" w:rsidP="002A71A7">
            <w:pPr>
              <w:pStyle w:val="Tabletext"/>
            </w:pPr>
            <w:r w:rsidRPr="004A5227">
              <w:t>0014</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4</w:t>
            </w:r>
          </w:p>
        </w:tc>
        <w:tc>
          <w:tcPr>
            <w:tcW w:w="1266" w:type="dxa"/>
            <w:shd w:val="clear" w:color="auto" w:fill="auto"/>
          </w:tcPr>
          <w:p w:rsidR="001A6E69" w:rsidRPr="004A5227" w:rsidRDefault="001A6E69" w:rsidP="002A71A7">
            <w:pPr>
              <w:pStyle w:val="Tabletext"/>
            </w:pPr>
            <w:r w:rsidRPr="004A5227">
              <w:t>0015</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5</w:t>
            </w:r>
          </w:p>
        </w:tc>
        <w:tc>
          <w:tcPr>
            <w:tcW w:w="1266" w:type="dxa"/>
            <w:shd w:val="clear" w:color="auto" w:fill="auto"/>
          </w:tcPr>
          <w:p w:rsidR="001A6E69" w:rsidRPr="004A5227" w:rsidRDefault="001A6E69" w:rsidP="002A71A7">
            <w:pPr>
              <w:pStyle w:val="Tabletext"/>
            </w:pPr>
            <w:r w:rsidRPr="004A5227">
              <w:t>0016</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6</w:t>
            </w:r>
          </w:p>
        </w:tc>
        <w:tc>
          <w:tcPr>
            <w:tcW w:w="1266" w:type="dxa"/>
            <w:shd w:val="clear" w:color="auto" w:fill="auto"/>
          </w:tcPr>
          <w:p w:rsidR="001A6E69" w:rsidRPr="004A5227" w:rsidRDefault="001A6E69" w:rsidP="002A71A7">
            <w:pPr>
              <w:pStyle w:val="Tabletext"/>
            </w:pPr>
            <w:r w:rsidRPr="004A5227">
              <w:t>0017</w:t>
            </w:r>
          </w:p>
        </w:tc>
        <w:tc>
          <w:tcPr>
            <w:tcW w:w="1276" w:type="dxa"/>
            <w:shd w:val="clear" w:color="auto" w:fill="auto"/>
          </w:tcPr>
          <w:p w:rsidR="001A6E69" w:rsidRPr="004A5227" w:rsidRDefault="001A6E69" w:rsidP="002A71A7">
            <w:pPr>
              <w:pStyle w:val="Tabletext"/>
            </w:pPr>
            <w:r w:rsidRPr="004A5227">
              <w:t>5</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7</w:t>
            </w:r>
          </w:p>
        </w:tc>
        <w:tc>
          <w:tcPr>
            <w:tcW w:w="1266" w:type="dxa"/>
            <w:shd w:val="clear" w:color="auto" w:fill="auto"/>
          </w:tcPr>
          <w:p w:rsidR="001A6E69" w:rsidRPr="004A5227" w:rsidRDefault="001A6E69" w:rsidP="002A71A7">
            <w:pPr>
              <w:pStyle w:val="Tabletext"/>
            </w:pPr>
            <w:r w:rsidRPr="004A5227">
              <w:t>0018</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8</w:t>
            </w:r>
          </w:p>
        </w:tc>
        <w:tc>
          <w:tcPr>
            <w:tcW w:w="1266" w:type="dxa"/>
            <w:shd w:val="clear" w:color="auto" w:fill="auto"/>
          </w:tcPr>
          <w:p w:rsidR="001A6E69" w:rsidRPr="004A5227" w:rsidRDefault="001A6E69" w:rsidP="002A71A7">
            <w:pPr>
              <w:pStyle w:val="Tabletext"/>
            </w:pPr>
            <w:r w:rsidRPr="004A5227">
              <w:t>0019</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0224CB" w:rsidP="002A71A7">
            <w:pPr>
              <w:pStyle w:val="Tabletext"/>
            </w:pPr>
            <w:r w:rsidRPr="004A5227">
              <w:t>9</w:t>
            </w:r>
          </w:p>
        </w:tc>
        <w:tc>
          <w:tcPr>
            <w:tcW w:w="1266" w:type="dxa"/>
            <w:shd w:val="clear" w:color="auto" w:fill="auto"/>
          </w:tcPr>
          <w:p w:rsidR="001A6E69" w:rsidRPr="004A5227" w:rsidRDefault="001A6E69" w:rsidP="002A71A7">
            <w:pPr>
              <w:pStyle w:val="Tabletext"/>
            </w:pPr>
            <w:r w:rsidRPr="004A5227">
              <w:t>009</w:t>
            </w:r>
          </w:p>
        </w:tc>
        <w:tc>
          <w:tcPr>
            <w:tcW w:w="1276" w:type="dxa"/>
            <w:shd w:val="clear" w:color="auto" w:fill="auto"/>
          </w:tcPr>
          <w:p w:rsidR="001A6E69" w:rsidRPr="004A5227" w:rsidRDefault="001A6E69" w:rsidP="002A71A7">
            <w:pPr>
              <w:pStyle w:val="Tabletext"/>
            </w:pPr>
            <w:r w:rsidRPr="004A5227">
              <w:t>5</w:t>
            </w:r>
          </w:p>
        </w:tc>
        <w:tc>
          <w:tcPr>
            <w:tcW w:w="2268" w:type="dxa"/>
            <w:shd w:val="clear" w:color="auto" w:fill="auto"/>
          </w:tcPr>
          <w:p w:rsidR="001A6E69" w:rsidRPr="004A5227" w:rsidRDefault="001A6E69" w:rsidP="002A71A7">
            <w:pPr>
              <w:pStyle w:val="Tabletext"/>
            </w:pPr>
            <w:r w:rsidRPr="004A5227">
              <w:t>International service</w:t>
            </w:r>
          </w:p>
        </w:tc>
        <w:tc>
          <w:tcPr>
            <w:tcW w:w="2790" w:type="dxa"/>
            <w:shd w:val="clear" w:color="auto" w:fill="auto"/>
          </w:tcPr>
          <w:p w:rsidR="001A6E69" w:rsidRPr="004A5227" w:rsidRDefault="001A6E69" w:rsidP="002A71A7">
            <w:pPr>
              <w:pStyle w:val="Tabletext"/>
            </w:pPr>
            <w:r w:rsidRPr="004A5227">
              <w:t>International numbers</w:t>
            </w:r>
          </w:p>
        </w:tc>
      </w:tr>
      <w:tr w:rsidR="000224CB" w:rsidRPr="004A5227" w:rsidTr="002A71A7">
        <w:tc>
          <w:tcPr>
            <w:tcW w:w="714" w:type="dxa"/>
            <w:shd w:val="clear" w:color="auto" w:fill="auto"/>
          </w:tcPr>
          <w:p w:rsidR="000224CB" w:rsidRPr="004A5227" w:rsidRDefault="000224CB" w:rsidP="002A71A7">
            <w:pPr>
              <w:pStyle w:val="Tabletext"/>
            </w:pPr>
            <w:r w:rsidRPr="004A5227">
              <w:t>10</w:t>
            </w:r>
          </w:p>
        </w:tc>
        <w:tc>
          <w:tcPr>
            <w:tcW w:w="1266" w:type="dxa"/>
            <w:shd w:val="clear" w:color="auto" w:fill="auto"/>
          </w:tcPr>
          <w:p w:rsidR="000224CB" w:rsidRPr="004A5227" w:rsidRDefault="000224CB" w:rsidP="002A71A7">
            <w:pPr>
              <w:pStyle w:val="Tabletext"/>
            </w:pPr>
            <w:r w:rsidRPr="004A5227">
              <w:t>10</w:t>
            </w:r>
          </w:p>
        </w:tc>
        <w:tc>
          <w:tcPr>
            <w:tcW w:w="1276" w:type="dxa"/>
            <w:shd w:val="clear" w:color="auto" w:fill="auto"/>
          </w:tcPr>
          <w:p w:rsidR="000224CB" w:rsidRPr="004A5227" w:rsidRDefault="000224CB" w:rsidP="002A71A7">
            <w:pPr>
              <w:pStyle w:val="Tabletext"/>
            </w:pPr>
            <w:r w:rsidRPr="004A5227">
              <w:t>4 to 15</w:t>
            </w:r>
          </w:p>
        </w:tc>
        <w:tc>
          <w:tcPr>
            <w:tcW w:w="2268" w:type="dxa"/>
            <w:shd w:val="clear" w:color="auto" w:fill="auto"/>
          </w:tcPr>
          <w:p w:rsidR="000224CB" w:rsidRPr="004A5227" w:rsidRDefault="000224CB" w:rsidP="002A71A7">
            <w:pPr>
              <w:pStyle w:val="Tabletext"/>
            </w:pPr>
            <w:r w:rsidRPr="004A5227">
              <w:t>Incoming only international service</w:t>
            </w:r>
          </w:p>
        </w:tc>
        <w:tc>
          <w:tcPr>
            <w:tcW w:w="2790" w:type="dxa"/>
            <w:shd w:val="clear" w:color="auto" w:fill="auto"/>
          </w:tcPr>
          <w:p w:rsidR="000224CB" w:rsidRPr="004A5227" w:rsidRDefault="000224CB" w:rsidP="002A71A7">
            <w:pPr>
              <w:pStyle w:val="Tabletext"/>
            </w:pPr>
            <w:r w:rsidRPr="004A5227">
              <w:t>Geographic numbers, local numbers, special services numbers and private numbers</w:t>
            </w:r>
          </w:p>
        </w:tc>
      </w:tr>
      <w:tr w:rsidR="000224CB" w:rsidRPr="004A5227" w:rsidTr="002A71A7">
        <w:tc>
          <w:tcPr>
            <w:tcW w:w="714" w:type="dxa"/>
            <w:shd w:val="clear" w:color="auto" w:fill="auto"/>
          </w:tcPr>
          <w:p w:rsidR="000224CB" w:rsidRPr="004A5227" w:rsidRDefault="000224CB" w:rsidP="002A71A7">
            <w:pPr>
              <w:pStyle w:val="Tabletext"/>
            </w:pPr>
            <w:r w:rsidRPr="004A5227">
              <w:t>11</w:t>
            </w:r>
          </w:p>
        </w:tc>
        <w:tc>
          <w:tcPr>
            <w:tcW w:w="1266" w:type="dxa"/>
            <w:shd w:val="clear" w:color="auto" w:fill="auto"/>
          </w:tcPr>
          <w:p w:rsidR="000224CB" w:rsidRPr="004A5227" w:rsidRDefault="000224CB" w:rsidP="002A71A7">
            <w:pPr>
              <w:pStyle w:val="Tabletext"/>
            </w:pPr>
            <w:r w:rsidRPr="004A5227">
              <w:t>11</w:t>
            </w:r>
          </w:p>
        </w:tc>
        <w:tc>
          <w:tcPr>
            <w:tcW w:w="1276" w:type="dxa"/>
            <w:shd w:val="clear" w:color="auto" w:fill="auto"/>
          </w:tcPr>
          <w:p w:rsidR="000224CB" w:rsidRPr="004A5227" w:rsidRDefault="000224CB" w:rsidP="002A71A7">
            <w:pPr>
              <w:pStyle w:val="Tabletext"/>
            </w:pPr>
            <w:r w:rsidRPr="004A5227">
              <w:t>4 to 15</w:t>
            </w:r>
          </w:p>
        </w:tc>
        <w:tc>
          <w:tcPr>
            <w:tcW w:w="2268" w:type="dxa"/>
            <w:shd w:val="clear" w:color="auto" w:fill="auto"/>
          </w:tcPr>
          <w:p w:rsidR="000224CB" w:rsidRPr="004A5227" w:rsidRDefault="000224CB" w:rsidP="002A71A7">
            <w:pPr>
              <w:pStyle w:val="Tabletext"/>
            </w:pPr>
            <w:r w:rsidRPr="004A5227">
              <w:t>Incoming only international service</w:t>
            </w:r>
          </w:p>
        </w:tc>
        <w:tc>
          <w:tcPr>
            <w:tcW w:w="2790" w:type="dxa"/>
            <w:shd w:val="clear" w:color="auto" w:fill="auto"/>
          </w:tcPr>
          <w:p w:rsidR="000224CB" w:rsidRPr="004A5227" w:rsidRDefault="000224CB" w:rsidP="000224CB">
            <w:pPr>
              <w:pStyle w:val="Tabletext"/>
            </w:pPr>
            <w:r w:rsidRPr="004A5227">
              <w:t>Geographic numbers, local numbers, special services numbers and private numbers</w:t>
            </w:r>
          </w:p>
        </w:tc>
      </w:tr>
      <w:tr w:rsidR="000224CB" w:rsidRPr="004A5227" w:rsidTr="002A71A7">
        <w:tc>
          <w:tcPr>
            <w:tcW w:w="714" w:type="dxa"/>
            <w:shd w:val="clear" w:color="auto" w:fill="auto"/>
          </w:tcPr>
          <w:p w:rsidR="000224CB" w:rsidRPr="004A5227" w:rsidRDefault="000224CB" w:rsidP="002A71A7">
            <w:pPr>
              <w:pStyle w:val="Tabletext"/>
            </w:pPr>
            <w:r w:rsidRPr="004A5227">
              <w:t>12</w:t>
            </w:r>
          </w:p>
        </w:tc>
        <w:tc>
          <w:tcPr>
            <w:tcW w:w="1266" w:type="dxa"/>
            <w:shd w:val="clear" w:color="auto" w:fill="auto"/>
          </w:tcPr>
          <w:p w:rsidR="000224CB" w:rsidRPr="004A5227" w:rsidRDefault="000224CB" w:rsidP="002A71A7">
            <w:pPr>
              <w:pStyle w:val="Tabletext"/>
            </w:pPr>
            <w:r w:rsidRPr="004A5227">
              <w:t>12</w:t>
            </w:r>
          </w:p>
        </w:tc>
        <w:tc>
          <w:tcPr>
            <w:tcW w:w="1276" w:type="dxa"/>
            <w:shd w:val="clear" w:color="auto" w:fill="auto"/>
          </w:tcPr>
          <w:p w:rsidR="000224CB" w:rsidRPr="004A5227" w:rsidRDefault="000224CB" w:rsidP="002A71A7">
            <w:pPr>
              <w:pStyle w:val="Tabletext"/>
            </w:pPr>
            <w:r w:rsidRPr="004A5227">
              <w:t>4 to 15</w:t>
            </w:r>
          </w:p>
        </w:tc>
        <w:tc>
          <w:tcPr>
            <w:tcW w:w="2268" w:type="dxa"/>
            <w:shd w:val="clear" w:color="auto" w:fill="auto"/>
          </w:tcPr>
          <w:p w:rsidR="000224CB" w:rsidRPr="004A5227" w:rsidRDefault="000224CB" w:rsidP="002A71A7">
            <w:pPr>
              <w:pStyle w:val="Tabletext"/>
            </w:pPr>
            <w:r w:rsidRPr="004A5227">
              <w:t>Incoming only international service</w:t>
            </w:r>
          </w:p>
        </w:tc>
        <w:tc>
          <w:tcPr>
            <w:tcW w:w="2790" w:type="dxa"/>
            <w:shd w:val="clear" w:color="auto" w:fill="auto"/>
          </w:tcPr>
          <w:p w:rsidR="000224CB" w:rsidRPr="004A5227" w:rsidRDefault="000224CB" w:rsidP="000224CB">
            <w:pPr>
              <w:pStyle w:val="Tabletext"/>
            </w:pPr>
            <w:r w:rsidRPr="004A5227">
              <w:t>Geographic numbers, local numbers, special services numbers and private numbers</w:t>
            </w:r>
          </w:p>
        </w:tc>
      </w:tr>
      <w:tr w:rsidR="000224CB" w:rsidRPr="004A5227" w:rsidTr="002A71A7">
        <w:tc>
          <w:tcPr>
            <w:tcW w:w="714" w:type="dxa"/>
            <w:shd w:val="clear" w:color="auto" w:fill="auto"/>
          </w:tcPr>
          <w:p w:rsidR="000224CB" w:rsidRPr="004A5227" w:rsidRDefault="000224CB" w:rsidP="002A71A7">
            <w:pPr>
              <w:pStyle w:val="Tabletext"/>
            </w:pPr>
            <w:r w:rsidRPr="004A5227">
              <w:t>13</w:t>
            </w:r>
          </w:p>
        </w:tc>
        <w:tc>
          <w:tcPr>
            <w:tcW w:w="1266" w:type="dxa"/>
            <w:shd w:val="clear" w:color="auto" w:fill="auto"/>
          </w:tcPr>
          <w:p w:rsidR="000224CB" w:rsidRPr="004A5227" w:rsidRDefault="000224CB" w:rsidP="002A71A7">
            <w:pPr>
              <w:pStyle w:val="Tabletext"/>
            </w:pPr>
            <w:r w:rsidRPr="004A5227">
              <w:t>141</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Geographic numbers, local numbers, selectable shared numbers and digital mobile numbers</w:t>
            </w:r>
          </w:p>
        </w:tc>
      </w:tr>
      <w:tr w:rsidR="000224CB" w:rsidRPr="004A5227" w:rsidTr="002A71A7">
        <w:tc>
          <w:tcPr>
            <w:tcW w:w="714" w:type="dxa"/>
            <w:shd w:val="clear" w:color="auto" w:fill="auto"/>
          </w:tcPr>
          <w:p w:rsidR="000224CB" w:rsidRPr="004A5227" w:rsidRDefault="000224CB" w:rsidP="002A71A7">
            <w:pPr>
              <w:pStyle w:val="Tabletext"/>
            </w:pPr>
            <w:r w:rsidRPr="004A5227">
              <w:t>14</w:t>
            </w:r>
          </w:p>
        </w:tc>
        <w:tc>
          <w:tcPr>
            <w:tcW w:w="1266" w:type="dxa"/>
            <w:shd w:val="clear" w:color="auto" w:fill="auto"/>
          </w:tcPr>
          <w:p w:rsidR="000224CB" w:rsidRPr="004A5227" w:rsidRDefault="000224CB" w:rsidP="002A71A7">
            <w:pPr>
              <w:pStyle w:val="Tabletext"/>
            </w:pPr>
            <w:r w:rsidRPr="004A5227">
              <w:t>142</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Geographic numbers, local numbers, selectable shared numbers and digital mobile numbers</w:t>
            </w:r>
          </w:p>
        </w:tc>
      </w:tr>
      <w:tr w:rsidR="000224CB" w:rsidRPr="004A5227" w:rsidTr="002A71A7">
        <w:tc>
          <w:tcPr>
            <w:tcW w:w="714" w:type="dxa"/>
            <w:shd w:val="clear" w:color="auto" w:fill="auto"/>
          </w:tcPr>
          <w:p w:rsidR="000224CB" w:rsidRPr="004A5227" w:rsidRDefault="000224CB" w:rsidP="002A71A7">
            <w:pPr>
              <w:pStyle w:val="Tabletext"/>
            </w:pPr>
            <w:r w:rsidRPr="004A5227">
              <w:t>15</w:t>
            </w:r>
          </w:p>
        </w:tc>
        <w:tc>
          <w:tcPr>
            <w:tcW w:w="1266" w:type="dxa"/>
            <w:shd w:val="clear" w:color="auto" w:fill="auto"/>
          </w:tcPr>
          <w:p w:rsidR="000224CB" w:rsidRPr="004A5227" w:rsidRDefault="000224CB" w:rsidP="002A71A7">
            <w:pPr>
              <w:pStyle w:val="Tabletext"/>
            </w:pPr>
            <w:r w:rsidRPr="004A5227">
              <w:t>143</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Geographic numbers, local numbers, selectable shared numbers and digital mobile numbers</w:t>
            </w:r>
          </w:p>
        </w:tc>
      </w:tr>
      <w:tr w:rsidR="000224CB" w:rsidRPr="004A5227" w:rsidTr="002A71A7">
        <w:tc>
          <w:tcPr>
            <w:tcW w:w="714" w:type="dxa"/>
            <w:shd w:val="clear" w:color="auto" w:fill="auto"/>
          </w:tcPr>
          <w:p w:rsidR="000224CB" w:rsidRPr="004A5227" w:rsidRDefault="000224CB" w:rsidP="002A71A7">
            <w:pPr>
              <w:pStyle w:val="Tabletext"/>
            </w:pPr>
            <w:r w:rsidRPr="004A5227">
              <w:t>16</w:t>
            </w:r>
          </w:p>
        </w:tc>
        <w:tc>
          <w:tcPr>
            <w:tcW w:w="1266" w:type="dxa"/>
            <w:shd w:val="clear" w:color="auto" w:fill="auto"/>
          </w:tcPr>
          <w:p w:rsidR="000224CB" w:rsidRPr="004A5227" w:rsidRDefault="000224CB" w:rsidP="002A71A7">
            <w:pPr>
              <w:pStyle w:val="Tabletext"/>
            </w:pPr>
            <w:r w:rsidRPr="004A5227">
              <w:t>144</w:t>
            </w:r>
          </w:p>
        </w:tc>
        <w:tc>
          <w:tcPr>
            <w:tcW w:w="1276" w:type="dxa"/>
            <w:shd w:val="clear" w:color="auto" w:fill="auto"/>
          </w:tcPr>
          <w:p w:rsidR="000224CB" w:rsidRPr="004A5227" w:rsidRDefault="000224CB" w:rsidP="002A71A7">
            <w:pPr>
              <w:pStyle w:val="Tabletext"/>
            </w:pPr>
            <w:r w:rsidRPr="004A5227">
              <w:t>4</w:t>
            </w:r>
          </w:p>
        </w:tc>
        <w:tc>
          <w:tcPr>
            <w:tcW w:w="2268" w:type="dxa"/>
            <w:shd w:val="clear" w:color="auto" w:fill="auto"/>
          </w:tcPr>
          <w:p w:rsidR="000224CB" w:rsidRPr="004A5227" w:rsidRDefault="0017435B" w:rsidP="002A71A7">
            <w:pPr>
              <w:pStyle w:val="Tabletext"/>
            </w:pPr>
            <w:r w:rsidRPr="004A5227">
              <w:t>Interconnect and routing service</w:t>
            </w:r>
          </w:p>
        </w:tc>
        <w:tc>
          <w:tcPr>
            <w:tcW w:w="2790" w:type="dxa"/>
            <w:shd w:val="clear" w:color="auto" w:fill="auto"/>
          </w:tcPr>
          <w:p w:rsidR="000224CB" w:rsidRPr="004A5227" w:rsidRDefault="000224CB" w:rsidP="002A71A7">
            <w:pPr>
              <w:pStyle w:val="Tabletext"/>
            </w:pPr>
            <w:r w:rsidRPr="004A5227">
              <w:t xml:space="preserve">Geographic numbers, local numbers, selectable shared numbers and digital mobile </w:t>
            </w:r>
            <w:r w:rsidRPr="004A5227">
              <w:lastRenderedPageBreak/>
              <w:t>numbers</w:t>
            </w:r>
          </w:p>
        </w:tc>
      </w:tr>
      <w:tr w:rsidR="0017435B" w:rsidRPr="004A5227" w:rsidTr="002A71A7">
        <w:tc>
          <w:tcPr>
            <w:tcW w:w="714" w:type="dxa"/>
            <w:shd w:val="clear" w:color="auto" w:fill="auto"/>
          </w:tcPr>
          <w:p w:rsidR="0017435B" w:rsidRPr="004A5227" w:rsidRDefault="0017435B" w:rsidP="002A71A7">
            <w:pPr>
              <w:pStyle w:val="Tabletext"/>
            </w:pPr>
            <w:r w:rsidRPr="004A5227">
              <w:lastRenderedPageBreak/>
              <w:t>17</w:t>
            </w:r>
          </w:p>
        </w:tc>
        <w:tc>
          <w:tcPr>
            <w:tcW w:w="1266" w:type="dxa"/>
            <w:shd w:val="clear" w:color="auto" w:fill="auto"/>
          </w:tcPr>
          <w:p w:rsidR="0017435B" w:rsidRPr="004A5227" w:rsidRDefault="0017435B" w:rsidP="002A71A7">
            <w:pPr>
              <w:pStyle w:val="Tabletext"/>
            </w:pPr>
            <w:r w:rsidRPr="004A5227">
              <w:t>145</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shd w:val="clear" w:color="auto" w:fill="auto"/>
          </w:tcPr>
          <w:p w:rsidR="0017435B" w:rsidRPr="004A5227" w:rsidRDefault="0017435B" w:rsidP="002A71A7">
            <w:pPr>
              <w:pStyle w:val="Tabletext"/>
            </w:pPr>
            <w:r w:rsidRPr="004A5227">
              <w:t>18</w:t>
            </w:r>
          </w:p>
        </w:tc>
        <w:tc>
          <w:tcPr>
            <w:tcW w:w="1266" w:type="dxa"/>
            <w:shd w:val="clear" w:color="auto" w:fill="auto"/>
          </w:tcPr>
          <w:p w:rsidR="0017435B" w:rsidRPr="004A5227" w:rsidRDefault="0017435B" w:rsidP="002A71A7">
            <w:pPr>
              <w:pStyle w:val="Tabletext"/>
            </w:pPr>
            <w:r w:rsidRPr="004A5227">
              <w:t>146</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shd w:val="clear" w:color="auto" w:fill="auto"/>
          </w:tcPr>
          <w:p w:rsidR="0017435B" w:rsidRPr="004A5227" w:rsidRDefault="0017435B" w:rsidP="002A71A7">
            <w:pPr>
              <w:pStyle w:val="Tabletext"/>
            </w:pPr>
            <w:r w:rsidRPr="004A5227">
              <w:t>19</w:t>
            </w:r>
          </w:p>
        </w:tc>
        <w:tc>
          <w:tcPr>
            <w:tcW w:w="1266" w:type="dxa"/>
            <w:shd w:val="clear" w:color="auto" w:fill="auto"/>
          </w:tcPr>
          <w:p w:rsidR="0017435B" w:rsidRPr="004A5227" w:rsidRDefault="0017435B" w:rsidP="002A71A7">
            <w:pPr>
              <w:pStyle w:val="Tabletext"/>
            </w:pPr>
            <w:r w:rsidRPr="004A5227">
              <w:t>147</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shd w:val="clear" w:color="auto" w:fill="auto"/>
          </w:tcPr>
          <w:p w:rsidR="0017435B" w:rsidRPr="004A5227" w:rsidRDefault="0017435B" w:rsidP="002A71A7">
            <w:pPr>
              <w:pStyle w:val="Tabletext"/>
            </w:pPr>
            <w:r w:rsidRPr="004A5227">
              <w:t>20</w:t>
            </w:r>
          </w:p>
        </w:tc>
        <w:tc>
          <w:tcPr>
            <w:tcW w:w="1266" w:type="dxa"/>
            <w:shd w:val="clear" w:color="auto" w:fill="auto"/>
          </w:tcPr>
          <w:p w:rsidR="0017435B" w:rsidRPr="004A5227" w:rsidRDefault="0017435B" w:rsidP="002A71A7">
            <w:pPr>
              <w:pStyle w:val="Tabletext"/>
            </w:pPr>
            <w:r w:rsidRPr="004A5227">
              <w:t>148</w:t>
            </w:r>
          </w:p>
        </w:tc>
        <w:tc>
          <w:tcPr>
            <w:tcW w:w="1276" w:type="dxa"/>
            <w:shd w:val="clear" w:color="auto" w:fill="auto"/>
          </w:tcPr>
          <w:p w:rsidR="0017435B" w:rsidRPr="004A5227" w:rsidRDefault="0017435B" w:rsidP="002A71A7">
            <w:pPr>
              <w:pStyle w:val="Tabletext"/>
            </w:pPr>
            <w:r w:rsidRPr="004A5227">
              <w:t>4</w:t>
            </w:r>
          </w:p>
        </w:tc>
        <w:tc>
          <w:tcPr>
            <w:tcW w:w="2268" w:type="dxa"/>
            <w:shd w:val="clear" w:color="auto" w:fill="auto"/>
          </w:tcPr>
          <w:p w:rsidR="0017435B" w:rsidRPr="004A5227" w:rsidRDefault="0017435B" w:rsidP="00C35720">
            <w:pPr>
              <w:pStyle w:val="Tabletext"/>
            </w:pPr>
            <w:r w:rsidRPr="004A5227">
              <w:t>Interconnect and routing service</w:t>
            </w:r>
          </w:p>
        </w:tc>
        <w:tc>
          <w:tcPr>
            <w:tcW w:w="2790" w:type="dxa"/>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tcBorders>
              <w:bottom w:val="single" w:sz="4" w:space="0" w:color="auto"/>
            </w:tcBorders>
            <w:shd w:val="clear" w:color="auto" w:fill="auto"/>
          </w:tcPr>
          <w:p w:rsidR="0017435B" w:rsidRPr="004A5227" w:rsidRDefault="0017435B" w:rsidP="002A71A7">
            <w:pPr>
              <w:pStyle w:val="Tabletext"/>
            </w:pPr>
            <w:r w:rsidRPr="004A5227">
              <w:t>21</w:t>
            </w:r>
          </w:p>
        </w:tc>
        <w:tc>
          <w:tcPr>
            <w:tcW w:w="1266" w:type="dxa"/>
            <w:tcBorders>
              <w:bottom w:val="single" w:sz="4" w:space="0" w:color="auto"/>
            </w:tcBorders>
            <w:shd w:val="clear" w:color="auto" w:fill="auto"/>
          </w:tcPr>
          <w:p w:rsidR="0017435B" w:rsidRPr="004A5227" w:rsidRDefault="0017435B" w:rsidP="002A71A7">
            <w:pPr>
              <w:pStyle w:val="Tabletext"/>
            </w:pPr>
            <w:r w:rsidRPr="004A5227">
              <w:t>149</w:t>
            </w:r>
          </w:p>
        </w:tc>
        <w:tc>
          <w:tcPr>
            <w:tcW w:w="1276" w:type="dxa"/>
            <w:tcBorders>
              <w:bottom w:val="single" w:sz="4" w:space="0" w:color="auto"/>
            </w:tcBorders>
            <w:shd w:val="clear" w:color="auto" w:fill="auto"/>
          </w:tcPr>
          <w:p w:rsidR="0017435B" w:rsidRPr="004A5227" w:rsidRDefault="0017435B" w:rsidP="002A71A7">
            <w:pPr>
              <w:pStyle w:val="Tabletext"/>
            </w:pPr>
            <w:r w:rsidRPr="004A5227">
              <w:t>4</w:t>
            </w:r>
          </w:p>
        </w:tc>
        <w:tc>
          <w:tcPr>
            <w:tcW w:w="2268" w:type="dxa"/>
            <w:tcBorders>
              <w:bottom w:val="single" w:sz="4" w:space="0" w:color="auto"/>
            </w:tcBorders>
            <w:shd w:val="clear" w:color="auto" w:fill="auto"/>
          </w:tcPr>
          <w:p w:rsidR="0017435B" w:rsidRPr="004A5227" w:rsidRDefault="0017435B" w:rsidP="00C35720">
            <w:pPr>
              <w:pStyle w:val="Tabletext"/>
            </w:pPr>
            <w:r w:rsidRPr="004A5227">
              <w:t>Interconnect and routing service</w:t>
            </w:r>
          </w:p>
        </w:tc>
        <w:tc>
          <w:tcPr>
            <w:tcW w:w="2790" w:type="dxa"/>
            <w:tcBorders>
              <w:bottom w:val="single" w:sz="4" w:space="0" w:color="auto"/>
            </w:tcBorders>
            <w:shd w:val="clear" w:color="auto" w:fill="auto"/>
          </w:tcPr>
          <w:p w:rsidR="0017435B" w:rsidRPr="004A5227" w:rsidRDefault="0017435B" w:rsidP="002A71A7">
            <w:pPr>
              <w:pStyle w:val="Tabletext"/>
            </w:pPr>
            <w:r w:rsidRPr="004A5227">
              <w:t>Geographic numbers, local numbers, selectable shared numbers and digital mobile numbers</w:t>
            </w:r>
          </w:p>
        </w:tc>
      </w:tr>
      <w:tr w:rsidR="0017435B" w:rsidRPr="004A5227" w:rsidTr="002A71A7">
        <w:tc>
          <w:tcPr>
            <w:tcW w:w="714" w:type="dxa"/>
            <w:tcBorders>
              <w:bottom w:val="single" w:sz="12" w:space="0" w:color="auto"/>
            </w:tcBorders>
            <w:shd w:val="clear" w:color="auto" w:fill="auto"/>
          </w:tcPr>
          <w:p w:rsidR="0017435B" w:rsidRPr="004A5227" w:rsidRDefault="0017435B" w:rsidP="002A71A7">
            <w:pPr>
              <w:pStyle w:val="Tabletext"/>
            </w:pPr>
            <w:r w:rsidRPr="004A5227">
              <w:t>22</w:t>
            </w:r>
          </w:p>
        </w:tc>
        <w:tc>
          <w:tcPr>
            <w:tcW w:w="1266" w:type="dxa"/>
            <w:tcBorders>
              <w:bottom w:val="single" w:sz="12" w:space="0" w:color="auto"/>
            </w:tcBorders>
            <w:shd w:val="clear" w:color="auto" w:fill="auto"/>
          </w:tcPr>
          <w:p w:rsidR="0017435B" w:rsidRPr="004A5227" w:rsidRDefault="0017435B" w:rsidP="002A71A7">
            <w:pPr>
              <w:pStyle w:val="Tabletext"/>
            </w:pPr>
            <w:r w:rsidRPr="004A5227">
              <w:t>188</w:t>
            </w:r>
          </w:p>
        </w:tc>
        <w:tc>
          <w:tcPr>
            <w:tcW w:w="1276" w:type="dxa"/>
            <w:tcBorders>
              <w:bottom w:val="single" w:sz="12" w:space="0" w:color="auto"/>
            </w:tcBorders>
            <w:shd w:val="clear" w:color="auto" w:fill="auto"/>
          </w:tcPr>
          <w:p w:rsidR="0017435B" w:rsidRPr="004A5227" w:rsidRDefault="0017435B" w:rsidP="002A71A7">
            <w:pPr>
              <w:pStyle w:val="Tabletext"/>
            </w:pPr>
            <w:r w:rsidRPr="004A5227">
              <w:t>5</w:t>
            </w:r>
          </w:p>
        </w:tc>
        <w:tc>
          <w:tcPr>
            <w:tcW w:w="2268" w:type="dxa"/>
            <w:tcBorders>
              <w:bottom w:val="single" w:sz="12" w:space="0" w:color="auto"/>
            </w:tcBorders>
            <w:shd w:val="clear" w:color="auto" w:fill="auto"/>
          </w:tcPr>
          <w:p w:rsidR="0017435B" w:rsidRPr="004A5227" w:rsidRDefault="0017435B" w:rsidP="002A71A7">
            <w:pPr>
              <w:pStyle w:val="Tabletext"/>
            </w:pPr>
            <w:r w:rsidRPr="004A5227">
              <w:t>Virtual private network service</w:t>
            </w:r>
          </w:p>
        </w:tc>
        <w:tc>
          <w:tcPr>
            <w:tcW w:w="2790" w:type="dxa"/>
            <w:tcBorders>
              <w:bottom w:val="single" w:sz="12" w:space="0" w:color="auto"/>
            </w:tcBorders>
            <w:shd w:val="clear" w:color="auto" w:fill="auto"/>
          </w:tcPr>
          <w:p w:rsidR="0017435B" w:rsidRPr="004A5227" w:rsidRDefault="0017435B" w:rsidP="0017435B">
            <w:pPr>
              <w:pStyle w:val="Tabletext"/>
            </w:pPr>
            <w:r w:rsidRPr="004A5227">
              <w:t>Geographic numbers, local numbers, international numbers, special services numbers and private numbers</w:t>
            </w:r>
          </w:p>
        </w:tc>
      </w:tr>
    </w:tbl>
    <w:p w:rsidR="001A6E69" w:rsidRPr="004A5227" w:rsidRDefault="001A6E69" w:rsidP="001A6E69">
      <w:pPr>
        <w:pStyle w:val="ActHead5"/>
      </w:pPr>
      <w:bookmarkStart w:id="206" w:name="_Toc413419204"/>
      <w:r w:rsidRPr="004A5227">
        <w:rPr>
          <w:rStyle w:val="CharSectno"/>
        </w:rPr>
        <w:t>2</w:t>
      </w:r>
      <w:r w:rsidRPr="004A5227">
        <w:t xml:space="preserve">  </w:t>
      </w:r>
      <w:r w:rsidR="00D86814" w:rsidRPr="004A5227">
        <w:t>A</w:t>
      </w:r>
      <w:r w:rsidRPr="004A5227">
        <w:t>ccess codes that are shared</w:t>
      </w:r>
      <w:bookmarkEnd w:id="206"/>
    </w:p>
    <w:p w:rsidR="001A6E69" w:rsidRPr="004A5227" w:rsidRDefault="001A6E69" w:rsidP="001A6E69">
      <w:pPr>
        <w:pStyle w:val="subsection"/>
      </w:pPr>
      <w:r w:rsidRPr="004A5227">
        <w:tab/>
      </w:r>
      <w:r w:rsidRPr="004A5227">
        <w:tab/>
        <w:t>The following table sets out the form of access codes that are shared numbers, and provides information on the way in which the numbers can be used.</w:t>
      </w:r>
    </w:p>
    <w:p w:rsidR="001A6E69" w:rsidRPr="004A5227" w:rsidRDefault="001A6E69" w:rsidP="001A6E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276"/>
        <w:gridCol w:w="2268"/>
        <w:gridCol w:w="2790"/>
      </w:tblGrid>
      <w:tr w:rsidR="001A6E69" w:rsidRPr="004A5227" w:rsidTr="002A71A7">
        <w:trPr>
          <w:tblHeader/>
        </w:trPr>
        <w:tc>
          <w:tcPr>
            <w:tcW w:w="8314" w:type="dxa"/>
            <w:gridSpan w:val="5"/>
            <w:tcBorders>
              <w:top w:val="single" w:sz="12" w:space="0" w:color="auto"/>
              <w:bottom w:val="single" w:sz="6" w:space="0" w:color="auto"/>
            </w:tcBorders>
            <w:shd w:val="clear" w:color="auto" w:fill="auto"/>
          </w:tcPr>
          <w:p w:rsidR="001A6E69" w:rsidRPr="004A5227" w:rsidRDefault="001A6E69" w:rsidP="00D00F96">
            <w:pPr>
              <w:pStyle w:val="TableHeading"/>
            </w:pPr>
            <w:r w:rsidRPr="004A5227">
              <w:t>Access codes</w:t>
            </w:r>
          </w:p>
        </w:tc>
      </w:tr>
      <w:tr w:rsidR="001A6E69" w:rsidRPr="004A5227" w:rsidTr="002A71A7">
        <w:trPr>
          <w:tblHeader/>
        </w:trPr>
        <w:tc>
          <w:tcPr>
            <w:tcW w:w="714"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Item</w:t>
            </w:r>
          </w:p>
        </w:tc>
        <w:tc>
          <w:tcPr>
            <w:tcW w:w="126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1</w:t>
            </w:r>
          </w:p>
          <w:p w:rsidR="001A6E69" w:rsidRPr="004A5227" w:rsidRDefault="001A6E69" w:rsidP="00D00F96">
            <w:pPr>
              <w:pStyle w:val="TableHeading"/>
            </w:pPr>
            <w:r w:rsidRPr="004A5227">
              <w:t>First digits or symbols</w:t>
            </w:r>
          </w:p>
        </w:tc>
        <w:tc>
          <w:tcPr>
            <w:tcW w:w="1276"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2</w:t>
            </w:r>
          </w:p>
          <w:p w:rsidR="001A6E69" w:rsidRPr="004A5227" w:rsidRDefault="001A6E69" w:rsidP="00D00F96">
            <w:pPr>
              <w:pStyle w:val="TableHeading"/>
            </w:pPr>
            <w:r w:rsidRPr="004A5227">
              <w:t>Number of digits or symbols</w:t>
            </w:r>
          </w:p>
        </w:tc>
        <w:tc>
          <w:tcPr>
            <w:tcW w:w="2268"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3</w:t>
            </w:r>
          </w:p>
          <w:p w:rsidR="001A6E69" w:rsidRPr="004A5227" w:rsidRDefault="001A6E69" w:rsidP="00D00F96">
            <w:pPr>
              <w:pStyle w:val="TableHeading"/>
            </w:pPr>
            <w:r w:rsidRPr="004A5227">
              <w:t>Type of service</w:t>
            </w:r>
          </w:p>
        </w:tc>
        <w:tc>
          <w:tcPr>
            <w:tcW w:w="2790" w:type="dxa"/>
            <w:tcBorders>
              <w:top w:val="single" w:sz="6" w:space="0" w:color="auto"/>
              <w:bottom w:val="single" w:sz="12" w:space="0" w:color="auto"/>
            </w:tcBorders>
            <w:shd w:val="clear" w:color="auto" w:fill="auto"/>
          </w:tcPr>
          <w:p w:rsidR="001A6E69" w:rsidRPr="004A5227" w:rsidRDefault="001A6E69" w:rsidP="00D00F96">
            <w:pPr>
              <w:pStyle w:val="TableHeading"/>
            </w:pPr>
            <w:r w:rsidRPr="004A5227">
              <w:t>Column 4</w:t>
            </w:r>
          </w:p>
          <w:p w:rsidR="001A6E69" w:rsidRPr="004A5227" w:rsidRDefault="001A6E69" w:rsidP="00D00F96">
            <w:pPr>
              <w:pStyle w:val="TableHeading"/>
            </w:pPr>
            <w:r w:rsidRPr="004A5227">
              <w:t>Numbers that can be prefixed</w:t>
            </w:r>
          </w:p>
        </w:tc>
      </w:tr>
      <w:tr w:rsidR="001A6E69" w:rsidRPr="004A5227" w:rsidTr="002A71A7">
        <w:tc>
          <w:tcPr>
            <w:tcW w:w="714" w:type="dxa"/>
            <w:tcBorders>
              <w:top w:val="single" w:sz="12" w:space="0" w:color="auto"/>
            </w:tcBorders>
            <w:shd w:val="clear" w:color="auto" w:fill="auto"/>
          </w:tcPr>
          <w:p w:rsidR="001A6E69" w:rsidRPr="004A5227" w:rsidRDefault="001A6E69" w:rsidP="002A71A7">
            <w:pPr>
              <w:pStyle w:val="Tabletext"/>
            </w:pPr>
            <w:r w:rsidRPr="004A5227">
              <w:t>1</w:t>
            </w:r>
          </w:p>
        </w:tc>
        <w:tc>
          <w:tcPr>
            <w:tcW w:w="1266" w:type="dxa"/>
            <w:tcBorders>
              <w:top w:val="single" w:sz="12" w:space="0" w:color="auto"/>
            </w:tcBorders>
            <w:shd w:val="clear" w:color="auto" w:fill="auto"/>
          </w:tcPr>
          <w:p w:rsidR="001A6E69" w:rsidRPr="004A5227" w:rsidRDefault="001A6E69" w:rsidP="002A71A7">
            <w:pPr>
              <w:pStyle w:val="Tabletext"/>
            </w:pPr>
            <w:r w:rsidRPr="004A5227">
              <w:t>0011</w:t>
            </w:r>
          </w:p>
        </w:tc>
        <w:tc>
          <w:tcPr>
            <w:tcW w:w="1276" w:type="dxa"/>
            <w:tcBorders>
              <w:top w:val="single" w:sz="12" w:space="0" w:color="auto"/>
            </w:tcBorders>
            <w:shd w:val="clear" w:color="auto" w:fill="auto"/>
          </w:tcPr>
          <w:p w:rsidR="001A6E69" w:rsidRPr="004A5227" w:rsidRDefault="001A6E69" w:rsidP="002A71A7">
            <w:pPr>
              <w:pStyle w:val="Tabletext"/>
            </w:pPr>
            <w:r w:rsidRPr="004A5227">
              <w:t>4</w:t>
            </w:r>
          </w:p>
        </w:tc>
        <w:tc>
          <w:tcPr>
            <w:tcW w:w="2268" w:type="dxa"/>
            <w:tcBorders>
              <w:top w:val="single" w:sz="12" w:space="0" w:color="auto"/>
            </w:tcBorders>
            <w:shd w:val="clear" w:color="auto" w:fill="auto"/>
          </w:tcPr>
          <w:p w:rsidR="001A6E69" w:rsidRPr="004A5227" w:rsidRDefault="001A6E69" w:rsidP="002A71A7">
            <w:pPr>
              <w:pStyle w:val="Tabletext"/>
            </w:pPr>
            <w:r w:rsidRPr="004A5227">
              <w:t>International direct dial service</w:t>
            </w:r>
          </w:p>
        </w:tc>
        <w:tc>
          <w:tcPr>
            <w:tcW w:w="2790" w:type="dxa"/>
            <w:tcBorders>
              <w:top w:val="single" w:sz="12" w:space="0" w:color="auto"/>
            </w:tcBorders>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1A6E69" w:rsidP="002A71A7">
            <w:pPr>
              <w:pStyle w:val="Tabletext"/>
            </w:pPr>
            <w:r w:rsidRPr="004A5227">
              <w:t>2</w:t>
            </w:r>
          </w:p>
        </w:tc>
        <w:tc>
          <w:tcPr>
            <w:tcW w:w="1266" w:type="dxa"/>
            <w:shd w:val="clear" w:color="auto" w:fill="auto"/>
          </w:tcPr>
          <w:p w:rsidR="001A6E69" w:rsidRPr="004A5227" w:rsidRDefault="001A6E69" w:rsidP="002A71A7">
            <w:pPr>
              <w:pStyle w:val="Tabletext"/>
            </w:pPr>
            <w:r w:rsidRPr="004A5227">
              <w:t>0012</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International ring back price service</w:t>
            </w:r>
          </w:p>
        </w:tc>
        <w:tc>
          <w:tcPr>
            <w:tcW w:w="2790" w:type="dxa"/>
            <w:shd w:val="clear" w:color="auto" w:fill="auto"/>
          </w:tcPr>
          <w:p w:rsidR="001A6E69" w:rsidRPr="004A5227" w:rsidRDefault="001A6E69" w:rsidP="002A71A7">
            <w:pPr>
              <w:pStyle w:val="Tabletext"/>
            </w:pPr>
            <w:r w:rsidRPr="004A5227">
              <w:t>International numbers</w:t>
            </w:r>
          </w:p>
        </w:tc>
      </w:tr>
      <w:tr w:rsidR="001A6E69" w:rsidRPr="004A5227" w:rsidTr="002A71A7">
        <w:tc>
          <w:tcPr>
            <w:tcW w:w="714" w:type="dxa"/>
            <w:shd w:val="clear" w:color="auto" w:fill="auto"/>
          </w:tcPr>
          <w:p w:rsidR="001A6E69" w:rsidRPr="004A5227" w:rsidRDefault="001A6E69" w:rsidP="002A71A7">
            <w:pPr>
              <w:pStyle w:val="Tabletext"/>
            </w:pPr>
            <w:r w:rsidRPr="004A5227">
              <w:t>3</w:t>
            </w:r>
          </w:p>
        </w:tc>
        <w:tc>
          <w:tcPr>
            <w:tcW w:w="1266" w:type="dxa"/>
            <w:shd w:val="clear" w:color="auto" w:fill="auto"/>
          </w:tcPr>
          <w:p w:rsidR="001A6E69" w:rsidRPr="004A5227" w:rsidRDefault="001A6E69" w:rsidP="002A71A7">
            <w:pPr>
              <w:pStyle w:val="Tabletext"/>
            </w:pPr>
            <w:r w:rsidRPr="004A5227">
              <w:t>1831</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shd w:val="clear" w:color="auto" w:fill="auto"/>
          </w:tcPr>
          <w:p w:rsidR="001A6E69" w:rsidRPr="004A5227" w:rsidRDefault="001A6E69" w:rsidP="001C3C0F">
            <w:pPr>
              <w:pStyle w:val="Tabletext"/>
            </w:pPr>
            <w:r w:rsidRPr="004A5227">
              <w:t>Geographic numbers, local numbers, international numbers and special services numbers</w:t>
            </w:r>
          </w:p>
        </w:tc>
      </w:tr>
      <w:tr w:rsidR="001A6E69" w:rsidRPr="004A5227" w:rsidTr="002A71A7">
        <w:tc>
          <w:tcPr>
            <w:tcW w:w="714" w:type="dxa"/>
            <w:shd w:val="clear" w:color="auto" w:fill="auto"/>
          </w:tcPr>
          <w:p w:rsidR="001A6E69" w:rsidRPr="004A5227" w:rsidRDefault="001A6E69" w:rsidP="002A71A7">
            <w:pPr>
              <w:pStyle w:val="Tabletext"/>
            </w:pPr>
            <w:r w:rsidRPr="004A5227">
              <w:t>4</w:t>
            </w:r>
          </w:p>
        </w:tc>
        <w:tc>
          <w:tcPr>
            <w:tcW w:w="1266" w:type="dxa"/>
            <w:shd w:val="clear" w:color="auto" w:fill="auto"/>
          </w:tcPr>
          <w:p w:rsidR="001A6E69" w:rsidRPr="004A5227" w:rsidRDefault="001A6E69" w:rsidP="002A71A7">
            <w:pPr>
              <w:pStyle w:val="Tabletext"/>
            </w:pPr>
            <w:r w:rsidRPr="004A5227">
              <w:t>1832</w:t>
            </w:r>
          </w:p>
        </w:tc>
        <w:tc>
          <w:tcPr>
            <w:tcW w:w="1276" w:type="dxa"/>
            <w:shd w:val="clear" w:color="auto" w:fill="auto"/>
          </w:tcPr>
          <w:p w:rsidR="001A6E69" w:rsidRPr="004A5227" w:rsidRDefault="001A6E69" w:rsidP="002A71A7">
            <w:pPr>
              <w:pStyle w:val="Tabletext"/>
            </w:pPr>
            <w:r w:rsidRPr="004A5227">
              <w:t>4</w:t>
            </w:r>
          </w:p>
        </w:tc>
        <w:tc>
          <w:tcPr>
            <w:tcW w:w="2268" w:type="dxa"/>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(unblock </w:t>
            </w:r>
            <w:r w:rsidRPr="004A5227">
              <w:lastRenderedPageBreak/>
              <w:t>display)</w:t>
            </w:r>
          </w:p>
        </w:tc>
        <w:tc>
          <w:tcPr>
            <w:tcW w:w="2790" w:type="dxa"/>
            <w:shd w:val="clear" w:color="auto" w:fill="auto"/>
          </w:tcPr>
          <w:p w:rsidR="001A6E69" w:rsidRPr="004A5227" w:rsidRDefault="001A6E69" w:rsidP="002A71A7">
            <w:pPr>
              <w:pStyle w:val="Tabletext"/>
            </w:pPr>
            <w:r w:rsidRPr="004A5227">
              <w:lastRenderedPageBreak/>
              <w:t xml:space="preserve">Geographic numbers, local numbers, international numbers </w:t>
            </w:r>
            <w:r w:rsidRPr="004A5227">
              <w:lastRenderedPageBreak/>
              <w:t>and special services numbers</w:t>
            </w:r>
          </w:p>
        </w:tc>
      </w:tr>
      <w:tr w:rsidR="001A6E69" w:rsidRPr="004A5227" w:rsidTr="002A71A7">
        <w:tc>
          <w:tcPr>
            <w:tcW w:w="714" w:type="dxa"/>
            <w:tcBorders>
              <w:bottom w:val="single" w:sz="4" w:space="0" w:color="auto"/>
            </w:tcBorders>
            <w:shd w:val="clear" w:color="auto" w:fill="auto"/>
          </w:tcPr>
          <w:p w:rsidR="001A6E69" w:rsidRPr="004A5227" w:rsidRDefault="001A6E69" w:rsidP="002A71A7">
            <w:pPr>
              <w:pStyle w:val="Tabletext"/>
            </w:pPr>
            <w:r w:rsidRPr="004A5227">
              <w:lastRenderedPageBreak/>
              <w:t>5</w:t>
            </w:r>
          </w:p>
        </w:tc>
        <w:tc>
          <w:tcPr>
            <w:tcW w:w="1266" w:type="dxa"/>
            <w:tcBorders>
              <w:bottom w:val="single" w:sz="4" w:space="0" w:color="auto"/>
            </w:tcBorders>
            <w:shd w:val="clear" w:color="auto" w:fill="auto"/>
          </w:tcPr>
          <w:p w:rsidR="001A6E69" w:rsidRPr="004A5227" w:rsidRDefault="004A5227" w:rsidP="002A71A7">
            <w:pPr>
              <w:pStyle w:val="Tabletext"/>
            </w:pPr>
            <w:r w:rsidRPr="004A5227">
              <w:rPr>
                <w:position w:val="6"/>
                <w:sz w:val="16"/>
              </w:rPr>
              <w:t>*</w:t>
            </w:r>
            <w:r w:rsidR="001A6E69" w:rsidRPr="004A5227">
              <w:t>31#</w:t>
            </w:r>
          </w:p>
        </w:tc>
        <w:tc>
          <w:tcPr>
            <w:tcW w:w="1276" w:type="dxa"/>
            <w:tcBorders>
              <w:bottom w:val="single" w:sz="4" w:space="0" w:color="auto"/>
            </w:tcBorders>
            <w:shd w:val="clear" w:color="auto" w:fill="auto"/>
          </w:tcPr>
          <w:p w:rsidR="001A6E69" w:rsidRPr="004A5227" w:rsidRDefault="001A6E69" w:rsidP="002A71A7">
            <w:pPr>
              <w:pStyle w:val="Tabletext"/>
            </w:pPr>
            <w:r w:rsidRPr="004A5227">
              <w:t>4</w:t>
            </w:r>
          </w:p>
        </w:tc>
        <w:tc>
          <w:tcPr>
            <w:tcW w:w="2268" w:type="dxa"/>
            <w:tcBorders>
              <w:bottom w:val="single" w:sz="4" w:space="0" w:color="auto"/>
            </w:tcBorders>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(unblock display)</w:t>
            </w:r>
          </w:p>
        </w:tc>
        <w:tc>
          <w:tcPr>
            <w:tcW w:w="2790" w:type="dxa"/>
            <w:tcBorders>
              <w:bottom w:val="single" w:sz="4" w:space="0" w:color="auto"/>
            </w:tcBorders>
            <w:shd w:val="clear" w:color="auto" w:fill="auto"/>
          </w:tcPr>
          <w:p w:rsidR="001A6E69" w:rsidRPr="004A5227" w:rsidRDefault="001A6E69" w:rsidP="002A71A7">
            <w:pPr>
              <w:pStyle w:val="Tabletext"/>
            </w:pPr>
            <w:r w:rsidRPr="004A5227">
              <w:t>Geographic numbers, local numbers, international numbers and special services numbers</w:t>
            </w:r>
          </w:p>
        </w:tc>
      </w:tr>
      <w:tr w:rsidR="001A6E69" w:rsidRPr="004A5227" w:rsidTr="002A71A7">
        <w:tc>
          <w:tcPr>
            <w:tcW w:w="714" w:type="dxa"/>
            <w:tcBorders>
              <w:bottom w:val="single" w:sz="12" w:space="0" w:color="auto"/>
            </w:tcBorders>
            <w:shd w:val="clear" w:color="auto" w:fill="auto"/>
          </w:tcPr>
          <w:p w:rsidR="001A6E69" w:rsidRPr="004A5227" w:rsidRDefault="001A6E69" w:rsidP="002A71A7">
            <w:pPr>
              <w:pStyle w:val="Tabletext"/>
            </w:pPr>
            <w:r w:rsidRPr="004A5227">
              <w:t>6</w:t>
            </w:r>
          </w:p>
        </w:tc>
        <w:tc>
          <w:tcPr>
            <w:tcW w:w="1266" w:type="dxa"/>
            <w:tcBorders>
              <w:bottom w:val="single" w:sz="12" w:space="0" w:color="auto"/>
            </w:tcBorders>
            <w:shd w:val="clear" w:color="auto" w:fill="auto"/>
          </w:tcPr>
          <w:p w:rsidR="001A6E69" w:rsidRPr="004A5227" w:rsidRDefault="001A6E69" w:rsidP="002A71A7">
            <w:pPr>
              <w:pStyle w:val="Tabletext"/>
            </w:pPr>
            <w:r w:rsidRPr="004A5227">
              <w:t>#31#</w:t>
            </w:r>
          </w:p>
        </w:tc>
        <w:tc>
          <w:tcPr>
            <w:tcW w:w="1276" w:type="dxa"/>
            <w:tcBorders>
              <w:bottom w:val="single" w:sz="12" w:space="0" w:color="auto"/>
            </w:tcBorders>
            <w:shd w:val="clear" w:color="auto" w:fill="auto"/>
          </w:tcPr>
          <w:p w:rsidR="001A6E69" w:rsidRPr="004A5227" w:rsidRDefault="001A6E69" w:rsidP="002A71A7">
            <w:pPr>
              <w:pStyle w:val="Tabletext"/>
            </w:pPr>
            <w:r w:rsidRPr="004A5227">
              <w:t>4</w:t>
            </w:r>
          </w:p>
        </w:tc>
        <w:tc>
          <w:tcPr>
            <w:tcW w:w="2268" w:type="dxa"/>
            <w:tcBorders>
              <w:bottom w:val="single" w:sz="12" w:space="0" w:color="auto"/>
            </w:tcBorders>
            <w:shd w:val="clear" w:color="auto" w:fill="auto"/>
          </w:tcPr>
          <w:p w:rsidR="001A6E69" w:rsidRPr="004A5227" w:rsidRDefault="001A6E69" w:rsidP="002A71A7">
            <w:pPr>
              <w:pStyle w:val="Tabletext"/>
            </w:pPr>
            <w:r w:rsidRPr="004A5227">
              <w:t>Call</w:t>
            </w:r>
            <w:r w:rsidR="00727022" w:rsidRPr="004A5227">
              <w:t>ing</w:t>
            </w:r>
            <w:r w:rsidRPr="004A5227">
              <w:t xml:space="preserve"> number display override service (block display)</w:t>
            </w:r>
          </w:p>
        </w:tc>
        <w:tc>
          <w:tcPr>
            <w:tcW w:w="2790" w:type="dxa"/>
            <w:tcBorders>
              <w:bottom w:val="single" w:sz="12" w:space="0" w:color="auto"/>
            </w:tcBorders>
            <w:shd w:val="clear" w:color="auto" w:fill="auto"/>
          </w:tcPr>
          <w:p w:rsidR="001A6E69" w:rsidRPr="004A5227" w:rsidRDefault="001A6E69" w:rsidP="002A71A7">
            <w:pPr>
              <w:pStyle w:val="Tabletext"/>
            </w:pPr>
            <w:r w:rsidRPr="004A5227">
              <w:t>Geographic numbers, local numbers, international numbers and special services numbers</w:t>
            </w:r>
          </w:p>
        </w:tc>
      </w:tr>
    </w:tbl>
    <w:p w:rsidR="00791D81" w:rsidRPr="004A5227" w:rsidRDefault="00791D81" w:rsidP="00791D81">
      <w:pPr>
        <w:pStyle w:val="ActHead1"/>
        <w:pageBreakBefore/>
      </w:pPr>
      <w:bookmarkStart w:id="207" w:name="_Toc413419205"/>
      <w:r w:rsidRPr="004A5227">
        <w:rPr>
          <w:rStyle w:val="CharChapNo"/>
        </w:rPr>
        <w:lastRenderedPageBreak/>
        <w:t>Schedule</w:t>
      </w:r>
      <w:r w:rsidR="004A5227" w:rsidRPr="004A5227">
        <w:rPr>
          <w:rStyle w:val="CharChapNo"/>
        </w:rPr>
        <w:t> </w:t>
      </w:r>
      <w:r w:rsidR="00790A2E" w:rsidRPr="004A5227">
        <w:rPr>
          <w:rStyle w:val="CharChapNo"/>
        </w:rPr>
        <w:t>7</w:t>
      </w:r>
      <w:r w:rsidRPr="004A5227">
        <w:t>—</w:t>
      </w:r>
      <w:r w:rsidRPr="004A5227">
        <w:rPr>
          <w:rStyle w:val="CharChapText"/>
        </w:rPr>
        <w:t>Size of standard unit</w:t>
      </w:r>
      <w:bookmarkEnd w:id="207"/>
    </w:p>
    <w:p w:rsidR="00791D81" w:rsidRPr="004A5227" w:rsidRDefault="00791D81" w:rsidP="00791D81">
      <w:pPr>
        <w:pStyle w:val="notemargin"/>
      </w:pPr>
      <w:r w:rsidRPr="004A5227">
        <w:t>Note:</w:t>
      </w:r>
      <w:r w:rsidRPr="004A5227">
        <w:tab/>
      </w:r>
      <w:r w:rsidR="00060EC0" w:rsidRPr="004A5227">
        <w:t>S</w:t>
      </w:r>
      <w:r w:rsidRPr="004A5227">
        <w:t xml:space="preserve">ee </w:t>
      </w:r>
      <w:r w:rsidR="00366B9C" w:rsidRPr="004A5227">
        <w:t xml:space="preserve">the </w:t>
      </w:r>
      <w:r w:rsidRPr="004A5227">
        <w:t xml:space="preserve">definition of </w:t>
      </w:r>
      <w:r w:rsidRPr="004A5227">
        <w:rPr>
          <w:b/>
          <w:i/>
        </w:rPr>
        <w:t>standard unit</w:t>
      </w:r>
      <w:r w:rsidR="00366B9C" w:rsidRPr="004A5227">
        <w:t xml:space="preserve"> in section</w:t>
      </w:r>
      <w:r w:rsidR="004A5227" w:rsidRPr="004A5227">
        <w:t> </w:t>
      </w:r>
      <w:r w:rsidR="00CA6815" w:rsidRPr="004A5227">
        <w:t>15</w:t>
      </w:r>
      <w:r w:rsidRPr="004A5227">
        <w:t>.</w:t>
      </w:r>
    </w:p>
    <w:p w:rsidR="00791D81" w:rsidRPr="004A5227" w:rsidRDefault="00791D81" w:rsidP="00791D81">
      <w:pPr>
        <w:pStyle w:val="Header"/>
      </w:pPr>
      <w:bookmarkStart w:id="208" w:name="f_Check_Lines_below"/>
      <w:bookmarkEnd w:id="208"/>
      <w:r w:rsidRPr="004A5227">
        <w:rPr>
          <w:rStyle w:val="CharPartNo"/>
        </w:rPr>
        <w:t xml:space="preserve"> </w:t>
      </w:r>
      <w:r w:rsidRPr="004A5227">
        <w:rPr>
          <w:rStyle w:val="CharPartText"/>
        </w:rPr>
        <w:t xml:space="preserve"> </w:t>
      </w:r>
    </w:p>
    <w:p w:rsidR="00791D81" w:rsidRPr="004A5227" w:rsidRDefault="00791D81" w:rsidP="00791D81">
      <w:pPr>
        <w:pStyle w:val="Header"/>
      </w:pPr>
      <w:r w:rsidRPr="004A5227">
        <w:rPr>
          <w:rStyle w:val="CharDivNo"/>
        </w:rPr>
        <w:t xml:space="preserve"> </w:t>
      </w:r>
      <w:r w:rsidRPr="004A5227">
        <w:rPr>
          <w:rStyle w:val="CharDivText"/>
        </w:rPr>
        <w:t xml:space="preserve"> </w:t>
      </w:r>
    </w:p>
    <w:p w:rsidR="00791D81" w:rsidRPr="004A5227" w:rsidRDefault="00791D81" w:rsidP="00791D81">
      <w:pPr>
        <w:pStyle w:val="ActHead5"/>
      </w:pPr>
      <w:bookmarkStart w:id="209" w:name="_Toc413419206"/>
      <w:r w:rsidRPr="004A5227">
        <w:rPr>
          <w:rStyle w:val="CharSectno"/>
        </w:rPr>
        <w:t>1</w:t>
      </w:r>
      <w:r w:rsidRPr="004A5227">
        <w:t xml:space="preserve">  </w:t>
      </w:r>
      <w:r w:rsidR="00366B9C" w:rsidRPr="004A5227">
        <w:t>Size of</w:t>
      </w:r>
      <w:r w:rsidRPr="004A5227">
        <w:t xml:space="preserve"> standard unit for different types of number</w:t>
      </w:r>
      <w:bookmarkEnd w:id="209"/>
    </w:p>
    <w:p w:rsidR="00791D81" w:rsidRPr="004A5227" w:rsidRDefault="00791D81" w:rsidP="00791D81">
      <w:pPr>
        <w:pStyle w:val="subsection"/>
      </w:pPr>
      <w:r w:rsidRPr="004A5227">
        <w:tab/>
      </w:r>
      <w:r w:rsidRPr="004A5227">
        <w:tab/>
        <w:t>The following table sets out the quantity of numbers in a standard unit for different types of numbers.</w:t>
      </w:r>
    </w:p>
    <w:p w:rsidR="00791D81" w:rsidRPr="004A5227" w:rsidRDefault="00791D81" w:rsidP="00791D81">
      <w:pPr>
        <w:pStyle w:val="notetext"/>
      </w:pPr>
      <w:r w:rsidRPr="004A5227">
        <w:t>Note:</w:t>
      </w:r>
      <w:r w:rsidRPr="004A5227">
        <w:tab/>
        <w:t>Numbers are commonly allocated in standard units, and are preferably surrendered in standard units.</w:t>
      </w:r>
    </w:p>
    <w:p w:rsidR="00791D81" w:rsidRPr="004A5227" w:rsidRDefault="00791D81" w:rsidP="00791D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377"/>
        <w:gridCol w:w="2221"/>
      </w:tblGrid>
      <w:tr w:rsidR="00791D81" w:rsidRPr="004A5227" w:rsidTr="0019074E">
        <w:trPr>
          <w:tblHeader/>
        </w:trPr>
        <w:tc>
          <w:tcPr>
            <w:tcW w:w="8312" w:type="dxa"/>
            <w:gridSpan w:val="3"/>
            <w:tcBorders>
              <w:top w:val="single" w:sz="12" w:space="0" w:color="auto"/>
              <w:bottom w:val="single" w:sz="6" w:space="0" w:color="auto"/>
            </w:tcBorders>
            <w:shd w:val="clear" w:color="auto" w:fill="auto"/>
          </w:tcPr>
          <w:p w:rsidR="00791D81" w:rsidRPr="004A5227" w:rsidRDefault="00791D81" w:rsidP="0019074E">
            <w:pPr>
              <w:pStyle w:val="TableHeading"/>
            </w:pPr>
            <w:r w:rsidRPr="004A5227">
              <w:t>Size of standard unit for different types of number</w:t>
            </w:r>
          </w:p>
        </w:tc>
      </w:tr>
      <w:tr w:rsidR="00791D81" w:rsidRPr="004A5227" w:rsidTr="000F0EF0">
        <w:trPr>
          <w:tblHeader/>
        </w:trPr>
        <w:tc>
          <w:tcPr>
            <w:tcW w:w="714" w:type="dxa"/>
            <w:tcBorders>
              <w:top w:val="single" w:sz="6" w:space="0" w:color="auto"/>
              <w:bottom w:val="single" w:sz="12" w:space="0" w:color="auto"/>
            </w:tcBorders>
            <w:shd w:val="clear" w:color="auto" w:fill="auto"/>
          </w:tcPr>
          <w:p w:rsidR="00791D81" w:rsidRPr="004A5227" w:rsidRDefault="00791D81" w:rsidP="0019074E">
            <w:pPr>
              <w:pStyle w:val="TableHeading"/>
            </w:pPr>
            <w:r w:rsidRPr="004A5227">
              <w:t>Item</w:t>
            </w:r>
          </w:p>
        </w:tc>
        <w:tc>
          <w:tcPr>
            <w:tcW w:w="5377" w:type="dxa"/>
            <w:tcBorders>
              <w:top w:val="single" w:sz="6" w:space="0" w:color="auto"/>
              <w:bottom w:val="single" w:sz="12" w:space="0" w:color="auto"/>
            </w:tcBorders>
            <w:shd w:val="clear" w:color="auto" w:fill="auto"/>
          </w:tcPr>
          <w:p w:rsidR="00791D81" w:rsidRPr="004A5227" w:rsidRDefault="00791D81" w:rsidP="0019074E">
            <w:pPr>
              <w:pStyle w:val="TableHeading"/>
            </w:pPr>
            <w:r w:rsidRPr="004A5227">
              <w:t>Type of number</w:t>
            </w:r>
          </w:p>
        </w:tc>
        <w:tc>
          <w:tcPr>
            <w:tcW w:w="2221" w:type="dxa"/>
            <w:tcBorders>
              <w:top w:val="single" w:sz="6" w:space="0" w:color="auto"/>
              <w:bottom w:val="single" w:sz="12" w:space="0" w:color="auto"/>
            </w:tcBorders>
            <w:shd w:val="clear" w:color="auto" w:fill="auto"/>
          </w:tcPr>
          <w:p w:rsidR="00791D81" w:rsidRPr="004A5227" w:rsidRDefault="00791D81" w:rsidP="00366B9C">
            <w:pPr>
              <w:pStyle w:val="TableHeading"/>
              <w:jc w:val="right"/>
            </w:pPr>
            <w:r w:rsidRPr="004A5227">
              <w:t>Quantity of numbers in standard unit</w:t>
            </w:r>
          </w:p>
        </w:tc>
      </w:tr>
      <w:tr w:rsidR="00791D81" w:rsidRPr="004A5227" w:rsidTr="000F0EF0">
        <w:tc>
          <w:tcPr>
            <w:tcW w:w="714" w:type="dxa"/>
            <w:tcBorders>
              <w:top w:val="single" w:sz="12" w:space="0" w:color="auto"/>
            </w:tcBorders>
            <w:shd w:val="clear" w:color="auto" w:fill="auto"/>
          </w:tcPr>
          <w:p w:rsidR="00791D81" w:rsidRPr="004A5227" w:rsidRDefault="00791D81" w:rsidP="0019074E">
            <w:pPr>
              <w:pStyle w:val="Tabletext"/>
            </w:pPr>
            <w:r w:rsidRPr="004A5227">
              <w:t>1</w:t>
            </w:r>
          </w:p>
        </w:tc>
        <w:tc>
          <w:tcPr>
            <w:tcW w:w="5377" w:type="dxa"/>
            <w:tcBorders>
              <w:top w:val="single" w:sz="12" w:space="0" w:color="auto"/>
            </w:tcBorders>
            <w:shd w:val="clear" w:color="auto" w:fill="auto"/>
          </w:tcPr>
          <w:p w:rsidR="00791D81" w:rsidRPr="004A5227" w:rsidRDefault="00791D81" w:rsidP="00366B9C">
            <w:pPr>
              <w:pStyle w:val="Tabletext"/>
            </w:pPr>
            <w:r w:rsidRPr="004A5227">
              <w:t>Geographic numbers</w:t>
            </w:r>
            <w:r w:rsidR="00C6664E" w:rsidRPr="004A5227">
              <w:t xml:space="preserve"> other than </w:t>
            </w:r>
            <w:r w:rsidR="00881349" w:rsidRPr="004A5227">
              <w:t>for allocation in designated standard zone units</w:t>
            </w:r>
          </w:p>
        </w:tc>
        <w:tc>
          <w:tcPr>
            <w:tcW w:w="2221" w:type="dxa"/>
            <w:tcBorders>
              <w:top w:val="single" w:sz="12" w:space="0" w:color="auto"/>
            </w:tcBorders>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C6664E" w:rsidRPr="004A5227" w:rsidTr="000F0EF0">
        <w:tc>
          <w:tcPr>
            <w:tcW w:w="714" w:type="dxa"/>
            <w:shd w:val="clear" w:color="auto" w:fill="auto"/>
          </w:tcPr>
          <w:p w:rsidR="00C6664E" w:rsidRPr="004A5227" w:rsidRDefault="00C6664E" w:rsidP="0019074E">
            <w:pPr>
              <w:pStyle w:val="Tabletext"/>
            </w:pPr>
            <w:r w:rsidRPr="004A5227">
              <w:t>2</w:t>
            </w:r>
          </w:p>
        </w:tc>
        <w:tc>
          <w:tcPr>
            <w:tcW w:w="5377" w:type="dxa"/>
            <w:shd w:val="clear" w:color="auto" w:fill="auto"/>
          </w:tcPr>
          <w:p w:rsidR="00C6664E" w:rsidRPr="004A5227" w:rsidRDefault="00C6664E" w:rsidP="00881349">
            <w:pPr>
              <w:pStyle w:val="Tabletext"/>
            </w:pPr>
            <w:r w:rsidRPr="004A5227">
              <w:t xml:space="preserve">Geographic numbers </w:t>
            </w:r>
            <w:r w:rsidR="00881349" w:rsidRPr="004A5227">
              <w:t>for allocation in designated standard zone units</w:t>
            </w:r>
          </w:p>
        </w:tc>
        <w:tc>
          <w:tcPr>
            <w:tcW w:w="2221" w:type="dxa"/>
            <w:shd w:val="clear" w:color="auto" w:fill="auto"/>
          </w:tcPr>
          <w:p w:rsidR="00C6664E" w:rsidRPr="004A5227" w:rsidRDefault="00C6664E" w:rsidP="00366B9C">
            <w:pPr>
              <w:pStyle w:val="Tabletext"/>
              <w:jc w:val="right"/>
            </w:pPr>
            <w:r w:rsidRPr="004A5227">
              <w:t>100</w:t>
            </w:r>
          </w:p>
        </w:tc>
      </w:tr>
      <w:tr w:rsidR="00791D81" w:rsidRPr="004A5227" w:rsidTr="000F0EF0">
        <w:tc>
          <w:tcPr>
            <w:tcW w:w="714" w:type="dxa"/>
            <w:shd w:val="clear" w:color="auto" w:fill="auto"/>
          </w:tcPr>
          <w:p w:rsidR="00791D81" w:rsidRPr="004A5227" w:rsidRDefault="00C6664E" w:rsidP="0019074E">
            <w:pPr>
              <w:pStyle w:val="Tabletext"/>
            </w:pPr>
            <w:r w:rsidRPr="004A5227">
              <w:t>3</w:t>
            </w:r>
          </w:p>
        </w:tc>
        <w:tc>
          <w:tcPr>
            <w:tcW w:w="5377" w:type="dxa"/>
            <w:shd w:val="clear" w:color="auto" w:fill="auto"/>
          </w:tcPr>
          <w:p w:rsidR="00791D81" w:rsidRPr="004A5227" w:rsidRDefault="00791D81" w:rsidP="0019074E">
            <w:pPr>
              <w:pStyle w:val="Tabletext"/>
            </w:pPr>
            <w:proofErr w:type="spellStart"/>
            <w:r w:rsidRPr="004A5227">
              <w:t>Freephone</w:t>
            </w:r>
            <w:proofErr w:type="spellEnd"/>
            <w:r w:rsidRPr="004A5227">
              <w:t xml:space="preserve"> numbers</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4</w:t>
            </w:r>
          </w:p>
        </w:tc>
        <w:tc>
          <w:tcPr>
            <w:tcW w:w="5377" w:type="dxa"/>
            <w:shd w:val="clear" w:color="auto" w:fill="auto"/>
          </w:tcPr>
          <w:p w:rsidR="00791D81" w:rsidRPr="004A5227" w:rsidRDefault="00791D81" w:rsidP="0019074E">
            <w:pPr>
              <w:pStyle w:val="Tabletext"/>
            </w:pPr>
            <w:r w:rsidRPr="004A5227">
              <w:t>Local rate numbers</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5</w:t>
            </w:r>
          </w:p>
        </w:tc>
        <w:tc>
          <w:tcPr>
            <w:tcW w:w="5377" w:type="dxa"/>
            <w:shd w:val="clear" w:color="auto" w:fill="auto"/>
          </w:tcPr>
          <w:p w:rsidR="00791D81" w:rsidRPr="004A5227" w:rsidRDefault="00791D81" w:rsidP="0019074E">
            <w:pPr>
              <w:pStyle w:val="Tabletext"/>
            </w:pPr>
            <w:r w:rsidRPr="004A5227">
              <w:t>Premium rate numbers, 10 digits long</w:t>
            </w:r>
          </w:p>
        </w:tc>
        <w:tc>
          <w:tcPr>
            <w:tcW w:w="2221" w:type="dxa"/>
            <w:shd w:val="clear" w:color="auto" w:fill="auto"/>
          </w:tcPr>
          <w:p w:rsidR="00791D81" w:rsidRPr="004A5227" w:rsidRDefault="00791D81" w:rsidP="00366B9C">
            <w:pPr>
              <w:pStyle w:val="Tabletext"/>
              <w:jc w:val="right"/>
            </w:pPr>
            <w:r w:rsidRPr="004A5227">
              <w:t>100</w:t>
            </w:r>
            <w:r w:rsidR="004A5227" w:rsidRPr="004A5227">
              <w:t> </w:t>
            </w:r>
            <w:r w:rsidRPr="004A5227">
              <w:t>000</w:t>
            </w:r>
          </w:p>
        </w:tc>
      </w:tr>
      <w:tr w:rsidR="00791D81" w:rsidRPr="004A5227" w:rsidTr="000F0EF0">
        <w:tc>
          <w:tcPr>
            <w:tcW w:w="714" w:type="dxa"/>
            <w:shd w:val="clear" w:color="auto" w:fill="auto"/>
          </w:tcPr>
          <w:p w:rsidR="00791D81" w:rsidRPr="004A5227" w:rsidRDefault="00C6664E" w:rsidP="0019074E">
            <w:pPr>
              <w:pStyle w:val="Tabletext"/>
            </w:pPr>
            <w:r w:rsidRPr="004A5227">
              <w:t>6</w:t>
            </w:r>
          </w:p>
        </w:tc>
        <w:tc>
          <w:tcPr>
            <w:tcW w:w="5377" w:type="dxa"/>
            <w:shd w:val="clear" w:color="auto" w:fill="auto"/>
          </w:tcPr>
          <w:p w:rsidR="00791D81" w:rsidRPr="004A5227" w:rsidRDefault="00791D81" w:rsidP="0019074E">
            <w:pPr>
              <w:pStyle w:val="Tabletext"/>
            </w:pPr>
            <w:r w:rsidRPr="004A5227">
              <w:t>Premium rate numbers, 6 or 8 digits long</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7</w:t>
            </w:r>
          </w:p>
        </w:tc>
        <w:tc>
          <w:tcPr>
            <w:tcW w:w="5377" w:type="dxa"/>
            <w:shd w:val="clear" w:color="auto" w:fill="auto"/>
          </w:tcPr>
          <w:p w:rsidR="00791D81" w:rsidRPr="004A5227" w:rsidRDefault="00791D81" w:rsidP="0019074E">
            <w:pPr>
              <w:pStyle w:val="Tabletext"/>
            </w:pPr>
            <w:r w:rsidRPr="004A5227">
              <w:t>Special services numbers specified for use with a satellite telephone service</w:t>
            </w:r>
          </w:p>
        </w:tc>
        <w:tc>
          <w:tcPr>
            <w:tcW w:w="2221" w:type="dxa"/>
            <w:shd w:val="clear" w:color="auto" w:fill="auto"/>
          </w:tcPr>
          <w:p w:rsidR="00791D81" w:rsidRPr="004A5227" w:rsidRDefault="00791D81" w:rsidP="00366B9C">
            <w:pPr>
              <w:pStyle w:val="Tabletext"/>
              <w:jc w:val="right"/>
            </w:pPr>
            <w:r w:rsidRPr="004A5227">
              <w:t>10</w:t>
            </w:r>
            <w:r w:rsidR="004A5227" w:rsidRPr="004A5227">
              <w:t> </w:t>
            </w:r>
            <w:r w:rsidRPr="004A5227">
              <w:t>000</w:t>
            </w:r>
          </w:p>
        </w:tc>
      </w:tr>
      <w:tr w:rsidR="00791D81" w:rsidRPr="004A5227" w:rsidTr="000F0EF0">
        <w:tc>
          <w:tcPr>
            <w:tcW w:w="714" w:type="dxa"/>
            <w:shd w:val="clear" w:color="auto" w:fill="auto"/>
          </w:tcPr>
          <w:p w:rsidR="00791D81" w:rsidRPr="004A5227" w:rsidRDefault="00C6664E" w:rsidP="0019074E">
            <w:pPr>
              <w:pStyle w:val="Tabletext"/>
            </w:pPr>
            <w:r w:rsidRPr="004A5227">
              <w:t>8</w:t>
            </w:r>
          </w:p>
        </w:tc>
        <w:tc>
          <w:tcPr>
            <w:tcW w:w="5377" w:type="dxa"/>
            <w:shd w:val="clear" w:color="auto" w:fill="auto"/>
          </w:tcPr>
          <w:p w:rsidR="00791D81" w:rsidRPr="004A5227" w:rsidRDefault="00791D81" w:rsidP="0019074E">
            <w:pPr>
              <w:pStyle w:val="Tabletext"/>
            </w:pPr>
            <w:r w:rsidRPr="004A5227">
              <w:t>Special services numbers specified for use with a paging service</w:t>
            </w:r>
          </w:p>
        </w:tc>
        <w:tc>
          <w:tcPr>
            <w:tcW w:w="2221" w:type="dxa"/>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791D81" w:rsidRPr="004A5227" w:rsidTr="000F0EF0">
        <w:tc>
          <w:tcPr>
            <w:tcW w:w="714" w:type="dxa"/>
            <w:shd w:val="clear" w:color="auto" w:fill="auto"/>
          </w:tcPr>
          <w:p w:rsidR="00791D81" w:rsidRPr="004A5227" w:rsidRDefault="00C6664E" w:rsidP="0019074E">
            <w:pPr>
              <w:pStyle w:val="Tabletext"/>
            </w:pPr>
            <w:r w:rsidRPr="004A5227">
              <w:t>9</w:t>
            </w:r>
          </w:p>
        </w:tc>
        <w:tc>
          <w:tcPr>
            <w:tcW w:w="5377" w:type="dxa"/>
            <w:shd w:val="clear" w:color="auto" w:fill="auto"/>
          </w:tcPr>
          <w:p w:rsidR="00791D81" w:rsidRPr="004A5227" w:rsidRDefault="00791D81" w:rsidP="00366B9C">
            <w:pPr>
              <w:pStyle w:val="Tabletext"/>
            </w:pPr>
            <w:r w:rsidRPr="004A5227">
              <w:t>Special services numbers specified for use with a data network access service, 5 digits long</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C6664E" w:rsidP="0019074E">
            <w:pPr>
              <w:pStyle w:val="Tabletext"/>
            </w:pPr>
            <w:r w:rsidRPr="004A5227">
              <w:t>10</w:t>
            </w:r>
          </w:p>
        </w:tc>
        <w:tc>
          <w:tcPr>
            <w:tcW w:w="5377" w:type="dxa"/>
            <w:shd w:val="clear" w:color="auto" w:fill="auto"/>
          </w:tcPr>
          <w:p w:rsidR="00791D81" w:rsidRPr="004A5227" w:rsidRDefault="00791D81" w:rsidP="00366B9C">
            <w:pPr>
              <w:pStyle w:val="Tabletext"/>
            </w:pPr>
            <w:r w:rsidRPr="004A5227">
              <w:t>Special services numbers specified for use with a data network access service, 10 digits long</w:t>
            </w:r>
          </w:p>
        </w:tc>
        <w:tc>
          <w:tcPr>
            <w:tcW w:w="2221" w:type="dxa"/>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1</w:t>
            </w:r>
          </w:p>
        </w:tc>
        <w:tc>
          <w:tcPr>
            <w:tcW w:w="5377" w:type="dxa"/>
            <w:shd w:val="clear" w:color="auto" w:fill="auto"/>
          </w:tcPr>
          <w:p w:rsidR="00791D81" w:rsidRPr="004A5227" w:rsidRDefault="00791D81" w:rsidP="0019074E">
            <w:pPr>
              <w:pStyle w:val="Tabletext"/>
            </w:pPr>
            <w:r w:rsidRPr="004A5227">
              <w:t>Special services numbers specified for use with a digital mobile service</w:t>
            </w:r>
          </w:p>
        </w:tc>
        <w:tc>
          <w:tcPr>
            <w:tcW w:w="2221" w:type="dxa"/>
            <w:shd w:val="clear" w:color="auto" w:fill="auto"/>
          </w:tcPr>
          <w:p w:rsidR="00791D81" w:rsidRPr="004A5227" w:rsidRDefault="00791D81" w:rsidP="00366B9C">
            <w:pPr>
              <w:pStyle w:val="Tabletext"/>
              <w:jc w:val="right"/>
            </w:pPr>
            <w:r w:rsidRPr="004A5227">
              <w:t>100</w:t>
            </w:r>
            <w:r w:rsidR="004A5227" w:rsidRPr="004A5227">
              <w:t> </w:t>
            </w:r>
            <w:r w:rsidRPr="004A5227">
              <w:t>000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2</w:t>
            </w:r>
          </w:p>
        </w:tc>
        <w:tc>
          <w:tcPr>
            <w:tcW w:w="5377" w:type="dxa"/>
            <w:shd w:val="clear" w:color="auto" w:fill="auto"/>
          </w:tcPr>
          <w:p w:rsidR="00791D81" w:rsidRPr="004A5227" w:rsidRDefault="00791D81" w:rsidP="0019074E">
            <w:pPr>
              <w:pStyle w:val="Tabletext"/>
            </w:pPr>
            <w:r w:rsidRPr="004A5227">
              <w:t>Special services numbers specified for use with a community service</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3</w:t>
            </w:r>
          </w:p>
        </w:tc>
        <w:tc>
          <w:tcPr>
            <w:tcW w:w="5377" w:type="dxa"/>
            <w:shd w:val="clear" w:color="auto" w:fill="auto"/>
          </w:tcPr>
          <w:p w:rsidR="00791D81" w:rsidRPr="004A5227" w:rsidRDefault="00791D81" w:rsidP="0019074E">
            <w:pPr>
              <w:pStyle w:val="Tabletext"/>
            </w:pPr>
            <w:r w:rsidRPr="004A5227">
              <w:t>Special services numbers specified for use with an operator service, 5 or 6 digits long</w:t>
            </w:r>
          </w:p>
        </w:tc>
        <w:tc>
          <w:tcPr>
            <w:tcW w:w="2221" w:type="dxa"/>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4</w:t>
            </w:r>
          </w:p>
        </w:tc>
        <w:tc>
          <w:tcPr>
            <w:tcW w:w="5377" w:type="dxa"/>
            <w:shd w:val="clear" w:color="auto" w:fill="auto"/>
          </w:tcPr>
          <w:p w:rsidR="00791D81" w:rsidRPr="004A5227" w:rsidRDefault="00791D81" w:rsidP="0019074E">
            <w:pPr>
              <w:pStyle w:val="Tabletext"/>
            </w:pPr>
            <w:r w:rsidRPr="004A5227">
              <w:t>Special services numbers specified for use with an operator service, 7 digits long</w:t>
            </w:r>
          </w:p>
        </w:tc>
        <w:tc>
          <w:tcPr>
            <w:tcW w:w="2221" w:type="dxa"/>
            <w:shd w:val="clear" w:color="auto" w:fill="auto"/>
          </w:tcPr>
          <w:p w:rsidR="00791D81" w:rsidRPr="004A5227" w:rsidRDefault="00791D81" w:rsidP="00366B9C">
            <w:pPr>
              <w:pStyle w:val="Tabletext"/>
              <w:jc w:val="right"/>
            </w:pPr>
            <w:r w:rsidRPr="004A5227">
              <w:t>10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5</w:t>
            </w:r>
          </w:p>
        </w:tc>
        <w:tc>
          <w:tcPr>
            <w:tcW w:w="5377" w:type="dxa"/>
            <w:shd w:val="clear" w:color="auto" w:fill="auto"/>
          </w:tcPr>
          <w:p w:rsidR="00791D81" w:rsidRPr="004A5227" w:rsidRDefault="00791D81" w:rsidP="0019074E">
            <w:pPr>
              <w:pStyle w:val="Tabletext"/>
            </w:pPr>
            <w:r w:rsidRPr="004A5227">
              <w:t>Special services numbers specified for use with an internal network service</w:t>
            </w:r>
          </w:p>
        </w:tc>
        <w:tc>
          <w:tcPr>
            <w:tcW w:w="2221" w:type="dxa"/>
            <w:shd w:val="clear" w:color="auto" w:fill="auto"/>
          </w:tcPr>
          <w:p w:rsidR="00791D81" w:rsidRPr="004A5227" w:rsidRDefault="00791D81" w:rsidP="00366B9C">
            <w:pPr>
              <w:pStyle w:val="Tabletext"/>
              <w:jc w:val="right"/>
            </w:pPr>
            <w:r w:rsidRPr="004A5227">
              <w:t>1</w:t>
            </w:r>
            <w:r w:rsidR="004A5227" w:rsidRPr="004A5227">
              <w:t> </w:t>
            </w:r>
            <w:r w:rsidRPr="004A5227">
              <w:t>000</w:t>
            </w:r>
          </w:p>
        </w:tc>
      </w:tr>
      <w:tr w:rsidR="00791D81" w:rsidRPr="004A5227" w:rsidTr="000F0EF0">
        <w:tc>
          <w:tcPr>
            <w:tcW w:w="714" w:type="dxa"/>
            <w:shd w:val="clear" w:color="auto" w:fill="auto"/>
          </w:tcPr>
          <w:p w:rsidR="00791D81" w:rsidRPr="004A5227" w:rsidRDefault="00791D81" w:rsidP="00C6664E">
            <w:pPr>
              <w:pStyle w:val="Tabletext"/>
            </w:pPr>
            <w:r w:rsidRPr="004A5227">
              <w:t>1</w:t>
            </w:r>
            <w:r w:rsidR="00C6664E" w:rsidRPr="004A5227">
              <w:t>6</w:t>
            </w:r>
          </w:p>
        </w:tc>
        <w:tc>
          <w:tcPr>
            <w:tcW w:w="5377" w:type="dxa"/>
            <w:shd w:val="clear" w:color="auto" w:fill="auto"/>
          </w:tcPr>
          <w:p w:rsidR="00791D81" w:rsidRPr="004A5227" w:rsidRDefault="00791D81" w:rsidP="0019074E">
            <w:pPr>
              <w:pStyle w:val="Tabletext"/>
            </w:pPr>
            <w:r w:rsidRPr="004A5227">
              <w:t>Special services numbers specified for use with a testing service</w:t>
            </w:r>
          </w:p>
        </w:tc>
        <w:tc>
          <w:tcPr>
            <w:tcW w:w="2221" w:type="dxa"/>
            <w:shd w:val="clear" w:color="auto" w:fill="auto"/>
          </w:tcPr>
          <w:p w:rsidR="00791D81" w:rsidRPr="004A5227" w:rsidRDefault="00791D81" w:rsidP="00366B9C">
            <w:pPr>
              <w:pStyle w:val="Tabletext"/>
              <w:jc w:val="right"/>
            </w:pPr>
            <w:r w:rsidRPr="004A5227">
              <w:t>100</w:t>
            </w:r>
          </w:p>
        </w:tc>
      </w:tr>
      <w:tr w:rsidR="00791D81" w:rsidRPr="004A5227" w:rsidTr="000F0EF0">
        <w:tc>
          <w:tcPr>
            <w:tcW w:w="714" w:type="dxa"/>
            <w:tcBorders>
              <w:bottom w:val="single" w:sz="4" w:space="0" w:color="auto"/>
            </w:tcBorders>
            <w:shd w:val="clear" w:color="auto" w:fill="auto"/>
          </w:tcPr>
          <w:p w:rsidR="00791D81" w:rsidRPr="004A5227" w:rsidRDefault="00791D81" w:rsidP="00C6664E">
            <w:pPr>
              <w:pStyle w:val="Tabletext"/>
            </w:pPr>
            <w:r w:rsidRPr="004A5227">
              <w:t>1</w:t>
            </w:r>
            <w:r w:rsidR="00C6664E" w:rsidRPr="004A5227">
              <w:t>7</w:t>
            </w:r>
          </w:p>
        </w:tc>
        <w:tc>
          <w:tcPr>
            <w:tcW w:w="5377" w:type="dxa"/>
            <w:tcBorders>
              <w:bottom w:val="single" w:sz="4" w:space="0" w:color="auto"/>
            </w:tcBorders>
            <w:shd w:val="clear" w:color="auto" w:fill="auto"/>
          </w:tcPr>
          <w:p w:rsidR="00791D81" w:rsidRPr="004A5227" w:rsidRDefault="00791D81" w:rsidP="0019074E">
            <w:pPr>
              <w:pStyle w:val="Tabletext"/>
            </w:pPr>
            <w:r w:rsidRPr="004A5227">
              <w:t>Special services numbers specified for use with a calling card service</w:t>
            </w:r>
          </w:p>
        </w:tc>
        <w:tc>
          <w:tcPr>
            <w:tcW w:w="2221" w:type="dxa"/>
            <w:tcBorders>
              <w:bottom w:val="single" w:sz="4" w:space="0" w:color="auto"/>
            </w:tcBorders>
            <w:shd w:val="clear" w:color="auto" w:fill="auto"/>
          </w:tcPr>
          <w:p w:rsidR="00791D81" w:rsidRPr="004A5227" w:rsidRDefault="00791D81" w:rsidP="00366B9C">
            <w:pPr>
              <w:pStyle w:val="Tabletext"/>
              <w:jc w:val="right"/>
            </w:pPr>
            <w:r w:rsidRPr="004A5227">
              <w:t>1</w:t>
            </w:r>
          </w:p>
        </w:tc>
      </w:tr>
      <w:tr w:rsidR="00791D81" w:rsidRPr="004A5227" w:rsidTr="000F0EF0">
        <w:tc>
          <w:tcPr>
            <w:tcW w:w="714" w:type="dxa"/>
            <w:tcBorders>
              <w:bottom w:val="single" w:sz="12" w:space="0" w:color="auto"/>
            </w:tcBorders>
            <w:shd w:val="clear" w:color="auto" w:fill="auto"/>
          </w:tcPr>
          <w:p w:rsidR="00791D81" w:rsidRPr="004A5227" w:rsidRDefault="00791D81" w:rsidP="00C6664E">
            <w:pPr>
              <w:pStyle w:val="Tabletext"/>
            </w:pPr>
            <w:r w:rsidRPr="004A5227">
              <w:t>1</w:t>
            </w:r>
            <w:r w:rsidR="00C6664E" w:rsidRPr="004A5227">
              <w:t>8</w:t>
            </w:r>
          </w:p>
        </w:tc>
        <w:tc>
          <w:tcPr>
            <w:tcW w:w="5377" w:type="dxa"/>
            <w:tcBorders>
              <w:bottom w:val="single" w:sz="12" w:space="0" w:color="auto"/>
            </w:tcBorders>
            <w:shd w:val="clear" w:color="auto" w:fill="auto"/>
          </w:tcPr>
          <w:p w:rsidR="00791D81" w:rsidRPr="004A5227" w:rsidRDefault="00791D81" w:rsidP="0019074E">
            <w:pPr>
              <w:pStyle w:val="Tabletext"/>
            </w:pPr>
            <w:r w:rsidRPr="004A5227">
              <w:t>Access codes</w:t>
            </w:r>
          </w:p>
        </w:tc>
        <w:tc>
          <w:tcPr>
            <w:tcW w:w="2221" w:type="dxa"/>
            <w:tcBorders>
              <w:bottom w:val="single" w:sz="12" w:space="0" w:color="auto"/>
            </w:tcBorders>
            <w:shd w:val="clear" w:color="auto" w:fill="auto"/>
          </w:tcPr>
          <w:p w:rsidR="00791D81" w:rsidRPr="004A5227" w:rsidRDefault="00791D81" w:rsidP="00366B9C">
            <w:pPr>
              <w:pStyle w:val="Tabletext"/>
              <w:jc w:val="right"/>
            </w:pPr>
            <w:r w:rsidRPr="004A5227">
              <w:t>1</w:t>
            </w:r>
          </w:p>
        </w:tc>
      </w:tr>
    </w:tbl>
    <w:p w:rsidR="00FA513E" w:rsidRPr="004A5227" w:rsidRDefault="00FA513E">
      <w:pPr>
        <w:sectPr w:rsidR="00FA513E" w:rsidRPr="004A5227" w:rsidSect="007F616C">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0202F5" w:rsidRPr="004A5227" w:rsidRDefault="000202F5" w:rsidP="000202F5">
      <w:pPr>
        <w:pStyle w:val="ActHead6"/>
      </w:pPr>
      <w:bookmarkStart w:id="210" w:name="_Toc413419207"/>
      <w:bookmarkStart w:id="211" w:name="opcAmSched"/>
      <w:bookmarkStart w:id="212" w:name="opcCurrentFind"/>
      <w:r w:rsidRPr="004A5227">
        <w:rPr>
          <w:rStyle w:val="CharAmSchNo"/>
        </w:rPr>
        <w:lastRenderedPageBreak/>
        <w:t>Schedule</w:t>
      </w:r>
      <w:r w:rsidR="004A5227" w:rsidRPr="004A5227">
        <w:rPr>
          <w:rStyle w:val="CharAmSchNo"/>
        </w:rPr>
        <w:t> </w:t>
      </w:r>
      <w:r w:rsidRPr="004A5227">
        <w:rPr>
          <w:rStyle w:val="CharAmSchNo"/>
        </w:rPr>
        <w:t>8</w:t>
      </w:r>
      <w:r w:rsidRPr="004A5227">
        <w:t>—</w:t>
      </w:r>
      <w:r w:rsidRPr="004A5227">
        <w:rPr>
          <w:rStyle w:val="CharAmSchText"/>
        </w:rPr>
        <w:t>Repeals</w:t>
      </w:r>
      <w:bookmarkEnd w:id="210"/>
    </w:p>
    <w:bookmarkEnd w:id="211"/>
    <w:bookmarkEnd w:id="212"/>
    <w:p w:rsidR="000202F5" w:rsidRPr="004A5227" w:rsidRDefault="000202F5" w:rsidP="000202F5">
      <w:pPr>
        <w:pStyle w:val="Header"/>
      </w:pPr>
      <w:r w:rsidRPr="004A5227">
        <w:rPr>
          <w:rStyle w:val="CharAmPartNo"/>
        </w:rPr>
        <w:t xml:space="preserve"> </w:t>
      </w:r>
      <w:r w:rsidRPr="004A5227">
        <w:rPr>
          <w:rStyle w:val="CharAmPartText"/>
        </w:rPr>
        <w:t xml:space="preserve"> </w:t>
      </w:r>
    </w:p>
    <w:p w:rsidR="000202F5" w:rsidRPr="004A5227" w:rsidRDefault="000202F5" w:rsidP="000202F5">
      <w:pPr>
        <w:pStyle w:val="ActHead9"/>
      </w:pPr>
      <w:bookmarkStart w:id="213" w:name="_Toc413419208"/>
      <w:r w:rsidRPr="004A5227">
        <w:t>Telecommunications Numbering Plan 1997</w:t>
      </w:r>
      <w:bookmarkEnd w:id="213"/>
    </w:p>
    <w:p w:rsidR="000202F5" w:rsidRPr="004A5227" w:rsidRDefault="000202F5" w:rsidP="000202F5">
      <w:pPr>
        <w:pStyle w:val="ItemHead"/>
      </w:pPr>
      <w:r w:rsidRPr="004A5227">
        <w:t>1  The whole of the plan</w:t>
      </w:r>
    </w:p>
    <w:p w:rsidR="000202F5" w:rsidRPr="004A5227" w:rsidRDefault="000202F5" w:rsidP="000202F5">
      <w:pPr>
        <w:pStyle w:val="Item"/>
      </w:pPr>
      <w:r w:rsidRPr="004A5227">
        <w:t>Repeal the plan.</w:t>
      </w:r>
    </w:p>
    <w:p w:rsidR="000202F5" w:rsidRPr="004A5227" w:rsidRDefault="000202F5" w:rsidP="000202F5">
      <w:pPr>
        <w:sectPr w:rsidR="000202F5" w:rsidRPr="004A5227" w:rsidSect="007F616C">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AA0E29" w:rsidRPr="004A5227" w:rsidRDefault="00AA0E29" w:rsidP="00D575E7">
      <w:pPr>
        <w:rPr>
          <w:lang w:eastAsia="en-AU"/>
        </w:rPr>
      </w:pPr>
    </w:p>
    <w:sectPr w:rsidR="00AA0E29" w:rsidRPr="004A5227" w:rsidSect="007F616C">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D5" w:rsidRDefault="007754D5" w:rsidP="00715914">
      <w:pPr>
        <w:spacing w:line="240" w:lineRule="auto"/>
      </w:pPr>
      <w:r>
        <w:separator/>
      </w:r>
    </w:p>
  </w:endnote>
  <w:endnote w:type="continuationSeparator" w:id="0">
    <w:p w:rsidR="007754D5" w:rsidRDefault="007754D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F616C" w:rsidRDefault="007754D5" w:rsidP="007F616C">
    <w:pPr>
      <w:pStyle w:val="Footer"/>
      <w:rPr>
        <w:i/>
        <w:sz w:val="18"/>
      </w:rPr>
    </w:pPr>
    <w:r w:rsidRPr="007F616C">
      <w:rPr>
        <w:i/>
        <w:sz w:val="18"/>
      </w:rPr>
      <w:t>OPC60515 -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D1021D" w:rsidRDefault="007754D5" w:rsidP="000202F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54D5" w:rsidTr="000039CA">
      <w:tc>
        <w:tcPr>
          <w:tcW w:w="1384" w:type="dxa"/>
          <w:tcBorders>
            <w:top w:val="nil"/>
            <w:left w:val="nil"/>
            <w:bottom w:val="nil"/>
            <w:right w:val="nil"/>
          </w:tcBorders>
        </w:tcPr>
        <w:p w:rsidR="007754D5" w:rsidRDefault="007754D5" w:rsidP="000039CA">
          <w:pPr>
            <w:spacing w:line="0" w:lineRule="atLeast"/>
            <w:rPr>
              <w:sz w:val="18"/>
            </w:rPr>
          </w:pPr>
        </w:p>
      </w:tc>
      <w:tc>
        <w:tcPr>
          <w:tcW w:w="6379" w:type="dxa"/>
          <w:tcBorders>
            <w:top w:val="nil"/>
            <w:left w:val="nil"/>
            <w:bottom w:val="nil"/>
            <w:right w:val="nil"/>
          </w:tcBorders>
        </w:tcPr>
        <w:p w:rsidR="007754D5" w:rsidRDefault="007754D5" w:rsidP="000039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Telecommunications Numbering Plan 2015</w:t>
          </w:r>
          <w:r w:rsidRPr="007A1328">
            <w:rPr>
              <w:i/>
              <w:sz w:val="18"/>
            </w:rPr>
            <w:fldChar w:fldCharType="end"/>
          </w:r>
        </w:p>
      </w:tc>
      <w:tc>
        <w:tcPr>
          <w:tcW w:w="709" w:type="dxa"/>
          <w:tcBorders>
            <w:top w:val="nil"/>
            <w:left w:val="nil"/>
            <w:bottom w:val="nil"/>
            <w:right w:val="nil"/>
          </w:tcBorders>
        </w:tcPr>
        <w:p w:rsidR="007754D5" w:rsidRDefault="007754D5" w:rsidP="000039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113</w:t>
          </w:r>
          <w:r w:rsidRPr="00ED79B6">
            <w:rPr>
              <w:i/>
              <w:sz w:val="18"/>
            </w:rPr>
            <w:fldChar w:fldCharType="end"/>
          </w:r>
        </w:p>
      </w:tc>
    </w:tr>
  </w:tbl>
  <w:p w:rsidR="007754D5" w:rsidRPr="00D1021D" w:rsidRDefault="007754D5" w:rsidP="007F616C">
    <w:pPr>
      <w:rPr>
        <w:i/>
        <w:sz w:val="18"/>
      </w:rPr>
    </w:pPr>
    <w:r w:rsidRPr="007F616C">
      <w:rPr>
        <w:rFonts w:cs="Times New Roman"/>
        <w:i/>
        <w:sz w:val="18"/>
      </w:rPr>
      <w:t>OPC60515 -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pPr>
      <w:pBdr>
        <w:top w:val="single" w:sz="6" w:space="1" w:color="auto"/>
      </w:pBdr>
      <w:rPr>
        <w:sz w:val="18"/>
      </w:rPr>
    </w:pPr>
  </w:p>
  <w:p w:rsidR="007754D5" w:rsidRDefault="007754D5">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Telecommunications Numbering Plan 2015</w:t>
    </w:r>
    <w:r>
      <w:rPr>
        <w:i/>
        <w:sz w:val="18"/>
      </w:rPr>
      <w:fldChar w:fldCharType="end"/>
    </w:r>
    <w:r>
      <w:rPr>
        <w:i/>
        <w:sz w:val="18"/>
      </w:rPr>
      <w:t xml:space="preserve">       </w:t>
    </w:r>
    <w:r>
      <w:rPr>
        <w:i/>
        <w:sz w:val="18"/>
      </w:rPr>
      <w:fldChar w:fldCharType="begin"/>
    </w:r>
    <w:r>
      <w:rPr>
        <w:i/>
        <w:sz w:val="18"/>
      </w:rPr>
      <w:instrText xml:space="preserve"> DOCPROPERTY ShortT </w:instrText>
    </w:r>
    <w:r>
      <w:rPr>
        <w:i/>
        <w:sz w:val="18"/>
      </w:rPr>
      <w:fldChar w:fldCharType="separate"/>
    </w:r>
    <w:r>
      <w:rPr>
        <w:i/>
        <w:sz w:val="18"/>
      </w:rPr>
      <w:t>Telecommunications Numbering Plan 2015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115</w:t>
    </w:r>
    <w:r>
      <w:rPr>
        <w:i/>
        <w:sz w:val="18"/>
      </w:rPr>
      <w:fldChar w:fldCharType="end"/>
    </w:r>
  </w:p>
  <w:p w:rsidR="007754D5" w:rsidRDefault="007754D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F616C" w:rsidRDefault="007754D5" w:rsidP="000202F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754D5" w:rsidRPr="007F616C" w:rsidTr="006F76F2">
      <w:tc>
        <w:tcPr>
          <w:tcW w:w="709" w:type="dxa"/>
          <w:tcBorders>
            <w:top w:val="nil"/>
            <w:left w:val="nil"/>
            <w:bottom w:val="nil"/>
            <w:right w:val="nil"/>
          </w:tcBorders>
        </w:tcPr>
        <w:p w:rsidR="007754D5" w:rsidRPr="007F616C" w:rsidRDefault="007754D5" w:rsidP="000202F5">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Pr>
              <w:rFonts w:cs="Times New Roman"/>
              <w:i/>
              <w:noProof/>
              <w:sz w:val="18"/>
            </w:rPr>
            <w:t>115</w:t>
          </w:r>
          <w:r w:rsidRPr="007F616C">
            <w:rPr>
              <w:rFonts w:cs="Times New Roman"/>
              <w:i/>
              <w:sz w:val="18"/>
            </w:rPr>
            <w:fldChar w:fldCharType="end"/>
          </w:r>
        </w:p>
      </w:tc>
      <w:tc>
        <w:tcPr>
          <w:tcW w:w="6379" w:type="dxa"/>
          <w:tcBorders>
            <w:top w:val="nil"/>
            <w:left w:val="nil"/>
            <w:bottom w:val="nil"/>
            <w:right w:val="nil"/>
          </w:tcBorders>
        </w:tcPr>
        <w:p w:rsidR="007754D5" w:rsidRPr="007F616C" w:rsidRDefault="007754D5" w:rsidP="000202F5">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7754D5" w:rsidRPr="007F616C" w:rsidRDefault="007754D5" w:rsidP="000202F5">
          <w:pPr>
            <w:spacing w:line="0" w:lineRule="atLeast"/>
            <w:jc w:val="right"/>
            <w:rPr>
              <w:rFonts w:cs="Times New Roman"/>
              <w:i/>
              <w:sz w:val="18"/>
            </w:rPr>
          </w:pPr>
        </w:p>
      </w:tc>
    </w:tr>
  </w:tbl>
  <w:p w:rsidR="007754D5" w:rsidRPr="007F616C" w:rsidRDefault="007754D5" w:rsidP="007F616C">
    <w:pPr>
      <w:rPr>
        <w:rFonts w:cs="Times New Roman"/>
        <w:i/>
        <w:sz w:val="18"/>
      </w:rPr>
    </w:pPr>
    <w:r w:rsidRPr="007F616C">
      <w:rPr>
        <w:rFonts w:cs="Times New Roman"/>
        <w:i/>
        <w:sz w:val="18"/>
      </w:rPr>
      <w:t>OPC60515 -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A41F52" w:rsidRDefault="007754D5" w:rsidP="000202F5">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7754D5" w:rsidTr="000202F5">
      <w:tc>
        <w:tcPr>
          <w:tcW w:w="1384" w:type="dxa"/>
          <w:tcBorders>
            <w:top w:val="nil"/>
            <w:left w:val="nil"/>
            <w:bottom w:val="nil"/>
            <w:right w:val="nil"/>
          </w:tcBorders>
        </w:tcPr>
        <w:p w:rsidR="007754D5" w:rsidRDefault="007754D5" w:rsidP="000202F5">
          <w:pPr>
            <w:spacing w:line="0" w:lineRule="atLeast"/>
            <w:rPr>
              <w:sz w:val="18"/>
            </w:rPr>
          </w:pPr>
        </w:p>
      </w:tc>
      <w:tc>
        <w:tcPr>
          <w:tcW w:w="6379" w:type="dxa"/>
          <w:tcBorders>
            <w:top w:val="nil"/>
            <w:left w:val="nil"/>
            <w:bottom w:val="nil"/>
            <w:right w:val="nil"/>
          </w:tcBorders>
        </w:tcPr>
        <w:p w:rsidR="007754D5" w:rsidRDefault="007754D5" w:rsidP="000202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Telecommunications Numbering Plan 2015</w:t>
          </w:r>
          <w:r w:rsidRPr="007A1328">
            <w:rPr>
              <w:i/>
              <w:sz w:val="18"/>
            </w:rPr>
            <w:fldChar w:fldCharType="end"/>
          </w:r>
        </w:p>
      </w:tc>
      <w:tc>
        <w:tcPr>
          <w:tcW w:w="709" w:type="dxa"/>
          <w:tcBorders>
            <w:top w:val="nil"/>
            <w:left w:val="nil"/>
            <w:bottom w:val="nil"/>
            <w:right w:val="nil"/>
          </w:tcBorders>
        </w:tcPr>
        <w:p w:rsidR="007754D5" w:rsidRDefault="007754D5" w:rsidP="000202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7754D5" w:rsidRPr="00A41F52" w:rsidRDefault="007754D5" w:rsidP="007F616C">
    <w:pPr>
      <w:rPr>
        <w:i/>
        <w:sz w:val="18"/>
      </w:rPr>
    </w:pPr>
    <w:r w:rsidRPr="007F616C">
      <w:rPr>
        <w:rFonts w:cs="Times New Roman"/>
        <w:i/>
        <w:sz w:val="18"/>
      </w:rPr>
      <w:t>OPC60515 - 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33C1C" w:rsidRDefault="007754D5" w:rsidP="000202F5">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7754D5" w:rsidTr="000202F5">
      <w:tc>
        <w:tcPr>
          <w:tcW w:w="1384" w:type="dxa"/>
          <w:tcBorders>
            <w:top w:val="nil"/>
            <w:left w:val="nil"/>
            <w:bottom w:val="nil"/>
            <w:right w:val="nil"/>
          </w:tcBorders>
        </w:tcPr>
        <w:p w:rsidR="007754D5" w:rsidRDefault="007754D5" w:rsidP="000202F5">
          <w:pPr>
            <w:spacing w:line="0" w:lineRule="atLeast"/>
            <w:rPr>
              <w:sz w:val="18"/>
            </w:rPr>
          </w:pPr>
        </w:p>
      </w:tc>
      <w:tc>
        <w:tcPr>
          <w:tcW w:w="6379" w:type="dxa"/>
          <w:tcBorders>
            <w:top w:val="nil"/>
            <w:left w:val="nil"/>
            <w:bottom w:val="nil"/>
            <w:right w:val="nil"/>
          </w:tcBorders>
        </w:tcPr>
        <w:p w:rsidR="007754D5" w:rsidRDefault="007754D5" w:rsidP="000202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Telecommunications Numbering Plan 2015</w:t>
          </w:r>
          <w:r w:rsidRPr="007A1328">
            <w:rPr>
              <w:i/>
              <w:sz w:val="18"/>
            </w:rPr>
            <w:fldChar w:fldCharType="end"/>
          </w:r>
        </w:p>
      </w:tc>
      <w:tc>
        <w:tcPr>
          <w:tcW w:w="709" w:type="dxa"/>
          <w:tcBorders>
            <w:top w:val="nil"/>
            <w:left w:val="nil"/>
            <w:bottom w:val="nil"/>
            <w:right w:val="nil"/>
          </w:tcBorders>
        </w:tcPr>
        <w:p w:rsidR="007754D5" w:rsidRDefault="007754D5" w:rsidP="000202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7754D5" w:rsidRPr="00ED79B6" w:rsidRDefault="007754D5" w:rsidP="000202F5">
    <w:pPr>
      <w:rPr>
        <w:i/>
        <w:sz w:val="18"/>
      </w:rPr>
    </w:pPr>
  </w:p>
  <w:p w:rsidR="007754D5" w:rsidRPr="000202F5" w:rsidRDefault="007754D5" w:rsidP="000202F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F616C" w:rsidRDefault="007754D5" w:rsidP="000202F5">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7754D5" w:rsidRPr="007F616C" w:rsidTr="006F76F2">
      <w:tc>
        <w:tcPr>
          <w:tcW w:w="709" w:type="dxa"/>
          <w:tcBorders>
            <w:top w:val="nil"/>
            <w:left w:val="nil"/>
            <w:bottom w:val="nil"/>
            <w:right w:val="nil"/>
          </w:tcBorders>
        </w:tcPr>
        <w:p w:rsidR="007754D5" w:rsidRPr="007F616C" w:rsidRDefault="007754D5" w:rsidP="009C0876">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Pr>
              <w:rFonts w:cs="Times New Roman"/>
              <w:i/>
              <w:noProof/>
              <w:sz w:val="18"/>
            </w:rPr>
            <w:t>115</w:t>
          </w:r>
          <w:r w:rsidRPr="007F616C">
            <w:rPr>
              <w:rFonts w:cs="Times New Roman"/>
              <w:i/>
              <w:sz w:val="18"/>
            </w:rPr>
            <w:fldChar w:fldCharType="end"/>
          </w:r>
        </w:p>
      </w:tc>
      <w:tc>
        <w:tcPr>
          <w:tcW w:w="6379" w:type="dxa"/>
          <w:tcBorders>
            <w:top w:val="nil"/>
            <w:left w:val="nil"/>
            <w:bottom w:val="nil"/>
            <w:right w:val="nil"/>
          </w:tcBorders>
        </w:tcPr>
        <w:p w:rsidR="007754D5" w:rsidRPr="007F616C" w:rsidRDefault="007754D5" w:rsidP="009C0876">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7754D5" w:rsidRPr="007F616C" w:rsidRDefault="007754D5" w:rsidP="009C0876">
          <w:pPr>
            <w:spacing w:line="0" w:lineRule="atLeast"/>
            <w:jc w:val="right"/>
            <w:rPr>
              <w:rFonts w:cs="Times New Roman"/>
              <w:i/>
              <w:sz w:val="18"/>
            </w:rPr>
          </w:pPr>
        </w:p>
      </w:tc>
    </w:tr>
  </w:tbl>
  <w:p w:rsidR="007754D5" w:rsidRPr="007F616C" w:rsidRDefault="007754D5" w:rsidP="007F616C">
    <w:pPr>
      <w:rPr>
        <w:rFonts w:cs="Times New Roman"/>
        <w:i/>
        <w:sz w:val="18"/>
      </w:rPr>
    </w:pPr>
    <w:r w:rsidRPr="007F616C">
      <w:rPr>
        <w:rFonts w:cs="Times New Roman"/>
        <w:i/>
        <w:sz w:val="18"/>
      </w:rPr>
      <w:t>OPC60515 - 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33C1C" w:rsidRDefault="007754D5" w:rsidP="000202F5">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4"/>
      <w:gridCol w:w="6379"/>
      <w:gridCol w:w="709"/>
    </w:tblGrid>
    <w:tr w:rsidR="007754D5" w:rsidTr="009C0876">
      <w:tc>
        <w:tcPr>
          <w:tcW w:w="1384" w:type="dxa"/>
          <w:tcBorders>
            <w:top w:val="nil"/>
            <w:left w:val="nil"/>
            <w:bottom w:val="nil"/>
            <w:right w:val="nil"/>
          </w:tcBorders>
        </w:tcPr>
        <w:p w:rsidR="007754D5" w:rsidRDefault="007754D5" w:rsidP="009C0876">
          <w:pPr>
            <w:spacing w:line="0" w:lineRule="atLeast"/>
            <w:rPr>
              <w:sz w:val="18"/>
            </w:rPr>
          </w:pPr>
        </w:p>
      </w:tc>
      <w:tc>
        <w:tcPr>
          <w:tcW w:w="6379" w:type="dxa"/>
          <w:tcBorders>
            <w:top w:val="nil"/>
            <w:left w:val="nil"/>
            <w:bottom w:val="nil"/>
            <w:right w:val="nil"/>
          </w:tcBorders>
        </w:tcPr>
        <w:p w:rsidR="007754D5" w:rsidRDefault="007754D5" w:rsidP="009C08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Telecommunications Numbering Plan 2015</w:t>
          </w:r>
          <w:r w:rsidRPr="007A1328">
            <w:rPr>
              <w:i/>
              <w:sz w:val="18"/>
            </w:rPr>
            <w:fldChar w:fldCharType="end"/>
          </w:r>
        </w:p>
      </w:tc>
      <w:tc>
        <w:tcPr>
          <w:tcW w:w="709" w:type="dxa"/>
          <w:tcBorders>
            <w:top w:val="nil"/>
            <w:left w:val="nil"/>
            <w:bottom w:val="nil"/>
            <w:right w:val="nil"/>
          </w:tcBorders>
        </w:tcPr>
        <w:p w:rsidR="007754D5" w:rsidRDefault="007754D5" w:rsidP="009C08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7754D5" w:rsidRPr="00ED79B6" w:rsidRDefault="007754D5" w:rsidP="007F616C">
    <w:pPr>
      <w:rPr>
        <w:i/>
        <w:sz w:val="18"/>
      </w:rPr>
    </w:pPr>
    <w:r w:rsidRPr="007F616C">
      <w:rPr>
        <w:rFonts w:cs="Times New Roman"/>
        <w:i/>
        <w:sz w:val="18"/>
      </w:rPr>
      <w:t>OPC60515 - 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33C1C" w:rsidRDefault="007754D5" w:rsidP="007500C8">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7754D5" w:rsidTr="00B33709">
      <w:tc>
        <w:tcPr>
          <w:tcW w:w="1384" w:type="dxa"/>
          <w:tcBorders>
            <w:top w:val="nil"/>
            <w:left w:val="nil"/>
            <w:bottom w:val="nil"/>
            <w:right w:val="nil"/>
          </w:tcBorders>
        </w:tcPr>
        <w:p w:rsidR="007754D5" w:rsidRDefault="007754D5" w:rsidP="009C0876">
          <w:pPr>
            <w:spacing w:line="0" w:lineRule="atLeast"/>
            <w:rPr>
              <w:sz w:val="18"/>
            </w:rPr>
          </w:pPr>
        </w:p>
      </w:tc>
      <w:tc>
        <w:tcPr>
          <w:tcW w:w="6379" w:type="dxa"/>
          <w:tcBorders>
            <w:top w:val="nil"/>
            <w:left w:val="nil"/>
            <w:bottom w:val="nil"/>
            <w:right w:val="nil"/>
          </w:tcBorders>
        </w:tcPr>
        <w:p w:rsidR="007754D5" w:rsidRDefault="007754D5" w:rsidP="009C08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Telecommunications Numbering Plan 2015</w:t>
          </w:r>
          <w:r w:rsidRPr="007A1328">
            <w:rPr>
              <w:i/>
              <w:sz w:val="18"/>
            </w:rPr>
            <w:fldChar w:fldCharType="end"/>
          </w:r>
        </w:p>
      </w:tc>
      <w:tc>
        <w:tcPr>
          <w:tcW w:w="709" w:type="dxa"/>
          <w:tcBorders>
            <w:top w:val="nil"/>
            <w:left w:val="nil"/>
            <w:bottom w:val="nil"/>
            <w:right w:val="nil"/>
          </w:tcBorders>
        </w:tcPr>
        <w:p w:rsidR="007754D5" w:rsidRDefault="007754D5" w:rsidP="009C08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7754D5" w:rsidRPr="00ED79B6" w:rsidRDefault="007754D5"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rsidP="000202F5">
    <w:pPr>
      <w:pStyle w:val="Footer"/>
      <w:spacing w:before="120"/>
    </w:pPr>
  </w:p>
  <w:p w:rsidR="007754D5" w:rsidRPr="007500C8" w:rsidRDefault="007754D5" w:rsidP="007F616C">
    <w:pPr>
      <w:pStyle w:val="Footer"/>
    </w:pPr>
    <w:r w:rsidRPr="007F616C">
      <w:rPr>
        <w:i/>
        <w:sz w:val="18"/>
      </w:rPr>
      <w:t>OPC60515 -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D79B6" w:rsidRDefault="007754D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F616C" w:rsidRDefault="007754D5" w:rsidP="000202F5">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7754D5" w:rsidRPr="007F616C" w:rsidTr="006F76F2">
      <w:tc>
        <w:tcPr>
          <w:tcW w:w="709" w:type="dxa"/>
          <w:tcBorders>
            <w:top w:val="nil"/>
            <w:left w:val="nil"/>
            <w:bottom w:val="nil"/>
            <w:right w:val="nil"/>
          </w:tcBorders>
        </w:tcPr>
        <w:p w:rsidR="007754D5" w:rsidRPr="007F616C" w:rsidRDefault="007754D5" w:rsidP="009C0876">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Pr>
              <w:rFonts w:cs="Times New Roman"/>
              <w:i/>
              <w:noProof/>
              <w:sz w:val="18"/>
            </w:rPr>
            <w:t>iv</w:t>
          </w:r>
          <w:r w:rsidRPr="007F616C">
            <w:rPr>
              <w:rFonts w:cs="Times New Roman"/>
              <w:i/>
              <w:sz w:val="18"/>
            </w:rPr>
            <w:fldChar w:fldCharType="end"/>
          </w:r>
        </w:p>
      </w:tc>
      <w:tc>
        <w:tcPr>
          <w:tcW w:w="6379" w:type="dxa"/>
          <w:tcBorders>
            <w:top w:val="nil"/>
            <w:left w:val="nil"/>
            <w:bottom w:val="nil"/>
            <w:right w:val="nil"/>
          </w:tcBorders>
        </w:tcPr>
        <w:p w:rsidR="007754D5" w:rsidRPr="007F616C" w:rsidRDefault="007754D5" w:rsidP="009C0876">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7754D5" w:rsidRPr="007F616C" w:rsidRDefault="007754D5" w:rsidP="009C0876">
          <w:pPr>
            <w:spacing w:line="0" w:lineRule="atLeast"/>
            <w:jc w:val="right"/>
            <w:rPr>
              <w:rFonts w:cs="Times New Roman"/>
              <w:i/>
              <w:sz w:val="18"/>
            </w:rPr>
          </w:pPr>
        </w:p>
      </w:tc>
    </w:tr>
  </w:tbl>
  <w:p w:rsidR="007754D5" w:rsidRPr="007F616C" w:rsidRDefault="007754D5" w:rsidP="007F616C">
    <w:pPr>
      <w:rPr>
        <w:rFonts w:cs="Times New Roman"/>
        <w:i/>
        <w:sz w:val="18"/>
      </w:rPr>
    </w:pPr>
    <w:r w:rsidRPr="007F616C">
      <w:rPr>
        <w:rFonts w:cs="Times New Roman"/>
        <w:i/>
        <w:sz w:val="18"/>
      </w:rPr>
      <w:t>OPC60515 -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33C1C" w:rsidRDefault="007754D5" w:rsidP="000202F5">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1383"/>
      <w:gridCol w:w="6380"/>
      <w:gridCol w:w="709"/>
    </w:tblGrid>
    <w:tr w:rsidR="007754D5" w:rsidTr="00B33709">
      <w:tc>
        <w:tcPr>
          <w:tcW w:w="1383" w:type="dxa"/>
          <w:tcBorders>
            <w:top w:val="nil"/>
            <w:left w:val="nil"/>
            <w:bottom w:val="nil"/>
            <w:right w:val="nil"/>
          </w:tcBorders>
        </w:tcPr>
        <w:p w:rsidR="007754D5" w:rsidRDefault="007754D5" w:rsidP="009C0876">
          <w:pPr>
            <w:spacing w:line="0" w:lineRule="atLeast"/>
            <w:rPr>
              <w:sz w:val="18"/>
            </w:rPr>
          </w:pPr>
        </w:p>
      </w:tc>
      <w:tc>
        <w:tcPr>
          <w:tcW w:w="6380" w:type="dxa"/>
          <w:tcBorders>
            <w:top w:val="nil"/>
            <w:left w:val="nil"/>
            <w:bottom w:val="nil"/>
            <w:right w:val="nil"/>
          </w:tcBorders>
        </w:tcPr>
        <w:p w:rsidR="007754D5" w:rsidRDefault="007754D5" w:rsidP="009C08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Telecommunications Numbering Plan 2015</w:t>
          </w:r>
          <w:r w:rsidRPr="007A1328">
            <w:rPr>
              <w:i/>
              <w:sz w:val="18"/>
            </w:rPr>
            <w:fldChar w:fldCharType="end"/>
          </w:r>
        </w:p>
      </w:tc>
      <w:tc>
        <w:tcPr>
          <w:tcW w:w="709" w:type="dxa"/>
          <w:tcBorders>
            <w:top w:val="nil"/>
            <w:left w:val="nil"/>
            <w:bottom w:val="nil"/>
            <w:right w:val="nil"/>
          </w:tcBorders>
        </w:tcPr>
        <w:p w:rsidR="007754D5" w:rsidRDefault="007754D5" w:rsidP="009C08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D77DD">
            <w:rPr>
              <w:i/>
              <w:noProof/>
              <w:sz w:val="18"/>
            </w:rPr>
            <w:t>i</w:t>
          </w:r>
          <w:r w:rsidRPr="00ED79B6">
            <w:rPr>
              <w:i/>
              <w:sz w:val="18"/>
            </w:rPr>
            <w:fldChar w:fldCharType="end"/>
          </w:r>
        </w:p>
      </w:tc>
    </w:tr>
  </w:tbl>
  <w:p w:rsidR="007754D5" w:rsidRPr="00ED79B6" w:rsidRDefault="007754D5" w:rsidP="007F616C">
    <w:pPr>
      <w:rPr>
        <w:i/>
        <w:sz w:val="18"/>
      </w:rPr>
    </w:pPr>
    <w:r w:rsidRPr="007F616C">
      <w:rPr>
        <w:rFonts w:cs="Times New Roman"/>
        <w:i/>
        <w:sz w:val="18"/>
      </w:rPr>
      <w:t>OPC60515 -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F616C" w:rsidRDefault="007754D5" w:rsidP="000202F5">
    <w:pPr>
      <w:pBdr>
        <w:top w:val="single" w:sz="6" w:space="1" w:color="auto"/>
      </w:pBdr>
      <w:spacing w:before="120"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7754D5" w:rsidRPr="007F616C" w:rsidTr="006F76F2">
      <w:tc>
        <w:tcPr>
          <w:tcW w:w="709" w:type="dxa"/>
          <w:tcBorders>
            <w:top w:val="nil"/>
            <w:left w:val="nil"/>
            <w:bottom w:val="nil"/>
            <w:right w:val="nil"/>
          </w:tcBorders>
        </w:tcPr>
        <w:p w:rsidR="007754D5" w:rsidRPr="007F616C" w:rsidRDefault="007754D5" w:rsidP="00AA0E29">
          <w:pPr>
            <w:spacing w:line="0" w:lineRule="atLeast"/>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PAGE </w:instrText>
          </w:r>
          <w:r w:rsidRPr="007F616C">
            <w:rPr>
              <w:rFonts w:eastAsia="Calibri" w:cs="Times New Roman"/>
              <w:i/>
              <w:sz w:val="18"/>
            </w:rPr>
            <w:fldChar w:fldCharType="separate"/>
          </w:r>
          <w:r>
            <w:rPr>
              <w:rFonts w:eastAsia="Calibri" w:cs="Times New Roman"/>
              <w:i/>
              <w:noProof/>
              <w:sz w:val="18"/>
            </w:rPr>
            <w:t>78</w:t>
          </w:r>
          <w:r w:rsidRPr="007F616C">
            <w:rPr>
              <w:rFonts w:eastAsia="Calibri" w:cs="Times New Roman"/>
              <w:i/>
              <w:sz w:val="18"/>
            </w:rPr>
            <w:fldChar w:fldCharType="end"/>
          </w:r>
        </w:p>
      </w:tc>
      <w:tc>
        <w:tcPr>
          <w:tcW w:w="6379" w:type="dxa"/>
          <w:tcBorders>
            <w:top w:val="nil"/>
            <w:left w:val="nil"/>
            <w:bottom w:val="nil"/>
            <w:right w:val="nil"/>
          </w:tcBorders>
        </w:tcPr>
        <w:p w:rsidR="007754D5" w:rsidRPr="007F616C" w:rsidRDefault="007754D5" w:rsidP="00AA0E29">
          <w:pPr>
            <w:spacing w:line="0" w:lineRule="atLeast"/>
            <w:jc w:val="center"/>
            <w:rPr>
              <w:rFonts w:eastAsia="Calibri" w:cs="Times New Roman"/>
              <w:i/>
              <w:sz w:val="18"/>
            </w:rPr>
          </w:pPr>
          <w:r w:rsidRPr="007F616C">
            <w:rPr>
              <w:rFonts w:eastAsia="Calibri" w:cs="Times New Roman"/>
              <w:i/>
              <w:sz w:val="18"/>
            </w:rPr>
            <w:fldChar w:fldCharType="begin"/>
          </w:r>
          <w:r w:rsidRPr="007F616C">
            <w:rPr>
              <w:rFonts w:eastAsia="Calibri" w:cs="Times New Roman"/>
              <w:i/>
              <w:sz w:val="18"/>
            </w:rPr>
            <w:instrText xml:space="preserve"> DOCPROPERTY ShortT </w:instrText>
          </w:r>
          <w:r w:rsidRPr="007F616C">
            <w:rPr>
              <w:rFonts w:eastAsia="Calibri" w:cs="Times New Roman"/>
              <w:i/>
              <w:sz w:val="18"/>
            </w:rPr>
            <w:fldChar w:fldCharType="separate"/>
          </w:r>
          <w:r>
            <w:rPr>
              <w:rFonts w:eastAsia="Calibri" w:cs="Times New Roman"/>
              <w:i/>
              <w:sz w:val="18"/>
            </w:rPr>
            <w:t>Telecommunications Numbering Plan 2015</w:t>
          </w:r>
          <w:r w:rsidRPr="007F616C">
            <w:rPr>
              <w:rFonts w:eastAsia="Calibri" w:cs="Times New Roman"/>
              <w:i/>
              <w:sz w:val="18"/>
            </w:rPr>
            <w:fldChar w:fldCharType="end"/>
          </w:r>
        </w:p>
      </w:tc>
      <w:tc>
        <w:tcPr>
          <w:tcW w:w="1384" w:type="dxa"/>
          <w:tcBorders>
            <w:top w:val="nil"/>
            <w:left w:val="nil"/>
            <w:bottom w:val="nil"/>
            <w:right w:val="nil"/>
          </w:tcBorders>
        </w:tcPr>
        <w:p w:rsidR="007754D5" w:rsidRPr="007F616C" w:rsidRDefault="007754D5" w:rsidP="00AA0E29">
          <w:pPr>
            <w:spacing w:line="0" w:lineRule="atLeast"/>
            <w:jc w:val="right"/>
            <w:rPr>
              <w:rFonts w:eastAsia="Calibri" w:cs="Times New Roman"/>
              <w:i/>
              <w:sz w:val="18"/>
            </w:rPr>
          </w:pPr>
        </w:p>
      </w:tc>
    </w:tr>
  </w:tbl>
  <w:p w:rsidR="007754D5" w:rsidRPr="007F616C" w:rsidRDefault="007754D5" w:rsidP="007F616C">
    <w:pPr>
      <w:rPr>
        <w:rFonts w:eastAsia="Calibri" w:cs="Times New Roman"/>
        <w:i/>
        <w:sz w:val="18"/>
      </w:rPr>
    </w:pPr>
    <w:r w:rsidRPr="007F616C">
      <w:rPr>
        <w:rFonts w:eastAsia="Calibri" w:cs="Times New Roman"/>
        <w:i/>
        <w:sz w:val="18"/>
      </w:rPr>
      <w:t>OPC60515 -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0B0625" w:rsidRDefault="007754D5" w:rsidP="000202F5">
    <w:pPr>
      <w:pBdr>
        <w:top w:val="single" w:sz="6" w:space="1" w:color="auto"/>
      </w:pBdr>
      <w:spacing w:before="120"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7754D5" w:rsidRPr="000B0625" w:rsidTr="00AA0E29">
      <w:tc>
        <w:tcPr>
          <w:tcW w:w="1384" w:type="dxa"/>
          <w:tcBorders>
            <w:top w:val="nil"/>
            <w:left w:val="nil"/>
            <w:bottom w:val="nil"/>
            <w:right w:val="nil"/>
          </w:tcBorders>
        </w:tcPr>
        <w:p w:rsidR="007754D5" w:rsidRPr="000B0625" w:rsidRDefault="007754D5" w:rsidP="00AA0E29">
          <w:pPr>
            <w:spacing w:line="0" w:lineRule="atLeast"/>
            <w:rPr>
              <w:rFonts w:eastAsia="Calibri"/>
              <w:sz w:val="18"/>
            </w:rPr>
          </w:pPr>
        </w:p>
      </w:tc>
      <w:tc>
        <w:tcPr>
          <w:tcW w:w="6379" w:type="dxa"/>
          <w:tcBorders>
            <w:top w:val="nil"/>
            <w:left w:val="nil"/>
            <w:bottom w:val="nil"/>
            <w:right w:val="nil"/>
          </w:tcBorders>
        </w:tcPr>
        <w:p w:rsidR="007754D5" w:rsidRPr="000B0625" w:rsidRDefault="007754D5" w:rsidP="00AA0E29">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Pr>
              <w:rFonts w:eastAsia="Calibri"/>
              <w:i/>
              <w:sz w:val="18"/>
            </w:rPr>
            <w:t>Telecommunications Numbering Plan 2015</w:t>
          </w:r>
          <w:r w:rsidRPr="000B0625">
            <w:rPr>
              <w:rFonts w:eastAsia="Calibri"/>
              <w:i/>
              <w:sz w:val="18"/>
            </w:rPr>
            <w:fldChar w:fldCharType="end"/>
          </w:r>
        </w:p>
      </w:tc>
      <w:tc>
        <w:tcPr>
          <w:tcW w:w="709" w:type="dxa"/>
          <w:tcBorders>
            <w:top w:val="nil"/>
            <w:left w:val="nil"/>
            <w:bottom w:val="nil"/>
            <w:right w:val="nil"/>
          </w:tcBorders>
        </w:tcPr>
        <w:p w:rsidR="007754D5" w:rsidRPr="000B0625" w:rsidRDefault="007754D5" w:rsidP="00AA0E29">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Pr>
              <w:rFonts w:eastAsia="Calibri"/>
              <w:i/>
              <w:noProof/>
              <w:sz w:val="18"/>
            </w:rPr>
            <w:t>77</w:t>
          </w:r>
          <w:r w:rsidRPr="000B0625">
            <w:rPr>
              <w:rFonts w:eastAsia="Calibri"/>
              <w:i/>
              <w:sz w:val="18"/>
            </w:rPr>
            <w:fldChar w:fldCharType="end"/>
          </w:r>
        </w:p>
      </w:tc>
    </w:tr>
  </w:tbl>
  <w:p w:rsidR="007754D5" w:rsidRPr="000B0625" w:rsidRDefault="007754D5" w:rsidP="007F616C">
    <w:pPr>
      <w:rPr>
        <w:rFonts w:eastAsia="Calibri"/>
        <w:sz w:val="18"/>
      </w:rPr>
    </w:pPr>
    <w:r w:rsidRPr="007F616C">
      <w:rPr>
        <w:rFonts w:eastAsia="Calibri" w:cs="Times New Roman"/>
        <w:i/>
        <w:sz w:val="18"/>
      </w:rPr>
      <w:t>OPC60515 -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0B0625" w:rsidRDefault="007754D5" w:rsidP="00AA0E29">
    <w:pPr>
      <w:pBdr>
        <w:top w:val="single" w:sz="6" w:space="1" w:color="auto"/>
      </w:pBdr>
      <w:spacing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7754D5" w:rsidRPr="000B0625" w:rsidTr="00AA0E29">
      <w:tc>
        <w:tcPr>
          <w:tcW w:w="1384" w:type="dxa"/>
          <w:tcBorders>
            <w:top w:val="nil"/>
            <w:left w:val="nil"/>
            <w:bottom w:val="nil"/>
            <w:right w:val="nil"/>
          </w:tcBorders>
        </w:tcPr>
        <w:p w:rsidR="007754D5" w:rsidRPr="000B0625" w:rsidRDefault="007754D5" w:rsidP="00AA0E29">
          <w:pPr>
            <w:spacing w:line="0" w:lineRule="atLeast"/>
            <w:rPr>
              <w:rFonts w:eastAsia="Calibri"/>
              <w:sz w:val="18"/>
            </w:rPr>
          </w:pPr>
        </w:p>
      </w:tc>
      <w:tc>
        <w:tcPr>
          <w:tcW w:w="6379" w:type="dxa"/>
          <w:tcBorders>
            <w:top w:val="nil"/>
            <w:left w:val="nil"/>
            <w:bottom w:val="nil"/>
            <w:right w:val="nil"/>
          </w:tcBorders>
        </w:tcPr>
        <w:p w:rsidR="007754D5" w:rsidRPr="000B0625" w:rsidRDefault="007754D5" w:rsidP="00AA0E29">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Pr>
              <w:rFonts w:eastAsia="Calibri"/>
              <w:i/>
              <w:sz w:val="18"/>
            </w:rPr>
            <w:t>Telecommunications Numbering Plan 2015</w:t>
          </w:r>
          <w:r w:rsidRPr="000B0625">
            <w:rPr>
              <w:rFonts w:eastAsia="Calibri"/>
              <w:i/>
              <w:sz w:val="18"/>
            </w:rPr>
            <w:fldChar w:fldCharType="end"/>
          </w:r>
        </w:p>
      </w:tc>
      <w:tc>
        <w:tcPr>
          <w:tcW w:w="709" w:type="dxa"/>
          <w:tcBorders>
            <w:top w:val="nil"/>
            <w:left w:val="nil"/>
            <w:bottom w:val="nil"/>
            <w:right w:val="nil"/>
          </w:tcBorders>
        </w:tcPr>
        <w:p w:rsidR="007754D5" w:rsidRPr="000B0625" w:rsidRDefault="007754D5" w:rsidP="00AA0E29">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Pr>
              <w:rFonts w:eastAsia="Calibri"/>
              <w:i/>
              <w:noProof/>
              <w:sz w:val="18"/>
            </w:rPr>
            <w:t>115</w:t>
          </w:r>
          <w:r w:rsidRPr="000B0625">
            <w:rPr>
              <w:rFonts w:eastAsia="Calibri"/>
              <w:i/>
              <w:sz w:val="18"/>
            </w:rPr>
            <w:fldChar w:fldCharType="end"/>
          </w:r>
        </w:p>
      </w:tc>
    </w:tr>
  </w:tbl>
  <w:p w:rsidR="007754D5" w:rsidRPr="000B0625" w:rsidRDefault="007754D5" w:rsidP="00AA0E29">
    <w:pPr>
      <w:rPr>
        <w:rFonts w:eastAsia="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F616C" w:rsidRDefault="007754D5" w:rsidP="000202F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754D5" w:rsidRPr="007F616C" w:rsidTr="006F76F2">
      <w:tc>
        <w:tcPr>
          <w:tcW w:w="709" w:type="dxa"/>
          <w:tcBorders>
            <w:top w:val="nil"/>
            <w:left w:val="nil"/>
            <w:bottom w:val="nil"/>
            <w:right w:val="nil"/>
          </w:tcBorders>
        </w:tcPr>
        <w:p w:rsidR="007754D5" w:rsidRPr="007F616C" w:rsidRDefault="007754D5" w:rsidP="000039CA">
          <w:pPr>
            <w:spacing w:line="0" w:lineRule="atLeast"/>
            <w:rPr>
              <w:rFonts w:cs="Times New Roman"/>
              <w:i/>
              <w:sz w:val="18"/>
            </w:rPr>
          </w:pPr>
          <w:r w:rsidRPr="007F616C">
            <w:rPr>
              <w:rFonts w:cs="Times New Roman"/>
              <w:i/>
              <w:sz w:val="18"/>
            </w:rPr>
            <w:fldChar w:fldCharType="begin"/>
          </w:r>
          <w:r w:rsidRPr="007F616C">
            <w:rPr>
              <w:rFonts w:cs="Times New Roman"/>
              <w:i/>
              <w:sz w:val="18"/>
            </w:rPr>
            <w:instrText xml:space="preserve"> PAGE </w:instrText>
          </w:r>
          <w:r w:rsidRPr="007F616C">
            <w:rPr>
              <w:rFonts w:cs="Times New Roman"/>
              <w:i/>
              <w:sz w:val="18"/>
            </w:rPr>
            <w:fldChar w:fldCharType="separate"/>
          </w:r>
          <w:r>
            <w:rPr>
              <w:rFonts w:cs="Times New Roman"/>
              <w:i/>
              <w:noProof/>
              <w:sz w:val="18"/>
            </w:rPr>
            <w:t>114</w:t>
          </w:r>
          <w:r w:rsidRPr="007F616C">
            <w:rPr>
              <w:rFonts w:cs="Times New Roman"/>
              <w:i/>
              <w:sz w:val="18"/>
            </w:rPr>
            <w:fldChar w:fldCharType="end"/>
          </w:r>
        </w:p>
      </w:tc>
      <w:tc>
        <w:tcPr>
          <w:tcW w:w="6379" w:type="dxa"/>
          <w:tcBorders>
            <w:top w:val="nil"/>
            <w:left w:val="nil"/>
            <w:bottom w:val="nil"/>
            <w:right w:val="nil"/>
          </w:tcBorders>
        </w:tcPr>
        <w:p w:rsidR="007754D5" w:rsidRPr="007F616C" w:rsidRDefault="007754D5" w:rsidP="000039CA">
          <w:pPr>
            <w:spacing w:line="0" w:lineRule="atLeast"/>
            <w:jc w:val="center"/>
            <w:rPr>
              <w:rFonts w:cs="Times New Roman"/>
              <w:i/>
              <w:sz w:val="18"/>
            </w:rPr>
          </w:pPr>
          <w:r w:rsidRPr="007F616C">
            <w:rPr>
              <w:rFonts w:cs="Times New Roman"/>
              <w:i/>
              <w:sz w:val="18"/>
            </w:rPr>
            <w:fldChar w:fldCharType="begin"/>
          </w:r>
          <w:r w:rsidRPr="007F616C">
            <w:rPr>
              <w:rFonts w:cs="Times New Roman"/>
              <w:i/>
              <w:sz w:val="18"/>
            </w:rPr>
            <w:instrText xml:space="preserve"> DOCPROPERTY ShortT </w:instrText>
          </w:r>
          <w:r w:rsidRPr="007F616C">
            <w:rPr>
              <w:rFonts w:cs="Times New Roman"/>
              <w:i/>
              <w:sz w:val="18"/>
            </w:rPr>
            <w:fldChar w:fldCharType="separate"/>
          </w:r>
          <w:r>
            <w:rPr>
              <w:rFonts w:cs="Times New Roman"/>
              <w:i/>
              <w:sz w:val="18"/>
            </w:rPr>
            <w:t>Telecommunications Numbering Plan 2015</w:t>
          </w:r>
          <w:r w:rsidRPr="007F616C">
            <w:rPr>
              <w:rFonts w:cs="Times New Roman"/>
              <w:i/>
              <w:sz w:val="18"/>
            </w:rPr>
            <w:fldChar w:fldCharType="end"/>
          </w:r>
        </w:p>
      </w:tc>
      <w:tc>
        <w:tcPr>
          <w:tcW w:w="1384" w:type="dxa"/>
          <w:tcBorders>
            <w:top w:val="nil"/>
            <w:left w:val="nil"/>
            <w:bottom w:val="nil"/>
            <w:right w:val="nil"/>
          </w:tcBorders>
        </w:tcPr>
        <w:p w:rsidR="007754D5" w:rsidRPr="007F616C" w:rsidRDefault="007754D5" w:rsidP="000039CA">
          <w:pPr>
            <w:spacing w:line="0" w:lineRule="atLeast"/>
            <w:jc w:val="right"/>
            <w:rPr>
              <w:rFonts w:cs="Times New Roman"/>
              <w:i/>
              <w:sz w:val="18"/>
            </w:rPr>
          </w:pPr>
        </w:p>
      </w:tc>
    </w:tr>
  </w:tbl>
  <w:p w:rsidR="007754D5" w:rsidRPr="007F616C" w:rsidRDefault="007754D5" w:rsidP="007F616C">
    <w:pPr>
      <w:rPr>
        <w:rFonts w:cs="Times New Roman"/>
        <w:i/>
        <w:sz w:val="18"/>
      </w:rPr>
    </w:pPr>
    <w:r w:rsidRPr="007F616C">
      <w:rPr>
        <w:rFonts w:cs="Times New Roman"/>
        <w:i/>
        <w:sz w:val="18"/>
      </w:rPr>
      <w:t>OPC60515 -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D5" w:rsidRDefault="007754D5" w:rsidP="00715914">
      <w:pPr>
        <w:spacing w:line="240" w:lineRule="auto"/>
      </w:pPr>
      <w:r>
        <w:separator/>
      </w:r>
    </w:p>
  </w:footnote>
  <w:footnote w:type="continuationSeparator" w:id="0">
    <w:p w:rsidR="007754D5" w:rsidRDefault="007754D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5F1388" w:rsidRDefault="007754D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D1021D" w:rsidRDefault="007754D5">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Access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6</w:t>
    </w:r>
    <w:r w:rsidRPr="00D1021D">
      <w:rPr>
        <w:b/>
        <w:sz w:val="20"/>
      </w:rPr>
      <w:fldChar w:fldCharType="end"/>
    </w:r>
  </w:p>
  <w:p w:rsidR="007754D5" w:rsidRPr="00D1021D" w:rsidRDefault="007754D5">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7754D5" w:rsidRPr="00D1021D" w:rsidRDefault="007754D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7754D5" w:rsidRPr="00D1021D" w:rsidRDefault="007754D5">
    <w:pPr>
      <w:jc w:val="right"/>
      <w:rPr>
        <w:b/>
      </w:rPr>
    </w:pPr>
  </w:p>
  <w:p w:rsidR="007754D5" w:rsidRPr="00D1021D" w:rsidRDefault="007754D5" w:rsidP="000202F5">
    <w:pPr>
      <w:pBdr>
        <w:bottom w:val="single" w:sz="6" w:space="1" w:color="auto"/>
      </w:pBdr>
      <w:spacing w:after="120"/>
      <w:jc w:val="right"/>
    </w:pPr>
    <w:r w:rsidRPr="00D1021D">
      <w:t xml:space="preserve">Clause </w:t>
    </w:r>
    <w:fldSimple w:instr=" STYLEREF CharSectno ">
      <w:r>
        <w:rPr>
          <w:noProof/>
        </w:rPr>
        <w:t>2</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8</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rsidR="007754D5" w:rsidRDefault="007754D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754D5" w:rsidRDefault="007754D5" w:rsidP="000202F5">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pPr>
      <w:jc w:val="right"/>
      <w:rPr>
        <w:sz w:val="20"/>
      </w:rPr>
    </w:pP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8</w:t>
    </w:r>
    <w:r>
      <w:rPr>
        <w:b/>
        <w:sz w:val="20"/>
      </w:rPr>
      <w:fldChar w:fldCharType="end"/>
    </w:r>
  </w:p>
  <w:p w:rsidR="007754D5" w:rsidRDefault="007754D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754D5" w:rsidRDefault="007754D5" w:rsidP="000202F5">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Size of standard unit</w:t>
    </w:r>
    <w:r>
      <w:rPr>
        <w:sz w:val="20"/>
      </w:rPr>
      <w:fldChar w:fldCharType="end"/>
    </w:r>
  </w:p>
  <w:p w:rsidR="007754D5" w:rsidRDefault="007754D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754D5" w:rsidRPr="007A1328" w:rsidRDefault="007754D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754D5" w:rsidRPr="007A1328" w:rsidRDefault="007754D5" w:rsidP="00715914">
    <w:pPr>
      <w:rPr>
        <w:b/>
        <w:sz w:val="24"/>
      </w:rPr>
    </w:pPr>
  </w:p>
  <w:p w:rsidR="007754D5" w:rsidRPr="007A1328" w:rsidRDefault="007754D5" w:rsidP="000202F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A1328" w:rsidRDefault="007754D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Size of standard unit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7</w:t>
    </w:r>
    <w:r>
      <w:rPr>
        <w:b/>
        <w:sz w:val="20"/>
      </w:rPr>
      <w:fldChar w:fldCharType="end"/>
    </w:r>
  </w:p>
  <w:p w:rsidR="007754D5" w:rsidRPr="007A1328" w:rsidRDefault="007754D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754D5" w:rsidRPr="007A1328" w:rsidRDefault="007754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54D5" w:rsidRPr="007A1328" w:rsidRDefault="007754D5" w:rsidP="00715914">
    <w:pPr>
      <w:jc w:val="right"/>
      <w:rPr>
        <w:b/>
        <w:sz w:val="24"/>
      </w:rPr>
    </w:pPr>
  </w:p>
  <w:p w:rsidR="007754D5" w:rsidRPr="007A1328" w:rsidRDefault="007754D5" w:rsidP="000202F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7A1328" w:rsidRDefault="007754D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5F1388" w:rsidRDefault="007754D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5F1388" w:rsidRDefault="007754D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D79B6" w:rsidRDefault="007754D5"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D79B6" w:rsidRDefault="007754D5"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ED79B6" w:rsidRDefault="007754D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0B0625" w:rsidRDefault="007754D5">
    <w:pPr>
      <w:rPr>
        <w:sz w:val="20"/>
      </w:rPr>
    </w:pPr>
    <w:r w:rsidRPr="000B0625">
      <w:rPr>
        <w:b/>
        <w:sz w:val="20"/>
      </w:rPr>
      <w:fldChar w:fldCharType="begin"/>
    </w:r>
    <w:r w:rsidRPr="000B0625">
      <w:rPr>
        <w:b/>
        <w:sz w:val="20"/>
      </w:rPr>
      <w:instrText xml:space="preserve"> STYLEREF CharChapNo </w:instrText>
    </w:r>
    <w:r>
      <w:rPr>
        <w:b/>
        <w:sz w:val="20"/>
      </w:rPr>
      <w:fldChar w:fldCharType="separate"/>
    </w:r>
    <w:r>
      <w:rPr>
        <w:b/>
        <w:noProof/>
        <w:sz w:val="20"/>
      </w:rPr>
      <w:t>Chapter 12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Pr>
        <w:sz w:val="20"/>
      </w:rPr>
      <w:fldChar w:fldCharType="separate"/>
    </w:r>
    <w:r>
      <w:rPr>
        <w:noProof/>
        <w:sz w:val="20"/>
      </w:rPr>
      <w:t>Transitional provisions</w:t>
    </w:r>
    <w:r w:rsidRPr="000B0625">
      <w:rPr>
        <w:sz w:val="20"/>
      </w:rPr>
      <w:fldChar w:fldCharType="end"/>
    </w:r>
  </w:p>
  <w:p w:rsidR="007754D5" w:rsidRPr="000B0625" w:rsidRDefault="007754D5">
    <w:pPr>
      <w:rPr>
        <w:b/>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7754D5" w:rsidRPr="000B0625" w:rsidRDefault="007754D5">
    <w:pPr>
      <w:rPr>
        <w:sz w:val="20"/>
      </w:rPr>
    </w:pPr>
    <w:r w:rsidRPr="000B0625">
      <w:rPr>
        <w:b/>
        <w:sz w:val="20"/>
      </w:rPr>
      <w:fldChar w:fldCharType="begin"/>
    </w:r>
    <w:r w:rsidRPr="000B0625">
      <w:rPr>
        <w:b/>
        <w:sz w:val="20"/>
      </w:rPr>
      <w:instrText xml:space="preserve"> STYLEREF CharDivNo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CharDivText </w:instrText>
    </w:r>
    <w:r w:rsidRPr="000B0625">
      <w:rPr>
        <w:sz w:val="20"/>
      </w:rPr>
      <w:fldChar w:fldCharType="end"/>
    </w:r>
  </w:p>
  <w:p w:rsidR="007754D5" w:rsidRPr="000B0625" w:rsidRDefault="007754D5">
    <w:pPr>
      <w:rPr>
        <w:b/>
      </w:rPr>
    </w:pPr>
  </w:p>
  <w:p w:rsidR="007754D5" w:rsidRPr="000B0625" w:rsidRDefault="007754D5" w:rsidP="000202F5">
    <w:pPr>
      <w:pBdr>
        <w:bottom w:val="single" w:sz="6" w:space="1" w:color="auto"/>
      </w:pBdr>
      <w:spacing w:after="120"/>
      <w:rPr>
        <w:rFonts w:eastAsia="Calibri"/>
        <w:sz w:val="24"/>
      </w:rPr>
    </w:pPr>
    <w:r w:rsidRPr="000B0625">
      <w:rPr>
        <w:rFonts w:eastAsia="Calibri"/>
        <w:sz w:val="24"/>
      </w:rPr>
      <w:fldChar w:fldCharType="begin"/>
    </w:r>
    <w:r w:rsidRPr="000B0625">
      <w:rPr>
        <w:rFonts w:eastAsia="Calibri"/>
        <w:sz w:val="24"/>
      </w:rPr>
      <w:instrText xml:space="preserve"> DOCPROPERTY  Header </w:instrText>
    </w:r>
    <w:r w:rsidRPr="000B0625">
      <w:rPr>
        <w:rFonts w:eastAsia="Calibri"/>
        <w:sz w:val="24"/>
      </w:rPr>
      <w:fldChar w:fldCharType="separate"/>
    </w:r>
    <w:r>
      <w:rPr>
        <w:rFonts w:eastAsia="Calibri"/>
        <w:sz w:val="24"/>
      </w:rPr>
      <w:t>Section</w:t>
    </w:r>
    <w:r w:rsidRPr="000B0625">
      <w:rPr>
        <w:rFonts w:eastAsia="Calibri"/>
        <w:sz w:val="24"/>
      </w:rPr>
      <w:fldChar w:fldCharType="end"/>
    </w:r>
    <w:r w:rsidRPr="000B0625">
      <w:rPr>
        <w:rFonts w:eastAsia="Calibri"/>
        <w:sz w:val="24"/>
      </w:rPr>
      <w:t xml:space="preserve"> </w:t>
    </w:r>
    <w:r w:rsidRPr="000B0625">
      <w:rPr>
        <w:rFonts w:eastAsia="Calibri"/>
        <w:sz w:val="24"/>
      </w:rPr>
      <w:fldChar w:fldCharType="begin"/>
    </w:r>
    <w:r w:rsidRPr="000B0625">
      <w:rPr>
        <w:rFonts w:eastAsia="Calibri"/>
        <w:sz w:val="24"/>
      </w:rPr>
      <w:instrText xml:space="preserve"> STYLEREF CharSectno </w:instrText>
    </w:r>
    <w:r w:rsidRPr="000B0625">
      <w:rPr>
        <w:rFonts w:eastAsia="Calibri"/>
        <w:sz w:val="24"/>
      </w:rPr>
      <w:fldChar w:fldCharType="separate"/>
    </w:r>
    <w:r>
      <w:rPr>
        <w:rFonts w:eastAsia="Calibri"/>
        <w:noProof/>
        <w:sz w:val="24"/>
      </w:rPr>
      <w:t>133</w:t>
    </w:r>
    <w:r w:rsidRPr="000B0625">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Default="007754D5">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General matters relating to administration, review and reporting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Chapter 11</w:t>
    </w:r>
    <w:r>
      <w:rPr>
        <w:b/>
        <w:sz w:val="20"/>
      </w:rPr>
      <w:fldChar w:fldCharType="end"/>
    </w:r>
  </w:p>
  <w:p w:rsidR="007754D5" w:rsidRDefault="007754D5">
    <w:pPr>
      <w:jc w:val="right"/>
      <w:rPr>
        <w:b/>
        <w:sz w:val="20"/>
      </w:rPr>
    </w:pPr>
    <w:r>
      <w:rPr>
        <w:sz w:val="20"/>
      </w:rPr>
      <w:fldChar w:fldCharType="begin"/>
    </w:r>
    <w:r>
      <w:rPr>
        <w:sz w:val="20"/>
      </w:rPr>
      <w:instrText xml:space="preserve"> STYLEREF CharPartText </w:instrText>
    </w:r>
    <w:r>
      <w:rPr>
        <w:sz w:val="20"/>
      </w:rPr>
      <w:fldChar w:fldCharType="separate"/>
    </w:r>
    <w:r>
      <w:rPr>
        <w:noProof/>
        <w:sz w:val="20"/>
      </w:rPr>
      <w:t>General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w:t>
    </w:r>
    <w:r>
      <w:rPr>
        <w:b/>
        <w:sz w:val="20"/>
      </w:rPr>
      <w:fldChar w:fldCharType="end"/>
    </w:r>
  </w:p>
  <w:p w:rsidR="007754D5" w:rsidRDefault="007754D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754D5" w:rsidRDefault="007754D5">
    <w:pPr>
      <w:jc w:val="right"/>
      <w:rPr>
        <w:b/>
      </w:rPr>
    </w:pPr>
  </w:p>
  <w:p w:rsidR="007754D5" w:rsidRDefault="007754D5" w:rsidP="000202F5">
    <w:pPr>
      <w:pBdr>
        <w:bottom w:val="single" w:sz="6" w:space="1" w:color="auto"/>
      </w:pBdr>
      <w:spacing w:after="120"/>
      <w:jc w:val="right"/>
    </w:pPr>
    <w:r>
      <w:t xml:space="preserve">Section </w:t>
    </w:r>
    <w:fldSimple w:instr=" STYLEREF CharSectno ">
      <w:r>
        <w:rPr>
          <w:noProof/>
        </w:rPr>
        <w:t>132</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D5" w:rsidRPr="00D1021D" w:rsidRDefault="007754D5">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7</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Size of standard unit</w:t>
    </w:r>
    <w:r w:rsidRPr="00D1021D">
      <w:rPr>
        <w:sz w:val="20"/>
      </w:rPr>
      <w:fldChar w:fldCharType="end"/>
    </w:r>
  </w:p>
  <w:p w:rsidR="007754D5" w:rsidRPr="00D1021D" w:rsidRDefault="007754D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7754D5" w:rsidRPr="00D1021D" w:rsidRDefault="007754D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7754D5" w:rsidRPr="00D1021D" w:rsidRDefault="007754D5">
    <w:pPr>
      <w:rPr>
        <w:b/>
      </w:rPr>
    </w:pPr>
  </w:p>
  <w:p w:rsidR="007754D5" w:rsidRPr="00D1021D" w:rsidRDefault="007754D5" w:rsidP="000202F5">
    <w:pPr>
      <w:pBdr>
        <w:bottom w:val="single" w:sz="6" w:space="1" w:color="auto"/>
      </w:pBdr>
      <w:spacing w:after="120"/>
    </w:pPr>
    <w:r w:rsidRPr="00D1021D">
      <w:t xml:space="preserve">Clause </w:t>
    </w:r>
    <w:fldSimple w:instr=" STYLEREF CharSectno ">
      <w:r>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66909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C4722F9"/>
    <w:multiLevelType w:val="hybridMultilevel"/>
    <w:tmpl w:val="BFBE7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B9658F"/>
    <w:multiLevelType w:val="hybridMultilevel"/>
    <w:tmpl w:val="DB422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CCC6241"/>
    <w:multiLevelType w:val="hybridMultilevel"/>
    <w:tmpl w:val="6262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5602B3"/>
    <w:multiLevelType w:val="multilevel"/>
    <w:tmpl w:val="E8E06538"/>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lvlOverride w:ilvl="0">
      <w:lvl w:ilvl="0">
        <w:start w:val="1"/>
        <w:numFmt w:val="bullet"/>
        <w:lvlText w:val=""/>
        <w:legacy w:legacy="1" w:legacySpace="0" w:legacyIndent="360"/>
        <w:lvlJc w:val="left"/>
        <w:pPr>
          <w:ind w:left="536" w:hanging="360"/>
        </w:pPr>
        <w:rPr>
          <w:rFonts w:ascii="Symbol" w:hAnsi="Symbol" w:hint="default"/>
        </w:rPr>
      </w:lvl>
    </w:lvlOverride>
  </w:num>
  <w:num w:numId="14">
    <w:abstractNumId w:val="11"/>
  </w:num>
  <w:num w:numId="15">
    <w:abstractNumId w:val="17"/>
  </w:num>
  <w:num w:numId="16">
    <w:abstractNumId w:val="10"/>
    <w:lvlOverride w:ilvl="0">
      <w:lvl w:ilvl="0">
        <w:start w:val="1"/>
        <w:numFmt w:val="bullet"/>
        <w:lvlText w:val=""/>
        <w:legacy w:legacy="1" w:legacySpace="0" w:legacyIndent="360"/>
        <w:lvlJc w:val="left"/>
        <w:pPr>
          <w:ind w:left="677" w:hanging="360"/>
        </w:pPr>
        <w:rPr>
          <w:rFonts w:ascii="Symbol" w:hAnsi="Symbol" w:hint="default"/>
          <w:sz w:val="20"/>
        </w:rPr>
      </w:lvl>
    </w:lvlOverride>
  </w:num>
  <w:num w:numId="17">
    <w:abstractNumId w:val="13"/>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ED"/>
    <w:rsid w:val="000039CA"/>
    <w:rsid w:val="00004470"/>
    <w:rsid w:val="00004778"/>
    <w:rsid w:val="00004C01"/>
    <w:rsid w:val="00007131"/>
    <w:rsid w:val="000136AF"/>
    <w:rsid w:val="00014093"/>
    <w:rsid w:val="000202F5"/>
    <w:rsid w:val="000206F0"/>
    <w:rsid w:val="0002230B"/>
    <w:rsid w:val="000224CB"/>
    <w:rsid w:val="00022551"/>
    <w:rsid w:val="00026206"/>
    <w:rsid w:val="0003079E"/>
    <w:rsid w:val="00030EE3"/>
    <w:rsid w:val="0003285F"/>
    <w:rsid w:val="00032AC9"/>
    <w:rsid w:val="00034BAF"/>
    <w:rsid w:val="000378FB"/>
    <w:rsid w:val="00042830"/>
    <w:rsid w:val="00042B57"/>
    <w:rsid w:val="000437C1"/>
    <w:rsid w:val="0005365D"/>
    <w:rsid w:val="00060EC0"/>
    <w:rsid w:val="000614BF"/>
    <w:rsid w:val="00061FE8"/>
    <w:rsid w:val="00062559"/>
    <w:rsid w:val="00067927"/>
    <w:rsid w:val="00067FDC"/>
    <w:rsid w:val="000716D2"/>
    <w:rsid w:val="00073C5B"/>
    <w:rsid w:val="00081B21"/>
    <w:rsid w:val="00083340"/>
    <w:rsid w:val="00083BAB"/>
    <w:rsid w:val="00084021"/>
    <w:rsid w:val="00091E0E"/>
    <w:rsid w:val="000A12AF"/>
    <w:rsid w:val="000A5413"/>
    <w:rsid w:val="000A6B24"/>
    <w:rsid w:val="000B4D2E"/>
    <w:rsid w:val="000B58FA"/>
    <w:rsid w:val="000C2527"/>
    <w:rsid w:val="000C2664"/>
    <w:rsid w:val="000C33CD"/>
    <w:rsid w:val="000C5CFF"/>
    <w:rsid w:val="000C5F4F"/>
    <w:rsid w:val="000D05EF"/>
    <w:rsid w:val="000D09FA"/>
    <w:rsid w:val="000D375F"/>
    <w:rsid w:val="000D4B4E"/>
    <w:rsid w:val="000D7975"/>
    <w:rsid w:val="000D7FA0"/>
    <w:rsid w:val="000E2261"/>
    <w:rsid w:val="000E2422"/>
    <w:rsid w:val="000F002E"/>
    <w:rsid w:val="000F0EF0"/>
    <w:rsid w:val="000F21C1"/>
    <w:rsid w:val="001025E8"/>
    <w:rsid w:val="001035E9"/>
    <w:rsid w:val="0010745C"/>
    <w:rsid w:val="00113E78"/>
    <w:rsid w:val="001152C0"/>
    <w:rsid w:val="0011712E"/>
    <w:rsid w:val="00120B70"/>
    <w:rsid w:val="001234C0"/>
    <w:rsid w:val="00123D1B"/>
    <w:rsid w:val="00130C44"/>
    <w:rsid w:val="00131126"/>
    <w:rsid w:val="0013279F"/>
    <w:rsid w:val="00132CEB"/>
    <w:rsid w:val="001354BF"/>
    <w:rsid w:val="0013773B"/>
    <w:rsid w:val="00142B62"/>
    <w:rsid w:val="00146209"/>
    <w:rsid w:val="0014685F"/>
    <w:rsid w:val="00150544"/>
    <w:rsid w:val="00152A69"/>
    <w:rsid w:val="0015736D"/>
    <w:rsid w:val="001575B5"/>
    <w:rsid w:val="00157B8B"/>
    <w:rsid w:val="00157D1B"/>
    <w:rsid w:val="0016237F"/>
    <w:rsid w:val="00166C2F"/>
    <w:rsid w:val="00167FAC"/>
    <w:rsid w:val="00170402"/>
    <w:rsid w:val="00172E11"/>
    <w:rsid w:val="0017435B"/>
    <w:rsid w:val="001752AE"/>
    <w:rsid w:val="001809D7"/>
    <w:rsid w:val="001809DC"/>
    <w:rsid w:val="00181576"/>
    <w:rsid w:val="0018164D"/>
    <w:rsid w:val="001845B4"/>
    <w:rsid w:val="001845D2"/>
    <w:rsid w:val="0019074E"/>
    <w:rsid w:val="00190B0D"/>
    <w:rsid w:val="001939E1"/>
    <w:rsid w:val="001941B2"/>
    <w:rsid w:val="00194C3E"/>
    <w:rsid w:val="00195382"/>
    <w:rsid w:val="00197F13"/>
    <w:rsid w:val="001A0B8B"/>
    <w:rsid w:val="001A257F"/>
    <w:rsid w:val="001A3207"/>
    <w:rsid w:val="001A549E"/>
    <w:rsid w:val="001A6E69"/>
    <w:rsid w:val="001B2B2A"/>
    <w:rsid w:val="001B3D3B"/>
    <w:rsid w:val="001C0E26"/>
    <w:rsid w:val="001C1431"/>
    <w:rsid w:val="001C2C89"/>
    <w:rsid w:val="001C3524"/>
    <w:rsid w:val="001C3C0F"/>
    <w:rsid w:val="001C4A7C"/>
    <w:rsid w:val="001C61C5"/>
    <w:rsid w:val="001C69C4"/>
    <w:rsid w:val="001D37EF"/>
    <w:rsid w:val="001D5B89"/>
    <w:rsid w:val="001D6EAB"/>
    <w:rsid w:val="001E0B93"/>
    <w:rsid w:val="001E26A2"/>
    <w:rsid w:val="001E3590"/>
    <w:rsid w:val="001E66CB"/>
    <w:rsid w:val="001E6E3C"/>
    <w:rsid w:val="001E7407"/>
    <w:rsid w:val="001F3D5B"/>
    <w:rsid w:val="001F4B8F"/>
    <w:rsid w:val="001F5D5E"/>
    <w:rsid w:val="001F6219"/>
    <w:rsid w:val="001F64E2"/>
    <w:rsid w:val="001F6CD4"/>
    <w:rsid w:val="001F704A"/>
    <w:rsid w:val="00201A18"/>
    <w:rsid w:val="0020388B"/>
    <w:rsid w:val="00204AFE"/>
    <w:rsid w:val="00206C4D"/>
    <w:rsid w:val="002100A0"/>
    <w:rsid w:val="0021053C"/>
    <w:rsid w:val="002110A0"/>
    <w:rsid w:val="00215AF1"/>
    <w:rsid w:val="002236FB"/>
    <w:rsid w:val="00224195"/>
    <w:rsid w:val="00224C0E"/>
    <w:rsid w:val="002270CD"/>
    <w:rsid w:val="00231356"/>
    <w:rsid w:val="00231818"/>
    <w:rsid w:val="002321E8"/>
    <w:rsid w:val="00233AC6"/>
    <w:rsid w:val="0023478A"/>
    <w:rsid w:val="00236EEC"/>
    <w:rsid w:val="0024010F"/>
    <w:rsid w:val="00240749"/>
    <w:rsid w:val="00243018"/>
    <w:rsid w:val="00244AD0"/>
    <w:rsid w:val="002450E3"/>
    <w:rsid w:val="00250104"/>
    <w:rsid w:val="00250479"/>
    <w:rsid w:val="00250976"/>
    <w:rsid w:val="00250C19"/>
    <w:rsid w:val="0025243F"/>
    <w:rsid w:val="002564A4"/>
    <w:rsid w:val="00256DBB"/>
    <w:rsid w:val="0026736C"/>
    <w:rsid w:val="0027114E"/>
    <w:rsid w:val="0027142E"/>
    <w:rsid w:val="002720DE"/>
    <w:rsid w:val="00277749"/>
    <w:rsid w:val="0028056C"/>
    <w:rsid w:val="00280D62"/>
    <w:rsid w:val="00281308"/>
    <w:rsid w:val="00284719"/>
    <w:rsid w:val="00284B44"/>
    <w:rsid w:val="00287381"/>
    <w:rsid w:val="00291AD3"/>
    <w:rsid w:val="00292FA8"/>
    <w:rsid w:val="00293747"/>
    <w:rsid w:val="00295B95"/>
    <w:rsid w:val="00295FA9"/>
    <w:rsid w:val="00296011"/>
    <w:rsid w:val="00297ECB"/>
    <w:rsid w:val="002A4ACF"/>
    <w:rsid w:val="002A71A7"/>
    <w:rsid w:val="002A7BCF"/>
    <w:rsid w:val="002B01EF"/>
    <w:rsid w:val="002B26E3"/>
    <w:rsid w:val="002D043A"/>
    <w:rsid w:val="002D57CF"/>
    <w:rsid w:val="002D6224"/>
    <w:rsid w:val="002E08D0"/>
    <w:rsid w:val="002E298A"/>
    <w:rsid w:val="002E3C64"/>
    <w:rsid w:val="002E3F4B"/>
    <w:rsid w:val="002E4E61"/>
    <w:rsid w:val="002E6945"/>
    <w:rsid w:val="002F0C38"/>
    <w:rsid w:val="003025D2"/>
    <w:rsid w:val="003032EE"/>
    <w:rsid w:val="00304F8B"/>
    <w:rsid w:val="00305D9E"/>
    <w:rsid w:val="00307324"/>
    <w:rsid w:val="00311810"/>
    <w:rsid w:val="0031568F"/>
    <w:rsid w:val="00315EDA"/>
    <w:rsid w:val="00317F05"/>
    <w:rsid w:val="00320D15"/>
    <w:rsid w:val="00322B3E"/>
    <w:rsid w:val="003237F1"/>
    <w:rsid w:val="00324716"/>
    <w:rsid w:val="00330477"/>
    <w:rsid w:val="003354D2"/>
    <w:rsid w:val="003357CC"/>
    <w:rsid w:val="00335BC6"/>
    <w:rsid w:val="003415D3"/>
    <w:rsid w:val="00344701"/>
    <w:rsid w:val="0034561D"/>
    <w:rsid w:val="00352B0F"/>
    <w:rsid w:val="00356690"/>
    <w:rsid w:val="003570BB"/>
    <w:rsid w:val="00357852"/>
    <w:rsid w:val="00360459"/>
    <w:rsid w:val="00361063"/>
    <w:rsid w:val="00362E0E"/>
    <w:rsid w:val="00363011"/>
    <w:rsid w:val="00366B9C"/>
    <w:rsid w:val="00370865"/>
    <w:rsid w:val="00370E62"/>
    <w:rsid w:val="0037652C"/>
    <w:rsid w:val="003803D8"/>
    <w:rsid w:val="00381F6E"/>
    <w:rsid w:val="00384C45"/>
    <w:rsid w:val="00396398"/>
    <w:rsid w:val="003A2EDA"/>
    <w:rsid w:val="003A3BB2"/>
    <w:rsid w:val="003A736D"/>
    <w:rsid w:val="003B5ACA"/>
    <w:rsid w:val="003B68E0"/>
    <w:rsid w:val="003B7A80"/>
    <w:rsid w:val="003B7C93"/>
    <w:rsid w:val="003C0C2E"/>
    <w:rsid w:val="003C1639"/>
    <w:rsid w:val="003C405D"/>
    <w:rsid w:val="003C6231"/>
    <w:rsid w:val="003C7598"/>
    <w:rsid w:val="003D01B7"/>
    <w:rsid w:val="003D0769"/>
    <w:rsid w:val="003D0BFE"/>
    <w:rsid w:val="003D251F"/>
    <w:rsid w:val="003D5700"/>
    <w:rsid w:val="003E041F"/>
    <w:rsid w:val="003E2239"/>
    <w:rsid w:val="003E341B"/>
    <w:rsid w:val="003E4FDB"/>
    <w:rsid w:val="003E63E6"/>
    <w:rsid w:val="003F12E8"/>
    <w:rsid w:val="003F3932"/>
    <w:rsid w:val="003F7682"/>
    <w:rsid w:val="00400E63"/>
    <w:rsid w:val="00402F21"/>
    <w:rsid w:val="00404683"/>
    <w:rsid w:val="004072CB"/>
    <w:rsid w:val="004076ED"/>
    <w:rsid w:val="004116CD"/>
    <w:rsid w:val="004144EC"/>
    <w:rsid w:val="00417EB9"/>
    <w:rsid w:val="00421E7D"/>
    <w:rsid w:val="00424CA9"/>
    <w:rsid w:val="00426A9F"/>
    <w:rsid w:val="00427EB4"/>
    <w:rsid w:val="00431827"/>
    <w:rsid w:val="00431E9B"/>
    <w:rsid w:val="004379E3"/>
    <w:rsid w:val="0044015E"/>
    <w:rsid w:val="0044177D"/>
    <w:rsid w:val="0044291A"/>
    <w:rsid w:val="00444ABD"/>
    <w:rsid w:val="00450656"/>
    <w:rsid w:val="00452BBC"/>
    <w:rsid w:val="004571B1"/>
    <w:rsid w:val="0046266D"/>
    <w:rsid w:val="00462F97"/>
    <w:rsid w:val="00467661"/>
    <w:rsid w:val="00470393"/>
    <w:rsid w:val="004705B7"/>
    <w:rsid w:val="00472DBE"/>
    <w:rsid w:val="00474624"/>
    <w:rsid w:val="00474A19"/>
    <w:rsid w:val="0047536D"/>
    <w:rsid w:val="00485A14"/>
    <w:rsid w:val="004878AB"/>
    <w:rsid w:val="004947BE"/>
    <w:rsid w:val="00496F97"/>
    <w:rsid w:val="004A2727"/>
    <w:rsid w:val="004A42E4"/>
    <w:rsid w:val="004A5227"/>
    <w:rsid w:val="004B1B99"/>
    <w:rsid w:val="004B3A4D"/>
    <w:rsid w:val="004B4B42"/>
    <w:rsid w:val="004B5F23"/>
    <w:rsid w:val="004C1927"/>
    <w:rsid w:val="004C3A32"/>
    <w:rsid w:val="004C3CCD"/>
    <w:rsid w:val="004C3E58"/>
    <w:rsid w:val="004C7E91"/>
    <w:rsid w:val="004D19AE"/>
    <w:rsid w:val="004D24B7"/>
    <w:rsid w:val="004D449A"/>
    <w:rsid w:val="004D7339"/>
    <w:rsid w:val="004E063A"/>
    <w:rsid w:val="004E3B20"/>
    <w:rsid w:val="004E6469"/>
    <w:rsid w:val="004E7912"/>
    <w:rsid w:val="004E7BEC"/>
    <w:rsid w:val="004F2705"/>
    <w:rsid w:val="0050240E"/>
    <w:rsid w:val="0050582D"/>
    <w:rsid w:val="00505D3D"/>
    <w:rsid w:val="00505FE2"/>
    <w:rsid w:val="00506AF6"/>
    <w:rsid w:val="005078DD"/>
    <w:rsid w:val="00516B8D"/>
    <w:rsid w:val="00520511"/>
    <w:rsid w:val="00524EC1"/>
    <w:rsid w:val="00537C18"/>
    <w:rsid w:val="00537F41"/>
    <w:rsid w:val="00537FBC"/>
    <w:rsid w:val="00545827"/>
    <w:rsid w:val="0054784A"/>
    <w:rsid w:val="00553FEF"/>
    <w:rsid w:val="005574D1"/>
    <w:rsid w:val="00557EC5"/>
    <w:rsid w:val="00565631"/>
    <w:rsid w:val="00567762"/>
    <w:rsid w:val="0057372C"/>
    <w:rsid w:val="00575683"/>
    <w:rsid w:val="00577729"/>
    <w:rsid w:val="00581A5A"/>
    <w:rsid w:val="00583FEB"/>
    <w:rsid w:val="00584811"/>
    <w:rsid w:val="00585784"/>
    <w:rsid w:val="005919E6"/>
    <w:rsid w:val="00593AA6"/>
    <w:rsid w:val="00594161"/>
    <w:rsid w:val="00594749"/>
    <w:rsid w:val="005A3EC0"/>
    <w:rsid w:val="005A527F"/>
    <w:rsid w:val="005B2A8F"/>
    <w:rsid w:val="005B4067"/>
    <w:rsid w:val="005C3F41"/>
    <w:rsid w:val="005C4EB3"/>
    <w:rsid w:val="005C4F23"/>
    <w:rsid w:val="005D0FAD"/>
    <w:rsid w:val="005D2D09"/>
    <w:rsid w:val="005D675E"/>
    <w:rsid w:val="005E05AB"/>
    <w:rsid w:val="005E1DD6"/>
    <w:rsid w:val="005E53CB"/>
    <w:rsid w:val="005F0F63"/>
    <w:rsid w:val="005F1BC5"/>
    <w:rsid w:val="005F290A"/>
    <w:rsid w:val="00600219"/>
    <w:rsid w:val="00603DC4"/>
    <w:rsid w:val="00604FD8"/>
    <w:rsid w:val="006063CB"/>
    <w:rsid w:val="006119D9"/>
    <w:rsid w:val="00615DA5"/>
    <w:rsid w:val="006163AE"/>
    <w:rsid w:val="00620076"/>
    <w:rsid w:val="00620BBF"/>
    <w:rsid w:val="00621C90"/>
    <w:rsid w:val="006234D3"/>
    <w:rsid w:val="0062639D"/>
    <w:rsid w:val="00627E8B"/>
    <w:rsid w:val="00633BA9"/>
    <w:rsid w:val="00634047"/>
    <w:rsid w:val="00640B56"/>
    <w:rsid w:val="006431F4"/>
    <w:rsid w:val="0064477A"/>
    <w:rsid w:val="006455CC"/>
    <w:rsid w:val="006466C1"/>
    <w:rsid w:val="00654BDF"/>
    <w:rsid w:val="006552FB"/>
    <w:rsid w:val="00655819"/>
    <w:rsid w:val="00655B0D"/>
    <w:rsid w:val="0066556A"/>
    <w:rsid w:val="00666869"/>
    <w:rsid w:val="006702F9"/>
    <w:rsid w:val="00670EA1"/>
    <w:rsid w:val="006722CD"/>
    <w:rsid w:val="00674A2E"/>
    <w:rsid w:val="006766BD"/>
    <w:rsid w:val="00677A33"/>
    <w:rsid w:val="00677CC2"/>
    <w:rsid w:val="00683FB4"/>
    <w:rsid w:val="00687A6E"/>
    <w:rsid w:val="006905DE"/>
    <w:rsid w:val="0069207B"/>
    <w:rsid w:val="00692E14"/>
    <w:rsid w:val="00692E3B"/>
    <w:rsid w:val="006964C5"/>
    <w:rsid w:val="00696764"/>
    <w:rsid w:val="006A229B"/>
    <w:rsid w:val="006A22F9"/>
    <w:rsid w:val="006A4350"/>
    <w:rsid w:val="006B034C"/>
    <w:rsid w:val="006B4F8A"/>
    <w:rsid w:val="006B5789"/>
    <w:rsid w:val="006C2C9D"/>
    <w:rsid w:val="006C30C5"/>
    <w:rsid w:val="006C3438"/>
    <w:rsid w:val="006C6E10"/>
    <w:rsid w:val="006C7F8C"/>
    <w:rsid w:val="006D004B"/>
    <w:rsid w:val="006D062D"/>
    <w:rsid w:val="006D3A0E"/>
    <w:rsid w:val="006D40E5"/>
    <w:rsid w:val="006D578F"/>
    <w:rsid w:val="006D707E"/>
    <w:rsid w:val="006E2DFF"/>
    <w:rsid w:val="006E4177"/>
    <w:rsid w:val="006E6246"/>
    <w:rsid w:val="006F0859"/>
    <w:rsid w:val="006F19C2"/>
    <w:rsid w:val="006F1C76"/>
    <w:rsid w:val="006F318F"/>
    <w:rsid w:val="006F4226"/>
    <w:rsid w:val="006F610D"/>
    <w:rsid w:val="006F76F2"/>
    <w:rsid w:val="006F7CD2"/>
    <w:rsid w:val="0070017E"/>
    <w:rsid w:val="00700B2C"/>
    <w:rsid w:val="00702605"/>
    <w:rsid w:val="007026CF"/>
    <w:rsid w:val="007044EE"/>
    <w:rsid w:val="007050A2"/>
    <w:rsid w:val="0070665F"/>
    <w:rsid w:val="00710E68"/>
    <w:rsid w:val="00713084"/>
    <w:rsid w:val="00714F20"/>
    <w:rsid w:val="00715337"/>
    <w:rsid w:val="007155D6"/>
    <w:rsid w:val="0071590F"/>
    <w:rsid w:val="00715914"/>
    <w:rsid w:val="00721B99"/>
    <w:rsid w:val="007253AD"/>
    <w:rsid w:val="00727022"/>
    <w:rsid w:val="00727142"/>
    <w:rsid w:val="00731E00"/>
    <w:rsid w:val="00732645"/>
    <w:rsid w:val="007416EA"/>
    <w:rsid w:val="00742D16"/>
    <w:rsid w:val="00743F77"/>
    <w:rsid w:val="007440B7"/>
    <w:rsid w:val="007466BE"/>
    <w:rsid w:val="007500C8"/>
    <w:rsid w:val="0075291F"/>
    <w:rsid w:val="00756272"/>
    <w:rsid w:val="00764EDB"/>
    <w:rsid w:val="0076681A"/>
    <w:rsid w:val="00770FAF"/>
    <w:rsid w:val="007715C9"/>
    <w:rsid w:val="00771613"/>
    <w:rsid w:val="00774EDD"/>
    <w:rsid w:val="007754D5"/>
    <w:rsid w:val="007757EC"/>
    <w:rsid w:val="007800D6"/>
    <w:rsid w:val="00783E89"/>
    <w:rsid w:val="00790A2E"/>
    <w:rsid w:val="00791D81"/>
    <w:rsid w:val="00793915"/>
    <w:rsid w:val="007968F3"/>
    <w:rsid w:val="007A2CA5"/>
    <w:rsid w:val="007B0413"/>
    <w:rsid w:val="007B2BC8"/>
    <w:rsid w:val="007B588F"/>
    <w:rsid w:val="007C0FF2"/>
    <w:rsid w:val="007C2253"/>
    <w:rsid w:val="007C2B03"/>
    <w:rsid w:val="007C3C9A"/>
    <w:rsid w:val="007C40A1"/>
    <w:rsid w:val="007C4AFD"/>
    <w:rsid w:val="007D3DB2"/>
    <w:rsid w:val="007D3DBD"/>
    <w:rsid w:val="007D43B4"/>
    <w:rsid w:val="007D5598"/>
    <w:rsid w:val="007D5978"/>
    <w:rsid w:val="007D665E"/>
    <w:rsid w:val="007D6E51"/>
    <w:rsid w:val="007E163D"/>
    <w:rsid w:val="007E6277"/>
    <w:rsid w:val="007E667A"/>
    <w:rsid w:val="007F21E0"/>
    <w:rsid w:val="007F28C9"/>
    <w:rsid w:val="007F39FB"/>
    <w:rsid w:val="007F4286"/>
    <w:rsid w:val="007F616C"/>
    <w:rsid w:val="00803587"/>
    <w:rsid w:val="008101C3"/>
    <w:rsid w:val="008117E9"/>
    <w:rsid w:val="008215E7"/>
    <w:rsid w:val="00824498"/>
    <w:rsid w:val="008248D9"/>
    <w:rsid w:val="00824B8E"/>
    <w:rsid w:val="00830C77"/>
    <w:rsid w:val="008357F4"/>
    <w:rsid w:val="00836277"/>
    <w:rsid w:val="00837CC8"/>
    <w:rsid w:val="008413AB"/>
    <w:rsid w:val="008447D0"/>
    <w:rsid w:val="008452A2"/>
    <w:rsid w:val="00846B68"/>
    <w:rsid w:val="00856A31"/>
    <w:rsid w:val="008575ED"/>
    <w:rsid w:val="008631B1"/>
    <w:rsid w:val="008632AB"/>
    <w:rsid w:val="00863921"/>
    <w:rsid w:val="008650A6"/>
    <w:rsid w:val="00867B37"/>
    <w:rsid w:val="00870BB4"/>
    <w:rsid w:val="00870C34"/>
    <w:rsid w:val="0087155B"/>
    <w:rsid w:val="00872113"/>
    <w:rsid w:val="00872651"/>
    <w:rsid w:val="00872CC0"/>
    <w:rsid w:val="008754D0"/>
    <w:rsid w:val="00880D7C"/>
    <w:rsid w:val="00880E26"/>
    <w:rsid w:val="00881349"/>
    <w:rsid w:val="008855C9"/>
    <w:rsid w:val="00886456"/>
    <w:rsid w:val="0089269A"/>
    <w:rsid w:val="00892D83"/>
    <w:rsid w:val="008A46E1"/>
    <w:rsid w:val="008A4F43"/>
    <w:rsid w:val="008A7136"/>
    <w:rsid w:val="008B209C"/>
    <w:rsid w:val="008B2706"/>
    <w:rsid w:val="008B70EC"/>
    <w:rsid w:val="008B7A82"/>
    <w:rsid w:val="008C087F"/>
    <w:rsid w:val="008C73B9"/>
    <w:rsid w:val="008C73CB"/>
    <w:rsid w:val="008D0EE0"/>
    <w:rsid w:val="008D3F6A"/>
    <w:rsid w:val="008D5584"/>
    <w:rsid w:val="008D71FF"/>
    <w:rsid w:val="008E23C5"/>
    <w:rsid w:val="008E4DE6"/>
    <w:rsid w:val="008E6067"/>
    <w:rsid w:val="008F54E7"/>
    <w:rsid w:val="00901FDF"/>
    <w:rsid w:val="009021EE"/>
    <w:rsid w:val="00903422"/>
    <w:rsid w:val="00905DF9"/>
    <w:rsid w:val="0090711B"/>
    <w:rsid w:val="0091440C"/>
    <w:rsid w:val="00915DF9"/>
    <w:rsid w:val="0091731D"/>
    <w:rsid w:val="009241B9"/>
    <w:rsid w:val="009254C3"/>
    <w:rsid w:val="00932377"/>
    <w:rsid w:val="009329B9"/>
    <w:rsid w:val="00941539"/>
    <w:rsid w:val="00943F76"/>
    <w:rsid w:val="009456C0"/>
    <w:rsid w:val="00947D5A"/>
    <w:rsid w:val="009532A5"/>
    <w:rsid w:val="00953FF8"/>
    <w:rsid w:val="009570C7"/>
    <w:rsid w:val="00963EDB"/>
    <w:rsid w:val="009670E8"/>
    <w:rsid w:val="00967BA0"/>
    <w:rsid w:val="0097535F"/>
    <w:rsid w:val="00975E80"/>
    <w:rsid w:val="00980E0C"/>
    <w:rsid w:val="00982242"/>
    <w:rsid w:val="009844C2"/>
    <w:rsid w:val="00984F69"/>
    <w:rsid w:val="009868E9"/>
    <w:rsid w:val="00990EE2"/>
    <w:rsid w:val="0099128F"/>
    <w:rsid w:val="009A4D8F"/>
    <w:rsid w:val="009A50CB"/>
    <w:rsid w:val="009A51CF"/>
    <w:rsid w:val="009A63AF"/>
    <w:rsid w:val="009A63CC"/>
    <w:rsid w:val="009A65C1"/>
    <w:rsid w:val="009A7459"/>
    <w:rsid w:val="009B6B10"/>
    <w:rsid w:val="009C0876"/>
    <w:rsid w:val="009C3407"/>
    <w:rsid w:val="009C40FB"/>
    <w:rsid w:val="009C4D2A"/>
    <w:rsid w:val="009C5AA8"/>
    <w:rsid w:val="009C6AAE"/>
    <w:rsid w:val="009D3900"/>
    <w:rsid w:val="009D3EF6"/>
    <w:rsid w:val="009D7CAD"/>
    <w:rsid w:val="009E029C"/>
    <w:rsid w:val="009E2164"/>
    <w:rsid w:val="009E301C"/>
    <w:rsid w:val="009E4BFF"/>
    <w:rsid w:val="009E5CFC"/>
    <w:rsid w:val="009E602C"/>
    <w:rsid w:val="009F09AD"/>
    <w:rsid w:val="009F15D2"/>
    <w:rsid w:val="009F1EE6"/>
    <w:rsid w:val="009F4980"/>
    <w:rsid w:val="009F6390"/>
    <w:rsid w:val="00A041A8"/>
    <w:rsid w:val="00A06703"/>
    <w:rsid w:val="00A06921"/>
    <w:rsid w:val="00A079CB"/>
    <w:rsid w:val="00A12128"/>
    <w:rsid w:val="00A12924"/>
    <w:rsid w:val="00A15298"/>
    <w:rsid w:val="00A20844"/>
    <w:rsid w:val="00A22C98"/>
    <w:rsid w:val="00A231E2"/>
    <w:rsid w:val="00A236E6"/>
    <w:rsid w:val="00A24395"/>
    <w:rsid w:val="00A3258A"/>
    <w:rsid w:val="00A3402B"/>
    <w:rsid w:val="00A37A87"/>
    <w:rsid w:val="00A37E50"/>
    <w:rsid w:val="00A45D8C"/>
    <w:rsid w:val="00A45F2F"/>
    <w:rsid w:val="00A46479"/>
    <w:rsid w:val="00A64912"/>
    <w:rsid w:val="00A6543A"/>
    <w:rsid w:val="00A70A74"/>
    <w:rsid w:val="00A71917"/>
    <w:rsid w:val="00A76755"/>
    <w:rsid w:val="00A77971"/>
    <w:rsid w:val="00A81670"/>
    <w:rsid w:val="00A81C6E"/>
    <w:rsid w:val="00A82C0A"/>
    <w:rsid w:val="00A84378"/>
    <w:rsid w:val="00A8635C"/>
    <w:rsid w:val="00A86F9E"/>
    <w:rsid w:val="00AA0052"/>
    <w:rsid w:val="00AA0E29"/>
    <w:rsid w:val="00AA42F6"/>
    <w:rsid w:val="00AA57A8"/>
    <w:rsid w:val="00AA7A37"/>
    <w:rsid w:val="00AB36CA"/>
    <w:rsid w:val="00AB6832"/>
    <w:rsid w:val="00AC6AAD"/>
    <w:rsid w:val="00AD1680"/>
    <w:rsid w:val="00AD2645"/>
    <w:rsid w:val="00AD4910"/>
    <w:rsid w:val="00AD5641"/>
    <w:rsid w:val="00AD5C52"/>
    <w:rsid w:val="00AD7889"/>
    <w:rsid w:val="00AE09E8"/>
    <w:rsid w:val="00AE5537"/>
    <w:rsid w:val="00AF021B"/>
    <w:rsid w:val="00AF06CF"/>
    <w:rsid w:val="00AF51C5"/>
    <w:rsid w:val="00B02B7A"/>
    <w:rsid w:val="00B034F1"/>
    <w:rsid w:val="00B047A5"/>
    <w:rsid w:val="00B071E0"/>
    <w:rsid w:val="00B07CDB"/>
    <w:rsid w:val="00B103EE"/>
    <w:rsid w:val="00B12920"/>
    <w:rsid w:val="00B1458B"/>
    <w:rsid w:val="00B15557"/>
    <w:rsid w:val="00B16A31"/>
    <w:rsid w:val="00B17DFD"/>
    <w:rsid w:val="00B2147A"/>
    <w:rsid w:val="00B242CB"/>
    <w:rsid w:val="00B260FD"/>
    <w:rsid w:val="00B308FE"/>
    <w:rsid w:val="00B33709"/>
    <w:rsid w:val="00B33B3C"/>
    <w:rsid w:val="00B36022"/>
    <w:rsid w:val="00B41481"/>
    <w:rsid w:val="00B43CAD"/>
    <w:rsid w:val="00B50ADC"/>
    <w:rsid w:val="00B54A2E"/>
    <w:rsid w:val="00B55B4C"/>
    <w:rsid w:val="00B566B1"/>
    <w:rsid w:val="00B62A72"/>
    <w:rsid w:val="00B63834"/>
    <w:rsid w:val="00B64D32"/>
    <w:rsid w:val="00B66E00"/>
    <w:rsid w:val="00B72734"/>
    <w:rsid w:val="00B75E34"/>
    <w:rsid w:val="00B760DD"/>
    <w:rsid w:val="00B77FA7"/>
    <w:rsid w:val="00B80199"/>
    <w:rsid w:val="00B83204"/>
    <w:rsid w:val="00B85B18"/>
    <w:rsid w:val="00B90748"/>
    <w:rsid w:val="00B946D1"/>
    <w:rsid w:val="00B94FEF"/>
    <w:rsid w:val="00BA0310"/>
    <w:rsid w:val="00BA220B"/>
    <w:rsid w:val="00BA245A"/>
    <w:rsid w:val="00BA250D"/>
    <w:rsid w:val="00BA3712"/>
    <w:rsid w:val="00BA3A57"/>
    <w:rsid w:val="00BA433C"/>
    <w:rsid w:val="00BA7A32"/>
    <w:rsid w:val="00BB221F"/>
    <w:rsid w:val="00BB4E1A"/>
    <w:rsid w:val="00BB52A3"/>
    <w:rsid w:val="00BB6697"/>
    <w:rsid w:val="00BC015E"/>
    <w:rsid w:val="00BC585F"/>
    <w:rsid w:val="00BC756D"/>
    <w:rsid w:val="00BC76AC"/>
    <w:rsid w:val="00BC7A08"/>
    <w:rsid w:val="00BD0ECB"/>
    <w:rsid w:val="00BD2AB9"/>
    <w:rsid w:val="00BD59FE"/>
    <w:rsid w:val="00BE2155"/>
    <w:rsid w:val="00BE2213"/>
    <w:rsid w:val="00BE2A20"/>
    <w:rsid w:val="00BE3094"/>
    <w:rsid w:val="00BE6065"/>
    <w:rsid w:val="00BE719A"/>
    <w:rsid w:val="00BE720A"/>
    <w:rsid w:val="00BE7558"/>
    <w:rsid w:val="00BF0332"/>
    <w:rsid w:val="00BF0D03"/>
    <w:rsid w:val="00BF0D73"/>
    <w:rsid w:val="00BF2465"/>
    <w:rsid w:val="00BF2EA3"/>
    <w:rsid w:val="00BF370F"/>
    <w:rsid w:val="00BF7A55"/>
    <w:rsid w:val="00C0534D"/>
    <w:rsid w:val="00C14007"/>
    <w:rsid w:val="00C15430"/>
    <w:rsid w:val="00C16EBF"/>
    <w:rsid w:val="00C24C79"/>
    <w:rsid w:val="00C25E7F"/>
    <w:rsid w:val="00C2600B"/>
    <w:rsid w:val="00C2746F"/>
    <w:rsid w:val="00C324A0"/>
    <w:rsid w:val="00C3300F"/>
    <w:rsid w:val="00C34434"/>
    <w:rsid w:val="00C35720"/>
    <w:rsid w:val="00C365F7"/>
    <w:rsid w:val="00C377E1"/>
    <w:rsid w:val="00C427F2"/>
    <w:rsid w:val="00C42BF8"/>
    <w:rsid w:val="00C46EAE"/>
    <w:rsid w:val="00C50043"/>
    <w:rsid w:val="00C63311"/>
    <w:rsid w:val="00C6432D"/>
    <w:rsid w:val="00C6664E"/>
    <w:rsid w:val="00C679F2"/>
    <w:rsid w:val="00C67E70"/>
    <w:rsid w:val="00C70DF2"/>
    <w:rsid w:val="00C74651"/>
    <w:rsid w:val="00C7481F"/>
    <w:rsid w:val="00C7573B"/>
    <w:rsid w:val="00C81205"/>
    <w:rsid w:val="00C82888"/>
    <w:rsid w:val="00C918F9"/>
    <w:rsid w:val="00C923AE"/>
    <w:rsid w:val="00C93C03"/>
    <w:rsid w:val="00C95EE9"/>
    <w:rsid w:val="00C96B6F"/>
    <w:rsid w:val="00CA06B7"/>
    <w:rsid w:val="00CA1995"/>
    <w:rsid w:val="00CA2954"/>
    <w:rsid w:val="00CA6815"/>
    <w:rsid w:val="00CB2C8E"/>
    <w:rsid w:val="00CB3803"/>
    <w:rsid w:val="00CB602E"/>
    <w:rsid w:val="00CC1B80"/>
    <w:rsid w:val="00CD3D32"/>
    <w:rsid w:val="00CD4202"/>
    <w:rsid w:val="00CD5576"/>
    <w:rsid w:val="00CE051D"/>
    <w:rsid w:val="00CE1335"/>
    <w:rsid w:val="00CE24F1"/>
    <w:rsid w:val="00CE4059"/>
    <w:rsid w:val="00CE493D"/>
    <w:rsid w:val="00CE5650"/>
    <w:rsid w:val="00CE6719"/>
    <w:rsid w:val="00CF07FA"/>
    <w:rsid w:val="00CF0BB2"/>
    <w:rsid w:val="00CF3409"/>
    <w:rsid w:val="00CF3EE8"/>
    <w:rsid w:val="00CF560A"/>
    <w:rsid w:val="00CF5A11"/>
    <w:rsid w:val="00D00F96"/>
    <w:rsid w:val="00D050E6"/>
    <w:rsid w:val="00D0627D"/>
    <w:rsid w:val="00D13441"/>
    <w:rsid w:val="00D150E7"/>
    <w:rsid w:val="00D22FED"/>
    <w:rsid w:val="00D2389B"/>
    <w:rsid w:val="00D248FB"/>
    <w:rsid w:val="00D248FE"/>
    <w:rsid w:val="00D26F5E"/>
    <w:rsid w:val="00D27EB1"/>
    <w:rsid w:val="00D35606"/>
    <w:rsid w:val="00D474E8"/>
    <w:rsid w:val="00D47E78"/>
    <w:rsid w:val="00D52DC2"/>
    <w:rsid w:val="00D53BCC"/>
    <w:rsid w:val="00D575E7"/>
    <w:rsid w:val="00D6165E"/>
    <w:rsid w:val="00D61890"/>
    <w:rsid w:val="00D61E6A"/>
    <w:rsid w:val="00D637D1"/>
    <w:rsid w:val="00D638D5"/>
    <w:rsid w:val="00D650B0"/>
    <w:rsid w:val="00D651B9"/>
    <w:rsid w:val="00D65AE6"/>
    <w:rsid w:val="00D709C7"/>
    <w:rsid w:val="00D70DFB"/>
    <w:rsid w:val="00D72BDE"/>
    <w:rsid w:val="00D764B5"/>
    <w:rsid w:val="00D766DF"/>
    <w:rsid w:val="00D8326F"/>
    <w:rsid w:val="00D83E32"/>
    <w:rsid w:val="00D86814"/>
    <w:rsid w:val="00D87722"/>
    <w:rsid w:val="00D94548"/>
    <w:rsid w:val="00DA186E"/>
    <w:rsid w:val="00DA4116"/>
    <w:rsid w:val="00DB1CDB"/>
    <w:rsid w:val="00DB251C"/>
    <w:rsid w:val="00DB4630"/>
    <w:rsid w:val="00DB6DE1"/>
    <w:rsid w:val="00DB7937"/>
    <w:rsid w:val="00DC314B"/>
    <w:rsid w:val="00DC4F88"/>
    <w:rsid w:val="00DD1D31"/>
    <w:rsid w:val="00DD6F2B"/>
    <w:rsid w:val="00DD7165"/>
    <w:rsid w:val="00DD746C"/>
    <w:rsid w:val="00DE43E3"/>
    <w:rsid w:val="00DE5091"/>
    <w:rsid w:val="00DF10B3"/>
    <w:rsid w:val="00DF1C4C"/>
    <w:rsid w:val="00DF2C84"/>
    <w:rsid w:val="00E0003B"/>
    <w:rsid w:val="00E0113F"/>
    <w:rsid w:val="00E03D86"/>
    <w:rsid w:val="00E05704"/>
    <w:rsid w:val="00E05C86"/>
    <w:rsid w:val="00E06280"/>
    <w:rsid w:val="00E070F4"/>
    <w:rsid w:val="00E0743F"/>
    <w:rsid w:val="00E11E44"/>
    <w:rsid w:val="00E1384A"/>
    <w:rsid w:val="00E15A44"/>
    <w:rsid w:val="00E26C1D"/>
    <w:rsid w:val="00E27372"/>
    <w:rsid w:val="00E27C72"/>
    <w:rsid w:val="00E27CC4"/>
    <w:rsid w:val="00E31C4C"/>
    <w:rsid w:val="00E338EF"/>
    <w:rsid w:val="00E36898"/>
    <w:rsid w:val="00E4099E"/>
    <w:rsid w:val="00E418E5"/>
    <w:rsid w:val="00E41BCE"/>
    <w:rsid w:val="00E4580C"/>
    <w:rsid w:val="00E544BB"/>
    <w:rsid w:val="00E57435"/>
    <w:rsid w:val="00E61FB8"/>
    <w:rsid w:val="00E6364B"/>
    <w:rsid w:val="00E6510F"/>
    <w:rsid w:val="00E65BE7"/>
    <w:rsid w:val="00E662CB"/>
    <w:rsid w:val="00E67F15"/>
    <w:rsid w:val="00E71E26"/>
    <w:rsid w:val="00E72486"/>
    <w:rsid w:val="00E7311E"/>
    <w:rsid w:val="00E73746"/>
    <w:rsid w:val="00E74399"/>
    <w:rsid w:val="00E74DC7"/>
    <w:rsid w:val="00E76116"/>
    <w:rsid w:val="00E76272"/>
    <w:rsid w:val="00E8075A"/>
    <w:rsid w:val="00E81A8B"/>
    <w:rsid w:val="00E826E8"/>
    <w:rsid w:val="00E83E78"/>
    <w:rsid w:val="00E86272"/>
    <w:rsid w:val="00E9278A"/>
    <w:rsid w:val="00E94D5E"/>
    <w:rsid w:val="00EA2E6C"/>
    <w:rsid w:val="00EA33EE"/>
    <w:rsid w:val="00EA3C6B"/>
    <w:rsid w:val="00EA5365"/>
    <w:rsid w:val="00EA564A"/>
    <w:rsid w:val="00EA7100"/>
    <w:rsid w:val="00EA7F9F"/>
    <w:rsid w:val="00EB1274"/>
    <w:rsid w:val="00EB28AB"/>
    <w:rsid w:val="00EB62E7"/>
    <w:rsid w:val="00EB6A38"/>
    <w:rsid w:val="00EC13E2"/>
    <w:rsid w:val="00EC336F"/>
    <w:rsid w:val="00EC3F8D"/>
    <w:rsid w:val="00EC42C7"/>
    <w:rsid w:val="00EC5480"/>
    <w:rsid w:val="00ED2BB6"/>
    <w:rsid w:val="00ED34E1"/>
    <w:rsid w:val="00ED3B8D"/>
    <w:rsid w:val="00ED60B8"/>
    <w:rsid w:val="00ED71A4"/>
    <w:rsid w:val="00EE4F19"/>
    <w:rsid w:val="00EE75C6"/>
    <w:rsid w:val="00EF0449"/>
    <w:rsid w:val="00EF1F40"/>
    <w:rsid w:val="00EF2E3A"/>
    <w:rsid w:val="00EF5256"/>
    <w:rsid w:val="00EF56AB"/>
    <w:rsid w:val="00EF771B"/>
    <w:rsid w:val="00F03CFF"/>
    <w:rsid w:val="00F0599B"/>
    <w:rsid w:val="00F072A7"/>
    <w:rsid w:val="00F078DC"/>
    <w:rsid w:val="00F127B9"/>
    <w:rsid w:val="00F13396"/>
    <w:rsid w:val="00F1676D"/>
    <w:rsid w:val="00F245E4"/>
    <w:rsid w:val="00F257ED"/>
    <w:rsid w:val="00F263BA"/>
    <w:rsid w:val="00F273FB"/>
    <w:rsid w:val="00F322D5"/>
    <w:rsid w:val="00F32B1B"/>
    <w:rsid w:val="00F32BA8"/>
    <w:rsid w:val="00F349F1"/>
    <w:rsid w:val="00F34DE4"/>
    <w:rsid w:val="00F418CF"/>
    <w:rsid w:val="00F41D76"/>
    <w:rsid w:val="00F4350D"/>
    <w:rsid w:val="00F43DD0"/>
    <w:rsid w:val="00F52599"/>
    <w:rsid w:val="00F5483D"/>
    <w:rsid w:val="00F567F7"/>
    <w:rsid w:val="00F610B5"/>
    <w:rsid w:val="00F62036"/>
    <w:rsid w:val="00F62B8B"/>
    <w:rsid w:val="00F655F9"/>
    <w:rsid w:val="00F65B52"/>
    <w:rsid w:val="00F65C6B"/>
    <w:rsid w:val="00F66251"/>
    <w:rsid w:val="00F679EA"/>
    <w:rsid w:val="00F67BCA"/>
    <w:rsid w:val="00F67F01"/>
    <w:rsid w:val="00F73BD6"/>
    <w:rsid w:val="00F811D9"/>
    <w:rsid w:val="00F83079"/>
    <w:rsid w:val="00F83989"/>
    <w:rsid w:val="00F85099"/>
    <w:rsid w:val="00F875F0"/>
    <w:rsid w:val="00F90238"/>
    <w:rsid w:val="00F9379C"/>
    <w:rsid w:val="00F9632C"/>
    <w:rsid w:val="00FA0625"/>
    <w:rsid w:val="00FA1697"/>
    <w:rsid w:val="00FA1E52"/>
    <w:rsid w:val="00FA2BFD"/>
    <w:rsid w:val="00FA513E"/>
    <w:rsid w:val="00FA5ACF"/>
    <w:rsid w:val="00FC4C67"/>
    <w:rsid w:val="00FC51CC"/>
    <w:rsid w:val="00FC620F"/>
    <w:rsid w:val="00FD41C5"/>
    <w:rsid w:val="00FD4869"/>
    <w:rsid w:val="00FD5AC6"/>
    <w:rsid w:val="00FD6DA2"/>
    <w:rsid w:val="00FD74CA"/>
    <w:rsid w:val="00FD77DD"/>
    <w:rsid w:val="00FE0F6D"/>
    <w:rsid w:val="00FE0F9D"/>
    <w:rsid w:val="00FE3BEE"/>
    <w:rsid w:val="00FE3D06"/>
    <w:rsid w:val="00FE4688"/>
    <w:rsid w:val="00FE62C0"/>
    <w:rsid w:val="00FF0CD5"/>
    <w:rsid w:val="00FF35C6"/>
    <w:rsid w:val="00FF48C5"/>
    <w:rsid w:val="00FF5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4" w:uiPriority="0"/>
    <w:lsdException w:name="List Number 3"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227"/>
    <w:pPr>
      <w:spacing w:line="260" w:lineRule="atLeast"/>
    </w:pPr>
    <w:rPr>
      <w:sz w:val="22"/>
    </w:rPr>
  </w:style>
  <w:style w:type="paragraph" w:styleId="Heading1">
    <w:name w:val="heading 1"/>
    <w:basedOn w:val="Normal"/>
    <w:next w:val="Normal"/>
    <w:link w:val="Heading1Char"/>
    <w:qFormat/>
    <w:rsid w:val="00AA0E29"/>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A0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E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E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E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0E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E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E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E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E29"/>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A0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E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E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E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A0E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E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E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E29"/>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4A5227"/>
  </w:style>
  <w:style w:type="paragraph" w:customStyle="1" w:styleId="OPCParaBase">
    <w:name w:val="OPCParaBase"/>
    <w:qFormat/>
    <w:rsid w:val="004A5227"/>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227"/>
    <w:pPr>
      <w:spacing w:line="240" w:lineRule="auto"/>
    </w:pPr>
    <w:rPr>
      <w:b/>
      <w:sz w:val="40"/>
    </w:rPr>
  </w:style>
  <w:style w:type="paragraph" w:customStyle="1" w:styleId="ActHead1">
    <w:name w:val="ActHead 1"/>
    <w:aliases w:val="c"/>
    <w:basedOn w:val="OPCParaBase"/>
    <w:next w:val="Normal"/>
    <w:qFormat/>
    <w:rsid w:val="004A52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2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2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2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522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4A522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A0E29"/>
    <w:rPr>
      <w:rFonts w:eastAsia="Times New Roman" w:cs="Times New Roman"/>
      <w:sz w:val="22"/>
      <w:lang w:eastAsia="en-AU"/>
    </w:rPr>
  </w:style>
  <w:style w:type="paragraph" w:customStyle="1" w:styleId="ActHead6">
    <w:name w:val="ActHead 6"/>
    <w:aliases w:val="as"/>
    <w:basedOn w:val="OPCParaBase"/>
    <w:next w:val="ActHead7"/>
    <w:qFormat/>
    <w:rsid w:val="004A52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22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4A522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A5227"/>
    <w:pPr>
      <w:keepLines/>
      <w:spacing w:before="80" w:line="240" w:lineRule="auto"/>
      <w:ind w:left="709"/>
    </w:pPr>
  </w:style>
  <w:style w:type="paragraph" w:customStyle="1" w:styleId="ActHead8">
    <w:name w:val="ActHead 8"/>
    <w:aliases w:val="ad"/>
    <w:basedOn w:val="OPCParaBase"/>
    <w:next w:val="ItemHead"/>
    <w:qFormat/>
    <w:rsid w:val="004A52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2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227"/>
  </w:style>
  <w:style w:type="paragraph" w:customStyle="1" w:styleId="Blocks">
    <w:name w:val="Blocks"/>
    <w:aliases w:val="bb"/>
    <w:basedOn w:val="OPCParaBase"/>
    <w:qFormat/>
    <w:rsid w:val="004A5227"/>
    <w:pPr>
      <w:spacing w:line="240" w:lineRule="auto"/>
    </w:pPr>
    <w:rPr>
      <w:sz w:val="24"/>
    </w:rPr>
  </w:style>
  <w:style w:type="paragraph" w:customStyle="1" w:styleId="BoxText">
    <w:name w:val="BoxText"/>
    <w:aliases w:val="bt"/>
    <w:basedOn w:val="OPCParaBase"/>
    <w:qFormat/>
    <w:rsid w:val="004A52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227"/>
    <w:rPr>
      <w:b/>
    </w:rPr>
  </w:style>
  <w:style w:type="paragraph" w:customStyle="1" w:styleId="BoxHeadItalic">
    <w:name w:val="BoxHeadItalic"/>
    <w:aliases w:val="bhi"/>
    <w:basedOn w:val="BoxText"/>
    <w:next w:val="BoxStep"/>
    <w:qFormat/>
    <w:rsid w:val="004A5227"/>
    <w:rPr>
      <w:i/>
    </w:rPr>
  </w:style>
  <w:style w:type="paragraph" w:customStyle="1" w:styleId="BoxStep">
    <w:name w:val="BoxStep"/>
    <w:aliases w:val="bs"/>
    <w:basedOn w:val="BoxText"/>
    <w:qFormat/>
    <w:rsid w:val="004A5227"/>
    <w:pPr>
      <w:ind w:left="1985" w:hanging="851"/>
    </w:pPr>
  </w:style>
  <w:style w:type="paragraph" w:customStyle="1" w:styleId="BoxList">
    <w:name w:val="BoxList"/>
    <w:aliases w:val="bl"/>
    <w:basedOn w:val="BoxText"/>
    <w:qFormat/>
    <w:rsid w:val="004A5227"/>
    <w:pPr>
      <w:ind w:left="1559" w:hanging="425"/>
    </w:pPr>
  </w:style>
  <w:style w:type="paragraph" w:customStyle="1" w:styleId="BoxNote">
    <w:name w:val="BoxNote"/>
    <w:aliases w:val="bn"/>
    <w:basedOn w:val="BoxText"/>
    <w:qFormat/>
    <w:rsid w:val="004A5227"/>
    <w:pPr>
      <w:tabs>
        <w:tab w:val="left" w:pos="1985"/>
      </w:tabs>
      <w:spacing w:before="122" w:line="198" w:lineRule="exact"/>
      <w:ind w:left="2948" w:hanging="1814"/>
    </w:pPr>
    <w:rPr>
      <w:sz w:val="18"/>
    </w:rPr>
  </w:style>
  <w:style w:type="paragraph" w:customStyle="1" w:styleId="BoxPara">
    <w:name w:val="BoxPara"/>
    <w:aliases w:val="bp"/>
    <w:basedOn w:val="BoxText"/>
    <w:qFormat/>
    <w:rsid w:val="004A5227"/>
    <w:pPr>
      <w:tabs>
        <w:tab w:val="right" w:pos="2268"/>
      </w:tabs>
      <w:ind w:left="2552" w:hanging="1418"/>
    </w:pPr>
  </w:style>
  <w:style w:type="character" w:customStyle="1" w:styleId="CharAmPartNo">
    <w:name w:val="CharAmPartNo"/>
    <w:basedOn w:val="OPCCharBase"/>
    <w:uiPriority w:val="1"/>
    <w:qFormat/>
    <w:rsid w:val="004A5227"/>
  </w:style>
  <w:style w:type="character" w:customStyle="1" w:styleId="CharAmPartText">
    <w:name w:val="CharAmPartText"/>
    <w:basedOn w:val="OPCCharBase"/>
    <w:uiPriority w:val="1"/>
    <w:qFormat/>
    <w:rsid w:val="004A5227"/>
  </w:style>
  <w:style w:type="character" w:customStyle="1" w:styleId="CharAmSchNo">
    <w:name w:val="CharAmSchNo"/>
    <w:basedOn w:val="OPCCharBase"/>
    <w:uiPriority w:val="1"/>
    <w:qFormat/>
    <w:rsid w:val="004A5227"/>
  </w:style>
  <w:style w:type="character" w:customStyle="1" w:styleId="CharAmSchText">
    <w:name w:val="CharAmSchText"/>
    <w:basedOn w:val="OPCCharBase"/>
    <w:uiPriority w:val="1"/>
    <w:qFormat/>
    <w:rsid w:val="004A5227"/>
  </w:style>
  <w:style w:type="character" w:customStyle="1" w:styleId="CharBoldItalic">
    <w:name w:val="CharBoldItalic"/>
    <w:basedOn w:val="OPCCharBase"/>
    <w:uiPriority w:val="1"/>
    <w:qFormat/>
    <w:rsid w:val="004A5227"/>
    <w:rPr>
      <w:b/>
      <w:i/>
    </w:rPr>
  </w:style>
  <w:style w:type="character" w:customStyle="1" w:styleId="CharChapNo">
    <w:name w:val="CharChapNo"/>
    <w:basedOn w:val="OPCCharBase"/>
    <w:qFormat/>
    <w:rsid w:val="004A5227"/>
  </w:style>
  <w:style w:type="character" w:customStyle="1" w:styleId="CharChapText">
    <w:name w:val="CharChapText"/>
    <w:basedOn w:val="OPCCharBase"/>
    <w:qFormat/>
    <w:rsid w:val="004A5227"/>
  </w:style>
  <w:style w:type="character" w:customStyle="1" w:styleId="CharDivNo">
    <w:name w:val="CharDivNo"/>
    <w:basedOn w:val="OPCCharBase"/>
    <w:qFormat/>
    <w:rsid w:val="004A5227"/>
  </w:style>
  <w:style w:type="character" w:customStyle="1" w:styleId="CharDivText">
    <w:name w:val="CharDivText"/>
    <w:basedOn w:val="OPCCharBase"/>
    <w:qFormat/>
    <w:rsid w:val="004A5227"/>
  </w:style>
  <w:style w:type="character" w:customStyle="1" w:styleId="CharItalic">
    <w:name w:val="CharItalic"/>
    <w:basedOn w:val="OPCCharBase"/>
    <w:uiPriority w:val="1"/>
    <w:qFormat/>
    <w:rsid w:val="004A5227"/>
    <w:rPr>
      <w:i/>
    </w:rPr>
  </w:style>
  <w:style w:type="character" w:customStyle="1" w:styleId="CharPartNo">
    <w:name w:val="CharPartNo"/>
    <w:basedOn w:val="OPCCharBase"/>
    <w:qFormat/>
    <w:rsid w:val="004A5227"/>
  </w:style>
  <w:style w:type="character" w:customStyle="1" w:styleId="CharPartText">
    <w:name w:val="CharPartText"/>
    <w:basedOn w:val="OPCCharBase"/>
    <w:qFormat/>
    <w:rsid w:val="004A5227"/>
  </w:style>
  <w:style w:type="character" w:customStyle="1" w:styleId="CharSectno">
    <w:name w:val="CharSectno"/>
    <w:basedOn w:val="OPCCharBase"/>
    <w:qFormat/>
    <w:rsid w:val="004A5227"/>
  </w:style>
  <w:style w:type="character" w:customStyle="1" w:styleId="CharSubdNo">
    <w:name w:val="CharSubdNo"/>
    <w:basedOn w:val="OPCCharBase"/>
    <w:uiPriority w:val="1"/>
    <w:qFormat/>
    <w:rsid w:val="004A5227"/>
  </w:style>
  <w:style w:type="character" w:customStyle="1" w:styleId="CharSubdText">
    <w:name w:val="CharSubdText"/>
    <w:basedOn w:val="OPCCharBase"/>
    <w:uiPriority w:val="1"/>
    <w:qFormat/>
    <w:rsid w:val="004A5227"/>
  </w:style>
  <w:style w:type="paragraph" w:customStyle="1" w:styleId="CTA--">
    <w:name w:val="CTA --"/>
    <w:basedOn w:val="OPCParaBase"/>
    <w:next w:val="Normal"/>
    <w:rsid w:val="004A5227"/>
    <w:pPr>
      <w:spacing w:before="60" w:line="240" w:lineRule="atLeast"/>
      <w:ind w:left="142" w:hanging="142"/>
    </w:pPr>
    <w:rPr>
      <w:sz w:val="20"/>
    </w:rPr>
  </w:style>
  <w:style w:type="paragraph" w:customStyle="1" w:styleId="CTA-">
    <w:name w:val="CTA -"/>
    <w:basedOn w:val="OPCParaBase"/>
    <w:rsid w:val="004A5227"/>
    <w:pPr>
      <w:spacing w:before="60" w:line="240" w:lineRule="atLeast"/>
      <w:ind w:left="85" w:hanging="85"/>
    </w:pPr>
    <w:rPr>
      <w:sz w:val="20"/>
    </w:rPr>
  </w:style>
  <w:style w:type="paragraph" w:customStyle="1" w:styleId="CTA---">
    <w:name w:val="CTA ---"/>
    <w:basedOn w:val="OPCParaBase"/>
    <w:next w:val="Normal"/>
    <w:rsid w:val="004A5227"/>
    <w:pPr>
      <w:spacing w:before="60" w:line="240" w:lineRule="atLeast"/>
      <w:ind w:left="198" w:hanging="198"/>
    </w:pPr>
    <w:rPr>
      <w:sz w:val="20"/>
    </w:rPr>
  </w:style>
  <w:style w:type="paragraph" w:customStyle="1" w:styleId="CTA----">
    <w:name w:val="CTA ----"/>
    <w:basedOn w:val="OPCParaBase"/>
    <w:next w:val="Normal"/>
    <w:rsid w:val="004A5227"/>
    <w:pPr>
      <w:spacing w:before="60" w:line="240" w:lineRule="atLeast"/>
      <w:ind w:left="255" w:hanging="255"/>
    </w:pPr>
    <w:rPr>
      <w:sz w:val="20"/>
    </w:rPr>
  </w:style>
  <w:style w:type="paragraph" w:customStyle="1" w:styleId="CTA1a">
    <w:name w:val="CTA 1(a)"/>
    <w:basedOn w:val="OPCParaBase"/>
    <w:rsid w:val="004A5227"/>
    <w:pPr>
      <w:tabs>
        <w:tab w:val="right" w:pos="414"/>
      </w:tabs>
      <w:spacing w:before="40" w:line="240" w:lineRule="atLeast"/>
      <w:ind w:left="675" w:hanging="675"/>
    </w:pPr>
    <w:rPr>
      <w:sz w:val="20"/>
    </w:rPr>
  </w:style>
  <w:style w:type="paragraph" w:customStyle="1" w:styleId="CTA1ai">
    <w:name w:val="CTA 1(a)(i)"/>
    <w:basedOn w:val="OPCParaBase"/>
    <w:rsid w:val="004A5227"/>
    <w:pPr>
      <w:tabs>
        <w:tab w:val="right" w:pos="1004"/>
      </w:tabs>
      <w:spacing w:before="40" w:line="240" w:lineRule="atLeast"/>
      <w:ind w:left="1253" w:hanging="1253"/>
    </w:pPr>
    <w:rPr>
      <w:sz w:val="20"/>
    </w:rPr>
  </w:style>
  <w:style w:type="paragraph" w:customStyle="1" w:styleId="CTA2a">
    <w:name w:val="CTA 2(a)"/>
    <w:basedOn w:val="OPCParaBase"/>
    <w:rsid w:val="004A5227"/>
    <w:pPr>
      <w:tabs>
        <w:tab w:val="right" w:pos="482"/>
      </w:tabs>
      <w:spacing w:before="40" w:line="240" w:lineRule="atLeast"/>
      <w:ind w:left="748" w:hanging="748"/>
    </w:pPr>
    <w:rPr>
      <w:sz w:val="20"/>
    </w:rPr>
  </w:style>
  <w:style w:type="paragraph" w:customStyle="1" w:styleId="CTA2ai">
    <w:name w:val="CTA 2(a)(i)"/>
    <w:basedOn w:val="OPCParaBase"/>
    <w:rsid w:val="004A5227"/>
    <w:pPr>
      <w:tabs>
        <w:tab w:val="right" w:pos="1089"/>
      </w:tabs>
      <w:spacing w:before="40" w:line="240" w:lineRule="atLeast"/>
      <w:ind w:left="1327" w:hanging="1327"/>
    </w:pPr>
    <w:rPr>
      <w:sz w:val="20"/>
    </w:rPr>
  </w:style>
  <w:style w:type="paragraph" w:customStyle="1" w:styleId="CTA3a">
    <w:name w:val="CTA 3(a)"/>
    <w:basedOn w:val="OPCParaBase"/>
    <w:rsid w:val="004A5227"/>
    <w:pPr>
      <w:tabs>
        <w:tab w:val="right" w:pos="556"/>
      </w:tabs>
      <w:spacing w:before="40" w:line="240" w:lineRule="atLeast"/>
      <w:ind w:left="805" w:hanging="805"/>
    </w:pPr>
    <w:rPr>
      <w:sz w:val="20"/>
    </w:rPr>
  </w:style>
  <w:style w:type="paragraph" w:customStyle="1" w:styleId="CTA3ai">
    <w:name w:val="CTA 3(a)(i)"/>
    <w:basedOn w:val="OPCParaBase"/>
    <w:rsid w:val="004A5227"/>
    <w:pPr>
      <w:tabs>
        <w:tab w:val="right" w:pos="1140"/>
      </w:tabs>
      <w:spacing w:before="40" w:line="240" w:lineRule="atLeast"/>
      <w:ind w:left="1361" w:hanging="1361"/>
    </w:pPr>
    <w:rPr>
      <w:sz w:val="20"/>
    </w:rPr>
  </w:style>
  <w:style w:type="paragraph" w:customStyle="1" w:styleId="CTA4a">
    <w:name w:val="CTA 4(a)"/>
    <w:basedOn w:val="OPCParaBase"/>
    <w:rsid w:val="004A5227"/>
    <w:pPr>
      <w:tabs>
        <w:tab w:val="right" w:pos="624"/>
      </w:tabs>
      <w:spacing w:before="40" w:line="240" w:lineRule="atLeast"/>
      <w:ind w:left="873" w:hanging="873"/>
    </w:pPr>
    <w:rPr>
      <w:sz w:val="20"/>
    </w:rPr>
  </w:style>
  <w:style w:type="paragraph" w:customStyle="1" w:styleId="CTA4ai">
    <w:name w:val="CTA 4(a)(i)"/>
    <w:basedOn w:val="OPCParaBase"/>
    <w:rsid w:val="004A5227"/>
    <w:pPr>
      <w:tabs>
        <w:tab w:val="right" w:pos="1213"/>
      </w:tabs>
      <w:spacing w:before="40" w:line="240" w:lineRule="atLeast"/>
      <w:ind w:left="1452" w:hanging="1452"/>
    </w:pPr>
    <w:rPr>
      <w:sz w:val="20"/>
    </w:rPr>
  </w:style>
  <w:style w:type="paragraph" w:customStyle="1" w:styleId="CTACAPS">
    <w:name w:val="CTA CAPS"/>
    <w:basedOn w:val="OPCParaBase"/>
    <w:rsid w:val="004A5227"/>
    <w:pPr>
      <w:spacing w:before="60" w:line="240" w:lineRule="atLeast"/>
    </w:pPr>
    <w:rPr>
      <w:sz w:val="20"/>
    </w:rPr>
  </w:style>
  <w:style w:type="paragraph" w:customStyle="1" w:styleId="CTAright">
    <w:name w:val="CTA right"/>
    <w:basedOn w:val="OPCParaBase"/>
    <w:rsid w:val="004A5227"/>
    <w:pPr>
      <w:spacing w:before="60" w:line="240" w:lineRule="auto"/>
      <w:jc w:val="right"/>
    </w:pPr>
    <w:rPr>
      <w:sz w:val="20"/>
    </w:rPr>
  </w:style>
  <w:style w:type="paragraph" w:customStyle="1" w:styleId="Definition">
    <w:name w:val="Definition"/>
    <w:aliases w:val="dd"/>
    <w:basedOn w:val="OPCParaBase"/>
    <w:rsid w:val="004A5227"/>
    <w:pPr>
      <w:spacing w:before="180" w:line="240" w:lineRule="auto"/>
      <w:ind w:left="1134"/>
    </w:pPr>
  </w:style>
  <w:style w:type="paragraph" w:customStyle="1" w:styleId="EndNotespara">
    <w:name w:val="EndNotes(para)"/>
    <w:aliases w:val="eta"/>
    <w:basedOn w:val="OPCParaBase"/>
    <w:next w:val="EndNotessubpara"/>
    <w:rsid w:val="004A522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4A52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22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4A5227"/>
    <w:pPr>
      <w:tabs>
        <w:tab w:val="right" w:pos="340"/>
      </w:tabs>
      <w:spacing w:before="60" w:line="240" w:lineRule="auto"/>
      <w:ind w:left="454" w:hanging="454"/>
    </w:pPr>
    <w:rPr>
      <w:sz w:val="20"/>
    </w:rPr>
  </w:style>
  <w:style w:type="paragraph" w:customStyle="1" w:styleId="Formula">
    <w:name w:val="Formula"/>
    <w:basedOn w:val="OPCParaBase"/>
    <w:rsid w:val="004A5227"/>
    <w:pPr>
      <w:spacing w:line="240" w:lineRule="auto"/>
      <w:ind w:left="1134"/>
    </w:pPr>
    <w:rPr>
      <w:sz w:val="20"/>
    </w:rPr>
  </w:style>
  <w:style w:type="paragraph" w:styleId="Header">
    <w:name w:val="header"/>
    <w:basedOn w:val="OPCParaBase"/>
    <w:link w:val="HeaderChar"/>
    <w:unhideWhenUsed/>
    <w:rsid w:val="004A52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227"/>
    <w:rPr>
      <w:rFonts w:eastAsia="Times New Roman" w:cs="Times New Roman"/>
      <w:sz w:val="16"/>
      <w:lang w:eastAsia="en-AU"/>
    </w:rPr>
  </w:style>
  <w:style w:type="paragraph" w:customStyle="1" w:styleId="House">
    <w:name w:val="House"/>
    <w:basedOn w:val="OPCParaBase"/>
    <w:rsid w:val="004A5227"/>
    <w:pPr>
      <w:spacing w:line="240" w:lineRule="auto"/>
    </w:pPr>
    <w:rPr>
      <w:sz w:val="28"/>
    </w:rPr>
  </w:style>
  <w:style w:type="paragraph" w:customStyle="1" w:styleId="LongT">
    <w:name w:val="LongT"/>
    <w:basedOn w:val="OPCParaBase"/>
    <w:rsid w:val="004A5227"/>
    <w:pPr>
      <w:spacing w:line="240" w:lineRule="auto"/>
    </w:pPr>
    <w:rPr>
      <w:b/>
      <w:sz w:val="32"/>
    </w:rPr>
  </w:style>
  <w:style w:type="paragraph" w:customStyle="1" w:styleId="notedraft">
    <w:name w:val="note(draft)"/>
    <w:aliases w:val="nd"/>
    <w:basedOn w:val="OPCParaBase"/>
    <w:rsid w:val="004A5227"/>
    <w:pPr>
      <w:spacing w:before="240" w:line="240" w:lineRule="auto"/>
      <w:ind w:left="284" w:hanging="284"/>
    </w:pPr>
    <w:rPr>
      <w:i/>
      <w:sz w:val="24"/>
    </w:rPr>
  </w:style>
  <w:style w:type="paragraph" w:customStyle="1" w:styleId="notemargin">
    <w:name w:val="note(margin)"/>
    <w:aliases w:val="nm"/>
    <w:basedOn w:val="OPCParaBase"/>
    <w:rsid w:val="004A5227"/>
    <w:pPr>
      <w:tabs>
        <w:tab w:val="left" w:pos="709"/>
      </w:tabs>
      <w:spacing w:before="122" w:line="198" w:lineRule="exact"/>
      <w:ind w:left="709" w:hanging="709"/>
    </w:pPr>
    <w:rPr>
      <w:sz w:val="18"/>
    </w:rPr>
  </w:style>
  <w:style w:type="paragraph" w:customStyle="1" w:styleId="noteToPara">
    <w:name w:val="noteToPara"/>
    <w:aliases w:val="ntp"/>
    <w:basedOn w:val="OPCParaBase"/>
    <w:rsid w:val="004A5227"/>
    <w:pPr>
      <w:spacing w:before="122" w:line="198" w:lineRule="exact"/>
      <w:ind w:left="2353" w:hanging="709"/>
    </w:pPr>
    <w:rPr>
      <w:sz w:val="18"/>
    </w:rPr>
  </w:style>
  <w:style w:type="paragraph" w:customStyle="1" w:styleId="noteParlAmend">
    <w:name w:val="note(ParlAmend)"/>
    <w:aliases w:val="npp"/>
    <w:basedOn w:val="OPCParaBase"/>
    <w:next w:val="ParlAmend"/>
    <w:rsid w:val="004A5227"/>
    <w:pPr>
      <w:spacing w:line="240" w:lineRule="auto"/>
      <w:jc w:val="right"/>
    </w:pPr>
    <w:rPr>
      <w:rFonts w:ascii="Arial" w:hAnsi="Arial"/>
      <w:b/>
      <w:i/>
    </w:rPr>
  </w:style>
  <w:style w:type="paragraph" w:customStyle="1" w:styleId="ParlAmend">
    <w:name w:val="ParlAmend"/>
    <w:aliases w:val="pp"/>
    <w:basedOn w:val="OPCParaBase"/>
    <w:rsid w:val="004A5227"/>
    <w:pPr>
      <w:spacing w:before="240" w:line="240" w:lineRule="atLeast"/>
      <w:ind w:hanging="567"/>
    </w:pPr>
    <w:rPr>
      <w:sz w:val="24"/>
    </w:rPr>
  </w:style>
  <w:style w:type="paragraph" w:customStyle="1" w:styleId="Page1">
    <w:name w:val="Page1"/>
    <w:basedOn w:val="OPCParaBase"/>
    <w:rsid w:val="004A5227"/>
    <w:pPr>
      <w:spacing w:before="5600" w:line="240" w:lineRule="auto"/>
    </w:pPr>
    <w:rPr>
      <w:b/>
      <w:sz w:val="32"/>
    </w:rPr>
  </w:style>
  <w:style w:type="paragraph" w:customStyle="1" w:styleId="PageBreak">
    <w:name w:val="PageBreak"/>
    <w:aliases w:val="pb"/>
    <w:basedOn w:val="OPCParaBase"/>
    <w:rsid w:val="004A5227"/>
    <w:pPr>
      <w:spacing w:line="240" w:lineRule="auto"/>
    </w:pPr>
    <w:rPr>
      <w:sz w:val="20"/>
    </w:rPr>
  </w:style>
  <w:style w:type="paragraph" w:customStyle="1" w:styleId="paragraphsub">
    <w:name w:val="paragraph(sub)"/>
    <w:aliases w:val="aa"/>
    <w:basedOn w:val="OPCParaBase"/>
    <w:rsid w:val="004A5227"/>
    <w:pPr>
      <w:tabs>
        <w:tab w:val="right" w:pos="1985"/>
      </w:tabs>
      <w:spacing w:before="40" w:line="240" w:lineRule="auto"/>
      <w:ind w:left="2098" w:hanging="2098"/>
    </w:pPr>
  </w:style>
  <w:style w:type="paragraph" w:customStyle="1" w:styleId="paragraphsub-sub">
    <w:name w:val="paragraph(sub-sub)"/>
    <w:aliases w:val="aaa"/>
    <w:basedOn w:val="OPCParaBase"/>
    <w:rsid w:val="004A5227"/>
    <w:pPr>
      <w:tabs>
        <w:tab w:val="right" w:pos="2722"/>
      </w:tabs>
      <w:spacing w:before="40" w:line="240" w:lineRule="auto"/>
      <w:ind w:left="2835" w:hanging="2835"/>
    </w:pPr>
  </w:style>
  <w:style w:type="paragraph" w:customStyle="1" w:styleId="paragraph">
    <w:name w:val="paragraph"/>
    <w:aliases w:val="a"/>
    <w:basedOn w:val="OPCParaBase"/>
    <w:rsid w:val="004A5227"/>
    <w:pPr>
      <w:tabs>
        <w:tab w:val="right" w:pos="1531"/>
      </w:tabs>
      <w:spacing w:before="40" w:line="240" w:lineRule="auto"/>
      <w:ind w:left="1644" w:hanging="1644"/>
    </w:pPr>
  </w:style>
  <w:style w:type="paragraph" w:customStyle="1" w:styleId="Penalty">
    <w:name w:val="Penalty"/>
    <w:basedOn w:val="OPCParaBase"/>
    <w:rsid w:val="004A5227"/>
    <w:pPr>
      <w:tabs>
        <w:tab w:val="left" w:pos="2977"/>
      </w:tabs>
      <w:spacing w:before="180" w:line="240" w:lineRule="auto"/>
      <w:ind w:left="1985" w:hanging="851"/>
    </w:pPr>
  </w:style>
  <w:style w:type="paragraph" w:customStyle="1" w:styleId="Portfolio">
    <w:name w:val="Portfolio"/>
    <w:basedOn w:val="OPCParaBase"/>
    <w:rsid w:val="004A5227"/>
    <w:pPr>
      <w:spacing w:line="240" w:lineRule="auto"/>
    </w:pPr>
    <w:rPr>
      <w:i/>
      <w:sz w:val="20"/>
    </w:rPr>
  </w:style>
  <w:style w:type="paragraph" w:customStyle="1" w:styleId="Preamble">
    <w:name w:val="Preamble"/>
    <w:basedOn w:val="OPCParaBase"/>
    <w:next w:val="Normal"/>
    <w:rsid w:val="004A52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227"/>
    <w:pPr>
      <w:spacing w:line="240" w:lineRule="auto"/>
    </w:pPr>
    <w:rPr>
      <w:i/>
      <w:sz w:val="20"/>
    </w:rPr>
  </w:style>
  <w:style w:type="paragraph" w:customStyle="1" w:styleId="Session">
    <w:name w:val="Session"/>
    <w:basedOn w:val="OPCParaBase"/>
    <w:rsid w:val="004A5227"/>
    <w:pPr>
      <w:spacing w:line="240" w:lineRule="auto"/>
    </w:pPr>
    <w:rPr>
      <w:sz w:val="28"/>
    </w:rPr>
  </w:style>
  <w:style w:type="paragraph" w:customStyle="1" w:styleId="Sponsor">
    <w:name w:val="Sponsor"/>
    <w:basedOn w:val="OPCParaBase"/>
    <w:rsid w:val="004A5227"/>
    <w:pPr>
      <w:spacing w:line="240" w:lineRule="auto"/>
    </w:pPr>
    <w:rPr>
      <w:i/>
    </w:rPr>
  </w:style>
  <w:style w:type="paragraph" w:customStyle="1" w:styleId="Subitem">
    <w:name w:val="Subitem"/>
    <w:aliases w:val="iss"/>
    <w:basedOn w:val="OPCParaBase"/>
    <w:rsid w:val="004A5227"/>
    <w:pPr>
      <w:spacing w:before="180" w:line="240" w:lineRule="auto"/>
      <w:ind w:left="709" w:hanging="709"/>
    </w:pPr>
  </w:style>
  <w:style w:type="paragraph" w:customStyle="1" w:styleId="SubitemHead">
    <w:name w:val="SubitemHead"/>
    <w:aliases w:val="issh"/>
    <w:basedOn w:val="OPCParaBase"/>
    <w:rsid w:val="004A52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227"/>
    <w:pPr>
      <w:spacing w:before="40" w:line="240" w:lineRule="auto"/>
      <w:ind w:left="1134"/>
    </w:pPr>
  </w:style>
  <w:style w:type="paragraph" w:customStyle="1" w:styleId="SubsectionHead">
    <w:name w:val="SubsectionHead"/>
    <w:aliases w:val="ssh"/>
    <w:basedOn w:val="OPCParaBase"/>
    <w:next w:val="subsection"/>
    <w:rsid w:val="004A5227"/>
    <w:pPr>
      <w:keepNext/>
      <w:keepLines/>
      <w:spacing w:before="240" w:line="240" w:lineRule="auto"/>
      <w:ind w:left="1134"/>
    </w:pPr>
    <w:rPr>
      <w:i/>
    </w:rPr>
  </w:style>
  <w:style w:type="paragraph" w:customStyle="1" w:styleId="Tablea">
    <w:name w:val="Table(a)"/>
    <w:aliases w:val="ta"/>
    <w:basedOn w:val="OPCParaBase"/>
    <w:rsid w:val="004A5227"/>
    <w:pPr>
      <w:spacing w:before="60" w:line="240" w:lineRule="auto"/>
      <w:ind w:left="284" w:hanging="284"/>
    </w:pPr>
    <w:rPr>
      <w:sz w:val="20"/>
    </w:rPr>
  </w:style>
  <w:style w:type="paragraph" w:customStyle="1" w:styleId="TableAA">
    <w:name w:val="Table(AA)"/>
    <w:aliases w:val="taaa"/>
    <w:basedOn w:val="OPCParaBase"/>
    <w:rsid w:val="004A52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2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227"/>
    <w:pPr>
      <w:spacing w:before="60" w:line="240" w:lineRule="atLeast"/>
    </w:pPr>
    <w:rPr>
      <w:sz w:val="20"/>
    </w:rPr>
  </w:style>
  <w:style w:type="paragraph" w:customStyle="1" w:styleId="TLPBoxTextnote">
    <w:name w:val="TLPBoxText(note"/>
    <w:aliases w:val="right)"/>
    <w:basedOn w:val="OPCParaBase"/>
    <w:rsid w:val="004A52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2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227"/>
    <w:pPr>
      <w:spacing w:before="122" w:line="198" w:lineRule="exact"/>
      <w:ind w:left="1985" w:hanging="851"/>
      <w:jc w:val="right"/>
    </w:pPr>
    <w:rPr>
      <w:sz w:val="18"/>
    </w:rPr>
  </w:style>
  <w:style w:type="paragraph" w:customStyle="1" w:styleId="TLPTableBullet">
    <w:name w:val="TLPTableBullet"/>
    <w:aliases w:val="ttb"/>
    <w:basedOn w:val="OPCParaBase"/>
    <w:rsid w:val="004A5227"/>
    <w:pPr>
      <w:spacing w:line="240" w:lineRule="exact"/>
      <w:ind w:left="284" w:hanging="284"/>
    </w:pPr>
    <w:rPr>
      <w:sz w:val="20"/>
    </w:rPr>
  </w:style>
  <w:style w:type="paragraph" w:styleId="TOC1">
    <w:name w:val="toc 1"/>
    <w:basedOn w:val="OPCParaBase"/>
    <w:next w:val="Normal"/>
    <w:uiPriority w:val="39"/>
    <w:unhideWhenUsed/>
    <w:rsid w:val="004A522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22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522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52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52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A52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2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A52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A52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227"/>
    <w:pPr>
      <w:keepLines/>
      <w:spacing w:before="240" w:after="120" w:line="240" w:lineRule="auto"/>
      <w:ind w:left="794"/>
    </w:pPr>
    <w:rPr>
      <w:b/>
      <w:kern w:val="28"/>
      <w:sz w:val="20"/>
    </w:rPr>
  </w:style>
  <w:style w:type="paragraph" w:customStyle="1" w:styleId="TofSectsSection">
    <w:name w:val="TofSects(Section)"/>
    <w:basedOn w:val="OPCParaBase"/>
    <w:rsid w:val="004A5227"/>
    <w:pPr>
      <w:keepLines/>
      <w:spacing w:before="40" w:line="240" w:lineRule="auto"/>
      <w:ind w:left="1588" w:hanging="794"/>
    </w:pPr>
    <w:rPr>
      <w:kern w:val="28"/>
      <w:sz w:val="18"/>
    </w:rPr>
  </w:style>
  <w:style w:type="paragraph" w:customStyle="1" w:styleId="TofSectsHeading">
    <w:name w:val="TofSects(Heading)"/>
    <w:basedOn w:val="OPCParaBase"/>
    <w:rsid w:val="004A5227"/>
    <w:pPr>
      <w:spacing w:before="240" w:after="120" w:line="240" w:lineRule="auto"/>
    </w:pPr>
    <w:rPr>
      <w:b/>
      <w:sz w:val="24"/>
    </w:rPr>
  </w:style>
  <w:style w:type="paragraph" w:customStyle="1" w:styleId="TofSectsSubdiv">
    <w:name w:val="TofSects(Subdiv)"/>
    <w:basedOn w:val="OPCParaBase"/>
    <w:rsid w:val="004A5227"/>
    <w:pPr>
      <w:keepLines/>
      <w:spacing w:before="80" w:line="240" w:lineRule="auto"/>
      <w:ind w:left="1588" w:hanging="794"/>
    </w:pPr>
    <w:rPr>
      <w:kern w:val="28"/>
    </w:rPr>
  </w:style>
  <w:style w:type="paragraph" w:customStyle="1" w:styleId="WRStyle">
    <w:name w:val="WR Style"/>
    <w:aliases w:val="WR"/>
    <w:basedOn w:val="OPCParaBase"/>
    <w:rsid w:val="004A5227"/>
    <w:pPr>
      <w:spacing w:before="240" w:line="240" w:lineRule="auto"/>
      <w:ind w:left="284" w:hanging="284"/>
    </w:pPr>
    <w:rPr>
      <w:b/>
      <w:i/>
      <w:kern w:val="28"/>
      <w:sz w:val="24"/>
    </w:rPr>
  </w:style>
  <w:style w:type="paragraph" w:customStyle="1" w:styleId="notepara">
    <w:name w:val="note(para)"/>
    <w:aliases w:val="na"/>
    <w:basedOn w:val="OPCParaBase"/>
    <w:rsid w:val="004A5227"/>
    <w:pPr>
      <w:spacing w:before="40" w:line="198" w:lineRule="exact"/>
      <w:ind w:left="2354" w:hanging="369"/>
    </w:pPr>
    <w:rPr>
      <w:sz w:val="18"/>
    </w:rPr>
  </w:style>
  <w:style w:type="paragraph" w:styleId="Footer">
    <w:name w:val="footer"/>
    <w:link w:val="FooterChar"/>
    <w:rsid w:val="004A52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227"/>
    <w:rPr>
      <w:rFonts w:eastAsia="Times New Roman" w:cs="Times New Roman"/>
      <w:sz w:val="22"/>
      <w:szCs w:val="24"/>
      <w:lang w:eastAsia="en-AU"/>
    </w:rPr>
  </w:style>
  <w:style w:type="character" w:styleId="LineNumber">
    <w:name w:val="line number"/>
    <w:basedOn w:val="OPCCharBase"/>
    <w:uiPriority w:val="99"/>
    <w:semiHidden/>
    <w:unhideWhenUsed/>
    <w:rsid w:val="004A5227"/>
    <w:rPr>
      <w:sz w:val="16"/>
    </w:rPr>
  </w:style>
  <w:style w:type="table" w:customStyle="1" w:styleId="CFlag">
    <w:name w:val="CFlag"/>
    <w:basedOn w:val="TableNormal"/>
    <w:uiPriority w:val="99"/>
    <w:rsid w:val="004A522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227"/>
    <w:rPr>
      <w:rFonts w:ascii="Tahoma" w:hAnsi="Tahoma" w:cs="Tahoma"/>
      <w:sz w:val="16"/>
      <w:szCs w:val="16"/>
    </w:rPr>
  </w:style>
  <w:style w:type="table" w:styleId="TableGrid">
    <w:name w:val="Table Grid"/>
    <w:basedOn w:val="TableNormal"/>
    <w:uiPriority w:val="59"/>
    <w:rsid w:val="004A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A5227"/>
    <w:rPr>
      <w:b/>
      <w:sz w:val="28"/>
      <w:szCs w:val="32"/>
    </w:rPr>
  </w:style>
  <w:style w:type="paragraph" w:customStyle="1" w:styleId="LegislationMadeUnder">
    <w:name w:val="LegislationMadeUnder"/>
    <w:basedOn w:val="OPCParaBase"/>
    <w:next w:val="Normal"/>
    <w:rsid w:val="004A5227"/>
    <w:rPr>
      <w:i/>
      <w:sz w:val="32"/>
      <w:szCs w:val="32"/>
    </w:rPr>
  </w:style>
  <w:style w:type="paragraph" w:customStyle="1" w:styleId="SignCoverPageEnd">
    <w:name w:val="SignCoverPageEnd"/>
    <w:basedOn w:val="OPCParaBase"/>
    <w:next w:val="Normal"/>
    <w:rsid w:val="004A52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5227"/>
    <w:pPr>
      <w:pBdr>
        <w:top w:val="single" w:sz="4" w:space="1" w:color="auto"/>
      </w:pBdr>
      <w:spacing w:before="360"/>
      <w:ind w:right="397"/>
      <w:jc w:val="both"/>
    </w:pPr>
  </w:style>
  <w:style w:type="paragraph" w:customStyle="1" w:styleId="NotesHeading1">
    <w:name w:val="NotesHeading 1"/>
    <w:basedOn w:val="OPCParaBase"/>
    <w:next w:val="Normal"/>
    <w:rsid w:val="004A5227"/>
    <w:pPr>
      <w:outlineLvl w:val="0"/>
    </w:pPr>
    <w:rPr>
      <w:b/>
      <w:sz w:val="28"/>
      <w:szCs w:val="28"/>
    </w:rPr>
  </w:style>
  <w:style w:type="paragraph" w:customStyle="1" w:styleId="NotesHeading2">
    <w:name w:val="NotesHeading 2"/>
    <w:basedOn w:val="OPCParaBase"/>
    <w:next w:val="Normal"/>
    <w:rsid w:val="004A5227"/>
    <w:rPr>
      <w:b/>
      <w:sz w:val="28"/>
      <w:szCs w:val="28"/>
    </w:rPr>
  </w:style>
  <w:style w:type="paragraph" w:customStyle="1" w:styleId="CompiledActNo">
    <w:name w:val="CompiledActNo"/>
    <w:basedOn w:val="OPCParaBase"/>
    <w:next w:val="Normal"/>
    <w:rsid w:val="004A5227"/>
    <w:rPr>
      <w:b/>
      <w:sz w:val="24"/>
      <w:szCs w:val="24"/>
    </w:rPr>
  </w:style>
  <w:style w:type="paragraph" w:customStyle="1" w:styleId="ENotesText">
    <w:name w:val="ENotesText"/>
    <w:aliases w:val="Ent"/>
    <w:basedOn w:val="OPCParaBase"/>
    <w:next w:val="Normal"/>
    <w:rsid w:val="004A5227"/>
    <w:pPr>
      <w:spacing w:before="120"/>
    </w:pPr>
  </w:style>
  <w:style w:type="paragraph" w:customStyle="1" w:styleId="CompiledMadeUnder">
    <w:name w:val="CompiledMadeUnder"/>
    <w:basedOn w:val="OPCParaBase"/>
    <w:next w:val="Normal"/>
    <w:rsid w:val="004A5227"/>
    <w:rPr>
      <w:i/>
      <w:sz w:val="24"/>
      <w:szCs w:val="24"/>
    </w:rPr>
  </w:style>
  <w:style w:type="paragraph" w:customStyle="1" w:styleId="Paragraphsub-sub-sub">
    <w:name w:val="Paragraph(sub-sub-sub)"/>
    <w:aliases w:val="aaaa"/>
    <w:basedOn w:val="OPCParaBase"/>
    <w:rsid w:val="004A5227"/>
    <w:pPr>
      <w:tabs>
        <w:tab w:val="right" w:pos="3402"/>
      </w:tabs>
      <w:spacing w:before="40" w:line="240" w:lineRule="auto"/>
      <w:ind w:left="3402" w:hanging="3402"/>
    </w:pPr>
  </w:style>
  <w:style w:type="paragraph" w:customStyle="1" w:styleId="TableTextEndNotes">
    <w:name w:val="TableTextEndNotes"/>
    <w:aliases w:val="Tten"/>
    <w:basedOn w:val="Normal"/>
    <w:rsid w:val="004A5227"/>
    <w:pPr>
      <w:spacing w:before="60" w:line="240" w:lineRule="auto"/>
    </w:pPr>
    <w:rPr>
      <w:rFonts w:cs="Arial"/>
      <w:sz w:val="20"/>
      <w:szCs w:val="22"/>
    </w:rPr>
  </w:style>
  <w:style w:type="paragraph" w:customStyle="1" w:styleId="NoteToSubpara">
    <w:name w:val="NoteToSubpara"/>
    <w:aliases w:val="nts"/>
    <w:basedOn w:val="OPCParaBase"/>
    <w:rsid w:val="004A5227"/>
    <w:pPr>
      <w:spacing w:before="40" w:line="198" w:lineRule="exact"/>
      <w:ind w:left="2835" w:hanging="709"/>
    </w:pPr>
    <w:rPr>
      <w:sz w:val="18"/>
    </w:rPr>
  </w:style>
  <w:style w:type="paragraph" w:customStyle="1" w:styleId="ENoteTableHeading">
    <w:name w:val="ENoteTableHeading"/>
    <w:aliases w:val="enth"/>
    <w:basedOn w:val="OPCParaBase"/>
    <w:rsid w:val="004A5227"/>
    <w:pPr>
      <w:keepNext/>
      <w:spacing w:before="60" w:line="240" w:lineRule="atLeast"/>
    </w:pPr>
    <w:rPr>
      <w:rFonts w:ascii="Arial" w:hAnsi="Arial"/>
      <w:b/>
      <w:sz w:val="16"/>
    </w:rPr>
  </w:style>
  <w:style w:type="paragraph" w:customStyle="1" w:styleId="ENoteTTi">
    <w:name w:val="ENoteTTi"/>
    <w:aliases w:val="entti"/>
    <w:basedOn w:val="OPCParaBase"/>
    <w:rsid w:val="004A5227"/>
    <w:pPr>
      <w:keepNext/>
      <w:spacing w:before="60" w:line="240" w:lineRule="atLeast"/>
      <w:ind w:left="170"/>
    </w:pPr>
    <w:rPr>
      <w:sz w:val="16"/>
    </w:rPr>
  </w:style>
  <w:style w:type="paragraph" w:customStyle="1" w:styleId="ENotesHeading1">
    <w:name w:val="ENotesHeading 1"/>
    <w:aliases w:val="Enh1"/>
    <w:basedOn w:val="OPCParaBase"/>
    <w:next w:val="Normal"/>
    <w:rsid w:val="004A5227"/>
    <w:pPr>
      <w:spacing w:before="120"/>
      <w:outlineLvl w:val="1"/>
    </w:pPr>
    <w:rPr>
      <w:b/>
      <w:sz w:val="28"/>
      <w:szCs w:val="28"/>
    </w:rPr>
  </w:style>
  <w:style w:type="paragraph" w:customStyle="1" w:styleId="ENotesHeading2">
    <w:name w:val="ENotesHeading 2"/>
    <w:aliases w:val="Enh2"/>
    <w:basedOn w:val="OPCParaBase"/>
    <w:next w:val="Normal"/>
    <w:rsid w:val="004A5227"/>
    <w:pPr>
      <w:spacing w:before="120" w:after="120"/>
      <w:outlineLvl w:val="2"/>
    </w:pPr>
    <w:rPr>
      <w:b/>
      <w:sz w:val="24"/>
      <w:szCs w:val="28"/>
    </w:rPr>
  </w:style>
  <w:style w:type="paragraph" w:customStyle="1" w:styleId="ENoteTTIndentHeading">
    <w:name w:val="ENoteTTIndentHeading"/>
    <w:aliases w:val="enTTHi"/>
    <w:basedOn w:val="OPCParaBase"/>
    <w:rsid w:val="004A52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227"/>
    <w:pPr>
      <w:spacing w:before="60" w:line="240" w:lineRule="atLeast"/>
    </w:pPr>
    <w:rPr>
      <w:sz w:val="16"/>
    </w:rPr>
  </w:style>
  <w:style w:type="paragraph" w:customStyle="1" w:styleId="MadeunderText">
    <w:name w:val="MadeunderText"/>
    <w:basedOn w:val="OPCParaBase"/>
    <w:next w:val="CompiledMadeUnder"/>
    <w:rsid w:val="004A5227"/>
    <w:pPr>
      <w:spacing w:before="240"/>
    </w:pPr>
    <w:rPr>
      <w:sz w:val="24"/>
      <w:szCs w:val="24"/>
    </w:rPr>
  </w:style>
  <w:style w:type="paragraph" w:customStyle="1" w:styleId="ENotesHeading3">
    <w:name w:val="ENotesHeading 3"/>
    <w:aliases w:val="Enh3"/>
    <w:basedOn w:val="OPCParaBase"/>
    <w:next w:val="Normal"/>
    <w:rsid w:val="004A5227"/>
    <w:pPr>
      <w:keepNext/>
      <w:spacing w:before="120" w:line="240" w:lineRule="auto"/>
      <w:outlineLvl w:val="4"/>
    </w:pPr>
    <w:rPr>
      <w:b/>
      <w:szCs w:val="24"/>
    </w:rPr>
  </w:style>
  <w:style w:type="paragraph" w:customStyle="1" w:styleId="SubPartCASA">
    <w:name w:val="SubPart(CASA)"/>
    <w:aliases w:val="csp"/>
    <w:basedOn w:val="OPCParaBase"/>
    <w:next w:val="ActHead3"/>
    <w:rsid w:val="004A522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5227"/>
  </w:style>
  <w:style w:type="character" w:customStyle="1" w:styleId="CharSubPartNoCASA">
    <w:name w:val="CharSubPartNo(CASA)"/>
    <w:basedOn w:val="OPCCharBase"/>
    <w:uiPriority w:val="1"/>
    <w:rsid w:val="004A5227"/>
  </w:style>
  <w:style w:type="paragraph" w:customStyle="1" w:styleId="ENoteTTIndentHeadingSub">
    <w:name w:val="ENoteTTIndentHeadingSub"/>
    <w:aliases w:val="enTTHis"/>
    <w:basedOn w:val="OPCParaBase"/>
    <w:rsid w:val="004A5227"/>
    <w:pPr>
      <w:keepNext/>
      <w:spacing w:before="60" w:line="240" w:lineRule="atLeast"/>
      <w:ind w:left="340"/>
    </w:pPr>
    <w:rPr>
      <w:b/>
      <w:sz w:val="16"/>
    </w:rPr>
  </w:style>
  <w:style w:type="paragraph" w:customStyle="1" w:styleId="ENoteTTiSub">
    <w:name w:val="ENoteTTiSub"/>
    <w:aliases w:val="enttis"/>
    <w:basedOn w:val="OPCParaBase"/>
    <w:rsid w:val="004A5227"/>
    <w:pPr>
      <w:keepNext/>
      <w:spacing w:before="60" w:line="240" w:lineRule="atLeast"/>
      <w:ind w:left="340"/>
    </w:pPr>
    <w:rPr>
      <w:sz w:val="16"/>
    </w:rPr>
  </w:style>
  <w:style w:type="paragraph" w:customStyle="1" w:styleId="SubDivisionMigration">
    <w:name w:val="SubDivisionMigration"/>
    <w:aliases w:val="sdm"/>
    <w:basedOn w:val="OPCParaBase"/>
    <w:rsid w:val="004A52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227"/>
    <w:pPr>
      <w:keepNext/>
      <w:keepLines/>
      <w:spacing w:before="240" w:line="240" w:lineRule="auto"/>
      <w:ind w:left="1134" w:hanging="1134"/>
    </w:pPr>
    <w:rPr>
      <w:b/>
      <w:sz w:val="28"/>
    </w:rPr>
  </w:style>
  <w:style w:type="paragraph" w:customStyle="1" w:styleId="notetext">
    <w:name w:val="note(text)"/>
    <w:aliases w:val="n"/>
    <w:basedOn w:val="OPCParaBase"/>
    <w:rsid w:val="004A522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A52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227"/>
    <w:rPr>
      <w:sz w:val="22"/>
    </w:rPr>
  </w:style>
  <w:style w:type="paragraph" w:customStyle="1" w:styleId="SOTextNote">
    <w:name w:val="SO TextNote"/>
    <w:aliases w:val="sont"/>
    <w:basedOn w:val="SOText"/>
    <w:qFormat/>
    <w:rsid w:val="004A5227"/>
    <w:pPr>
      <w:spacing w:before="122" w:line="198" w:lineRule="exact"/>
      <w:ind w:left="1843" w:hanging="709"/>
    </w:pPr>
    <w:rPr>
      <w:sz w:val="18"/>
    </w:rPr>
  </w:style>
  <w:style w:type="paragraph" w:customStyle="1" w:styleId="SOPara">
    <w:name w:val="SO Para"/>
    <w:aliases w:val="soa"/>
    <w:basedOn w:val="SOText"/>
    <w:link w:val="SOParaChar"/>
    <w:qFormat/>
    <w:rsid w:val="004A5227"/>
    <w:pPr>
      <w:tabs>
        <w:tab w:val="right" w:pos="1786"/>
      </w:tabs>
      <w:spacing w:before="40"/>
      <w:ind w:left="2070" w:hanging="936"/>
    </w:pPr>
  </w:style>
  <w:style w:type="character" w:customStyle="1" w:styleId="SOParaChar">
    <w:name w:val="SO Para Char"/>
    <w:aliases w:val="soa Char"/>
    <w:basedOn w:val="DefaultParagraphFont"/>
    <w:link w:val="SOPara"/>
    <w:rsid w:val="004A5227"/>
    <w:rPr>
      <w:sz w:val="22"/>
    </w:rPr>
  </w:style>
  <w:style w:type="paragraph" w:customStyle="1" w:styleId="FileName">
    <w:name w:val="FileName"/>
    <w:basedOn w:val="Normal"/>
    <w:rsid w:val="004A5227"/>
  </w:style>
  <w:style w:type="paragraph" w:customStyle="1" w:styleId="TableHeading">
    <w:name w:val="TableHeading"/>
    <w:aliases w:val="th"/>
    <w:basedOn w:val="OPCParaBase"/>
    <w:next w:val="Tabletext"/>
    <w:rsid w:val="004A5227"/>
    <w:pPr>
      <w:keepNext/>
      <w:spacing w:before="60" w:line="240" w:lineRule="atLeast"/>
    </w:pPr>
    <w:rPr>
      <w:b/>
      <w:sz w:val="20"/>
    </w:rPr>
  </w:style>
  <w:style w:type="paragraph" w:customStyle="1" w:styleId="SOHeadBold">
    <w:name w:val="SO HeadBold"/>
    <w:aliases w:val="sohb"/>
    <w:basedOn w:val="SOText"/>
    <w:next w:val="SOText"/>
    <w:link w:val="SOHeadBoldChar"/>
    <w:qFormat/>
    <w:rsid w:val="004A5227"/>
    <w:rPr>
      <w:b/>
    </w:rPr>
  </w:style>
  <w:style w:type="character" w:customStyle="1" w:styleId="SOHeadBoldChar">
    <w:name w:val="SO HeadBold Char"/>
    <w:aliases w:val="sohb Char"/>
    <w:basedOn w:val="DefaultParagraphFont"/>
    <w:link w:val="SOHeadBold"/>
    <w:rsid w:val="004A5227"/>
    <w:rPr>
      <w:b/>
      <w:sz w:val="22"/>
    </w:rPr>
  </w:style>
  <w:style w:type="paragraph" w:customStyle="1" w:styleId="SOHeadItalic">
    <w:name w:val="SO HeadItalic"/>
    <w:aliases w:val="sohi"/>
    <w:basedOn w:val="SOText"/>
    <w:next w:val="SOText"/>
    <w:link w:val="SOHeadItalicChar"/>
    <w:qFormat/>
    <w:rsid w:val="004A5227"/>
    <w:rPr>
      <w:i/>
    </w:rPr>
  </w:style>
  <w:style w:type="character" w:customStyle="1" w:styleId="SOHeadItalicChar">
    <w:name w:val="SO HeadItalic Char"/>
    <w:aliases w:val="sohi Char"/>
    <w:basedOn w:val="DefaultParagraphFont"/>
    <w:link w:val="SOHeadItalic"/>
    <w:rsid w:val="004A5227"/>
    <w:rPr>
      <w:i/>
      <w:sz w:val="22"/>
    </w:rPr>
  </w:style>
  <w:style w:type="paragraph" w:customStyle="1" w:styleId="SOBullet">
    <w:name w:val="SO Bullet"/>
    <w:aliases w:val="sotb"/>
    <w:basedOn w:val="SOText"/>
    <w:link w:val="SOBulletChar"/>
    <w:qFormat/>
    <w:rsid w:val="004A5227"/>
    <w:pPr>
      <w:ind w:left="1559" w:hanging="425"/>
    </w:pPr>
  </w:style>
  <w:style w:type="character" w:customStyle="1" w:styleId="SOBulletChar">
    <w:name w:val="SO Bullet Char"/>
    <w:aliases w:val="sotb Char"/>
    <w:basedOn w:val="DefaultParagraphFont"/>
    <w:link w:val="SOBullet"/>
    <w:rsid w:val="004A5227"/>
    <w:rPr>
      <w:sz w:val="22"/>
    </w:rPr>
  </w:style>
  <w:style w:type="paragraph" w:customStyle="1" w:styleId="SOBulletNote">
    <w:name w:val="SO BulletNote"/>
    <w:aliases w:val="sonb"/>
    <w:basedOn w:val="SOTextNote"/>
    <w:link w:val="SOBulletNoteChar"/>
    <w:qFormat/>
    <w:rsid w:val="004A5227"/>
    <w:pPr>
      <w:tabs>
        <w:tab w:val="left" w:pos="1560"/>
      </w:tabs>
      <w:ind w:left="2268" w:hanging="1134"/>
    </w:pPr>
  </w:style>
  <w:style w:type="character" w:customStyle="1" w:styleId="SOBulletNoteChar">
    <w:name w:val="SO BulletNote Char"/>
    <w:aliases w:val="sonb Char"/>
    <w:basedOn w:val="DefaultParagraphFont"/>
    <w:link w:val="SOBulletNote"/>
    <w:rsid w:val="004A5227"/>
    <w:rPr>
      <w:sz w:val="18"/>
    </w:rPr>
  </w:style>
  <w:style w:type="paragraph" w:customStyle="1" w:styleId="SOText2">
    <w:name w:val="SO Text2"/>
    <w:aliases w:val="sot2"/>
    <w:basedOn w:val="Normal"/>
    <w:next w:val="SOText"/>
    <w:link w:val="SOText2Char"/>
    <w:rsid w:val="004A52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227"/>
    <w:rPr>
      <w:sz w:val="22"/>
    </w:rPr>
  </w:style>
  <w:style w:type="paragraph" w:styleId="List4">
    <w:name w:val="List 4"/>
    <w:basedOn w:val="Normal"/>
    <w:unhideWhenUsed/>
    <w:rsid w:val="00B2147A"/>
    <w:pPr>
      <w:ind w:left="1132" w:hanging="283"/>
      <w:contextualSpacing/>
    </w:pPr>
  </w:style>
  <w:style w:type="paragraph" w:styleId="ListParagraph">
    <w:name w:val="List Paragraph"/>
    <w:basedOn w:val="Normal"/>
    <w:uiPriority w:val="34"/>
    <w:qFormat/>
    <w:rsid w:val="00AF51C5"/>
    <w:pPr>
      <w:spacing w:line="240" w:lineRule="auto"/>
      <w:ind w:left="720"/>
    </w:pPr>
    <w:rPr>
      <w:rFonts w:eastAsia="Times New Roman" w:cs="Times New Roman"/>
      <w:sz w:val="24"/>
      <w:szCs w:val="24"/>
      <w:lang w:eastAsia="en-AU"/>
    </w:rPr>
  </w:style>
  <w:style w:type="table" w:customStyle="1" w:styleId="TableGrid1">
    <w:name w:val="Table Grid1"/>
    <w:basedOn w:val="TableNormal"/>
    <w:next w:val="TableGrid"/>
    <w:uiPriority w:val="59"/>
    <w:rsid w:val="00A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unhideWhenUsed/>
    <w:rsid w:val="00C0534D"/>
    <w:pPr>
      <w:numPr>
        <w:numId w:val="8"/>
      </w:numPr>
      <w:contextualSpacing/>
    </w:pPr>
  </w:style>
  <w:style w:type="character" w:styleId="CommentReference">
    <w:name w:val="annotation reference"/>
    <w:uiPriority w:val="99"/>
    <w:semiHidden/>
    <w:unhideWhenUsed/>
    <w:rsid w:val="000B4D2E"/>
    <w:rPr>
      <w:sz w:val="16"/>
      <w:szCs w:val="16"/>
    </w:rPr>
  </w:style>
  <w:style w:type="paragraph" w:styleId="CommentText">
    <w:name w:val="annotation text"/>
    <w:basedOn w:val="Normal"/>
    <w:link w:val="CommentTextChar"/>
    <w:uiPriority w:val="99"/>
    <w:unhideWhenUsed/>
    <w:rsid w:val="000B4D2E"/>
    <w:rPr>
      <w:rFonts w:eastAsia="Calibri" w:cs="Times New Roman"/>
      <w:sz w:val="20"/>
    </w:rPr>
  </w:style>
  <w:style w:type="character" w:customStyle="1" w:styleId="CommentTextChar">
    <w:name w:val="Comment Text Char"/>
    <w:basedOn w:val="DefaultParagraphFont"/>
    <w:link w:val="CommentText"/>
    <w:uiPriority w:val="99"/>
    <w:rsid w:val="000B4D2E"/>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4" w:uiPriority="0"/>
    <w:lsdException w:name="List Number 3"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227"/>
    <w:pPr>
      <w:spacing w:line="260" w:lineRule="atLeast"/>
    </w:pPr>
    <w:rPr>
      <w:sz w:val="22"/>
    </w:rPr>
  </w:style>
  <w:style w:type="paragraph" w:styleId="Heading1">
    <w:name w:val="heading 1"/>
    <w:basedOn w:val="Normal"/>
    <w:next w:val="Normal"/>
    <w:link w:val="Heading1Char"/>
    <w:qFormat/>
    <w:rsid w:val="00AA0E29"/>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A0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0E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E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0E2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0E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0E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0E2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0E2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E29"/>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A0E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0E2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0E2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0E2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A0E2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0E2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0E2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0E29"/>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4A5227"/>
  </w:style>
  <w:style w:type="paragraph" w:customStyle="1" w:styleId="OPCParaBase">
    <w:name w:val="OPCParaBase"/>
    <w:qFormat/>
    <w:rsid w:val="004A5227"/>
    <w:pPr>
      <w:spacing w:line="260" w:lineRule="atLeast"/>
    </w:pPr>
    <w:rPr>
      <w:rFonts w:eastAsia="Times New Roman" w:cs="Times New Roman"/>
      <w:sz w:val="22"/>
      <w:lang w:eastAsia="en-AU"/>
    </w:rPr>
  </w:style>
  <w:style w:type="paragraph" w:customStyle="1" w:styleId="ShortT">
    <w:name w:val="ShortT"/>
    <w:basedOn w:val="OPCParaBase"/>
    <w:next w:val="Normal"/>
    <w:qFormat/>
    <w:rsid w:val="004A5227"/>
    <w:pPr>
      <w:spacing w:line="240" w:lineRule="auto"/>
    </w:pPr>
    <w:rPr>
      <w:b/>
      <w:sz w:val="40"/>
    </w:rPr>
  </w:style>
  <w:style w:type="paragraph" w:customStyle="1" w:styleId="ActHead1">
    <w:name w:val="ActHead 1"/>
    <w:aliases w:val="c"/>
    <w:basedOn w:val="OPCParaBase"/>
    <w:next w:val="Normal"/>
    <w:qFormat/>
    <w:rsid w:val="004A52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2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2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2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522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4A5227"/>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A0E29"/>
    <w:rPr>
      <w:rFonts w:eastAsia="Times New Roman" w:cs="Times New Roman"/>
      <w:sz w:val="22"/>
      <w:lang w:eastAsia="en-AU"/>
    </w:rPr>
  </w:style>
  <w:style w:type="paragraph" w:customStyle="1" w:styleId="ActHead6">
    <w:name w:val="ActHead 6"/>
    <w:aliases w:val="as"/>
    <w:basedOn w:val="OPCParaBase"/>
    <w:next w:val="ActHead7"/>
    <w:qFormat/>
    <w:rsid w:val="004A52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22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4A522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A5227"/>
    <w:pPr>
      <w:keepLines/>
      <w:spacing w:before="80" w:line="240" w:lineRule="auto"/>
      <w:ind w:left="709"/>
    </w:pPr>
  </w:style>
  <w:style w:type="paragraph" w:customStyle="1" w:styleId="ActHead8">
    <w:name w:val="ActHead 8"/>
    <w:aliases w:val="ad"/>
    <w:basedOn w:val="OPCParaBase"/>
    <w:next w:val="ItemHead"/>
    <w:qFormat/>
    <w:rsid w:val="004A52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2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5227"/>
  </w:style>
  <w:style w:type="paragraph" w:customStyle="1" w:styleId="Blocks">
    <w:name w:val="Blocks"/>
    <w:aliases w:val="bb"/>
    <w:basedOn w:val="OPCParaBase"/>
    <w:qFormat/>
    <w:rsid w:val="004A5227"/>
    <w:pPr>
      <w:spacing w:line="240" w:lineRule="auto"/>
    </w:pPr>
    <w:rPr>
      <w:sz w:val="24"/>
    </w:rPr>
  </w:style>
  <w:style w:type="paragraph" w:customStyle="1" w:styleId="BoxText">
    <w:name w:val="BoxText"/>
    <w:aliases w:val="bt"/>
    <w:basedOn w:val="OPCParaBase"/>
    <w:qFormat/>
    <w:rsid w:val="004A52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227"/>
    <w:rPr>
      <w:b/>
    </w:rPr>
  </w:style>
  <w:style w:type="paragraph" w:customStyle="1" w:styleId="BoxHeadItalic">
    <w:name w:val="BoxHeadItalic"/>
    <w:aliases w:val="bhi"/>
    <w:basedOn w:val="BoxText"/>
    <w:next w:val="BoxStep"/>
    <w:qFormat/>
    <w:rsid w:val="004A5227"/>
    <w:rPr>
      <w:i/>
    </w:rPr>
  </w:style>
  <w:style w:type="paragraph" w:customStyle="1" w:styleId="BoxStep">
    <w:name w:val="BoxStep"/>
    <w:aliases w:val="bs"/>
    <w:basedOn w:val="BoxText"/>
    <w:qFormat/>
    <w:rsid w:val="004A5227"/>
    <w:pPr>
      <w:ind w:left="1985" w:hanging="851"/>
    </w:pPr>
  </w:style>
  <w:style w:type="paragraph" w:customStyle="1" w:styleId="BoxList">
    <w:name w:val="BoxList"/>
    <w:aliases w:val="bl"/>
    <w:basedOn w:val="BoxText"/>
    <w:qFormat/>
    <w:rsid w:val="004A5227"/>
    <w:pPr>
      <w:ind w:left="1559" w:hanging="425"/>
    </w:pPr>
  </w:style>
  <w:style w:type="paragraph" w:customStyle="1" w:styleId="BoxNote">
    <w:name w:val="BoxNote"/>
    <w:aliases w:val="bn"/>
    <w:basedOn w:val="BoxText"/>
    <w:qFormat/>
    <w:rsid w:val="004A5227"/>
    <w:pPr>
      <w:tabs>
        <w:tab w:val="left" w:pos="1985"/>
      </w:tabs>
      <w:spacing w:before="122" w:line="198" w:lineRule="exact"/>
      <w:ind w:left="2948" w:hanging="1814"/>
    </w:pPr>
    <w:rPr>
      <w:sz w:val="18"/>
    </w:rPr>
  </w:style>
  <w:style w:type="paragraph" w:customStyle="1" w:styleId="BoxPara">
    <w:name w:val="BoxPara"/>
    <w:aliases w:val="bp"/>
    <w:basedOn w:val="BoxText"/>
    <w:qFormat/>
    <w:rsid w:val="004A5227"/>
    <w:pPr>
      <w:tabs>
        <w:tab w:val="right" w:pos="2268"/>
      </w:tabs>
      <w:ind w:left="2552" w:hanging="1418"/>
    </w:pPr>
  </w:style>
  <w:style w:type="character" w:customStyle="1" w:styleId="CharAmPartNo">
    <w:name w:val="CharAmPartNo"/>
    <w:basedOn w:val="OPCCharBase"/>
    <w:uiPriority w:val="1"/>
    <w:qFormat/>
    <w:rsid w:val="004A5227"/>
  </w:style>
  <w:style w:type="character" w:customStyle="1" w:styleId="CharAmPartText">
    <w:name w:val="CharAmPartText"/>
    <w:basedOn w:val="OPCCharBase"/>
    <w:uiPriority w:val="1"/>
    <w:qFormat/>
    <w:rsid w:val="004A5227"/>
  </w:style>
  <w:style w:type="character" w:customStyle="1" w:styleId="CharAmSchNo">
    <w:name w:val="CharAmSchNo"/>
    <w:basedOn w:val="OPCCharBase"/>
    <w:uiPriority w:val="1"/>
    <w:qFormat/>
    <w:rsid w:val="004A5227"/>
  </w:style>
  <w:style w:type="character" w:customStyle="1" w:styleId="CharAmSchText">
    <w:name w:val="CharAmSchText"/>
    <w:basedOn w:val="OPCCharBase"/>
    <w:uiPriority w:val="1"/>
    <w:qFormat/>
    <w:rsid w:val="004A5227"/>
  </w:style>
  <w:style w:type="character" w:customStyle="1" w:styleId="CharBoldItalic">
    <w:name w:val="CharBoldItalic"/>
    <w:basedOn w:val="OPCCharBase"/>
    <w:uiPriority w:val="1"/>
    <w:qFormat/>
    <w:rsid w:val="004A5227"/>
    <w:rPr>
      <w:b/>
      <w:i/>
    </w:rPr>
  </w:style>
  <w:style w:type="character" w:customStyle="1" w:styleId="CharChapNo">
    <w:name w:val="CharChapNo"/>
    <w:basedOn w:val="OPCCharBase"/>
    <w:qFormat/>
    <w:rsid w:val="004A5227"/>
  </w:style>
  <w:style w:type="character" w:customStyle="1" w:styleId="CharChapText">
    <w:name w:val="CharChapText"/>
    <w:basedOn w:val="OPCCharBase"/>
    <w:qFormat/>
    <w:rsid w:val="004A5227"/>
  </w:style>
  <w:style w:type="character" w:customStyle="1" w:styleId="CharDivNo">
    <w:name w:val="CharDivNo"/>
    <w:basedOn w:val="OPCCharBase"/>
    <w:qFormat/>
    <w:rsid w:val="004A5227"/>
  </w:style>
  <w:style w:type="character" w:customStyle="1" w:styleId="CharDivText">
    <w:name w:val="CharDivText"/>
    <w:basedOn w:val="OPCCharBase"/>
    <w:qFormat/>
    <w:rsid w:val="004A5227"/>
  </w:style>
  <w:style w:type="character" w:customStyle="1" w:styleId="CharItalic">
    <w:name w:val="CharItalic"/>
    <w:basedOn w:val="OPCCharBase"/>
    <w:uiPriority w:val="1"/>
    <w:qFormat/>
    <w:rsid w:val="004A5227"/>
    <w:rPr>
      <w:i/>
    </w:rPr>
  </w:style>
  <w:style w:type="character" w:customStyle="1" w:styleId="CharPartNo">
    <w:name w:val="CharPartNo"/>
    <w:basedOn w:val="OPCCharBase"/>
    <w:qFormat/>
    <w:rsid w:val="004A5227"/>
  </w:style>
  <w:style w:type="character" w:customStyle="1" w:styleId="CharPartText">
    <w:name w:val="CharPartText"/>
    <w:basedOn w:val="OPCCharBase"/>
    <w:qFormat/>
    <w:rsid w:val="004A5227"/>
  </w:style>
  <w:style w:type="character" w:customStyle="1" w:styleId="CharSectno">
    <w:name w:val="CharSectno"/>
    <w:basedOn w:val="OPCCharBase"/>
    <w:qFormat/>
    <w:rsid w:val="004A5227"/>
  </w:style>
  <w:style w:type="character" w:customStyle="1" w:styleId="CharSubdNo">
    <w:name w:val="CharSubdNo"/>
    <w:basedOn w:val="OPCCharBase"/>
    <w:uiPriority w:val="1"/>
    <w:qFormat/>
    <w:rsid w:val="004A5227"/>
  </w:style>
  <w:style w:type="character" w:customStyle="1" w:styleId="CharSubdText">
    <w:name w:val="CharSubdText"/>
    <w:basedOn w:val="OPCCharBase"/>
    <w:uiPriority w:val="1"/>
    <w:qFormat/>
    <w:rsid w:val="004A5227"/>
  </w:style>
  <w:style w:type="paragraph" w:customStyle="1" w:styleId="CTA--">
    <w:name w:val="CTA --"/>
    <w:basedOn w:val="OPCParaBase"/>
    <w:next w:val="Normal"/>
    <w:rsid w:val="004A5227"/>
    <w:pPr>
      <w:spacing w:before="60" w:line="240" w:lineRule="atLeast"/>
      <w:ind w:left="142" w:hanging="142"/>
    </w:pPr>
    <w:rPr>
      <w:sz w:val="20"/>
    </w:rPr>
  </w:style>
  <w:style w:type="paragraph" w:customStyle="1" w:styleId="CTA-">
    <w:name w:val="CTA -"/>
    <w:basedOn w:val="OPCParaBase"/>
    <w:rsid w:val="004A5227"/>
    <w:pPr>
      <w:spacing w:before="60" w:line="240" w:lineRule="atLeast"/>
      <w:ind w:left="85" w:hanging="85"/>
    </w:pPr>
    <w:rPr>
      <w:sz w:val="20"/>
    </w:rPr>
  </w:style>
  <w:style w:type="paragraph" w:customStyle="1" w:styleId="CTA---">
    <w:name w:val="CTA ---"/>
    <w:basedOn w:val="OPCParaBase"/>
    <w:next w:val="Normal"/>
    <w:rsid w:val="004A5227"/>
    <w:pPr>
      <w:spacing w:before="60" w:line="240" w:lineRule="atLeast"/>
      <w:ind w:left="198" w:hanging="198"/>
    </w:pPr>
    <w:rPr>
      <w:sz w:val="20"/>
    </w:rPr>
  </w:style>
  <w:style w:type="paragraph" w:customStyle="1" w:styleId="CTA----">
    <w:name w:val="CTA ----"/>
    <w:basedOn w:val="OPCParaBase"/>
    <w:next w:val="Normal"/>
    <w:rsid w:val="004A5227"/>
    <w:pPr>
      <w:spacing w:before="60" w:line="240" w:lineRule="atLeast"/>
      <w:ind w:left="255" w:hanging="255"/>
    </w:pPr>
    <w:rPr>
      <w:sz w:val="20"/>
    </w:rPr>
  </w:style>
  <w:style w:type="paragraph" w:customStyle="1" w:styleId="CTA1a">
    <w:name w:val="CTA 1(a)"/>
    <w:basedOn w:val="OPCParaBase"/>
    <w:rsid w:val="004A5227"/>
    <w:pPr>
      <w:tabs>
        <w:tab w:val="right" w:pos="414"/>
      </w:tabs>
      <w:spacing w:before="40" w:line="240" w:lineRule="atLeast"/>
      <w:ind w:left="675" w:hanging="675"/>
    </w:pPr>
    <w:rPr>
      <w:sz w:val="20"/>
    </w:rPr>
  </w:style>
  <w:style w:type="paragraph" w:customStyle="1" w:styleId="CTA1ai">
    <w:name w:val="CTA 1(a)(i)"/>
    <w:basedOn w:val="OPCParaBase"/>
    <w:rsid w:val="004A5227"/>
    <w:pPr>
      <w:tabs>
        <w:tab w:val="right" w:pos="1004"/>
      </w:tabs>
      <w:spacing w:before="40" w:line="240" w:lineRule="atLeast"/>
      <w:ind w:left="1253" w:hanging="1253"/>
    </w:pPr>
    <w:rPr>
      <w:sz w:val="20"/>
    </w:rPr>
  </w:style>
  <w:style w:type="paragraph" w:customStyle="1" w:styleId="CTA2a">
    <w:name w:val="CTA 2(a)"/>
    <w:basedOn w:val="OPCParaBase"/>
    <w:rsid w:val="004A5227"/>
    <w:pPr>
      <w:tabs>
        <w:tab w:val="right" w:pos="482"/>
      </w:tabs>
      <w:spacing w:before="40" w:line="240" w:lineRule="atLeast"/>
      <w:ind w:left="748" w:hanging="748"/>
    </w:pPr>
    <w:rPr>
      <w:sz w:val="20"/>
    </w:rPr>
  </w:style>
  <w:style w:type="paragraph" w:customStyle="1" w:styleId="CTA2ai">
    <w:name w:val="CTA 2(a)(i)"/>
    <w:basedOn w:val="OPCParaBase"/>
    <w:rsid w:val="004A5227"/>
    <w:pPr>
      <w:tabs>
        <w:tab w:val="right" w:pos="1089"/>
      </w:tabs>
      <w:spacing w:before="40" w:line="240" w:lineRule="atLeast"/>
      <w:ind w:left="1327" w:hanging="1327"/>
    </w:pPr>
    <w:rPr>
      <w:sz w:val="20"/>
    </w:rPr>
  </w:style>
  <w:style w:type="paragraph" w:customStyle="1" w:styleId="CTA3a">
    <w:name w:val="CTA 3(a)"/>
    <w:basedOn w:val="OPCParaBase"/>
    <w:rsid w:val="004A5227"/>
    <w:pPr>
      <w:tabs>
        <w:tab w:val="right" w:pos="556"/>
      </w:tabs>
      <w:spacing w:before="40" w:line="240" w:lineRule="atLeast"/>
      <w:ind w:left="805" w:hanging="805"/>
    </w:pPr>
    <w:rPr>
      <w:sz w:val="20"/>
    </w:rPr>
  </w:style>
  <w:style w:type="paragraph" w:customStyle="1" w:styleId="CTA3ai">
    <w:name w:val="CTA 3(a)(i)"/>
    <w:basedOn w:val="OPCParaBase"/>
    <w:rsid w:val="004A5227"/>
    <w:pPr>
      <w:tabs>
        <w:tab w:val="right" w:pos="1140"/>
      </w:tabs>
      <w:spacing w:before="40" w:line="240" w:lineRule="atLeast"/>
      <w:ind w:left="1361" w:hanging="1361"/>
    </w:pPr>
    <w:rPr>
      <w:sz w:val="20"/>
    </w:rPr>
  </w:style>
  <w:style w:type="paragraph" w:customStyle="1" w:styleId="CTA4a">
    <w:name w:val="CTA 4(a)"/>
    <w:basedOn w:val="OPCParaBase"/>
    <w:rsid w:val="004A5227"/>
    <w:pPr>
      <w:tabs>
        <w:tab w:val="right" w:pos="624"/>
      </w:tabs>
      <w:spacing w:before="40" w:line="240" w:lineRule="atLeast"/>
      <w:ind w:left="873" w:hanging="873"/>
    </w:pPr>
    <w:rPr>
      <w:sz w:val="20"/>
    </w:rPr>
  </w:style>
  <w:style w:type="paragraph" w:customStyle="1" w:styleId="CTA4ai">
    <w:name w:val="CTA 4(a)(i)"/>
    <w:basedOn w:val="OPCParaBase"/>
    <w:rsid w:val="004A5227"/>
    <w:pPr>
      <w:tabs>
        <w:tab w:val="right" w:pos="1213"/>
      </w:tabs>
      <w:spacing w:before="40" w:line="240" w:lineRule="atLeast"/>
      <w:ind w:left="1452" w:hanging="1452"/>
    </w:pPr>
    <w:rPr>
      <w:sz w:val="20"/>
    </w:rPr>
  </w:style>
  <w:style w:type="paragraph" w:customStyle="1" w:styleId="CTACAPS">
    <w:name w:val="CTA CAPS"/>
    <w:basedOn w:val="OPCParaBase"/>
    <w:rsid w:val="004A5227"/>
    <w:pPr>
      <w:spacing w:before="60" w:line="240" w:lineRule="atLeast"/>
    </w:pPr>
    <w:rPr>
      <w:sz w:val="20"/>
    </w:rPr>
  </w:style>
  <w:style w:type="paragraph" w:customStyle="1" w:styleId="CTAright">
    <w:name w:val="CTA right"/>
    <w:basedOn w:val="OPCParaBase"/>
    <w:rsid w:val="004A5227"/>
    <w:pPr>
      <w:spacing w:before="60" w:line="240" w:lineRule="auto"/>
      <w:jc w:val="right"/>
    </w:pPr>
    <w:rPr>
      <w:sz w:val="20"/>
    </w:rPr>
  </w:style>
  <w:style w:type="paragraph" w:customStyle="1" w:styleId="Definition">
    <w:name w:val="Definition"/>
    <w:aliases w:val="dd"/>
    <w:basedOn w:val="OPCParaBase"/>
    <w:rsid w:val="004A5227"/>
    <w:pPr>
      <w:spacing w:before="180" w:line="240" w:lineRule="auto"/>
      <w:ind w:left="1134"/>
    </w:pPr>
  </w:style>
  <w:style w:type="paragraph" w:customStyle="1" w:styleId="EndNotespara">
    <w:name w:val="EndNotes(para)"/>
    <w:aliases w:val="eta"/>
    <w:basedOn w:val="OPCParaBase"/>
    <w:next w:val="EndNotessubpara"/>
    <w:rsid w:val="004A522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4A52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22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4A5227"/>
    <w:pPr>
      <w:tabs>
        <w:tab w:val="right" w:pos="340"/>
      </w:tabs>
      <w:spacing w:before="60" w:line="240" w:lineRule="auto"/>
      <w:ind w:left="454" w:hanging="454"/>
    </w:pPr>
    <w:rPr>
      <w:sz w:val="20"/>
    </w:rPr>
  </w:style>
  <w:style w:type="paragraph" w:customStyle="1" w:styleId="Formula">
    <w:name w:val="Formula"/>
    <w:basedOn w:val="OPCParaBase"/>
    <w:rsid w:val="004A5227"/>
    <w:pPr>
      <w:spacing w:line="240" w:lineRule="auto"/>
      <w:ind w:left="1134"/>
    </w:pPr>
    <w:rPr>
      <w:sz w:val="20"/>
    </w:rPr>
  </w:style>
  <w:style w:type="paragraph" w:styleId="Header">
    <w:name w:val="header"/>
    <w:basedOn w:val="OPCParaBase"/>
    <w:link w:val="HeaderChar"/>
    <w:unhideWhenUsed/>
    <w:rsid w:val="004A52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227"/>
    <w:rPr>
      <w:rFonts w:eastAsia="Times New Roman" w:cs="Times New Roman"/>
      <w:sz w:val="16"/>
      <w:lang w:eastAsia="en-AU"/>
    </w:rPr>
  </w:style>
  <w:style w:type="paragraph" w:customStyle="1" w:styleId="House">
    <w:name w:val="House"/>
    <w:basedOn w:val="OPCParaBase"/>
    <w:rsid w:val="004A5227"/>
    <w:pPr>
      <w:spacing w:line="240" w:lineRule="auto"/>
    </w:pPr>
    <w:rPr>
      <w:sz w:val="28"/>
    </w:rPr>
  </w:style>
  <w:style w:type="paragraph" w:customStyle="1" w:styleId="LongT">
    <w:name w:val="LongT"/>
    <w:basedOn w:val="OPCParaBase"/>
    <w:rsid w:val="004A5227"/>
    <w:pPr>
      <w:spacing w:line="240" w:lineRule="auto"/>
    </w:pPr>
    <w:rPr>
      <w:b/>
      <w:sz w:val="32"/>
    </w:rPr>
  </w:style>
  <w:style w:type="paragraph" w:customStyle="1" w:styleId="notedraft">
    <w:name w:val="note(draft)"/>
    <w:aliases w:val="nd"/>
    <w:basedOn w:val="OPCParaBase"/>
    <w:rsid w:val="004A5227"/>
    <w:pPr>
      <w:spacing w:before="240" w:line="240" w:lineRule="auto"/>
      <w:ind w:left="284" w:hanging="284"/>
    </w:pPr>
    <w:rPr>
      <w:i/>
      <w:sz w:val="24"/>
    </w:rPr>
  </w:style>
  <w:style w:type="paragraph" w:customStyle="1" w:styleId="notemargin">
    <w:name w:val="note(margin)"/>
    <w:aliases w:val="nm"/>
    <w:basedOn w:val="OPCParaBase"/>
    <w:rsid w:val="004A5227"/>
    <w:pPr>
      <w:tabs>
        <w:tab w:val="left" w:pos="709"/>
      </w:tabs>
      <w:spacing w:before="122" w:line="198" w:lineRule="exact"/>
      <w:ind w:left="709" w:hanging="709"/>
    </w:pPr>
    <w:rPr>
      <w:sz w:val="18"/>
    </w:rPr>
  </w:style>
  <w:style w:type="paragraph" w:customStyle="1" w:styleId="noteToPara">
    <w:name w:val="noteToPara"/>
    <w:aliases w:val="ntp"/>
    <w:basedOn w:val="OPCParaBase"/>
    <w:rsid w:val="004A5227"/>
    <w:pPr>
      <w:spacing w:before="122" w:line="198" w:lineRule="exact"/>
      <w:ind w:left="2353" w:hanging="709"/>
    </w:pPr>
    <w:rPr>
      <w:sz w:val="18"/>
    </w:rPr>
  </w:style>
  <w:style w:type="paragraph" w:customStyle="1" w:styleId="noteParlAmend">
    <w:name w:val="note(ParlAmend)"/>
    <w:aliases w:val="npp"/>
    <w:basedOn w:val="OPCParaBase"/>
    <w:next w:val="ParlAmend"/>
    <w:rsid w:val="004A5227"/>
    <w:pPr>
      <w:spacing w:line="240" w:lineRule="auto"/>
      <w:jc w:val="right"/>
    </w:pPr>
    <w:rPr>
      <w:rFonts w:ascii="Arial" w:hAnsi="Arial"/>
      <w:b/>
      <w:i/>
    </w:rPr>
  </w:style>
  <w:style w:type="paragraph" w:customStyle="1" w:styleId="ParlAmend">
    <w:name w:val="ParlAmend"/>
    <w:aliases w:val="pp"/>
    <w:basedOn w:val="OPCParaBase"/>
    <w:rsid w:val="004A5227"/>
    <w:pPr>
      <w:spacing w:before="240" w:line="240" w:lineRule="atLeast"/>
      <w:ind w:hanging="567"/>
    </w:pPr>
    <w:rPr>
      <w:sz w:val="24"/>
    </w:rPr>
  </w:style>
  <w:style w:type="paragraph" w:customStyle="1" w:styleId="Page1">
    <w:name w:val="Page1"/>
    <w:basedOn w:val="OPCParaBase"/>
    <w:rsid w:val="004A5227"/>
    <w:pPr>
      <w:spacing w:before="5600" w:line="240" w:lineRule="auto"/>
    </w:pPr>
    <w:rPr>
      <w:b/>
      <w:sz w:val="32"/>
    </w:rPr>
  </w:style>
  <w:style w:type="paragraph" w:customStyle="1" w:styleId="PageBreak">
    <w:name w:val="PageBreak"/>
    <w:aliases w:val="pb"/>
    <w:basedOn w:val="OPCParaBase"/>
    <w:rsid w:val="004A5227"/>
    <w:pPr>
      <w:spacing w:line="240" w:lineRule="auto"/>
    </w:pPr>
    <w:rPr>
      <w:sz w:val="20"/>
    </w:rPr>
  </w:style>
  <w:style w:type="paragraph" w:customStyle="1" w:styleId="paragraphsub">
    <w:name w:val="paragraph(sub)"/>
    <w:aliases w:val="aa"/>
    <w:basedOn w:val="OPCParaBase"/>
    <w:rsid w:val="004A5227"/>
    <w:pPr>
      <w:tabs>
        <w:tab w:val="right" w:pos="1985"/>
      </w:tabs>
      <w:spacing w:before="40" w:line="240" w:lineRule="auto"/>
      <w:ind w:left="2098" w:hanging="2098"/>
    </w:pPr>
  </w:style>
  <w:style w:type="paragraph" w:customStyle="1" w:styleId="paragraphsub-sub">
    <w:name w:val="paragraph(sub-sub)"/>
    <w:aliases w:val="aaa"/>
    <w:basedOn w:val="OPCParaBase"/>
    <w:rsid w:val="004A5227"/>
    <w:pPr>
      <w:tabs>
        <w:tab w:val="right" w:pos="2722"/>
      </w:tabs>
      <w:spacing w:before="40" w:line="240" w:lineRule="auto"/>
      <w:ind w:left="2835" w:hanging="2835"/>
    </w:pPr>
  </w:style>
  <w:style w:type="paragraph" w:customStyle="1" w:styleId="paragraph">
    <w:name w:val="paragraph"/>
    <w:aliases w:val="a"/>
    <w:basedOn w:val="OPCParaBase"/>
    <w:rsid w:val="004A5227"/>
    <w:pPr>
      <w:tabs>
        <w:tab w:val="right" w:pos="1531"/>
      </w:tabs>
      <w:spacing w:before="40" w:line="240" w:lineRule="auto"/>
      <w:ind w:left="1644" w:hanging="1644"/>
    </w:pPr>
  </w:style>
  <w:style w:type="paragraph" w:customStyle="1" w:styleId="Penalty">
    <w:name w:val="Penalty"/>
    <w:basedOn w:val="OPCParaBase"/>
    <w:rsid w:val="004A5227"/>
    <w:pPr>
      <w:tabs>
        <w:tab w:val="left" w:pos="2977"/>
      </w:tabs>
      <w:spacing w:before="180" w:line="240" w:lineRule="auto"/>
      <w:ind w:left="1985" w:hanging="851"/>
    </w:pPr>
  </w:style>
  <w:style w:type="paragraph" w:customStyle="1" w:styleId="Portfolio">
    <w:name w:val="Portfolio"/>
    <w:basedOn w:val="OPCParaBase"/>
    <w:rsid w:val="004A5227"/>
    <w:pPr>
      <w:spacing w:line="240" w:lineRule="auto"/>
    </w:pPr>
    <w:rPr>
      <w:i/>
      <w:sz w:val="20"/>
    </w:rPr>
  </w:style>
  <w:style w:type="paragraph" w:customStyle="1" w:styleId="Preamble">
    <w:name w:val="Preamble"/>
    <w:basedOn w:val="OPCParaBase"/>
    <w:next w:val="Normal"/>
    <w:rsid w:val="004A52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227"/>
    <w:pPr>
      <w:spacing w:line="240" w:lineRule="auto"/>
    </w:pPr>
    <w:rPr>
      <w:i/>
      <w:sz w:val="20"/>
    </w:rPr>
  </w:style>
  <w:style w:type="paragraph" w:customStyle="1" w:styleId="Session">
    <w:name w:val="Session"/>
    <w:basedOn w:val="OPCParaBase"/>
    <w:rsid w:val="004A5227"/>
    <w:pPr>
      <w:spacing w:line="240" w:lineRule="auto"/>
    </w:pPr>
    <w:rPr>
      <w:sz w:val="28"/>
    </w:rPr>
  </w:style>
  <w:style w:type="paragraph" w:customStyle="1" w:styleId="Sponsor">
    <w:name w:val="Sponsor"/>
    <w:basedOn w:val="OPCParaBase"/>
    <w:rsid w:val="004A5227"/>
    <w:pPr>
      <w:spacing w:line="240" w:lineRule="auto"/>
    </w:pPr>
    <w:rPr>
      <w:i/>
    </w:rPr>
  </w:style>
  <w:style w:type="paragraph" w:customStyle="1" w:styleId="Subitem">
    <w:name w:val="Subitem"/>
    <w:aliases w:val="iss"/>
    <w:basedOn w:val="OPCParaBase"/>
    <w:rsid w:val="004A5227"/>
    <w:pPr>
      <w:spacing w:before="180" w:line="240" w:lineRule="auto"/>
      <w:ind w:left="709" w:hanging="709"/>
    </w:pPr>
  </w:style>
  <w:style w:type="paragraph" w:customStyle="1" w:styleId="SubitemHead">
    <w:name w:val="SubitemHead"/>
    <w:aliases w:val="issh"/>
    <w:basedOn w:val="OPCParaBase"/>
    <w:rsid w:val="004A52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227"/>
    <w:pPr>
      <w:spacing w:before="40" w:line="240" w:lineRule="auto"/>
      <w:ind w:left="1134"/>
    </w:pPr>
  </w:style>
  <w:style w:type="paragraph" w:customStyle="1" w:styleId="SubsectionHead">
    <w:name w:val="SubsectionHead"/>
    <w:aliases w:val="ssh"/>
    <w:basedOn w:val="OPCParaBase"/>
    <w:next w:val="subsection"/>
    <w:rsid w:val="004A5227"/>
    <w:pPr>
      <w:keepNext/>
      <w:keepLines/>
      <w:spacing w:before="240" w:line="240" w:lineRule="auto"/>
      <w:ind w:left="1134"/>
    </w:pPr>
    <w:rPr>
      <w:i/>
    </w:rPr>
  </w:style>
  <w:style w:type="paragraph" w:customStyle="1" w:styleId="Tablea">
    <w:name w:val="Table(a)"/>
    <w:aliases w:val="ta"/>
    <w:basedOn w:val="OPCParaBase"/>
    <w:rsid w:val="004A5227"/>
    <w:pPr>
      <w:spacing w:before="60" w:line="240" w:lineRule="auto"/>
      <w:ind w:left="284" w:hanging="284"/>
    </w:pPr>
    <w:rPr>
      <w:sz w:val="20"/>
    </w:rPr>
  </w:style>
  <w:style w:type="paragraph" w:customStyle="1" w:styleId="TableAA">
    <w:name w:val="Table(AA)"/>
    <w:aliases w:val="taaa"/>
    <w:basedOn w:val="OPCParaBase"/>
    <w:rsid w:val="004A52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2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227"/>
    <w:pPr>
      <w:spacing w:before="60" w:line="240" w:lineRule="atLeast"/>
    </w:pPr>
    <w:rPr>
      <w:sz w:val="20"/>
    </w:rPr>
  </w:style>
  <w:style w:type="paragraph" w:customStyle="1" w:styleId="TLPBoxTextnote">
    <w:name w:val="TLPBoxText(note"/>
    <w:aliases w:val="right)"/>
    <w:basedOn w:val="OPCParaBase"/>
    <w:rsid w:val="004A52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2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227"/>
    <w:pPr>
      <w:spacing w:before="122" w:line="198" w:lineRule="exact"/>
      <w:ind w:left="1985" w:hanging="851"/>
      <w:jc w:val="right"/>
    </w:pPr>
    <w:rPr>
      <w:sz w:val="18"/>
    </w:rPr>
  </w:style>
  <w:style w:type="paragraph" w:customStyle="1" w:styleId="TLPTableBullet">
    <w:name w:val="TLPTableBullet"/>
    <w:aliases w:val="ttb"/>
    <w:basedOn w:val="OPCParaBase"/>
    <w:rsid w:val="004A5227"/>
    <w:pPr>
      <w:spacing w:line="240" w:lineRule="exact"/>
      <w:ind w:left="284" w:hanging="284"/>
    </w:pPr>
    <w:rPr>
      <w:sz w:val="20"/>
    </w:rPr>
  </w:style>
  <w:style w:type="paragraph" w:styleId="TOC1">
    <w:name w:val="toc 1"/>
    <w:basedOn w:val="OPCParaBase"/>
    <w:next w:val="Normal"/>
    <w:uiPriority w:val="39"/>
    <w:unhideWhenUsed/>
    <w:rsid w:val="004A522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22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522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52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52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A52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2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A52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A52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227"/>
    <w:pPr>
      <w:keepLines/>
      <w:spacing w:before="240" w:after="120" w:line="240" w:lineRule="auto"/>
      <w:ind w:left="794"/>
    </w:pPr>
    <w:rPr>
      <w:b/>
      <w:kern w:val="28"/>
      <w:sz w:val="20"/>
    </w:rPr>
  </w:style>
  <w:style w:type="paragraph" w:customStyle="1" w:styleId="TofSectsSection">
    <w:name w:val="TofSects(Section)"/>
    <w:basedOn w:val="OPCParaBase"/>
    <w:rsid w:val="004A5227"/>
    <w:pPr>
      <w:keepLines/>
      <w:spacing w:before="40" w:line="240" w:lineRule="auto"/>
      <w:ind w:left="1588" w:hanging="794"/>
    </w:pPr>
    <w:rPr>
      <w:kern w:val="28"/>
      <w:sz w:val="18"/>
    </w:rPr>
  </w:style>
  <w:style w:type="paragraph" w:customStyle="1" w:styleId="TofSectsHeading">
    <w:name w:val="TofSects(Heading)"/>
    <w:basedOn w:val="OPCParaBase"/>
    <w:rsid w:val="004A5227"/>
    <w:pPr>
      <w:spacing w:before="240" w:after="120" w:line="240" w:lineRule="auto"/>
    </w:pPr>
    <w:rPr>
      <w:b/>
      <w:sz w:val="24"/>
    </w:rPr>
  </w:style>
  <w:style w:type="paragraph" w:customStyle="1" w:styleId="TofSectsSubdiv">
    <w:name w:val="TofSects(Subdiv)"/>
    <w:basedOn w:val="OPCParaBase"/>
    <w:rsid w:val="004A5227"/>
    <w:pPr>
      <w:keepLines/>
      <w:spacing w:before="80" w:line="240" w:lineRule="auto"/>
      <w:ind w:left="1588" w:hanging="794"/>
    </w:pPr>
    <w:rPr>
      <w:kern w:val="28"/>
    </w:rPr>
  </w:style>
  <w:style w:type="paragraph" w:customStyle="1" w:styleId="WRStyle">
    <w:name w:val="WR Style"/>
    <w:aliases w:val="WR"/>
    <w:basedOn w:val="OPCParaBase"/>
    <w:rsid w:val="004A5227"/>
    <w:pPr>
      <w:spacing w:before="240" w:line="240" w:lineRule="auto"/>
      <w:ind w:left="284" w:hanging="284"/>
    </w:pPr>
    <w:rPr>
      <w:b/>
      <w:i/>
      <w:kern w:val="28"/>
      <w:sz w:val="24"/>
    </w:rPr>
  </w:style>
  <w:style w:type="paragraph" w:customStyle="1" w:styleId="notepara">
    <w:name w:val="note(para)"/>
    <w:aliases w:val="na"/>
    <w:basedOn w:val="OPCParaBase"/>
    <w:rsid w:val="004A5227"/>
    <w:pPr>
      <w:spacing w:before="40" w:line="198" w:lineRule="exact"/>
      <w:ind w:left="2354" w:hanging="369"/>
    </w:pPr>
    <w:rPr>
      <w:sz w:val="18"/>
    </w:rPr>
  </w:style>
  <w:style w:type="paragraph" w:styleId="Footer">
    <w:name w:val="footer"/>
    <w:link w:val="FooterChar"/>
    <w:rsid w:val="004A52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227"/>
    <w:rPr>
      <w:rFonts w:eastAsia="Times New Roman" w:cs="Times New Roman"/>
      <w:sz w:val="22"/>
      <w:szCs w:val="24"/>
      <w:lang w:eastAsia="en-AU"/>
    </w:rPr>
  </w:style>
  <w:style w:type="character" w:styleId="LineNumber">
    <w:name w:val="line number"/>
    <w:basedOn w:val="OPCCharBase"/>
    <w:uiPriority w:val="99"/>
    <w:semiHidden/>
    <w:unhideWhenUsed/>
    <w:rsid w:val="004A5227"/>
    <w:rPr>
      <w:sz w:val="16"/>
    </w:rPr>
  </w:style>
  <w:style w:type="table" w:customStyle="1" w:styleId="CFlag">
    <w:name w:val="CFlag"/>
    <w:basedOn w:val="TableNormal"/>
    <w:uiPriority w:val="99"/>
    <w:rsid w:val="004A522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227"/>
    <w:rPr>
      <w:rFonts w:ascii="Tahoma" w:hAnsi="Tahoma" w:cs="Tahoma"/>
      <w:sz w:val="16"/>
      <w:szCs w:val="16"/>
    </w:rPr>
  </w:style>
  <w:style w:type="table" w:styleId="TableGrid">
    <w:name w:val="Table Grid"/>
    <w:basedOn w:val="TableNormal"/>
    <w:uiPriority w:val="59"/>
    <w:rsid w:val="004A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A5227"/>
    <w:rPr>
      <w:b/>
      <w:sz w:val="28"/>
      <w:szCs w:val="32"/>
    </w:rPr>
  </w:style>
  <w:style w:type="paragraph" w:customStyle="1" w:styleId="LegislationMadeUnder">
    <w:name w:val="LegislationMadeUnder"/>
    <w:basedOn w:val="OPCParaBase"/>
    <w:next w:val="Normal"/>
    <w:rsid w:val="004A5227"/>
    <w:rPr>
      <w:i/>
      <w:sz w:val="32"/>
      <w:szCs w:val="32"/>
    </w:rPr>
  </w:style>
  <w:style w:type="paragraph" w:customStyle="1" w:styleId="SignCoverPageEnd">
    <w:name w:val="SignCoverPageEnd"/>
    <w:basedOn w:val="OPCParaBase"/>
    <w:next w:val="Normal"/>
    <w:rsid w:val="004A52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5227"/>
    <w:pPr>
      <w:pBdr>
        <w:top w:val="single" w:sz="4" w:space="1" w:color="auto"/>
      </w:pBdr>
      <w:spacing w:before="360"/>
      <w:ind w:right="397"/>
      <w:jc w:val="both"/>
    </w:pPr>
  </w:style>
  <w:style w:type="paragraph" w:customStyle="1" w:styleId="NotesHeading1">
    <w:name w:val="NotesHeading 1"/>
    <w:basedOn w:val="OPCParaBase"/>
    <w:next w:val="Normal"/>
    <w:rsid w:val="004A5227"/>
    <w:pPr>
      <w:outlineLvl w:val="0"/>
    </w:pPr>
    <w:rPr>
      <w:b/>
      <w:sz w:val="28"/>
      <w:szCs w:val="28"/>
    </w:rPr>
  </w:style>
  <w:style w:type="paragraph" w:customStyle="1" w:styleId="NotesHeading2">
    <w:name w:val="NotesHeading 2"/>
    <w:basedOn w:val="OPCParaBase"/>
    <w:next w:val="Normal"/>
    <w:rsid w:val="004A5227"/>
    <w:rPr>
      <w:b/>
      <w:sz w:val="28"/>
      <w:szCs w:val="28"/>
    </w:rPr>
  </w:style>
  <w:style w:type="paragraph" w:customStyle="1" w:styleId="CompiledActNo">
    <w:name w:val="CompiledActNo"/>
    <w:basedOn w:val="OPCParaBase"/>
    <w:next w:val="Normal"/>
    <w:rsid w:val="004A5227"/>
    <w:rPr>
      <w:b/>
      <w:sz w:val="24"/>
      <w:szCs w:val="24"/>
    </w:rPr>
  </w:style>
  <w:style w:type="paragraph" w:customStyle="1" w:styleId="ENotesText">
    <w:name w:val="ENotesText"/>
    <w:aliases w:val="Ent"/>
    <w:basedOn w:val="OPCParaBase"/>
    <w:next w:val="Normal"/>
    <w:rsid w:val="004A5227"/>
    <w:pPr>
      <w:spacing w:before="120"/>
    </w:pPr>
  </w:style>
  <w:style w:type="paragraph" w:customStyle="1" w:styleId="CompiledMadeUnder">
    <w:name w:val="CompiledMadeUnder"/>
    <w:basedOn w:val="OPCParaBase"/>
    <w:next w:val="Normal"/>
    <w:rsid w:val="004A5227"/>
    <w:rPr>
      <w:i/>
      <w:sz w:val="24"/>
      <w:szCs w:val="24"/>
    </w:rPr>
  </w:style>
  <w:style w:type="paragraph" w:customStyle="1" w:styleId="Paragraphsub-sub-sub">
    <w:name w:val="Paragraph(sub-sub-sub)"/>
    <w:aliases w:val="aaaa"/>
    <w:basedOn w:val="OPCParaBase"/>
    <w:rsid w:val="004A5227"/>
    <w:pPr>
      <w:tabs>
        <w:tab w:val="right" w:pos="3402"/>
      </w:tabs>
      <w:spacing w:before="40" w:line="240" w:lineRule="auto"/>
      <w:ind w:left="3402" w:hanging="3402"/>
    </w:pPr>
  </w:style>
  <w:style w:type="paragraph" w:customStyle="1" w:styleId="TableTextEndNotes">
    <w:name w:val="TableTextEndNotes"/>
    <w:aliases w:val="Tten"/>
    <w:basedOn w:val="Normal"/>
    <w:rsid w:val="004A5227"/>
    <w:pPr>
      <w:spacing w:before="60" w:line="240" w:lineRule="auto"/>
    </w:pPr>
    <w:rPr>
      <w:rFonts w:cs="Arial"/>
      <w:sz w:val="20"/>
      <w:szCs w:val="22"/>
    </w:rPr>
  </w:style>
  <w:style w:type="paragraph" w:customStyle="1" w:styleId="NoteToSubpara">
    <w:name w:val="NoteToSubpara"/>
    <w:aliases w:val="nts"/>
    <w:basedOn w:val="OPCParaBase"/>
    <w:rsid w:val="004A5227"/>
    <w:pPr>
      <w:spacing w:before="40" w:line="198" w:lineRule="exact"/>
      <w:ind w:left="2835" w:hanging="709"/>
    </w:pPr>
    <w:rPr>
      <w:sz w:val="18"/>
    </w:rPr>
  </w:style>
  <w:style w:type="paragraph" w:customStyle="1" w:styleId="ENoteTableHeading">
    <w:name w:val="ENoteTableHeading"/>
    <w:aliases w:val="enth"/>
    <w:basedOn w:val="OPCParaBase"/>
    <w:rsid w:val="004A5227"/>
    <w:pPr>
      <w:keepNext/>
      <w:spacing w:before="60" w:line="240" w:lineRule="atLeast"/>
    </w:pPr>
    <w:rPr>
      <w:rFonts w:ascii="Arial" w:hAnsi="Arial"/>
      <w:b/>
      <w:sz w:val="16"/>
    </w:rPr>
  </w:style>
  <w:style w:type="paragraph" w:customStyle="1" w:styleId="ENoteTTi">
    <w:name w:val="ENoteTTi"/>
    <w:aliases w:val="entti"/>
    <w:basedOn w:val="OPCParaBase"/>
    <w:rsid w:val="004A5227"/>
    <w:pPr>
      <w:keepNext/>
      <w:spacing w:before="60" w:line="240" w:lineRule="atLeast"/>
      <w:ind w:left="170"/>
    </w:pPr>
    <w:rPr>
      <w:sz w:val="16"/>
    </w:rPr>
  </w:style>
  <w:style w:type="paragraph" w:customStyle="1" w:styleId="ENotesHeading1">
    <w:name w:val="ENotesHeading 1"/>
    <w:aliases w:val="Enh1"/>
    <w:basedOn w:val="OPCParaBase"/>
    <w:next w:val="Normal"/>
    <w:rsid w:val="004A5227"/>
    <w:pPr>
      <w:spacing w:before="120"/>
      <w:outlineLvl w:val="1"/>
    </w:pPr>
    <w:rPr>
      <w:b/>
      <w:sz w:val="28"/>
      <w:szCs w:val="28"/>
    </w:rPr>
  </w:style>
  <w:style w:type="paragraph" w:customStyle="1" w:styleId="ENotesHeading2">
    <w:name w:val="ENotesHeading 2"/>
    <w:aliases w:val="Enh2"/>
    <w:basedOn w:val="OPCParaBase"/>
    <w:next w:val="Normal"/>
    <w:rsid w:val="004A5227"/>
    <w:pPr>
      <w:spacing w:before="120" w:after="120"/>
      <w:outlineLvl w:val="2"/>
    </w:pPr>
    <w:rPr>
      <w:b/>
      <w:sz w:val="24"/>
      <w:szCs w:val="28"/>
    </w:rPr>
  </w:style>
  <w:style w:type="paragraph" w:customStyle="1" w:styleId="ENoteTTIndentHeading">
    <w:name w:val="ENoteTTIndentHeading"/>
    <w:aliases w:val="enTTHi"/>
    <w:basedOn w:val="OPCParaBase"/>
    <w:rsid w:val="004A52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227"/>
    <w:pPr>
      <w:spacing w:before="60" w:line="240" w:lineRule="atLeast"/>
    </w:pPr>
    <w:rPr>
      <w:sz w:val="16"/>
    </w:rPr>
  </w:style>
  <w:style w:type="paragraph" w:customStyle="1" w:styleId="MadeunderText">
    <w:name w:val="MadeunderText"/>
    <w:basedOn w:val="OPCParaBase"/>
    <w:next w:val="CompiledMadeUnder"/>
    <w:rsid w:val="004A5227"/>
    <w:pPr>
      <w:spacing w:before="240"/>
    </w:pPr>
    <w:rPr>
      <w:sz w:val="24"/>
      <w:szCs w:val="24"/>
    </w:rPr>
  </w:style>
  <w:style w:type="paragraph" w:customStyle="1" w:styleId="ENotesHeading3">
    <w:name w:val="ENotesHeading 3"/>
    <w:aliases w:val="Enh3"/>
    <w:basedOn w:val="OPCParaBase"/>
    <w:next w:val="Normal"/>
    <w:rsid w:val="004A5227"/>
    <w:pPr>
      <w:keepNext/>
      <w:spacing w:before="120" w:line="240" w:lineRule="auto"/>
      <w:outlineLvl w:val="4"/>
    </w:pPr>
    <w:rPr>
      <w:b/>
      <w:szCs w:val="24"/>
    </w:rPr>
  </w:style>
  <w:style w:type="paragraph" w:customStyle="1" w:styleId="SubPartCASA">
    <w:name w:val="SubPart(CASA)"/>
    <w:aliases w:val="csp"/>
    <w:basedOn w:val="OPCParaBase"/>
    <w:next w:val="ActHead3"/>
    <w:rsid w:val="004A522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5227"/>
  </w:style>
  <w:style w:type="character" w:customStyle="1" w:styleId="CharSubPartNoCASA">
    <w:name w:val="CharSubPartNo(CASA)"/>
    <w:basedOn w:val="OPCCharBase"/>
    <w:uiPriority w:val="1"/>
    <w:rsid w:val="004A5227"/>
  </w:style>
  <w:style w:type="paragraph" w:customStyle="1" w:styleId="ENoteTTIndentHeadingSub">
    <w:name w:val="ENoteTTIndentHeadingSub"/>
    <w:aliases w:val="enTTHis"/>
    <w:basedOn w:val="OPCParaBase"/>
    <w:rsid w:val="004A5227"/>
    <w:pPr>
      <w:keepNext/>
      <w:spacing w:before="60" w:line="240" w:lineRule="atLeast"/>
      <w:ind w:left="340"/>
    </w:pPr>
    <w:rPr>
      <w:b/>
      <w:sz w:val="16"/>
    </w:rPr>
  </w:style>
  <w:style w:type="paragraph" w:customStyle="1" w:styleId="ENoteTTiSub">
    <w:name w:val="ENoteTTiSub"/>
    <w:aliases w:val="enttis"/>
    <w:basedOn w:val="OPCParaBase"/>
    <w:rsid w:val="004A5227"/>
    <w:pPr>
      <w:keepNext/>
      <w:spacing w:before="60" w:line="240" w:lineRule="atLeast"/>
      <w:ind w:left="340"/>
    </w:pPr>
    <w:rPr>
      <w:sz w:val="16"/>
    </w:rPr>
  </w:style>
  <w:style w:type="paragraph" w:customStyle="1" w:styleId="SubDivisionMigration">
    <w:name w:val="SubDivisionMigration"/>
    <w:aliases w:val="sdm"/>
    <w:basedOn w:val="OPCParaBase"/>
    <w:rsid w:val="004A52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227"/>
    <w:pPr>
      <w:keepNext/>
      <w:keepLines/>
      <w:spacing w:before="240" w:line="240" w:lineRule="auto"/>
      <w:ind w:left="1134" w:hanging="1134"/>
    </w:pPr>
    <w:rPr>
      <w:b/>
      <w:sz w:val="28"/>
    </w:rPr>
  </w:style>
  <w:style w:type="paragraph" w:customStyle="1" w:styleId="notetext">
    <w:name w:val="note(text)"/>
    <w:aliases w:val="n"/>
    <w:basedOn w:val="OPCParaBase"/>
    <w:rsid w:val="004A522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A52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227"/>
    <w:rPr>
      <w:sz w:val="22"/>
    </w:rPr>
  </w:style>
  <w:style w:type="paragraph" w:customStyle="1" w:styleId="SOTextNote">
    <w:name w:val="SO TextNote"/>
    <w:aliases w:val="sont"/>
    <w:basedOn w:val="SOText"/>
    <w:qFormat/>
    <w:rsid w:val="004A5227"/>
    <w:pPr>
      <w:spacing w:before="122" w:line="198" w:lineRule="exact"/>
      <w:ind w:left="1843" w:hanging="709"/>
    </w:pPr>
    <w:rPr>
      <w:sz w:val="18"/>
    </w:rPr>
  </w:style>
  <w:style w:type="paragraph" w:customStyle="1" w:styleId="SOPara">
    <w:name w:val="SO Para"/>
    <w:aliases w:val="soa"/>
    <w:basedOn w:val="SOText"/>
    <w:link w:val="SOParaChar"/>
    <w:qFormat/>
    <w:rsid w:val="004A5227"/>
    <w:pPr>
      <w:tabs>
        <w:tab w:val="right" w:pos="1786"/>
      </w:tabs>
      <w:spacing w:before="40"/>
      <w:ind w:left="2070" w:hanging="936"/>
    </w:pPr>
  </w:style>
  <w:style w:type="character" w:customStyle="1" w:styleId="SOParaChar">
    <w:name w:val="SO Para Char"/>
    <w:aliases w:val="soa Char"/>
    <w:basedOn w:val="DefaultParagraphFont"/>
    <w:link w:val="SOPara"/>
    <w:rsid w:val="004A5227"/>
    <w:rPr>
      <w:sz w:val="22"/>
    </w:rPr>
  </w:style>
  <w:style w:type="paragraph" w:customStyle="1" w:styleId="FileName">
    <w:name w:val="FileName"/>
    <w:basedOn w:val="Normal"/>
    <w:rsid w:val="004A5227"/>
  </w:style>
  <w:style w:type="paragraph" w:customStyle="1" w:styleId="TableHeading">
    <w:name w:val="TableHeading"/>
    <w:aliases w:val="th"/>
    <w:basedOn w:val="OPCParaBase"/>
    <w:next w:val="Tabletext"/>
    <w:rsid w:val="004A5227"/>
    <w:pPr>
      <w:keepNext/>
      <w:spacing w:before="60" w:line="240" w:lineRule="atLeast"/>
    </w:pPr>
    <w:rPr>
      <w:b/>
      <w:sz w:val="20"/>
    </w:rPr>
  </w:style>
  <w:style w:type="paragraph" w:customStyle="1" w:styleId="SOHeadBold">
    <w:name w:val="SO HeadBold"/>
    <w:aliases w:val="sohb"/>
    <w:basedOn w:val="SOText"/>
    <w:next w:val="SOText"/>
    <w:link w:val="SOHeadBoldChar"/>
    <w:qFormat/>
    <w:rsid w:val="004A5227"/>
    <w:rPr>
      <w:b/>
    </w:rPr>
  </w:style>
  <w:style w:type="character" w:customStyle="1" w:styleId="SOHeadBoldChar">
    <w:name w:val="SO HeadBold Char"/>
    <w:aliases w:val="sohb Char"/>
    <w:basedOn w:val="DefaultParagraphFont"/>
    <w:link w:val="SOHeadBold"/>
    <w:rsid w:val="004A5227"/>
    <w:rPr>
      <w:b/>
      <w:sz w:val="22"/>
    </w:rPr>
  </w:style>
  <w:style w:type="paragraph" w:customStyle="1" w:styleId="SOHeadItalic">
    <w:name w:val="SO HeadItalic"/>
    <w:aliases w:val="sohi"/>
    <w:basedOn w:val="SOText"/>
    <w:next w:val="SOText"/>
    <w:link w:val="SOHeadItalicChar"/>
    <w:qFormat/>
    <w:rsid w:val="004A5227"/>
    <w:rPr>
      <w:i/>
    </w:rPr>
  </w:style>
  <w:style w:type="character" w:customStyle="1" w:styleId="SOHeadItalicChar">
    <w:name w:val="SO HeadItalic Char"/>
    <w:aliases w:val="sohi Char"/>
    <w:basedOn w:val="DefaultParagraphFont"/>
    <w:link w:val="SOHeadItalic"/>
    <w:rsid w:val="004A5227"/>
    <w:rPr>
      <w:i/>
      <w:sz w:val="22"/>
    </w:rPr>
  </w:style>
  <w:style w:type="paragraph" w:customStyle="1" w:styleId="SOBullet">
    <w:name w:val="SO Bullet"/>
    <w:aliases w:val="sotb"/>
    <w:basedOn w:val="SOText"/>
    <w:link w:val="SOBulletChar"/>
    <w:qFormat/>
    <w:rsid w:val="004A5227"/>
    <w:pPr>
      <w:ind w:left="1559" w:hanging="425"/>
    </w:pPr>
  </w:style>
  <w:style w:type="character" w:customStyle="1" w:styleId="SOBulletChar">
    <w:name w:val="SO Bullet Char"/>
    <w:aliases w:val="sotb Char"/>
    <w:basedOn w:val="DefaultParagraphFont"/>
    <w:link w:val="SOBullet"/>
    <w:rsid w:val="004A5227"/>
    <w:rPr>
      <w:sz w:val="22"/>
    </w:rPr>
  </w:style>
  <w:style w:type="paragraph" w:customStyle="1" w:styleId="SOBulletNote">
    <w:name w:val="SO BulletNote"/>
    <w:aliases w:val="sonb"/>
    <w:basedOn w:val="SOTextNote"/>
    <w:link w:val="SOBulletNoteChar"/>
    <w:qFormat/>
    <w:rsid w:val="004A5227"/>
    <w:pPr>
      <w:tabs>
        <w:tab w:val="left" w:pos="1560"/>
      </w:tabs>
      <w:ind w:left="2268" w:hanging="1134"/>
    </w:pPr>
  </w:style>
  <w:style w:type="character" w:customStyle="1" w:styleId="SOBulletNoteChar">
    <w:name w:val="SO BulletNote Char"/>
    <w:aliases w:val="sonb Char"/>
    <w:basedOn w:val="DefaultParagraphFont"/>
    <w:link w:val="SOBulletNote"/>
    <w:rsid w:val="004A5227"/>
    <w:rPr>
      <w:sz w:val="18"/>
    </w:rPr>
  </w:style>
  <w:style w:type="paragraph" w:customStyle="1" w:styleId="SOText2">
    <w:name w:val="SO Text2"/>
    <w:aliases w:val="sot2"/>
    <w:basedOn w:val="Normal"/>
    <w:next w:val="SOText"/>
    <w:link w:val="SOText2Char"/>
    <w:rsid w:val="004A52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227"/>
    <w:rPr>
      <w:sz w:val="22"/>
    </w:rPr>
  </w:style>
  <w:style w:type="paragraph" w:styleId="List4">
    <w:name w:val="List 4"/>
    <w:basedOn w:val="Normal"/>
    <w:unhideWhenUsed/>
    <w:rsid w:val="00B2147A"/>
    <w:pPr>
      <w:ind w:left="1132" w:hanging="283"/>
      <w:contextualSpacing/>
    </w:pPr>
  </w:style>
  <w:style w:type="paragraph" w:styleId="ListParagraph">
    <w:name w:val="List Paragraph"/>
    <w:basedOn w:val="Normal"/>
    <w:uiPriority w:val="34"/>
    <w:qFormat/>
    <w:rsid w:val="00AF51C5"/>
    <w:pPr>
      <w:spacing w:line="240" w:lineRule="auto"/>
      <w:ind w:left="720"/>
    </w:pPr>
    <w:rPr>
      <w:rFonts w:eastAsia="Times New Roman" w:cs="Times New Roman"/>
      <w:sz w:val="24"/>
      <w:szCs w:val="24"/>
      <w:lang w:eastAsia="en-AU"/>
    </w:rPr>
  </w:style>
  <w:style w:type="table" w:customStyle="1" w:styleId="TableGrid1">
    <w:name w:val="Table Grid1"/>
    <w:basedOn w:val="TableNormal"/>
    <w:next w:val="TableGrid"/>
    <w:uiPriority w:val="59"/>
    <w:rsid w:val="00A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unhideWhenUsed/>
    <w:rsid w:val="00C0534D"/>
    <w:pPr>
      <w:numPr>
        <w:numId w:val="8"/>
      </w:numPr>
      <w:contextualSpacing/>
    </w:pPr>
  </w:style>
  <w:style w:type="character" w:styleId="CommentReference">
    <w:name w:val="annotation reference"/>
    <w:uiPriority w:val="99"/>
    <w:semiHidden/>
    <w:unhideWhenUsed/>
    <w:rsid w:val="000B4D2E"/>
    <w:rPr>
      <w:sz w:val="16"/>
      <w:szCs w:val="16"/>
    </w:rPr>
  </w:style>
  <w:style w:type="paragraph" w:styleId="CommentText">
    <w:name w:val="annotation text"/>
    <w:basedOn w:val="Normal"/>
    <w:link w:val="CommentTextChar"/>
    <w:uiPriority w:val="99"/>
    <w:unhideWhenUsed/>
    <w:rsid w:val="000B4D2E"/>
    <w:rPr>
      <w:rFonts w:eastAsia="Calibri" w:cs="Times New Roman"/>
      <w:sz w:val="20"/>
    </w:rPr>
  </w:style>
  <w:style w:type="character" w:customStyle="1" w:styleId="CommentTextChar">
    <w:name w:val="Comment Text Char"/>
    <w:basedOn w:val="DefaultParagraphFont"/>
    <w:link w:val="CommentText"/>
    <w:uiPriority w:val="99"/>
    <w:rsid w:val="000B4D2E"/>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8897">
      <w:bodyDiv w:val="1"/>
      <w:marLeft w:val="0"/>
      <w:marRight w:val="0"/>
      <w:marTop w:val="0"/>
      <w:marBottom w:val="0"/>
      <w:divBdr>
        <w:top w:val="none" w:sz="0" w:space="0" w:color="auto"/>
        <w:left w:val="none" w:sz="0" w:space="0" w:color="auto"/>
        <w:bottom w:val="none" w:sz="0" w:space="0" w:color="auto"/>
        <w:right w:val="none" w:sz="0" w:space="0" w:color="auto"/>
      </w:divBdr>
      <w:divsChild>
        <w:div w:id="1318337000">
          <w:marLeft w:val="0"/>
          <w:marRight w:val="0"/>
          <w:marTop w:val="0"/>
          <w:marBottom w:val="0"/>
          <w:divBdr>
            <w:top w:val="none" w:sz="0" w:space="0" w:color="auto"/>
            <w:left w:val="none" w:sz="0" w:space="0" w:color="auto"/>
            <w:bottom w:val="none" w:sz="0" w:space="0" w:color="auto"/>
            <w:right w:val="none" w:sz="0" w:space="0" w:color="auto"/>
          </w:divBdr>
          <w:divsChild>
            <w:div w:id="1386375551">
              <w:marLeft w:val="0"/>
              <w:marRight w:val="0"/>
              <w:marTop w:val="0"/>
              <w:marBottom w:val="0"/>
              <w:divBdr>
                <w:top w:val="none" w:sz="0" w:space="0" w:color="auto"/>
                <w:left w:val="none" w:sz="0" w:space="0" w:color="auto"/>
                <w:bottom w:val="none" w:sz="0" w:space="0" w:color="auto"/>
                <w:right w:val="none" w:sz="0" w:space="0" w:color="auto"/>
              </w:divBdr>
              <w:divsChild>
                <w:div w:id="1149831084">
                  <w:marLeft w:val="0"/>
                  <w:marRight w:val="0"/>
                  <w:marTop w:val="0"/>
                  <w:marBottom w:val="0"/>
                  <w:divBdr>
                    <w:top w:val="none" w:sz="0" w:space="0" w:color="auto"/>
                    <w:left w:val="none" w:sz="0" w:space="0" w:color="auto"/>
                    <w:bottom w:val="none" w:sz="0" w:space="0" w:color="auto"/>
                    <w:right w:val="none" w:sz="0" w:space="0" w:color="auto"/>
                  </w:divBdr>
                  <w:divsChild>
                    <w:div w:id="1046762850">
                      <w:marLeft w:val="0"/>
                      <w:marRight w:val="0"/>
                      <w:marTop w:val="0"/>
                      <w:marBottom w:val="0"/>
                      <w:divBdr>
                        <w:top w:val="none" w:sz="0" w:space="0" w:color="auto"/>
                        <w:left w:val="none" w:sz="0" w:space="0" w:color="auto"/>
                        <w:bottom w:val="none" w:sz="0" w:space="0" w:color="auto"/>
                        <w:right w:val="none" w:sz="0" w:space="0" w:color="auto"/>
                      </w:divBdr>
                      <w:divsChild>
                        <w:div w:id="1247955244">
                          <w:marLeft w:val="0"/>
                          <w:marRight w:val="0"/>
                          <w:marTop w:val="0"/>
                          <w:marBottom w:val="0"/>
                          <w:divBdr>
                            <w:top w:val="single" w:sz="6" w:space="0" w:color="828282"/>
                            <w:left w:val="single" w:sz="6" w:space="0" w:color="828282"/>
                            <w:bottom w:val="single" w:sz="6" w:space="0" w:color="828282"/>
                            <w:right w:val="single" w:sz="6" w:space="0" w:color="828282"/>
                          </w:divBdr>
                          <w:divsChild>
                            <w:div w:id="2109808694">
                              <w:marLeft w:val="0"/>
                              <w:marRight w:val="0"/>
                              <w:marTop w:val="0"/>
                              <w:marBottom w:val="0"/>
                              <w:divBdr>
                                <w:top w:val="none" w:sz="0" w:space="0" w:color="auto"/>
                                <w:left w:val="none" w:sz="0" w:space="0" w:color="auto"/>
                                <w:bottom w:val="none" w:sz="0" w:space="0" w:color="auto"/>
                                <w:right w:val="none" w:sz="0" w:space="0" w:color="auto"/>
                              </w:divBdr>
                              <w:divsChild>
                                <w:div w:id="543564639">
                                  <w:marLeft w:val="0"/>
                                  <w:marRight w:val="0"/>
                                  <w:marTop w:val="0"/>
                                  <w:marBottom w:val="0"/>
                                  <w:divBdr>
                                    <w:top w:val="none" w:sz="0" w:space="0" w:color="auto"/>
                                    <w:left w:val="none" w:sz="0" w:space="0" w:color="auto"/>
                                    <w:bottom w:val="none" w:sz="0" w:space="0" w:color="auto"/>
                                    <w:right w:val="none" w:sz="0" w:space="0" w:color="auto"/>
                                  </w:divBdr>
                                  <w:divsChild>
                                    <w:div w:id="1118916415">
                                      <w:marLeft w:val="0"/>
                                      <w:marRight w:val="0"/>
                                      <w:marTop w:val="0"/>
                                      <w:marBottom w:val="0"/>
                                      <w:divBdr>
                                        <w:top w:val="none" w:sz="0" w:space="0" w:color="auto"/>
                                        <w:left w:val="none" w:sz="0" w:space="0" w:color="auto"/>
                                        <w:bottom w:val="none" w:sz="0" w:space="0" w:color="auto"/>
                                        <w:right w:val="none" w:sz="0" w:space="0" w:color="auto"/>
                                      </w:divBdr>
                                      <w:divsChild>
                                        <w:div w:id="2047481973">
                                          <w:marLeft w:val="0"/>
                                          <w:marRight w:val="0"/>
                                          <w:marTop w:val="0"/>
                                          <w:marBottom w:val="0"/>
                                          <w:divBdr>
                                            <w:top w:val="none" w:sz="0" w:space="0" w:color="auto"/>
                                            <w:left w:val="none" w:sz="0" w:space="0" w:color="auto"/>
                                            <w:bottom w:val="none" w:sz="0" w:space="0" w:color="auto"/>
                                            <w:right w:val="none" w:sz="0" w:space="0" w:color="auto"/>
                                          </w:divBdr>
                                          <w:divsChild>
                                            <w:div w:id="2003192397">
                                              <w:marLeft w:val="0"/>
                                              <w:marRight w:val="0"/>
                                              <w:marTop w:val="0"/>
                                              <w:marBottom w:val="0"/>
                                              <w:divBdr>
                                                <w:top w:val="none" w:sz="0" w:space="0" w:color="auto"/>
                                                <w:left w:val="none" w:sz="0" w:space="0" w:color="auto"/>
                                                <w:bottom w:val="none" w:sz="0" w:space="0" w:color="auto"/>
                                                <w:right w:val="none" w:sz="0" w:space="0" w:color="auto"/>
                                              </w:divBdr>
                                              <w:divsChild>
                                                <w:div w:id="1737587050">
                                                  <w:marLeft w:val="0"/>
                                                  <w:marRight w:val="0"/>
                                                  <w:marTop w:val="0"/>
                                                  <w:marBottom w:val="0"/>
                                                  <w:divBdr>
                                                    <w:top w:val="none" w:sz="0" w:space="0" w:color="auto"/>
                                                    <w:left w:val="none" w:sz="0" w:space="0" w:color="auto"/>
                                                    <w:bottom w:val="none" w:sz="0" w:space="0" w:color="auto"/>
                                                    <w:right w:val="none" w:sz="0" w:space="0" w:color="auto"/>
                                                  </w:divBdr>
                                                  <w:divsChild>
                                                    <w:div w:id="103698977">
                                                      <w:marLeft w:val="992"/>
                                                      <w:marRight w:val="91"/>
                                                      <w:marTop w:val="0"/>
                                                      <w:marBottom w:val="0"/>
                                                      <w:divBdr>
                                                        <w:top w:val="single" w:sz="8" w:space="6" w:color="auto"/>
                                                        <w:left w:val="single" w:sz="8" w:space="10" w:color="auto"/>
                                                        <w:bottom w:val="single" w:sz="8" w:space="6" w:color="auto"/>
                                                        <w:right w:val="single" w:sz="8" w:space="4"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3DD6-3770-43BA-95B0-3CD90667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123</Pages>
  <Words>31331</Words>
  <Characters>158227</Characters>
  <Application>Microsoft Office Word</Application>
  <DocSecurity>0</DocSecurity>
  <PresentationFormat/>
  <Lines>5650</Lines>
  <Paragraphs>4738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2015-01-22T03:44:00Z</cp:lastPrinted>
  <dcterms:created xsi:type="dcterms:W3CDTF">2015-03-17T23:20:00Z</dcterms:created>
  <dcterms:modified xsi:type="dcterms:W3CDTF">2015-03-18T01:05:00Z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Telecommunications Numbering Plan 2015</vt:lpwstr>
  </property>
  <property fmtid="{D5CDD505-2E9C-101B-9397-08002B2CF9AE}" pid="4" name="Header">
    <vt:lpwstr>Section</vt:lpwstr>
  </property>
  <property fmtid="{D5CDD505-2E9C-101B-9397-08002B2CF9AE}" pid="5" name="Class">
    <vt:lpwstr>Plan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OPC60515</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subsection 455(1) of the Telecommunications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E</vt:lpwstr>
  </property>
  <property fmtid="{D5CDD505-2E9C-101B-9397-08002B2CF9AE}" pid="18" name="CounterSign">
    <vt:lpwstr/>
  </property>
  <property fmtid="{D5CDD505-2E9C-101B-9397-08002B2CF9AE}" pid="19" name="TrimID">
    <vt:lpwstr>PC:D15/3019</vt:lpwstr>
  </property>
  <property fmtid="{D5CDD505-2E9C-101B-9397-08002B2CF9AE}" pid="20" name="DateMade">
    <vt:lpwstr>10 March 2015</vt:lpwstr>
  </property>
</Properties>
</file>